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E55AA">
      <w:pPr>
        <w:rPr>
          <w:rFonts w:hint="eastAsia" w:ascii="宋体" w:hAnsi="宋体" w:cs="宋体"/>
          <w:color w:val="auto"/>
          <w:sz w:val="36"/>
          <w:szCs w:val="22"/>
        </w:rPr>
      </w:pPr>
    </w:p>
    <w:p w14:paraId="1A9C07AA">
      <w:pPr>
        <w:ind w:firstLine="720" w:firstLineChars="200"/>
        <w:rPr>
          <w:rFonts w:hint="eastAsia" w:ascii="宋体" w:hAnsi="宋体" w:cs="宋体"/>
          <w:color w:val="auto"/>
          <w:sz w:val="36"/>
          <w:szCs w:val="22"/>
        </w:rPr>
      </w:pPr>
      <w:r>
        <w:rPr>
          <w:rFonts w:hint="eastAsia" w:ascii="宋体" w:hAnsi="宋体" w:cs="宋体"/>
          <w:color w:val="auto"/>
          <w:sz w:val="36"/>
          <w:szCs w:val="22"/>
        </w:rPr>
        <w:t>项 目 号：HXCQCG25154</w:t>
      </w:r>
    </w:p>
    <w:p w14:paraId="324ECE2F">
      <w:pPr>
        <w:ind w:firstLine="720" w:firstLineChars="200"/>
        <w:rPr>
          <w:rFonts w:hint="eastAsia" w:ascii="宋体" w:hAnsi="宋体" w:cs="宋体"/>
          <w:color w:val="auto"/>
          <w:sz w:val="36"/>
          <w:szCs w:val="22"/>
        </w:rPr>
      </w:pPr>
      <w:r>
        <w:rPr>
          <w:rFonts w:hint="eastAsia" w:ascii="宋体" w:hAnsi="宋体" w:cs="宋体"/>
          <w:color w:val="auto"/>
          <w:sz w:val="36"/>
          <w:szCs w:val="22"/>
        </w:rPr>
        <w:t>项目名称：配餐中心设备设施改造工程采购</w:t>
      </w:r>
    </w:p>
    <w:p w14:paraId="1C7F4AFA">
      <w:pPr>
        <w:jc w:val="center"/>
        <w:rPr>
          <w:rFonts w:ascii="宋体" w:hAnsi="宋体" w:cs="宋体"/>
          <w:color w:val="auto"/>
          <w:sz w:val="36"/>
          <w:szCs w:val="22"/>
        </w:rPr>
      </w:pPr>
    </w:p>
    <w:p w14:paraId="004B1708">
      <w:pPr>
        <w:jc w:val="center"/>
        <w:rPr>
          <w:rFonts w:ascii="宋体" w:hAnsi="宋体" w:cs="宋体"/>
          <w:color w:val="auto"/>
        </w:rPr>
      </w:pPr>
    </w:p>
    <w:p w14:paraId="53599188">
      <w:pPr>
        <w:jc w:val="center"/>
        <w:rPr>
          <w:rFonts w:ascii="宋体" w:hAnsi="宋体" w:cs="宋体"/>
          <w:color w:val="auto"/>
        </w:rPr>
      </w:pPr>
    </w:p>
    <w:p w14:paraId="15B096C2">
      <w:pPr>
        <w:jc w:val="center"/>
        <w:rPr>
          <w:rFonts w:ascii="宋体" w:hAnsi="宋体" w:cs="宋体"/>
          <w:color w:val="auto"/>
        </w:rPr>
      </w:pPr>
    </w:p>
    <w:p w14:paraId="3E0C5332">
      <w:pPr>
        <w:jc w:val="center"/>
        <w:rPr>
          <w:rFonts w:ascii="宋体" w:hAnsi="宋体" w:cs="宋体"/>
          <w:color w:val="auto"/>
        </w:rPr>
      </w:pPr>
    </w:p>
    <w:p w14:paraId="550B29E5">
      <w:pPr>
        <w:jc w:val="center"/>
        <w:rPr>
          <w:rFonts w:ascii="宋体" w:hAnsi="宋体" w:cs="宋体"/>
          <w:color w:val="auto"/>
        </w:rPr>
      </w:pPr>
    </w:p>
    <w:p w14:paraId="2BDAFAD4">
      <w:pPr>
        <w:jc w:val="center"/>
        <w:rPr>
          <w:rFonts w:ascii="宋体" w:hAnsi="宋体" w:cs="宋体"/>
          <w:color w:val="auto"/>
        </w:rPr>
      </w:pPr>
    </w:p>
    <w:p w14:paraId="39A01A87">
      <w:pPr>
        <w:jc w:val="center"/>
        <w:rPr>
          <w:rFonts w:ascii="宋体" w:hAnsi="宋体" w:cs="宋体"/>
          <w:color w:val="auto"/>
        </w:rPr>
      </w:pPr>
    </w:p>
    <w:p w14:paraId="415FBF02">
      <w:pPr>
        <w:pStyle w:val="2"/>
        <w:rPr>
          <w:rFonts w:ascii="宋体" w:hAnsi="宋体" w:cs="宋体"/>
          <w:color w:val="auto"/>
        </w:rPr>
      </w:pPr>
    </w:p>
    <w:p w14:paraId="7CA984E8"/>
    <w:p w14:paraId="3AC303E4">
      <w:pPr>
        <w:spacing w:line="1600" w:lineRule="exact"/>
        <w:jc w:val="center"/>
        <w:outlineLvl w:val="0"/>
        <w:rPr>
          <w:rFonts w:ascii="宋体" w:hAnsi="宋体" w:cs="宋体"/>
          <w:color w:val="auto"/>
          <w:sz w:val="130"/>
          <w:szCs w:val="130"/>
        </w:rPr>
      </w:pPr>
      <w:r>
        <w:rPr>
          <w:rFonts w:hint="eastAsia" w:ascii="宋体" w:hAnsi="宋体" w:cs="宋体"/>
          <w:color w:val="auto"/>
          <w:sz w:val="130"/>
          <w:szCs w:val="130"/>
        </w:rPr>
        <w:t>竞争性谈判文件</w:t>
      </w:r>
    </w:p>
    <w:p w14:paraId="0DF9EDBD">
      <w:pPr>
        <w:spacing w:line="700" w:lineRule="exact"/>
        <w:jc w:val="center"/>
        <w:rPr>
          <w:rFonts w:ascii="宋体" w:hAnsi="宋体" w:cs="宋体"/>
          <w:color w:val="auto"/>
          <w:sz w:val="32"/>
        </w:rPr>
      </w:pPr>
    </w:p>
    <w:p w14:paraId="4BE5CCF6">
      <w:pPr>
        <w:spacing w:line="700" w:lineRule="exact"/>
        <w:jc w:val="center"/>
        <w:rPr>
          <w:rFonts w:ascii="宋体" w:hAnsi="宋体" w:cs="宋体"/>
          <w:color w:val="auto"/>
          <w:sz w:val="32"/>
        </w:rPr>
      </w:pPr>
    </w:p>
    <w:p w14:paraId="62A64B3F">
      <w:pPr>
        <w:spacing w:line="700" w:lineRule="exact"/>
        <w:jc w:val="center"/>
        <w:rPr>
          <w:rFonts w:ascii="宋体" w:hAnsi="宋体" w:cs="宋体"/>
          <w:color w:val="auto"/>
          <w:sz w:val="32"/>
        </w:rPr>
      </w:pPr>
    </w:p>
    <w:p w14:paraId="6D53CED5">
      <w:pPr>
        <w:spacing w:line="700" w:lineRule="exact"/>
        <w:rPr>
          <w:rFonts w:ascii="宋体" w:hAnsi="宋体" w:cs="宋体"/>
          <w:b/>
          <w:color w:val="auto"/>
          <w:sz w:val="32"/>
          <w:szCs w:val="32"/>
        </w:rPr>
      </w:pPr>
    </w:p>
    <w:p w14:paraId="0AEE9587">
      <w:pPr>
        <w:spacing w:line="500" w:lineRule="exact"/>
        <w:outlineLvl w:val="0"/>
        <w:rPr>
          <w:rFonts w:ascii="宋体" w:hAnsi="宋体" w:cs="宋体"/>
          <w:color w:val="auto"/>
          <w:sz w:val="36"/>
        </w:rPr>
      </w:pPr>
    </w:p>
    <w:p w14:paraId="5D9636C9">
      <w:pPr>
        <w:pStyle w:val="2"/>
      </w:pPr>
    </w:p>
    <w:p w14:paraId="1F916814">
      <w:pPr>
        <w:spacing w:line="500" w:lineRule="exact"/>
        <w:ind w:firstLine="900" w:firstLineChars="250"/>
        <w:outlineLvl w:val="0"/>
        <w:rPr>
          <w:rFonts w:ascii="宋体" w:hAnsi="宋体" w:cs="宋体"/>
          <w:color w:val="auto"/>
          <w:sz w:val="36"/>
        </w:rPr>
      </w:pPr>
    </w:p>
    <w:p w14:paraId="553051F5">
      <w:pPr>
        <w:spacing w:line="500" w:lineRule="exact"/>
        <w:ind w:firstLine="1080" w:firstLineChars="300"/>
        <w:jc w:val="both"/>
        <w:outlineLvl w:val="0"/>
        <w:rPr>
          <w:rFonts w:ascii="宋体" w:hAnsi="宋体" w:cs="宋体"/>
          <w:color w:val="auto"/>
          <w:sz w:val="36"/>
          <w:szCs w:val="36"/>
        </w:rPr>
      </w:pPr>
      <w:r>
        <w:rPr>
          <w:rFonts w:hint="eastAsia" w:ascii="宋体" w:hAnsi="宋体" w:cs="宋体"/>
          <w:color w:val="auto"/>
          <w:sz w:val="36"/>
          <w:szCs w:val="36"/>
        </w:rPr>
        <w:t>采</w:t>
      </w:r>
      <w:r>
        <w:rPr>
          <w:rFonts w:hint="eastAsia" w:ascii="宋体" w:hAnsi="宋体" w:cs="宋体"/>
          <w:color w:val="auto"/>
          <w:sz w:val="36"/>
          <w:szCs w:val="36"/>
          <w:lang w:val="en-US" w:eastAsia="zh-CN"/>
        </w:rPr>
        <w:t xml:space="preserve">   </w:t>
      </w:r>
      <w:r>
        <w:rPr>
          <w:rFonts w:hint="eastAsia" w:ascii="宋体" w:hAnsi="宋体" w:cs="宋体"/>
          <w:color w:val="auto"/>
          <w:sz w:val="36"/>
          <w:szCs w:val="36"/>
        </w:rPr>
        <w:t>购</w:t>
      </w:r>
      <w:r>
        <w:rPr>
          <w:rFonts w:hint="eastAsia" w:ascii="宋体" w:hAnsi="宋体" w:cs="宋体"/>
          <w:color w:val="auto"/>
          <w:sz w:val="36"/>
          <w:szCs w:val="36"/>
          <w:lang w:val="en-US" w:eastAsia="zh-CN"/>
        </w:rPr>
        <w:t xml:space="preserve">  </w:t>
      </w:r>
      <w:r>
        <w:rPr>
          <w:rFonts w:hint="eastAsia" w:ascii="宋体" w:hAnsi="宋体" w:cs="宋体"/>
          <w:color w:val="auto"/>
          <w:sz w:val="36"/>
          <w:szCs w:val="36"/>
        </w:rPr>
        <w:t>人：</w:t>
      </w:r>
      <w:r>
        <w:rPr>
          <w:rFonts w:hint="eastAsia" w:ascii="宋体" w:hAnsi="宋体" w:cs="宋体"/>
          <w:color w:val="auto"/>
          <w:sz w:val="36"/>
          <w:szCs w:val="36"/>
          <w:lang w:eastAsia="zh-CN"/>
        </w:rPr>
        <w:t>重庆市未成年犯管教所</w:t>
      </w:r>
      <w:r>
        <w:rPr>
          <w:rFonts w:hint="eastAsia" w:ascii="宋体" w:hAnsi="宋体" w:cs="宋体"/>
          <w:color w:val="auto"/>
          <w:sz w:val="36"/>
          <w:szCs w:val="36"/>
        </w:rPr>
        <w:t xml:space="preserve"> </w:t>
      </w:r>
    </w:p>
    <w:p w14:paraId="01C42A9C">
      <w:pPr>
        <w:spacing w:line="500" w:lineRule="exact"/>
        <w:jc w:val="center"/>
        <w:outlineLvl w:val="0"/>
        <w:rPr>
          <w:rFonts w:hint="eastAsia" w:ascii="宋体" w:hAnsi="宋体" w:eastAsia="宋体" w:cs="宋体"/>
          <w:color w:val="auto"/>
          <w:sz w:val="36"/>
          <w:szCs w:val="36"/>
          <w:lang w:eastAsia="zh-CN"/>
        </w:rPr>
      </w:pPr>
      <w:r>
        <w:rPr>
          <w:rFonts w:hint="eastAsia" w:ascii="宋体" w:hAnsi="宋体" w:cs="宋体"/>
          <w:color w:val="auto"/>
          <w:sz w:val="36"/>
          <w:szCs w:val="36"/>
        </w:rPr>
        <w:t>采购代理机构：</w:t>
      </w:r>
      <w:r>
        <w:rPr>
          <w:rFonts w:hint="eastAsia" w:ascii="宋体" w:hAnsi="宋体" w:cs="宋体"/>
          <w:color w:val="auto"/>
          <w:sz w:val="36"/>
          <w:szCs w:val="36"/>
          <w:lang w:eastAsia="zh-CN"/>
        </w:rPr>
        <w:t>重庆智胜达工程管理咨询有限公司</w:t>
      </w:r>
    </w:p>
    <w:p w14:paraId="4B3CEFC2">
      <w:pPr>
        <w:spacing w:line="500" w:lineRule="exact"/>
        <w:jc w:val="center"/>
        <w:outlineLvl w:val="0"/>
        <w:rPr>
          <w:rFonts w:ascii="宋体" w:hAnsi="宋体" w:cs="宋体"/>
          <w:color w:val="auto"/>
          <w:sz w:val="36"/>
          <w:szCs w:val="36"/>
        </w:rPr>
      </w:pPr>
      <w:r>
        <w:rPr>
          <w:rFonts w:hint="eastAsia" w:ascii="宋体" w:hAnsi="宋体" w:cs="宋体"/>
          <w:color w:val="auto"/>
          <w:sz w:val="36"/>
          <w:szCs w:val="36"/>
        </w:rPr>
        <w:t>二〇二五年</w:t>
      </w:r>
      <w:r>
        <w:rPr>
          <w:rFonts w:hint="eastAsia" w:ascii="宋体" w:hAnsi="宋体" w:cs="宋体"/>
          <w:color w:val="auto"/>
          <w:sz w:val="36"/>
          <w:szCs w:val="36"/>
          <w:lang w:val="en-US" w:eastAsia="zh-CN"/>
        </w:rPr>
        <w:t>十</w:t>
      </w:r>
      <w:r>
        <w:rPr>
          <w:rFonts w:hint="eastAsia" w:ascii="宋体" w:hAnsi="宋体" w:cs="宋体"/>
          <w:color w:val="auto"/>
          <w:sz w:val="36"/>
          <w:szCs w:val="36"/>
        </w:rPr>
        <w:t>月</w:t>
      </w:r>
    </w:p>
    <w:p w14:paraId="1EDF6A79">
      <w:pPr>
        <w:spacing w:line="480" w:lineRule="exact"/>
        <w:outlineLvl w:val="0"/>
        <w:rPr>
          <w:color w:val="auto"/>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992" w:gutter="0"/>
          <w:pgNumType w:fmt="numberInDash" w:start="1"/>
          <w:cols w:space="720" w:num="1"/>
          <w:titlePg/>
          <w:docGrid w:linePitch="381" w:charSpace="-5735"/>
        </w:sectPr>
      </w:pPr>
    </w:p>
    <w:p w14:paraId="29A5621F">
      <w:pPr>
        <w:spacing w:line="480" w:lineRule="exact"/>
        <w:jc w:val="center"/>
        <w:outlineLvl w:val="0"/>
        <w:rPr>
          <w:rFonts w:ascii="宋体" w:hAnsi="宋体" w:cs="宋体"/>
          <w:color w:val="auto"/>
          <w:sz w:val="44"/>
          <w:szCs w:val="28"/>
        </w:rPr>
      </w:pPr>
      <w:r>
        <w:rPr>
          <w:rFonts w:hint="eastAsia" w:ascii="宋体" w:hAnsi="宋体" w:cs="宋体"/>
          <w:color w:val="auto"/>
          <w:sz w:val="44"/>
          <w:szCs w:val="28"/>
        </w:rPr>
        <w:t>目   录</w:t>
      </w:r>
    </w:p>
    <w:p w14:paraId="1622F74B">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TOC \o "1-3" \h \z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_Toc12044 </w:instrText>
      </w:r>
      <w:r>
        <w:rPr>
          <w:rFonts w:hint="eastAsia" w:ascii="宋体" w:hAnsi="宋体" w:eastAsia="宋体" w:cs="宋体"/>
          <w:sz w:val="28"/>
          <w:szCs w:val="28"/>
        </w:rPr>
        <w:fldChar w:fldCharType="separate"/>
      </w:r>
      <w:r>
        <w:rPr>
          <w:rFonts w:hint="eastAsia" w:ascii="宋体" w:hAnsi="宋体" w:eastAsia="宋体" w:cs="宋体"/>
          <w:sz w:val="28"/>
          <w:szCs w:val="28"/>
        </w:rPr>
        <w:t>第一篇  竞争性谈判邀请书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_Toc12044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D00AD77">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_Toc2409 </w:instrText>
      </w:r>
      <w:r>
        <w:rPr>
          <w:rFonts w:hint="eastAsia" w:ascii="宋体" w:hAnsi="宋体" w:eastAsia="宋体" w:cs="宋体"/>
          <w:sz w:val="28"/>
          <w:szCs w:val="28"/>
        </w:rPr>
        <w:fldChar w:fldCharType="separate"/>
      </w:r>
      <w:r>
        <w:rPr>
          <w:rFonts w:hint="eastAsia" w:ascii="宋体" w:hAnsi="宋体" w:eastAsia="宋体" w:cs="宋体"/>
          <w:sz w:val="28"/>
          <w:szCs w:val="28"/>
        </w:rPr>
        <w:t>一、竞争性谈判内容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_Toc2409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AFFD4D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_Toc4981 </w:instrText>
      </w:r>
      <w:r>
        <w:rPr>
          <w:rFonts w:hint="eastAsia" w:ascii="宋体" w:hAnsi="宋体" w:eastAsia="宋体" w:cs="宋体"/>
          <w:sz w:val="28"/>
          <w:szCs w:val="28"/>
        </w:rPr>
        <w:fldChar w:fldCharType="separate"/>
      </w:r>
      <w:r>
        <w:rPr>
          <w:rFonts w:hint="eastAsia" w:ascii="宋体" w:hAnsi="宋体" w:eastAsia="宋体" w:cs="宋体"/>
          <w:sz w:val="28"/>
          <w:szCs w:val="28"/>
        </w:rPr>
        <w:t>二、资金来源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_Toc4981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9B11675">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_Toc732 </w:instrText>
      </w:r>
      <w:r>
        <w:rPr>
          <w:rFonts w:hint="eastAsia" w:ascii="宋体" w:hAnsi="宋体" w:eastAsia="宋体" w:cs="宋体"/>
          <w:sz w:val="28"/>
          <w:szCs w:val="28"/>
        </w:rPr>
        <w:fldChar w:fldCharType="separate"/>
      </w:r>
      <w:r>
        <w:rPr>
          <w:rFonts w:hint="eastAsia" w:ascii="宋体" w:hAnsi="宋体" w:eastAsia="宋体" w:cs="宋体"/>
          <w:sz w:val="28"/>
          <w:szCs w:val="28"/>
        </w:rPr>
        <w:t>三、供应商资格条件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_Toc732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89C1874">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_Toc16691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四、谈判有关说明</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_Toc16691 \h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2AD0CB9">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_Toc248 </w:instrText>
      </w:r>
      <w:r>
        <w:rPr>
          <w:rFonts w:hint="eastAsia" w:ascii="宋体" w:hAnsi="宋体" w:eastAsia="宋体" w:cs="宋体"/>
          <w:sz w:val="28"/>
          <w:szCs w:val="28"/>
        </w:rPr>
        <w:fldChar w:fldCharType="separate"/>
      </w:r>
      <w:r>
        <w:rPr>
          <w:rFonts w:hint="eastAsia" w:ascii="宋体" w:hAnsi="宋体" w:eastAsia="宋体" w:cs="宋体"/>
          <w:sz w:val="28"/>
          <w:szCs w:val="28"/>
        </w:rPr>
        <w:t>五、谈判保证金</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4E44FFE">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_Toc12289 </w:instrText>
      </w:r>
      <w:r>
        <w:rPr>
          <w:rFonts w:hint="eastAsia" w:ascii="宋体" w:hAnsi="宋体" w:eastAsia="宋体" w:cs="宋体"/>
          <w:sz w:val="28"/>
          <w:szCs w:val="28"/>
        </w:rPr>
        <w:fldChar w:fldCharType="separate"/>
      </w:r>
      <w:r>
        <w:rPr>
          <w:rFonts w:hint="eastAsia" w:ascii="宋体" w:hAnsi="宋体" w:eastAsia="宋体" w:cs="宋体"/>
          <w:sz w:val="28"/>
          <w:szCs w:val="28"/>
        </w:rPr>
        <w:t>六、其它有关规定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_Toc12289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5F603F16">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_Toc31692 </w:instrText>
      </w:r>
      <w:r>
        <w:rPr>
          <w:rFonts w:hint="eastAsia" w:ascii="宋体" w:hAnsi="宋体" w:eastAsia="宋体" w:cs="宋体"/>
          <w:sz w:val="28"/>
          <w:szCs w:val="28"/>
        </w:rPr>
        <w:fldChar w:fldCharType="separate"/>
      </w:r>
      <w:r>
        <w:rPr>
          <w:rFonts w:hint="eastAsia" w:ascii="宋体" w:hAnsi="宋体" w:eastAsia="宋体" w:cs="宋体"/>
          <w:sz w:val="28"/>
          <w:szCs w:val="28"/>
        </w:rPr>
        <w:t>七、现场踏勘</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_Toc31692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E8E167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_Toc25062 </w:instrText>
      </w:r>
      <w:r>
        <w:rPr>
          <w:rFonts w:hint="eastAsia" w:ascii="宋体" w:hAnsi="宋体" w:eastAsia="宋体" w:cs="宋体"/>
          <w:sz w:val="28"/>
          <w:szCs w:val="28"/>
        </w:rPr>
        <w:fldChar w:fldCharType="separate"/>
      </w:r>
      <w:r>
        <w:rPr>
          <w:rFonts w:hint="eastAsia" w:ascii="宋体" w:hAnsi="宋体" w:eastAsia="宋体" w:cs="宋体"/>
          <w:sz w:val="28"/>
          <w:szCs w:val="28"/>
        </w:rPr>
        <w:t>八、联系方式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_Toc25062 \h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A9F35ED">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_Toc5784 </w:instrText>
      </w:r>
      <w:r>
        <w:rPr>
          <w:rFonts w:hint="eastAsia" w:ascii="宋体" w:hAnsi="宋体" w:eastAsia="宋体" w:cs="宋体"/>
          <w:sz w:val="28"/>
          <w:szCs w:val="28"/>
        </w:rPr>
        <w:fldChar w:fldCharType="separate"/>
      </w:r>
      <w:r>
        <w:rPr>
          <w:rFonts w:hint="eastAsia" w:ascii="宋体" w:hAnsi="宋体" w:eastAsia="宋体" w:cs="宋体"/>
          <w:sz w:val="28"/>
          <w:szCs w:val="28"/>
        </w:rPr>
        <w:t>第二篇  谈判项目技术（质量）需求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_Toc5784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E173FCB">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_Toc14638 </w:instrText>
      </w:r>
      <w:r>
        <w:rPr>
          <w:rFonts w:hint="eastAsia" w:ascii="宋体" w:hAnsi="宋体" w:eastAsia="宋体" w:cs="宋体"/>
          <w:sz w:val="28"/>
          <w:szCs w:val="28"/>
        </w:rPr>
        <w:fldChar w:fldCharType="separate"/>
      </w:r>
      <w:r>
        <w:rPr>
          <w:rFonts w:hint="eastAsia" w:ascii="宋体" w:hAnsi="宋体" w:eastAsia="宋体" w:cs="宋体"/>
          <w:sz w:val="28"/>
          <w:szCs w:val="28"/>
        </w:rPr>
        <w:t>一、采购项目一览表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_Toc14638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EB4EEDB">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_Toc28252 </w:instrText>
      </w:r>
      <w:r>
        <w:rPr>
          <w:rFonts w:hint="eastAsia" w:ascii="宋体" w:hAnsi="宋体" w:eastAsia="宋体" w:cs="宋体"/>
          <w:sz w:val="28"/>
          <w:szCs w:val="28"/>
        </w:rPr>
        <w:fldChar w:fldCharType="separate"/>
      </w:r>
      <w:r>
        <w:rPr>
          <w:rFonts w:hint="eastAsia" w:ascii="宋体" w:hAnsi="宋体" w:eastAsia="宋体" w:cs="宋体"/>
          <w:sz w:val="28"/>
          <w:szCs w:val="28"/>
        </w:rPr>
        <w:t>二、采购项目基本情况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_Toc28252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17F2A16">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_Toc6963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三、质量要求</w:t>
      </w:r>
      <w:bookmarkStart w:id="1198" w:name="_GoBack"/>
      <w:bookmarkEnd w:id="1198"/>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_Toc6963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5A68DE90">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_Toc1526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四、项目管理人员要求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_Toc1526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591F5F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_Toc11912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五、施工时间要求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_Toc11912 \h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5A1CBABE">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_Toc1077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六、安全要求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_Toc1077 \h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FE58118">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_Toc14134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七、供应商应无条件遵守以下监狱管理规定</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_Toc14134 \h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EB14888">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_Toc23435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第三篇  谈判项目商务需求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_Toc23435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B48D9C0">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_Toc27184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一、实施时间、地点和验收方式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_Toc27184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B4013FD">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_Toc28740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二、项目质量要求及质量保证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_Toc28740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5E4B2E7">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_Toc6447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三、报价要求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_Toc6447 \h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5D950B9">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_Toc14694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四</w:t>
      </w:r>
      <w:r>
        <w:rPr>
          <w:rFonts w:hint="eastAsia" w:ascii="宋体" w:hAnsi="宋体" w:eastAsia="宋体" w:cs="宋体"/>
          <w:sz w:val="28"/>
          <w:szCs w:val="28"/>
          <w:highlight w:val="none"/>
        </w:rPr>
        <w:t>、付款方式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_Toc14694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9EFB26D">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_Toc25228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eastAsia="zh-CN"/>
        </w:rPr>
        <w:t>五、违约责任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_Toc25228 \h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5475BAF">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_Toc31145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六</w:t>
      </w:r>
      <w:r>
        <w:rPr>
          <w:rFonts w:hint="eastAsia" w:ascii="宋体" w:hAnsi="宋体" w:eastAsia="宋体" w:cs="宋体"/>
          <w:sz w:val="28"/>
          <w:szCs w:val="28"/>
          <w:highlight w:val="none"/>
          <w:lang w:eastAsia="zh-CN"/>
        </w:rPr>
        <w:t>、低价风险担保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_Toc31145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42D333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_Toc11479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_Toc11479 \h </w:instrText>
      </w:r>
      <w:r>
        <w:rPr>
          <w:rFonts w:hint="eastAsia" w:ascii="宋体" w:hAnsi="宋体" w:eastAsia="宋体" w:cs="宋体"/>
          <w:sz w:val="28"/>
          <w:szCs w:val="28"/>
        </w:rPr>
        <w:fldChar w:fldCharType="separate"/>
      </w:r>
      <w:r>
        <w:rPr>
          <w:rFonts w:hint="eastAsia" w:ascii="宋体" w:hAnsi="宋体" w:eastAsia="宋体" w:cs="宋体"/>
          <w:sz w:val="28"/>
          <w:szCs w:val="28"/>
        </w:rPr>
        <w:t>- 11 -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51C2322">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_Toc22828 </w:instrText>
      </w:r>
      <w:r>
        <w:rPr>
          <w:rFonts w:hint="eastAsia" w:ascii="宋体" w:hAnsi="宋体" w:eastAsia="宋体" w:cs="宋体"/>
          <w:sz w:val="28"/>
          <w:szCs w:val="28"/>
        </w:rPr>
        <w:fldChar w:fldCharType="separate"/>
      </w:r>
      <w:r>
        <w:rPr>
          <w:rFonts w:hint="eastAsia" w:ascii="宋体" w:hAnsi="宋体" w:eastAsia="宋体" w:cs="宋体"/>
          <w:sz w:val="28"/>
          <w:szCs w:val="28"/>
        </w:rPr>
        <w:t>第四篇  采购程序、评定成交的标准、无效谈判及采购终止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_Toc22828 \h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BC48BB3">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_Toc13373 </w:instrText>
      </w:r>
      <w:r>
        <w:rPr>
          <w:rFonts w:hint="eastAsia" w:ascii="宋体" w:hAnsi="宋体" w:eastAsia="宋体" w:cs="宋体"/>
          <w:sz w:val="28"/>
          <w:szCs w:val="28"/>
        </w:rPr>
        <w:fldChar w:fldCharType="separate"/>
      </w:r>
      <w:r>
        <w:rPr>
          <w:rFonts w:hint="eastAsia" w:ascii="宋体" w:hAnsi="宋体" w:eastAsia="宋体" w:cs="宋体"/>
          <w:sz w:val="28"/>
          <w:szCs w:val="28"/>
        </w:rPr>
        <w:t>一、采购程序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_Toc13373 \h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2F9F554">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_Toc11728 </w:instrText>
      </w:r>
      <w:r>
        <w:rPr>
          <w:rFonts w:hint="eastAsia" w:ascii="宋体" w:hAnsi="宋体" w:eastAsia="宋体" w:cs="宋体"/>
          <w:sz w:val="28"/>
          <w:szCs w:val="28"/>
        </w:rPr>
        <w:fldChar w:fldCharType="separate"/>
      </w:r>
      <w:r>
        <w:rPr>
          <w:rFonts w:hint="eastAsia" w:ascii="宋体" w:hAnsi="宋体" w:eastAsia="宋体" w:cs="宋体"/>
          <w:sz w:val="28"/>
          <w:szCs w:val="28"/>
        </w:rPr>
        <w:t>二、评定成交的标准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_Toc11728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58C759B">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_Toc24565 </w:instrText>
      </w:r>
      <w:r>
        <w:rPr>
          <w:rFonts w:hint="eastAsia" w:ascii="宋体" w:hAnsi="宋体" w:eastAsia="宋体" w:cs="宋体"/>
          <w:sz w:val="28"/>
          <w:szCs w:val="28"/>
        </w:rPr>
        <w:fldChar w:fldCharType="separate"/>
      </w:r>
      <w:r>
        <w:rPr>
          <w:rFonts w:hint="eastAsia" w:ascii="宋体" w:hAnsi="宋体" w:eastAsia="宋体" w:cs="宋体"/>
          <w:sz w:val="28"/>
          <w:szCs w:val="28"/>
        </w:rPr>
        <w:t>三、无效谈判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_Toc24565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1A60B72">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_Toc28509 </w:instrText>
      </w:r>
      <w:r>
        <w:rPr>
          <w:rFonts w:hint="eastAsia" w:ascii="宋体" w:hAnsi="宋体" w:eastAsia="宋体" w:cs="宋体"/>
          <w:sz w:val="28"/>
          <w:szCs w:val="28"/>
        </w:rPr>
        <w:fldChar w:fldCharType="separate"/>
      </w:r>
      <w:r>
        <w:rPr>
          <w:rFonts w:hint="eastAsia" w:ascii="宋体" w:hAnsi="宋体" w:eastAsia="宋体" w:cs="宋体"/>
          <w:sz w:val="28"/>
          <w:szCs w:val="28"/>
        </w:rPr>
        <w:t>四、采购终止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_Toc28509 \h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3FA51D0">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_Toc2129 </w:instrText>
      </w:r>
      <w:r>
        <w:rPr>
          <w:rFonts w:hint="eastAsia" w:ascii="宋体" w:hAnsi="宋体" w:eastAsia="宋体" w:cs="宋体"/>
          <w:sz w:val="28"/>
          <w:szCs w:val="28"/>
        </w:rPr>
        <w:fldChar w:fldCharType="separate"/>
      </w:r>
      <w:r>
        <w:rPr>
          <w:rFonts w:hint="eastAsia" w:ascii="宋体" w:hAnsi="宋体" w:eastAsia="宋体" w:cs="宋体"/>
          <w:sz w:val="28"/>
          <w:szCs w:val="28"/>
        </w:rPr>
        <w:t>第五篇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_Toc2129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B54819C">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_Toc32221 </w:instrText>
      </w:r>
      <w:r>
        <w:rPr>
          <w:rFonts w:hint="eastAsia" w:ascii="宋体" w:hAnsi="宋体" w:eastAsia="宋体" w:cs="宋体"/>
          <w:sz w:val="28"/>
          <w:szCs w:val="28"/>
        </w:rPr>
        <w:fldChar w:fldCharType="separate"/>
      </w:r>
      <w:r>
        <w:rPr>
          <w:rFonts w:hint="eastAsia" w:ascii="宋体" w:hAnsi="宋体" w:eastAsia="宋体" w:cs="宋体"/>
          <w:sz w:val="28"/>
          <w:szCs w:val="28"/>
        </w:rPr>
        <w:t>一、谈判费用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_Toc32221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478B5C0">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_Toc23084 </w:instrText>
      </w:r>
      <w:r>
        <w:rPr>
          <w:rFonts w:hint="eastAsia" w:ascii="宋体" w:hAnsi="宋体" w:eastAsia="宋体" w:cs="宋体"/>
          <w:sz w:val="28"/>
          <w:szCs w:val="28"/>
        </w:rPr>
        <w:fldChar w:fldCharType="separate"/>
      </w:r>
      <w:r>
        <w:rPr>
          <w:rFonts w:hint="eastAsia" w:ascii="宋体" w:hAnsi="宋体" w:eastAsia="宋体" w:cs="宋体"/>
          <w:sz w:val="28"/>
          <w:szCs w:val="28"/>
        </w:rPr>
        <w:t>二、竞争性谈判文件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_Toc23084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40C47FD">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_Toc21464 </w:instrText>
      </w:r>
      <w:r>
        <w:rPr>
          <w:rFonts w:hint="eastAsia" w:ascii="宋体" w:hAnsi="宋体" w:eastAsia="宋体" w:cs="宋体"/>
          <w:sz w:val="28"/>
          <w:szCs w:val="28"/>
        </w:rPr>
        <w:fldChar w:fldCharType="separate"/>
      </w:r>
      <w:r>
        <w:rPr>
          <w:rFonts w:hint="eastAsia" w:ascii="宋体" w:hAnsi="宋体" w:eastAsia="宋体" w:cs="宋体"/>
          <w:sz w:val="28"/>
          <w:szCs w:val="28"/>
        </w:rPr>
        <w:t>三、谈判要求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_Toc21464 \h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F183636">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_Toc10938 </w:instrText>
      </w:r>
      <w:r>
        <w:rPr>
          <w:rFonts w:hint="eastAsia" w:ascii="宋体" w:hAnsi="宋体" w:eastAsia="宋体" w:cs="宋体"/>
          <w:sz w:val="28"/>
          <w:szCs w:val="28"/>
        </w:rPr>
        <w:fldChar w:fldCharType="separate"/>
      </w:r>
      <w:r>
        <w:rPr>
          <w:rFonts w:hint="eastAsia" w:ascii="宋体" w:hAnsi="宋体" w:eastAsia="宋体" w:cs="宋体"/>
          <w:sz w:val="28"/>
          <w:szCs w:val="28"/>
        </w:rPr>
        <w:t>四、成交供应商的确定和变更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_Toc10938 \h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E07658F">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_Toc19278 </w:instrText>
      </w:r>
      <w:r>
        <w:rPr>
          <w:rFonts w:hint="eastAsia" w:ascii="宋体" w:hAnsi="宋体" w:eastAsia="宋体" w:cs="宋体"/>
          <w:sz w:val="28"/>
          <w:szCs w:val="28"/>
        </w:rPr>
        <w:fldChar w:fldCharType="separate"/>
      </w:r>
      <w:r>
        <w:rPr>
          <w:rFonts w:hint="eastAsia" w:ascii="宋体" w:hAnsi="宋体" w:eastAsia="宋体" w:cs="宋体"/>
          <w:sz w:val="28"/>
          <w:szCs w:val="28"/>
        </w:rPr>
        <w:t>五、成交通知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_Toc19278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9D1F1F8">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_Toc26391 </w:instrText>
      </w:r>
      <w:r>
        <w:rPr>
          <w:rFonts w:hint="eastAsia" w:ascii="宋体" w:hAnsi="宋体" w:eastAsia="宋体" w:cs="宋体"/>
          <w:sz w:val="28"/>
          <w:szCs w:val="28"/>
        </w:rPr>
        <w:fldChar w:fldCharType="separate"/>
      </w:r>
      <w:r>
        <w:rPr>
          <w:rFonts w:hint="eastAsia" w:ascii="宋体" w:hAnsi="宋体" w:eastAsia="宋体" w:cs="宋体"/>
          <w:sz w:val="28"/>
          <w:szCs w:val="28"/>
        </w:rPr>
        <w:t>六、关于质疑和投诉</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_Toc26391 \h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BB942BF">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_Toc5026 </w:instrText>
      </w:r>
      <w:r>
        <w:rPr>
          <w:rFonts w:hint="eastAsia" w:ascii="宋体" w:hAnsi="宋体" w:eastAsia="宋体" w:cs="宋体"/>
          <w:sz w:val="28"/>
          <w:szCs w:val="28"/>
        </w:rPr>
        <w:fldChar w:fldCharType="separate"/>
      </w:r>
      <w:r>
        <w:rPr>
          <w:rFonts w:hint="eastAsia" w:ascii="宋体" w:hAnsi="宋体" w:eastAsia="宋体" w:cs="宋体"/>
          <w:sz w:val="28"/>
          <w:szCs w:val="28"/>
        </w:rPr>
        <w:t>七、签订合同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_Toc5026 \h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7F6B21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_Toc25855 </w:instrText>
      </w:r>
      <w:r>
        <w:rPr>
          <w:rFonts w:hint="eastAsia" w:ascii="宋体" w:hAnsi="宋体" w:eastAsia="宋体" w:cs="宋体"/>
          <w:sz w:val="28"/>
          <w:szCs w:val="28"/>
        </w:rPr>
        <w:fldChar w:fldCharType="separate"/>
      </w:r>
      <w:r>
        <w:rPr>
          <w:rFonts w:hint="eastAsia" w:ascii="宋体" w:hAnsi="宋体" w:eastAsia="宋体" w:cs="宋体"/>
          <w:sz w:val="28"/>
          <w:szCs w:val="28"/>
        </w:rPr>
        <w:t>八、项目验收</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_Toc25855 \h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A90ACF2">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_Toc10203 </w:instrText>
      </w:r>
      <w:r>
        <w:rPr>
          <w:rFonts w:hint="eastAsia" w:ascii="宋体" w:hAnsi="宋体" w:eastAsia="宋体" w:cs="宋体"/>
          <w:sz w:val="28"/>
          <w:szCs w:val="28"/>
        </w:rPr>
        <w:fldChar w:fldCharType="separate"/>
      </w:r>
      <w:r>
        <w:rPr>
          <w:rFonts w:hint="eastAsia" w:ascii="宋体" w:hAnsi="宋体" w:eastAsia="宋体" w:cs="宋体"/>
          <w:sz w:val="28"/>
          <w:szCs w:val="28"/>
        </w:rPr>
        <w:t>九、采购代理服务费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_Toc10203 \h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782DAF3">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_Toc18072 </w:instrText>
      </w:r>
      <w:r>
        <w:rPr>
          <w:rFonts w:hint="eastAsia" w:ascii="宋体" w:hAnsi="宋体" w:eastAsia="宋体" w:cs="宋体"/>
          <w:sz w:val="28"/>
          <w:szCs w:val="28"/>
        </w:rPr>
        <w:fldChar w:fldCharType="separate"/>
      </w:r>
      <w:r>
        <w:rPr>
          <w:rFonts w:hint="eastAsia" w:ascii="宋体" w:hAnsi="宋体" w:eastAsia="宋体" w:cs="宋体"/>
          <w:sz w:val="28"/>
          <w:szCs w:val="28"/>
        </w:rPr>
        <w:t>第六篇  合同草案条款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_Toc18072 \h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5301419">
      <w:pPr>
        <w:pStyle w:val="19"/>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_Toc20451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第一部分 合同协议书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_Toc20451 \h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A431E31">
      <w:pPr>
        <w:pStyle w:val="19"/>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_Toc28978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第二部分 通用合同条款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_Toc28978 \h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3A91089">
      <w:pPr>
        <w:pStyle w:val="19"/>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_Toc19617 </w:instrText>
      </w:r>
      <w:r>
        <w:rPr>
          <w:rFonts w:hint="eastAsia" w:ascii="宋体" w:hAnsi="宋体" w:eastAsia="宋体" w:cs="宋体"/>
          <w:sz w:val="28"/>
          <w:szCs w:val="28"/>
        </w:rPr>
        <w:fldChar w:fldCharType="separate"/>
      </w:r>
      <w:r>
        <w:rPr>
          <w:rFonts w:hint="eastAsia" w:ascii="宋体" w:hAnsi="宋体" w:eastAsia="宋体" w:cs="宋体"/>
          <w:sz w:val="28"/>
          <w:szCs w:val="28"/>
          <w:highlight w:val="none"/>
        </w:rPr>
        <w:t>第三部分 专用合同条款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_Toc19617 \h </w:instrText>
      </w:r>
      <w:r>
        <w:rPr>
          <w:rFonts w:hint="eastAsia" w:ascii="宋体" w:hAnsi="宋体" w:eastAsia="宋体" w:cs="宋体"/>
          <w:sz w:val="28"/>
          <w:szCs w:val="28"/>
        </w:rPr>
        <w:fldChar w:fldCharType="separate"/>
      </w:r>
      <w:r>
        <w:rPr>
          <w:rFonts w:hint="eastAsia" w:ascii="宋体" w:hAnsi="宋体" w:eastAsia="宋体" w:cs="宋体"/>
          <w:sz w:val="28"/>
          <w:szCs w:val="28"/>
        </w:rPr>
        <w:t>- 26 -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893AE1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_Toc22380 </w:instrText>
      </w:r>
      <w:r>
        <w:rPr>
          <w:rFonts w:hint="eastAsia" w:ascii="宋体" w:hAnsi="宋体" w:eastAsia="宋体" w:cs="宋体"/>
          <w:sz w:val="28"/>
          <w:szCs w:val="28"/>
        </w:rPr>
        <w:fldChar w:fldCharType="separate"/>
      </w:r>
      <w:r>
        <w:rPr>
          <w:rFonts w:hint="eastAsia" w:ascii="宋体" w:hAnsi="宋体" w:eastAsia="宋体" w:cs="宋体"/>
          <w:sz w:val="28"/>
          <w:szCs w:val="28"/>
        </w:rPr>
        <w:t>第七篇  响应文件格式要求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_Toc22380 \h </w:instrText>
      </w:r>
      <w:r>
        <w:rPr>
          <w:rFonts w:hint="eastAsia" w:ascii="宋体" w:hAnsi="宋体" w:eastAsia="宋体" w:cs="宋体"/>
          <w:sz w:val="28"/>
          <w:szCs w:val="28"/>
        </w:rPr>
        <w:fldChar w:fldCharType="separate"/>
      </w:r>
      <w:r>
        <w:rPr>
          <w:rFonts w:hint="eastAsia" w:ascii="宋体" w:hAnsi="宋体" w:eastAsia="宋体" w:cs="宋体"/>
          <w:sz w:val="28"/>
          <w:szCs w:val="28"/>
        </w:rPr>
        <w:t>- 89 -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20F7B47">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_Toc3633 </w:instrText>
      </w:r>
      <w:r>
        <w:rPr>
          <w:rFonts w:hint="eastAsia" w:ascii="宋体" w:hAnsi="宋体" w:eastAsia="宋体" w:cs="宋体"/>
          <w:sz w:val="28"/>
          <w:szCs w:val="28"/>
        </w:rPr>
        <w:fldChar w:fldCharType="separate"/>
      </w:r>
      <w:r>
        <w:rPr>
          <w:rFonts w:hint="eastAsia" w:ascii="宋体" w:hAnsi="宋体" w:eastAsia="宋体" w:cs="宋体"/>
          <w:sz w:val="28"/>
          <w:szCs w:val="28"/>
        </w:rPr>
        <w:t>一、经济部分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_Toc3633 \h </w:instrText>
      </w:r>
      <w:r>
        <w:rPr>
          <w:rFonts w:hint="eastAsia" w:ascii="宋体" w:hAnsi="宋体" w:eastAsia="宋体" w:cs="宋体"/>
          <w:sz w:val="28"/>
          <w:szCs w:val="28"/>
        </w:rPr>
        <w:fldChar w:fldCharType="separate"/>
      </w:r>
      <w:r>
        <w:rPr>
          <w:rFonts w:hint="eastAsia" w:ascii="宋体" w:hAnsi="宋体" w:eastAsia="宋体" w:cs="宋体"/>
          <w:sz w:val="28"/>
          <w:szCs w:val="28"/>
        </w:rPr>
        <w:t>- 90 -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6A52EDF6">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_Toc6434 </w:instrText>
      </w:r>
      <w:r>
        <w:rPr>
          <w:rFonts w:hint="eastAsia" w:ascii="宋体" w:hAnsi="宋体" w:eastAsia="宋体" w:cs="宋体"/>
          <w:sz w:val="28"/>
          <w:szCs w:val="28"/>
        </w:rPr>
        <w:fldChar w:fldCharType="separate"/>
      </w:r>
      <w:r>
        <w:rPr>
          <w:rFonts w:hint="eastAsia" w:ascii="宋体" w:hAnsi="宋体" w:eastAsia="宋体" w:cs="宋体"/>
          <w:sz w:val="28"/>
          <w:szCs w:val="28"/>
        </w:rPr>
        <w:t>二、技术（质量）部分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_Toc6434 \h </w:instrText>
      </w:r>
      <w:r>
        <w:rPr>
          <w:rFonts w:hint="eastAsia" w:ascii="宋体" w:hAnsi="宋体" w:eastAsia="宋体" w:cs="宋体"/>
          <w:sz w:val="28"/>
          <w:szCs w:val="28"/>
        </w:rPr>
        <w:fldChar w:fldCharType="separate"/>
      </w:r>
      <w:r>
        <w:rPr>
          <w:rFonts w:hint="eastAsia" w:ascii="宋体" w:hAnsi="宋体" w:eastAsia="宋体" w:cs="宋体"/>
          <w:sz w:val="28"/>
          <w:szCs w:val="28"/>
        </w:rPr>
        <w:t>- 93 -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3F7A75D">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_Toc3200 </w:instrText>
      </w:r>
      <w:r>
        <w:rPr>
          <w:rFonts w:hint="eastAsia" w:ascii="宋体" w:hAnsi="宋体" w:eastAsia="宋体" w:cs="宋体"/>
          <w:sz w:val="28"/>
          <w:szCs w:val="28"/>
        </w:rPr>
        <w:fldChar w:fldCharType="separate"/>
      </w:r>
      <w:r>
        <w:rPr>
          <w:rFonts w:hint="eastAsia" w:ascii="宋体" w:hAnsi="宋体" w:eastAsia="宋体" w:cs="宋体"/>
          <w:sz w:val="28"/>
          <w:szCs w:val="28"/>
        </w:rPr>
        <w:t>三、商务部分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_Toc3200 \h </w:instrText>
      </w:r>
      <w:r>
        <w:rPr>
          <w:rFonts w:hint="eastAsia" w:ascii="宋体" w:hAnsi="宋体" w:eastAsia="宋体" w:cs="宋体"/>
          <w:sz w:val="28"/>
          <w:szCs w:val="28"/>
        </w:rPr>
        <w:fldChar w:fldCharType="separate"/>
      </w:r>
      <w:r>
        <w:rPr>
          <w:rFonts w:hint="eastAsia" w:ascii="宋体" w:hAnsi="宋体" w:eastAsia="宋体" w:cs="宋体"/>
          <w:sz w:val="28"/>
          <w:szCs w:val="28"/>
        </w:rPr>
        <w:t>- 96 -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3541DD95">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_Toc20483 </w:instrText>
      </w:r>
      <w:r>
        <w:rPr>
          <w:rFonts w:hint="eastAsia" w:ascii="宋体" w:hAnsi="宋体" w:eastAsia="宋体" w:cs="宋体"/>
          <w:sz w:val="28"/>
          <w:szCs w:val="28"/>
        </w:rPr>
        <w:fldChar w:fldCharType="separate"/>
      </w:r>
      <w:r>
        <w:rPr>
          <w:rFonts w:hint="eastAsia" w:ascii="宋体" w:hAnsi="宋体" w:eastAsia="宋体" w:cs="宋体"/>
          <w:sz w:val="28"/>
          <w:szCs w:val="28"/>
        </w:rPr>
        <w:t>四、资格条件及其他</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_Toc20483 \h </w:instrText>
      </w:r>
      <w:r>
        <w:rPr>
          <w:rFonts w:hint="eastAsia" w:ascii="宋体" w:hAnsi="宋体" w:eastAsia="宋体" w:cs="宋体"/>
          <w:sz w:val="28"/>
          <w:szCs w:val="28"/>
        </w:rPr>
        <w:fldChar w:fldCharType="separate"/>
      </w:r>
      <w:r>
        <w:rPr>
          <w:rFonts w:hint="eastAsia" w:ascii="宋体" w:hAnsi="宋体" w:eastAsia="宋体" w:cs="宋体"/>
          <w:sz w:val="28"/>
          <w:szCs w:val="28"/>
        </w:rPr>
        <w:t>- 98 -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1461727A">
      <w:pPr>
        <w:pStyle w:val="30"/>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_Toc24081 </w:instrText>
      </w:r>
      <w:r>
        <w:rPr>
          <w:rFonts w:hint="eastAsia" w:ascii="宋体" w:hAnsi="宋体" w:eastAsia="宋体" w:cs="宋体"/>
          <w:sz w:val="28"/>
          <w:szCs w:val="28"/>
        </w:rPr>
        <w:fldChar w:fldCharType="separate"/>
      </w:r>
      <w:r>
        <w:rPr>
          <w:rFonts w:hint="eastAsia" w:ascii="宋体" w:hAnsi="宋体" w:eastAsia="宋体" w:cs="宋体"/>
          <w:sz w:val="28"/>
          <w:szCs w:val="28"/>
        </w:rPr>
        <w:t>五、其他资料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_Toc24081 \h </w:instrText>
      </w:r>
      <w:r>
        <w:rPr>
          <w:rFonts w:hint="eastAsia" w:ascii="宋体" w:hAnsi="宋体" w:eastAsia="宋体" w:cs="宋体"/>
          <w:sz w:val="28"/>
          <w:szCs w:val="28"/>
        </w:rPr>
        <w:fldChar w:fldCharType="separate"/>
      </w:r>
      <w:r>
        <w:rPr>
          <w:rFonts w:hint="eastAsia" w:ascii="宋体" w:hAnsi="宋体" w:eastAsia="宋体" w:cs="宋体"/>
          <w:sz w:val="28"/>
          <w:szCs w:val="28"/>
        </w:rPr>
        <w:t>- 102 -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0C191D5F">
      <w:pPr>
        <w:pStyle w:val="25"/>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_Toc21969 </w:instrText>
      </w:r>
      <w:r>
        <w:rPr>
          <w:rFonts w:hint="eastAsia" w:ascii="宋体" w:hAnsi="宋体" w:eastAsia="宋体" w:cs="宋体"/>
          <w:sz w:val="28"/>
          <w:szCs w:val="28"/>
        </w:rPr>
        <w:fldChar w:fldCharType="separate"/>
      </w:r>
      <w:r>
        <w:rPr>
          <w:rFonts w:hint="eastAsia" w:ascii="宋体" w:hAnsi="宋体" w:eastAsia="宋体" w:cs="宋体"/>
          <w:sz w:val="28"/>
          <w:szCs w:val="28"/>
        </w:rPr>
        <w:t>附件一：供应商信息卡</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_Toc21969 \h </w:instrText>
      </w:r>
      <w:r>
        <w:rPr>
          <w:rFonts w:hint="eastAsia" w:ascii="宋体" w:hAnsi="宋体" w:eastAsia="宋体" w:cs="宋体"/>
          <w:sz w:val="28"/>
          <w:szCs w:val="28"/>
        </w:rPr>
        <w:fldChar w:fldCharType="separate"/>
      </w:r>
      <w:r>
        <w:rPr>
          <w:rFonts w:hint="eastAsia" w:ascii="宋体" w:hAnsi="宋体" w:eastAsia="宋体" w:cs="宋体"/>
          <w:sz w:val="28"/>
          <w:szCs w:val="28"/>
        </w:rPr>
        <w:t>- 103 -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2619FE3B">
      <w:pPr>
        <w:pStyle w:val="25"/>
        <w:keepNext w:val="0"/>
        <w:keepLines w:val="0"/>
        <w:pageBreakBefore w:val="0"/>
        <w:widowControl w:val="0"/>
        <w:tabs>
          <w:tab w:val="right" w:leader="dot" w:pos="9747"/>
        </w:tabs>
        <w:kinsoku/>
        <w:wordWrap/>
        <w:overflowPunct/>
        <w:topLinePunct w:val="0"/>
        <w:autoSpaceDE/>
        <w:autoSpaceDN/>
        <w:bidi w:val="0"/>
        <w:adjustRightInd/>
        <w:snapToGrid/>
        <w:spacing w:line="380" w:lineRule="exact"/>
        <w:textAlignment w:val="auto"/>
        <w:rPr>
          <w:rFonts w:hint="eastAsia" w:ascii="宋体" w:hAnsi="宋体" w:eastAsia="宋体" w:cs="宋体"/>
          <w:sz w:val="28"/>
          <w:szCs w:val="28"/>
        </w:rPr>
      </w:pP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_Toc17858 </w:instrText>
      </w:r>
      <w:r>
        <w:rPr>
          <w:rFonts w:hint="eastAsia" w:ascii="宋体" w:hAnsi="宋体" w:eastAsia="宋体" w:cs="宋体"/>
          <w:sz w:val="28"/>
          <w:szCs w:val="28"/>
        </w:rPr>
        <w:fldChar w:fldCharType="separate"/>
      </w:r>
      <w:r>
        <w:rPr>
          <w:rFonts w:hint="eastAsia" w:ascii="宋体" w:hAnsi="宋体" w:eastAsia="宋体" w:cs="宋体"/>
          <w:sz w:val="28"/>
          <w:szCs w:val="28"/>
        </w:rPr>
        <w:t>附件二：</w:t>
      </w:r>
      <w:r>
        <w:rPr>
          <w:rFonts w:hint="eastAsia" w:ascii="宋体" w:hAnsi="宋体" w:eastAsia="宋体" w:cs="宋体"/>
          <w:sz w:val="28"/>
          <w:szCs w:val="28"/>
          <w:lang w:eastAsia="zh-CN"/>
        </w:rPr>
        <w:t>重庆智胜达工程管理咨询有限公司</w:t>
      </w:r>
      <w:r>
        <w:rPr>
          <w:rFonts w:hint="eastAsia" w:ascii="宋体" w:hAnsi="宋体" w:eastAsia="宋体" w:cs="宋体"/>
          <w:sz w:val="28"/>
          <w:szCs w:val="28"/>
        </w:rPr>
        <w:t>发售登记表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_Toc17858 \h </w:instrText>
      </w:r>
      <w:r>
        <w:rPr>
          <w:rFonts w:hint="eastAsia" w:ascii="宋体" w:hAnsi="宋体" w:eastAsia="宋体" w:cs="宋体"/>
          <w:sz w:val="28"/>
          <w:szCs w:val="28"/>
        </w:rPr>
        <w:fldChar w:fldCharType="separate"/>
      </w:r>
      <w:r>
        <w:rPr>
          <w:rFonts w:hint="eastAsia" w:ascii="宋体" w:hAnsi="宋体" w:eastAsia="宋体" w:cs="宋体"/>
          <w:sz w:val="28"/>
          <w:szCs w:val="28"/>
        </w:rPr>
        <w:t>- 104 -</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7FC87893">
      <w:pPr>
        <w:pStyle w:val="30"/>
        <w:keepNext w:val="0"/>
        <w:keepLines w:val="0"/>
        <w:pageBreakBefore w:val="0"/>
        <w:widowControl w:val="0"/>
        <w:tabs>
          <w:tab w:val="right" w:leader="dot" w:pos="9402"/>
        </w:tabs>
        <w:kinsoku/>
        <w:wordWrap/>
        <w:overflowPunct/>
        <w:topLinePunct w:val="0"/>
        <w:autoSpaceDE/>
        <w:autoSpaceDN/>
        <w:bidi w:val="0"/>
        <w:adjustRightInd/>
        <w:snapToGrid/>
        <w:spacing w:line="380" w:lineRule="exact"/>
        <w:ind w:left="560"/>
        <w:textAlignment w:val="auto"/>
        <w:rPr>
          <w:rFonts w:ascii="宋体" w:hAnsi="宋体" w:cs="宋体"/>
          <w:color w:val="auto"/>
          <w:szCs w:val="21"/>
        </w:rPr>
      </w:pPr>
      <w:r>
        <w:rPr>
          <w:rFonts w:hint="eastAsia" w:ascii="宋体" w:hAnsi="宋体" w:eastAsia="宋体" w:cs="宋体"/>
          <w:color w:val="auto"/>
          <w:sz w:val="28"/>
          <w:szCs w:val="28"/>
        </w:rPr>
        <w:fldChar w:fldCharType="end"/>
      </w:r>
      <w:bookmarkStart w:id="0" w:name="_Toc65660329"/>
      <w:bookmarkStart w:id="1" w:name="_Toc11641050"/>
      <w:bookmarkStart w:id="2" w:name="_Toc15726"/>
      <w:bookmarkStart w:id="3" w:name="_Toc12789052"/>
      <w:bookmarkStart w:id="4" w:name="_Toc24173"/>
    </w:p>
    <w:p w14:paraId="7C8FA913">
      <w:pPr>
        <w:pStyle w:val="30"/>
        <w:tabs>
          <w:tab w:val="right" w:leader="dot" w:pos="9402"/>
        </w:tabs>
        <w:spacing w:line="480" w:lineRule="exact"/>
        <w:ind w:left="560"/>
        <w:rPr>
          <w:rFonts w:ascii="宋体" w:hAnsi="宋体" w:cs="宋体"/>
          <w:color w:val="auto"/>
          <w:szCs w:val="21"/>
        </w:rPr>
      </w:pPr>
    </w:p>
    <w:p w14:paraId="5EF0CD2B">
      <w:pPr>
        <w:rPr>
          <w:rFonts w:ascii="宋体" w:hAnsi="宋体" w:cs="宋体"/>
          <w:color w:val="auto"/>
          <w:szCs w:val="21"/>
        </w:rPr>
      </w:pPr>
    </w:p>
    <w:p w14:paraId="621D3578">
      <w:pPr>
        <w:pStyle w:val="2"/>
        <w:rPr>
          <w:rFonts w:ascii="宋体" w:hAnsi="宋体" w:eastAsia="宋体" w:cs="宋体"/>
          <w:color w:val="auto"/>
          <w:szCs w:val="21"/>
        </w:rPr>
      </w:pPr>
    </w:p>
    <w:p w14:paraId="71C69FF8">
      <w:pPr>
        <w:rPr>
          <w:rFonts w:ascii="宋体" w:hAnsi="宋体" w:cs="宋体"/>
          <w:color w:val="auto"/>
          <w:szCs w:val="21"/>
        </w:rPr>
      </w:pPr>
    </w:p>
    <w:p w14:paraId="604DC925">
      <w:pPr>
        <w:pStyle w:val="2"/>
        <w:rPr>
          <w:color w:val="auto"/>
        </w:rPr>
        <w:sectPr>
          <w:pgSz w:w="11907" w:h="16840"/>
          <w:pgMar w:top="1440" w:right="1080" w:bottom="1440" w:left="1080" w:header="1191" w:footer="992" w:gutter="0"/>
          <w:pgNumType w:fmt="numberInDash" w:start="1"/>
          <w:cols w:space="720" w:num="1"/>
          <w:docGrid w:linePitch="381" w:charSpace="-5735"/>
        </w:sectPr>
      </w:pPr>
    </w:p>
    <w:p w14:paraId="4E364414">
      <w:pPr>
        <w:pStyle w:val="5"/>
        <w:spacing w:before="0" w:after="0" w:line="360" w:lineRule="auto"/>
        <w:jc w:val="center"/>
        <w:rPr>
          <w:rFonts w:ascii="宋体" w:hAnsi="宋体" w:eastAsia="宋体" w:cs="宋体"/>
          <w:color w:val="auto"/>
          <w:sz w:val="36"/>
          <w:szCs w:val="36"/>
        </w:rPr>
      </w:pPr>
      <w:bookmarkStart w:id="5" w:name="_Toc12044"/>
      <w:r>
        <w:rPr>
          <w:rFonts w:hint="eastAsia" w:ascii="宋体" w:hAnsi="宋体" w:eastAsia="宋体" w:cs="宋体"/>
          <w:color w:val="auto"/>
          <w:sz w:val="36"/>
          <w:szCs w:val="36"/>
        </w:rPr>
        <w:t>第一篇  竞争性谈判邀请书</w:t>
      </w:r>
      <w:bookmarkEnd w:id="0"/>
      <w:bookmarkEnd w:id="1"/>
      <w:bookmarkEnd w:id="2"/>
      <w:bookmarkEnd w:id="3"/>
      <w:bookmarkEnd w:id="4"/>
      <w:bookmarkEnd w:id="5"/>
    </w:p>
    <w:p w14:paraId="4050F67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u w:val="single"/>
          <w:lang w:eastAsia="zh-CN"/>
        </w:rPr>
        <w:t>重庆智胜达工程管理咨询有限公司</w:t>
      </w:r>
      <w:r>
        <w:rPr>
          <w:rFonts w:hint="eastAsia" w:ascii="宋体" w:hAnsi="宋体" w:cs="宋体"/>
          <w:color w:val="auto"/>
          <w:sz w:val="24"/>
          <w:szCs w:val="24"/>
        </w:rPr>
        <w:t>（以下简称：采购代理机构）接受</w:t>
      </w:r>
      <w:r>
        <w:rPr>
          <w:rFonts w:hint="eastAsia" w:ascii="宋体" w:hAnsi="宋体" w:cs="宋体"/>
          <w:color w:val="auto"/>
          <w:sz w:val="24"/>
          <w:szCs w:val="24"/>
          <w:u w:val="single"/>
          <w:lang w:eastAsia="zh-CN"/>
        </w:rPr>
        <w:t>重庆市未成年犯管教所</w:t>
      </w:r>
      <w:r>
        <w:rPr>
          <w:rFonts w:hint="eastAsia" w:ascii="宋体" w:hAnsi="宋体" w:cs="宋体"/>
          <w:color w:val="auto"/>
          <w:sz w:val="24"/>
          <w:szCs w:val="24"/>
        </w:rPr>
        <w:t>（以下简称：采购人）的委托，对</w:t>
      </w:r>
      <w:r>
        <w:rPr>
          <w:rFonts w:hint="eastAsia" w:ascii="宋体" w:hAnsi="宋体" w:cs="宋体"/>
          <w:color w:val="auto"/>
          <w:sz w:val="24"/>
          <w:szCs w:val="24"/>
          <w:u w:val="single"/>
          <w:lang w:eastAsia="zh-CN"/>
        </w:rPr>
        <w:t>配餐中心设备设施改造工程采购</w:t>
      </w:r>
      <w:r>
        <w:rPr>
          <w:rFonts w:hint="eastAsia" w:ascii="宋体" w:hAnsi="宋体" w:cs="宋体"/>
          <w:color w:val="auto"/>
          <w:sz w:val="24"/>
          <w:szCs w:val="24"/>
          <w:u w:val="single"/>
        </w:rPr>
        <w:t>项目</w:t>
      </w:r>
      <w:r>
        <w:rPr>
          <w:rFonts w:hint="eastAsia" w:ascii="宋体" w:hAnsi="宋体" w:cs="宋体"/>
          <w:color w:val="auto"/>
          <w:sz w:val="24"/>
          <w:szCs w:val="24"/>
        </w:rPr>
        <w:t>进行竞争性谈判采购。欢迎有资格的供应商前来参加谈判。</w:t>
      </w:r>
    </w:p>
    <w:p w14:paraId="2D405960">
      <w:pPr>
        <w:pStyle w:val="5"/>
        <w:adjustRightInd w:val="0"/>
        <w:snapToGrid w:val="0"/>
        <w:spacing w:before="0" w:after="0" w:line="400" w:lineRule="exact"/>
        <w:ind w:firstLine="482" w:firstLineChars="200"/>
        <w:rPr>
          <w:rFonts w:ascii="宋体" w:hAnsi="宋体" w:eastAsia="宋体" w:cs="宋体"/>
          <w:color w:val="auto"/>
          <w:sz w:val="24"/>
        </w:rPr>
      </w:pPr>
      <w:bookmarkStart w:id="6" w:name="_Toc2409"/>
      <w:bookmarkStart w:id="7" w:name="_Toc313893526"/>
      <w:bookmarkStart w:id="8" w:name="_Toc7758"/>
      <w:bookmarkStart w:id="9" w:name="_Toc65660330"/>
      <w:bookmarkStart w:id="10" w:name="_Toc18246"/>
      <w:bookmarkStart w:id="11" w:name="_Toc317775175"/>
      <w:r>
        <w:rPr>
          <w:rFonts w:hint="eastAsia" w:ascii="宋体" w:hAnsi="宋体" w:eastAsia="宋体" w:cs="宋体"/>
          <w:color w:val="auto"/>
          <w:sz w:val="24"/>
        </w:rPr>
        <w:t>一、竞争性谈判内容</w:t>
      </w:r>
      <w:bookmarkEnd w:id="6"/>
      <w:bookmarkEnd w:id="7"/>
      <w:bookmarkEnd w:id="8"/>
      <w:bookmarkEnd w:id="9"/>
      <w:bookmarkEnd w:id="10"/>
      <w:bookmarkEnd w:id="11"/>
    </w:p>
    <w:tbl>
      <w:tblPr>
        <w:tblStyle w:val="3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0"/>
        <w:gridCol w:w="1617"/>
        <w:gridCol w:w="1866"/>
        <w:gridCol w:w="2302"/>
      </w:tblGrid>
      <w:tr w14:paraId="0B98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540" w:type="dxa"/>
            <w:tcBorders>
              <w:top w:val="single" w:color="auto" w:sz="4" w:space="0"/>
              <w:left w:val="single" w:color="auto" w:sz="4" w:space="0"/>
              <w:right w:val="single" w:color="auto" w:sz="4" w:space="0"/>
            </w:tcBorders>
            <w:vAlign w:val="center"/>
          </w:tcPr>
          <w:p w14:paraId="2ED64665">
            <w:pPr>
              <w:widowControl/>
              <w:jc w:val="center"/>
              <w:rPr>
                <w:rFonts w:ascii="宋体" w:hAnsi="宋体" w:cs="宋体"/>
                <w:b/>
                <w:bCs/>
                <w:color w:val="auto"/>
                <w:kern w:val="0"/>
                <w:sz w:val="21"/>
                <w:szCs w:val="24"/>
              </w:rPr>
            </w:pPr>
            <w:bookmarkStart w:id="12" w:name="_Toc27028"/>
            <w:bookmarkStart w:id="13" w:name="_Toc3256"/>
            <w:bookmarkStart w:id="14" w:name="_Toc65660331"/>
            <w:bookmarkStart w:id="15" w:name="_Toc373860293"/>
            <w:bookmarkStart w:id="16" w:name="_Toc317775178"/>
            <w:r>
              <w:rPr>
                <w:rFonts w:hint="eastAsia" w:ascii="宋体" w:hAnsi="宋体" w:cs="宋体"/>
                <w:b/>
                <w:bCs/>
                <w:color w:val="auto"/>
                <w:kern w:val="0"/>
                <w:sz w:val="21"/>
                <w:szCs w:val="24"/>
              </w:rPr>
              <w:t>项目名称</w:t>
            </w:r>
          </w:p>
        </w:tc>
        <w:tc>
          <w:tcPr>
            <w:tcW w:w="1617" w:type="dxa"/>
            <w:tcBorders>
              <w:top w:val="single" w:color="auto" w:sz="4" w:space="0"/>
              <w:left w:val="single" w:color="auto" w:sz="4" w:space="0"/>
              <w:right w:val="single" w:color="auto" w:sz="4" w:space="0"/>
            </w:tcBorders>
            <w:vAlign w:val="center"/>
          </w:tcPr>
          <w:p w14:paraId="6928ACE8">
            <w:pPr>
              <w:widowControl/>
              <w:jc w:val="center"/>
              <w:rPr>
                <w:rFonts w:ascii="宋体" w:hAnsi="宋体" w:cs="宋体"/>
                <w:b/>
                <w:bCs/>
                <w:color w:val="auto"/>
                <w:kern w:val="0"/>
                <w:sz w:val="21"/>
                <w:szCs w:val="24"/>
              </w:rPr>
            </w:pPr>
            <w:r>
              <w:rPr>
                <w:rFonts w:hint="eastAsia" w:ascii="宋体" w:hAnsi="宋体" w:cs="宋体"/>
                <w:b/>
                <w:bCs/>
                <w:color w:val="auto"/>
                <w:kern w:val="0"/>
                <w:sz w:val="21"/>
                <w:szCs w:val="24"/>
              </w:rPr>
              <w:t>最高限价（元）</w:t>
            </w:r>
          </w:p>
        </w:tc>
        <w:tc>
          <w:tcPr>
            <w:tcW w:w="1866" w:type="dxa"/>
            <w:tcBorders>
              <w:top w:val="single" w:color="auto" w:sz="4" w:space="0"/>
              <w:left w:val="single" w:color="auto" w:sz="4" w:space="0"/>
              <w:right w:val="single" w:color="auto" w:sz="4" w:space="0"/>
            </w:tcBorders>
            <w:vAlign w:val="center"/>
          </w:tcPr>
          <w:p w14:paraId="296AA67C">
            <w:pPr>
              <w:widowControl/>
              <w:jc w:val="center"/>
              <w:rPr>
                <w:rFonts w:ascii="宋体" w:hAnsi="宋体" w:cs="宋体"/>
                <w:b/>
                <w:bCs/>
                <w:color w:val="auto"/>
                <w:kern w:val="0"/>
                <w:sz w:val="21"/>
                <w:szCs w:val="24"/>
              </w:rPr>
            </w:pPr>
            <w:r>
              <w:rPr>
                <w:rFonts w:hint="eastAsia" w:ascii="宋体" w:hAnsi="宋体" w:cs="宋体"/>
                <w:b/>
                <w:bCs/>
                <w:color w:val="auto"/>
                <w:kern w:val="0"/>
                <w:sz w:val="21"/>
                <w:szCs w:val="24"/>
              </w:rPr>
              <w:t>谈判保证金（元）</w:t>
            </w:r>
          </w:p>
        </w:tc>
        <w:tc>
          <w:tcPr>
            <w:tcW w:w="2302" w:type="dxa"/>
            <w:tcBorders>
              <w:top w:val="single" w:color="auto" w:sz="4" w:space="0"/>
              <w:left w:val="single" w:color="auto" w:sz="4" w:space="0"/>
              <w:right w:val="single" w:color="auto" w:sz="4" w:space="0"/>
            </w:tcBorders>
            <w:vAlign w:val="center"/>
          </w:tcPr>
          <w:p w14:paraId="326E225E">
            <w:pPr>
              <w:jc w:val="center"/>
              <w:rPr>
                <w:rFonts w:ascii="宋体" w:hAnsi="宋体" w:cs="宋体"/>
                <w:b/>
                <w:bCs/>
                <w:color w:val="auto"/>
                <w:kern w:val="0"/>
                <w:sz w:val="21"/>
                <w:szCs w:val="24"/>
              </w:rPr>
            </w:pPr>
            <w:r>
              <w:rPr>
                <w:rFonts w:hint="eastAsia" w:ascii="宋体" w:hAnsi="宋体" w:cs="宋体"/>
                <w:b/>
                <w:bCs/>
                <w:color w:val="auto"/>
                <w:kern w:val="0"/>
                <w:sz w:val="21"/>
                <w:szCs w:val="24"/>
              </w:rPr>
              <w:t>成交供应商数量（名）</w:t>
            </w:r>
          </w:p>
        </w:tc>
      </w:tr>
      <w:tr w14:paraId="74E3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540" w:type="dxa"/>
            <w:tcBorders>
              <w:top w:val="single" w:color="auto" w:sz="4" w:space="0"/>
              <w:left w:val="single" w:color="auto" w:sz="4" w:space="0"/>
              <w:bottom w:val="single" w:color="auto" w:sz="4" w:space="0"/>
              <w:right w:val="single" w:color="auto" w:sz="4" w:space="0"/>
            </w:tcBorders>
            <w:vAlign w:val="center"/>
          </w:tcPr>
          <w:p w14:paraId="1D9DCA31">
            <w:pPr>
              <w:widowControl/>
              <w:jc w:val="center"/>
              <w:rPr>
                <w:rFonts w:hint="eastAsia" w:ascii="宋体" w:hAnsi="宋体" w:eastAsia="宋体" w:cs="宋体"/>
                <w:color w:val="auto"/>
                <w:kern w:val="0"/>
                <w:sz w:val="21"/>
                <w:szCs w:val="24"/>
                <w:lang w:eastAsia="zh-CN"/>
              </w:rPr>
            </w:pPr>
            <w:bookmarkStart w:id="17" w:name="_Hlk344477914"/>
            <w:r>
              <w:rPr>
                <w:rFonts w:hint="eastAsia" w:ascii="宋体" w:hAnsi="宋体" w:cs="宋体"/>
                <w:color w:val="auto"/>
                <w:kern w:val="0"/>
                <w:sz w:val="21"/>
                <w:szCs w:val="24"/>
                <w:lang w:eastAsia="zh-CN"/>
              </w:rPr>
              <w:t>配餐中心设备设施改造工程采购</w:t>
            </w:r>
          </w:p>
        </w:tc>
        <w:tc>
          <w:tcPr>
            <w:tcW w:w="1617" w:type="dxa"/>
            <w:tcBorders>
              <w:top w:val="single" w:color="auto" w:sz="4" w:space="0"/>
              <w:left w:val="single" w:color="auto" w:sz="4" w:space="0"/>
              <w:bottom w:val="single" w:color="auto" w:sz="4" w:space="0"/>
              <w:right w:val="single" w:color="auto" w:sz="4" w:space="0"/>
            </w:tcBorders>
            <w:vAlign w:val="center"/>
          </w:tcPr>
          <w:p w14:paraId="6F53D8B7">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629409.43</w:t>
            </w:r>
          </w:p>
        </w:tc>
        <w:tc>
          <w:tcPr>
            <w:tcW w:w="1866" w:type="dxa"/>
            <w:tcBorders>
              <w:top w:val="single" w:color="auto" w:sz="4" w:space="0"/>
              <w:left w:val="single" w:color="auto" w:sz="4" w:space="0"/>
              <w:bottom w:val="single" w:color="auto" w:sz="4" w:space="0"/>
              <w:right w:val="single" w:color="auto" w:sz="4" w:space="0"/>
            </w:tcBorders>
            <w:vAlign w:val="center"/>
          </w:tcPr>
          <w:p w14:paraId="735F4012">
            <w:pPr>
              <w:jc w:val="center"/>
              <w:rPr>
                <w:rFonts w:ascii="宋体" w:hAnsi="宋体" w:cs="宋体"/>
                <w:color w:val="auto"/>
                <w:sz w:val="21"/>
                <w:szCs w:val="21"/>
              </w:rPr>
            </w:pPr>
            <w:r>
              <w:rPr>
                <w:rFonts w:hint="eastAsia" w:ascii="宋体" w:hAnsi="宋体" w:cs="宋体"/>
                <w:color w:val="auto"/>
                <w:sz w:val="21"/>
                <w:szCs w:val="21"/>
                <w:lang w:val="en-US" w:eastAsia="zh-CN"/>
              </w:rPr>
              <w:t>10</w:t>
            </w:r>
            <w:r>
              <w:rPr>
                <w:rFonts w:hint="eastAsia" w:ascii="宋体" w:hAnsi="宋体" w:cs="宋体"/>
                <w:color w:val="auto"/>
                <w:sz w:val="21"/>
                <w:szCs w:val="21"/>
              </w:rPr>
              <w:t>000</w:t>
            </w:r>
          </w:p>
        </w:tc>
        <w:tc>
          <w:tcPr>
            <w:tcW w:w="2302" w:type="dxa"/>
            <w:tcBorders>
              <w:top w:val="single" w:color="auto" w:sz="4" w:space="0"/>
              <w:left w:val="single" w:color="auto" w:sz="4" w:space="0"/>
              <w:bottom w:val="single" w:color="auto" w:sz="4" w:space="0"/>
              <w:right w:val="single" w:color="auto" w:sz="4" w:space="0"/>
            </w:tcBorders>
            <w:vAlign w:val="center"/>
          </w:tcPr>
          <w:p w14:paraId="3D24C06A">
            <w:pPr>
              <w:jc w:val="center"/>
              <w:rPr>
                <w:rFonts w:ascii="宋体" w:hAnsi="宋体" w:cs="宋体"/>
                <w:color w:val="auto"/>
                <w:sz w:val="21"/>
                <w:szCs w:val="21"/>
              </w:rPr>
            </w:pPr>
            <w:r>
              <w:rPr>
                <w:rFonts w:hint="eastAsia" w:ascii="宋体" w:hAnsi="宋体" w:cs="宋体"/>
                <w:color w:val="auto"/>
                <w:sz w:val="21"/>
                <w:szCs w:val="21"/>
              </w:rPr>
              <w:t>1</w:t>
            </w:r>
          </w:p>
          <w:bookmarkEnd w:id="17"/>
        </w:tc>
      </w:tr>
    </w:tbl>
    <w:p w14:paraId="4116E57B">
      <w:pPr>
        <w:pStyle w:val="5"/>
        <w:adjustRightInd w:val="0"/>
        <w:snapToGrid w:val="0"/>
        <w:spacing w:before="0" w:after="0" w:line="400" w:lineRule="exact"/>
        <w:ind w:firstLine="482" w:firstLineChars="200"/>
        <w:rPr>
          <w:rFonts w:ascii="宋体" w:hAnsi="宋体" w:eastAsia="宋体" w:cs="宋体"/>
          <w:color w:val="auto"/>
          <w:sz w:val="24"/>
        </w:rPr>
      </w:pPr>
      <w:bookmarkStart w:id="18" w:name="_Toc4981"/>
      <w:r>
        <w:rPr>
          <w:rFonts w:hint="eastAsia" w:ascii="宋体" w:hAnsi="宋体" w:eastAsia="宋体" w:cs="宋体"/>
          <w:color w:val="auto"/>
          <w:sz w:val="24"/>
        </w:rPr>
        <w:t>二、资金来源</w:t>
      </w:r>
      <w:bookmarkEnd w:id="12"/>
      <w:bookmarkEnd w:id="13"/>
      <w:bookmarkEnd w:id="14"/>
      <w:bookmarkEnd w:id="18"/>
    </w:p>
    <w:p w14:paraId="5675023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预算金额为</w:t>
      </w:r>
      <w:r>
        <w:rPr>
          <w:rFonts w:hint="eastAsia" w:ascii="宋体" w:hAnsi="宋体" w:cs="宋体"/>
          <w:color w:val="auto"/>
          <w:sz w:val="24"/>
          <w:szCs w:val="24"/>
          <w:lang w:eastAsia="zh-CN"/>
        </w:rPr>
        <w:t>629409.43</w:t>
      </w:r>
      <w:r>
        <w:rPr>
          <w:rFonts w:hint="eastAsia" w:ascii="宋体" w:hAnsi="宋体" w:cs="宋体"/>
          <w:color w:val="auto"/>
          <w:sz w:val="24"/>
          <w:szCs w:val="24"/>
        </w:rPr>
        <w:t>元，</w:t>
      </w:r>
      <w:r>
        <w:rPr>
          <w:rFonts w:hint="eastAsia" w:ascii="宋体" w:hAnsi="宋体" w:cs="宋体"/>
          <w:color w:val="auto"/>
          <w:sz w:val="24"/>
          <w:szCs w:val="24"/>
          <w:highlight w:val="none"/>
        </w:rPr>
        <w:t>其中安全文明施工费</w:t>
      </w:r>
      <w:r>
        <w:rPr>
          <w:rFonts w:hint="eastAsia" w:ascii="宋体" w:hAnsi="宋体" w:cs="宋体"/>
          <w:color w:val="auto"/>
          <w:sz w:val="24"/>
          <w:szCs w:val="24"/>
          <w:highlight w:val="none"/>
          <w:lang w:val="en-US" w:eastAsia="zh-CN"/>
        </w:rPr>
        <w:t>17853.38</w:t>
      </w:r>
      <w:r>
        <w:rPr>
          <w:rFonts w:hint="eastAsia" w:ascii="宋体" w:hAnsi="宋体" w:cs="宋体"/>
          <w:color w:val="auto"/>
          <w:sz w:val="24"/>
          <w:szCs w:val="24"/>
          <w:highlight w:val="none"/>
        </w:rPr>
        <w:t>元</w:t>
      </w:r>
      <w:r>
        <w:rPr>
          <w:rFonts w:hint="eastAsia" w:ascii="宋体" w:hAnsi="宋体" w:cs="宋体"/>
          <w:color w:val="auto"/>
          <w:sz w:val="24"/>
          <w:szCs w:val="24"/>
          <w:highlight w:val="none"/>
          <w:lang w:eastAsia="zh-CN"/>
        </w:rPr>
        <w:t>。</w:t>
      </w:r>
    </w:p>
    <w:p w14:paraId="1373B465">
      <w:pPr>
        <w:pStyle w:val="5"/>
        <w:adjustRightInd w:val="0"/>
        <w:snapToGrid w:val="0"/>
        <w:spacing w:before="0" w:after="0" w:line="400" w:lineRule="exact"/>
        <w:ind w:firstLine="482" w:firstLineChars="200"/>
        <w:rPr>
          <w:rFonts w:ascii="宋体" w:hAnsi="宋体" w:eastAsia="宋体" w:cs="宋体"/>
          <w:color w:val="auto"/>
          <w:sz w:val="24"/>
        </w:rPr>
      </w:pPr>
      <w:bookmarkStart w:id="19" w:name="_Toc18548"/>
      <w:bookmarkStart w:id="20" w:name="_Toc13541"/>
      <w:bookmarkStart w:id="21" w:name="_Toc65660332"/>
      <w:bookmarkStart w:id="22" w:name="_Toc64731996"/>
      <w:bookmarkStart w:id="23" w:name="_Toc732"/>
      <w:r>
        <w:rPr>
          <w:rFonts w:hint="eastAsia" w:ascii="宋体" w:hAnsi="宋体" w:eastAsia="宋体" w:cs="宋体"/>
          <w:color w:val="auto"/>
          <w:sz w:val="24"/>
        </w:rPr>
        <w:t>三、供应商资格条件</w:t>
      </w:r>
      <w:bookmarkEnd w:id="19"/>
      <w:bookmarkEnd w:id="20"/>
      <w:bookmarkEnd w:id="21"/>
      <w:bookmarkEnd w:id="22"/>
      <w:bookmarkEnd w:id="23"/>
    </w:p>
    <w:p w14:paraId="49C6325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（一）满足《中华人民共和国政府采购法》第二十二条规定；</w:t>
      </w:r>
    </w:p>
    <w:p w14:paraId="56BCB6E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rPr>
        <w:t>（二）本项目的特定资格要求：</w:t>
      </w:r>
    </w:p>
    <w:p w14:paraId="3E2493ED">
      <w:pPr>
        <w:spacing w:line="400" w:lineRule="exact"/>
        <w:ind w:firstLine="480" w:firstLineChars="200"/>
        <w:rPr>
          <w:rFonts w:ascii="宋体" w:hAnsi="宋体" w:cs="宋体"/>
          <w:color w:val="auto"/>
          <w:sz w:val="24"/>
          <w:szCs w:val="24"/>
          <w:highlight w:val="none"/>
        </w:rPr>
      </w:pPr>
      <w:bookmarkStart w:id="24" w:name="_Toc11908"/>
      <w:bookmarkStart w:id="25" w:name="_Toc1386"/>
      <w:bookmarkStart w:id="26" w:name="_Toc65660333"/>
      <w:r>
        <w:rPr>
          <w:rFonts w:hint="eastAsia" w:ascii="宋体" w:hAnsi="宋体" w:cs="宋体"/>
          <w:color w:val="auto"/>
          <w:sz w:val="24"/>
          <w:szCs w:val="24"/>
          <w:highlight w:val="none"/>
        </w:rPr>
        <w:t>供应商须具备建设行政主管部门颁发的房屋建筑工程施工总承包</w:t>
      </w:r>
      <w:r>
        <w:rPr>
          <w:rFonts w:hint="eastAsia" w:ascii="宋体" w:hAnsi="宋体" w:cs="宋体"/>
          <w:color w:val="auto"/>
          <w:sz w:val="24"/>
          <w:szCs w:val="24"/>
          <w:highlight w:val="none"/>
          <w:lang w:eastAsia="zh-CN"/>
        </w:rPr>
        <w:t>叁</w:t>
      </w:r>
      <w:r>
        <w:rPr>
          <w:rFonts w:hint="eastAsia" w:ascii="宋体" w:hAnsi="宋体" w:cs="宋体"/>
          <w:color w:val="auto"/>
          <w:sz w:val="24"/>
          <w:szCs w:val="24"/>
          <w:highlight w:val="none"/>
        </w:rPr>
        <w:t>级及以上资质和建设行政主管部门颁发的处于有效期内的安全生产许可证。（提供有效期内的资质证书、安全生产许可证复印件并加盖供应商公章）。</w:t>
      </w:r>
    </w:p>
    <w:p w14:paraId="37922AB0">
      <w:pPr>
        <w:pStyle w:val="5"/>
        <w:adjustRightInd w:val="0"/>
        <w:snapToGrid w:val="0"/>
        <w:spacing w:before="0" w:after="0" w:line="400" w:lineRule="exact"/>
        <w:ind w:firstLine="482" w:firstLineChars="200"/>
        <w:rPr>
          <w:rFonts w:ascii="宋体" w:hAnsi="宋体" w:eastAsia="宋体" w:cs="宋体"/>
          <w:color w:val="auto"/>
          <w:sz w:val="24"/>
          <w:highlight w:val="none"/>
        </w:rPr>
      </w:pPr>
      <w:bookmarkStart w:id="27" w:name="_Toc16691"/>
      <w:r>
        <w:rPr>
          <w:rFonts w:hint="eastAsia" w:ascii="宋体" w:hAnsi="宋体" w:eastAsia="宋体" w:cs="宋体"/>
          <w:color w:val="auto"/>
          <w:sz w:val="24"/>
          <w:highlight w:val="none"/>
        </w:rPr>
        <w:t>四、谈判有关说明</w:t>
      </w:r>
      <w:bookmarkEnd w:id="15"/>
      <w:bookmarkEnd w:id="24"/>
      <w:bookmarkEnd w:id="25"/>
      <w:bookmarkEnd w:id="26"/>
      <w:bookmarkEnd w:id="27"/>
    </w:p>
    <w:p w14:paraId="7F8D552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highlight w:val="none"/>
        </w:rPr>
        <w:t>（一）供应商需通过“行采家”平台（http://www.gec123.com）进</w:t>
      </w:r>
      <w:r>
        <w:rPr>
          <w:rFonts w:hint="eastAsia" w:ascii="宋体" w:hAnsi="宋体" w:cs="宋体"/>
          <w:color w:val="auto"/>
          <w:sz w:val="24"/>
          <w:szCs w:val="24"/>
        </w:rPr>
        <w:t>行注册，成为正式供应商方能参与采购活动。</w:t>
      </w:r>
    </w:p>
    <w:p w14:paraId="422CD7E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凡有意参加谈判的供应商，请在“行采家”平台（http://www.gec123.com）上下载或到采购代理机构处领取本项目竞争性谈判文件以及澄清等谈判前公布的所有项目资料，无论供应商下载或领取与否，均视为已知晓所有谈判实质性要求内容。</w:t>
      </w:r>
    </w:p>
    <w:p w14:paraId="1E1D086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（三）竞争性谈判公告期限：自采购公告发布之日起三个工作日。</w:t>
      </w:r>
      <w:bookmarkEnd w:id="16"/>
    </w:p>
    <w:p w14:paraId="240FC6B7">
      <w:pPr>
        <w:spacing w:line="400" w:lineRule="exact"/>
        <w:ind w:firstLine="480" w:firstLineChars="200"/>
        <w:rPr>
          <w:rFonts w:ascii="宋体" w:hAnsi="宋体" w:cs="宋体"/>
          <w:color w:val="auto"/>
          <w:sz w:val="24"/>
          <w:szCs w:val="24"/>
        </w:rPr>
      </w:pPr>
      <w:bookmarkStart w:id="28" w:name="_Toc6563"/>
      <w:bookmarkStart w:id="29" w:name="_Toc525047163"/>
      <w:bookmarkStart w:id="30" w:name="_Toc65660336"/>
      <w:bookmarkStart w:id="31" w:name="_Toc521053055"/>
      <w:bookmarkStart w:id="32" w:name="_Toc16269"/>
      <w:r>
        <w:rPr>
          <w:rFonts w:hint="eastAsia" w:ascii="宋体" w:hAnsi="宋体" w:cs="宋体"/>
          <w:color w:val="auto"/>
          <w:sz w:val="24"/>
          <w:szCs w:val="24"/>
        </w:rPr>
        <w:t>（四）竞争性谈判文件发售期限：</w:t>
      </w:r>
    </w:p>
    <w:p w14:paraId="5C7AC4C0">
      <w:pPr>
        <w:snapToGrid w:val="0"/>
        <w:spacing w:line="400" w:lineRule="exact"/>
        <w:ind w:firstLine="480" w:firstLineChars="200"/>
        <w:rPr>
          <w:rFonts w:ascii="宋体" w:hAnsi="宋体" w:cs="宋体"/>
          <w:color w:val="FF0000"/>
          <w:sz w:val="24"/>
          <w:szCs w:val="24"/>
        </w:rPr>
      </w:pPr>
      <w:r>
        <w:rPr>
          <w:rFonts w:hint="eastAsia" w:ascii="宋体" w:hAnsi="宋体" w:cs="宋体"/>
          <w:color w:val="FF0000"/>
          <w:sz w:val="24"/>
          <w:szCs w:val="24"/>
        </w:rPr>
        <w:t>1.竞争性谈判文件发售期：2025年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9</w:t>
      </w:r>
      <w:r>
        <w:rPr>
          <w:rFonts w:hint="eastAsia" w:ascii="宋体" w:hAnsi="宋体" w:cs="宋体"/>
          <w:color w:val="FF0000"/>
          <w:sz w:val="24"/>
          <w:szCs w:val="24"/>
        </w:rPr>
        <w:t>日-2025年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14</w:t>
      </w:r>
      <w:r>
        <w:rPr>
          <w:rFonts w:hint="eastAsia" w:ascii="宋体" w:hAnsi="宋体" w:cs="宋体"/>
          <w:color w:val="FF0000"/>
          <w:sz w:val="24"/>
          <w:szCs w:val="24"/>
        </w:rPr>
        <w:t>日17:00时。</w:t>
      </w:r>
    </w:p>
    <w:p w14:paraId="5A0B983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2.竞争性谈判文件获取方式：在竞争性谈判文件发售期限内，供应商将竞争性谈判文件购买费汇至以下账户内，转账时备注“谈判文件购买费+项目号”；并将汇款凭证（注明项目名称）、《</w:t>
      </w:r>
      <w:r>
        <w:rPr>
          <w:rFonts w:hint="eastAsia" w:ascii="宋体" w:hAnsi="宋体" w:cs="宋体"/>
          <w:color w:val="auto"/>
          <w:sz w:val="24"/>
          <w:szCs w:val="24"/>
          <w:lang w:eastAsia="zh-CN"/>
        </w:rPr>
        <w:t>重庆智胜达工程管理咨询有限公司</w:t>
      </w:r>
      <w:r>
        <w:rPr>
          <w:rFonts w:hint="eastAsia" w:ascii="宋体" w:hAnsi="宋体" w:cs="宋体"/>
          <w:color w:val="auto"/>
          <w:sz w:val="24"/>
          <w:szCs w:val="24"/>
        </w:rPr>
        <w:t>发售登记表》（加盖供应商公章）扫描后发送至邮箱</w:t>
      </w:r>
      <w:r>
        <w:rPr>
          <w:rFonts w:hint="eastAsia" w:ascii="宋体" w:hAnsi="宋体" w:cs="宋体"/>
          <w:color w:val="auto"/>
          <w:sz w:val="24"/>
          <w:szCs w:val="24"/>
          <w:lang w:val="en-US" w:eastAsia="zh-CN"/>
        </w:rPr>
        <w:t>2772522851</w:t>
      </w:r>
      <w:r>
        <w:rPr>
          <w:rFonts w:hint="eastAsia" w:ascii="宋体" w:hAnsi="宋体" w:cs="宋体"/>
          <w:color w:val="auto"/>
          <w:sz w:val="24"/>
          <w:szCs w:val="24"/>
        </w:rPr>
        <w:t>@qq.com（邮件主题为项目名称+供应商名称报名资料）。</w:t>
      </w:r>
    </w:p>
    <w:p w14:paraId="6AEFD27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3.竞争性谈判文件购买费缴纳账户：</w:t>
      </w:r>
    </w:p>
    <w:p w14:paraId="22024F4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账户名称：重庆智胜达工程管理咨询有限公司</w:t>
      </w:r>
    </w:p>
    <w:p w14:paraId="1A4B0BF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账户号码：3100096009200156694</w:t>
      </w:r>
    </w:p>
    <w:p w14:paraId="3914674D">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开户银行：中国工商银行股份有限公司重庆大足支行</w:t>
      </w:r>
    </w:p>
    <w:p w14:paraId="5E690045">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4.谈判文件购买费：人民币</w:t>
      </w:r>
      <w:r>
        <w:rPr>
          <w:rFonts w:hint="eastAsia" w:ascii="宋体" w:hAnsi="宋体" w:cs="宋体"/>
          <w:color w:val="auto"/>
          <w:sz w:val="24"/>
          <w:szCs w:val="24"/>
          <w:lang w:val="en-US" w:eastAsia="zh-CN"/>
        </w:rPr>
        <w:t>3</w:t>
      </w:r>
      <w:r>
        <w:rPr>
          <w:rFonts w:hint="eastAsia" w:ascii="宋体" w:hAnsi="宋体" w:cs="宋体"/>
          <w:color w:val="auto"/>
          <w:sz w:val="24"/>
          <w:szCs w:val="24"/>
        </w:rPr>
        <w:t>00元/份（售后不退）</w:t>
      </w:r>
    </w:p>
    <w:p w14:paraId="7E3CAB9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5.说明：在竞争性谈判文件提供期限内按以上要求依法获取了竞争性谈判文件的供应商，其响应文件才被接收。</w:t>
      </w:r>
    </w:p>
    <w:p w14:paraId="629F5184">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（五）谈判地点：</w:t>
      </w:r>
      <w:bookmarkStart w:id="33" w:name="_Toc521053053"/>
      <w:bookmarkStart w:id="34" w:name="_Toc525047161"/>
      <w:bookmarkStart w:id="35" w:name="_Toc6178"/>
      <w:bookmarkStart w:id="36" w:name="_Toc373860294"/>
      <w:bookmarkStart w:id="37" w:name="_Toc11956"/>
      <w:bookmarkStart w:id="38" w:name="_Toc65660334"/>
      <w:r>
        <w:rPr>
          <w:rFonts w:hint="eastAsia" w:ascii="宋体" w:hAnsi="宋体" w:cs="宋体"/>
          <w:color w:val="auto"/>
          <w:sz w:val="24"/>
          <w:szCs w:val="24"/>
        </w:rPr>
        <w:t>重庆市渝北区龙华大道88号川岚重庆（川岚国际）</w:t>
      </w:r>
      <w:r>
        <w:rPr>
          <w:rFonts w:hint="eastAsia" w:ascii="宋体" w:hAnsi="宋体" w:cs="宋体"/>
          <w:color w:val="auto"/>
          <w:sz w:val="24"/>
          <w:szCs w:val="24"/>
          <w:lang w:eastAsia="zh-CN"/>
        </w:rPr>
        <w:t>（具体楼层详见谈判当天公告）</w:t>
      </w:r>
    </w:p>
    <w:p w14:paraId="2C2318CF">
      <w:pPr>
        <w:snapToGrid w:val="0"/>
        <w:spacing w:line="400" w:lineRule="exact"/>
        <w:ind w:firstLine="480" w:firstLineChars="200"/>
        <w:rPr>
          <w:rFonts w:ascii="宋体" w:hAnsi="宋体" w:cs="宋体"/>
          <w:color w:val="FF0000"/>
          <w:sz w:val="24"/>
          <w:szCs w:val="24"/>
        </w:rPr>
      </w:pPr>
      <w:r>
        <w:rPr>
          <w:rFonts w:hint="eastAsia" w:ascii="宋体" w:hAnsi="宋体" w:cs="宋体"/>
          <w:color w:val="FF0000"/>
          <w:sz w:val="24"/>
          <w:szCs w:val="24"/>
        </w:rPr>
        <w:t>（六）提交响应文件开始时间：2025年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15</w:t>
      </w:r>
      <w:r>
        <w:rPr>
          <w:rFonts w:hint="eastAsia" w:ascii="宋体" w:hAnsi="宋体" w:cs="宋体"/>
          <w:color w:val="FF0000"/>
          <w:sz w:val="24"/>
          <w:szCs w:val="24"/>
        </w:rPr>
        <w:t>日北京时间</w:t>
      </w:r>
      <w:r>
        <w:rPr>
          <w:rFonts w:hint="eastAsia" w:ascii="宋体" w:hAnsi="宋体" w:cs="宋体"/>
          <w:color w:val="FF0000"/>
          <w:sz w:val="24"/>
          <w:szCs w:val="24"/>
          <w:lang w:val="en-US" w:eastAsia="zh-CN"/>
        </w:rPr>
        <w:t>14:00</w:t>
      </w:r>
      <w:r>
        <w:rPr>
          <w:rFonts w:hint="eastAsia" w:ascii="宋体" w:hAnsi="宋体" w:cs="宋体"/>
          <w:color w:val="FF0000"/>
          <w:sz w:val="24"/>
          <w:szCs w:val="24"/>
        </w:rPr>
        <w:t>时。</w:t>
      </w:r>
    </w:p>
    <w:p w14:paraId="0827482F">
      <w:pPr>
        <w:snapToGrid w:val="0"/>
        <w:spacing w:line="400" w:lineRule="exact"/>
        <w:ind w:firstLine="480" w:firstLineChars="200"/>
        <w:rPr>
          <w:rFonts w:ascii="宋体" w:hAnsi="宋体" w:cs="宋体"/>
          <w:color w:val="FF0000"/>
          <w:sz w:val="24"/>
          <w:szCs w:val="24"/>
        </w:rPr>
      </w:pPr>
      <w:r>
        <w:rPr>
          <w:rFonts w:hint="eastAsia" w:ascii="宋体" w:hAnsi="宋体" w:cs="宋体"/>
          <w:color w:val="FF0000"/>
          <w:sz w:val="24"/>
          <w:szCs w:val="24"/>
        </w:rPr>
        <w:t>（七）提交响应文件截止时间：2025年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15</w:t>
      </w:r>
      <w:r>
        <w:rPr>
          <w:rFonts w:hint="eastAsia" w:ascii="宋体" w:hAnsi="宋体" w:cs="宋体"/>
          <w:color w:val="FF0000"/>
          <w:sz w:val="24"/>
          <w:szCs w:val="24"/>
        </w:rPr>
        <w:t>日北京时间</w:t>
      </w:r>
      <w:r>
        <w:rPr>
          <w:rFonts w:hint="eastAsia" w:ascii="宋体" w:hAnsi="宋体" w:cs="宋体"/>
          <w:color w:val="FF0000"/>
          <w:sz w:val="24"/>
          <w:szCs w:val="24"/>
          <w:lang w:val="en-US" w:eastAsia="zh-CN"/>
        </w:rPr>
        <w:t>14:30</w:t>
      </w:r>
      <w:r>
        <w:rPr>
          <w:rFonts w:hint="eastAsia" w:ascii="宋体" w:hAnsi="宋体" w:cs="宋体"/>
          <w:color w:val="FF0000"/>
          <w:sz w:val="24"/>
          <w:szCs w:val="24"/>
        </w:rPr>
        <w:t>时。</w:t>
      </w:r>
    </w:p>
    <w:p w14:paraId="0D08E335">
      <w:pPr>
        <w:snapToGrid w:val="0"/>
        <w:spacing w:line="400" w:lineRule="exact"/>
        <w:ind w:firstLine="480" w:firstLineChars="200"/>
        <w:rPr>
          <w:rFonts w:ascii="宋体" w:hAnsi="宋体" w:cs="宋体"/>
          <w:color w:val="FF0000"/>
          <w:sz w:val="24"/>
          <w:szCs w:val="24"/>
        </w:rPr>
      </w:pPr>
      <w:r>
        <w:rPr>
          <w:rFonts w:hint="eastAsia" w:ascii="宋体" w:hAnsi="宋体" w:cs="宋体"/>
          <w:color w:val="FF0000"/>
          <w:sz w:val="24"/>
          <w:szCs w:val="24"/>
        </w:rPr>
        <w:t>（八）谈判开始时间：2025年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15</w:t>
      </w:r>
      <w:r>
        <w:rPr>
          <w:rFonts w:hint="eastAsia" w:ascii="宋体" w:hAnsi="宋体" w:cs="宋体"/>
          <w:color w:val="FF0000"/>
          <w:sz w:val="24"/>
          <w:szCs w:val="24"/>
        </w:rPr>
        <w:t>日北京时间</w:t>
      </w:r>
      <w:r>
        <w:rPr>
          <w:rFonts w:hint="eastAsia" w:ascii="宋体" w:hAnsi="宋体" w:cs="宋体"/>
          <w:color w:val="FF0000"/>
          <w:sz w:val="24"/>
          <w:szCs w:val="24"/>
          <w:lang w:val="en-US" w:eastAsia="zh-CN"/>
        </w:rPr>
        <w:t>14:30</w:t>
      </w:r>
      <w:r>
        <w:rPr>
          <w:rFonts w:hint="eastAsia" w:ascii="宋体" w:hAnsi="宋体" w:cs="宋体"/>
          <w:color w:val="FF0000"/>
          <w:sz w:val="24"/>
          <w:szCs w:val="24"/>
        </w:rPr>
        <w:t>时。</w:t>
      </w:r>
    </w:p>
    <w:p w14:paraId="7F0CD05E">
      <w:pPr>
        <w:spacing w:line="400" w:lineRule="exact"/>
        <w:ind w:firstLine="482" w:firstLineChars="200"/>
        <w:rPr>
          <w:rFonts w:ascii="宋体" w:hAnsi="宋体" w:cs="宋体"/>
          <w:b/>
          <w:bCs/>
          <w:color w:val="auto"/>
          <w:sz w:val="24"/>
          <w:szCs w:val="24"/>
        </w:rPr>
      </w:pPr>
      <w:r>
        <w:rPr>
          <w:rFonts w:hint="eastAsia" w:ascii="宋体" w:hAnsi="宋体" w:cs="宋体"/>
          <w:b/>
          <w:bCs/>
          <w:color w:val="auto"/>
          <w:sz w:val="24"/>
          <w:szCs w:val="24"/>
        </w:rPr>
        <w:t>（九）供应商须在递交响应文件时，一并递交以下手持件资料：</w:t>
      </w:r>
    </w:p>
    <w:p w14:paraId="1008D04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①提交“供应商信息卡”和《</w:t>
      </w:r>
      <w:r>
        <w:rPr>
          <w:rFonts w:hint="eastAsia" w:ascii="宋体" w:hAnsi="宋体" w:cs="宋体"/>
          <w:color w:val="auto"/>
          <w:sz w:val="24"/>
          <w:szCs w:val="24"/>
          <w:lang w:eastAsia="zh-CN"/>
        </w:rPr>
        <w:t>重庆智胜达工程管理咨询有限公司</w:t>
      </w:r>
      <w:r>
        <w:rPr>
          <w:rFonts w:hint="eastAsia" w:ascii="宋体" w:hAnsi="宋体" w:cs="宋体"/>
          <w:color w:val="auto"/>
          <w:sz w:val="24"/>
          <w:szCs w:val="24"/>
        </w:rPr>
        <w:t>发售登记表》（格式详见附件），内容填写完整，加盖供应商公章；</w:t>
      </w:r>
    </w:p>
    <w:p w14:paraId="1466229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②提交谈判保证金银行转账凭据及谈判文件购买费转账凭据复印件，加盖供应商公章；</w:t>
      </w:r>
    </w:p>
    <w:p w14:paraId="3C89688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③提交供应商银行基本账户“开户许可证”或“基本账户存款信息”复印件，加盖供应商公章；</w:t>
      </w:r>
    </w:p>
    <w:p w14:paraId="57A3766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说明：相关原件递交起止时间：如果竞争性谈判文件要求必须提交的相关原件，其递交时间与响应文件递交时间一致（逾期不予受理）。</w:t>
      </w:r>
    </w:p>
    <w:p w14:paraId="64A00595">
      <w:pPr>
        <w:pStyle w:val="5"/>
        <w:adjustRightInd w:val="0"/>
        <w:snapToGrid w:val="0"/>
        <w:spacing w:before="0" w:after="0" w:line="400" w:lineRule="exact"/>
        <w:ind w:firstLine="482" w:firstLineChars="200"/>
        <w:rPr>
          <w:rFonts w:ascii="宋体" w:hAnsi="宋体" w:eastAsia="宋体" w:cs="宋体"/>
          <w:color w:val="auto"/>
          <w:sz w:val="24"/>
        </w:rPr>
      </w:pPr>
      <w:bookmarkStart w:id="39" w:name="_Toc248"/>
      <w:bookmarkStart w:id="40" w:name="_Toc23208"/>
      <w:r>
        <w:rPr>
          <w:rFonts w:hint="eastAsia" w:ascii="宋体" w:hAnsi="宋体" w:eastAsia="宋体" w:cs="宋体"/>
          <w:color w:val="auto"/>
          <w:sz w:val="24"/>
        </w:rPr>
        <w:t>五、谈判保证金</w:t>
      </w:r>
      <w:bookmarkEnd w:id="33"/>
      <w:bookmarkEnd w:id="34"/>
      <w:bookmarkEnd w:id="35"/>
      <w:bookmarkEnd w:id="36"/>
      <w:bookmarkEnd w:id="37"/>
      <w:bookmarkEnd w:id="38"/>
      <w:bookmarkEnd w:id="39"/>
      <w:bookmarkEnd w:id="40"/>
    </w:p>
    <w:p w14:paraId="315BA17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（一）保证金递交</w:t>
      </w:r>
    </w:p>
    <w:p w14:paraId="0CFF3A1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1.供应商应足额交纳保证金（保证金金额详见本篇，一、竞争性谈判内容），并汇至下列账户，转账（汇款）时需备注“保证金+项目号”，保证金的到账截止时间为提交响应文件开始时间。</w:t>
      </w:r>
    </w:p>
    <w:p w14:paraId="48998C50">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保证金账户信息如下：</w:t>
      </w:r>
    </w:p>
    <w:p w14:paraId="67EE66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账户名称：重庆智胜达工程管理咨询有限公司</w:t>
      </w:r>
    </w:p>
    <w:p w14:paraId="085A29D1">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账户号码：3100096009200156694</w:t>
      </w:r>
    </w:p>
    <w:p w14:paraId="429D69B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开户银行：中国工商银行股份有限公司重庆大足支行</w:t>
      </w:r>
    </w:p>
    <w:p w14:paraId="6F0416D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2.各供应商在银行转账（电汇）时，须充分考虑银行转账（电汇）的时间差风险，如同城转账、异地转账或汇款、跨行转账或电汇的时间要求。</w:t>
      </w:r>
    </w:p>
    <w:p w14:paraId="26B5013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（二）保证金退还方式</w:t>
      </w:r>
    </w:p>
    <w:p w14:paraId="3F7C42B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1.未成交供应商的保证金，在成交通知书发放后，</w:t>
      </w:r>
      <w:r>
        <w:rPr>
          <w:rFonts w:hint="eastAsia" w:ascii="宋体" w:hAnsi="宋体" w:cs="宋体"/>
          <w:color w:val="auto"/>
          <w:sz w:val="24"/>
          <w:szCs w:val="24"/>
          <w:lang w:eastAsia="zh-CN"/>
        </w:rPr>
        <w:t>重庆智胜达工程管理咨询有限公司</w:t>
      </w:r>
      <w:r>
        <w:rPr>
          <w:rFonts w:hint="eastAsia" w:ascii="宋体" w:hAnsi="宋体" w:cs="宋体"/>
          <w:color w:val="auto"/>
          <w:sz w:val="24"/>
          <w:szCs w:val="24"/>
        </w:rPr>
        <w:t>在五个工作日内按来款渠道直接退还。</w:t>
      </w:r>
    </w:p>
    <w:p w14:paraId="5144B17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2.成交供应商的保证金，在成交供应商与采购人签订合同后，将合同原件送至代理机构备案；</w:t>
      </w:r>
      <w:r>
        <w:rPr>
          <w:rFonts w:hint="eastAsia" w:ascii="宋体" w:hAnsi="宋体" w:cs="宋体"/>
          <w:color w:val="auto"/>
          <w:sz w:val="24"/>
          <w:szCs w:val="24"/>
          <w:lang w:eastAsia="zh-CN"/>
        </w:rPr>
        <w:t>重庆智胜达工程管理咨询有限公司</w:t>
      </w:r>
      <w:r>
        <w:rPr>
          <w:rFonts w:hint="eastAsia" w:ascii="宋体" w:hAnsi="宋体" w:cs="宋体"/>
          <w:color w:val="auto"/>
          <w:sz w:val="24"/>
          <w:szCs w:val="24"/>
        </w:rPr>
        <w:t>在收到合同之日起五个工作日内按资金来款渠道直接退还。</w:t>
      </w:r>
    </w:p>
    <w:p w14:paraId="4D5BEAD8">
      <w:pPr>
        <w:pStyle w:val="5"/>
        <w:adjustRightInd w:val="0"/>
        <w:snapToGrid w:val="0"/>
        <w:spacing w:before="0" w:after="0" w:line="400" w:lineRule="exact"/>
        <w:ind w:firstLine="482" w:firstLineChars="200"/>
        <w:rPr>
          <w:rFonts w:ascii="宋体" w:hAnsi="宋体" w:eastAsia="宋体" w:cs="宋体"/>
          <w:color w:val="auto"/>
          <w:sz w:val="24"/>
        </w:rPr>
      </w:pPr>
      <w:bookmarkStart w:id="41" w:name="_Toc2945"/>
      <w:bookmarkStart w:id="42" w:name="_Toc521053054"/>
      <w:bookmarkStart w:id="43" w:name="_Toc65660335"/>
      <w:bookmarkStart w:id="44" w:name="_Toc525047162"/>
      <w:bookmarkStart w:id="45" w:name="_Toc17461"/>
      <w:bookmarkStart w:id="46" w:name="_Toc4355"/>
      <w:bookmarkStart w:id="47" w:name="_Toc479668114"/>
      <w:bookmarkStart w:id="48" w:name="_Toc12289"/>
      <w:r>
        <w:rPr>
          <w:rFonts w:hint="eastAsia" w:ascii="宋体" w:hAnsi="宋体" w:eastAsia="宋体" w:cs="宋体"/>
          <w:color w:val="auto"/>
          <w:sz w:val="24"/>
        </w:rPr>
        <w:t>六、</w:t>
      </w:r>
      <w:bookmarkEnd w:id="41"/>
      <w:bookmarkEnd w:id="42"/>
      <w:bookmarkEnd w:id="43"/>
      <w:bookmarkEnd w:id="44"/>
      <w:bookmarkEnd w:id="45"/>
      <w:bookmarkEnd w:id="46"/>
      <w:bookmarkEnd w:id="47"/>
      <w:r>
        <w:rPr>
          <w:rFonts w:hint="eastAsia" w:ascii="宋体" w:hAnsi="宋体" w:eastAsia="宋体" w:cs="宋体"/>
          <w:color w:val="auto"/>
          <w:sz w:val="24"/>
        </w:rPr>
        <w:t>其它有关规定</w:t>
      </w:r>
      <w:bookmarkEnd w:id="28"/>
      <w:bookmarkEnd w:id="29"/>
      <w:bookmarkEnd w:id="30"/>
      <w:bookmarkEnd w:id="31"/>
      <w:bookmarkEnd w:id="32"/>
      <w:bookmarkEnd w:id="48"/>
    </w:p>
    <w:p w14:paraId="0B076B15">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（一）单位负责人为同一人或者存在直接控股、管理关系的不同供应商，不得参加同一合同项（包）下的政府采购活动，否则均为无效谈判。</w:t>
      </w:r>
    </w:p>
    <w:p w14:paraId="5D0621A4">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（二）为采购项目提供整体设计、规范编制或者项目管理、监理、检测等服务的供应商，不得再参加该采购项目的其他采购活动。</w:t>
      </w:r>
    </w:p>
    <w:p w14:paraId="047AC490">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项目的澄清文件（如果有）一律在“行采家”平台（http://www.gec123.com）上发布，请各供应商注意下载或到采购代理机构处领取；无论供应商下载或领取与否，均视同供应商已知晓本项目澄清文件（如果有）的内容。</w:t>
      </w:r>
    </w:p>
    <w:p w14:paraId="2F2490CD">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（四）超过响应文件截止时间递交的响应文件，恕不接收。</w:t>
      </w:r>
    </w:p>
    <w:p w14:paraId="3A850D8C">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（五）谈判费用：无论谈判结果如何，供应商参与本项目谈判的所有费用均应由供应商自行承担。</w:t>
      </w:r>
    </w:p>
    <w:p w14:paraId="12199B03">
      <w:pPr>
        <w:snapToGrid w:val="0"/>
        <w:spacing w:line="400" w:lineRule="exact"/>
        <w:ind w:firstLine="361" w:firstLineChars="150"/>
        <w:rPr>
          <w:rFonts w:ascii="宋体" w:hAnsi="宋体" w:cs="宋体"/>
          <w:b/>
          <w:color w:val="auto"/>
          <w:sz w:val="24"/>
          <w:szCs w:val="24"/>
        </w:rPr>
      </w:pPr>
      <w:r>
        <w:rPr>
          <w:rFonts w:hint="eastAsia" w:ascii="宋体" w:hAnsi="宋体" w:cs="宋体"/>
          <w:b/>
          <w:color w:val="auto"/>
          <w:sz w:val="24"/>
          <w:szCs w:val="24"/>
        </w:rPr>
        <w:t>（六）本项目不接受联合体参与谈判，否则按无效处理。</w:t>
      </w:r>
    </w:p>
    <w:p w14:paraId="10A166FE">
      <w:pPr>
        <w:snapToGrid w:val="0"/>
        <w:spacing w:line="400" w:lineRule="exact"/>
        <w:ind w:firstLine="361" w:firstLineChars="150"/>
        <w:rPr>
          <w:rFonts w:ascii="宋体" w:hAnsi="宋体" w:cs="宋体"/>
          <w:b/>
          <w:color w:val="auto"/>
          <w:sz w:val="24"/>
          <w:szCs w:val="24"/>
        </w:rPr>
      </w:pPr>
      <w:r>
        <w:rPr>
          <w:rFonts w:hint="eastAsia" w:ascii="宋体" w:hAnsi="宋体" w:cs="宋体"/>
          <w:b/>
          <w:color w:val="auto"/>
          <w:sz w:val="24"/>
          <w:szCs w:val="24"/>
        </w:rPr>
        <w:t>（七）本项目不接受合同分包，否则按无效处理。</w:t>
      </w:r>
    </w:p>
    <w:p w14:paraId="6CFB61E9">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37845A9">
      <w:pPr>
        <w:pStyle w:val="5"/>
        <w:adjustRightInd w:val="0"/>
        <w:snapToGrid w:val="0"/>
        <w:spacing w:before="0" w:after="0" w:line="400" w:lineRule="exact"/>
        <w:ind w:firstLine="482" w:firstLineChars="200"/>
        <w:rPr>
          <w:rFonts w:ascii="宋体" w:hAnsi="宋体" w:eastAsia="宋体" w:cs="宋体"/>
          <w:color w:val="auto"/>
          <w:sz w:val="24"/>
        </w:rPr>
      </w:pPr>
      <w:bookmarkStart w:id="49" w:name="_Toc31692"/>
      <w:bookmarkStart w:id="50" w:name="_Toc65660337"/>
      <w:bookmarkStart w:id="51" w:name="_Toc521053056"/>
      <w:bookmarkStart w:id="52" w:name="_Toc1733"/>
      <w:bookmarkStart w:id="53" w:name="_Toc525047164"/>
      <w:bookmarkStart w:id="54" w:name="_Toc10415"/>
      <w:r>
        <w:rPr>
          <w:rFonts w:hint="eastAsia" w:ascii="宋体" w:hAnsi="宋体" w:eastAsia="宋体" w:cs="宋体"/>
          <w:color w:val="auto"/>
          <w:sz w:val="24"/>
        </w:rPr>
        <w:t>七、现场踏勘</w:t>
      </w:r>
      <w:bookmarkEnd w:id="49"/>
    </w:p>
    <w:p w14:paraId="2620338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本项目不组织集体现场踏勘，各供应商可在谈判开始时间前自行对现场进行踏勘，供应商踏勘现场发生的费用自理。供应商自行负责在踏勘现场中所发生的人员伤亡和财产损失。采购人在踏勘现场中介绍的工程场地和相关的周边环境情况，供应商在编制谈判文件时参考，采购人不对供应商据此做出的判断和决策负责。无论供应商是否踏勘过现场，均视为在谈判开始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53B60EA2">
      <w:pPr>
        <w:pStyle w:val="5"/>
        <w:adjustRightInd w:val="0"/>
        <w:snapToGrid w:val="0"/>
        <w:spacing w:before="0" w:after="0" w:line="400" w:lineRule="exact"/>
        <w:ind w:firstLine="482" w:firstLineChars="200"/>
        <w:rPr>
          <w:rFonts w:ascii="宋体" w:hAnsi="宋体" w:eastAsia="宋体" w:cs="宋体"/>
          <w:color w:val="auto"/>
          <w:sz w:val="24"/>
        </w:rPr>
      </w:pPr>
      <w:bookmarkStart w:id="55" w:name="_Toc25062"/>
      <w:r>
        <w:rPr>
          <w:rFonts w:hint="eastAsia" w:ascii="宋体" w:hAnsi="宋体" w:eastAsia="宋体" w:cs="宋体"/>
          <w:color w:val="auto"/>
          <w:sz w:val="24"/>
        </w:rPr>
        <w:t>八、联系方式</w:t>
      </w:r>
      <w:bookmarkEnd w:id="50"/>
      <w:bookmarkEnd w:id="51"/>
      <w:bookmarkEnd w:id="52"/>
      <w:bookmarkEnd w:id="53"/>
      <w:bookmarkEnd w:id="54"/>
      <w:bookmarkEnd w:id="55"/>
    </w:p>
    <w:p w14:paraId="1F4449FC">
      <w:pPr>
        <w:snapToGrid w:val="0"/>
        <w:spacing w:line="400" w:lineRule="exact"/>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（一）采购人：</w:t>
      </w:r>
      <w:r>
        <w:rPr>
          <w:rFonts w:hint="eastAsia" w:ascii="宋体" w:hAnsi="宋体" w:cs="宋体"/>
          <w:color w:val="auto"/>
          <w:sz w:val="24"/>
          <w:szCs w:val="24"/>
          <w:lang w:eastAsia="zh-CN"/>
        </w:rPr>
        <w:t>重庆市未成年犯管教所</w:t>
      </w:r>
    </w:p>
    <w:p w14:paraId="028016E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联系人：刘老师</w:t>
      </w:r>
    </w:p>
    <w:p w14:paraId="54D9E65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电  话：023-81835666转8319   18580863529</w:t>
      </w:r>
    </w:p>
    <w:p w14:paraId="6D3F15E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地  址：重庆市江北区海尔路1055号</w:t>
      </w:r>
    </w:p>
    <w:p w14:paraId="7358D93B">
      <w:pPr>
        <w:snapToGrid w:val="0"/>
        <w:spacing w:line="400" w:lineRule="exact"/>
        <w:ind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（二）采购代理机构：</w:t>
      </w:r>
      <w:r>
        <w:rPr>
          <w:rFonts w:hint="eastAsia" w:ascii="宋体" w:hAnsi="宋体" w:cs="宋体"/>
          <w:color w:val="auto"/>
          <w:sz w:val="24"/>
          <w:szCs w:val="24"/>
          <w:lang w:eastAsia="zh-CN"/>
        </w:rPr>
        <w:t>重庆智胜达工程管理咨询有限公司</w:t>
      </w:r>
    </w:p>
    <w:p w14:paraId="4D93A7B9">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联系人：</w:t>
      </w:r>
      <w:r>
        <w:rPr>
          <w:rFonts w:hint="eastAsia" w:ascii="宋体" w:hAnsi="宋体" w:cs="宋体"/>
          <w:color w:val="auto"/>
          <w:sz w:val="24"/>
          <w:szCs w:val="24"/>
          <w:lang w:eastAsia="zh-CN"/>
        </w:rPr>
        <w:t>黄</w:t>
      </w:r>
      <w:r>
        <w:rPr>
          <w:rFonts w:hint="eastAsia" w:ascii="宋体" w:hAnsi="宋体" w:cs="宋体"/>
          <w:color w:val="auto"/>
          <w:sz w:val="24"/>
          <w:szCs w:val="24"/>
        </w:rPr>
        <w:t>老师</w:t>
      </w:r>
    </w:p>
    <w:p w14:paraId="1ECBD9A7">
      <w:pPr>
        <w:snapToGrid w:val="0"/>
        <w:spacing w:line="400" w:lineRule="exact"/>
        <w:ind w:firstLine="360" w:firstLineChars="150"/>
        <w:rPr>
          <w:rFonts w:hint="default" w:ascii="宋体" w:hAnsi="宋体" w:eastAsia="宋体" w:cs="宋体"/>
          <w:color w:val="auto"/>
          <w:sz w:val="24"/>
          <w:szCs w:val="24"/>
          <w:lang w:val="en-US" w:eastAsia="zh-CN"/>
        </w:rPr>
      </w:pPr>
      <w:r>
        <w:rPr>
          <w:rFonts w:hint="eastAsia" w:ascii="宋体" w:hAnsi="宋体" w:cs="宋体"/>
          <w:color w:val="auto"/>
          <w:sz w:val="24"/>
          <w:szCs w:val="24"/>
        </w:rPr>
        <w:t>电  话：</w:t>
      </w:r>
      <w:r>
        <w:rPr>
          <w:rFonts w:hint="eastAsia" w:ascii="宋体" w:hAnsi="宋体" w:cs="宋体"/>
          <w:color w:val="auto"/>
          <w:sz w:val="24"/>
          <w:szCs w:val="24"/>
          <w:lang w:val="en-US" w:eastAsia="zh-CN"/>
        </w:rPr>
        <w:t>15123317440</w:t>
      </w:r>
    </w:p>
    <w:p w14:paraId="423A778B">
      <w:pPr>
        <w:snapToGrid w:val="0"/>
        <w:spacing w:line="400" w:lineRule="exact"/>
        <w:ind w:firstLine="360" w:firstLineChars="150"/>
        <w:rPr>
          <w:color w:val="auto"/>
        </w:rPr>
        <w:sectPr>
          <w:pgSz w:w="11907" w:h="16840"/>
          <w:pgMar w:top="1440" w:right="1080" w:bottom="1440" w:left="1080" w:header="1191" w:footer="992" w:gutter="0"/>
          <w:pgNumType w:fmt="numberInDash"/>
          <w:cols w:space="720" w:num="1"/>
          <w:docGrid w:linePitch="312" w:charSpace="0"/>
        </w:sectPr>
      </w:pPr>
      <w:r>
        <w:rPr>
          <w:rFonts w:hint="eastAsia" w:ascii="宋体" w:hAnsi="宋体" w:cs="宋体"/>
          <w:color w:val="auto"/>
          <w:sz w:val="24"/>
          <w:szCs w:val="24"/>
        </w:rPr>
        <w:t>地  址：重庆市渝北区龙华大道88号川岚重庆（川岚国际）</w:t>
      </w:r>
    </w:p>
    <w:p w14:paraId="1D2091EC">
      <w:pPr>
        <w:pStyle w:val="5"/>
        <w:spacing w:before="0" w:after="0" w:line="360" w:lineRule="auto"/>
        <w:jc w:val="center"/>
        <w:rPr>
          <w:rFonts w:ascii="宋体" w:hAnsi="宋体" w:eastAsia="宋体" w:cs="宋体"/>
          <w:b w:val="0"/>
          <w:color w:val="auto"/>
          <w:sz w:val="36"/>
          <w:szCs w:val="30"/>
        </w:rPr>
      </w:pPr>
      <w:bookmarkStart w:id="56" w:name="_Toc1292"/>
      <w:bookmarkStart w:id="57" w:name="_Toc14516"/>
      <w:bookmarkStart w:id="58" w:name="_Toc65660338"/>
      <w:bookmarkStart w:id="59" w:name="_Toc102227313"/>
      <w:r>
        <w:rPr>
          <w:rFonts w:hint="eastAsia" w:ascii="宋体" w:hAnsi="宋体" w:eastAsia="宋体" w:cs="宋体"/>
          <w:b w:val="0"/>
          <w:color w:val="auto"/>
          <w:sz w:val="36"/>
          <w:szCs w:val="30"/>
        </w:rPr>
        <w:br w:type="page"/>
      </w:r>
      <w:bookmarkStart w:id="60" w:name="_Toc5784"/>
      <w:r>
        <w:rPr>
          <w:rFonts w:hint="eastAsia" w:ascii="宋体" w:hAnsi="宋体" w:eastAsia="宋体" w:cs="宋体"/>
          <w:b w:val="0"/>
          <w:color w:val="auto"/>
          <w:sz w:val="36"/>
          <w:szCs w:val="30"/>
        </w:rPr>
        <w:t>第二篇  谈判项目技术（质量）需求</w:t>
      </w:r>
      <w:bookmarkEnd w:id="56"/>
      <w:bookmarkEnd w:id="57"/>
      <w:bookmarkEnd w:id="58"/>
      <w:bookmarkEnd w:id="60"/>
    </w:p>
    <w:p w14:paraId="7E0B97B7">
      <w:pPr>
        <w:pStyle w:val="5"/>
        <w:adjustRightInd w:val="0"/>
        <w:snapToGrid w:val="0"/>
        <w:spacing w:before="0" w:after="0" w:line="400" w:lineRule="exact"/>
        <w:ind w:firstLine="482" w:firstLineChars="200"/>
        <w:rPr>
          <w:rFonts w:ascii="宋体" w:hAnsi="宋体" w:eastAsia="宋体" w:cs="宋体"/>
          <w:color w:val="auto"/>
          <w:sz w:val="24"/>
        </w:rPr>
      </w:pPr>
      <w:bookmarkStart w:id="61" w:name="_Toc105753141"/>
      <w:bookmarkStart w:id="62" w:name="_Toc104552584"/>
      <w:bookmarkStart w:id="63" w:name="_Toc14638"/>
      <w:r>
        <w:rPr>
          <w:rFonts w:hint="eastAsia" w:ascii="宋体" w:hAnsi="宋体" w:eastAsia="宋体" w:cs="宋体"/>
          <w:color w:val="auto"/>
          <w:sz w:val="24"/>
        </w:rPr>
        <w:t>一、采购项目</w:t>
      </w:r>
      <w:bookmarkEnd w:id="61"/>
      <w:bookmarkEnd w:id="62"/>
      <w:r>
        <w:rPr>
          <w:rFonts w:hint="eastAsia" w:ascii="宋体" w:hAnsi="宋体" w:eastAsia="宋体" w:cs="宋体"/>
          <w:color w:val="auto"/>
          <w:sz w:val="24"/>
        </w:rPr>
        <w:t>一览表</w:t>
      </w:r>
      <w:bookmarkEnd w:id="63"/>
    </w:p>
    <w:tbl>
      <w:tblPr>
        <w:tblStyle w:val="34"/>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3622"/>
        <w:gridCol w:w="1982"/>
        <w:gridCol w:w="2113"/>
      </w:tblGrid>
      <w:tr w14:paraId="7C80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60" w:type="dxa"/>
            <w:vAlign w:val="center"/>
          </w:tcPr>
          <w:p w14:paraId="47BEBF88">
            <w:pPr>
              <w:jc w:val="center"/>
              <w:rPr>
                <w:rFonts w:ascii="宋体" w:hAnsi="宋体" w:cs="宋体"/>
                <w:color w:val="auto"/>
                <w:sz w:val="24"/>
                <w:szCs w:val="24"/>
              </w:rPr>
            </w:pPr>
            <w:bookmarkStart w:id="64" w:name="_Toc1573"/>
            <w:r>
              <w:rPr>
                <w:rFonts w:hint="eastAsia" w:ascii="宋体" w:hAnsi="宋体" w:cs="宋体"/>
                <w:color w:val="auto"/>
                <w:sz w:val="24"/>
                <w:szCs w:val="24"/>
              </w:rPr>
              <w:t>序号</w:t>
            </w:r>
          </w:p>
        </w:tc>
        <w:tc>
          <w:tcPr>
            <w:tcW w:w="3622" w:type="dxa"/>
            <w:vAlign w:val="center"/>
          </w:tcPr>
          <w:p w14:paraId="28D07B48">
            <w:pPr>
              <w:jc w:val="center"/>
              <w:rPr>
                <w:rFonts w:ascii="宋体" w:hAnsi="宋体" w:cs="宋体"/>
                <w:color w:val="auto"/>
                <w:sz w:val="24"/>
                <w:szCs w:val="24"/>
              </w:rPr>
            </w:pPr>
            <w:r>
              <w:rPr>
                <w:rFonts w:hint="eastAsia" w:ascii="宋体" w:hAnsi="宋体" w:cs="宋体"/>
                <w:color w:val="auto"/>
                <w:sz w:val="24"/>
                <w:szCs w:val="24"/>
              </w:rPr>
              <w:t>项目名称</w:t>
            </w:r>
          </w:p>
        </w:tc>
        <w:tc>
          <w:tcPr>
            <w:tcW w:w="1982" w:type="dxa"/>
            <w:vAlign w:val="center"/>
          </w:tcPr>
          <w:p w14:paraId="6E734E9C">
            <w:pPr>
              <w:jc w:val="center"/>
              <w:rPr>
                <w:rFonts w:ascii="宋体" w:hAnsi="宋体" w:cs="宋体"/>
                <w:color w:val="auto"/>
                <w:sz w:val="24"/>
                <w:szCs w:val="24"/>
              </w:rPr>
            </w:pPr>
            <w:r>
              <w:rPr>
                <w:rFonts w:hint="eastAsia" w:ascii="宋体" w:hAnsi="宋体" w:cs="宋体"/>
                <w:color w:val="auto"/>
                <w:sz w:val="24"/>
                <w:szCs w:val="24"/>
              </w:rPr>
              <w:t>数量/单位</w:t>
            </w:r>
          </w:p>
        </w:tc>
        <w:tc>
          <w:tcPr>
            <w:tcW w:w="2113" w:type="dxa"/>
            <w:vAlign w:val="center"/>
          </w:tcPr>
          <w:p w14:paraId="6CF6D917">
            <w:pPr>
              <w:jc w:val="center"/>
              <w:rPr>
                <w:rFonts w:ascii="宋体" w:hAnsi="宋体" w:cs="宋体"/>
                <w:color w:val="auto"/>
                <w:sz w:val="24"/>
                <w:szCs w:val="24"/>
              </w:rPr>
            </w:pPr>
            <w:r>
              <w:rPr>
                <w:rFonts w:hint="eastAsia" w:ascii="宋体" w:hAnsi="宋体" w:cs="宋体"/>
                <w:color w:val="auto"/>
                <w:sz w:val="24"/>
                <w:szCs w:val="24"/>
              </w:rPr>
              <w:t>最高限价（元）</w:t>
            </w:r>
          </w:p>
        </w:tc>
      </w:tr>
      <w:tr w14:paraId="1F46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60" w:type="dxa"/>
            <w:vAlign w:val="center"/>
          </w:tcPr>
          <w:p w14:paraId="0EF72AD2">
            <w:pPr>
              <w:jc w:val="center"/>
              <w:rPr>
                <w:rFonts w:ascii="宋体" w:hAnsi="宋体" w:cs="宋体"/>
                <w:color w:val="auto"/>
                <w:sz w:val="24"/>
                <w:szCs w:val="24"/>
              </w:rPr>
            </w:pPr>
            <w:r>
              <w:rPr>
                <w:rFonts w:hint="eastAsia" w:ascii="宋体" w:hAnsi="宋体" w:cs="宋体"/>
                <w:color w:val="auto"/>
                <w:sz w:val="24"/>
                <w:szCs w:val="24"/>
              </w:rPr>
              <w:t>1</w:t>
            </w:r>
          </w:p>
        </w:tc>
        <w:tc>
          <w:tcPr>
            <w:tcW w:w="3622" w:type="dxa"/>
            <w:vAlign w:val="center"/>
          </w:tcPr>
          <w:p w14:paraId="1D884200">
            <w:pPr>
              <w:widowControl/>
              <w:jc w:val="center"/>
              <w:rPr>
                <w:rFonts w:hint="eastAsia" w:ascii="宋体" w:hAnsi="宋体" w:eastAsia="宋体" w:cs="宋体"/>
                <w:color w:val="auto"/>
                <w:szCs w:val="28"/>
                <w:lang w:eastAsia="zh-CN"/>
              </w:rPr>
            </w:pPr>
            <w:r>
              <w:rPr>
                <w:rFonts w:hint="eastAsia" w:ascii="宋体" w:hAnsi="宋体" w:cs="宋体"/>
                <w:color w:val="auto"/>
                <w:sz w:val="24"/>
                <w:szCs w:val="24"/>
                <w:lang w:eastAsia="zh-CN"/>
              </w:rPr>
              <w:t>配餐中心设备设施改造工程采购</w:t>
            </w:r>
          </w:p>
        </w:tc>
        <w:tc>
          <w:tcPr>
            <w:tcW w:w="1982" w:type="dxa"/>
            <w:vAlign w:val="center"/>
          </w:tcPr>
          <w:p w14:paraId="2CB700AA">
            <w:pPr>
              <w:widowControl/>
              <w:jc w:val="center"/>
              <w:rPr>
                <w:rFonts w:hint="eastAsia" w:ascii="宋体" w:hAnsi="宋体" w:eastAsia="宋体" w:cs="宋体"/>
                <w:color w:val="auto"/>
                <w:kern w:val="0"/>
                <w:sz w:val="22"/>
                <w:szCs w:val="28"/>
                <w:lang w:eastAsia="zh-CN"/>
              </w:rPr>
            </w:pPr>
            <w:r>
              <w:rPr>
                <w:rFonts w:hint="eastAsia" w:ascii="宋体" w:hAnsi="宋体" w:cs="宋体"/>
                <w:color w:val="auto"/>
                <w:kern w:val="0"/>
                <w:sz w:val="22"/>
                <w:szCs w:val="28"/>
              </w:rPr>
              <w:t>1</w:t>
            </w:r>
            <w:r>
              <w:rPr>
                <w:rFonts w:hint="eastAsia" w:ascii="宋体" w:hAnsi="宋体" w:cs="宋体"/>
                <w:color w:val="auto"/>
                <w:kern w:val="0"/>
                <w:sz w:val="22"/>
                <w:szCs w:val="28"/>
                <w:lang w:eastAsia="zh-CN"/>
              </w:rPr>
              <w:t>项</w:t>
            </w:r>
          </w:p>
        </w:tc>
        <w:tc>
          <w:tcPr>
            <w:tcW w:w="2113" w:type="dxa"/>
            <w:vAlign w:val="center"/>
          </w:tcPr>
          <w:p w14:paraId="42149BE3">
            <w:pPr>
              <w:jc w:val="center"/>
              <w:rPr>
                <w:rFonts w:hint="eastAsia" w:ascii="宋体" w:hAnsi="宋体" w:eastAsia="宋体" w:cs="宋体"/>
                <w:color w:val="auto"/>
                <w:sz w:val="22"/>
                <w:szCs w:val="22"/>
                <w:lang w:eastAsia="zh-CN"/>
              </w:rPr>
            </w:pPr>
            <w:r>
              <w:rPr>
                <w:rFonts w:hint="eastAsia" w:ascii="宋体" w:hAnsi="宋体" w:cs="宋体"/>
                <w:color w:val="auto"/>
                <w:sz w:val="21"/>
                <w:szCs w:val="21"/>
                <w:lang w:eastAsia="zh-CN"/>
              </w:rPr>
              <w:t>629409.43</w:t>
            </w:r>
          </w:p>
        </w:tc>
      </w:tr>
    </w:tbl>
    <w:p w14:paraId="58F1B25F">
      <w:pPr>
        <w:pStyle w:val="5"/>
        <w:adjustRightInd w:val="0"/>
        <w:snapToGrid w:val="0"/>
        <w:spacing w:before="0" w:after="0" w:line="400" w:lineRule="exact"/>
        <w:ind w:firstLine="482" w:firstLineChars="200"/>
        <w:rPr>
          <w:rFonts w:ascii="宋体" w:hAnsi="宋体" w:eastAsia="宋体" w:cs="宋体"/>
          <w:color w:val="auto"/>
          <w:sz w:val="24"/>
        </w:rPr>
      </w:pPr>
      <w:bookmarkStart w:id="65" w:name="_Toc106034631"/>
      <w:bookmarkStart w:id="66" w:name="_Toc11439"/>
      <w:bookmarkStart w:id="67" w:name="_Toc65660340"/>
      <w:bookmarkStart w:id="68" w:name="_Toc10723"/>
      <w:bookmarkStart w:id="69" w:name="_Toc28252"/>
      <w:r>
        <w:rPr>
          <w:rFonts w:hint="eastAsia" w:ascii="宋体" w:hAnsi="宋体" w:eastAsia="宋体" w:cs="宋体"/>
          <w:color w:val="auto"/>
          <w:sz w:val="24"/>
        </w:rPr>
        <w:t>二、</w:t>
      </w:r>
      <w:bookmarkEnd w:id="64"/>
      <w:bookmarkEnd w:id="65"/>
      <w:bookmarkEnd w:id="66"/>
      <w:bookmarkEnd w:id="67"/>
      <w:bookmarkEnd w:id="68"/>
      <w:r>
        <w:rPr>
          <w:rFonts w:hint="eastAsia" w:ascii="宋体" w:hAnsi="宋体" w:eastAsia="宋体" w:cs="宋体"/>
          <w:color w:val="auto"/>
          <w:sz w:val="24"/>
        </w:rPr>
        <w:t>采购项目基本情况</w:t>
      </w:r>
      <w:bookmarkEnd w:id="69"/>
    </w:p>
    <w:p w14:paraId="5464171C">
      <w:pPr>
        <w:pStyle w:val="70"/>
        <w:spacing w:line="400" w:lineRule="exact"/>
        <w:ind w:firstLine="480" w:firstLineChars="200"/>
        <w:outlineLvl w:val="2"/>
        <w:rPr>
          <w:rFonts w:hint="eastAsia" w:ascii="宋体" w:hAnsi="宋体" w:eastAsia="宋体" w:cs="宋体"/>
          <w:color w:val="auto"/>
          <w:sz w:val="24"/>
          <w:szCs w:val="24"/>
          <w:lang w:eastAsia="zh-CN"/>
        </w:rPr>
      </w:pPr>
      <w:r>
        <w:rPr>
          <w:rFonts w:hint="eastAsia" w:ascii="宋体" w:hAnsi="宋体" w:cs="宋体"/>
          <w:color w:val="auto"/>
          <w:sz w:val="24"/>
          <w:szCs w:val="24"/>
        </w:rPr>
        <w:t>（一）工程名称：</w:t>
      </w:r>
      <w:r>
        <w:rPr>
          <w:rFonts w:hint="eastAsia" w:ascii="宋体" w:hAnsi="宋体" w:cs="宋体"/>
          <w:color w:val="auto"/>
          <w:sz w:val="24"/>
          <w:szCs w:val="24"/>
          <w:lang w:eastAsia="zh-CN"/>
        </w:rPr>
        <w:t>配餐中心设备设施改造工程采购</w:t>
      </w:r>
    </w:p>
    <w:p w14:paraId="443AF08E">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（二）建设地点：重庆市江北区（采购人指定地点）</w:t>
      </w:r>
    </w:p>
    <w:p w14:paraId="10B6A980">
      <w:pPr>
        <w:pStyle w:val="21"/>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textAlignment w:val="auto"/>
        <w:outlineLvl w:val="2"/>
        <w:rPr>
          <w:rFonts w:hint="eastAsia" w:ascii="宋体" w:hAnsi="宋体" w:eastAsia="宋体" w:cs="宋体"/>
          <w:color w:val="auto"/>
          <w:kern w:val="2"/>
          <w:sz w:val="24"/>
          <w:szCs w:val="24"/>
          <w:highlight w:val="none"/>
          <w:lang w:val="en-US" w:eastAsia="zh-CN" w:bidi="ar-SA"/>
        </w:rPr>
      </w:pPr>
      <w:bookmarkStart w:id="70" w:name="_Toc21173"/>
      <w:r>
        <w:rPr>
          <w:rFonts w:hint="eastAsia" w:ascii="宋体" w:hAnsi="宋体" w:eastAsia="宋体" w:cs="宋体"/>
          <w:color w:val="auto"/>
          <w:kern w:val="2"/>
          <w:sz w:val="24"/>
          <w:szCs w:val="24"/>
          <w:highlight w:val="none"/>
          <w:lang w:val="en-US" w:eastAsia="zh-CN" w:bidi="ar-SA"/>
        </w:rPr>
        <w:t>（三）施工范围：包含但不限于采购人提供的工程量清单和施工图的全部内容，具体详见</w:t>
      </w:r>
      <w:bookmarkStart w:id="71" w:name="_Toc2172"/>
      <w:bookmarkStart w:id="72" w:name="_Toc65660341"/>
      <w:bookmarkStart w:id="73" w:name="_Toc13356"/>
      <w:bookmarkStart w:id="74" w:name="_Toc15492"/>
    </w:p>
    <w:p w14:paraId="5E3CB2A5">
      <w:pPr>
        <w:pStyle w:val="5"/>
        <w:adjustRightInd w:val="0"/>
        <w:snapToGrid w:val="0"/>
        <w:spacing w:before="0" w:after="0" w:line="240" w:lineRule="auto"/>
        <w:ind w:firstLine="482" w:firstLineChars="200"/>
        <w:rPr>
          <w:rFonts w:hint="eastAsia" w:ascii="宋体" w:hAnsi="宋体" w:eastAsia="宋体" w:cs="宋体"/>
          <w:b/>
          <w:color w:val="auto"/>
          <w:sz w:val="24"/>
          <w:highlight w:val="none"/>
          <w:lang w:val="en-US" w:eastAsia="zh-CN"/>
        </w:rPr>
      </w:pPr>
      <w:bookmarkStart w:id="75" w:name="_Toc6963"/>
      <w:r>
        <w:rPr>
          <w:rFonts w:hint="eastAsia" w:ascii="宋体" w:hAnsi="宋体" w:eastAsia="宋体" w:cs="宋体"/>
          <w:b/>
          <w:color w:val="auto"/>
          <w:sz w:val="24"/>
          <w:highlight w:val="none"/>
          <w:lang w:val="en-US" w:eastAsia="zh-CN"/>
        </w:rPr>
        <w:t>三、质量要求</w:t>
      </w:r>
      <w:bookmarkEnd w:id="70"/>
      <w:bookmarkEnd w:id="71"/>
      <w:bookmarkEnd w:id="75"/>
    </w:p>
    <w:p w14:paraId="6879F396">
      <w:pPr>
        <w:snapToGrid w:val="0"/>
        <w:spacing w:line="24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工程质量符合强制性质量标准，符合国家和重庆市现行有关施工质量验收规范要求，符合强制性质量标准，符合国家及行业现行技术标准和规范。</w:t>
      </w:r>
    </w:p>
    <w:p w14:paraId="0C6BC6AF">
      <w:pPr>
        <w:pStyle w:val="5"/>
        <w:adjustRightInd w:val="0"/>
        <w:snapToGrid w:val="0"/>
        <w:spacing w:before="0" w:after="0" w:line="240" w:lineRule="auto"/>
        <w:ind w:firstLine="482" w:firstLineChars="200"/>
        <w:rPr>
          <w:rFonts w:hint="eastAsia" w:ascii="宋体" w:hAnsi="宋体" w:eastAsia="宋体" w:cs="宋体"/>
          <w:b/>
          <w:color w:val="auto"/>
          <w:sz w:val="24"/>
          <w:highlight w:val="none"/>
          <w:lang w:val="en-US" w:eastAsia="zh-CN"/>
        </w:rPr>
      </w:pPr>
      <w:bookmarkStart w:id="76" w:name="_Toc9387"/>
      <w:bookmarkStart w:id="77" w:name="_Toc1526"/>
      <w:r>
        <w:rPr>
          <w:rFonts w:hint="eastAsia" w:ascii="宋体" w:hAnsi="宋体" w:eastAsia="宋体" w:cs="宋体"/>
          <w:b/>
          <w:color w:val="auto"/>
          <w:sz w:val="24"/>
          <w:highlight w:val="none"/>
          <w:lang w:val="en-US" w:eastAsia="zh-CN"/>
        </w:rPr>
        <w:t>四、项目管理人员要求</w:t>
      </w:r>
      <w:bookmarkEnd w:id="76"/>
      <w:bookmarkEnd w:id="77"/>
    </w:p>
    <w:p w14:paraId="475030C3">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）项目经理：</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人，供应商拟派的项目经理必须已在供应商本单位注册，并具有</w:t>
      </w:r>
      <w:r>
        <w:rPr>
          <w:rFonts w:hint="eastAsia" w:ascii="宋体" w:hAnsi="宋体" w:eastAsia="宋体" w:cs="宋体"/>
          <w:color w:val="auto"/>
          <w:sz w:val="24"/>
          <w:szCs w:val="24"/>
          <w:highlight w:val="none"/>
          <w:lang w:val="en-US" w:eastAsia="zh-CN"/>
        </w:rPr>
        <w:t>建筑</w:t>
      </w:r>
      <w:r>
        <w:rPr>
          <w:rFonts w:hint="eastAsia" w:ascii="宋体" w:hAnsi="宋体" w:eastAsia="宋体" w:cs="宋体"/>
          <w:color w:val="auto"/>
          <w:sz w:val="24"/>
          <w:szCs w:val="24"/>
          <w:highlight w:val="none"/>
          <w:u w:val="single"/>
          <w:lang w:eastAsia="zh-CN"/>
        </w:rPr>
        <w:t>工程</w:t>
      </w:r>
      <w:r>
        <w:rPr>
          <w:rFonts w:hint="eastAsia" w:ascii="宋体" w:hAnsi="宋体" w:eastAsia="宋体" w:cs="宋体"/>
          <w:color w:val="auto"/>
          <w:sz w:val="24"/>
          <w:szCs w:val="24"/>
          <w:highlight w:val="none"/>
          <w:lang w:eastAsia="zh-CN"/>
        </w:rPr>
        <w:t>专业贰级及以上注册建造师执业资格。</w:t>
      </w:r>
    </w:p>
    <w:p w14:paraId="6CCF3DB4">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（提供有效的建造师注册证复印件、身份证复印件、供应商为</w:t>
      </w:r>
      <w:r>
        <w:rPr>
          <w:rFonts w:hint="eastAsia" w:ascii="宋体" w:hAnsi="宋体" w:eastAsia="宋体" w:cs="宋体"/>
          <w:color w:val="auto"/>
          <w:sz w:val="24"/>
          <w:szCs w:val="24"/>
          <w:highlight w:val="none"/>
          <w:lang w:val="en-US" w:eastAsia="zh-CN"/>
        </w:rPr>
        <w:t>其在投标截止前6个月</w:t>
      </w:r>
      <w:r>
        <w:rPr>
          <w:rFonts w:hint="eastAsia" w:ascii="宋体" w:hAnsi="宋体" w:eastAsia="宋体" w:cs="宋体"/>
          <w:color w:val="auto"/>
          <w:sz w:val="24"/>
          <w:szCs w:val="24"/>
          <w:highlight w:val="none"/>
          <w:lang w:eastAsia="zh-CN"/>
        </w:rPr>
        <w:t>缴纳的</w:t>
      </w:r>
      <w:r>
        <w:rPr>
          <w:rFonts w:hint="eastAsia" w:ascii="宋体" w:hAnsi="宋体" w:eastAsia="宋体" w:cs="宋体"/>
          <w:color w:val="auto"/>
          <w:sz w:val="24"/>
          <w:szCs w:val="24"/>
          <w:highlight w:val="none"/>
          <w:lang w:val="en-US" w:eastAsia="zh-CN"/>
        </w:rPr>
        <w:t>养老保险</w:t>
      </w:r>
      <w:r>
        <w:rPr>
          <w:rFonts w:hint="eastAsia" w:ascii="宋体" w:hAnsi="宋体" w:eastAsia="宋体" w:cs="宋体"/>
          <w:color w:val="auto"/>
          <w:sz w:val="24"/>
          <w:szCs w:val="24"/>
          <w:highlight w:val="none"/>
          <w:lang w:eastAsia="zh-CN"/>
        </w:rPr>
        <w:t>证明材料复印件，并加盖供应商公章）</w:t>
      </w:r>
      <w:r>
        <w:rPr>
          <w:rFonts w:hint="eastAsia" w:ascii="宋体" w:hAnsi="宋体" w:eastAsia="宋体" w:cs="宋体"/>
          <w:color w:val="auto"/>
          <w:sz w:val="24"/>
          <w:szCs w:val="24"/>
          <w:highlight w:val="none"/>
          <w:lang w:val="en-US" w:eastAsia="zh-CN"/>
        </w:rPr>
        <w:t>。</w:t>
      </w:r>
    </w:p>
    <w:p w14:paraId="41A41267">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p>
    <w:p w14:paraId="7446FC45">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拟派项目经理中标后在本项目任职，签订合同时拟派的项目经理必须与响应文件中的项目经理一致，在实际施工时项目经理不得更换，一旦更换，采购人有权单方面解除合同，并将此情况上报相关行政主管部门，不可抗力因素除外。</w:t>
      </w:r>
    </w:p>
    <w:p w14:paraId="11891B3E">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②项目开工后，项目经理须常驻现场，否则采购人有权进行处罚。</w:t>
      </w:r>
    </w:p>
    <w:p w14:paraId="0AAA5EDA">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）项目技术负责人：</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人，拟派的项目技术负责人为供应商正式员工，应具有</w:t>
      </w:r>
      <w:r>
        <w:rPr>
          <w:rFonts w:hint="eastAsia" w:ascii="宋体" w:hAnsi="宋体" w:eastAsia="宋体" w:cs="宋体"/>
          <w:color w:val="auto"/>
          <w:sz w:val="24"/>
          <w:szCs w:val="24"/>
          <w:highlight w:val="none"/>
          <w:lang w:val="en-US" w:eastAsia="zh-CN"/>
        </w:rPr>
        <w:t>建筑</w:t>
      </w:r>
      <w:r>
        <w:rPr>
          <w:rFonts w:hint="eastAsia" w:ascii="宋体" w:hAnsi="宋体" w:eastAsia="宋体" w:cs="宋体"/>
          <w:color w:val="auto"/>
          <w:sz w:val="24"/>
          <w:szCs w:val="24"/>
          <w:highlight w:val="none"/>
          <w:lang w:eastAsia="zh-CN"/>
        </w:rPr>
        <w:t>类中级及以上技术职称。</w:t>
      </w:r>
    </w:p>
    <w:p w14:paraId="51FFFE00">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（提供拟派技术负责人身份证复印件、职称证复印件、供应商为</w:t>
      </w:r>
      <w:r>
        <w:rPr>
          <w:rFonts w:hint="eastAsia" w:ascii="宋体" w:hAnsi="宋体" w:eastAsia="宋体" w:cs="宋体"/>
          <w:color w:val="auto"/>
          <w:sz w:val="24"/>
          <w:szCs w:val="24"/>
          <w:highlight w:val="none"/>
          <w:lang w:val="en-US" w:eastAsia="zh-CN"/>
        </w:rPr>
        <w:t>其在投标截止前6个月</w:t>
      </w:r>
      <w:r>
        <w:rPr>
          <w:rFonts w:hint="eastAsia" w:ascii="宋体" w:hAnsi="宋体" w:eastAsia="宋体" w:cs="宋体"/>
          <w:color w:val="auto"/>
          <w:sz w:val="24"/>
          <w:szCs w:val="24"/>
          <w:highlight w:val="none"/>
          <w:lang w:eastAsia="zh-CN"/>
        </w:rPr>
        <w:t>缴纳的</w:t>
      </w:r>
      <w:r>
        <w:rPr>
          <w:rFonts w:hint="eastAsia" w:ascii="宋体" w:hAnsi="宋体" w:eastAsia="宋体" w:cs="宋体"/>
          <w:color w:val="auto"/>
          <w:sz w:val="24"/>
          <w:szCs w:val="24"/>
          <w:highlight w:val="none"/>
          <w:lang w:val="en-US" w:eastAsia="zh-CN"/>
        </w:rPr>
        <w:t>养老保险</w:t>
      </w:r>
      <w:r>
        <w:rPr>
          <w:rFonts w:hint="eastAsia" w:ascii="宋体" w:hAnsi="宋体" w:eastAsia="宋体" w:cs="宋体"/>
          <w:color w:val="auto"/>
          <w:sz w:val="24"/>
          <w:szCs w:val="24"/>
          <w:highlight w:val="none"/>
          <w:lang w:eastAsia="zh-CN"/>
        </w:rPr>
        <w:t>证明材料复印件，并加盖供应商公章）</w:t>
      </w:r>
    </w:p>
    <w:p w14:paraId="15F5B84E">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）主要管理人员：</w:t>
      </w:r>
    </w:p>
    <w:p w14:paraId="27493E30">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供应商自行承诺中标后在签订合同之前，须按照建设行政主管部门的要求组建施工项目部，配置</w:t>
      </w:r>
      <w:r>
        <w:rPr>
          <w:rFonts w:hint="eastAsia" w:ascii="宋体" w:hAnsi="宋体" w:eastAsia="宋体" w:cs="宋体"/>
          <w:color w:val="auto"/>
          <w:sz w:val="24"/>
          <w:szCs w:val="24"/>
          <w:highlight w:val="none"/>
          <w:lang w:val="en-US" w:eastAsia="zh-CN"/>
        </w:rPr>
        <w:t>1套</w:t>
      </w:r>
      <w:r>
        <w:rPr>
          <w:rFonts w:hint="eastAsia" w:ascii="宋体" w:hAnsi="宋体" w:eastAsia="宋体" w:cs="宋体"/>
          <w:color w:val="auto"/>
          <w:sz w:val="24"/>
          <w:szCs w:val="24"/>
          <w:highlight w:val="none"/>
          <w:lang w:eastAsia="zh-CN"/>
        </w:rPr>
        <w:t>项目管理班子，出具任命文件，并满足采购人实际要求。任命文件应当明确施工项目部的职责、岗位设置、人员配备，并书面通知建设单位。相关岗位管理人员应持有建设行政主管部门要求的岗位证书，并提供供应商为其缴纳的养老保险证明材料。中标后不能满足该要求的，采购人可取消其中标资格，给采购人造成损失的，供应商依法承担违约赔偿责任。</w:t>
      </w:r>
    </w:p>
    <w:p w14:paraId="63E5A4DB">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（供应商提供承诺，承诺格式见第七篇  响应文件格式要求）。</w:t>
      </w:r>
    </w:p>
    <w:p w14:paraId="1AA48C4E">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（四）企业主要负责人、项目经理、项目技术负责人和主要管理人员不得兼任。</w:t>
      </w:r>
    </w:p>
    <w:p w14:paraId="58E63DF7">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（提供承诺函，格式自拟，加盖供应商单位章）</w:t>
      </w:r>
    </w:p>
    <w:p w14:paraId="2FD4996B">
      <w:pPr>
        <w:pStyle w:val="5"/>
        <w:adjustRightInd w:val="0"/>
        <w:snapToGrid w:val="0"/>
        <w:spacing w:before="0" w:after="0" w:line="240" w:lineRule="auto"/>
        <w:ind w:firstLine="482" w:firstLineChars="200"/>
        <w:rPr>
          <w:rFonts w:hint="eastAsia" w:ascii="宋体" w:hAnsi="宋体" w:eastAsia="宋体" w:cs="宋体"/>
          <w:b/>
          <w:color w:val="auto"/>
          <w:sz w:val="24"/>
          <w:highlight w:val="none"/>
          <w:lang w:val="en-US" w:eastAsia="zh-CN"/>
        </w:rPr>
      </w:pPr>
      <w:bookmarkStart w:id="78" w:name="_Toc1497"/>
      <w:bookmarkStart w:id="79" w:name="_Toc11912"/>
      <w:r>
        <w:rPr>
          <w:rFonts w:hint="eastAsia" w:ascii="宋体" w:hAnsi="宋体" w:eastAsia="宋体" w:cs="宋体"/>
          <w:b/>
          <w:color w:val="auto"/>
          <w:sz w:val="24"/>
          <w:highlight w:val="none"/>
          <w:lang w:val="en-US" w:eastAsia="zh-CN"/>
        </w:rPr>
        <w:t>五、施工时间要求</w:t>
      </w:r>
      <w:bookmarkEnd w:id="78"/>
      <w:bookmarkEnd w:id="79"/>
    </w:p>
    <w:p w14:paraId="5F931B55">
      <w:pPr>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供应商在中标之后凭中标通知书到</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报道签订施工合同，根据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要求只能在正常工作时间（9:00-18:00）内进行施工，施工作业人员进出需统一按照规定办理相关手续，严格按照</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的安全、质量、进度要求完成本项目全部施工内容。</w:t>
      </w:r>
    </w:p>
    <w:p w14:paraId="649029E0">
      <w:pPr>
        <w:pStyle w:val="5"/>
        <w:adjustRightInd w:val="0"/>
        <w:snapToGrid w:val="0"/>
        <w:spacing w:before="0" w:after="0" w:line="240" w:lineRule="auto"/>
        <w:ind w:firstLine="482" w:firstLineChars="200"/>
        <w:rPr>
          <w:rFonts w:hint="eastAsia" w:ascii="宋体" w:hAnsi="宋体" w:eastAsia="宋体" w:cs="宋体"/>
          <w:b/>
          <w:color w:val="auto"/>
          <w:sz w:val="24"/>
          <w:highlight w:val="none"/>
          <w:lang w:val="en-US" w:eastAsia="zh-CN"/>
        </w:rPr>
      </w:pPr>
      <w:bookmarkStart w:id="80" w:name="_Toc11914"/>
      <w:bookmarkStart w:id="81" w:name="_Toc1077"/>
      <w:r>
        <w:rPr>
          <w:rFonts w:hint="eastAsia" w:ascii="宋体" w:hAnsi="宋体" w:eastAsia="宋体" w:cs="宋体"/>
          <w:b/>
          <w:color w:val="auto"/>
          <w:sz w:val="24"/>
          <w:highlight w:val="none"/>
          <w:lang w:val="en-US" w:eastAsia="zh-CN"/>
        </w:rPr>
        <w:t>六、安全要求</w:t>
      </w:r>
      <w:bookmarkEnd w:id="80"/>
      <w:bookmarkEnd w:id="81"/>
    </w:p>
    <w:p w14:paraId="543DF2FD">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在施工过程中，成交供应商须做到安全施工、文明施工，并做好相应的施工安全公告及警戒标识，施工过程中发生的一切安全事故由成交供应商自行负责处理。成交供应商应当与其施工人员建立劳动关系，承担全部用人用工主体责任。</w:t>
      </w:r>
    </w:p>
    <w:p w14:paraId="17CDFB52">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（二）</w:t>
      </w:r>
      <w:r>
        <w:rPr>
          <w:rFonts w:hint="eastAsia" w:ascii="宋体" w:hAnsi="宋体" w:cs="宋体"/>
          <w:sz w:val="24"/>
          <w:szCs w:val="24"/>
          <w:highlight w:val="none"/>
        </w:rPr>
        <w:t>供应商应负责施工安全（包含但不仅限于施工现场及施工周边的施工人身安全、行人安全等），</w:t>
      </w:r>
      <w:r>
        <w:rPr>
          <w:rFonts w:hint="eastAsia" w:ascii="宋体" w:hAnsi="宋体" w:cs="宋体"/>
          <w:sz w:val="24"/>
          <w:szCs w:val="24"/>
          <w:highlight w:val="none"/>
          <w:lang w:val="en-US" w:eastAsia="zh-CN"/>
        </w:rPr>
        <w:t>在施工过程中</w:t>
      </w:r>
      <w:r>
        <w:rPr>
          <w:rFonts w:hint="eastAsia" w:ascii="宋体" w:hAnsi="宋体" w:cs="宋体"/>
          <w:sz w:val="24"/>
          <w:szCs w:val="24"/>
          <w:highlight w:val="none"/>
        </w:rPr>
        <w:t>若</w:t>
      </w:r>
      <w:r>
        <w:rPr>
          <w:rFonts w:hint="eastAsia" w:ascii="宋体" w:hAnsi="宋体" w:cs="宋体"/>
          <w:sz w:val="24"/>
          <w:szCs w:val="24"/>
          <w:highlight w:val="none"/>
          <w:lang w:val="en-US" w:eastAsia="zh-CN"/>
        </w:rPr>
        <w:t>有安全措施不达标立即停工整改，</w:t>
      </w:r>
      <w:r>
        <w:rPr>
          <w:rFonts w:hint="eastAsia" w:ascii="宋体" w:hAnsi="宋体" w:cs="宋体"/>
          <w:sz w:val="24"/>
          <w:szCs w:val="24"/>
          <w:highlight w:val="none"/>
        </w:rPr>
        <w:t>若发生一切安全事故和经济损失，责任由成交供应商全部承担，负责维修或照价赔偿，采购人不承担任何责任。</w:t>
      </w:r>
    </w:p>
    <w:p w14:paraId="18AAEC0F">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lang w:eastAsia="zh-CN"/>
        </w:rPr>
        <w:t>（三）</w:t>
      </w:r>
      <w:r>
        <w:rPr>
          <w:rFonts w:hint="eastAsia" w:ascii="宋体" w:hAnsi="宋体" w:cs="宋体"/>
          <w:sz w:val="24"/>
          <w:szCs w:val="24"/>
          <w:highlight w:val="none"/>
        </w:rPr>
        <w:t>供应商负责进入现场实施人员及财物安全，发生任何伤亡事故与采购人无关，供应商自行解决并承担相应的法律责任和财产损失。如因施工导致第三人人身、财产损失由供应商承担赔偿责任。</w:t>
      </w:r>
    </w:p>
    <w:p w14:paraId="55AEBA0C">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lang w:eastAsia="zh-CN"/>
        </w:rPr>
        <w:t>（四）</w:t>
      </w:r>
      <w:r>
        <w:rPr>
          <w:rFonts w:hint="eastAsia" w:ascii="宋体" w:hAnsi="宋体" w:cs="宋体"/>
          <w:sz w:val="24"/>
          <w:szCs w:val="24"/>
          <w:highlight w:val="none"/>
        </w:rPr>
        <w:t>供应商应遵守</w:t>
      </w:r>
      <w:r>
        <w:rPr>
          <w:rFonts w:hint="eastAsia" w:ascii="宋体" w:hAnsi="宋体" w:cs="宋体"/>
          <w:sz w:val="24"/>
          <w:szCs w:val="24"/>
          <w:highlight w:val="none"/>
          <w:lang w:eastAsia="zh-CN"/>
        </w:rPr>
        <w:t>采购人</w:t>
      </w:r>
      <w:r>
        <w:rPr>
          <w:rFonts w:hint="eastAsia" w:ascii="宋体" w:hAnsi="宋体" w:cs="宋体"/>
          <w:sz w:val="24"/>
          <w:szCs w:val="24"/>
          <w:highlight w:val="none"/>
        </w:rPr>
        <w:t>及施工现场相关保密规定，如因施工人员造成的失泄密事件，将对责任人和供应商追究法律责任。</w:t>
      </w:r>
    </w:p>
    <w:p w14:paraId="59E3698D">
      <w:pPr>
        <w:pStyle w:val="5"/>
        <w:adjustRightInd w:val="0"/>
        <w:snapToGrid w:val="0"/>
        <w:spacing w:before="0" w:after="0" w:line="240" w:lineRule="auto"/>
        <w:ind w:firstLine="482" w:firstLineChars="200"/>
        <w:rPr>
          <w:rFonts w:hint="eastAsia" w:ascii="宋体" w:hAnsi="宋体" w:eastAsia="宋体" w:cs="宋体"/>
          <w:b/>
          <w:color w:val="auto"/>
          <w:sz w:val="24"/>
          <w:highlight w:val="none"/>
          <w:lang w:val="en-US" w:eastAsia="zh-CN"/>
        </w:rPr>
      </w:pPr>
      <w:bookmarkStart w:id="82" w:name="_Toc18296"/>
      <w:bookmarkStart w:id="83" w:name="_Toc14134"/>
      <w:r>
        <w:rPr>
          <w:rFonts w:hint="eastAsia" w:ascii="宋体" w:hAnsi="宋体" w:eastAsia="宋体" w:cs="宋体"/>
          <w:b/>
          <w:color w:val="auto"/>
          <w:sz w:val="24"/>
          <w:highlight w:val="none"/>
          <w:lang w:val="en-US" w:eastAsia="zh-CN"/>
        </w:rPr>
        <w:t>七、供应商应无条件遵守以下监狱管理规定</w:t>
      </w:r>
      <w:bookmarkEnd w:id="82"/>
      <w:bookmarkEnd w:id="83"/>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14:paraId="78F94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noWrap w:val="0"/>
            <w:vAlign w:val="top"/>
          </w:tcPr>
          <w:p w14:paraId="6B253A31">
            <w:pPr>
              <w:spacing w:line="400" w:lineRule="exact"/>
              <w:jc w:val="center"/>
              <w:rPr>
                <w:rFonts w:ascii="宋体" w:hAnsi="宋体" w:cs="宋体"/>
                <w:sz w:val="21"/>
                <w:szCs w:val="21"/>
                <w:highlight w:val="none"/>
              </w:rPr>
            </w:pPr>
            <w:r>
              <w:rPr>
                <w:rFonts w:hint="eastAsia" w:ascii="宋体" w:hAnsi="宋体" w:cs="宋体"/>
                <w:sz w:val="21"/>
                <w:szCs w:val="21"/>
                <w:highlight w:val="none"/>
              </w:rPr>
              <w:t>施工人员及施工车辆进出须知</w:t>
            </w:r>
          </w:p>
          <w:p w14:paraId="22744F39">
            <w:pPr>
              <w:snapToGrid w:val="0"/>
              <w:spacing w:line="400" w:lineRule="exact"/>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由于施工地点是在监管区，为保证监管安全，根据法律法规和司法部，监狱管理局相关制度和规定，所有施工人员及施工车辆必须遵守：</w:t>
            </w:r>
          </w:p>
          <w:p w14:paraId="5EDA5287">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一、施工人员需在公安机关出具“无犯罪</w:t>
            </w:r>
            <w:r>
              <w:rPr>
                <w:rFonts w:hint="eastAsia" w:ascii="宋体" w:hAnsi="宋体" w:cs="宋体"/>
                <w:sz w:val="21"/>
                <w:szCs w:val="21"/>
                <w:highlight w:val="none"/>
                <w:lang w:val="en-US" w:eastAsia="zh-CN"/>
              </w:rPr>
              <w:t>记录</w:t>
            </w:r>
            <w:r>
              <w:rPr>
                <w:rFonts w:hint="eastAsia" w:ascii="宋体" w:hAnsi="宋体" w:cs="宋体"/>
                <w:sz w:val="21"/>
                <w:szCs w:val="21"/>
                <w:highlight w:val="none"/>
              </w:rPr>
              <w:t>证明”办理</w:t>
            </w:r>
            <w:r>
              <w:rPr>
                <w:rFonts w:hint="eastAsia" w:ascii="宋体" w:hAnsi="宋体" w:cs="宋体"/>
                <w:sz w:val="21"/>
                <w:szCs w:val="21"/>
                <w:highlight w:val="none"/>
                <w:lang w:eastAsia="zh-CN"/>
              </w:rPr>
              <w:t>出入</w:t>
            </w:r>
            <w:r>
              <w:rPr>
                <w:rFonts w:hint="eastAsia" w:ascii="宋体" w:hAnsi="宋体" w:cs="宋体"/>
                <w:sz w:val="21"/>
                <w:szCs w:val="21"/>
                <w:highlight w:val="none"/>
              </w:rPr>
              <w:t>证，每天凭出入证和身份证并在我单位人员带领下出入监管区，进出门必须接受登记和搜身检查。工具进出门必须登记。</w:t>
            </w:r>
          </w:p>
          <w:p w14:paraId="07B40167">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二、施工工人员及车辆严禁携带：枪支弹药等物品；手机、对讲机及相关附属配件和其他具有移动通讯功能的电子设备；各种货币现钞。金融卡和有价证券；鸦片、海洛因、病毒、吗啡、天麻、可卡因以及国家规定管制的其他使人能够形成毒瘾的麻醉药品和精神药品；管制刀具和刃器具；军警制服、便服、假发；反动，淫秽宣传制品；含有酒精的饮品；火种及可用于点火的可燃物品；各种身份类证件；可能危及监管安全的其它物品。据司法部相关规定，凡违反上述规定的，一律解除合同。</w:t>
            </w:r>
          </w:p>
          <w:p w14:paraId="6C16D096">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三、施工人员只能在指定的区域活动。严禁超出施工范围；所以施工工具只能存放在我单位指定的存放处。每日收发。严禁将工具放置于施工现场。</w:t>
            </w:r>
          </w:p>
          <w:p w14:paraId="2C5698CC">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四、施工材料、建筑废料、垃圾等只能存放于指定地点，凡不利于监管安全的物品不得在监管区内过夜。</w:t>
            </w:r>
          </w:p>
          <w:p w14:paraId="6C5F67B7">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五、施工车辆的进出、行驶、停放、上下货都还需执行相关制度并在我单位人员监管下进行。所有车辆进入监管区内运送货物应即上即下，严禁长时间停留。所有车辆与16:00前必须驶离监管区。</w:t>
            </w:r>
          </w:p>
          <w:p w14:paraId="36AA9892">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六、每日施工时间严格按照我单位的作息时间执行，下班后和晚上不得施工；如遇我方有参观、检查等活动，施工将暂停，施工材料按我单位要求进行清理和堆放。</w:t>
            </w:r>
          </w:p>
          <w:p w14:paraId="0FEB3795">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七、进入我单位大门内的所有人员严禁吸烟。</w:t>
            </w:r>
          </w:p>
          <w:p w14:paraId="6B8BE234">
            <w:pPr>
              <w:snapToGrid w:val="0"/>
              <w:spacing w:line="400" w:lineRule="exact"/>
              <w:ind w:firstLine="420" w:firstLineChars="200"/>
              <w:rPr>
                <w:rFonts w:ascii="宋体" w:hAnsi="宋体" w:cs="宋体"/>
                <w:sz w:val="21"/>
                <w:szCs w:val="21"/>
                <w:highlight w:val="none"/>
              </w:rPr>
            </w:pPr>
            <w:r>
              <w:rPr>
                <w:rFonts w:hint="eastAsia" w:ascii="宋体" w:hAnsi="宋体" w:cs="宋体"/>
                <w:sz w:val="21"/>
                <w:szCs w:val="21"/>
                <w:highlight w:val="none"/>
              </w:rPr>
              <w:t>八、我方的其它监管安全制度。</w:t>
            </w:r>
          </w:p>
        </w:tc>
      </w:tr>
    </w:tbl>
    <w:p w14:paraId="04AF767E">
      <w:pPr>
        <w:pStyle w:val="70"/>
        <w:spacing w:line="360" w:lineRule="auto"/>
        <w:ind w:firstLine="0"/>
        <w:jc w:val="center"/>
        <w:outlineLvl w:val="2"/>
        <w:rPr>
          <w:rFonts w:ascii="宋体" w:hAnsi="宋体" w:cs="宋体"/>
          <w:b/>
          <w:color w:val="auto"/>
          <w:sz w:val="36"/>
          <w:szCs w:val="30"/>
        </w:rPr>
      </w:pPr>
      <w:r>
        <w:rPr>
          <w:rFonts w:hint="eastAsia" w:ascii="宋体" w:hAnsi="宋体" w:cs="宋体"/>
          <w:b/>
          <w:color w:val="auto"/>
          <w:sz w:val="36"/>
          <w:szCs w:val="30"/>
        </w:rPr>
        <w:br w:type="page"/>
      </w:r>
      <w:bookmarkStart w:id="84" w:name="_Toc23435"/>
      <w:r>
        <w:rPr>
          <w:rStyle w:val="45"/>
          <w:rFonts w:hint="eastAsia" w:ascii="宋体" w:hAnsi="宋体" w:eastAsia="宋体" w:cs="宋体"/>
          <w:b w:val="0"/>
          <w:bCs/>
          <w:color w:val="auto"/>
          <w:sz w:val="36"/>
          <w:szCs w:val="36"/>
        </w:rPr>
        <w:t xml:space="preserve">第三篇  </w:t>
      </w:r>
      <w:bookmarkEnd w:id="59"/>
      <w:r>
        <w:rPr>
          <w:rStyle w:val="45"/>
          <w:rFonts w:hint="eastAsia" w:ascii="宋体" w:hAnsi="宋体" w:eastAsia="宋体" w:cs="宋体"/>
          <w:b w:val="0"/>
          <w:bCs/>
          <w:color w:val="auto"/>
          <w:sz w:val="36"/>
          <w:szCs w:val="36"/>
        </w:rPr>
        <w:t>谈判项目</w:t>
      </w:r>
      <w:bookmarkEnd w:id="72"/>
      <w:bookmarkEnd w:id="73"/>
      <w:bookmarkEnd w:id="74"/>
      <w:r>
        <w:rPr>
          <w:rStyle w:val="45"/>
          <w:rFonts w:hint="eastAsia" w:ascii="宋体" w:hAnsi="宋体" w:eastAsia="宋体" w:cs="宋体"/>
          <w:b w:val="0"/>
          <w:bCs/>
          <w:color w:val="auto"/>
          <w:sz w:val="36"/>
          <w:szCs w:val="36"/>
        </w:rPr>
        <w:t>商务需求</w:t>
      </w:r>
      <w:bookmarkEnd w:id="84"/>
    </w:p>
    <w:p w14:paraId="1DCEEAAE">
      <w:pPr>
        <w:pStyle w:val="5"/>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85" w:name="_Toc105753144"/>
      <w:bookmarkStart w:id="86" w:name="_Toc10423"/>
      <w:bookmarkStart w:id="87" w:name="_Toc104552587"/>
      <w:bookmarkStart w:id="88" w:name="_Toc27184"/>
      <w:bookmarkStart w:id="89" w:name="_Toc27559"/>
      <w:bookmarkStart w:id="90" w:name="_Toc12935"/>
      <w:bookmarkStart w:id="91" w:name="_Toc13555"/>
      <w:bookmarkStart w:id="92" w:name="_Toc65660342"/>
      <w:bookmarkStart w:id="93" w:name="_Toc342913389"/>
      <w:r>
        <w:rPr>
          <w:rFonts w:hint="eastAsia" w:ascii="宋体" w:hAnsi="宋体" w:eastAsia="宋体" w:cs="宋体"/>
          <w:color w:val="auto"/>
          <w:sz w:val="24"/>
          <w:highlight w:val="none"/>
        </w:rPr>
        <w:t>一、实施时间、地点和</w:t>
      </w:r>
      <w:bookmarkEnd w:id="85"/>
      <w:bookmarkEnd w:id="86"/>
      <w:bookmarkEnd w:id="87"/>
      <w:r>
        <w:rPr>
          <w:rFonts w:hint="eastAsia" w:ascii="宋体" w:hAnsi="宋体" w:eastAsia="宋体" w:cs="宋体"/>
          <w:color w:val="auto"/>
          <w:sz w:val="24"/>
          <w:highlight w:val="none"/>
        </w:rPr>
        <w:t>验收方式</w:t>
      </w:r>
      <w:bookmarkEnd w:id="88"/>
      <w:bookmarkEnd w:id="89"/>
    </w:p>
    <w:p w14:paraId="67A3E17B">
      <w:pPr>
        <w:pStyle w:val="21"/>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（一）实施时间</w:t>
      </w:r>
    </w:p>
    <w:p w14:paraId="2FB340AE">
      <w:p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工期：</w:t>
      </w:r>
      <w:r>
        <w:rPr>
          <w:rFonts w:hint="eastAsia" w:ascii="宋体" w:hAnsi="宋体" w:cs="宋体"/>
          <w:color w:val="auto"/>
          <w:kern w:val="2"/>
          <w:sz w:val="24"/>
          <w:szCs w:val="24"/>
          <w:highlight w:val="none"/>
          <w:lang w:val="en-US" w:eastAsia="zh-CN" w:bidi="ar-SA"/>
        </w:rPr>
        <w:t>75</w:t>
      </w:r>
      <w:r>
        <w:rPr>
          <w:rFonts w:hint="eastAsia" w:ascii="宋体" w:hAnsi="宋体" w:eastAsia="宋体" w:cs="宋体"/>
          <w:color w:val="auto"/>
          <w:kern w:val="2"/>
          <w:sz w:val="24"/>
          <w:szCs w:val="24"/>
          <w:highlight w:val="none"/>
          <w:lang w:val="en-US" w:eastAsia="zh-CN" w:bidi="ar-SA"/>
        </w:rPr>
        <w:t>个日历日，具体开工日期以采购人下达的开工令为准。</w:t>
      </w:r>
    </w:p>
    <w:p w14:paraId="163AEFBB">
      <w:pPr>
        <w:pStyle w:val="21"/>
        <w:spacing w:line="400" w:lineRule="exact"/>
        <w:ind w:firstLine="360" w:firstLineChars="150"/>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（二）实施地点</w:t>
      </w:r>
    </w:p>
    <w:p w14:paraId="42346A03">
      <w:pPr>
        <w:pStyle w:val="21"/>
        <w:spacing w:line="400" w:lineRule="exact"/>
        <w:ind w:firstLine="360" w:firstLineChars="150"/>
        <w:outlineLvl w:val="2"/>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重庆市江北区（采购人指定地点）</w:t>
      </w:r>
      <w:r>
        <w:rPr>
          <w:rFonts w:hint="eastAsia" w:ascii="宋体" w:hAnsi="宋体" w:cs="宋体"/>
          <w:color w:val="auto"/>
          <w:kern w:val="2"/>
          <w:sz w:val="24"/>
          <w:szCs w:val="24"/>
          <w:highlight w:val="none"/>
          <w:lang w:val="en-US" w:eastAsia="zh-CN" w:bidi="ar-SA"/>
        </w:rPr>
        <w:t>。</w:t>
      </w:r>
    </w:p>
    <w:bookmarkEnd w:id="90"/>
    <w:bookmarkEnd w:id="91"/>
    <w:bookmarkEnd w:id="92"/>
    <w:p w14:paraId="3091A77F">
      <w:pPr>
        <w:pStyle w:val="70"/>
        <w:spacing w:line="400" w:lineRule="exact"/>
        <w:ind w:firstLine="360" w:firstLineChars="150"/>
        <w:outlineLvl w:val="2"/>
        <w:rPr>
          <w:rFonts w:ascii="宋体" w:hAnsi="宋体" w:cs="宋体"/>
          <w:color w:val="auto"/>
          <w:sz w:val="24"/>
          <w:szCs w:val="24"/>
          <w:highlight w:val="none"/>
        </w:rPr>
      </w:pPr>
      <w:r>
        <w:rPr>
          <w:rFonts w:hint="eastAsia" w:ascii="宋体" w:hAnsi="宋体" w:cs="宋体"/>
          <w:color w:val="auto"/>
          <w:sz w:val="24"/>
          <w:szCs w:val="24"/>
          <w:highlight w:val="none"/>
        </w:rPr>
        <w:t>（三）验收方式</w:t>
      </w:r>
    </w:p>
    <w:p w14:paraId="55B8342B">
      <w:pPr>
        <w:snapToGrid w:val="0"/>
        <w:spacing w:line="400" w:lineRule="exact"/>
        <w:ind w:firstLine="540"/>
        <w:rPr>
          <w:rFonts w:ascii="宋体" w:hAnsi="宋体" w:cs="宋体"/>
          <w:color w:val="auto"/>
          <w:sz w:val="24"/>
          <w:szCs w:val="24"/>
          <w:highlight w:val="none"/>
        </w:rPr>
      </w:pPr>
      <w:bookmarkStart w:id="94" w:name="_Toc118996960"/>
      <w:bookmarkStart w:id="95" w:name="_Toc104552589"/>
      <w:bookmarkStart w:id="96" w:name="_Toc105753146"/>
      <w:r>
        <w:rPr>
          <w:rFonts w:hint="eastAsia" w:ascii="宋体" w:hAnsi="宋体" w:cs="宋体"/>
          <w:color w:val="auto"/>
          <w:sz w:val="24"/>
          <w:szCs w:val="24"/>
          <w:highlight w:val="none"/>
        </w:rPr>
        <w:t xml:space="preserve">1.工程完工后，按国家相关标准验收程序和规程进行验收。在项目竣工验收时，成交供应商应提供验收报告。 </w:t>
      </w:r>
    </w:p>
    <w:p w14:paraId="56208496">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2.达到国家现行有关施工质量验收规范要求，并达到合格标准。</w:t>
      </w:r>
    </w:p>
    <w:p w14:paraId="1AC128E2">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3.施工过程应遵照现行国家有关规范进行，按照工程量清单及有关要求进行检查验收。成交供应商应保证工程质量，工程所用建筑材料须符合国家及行业标准，项目工程达到国家现行有关施工质量验收规范要求，并达到合格标准。</w:t>
      </w:r>
    </w:p>
    <w:p w14:paraId="51821BA7">
      <w:pPr>
        <w:pStyle w:val="5"/>
        <w:adjustRightInd w:val="0"/>
        <w:snapToGrid w:val="0"/>
        <w:spacing w:before="0" w:after="0" w:line="400" w:lineRule="exact"/>
        <w:ind w:firstLine="482" w:firstLineChars="200"/>
        <w:rPr>
          <w:rFonts w:ascii="宋体" w:hAnsi="宋体" w:eastAsia="宋体" w:cs="宋体"/>
          <w:color w:val="auto"/>
          <w:sz w:val="24"/>
          <w:highlight w:val="none"/>
        </w:rPr>
      </w:pPr>
      <w:bookmarkStart w:id="97" w:name="_Toc8156"/>
      <w:bookmarkStart w:id="98" w:name="_Toc28740"/>
      <w:r>
        <w:rPr>
          <w:rFonts w:hint="eastAsia" w:ascii="宋体" w:hAnsi="宋体" w:eastAsia="宋体" w:cs="宋体"/>
          <w:color w:val="auto"/>
          <w:sz w:val="24"/>
          <w:highlight w:val="none"/>
        </w:rPr>
        <w:t>二、项目质量要求及质量保证</w:t>
      </w:r>
      <w:bookmarkEnd w:id="94"/>
      <w:bookmarkEnd w:id="97"/>
      <w:bookmarkEnd w:id="98"/>
    </w:p>
    <w:p w14:paraId="407CFB47">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rPr>
        <w:t>质量保修期：主体工程自工程竣工验收合格之日起计两年，防水部分五年,其他涉及工程双方根据《建设工程质量管理条例》及国家有关规定，进行质量保修期的约定。</w:t>
      </w:r>
    </w:p>
    <w:p w14:paraId="4B07D5BF">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保修期内，施工质量缺陷的维护及维修（非人为损坏）均为免费。</w:t>
      </w:r>
    </w:p>
    <w:p w14:paraId="186FB213">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rPr>
        <w:t>保修期内，施工质量缺陷维修均为现场服务，由此产生的费用均由成交供应商承担。</w:t>
      </w:r>
    </w:p>
    <w:p w14:paraId="5C47DF2F">
      <w:pPr>
        <w:snapToGrid w:val="0"/>
        <w:spacing w:line="400" w:lineRule="exact"/>
        <w:ind w:firstLine="54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质保期外服务要求</w:t>
      </w:r>
    </w:p>
    <w:p w14:paraId="5C2F6FAD">
      <w:pPr>
        <w:snapToGrid w:val="0"/>
        <w:spacing w:line="400" w:lineRule="exact"/>
        <w:ind w:firstLine="540"/>
        <w:rPr>
          <w:rFonts w:ascii="宋体" w:hAnsi="宋体" w:cs="宋体"/>
          <w:color w:val="auto"/>
          <w:sz w:val="24"/>
          <w:szCs w:val="24"/>
          <w:highlight w:val="none"/>
        </w:rPr>
      </w:pPr>
      <w:r>
        <w:rPr>
          <w:rFonts w:hint="eastAsia" w:ascii="宋体" w:hAnsi="宋体" w:cs="宋体"/>
          <w:color w:val="auto"/>
          <w:sz w:val="24"/>
          <w:szCs w:val="24"/>
          <w:highlight w:val="none"/>
        </w:rPr>
        <w:t>质量保证期过后，成交供应商应同样提供免费电话咨询服务。</w:t>
      </w:r>
    </w:p>
    <w:p w14:paraId="7BB9A24B">
      <w:pPr>
        <w:pStyle w:val="5"/>
        <w:adjustRightInd w:val="0"/>
        <w:snapToGrid w:val="0"/>
        <w:spacing w:before="0" w:after="0" w:line="400" w:lineRule="exact"/>
        <w:ind w:firstLine="482" w:firstLineChars="200"/>
        <w:rPr>
          <w:rFonts w:ascii="宋体" w:hAnsi="宋体" w:eastAsia="宋体" w:cs="宋体"/>
          <w:color w:val="auto"/>
          <w:sz w:val="24"/>
          <w:highlight w:val="none"/>
        </w:rPr>
      </w:pPr>
      <w:bookmarkStart w:id="99" w:name="_Toc11476"/>
      <w:bookmarkStart w:id="100" w:name="_Toc6447"/>
      <w:r>
        <w:rPr>
          <w:rFonts w:hint="eastAsia" w:ascii="宋体" w:hAnsi="宋体" w:eastAsia="宋体" w:cs="宋体"/>
          <w:color w:val="auto"/>
          <w:sz w:val="24"/>
          <w:highlight w:val="none"/>
        </w:rPr>
        <w:t>三、</w:t>
      </w:r>
      <w:bookmarkEnd w:id="95"/>
      <w:bookmarkEnd w:id="96"/>
      <w:r>
        <w:rPr>
          <w:rFonts w:hint="eastAsia" w:ascii="宋体" w:hAnsi="宋体" w:eastAsia="宋体" w:cs="宋体"/>
          <w:color w:val="auto"/>
          <w:sz w:val="24"/>
          <w:highlight w:val="none"/>
        </w:rPr>
        <w:t>报价要求</w:t>
      </w:r>
      <w:bookmarkEnd w:id="99"/>
      <w:bookmarkEnd w:id="100"/>
    </w:p>
    <w:p w14:paraId="08018B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szCs w:val="24"/>
          <w:highlight w:val="none"/>
        </w:rPr>
      </w:pPr>
      <w:bookmarkStart w:id="101" w:name="_Toc65660346"/>
      <w:bookmarkStart w:id="102" w:name="_Toc24751"/>
      <w:bookmarkStart w:id="103" w:name="_Toc7228"/>
      <w:bookmarkStart w:id="104" w:name="_Toc106034637"/>
      <w:bookmarkStart w:id="105" w:name="_Toc511812888"/>
      <w:r>
        <w:rPr>
          <w:rFonts w:hint="eastAsia" w:ascii="宋体" w:hAnsi="宋体" w:eastAsia="宋体" w:cs="宋体"/>
          <w:color w:val="auto"/>
          <w:sz w:val="24"/>
          <w:szCs w:val="24"/>
          <w:highlight w:val="none"/>
        </w:rPr>
        <w:t>本次</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报价为人民币报价，供应商所报价格包括但不限于完成本项目施工图及预算范围所有内容所需的</w:t>
      </w:r>
      <w:r>
        <w:rPr>
          <w:rFonts w:hint="eastAsia" w:ascii="宋体" w:hAnsi="宋体" w:eastAsia="宋体" w:cs="宋体"/>
          <w:b w:val="0"/>
          <w:bCs w:val="0"/>
          <w:color w:val="auto"/>
          <w:sz w:val="24"/>
          <w:szCs w:val="24"/>
          <w:highlight w:val="none"/>
          <w:lang w:val="en-US"/>
        </w:rPr>
        <w:t>人工费、材料费、机械费、管理费、利润、风险费、措施费、规费、安全文明施工费、税金等所有费用</w:t>
      </w:r>
      <w:r>
        <w:rPr>
          <w:rFonts w:hint="eastAsia" w:ascii="宋体" w:hAnsi="宋体" w:eastAsia="宋体" w:cs="宋体"/>
          <w:color w:val="auto"/>
          <w:sz w:val="24"/>
          <w:szCs w:val="24"/>
          <w:highlight w:val="none"/>
        </w:rPr>
        <w:t>。因成交供应商自身原因造成漏报、少报皆由其自行承担责任，</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不再补偿。</w:t>
      </w:r>
    </w:p>
    <w:p w14:paraId="307391CD">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bookmarkStart w:id="106" w:name="_Toc351203642"/>
      <w:bookmarkEnd w:id="106"/>
      <w:r>
        <w:rPr>
          <w:rFonts w:hint="eastAsia" w:ascii="宋体" w:hAnsi="宋体" w:eastAsia="宋体" w:cs="宋体"/>
          <w:b w:val="0"/>
          <w:bCs w:val="0"/>
          <w:color w:val="auto"/>
          <w:sz w:val="24"/>
          <w:szCs w:val="24"/>
          <w:highlight w:val="none"/>
          <w:lang w:val="en-US"/>
        </w:rPr>
        <w:t>1.本项目采用</w:t>
      </w:r>
      <w:r>
        <w:rPr>
          <w:rFonts w:hint="eastAsia" w:ascii="宋体" w:hAnsi="宋体" w:eastAsia="宋体" w:cs="宋体"/>
          <w:b w:val="0"/>
          <w:bCs w:val="0"/>
          <w:color w:val="auto"/>
          <w:sz w:val="24"/>
          <w:szCs w:val="24"/>
          <w:highlight w:val="none"/>
          <w:lang w:val="en-US" w:eastAsia="zh-CN"/>
        </w:rPr>
        <w:t>综合单价</w:t>
      </w:r>
      <w:r>
        <w:rPr>
          <w:rFonts w:hint="eastAsia" w:ascii="宋体" w:hAnsi="宋体" w:eastAsia="宋体" w:cs="宋体"/>
          <w:b w:val="0"/>
          <w:bCs w:val="0"/>
          <w:color w:val="auto"/>
          <w:sz w:val="24"/>
          <w:szCs w:val="24"/>
          <w:highlight w:val="none"/>
          <w:lang w:val="en-US"/>
        </w:rPr>
        <w:t>包干计价，除设计漏项外不再另设增项。</w:t>
      </w:r>
    </w:p>
    <w:p w14:paraId="502399CD">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供应商应按《建设工程工程量清单计价规范》（GB50500-2013）及重庆市相关工程量清单计价规则的要求填写相应清单表格。供应商应按《重庆市建设工程费用定额》（CQFYDE-2018）、《重庆市住房和城乡建设委员会关于适用增值税新税率调整建设工程计价依据的通知》（渝建〔2019〕143号）和 “工程量清单”的要求填写相应清单表格。供应商的投标报价应是完成本工程合同段采购范围内的全部工程的投标报价，并以供应商在工程量清单中提出的单价为依据。</w:t>
      </w:r>
    </w:p>
    <w:p w14:paraId="19053F8F">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供应商应认真填写工程量清单中所列的本合同各工程子目的单价或总价。供应商没有填入单价或总价的工程子目，采购人将认为该子目的价款已包括在工程量清单其他子目的单价和总价中。供应商必须按采购工程量清单填报价格。项目编码、项目名称、项目特征、计量单位、工程量必须与采购工程量清单一致。否则由谈判小组作无效谈判处理。</w:t>
      </w:r>
    </w:p>
    <w:p w14:paraId="3B9153C7">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4.报价函中的总报价必须与已标价工程量清单总报价一致，且工程量清单总报价与依据单价、工程数量、分部分项工程合价计算出的结果应一致，否则由谈判小组作无效谈判处理。</w:t>
      </w:r>
    </w:p>
    <w:p w14:paraId="64851F68">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5.谈判过程中二次报价时，供应商只需对总价进行二次报价，分部分项工程项目清单计价表中的单项报价在签订合同</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b w:val="0"/>
          <w:bCs w:val="0"/>
          <w:color w:val="auto"/>
          <w:sz w:val="24"/>
          <w:szCs w:val="24"/>
          <w:highlight w:val="none"/>
          <w:lang w:val="en-US"/>
        </w:rPr>
        <w:t>按照第二轮报价的总价减去安全文明施工费和暂列金额与第一轮报价总价减去安全文明施工费和暂列金额相比的下浮比例调整即可，二次报价中供应商无需再逐项进行单项报价。</w:t>
      </w:r>
    </w:p>
    <w:p w14:paraId="36AAD503">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6.供应商的报价中对于采购人给出的安全文明施工费以及暂列金额都不能进行改动，须按照采购人给出的金额报价，否则视为无效响应。</w:t>
      </w:r>
    </w:p>
    <w:p w14:paraId="3CCBD9AD">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7.谈判报价范围：各供应商对采购人提供的工程量清单和现场情况进行自主报价。含完成项目所需的人工费、材料费、机械费、管理费、利润、风险费、措施费、规费、安全文明施工费、税金等所有费用。</w:t>
      </w:r>
    </w:p>
    <w:p w14:paraId="617D7D46">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8.价格调整</w:t>
      </w:r>
    </w:p>
    <w:p w14:paraId="445E3433">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8.1 在本合同实施期间，</w:t>
      </w:r>
      <w:r>
        <w:rPr>
          <w:rFonts w:hint="eastAsia" w:ascii="宋体" w:hAnsi="宋体" w:eastAsia="宋体" w:cs="宋体"/>
          <w:b w:val="0"/>
          <w:bCs w:val="0"/>
          <w:color w:val="auto"/>
          <w:sz w:val="24"/>
          <w:szCs w:val="24"/>
          <w:highlight w:val="none"/>
          <w:lang w:val="en-US" w:eastAsia="zh-CN"/>
        </w:rPr>
        <w:t>合同中清单项的综合单价不</w:t>
      </w:r>
      <w:r>
        <w:rPr>
          <w:rFonts w:hint="eastAsia" w:ascii="宋体" w:hAnsi="宋体" w:eastAsia="宋体" w:cs="宋体"/>
          <w:b w:val="0"/>
          <w:bCs w:val="0"/>
          <w:color w:val="auto"/>
          <w:sz w:val="24"/>
          <w:szCs w:val="24"/>
          <w:highlight w:val="none"/>
          <w:lang w:val="en-US"/>
        </w:rPr>
        <w:t>调整</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除设计漏项外</w:t>
      </w:r>
      <w:r>
        <w:rPr>
          <w:rFonts w:hint="eastAsia" w:ascii="宋体" w:hAnsi="宋体" w:eastAsia="宋体" w:cs="宋体"/>
          <w:b w:val="0"/>
          <w:bCs w:val="0"/>
          <w:color w:val="auto"/>
          <w:sz w:val="24"/>
          <w:szCs w:val="24"/>
          <w:highlight w:val="none"/>
          <w:lang w:val="en-US" w:eastAsia="zh-CN"/>
        </w:rPr>
        <w:t>需新增清单项）</w:t>
      </w:r>
      <w:r>
        <w:rPr>
          <w:rFonts w:hint="eastAsia" w:ascii="宋体" w:hAnsi="宋体" w:eastAsia="宋体" w:cs="宋体"/>
          <w:b w:val="0"/>
          <w:bCs w:val="0"/>
          <w:color w:val="auto"/>
          <w:sz w:val="24"/>
          <w:szCs w:val="24"/>
          <w:highlight w:val="none"/>
          <w:lang w:val="en-US"/>
        </w:rPr>
        <w:t>。</w:t>
      </w:r>
      <w:r>
        <w:rPr>
          <w:rFonts w:hint="eastAsia" w:ascii="宋体" w:hAnsi="宋体" w:eastAsia="宋体" w:cs="宋体"/>
          <w:b w:val="0"/>
          <w:bCs w:val="0"/>
          <w:color w:val="auto"/>
          <w:sz w:val="24"/>
          <w:szCs w:val="24"/>
          <w:highlight w:val="none"/>
          <w:lang w:val="en-US" w:eastAsia="zh-CN"/>
        </w:rPr>
        <w:t>如据实完成的工程量乘以中标综合清单价格的总金额</w:t>
      </w:r>
      <w:r>
        <w:rPr>
          <w:rFonts w:hint="eastAsia" w:ascii="宋体" w:hAnsi="宋体" w:eastAsia="宋体" w:cs="宋体"/>
          <w:b w:val="0"/>
          <w:bCs w:val="0"/>
          <w:color w:val="auto"/>
          <w:sz w:val="24"/>
          <w:szCs w:val="24"/>
          <w:highlight w:val="none"/>
          <w:lang w:val="en-US"/>
        </w:rPr>
        <w:t>超合同总价部分，即增加投资部分内容实施以前，供应商须事先报采购人，采购人按相关程序获得上级主管及相关部门获得同意，然后再实施。否则，增加投资不予认可，总价不予调整。</w:t>
      </w:r>
    </w:p>
    <w:p w14:paraId="1619EB34">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8.2 增值税计税方法由采购人依据国家税法规定选择：一般计税法。</w:t>
      </w:r>
    </w:p>
    <w:p w14:paraId="58436B41">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9.如发现工程量清单中的数量与图纸中数量不一致，应于在规定的时间前通知采购人核查，除非采购人以修改的形式予以更正，否则，应以工程量清单中列出的数量为准。</w:t>
      </w:r>
    </w:p>
    <w:p w14:paraId="40B4E902">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10.采购人在工程量清单中所列出的暂列金额、暂估价等暂定金额必须按给定的金额填报，否则由谈判小组作无效谈判处理。</w:t>
      </w:r>
    </w:p>
    <w:p w14:paraId="34CBF3BC">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11.最高限价</w:t>
      </w:r>
    </w:p>
    <w:p w14:paraId="44A719F5">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11.1</w:t>
      </w:r>
      <w:r>
        <w:rPr>
          <w:rFonts w:hint="eastAsia" w:ascii="宋体" w:hAnsi="宋体" w:cs="宋体"/>
          <w:color w:val="auto"/>
          <w:kern w:val="0"/>
          <w:sz w:val="24"/>
          <w:szCs w:val="24"/>
          <w:highlight w:val="none"/>
        </w:rPr>
        <w:t>本项目设总报价最高限价为人民币:</w:t>
      </w:r>
      <w:r>
        <w:rPr>
          <w:rFonts w:hint="eastAsia" w:ascii="宋体" w:hAnsi="宋体" w:cs="宋体"/>
          <w:color w:val="auto"/>
          <w:kern w:val="0"/>
          <w:sz w:val="24"/>
          <w:szCs w:val="24"/>
          <w:highlight w:val="none"/>
          <w:u w:val="single"/>
        </w:rPr>
        <w:t xml:space="preserve"> 大写：</w:t>
      </w:r>
      <w:r>
        <w:rPr>
          <w:rFonts w:hint="eastAsia" w:ascii="宋体" w:hAnsi="宋体" w:cs="宋体"/>
          <w:color w:val="auto"/>
          <w:kern w:val="0"/>
          <w:sz w:val="24"/>
          <w:szCs w:val="24"/>
          <w:highlight w:val="none"/>
          <w:u w:val="single"/>
          <w:lang w:eastAsia="zh-CN"/>
        </w:rPr>
        <w:t>陆拾贰万玖仟肆佰零玖元肆角叁分</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629409.43</w:t>
      </w:r>
      <w:r>
        <w:rPr>
          <w:rFonts w:hint="eastAsia" w:ascii="宋体" w:hAnsi="宋体" w:cs="宋体"/>
          <w:color w:val="auto"/>
          <w:kern w:val="0"/>
          <w:sz w:val="24"/>
          <w:szCs w:val="24"/>
          <w:highlight w:val="none"/>
        </w:rPr>
        <w:t>元）。其中安全文明施工费暂定金额￥</w:t>
      </w:r>
      <w:r>
        <w:rPr>
          <w:rFonts w:hint="eastAsia" w:ascii="宋体" w:hAnsi="宋体" w:cs="宋体"/>
          <w:color w:val="auto"/>
          <w:kern w:val="0"/>
          <w:sz w:val="24"/>
          <w:szCs w:val="24"/>
          <w:highlight w:val="none"/>
          <w:u w:val="single"/>
        </w:rPr>
        <w:t>17853.38</w:t>
      </w:r>
      <w:r>
        <w:rPr>
          <w:rFonts w:hint="eastAsia" w:ascii="宋体" w:hAnsi="宋体" w:cs="宋体"/>
          <w:color w:val="auto"/>
          <w:kern w:val="0"/>
          <w:sz w:val="24"/>
          <w:szCs w:val="24"/>
          <w:highlight w:val="none"/>
        </w:rPr>
        <w:t xml:space="preserve">元 </w:t>
      </w:r>
      <w:r>
        <w:rPr>
          <w:rFonts w:hint="eastAsia" w:ascii="宋体" w:hAnsi="宋体" w:eastAsia="宋体" w:cs="宋体"/>
          <w:b w:val="0"/>
          <w:bCs w:val="0"/>
          <w:color w:val="auto"/>
          <w:sz w:val="24"/>
          <w:szCs w:val="24"/>
          <w:highlight w:val="none"/>
          <w:lang w:val="en-US"/>
        </w:rPr>
        <w:t>。供应商的投标总报价不得超过投标总报价最高限价，否则由谈判小组作无效谈判处理。</w:t>
      </w:r>
    </w:p>
    <w:p w14:paraId="538C5546">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11.2 本采购项目设置全部工程量清单综合单价最高限价，供应商的每项清单综合单价报价不得超过对应项清单综合单价（含施工组织措施项目清单、施工技术措施项目清单）最高限价，否则由谈判小组作无效谈判处理。</w:t>
      </w:r>
    </w:p>
    <w:p w14:paraId="286389E9">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12. 安全文明施工费</w:t>
      </w:r>
    </w:p>
    <w:p w14:paraId="4E1AD1CF">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12.1 根据重庆市住房和城乡建设委员会关于修订发布《重庆市建设工程安全文明施工费计取及使用管理规定》的通知（渝建管〔2024〕38号）规定，安全文明施工费由安全施工费、文明施工费、环境保护费及临时设施费组成。</w:t>
      </w:r>
    </w:p>
    <w:p w14:paraId="336F7C28">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12.2 本工程安全文明施工费由采购人根据《建设工程工程量清单计价规范》（GB50500-2013）、《重庆市建设工程工程量清单计价规则》（CQJJGZ-2013）、《重庆市建设工程安全文明施工费计取及使用管理规定》的通知（渝建管〔2024〕38号）、《重庆市建设工程费用定额》（CQFYDE-2018）、《重庆市住房和城乡建设委员会关于适用增值税新税率调整建设工程计价依据的通知》（渝建〔2019〕143号）的相关规定和费用标准单列计算，安全文明施工费暂定金额为：17853.38元（大写：</w:t>
      </w:r>
      <w:r>
        <w:rPr>
          <w:rFonts w:hint="eastAsia" w:ascii="宋体" w:hAnsi="宋体" w:cs="宋体"/>
          <w:b w:val="0"/>
          <w:bCs w:val="0"/>
          <w:color w:val="auto"/>
          <w:sz w:val="24"/>
          <w:szCs w:val="24"/>
          <w:highlight w:val="none"/>
          <w:lang w:val="en-US" w:eastAsia="zh-CN"/>
        </w:rPr>
        <w:t>壹万柒仟捌佰伍拾叁元叁角捌分</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rPr>
        <w:t>《报价函》中的安全文明施工费金额或工程量清单中安全文明施工费的汇总金额未按照采购人给出的暂定金额填报的，视为对采购文件不作实质性响应，其响应文件由谈判小组作无效谈判处理。</w:t>
      </w:r>
    </w:p>
    <w:p w14:paraId="2781EDBE">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13. 本工程所需材料（含设备）价格由供应商参照重庆市建设工程造价管理总站发布的最新材料价格进行调整。供应商自行结合市场行情及自身实力进行自主报价。</w:t>
      </w:r>
    </w:p>
    <w:p w14:paraId="72ED07DB">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14.本采购项目建筑安装材料价格风险按照《重庆市城乡建设委员会关于进一步加强建筑安装材料价格风险管控的指导意见》（渝建〔2018〕61号）执行。</w:t>
      </w:r>
    </w:p>
    <w:p w14:paraId="6E6E26D1">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ascii="宋体" w:hAnsi="宋体" w:cs="宋体"/>
          <w:color w:val="auto"/>
          <w:kern w:val="0"/>
          <w:sz w:val="24"/>
          <w:szCs w:val="24"/>
          <w:highlight w:val="none"/>
        </w:rPr>
      </w:pPr>
      <w:r>
        <w:rPr>
          <w:rFonts w:hint="eastAsia" w:ascii="宋体" w:hAnsi="宋体" w:eastAsia="宋体" w:cs="宋体"/>
          <w:b w:val="0"/>
          <w:bCs w:val="0"/>
          <w:color w:val="auto"/>
          <w:sz w:val="24"/>
          <w:szCs w:val="24"/>
          <w:highlight w:val="none"/>
          <w:lang w:val="en-US"/>
        </w:rPr>
        <w:t>15.本工程所采用技术、工艺和产品等必须执行重庆市住房和城乡建设委员会关于发布《重庆市建设领域禁止、限制使用落后技术通告（2019年版）（渝建发〔2019〕25号）的规定。</w:t>
      </w:r>
    </w:p>
    <w:p w14:paraId="408C1AB6">
      <w:pPr>
        <w:pStyle w:val="5"/>
        <w:adjustRightInd w:val="0"/>
        <w:snapToGrid w:val="0"/>
        <w:spacing w:before="0" w:after="0" w:line="400" w:lineRule="exact"/>
        <w:ind w:firstLine="482" w:firstLineChars="200"/>
        <w:rPr>
          <w:rFonts w:ascii="宋体" w:hAnsi="宋体" w:eastAsia="宋体" w:cs="宋体"/>
          <w:color w:val="auto"/>
          <w:sz w:val="24"/>
          <w:highlight w:val="none"/>
        </w:rPr>
      </w:pPr>
      <w:bookmarkStart w:id="107" w:name="_Toc14694"/>
      <w:bookmarkStart w:id="108" w:name="_Toc23571"/>
      <w:r>
        <w:rPr>
          <w:rFonts w:hint="eastAsia" w:ascii="宋体" w:hAnsi="宋体" w:eastAsia="宋体" w:cs="宋体"/>
          <w:color w:val="auto"/>
          <w:sz w:val="24"/>
          <w:highlight w:val="none"/>
          <w:lang w:eastAsia="zh-CN"/>
        </w:rPr>
        <w:t>四</w:t>
      </w:r>
      <w:r>
        <w:rPr>
          <w:rFonts w:hint="eastAsia" w:ascii="宋体" w:hAnsi="宋体" w:eastAsia="宋体" w:cs="宋体"/>
          <w:color w:val="auto"/>
          <w:sz w:val="24"/>
          <w:highlight w:val="none"/>
        </w:rPr>
        <w:t>、</w:t>
      </w:r>
      <w:bookmarkEnd w:id="101"/>
      <w:bookmarkEnd w:id="102"/>
      <w:bookmarkEnd w:id="103"/>
      <w:bookmarkEnd w:id="104"/>
      <w:r>
        <w:rPr>
          <w:rFonts w:hint="eastAsia" w:ascii="宋体" w:hAnsi="宋体" w:eastAsia="宋体" w:cs="宋体"/>
          <w:color w:val="auto"/>
          <w:sz w:val="24"/>
          <w:highlight w:val="none"/>
        </w:rPr>
        <w:t>付款方式</w:t>
      </w:r>
      <w:bookmarkEnd w:id="107"/>
      <w:bookmarkEnd w:id="108"/>
    </w:p>
    <w:p w14:paraId="593519C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合同签订时成交供应商向采购人缴纳合同金额10%的履约保证金（以转账、支票、汇票、本票或者金融机构、担保机构出具的保函等非现金形式提交）；工程竣工验收合格后由成交供应商提交退回履约保证金书面申请，采购人在收到申请书后办理无息退还履约保证金手续（若出现违约，则履约保证金的退还金额要相应扣减）。</w:t>
      </w:r>
    </w:p>
    <w:p w14:paraId="590CB760">
      <w:pPr>
        <w:spacing w:line="400" w:lineRule="exact"/>
        <w:ind w:firstLine="480" w:firstLineChars="200"/>
        <w:rPr>
          <w:rFonts w:hint="eastAsia" w:ascii="宋体" w:hAnsi="宋体" w:cs="宋体"/>
          <w:color w:val="auto"/>
          <w:sz w:val="24"/>
          <w:szCs w:val="24"/>
          <w:highlight w:val="none"/>
        </w:rPr>
      </w:pPr>
      <w:bookmarkStart w:id="109" w:name="OLE_LINK2"/>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签订合同后，成交供应商提供中标金额50%的见索即付保函后，预付中标金额的50%，成交供应商需要开具足额增值税发票，</w:t>
      </w:r>
      <w:r>
        <w:rPr>
          <w:rFonts w:hint="eastAsia" w:ascii="宋体" w:hAnsi="宋体" w:cs="宋体"/>
          <w:color w:val="auto"/>
          <w:sz w:val="24"/>
          <w:szCs w:val="24"/>
          <w:highlight w:val="none"/>
          <w:lang w:eastAsia="zh-CN"/>
        </w:rPr>
        <w:t>工程骏工</w:t>
      </w:r>
      <w:r>
        <w:rPr>
          <w:rFonts w:hint="eastAsia" w:ascii="宋体" w:hAnsi="宋体" w:cs="宋体"/>
          <w:color w:val="auto"/>
          <w:sz w:val="24"/>
          <w:szCs w:val="24"/>
          <w:highlight w:val="none"/>
        </w:rPr>
        <w:t>验收合格后支付至合同金额的80%，结算审核完成后付款至结算金额的97%，工程保修期满后付至结算金额的100%（其中主体工程部分两年质保期届满后支付，防水工程部分五年质保期届满后支付。）</w:t>
      </w:r>
    </w:p>
    <w:bookmarkEnd w:id="105"/>
    <w:bookmarkEnd w:id="109"/>
    <w:p w14:paraId="69815FD9">
      <w:pPr>
        <w:pStyle w:val="5"/>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110" w:name="_Toc25228"/>
      <w:bookmarkStart w:id="111" w:name="_Toc105753153"/>
      <w:bookmarkStart w:id="112" w:name="_Toc104552596"/>
      <w:bookmarkStart w:id="113" w:name="_Toc26594"/>
      <w:r>
        <w:rPr>
          <w:rFonts w:hint="eastAsia" w:ascii="宋体" w:hAnsi="宋体" w:eastAsia="宋体" w:cs="宋体"/>
          <w:color w:val="auto"/>
          <w:sz w:val="24"/>
          <w:highlight w:val="none"/>
          <w:lang w:eastAsia="zh-CN"/>
        </w:rPr>
        <w:t>五、违约责任</w:t>
      </w:r>
      <w:bookmarkEnd w:id="110"/>
    </w:p>
    <w:p w14:paraId="2976973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highlight w:val="none"/>
          <w:lang w:val="en-US"/>
        </w:rPr>
      </w:pPr>
      <w:r>
        <w:rPr>
          <w:rFonts w:hint="eastAsia" w:ascii="宋体" w:hAnsi="宋体" w:cs="宋体"/>
          <w:sz w:val="24"/>
          <w:highlight w:val="none"/>
          <w:lang w:val="en-US"/>
        </w:rPr>
        <w:t>（一）因成交供应商原因造成工期延误，逾期竣工违约金的计算方法为：每延期一天，扣除合同总金额的2000元作为违约金。</w:t>
      </w:r>
    </w:p>
    <w:p w14:paraId="1B167C7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highlight w:val="none"/>
          <w:lang w:val="en-US"/>
        </w:rPr>
      </w:pPr>
      <w:r>
        <w:rPr>
          <w:rFonts w:hint="eastAsia" w:ascii="宋体" w:hAnsi="宋体" w:cs="宋体"/>
          <w:sz w:val="24"/>
          <w:highlight w:val="none"/>
          <w:lang w:val="en-US"/>
        </w:rPr>
        <w:t>（二）项目实施过程中，未经采购人同意，供应商擅自更换项目经理、技术负责人、主要施工管理人员，采购人可单方面解除合同，并追究供应商给采购人造成的经济损失。</w:t>
      </w:r>
    </w:p>
    <w:p w14:paraId="382901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highlight w:val="none"/>
          <w:lang w:val="en-US"/>
        </w:rPr>
      </w:pPr>
      <w:r>
        <w:rPr>
          <w:rFonts w:hint="eastAsia" w:ascii="宋体" w:hAnsi="宋体" w:cs="宋体"/>
          <w:sz w:val="24"/>
          <w:highlight w:val="none"/>
          <w:lang w:val="en-US"/>
        </w:rPr>
        <w:t>（三）成交供应商不得将本工程项目转包、挂靠、分包给第三方（经采购人书面同意的分包除外），如成交供应商将本工程项目转包、挂靠、分包给第三方的，采购人有权解除合同，同时采购人有权要求供应商按合同总金额的10%支付违约金，因此给采购人造成的损失应由供应商承担赔偿责任。</w:t>
      </w:r>
    </w:p>
    <w:p w14:paraId="38051E5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highlight w:val="none"/>
          <w:lang w:val="en-US"/>
        </w:rPr>
      </w:pPr>
      <w:r>
        <w:rPr>
          <w:rFonts w:hint="eastAsia" w:ascii="宋体" w:hAnsi="宋体" w:cs="宋体"/>
          <w:sz w:val="24"/>
          <w:highlight w:val="none"/>
          <w:lang w:val="en-US"/>
        </w:rPr>
        <w:t>（四）成交供应商应遵守工程建设安全生产有关管理规定，严格按安全标准组织施工，并随时接受行业安全检查人员及采购人实施的监督检查。由于成交供应商安全措施不力造成事故的责任和因此发生的费用，由成交供应商承担。采购人代表到现场检查时，成交供应商现场管理人员必须积极配合，对不重视安全以及出现安全隐患，则采购人对成交供应商处以每次1000元违约金；严重的安全问题视情加重处罚。</w:t>
      </w:r>
    </w:p>
    <w:p w14:paraId="4FDE7D7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cs="宋体"/>
          <w:sz w:val="24"/>
          <w:highlight w:val="none"/>
          <w:lang w:val="en-US"/>
        </w:rPr>
        <w:sectPr>
          <w:footerReference r:id="rId9" w:type="default"/>
          <w:footerReference r:id="rId10" w:type="even"/>
          <w:type w:val="continuous"/>
          <w:pgSz w:w="11907" w:h="16840"/>
          <w:pgMar w:top="1134" w:right="1191" w:bottom="1134" w:left="1304" w:header="850" w:footer="992" w:gutter="0"/>
          <w:pgNumType w:fmt="numberInDash"/>
          <w:cols w:space="720" w:num="1"/>
          <w:docGrid w:linePitch="312" w:charSpace="0"/>
        </w:sectPr>
      </w:pPr>
      <w:r>
        <w:rPr>
          <w:rFonts w:hint="eastAsia" w:ascii="宋体" w:hAnsi="宋体" w:cs="宋体"/>
          <w:sz w:val="24"/>
          <w:highlight w:val="none"/>
          <w:lang w:val="en-US"/>
        </w:rPr>
        <w:t>（五）成交供应商及其员工应遵守采购人内部管理规定，采购人代表到现场检查时，成交供应商现场管理人员必须积极配合，对不遵守管理规定及不能做到文明施工的现象，则采购人对成交供应商处以每次1000元违约金；严重的安全问题视情加重处罚。</w:t>
      </w:r>
    </w:p>
    <w:p w14:paraId="17EC92DA">
      <w:pPr>
        <w:pStyle w:val="5"/>
        <w:adjustRightInd w:val="0"/>
        <w:snapToGrid w:val="0"/>
        <w:spacing w:before="0" w:after="0" w:line="400" w:lineRule="exact"/>
        <w:ind w:firstLine="482" w:firstLineChars="200"/>
        <w:rPr>
          <w:rFonts w:hint="eastAsia" w:ascii="宋体" w:hAnsi="宋体" w:eastAsia="宋体" w:cs="宋体"/>
          <w:color w:val="auto"/>
          <w:sz w:val="24"/>
          <w:highlight w:val="none"/>
          <w:lang w:eastAsia="zh-CN"/>
        </w:rPr>
      </w:pPr>
      <w:bookmarkStart w:id="114" w:name="_Toc4318"/>
      <w:bookmarkStart w:id="115" w:name="_Toc31145"/>
      <w:bookmarkStart w:id="116" w:name="_Toc4879"/>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bookmarkStart w:id="117" w:name="_Toc8698"/>
      <w:bookmarkStart w:id="118" w:name="_Toc11001"/>
      <w:bookmarkStart w:id="119" w:name="_Toc23446"/>
      <w:bookmarkStart w:id="120" w:name="_Toc16600"/>
      <w:bookmarkStart w:id="121" w:name="_Toc3404"/>
      <w:bookmarkStart w:id="122" w:name="_Toc26394"/>
      <w:bookmarkStart w:id="123" w:name="_Toc25316"/>
      <w:bookmarkStart w:id="124" w:name="_Toc22374"/>
      <w:r>
        <w:rPr>
          <w:rFonts w:hint="eastAsia" w:ascii="宋体" w:hAnsi="宋体" w:eastAsia="宋体" w:cs="宋体"/>
          <w:color w:val="auto"/>
          <w:sz w:val="24"/>
          <w:highlight w:val="none"/>
          <w:lang w:eastAsia="zh-CN"/>
        </w:rPr>
        <w:t>低价风险担保</w:t>
      </w:r>
      <w:bookmarkEnd w:id="114"/>
      <w:bookmarkEnd w:id="115"/>
      <w:bookmarkEnd w:id="117"/>
      <w:bookmarkEnd w:id="118"/>
      <w:bookmarkEnd w:id="119"/>
      <w:bookmarkEnd w:id="120"/>
      <w:bookmarkEnd w:id="121"/>
      <w:bookmarkEnd w:id="122"/>
      <w:bookmarkEnd w:id="123"/>
      <w:bookmarkEnd w:id="124"/>
    </w:p>
    <w:p w14:paraId="76C67186">
      <w:pPr>
        <w:keepNext w:val="0"/>
        <w:keepLines w:val="0"/>
        <w:pageBreakBefore w:val="0"/>
        <w:widowControl w:val="0"/>
        <w:kinsoku/>
        <w:wordWrap/>
        <w:overflowPunct/>
        <w:topLinePunct/>
        <w:autoSpaceDE/>
        <w:autoSpaceDN w:val="0"/>
        <w:bidi w:val="0"/>
        <w:adjustRightInd w:val="0"/>
        <w:snapToGrid w:val="0"/>
        <w:spacing w:line="400" w:lineRule="exact"/>
        <w:ind w:firstLine="480" w:firstLineChars="200"/>
        <w:textAlignment w:val="auto"/>
        <w:outlineLvl w:val="1"/>
        <w:rPr>
          <w:rFonts w:hint="eastAsia" w:ascii="宋体" w:hAnsi="宋体" w:eastAsia="宋体" w:cs="宋体"/>
          <w:color w:val="auto"/>
          <w:kern w:val="0"/>
          <w:sz w:val="24"/>
          <w:szCs w:val="24"/>
          <w:highlight w:val="none"/>
        </w:rPr>
      </w:pPr>
      <w:bookmarkStart w:id="125" w:name="_Toc7120"/>
      <w:bookmarkStart w:id="126" w:name="_Toc11778"/>
      <w:bookmarkStart w:id="127" w:name="_Toc21810"/>
      <w:r>
        <w:rPr>
          <w:rFonts w:hint="eastAsia" w:ascii="宋体" w:hAnsi="宋体" w:eastAsia="宋体" w:cs="宋体"/>
          <w:color w:val="auto"/>
          <w:kern w:val="0"/>
          <w:sz w:val="24"/>
          <w:szCs w:val="24"/>
          <w:highlight w:val="none"/>
        </w:rPr>
        <w:t>1.低价风险担保</w:t>
      </w:r>
      <w:bookmarkEnd w:id="125"/>
      <w:bookmarkEnd w:id="126"/>
      <w:bookmarkEnd w:id="127"/>
    </w:p>
    <w:p w14:paraId="41547F4D">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成交供应商的中标价低于最高限价的85%时应提供低价风险担保，如不按时足额提供，视为成交供应商放弃中选资格，采购人有权不退还其投标保证金（如有），并报行政监督部门按照政府采购的相关规定进行处理。</w:t>
      </w:r>
    </w:p>
    <w:p w14:paraId="50024479">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bookmarkStart w:id="128" w:name="_Toc30590"/>
      <w:bookmarkStart w:id="129" w:name="_Toc31958"/>
      <w:bookmarkStart w:id="130" w:name="_Toc3954"/>
      <w:r>
        <w:rPr>
          <w:rFonts w:hint="eastAsia" w:ascii="宋体" w:hAnsi="宋体" w:eastAsia="宋体" w:cs="宋体"/>
          <w:b w:val="0"/>
          <w:bCs w:val="0"/>
          <w:color w:val="auto"/>
          <w:sz w:val="24"/>
          <w:szCs w:val="24"/>
          <w:highlight w:val="none"/>
          <w:lang w:val="en-US"/>
        </w:rPr>
        <w:t>2.成交供应商提供低价风险担保的形式、金额及期限</w:t>
      </w:r>
      <w:bookmarkEnd w:id="128"/>
      <w:bookmarkEnd w:id="129"/>
      <w:bookmarkEnd w:id="130"/>
    </w:p>
    <w:p w14:paraId="482BC7D4">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2.1低价风险担保的形式：采购人接受供应商以银行转账、现金形式提交的低价风险担保金。</w:t>
      </w:r>
    </w:p>
    <w:p w14:paraId="231CBF2A">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2.2低价风险担保的金额：（最高限价×85%-</w:t>
      </w:r>
      <w:r>
        <w:rPr>
          <w:rFonts w:hint="eastAsia" w:ascii="宋体" w:hAnsi="宋体" w:eastAsia="宋体" w:cs="宋体"/>
          <w:b w:val="0"/>
          <w:bCs w:val="0"/>
          <w:color w:val="auto"/>
          <w:sz w:val="24"/>
          <w:szCs w:val="24"/>
          <w:highlight w:val="none"/>
          <w:lang w:val="en-US" w:eastAsia="zh-CN"/>
        </w:rPr>
        <w:t>成交</w:t>
      </w:r>
      <w:r>
        <w:rPr>
          <w:rFonts w:hint="eastAsia" w:ascii="宋体" w:hAnsi="宋体" w:eastAsia="宋体" w:cs="宋体"/>
          <w:b w:val="0"/>
          <w:bCs w:val="0"/>
          <w:color w:val="auto"/>
          <w:sz w:val="24"/>
          <w:szCs w:val="24"/>
          <w:highlight w:val="none"/>
          <w:lang w:val="en-US"/>
        </w:rPr>
        <w:t>价）×3，且最高不超过最高限价的85%。</w:t>
      </w:r>
    </w:p>
    <w:p w14:paraId="37CF5BF4">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2.3低价风险担保送达申请人的时间：从采购人低价风险担保书面通知送达成交供应商之日起10天以内。</w:t>
      </w:r>
    </w:p>
    <w:p w14:paraId="512C66F9">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2.4成交供应商因自身原因未按成交通知书规定的时限与采购人签订合同的，采购人有权扣除其低价风险担保并取消中选资格。</w:t>
      </w:r>
    </w:p>
    <w:p w14:paraId="3D04C0E5">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2.5低价风险担保的期限：低价风险担保生效之日起至竣工验收合格之日止。</w:t>
      </w:r>
    </w:p>
    <w:p w14:paraId="2741F729">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3.低价风险担保的退还时间：工程竣工验收合格之日起30日内一次性无息退还。</w:t>
      </w:r>
    </w:p>
    <w:p w14:paraId="657DB620">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4.拟成交供应商或者成交供应商放弃中选项目，无正当理由不与采购人签订合同，在签订合同时向采购人提出附加条件或者更改合同实质性内容，或者拒不按照谈判文件规定提交低价风险担保或履约担保的，取消其中选资格，投标保证金（如有）不予退还，给采购人造成的损失超过投标保证金数额的，拟成交供应商或成交供应商应对超过部分予以赔偿。同时，由采购人报行政监督部门按照《重庆市工程建设领域招标投标信用管理暂行办法》规定进行处理。</w:t>
      </w:r>
    </w:p>
    <w:p w14:paraId="267E495B">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备注：当成交供应商或拟成交供应商未按时提交低价风险担保，且属于可以延长低价风险担保提交期限的特殊情形时，经采购人同意，可适当延长低价风险担保的提交期限。</w:t>
      </w:r>
    </w:p>
    <w:p w14:paraId="2397ACF9">
      <w:pPr>
        <w:keepNext w:val="0"/>
        <w:keepLines w:val="0"/>
        <w:pageBreakBefore w:val="0"/>
        <w:widowControl w:val="0"/>
        <w:kinsoku/>
        <w:wordWrap/>
        <w:overflowPunct/>
        <w:topLinePunct w:val="0"/>
        <w:autoSpaceDE/>
        <w:autoSpaceDN/>
        <w:bidi w:val="0"/>
        <w:adjustRightInd/>
        <w:snapToGrid w:val="0"/>
        <w:spacing w:line="400" w:lineRule="exact"/>
        <w:ind w:firstLine="540"/>
        <w:textAlignment w:val="auto"/>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5.投标总报价低于最高限价85%的，申请人应在编制响应文件时，在</w:t>
      </w:r>
      <w:r>
        <w:rPr>
          <w:rFonts w:hint="eastAsia" w:ascii="宋体" w:hAnsi="宋体" w:eastAsia="宋体" w:cs="宋体"/>
          <w:b w:val="0"/>
          <w:bCs w:val="0"/>
          <w:color w:val="auto"/>
          <w:sz w:val="24"/>
          <w:szCs w:val="24"/>
          <w:highlight w:val="none"/>
          <w:lang w:val="en-US" w:eastAsia="zh-CN"/>
        </w:rPr>
        <w:t>报价函</w:t>
      </w:r>
      <w:r>
        <w:rPr>
          <w:rFonts w:hint="eastAsia" w:ascii="宋体" w:hAnsi="宋体" w:eastAsia="宋体" w:cs="宋体"/>
          <w:b w:val="0"/>
          <w:bCs w:val="0"/>
          <w:color w:val="auto"/>
          <w:sz w:val="24"/>
          <w:szCs w:val="24"/>
          <w:highlight w:val="none"/>
          <w:lang w:val="en-US"/>
        </w:rPr>
        <w:t>中递交低价风险担保缴纳承诺书。承诺书格式详见第七篇响应文件格式。</w:t>
      </w:r>
    </w:p>
    <w:p w14:paraId="52E098E2">
      <w:pPr>
        <w:pStyle w:val="5"/>
        <w:adjustRightInd w:val="0"/>
        <w:snapToGrid w:val="0"/>
        <w:spacing w:before="0" w:after="0" w:line="400" w:lineRule="exact"/>
        <w:ind w:firstLine="482" w:firstLineChars="200"/>
        <w:rPr>
          <w:rFonts w:ascii="宋体" w:hAnsi="宋体" w:eastAsia="宋体" w:cs="宋体"/>
          <w:color w:val="auto"/>
          <w:sz w:val="24"/>
          <w:highlight w:val="none"/>
        </w:rPr>
      </w:pPr>
      <w:bookmarkStart w:id="131" w:name="_Toc11479"/>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、其他</w:t>
      </w:r>
      <w:bookmarkEnd w:id="111"/>
      <w:bookmarkEnd w:id="112"/>
      <w:bookmarkEnd w:id="113"/>
      <w:bookmarkEnd w:id="116"/>
      <w:bookmarkEnd w:id="131"/>
    </w:p>
    <w:p w14:paraId="3914E77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（一）供应商必须在响应文件中对以上条款和服务承诺明确列出，承诺内容必须达到本篇及谈判文件其他条款的要求。</w:t>
      </w:r>
    </w:p>
    <w:p w14:paraId="65C0C9A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宋体" w:hAnsi="宋体" w:cs="宋体"/>
          <w:sz w:val="24"/>
          <w:highlight w:val="none"/>
        </w:rPr>
      </w:pPr>
      <w:r>
        <w:rPr>
          <w:rFonts w:hint="eastAsia" w:ascii="宋体" w:hAnsi="宋体" w:cs="宋体"/>
          <w:sz w:val="24"/>
          <w:highlight w:val="none"/>
        </w:rPr>
        <w:t>（二）供应商应当承诺在合同有效期内，如国家出台新的相关政策、出现实施环境变化影响本项目供应、出现重大技术变化影响本项目供应等情况，采购人有权要求供应商按有利于采购人的原则进行调整；出现此类情况后，供应商应当在3个工作日内就此类变化对本项目的影响向采购人提交书面报告。</w:t>
      </w:r>
    </w:p>
    <w:p w14:paraId="015D981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highlight w:val="none"/>
        </w:rPr>
      </w:pPr>
      <w:r>
        <w:rPr>
          <w:rFonts w:hint="eastAsia" w:ascii="宋体" w:hAnsi="宋体" w:cs="宋体"/>
          <w:sz w:val="24"/>
          <w:highlight w:val="none"/>
        </w:rPr>
        <w:t>（三）凡成交供应商与采购人签订的合同执行过程中发生的一切争议，成交供应商与采购人应首先友好协商解决，如不能解决，则提交项目所在地有管辖权的人民法院按中华人</w:t>
      </w:r>
      <w:r>
        <w:rPr>
          <w:rFonts w:hint="eastAsia" w:ascii="宋体" w:hAnsi="宋体" w:eastAsia="宋体" w:cs="宋体"/>
          <w:sz w:val="24"/>
          <w:highlight w:val="none"/>
        </w:rPr>
        <w:t>民共和国的有关法律法规及诉讼程序处理，诉讼费由败诉方承担。</w:t>
      </w:r>
    </w:p>
    <w:p w14:paraId="1C1D38D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sz w:val="24"/>
          <w:highlight w:val="none"/>
        </w:rPr>
        <w:t>如成交供应商对项目合同的履行因任何不可抗力的原因而延迟，则成交供应商履行合同的时间也应作相应延迟，该不可抗力包括但不限于火灾、洪水、罢工、动乱及国内紧急情</w:t>
      </w:r>
      <w:r>
        <w:rPr>
          <w:rFonts w:hint="eastAsia" w:ascii="宋体" w:hAnsi="宋体" w:eastAsia="宋体" w:cs="宋体"/>
          <w:color w:val="auto"/>
          <w:sz w:val="24"/>
          <w:highlight w:val="none"/>
        </w:rPr>
        <w:t>况。如因不可抗力延迟时间超过30天，双方可选择终止（解除）合同。</w:t>
      </w:r>
    </w:p>
    <w:p w14:paraId="0A14224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四</w:t>
      </w:r>
      <w:r>
        <w:rPr>
          <w:rFonts w:hint="eastAsia" w:ascii="宋体" w:hAnsi="宋体" w:cs="宋体"/>
          <w:sz w:val="24"/>
          <w:highlight w:val="none"/>
        </w:rPr>
        <w:t>）</w:t>
      </w:r>
      <w:r>
        <w:rPr>
          <w:rFonts w:hint="eastAsia" w:ascii="宋体" w:hAnsi="宋体" w:eastAsia="宋体" w:cs="宋体"/>
          <w:color w:val="auto"/>
          <w:sz w:val="24"/>
          <w:highlight w:val="none"/>
        </w:rPr>
        <w:t>其他未尽事宜由供需双方在采购合同中详细约定。</w:t>
      </w:r>
    </w:p>
    <w:p w14:paraId="59B4CFF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w:t>
      </w:r>
      <w:r>
        <w:rPr>
          <w:rFonts w:hint="eastAsia" w:ascii="宋体" w:hAnsi="宋体" w:eastAsia="宋体" w:cs="宋体"/>
          <w:color w:val="auto"/>
          <w:sz w:val="24"/>
          <w:highlight w:val="none"/>
          <w:lang w:val="en-US" w:eastAsia="zh-CN"/>
        </w:rPr>
        <w:t>成交单位在领取成交通知书前提供一份同比例下浮之后的完整清单报价表给</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val="en-US" w:eastAsia="zh-CN"/>
        </w:rPr>
        <w:t>代理机构，招</w:t>
      </w:r>
      <w:r>
        <w:rPr>
          <w:rFonts w:hint="eastAsia" w:ascii="宋体" w:hAnsi="宋体" w:eastAsia="宋体" w:cs="宋体"/>
          <w:sz w:val="24"/>
          <w:highlight w:val="none"/>
          <w:lang w:val="en-US" w:eastAsia="zh-CN"/>
        </w:rPr>
        <w:t>标代理机构核验无误，方可领取成交通知书之后按相关流程签订合同。</w:t>
      </w:r>
    </w:p>
    <w:p w14:paraId="308D154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color w:val="FF0000"/>
        </w:rPr>
      </w:pPr>
      <w:r>
        <w:rPr>
          <w:rFonts w:hint="eastAsia" w:ascii="宋体" w:hAnsi="宋体" w:eastAsia="宋体" w:cs="宋体"/>
          <w:color w:val="FF0000"/>
          <w:sz w:val="24"/>
          <w:highlight w:val="none"/>
          <w:lang w:val="en-US" w:eastAsia="zh-CN"/>
        </w:rPr>
        <w:t>（六）由于该工程施工区域的特殊性，为了保证配餐中心在施工区域能正常运行，该工程将实行分区域分阶段施工作业，各工种均存在二次及以上重复进场施工，且在设施设备安装过程的停工配合情况，由此产生的费用及工期延误由</w:t>
      </w:r>
      <w:r>
        <w:rPr>
          <w:rFonts w:hint="eastAsia" w:ascii="宋体" w:hAnsi="宋体" w:cs="宋体"/>
          <w:color w:val="FF0000"/>
          <w:sz w:val="24"/>
          <w:highlight w:val="none"/>
          <w:lang w:val="en-US" w:eastAsia="zh-CN"/>
        </w:rPr>
        <w:t>供应商</w:t>
      </w:r>
      <w:r>
        <w:rPr>
          <w:rFonts w:hint="eastAsia" w:ascii="宋体" w:hAnsi="宋体" w:eastAsia="宋体" w:cs="宋体"/>
          <w:color w:val="FF0000"/>
          <w:sz w:val="24"/>
          <w:highlight w:val="none"/>
          <w:lang w:val="en-US" w:eastAsia="zh-CN"/>
        </w:rPr>
        <w:t>自行承担，不得由此向</w:t>
      </w:r>
      <w:r>
        <w:rPr>
          <w:rFonts w:hint="eastAsia" w:ascii="宋体" w:hAnsi="宋体" w:cs="宋体"/>
          <w:color w:val="FF0000"/>
          <w:sz w:val="24"/>
          <w:highlight w:val="none"/>
          <w:lang w:val="en-US" w:eastAsia="zh-CN"/>
        </w:rPr>
        <w:t>采购人</w:t>
      </w:r>
      <w:r>
        <w:rPr>
          <w:rFonts w:hint="eastAsia" w:ascii="宋体" w:hAnsi="宋体" w:eastAsia="宋体" w:cs="宋体"/>
          <w:color w:val="FF0000"/>
          <w:sz w:val="24"/>
          <w:highlight w:val="none"/>
          <w:lang w:val="en-US" w:eastAsia="zh-CN"/>
        </w:rPr>
        <w:t>提出索赔。请各</w:t>
      </w:r>
      <w:r>
        <w:rPr>
          <w:rFonts w:hint="eastAsia" w:ascii="宋体" w:hAnsi="宋体" w:cs="宋体"/>
          <w:color w:val="FF0000"/>
          <w:sz w:val="24"/>
          <w:highlight w:val="none"/>
          <w:lang w:val="en-US" w:eastAsia="zh-CN"/>
        </w:rPr>
        <w:t>供应商投标时</w:t>
      </w:r>
      <w:r>
        <w:rPr>
          <w:rFonts w:hint="eastAsia" w:ascii="宋体" w:hAnsi="宋体" w:eastAsia="宋体" w:cs="宋体"/>
          <w:color w:val="FF0000"/>
          <w:sz w:val="24"/>
          <w:highlight w:val="none"/>
          <w:lang w:val="en-US" w:eastAsia="zh-CN"/>
        </w:rPr>
        <w:t>充分考虑本项目可能面临的不确定因素可能导致的风险。</w:t>
      </w:r>
    </w:p>
    <w:p w14:paraId="6B572A1E">
      <w:pPr>
        <w:pStyle w:val="5"/>
        <w:spacing w:before="0" w:after="0" w:line="360" w:lineRule="auto"/>
        <w:jc w:val="center"/>
        <w:rPr>
          <w:rFonts w:ascii="宋体" w:hAnsi="宋体" w:eastAsia="宋体" w:cs="宋体"/>
          <w:b w:val="0"/>
          <w:color w:val="auto"/>
          <w:sz w:val="36"/>
          <w:szCs w:val="30"/>
        </w:rPr>
      </w:pPr>
      <w:r>
        <w:rPr>
          <w:rFonts w:hint="eastAsia" w:ascii="宋体" w:hAnsi="宋体" w:eastAsia="宋体" w:cs="宋体"/>
          <w:b w:val="0"/>
          <w:color w:val="auto"/>
          <w:sz w:val="36"/>
          <w:szCs w:val="30"/>
        </w:rPr>
        <w:br w:type="page"/>
      </w:r>
      <w:bookmarkStart w:id="132" w:name="_Toc65660349"/>
      <w:bookmarkStart w:id="133" w:name="_Toc16123"/>
      <w:bookmarkStart w:id="134" w:name="_Toc22828"/>
      <w:bookmarkStart w:id="135" w:name="_Toc24195"/>
      <w:r>
        <w:rPr>
          <w:rFonts w:hint="eastAsia" w:ascii="宋体" w:hAnsi="宋体" w:eastAsia="宋体" w:cs="宋体"/>
          <w:b w:val="0"/>
          <w:color w:val="auto"/>
          <w:sz w:val="36"/>
          <w:szCs w:val="30"/>
        </w:rPr>
        <w:t>第四篇  采购程序、评定成交的标准、无效谈判及采购终止</w:t>
      </w:r>
      <w:bookmarkEnd w:id="132"/>
      <w:bookmarkEnd w:id="133"/>
      <w:bookmarkEnd w:id="134"/>
      <w:bookmarkEnd w:id="135"/>
    </w:p>
    <w:p w14:paraId="5227500D">
      <w:pPr>
        <w:pStyle w:val="5"/>
        <w:adjustRightInd w:val="0"/>
        <w:snapToGrid w:val="0"/>
        <w:spacing w:before="0" w:after="0" w:line="400" w:lineRule="exact"/>
        <w:ind w:firstLine="482" w:firstLineChars="200"/>
        <w:rPr>
          <w:rFonts w:ascii="宋体" w:hAnsi="宋体" w:eastAsia="宋体" w:cs="宋体"/>
          <w:color w:val="auto"/>
          <w:sz w:val="24"/>
        </w:rPr>
      </w:pPr>
      <w:bookmarkStart w:id="136" w:name="_Toc64732012"/>
      <w:bookmarkStart w:id="137" w:name="_Toc5167"/>
      <w:bookmarkStart w:id="138" w:name="_Toc13373"/>
      <w:bookmarkStart w:id="139" w:name="_Toc9361"/>
      <w:bookmarkStart w:id="140" w:name="_Toc65660350"/>
      <w:r>
        <w:rPr>
          <w:rFonts w:hint="eastAsia" w:ascii="宋体" w:hAnsi="宋体" w:eastAsia="宋体" w:cs="宋体"/>
          <w:color w:val="auto"/>
          <w:sz w:val="24"/>
        </w:rPr>
        <w:t>一、采购程序</w:t>
      </w:r>
      <w:bookmarkEnd w:id="136"/>
      <w:bookmarkEnd w:id="137"/>
      <w:bookmarkEnd w:id="138"/>
      <w:bookmarkEnd w:id="139"/>
      <w:bookmarkEnd w:id="140"/>
    </w:p>
    <w:p w14:paraId="18C258CE">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（一）谈判按竞争性谈判文件规定的时间和地点进行。供应商须有法定代表人（或其授权代表）或自然人参加并签到。</w:t>
      </w:r>
    </w:p>
    <w:p w14:paraId="1B546E2C">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（二）竞争性谈判以抽签的形式确定谈判顺序，由本项目谈判小组分别与各供应商进行谈判。在谈判前，对各供应商的资格条件、实质性响应等进行审查。 </w:t>
      </w:r>
    </w:p>
    <w:p w14:paraId="64ADE2DF">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1.资格性审查。依据法律法规和竞争性谈判文件的规定，对响应文件中的资格证明材料等进行审查。资格性审查内容如下：</w:t>
      </w:r>
    </w:p>
    <w:tbl>
      <w:tblPr>
        <w:tblStyle w:val="3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53A0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7" w:type="dxa"/>
            <w:tcBorders>
              <w:top w:val="single" w:color="auto" w:sz="4" w:space="0"/>
              <w:left w:val="single" w:color="auto" w:sz="4" w:space="0"/>
              <w:bottom w:val="single" w:color="auto" w:sz="4" w:space="0"/>
              <w:right w:val="single" w:color="auto" w:sz="4" w:space="0"/>
            </w:tcBorders>
            <w:vAlign w:val="center"/>
          </w:tcPr>
          <w:p w14:paraId="75769A60">
            <w:pPr>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vAlign w:val="center"/>
          </w:tcPr>
          <w:p w14:paraId="5BE5F932">
            <w:pPr>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vAlign w:val="center"/>
          </w:tcPr>
          <w:p w14:paraId="73BF131C">
            <w:pPr>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14:paraId="2E07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6721A21">
            <w:pPr>
              <w:jc w:val="center"/>
              <w:rPr>
                <w:rFonts w:ascii="宋体" w:hAnsi="宋体" w:cs="宋体"/>
                <w:color w:val="auto"/>
                <w:sz w:val="21"/>
                <w:szCs w:val="21"/>
              </w:rPr>
            </w:pPr>
            <w:r>
              <w:rPr>
                <w:rFonts w:hint="eastAsia" w:ascii="宋体" w:hAnsi="宋体" w:cs="宋体"/>
                <w:color w:val="auto"/>
                <w:sz w:val="21"/>
                <w:szCs w:val="21"/>
              </w:rPr>
              <w:t>（一）</w:t>
            </w:r>
          </w:p>
        </w:tc>
        <w:tc>
          <w:tcPr>
            <w:tcW w:w="709" w:type="dxa"/>
            <w:vMerge w:val="restart"/>
            <w:vAlign w:val="center"/>
          </w:tcPr>
          <w:p w14:paraId="04AFA193">
            <w:pPr>
              <w:rPr>
                <w:rFonts w:ascii="宋体" w:hAnsi="宋体" w:cs="宋体"/>
                <w:color w:val="auto"/>
                <w:sz w:val="21"/>
                <w:szCs w:val="21"/>
                <w:lang w:val="zh-CN"/>
              </w:rPr>
            </w:pPr>
            <w:r>
              <w:rPr>
                <w:rFonts w:hint="eastAsia" w:ascii="宋体" w:hAnsi="宋体" w:cs="宋体"/>
                <w:color w:val="auto"/>
                <w:sz w:val="21"/>
                <w:szCs w:val="21"/>
                <w:lang w:val="zh-CN"/>
              </w:rPr>
              <w:t>《中华人民共和国政府采购法》第二十二条规定</w:t>
            </w:r>
          </w:p>
        </w:tc>
        <w:tc>
          <w:tcPr>
            <w:tcW w:w="2835" w:type="dxa"/>
            <w:vAlign w:val="center"/>
          </w:tcPr>
          <w:p w14:paraId="564EB115">
            <w:pPr>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5267" w:type="dxa"/>
            <w:vAlign w:val="center"/>
          </w:tcPr>
          <w:p w14:paraId="6C13372D">
            <w:pPr>
              <w:rPr>
                <w:rFonts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5915023A">
            <w:pPr>
              <w:rPr>
                <w:rFonts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18CE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F0EDF71">
            <w:pPr>
              <w:jc w:val="center"/>
              <w:rPr>
                <w:rFonts w:ascii="宋体" w:hAnsi="宋体" w:cs="宋体"/>
                <w:color w:val="auto"/>
                <w:sz w:val="21"/>
                <w:szCs w:val="21"/>
              </w:rPr>
            </w:pPr>
          </w:p>
        </w:tc>
        <w:tc>
          <w:tcPr>
            <w:tcW w:w="709" w:type="dxa"/>
            <w:vMerge w:val="continue"/>
            <w:vAlign w:val="center"/>
          </w:tcPr>
          <w:p w14:paraId="0BB7F076">
            <w:pPr>
              <w:rPr>
                <w:rFonts w:ascii="宋体" w:hAnsi="宋体" w:cs="宋体"/>
                <w:color w:val="auto"/>
                <w:sz w:val="21"/>
                <w:szCs w:val="21"/>
                <w:lang w:val="zh-CN"/>
              </w:rPr>
            </w:pPr>
          </w:p>
        </w:tc>
        <w:tc>
          <w:tcPr>
            <w:tcW w:w="2835" w:type="dxa"/>
            <w:vAlign w:val="center"/>
          </w:tcPr>
          <w:p w14:paraId="5EF835BB">
            <w:pPr>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5267" w:type="dxa"/>
            <w:vMerge w:val="restart"/>
            <w:vAlign w:val="center"/>
          </w:tcPr>
          <w:p w14:paraId="4A936DF4">
            <w:pPr>
              <w:rPr>
                <w:rFonts w:ascii="宋体" w:hAnsi="宋体" w:cs="宋体"/>
                <w:b/>
                <w:color w:val="auto"/>
                <w:sz w:val="21"/>
                <w:szCs w:val="21"/>
              </w:rPr>
            </w:pPr>
            <w:r>
              <w:rPr>
                <w:rFonts w:hint="eastAsia" w:ascii="宋体" w:hAnsi="宋体" w:cs="宋体"/>
                <w:color w:val="auto"/>
                <w:sz w:val="21"/>
                <w:szCs w:val="21"/>
              </w:rPr>
              <w:t>1.供应商提供“基本资格条件承诺函”（格式详见第七篇）</w:t>
            </w:r>
          </w:p>
        </w:tc>
      </w:tr>
      <w:tr w14:paraId="33A0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90D849E">
            <w:pPr>
              <w:jc w:val="center"/>
              <w:rPr>
                <w:rFonts w:ascii="宋体" w:hAnsi="宋体" w:cs="宋体"/>
                <w:color w:val="auto"/>
                <w:sz w:val="21"/>
                <w:szCs w:val="21"/>
              </w:rPr>
            </w:pPr>
          </w:p>
        </w:tc>
        <w:tc>
          <w:tcPr>
            <w:tcW w:w="709" w:type="dxa"/>
            <w:vMerge w:val="continue"/>
            <w:vAlign w:val="center"/>
          </w:tcPr>
          <w:p w14:paraId="1C3DC233">
            <w:pPr>
              <w:rPr>
                <w:rFonts w:ascii="宋体" w:hAnsi="宋体" w:cs="宋体"/>
                <w:color w:val="auto"/>
                <w:sz w:val="21"/>
                <w:szCs w:val="21"/>
                <w:lang w:val="zh-CN"/>
              </w:rPr>
            </w:pPr>
          </w:p>
        </w:tc>
        <w:tc>
          <w:tcPr>
            <w:tcW w:w="2835" w:type="dxa"/>
            <w:vAlign w:val="center"/>
          </w:tcPr>
          <w:p w14:paraId="0AC8D4E6">
            <w:pPr>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5267" w:type="dxa"/>
            <w:vMerge w:val="continue"/>
            <w:vAlign w:val="center"/>
          </w:tcPr>
          <w:p w14:paraId="337D9961">
            <w:pPr>
              <w:rPr>
                <w:rFonts w:ascii="宋体" w:hAnsi="宋体" w:cs="宋体"/>
                <w:color w:val="auto"/>
                <w:sz w:val="21"/>
                <w:szCs w:val="21"/>
              </w:rPr>
            </w:pPr>
          </w:p>
        </w:tc>
      </w:tr>
      <w:tr w14:paraId="5BB9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F4B2FF7">
            <w:pPr>
              <w:jc w:val="center"/>
              <w:rPr>
                <w:rFonts w:ascii="宋体" w:hAnsi="宋体" w:cs="宋体"/>
                <w:color w:val="auto"/>
                <w:sz w:val="21"/>
                <w:szCs w:val="21"/>
              </w:rPr>
            </w:pPr>
          </w:p>
        </w:tc>
        <w:tc>
          <w:tcPr>
            <w:tcW w:w="709" w:type="dxa"/>
            <w:vMerge w:val="continue"/>
            <w:vAlign w:val="center"/>
          </w:tcPr>
          <w:p w14:paraId="0339CF5A">
            <w:pPr>
              <w:rPr>
                <w:rFonts w:ascii="宋体" w:hAnsi="宋体" w:cs="宋体"/>
                <w:color w:val="auto"/>
                <w:sz w:val="21"/>
                <w:szCs w:val="21"/>
                <w:lang w:val="zh-CN"/>
              </w:rPr>
            </w:pPr>
          </w:p>
        </w:tc>
        <w:tc>
          <w:tcPr>
            <w:tcW w:w="2835" w:type="dxa"/>
            <w:vAlign w:val="center"/>
          </w:tcPr>
          <w:p w14:paraId="31EAD123">
            <w:pPr>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5267" w:type="dxa"/>
            <w:vMerge w:val="continue"/>
            <w:vAlign w:val="center"/>
          </w:tcPr>
          <w:p w14:paraId="6CF2FD91">
            <w:pPr>
              <w:rPr>
                <w:rFonts w:ascii="宋体" w:hAnsi="宋体" w:cs="宋体"/>
                <w:color w:val="auto"/>
                <w:sz w:val="21"/>
                <w:szCs w:val="21"/>
              </w:rPr>
            </w:pPr>
          </w:p>
        </w:tc>
      </w:tr>
      <w:tr w14:paraId="1531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B2F4EAD">
            <w:pPr>
              <w:jc w:val="center"/>
              <w:rPr>
                <w:rFonts w:ascii="宋体" w:hAnsi="宋体" w:cs="宋体"/>
                <w:color w:val="auto"/>
                <w:sz w:val="21"/>
                <w:szCs w:val="21"/>
              </w:rPr>
            </w:pPr>
          </w:p>
        </w:tc>
        <w:tc>
          <w:tcPr>
            <w:tcW w:w="709" w:type="dxa"/>
            <w:vMerge w:val="continue"/>
            <w:vAlign w:val="center"/>
          </w:tcPr>
          <w:p w14:paraId="1C8528F3">
            <w:pPr>
              <w:rPr>
                <w:rFonts w:ascii="宋体" w:hAnsi="宋体" w:cs="宋体"/>
                <w:color w:val="auto"/>
                <w:sz w:val="21"/>
                <w:szCs w:val="21"/>
                <w:lang w:val="zh-CN"/>
              </w:rPr>
            </w:pPr>
          </w:p>
        </w:tc>
        <w:tc>
          <w:tcPr>
            <w:tcW w:w="2835" w:type="dxa"/>
            <w:vAlign w:val="center"/>
          </w:tcPr>
          <w:p w14:paraId="7CB5FEAC">
            <w:pPr>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w:t>
            </w:r>
          </w:p>
        </w:tc>
        <w:tc>
          <w:tcPr>
            <w:tcW w:w="5267" w:type="dxa"/>
            <w:vMerge w:val="continue"/>
            <w:vAlign w:val="center"/>
          </w:tcPr>
          <w:p w14:paraId="1B0948F3">
            <w:pPr>
              <w:rPr>
                <w:rFonts w:ascii="宋体" w:hAnsi="宋体" w:cs="宋体"/>
                <w:b/>
                <w:color w:val="auto"/>
                <w:sz w:val="21"/>
                <w:szCs w:val="21"/>
              </w:rPr>
            </w:pPr>
          </w:p>
        </w:tc>
      </w:tr>
      <w:tr w14:paraId="57A7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55D81A70">
            <w:pPr>
              <w:jc w:val="center"/>
              <w:rPr>
                <w:rFonts w:ascii="宋体" w:hAnsi="宋体" w:cs="宋体"/>
                <w:color w:val="auto"/>
                <w:sz w:val="21"/>
                <w:szCs w:val="21"/>
              </w:rPr>
            </w:pPr>
          </w:p>
        </w:tc>
        <w:tc>
          <w:tcPr>
            <w:tcW w:w="709" w:type="dxa"/>
            <w:vMerge w:val="continue"/>
            <w:vAlign w:val="center"/>
          </w:tcPr>
          <w:p w14:paraId="66DBB08C">
            <w:pPr>
              <w:rPr>
                <w:rFonts w:ascii="宋体" w:hAnsi="宋体" w:cs="宋体"/>
                <w:color w:val="auto"/>
                <w:sz w:val="21"/>
                <w:szCs w:val="21"/>
              </w:rPr>
            </w:pPr>
          </w:p>
        </w:tc>
        <w:tc>
          <w:tcPr>
            <w:tcW w:w="2835" w:type="dxa"/>
            <w:vAlign w:val="center"/>
          </w:tcPr>
          <w:p w14:paraId="7EB1C00F">
            <w:pPr>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5267" w:type="dxa"/>
            <w:vAlign w:val="center"/>
          </w:tcPr>
          <w:p w14:paraId="7A98FD34">
            <w:pPr>
              <w:rPr>
                <w:rFonts w:ascii="宋体" w:hAnsi="宋体" w:cs="宋体"/>
                <w:color w:val="auto"/>
                <w:sz w:val="21"/>
                <w:szCs w:val="21"/>
              </w:rPr>
            </w:pPr>
          </w:p>
        </w:tc>
      </w:tr>
      <w:tr w14:paraId="2982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ADF2660">
            <w:pPr>
              <w:jc w:val="center"/>
              <w:rPr>
                <w:rFonts w:ascii="宋体" w:hAnsi="宋体" w:cs="宋体"/>
                <w:color w:val="auto"/>
                <w:sz w:val="21"/>
                <w:szCs w:val="21"/>
              </w:rPr>
            </w:pPr>
          </w:p>
        </w:tc>
        <w:tc>
          <w:tcPr>
            <w:tcW w:w="709" w:type="dxa"/>
            <w:vMerge w:val="continue"/>
            <w:vAlign w:val="center"/>
          </w:tcPr>
          <w:p w14:paraId="2D501E94">
            <w:pPr>
              <w:rPr>
                <w:rFonts w:ascii="宋体" w:hAnsi="宋体" w:cs="宋体"/>
                <w:color w:val="auto"/>
                <w:sz w:val="21"/>
                <w:szCs w:val="21"/>
              </w:rPr>
            </w:pPr>
          </w:p>
        </w:tc>
        <w:tc>
          <w:tcPr>
            <w:tcW w:w="2835" w:type="dxa"/>
            <w:vAlign w:val="center"/>
          </w:tcPr>
          <w:p w14:paraId="60E25356">
            <w:pPr>
              <w:rPr>
                <w:rFonts w:ascii="宋体" w:hAnsi="宋体" w:cs="宋体"/>
                <w:color w:val="auto"/>
                <w:sz w:val="21"/>
                <w:szCs w:val="21"/>
              </w:rPr>
            </w:pPr>
            <w:r>
              <w:rPr>
                <w:rFonts w:hint="eastAsia" w:ascii="宋体" w:hAnsi="宋体" w:cs="宋体"/>
                <w:color w:val="auto"/>
                <w:sz w:val="21"/>
                <w:szCs w:val="21"/>
              </w:rPr>
              <w:t>7.本项目特定资格要求</w:t>
            </w:r>
          </w:p>
        </w:tc>
        <w:tc>
          <w:tcPr>
            <w:tcW w:w="5267" w:type="dxa"/>
            <w:vAlign w:val="center"/>
          </w:tcPr>
          <w:p w14:paraId="7A945867">
            <w:pPr>
              <w:rPr>
                <w:rFonts w:ascii="宋体" w:hAnsi="宋体" w:cs="宋体"/>
                <w:color w:val="auto"/>
                <w:sz w:val="21"/>
                <w:szCs w:val="21"/>
              </w:rPr>
            </w:pPr>
            <w:r>
              <w:rPr>
                <w:rFonts w:hint="eastAsia" w:ascii="宋体" w:hAnsi="宋体" w:cs="宋体"/>
                <w:color w:val="auto"/>
                <w:sz w:val="21"/>
                <w:szCs w:val="21"/>
              </w:rPr>
              <w:t>按“第一篇三、供应商资格要求（二）本项目的特定资格要求”的要求提交（如果有）。</w:t>
            </w:r>
          </w:p>
        </w:tc>
      </w:tr>
      <w:tr w14:paraId="23FF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7A0D7949">
            <w:pPr>
              <w:jc w:val="center"/>
              <w:rPr>
                <w:rFonts w:ascii="宋体" w:hAnsi="宋体" w:cs="宋体"/>
                <w:color w:val="auto"/>
                <w:sz w:val="21"/>
                <w:szCs w:val="21"/>
              </w:rPr>
            </w:pPr>
            <w:r>
              <w:rPr>
                <w:rFonts w:hint="eastAsia" w:ascii="宋体" w:hAnsi="宋体" w:cs="宋体"/>
                <w:color w:val="auto"/>
                <w:sz w:val="21"/>
                <w:szCs w:val="21"/>
              </w:rPr>
              <w:t>（二）</w:t>
            </w:r>
          </w:p>
        </w:tc>
        <w:tc>
          <w:tcPr>
            <w:tcW w:w="3544" w:type="dxa"/>
            <w:gridSpan w:val="2"/>
            <w:vAlign w:val="center"/>
          </w:tcPr>
          <w:p w14:paraId="4641EEA7">
            <w:pPr>
              <w:jc w:val="center"/>
              <w:rPr>
                <w:rFonts w:ascii="宋体" w:hAnsi="宋体" w:cs="宋体"/>
                <w:color w:val="auto"/>
                <w:sz w:val="21"/>
                <w:szCs w:val="21"/>
              </w:rPr>
            </w:pPr>
            <w:r>
              <w:rPr>
                <w:rFonts w:hint="eastAsia" w:ascii="宋体" w:hAnsi="宋体" w:cs="宋体"/>
                <w:color w:val="auto"/>
                <w:sz w:val="21"/>
                <w:szCs w:val="21"/>
              </w:rPr>
              <w:t>保证金</w:t>
            </w:r>
          </w:p>
        </w:tc>
        <w:tc>
          <w:tcPr>
            <w:tcW w:w="5267" w:type="dxa"/>
            <w:vAlign w:val="center"/>
          </w:tcPr>
          <w:p w14:paraId="49448DA0">
            <w:pPr>
              <w:rPr>
                <w:rFonts w:ascii="宋体" w:hAnsi="宋体" w:cs="宋体"/>
                <w:color w:val="auto"/>
                <w:sz w:val="21"/>
                <w:szCs w:val="21"/>
              </w:rPr>
            </w:pPr>
            <w:r>
              <w:rPr>
                <w:rFonts w:hint="eastAsia" w:ascii="宋体" w:hAnsi="宋体" w:cs="宋体"/>
                <w:color w:val="auto"/>
                <w:sz w:val="21"/>
                <w:szCs w:val="21"/>
              </w:rPr>
              <w:t>按照竞争性谈判文件要求足额交纳所参与包的保证金。</w:t>
            </w:r>
          </w:p>
        </w:tc>
      </w:tr>
    </w:tbl>
    <w:p w14:paraId="2D97FB00">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kern w:val="0"/>
          <w:sz w:val="24"/>
          <w:szCs w:val="24"/>
        </w:rPr>
        <w:t>注：</w:t>
      </w:r>
      <w:r>
        <w:rPr>
          <w:rFonts w:hint="eastAsia" w:ascii="宋体" w:hAnsi="宋体" w:cs="宋体"/>
          <w:color w:val="auto"/>
          <w:kern w:val="0"/>
          <w:sz w:val="24"/>
          <w:szCs w:val="24"/>
        </w:rPr>
        <w:fldChar w:fldCharType="begin"/>
      </w:r>
      <w:r>
        <w:rPr>
          <w:rFonts w:hint="eastAsia" w:ascii="宋体" w:hAnsi="宋体" w:cs="宋体"/>
          <w:color w:val="auto"/>
          <w:kern w:val="0"/>
          <w:sz w:val="24"/>
          <w:szCs w:val="24"/>
        </w:rPr>
        <w:instrText xml:space="preserve"> eq \o\ac(○,</w:instrText>
      </w:r>
      <w:r>
        <w:rPr>
          <w:rFonts w:hint="eastAsia" w:ascii="宋体" w:hAnsi="宋体" w:cs="宋体"/>
          <w:color w:val="auto"/>
          <w:kern w:val="0"/>
          <w:position w:val="3"/>
          <w:sz w:val="16"/>
          <w:szCs w:val="24"/>
        </w:rPr>
        <w:instrText xml:space="preserve">1</w:instrText>
      </w:r>
      <w:r>
        <w:rPr>
          <w:rFonts w:hint="eastAsia" w:ascii="宋体" w:hAnsi="宋体" w:cs="宋体"/>
          <w:color w:val="auto"/>
          <w:kern w:val="0"/>
          <w:sz w:val="24"/>
          <w:szCs w:val="24"/>
        </w:rPr>
        <w:instrText xml:space="preserve">)</w:instrText>
      </w:r>
      <w:r>
        <w:rPr>
          <w:rFonts w:hint="eastAsia" w:ascii="宋体" w:hAnsi="宋体" w:cs="宋体"/>
          <w:color w:val="auto"/>
          <w:kern w:val="0"/>
          <w:sz w:val="24"/>
          <w:szCs w:val="24"/>
        </w:rPr>
        <w:fldChar w:fldCharType="end"/>
      </w:r>
      <w:r>
        <w:rPr>
          <w:rFonts w:hint="eastAsia" w:ascii="宋体" w:hAnsi="宋体" w:cs="宋体"/>
          <w:color w:val="auto"/>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724BCECF">
      <w:pPr>
        <w:snapToGrid w:val="0"/>
        <w:spacing w:line="400" w:lineRule="exact"/>
        <w:ind w:firstLine="480" w:firstLineChars="200"/>
        <w:rPr>
          <w:rFonts w:ascii="宋体" w:hAnsi="宋体" w:cs="宋体"/>
          <w:color w:val="auto"/>
          <w:kern w:val="0"/>
          <w:sz w:val="24"/>
          <w:szCs w:val="24"/>
        </w:rPr>
      </w:pPr>
      <w:r>
        <w:rPr>
          <w:rFonts w:hint="eastAsia" w:ascii="宋体" w:hAnsi="宋体" w:cs="宋体"/>
          <w:color w:val="auto"/>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Style w:val="34"/>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7"/>
        <w:gridCol w:w="6266"/>
      </w:tblGrid>
      <w:tr w14:paraId="005E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5" w:type="dxa"/>
            <w:vAlign w:val="center"/>
          </w:tcPr>
          <w:p w14:paraId="33AD51C1">
            <w:pPr>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2697" w:type="dxa"/>
            <w:vAlign w:val="center"/>
          </w:tcPr>
          <w:p w14:paraId="7F315713">
            <w:pPr>
              <w:jc w:val="center"/>
              <w:rPr>
                <w:rFonts w:ascii="宋体" w:hAnsi="宋体" w:cs="宋体"/>
                <w:b/>
                <w:color w:val="auto"/>
                <w:kern w:val="0"/>
                <w:sz w:val="21"/>
                <w:szCs w:val="21"/>
              </w:rPr>
            </w:pPr>
            <w:r>
              <w:rPr>
                <w:rFonts w:hint="eastAsia" w:ascii="宋体" w:hAnsi="宋体" w:cs="宋体"/>
                <w:b/>
                <w:color w:val="auto"/>
                <w:kern w:val="0"/>
                <w:sz w:val="21"/>
                <w:szCs w:val="21"/>
              </w:rPr>
              <w:t>审查因素</w:t>
            </w:r>
          </w:p>
        </w:tc>
        <w:tc>
          <w:tcPr>
            <w:tcW w:w="6266" w:type="dxa"/>
            <w:vAlign w:val="center"/>
          </w:tcPr>
          <w:p w14:paraId="10115ACB">
            <w:pPr>
              <w:jc w:val="center"/>
              <w:rPr>
                <w:rFonts w:ascii="宋体" w:hAnsi="宋体" w:cs="宋体"/>
                <w:b/>
                <w:color w:val="auto"/>
                <w:kern w:val="0"/>
                <w:sz w:val="21"/>
                <w:szCs w:val="21"/>
              </w:rPr>
            </w:pPr>
            <w:r>
              <w:rPr>
                <w:rFonts w:hint="eastAsia" w:ascii="宋体" w:hAnsi="宋体" w:cs="宋体"/>
                <w:b/>
                <w:color w:val="auto"/>
                <w:kern w:val="0"/>
                <w:sz w:val="21"/>
                <w:szCs w:val="21"/>
              </w:rPr>
              <w:t>审查标准</w:t>
            </w:r>
          </w:p>
        </w:tc>
      </w:tr>
      <w:tr w14:paraId="095D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75" w:type="dxa"/>
            <w:vMerge w:val="restart"/>
            <w:vAlign w:val="center"/>
          </w:tcPr>
          <w:p w14:paraId="062EE63C">
            <w:pPr>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2697" w:type="dxa"/>
            <w:vAlign w:val="center"/>
          </w:tcPr>
          <w:p w14:paraId="121A8D0B">
            <w:pPr>
              <w:rPr>
                <w:rFonts w:ascii="宋体" w:hAnsi="宋体" w:cs="宋体"/>
                <w:color w:val="auto"/>
                <w:kern w:val="0"/>
                <w:sz w:val="21"/>
                <w:szCs w:val="21"/>
              </w:rPr>
            </w:pPr>
            <w:r>
              <w:rPr>
                <w:rFonts w:hint="eastAsia" w:ascii="宋体" w:hAnsi="宋体" w:cs="宋体"/>
                <w:color w:val="auto"/>
                <w:sz w:val="21"/>
                <w:szCs w:val="21"/>
              </w:rPr>
              <w:t>响应文件签署或盖章</w:t>
            </w:r>
          </w:p>
        </w:tc>
        <w:tc>
          <w:tcPr>
            <w:tcW w:w="6266" w:type="dxa"/>
            <w:vAlign w:val="center"/>
          </w:tcPr>
          <w:p w14:paraId="6404EFE7">
            <w:pPr>
              <w:rPr>
                <w:rFonts w:ascii="宋体" w:hAnsi="宋体" w:cs="宋体"/>
                <w:color w:val="auto"/>
                <w:kern w:val="0"/>
                <w:sz w:val="21"/>
                <w:szCs w:val="21"/>
              </w:rPr>
            </w:pPr>
            <w:r>
              <w:rPr>
                <w:rFonts w:hint="eastAsia" w:ascii="宋体" w:hAnsi="宋体" w:cs="宋体"/>
                <w:color w:val="auto"/>
                <w:sz w:val="21"/>
                <w:szCs w:val="21"/>
              </w:rPr>
              <w:t>按“第七篇响应文件格式要求”要求签署或盖章</w:t>
            </w:r>
          </w:p>
        </w:tc>
      </w:tr>
      <w:tr w14:paraId="39BA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5" w:type="dxa"/>
            <w:vMerge w:val="continue"/>
            <w:vAlign w:val="center"/>
          </w:tcPr>
          <w:p w14:paraId="25F718D0">
            <w:pPr>
              <w:jc w:val="center"/>
              <w:rPr>
                <w:rFonts w:ascii="宋体" w:hAnsi="宋体" w:cs="宋体"/>
                <w:color w:val="auto"/>
                <w:kern w:val="0"/>
                <w:sz w:val="21"/>
                <w:szCs w:val="21"/>
              </w:rPr>
            </w:pPr>
          </w:p>
        </w:tc>
        <w:tc>
          <w:tcPr>
            <w:tcW w:w="2697" w:type="dxa"/>
            <w:vAlign w:val="center"/>
          </w:tcPr>
          <w:p w14:paraId="68E8B390">
            <w:pPr>
              <w:rPr>
                <w:rFonts w:ascii="宋体" w:hAnsi="宋体" w:cs="宋体"/>
                <w:color w:val="auto"/>
                <w:sz w:val="21"/>
                <w:szCs w:val="21"/>
              </w:rPr>
            </w:pPr>
            <w:r>
              <w:rPr>
                <w:rFonts w:hint="eastAsia" w:ascii="宋体" w:hAnsi="宋体" w:cs="宋体"/>
                <w:color w:val="auto"/>
                <w:sz w:val="21"/>
                <w:szCs w:val="21"/>
              </w:rPr>
              <w:t>法定代表人身份证明及授权委托书</w:t>
            </w:r>
          </w:p>
        </w:tc>
        <w:tc>
          <w:tcPr>
            <w:tcW w:w="6266" w:type="dxa"/>
            <w:vAlign w:val="center"/>
          </w:tcPr>
          <w:p w14:paraId="4DDCAB4C">
            <w:pPr>
              <w:rPr>
                <w:rFonts w:ascii="宋体" w:hAnsi="宋体" w:cs="宋体"/>
                <w:color w:val="auto"/>
                <w:sz w:val="21"/>
                <w:szCs w:val="21"/>
              </w:rPr>
            </w:pPr>
            <w:r>
              <w:rPr>
                <w:rFonts w:hint="eastAsia" w:ascii="宋体" w:hAnsi="宋体" w:cs="宋体"/>
                <w:color w:val="auto"/>
                <w:sz w:val="21"/>
                <w:szCs w:val="21"/>
              </w:rPr>
              <w:t>法定代表人身份证明及授权委托书有效，符合竞争性谈判文件规定的格式，签署或盖章齐全。</w:t>
            </w:r>
          </w:p>
        </w:tc>
      </w:tr>
      <w:tr w14:paraId="6CA9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Merge w:val="continue"/>
            <w:vAlign w:val="center"/>
          </w:tcPr>
          <w:p w14:paraId="72218FB2">
            <w:pPr>
              <w:jc w:val="center"/>
              <w:rPr>
                <w:rFonts w:ascii="宋体" w:hAnsi="宋体" w:cs="宋体"/>
                <w:color w:val="auto"/>
                <w:kern w:val="0"/>
                <w:sz w:val="21"/>
                <w:szCs w:val="21"/>
              </w:rPr>
            </w:pPr>
          </w:p>
        </w:tc>
        <w:tc>
          <w:tcPr>
            <w:tcW w:w="2697" w:type="dxa"/>
            <w:vAlign w:val="center"/>
          </w:tcPr>
          <w:p w14:paraId="23847B66">
            <w:pPr>
              <w:rPr>
                <w:rFonts w:ascii="宋体" w:hAnsi="宋体" w:cs="宋体"/>
                <w:color w:val="auto"/>
                <w:sz w:val="21"/>
                <w:szCs w:val="21"/>
                <w:lang w:val="zh-CN"/>
              </w:rPr>
            </w:pPr>
            <w:r>
              <w:rPr>
                <w:rFonts w:hint="eastAsia" w:ascii="宋体" w:hAnsi="宋体" w:cs="宋体"/>
                <w:color w:val="auto"/>
                <w:sz w:val="21"/>
                <w:szCs w:val="21"/>
              </w:rPr>
              <w:t>响应</w:t>
            </w:r>
            <w:r>
              <w:rPr>
                <w:rFonts w:hint="eastAsia" w:ascii="宋体" w:hAnsi="宋体" w:cs="宋体"/>
                <w:color w:val="auto"/>
                <w:sz w:val="21"/>
                <w:szCs w:val="21"/>
                <w:lang w:val="zh-CN"/>
              </w:rPr>
              <w:t>方案</w:t>
            </w:r>
          </w:p>
        </w:tc>
        <w:tc>
          <w:tcPr>
            <w:tcW w:w="6266" w:type="dxa"/>
            <w:vAlign w:val="center"/>
          </w:tcPr>
          <w:p w14:paraId="4C2B852A">
            <w:pPr>
              <w:rPr>
                <w:rFonts w:ascii="宋体" w:hAnsi="宋体" w:cs="宋体"/>
                <w:color w:val="auto"/>
                <w:kern w:val="0"/>
                <w:sz w:val="21"/>
                <w:szCs w:val="21"/>
              </w:rPr>
            </w:pPr>
            <w:r>
              <w:rPr>
                <w:rFonts w:hint="eastAsia" w:ascii="宋体" w:hAnsi="宋体" w:cs="宋体"/>
                <w:color w:val="auto"/>
                <w:sz w:val="21"/>
                <w:szCs w:val="21"/>
                <w:lang w:val="zh-CN"/>
              </w:rPr>
              <w:t>只能有一个</w:t>
            </w:r>
            <w:r>
              <w:rPr>
                <w:rFonts w:hint="eastAsia" w:ascii="宋体" w:hAnsi="宋体" w:cs="宋体"/>
                <w:color w:val="auto"/>
                <w:sz w:val="21"/>
                <w:szCs w:val="21"/>
              </w:rPr>
              <w:t>响应</w:t>
            </w:r>
            <w:r>
              <w:rPr>
                <w:rFonts w:hint="eastAsia" w:ascii="宋体" w:hAnsi="宋体" w:cs="宋体"/>
                <w:color w:val="auto"/>
                <w:sz w:val="21"/>
                <w:szCs w:val="21"/>
                <w:lang w:val="zh-CN"/>
              </w:rPr>
              <w:t>方案。</w:t>
            </w:r>
          </w:p>
        </w:tc>
      </w:tr>
      <w:tr w14:paraId="55501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vMerge w:val="continue"/>
            <w:vAlign w:val="center"/>
          </w:tcPr>
          <w:p w14:paraId="5E7654BC">
            <w:pPr>
              <w:jc w:val="center"/>
              <w:rPr>
                <w:rFonts w:ascii="宋体" w:hAnsi="宋体" w:cs="宋体"/>
                <w:color w:val="auto"/>
                <w:kern w:val="0"/>
                <w:sz w:val="21"/>
                <w:szCs w:val="21"/>
              </w:rPr>
            </w:pPr>
          </w:p>
        </w:tc>
        <w:tc>
          <w:tcPr>
            <w:tcW w:w="2697" w:type="dxa"/>
            <w:vAlign w:val="center"/>
          </w:tcPr>
          <w:p w14:paraId="0FAF8274">
            <w:pPr>
              <w:rPr>
                <w:rFonts w:ascii="宋体" w:hAnsi="宋体" w:cs="宋体"/>
                <w:color w:val="auto"/>
                <w:sz w:val="21"/>
                <w:szCs w:val="21"/>
                <w:lang w:val="zh-CN"/>
              </w:rPr>
            </w:pPr>
            <w:r>
              <w:rPr>
                <w:rFonts w:hint="eastAsia" w:ascii="宋体" w:hAnsi="宋体" w:cs="宋体"/>
                <w:color w:val="auto"/>
                <w:sz w:val="21"/>
                <w:szCs w:val="21"/>
              </w:rPr>
              <w:t>报价唯一</w:t>
            </w:r>
          </w:p>
        </w:tc>
        <w:tc>
          <w:tcPr>
            <w:tcW w:w="6266" w:type="dxa"/>
            <w:vAlign w:val="center"/>
          </w:tcPr>
          <w:p w14:paraId="477DFD58">
            <w:pPr>
              <w:rPr>
                <w:rFonts w:ascii="宋体" w:hAnsi="宋体" w:cs="宋体"/>
                <w:color w:val="auto"/>
                <w:kern w:val="0"/>
                <w:sz w:val="21"/>
                <w:szCs w:val="21"/>
              </w:rPr>
            </w:pPr>
            <w:r>
              <w:rPr>
                <w:rFonts w:hint="eastAsia" w:ascii="宋体" w:hAnsi="宋体" w:cs="宋体"/>
                <w:color w:val="auto"/>
                <w:sz w:val="21"/>
                <w:szCs w:val="21"/>
              </w:rPr>
              <w:t>只能有一个有效报价，不得提交选择性报价。</w:t>
            </w:r>
          </w:p>
        </w:tc>
      </w:tr>
      <w:tr w14:paraId="14CC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75" w:type="dxa"/>
            <w:vAlign w:val="center"/>
          </w:tcPr>
          <w:p w14:paraId="2752D8DD">
            <w:pPr>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2697" w:type="dxa"/>
            <w:vAlign w:val="center"/>
          </w:tcPr>
          <w:p w14:paraId="624B1607">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文件份数</w:t>
            </w:r>
          </w:p>
        </w:tc>
        <w:tc>
          <w:tcPr>
            <w:tcW w:w="6266" w:type="dxa"/>
            <w:vAlign w:val="center"/>
          </w:tcPr>
          <w:p w14:paraId="1651977B">
            <w:pPr>
              <w:rPr>
                <w:rFonts w:ascii="宋体" w:hAnsi="宋体" w:cs="宋体"/>
                <w:color w:val="auto"/>
                <w:kern w:val="0"/>
                <w:sz w:val="21"/>
                <w:szCs w:val="21"/>
              </w:rPr>
            </w:pPr>
            <w:r>
              <w:rPr>
                <w:rFonts w:hint="eastAsia" w:ascii="宋体" w:hAnsi="宋体" w:cs="宋体"/>
                <w:color w:val="auto"/>
                <w:sz w:val="21"/>
                <w:szCs w:val="21"/>
              </w:rPr>
              <w:t>响应</w:t>
            </w:r>
            <w:r>
              <w:rPr>
                <w:rFonts w:hint="eastAsia" w:ascii="宋体" w:hAnsi="宋体" w:cs="宋体"/>
                <w:color w:val="auto"/>
                <w:sz w:val="21"/>
                <w:szCs w:val="21"/>
                <w:lang w:val="zh-CN"/>
              </w:rPr>
              <w:t>文件正、副本数量（含电子文档）符合</w:t>
            </w:r>
            <w:r>
              <w:rPr>
                <w:rFonts w:hint="eastAsia" w:ascii="宋体" w:hAnsi="宋体" w:cs="宋体"/>
                <w:color w:val="auto"/>
                <w:sz w:val="21"/>
                <w:szCs w:val="21"/>
              </w:rPr>
              <w:t>竞争性谈判</w:t>
            </w:r>
            <w:r>
              <w:rPr>
                <w:rFonts w:hint="eastAsia" w:ascii="宋体" w:hAnsi="宋体" w:cs="宋体"/>
                <w:color w:val="auto"/>
                <w:sz w:val="21"/>
                <w:szCs w:val="21"/>
                <w:lang w:val="zh-CN"/>
              </w:rPr>
              <w:t>文件要求。</w:t>
            </w:r>
          </w:p>
        </w:tc>
      </w:tr>
      <w:tr w14:paraId="1D0E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5" w:type="dxa"/>
            <w:vMerge w:val="restart"/>
            <w:vAlign w:val="center"/>
          </w:tcPr>
          <w:p w14:paraId="72D6BE2F">
            <w:pPr>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2697" w:type="dxa"/>
            <w:vAlign w:val="center"/>
          </w:tcPr>
          <w:p w14:paraId="341B81E4">
            <w:pPr>
              <w:rPr>
                <w:rFonts w:ascii="宋体" w:hAnsi="宋体" w:cs="宋体"/>
                <w:color w:val="auto"/>
                <w:kern w:val="0"/>
                <w:sz w:val="21"/>
                <w:szCs w:val="21"/>
              </w:rPr>
            </w:pPr>
            <w:r>
              <w:rPr>
                <w:rFonts w:hint="eastAsia" w:ascii="宋体" w:hAnsi="宋体" w:cs="宋体"/>
                <w:color w:val="auto"/>
                <w:kern w:val="0"/>
                <w:sz w:val="21"/>
                <w:szCs w:val="21"/>
              </w:rPr>
              <w:t>响应文件内容</w:t>
            </w:r>
          </w:p>
        </w:tc>
        <w:tc>
          <w:tcPr>
            <w:tcW w:w="6266" w:type="dxa"/>
            <w:vAlign w:val="center"/>
          </w:tcPr>
          <w:p w14:paraId="3251473D">
            <w:pPr>
              <w:pStyle w:val="68"/>
              <w:rPr>
                <w:rFonts w:ascii="宋体" w:hAnsi="宋体" w:cs="宋体"/>
                <w:color w:val="auto"/>
                <w:kern w:val="0"/>
                <w:sz w:val="21"/>
                <w:szCs w:val="21"/>
              </w:rPr>
            </w:pPr>
            <w:r>
              <w:rPr>
                <w:rFonts w:hint="eastAsia" w:ascii="宋体" w:hAnsi="宋体" w:cs="宋体"/>
                <w:color w:val="auto"/>
                <w:kern w:val="0"/>
                <w:sz w:val="21"/>
                <w:szCs w:val="21"/>
              </w:rPr>
              <w:t>对竞争性谈判文件第二篇、第三篇全部的谈判内容进行实质性响应。</w:t>
            </w:r>
          </w:p>
        </w:tc>
      </w:tr>
      <w:tr w14:paraId="6903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75" w:type="dxa"/>
            <w:vMerge w:val="continue"/>
            <w:vAlign w:val="center"/>
          </w:tcPr>
          <w:p w14:paraId="2A068F95">
            <w:pPr>
              <w:jc w:val="center"/>
              <w:rPr>
                <w:rFonts w:ascii="宋体" w:hAnsi="宋体" w:cs="宋体"/>
                <w:color w:val="auto"/>
                <w:kern w:val="0"/>
                <w:sz w:val="21"/>
                <w:szCs w:val="21"/>
              </w:rPr>
            </w:pPr>
          </w:p>
        </w:tc>
        <w:tc>
          <w:tcPr>
            <w:tcW w:w="2697" w:type="dxa"/>
            <w:vAlign w:val="center"/>
          </w:tcPr>
          <w:p w14:paraId="793C163A">
            <w:pPr>
              <w:rPr>
                <w:rFonts w:ascii="宋体" w:hAnsi="宋体" w:cs="宋体"/>
                <w:color w:val="auto"/>
                <w:kern w:val="0"/>
                <w:sz w:val="21"/>
                <w:szCs w:val="21"/>
              </w:rPr>
            </w:pPr>
            <w:r>
              <w:rPr>
                <w:rFonts w:hint="eastAsia" w:ascii="宋体" w:hAnsi="宋体" w:cs="宋体"/>
                <w:color w:val="auto"/>
                <w:kern w:val="0"/>
                <w:sz w:val="21"/>
                <w:szCs w:val="21"/>
              </w:rPr>
              <w:t>谈判有效期</w:t>
            </w:r>
          </w:p>
        </w:tc>
        <w:tc>
          <w:tcPr>
            <w:tcW w:w="6266" w:type="dxa"/>
            <w:vAlign w:val="center"/>
          </w:tcPr>
          <w:p w14:paraId="6CA25CA7">
            <w:pPr>
              <w:rPr>
                <w:rFonts w:ascii="宋体" w:hAnsi="宋体" w:cs="宋体"/>
                <w:color w:val="auto"/>
                <w:kern w:val="0"/>
                <w:sz w:val="21"/>
                <w:szCs w:val="21"/>
              </w:rPr>
            </w:pPr>
            <w:r>
              <w:rPr>
                <w:rFonts w:hint="eastAsia" w:ascii="宋体" w:hAnsi="宋体" w:cs="宋体"/>
                <w:color w:val="auto"/>
                <w:kern w:val="0"/>
                <w:sz w:val="21"/>
                <w:szCs w:val="21"/>
              </w:rPr>
              <w:t>响应文件及有关承诺文件有效期为提交响应文件截止时间起90天。</w:t>
            </w:r>
          </w:p>
        </w:tc>
      </w:tr>
    </w:tbl>
    <w:p w14:paraId="19802ABB">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3702627">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95F0FB3">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（四）在谈判过程中谈判的任何一方不得向他人透露与谈判有关的技术资料、价格或其他信息。</w:t>
      </w:r>
    </w:p>
    <w:p w14:paraId="0A68299D">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在谈判过程中，谈判小组可以根据竞争性谈判文件和谈判情况实质性变动采购需求中的技术（质量）、商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202B0380">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（六）供应商在谈判时作出的所有书面承诺须由法定代表人（或其授权代表）或自然人（供应商为自然人）签署。</w:t>
      </w:r>
    </w:p>
    <w:p w14:paraId="789F736F">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140927D1">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（八）评审的依据为竞争性谈判文件和响应文件（含有效的补充文件）。谈判小组判断响应文件对竞争性谈判文件的响应，仅基于响应文件本身而不靠外部证据。</w:t>
      </w:r>
    </w:p>
    <w:p w14:paraId="7C441CEE">
      <w:pPr>
        <w:pStyle w:val="5"/>
        <w:adjustRightInd w:val="0"/>
        <w:snapToGrid w:val="0"/>
        <w:spacing w:before="0" w:after="0" w:line="400" w:lineRule="exact"/>
        <w:ind w:firstLine="482" w:firstLineChars="200"/>
        <w:rPr>
          <w:rFonts w:ascii="宋体" w:hAnsi="宋体" w:eastAsia="宋体" w:cs="宋体"/>
          <w:color w:val="auto"/>
          <w:sz w:val="24"/>
        </w:rPr>
      </w:pPr>
      <w:bookmarkStart w:id="141" w:name="_Toc65660351"/>
      <w:bookmarkStart w:id="142" w:name="_Toc64732013"/>
      <w:bookmarkStart w:id="143" w:name="_Toc11713"/>
      <w:bookmarkStart w:id="144" w:name="_Toc30639"/>
      <w:bookmarkStart w:id="145" w:name="_Toc11728"/>
      <w:r>
        <w:rPr>
          <w:rFonts w:hint="eastAsia" w:ascii="宋体" w:hAnsi="宋体" w:eastAsia="宋体" w:cs="宋体"/>
          <w:color w:val="auto"/>
          <w:sz w:val="24"/>
        </w:rPr>
        <w:t>二、评定成交的标准</w:t>
      </w:r>
      <w:bookmarkEnd w:id="141"/>
      <w:bookmarkEnd w:id="142"/>
      <w:bookmarkEnd w:id="143"/>
      <w:bookmarkEnd w:id="144"/>
      <w:bookmarkEnd w:id="145"/>
    </w:p>
    <w:p w14:paraId="2D6186ED">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谈判小组将依照本竞争性谈判文件相关规定对技术（质量）和商务均能满足竞争性谈判实质性响应要求的供应商所提交的最后报价进行评审，按照由低到高的顺序提出3名以上成交候选人，并编写评审报告。</w:t>
      </w:r>
    </w:p>
    <w:p w14:paraId="4EF9E78A">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（二）若供应商的最后报价相同，按技术（质量）的优劣顺序排列；以上都相同的，按商务条款的优劣顺序排列。</w:t>
      </w:r>
    </w:p>
    <w:p w14:paraId="31F57A61">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（三）成交价格=成交供应商的最后报价。</w:t>
      </w:r>
    </w:p>
    <w:p w14:paraId="0953DD2E">
      <w:pPr>
        <w:pStyle w:val="5"/>
        <w:adjustRightInd w:val="0"/>
        <w:snapToGrid w:val="0"/>
        <w:spacing w:before="0" w:after="0" w:line="400" w:lineRule="exact"/>
        <w:ind w:firstLine="482" w:firstLineChars="200"/>
        <w:rPr>
          <w:rFonts w:ascii="宋体" w:hAnsi="宋体" w:eastAsia="宋体" w:cs="宋体"/>
          <w:color w:val="auto"/>
          <w:sz w:val="24"/>
        </w:rPr>
      </w:pPr>
      <w:bookmarkStart w:id="146" w:name="_Toc29113"/>
      <w:bookmarkStart w:id="147" w:name="_Toc12644"/>
      <w:bookmarkStart w:id="148" w:name="_Toc65660352"/>
      <w:bookmarkStart w:id="149" w:name="_Toc24565"/>
      <w:r>
        <w:rPr>
          <w:rFonts w:hint="eastAsia" w:ascii="宋体" w:hAnsi="宋体" w:eastAsia="宋体" w:cs="宋体"/>
          <w:color w:val="auto"/>
          <w:sz w:val="24"/>
        </w:rPr>
        <w:t>三、无效谈判</w:t>
      </w:r>
      <w:bookmarkEnd w:id="146"/>
      <w:bookmarkEnd w:id="147"/>
      <w:bookmarkEnd w:id="148"/>
      <w:bookmarkEnd w:id="149"/>
    </w:p>
    <w:p w14:paraId="3AADC36A">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供应商发生以下条款情况之一者，视为无效谈判：</w:t>
      </w:r>
    </w:p>
    <w:p w14:paraId="3626F688">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（一）供应商不符合规定的资格条件的；</w:t>
      </w:r>
    </w:p>
    <w:p w14:paraId="538DB532">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（二）供应商未通过实质性响应审查的；</w:t>
      </w:r>
    </w:p>
    <w:p w14:paraId="65C2E64B">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（三）供应商的法定代表人（或其授权代表）或自然人未参加谈判的；</w:t>
      </w:r>
    </w:p>
    <w:p w14:paraId="6F8C5886">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（四）供应商未在保证金到账截止时间前足额交纳所参与包保证金的（如有）；</w:t>
      </w:r>
    </w:p>
    <w:p w14:paraId="148E4E24">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（五）供应商所提交的响应文件未按“第七篇响应文件格式要求”要求签署或盖章的；</w:t>
      </w:r>
    </w:p>
    <w:p w14:paraId="2C7EC38C">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（六）供应商的最后报价超过采购预算或招标控制价的；</w:t>
      </w:r>
    </w:p>
    <w:p w14:paraId="48999E9A">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（七）供应商不接受谈判小组修正后的价格的；</w:t>
      </w:r>
    </w:p>
    <w:p w14:paraId="1B76277D">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（八）单位负责人为同一人或者存在直接控股、管理关系的不同供应商，参加同一合同项（包）谈判的；</w:t>
      </w:r>
    </w:p>
    <w:p w14:paraId="4B2BADBD">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（九）为采购项目提供整体设计、规范编制或者项目管理、监理、检测等服务的供应商再参加该采购项目的其他采购活动的；</w:t>
      </w:r>
    </w:p>
    <w:p w14:paraId="1F7DD370">
      <w:pPr>
        <w:pStyle w:val="7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（十）供应商响应文件内容有与国家现行法律法规相违背的内容，或附有采购人无法接受条件的；</w:t>
      </w:r>
    </w:p>
    <w:p w14:paraId="2706EBA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（十一）法律、法规和竞争性谈判文件规定的其他无效情形。</w:t>
      </w:r>
    </w:p>
    <w:p w14:paraId="4BBC9E8F">
      <w:pPr>
        <w:pStyle w:val="5"/>
        <w:adjustRightInd w:val="0"/>
        <w:snapToGrid w:val="0"/>
        <w:spacing w:before="0" w:after="0" w:line="400" w:lineRule="exact"/>
        <w:ind w:firstLine="482" w:firstLineChars="200"/>
        <w:rPr>
          <w:rFonts w:ascii="宋体" w:hAnsi="宋体" w:eastAsia="宋体" w:cs="宋体"/>
          <w:color w:val="auto"/>
          <w:sz w:val="24"/>
        </w:rPr>
      </w:pPr>
      <w:bookmarkStart w:id="150" w:name="_Toc28509"/>
      <w:bookmarkStart w:id="151" w:name="_Toc28422"/>
      <w:bookmarkStart w:id="152" w:name="_Toc65660353"/>
      <w:bookmarkStart w:id="153" w:name="_Toc29298"/>
      <w:r>
        <w:rPr>
          <w:rFonts w:hint="eastAsia" w:ascii="宋体" w:hAnsi="宋体" w:eastAsia="宋体" w:cs="宋体"/>
          <w:color w:val="auto"/>
          <w:sz w:val="24"/>
        </w:rPr>
        <w:t>四、采购终止</w:t>
      </w:r>
      <w:bookmarkEnd w:id="150"/>
      <w:bookmarkEnd w:id="151"/>
      <w:bookmarkEnd w:id="152"/>
      <w:bookmarkEnd w:id="153"/>
    </w:p>
    <w:p w14:paraId="05A35FAB">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出现下列情形之一的，采购人或者采购代理机构应当终止竞争性谈判采购活动，发布项目终止公告并说明原因，重新开展采购活动：</w:t>
      </w:r>
    </w:p>
    <w:p w14:paraId="5271BF2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（一）因情况变化，不再符合规定的竞争性谈判采购方式适用情形的；</w:t>
      </w:r>
    </w:p>
    <w:p w14:paraId="05FE934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（二）出现影响采购公正的违法、违规行为的；</w:t>
      </w:r>
    </w:p>
    <w:p w14:paraId="10A6E2DF">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（三）在采购过程中符合竞争要求的供应商或者报价未超过采购预算的供应商不足3家的，但《政府采购非招标采购方式管理办法》第二十七条第二款规定的情形除外。</w:t>
      </w:r>
    </w:p>
    <w:p w14:paraId="6B0CBC4E">
      <w:pPr>
        <w:pStyle w:val="5"/>
        <w:spacing w:before="0" w:after="0" w:line="360" w:lineRule="auto"/>
        <w:jc w:val="center"/>
        <w:rPr>
          <w:rFonts w:ascii="宋体" w:hAnsi="宋体" w:eastAsia="宋体" w:cs="宋体"/>
          <w:b w:val="0"/>
          <w:color w:val="auto"/>
          <w:sz w:val="36"/>
          <w:szCs w:val="30"/>
        </w:rPr>
      </w:pPr>
      <w:r>
        <w:rPr>
          <w:rFonts w:hint="eastAsia" w:ascii="宋体" w:hAnsi="宋体" w:eastAsia="宋体" w:cs="宋体"/>
          <w:color w:val="auto"/>
          <w:sz w:val="24"/>
          <w:szCs w:val="24"/>
        </w:rPr>
        <w:br w:type="page"/>
      </w:r>
      <w:bookmarkStart w:id="154" w:name="_Toc65660354"/>
      <w:bookmarkStart w:id="155" w:name="_Toc2129"/>
      <w:bookmarkStart w:id="156" w:name="_Toc20055"/>
      <w:bookmarkStart w:id="157" w:name="_Toc10768"/>
      <w:r>
        <w:rPr>
          <w:rFonts w:hint="eastAsia" w:ascii="宋体" w:hAnsi="宋体" w:eastAsia="宋体" w:cs="宋体"/>
          <w:b w:val="0"/>
          <w:color w:val="auto"/>
          <w:sz w:val="36"/>
          <w:szCs w:val="30"/>
        </w:rPr>
        <w:t>第五篇  供应商须知</w:t>
      </w:r>
      <w:bookmarkEnd w:id="154"/>
      <w:bookmarkEnd w:id="155"/>
      <w:bookmarkEnd w:id="156"/>
      <w:bookmarkEnd w:id="157"/>
    </w:p>
    <w:p w14:paraId="4B06E0E7">
      <w:pPr>
        <w:pStyle w:val="5"/>
        <w:adjustRightInd w:val="0"/>
        <w:snapToGrid w:val="0"/>
        <w:spacing w:before="0" w:after="0" w:line="400" w:lineRule="exact"/>
        <w:ind w:firstLine="482" w:firstLineChars="200"/>
        <w:rPr>
          <w:rFonts w:ascii="宋体" w:hAnsi="宋体" w:eastAsia="宋体" w:cs="宋体"/>
          <w:color w:val="auto"/>
          <w:sz w:val="24"/>
        </w:rPr>
      </w:pPr>
      <w:bookmarkStart w:id="158" w:name="_Toc5290"/>
      <w:bookmarkStart w:id="159" w:name="_Toc32221"/>
      <w:bookmarkStart w:id="160" w:name="_Toc16524"/>
      <w:bookmarkStart w:id="161" w:name="_Toc65660355"/>
      <w:r>
        <w:rPr>
          <w:rFonts w:hint="eastAsia" w:ascii="宋体" w:hAnsi="宋体" w:eastAsia="宋体" w:cs="宋体"/>
          <w:color w:val="auto"/>
          <w:sz w:val="24"/>
        </w:rPr>
        <w:t>一、谈判费用</w:t>
      </w:r>
      <w:bookmarkEnd w:id="158"/>
      <w:bookmarkEnd w:id="159"/>
      <w:bookmarkEnd w:id="160"/>
      <w:bookmarkEnd w:id="161"/>
    </w:p>
    <w:p w14:paraId="5439D0D6">
      <w:pPr>
        <w:pStyle w:val="240"/>
        <w:spacing w:line="400" w:lineRule="exact"/>
        <w:ind w:firstLine="480" w:firstLineChars="200"/>
        <w:rPr>
          <w:rFonts w:hAnsi="宋体" w:cs="宋体"/>
          <w:color w:val="auto"/>
          <w:sz w:val="24"/>
          <w:szCs w:val="24"/>
        </w:rPr>
      </w:pPr>
      <w:r>
        <w:rPr>
          <w:rFonts w:hint="eastAsia" w:hAnsi="宋体" w:cs="宋体"/>
          <w:color w:val="auto"/>
          <w:sz w:val="24"/>
          <w:szCs w:val="24"/>
        </w:rPr>
        <w:t>参与谈判的供应商应承担其编制响应文件与递交响应文件所涉及的一切费用，不论谈判结果如何，采购人和采购代理机构在任何情况下无义务也无责任承担这些费用。</w:t>
      </w:r>
    </w:p>
    <w:p w14:paraId="2C0D02E5">
      <w:pPr>
        <w:pStyle w:val="5"/>
        <w:adjustRightInd w:val="0"/>
        <w:snapToGrid w:val="0"/>
        <w:spacing w:before="0" w:after="0" w:line="400" w:lineRule="exact"/>
        <w:ind w:firstLine="482" w:firstLineChars="200"/>
        <w:rPr>
          <w:rFonts w:ascii="宋体" w:hAnsi="宋体" w:eastAsia="宋体" w:cs="宋体"/>
          <w:color w:val="auto"/>
          <w:sz w:val="24"/>
        </w:rPr>
      </w:pPr>
      <w:bookmarkStart w:id="162" w:name="_Toc5915"/>
      <w:bookmarkStart w:id="163" w:name="_Toc23084"/>
      <w:bookmarkStart w:id="164" w:name="_Toc31739"/>
      <w:bookmarkStart w:id="165" w:name="_Toc65660356"/>
      <w:r>
        <w:rPr>
          <w:rFonts w:hint="eastAsia" w:ascii="宋体" w:hAnsi="宋体" w:eastAsia="宋体" w:cs="宋体"/>
          <w:color w:val="auto"/>
          <w:sz w:val="24"/>
        </w:rPr>
        <w:t>二、竞争性谈判文件</w:t>
      </w:r>
      <w:bookmarkEnd w:id="162"/>
      <w:bookmarkEnd w:id="163"/>
      <w:bookmarkEnd w:id="164"/>
      <w:bookmarkEnd w:id="165"/>
      <w:r>
        <w:rPr>
          <w:rFonts w:hint="eastAsia" w:ascii="宋体" w:hAnsi="宋体" w:eastAsia="宋体" w:cs="宋体"/>
          <w:color w:val="auto"/>
          <w:sz w:val="24"/>
        </w:rPr>
        <w:tab/>
      </w:r>
    </w:p>
    <w:p w14:paraId="22D42C89">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（一）竞争性谈判文件由竞争性谈判邀请书、谈判项目技术（质量）需求、谈判项目商务需求、采购程序、评定成交的标准、无效谈判及采购终止、供应商须知、合同草案条款、响应文件格式要求七部分组成。</w:t>
      </w:r>
    </w:p>
    <w:p w14:paraId="4D9B1B46">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（二）采购人（或采购代理机构）所作的一切有效的书面通知、修改及补充，都是竞争性谈判文件不可分割的部分。</w:t>
      </w:r>
    </w:p>
    <w:p w14:paraId="7AE2345C">
      <w:pPr>
        <w:snapToGrid w:val="0"/>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（三）本竞争性谈判文件中，谈判小组根据与供应商谈判情况可能实质性变动的内容为竞争性谈判文件第二、三、六篇全部内容。</w:t>
      </w:r>
    </w:p>
    <w:p w14:paraId="18E4B01A">
      <w:pPr>
        <w:pStyle w:val="5"/>
        <w:adjustRightInd w:val="0"/>
        <w:snapToGrid w:val="0"/>
        <w:spacing w:before="0" w:after="0" w:line="400" w:lineRule="exact"/>
        <w:ind w:firstLine="482" w:firstLineChars="200"/>
        <w:rPr>
          <w:rFonts w:ascii="宋体" w:hAnsi="宋体" w:eastAsia="宋体" w:cs="宋体"/>
          <w:color w:val="auto"/>
          <w:sz w:val="24"/>
        </w:rPr>
      </w:pPr>
      <w:bookmarkStart w:id="166" w:name="_Toc21464"/>
      <w:bookmarkStart w:id="167" w:name="_Toc3061"/>
      <w:bookmarkStart w:id="168" w:name="_Toc9532"/>
      <w:bookmarkStart w:id="169" w:name="_Toc65660357"/>
      <w:r>
        <w:rPr>
          <w:rFonts w:hint="eastAsia" w:ascii="宋体" w:hAnsi="宋体" w:eastAsia="宋体" w:cs="宋体"/>
          <w:color w:val="auto"/>
          <w:sz w:val="24"/>
        </w:rPr>
        <w:t>三、谈判要求</w:t>
      </w:r>
      <w:bookmarkEnd w:id="166"/>
      <w:bookmarkEnd w:id="167"/>
      <w:bookmarkEnd w:id="168"/>
      <w:bookmarkEnd w:id="169"/>
    </w:p>
    <w:p w14:paraId="573D7340">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（一）响应文件</w:t>
      </w:r>
    </w:p>
    <w:p w14:paraId="38E8FF9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供应商应当按照竞争性谈判文件的要求编制响应文件，并对竞争性谈判文件提出的要求和条件作出实质性响应，响应文件原则上采用软面订本。</w:t>
      </w:r>
    </w:p>
    <w:p w14:paraId="60B3EE1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1.响应文件组成</w:t>
      </w:r>
    </w:p>
    <w:p w14:paraId="1C6EA68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17C27C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2.联合体</w:t>
      </w:r>
    </w:p>
    <w:p w14:paraId="08B7102E">
      <w:pPr>
        <w:spacing w:line="400" w:lineRule="exact"/>
        <w:ind w:firstLine="480" w:firstLineChars="200"/>
        <w:rPr>
          <w:rFonts w:ascii="宋体" w:hAnsi="宋体" w:cs="宋体"/>
          <w:color w:val="auto"/>
          <w:sz w:val="24"/>
          <w:szCs w:val="24"/>
        </w:rPr>
      </w:pPr>
      <w:r>
        <w:rPr>
          <w:rFonts w:hint="eastAsia" w:ascii="宋体" w:hAnsi="宋体" w:cs="宋体"/>
          <w:color w:val="auto"/>
          <w:sz w:val="24"/>
        </w:rPr>
        <w:t>不接受联合体投标。</w:t>
      </w:r>
    </w:p>
    <w:p w14:paraId="508D7B1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3.谈判有效期：响应文件及有关承诺文件有效期为提交响应文件截止时间起90天。</w:t>
      </w:r>
    </w:p>
    <w:p w14:paraId="64FEAC91">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（二）投标保证金</w:t>
      </w:r>
    </w:p>
    <w:p w14:paraId="4A26664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1.供应商提交保证金金额和方式详见“</w:t>
      </w:r>
      <w:r>
        <w:rPr>
          <w:rFonts w:hint="eastAsia" w:ascii="宋体" w:hAnsi="宋体" w:cs="宋体"/>
          <w:b/>
          <w:color w:val="auto"/>
          <w:sz w:val="24"/>
          <w:szCs w:val="24"/>
          <w:u w:val="single"/>
        </w:rPr>
        <w:t>第一篇  五、谈判保证金”</w:t>
      </w:r>
      <w:r>
        <w:rPr>
          <w:rFonts w:hint="eastAsia" w:ascii="宋体" w:hAnsi="宋体" w:cs="宋体"/>
          <w:color w:val="auto"/>
          <w:sz w:val="24"/>
          <w:szCs w:val="24"/>
        </w:rPr>
        <w:t>；</w:t>
      </w:r>
    </w:p>
    <w:p w14:paraId="59477CF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2.发生以下情况之一者，保证金不予退还：</w:t>
      </w:r>
    </w:p>
    <w:p w14:paraId="75E21A4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2.1供应商在提交响应文件截止时间后撤回响应文件的；</w:t>
      </w:r>
    </w:p>
    <w:p w14:paraId="51E0C17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2.2供应商在响应文件中提供虚假材料的；</w:t>
      </w:r>
    </w:p>
    <w:p w14:paraId="39D197A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2.3除因不可抗力或竞争性谈判文件认可的情形以外，成交供应商不与采购人签订合同的；</w:t>
      </w:r>
    </w:p>
    <w:p w14:paraId="66FBF19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2.4供应商与采购人、其他供应商或者采购代理机构恶意串通的；</w:t>
      </w:r>
    </w:p>
    <w:p w14:paraId="0C5CBF2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2.5成交供应商不按规定的时间或拒绝按成交状态签订合同（即不按照采购文件确定的合同文本以及采购标的、规格型号、采购金额、采购数量、技术（质量）和服务要求等事项签订政府采购合同的）。</w:t>
      </w:r>
    </w:p>
    <w:p w14:paraId="3CD4398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rPr>
        <w:t>保证金的有效期限在谈判有效期过后三十天继续有效。</w:t>
      </w:r>
    </w:p>
    <w:p w14:paraId="36413F09">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（三）修正错误</w:t>
      </w:r>
    </w:p>
    <w:p w14:paraId="330E3C4C">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若供应商所递交的响应文件或最后报价中的价格出现大写金额和小写金额不一致的错误，以大写金额修正为准。</w:t>
      </w:r>
    </w:p>
    <w:p w14:paraId="4451D34F">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谈判小组按上述修正错误的原则及方法修正供应商的报价，供应商同意并签署确认后，修正后的报价对供应商具有约束作用。如果供应商不接受修正后的价格，将视为无效谈判。</w:t>
      </w:r>
    </w:p>
    <w:p w14:paraId="48DABB2D">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（四）提交响应文件的份数和签署</w:t>
      </w:r>
    </w:p>
    <w:p w14:paraId="26BF4B4E">
      <w:pPr>
        <w:snapToGrid w:val="0"/>
        <w:spacing w:line="400" w:lineRule="exact"/>
        <w:ind w:firstLine="482" w:firstLineChars="200"/>
        <w:rPr>
          <w:rFonts w:ascii="宋体" w:hAnsi="宋体" w:cs="宋体"/>
          <w:color w:val="auto"/>
          <w:sz w:val="24"/>
          <w:szCs w:val="24"/>
        </w:rPr>
      </w:pPr>
      <w:r>
        <w:rPr>
          <w:rFonts w:hint="eastAsia" w:ascii="宋体" w:hAnsi="宋体" w:cs="宋体"/>
          <w:b/>
          <w:bCs/>
          <w:color w:val="auto"/>
          <w:sz w:val="24"/>
          <w:szCs w:val="24"/>
        </w:rPr>
        <w:t>1.响应文件</w:t>
      </w:r>
      <w:r>
        <w:rPr>
          <w:rFonts w:hint="eastAsia" w:ascii="宋体" w:hAnsi="宋体" w:cs="宋体"/>
          <w:b/>
          <w:bCs/>
          <w:color w:val="auto"/>
          <w:sz w:val="24"/>
          <w:szCs w:val="24"/>
          <w:lang w:eastAsia="zh-CN"/>
        </w:rPr>
        <w:t>一式三份，其中正本一份，副本一份，电子文档一份</w:t>
      </w:r>
      <w:r>
        <w:rPr>
          <w:rFonts w:hint="eastAsia" w:ascii="宋体" w:hAnsi="宋体" w:cs="宋体"/>
          <w:b/>
          <w:bCs/>
          <w:color w:val="auto"/>
          <w:sz w:val="24"/>
          <w:szCs w:val="24"/>
        </w:rPr>
        <w:t>（电子文档内容应与纸质文件正本一致，提供签字盖章完整的扫描件PDF格式，如不一致以纸质文件正本为准；推荐采用光盘或U盘为电子文档载体）；</w:t>
      </w:r>
      <w:r>
        <w:rPr>
          <w:rFonts w:hint="eastAsia" w:ascii="宋体" w:hAnsi="宋体" w:cs="宋体"/>
          <w:color w:val="auto"/>
          <w:sz w:val="24"/>
          <w:szCs w:val="24"/>
        </w:rPr>
        <w:t>每套响应文件须在封面清楚地标明“正本”、“副本”或“电子文档”，副本应为正本的完整复印件，副本与正本不一致时以正本为准。响应文件电子文档与纸质响应文件正本不一致时，以纸质响应文件正本为准。</w:t>
      </w:r>
    </w:p>
    <w:p w14:paraId="7492F7B7">
      <w:pPr>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2.</w:t>
      </w:r>
      <w:r>
        <w:rPr>
          <w:rFonts w:hint="eastAsia" w:ascii="宋体" w:hAnsi="宋体" w:cs="宋体"/>
          <w:color w:val="auto"/>
          <w:sz w:val="24"/>
        </w:rPr>
        <w:t>在响应文件正本中，竞争性谈判文件第七篇响应文件格式中规定签署、盖章的地方必须按其规定签署、盖章。</w:t>
      </w:r>
    </w:p>
    <w:p w14:paraId="7C232841">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3.若供应商对响应文件的错处作必要修改，则应在修改处加盖供应商公章或由法定代表人（或其授权代表）或自然人</w:t>
      </w:r>
      <w:r>
        <w:rPr>
          <w:rFonts w:hint="eastAsia" w:ascii="宋体" w:hAnsi="宋体" w:cs="宋体"/>
          <w:color w:val="auto"/>
          <w:sz w:val="24"/>
          <w:szCs w:val="24"/>
        </w:rPr>
        <w:t>（供应商为自然人）签署</w:t>
      </w:r>
      <w:r>
        <w:rPr>
          <w:rFonts w:hint="eastAsia" w:ascii="宋体" w:hAnsi="宋体" w:cs="宋体"/>
          <w:color w:val="auto"/>
          <w:sz w:val="24"/>
        </w:rPr>
        <w:t>确认。</w:t>
      </w:r>
    </w:p>
    <w:p w14:paraId="3BD65E7F">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4.电报、电话、传真形式的响应文件概不接受。</w:t>
      </w:r>
    </w:p>
    <w:p w14:paraId="617DC10B">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（五）响应文件的递交</w:t>
      </w:r>
    </w:p>
    <w:p w14:paraId="456E9ED6">
      <w:pPr>
        <w:pStyle w:val="66"/>
        <w:spacing w:line="400" w:lineRule="exact"/>
        <w:ind w:firstLine="480" w:firstLineChars="200"/>
        <w:rPr>
          <w:rFonts w:hAnsi="宋体" w:cs="宋体"/>
          <w:color w:val="auto"/>
          <w:sz w:val="24"/>
        </w:rPr>
      </w:pPr>
      <w:r>
        <w:rPr>
          <w:rFonts w:hint="eastAsia" w:hAnsi="宋体" w:cs="宋体"/>
          <w:color w:val="auto"/>
          <w:sz w:val="24"/>
          <w:szCs w:val="24"/>
        </w:rPr>
        <w:t>响应文件的正本、副本以及电子文档均应密封送达谈判地点，应在封套上注明谈判项目名称、供应商名称。若正本、副本以及电子文档分别进行密封的，还应在封套上注明“正本”、“副本”、“电子文档”字样，响应文件的封面应注明项目名称、供应商名称、“正本”、“副本”字样，电子文档需粘贴标识注明供应商名称。</w:t>
      </w:r>
    </w:p>
    <w:p w14:paraId="212FA928">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（六）响应文件语言：简体中文</w:t>
      </w:r>
    </w:p>
    <w:p w14:paraId="5027118F">
      <w:pPr>
        <w:snapToGrid w:val="0"/>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（七）供应商参与人员</w:t>
      </w:r>
    </w:p>
    <w:p w14:paraId="2DE8B18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各供应商应当派1-2名代表参与谈判，至少1人应为法定代表人（或其授权代表）或自然人（供应商为自然人）。</w:t>
      </w:r>
    </w:p>
    <w:p w14:paraId="73FBB2CF">
      <w:pPr>
        <w:pStyle w:val="5"/>
        <w:adjustRightInd w:val="0"/>
        <w:snapToGrid w:val="0"/>
        <w:spacing w:before="0" w:after="0" w:line="400" w:lineRule="exact"/>
        <w:ind w:firstLine="482" w:firstLineChars="200"/>
        <w:rPr>
          <w:rFonts w:ascii="宋体" w:hAnsi="宋体" w:eastAsia="宋体" w:cs="宋体"/>
          <w:color w:val="auto"/>
          <w:sz w:val="24"/>
        </w:rPr>
      </w:pPr>
      <w:bookmarkStart w:id="170" w:name="_Toc10938"/>
      <w:bookmarkStart w:id="171" w:name="_Toc14702"/>
      <w:bookmarkStart w:id="172" w:name="_Toc65660358"/>
      <w:bookmarkStart w:id="173" w:name="_Toc6242"/>
      <w:r>
        <w:rPr>
          <w:rFonts w:hint="eastAsia" w:ascii="宋体" w:hAnsi="宋体" w:eastAsia="宋体" w:cs="宋体"/>
          <w:color w:val="auto"/>
          <w:sz w:val="24"/>
        </w:rPr>
        <w:t>四、成交供应商的确定和变更</w:t>
      </w:r>
      <w:bookmarkEnd w:id="170"/>
      <w:bookmarkEnd w:id="171"/>
      <w:bookmarkEnd w:id="172"/>
      <w:bookmarkEnd w:id="173"/>
    </w:p>
    <w:p w14:paraId="2543620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7421A76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（二）成交供应商的变更</w:t>
      </w:r>
    </w:p>
    <w:p w14:paraId="3FF0674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3A623AB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2.成交供应商无充分理由放弃成交的，采购人将向相关部门报告，相关部门将根据相关法律法规的规定进行处理。</w:t>
      </w:r>
    </w:p>
    <w:p w14:paraId="3332DE98">
      <w:pPr>
        <w:pStyle w:val="5"/>
        <w:adjustRightInd w:val="0"/>
        <w:snapToGrid w:val="0"/>
        <w:spacing w:before="0" w:after="0" w:line="400" w:lineRule="exact"/>
        <w:ind w:firstLine="482" w:firstLineChars="200"/>
        <w:rPr>
          <w:rFonts w:ascii="宋体" w:hAnsi="宋体" w:eastAsia="宋体" w:cs="宋体"/>
          <w:color w:val="auto"/>
          <w:sz w:val="24"/>
        </w:rPr>
      </w:pPr>
      <w:bookmarkStart w:id="174" w:name="_Toc1092"/>
      <w:bookmarkStart w:id="175" w:name="_Toc19278"/>
      <w:bookmarkStart w:id="176" w:name="_Toc29821"/>
      <w:bookmarkStart w:id="177" w:name="_Toc65660359"/>
      <w:r>
        <w:rPr>
          <w:rFonts w:hint="eastAsia" w:ascii="宋体" w:hAnsi="宋体" w:eastAsia="宋体" w:cs="宋体"/>
          <w:color w:val="auto"/>
          <w:sz w:val="24"/>
        </w:rPr>
        <w:t>五、成交通知</w:t>
      </w:r>
      <w:bookmarkEnd w:id="174"/>
      <w:bookmarkEnd w:id="175"/>
      <w:bookmarkEnd w:id="176"/>
      <w:bookmarkEnd w:id="177"/>
    </w:p>
    <w:p w14:paraId="6DCB6E2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（一）成交供应商确定后，采购代理机构将在“行采家”平台（http://www.gec123.com）上发布成交结果公告。</w:t>
      </w:r>
    </w:p>
    <w:p w14:paraId="600B00E6">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（二）结果公告发出同时，采购代理机构将以书面形式发出《成交通知书》。《成交通知书》一经发出即发生法律效力。</w:t>
      </w:r>
    </w:p>
    <w:p w14:paraId="41E44BFA">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4C168488">
      <w:pPr>
        <w:pStyle w:val="5"/>
        <w:adjustRightInd w:val="0"/>
        <w:snapToGrid w:val="0"/>
        <w:spacing w:before="0" w:after="0" w:line="400" w:lineRule="exact"/>
        <w:ind w:firstLine="482" w:firstLineChars="200"/>
        <w:rPr>
          <w:rFonts w:ascii="宋体" w:hAnsi="宋体" w:eastAsia="宋体" w:cs="宋体"/>
          <w:color w:val="auto"/>
          <w:sz w:val="24"/>
        </w:rPr>
      </w:pPr>
      <w:bookmarkStart w:id="178" w:name="_Toc26391"/>
      <w:bookmarkStart w:id="179" w:name="_Toc6802"/>
      <w:bookmarkStart w:id="180" w:name="_Toc65660360"/>
      <w:bookmarkStart w:id="181" w:name="_Toc30909"/>
      <w:bookmarkStart w:id="182" w:name="_Toc1010"/>
      <w:r>
        <w:rPr>
          <w:rFonts w:hint="eastAsia" w:ascii="宋体" w:hAnsi="宋体" w:eastAsia="宋体" w:cs="宋体"/>
          <w:color w:val="auto"/>
          <w:sz w:val="24"/>
        </w:rPr>
        <w:t>六、关于质疑和投诉</w:t>
      </w:r>
      <w:bookmarkEnd w:id="178"/>
      <w:bookmarkEnd w:id="179"/>
      <w:bookmarkEnd w:id="180"/>
      <w:bookmarkEnd w:id="181"/>
      <w:bookmarkEnd w:id="182"/>
    </w:p>
    <w:p w14:paraId="6501A62C">
      <w:pPr>
        <w:spacing w:line="400" w:lineRule="exact"/>
        <w:ind w:firstLine="360" w:firstLineChars="150"/>
        <w:outlineLvl w:val="2"/>
        <w:rPr>
          <w:rFonts w:ascii="宋体" w:hAnsi="宋体" w:cs="宋体"/>
          <w:color w:val="auto"/>
          <w:sz w:val="24"/>
          <w:szCs w:val="24"/>
        </w:rPr>
      </w:pPr>
      <w:r>
        <w:rPr>
          <w:rFonts w:hint="eastAsia" w:ascii="宋体" w:hAnsi="宋体" w:cs="宋体"/>
          <w:color w:val="auto"/>
          <w:sz w:val="24"/>
          <w:szCs w:val="24"/>
        </w:rPr>
        <w:t xml:space="preserve"> （一）质疑</w:t>
      </w:r>
    </w:p>
    <w:p w14:paraId="4AB9F1EE">
      <w:pPr>
        <w:spacing w:line="400" w:lineRule="exact"/>
        <w:ind w:right="12" w:firstLine="480"/>
        <w:rPr>
          <w:rFonts w:ascii="宋体" w:hAnsi="宋体" w:cs="宋体"/>
          <w:color w:val="auto"/>
          <w:sz w:val="24"/>
        </w:rPr>
      </w:pPr>
      <w:r>
        <w:rPr>
          <w:rFonts w:hint="eastAsia" w:ascii="宋体" w:hAnsi="宋体" w:cs="宋体"/>
          <w:color w:val="auto"/>
          <w:sz w:val="24"/>
        </w:rPr>
        <w:t>供应商认为采购文件、采购过程和成交结果使自己的权益收到伤害的，可向采购人或采购代理机构以书面形式提出质疑。</w:t>
      </w:r>
    </w:p>
    <w:p w14:paraId="5BD53423">
      <w:pPr>
        <w:spacing w:line="400" w:lineRule="exact"/>
        <w:ind w:right="12" w:firstLine="480"/>
        <w:rPr>
          <w:rFonts w:ascii="宋体" w:hAnsi="宋体" w:cs="宋体"/>
          <w:color w:val="auto"/>
          <w:sz w:val="24"/>
        </w:rPr>
      </w:pPr>
      <w:r>
        <w:rPr>
          <w:rFonts w:hint="eastAsia" w:ascii="宋体" w:hAnsi="宋体" w:cs="宋体"/>
          <w:color w:val="auto"/>
          <w:sz w:val="24"/>
        </w:rPr>
        <w:t xml:space="preserve">提出质疑的应当是参与所质疑项目采购活动的供应商。 </w:t>
      </w:r>
    </w:p>
    <w:p w14:paraId="0406D439">
      <w:pPr>
        <w:spacing w:line="400" w:lineRule="exact"/>
        <w:ind w:right="12" w:firstLine="480"/>
        <w:rPr>
          <w:rFonts w:ascii="宋体" w:hAnsi="宋体" w:cs="宋体"/>
          <w:color w:val="auto"/>
          <w:sz w:val="24"/>
        </w:rPr>
      </w:pPr>
      <w:r>
        <w:rPr>
          <w:rFonts w:hint="eastAsia" w:ascii="宋体" w:hAnsi="宋体" w:cs="宋体"/>
          <w:color w:val="auto"/>
          <w:sz w:val="24"/>
        </w:rPr>
        <w:t>1.质疑时限、内容</w:t>
      </w:r>
    </w:p>
    <w:p w14:paraId="16E5698C">
      <w:pPr>
        <w:spacing w:line="400" w:lineRule="exact"/>
        <w:ind w:right="12" w:firstLine="480"/>
        <w:rPr>
          <w:rFonts w:ascii="宋体" w:hAnsi="宋体" w:cs="宋体"/>
          <w:color w:val="auto"/>
          <w:sz w:val="24"/>
        </w:rPr>
      </w:pPr>
      <w:r>
        <w:rPr>
          <w:rFonts w:hint="eastAsia" w:ascii="宋体" w:hAnsi="宋体" w:cs="宋体"/>
          <w:color w:val="auto"/>
          <w:sz w:val="24"/>
        </w:rPr>
        <w:t>1.1供应商认为采购文件、采购过程、成交结果使自己的权益受到损害的，可以在知道或者应知其权益受到损害之日起7个工作日内，以书面形式向采购人、采购代理机构提出质疑。</w:t>
      </w:r>
    </w:p>
    <w:p w14:paraId="7F5034DE">
      <w:pPr>
        <w:spacing w:line="400" w:lineRule="exact"/>
        <w:ind w:right="12" w:firstLine="480"/>
        <w:rPr>
          <w:rFonts w:ascii="宋体" w:hAnsi="宋体" w:cs="宋体"/>
          <w:color w:val="auto"/>
          <w:sz w:val="24"/>
        </w:rPr>
      </w:pPr>
      <w:r>
        <w:rPr>
          <w:rFonts w:hint="eastAsia" w:ascii="宋体" w:hAnsi="宋体" w:cs="宋体"/>
          <w:color w:val="auto"/>
          <w:sz w:val="24"/>
        </w:rPr>
        <w:t>1.2供应商提出质疑应当提交质疑函和必要的证明材料，质疑函应当包括下列内容：</w:t>
      </w:r>
    </w:p>
    <w:p w14:paraId="0D1F5F27">
      <w:pPr>
        <w:spacing w:line="400" w:lineRule="exact"/>
        <w:ind w:right="12" w:firstLine="480"/>
        <w:rPr>
          <w:rFonts w:ascii="宋体" w:hAnsi="宋体" w:cs="宋体"/>
          <w:color w:val="auto"/>
          <w:sz w:val="24"/>
        </w:rPr>
      </w:pPr>
      <w:r>
        <w:rPr>
          <w:rFonts w:hint="eastAsia" w:ascii="宋体" w:hAnsi="宋体" w:cs="宋体"/>
          <w:color w:val="auto"/>
          <w:sz w:val="24"/>
        </w:rPr>
        <w:t>1.2.1供应商的姓名或者名称、地址、邮编、联系人及联系电话；</w:t>
      </w:r>
    </w:p>
    <w:p w14:paraId="6A671BDA">
      <w:pPr>
        <w:spacing w:line="400" w:lineRule="exact"/>
        <w:ind w:right="12" w:firstLine="480"/>
        <w:rPr>
          <w:rFonts w:ascii="宋体" w:hAnsi="宋体" w:cs="宋体"/>
          <w:color w:val="auto"/>
          <w:sz w:val="24"/>
        </w:rPr>
      </w:pPr>
      <w:r>
        <w:rPr>
          <w:rFonts w:hint="eastAsia" w:ascii="宋体" w:hAnsi="宋体" w:cs="宋体"/>
          <w:color w:val="auto"/>
          <w:sz w:val="24"/>
        </w:rPr>
        <w:t>1.2.2</w:t>
      </w:r>
      <w:r>
        <w:rPr>
          <w:rFonts w:hint="eastAsia" w:ascii="宋体" w:hAnsi="宋体" w:cs="宋体"/>
          <w:color w:val="auto"/>
          <w:sz w:val="24"/>
          <w:szCs w:val="24"/>
        </w:rPr>
        <w:t>质疑项目的项目名称、项目号</w:t>
      </w:r>
      <w:r>
        <w:rPr>
          <w:rFonts w:hint="eastAsia" w:ascii="宋体" w:hAnsi="宋体" w:cs="宋体"/>
          <w:color w:val="auto"/>
          <w:sz w:val="24"/>
        </w:rPr>
        <w:t>；</w:t>
      </w:r>
    </w:p>
    <w:p w14:paraId="39994333">
      <w:pPr>
        <w:spacing w:line="400" w:lineRule="exact"/>
        <w:ind w:right="12" w:firstLine="480"/>
        <w:rPr>
          <w:rFonts w:ascii="宋体" w:hAnsi="宋体" w:cs="宋体"/>
          <w:color w:val="auto"/>
          <w:sz w:val="24"/>
        </w:rPr>
      </w:pPr>
      <w:r>
        <w:rPr>
          <w:rFonts w:hint="eastAsia" w:ascii="宋体" w:hAnsi="宋体" w:cs="宋体"/>
          <w:color w:val="auto"/>
          <w:sz w:val="24"/>
        </w:rPr>
        <w:t>1.2.3具体、明确的质疑事项和与质疑事项相关的请求；</w:t>
      </w:r>
    </w:p>
    <w:p w14:paraId="0537E9B3">
      <w:pPr>
        <w:spacing w:line="400" w:lineRule="exact"/>
        <w:ind w:right="12" w:firstLine="480"/>
        <w:rPr>
          <w:rFonts w:ascii="宋体" w:hAnsi="宋体" w:cs="宋体"/>
          <w:color w:val="auto"/>
          <w:sz w:val="24"/>
        </w:rPr>
      </w:pPr>
      <w:r>
        <w:rPr>
          <w:rFonts w:hint="eastAsia" w:ascii="宋体" w:hAnsi="宋体" w:cs="宋体"/>
          <w:color w:val="auto"/>
          <w:sz w:val="24"/>
        </w:rPr>
        <w:t>1.2.4事实依据；</w:t>
      </w:r>
    </w:p>
    <w:p w14:paraId="351EC398">
      <w:pPr>
        <w:spacing w:line="400" w:lineRule="exact"/>
        <w:ind w:right="12" w:firstLine="480"/>
        <w:rPr>
          <w:rFonts w:ascii="宋体" w:hAnsi="宋体" w:cs="宋体"/>
          <w:color w:val="auto"/>
          <w:sz w:val="24"/>
        </w:rPr>
      </w:pPr>
      <w:r>
        <w:rPr>
          <w:rFonts w:hint="eastAsia" w:ascii="宋体" w:hAnsi="宋体" w:cs="宋体"/>
          <w:color w:val="auto"/>
          <w:sz w:val="24"/>
        </w:rPr>
        <w:t>1.2.5必要的法律依据；</w:t>
      </w:r>
    </w:p>
    <w:p w14:paraId="309106F0">
      <w:pPr>
        <w:spacing w:line="400" w:lineRule="exact"/>
        <w:ind w:right="12" w:firstLine="480"/>
        <w:rPr>
          <w:rFonts w:ascii="宋体" w:hAnsi="宋体" w:cs="宋体"/>
          <w:color w:val="auto"/>
          <w:sz w:val="24"/>
        </w:rPr>
      </w:pPr>
      <w:r>
        <w:rPr>
          <w:rFonts w:hint="eastAsia" w:ascii="宋体" w:hAnsi="宋体" w:cs="宋体"/>
          <w:color w:val="auto"/>
          <w:sz w:val="24"/>
        </w:rPr>
        <w:t>1.2.6提出质疑的日期；</w:t>
      </w:r>
    </w:p>
    <w:p w14:paraId="1D504749">
      <w:pPr>
        <w:spacing w:line="400" w:lineRule="exact"/>
        <w:ind w:right="12" w:firstLine="480"/>
        <w:rPr>
          <w:rFonts w:ascii="宋体" w:hAnsi="宋体" w:cs="宋体"/>
          <w:color w:val="auto"/>
          <w:sz w:val="24"/>
        </w:rPr>
      </w:pPr>
      <w:r>
        <w:rPr>
          <w:rFonts w:hint="eastAsia" w:ascii="宋体" w:hAnsi="宋体" w:cs="宋体"/>
          <w:color w:val="auto"/>
          <w:sz w:val="24"/>
        </w:rPr>
        <w:t>1.2.7营业执照（或事业单位法人证书，或个体工商户营业执照或有效的自然人身份证明）复印件；</w:t>
      </w:r>
    </w:p>
    <w:p w14:paraId="6A2F0C12">
      <w:pPr>
        <w:spacing w:line="400" w:lineRule="exact"/>
        <w:ind w:right="12" w:firstLine="480"/>
        <w:rPr>
          <w:rFonts w:ascii="宋体" w:hAnsi="宋体" w:cs="宋体"/>
          <w:color w:val="auto"/>
          <w:sz w:val="24"/>
        </w:rPr>
      </w:pPr>
      <w:r>
        <w:rPr>
          <w:rFonts w:hint="eastAsia" w:ascii="宋体" w:hAnsi="宋体" w:cs="宋体"/>
          <w:color w:val="auto"/>
          <w:sz w:val="24"/>
        </w:rPr>
        <w:t>1.2.8法定代表人授权委托书原件、法定代表人身份证复印件和其授权代表的身份证复印件（供应商为自然人的提供自然人身份证复印件）；</w:t>
      </w:r>
    </w:p>
    <w:p w14:paraId="7586D2AB">
      <w:pPr>
        <w:spacing w:line="400" w:lineRule="exact"/>
        <w:ind w:right="12" w:firstLine="480"/>
        <w:rPr>
          <w:rFonts w:ascii="宋体" w:hAnsi="宋体" w:cs="宋体"/>
          <w:color w:val="auto"/>
          <w:sz w:val="24"/>
        </w:rPr>
      </w:pPr>
      <w:r>
        <w:rPr>
          <w:rFonts w:hint="eastAsia" w:ascii="宋体" w:hAnsi="宋体" w:cs="宋体"/>
          <w:color w:val="auto"/>
          <w:sz w:val="24"/>
        </w:rPr>
        <w:t>1.3供应商为自然人的，质疑函应当由本人签字；供应商为法人或者其他组织的，质疑函应当由法定代表人、主要负责人，或者其授权代表签字或者盖章，并加盖公章。</w:t>
      </w:r>
    </w:p>
    <w:p w14:paraId="1CB673C0">
      <w:pPr>
        <w:spacing w:line="400" w:lineRule="exact"/>
        <w:ind w:right="12" w:firstLine="480"/>
        <w:rPr>
          <w:rFonts w:ascii="宋体" w:hAnsi="宋体" w:cs="宋体"/>
          <w:color w:val="auto"/>
          <w:sz w:val="24"/>
        </w:rPr>
      </w:pPr>
      <w:r>
        <w:rPr>
          <w:rFonts w:hint="eastAsia" w:ascii="宋体" w:hAnsi="宋体" w:cs="宋体"/>
          <w:color w:val="auto"/>
          <w:sz w:val="24"/>
        </w:rPr>
        <w:t>2.质疑答复</w:t>
      </w:r>
    </w:p>
    <w:p w14:paraId="01A02059">
      <w:pPr>
        <w:spacing w:line="400" w:lineRule="exact"/>
        <w:ind w:right="12" w:firstLine="480"/>
        <w:rPr>
          <w:rFonts w:ascii="宋体" w:hAnsi="宋体" w:cs="宋体"/>
          <w:color w:val="auto"/>
          <w:sz w:val="24"/>
        </w:rPr>
      </w:pPr>
      <w:r>
        <w:rPr>
          <w:rFonts w:hint="eastAsia" w:ascii="宋体" w:hAnsi="宋体" w:cs="宋体"/>
          <w:color w:val="auto"/>
          <w:sz w:val="24"/>
        </w:rPr>
        <w:t>采购人、采购代理机构应当在收到供应商的书面质疑后七个工作日内作出答复，并以书面形式通知质疑供应商和其他有关供应商。</w:t>
      </w:r>
    </w:p>
    <w:p w14:paraId="6BC5C9FD">
      <w:pPr>
        <w:spacing w:line="400" w:lineRule="exact"/>
        <w:ind w:right="12" w:firstLine="480"/>
        <w:rPr>
          <w:rFonts w:ascii="宋体" w:hAnsi="宋体" w:cs="宋体"/>
          <w:color w:val="auto"/>
          <w:sz w:val="24"/>
        </w:rPr>
      </w:pPr>
      <w:r>
        <w:rPr>
          <w:rFonts w:hint="eastAsia" w:ascii="宋体" w:hAnsi="宋体" w:cs="宋体"/>
          <w:color w:val="auto"/>
          <w:sz w:val="24"/>
        </w:rPr>
        <w:t>3.其他</w:t>
      </w:r>
    </w:p>
    <w:p w14:paraId="0523E2BF">
      <w:pPr>
        <w:spacing w:line="400" w:lineRule="exact"/>
        <w:ind w:right="12" w:firstLine="480"/>
        <w:rPr>
          <w:rFonts w:ascii="宋体" w:hAnsi="宋体" w:cs="宋体"/>
          <w:color w:val="auto"/>
          <w:sz w:val="24"/>
        </w:rPr>
      </w:pPr>
      <w:r>
        <w:rPr>
          <w:rFonts w:hint="eastAsia" w:ascii="宋体" w:hAnsi="宋体" w:cs="宋体"/>
          <w:color w:val="auto"/>
          <w:sz w:val="24"/>
        </w:rPr>
        <w:t>3.1供应商应按照《政府采购质疑和投诉办法》（财政部令第94号）及相关法律法规要求，在法定质疑期内一次性提出针对同一采购程序环节的质疑。</w:t>
      </w:r>
    </w:p>
    <w:p w14:paraId="0DCC9B4A">
      <w:pPr>
        <w:spacing w:line="400" w:lineRule="exact"/>
        <w:ind w:right="12" w:firstLine="480"/>
        <w:rPr>
          <w:rFonts w:ascii="宋体" w:hAnsi="宋体" w:cs="宋体"/>
          <w:color w:val="auto"/>
          <w:sz w:val="24"/>
        </w:rPr>
      </w:pPr>
      <w:r>
        <w:rPr>
          <w:rFonts w:hint="eastAsia" w:ascii="宋体" w:hAnsi="宋体" w:cs="宋体"/>
          <w:color w:val="auto"/>
          <w:sz w:val="24"/>
        </w:rPr>
        <w:t>3.2质疑函范本可在财政部门户网站和中国政府采购网下载。</w:t>
      </w:r>
    </w:p>
    <w:p w14:paraId="28301E8D">
      <w:pPr>
        <w:spacing w:line="400" w:lineRule="exact"/>
        <w:ind w:right="12" w:firstLine="480"/>
        <w:outlineLvl w:val="2"/>
        <w:rPr>
          <w:rFonts w:ascii="宋体" w:hAnsi="宋体" w:cs="宋体"/>
          <w:color w:val="auto"/>
          <w:sz w:val="24"/>
        </w:rPr>
      </w:pPr>
      <w:r>
        <w:rPr>
          <w:rFonts w:hint="eastAsia" w:ascii="宋体" w:hAnsi="宋体" w:cs="宋体"/>
          <w:color w:val="auto"/>
          <w:sz w:val="24"/>
        </w:rPr>
        <w:t>（二）投诉</w:t>
      </w:r>
    </w:p>
    <w:p w14:paraId="7A158446">
      <w:pPr>
        <w:spacing w:line="400" w:lineRule="exact"/>
        <w:ind w:right="12" w:firstLine="480"/>
        <w:rPr>
          <w:rFonts w:ascii="宋体" w:hAnsi="宋体" w:cs="宋体"/>
          <w:color w:val="auto"/>
          <w:sz w:val="24"/>
        </w:rPr>
      </w:pPr>
      <w:r>
        <w:rPr>
          <w:rFonts w:hint="eastAsia" w:ascii="宋体" w:hAnsi="宋体" w:cs="宋体"/>
          <w:color w:val="auto"/>
          <w:sz w:val="24"/>
        </w:rPr>
        <w:t>1.供应商对采购人、采购代理机构的答复不满意，或者采购人、采购代理机构未在规定时间内作出答复的，可以在答复期满后15个工作日内按照相关法律法规向相关部门提起投诉。</w:t>
      </w:r>
    </w:p>
    <w:p w14:paraId="53E59058">
      <w:pPr>
        <w:spacing w:line="400" w:lineRule="exact"/>
        <w:ind w:right="12" w:firstLine="480"/>
        <w:rPr>
          <w:rFonts w:ascii="宋体" w:hAnsi="宋体" w:cs="宋体"/>
          <w:color w:val="auto"/>
          <w:sz w:val="24"/>
        </w:rPr>
      </w:pPr>
      <w:r>
        <w:rPr>
          <w:rFonts w:hint="eastAsia" w:ascii="宋体" w:hAnsi="宋体" w:cs="宋体"/>
          <w:color w:val="auto"/>
          <w:sz w:val="24"/>
        </w:rPr>
        <w:t>2.供应商应按照《政府采购质疑和投诉办法》（财政部令第94号）及相关法律法规要求递交投诉书和必要的证明材料。投诉书范本可在财政部门户网站和中国政府采购网下载。</w:t>
      </w:r>
    </w:p>
    <w:p w14:paraId="16634675">
      <w:pPr>
        <w:spacing w:line="400" w:lineRule="exact"/>
        <w:ind w:right="12" w:firstLine="480"/>
        <w:rPr>
          <w:rFonts w:ascii="宋体" w:hAnsi="宋体" w:cs="宋体"/>
          <w:color w:val="auto"/>
          <w:sz w:val="24"/>
        </w:rPr>
      </w:pPr>
      <w:r>
        <w:rPr>
          <w:rFonts w:hint="eastAsia" w:ascii="宋体" w:hAnsi="宋体" w:cs="宋体"/>
          <w:color w:val="auto"/>
          <w:sz w:val="24"/>
        </w:rPr>
        <w:t>3.投诉书应当使用中文，相关当事人提供外文书证或者外国语视听资料的，应当附有中文译本，由翻译机构盖章或者翻译人员签名；相关当事人向相关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C290A8E">
      <w:pPr>
        <w:spacing w:line="400" w:lineRule="exact"/>
        <w:ind w:firstLine="480" w:firstLineChars="200"/>
        <w:rPr>
          <w:rFonts w:ascii="宋体" w:hAnsi="宋体" w:cs="宋体"/>
          <w:color w:val="auto"/>
          <w:sz w:val="24"/>
          <w:szCs w:val="24"/>
        </w:rPr>
      </w:pPr>
      <w:r>
        <w:rPr>
          <w:rFonts w:hint="eastAsia" w:ascii="宋体" w:hAnsi="宋体" w:cs="宋体"/>
          <w:color w:val="auto"/>
          <w:sz w:val="24"/>
        </w:rPr>
        <w:t>4.在确定受理投诉后，相关部门自受理投诉之日起30个工作日内（需要检验、检测、鉴定、专家评审以及需要投诉人补正材料的，所需时间不计算在投诉处理期限内）对投诉事项做出处理决定。</w:t>
      </w:r>
    </w:p>
    <w:p w14:paraId="4D4AFAA7">
      <w:pPr>
        <w:pStyle w:val="5"/>
        <w:adjustRightInd w:val="0"/>
        <w:snapToGrid w:val="0"/>
        <w:spacing w:before="0" w:after="0" w:line="400" w:lineRule="exact"/>
        <w:ind w:firstLine="482" w:firstLineChars="200"/>
        <w:rPr>
          <w:rFonts w:ascii="宋体" w:hAnsi="宋体" w:eastAsia="宋体" w:cs="宋体"/>
          <w:color w:val="auto"/>
          <w:sz w:val="24"/>
        </w:rPr>
      </w:pPr>
      <w:bookmarkStart w:id="183" w:name="_Toc16648"/>
      <w:bookmarkStart w:id="184" w:name="_Toc65660361"/>
      <w:bookmarkStart w:id="185" w:name="_Toc3127"/>
      <w:bookmarkStart w:id="186" w:name="_Toc5026"/>
      <w:r>
        <w:rPr>
          <w:rFonts w:hint="eastAsia" w:ascii="宋体" w:hAnsi="宋体" w:eastAsia="宋体" w:cs="宋体"/>
          <w:color w:val="auto"/>
          <w:sz w:val="24"/>
        </w:rPr>
        <w:t>七、签订合同</w:t>
      </w:r>
      <w:bookmarkEnd w:id="183"/>
      <w:bookmarkEnd w:id="184"/>
      <w:bookmarkEnd w:id="185"/>
      <w:bookmarkEnd w:id="186"/>
    </w:p>
    <w:p w14:paraId="4A58ED5E">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（一）</w:t>
      </w:r>
      <w:r>
        <w:rPr>
          <w:rFonts w:hint="eastAsia" w:ascii="宋体" w:hAnsi="宋体" w:cs="宋体"/>
          <w:color w:val="auto"/>
          <w:sz w:val="24"/>
        </w:rPr>
        <w:t>采购人原则上应在成交通知书发出之日起二十日内和成交供应商签订政府采购合同，无正当理由不得拒绝或拖延合同签订</w:t>
      </w:r>
      <w:r>
        <w:rPr>
          <w:rFonts w:hint="eastAsia" w:ascii="宋体" w:hAnsi="宋体" w:cs="宋体"/>
          <w:color w:val="auto"/>
          <w:sz w:val="24"/>
          <w:szCs w:val="24"/>
        </w:rPr>
        <w:t>。所签订的合同不得对竞争性谈判文件和供应商的响应文件作实质性修改。其他未尽事宜由采购人和成交供应商在采购合同中详细约定。</w:t>
      </w:r>
    </w:p>
    <w:p w14:paraId="7DD988EA">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（二）竞争性谈判文件、供应商的响应文件及澄清文件等，均为签订政府采购合同的依据。</w:t>
      </w:r>
    </w:p>
    <w:p w14:paraId="1DB6C463">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（三）合同生效条款由供需双方约定，法律、行政法规规定应当办理批准、登记等手续后生效的合同，依照其规定。</w:t>
      </w:r>
    </w:p>
    <w:p w14:paraId="2464A41C">
      <w:pPr>
        <w:spacing w:line="400" w:lineRule="exact"/>
        <w:ind w:firstLine="360" w:firstLineChars="150"/>
        <w:rPr>
          <w:rFonts w:ascii="宋体" w:hAnsi="宋体" w:cs="宋体"/>
          <w:color w:val="auto"/>
          <w:sz w:val="24"/>
          <w:szCs w:val="24"/>
        </w:rPr>
      </w:pPr>
      <w:r>
        <w:rPr>
          <w:rFonts w:hint="eastAsia" w:ascii="宋体" w:hAnsi="宋体" w:cs="宋体"/>
          <w:color w:val="auto"/>
          <w:sz w:val="24"/>
          <w:szCs w:val="24"/>
        </w:rPr>
        <w:t>（四）合同原则上应按照《重庆市政府采购合同》签订，相关单位要求适用合同通用格式版本的，应按其要求另行签订其他合同。</w:t>
      </w:r>
    </w:p>
    <w:p w14:paraId="4FD2D781">
      <w:pPr>
        <w:pStyle w:val="5"/>
        <w:adjustRightInd w:val="0"/>
        <w:snapToGrid w:val="0"/>
        <w:spacing w:before="0" w:after="0" w:line="400" w:lineRule="exact"/>
        <w:ind w:firstLine="482" w:firstLineChars="200"/>
        <w:rPr>
          <w:rFonts w:ascii="宋体" w:hAnsi="宋体" w:eastAsia="宋体" w:cs="宋体"/>
          <w:color w:val="auto"/>
          <w:sz w:val="24"/>
        </w:rPr>
      </w:pPr>
      <w:bookmarkStart w:id="187" w:name="_Toc25855"/>
      <w:r>
        <w:rPr>
          <w:rFonts w:hint="eastAsia" w:ascii="宋体" w:hAnsi="宋体" w:eastAsia="宋体" w:cs="宋体"/>
          <w:color w:val="auto"/>
          <w:sz w:val="24"/>
        </w:rPr>
        <w:t>八、项目验收</w:t>
      </w:r>
      <w:bookmarkEnd w:id="187"/>
    </w:p>
    <w:p w14:paraId="5E52F863">
      <w:pPr>
        <w:spacing w:line="400" w:lineRule="exact"/>
        <w:ind w:firstLine="360" w:firstLineChars="150"/>
        <w:rPr>
          <w:rFonts w:ascii="宋体" w:hAnsi="宋体" w:cs="宋体"/>
          <w:color w:val="auto"/>
          <w:sz w:val="24"/>
          <w:szCs w:val="24"/>
        </w:rPr>
      </w:pPr>
      <w:r>
        <w:rPr>
          <w:rFonts w:hint="eastAsia" w:ascii="宋体" w:hAnsi="宋体" w:cs="宋体"/>
          <w:color w:val="auto"/>
          <w:sz w:val="24"/>
        </w:rPr>
        <w:t>合同执行完毕，采购人或采购代理机构原则上应在7个工作日内组织履约情况验收，不得无故拖延或附加额外条件。</w:t>
      </w:r>
    </w:p>
    <w:p w14:paraId="6577DA31">
      <w:pPr>
        <w:pStyle w:val="5"/>
        <w:adjustRightInd w:val="0"/>
        <w:snapToGrid w:val="0"/>
        <w:spacing w:before="0" w:after="0" w:line="400" w:lineRule="exact"/>
        <w:ind w:firstLine="482" w:firstLineChars="200"/>
        <w:rPr>
          <w:rFonts w:ascii="宋体" w:hAnsi="宋体" w:eastAsia="宋体" w:cs="宋体"/>
          <w:color w:val="auto"/>
          <w:sz w:val="24"/>
        </w:rPr>
      </w:pPr>
      <w:bookmarkStart w:id="188" w:name="_Toc65660362"/>
      <w:bookmarkStart w:id="189" w:name="_Toc29513"/>
      <w:bookmarkStart w:id="190" w:name="_Toc32594"/>
      <w:bookmarkStart w:id="191" w:name="_Toc10203"/>
      <w:r>
        <w:rPr>
          <w:rFonts w:hint="eastAsia" w:ascii="宋体" w:hAnsi="宋体" w:eastAsia="宋体" w:cs="宋体"/>
          <w:color w:val="auto"/>
          <w:sz w:val="24"/>
        </w:rPr>
        <w:t>九、采购代理服务费</w:t>
      </w:r>
      <w:bookmarkEnd w:id="188"/>
      <w:bookmarkEnd w:id="189"/>
      <w:bookmarkEnd w:id="190"/>
      <w:bookmarkEnd w:id="191"/>
    </w:p>
    <w:p w14:paraId="3F9581C5">
      <w:pPr>
        <w:spacing w:line="400" w:lineRule="exact"/>
        <w:ind w:firstLine="480" w:firstLineChars="200"/>
        <w:rPr>
          <w:rFonts w:ascii="宋体" w:hAnsi="宋体" w:cs="宋体"/>
          <w:color w:val="auto"/>
          <w:sz w:val="24"/>
          <w:szCs w:val="24"/>
        </w:rPr>
      </w:pPr>
      <w:r>
        <w:rPr>
          <w:rFonts w:hint="eastAsia" w:ascii="宋体" w:hAnsi="宋体" w:cs="宋体"/>
          <w:color w:val="auto"/>
          <w:sz w:val="24"/>
        </w:rPr>
        <w:t>（一）采购代理服务费由成交供应商缴纳，成交供应商在领取成交通知书之前以转账形式一次性支付给采购代理机构，采购代理服务费按照5500.00元（大写：伍仟伍佰元整）计取</w:t>
      </w:r>
      <w:r>
        <w:rPr>
          <w:rFonts w:hint="eastAsia" w:ascii="宋体" w:hAnsi="宋体" w:cs="宋体"/>
          <w:color w:val="auto"/>
          <w:sz w:val="24"/>
          <w:szCs w:val="24"/>
        </w:rPr>
        <w:t>。</w:t>
      </w:r>
    </w:p>
    <w:p w14:paraId="6BA3CAEA">
      <w:pPr>
        <w:spacing w:line="400" w:lineRule="exact"/>
        <w:ind w:firstLine="480" w:firstLineChars="200"/>
        <w:rPr>
          <w:rFonts w:ascii="宋体" w:hAnsi="宋体" w:cs="宋体"/>
          <w:color w:val="auto"/>
          <w:sz w:val="24"/>
        </w:rPr>
      </w:pPr>
      <w:r>
        <w:rPr>
          <w:rFonts w:hint="eastAsia" w:ascii="宋体" w:hAnsi="宋体" w:cs="宋体"/>
          <w:color w:val="auto"/>
          <w:sz w:val="24"/>
        </w:rPr>
        <w:t>（二）</w:t>
      </w:r>
      <w:bookmarkStart w:id="192" w:name="_Toc18609"/>
      <w:bookmarkStart w:id="193" w:name="_Toc65660364"/>
      <w:bookmarkStart w:id="194" w:name="_Toc24537"/>
      <w:bookmarkStart w:id="195" w:name="_Toc1715"/>
      <w:r>
        <w:rPr>
          <w:rFonts w:hint="eastAsia" w:ascii="宋体" w:hAnsi="宋体" w:cs="宋体"/>
          <w:color w:val="auto"/>
          <w:sz w:val="24"/>
        </w:rPr>
        <w:t>缴纳账号：</w:t>
      </w:r>
    </w:p>
    <w:bookmarkEnd w:id="192"/>
    <w:bookmarkEnd w:id="193"/>
    <w:bookmarkEnd w:id="194"/>
    <w:bookmarkEnd w:id="195"/>
    <w:p w14:paraId="032609B3">
      <w:pPr>
        <w:spacing w:line="400" w:lineRule="exact"/>
        <w:ind w:firstLine="480" w:firstLineChars="200"/>
        <w:rPr>
          <w:rFonts w:hint="eastAsia" w:ascii="宋体" w:hAnsi="宋体" w:cs="宋体"/>
          <w:color w:val="auto"/>
          <w:sz w:val="24"/>
        </w:rPr>
      </w:pPr>
      <w:r>
        <w:rPr>
          <w:rFonts w:hint="eastAsia" w:ascii="宋体" w:hAnsi="宋体" w:cs="宋体"/>
          <w:color w:val="auto"/>
          <w:sz w:val="24"/>
        </w:rPr>
        <w:t>账户名称：重庆智胜达工程管理咨询有限公司</w:t>
      </w:r>
    </w:p>
    <w:p w14:paraId="4C930A79">
      <w:pPr>
        <w:spacing w:line="400" w:lineRule="exact"/>
        <w:ind w:firstLine="480" w:firstLineChars="200"/>
        <w:rPr>
          <w:rFonts w:hint="eastAsia" w:ascii="宋体" w:hAnsi="宋体" w:cs="宋体"/>
          <w:color w:val="auto"/>
          <w:sz w:val="24"/>
        </w:rPr>
      </w:pPr>
      <w:r>
        <w:rPr>
          <w:rFonts w:hint="eastAsia" w:ascii="宋体" w:hAnsi="宋体" w:cs="宋体"/>
          <w:color w:val="auto"/>
          <w:sz w:val="24"/>
        </w:rPr>
        <w:t>账户号码：3100096009200156694</w:t>
      </w:r>
    </w:p>
    <w:p w14:paraId="65986316">
      <w:pPr>
        <w:spacing w:line="400" w:lineRule="exact"/>
        <w:ind w:firstLine="480" w:firstLineChars="200"/>
        <w:rPr>
          <w:rFonts w:ascii="宋体" w:hAnsi="宋体" w:cs="宋体"/>
          <w:color w:val="auto"/>
          <w:sz w:val="24"/>
        </w:rPr>
      </w:pPr>
      <w:r>
        <w:rPr>
          <w:rFonts w:hint="eastAsia" w:ascii="宋体" w:hAnsi="宋体" w:cs="宋体"/>
          <w:color w:val="auto"/>
          <w:sz w:val="24"/>
        </w:rPr>
        <w:t>开户银行：中国工商银行股份有限公司重庆大足支行</w:t>
      </w:r>
    </w:p>
    <w:p w14:paraId="4FAEB487">
      <w:pPr>
        <w:spacing w:line="360" w:lineRule="auto"/>
        <w:ind w:firstLine="560" w:firstLineChars="200"/>
        <w:rPr>
          <w:color w:val="auto"/>
        </w:rPr>
        <w:sectPr>
          <w:footerReference r:id="rId11" w:type="default"/>
          <w:type w:val="continuous"/>
          <w:pgSz w:w="11907" w:h="16840"/>
          <w:pgMar w:top="1440" w:right="1080" w:bottom="1440" w:left="1080" w:header="1134" w:footer="992" w:gutter="0"/>
          <w:pgNumType w:fmt="numberInDash"/>
          <w:cols w:space="720" w:num="1"/>
          <w:docGrid w:linePitch="312" w:charSpace="0"/>
        </w:sectPr>
      </w:pPr>
    </w:p>
    <w:bookmarkEnd w:id="93"/>
    <w:p w14:paraId="36960633">
      <w:pPr>
        <w:spacing w:line="400" w:lineRule="exact"/>
        <w:ind w:firstLine="480" w:firstLineChars="200"/>
        <w:rPr>
          <w:rFonts w:ascii="宋体" w:hAnsi="宋体" w:cs="宋体"/>
          <w:color w:val="auto"/>
          <w:sz w:val="24"/>
          <w:szCs w:val="24"/>
        </w:rPr>
      </w:pPr>
    </w:p>
    <w:p w14:paraId="116E9996">
      <w:pPr>
        <w:pStyle w:val="2"/>
        <w:rPr>
          <w:color w:val="auto"/>
        </w:rPr>
        <w:sectPr>
          <w:footerReference r:id="rId12" w:type="default"/>
          <w:type w:val="continuous"/>
          <w:pgSz w:w="11907" w:h="16840"/>
          <w:pgMar w:top="1440" w:right="1080" w:bottom="1440" w:left="1080" w:header="964" w:footer="992" w:gutter="0"/>
          <w:pgNumType w:fmt="numberInDash"/>
          <w:cols w:space="720" w:num="1"/>
          <w:docGrid w:linePitch="312" w:charSpace="0"/>
        </w:sectPr>
      </w:pPr>
    </w:p>
    <w:p w14:paraId="68962C1D">
      <w:pPr>
        <w:pStyle w:val="5"/>
        <w:spacing w:before="0" w:after="0" w:line="360" w:lineRule="auto"/>
        <w:jc w:val="center"/>
        <w:rPr>
          <w:rFonts w:ascii="宋体" w:hAnsi="宋体" w:eastAsia="宋体" w:cs="宋体"/>
          <w:b w:val="0"/>
          <w:color w:val="auto"/>
          <w:sz w:val="36"/>
          <w:szCs w:val="30"/>
        </w:rPr>
      </w:pPr>
      <w:bookmarkStart w:id="196" w:name="_Toc12789059"/>
      <w:bookmarkStart w:id="197" w:name="_Toc11641055"/>
      <w:bookmarkStart w:id="198" w:name="_Toc65660365"/>
      <w:bookmarkStart w:id="199" w:name="_Toc14861"/>
      <w:bookmarkStart w:id="200" w:name="_Toc28162"/>
      <w:bookmarkStart w:id="201" w:name="_Toc18072"/>
      <w:r>
        <w:rPr>
          <w:rFonts w:hint="eastAsia" w:ascii="宋体" w:hAnsi="宋体" w:eastAsia="宋体" w:cs="宋体"/>
          <w:b w:val="0"/>
          <w:color w:val="auto"/>
          <w:sz w:val="36"/>
          <w:szCs w:val="30"/>
        </w:rPr>
        <w:t xml:space="preserve">第六篇  </w:t>
      </w:r>
      <w:bookmarkEnd w:id="196"/>
      <w:bookmarkEnd w:id="197"/>
      <w:r>
        <w:rPr>
          <w:rFonts w:hint="eastAsia" w:ascii="宋体" w:hAnsi="宋体" w:eastAsia="宋体" w:cs="宋体"/>
          <w:b w:val="0"/>
          <w:color w:val="auto"/>
          <w:sz w:val="36"/>
          <w:szCs w:val="30"/>
        </w:rPr>
        <w:t>合同草案条款</w:t>
      </w:r>
      <w:bookmarkEnd w:id="198"/>
      <w:bookmarkEnd w:id="199"/>
      <w:bookmarkEnd w:id="200"/>
      <w:bookmarkEnd w:id="201"/>
    </w:p>
    <w:p w14:paraId="3ED10972">
      <w:pPr>
        <w:pageBreakBefore w:val="0"/>
        <w:wordWrap/>
        <w:overflowPunct/>
        <w:topLinePunct w:val="0"/>
        <w:bidi w:val="0"/>
        <w:spacing w:line="240" w:lineRule="auto"/>
        <w:jc w:val="center"/>
        <w:textAlignment w:val="auto"/>
        <w:rPr>
          <w:rFonts w:hint="eastAsia" w:ascii="宋体" w:hAnsi="宋体" w:eastAsia="宋体" w:cs="宋体"/>
          <w:b w:val="0"/>
          <w:bCs/>
          <w:color w:val="auto"/>
          <w:sz w:val="40"/>
          <w:szCs w:val="18"/>
          <w:highlight w:val="none"/>
          <w:lang w:eastAsia="zh-CN"/>
        </w:rPr>
      </w:pPr>
      <w:bookmarkStart w:id="202" w:name="_Toc429571381"/>
      <w:bookmarkEnd w:id="202"/>
      <w:bookmarkStart w:id="203" w:name="_Toc425360053"/>
      <w:bookmarkEnd w:id="203"/>
      <w:bookmarkStart w:id="204" w:name="_Toc425359932"/>
      <w:bookmarkEnd w:id="204"/>
      <w:bookmarkStart w:id="205" w:name="_Toc425854608"/>
      <w:bookmarkEnd w:id="205"/>
      <w:bookmarkStart w:id="206" w:name="_Toc437596369"/>
      <w:bookmarkEnd w:id="206"/>
      <w:bookmarkStart w:id="207" w:name="_Toc425359812"/>
      <w:bookmarkEnd w:id="207"/>
      <w:bookmarkStart w:id="208" w:name="_Toc148265480"/>
      <w:bookmarkStart w:id="209" w:name="_Toc303945820"/>
      <w:r>
        <w:rPr>
          <w:rFonts w:hint="eastAsia" w:ascii="宋体" w:hAnsi="宋体" w:eastAsia="宋体" w:cs="宋体"/>
          <w:b w:val="0"/>
          <w:bCs/>
          <w:color w:val="auto"/>
          <w:sz w:val="40"/>
          <w:szCs w:val="18"/>
          <w:highlight w:val="none"/>
          <w:lang w:val="en-US" w:eastAsia="zh-CN"/>
        </w:rPr>
        <w:t>施工</w:t>
      </w:r>
      <w:r>
        <w:rPr>
          <w:rFonts w:hint="eastAsia" w:ascii="宋体" w:hAnsi="宋体" w:eastAsia="宋体" w:cs="宋体"/>
          <w:b w:val="0"/>
          <w:bCs/>
          <w:color w:val="auto"/>
          <w:sz w:val="40"/>
          <w:szCs w:val="18"/>
          <w:highlight w:val="none"/>
        </w:rPr>
        <w:t>合同</w:t>
      </w:r>
    </w:p>
    <w:p w14:paraId="493BA518">
      <w:pPr>
        <w:pageBreakBefore w:val="0"/>
        <w:wordWrap/>
        <w:overflowPunct/>
        <w:topLinePunct w:val="0"/>
        <w:bidi w:val="0"/>
        <w:spacing w:line="240" w:lineRule="auto"/>
        <w:textAlignment w:val="auto"/>
        <w:rPr>
          <w:rFonts w:hint="eastAsia" w:ascii="宋体" w:hAnsi="宋体" w:eastAsia="宋体" w:cs="宋体"/>
          <w:color w:val="auto"/>
          <w:highlight w:val="none"/>
        </w:rPr>
      </w:pPr>
    </w:p>
    <w:p w14:paraId="2DBF451D">
      <w:pPr>
        <w:pageBreakBefore w:val="0"/>
        <w:wordWrap/>
        <w:overflowPunct/>
        <w:topLinePunct w:val="0"/>
        <w:bidi w:val="0"/>
        <w:spacing w:line="240" w:lineRule="auto"/>
        <w:ind w:firstLine="49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注：该合同为格式合同，</w:t>
      </w:r>
      <w:r>
        <w:rPr>
          <w:rFonts w:hint="eastAsia" w:ascii="宋体" w:hAnsi="宋体" w:eastAsia="宋体" w:cs="宋体"/>
          <w:color w:val="auto"/>
          <w:sz w:val="24"/>
          <w:szCs w:val="20"/>
          <w:highlight w:val="none"/>
          <w:lang w:eastAsia="zh-CN"/>
        </w:rPr>
        <w:t>成交人</w:t>
      </w:r>
      <w:r>
        <w:rPr>
          <w:rFonts w:hint="eastAsia" w:ascii="宋体" w:hAnsi="宋体" w:eastAsia="宋体" w:cs="宋体"/>
          <w:color w:val="auto"/>
          <w:sz w:val="24"/>
          <w:szCs w:val="20"/>
          <w:highlight w:val="none"/>
        </w:rPr>
        <w:t>可与</w:t>
      </w:r>
      <w:r>
        <w:rPr>
          <w:rFonts w:hint="eastAsia" w:ascii="宋体" w:hAnsi="宋体" w:eastAsia="宋体" w:cs="宋体"/>
          <w:color w:val="auto"/>
          <w:sz w:val="24"/>
          <w:szCs w:val="20"/>
          <w:highlight w:val="none"/>
          <w:lang w:eastAsia="zh-CN"/>
        </w:rPr>
        <w:t>采购人</w:t>
      </w:r>
      <w:r>
        <w:rPr>
          <w:rFonts w:hint="eastAsia" w:ascii="宋体" w:hAnsi="宋体" w:eastAsia="宋体" w:cs="宋体"/>
          <w:color w:val="auto"/>
          <w:sz w:val="24"/>
          <w:szCs w:val="20"/>
          <w:highlight w:val="none"/>
        </w:rPr>
        <w:t>在未改变标书实质性条件的框架下，对该格式合同进行修改。</w:t>
      </w:r>
    </w:p>
    <w:bookmarkEnd w:id="208"/>
    <w:bookmarkEnd w:id="209"/>
    <w:p w14:paraId="11ACD2A8">
      <w:pPr>
        <w:tabs>
          <w:tab w:val="left" w:pos="9000"/>
        </w:tabs>
        <w:spacing w:line="276" w:lineRule="auto"/>
        <w:jc w:val="center"/>
        <w:rPr>
          <w:rFonts w:ascii="宋体" w:hAnsi="宋体" w:cs="宋体"/>
          <w:sz w:val="21"/>
          <w:szCs w:val="21"/>
          <w:highlight w:val="none"/>
        </w:rPr>
      </w:pPr>
    </w:p>
    <w:p w14:paraId="7902850C">
      <w:pPr>
        <w:pStyle w:val="6"/>
        <w:spacing w:before="0" w:after="0" w:line="400" w:lineRule="exact"/>
        <w:jc w:val="center"/>
        <w:rPr>
          <w:rFonts w:ascii="宋体" w:hAnsi="宋体" w:cs="宋体"/>
          <w:b w:val="0"/>
          <w:sz w:val="24"/>
          <w:szCs w:val="24"/>
          <w:highlight w:val="none"/>
        </w:rPr>
      </w:pPr>
      <w:bookmarkStart w:id="210" w:name="_Toc534185765"/>
      <w:bookmarkStart w:id="211" w:name="_Toc176509321"/>
      <w:bookmarkStart w:id="212" w:name="_Toc20451"/>
      <w:bookmarkStart w:id="213" w:name="_Toc144980141"/>
      <w:bookmarkStart w:id="214" w:name="_Toc509218786"/>
      <w:bookmarkStart w:id="215" w:name="_Toc31631"/>
      <w:bookmarkStart w:id="216" w:name="_Toc17255"/>
      <w:bookmarkStart w:id="217" w:name="_Toc351203494"/>
      <w:r>
        <w:rPr>
          <w:rFonts w:hint="eastAsia" w:ascii="宋体" w:hAnsi="宋体" w:cs="宋体"/>
          <w:sz w:val="24"/>
          <w:szCs w:val="24"/>
          <w:highlight w:val="none"/>
        </w:rPr>
        <w:t>第一部分 合同协议书</w:t>
      </w:r>
      <w:bookmarkEnd w:id="210"/>
      <w:bookmarkEnd w:id="211"/>
      <w:bookmarkEnd w:id="212"/>
      <w:bookmarkEnd w:id="213"/>
      <w:bookmarkEnd w:id="214"/>
      <w:bookmarkEnd w:id="215"/>
      <w:bookmarkEnd w:id="216"/>
    </w:p>
    <w:bookmarkEnd w:id="217"/>
    <w:p w14:paraId="1F47C096">
      <w:pPr>
        <w:snapToGrid w:val="0"/>
        <w:spacing w:line="400" w:lineRule="exact"/>
        <w:ind w:firstLine="480" w:firstLineChars="200"/>
        <w:rPr>
          <w:rFonts w:ascii="宋体" w:hAnsi="宋体" w:cs="宋体"/>
          <w:sz w:val="24"/>
          <w:szCs w:val="24"/>
          <w:highlight w:val="none"/>
        </w:rPr>
      </w:pPr>
    </w:p>
    <w:p w14:paraId="59ACEBD8">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发包人（全称）：</w:t>
      </w:r>
      <w:r>
        <w:rPr>
          <w:rFonts w:hint="eastAsia" w:ascii="宋体" w:hAnsi="宋体" w:cs="宋体"/>
          <w:sz w:val="24"/>
          <w:szCs w:val="24"/>
          <w:highlight w:val="none"/>
          <w:u w:val="single"/>
        </w:rPr>
        <w:t xml:space="preserve">                             </w:t>
      </w:r>
    </w:p>
    <w:p w14:paraId="49559248">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承包人（全称）：</w:t>
      </w:r>
      <w:r>
        <w:rPr>
          <w:rFonts w:hint="eastAsia" w:ascii="宋体" w:hAnsi="宋体" w:cs="宋体"/>
          <w:sz w:val="24"/>
          <w:szCs w:val="24"/>
          <w:highlight w:val="none"/>
          <w:u w:val="single"/>
        </w:rPr>
        <w:t xml:space="preserve">                                 </w:t>
      </w:r>
    </w:p>
    <w:p w14:paraId="6ECF7CA7">
      <w:pPr>
        <w:snapToGrid w:val="0"/>
        <w:spacing w:line="400" w:lineRule="exact"/>
        <w:ind w:firstLine="480" w:firstLineChars="200"/>
        <w:rPr>
          <w:rFonts w:ascii="宋体" w:hAnsi="宋体" w:cs="宋体"/>
          <w:b/>
          <w:sz w:val="24"/>
          <w:szCs w:val="24"/>
          <w:highlight w:val="none"/>
          <w:u w:val="single"/>
        </w:rPr>
      </w:pPr>
      <w:r>
        <w:rPr>
          <w:rFonts w:hint="eastAsia" w:ascii="宋体" w:hAnsi="宋体" w:cs="宋体"/>
          <w:sz w:val="24"/>
          <w:szCs w:val="24"/>
          <w:highlight w:val="none"/>
        </w:rPr>
        <w:t>根据《中华人民共和国民法典》、《中华人民共和国建筑法》及有关法律、法规规定，遵循平等、自愿、公平和诚实信用的原则，双方就</w:t>
      </w:r>
      <w:r>
        <w:rPr>
          <w:rFonts w:hint="eastAsia" w:ascii="宋体" w:hAnsi="宋体" w:cs="宋体"/>
          <w:sz w:val="24"/>
          <w:szCs w:val="24"/>
          <w:highlight w:val="none"/>
          <w:u w:val="single"/>
        </w:rPr>
        <w:t xml:space="preserve">                           </w:t>
      </w:r>
      <w:r>
        <w:rPr>
          <w:rFonts w:hint="eastAsia" w:ascii="宋体" w:hAnsi="宋体" w:cs="宋体"/>
          <w:sz w:val="24"/>
          <w:szCs w:val="24"/>
          <w:highlight w:val="none"/>
        </w:rPr>
        <w:t>工程施工及有关事项协商一致，共同达成如下协议：</w:t>
      </w:r>
    </w:p>
    <w:p w14:paraId="41E2A44D">
      <w:pPr>
        <w:pStyle w:val="7"/>
        <w:snapToGrid w:val="0"/>
        <w:spacing w:before="0" w:after="0" w:line="400" w:lineRule="exact"/>
        <w:ind w:firstLine="482" w:firstLineChars="200"/>
        <w:rPr>
          <w:rFonts w:ascii="宋体" w:hAnsi="宋体" w:eastAsia="宋体" w:cs="宋体"/>
          <w:sz w:val="24"/>
          <w:szCs w:val="24"/>
          <w:highlight w:val="none"/>
        </w:rPr>
      </w:pPr>
      <w:bookmarkStart w:id="218" w:name="_Toc351203481"/>
      <w:bookmarkStart w:id="219" w:name="_Toc532375573"/>
      <w:bookmarkStart w:id="220" w:name="_Toc532377166"/>
      <w:r>
        <w:rPr>
          <w:rFonts w:hint="eastAsia" w:ascii="宋体" w:hAnsi="宋体" w:eastAsia="宋体" w:cs="宋体"/>
          <w:sz w:val="24"/>
          <w:szCs w:val="24"/>
          <w:highlight w:val="none"/>
        </w:rPr>
        <w:t>一、工程概况</w:t>
      </w:r>
      <w:bookmarkEnd w:id="218"/>
      <w:bookmarkEnd w:id="219"/>
      <w:bookmarkEnd w:id="220"/>
    </w:p>
    <w:p w14:paraId="30BF4237">
      <w:pPr>
        <w:snapToGrid w:val="0"/>
        <w:spacing w:line="400" w:lineRule="exact"/>
        <w:ind w:firstLine="480" w:firstLineChars="200"/>
        <w:rPr>
          <w:rFonts w:ascii="宋体" w:hAnsi="宋体" w:cs="宋体"/>
          <w:sz w:val="24"/>
          <w:szCs w:val="24"/>
          <w:highlight w:val="none"/>
          <w:u w:val="single"/>
        </w:rPr>
      </w:pPr>
      <w:r>
        <w:rPr>
          <w:rFonts w:hint="eastAsia" w:ascii="宋体" w:hAnsi="宋体" w:cs="宋体"/>
          <w:bCs/>
          <w:sz w:val="24"/>
          <w:szCs w:val="24"/>
          <w:highlight w:val="none"/>
        </w:rPr>
        <w:t>1.工程名称</w:t>
      </w:r>
      <w:r>
        <w:rPr>
          <w:rFonts w:hint="eastAsia" w:ascii="宋体" w:hAnsi="宋体" w:cs="宋体"/>
          <w:sz w:val="24"/>
          <w:szCs w:val="24"/>
          <w:highlight w:val="none"/>
        </w:rPr>
        <w:t>：</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7AF0372">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2.工程地点：</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C51C8C4">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3.工程立项批准文号：</w:t>
      </w:r>
      <w:r>
        <w:rPr>
          <w:rFonts w:hint="eastAsia" w:ascii="宋体" w:hAnsi="宋体" w:cs="宋体"/>
          <w:sz w:val="24"/>
          <w:szCs w:val="24"/>
          <w:highlight w:val="none"/>
          <w:u w:val="single"/>
        </w:rPr>
        <w:t xml:space="preserve">                        </w:t>
      </w:r>
      <w:r>
        <w:rPr>
          <w:rFonts w:hint="eastAsia" w:ascii="宋体" w:hAnsi="宋体" w:cs="宋体"/>
          <w:bCs/>
          <w:sz w:val="24"/>
          <w:szCs w:val="24"/>
          <w:highlight w:val="none"/>
        </w:rPr>
        <w:t>。</w:t>
      </w:r>
    </w:p>
    <w:p w14:paraId="0F85124F">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4.资金来源：</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3C67D266">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5.工程内容：</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43C65EB">
      <w:pPr>
        <w:snapToGrid w:val="0"/>
        <w:spacing w:line="400" w:lineRule="exact"/>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6.工程承包范围：</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F256DB1">
      <w:pPr>
        <w:pStyle w:val="7"/>
        <w:snapToGrid w:val="0"/>
        <w:spacing w:before="0" w:after="0" w:line="400" w:lineRule="exact"/>
        <w:ind w:firstLine="482" w:firstLineChars="200"/>
        <w:rPr>
          <w:rFonts w:ascii="宋体" w:hAnsi="宋体" w:eastAsia="宋体" w:cs="宋体"/>
          <w:sz w:val="24"/>
          <w:szCs w:val="24"/>
          <w:highlight w:val="none"/>
        </w:rPr>
      </w:pPr>
      <w:bookmarkStart w:id="221" w:name="_Toc532377167"/>
      <w:bookmarkStart w:id="222" w:name="_Toc532375574"/>
      <w:bookmarkStart w:id="223" w:name="_Toc351203482"/>
      <w:r>
        <w:rPr>
          <w:rFonts w:hint="eastAsia" w:ascii="宋体" w:hAnsi="宋体" w:eastAsia="宋体" w:cs="宋体"/>
          <w:sz w:val="24"/>
          <w:szCs w:val="24"/>
          <w:highlight w:val="none"/>
        </w:rPr>
        <w:t>二、合同工期</w:t>
      </w:r>
      <w:bookmarkEnd w:id="221"/>
      <w:bookmarkEnd w:id="222"/>
      <w:bookmarkEnd w:id="223"/>
    </w:p>
    <w:p w14:paraId="29FA9F66">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承包人投标函中承诺的工期：</w:t>
      </w:r>
      <w:r>
        <w:rPr>
          <w:rFonts w:hint="eastAsia" w:ascii="宋体" w:hAnsi="宋体" w:cs="宋体"/>
          <w:bCs/>
          <w:sz w:val="24"/>
          <w:szCs w:val="24"/>
          <w:highlight w:val="none"/>
          <w:u w:val="single"/>
        </w:rPr>
        <w:t>日历天</w:t>
      </w:r>
      <w:r>
        <w:rPr>
          <w:rFonts w:hint="eastAsia" w:ascii="宋体" w:hAnsi="宋体" w:cs="宋体"/>
          <w:bCs/>
          <w:sz w:val="24"/>
          <w:szCs w:val="24"/>
          <w:highlight w:val="none"/>
        </w:rPr>
        <w:t>。</w:t>
      </w:r>
    </w:p>
    <w:p w14:paraId="43EED05D">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计划开工日期：</w:t>
      </w:r>
      <w:r>
        <w:rPr>
          <w:rFonts w:hint="eastAsia" w:ascii="宋体" w:hAnsi="宋体" w:cs="宋体"/>
          <w:bCs/>
          <w:sz w:val="24"/>
          <w:szCs w:val="24"/>
          <w:highlight w:val="none"/>
          <w:u w:val="single"/>
        </w:rPr>
        <w:t></w:t>
      </w:r>
      <w:r>
        <w:rPr>
          <w:rFonts w:hint="eastAsia" w:ascii="宋体" w:hAnsi="宋体" w:cs="宋体"/>
          <w:bCs/>
          <w:sz w:val="24"/>
          <w:szCs w:val="24"/>
          <w:highlight w:val="none"/>
        </w:rPr>
        <w:t>年</w:t>
      </w:r>
      <w:r>
        <w:rPr>
          <w:rFonts w:hint="eastAsia" w:ascii="宋体" w:hAnsi="宋体" w:cs="宋体"/>
          <w:bCs/>
          <w:sz w:val="24"/>
          <w:szCs w:val="24"/>
          <w:highlight w:val="none"/>
          <w:u w:val="single"/>
        </w:rPr>
        <w:t></w:t>
      </w:r>
      <w:r>
        <w:rPr>
          <w:rFonts w:hint="eastAsia" w:ascii="宋体" w:hAnsi="宋体" w:cs="宋体"/>
          <w:bCs/>
          <w:sz w:val="24"/>
          <w:szCs w:val="24"/>
          <w:highlight w:val="none"/>
        </w:rPr>
        <w:t>月</w:t>
      </w:r>
      <w:r>
        <w:rPr>
          <w:rFonts w:hint="eastAsia" w:ascii="宋体" w:hAnsi="宋体" w:cs="宋体"/>
          <w:bCs/>
          <w:sz w:val="24"/>
          <w:szCs w:val="24"/>
          <w:highlight w:val="none"/>
          <w:u w:val="single"/>
        </w:rPr>
        <w:t></w:t>
      </w:r>
      <w:r>
        <w:rPr>
          <w:rFonts w:hint="eastAsia" w:ascii="宋体" w:hAnsi="宋体" w:cs="宋体"/>
          <w:bCs/>
          <w:sz w:val="24"/>
          <w:szCs w:val="24"/>
          <w:highlight w:val="none"/>
        </w:rPr>
        <w:t>日，实际开工日期以监理工程师签发的工程开工通知明确的开工日期为准。</w:t>
      </w:r>
    </w:p>
    <w:p w14:paraId="27C5D3BC">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计划竣工日期：</w:t>
      </w:r>
      <w:r>
        <w:rPr>
          <w:rFonts w:hint="eastAsia" w:ascii="宋体" w:hAnsi="宋体" w:cs="宋体"/>
          <w:bCs/>
          <w:sz w:val="24"/>
          <w:szCs w:val="24"/>
          <w:highlight w:val="none"/>
          <w:u w:val="single"/>
        </w:rPr>
        <w:t></w:t>
      </w:r>
      <w:r>
        <w:rPr>
          <w:rFonts w:hint="eastAsia" w:ascii="宋体" w:hAnsi="宋体" w:cs="宋体"/>
          <w:bCs/>
          <w:sz w:val="24"/>
          <w:szCs w:val="24"/>
          <w:highlight w:val="none"/>
        </w:rPr>
        <w:t>年</w:t>
      </w:r>
      <w:r>
        <w:rPr>
          <w:rFonts w:hint="eastAsia" w:ascii="宋体" w:hAnsi="宋体" w:cs="宋体"/>
          <w:bCs/>
          <w:sz w:val="24"/>
          <w:szCs w:val="24"/>
          <w:highlight w:val="none"/>
          <w:u w:val="single"/>
        </w:rPr>
        <w:t></w:t>
      </w:r>
      <w:r>
        <w:rPr>
          <w:rFonts w:hint="eastAsia" w:ascii="宋体" w:hAnsi="宋体" w:cs="宋体"/>
          <w:bCs/>
          <w:sz w:val="24"/>
          <w:szCs w:val="24"/>
          <w:highlight w:val="none"/>
        </w:rPr>
        <w:t>月</w:t>
      </w:r>
      <w:r>
        <w:rPr>
          <w:rFonts w:hint="eastAsia" w:ascii="宋体" w:hAnsi="宋体" w:cs="宋体"/>
          <w:bCs/>
          <w:sz w:val="24"/>
          <w:szCs w:val="24"/>
          <w:highlight w:val="none"/>
          <w:u w:val="single"/>
        </w:rPr>
        <w:t></w:t>
      </w:r>
      <w:r>
        <w:rPr>
          <w:rFonts w:hint="eastAsia" w:ascii="宋体" w:hAnsi="宋体" w:cs="宋体"/>
          <w:bCs/>
          <w:sz w:val="24"/>
          <w:szCs w:val="24"/>
          <w:highlight w:val="none"/>
        </w:rPr>
        <w:t>日，实际竣工日期以工程竣工验收合格之日为准。</w:t>
      </w:r>
    </w:p>
    <w:p w14:paraId="37CAC876">
      <w:pPr>
        <w:snapToGrid w:val="0"/>
        <w:spacing w:line="400" w:lineRule="exact"/>
        <w:ind w:firstLine="480" w:firstLineChars="200"/>
        <w:rPr>
          <w:rFonts w:ascii="宋体" w:hAnsi="宋体" w:cs="宋体"/>
          <w:sz w:val="24"/>
          <w:szCs w:val="24"/>
          <w:highlight w:val="none"/>
        </w:rPr>
      </w:pPr>
      <w:r>
        <w:rPr>
          <w:rFonts w:hint="eastAsia" w:ascii="宋体" w:hAnsi="宋体" w:cs="宋体"/>
          <w:bCs/>
          <w:sz w:val="24"/>
          <w:szCs w:val="24"/>
          <w:highlight w:val="none"/>
        </w:rPr>
        <w:t>工期总日历天数</w:t>
      </w:r>
      <w:r>
        <w:rPr>
          <w:rFonts w:hint="eastAsia" w:ascii="宋体" w:hAnsi="宋体" w:cs="宋体"/>
          <w:bCs/>
          <w:sz w:val="24"/>
          <w:szCs w:val="24"/>
          <w:highlight w:val="none"/>
          <w:u w:val="single"/>
        </w:rPr>
        <w:t></w:t>
      </w:r>
      <w:r>
        <w:rPr>
          <w:rFonts w:hint="eastAsia" w:ascii="宋体" w:hAnsi="宋体" w:cs="宋体"/>
          <w:bCs/>
          <w:sz w:val="24"/>
          <w:szCs w:val="24"/>
          <w:highlight w:val="none"/>
        </w:rPr>
        <w:t>天。工期总日历天数与根据前述计划开竣工日期计算的工期天数不一</w:t>
      </w:r>
      <w:r>
        <w:rPr>
          <w:rFonts w:hint="eastAsia" w:ascii="宋体" w:hAnsi="宋体" w:cs="宋体"/>
          <w:sz w:val="24"/>
          <w:szCs w:val="24"/>
          <w:highlight w:val="none"/>
        </w:rPr>
        <w:t>致的，以工期总日历天数为准。</w:t>
      </w:r>
    </w:p>
    <w:p w14:paraId="7529AA63">
      <w:pPr>
        <w:pStyle w:val="7"/>
        <w:snapToGrid w:val="0"/>
        <w:spacing w:before="0" w:after="0" w:line="400" w:lineRule="exact"/>
        <w:ind w:firstLine="482" w:firstLineChars="200"/>
        <w:rPr>
          <w:rFonts w:ascii="宋体" w:hAnsi="宋体" w:eastAsia="宋体" w:cs="宋体"/>
          <w:sz w:val="24"/>
          <w:szCs w:val="24"/>
          <w:highlight w:val="none"/>
        </w:rPr>
      </w:pPr>
      <w:bookmarkStart w:id="224" w:name="_Toc351203483"/>
      <w:bookmarkStart w:id="225" w:name="_Toc532377168"/>
      <w:bookmarkStart w:id="226" w:name="_Toc532375575"/>
      <w:r>
        <w:rPr>
          <w:rFonts w:hint="eastAsia" w:ascii="宋体" w:hAnsi="宋体" w:eastAsia="宋体" w:cs="宋体"/>
          <w:sz w:val="24"/>
          <w:szCs w:val="24"/>
          <w:highlight w:val="none"/>
        </w:rPr>
        <w:t>三、质量标准</w:t>
      </w:r>
      <w:bookmarkEnd w:id="224"/>
      <w:bookmarkEnd w:id="225"/>
      <w:bookmarkEnd w:id="226"/>
    </w:p>
    <w:p w14:paraId="6AA2DEE7">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1.工程质量符合强制性质量标准，</w:t>
      </w:r>
      <w:r>
        <w:rPr>
          <w:rFonts w:hint="eastAsia" w:ascii="宋体" w:hAnsi="宋体" w:cs="宋体"/>
          <w:sz w:val="24"/>
          <w:szCs w:val="24"/>
          <w:highlight w:val="none"/>
          <w:u w:val="single"/>
        </w:rPr>
        <w:t>符合国家和重庆市现行有关施工质量验收规范要求，并达到合格</w:t>
      </w:r>
      <w:r>
        <w:rPr>
          <w:rFonts w:hint="eastAsia" w:ascii="宋体" w:hAnsi="宋体" w:cs="宋体"/>
          <w:sz w:val="24"/>
          <w:szCs w:val="24"/>
          <w:highlight w:val="none"/>
        </w:rPr>
        <w:t>标准。</w:t>
      </w:r>
    </w:p>
    <w:p w14:paraId="416D27B9">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2.工程完工后，按国家相关标准验收程序和规程进行验收。验收的相关费用由承包人承担。</w:t>
      </w:r>
    </w:p>
    <w:p w14:paraId="431C1165">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承包人承担未达到采购文件的要求，且对发包人造成损失的，由承包人承担一切责任，并赔偿所造成的损失。</w:t>
      </w:r>
    </w:p>
    <w:p w14:paraId="2B861D4F">
      <w:pPr>
        <w:pStyle w:val="7"/>
        <w:snapToGrid w:val="0"/>
        <w:spacing w:before="0" w:after="0" w:line="400" w:lineRule="exact"/>
        <w:ind w:firstLine="482" w:firstLineChars="200"/>
        <w:rPr>
          <w:rFonts w:ascii="宋体" w:hAnsi="宋体" w:eastAsia="宋体" w:cs="宋体"/>
          <w:sz w:val="24"/>
          <w:szCs w:val="24"/>
          <w:highlight w:val="none"/>
        </w:rPr>
      </w:pPr>
      <w:bookmarkStart w:id="227" w:name="_Toc532377169"/>
      <w:bookmarkStart w:id="228" w:name="_Toc351203484"/>
      <w:bookmarkStart w:id="229" w:name="_Toc532375576"/>
      <w:r>
        <w:rPr>
          <w:rFonts w:hint="eastAsia" w:ascii="宋体" w:hAnsi="宋体" w:eastAsia="宋体" w:cs="宋体"/>
          <w:sz w:val="24"/>
          <w:szCs w:val="24"/>
          <w:highlight w:val="none"/>
        </w:rPr>
        <w:t>四、签约合同价与合同价格形式</w:t>
      </w:r>
      <w:bookmarkEnd w:id="227"/>
      <w:bookmarkEnd w:id="228"/>
      <w:bookmarkEnd w:id="229"/>
      <w:r>
        <w:rPr>
          <w:rFonts w:hint="eastAsia" w:ascii="宋体" w:hAnsi="宋体" w:eastAsia="宋体" w:cs="宋体"/>
          <w:sz w:val="24"/>
          <w:szCs w:val="24"/>
          <w:highlight w:val="none"/>
        </w:rPr>
        <w:tab/>
      </w:r>
    </w:p>
    <w:p w14:paraId="20991C5D">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1.承包人投标函中承诺的中标价为：</w:t>
      </w:r>
    </w:p>
    <w:p w14:paraId="1163DB3F">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4C2D84A3">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2.签约合同价为：</w:t>
      </w:r>
    </w:p>
    <w:p w14:paraId="51F06406">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4EC55D89">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其中：</w:t>
      </w:r>
    </w:p>
    <w:p w14:paraId="44049AE6">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（1）安全文明施工费：</w:t>
      </w:r>
    </w:p>
    <w:p w14:paraId="3E237BCA">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01CEE718">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（2）材料和工程设备暂估价金额：</w:t>
      </w:r>
    </w:p>
    <w:p w14:paraId="505DE10E">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2C43BEAC">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（3）专业工程暂估价金额：</w:t>
      </w:r>
    </w:p>
    <w:p w14:paraId="2A1C41A3">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5F9F533B">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（4）暂列金额：</w:t>
      </w:r>
    </w:p>
    <w:p w14:paraId="13E475C3">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1351984C">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（5）人工费（工资款）</w:t>
      </w:r>
    </w:p>
    <w:p w14:paraId="12232480">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该项目实行人工费（工资款）与其他工程款分账管理，发包人将应付工程款中的人工费（工资款），以不低于已完成合同价款的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，单独支付至承包人设立的农民工工资专用账户。</w:t>
      </w:r>
    </w:p>
    <w:p w14:paraId="6BFAA7AF">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3.合同价格形式：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FA67583">
      <w:pPr>
        <w:pStyle w:val="7"/>
        <w:snapToGrid w:val="0"/>
        <w:spacing w:before="0" w:after="0" w:line="400" w:lineRule="exact"/>
        <w:ind w:firstLine="482" w:firstLineChars="200"/>
        <w:rPr>
          <w:rFonts w:ascii="宋体" w:hAnsi="宋体" w:eastAsia="宋体" w:cs="宋体"/>
          <w:sz w:val="24"/>
          <w:szCs w:val="24"/>
          <w:highlight w:val="none"/>
        </w:rPr>
      </w:pPr>
      <w:bookmarkStart w:id="230" w:name="_Toc351203485"/>
      <w:bookmarkStart w:id="231" w:name="_Toc532375577"/>
      <w:bookmarkStart w:id="232" w:name="_Toc532377170"/>
      <w:r>
        <w:rPr>
          <w:rFonts w:hint="eastAsia" w:ascii="宋体" w:hAnsi="宋体" w:eastAsia="宋体" w:cs="宋体"/>
          <w:sz w:val="24"/>
          <w:szCs w:val="24"/>
          <w:highlight w:val="none"/>
        </w:rPr>
        <w:t>五、</w:t>
      </w:r>
      <w:bookmarkEnd w:id="230"/>
      <w:r>
        <w:rPr>
          <w:rFonts w:hint="eastAsia" w:ascii="宋体" w:hAnsi="宋体" w:eastAsia="宋体" w:cs="宋体"/>
          <w:sz w:val="24"/>
          <w:szCs w:val="24"/>
          <w:highlight w:val="none"/>
        </w:rPr>
        <w:t>项目经理及技术负责人</w:t>
      </w:r>
      <w:bookmarkEnd w:id="231"/>
      <w:bookmarkEnd w:id="232"/>
    </w:p>
    <w:p w14:paraId="3561D0FB">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承包人投标文件中承诺的项目经理：</w:t>
      </w:r>
    </w:p>
    <w:p w14:paraId="12AA114F">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2B60D5F">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2E70ADB">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建造师注册证书号：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45BE7F5">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承包人投标文件中承诺的技术负责人：</w:t>
      </w:r>
    </w:p>
    <w:p w14:paraId="1FAF60BC">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07D9735">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532734A">
      <w:pPr>
        <w:pStyle w:val="2"/>
        <w:snapToGrid w:val="0"/>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证书名称及号码：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7942274">
      <w:pPr>
        <w:pStyle w:val="7"/>
        <w:snapToGrid w:val="0"/>
        <w:spacing w:before="0" w:after="0" w:line="400" w:lineRule="exact"/>
        <w:ind w:firstLine="482" w:firstLineChars="200"/>
        <w:rPr>
          <w:rFonts w:ascii="宋体" w:hAnsi="宋体" w:eastAsia="宋体" w:cs="宋体"/>
          <w:sz w:val="24"/>
          <w:szCs w:val="24"/>
          <w:highlight w:val="none"/>
        </w:rPr>
      </w:pPr>
      <w:bookmarkStart w:id="233" w:name="_Toc532377171"/>
      <w:bookmarkStart w:id="234" w:name="_Toc532375578"/>
      <w:bookmarkStart w:id="235" w:name="_Toc351203486"/>
      <w:r>
        <w:rPr>
          <w:rFonts w:hint="eastAsia" w:ascii="宋体" w:hAnsi="宋体" w:eastAsia="宋体" w:cs="宋体"/>
          <w:sz w:val="24"/>
          <w:szCs w:val="24"/>
          <w:highlight w:val="none"/>
        </w:rPr>
        <w:t>六、合同文件构成</w:t>
      </w:r>
      <w:bookmarkEnd w:id="233"/>
      <w:bookmarkEnd w:id="234"/>
      <w:bookmarkEnd w:id="235"/>
    </w:p>
    <w:p w14:paraId="59084290">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合同由以下文件构成：</w:t>
      </w:r>
    </w:p>
    <w:p w14:paraId="25B07F32">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（1）合同协议书；</w:t>
      </w:r>
    </w:p>
    <w:p w14:paraId="350A4E74">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（2）成交通知书；</w:t>
      </w:r>
    </w:p>
    <w:p w14:paraId="07CF6E31">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（3）报价函；</w:t>
      </w:r>
    </w:p>
    <w:p w14:paraId="1F1CB467">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（4）专用合同条款及其附件；</w:t>
      </w:r>
    </w:p>
    <w:p w14:paraId="1B6623C7">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（5）通用合同条款；</w:t>
      </w:r>
    </w:p>
    <w:p w14:paraId="2ED0BF54">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（6）响应文件；</w:t>
      </w:r>
    </w:p>
    <w:p w14:paraId="1AB281C0">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（7）采购文件及修改文件；</w:t>
      </w:r>
    </w:p>
    <w:p w14:paraId="4C0028D6">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（8）技术标准和要求；</w:t>
      </w:r>
    </w:p>
    <w:p w14:paraId="2A8EC102">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（9）图纸；</w:t>
      </w:r>
    </w:p>
    <w:p w14:paraId="61594685">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（10）其他合同文件。</w:t>
      </w:r>
    </w:p>
    <w:p w14:paraId="41B6F69B">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在合同订立、履行过程中形成的与合同有关的书面形式的文件均构成合同文件组成部分。</w:t>
      </w:r>
    </w:p>
    <w:p w14:paraId="3FA0B33F">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上述各项合同文件包括合同当事人就该项合同文件所作出的补充和修改，属于同一类内容的文件，应以最新签署的为准。专用合同条款及其附件须经合同当事人签名或盖章。</w:t>
      </w:r>
    </w:p>
    <w:p w14:paraId="58C9A517">
      <w:pPr>
        <w:pStyle w:val="7"/>
        <w:snapToGrid w:val="0"/>
        <w:spacing w:before="0" w:after="0" w:line="400" w:lineRule="exact"/>
        <w:ind w:firstLine="482" w:firstLineChars="200"/>
        <w:rPr>
          <w:rFonts w:ascii="宋体" w:hAnsi="宋体" w:eastAsia="宋体" w:cs="宋体"/>
          <w:sz w:val="24"/>
          <w:szCs w:val="24"/>
          <w:highlight w:val="none"/>
        </w:rPr>
      </w:pPr>
      <w:bookmarkStart w:id="236" w:name="_Toc532375579"/>
      <w:bookmarkStart w:id="237" w:name="_Toc351203487"/>
      <w:bookmarkStart w:id="238" w:name="_Toc532377172"/>
      <w:r>
        <w:rPr>
          <w:rFonts w:hint="eastAsia" w:ascii="宋体" w:hAnsi="宋体" w:eastAsia="宋体" w:cs="宋体"/>
          <w:sz w:val="24"/>
          <w:szCs w:val="24"/>
          <w:highlight w:val="none"/>
        </w:rPr>
        <w:t>七、承诺</w:t>
      </w:r>
      <w:bookmarkEnd w:id="236"/>
      <w:bookmarkEnd w:id="237"/>
      <w:bookmarkEnd w:id="238"/>
    </w:p>
    <w:p w14:paraId="16956D07">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1.发包人承诺按照法律规定履行项目审批手续、筹集工程建设资金并按照合同约定的期限和方式支付合同价款。</w:t>
      </w:r>
    </w:p>
    <w:p w14:paraId="02839CAC">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sz w:val="24"/>
          <w:szCs w:val="24"/>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cs="宋体"/>
          <w:bCs/>
          <w:sz w:val="24"/>
          <w:szCs w:val="24"/>
          <w:highlight w:val="none"/>
        </w:rPr>
        <w:t>。</w:t>
      </w:r>
    </w:p>
    <w:p w14:paraId="0D026C8D">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3.发包人和承包人通过招投标形式签订合同的，双方理解并承诺不再就同一工程另行签订与合同实质性内容相背离的协议。</w:t>
      </w:r>
    </w:p>
    <w:p w14:paraId="4B86766A">
      <w:pPr>
        <w:pStyle w:val="7"/>
        <w:snapToGrid w:val="0"/>
        <w:spacing w:before="0" w:after="0" w:line="400" w:lineRule="exact"/>
        <w:ind w:firstLine="482" w:firstLineChars="200"/>
        <w:rPr>
          <w:rFonts w:ascii="宋体" w:hAnsi="宋体" w:eastAsia="宋体" w:cs="宋体"/>
          <w:sz w:val="24"/>
          <w:szCs w:val="24"/>
          <w:highlight w:val="none"/>
        </w:rPr>
      </w:pPr>
      <w:bookmarkStart w:id="239" w:name="_Toc532375580"/>
      <w:bookmarkStart w:id="240" w:name="_Toc532377173"/>
      <w:bookmarkStart w:id="241" w:name="_Toc351203488"/>
      <w:r>
        <w:rPr>
          <w:rFonts w:hint="eastAsia" w:ascii="宋体" w:hAnsi="宋体" w:eastAsia="宋体" w:cs="宋体"/>
          <w:sz w:val="24"/>
          <w:szCs w:val="24"/>
          <w:highlight w:val="none"/>
        </w:rPr>
        <w:t>八、词语含义</w:t>
      </w:r>
      <w:bookmarkEnd w:id="239"/>
      <w:bookmarkEnd w:id="240"/>
      <w:bookmarkEnd w:id="241"/>
    </w:p>
    <w:p w14:paraId="77A6062C">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本协议书中词语含义与专用合同条款及通用合同条款中赋予的含义相同。</w:t>
      </w:r>
    </w:p>
    <w:p w14:paraId="187FF49D">
      <w:pPr>
        <w:pStyle w:val="7"/>
        <w:snapToGrid w:val="0"/>
        <w:spacing w:before="0" w:after="0" w:line="400" w:lineRule="exact"/>
        <w:ind w:firstLine="482" w:firstLineChars="200"/>
        <w:rPr>
          <w:rFonts w:ascii="宋体" w:hAnsi="宋体" w:eastAsia="宋体" w:cs="宋体"/>
          <w:sz w:val="24"/>
          <w:szCs w:val="24"/>
          <w:highlight w:val="none"/>
        </w:rPr>
      </w:pPr>
      <w:bookmarkStart w:id="242" w:name="_Toc532377174"/>
      <w:bookmarkStart w:id="243" w:name="_Toc532375581"/>
      <w:r>
        <w:rPr>
          <w:rFonts w:hint="eastAsia" w:ascii="宋体" w:hAnsi="宋体" w:eastAsia="宋体" w:cs="宋体"/>
          <w:sz w:val="24"/>
          <w:szCs w:val="24"/>
          <w:highlight w:val="none"/>
        </w:rPr>
        <w:t>九、签订时间</w:t>
      </w:r>
      <w:bookmarkEnd w:id="242"/>
      <w:bookmarkEnd w:id="243"/>
    </w:p>
    <w:p w14:paraId="2F2E384E">
      <w:pPr>
        <w:snapToGrid w:val="0"/>
        <w:spacing w:line="400" w:lineRule="exact"/>
        <w:ind w:firstLine="480" w:firstLineChars="200"/>
        <w:rPr>
          <w:rFonts w:ascii="宋体" w:hAnsi="宋体" w:cs="宋体"/>
          <w:sz w:val="24"/>
          <w:szCs w:val="24"/>
          <w:highlight w:val="none"/>
        </w:rPr>
      </w:pPr>
      <w:r>
        <w:rPr>
          <w:rFonts w:hint="eastAsia" w:ascii="宋体" w:hAnsi="宋体" w:cs="宋体"/>
          <w:bCs/>
          <w:sz w:val="24"/>
          <w:szCs w:val="24"/>
          <w:highlight w:val="none"/>
        </w:rPr>
        <w:t>合同于</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年</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月</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日签订</w:t>
      </w:r>
    </w:p>
    <w:p w14:paraId="367FBFFD">
      <w:pPr>
        <w:pStyle w:val="7"/>
        <w:snapToGrid w:val="0"/>
        <w:spacing w:before="0" w:after="0" w:line="400" w:lineRule="exact"/>
        <w:ind w:firstLine="482" w:firstLineChars="200"/>
        <w:rPr>
          <w:rFonts w:ascii="宋体" w:hAnsi="宋体" w:eastAsia="宋体" w:cs="宋体"/>
          <w:sz w:val="24"/>
          <w:szCs w:val="24"/>
          <w:highlight w:val="none"/>
        </w:rPr>
      </w:pPr>
      <w:bookmarkStart w:id="244" w:name="_Toc351203489"/>
      <w:bookmarkStart w:id="245" w:name="_Toc532375582"/>
      <w:bookmarkStart w:id="246" w:name="_Toc532377175"/>
      <w:r>
        <w:rPr>
          <w:rFonts w:hint="eastAsia" w:ascii="宋体" w:hAnsi="宋体" w:eastAsia="宋体" w:cs="宋体"/>
          <w:sz w:val="24"/>
          <w:szCs w:val="24"/>
          <w:highlight w:val="none"/>
        </w:rPr>
        <w:t>十、</w:t>
      </w:r>
      <w:bookmarkEnd w:id="244"/>
      <w:bookmarkStart w:id="247" w:name="_Toc351203490"/>
      <w:r>
        <w:rPr>
          <w:rFonts w:hint="eastAsia" w:ascii="宋体" w:hAnsi="宋体" w:eastAsia="宋体" w:cs="宋体"/>
          <w:sz w:val="24"/>
          <w:szCs w:val="24"/>
          <w:highlight w:val="none"/>
        </w:rPr>
        <w:t>签订地点</w:t>
      </w:r>
      <w:bookmarkEnd w:id="245"/>
      <w:bookmarkEnd w:id="246"/>
      <w:bookmarkEnd w:id="247"/>
    </w:p>
    <w:p w14:paraId="2451A71A">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合同在</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签订。</w:t>
      </w:r>
    </w:p>
    <w:p w14:paraId="44DE2672">
      <w:pPr>
        <w:pStyle w:val="7"/>
        <w:snapToGrid w:val="0"/>
        <w:spacing w:before="0" w:after="0" w:line="400" w:lineRule="exact"/>
        <w:ind w:firstLine="482" w:firstLineChars="200"/>
        <w:rPr>
          <w:rFonts w:ascii="宋体" w:hAnsi="宋体" w:eastAsia="宋体" w:cs="宋体"/>
          <w:sz w:val="24"/>
          <w:szCs w:val="24"/>
          <w:highlight w:val="none"/>
        </w:rPr>
      </w:pPr>
      <w:bookmarkStart w:id="248" w:name="_Toc351203491"/>
      <w:bookmarkStart w:id="249" w:name="_Toc532377176"/>
      <w:bookmarkStart w:id="250" w:name="_Toc532375583"/>
      <w:r>
        <w:rPr>
          <w:rFonts w:hint="eastAsia" w:ascii="宋体" w:hAnsi="宋体" w:eastAsia="宋体" w:cs="宋体"/>
          <w:sz w:val="24"/>
          <w:szCs w:val="24"/>
          <w:highlight w:val="none"/>
        </w:rPr>
        <w:t>十一、补充协议</w:t>
      </w:r>
      <w:bookmarkEnd w:id="248"/>
      <w:bookmarkEnd w:id="249"/>
      <w:bookmarkEnd w:id="250"/>
    </w:p>
    <w:p w14:paraId="079B4EF0">
      <w:pPr>
        <w:snapToGrid w:val="0"/>
        <w:spacing w:line="400" w:lineRule="exact"/>
        <w:ind w:firstLine="480" w:firstLineChars="200"/>
        <w:rPr>
          <w:rFonts w:ascii="宋体" w:hAnsi="宋体" w:cs="宋体"/>
          <w:b/>
          <w:bCs/>
          <w:sz w:val="24"/>
          <w:szCs w:val="24"/>
          <w:highlight w:val="none"/>
        </w:rPr>
      </w:pPr>
      <w:r>
        <w:rPr>
          <w:rFonts w:hint="eastAsia" w:ascii="宋体" w:hAnsi="宋体" w:cs="宋体"/>
          <w:bCs/>
          <w:sz w:val="24"/>
          <w:szCs w:val="24"/>
          <w:highlight w:val="none"/>
        </w:rPr>
        <w:t>合同未尽事宜，合同当事人另行签订补充协议，补充协议是合同的组成部分。</w:t>
      </w:r>
    </w:p>
    <w:p w14:paraId="06C01D3D">
      <w:pPr>
        <w:pStyle w:val="7"/>
        <w:snapToGrid w:val="0"/>
        <w:spacing w:before="0" w:after="0" w:line="400" w:lineRule="exact"/>
        <w:ind w:firstLine="482" w:firstLineChars="200"/>
        <w:rPr>
          <w:rFonts w:ascii="宋体" w:hAnsi="宋体" w:eastAsia="宋体" w:cs="宋体"/>
          <w:sz w:val="24"/>
          <w:szCs w:val="24"/>
          <w:highlight w:val="none"/>
        </w:rPr>
      </w:pPr>
      <w:bookmarkStart w:id="251" w:name="_Toc351203492"/>
      <w:bookmarkStart w:id="252" w:name="_Toc532375584"/>
      <w:bookmarkStart w:id="253" w:name="_Toc532377177"/>
      <w:r>
        <w:rPr>
          <w:rFonts w:hint="eastAsia" w:ascii="宋体" w:hAnsi="宋体" w:eastAsia="宋体" w:cs="宋体"/>
          <w:sz w:val="24"/>
          <w:szCs w:val="24"/>
          <w:highlight w:val="none"/>
        </w:rPr>
        <w:t>十二、合同生效</w:t>
      </w:r>
      <w:bookmarkEnd w:id="251"/>
      <w:bookmarkEnd w:id="252"/>
      <w:bookmarkEnd w:id="253"/>
    </w:p>
    <w:p w14:paraId="04CE308E">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合同在以下条件全部满足之后生效：</w:t>
      </w:r>
    </w:p>
    <w:p w14:paraId="1FD18BC0">
      <w:pPr>
        <w:snapToGrid w:val="0"/>
        <w:spacing w:line="400" w:lineRule="exact"/>
        <w:ind w:firstLine="480" w:firstLineChars="200"/>
        <w:rPr>
          <w:rFonts w:ascii="宋体" w:hAnsi="宋体" w:cs="宋体"/>
          <w:sz w:val="24"/>
          <w:szCs w:val="24"/>
          <w:highlight w:val="none"/>
        </w:rPr>
      </w:pPr>
      <w:r>
        <w:rPr>
          <w:rFonts w:hint="eastAsia" w:ascii="宋体" w:hAnsi="宋体" w:cs="宋体"/>
          <w:bCs/>
          <w:sz w:val="24"/>
          <w:szCs w:val="24"/>
          <w:highlight w:val="none"/>
        </w:rPr>
        <w:t>1.合同</w:t>
      </w:r>
      <w:r>
        <w:rPr>
          <w:rFonts w:hint="eastAsia" w:ascii="宋体" w:hAnsi="宋体" w:cs="宋体"/>
          <w:sz w:val="24"/>
          <w:szCs w:val="24"/>
          <w:highlight w:val="none"/>
        </w:rPr>
        <w:t>经双方法定代表人或其委托代理人签名并加盖单位</w:t>
      </w:r>
      <w:r>
        <w:rPr>
          <w:rFonts w:hint="eastAsia" w:ascii="宋体" w:hAnsi="宋体" w:cs="宋体"/>
          <w:snapToGrid w:val="0"/>
          <w:kern w:val="0"/>
          <w:sz w:val="24"/>
          <w:szCs w:val="24"/>
          <w:highlight w:val="none"/>
        </w:rPr>
        <w:t>公章或合同专用章</w:t>
      </w:r>
      <w:r>
        <w:rPr>
          <w:rFonts w:hint="eastAsia" w:ascii="宋体" w:hAnsi="宋体" w:cs="宋体"/>
          <w:sz w:val="24"/>
          <w:szCs w:val="24"/>
          <w:highlight w:val="none"/>
        </w:rPr>
        <w:t>；</w:t>
      </w:r>
    </w:p>
    <w:p w14:paraId="1CCEBFCB">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2.采用保函形式递交履约担保的，承包人按合同约定向发包人提交履约担保后；</w:t>
      </w:r>
    </w:p>
    <w:p w14:paraId="285400FB">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3.</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5585C12F">
      <w:pPr>
        <w:pStyle w:val="7"/>
        <w:snapToGrid w:val="0"/>
        <w:spacing w:before="0" w:after="0" w:line="400" w:lineRule="exact"/>
        <w:ind w:firstLine="482" w:firstLineChars="200"/>
        <w:rPr>
          <w:rFonts w:ascii="宋体" w:hAnsi="宋体" w:eastAsia="宋体" w:cs="宋体"/>
          <w:sz w:val="24"/>
          <w:szCs w:val="24"/>
          <w:highlight w:val="none"/>
        </w:rPr>
      </w:pPr>
      <w:bookmarkStart w:id="254" w:name="_Toc351203493"/>
      <w:bookmarkStart w:id="255" w:name="_Toc532375585"/>
      <w:bookmarkStart w:id="256" w:name="_Toc532377178"/>
      <w:r>
        <w:rPr>
          <w:rFonts w:hint="eastAsia" w:ascii="宋体" w:hAnsi="宋体" w:eastAsia="宋体" w:cs="宋体"/>
          <w:sz w:val="24"/>
          <w:szCs w:val="24"/>
          <w:highlight w:val="none"/>
        </w:rPr>
        <w:t>十三、合同份数</w:t>
      </w:r>
      <w:bookmarkEnd w:id="254"/>
      <w:bookmarkEnd w:id="255"/>
      <w:bookmarkEnd w:id="256"/>
    </w:p>
    <w:p w14:paraId="3EFBEF4D">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合同一式</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份，其中正本</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份，双方各持</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份，副本</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份，双方各执</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rPr>
        <w:t>份。副本与正本不一致时，以正本为准。</w:t>
      </w:r>
    </w:p>
    <w:p w14:paraId="6E28502D">
      <w:pPr>
        <w:snapToGrid w:val="0"/>
        <w:spacing w:line="4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（以下为签名盖章页）。</w:t>
      </w:r>
    </w:p>
    <w:p w14:paraId="31315231">
      <w:pPr>
        <w:adjustRightInd w:val="0"/>
        <w:snapToGrid w:val="0"/>
        <w:spacing w:line="400" w:lineRule="exact"/>
        <w:ind w:firstLine="480" w:firstLineChars="200"/>
        <w:rPr>
          <w:rFonts w:ascii="宋体" w:hAnsi="宋体" w:cs="宋体"/>
          <w:snapToGrid w:val="0"/>
          <w:kern w:val="0"/>
          <w:sz w:val="24"/>
          <w:szCs w:val="24"/>
          <w:highlight w:val="none"/>
        </w:rPr>
      </w:pPr>
      <w:bookmarkStart w:id="257" w:name="_Toc467689623"/>
    </w:p>
    <w:p w14:paraId="5171DD03">
      <w:pPr>
        <w:adjustRightInd w:val="0"/>
        <w:snapToGrid w:val="0"/>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发包人：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（盖单位公章或合同专用章）</w:t>
      </w:r>
    </w:p>
    <w:p w14:paraId="16794F4A">
      <w:pPr>
        <w:snapToGrid w:val="0"/>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法定代表人或其委托代理人：</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（签名）</w:t>
      </w:r>
    </w:p>
    <w:p w14:paraId="07A8432B">
      <w:pPr>
        <w:snapToGrid w:val="0"/>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统一社会信用代码：</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4149FB78">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纳税人识别号：</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3B8CF579">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地    址：</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772BB21E">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电    话：</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526E7587">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开户银行：</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2DDDE65C">
      <w:pPr>
        <w:snapToGrid w:val="0"/>
        <w:spacing w:line="400" w:lineRule="exact"/>
        <w:ind w:firstLine="480" w:firstLineChars="200"/>
        <w:rPr>
          <w:rFonts w:ascii="宋体" w:hAnsi="宋体" w:cs="宋体"/>
          <w:sz w:val="24"/>
          <w:szCs w:val="24"/>
          <w:highlight w:val="none"/>
        </w:rPr>
      </w:pPr>
      <w:r>
        <w:rPr>
          <w:rFonts w:hint="eastAsia" w:ascii="宋体" w:hAnsi="宋体" w:cs="宋体"/>
          <w:snapToGrid w:val="0"/>
          <w:kern w:val="0"/>
          <w:sz w:val="24"/>
          <w:szCs w:val="24"/>
          <w:highlight w:val="none"/>
        </w:rPr>
        <w:t>账    号：</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19DAA739">
      <w:pPr>
        <w:snapToGrid w:val="0"/>
        <w:spacing w:line="400" w:lineRule="exact"/>
        <w:rPr>
          <w:rFonts w:ascii="宋体" w:hAnsi="宋体" w:cs="宋体"/>
          <w:snapToGrid w:val="0"/>
          <w:kern w:val="0"/>
          <w:sz w:val="24"/>
          <w:szCs w:val="24"/>
          <w:highlight w:val="none"/>
        </w:rPr>
      </w:pPr>
    </w:p>
    <w:p w14:paraId="3ADA34D2">
      <w:pPr>
        <w:snapToGrid w:val="0"/>
        <w:spacing w:line="400" w:lineRule="exact"/>
        <w:ind w:firstLine="480" w:firstLineChars="200"/>
        <w:rPr>
          <w:rFonts w:ascii="宋体" w:hAnsi="宋体" w:cs="宋体"/>
          <w:sz w:val="24"/>
          <w:szCs w:val="24"/>
          <w:highlight w:val="none"/>
        </w:rPr>
      </w:pPr>
      <w:r>
        <w:rPr>
          <w:rFonts w:hint="eastAsia" w:ascii="宋体" w:hAnsi="宋体" w:cs="宋体"/>
          <w:snapToGrid w:val="0"/>
          <w:kern w:val="0"/>
          <w:sz w:val="24"/>
          <w:szCs w:val="24"/>
          <w:highlight w:val="none"/>
        </w:rPr>
        <w:t>承包人：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（盖单位公章或合同专用章）</w:t>
      </w:r>
    </w:p>
    <w:p w14:paraId="6D829C5B">
      <w:pPr>
        <w:snapToGrid w:val="0"/>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法定代表人或其委托代理人：</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rPr>
        <w:t>（签名）</w:t>
      </w:r>
    </w:p>
    <w:p w14:paraId="06533ABE">
      <w:pPr>
        <w:snapToGrid w:val="0"/>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统一社会信用代码：</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6047AB90">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纳税人识别号：</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58BAE06E">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地    址：</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49C7E0B4">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电    话：</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2EB4AB5B">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开户银行：</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16B45620">
      <w:pPr>
        <w:snapToGrid w:val="0"/>
        <w:spacing w:line="400" w:lineRule="exact"/>
        <w:ind w:firstLine="480" w:firstLineChars="200"/>
        <w:rPr>
          <w:rFonts w:ascii="宋体" w:hAnsi="宋体" w:cs="宋体"/>
          <w:snapToGrid w:val="0"/>
          <w:kern w:val="0"/>
          <w:sz w:val="24"/>
          <w:szCs w:val="24"/>
          <w:highlight w:val="none"/>
          <w:u w:val="single"/>
        </w:rPr>
      </w:pPr>
      <w:r>
        <w:rPr>
          <w:rFonts w:hint="eastAsia" w:ascii="宋体" w:hAnsi="宋体" w:cs="宋体"/>
          <w:snapToGrid w:val="0"/>
          <w:kern w:val="0"/>
          <w:sz w:val="24"/>
          <w:szCs w:val="24"/>
          <w:highlight w:val="none"/>
        </w:rPr>
        <w:t>账    号：</w:t>
      </w:r>
      <w:r>
        <w:rPr>
          <w:rFonts w:hint="eastAsia" w:ascii="宋体" w:hAnsi="宋体" w:cs="宋体"/>
          <w:snapToGrid w:val="0"/>
          <w:w w:val="200"/>
          <w:kern w:val="0"/>
          <w:sz w:val="24"/>
          <w:szCs w:val="24"/>
          <w:highlight w:val="none"/>
          <w:u w:val="single"/>
        </w:rPr>
        <w:t xml:space="preserve"> </w:t>
      </w:r>
      <w:r>
        <w:rPr>
          <w:rFonts w:hint="eastAsia" w:ascii="宋体" w:hAnsi="宋体" w:cs="宋体"/>
          <w:snapToGrid w:val="0"/>
          <w:kern w:val="0"/>
          <w:sz w:val="24"/>
          <w:szCs w:val="24"/>
          <w:highlight w:val="none"/>
          <w:u w:val="single"/>
        </w:rPr>
        <w:t xml:space="preserve">                                  </w:t>
      </w:r>
    </w:p>
    <w:p w14:paraId="57E830BC">
      <w:pPr>
        <w:pStyle w:val="2"/>
        <w:snapToGrid w:val="0"/>
        <w:spacing w:line="400" w:lineRule="exact"/>
        <w:rPr>
          <w:rFonts w:ascii="宋体" w:hAnsi="宋体" w:eastAsia="宋体" w:cs="宋体"/>
          <w:sz w:val="24"/>
          <w:szCs w:val="24"/>
          <w:highlight w:val="none"/>
        </w:rPr>
      </w:pPr>
    </w:p>
    <w:p w14:paraId="5CBCF537">
      <w:pPr>
        <w:snapToGrid w:val="0"/>
        <w:spacing w:line="400" w:lineRule="exact"/>
        <w:jc w:val="right"/>
        <w:rPr>
          <w:rFonts w:ascii="宋体" w:hAnsi="宋体" w:cs="宋体"/>
          <w:snapToGrid w:val="0"/>
          <w:kern w:val="0"/>
          <w:sz w:val="24"/>
          <w:szCs w:val="24"/>
          <w:highlight w:val="none"/>
        </w:rPr>
      </w:pPr>
    </w:p>
    <w:p w14:paraId="12DA014C">
      <w:pPr>
        <w:snapToGrid w:val="0"/>
        <w:spacing w:line="400" w:lineRule="exact"/>
        <w:jc w:val="right"/>
        <w:rPr>
          <w:rFonts w:ascii="宋体" w:hAnsi="宋体" w:cs="宋体"/>
          <w:snapToGrid w:val="0"/>
          <w:kern w:val="0"/>
          <w:sz w:val="24"/>
          <w:szCs w:val="24"/>
          <w:highlight w:val="none"/>
        </w:rPr>
      </w:pPr>
    </w:p>
    <w:p w14:paraId="1F2E2D5E">
      <w:pPr>
        <w:snapToGrid w:val="0"/>
        <w:spacing w:line="400" w:lineRule="exact"/>
        <w:jc w:val="righ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签约时间：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bookmarkEnd w:id="257"/>
    </w:p>
    <w:p w14:paraId="6EAA46C2">
      <w:pPr>
        <w:pStyle w:val="6"/>
        <w:spacing w:before="0" w:after="0" w:line="400" w:lineRule="exact"/>
        <w:jc w:val="center"/>
        <w:rPr>
          <w:rFonts w:ascii="宋体" w:hAnsi="宋体" w:cs="宋体"/>
          <w:bCs/>
          <w:sz w:val="24"/>
          <w:szCs w:val="24"/>
          <w:highlight w:val="none"/>
        </w:rPr>
      </w:pPr>
      <w:r>
        <w:rPr>
          <w:rFonts w:hint="eastAsia" w:ascii="宋体" w:hAnsi="宋体" w:cs="宋体"/>
          <w:b w:val="0"/>
          <w:snapToGrid w:val="0"/>
          <w:sz w:val="24"/>
          <w:szCs w:val="24"/>
          <w:highlight w:val="none"/>
          <w:lang w:val="zh-CN"/>
        </w:rPr>
        <w:br w:type="page"/>
      </w:r>
      <w:bookmarkStart w:id="258" w:name="_Toc24808"/>
      <w:bookmarkStart w:id="259" w:name="_Toc176509322"/>
      <w:bookmarkStart w:id="260" w:name="_Toc532375586"/>
      <w:bookmarkStart w:id="261" w:name="_Toc28978"/>
      <w:bookmarkStart w:id="262" w:name="_Toc532377179"/>
      <w:bookmarkStart w:id="263" w:name="_Toc144980142"/>
      <w:bookmarkStart w:id="264" w:name="_Toc529388289"/>
      <w:bookmarkStart w:id="265" w:name="_Toc1304"/>
      <w:r>
        <w:rPr>
          <w:rFonts w:hint="eastAsia" w:ascii="宋体" w:hAnsi="宋体" w:cs="宋体"/>
          <w:sz w:val="24"/>
          <w:szCs w:val="24"/>
          <w:highlight w:val="none"/>
        </w:rPr>
        <w:t>第二部分 通用合同条款</w:t>
      </w:r>
      <w:bookmarkEnd w:id="258"/>
      <w:bookmarkEnd w:id="259"/>
      <w:bookmarkEnd w:id="260"/>
      <w:bookmarkEnd w:id="261"/>
      <w:bookmarkEnd w:id="262"/>
      <w:bookmarkEnd w:id="263"/>
      <w:bookmarkEnd w:id="264"/>
      <w:bookmarkEnd w:id="265"/>
    </w:p>
    <w:p w14:paraId="518E0405">
      <w:pPr>
        <w:ind w:firstLine="420" w:firstLineChars="200"/>
        <w:rPr>
          <w:rFonts w:ascii="宋体" w:hAnsi="宋体" w:cs="宋体"/>
          <w:sz w:val="21"/>
          <w:szCs w:val="24"/>
          <w:highlight w:val="none"/>
        </w:rPr>
      </w:pPr>
      <w:r>
        <w:rPr>
          <w:rFonts w:hint="eastAsia" w:ascii="宋体" w:hAnsi="宋体" w:cs="宋体"/>
          <w:sz w:val="21"/>
          <w:szCs w:val="24"/>
          <w:highlight w:val="none"/>
        </w:rPr>
        <w:t>通用合同条款直接采用中华人民共和国住房和城乡建设部与国家工商行政管理总局联合制定的《建设工程施工合同》（GF-2017-0201）示范文本第二章《通用合同条款》。</w:t>
      </w:r>
    </w:p>
    <w:p w14:paraId="1029C9B3">
      <w:pPr>
        <w:spacing w:line="400" w:lineRule="exact"/>
        <w:ind w:firstLine="480" w:firstLineChars="200"/>
        <w:jc w:val="left"/>
        <w:rPr>
          <w:rFonts w:ascii="宋体" w:hAnsi="宋体" w:cs="宋体"/>
          <w:kern w:val="0"/>
          <w:sz w:val="24"/>
          <w:szCs w:val="24"/>
          <w:highlight w:val="none"/>
        </w:rPr>
      </w:pPr>
    </w:p>
    <w:p w14:paraId="30807B88">
      <w:pPr>
        <w:keepNext/>
        <w:keepLines/>
        <w:snapToGrid w:val="0"/>
        <w:spacing w:line="400" w:lineRule="exact"/>
        <w:outlineLvl w:val="2"/>
        <w:rPr>
          <w:rFonts w:ascii="宋体" w:hAnsi="宋体" w:cs="宋体"/>
          <w:b/>
          <w:bCs/>
          <w:sz w:val="24"/>
          <w:szCs w:val="24"/>
          <w:highlight w:val="none"/>
          <w:lang w:val="zh-CN"/>
        </w:rPr>
      </w:pPr>
      <w:r>
        <w:rPr>
          <w:rFonts w:hint="eastAsia" w:ascii="宋体" w:hAnsi="宋体" w:cs="宋体"/>
          <w:b/>
          <w:bCs/>
          <w:sz w:val="24"/>
          <w:szCs w:val="24"/>
          <w:highlight w:val="none"/>
          <w:lang w:val="zh-CN"/>
        </w:rPr>
        <w:br w:type="page"/>
      </w:r>
    </w:p>
    <w:p w14:paraId="4BDE5F2C">
      <w:pPr>
        <w:pStyle w:val="6"/>
        <w:spacing w:before="0" w:after="0" w:line="400" w:lineRule="exact"/>
        <w:jc w:val="center"/>
        <w:rPr>
          <w:rFonts w:ascii="宋体" w:hAnsi="宋体" w:cs="宋体"/>
          <w:sz w:val="24"/>
          <w:szCs w:val="24"/>
          <w:highlight w:val="none"/>
        </w:rPr>
      </w:pPr>
      <w:bookmarkStart w:id="266" w:name="_Toc19617"/>
      <w:bookmarkStart w:id="267" w:name="_Toc532375607"/>
      <w:bookmarkStart w:id="268" w:name="_Toc27588"/>
      <w:bookmarkStart w:id="269" w:name="_Toc8767"/>
      <w:bookmarkStart w:id="270" w:name="_Toc144980143"/>
      <w:bookmarkStart w:id="271" w:name="_Toc176509323"/>
      <w:bookmarkStart w:id="272" w:name="_Toc532377320"/>
      <w:bookmarkStart w:id="273" w:name="_Toc529388290"/>
      <w:r>
        <w:rPr>
          <w:rFonts w:hint="eastAsia" w:ascii="宋体" w:hAnsi="宋体" w:cs="宋体"/>
          <w:sz w:val="24"/>
          <w:szCs w:val="24"/>
          <w:highlight w:val="none"/>
        </w:rPr>
        <w:t>第三部分 专用合同条款</w:t>
      </w:r>
      <w:bookmarkEnd w:id="266"/>
      <w:bookmarkEnd w:id="267"/>
      <w:bookmarkEnd w:id="268"/>
      <w:bookmarkEnd w:id="269"/>
      <w:bookmarkEnd w:id="270"/>
      <w:bookmarkEnd w:id="271"/>
      <w:bookmarkEnd w:id="272"/>
      <w:bookmarkEnd w:id="273"/>
    </w:p>
    <w:p w14:paraId="3453C6FB">
      <w:pPr>
        <w:pStyle w:val="7"/>
        <w:spacing w:before="0" w:after="0" w:line="400" w:lineRule="exact"/>
        <w:rPr>
          <w:rFonts w:ascii="宋体" w:hAnsi="宋体" w:eastAsia="宋体" w:cs="宋体"/>
          <w:bCs/>
          <w:sz w:val="24"/>
          <w:szCs w:val="24"/>
          <w:highlight w:val="none"/>
        </w:rPr>
      </w:pPr>
      <w:bookmarkStart w:id="274" w:name="_Toc532377321"/>
      <w:bookmarkStart w:id="275" w:name="_Toc351203633"/>
      <w:bookmarkStart w:id="276" w:name="_Toc532375608"/>
      <w:bookmarkStart w:id="277" w:name="_Hlk528927191"/>
      <w:r>
        <w:rPr>
          <w:rFonts w:hint="eastAsia" w:ascii="宋体" w:hAnsi="宋体" w:eastAsia="宋体" w:cs="宋体"/>
          <w:sz w:val="24"/>
          <w:szCs w:val="24"/>
          <w:highlight w:val="none"/>
        </w:rPr>
        <w:t>1</w:t>
      </w:r>
      <w:bookmarkStart w:id="278" w:name="_Toc297120456"/>
      <w:bookmarkStart w:id="279" w:name="_Toc296890984"/>
      <w:bookmarkStart w:id="280" w:name="_Toc297048342"/>
      <w:bookmarkStart w:id="281" w:name="_Toc296347155"/>
      <w:bookmarkStart w:id="282" w:name="_Toc296944495"/>
      <w:bookmarkStart w:id="283" w:name="_Toc292559866"/>
      <w:bookmarkStart w:id="284" w:name="_Toc296346657"/>
      <w:bookmarkStart w:id="285" w:name="_Toc296503156"/>
      <w:bookmarkStart w:id="286" w:name="_Toc292559361"/>
      <w:bookmarkStart w:id="287" w:name="_Toc296891196"/>
      <w:r>
        <w:rPr>
          <w:rFonts w:hint="eastAsia" w:ascii="宋体" w:hAnsi="宋体" w:eastAsia="宋体" w:cs="宋体"/>
          <w:sz w:val="24"/>
          <w:szCs w:val="24"/>
          <w:highlight w:val="none"/>
        </w:rPr>
        <w:t>. 一般约定</w:t>
      </w:r>
      <w:bookmarkEnd w:id="274"/>
      <w:bookmarkEnd w:id="275"/>
      <w:bookmarkEnd w:id="276"/>
    </w:p>
    <w:bookmarkEnd w:id="278"/>
    <w:bookmarkEnd w:id="279"/>
    <w:bookmarkEnd w:id="280"/>
    <w:bookmarkEnd w:id="281"/>
    <w:bookmarkEnd w:id="282"/>
    <w:bookmarkEnd w:id="283"/>
    <w:bookmarkEnd w:id="284"/>
    <w:bookmarkEnd w:id="285"/>
    <w:bookmarkEnd w:id="286"/>
    <w:bookmarkEnd w:id="287"/>
    <w:p w14:paraId="74B7597C">
      <w:pPr>
        <w:pStyle w:val="8"/>
        <w:spacing w:before="0" w:after="0" w:line="400" w:lineRule="exact"/>
        <w:ind w:left="848" w:hanging="848" w:hangingChars="352"/>
        <w:rPr>
          <w:rFonts w:ascii="宋体" w:hAnsi="宋体" w:cs="宋体"/>
          <w:sz w:val="24"/>
          <w:szCs w:val="24"/>
          <w:highlight w:val="none"/>
        </w:rPr>
      </w:pPr>
      <w:bookmarkStart w:id="288" w:name="_Toc532377322"/>
      <w:r>
        <w:rPr>
          <w:rFonts w:hint="eastAsia" w:ascii="宋体" w:hAnsi="宋体" w:cs="宋体"/>
          <w:sz w:val="24"/>
          <w:szCs w:val="24"/>
          <w:highlight w:val="none"/>
        </w:rPr>
        <w:t>1.1词语定义与解释</w:t>
      </w:r>
      <w:bookmarkEnd w:id="288"/>
    </w:p>
    <w:p w14:paraId="459A754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 合同</w:t>
      </w:r>
    </w:p>
    <w:p w14:paraId="08B742D6">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1.1.1.6技术标准和要求：</w:t>
      </w:r>
      <w:r>
        <w:rPr>
          <w:rFonts w:hint="eastAsia" w:ascii="宋体" w:hAnsi="宋体" w:cs="宋体"/>
          <w:kern w:val="0"/>
          <w:sz w:val="24"/>
          <w:szCs w:val="24"/>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cs="宋体"/>
          <w:kern w:val="0"/>
          <w:sz w:val="24"/>
          <w:szCs w:val="24"/>
          <w:highlight w:val="none"/>
        </w:rPr>
        <w:t>。</w:t>
      </w:r>
    </w:p>
    <w:p w14:paraId="06653F8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1.1.1.8 已标价工程量清单：</w:t>
      </w:r>
      <w:r>
        <w:rPr>
          <w:rFonts w:hint="eastAsia" w:ascii="宋体" w:hAnsi="宋体" w:cs="宋体"/>
          <w:kern w:val="0"/>
          <w:sz w:val="24"/>
          <w:szCs w:val="24"/>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cs="宋体"/>
          <w:kern w:val="0"/>
          <w:sz w:val="24"/>
          <w:szCs w:val="24"/>
          <w:highlight w:val="none"/>
        </w:rPr>
        <w:t>。</w:t>
      </w:r>
    </w:p>
    <w:p w14:paraId="345038C1">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1.1.1.10 其他合同文件包括：</w:t>
      </w:r>
      <w:r>
        <w:rPr>
          <w:rFonts w:hint="eastAsia" w:ascii="宋体" w:hAnsi="宋体" w:cs="宋体"/>
          <w:sz w:val="24"/>
          <w:szCs w:val="24"/>
          <w:highlight w:val="none"/>
          <w:u w:val="single"/>
        </w:rPr>
        <w:t>按照合同协议书</w:t>
      </w:r>
      <w:r>
        <w:rPr>
          <w:rFonts w:hint="eastAsia" w:ascii="宋体" w:hAnsi="宋体" w:cs="宋体"/>
          <w:bCs/>
          <w:sz w:val="24"/>
          <w:szCs w:val="24"/>
          <w:highlight w:val="none"/>
          <w:u w:val="single"/>
        </w:rPr>
        <w:t>〔</w:t>
      </w:r>
      <w:r>
        <w:rPr>
          <w:rFonts w:hint="eastAsia" w:ascii="宋体" w:hAnsi="宋体" w:cs="宋体"/>
          <w:sz w:val="24"/>
          <w:szCs w:val="24"/>
          <w:highlight w:val="none"/>
          <w:u w:val="single"/>
        </w:rPr>
        <w:t>第六条</w:t>
      </w:r>
      <w:r>
        <w:rPr>
          <w:rFonts w:hint="eastAsia" w:ascii="宋体" w:hAnsi="宋体" w:cs="宋体"/>
          <w:bCs/>
          <w:sz w:val="24"/>
          <w:szCs w:val="24"/>
          <w:highlight w:val="none"/>
          <w:u w:val="single"/>
        </w:rPr>
        <w:t>〕</w:t>
      </w:r>
      <w:r>
        <w:rPr>
          <w:rFonts w:hint="eastAsia" w:ascii="宋体" w:hAnsi="宋体" w:cs="宋体"/>
          <w:sz w:val="24"/>
          <w:szCs w:val="24"/>
          <w:highlight w:val="none"/>
          <w:u w:val="single"/>
        </w:rPr>
        <w:t>约定执行</w:t>
      </w:r>
      <w:r>
        <w:rPr>
          <w:rFonts w:hint="eastAsia" w:ascii="宋体" w:hAnsi="宋体" w:cs="宋体"/>
          <w:sz w:val="24"/>
          <w:szCs w:val="24"/>
          <w:highlight w:val="none"/>
        </w:rPr>
        <w:t>。</w:t>
      </w:r>
    </w:p>
    <w:p w14:paraId="2CE2808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本项补充1.1.1.11～1.1.1.16目：</w:t>
      </w:r>
    </w:p>
    <w:p w14:paraId="7538C09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1.1.1.11 采购文件：</w:t>
      </w:r>
      <w:r>
        <w:rPr>
          <w:rFonts w:hint="eastAsia" w:ascii="宋体" w:hAnsi="宋体" w:cs="宋体"/>
          <w:kern w:val="0"/>
          <w:sz w:val="24"/>
          <w:szCs w:val="24"/>
          <w:highlight w:val="none"/>
          <w:u w:val="single"/>
        </w:rPr>
        <w:t>指本工程的采购文件、图纸、其他技术资料及招标人发出的对采购文件所作的澄清、修改等资料</w:t>
      </w:r>
      <w:r>
        <w:rPr>
          <w:rFonts w:hint="eastAsia" w:ascii="宋体" w:hAnsi="宋体" w:cs="宋体"/>
          <w:kern w:val="0"/>
          <w:sz w:val="24"/>
          <w:szCs w:val="24"/>
          <w:highlight w:val="none"/>
        </w:rPr>
        <w:t>。</w:t>
      </w:r>
    </w:p>
    <w:p w14:paraId="16FBFA13">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1.1.1.12 工作：</w:t>
      </w:r>
      <w:r>
        <w:rPr>
          <w:rFonts w:hint="eastAsia" w:ascii="宋体" w:hAnsi="宋体" w:cs="宋体"/>
          <w:kern w:val="0"/>
          <w:sz w:val="24"/>
          <w:szCs w:val="24"/>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s="宋体"/>
          <w:kern w:val="0"/>
          <w:sz w:val="24"/>
          <w:szCs w:val="24"/>
          <w:highlight w:val="none"/>
        </w:rPr>
        <w:t>。</w:t>
      </w:r>
    </w:p>
    <w:p w14:paraId="3022AF8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1.1.1.13 重大设计变更：按照规定需要重新报建设行政主管部门批准的设计变更。</w:t>
      </w:r>
    </w:p>
    <w:p w14:paraId="572EA17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1.1.1.14 公章：专指法定单位名称章。</w:t>
      </w:r>
    </w:p>
    <w:bookmarkEnd w:id="277"/>
    <w:p w14:paraId="491CD45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1.1.1.15 到岗：指承包人按照到岗履职承诺安排满足办理施工许可手续相关要求的项目主要管理人员实际到施工现场就职履约的行为。</w:t>
      </w:r>
    </w:p>
    <w:p w14:paraId="1A90A94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1.1.1.16 项目法人：指具有民事权利能力和民事行为能力，依法独立享有民事权利和承担民事义务，以建设项目为目的，从事项目管理的机构、单位或组织。</w:t>
      </w:r>
    </w:p>
    <w:p w14:paraId="506C983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 合同当事人及其他相关方</w:t>
      </w:r>
    </w:p>
    <w:p w14:paraId="7B474D0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1.1.2.4 监理人：</w:t>
      </w:r>
    </w:p>
    <w:p w14:paraId="21066C5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3077F5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资质类别和等级：</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3CDCAA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C054D8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1.1.2.5 设计人：</w:t>
      </w:r>
    </w:p>
    <w:p w14:paraId="3222CAD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74FA33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资质类别和等级：</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4490A66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4342F7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1.1.3 工程和设备</w:t>
      </w:r>
    </w:p>
    <w:p w14:paraId="663156BA">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1.1.3.7 作为施工现场组成部分的其他场所包括：</w:t>
      </w:r>
      <w:r>
        <w:rPr>
          <w:rFonts w:hint="eastAsia" w:ascii="宋体" w:hAnsi="宋体" w:cs="宋体"/>
          <w:kern w:val="0"/>
          <w:sz w:val="24"/>
          <w:szCs w:val="24"/>
          <w:highlight w:val="none"/>
          <w:u w:val="single"/>
        </w:rPr>
        <w:t>永久占地、临时占地以及为修建临时工程而租用、占用的土地</w:t>
      </w:r>
      <w:r>
        <w:rPr>
          <w:rFonts w:hint="eastAsia" w:ascii="宋体" w:hAnsi="宋体" w:cs="宋体"/>
          <w:sz w:val="24"/>
          <w:szCs w:val="24"/>
          <w:highlight w:val="none"/>
        </w:rPr>
        <w:t>。</w:t>
      </w:r>
    </w:p>
    <w:p w14:paraId="6B65FC7D">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1.1.3.9 永久占地包括：</w:t>
      </w:r>
      <w:r>
        <w:rPr>
          <w:rFonts w:hint="eastAsia" w:ascii="宋体" w:hAnsi="宋体" w:cs="宋体"/>
          <w:kern w:val="0"/>
          <w:sz w:val="24"/>
          <w:szCs w:val="24"/>
          <w:highlight w:val="none"/>
          <w:u w:val="single"/>
        </w:rPr>
        <w:t>为实施合同工程而需要的一切永久占用的土地，即合同工程</w:t>
      </w:r>
      <w:r>
        <w:rPr>
          <w:rFonts w:hint="eastAsia" w:ascii="宋体" w:hAnsi="宋体" w:cs="宋体"/>
          <w:sz w:val="24"/>
          <w:szCs w:val="24"/>
          <w:highlight w:val="none"/>
          <w:u w:val="single"/>
        </w:rPr>
        <w:t>用地红线范围内的土地</w:t>
      </w:r>
      <w:r>
        <w:rPr>
          <w:rFonts w:hint="eastAsia" w:ascii="宋体" w:hAnsi="宋体" w:cs="宋体"/>
          <w:sz w:val="24"/>
          <w:szCs w:val="24"/>
          <w:highlight w:val="none"/>
        </w:rPr>
        <w:t>。</w:t>
      </w:r>
    </w:p>
    <w:p w14:paraId="5932357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1.1.3.10 临时占地包括：</w:t>
      </w:r>
      <w:r>
        <w:rPr>
          <w:rFonts w:hint="eastAsia" w:ascii="宋体" w:hAnsi="宋体" w:cs="宋体"/>
          <w:sz w:val="24"/>
          <w:szCs w:val="24"/>
          <w:highlight w:val="none"/>
          <w:u w:val="single"/>
        </w:rPr>
        <w:t>为实施合同工程而需要</w:t>
      </w:r>
      <w:r>
        <w:rPr>
          <w:rFonts w:hint="eastAsia" w:ascii="宋体" w:hAnsi="宋体" w:cs="宋体"/>
          <w:kern w:val="0"/>
          <w:sz w:val="24"/>
          <w:szCs w:val="24"/>
          <w:highlight w:val="none"/>
          <w:u w:val="single"/>
        </w:rPr>
        <w:t>的一切</w:t>
      </w:r>
      <w:r>
        <w:rPr>
          <w:rFonts w:hint="eastAsia" w:ascii="宋体" w:hAnsi="宋体" w:cs="宋体"/>
          <w:sz w:val="24"/>
          <w:szCs w:val="24"/>
          <w:highlight w:val="none"/>
          <w:u w:val="single"/>
        </w:rPr>
        <w:t>临时占用的土地，包括施工所用的临时便道等的临时出入道，以及生产（办公）、生活等临时设施用地</w:t>
      </w:r>
      <w:r>
        <w:rPr>
          <w:rFonts w:hint="eastAsia" w:ascii="宋体" w:hAnsi="宋体" w:cs="宋体"/>
          <w:sz w:val="24"/>
          <w:szCs w:val="24"/>
          <w:highlight w:val="none"/>
        </w:rPr>
        <w:t>。</w:t>
      </w:r>
    </w:p>
    <w:p w14:paraId="539456D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1.1.6 其他</w:t>
      </w:r>
    </w:p>
    <w:p w14:paraId="664AD2C6">
      <w:pPr>
        <w:spacing w:line="400" w:lineRule="exact"/>
        <w:ind w:firstLine="480" w:firstLineChars="200"/>
        <w:jc w:val="left"/>
        <w:rPr>
          <w:rFonts w:ascii="宋体" w:hAnsi="宋体" w:cs="宋体"/>
          <w:sz w:val="24"/>
          <w:szCs w:val="24"/>
          <w:highlight w:val="none"/>
        </w:rPr>
      </w:pPr>
      <w:bookmarkStart w:id="289" w:name="_Hlk528927262"/>
      <w:r>
        <w:rPr>
          <w:rFonts w:hint="eastAsia" w:ascii="宋体" w:hAnsi="宋体" w:cs="宋体"/>
          <w:sz w:val="24"/>
          <w:szCs w:val="24"/>
          <w:highlight w:val="none"/>
        </w:rPr>
        <w:t>本项补充1.1.6.2～1.1.6.3目：</w:t>
      </w:r>
    </w:p>
    <w:p w14:paraId="5907D4B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cs="宋体"/>
          <w:kern w:val="0"/>
          <w:sz w:val="24"/>
          <w:szCs w:val="24"/>
          <w:highlight w:val="none"/>
        </w:rPr>
        <w:t>违法行为</w:t>
      </w:r>
      <w:r>
        <w:rPr>
          <w:rFonts w:hint="eastAsia" w:ascii="宋体" w:hAnsi="宋体" w:cs="宋体"/>
          <w:sz w:val="24"/>
          <w:szCs w:val="24"/>
          <w:highlight w:val="none"/>
        </w:rPr>
        <w:t>。</w:t>
      </w:r>
    </w:p>
    <w:bookmarkEnd w:id="289"/>
    <w:p w14:paraId="521B943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15AB79E0">
      <w:pPr>
        <w:pStyle w:val="8"/>
        <w:spacing w:before="0" w:after="0" w:line="400" w:lineRule="exact"/>
        <w:ind w:left="848" w:hanging="848" w:hangingChars="352"/>
        <w:rPr>
          <w:rFonts w:ascii="宋体" w:hAnsi="宋体" w:cs="宋体"/>
          <w:sz w:val="24"/>
          <w:szCs w:val="24"/>
          <w:highlight w:val="none"/>
        </w:rPr>
      </w:pPr>
      <w:bookmarkStart w:id="290" w:name="_Toc532377323"/>
      <w:r>
        <w:rPr>
          <w:rFonts w:hint="eastAsia" w:ascii="宋体" w:hAnsi="宋体" w:cs="宋体"/>
          <w:sz w:val="24"/>
          <w:szCs w:val="24"/>
          <w:highlight w:val="none"/>
        </w:rPr>
        <w:t>1.4 标准和规范</w:t>
      </w:r>
      <w:bookmarkEnd w:id="290"/>
    </w:p>
    <w:p w14:paraId="5C6D5FA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1.4.1 适用于工程的标准规范包括：</w:t>
      </w:r>
    </w:p>
    <w:p w14:paraId="43D1CFB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（1）施工图所涉及的技术标准、规范、规程、图集等；</w:t>
      </w:r>
    </w:p>
    <w:p w14:paraId="1D3D54BA">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（2）国家、行业或重庆市与本工程有关的标准，以及相应的规范、规程等，当这些标准、规范、规程不一致时，以标准、规范、规程要求最高的为准。</w:t>
      </w:r>
    </w:p>
    <w:p w14:paraId="75806B1C">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038D2DF">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1.4.2 发包人提供国外标准、规范的名称：</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341C6CB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发包人提供国外标准、规范的份数：</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60B2C2C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发包人提供国外标准、规范的名称：</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6F3AE3A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1.4.3 发包人对工程的技术标准和功能要求的特殊要求：</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p w14:paraId="45C67507">
      <w:pPr>
        <w:pStyle w:val="8"/>
        <w:spacing w:before="0" w:after="0" w:line="400" w:lineRule="exact"/>
        <w:ind w:left="848" w:hanging="848" w:hangingChars="352"/>
        <w:rPr>
          <w:rFonts w:ascii="宋体" w:hAnsi="宋体" w:cs="宋体"/>
          <w:sz w:val="24"/>
          <w:szCs w:val="24"/>
          <w:highlight w:val="none"/>
        </w:rPr>
      </w:pPr>
      <w:bookmarkStart w:id="291" w:name="_Toc532377324"/>
      <w:r>
        <w:rPr>
          <w:rFonts w:hint="eastAsia" w:ascii="宋体" w:hAnsi="宋体" w:cs="宋体"/>
          <w:sz w:val="24"/>
          <w:szCs w:val="24"/>
          <w:highlight w:val="none"/>
        </w:rPr>
        <w:t>1.5 合同文件的优先顺序</w:t>
      </w:r>
      <w:bookmarkEnd w:id="291"/>
    </w:p>
    <w:p w14:paraId="2E9D324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合同文件组成及优先顺序为：</w:t>
      </w:r>
      <w:r>
        <w:rPr>
          <w:rFonts w:hint="eastAsia" w:ascii="宋体" w:hAnsi="宋体" w:cs="宋体"/>
          <w:sz w:val="24"/>
          <w:szCs w:val="24"/>
          <w:highlight w:val="none"/>
          <w:u w:val="single"/>
        </w:rPr>
        <w:t>按照合同协议书</w:t>
      </w:r>
      <w:r>
        <w:rPr>
          <w:rFonts w:hint="eastAsia" w:ascii="宋体" w:hAnsi="宋体" w:cs="宋体"/>
          <w:bCs/>
          <w:sz w:val="24"/>
          <w:szCs w:val="24"/>
          <w:highlight w:val="none"/>
          <w:u w:val="single"/>
        </w:rPr>
        <w:t>〔</w:t>
      </w:r>
      <w:r>
        <w:rPr>
          <w:rFonts w:hint="eastAsia" w:ascii="宋体" w:hAnsi="宋体" w:cs="宋体"/>
          <w:sz w:val="24"/>
          <w:szCs w:val="24"/>
          <w:highlight w:val="none"/>
          <w:u w:val="single"/>
        </w:rPr>
        <w:t>第六条</w:t>
      </w:r>
      <w:r>
        <w:rPr>
          <w:rFonts w:hint="eastAsia" w:ascii="宋体" w:hAnsi="宋体" w:cs="宋体"/>
          <w:bCs/>
          <w:sz w:val="24"/>
          <w:szCs w:val="24"/>
          <w:highlight w:val="none"/>
          <w:u w:val="single"/>
        </w:rPr>
        <w:t>〕</w:t>
      </w:r>
      <w:r>
        <w:rPr>
          <w:rFonts w:hint="eastAsia" w:ascii="宋体" w:hAnsi="宋体" w:cs="宋体"/>
          <w:sz w:val="24"/>
          <w:szCs w:val="24"/>
          <w:highlight w:val="none"/>
          <w:u w:val="single"/>
        </w:rPr>
        <w:t>约定执行</w:t>
      </w:r>
      <w:r>
        <w:rPr>
          <w:rFonts w:hint="eastAsia" w:ascii="宋体" w:hAnsi="宋体" w:cs="宋体"/>
          <w:sz w:val="24"/>
          <w:szCs w:val="24"/>
          <w:highlight w:val="none"/>
        </w:rPr>
        <w:t>。</w:t>
      </w:r>
    </w:p>
    <w:p w14:paraId="1DBE261F">
      <w:pPr>
        <w:pStyle w:val="8"/>
        <w:spacing w:before="0" w:after="0" w:line="400" w:lineRule="exact"/>
        <w:ind w:left="848" w:hanging="848" w:hangingChars="352"/>
        <w:rPr>
          <w:rFonts w:ascii="宋体" w:hAnsi="宋体" w:cs="宋体"/>
          <w:sz w:val="24"/>
          <w:szCs w:val="24"/>
          <w:highlight w:val="none"/>
        </w:rPr>
      </w:pPr>
      <w:bookmarkStart w:id="292" w:name="_Toc532377325"/>
      <w:r>
        <w:rPr>
          <w:rFonts w:hint="eastAsia" w:ascii="宋体" w:hAnsi="宋体" w:cs="宋体"/>
          <w:sz w:val="24"/>
          <w:szCs w:val="24"/>
          <w:highlight w:val="none"/>
        </w:rPr>
        <w:t>1.6 图纸和承包人文件</w:t>
      </w:r>
      <w:bookmarkEnd w:id="292"/>
    </w:p>
    <w:p w14:paraId="6C6A5DB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1.6.1 图纸的提供和交底</w:t>
      </w:r>
    </w:p>
    <w:p w14:paraId="11A8461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发包人向承包人提供图纸的期限：</w:t>
      </w:r>
      <w:r>
        <w:rPr>
          <w:rFonts w:hint="eastAsia" w:ascii="宋体" w:hAnsi="宋体" w:cs="宋体"/>
          <w:sz w:val="24"/>
          <w:szCs w:val="24"/>
          <w:highlight w:val="none"/>
          <w:u w:val="single"/>
        </w:rPr>
        <w:t>通用合同条款第7.3.2款</w:t>
      </w:r>
      <w:r>
        <w:rPr>
          <w:rFonts w:hint="eastAsia" w:ascii="宋体" w:hAnsi="宋体" w:cs="宋体"/>
          <w:bCs/>
          <w:sz w:val="24"/>
          <w:szCs w:val="24"/>
          <w:highlight w:val="none"/>
          <w:u w:val="single"/>
        </w:rPr>
        <w:t>〔</w:t>
      </w:r>
      <w:r>
        <w:rPr>
          <w:rFonts w:hint="eastAsia" w:ascii="宋体" w:hAnsi="宋体" w:cs="宋体"/>
          <w:sz w:val="24"/>
          <w:szCs w:val="24"/>
          <w:highlight w:val="none"/>
          <w:u w:val="single"/>
        </w:rPr>
        <w:t>开工通知</w:t>
      </w:r>
      <w:r>
        <w:rPr>
          <w:rFonts w:hint="eastAsia" w:ascii="宋体" w:hAnsi="宋体" w:cs="宋体"/>
          <w:bCs/>
          <w:sz w:val="24"/>
          <w:szCs w:val="24"/>
          <w:highlight w:val="none"/>
          <w:u w:val="single"/>
        </w:rPr>
        <w:t>〕</w:t>
      </w:r>
      <w:r>
        <w:rPr>
          <w:rFonts w:hint="eastAsia" w:ascii="宋体" w:hAnsi="宋体" w:cs="宋体"/>
          <w:sz w:val="24"/>
          <w:szCs w:val="24"/>
          <w:highlight w:val="none"/>
          <w:u w:val="single"/>
        </w:rPr>
        <w:t>载明的开工日期前14天</w:t>
      </w:r>
      <w:r>
        <w:rPr>
          <w:rFonts w:hint="eastAsia" w:ascii="宋体" w:hAnsi="宋体" w:cs="宋体"/>
          <w:sz w:val="24"/>
          <w:szCs w:val="24"/>
          <w:highlight w:val="none"/>
        </w:rPr>
        <w:t>；</w:t>
      </w:r>
    </w:p>
    <w:p w14:paraId="49D501A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发包人向承包人提供图纸的数量：</w:t>
      </w:r>
      <w:r>
        <w:rPr>
          <w:rFonts w:hint="eastAsia" w:ascii="宋体" w:hAnsi="宋体" w:cs="宋体"/>
          <w:sz w:val="24"/>
          <w:szCs w:val="24"/>
          <w:highlight w:val="none"/>
          <w:u w:val="single"/>
        </w:rPr>
        <w:t xml:space="preserve"> 2 套</w:t>
      </w:r>
      <w:r>
        <w:rPr>
          <w:rFonts w:hint="eastAsia" w:ascii="宋体" w:hAnsi="宋体" w:cs="宋体"/>
          <w:sz w:val="24"/>
          <w:szCs w:val="24"/>
          <w:highlight w:val="none"/>
        </w:rPr>
        <w:t xml:space="preserve">； </w:t>
      </w:r>
    </w:p>
    <w:p w14:paraId="40F86DF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发包人向承包人提供图纸的内容：</w:t>
      </w:r>
      <w:r>
        <w:rPr>
          <w:rFonts w:hint="eastAsia" w:ascii="宋体" w:hAnsi="宋体" w:cs="宋体"/>
          <w:sz w:val="24"/>
          <w:szCs w:val="24"/>
          <w:highlight w:val="none"/>
          <w:u w:val="single"/>
        </w:rPr>
        <w:t>工程承包范围内工程的施工图设计文件</w:t>
      </w:r>
      <w:r>
        <w:rPr>
          <w:rFonts w:hint="eastAsia" w:ascii="宋体" w:hAnsi="宋体" w:cs="宋体"/>
          <w:sz w:val="24"/>
          <w:szCs w:val="24"/>
          <w:highlight w:val="none"/>
        </w:rPr>
        <w:t>；</w:t>
      </w:r>
    </w:p>
    <w:p w14:paraId="152C72E8">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发包人组织承包人和设计人进行图纸会审和设计交底的时间：</w:t>
      </w:r>
      <w:r>
        <w:rPr>
          <w:rFonts w:hint="eastAsia" w:ascii="宋体" w:hAnsi="宋体" w:cs="宋体"/>
          <w:sz w:val="24"/>
          <w:szCs w:val="24"/>
          <w:highlight w:val="none"/>
          <w:u w:val="single"/>
        </w:rPr>
        <w:t>提供施工图后7天内</w:t>
      </w:r>
      <w:r>
        <w:rPr>
          <w:rFonts w:hint="eastAsia" w:ascii="宋体" w:hAnsi="宋体" w:cs="宋体"/>
          <w:sz w:val="24"/>
          <w:szCs w:val="24"/>
          <w:highlight w:val="none"/>
        </w:rPr>
        <w:t>。</w:t>
      </w:r>
    </w:p>
    <w:p w14:paraId="3478E154">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承包人可以书面方式向发包人申请进行紧急的设计交底，发包人认为确有必要且条件许可时，应尽快组织实施承包人申请的设计交底。</w:t>
      </w:r>
    </w:p>
    <w:p w14:paraId="5F9A825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1.6.2 图纸的错误</w:t>
      </w:r>
    </w:p>
    <w:p w14:paraId="428B594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承包人在收到发包人提供的图纸后，承包人应对收到的图纸进行仔细核查，并在开始施工前，将发现的图纸存在的差错、遗漏或缺陷及时通知发包人，发包人应在收到报送的通知后作出决定。</w:t>
      </w:r>
    </w:p>
    <w:p w14:paraId="7E26F464">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承包人不得利用图纸的差错、遗漏或缺陷，从中获得不正当的利益。</w:t>
      </w:r>
    </w:p>
    <w:p w14:paraId="6E7E480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1.6.4 承包人文件</w:t>
      </w:r>
    </w:p>
    <w:p w14:paraId="032B211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需要由承包人提供的书面文件，包括：</w:t>
      </w:r>
      <w:r>
        <w:rPr>
          <w:rFonts w:hint="eastAsia" w:ascii="宋体" w:hAnsi="宋体" w:cs="宋体"/>
          <w:sz w:val="24"/>
          <w:szCs w:val="24"/>
          <w:highlight w:val="none"/>
          <w:u w:val="single"/>
        </w:rPr>
        <w:t>施工组织设计、专项施工方案、危险性较大分部分项工程施工方案（如有）、安全应急方案、进度计划、报表及计划、竣工资料及施工过程中因工程变更需要报送的施工方案、施工过程中涉及工程价款变更的相关资料、完整的竣工结算资料等</w:t>
      </w:r>
      <w:r>
        <w:rPr>
          <w:rFonts w:hint="eastAsia" w:ascii="宋体" w:hAnsi="宋体" w:cs="宋体"/>
          <w:sz w:val="24"/>
          <w:szCs w:val="24"/>
          <w:highlight w:val="none"/>
        </w:rPr>
        <w:t>。</w:t>
      </w:r>
    </w:p>
    <w:p w14:paraId="26A2CEE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承包人提供文件的期限、数量：</w:t>
      </w:r>
    </w:p>
    <w:p w14:paraId="5DF0B058">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w:t>
      </w:r>
      <w:r>
        <w:rPr>
          <w:rFonts w:hint="eastAsia" w:ascii="宋体" w:hAnsi="宋体" w:cs="宋体"/>
          <w:sz w:val="24"/>
          <w:szCs w:val="24"/>
          <w:highlight w:val="none"/>
          <w:u w:val="single"/>
        </w:rPr>
        <w:t>图纸会审及设计交底后7天内，向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发包人审批同意后执行。承包人应接受发包人对其提交的施工组织设计和专项施工方案中不合理的工期安排及技术措施、方案的修改意见，并修改完善后重新报批，直至获得批准</w:t>
      </w:r>
      <w:r>
        <w:rPr>
          <w:rFonts w:hint="eastAsia" w:ascii="宋体" w:hAnsi="宋体" w:cs="宋体"/>
          <w:sz w:val="24"/>
          <w:szCs w:val="24"/>
          <w:highlight w:val="none"/>
        </w:rPr>
        <w:t>。</w:t>
      </w:r>
    </w:p>
    <w:p w14:paraId="27152B1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每月25日前报送月工程进度完成报表</w:t>
      </w:r>
      <w:r>
        <w:rPr>
          <w:rFonts w:hint="eastAsia" w:ascii="宋体" w:hAnsi="宋体" w:cs="宋体"/>
          <w:sz w:val="24"/>
          <w:szCs w:val="24"/>
          <w:highlight w:val="none"/>
        </w:rPr>
        <w:t>。</w:t>
      </w:r>
    </w:p>
    <w:p w14:paraId="3F9C99A9">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（3）合同另有约定的，按照其约定。</w:t>
      </w:r>
    </w:p>
    <w:p w14:paraId="70EA4413">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承包人提供的文件的形式：投标文件以电子文档为准，其他文件以书面文件为准。发包人审批承包人文件的期限：</w:t>
      </w:r>
      <w:r>
        <w:rPr>
          <w:rFonts w:hint="eastAsia" w:ascii="宋体" w:hAnsi="宋体" w:cs="宋体"/>
          <w:sz w:val="24"/>
          <w:szCs w:val="24"/>
          <w:highlight w:val="none"/>
          <w:u w:val="single"/>
        </w:rPr>
        <w:t>收到施工组织设计和工程总体进度计划及当年年度施工进度计划后7天内；合同另有约定的，从其约定</w:t>
      </w:r>
      <w:r>
        <w:rPr>
          <w:rFonts w:hint="eastAsia" w:ascii="宋体" w:hAnsi="宋体" w:cs="宋体"/>
          <w:sz w:val="24"/>
          <w:szCs w:val="24"/>
          <w:highlight w:val="none"/>
        </w:rPr>
        <w:t>。</w:t>
      </w:r>
    </w:p>
    <w:p w14:paraId="133947B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承包人提供的文件的费用：</w:t>
      </w:r>
      <w:r>
        <w:rPr>
          <w:rFonts w:hint="eastAsia" w:ascii="宋体" w:hAnsi="宋体" w:cs="宋体"/>
          <w:sz w:val="24"/>
          <w:szCs w:val="24"/>
          <w:highlight w:val="none"/>
          <w:u w:val="single"/>
        </w:rPr>
        <w:t>由承包人承担</w:t>
      </w:r>
      <w:r>
        <w:rPr>
          <w:rFonts w:hint="eastAsia" w:ascii="宋体" w:hAnsi="宋体" w:cs="宋体"/>
          <w:sz w:val="24"/>
          <w:szCs w:val="24"/>
          <w:highlight w:val="none"/>
        </w:rPr>
        <w:t>。</w:t>
      </w:r>
    </w:p>
    <w:p w14:paraId="70F2F12D">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发包人审批承包人文件的期限：</w:t>
      </w:r>
      <w:r>
        <w:rPr>
          <w:rFonts w:hint="eastAsia" w:ascii="宋体" w:hAnsi="宋体" w:cs="宋体"/>
          <w:sz w:val="24"/>
          <w:szCs w:val="24"/>
          <w:highlight w:val="none"/>
          <w:u w:val="single"/>
        </w:rPr>
        <w:t>收到后14天内；合同另有约定的，从其约定</w:t>
      </w:r>
      <w:r>
        <w:rPr>
          <w:rFonts w:hint="eastAsia" w:ascii="宋体" w:hAnsi="宋体" w:cs="宋体"/>
          <w:sz w:val="24"/>
          <w:szCs w:val="24"/>
          <w:highlight w:val="none"/>
        </w:rPr>
        <w:t>。</w:t>
      </w:r>
    </w:p>
    <w:p w14:paraId="7A5630A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发包人的修改意见和审批，不免除或减轻承包人对该工作、工程、材料、工程设备等应承担的责任和义务</w:t>
      </w:r>
      <w:r>
        <w:rPr>
          <w:rFonts w:hint="eastAsia" w:ascii="宋体" w:hAnsi="宋体" w:cs="宋体"/>
          <w:sz w:val="24"/>
          <w:szCs w:val="24"/>
          <w:highlight w:val="none"/>
        </w:rPr>
        <w:t>。</w:t>
      </w:r>
    </w:p>
    <w:p w14:paraId="5C8ACEE6">
      <w:pPr>
        <w:pStyle w:val="8"/>
        <w:spacing w:before="0" w:after="0" w:line="400" w:lineRule="exact"/>
        <w:ind w:left="848" w:hanging="848" w:hangingChars="352"/>
        <w:rPr>
          <w:rFonts w:ascii="宋体" w:hAnsi="宋体" w:cs="宋体"/>
          <w:sz w:val="24"/>
          <w:szCs w:val="24"/>
          <w:highlight w:val="none"/>
        </w:rPr>
      </w:pPr>
      <w:bookmarkStart w:id="293" w:name="_Toc532377326"/>
      <w:r>
        <w:rPr>
          <w:rFonts w:hint="eastAsia" w:ascii="宋体" w:hAnsi="宋体" w:cs="宋体"/>
          <w:sz w:val="24"/>
          <w:szCs w:val="24"/>
          <w:highlight w:val="none"/>
        </w:rPr>
        <w:t>1.7 联络</w:t>
      </w:r>
      <w:bookmarkEnd w:id="293"/>
    </w:p>
    <w:p w14:paraId="487A4130">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1.7.1 发包人和承包人应当在</w:t>
      </w:r>
      <w:r>
        <w:rPr>
          <w:rFonts w:hint="eastAsia" w:ascii="宋体" w:hAnsi="宋体" w:cs="宋体"/>
          <w:sz w:val="24"/>
          <w:szCs w:val="24"/>
          <w:highlight w:val="none"/>
          <w:u w:val="single"/>
        </w:rPr>
        <w:t xml:space="preserve"> 1 </w:t>
      </w:r>
      <w:r>
        <w:rPr>
          <w:rFonts w:hint="eastAsia" w:ascii="宋体" w:hAnsi="宋体" w:cs="宋体"/>
          <w:kern w:val="0"/>
          <w:sz w:val="24"/>
          <w:szCs w:val="24"/>
          <w:highlight w:val="none"/>
        </w:rPr>
        <w:t>天内将与合同有关的通知、批准、证明、证书、指示、指令、要求、请求、同意、意见、确定和决定等书面函件送达对方当事人，并办理书面签收手续。</w:t>
      </w:r>
    </w:p>
    <w:p w14:paraId="0B34B0FA">
      <w:pPr>
        <w:tabs>
          <w:tab w:val="left" w:pos="7513"/>
        </w:tabs>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1.7.2 发包人接收文件地点：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7F0BAA4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发包人指定的接收人：</w:t>
      </w:r>
      <w:bookmarkStart w:id="294" w:name="_Hlk528493983"/>
      <w:bookmarkEnd w:id="294"/>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71C3480">
      <w:pPr>
        <w:tabs>
          <w:tab w:val="left" w:pos="7513"/>
        </w:tabs>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承包人接收文件地点：</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998BB59">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承包人指定的接收人：</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2C58F95B">
      <w:pPr>
        <w:tabs>
          <w:tab w:val="left" w:pos="7371"/>
        </w:tabs>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监理人接收文件地点：</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2741FCFF">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监理人指定的接收人：</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2A57F89C">
      <w:pPr>
        <w:pStyle w:val="8"/>
        <w:spacing w:before="0" w:after="0" w:line="400" w:lineRule="exact"/>
        <w:ind w:left="848" w:hanging="848" w:hangingChars="352"/>
        <w:rPr>
          <w:rFonts w:ascii="宋体" w:hAnsi="宋体" w:cs="宋体"/>
          <w:sz w:val="24"/>
          <w:szCs w:val="24"/>
          <w:highlight w:val="none"/>
        </w:rPr>
      </w:pPr>
      <w:bookmarkStart w:id="295" w:name="_Toc532377327"/>
      <w:r>
        <w:rPr>
          <w:rFonts w:hint="eastAsia" w:ascii="宋体" w:hAnsi="宋体" w:cs="宋体"/>
          <w:sz w:val="24"/>
          <w:szCs w:val="24"/>
          <w:highlight w:val="none"/>
        </w:rPr>
        <w:t>1.8 严禁贿赂</w:t>
      </w:r>
      <w:bookmarkEnd w:id="295"/>
    </w:p>
    <w:p w14:paraId="526C242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本款补充以下内容：</w:t>
      </w:r>
    </w:p>
    <w:p w14:paraId="21500E7C">
      <w:pPr>
        <w:spacing w:line="400" w:lineRule="exact"/>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在合同执行过程中，合同当事人应严格履行附件5《廉洁从业协议》。</w:t>
      </w:r>
    </w:p>
    <w:p w14:paraId="0A67860E">
      <w:pPr>
        <w:pStyle w:val="8"/>
        <w:spacing w:before="0" w:after="0" w:line="400" w:lineRule="exact"/>
        <w:ind w:left="848" w:hanging="848" w:hangingChars="352"/>
        <w:rPr>
          <w:rFonts w:ascii="宋体" w:hAnsi="宋体" w:cs="宋体"/>
          <w:sz w:val="24"/>
          <w:szCs w:val="24"/>
          <w:highlight w:val="none"/>
        </w:rPr>
      </w:pPr>
      <w:bookmarkStart w:id="296" w:name="_Toc532377328"/>
      <w:r>
        <w:rPr>
          <w:rFonts w:hint="eastAsia" w:ascii="宋体" w:hAnsi="宋体" w:cs="宋体"/>
          <w:sz w:val="24"/>
          <w:szCs w:val="24"/>
          <w:highlight w:val="none"/>
        </w:rPr>
        <w:t>1.10 交通运输</w:t>
      </w:r>
      <w:bookmarkEnd w:id="296"/>
    </w:p>
    <w:p w14:paraId="2909D30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bookmarkStart w:id="297" w:name="_Toc300934943"/>
      <w:bookmarkStart w:id="298" w:name="_Toc304295521"/>
      <w:bookmarkStart w:id="299" w:name="_Toc312677986"/>
      <w:bookmarkStart w:id="300" w:name="_Toc303539100"/>
      <w:bookmarkStart w:id="301" w:name="_Toc318581155"/>
      <w:r>
        <w:rPr>
          <w:rFonts w:hint="eastAsia" w:ascii="宋体" w:hAnsi="宋体" w:cs="宋体"/>
          <w:sz w:val="24"/>
          <w:szCs w:val="24"/>
          <w:highlight w:val="none"/>
        </w:rPr>
        <w:t>.10.1 出入现场的权利</w:t>
      </w:r>
    </w:p>
    <w:p w14:paraId="4D1967D1">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关于出入现场的权利的约定：</w:t>
      </w:r>
      <w:r>
        <w:rPr>
          <w:rFonts w:hint="eastAsia" w:ascii="宋体" w:hAnsi="宋体" w:cs="宋体"/>
          <w:sz w:val="24"/>
          <w:szCs w:val="24"/>
          <w:highlight w:val="none"/>
          <w:u w:val="single"/>
        </w:rPr>
        <w:t>由承包人负责现场出入的管理，发包人及其他协作单位有权进入</w:t>
      </w:r>
      <w:r>
        <w:rPr>
          <w:rFonts w:hint="eastAsia" w:ascii="宋体" w:hAnsi="宋体" w:cs="宋体"/>
          <w:sz w:val="24"/>
          <w:szCs w:val="24"/>
          <w:highlight w:val="none"/>
        </w:rPr>
        <w:t>。</w:t>
      </w:r>
    </w:p>
    <w:bookmarkEnd w:id="297"/>
    <w:bookmarkEnd w:id="298"/>
    <w:bookmarkEnd w:id="299"/>
    <w:bookmarkEnd w:id="300"/>
    <w:bookmarkEnd w:id="301"/>
    <w:p w14:paraId="57409F5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1.10.2 场外交通</w:t>
      </w:r>
    </w:p>
    <w:p w14:paraId="084180D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承包人应遵守有关交通法规，执行有关道路限速、限行、禁止超载的规定，并配合交通管理部门的监督和检查。场外交通以施工场地移交时的现状为准。</w:t>
      </w:r>
    </w:p>
    <w:p w14:paraId="13802EC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bookmarkStart w:id="302" w:name="_Toc300934944"/>
      <w:bookmarkStart w:id="303" w:name="_Toc303539101"/>
      <w:bookmarkStart w:id="304" w:name="_Toc318581156"/>
      <w:bookmarkStart w:id="305" w:name="_Toc304295522"/>
      <w:bookmarkStart w:id="306" w:name="_Toc312677987"/>
      <w:r>
        <w:rPr>
          <w:rFonts w:hint="eastAsia" w:ascii="宋体" w:hAnsi="宋体" w:cs="宋体"/>
          <w:sz w:val="24"/>
          <w:szCs w:val="24"/>
          <w:highlight w:val="none"/>
        </w:rPr>
        <w:t>.10.3 场内交通</w:t>
      </w:r>
    </w:p>
    <w:p w14:paraId="118F5EF5">
      <w:pPr>
        <w:spacing w:line="400" w:lineRule="exact"/>
        <w:ind w:firstLine="480" w:firstLineChars="200"/>
        <w:jc w:val="left"/>
        <w:rPr>
          <w:rFonts w:ascii="宋体" w:hAnsi="宋体" w:cs="宋体"/>
          <w:sz w:val="24"/>
          <w:szCs w:val="24"/>
          <w:highlight w:val="none"/>
          <w:u w:val="single"/>
        </w:rPr>
      </w:pPr>
      <w:r>
        <w:rPr>
          <w:rFonts w:hint="eastAsia" w:ascii="宋体" w:hAnsi="宋体" w:cs="宋体"/>
          <w:kern w:val="0"/>
          <w:sz w:val="24"/>
          <w:szCs w:val="24"/>
          <w:highlight w:val="none"/>
        </w:rPr>
        <w:t>关于场外交通和场内交通的边界的约定：</w:t>
      </w:r>
      <w:r>
        <w:rPr>
          <w:rFonts w:hint="eastAsia" w:ascii="宋体" w:hAnsi="宋体" w:cs="宋体"/>
          <w:sz w:val="24"/>
          <w:szCs w:val="24"/>
          <w:highlight w:val="none"/>
          <w:u w:val="single"/>
        </w:rPr>
        <w:t>以合同工程用地红线为界，用地红线外为场外交通，用地红线范围内为场内交通（场外道路穿越场内的除外）</w:t>
      </w:r>
      <w:r>
        <w:rPr>
          <w:rFonts w:hint="eastAsia" w:ascii="宋体" w:hAnsi="宋体" w:cs="宋体"/>
          <w:sz w:val="24"/>
          <w:szCs w:val="24"/>
          <w:highlight w:val="none"/>
        </w:rPr>
        <w:t>。</w:t>
      </w:r>
    </w:p>
    <w:p w14:paraId="2938159A">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关于发包人向承包人免费提供满足工程施工需要的场内道路和交通设施的约定：</w:t>
      </w:r>
      <w:r>
        <w:rPr>
          <w:rFonts w:hint="eastAsia" w:ascii="宋体" w:hAnsi="宋体" w:cs="宋体"/>
          <w:kern w:val="0"/>
          <w:sz w:val="24"/>
          <w:szCs w:val="24"/>
          <w:highlight w:val="none"/>
          <w:u w:val="single"/>
        </w:rPr>
        <w:t>以施工场地移交时的现状为准</w:t>
      </w:r>
      <w:r>
        <w:rPr>
          <w:rFonts w:hint="eastAsia" w:ascii="宋体" w:hAnsi="宋体" w:cs="宋体"/>
          <w:sz w:val="24"/>
          <w:szCs w:val="24"/>
          <w:highlight w:val="none"/>
        </w:rPr>
        <w:t>。</w:t>
      </w:r>
    </w:p>
    <w:bookmarkEnd w:id="302"/>
    <w:bookmarkEnd w:id="303"/>
    <w:bookmarkEnd w:id="304"/>
    <w:bookmarkEnd w:id="305"/>
    <w:bookmarkEnd w:id="306"/>
    <w:p w14:paraId="1F7B804B">
      <w:pPr>
        <w:spacing w:line="400" w:lineRule="exact"/>
        <w:ind w:firstLine="480" w:firstLineChars="200"/>
        <w:jc w:val="left"/>
        <w:rPr>
          <w:rFonts w:ascii="宋体" w:hAnsi="宋体" w:cs="宋体"/>
          <w:sz w:val="24"/>
          <w:szCs w:val="24"/>
          <w:highlight w:val="none"/>
        </w:rPr>
      </w:pPr>
      <w:bookmarkStart w:id="307" w:name="_Toc318581157"/>
      <w:r>
        <w:rPr>
          <w:rFonts w:hint="eastAsia" w:ascii="宋体" w:hAnsi="宋体" w:cs="宋体"/>
          <w:sz w:val="24"/>
          <w:szCs w:val="24"/>
          <w:highlight w:val="none"/>
        </w:rPr>
        <w:t>1.10.4 超大件和超重件的运输</w:t>
      </w:r>
    </w:p>
    <w:p w14:paraId="110E887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运输超大件或超重件所需的道路和桥梁临时加固改造费用和其他有关费用由</w:t>
      </w:r>
      <w:r>
        <w:rPr>
          <w:rFonts w:hint="eastAsia" w:ascii="宋体" w:hAnsi="宋体" w:cs="宋体"/>
          <w:sz w:val="24"/>
          <w:szCs w:val="24"/>
          <w:highlight w:val="none"/>
          <w:u w:val="single"/>
        </w:rPr>
        <w:t>发包人</w:t>
      </w:r>
      <w:r>
        <w:rPr>
          <w:rFonts w:hint="eastAsia" w:ascii="宋体" w:hAnsi="宋体" w:cs="宋体"/>
          <w:sz w:val="24"/>
          <w:szCs w:val="24"/>
          <w:highlight w:val="none"/>
        </w:rPr>
        <w:t>承担。</w:t>
      </w:r>
    </w:p>
    <w:bookmarkEnd w:id="307"/>
    <w:p w14:paraId="5695AD78">
      <w:pPr>
        <w:pStyle w:val="8"/>
        <w:spacing w:before="0" w:after="0" w:line="400" w:lineRule="exact"/>
        <w:ind w:left="848" w:hanging="848" w:hangingChars="352"/>
        <w:rPr>
          <w:rFonts w:ascii="宋体" w:hAnsi="宋体" w:cs="宋体"/>
          <w:sz w:val="24"/>
          <w:szCs w:val="24"/>
          <w:highlight w:val="none"/>
        </w:rPr>
      </w:pPr>
      <w:bookmarkStart w:id="308" w:name="_Toc532377329"/>
      <w:r>
        <w:rPr>
          <w:rFonts w:hint="eastAsia" w:ascii="宋体" w:hAnsi="宋体" w:cs="宋体"/>
          <w:sz w:val="24"/>
          <w:szCs w:val="24"/>
          <w:highlight w:val="none"/>
        </w:rPr>
        <w:t>1.11 知识产权</w:t>
      </w:r>
      <w:bookmarkEnd w:id="308"/>
    </w:p>
    <w:p w14:paraId="3142FD6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szCs w:val="24"/>
          <w:highlight w:val="none"/>
          <w:u w:val="single"/>
        </w:rPr>
        <w:t>属于发包人</w:t>
      </w:r>
      <w:r>
        <w:rPr>
          <w:rFonts w:hint="eastAsia" w:ascii="宋体" w:hAnsi="宋体" w:cs="宋体"/>
          <w:sz w:val="24"/>
          <w:szCs w:val="24"/>
          <w:highlight w:val="none"/>
        </w:rPr>
        <w:t>。</w:t>
      </w:r>
    </w:p>
    <w:p w14:paraId="4ADC13D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关于发包人提供的上述文件的使用限制的要求：</w:t>
      </w:r>
      <w:r>
        <w:rPr>
          <w:rFonts w:hint="eastAsia" w:ascii="宋体" w:hAnsi="宋体" w:cs="宋体"/>
          <w:sz w:val="24"/>
          <w:szCs w:val="24"/>
          <w:highlight w:val="none"/>
          <w:u w:val="single"/>
        </w:rPr>
        <w:t>按通用合同条款执行</w:t>
      </w:r>
      <w:r>
        <w:rPr>
          <w:rFonts w:hint="eastAsia" w:ascii="宋体" w:hAnsi="宋体" w:cs="宋体"/>
          <w:sz w:val="24"/>
          <w:szCs w:val="24"/>
          <w:highlight w:val="none"/>
        </w:rPr>
        <w:t>。</w:t>
      </w:r>
    </w:p>
    <w:p w14:paraId="33D7955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1.11.4 承包人在施工过程中所采用的专利、专有技术、技术秘密的使用费的承担方式：</w:t>
      </w:r>
      <w:r>
        <w:rPr>
          <w:rFonts w:hint="eastAsia" w:ascii="宋体" w:hAnsi="宋体" w:cs="宋体"/>
          <w:sz w:val="24"/>
          <w:szCs w:val="24"/>
          <w:highlight w:val="none"/>
          <w:u w:val="single"/>
        </w:rPr>
        <w:t>承包人自行考虑，包含在签约合同价中。</w:t>
      </w:r>
      <w:r>
        <w:rPr>
          <w:rFonts w:hint="eastAsia" w:ascii="宋体" w:hAnsi="宋体" w:cs="宋体"/>
          <w:sz w:val="24"/>
          <w:szCs w:val="24"/>
          <w:highlight w:val="none"/>
        </w:rPr>
        <w:t>。</w:t>
      </w:r>
    </w:p>
    <w:p w14:paraId="391A8D4D">
      <w:pPr>
        <w:pStyle w:val="8"/>
        <w:spacing w:before="0" w:after="0" w:line="400" w:lineRule="exact"/>
        <w:ind w:left="848" w:hanging="848" w:hangingChars="352"/>
        <w:rPr>
          <w:rFonts w:ascii="宋体" w:hAnsi="宋体" w:cs="宋体"/>
          <w:sz w:val="24"/>
          <w:szCs w:val="24"/>
          <w:highlight w:val="none"/>
        </w:rPr>
      </w:pPr>
      <w:bookmarkStart w:id="309" w:name="_Toc532377330"/>
      <w:r>
        <w:rPr>
          <w:rFonts w:hint="eastAsia" w:ascii="宋体" w:hAnsi="宋体" w:cs="宋体"/>
          <w:sz w:val="24"/>
          <w:szCs w:val="24"/>
          <w:highlight w:val="none"/>
        </w:rPr>
        <w:t>1.13工程量清单错误的修正</w:t>
      </w:r>
      <w:bookmarkEnd w:id="309"/>
    </w:p>
    <w:p w14:paraId="2B38B85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出现工程量清单错误时，责任和权利划分：</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64A5E10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出现工程量清单错误时，是否调整合同价格：</w:t>
      </w:r>
      <w:r>
        <w:rPr>
          <w:rFonts w:hint="eastAsia" w:ascii="宋体" w:hAnsi="宋体" w:cs="宋体"/>
          <w:sz w:val="24"/>
          <w:szCs w:val="24"/>
          <w:highlight w:val="none"/>
          <w:u w:val="single"/>
        </w:rPr>
        <w:t>按结算原则执行</w:t>
      </w:r>
      <w:r>
        <w:rPr>
          <w:rFonts w:hint="eastAsia" w:ascii="宋体" w:hAnsi="宋体" w:cs="宋体"/>
          <w:kern w:val="0"/>
          <w:sz w:val="24"/>
          <w:szCs w:val="24"/>
          <w:highlight w:val="none"/>
        </w:rPr>
        <w:t>。</w:t>
      </w:r>
    </w:p>
    <w:p w14:paraId="20314A0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允许调整合同价格的工程量偏差范围：</w:t>
      </w:r>
      <w:r>
        <w:rPr>
          <w:rFonts w:hint="eastAsia" w:ascii="宋体" w:hAnsi="宋体" w:cs="宋体"/>
          <w:sz w:val="24"/>
          <w:szCs w:val="24"/>
          <w:highlight w:val="none"/>
          <w:u w:val="single"/>
        </w:rPr>
        <w:t>按结算原则执行</w:t>
      </w:r>
      <w:r>
        <w:rPr>
          <w:rFonts w:hint="eastAsia" w:ascii="宋体" w:hAnsi="宋体" w:cs="宋体"/>
          <w:sz w:val="24"/>
          <w:szCs w:val="24"/>
          <w:highlight w:val="none"/>
        </w:rPr>
        <w:t>。</w:t>
      </w:r>
    </w:p>
    <w:p w14:paraId="3F70D874">
      <w:pPr>
        <w:pStyle w:val="7"/>
        <w:spacing w:before="0" w:after="0" w:line="400" w:lineRule="exact"/>
        <w:rPr>
          <w:rFonts w:ascii="宋体" w:hAnsi="宋体" w:eastAsia="宋体" w:cs="宋体"/>
          <w:bCs/>
          <w:sz w:val="24"/>
          <w:szCs w:val="24"/>
          <w:highlight w:val="none"/>
        </w:rPr>
      </w:pPr>
      <w:bookmarkStart w:id="310" w:name="_Toc532375609"/>
      <w:bookmarkStart w:id="311" w:name="_Toc351203634"/>
      <w:bookmarkStart w:id="312" w:name="_Toc532377331"/>
      <w:r>
        <w:rPr>
          <w:rFonts w:hint="eastAsia" w:ascii="宋体" w:hAnsi="宋体" w:eastAsia="宋体" w:cs="宋体"/>
          <w:sz w:val="24"/>
          <w:szCs w:val="24"/>
          <w:highlight w:val="none"/>
        </w:rPr>
        <w:t>2</w:t>
      </w:r>
      <w:bookmarkStart w:id="313" w:name="_Toc292559867"/>
      <w:bookmarkStart w:id="314" w:name="_Toc296890985"/>
      <w:bookmarkStart w:id="315" w:name="_Toc296503157"/>
      <w:bookmarkStart w:id="316" w:name="_Toc297048343"/>
      <w:bookmarkStart w:id="317" w:name="_Toc292559362"/>
      <w:bookmarkStart w:id="318" w:name="_Toc296944496"/>
      <w:bookmarkStart w:id="319" w:name="_Toc297120457"/>
      <w:bookmarkStart w:id="320" w:name="_Toc296891197"/>
      <w:bookmarkStart w:id="321" w:name="_Toc296346658"/>
      <w:bookmarkStart w:id="322" w:name="_Toc296347156"/>
      <w:r>
        <w:rPr>
          <w:rFonts w:hint="eastAsia" w:ascii="宋体" w:hAnsi="宋体" w:eastAsia="宋体" w:cs="宋体"/>
          <w:sz w:val="24"/>
          <w:szCs w:val="24"/>
          <w:highlight w:val="none"/>
        </w:rPr>
        <w:t>. 发包人</w:t>
      </w:r>
      <w:bookmarkEnd w:id="310"/>
      <w:bookmarkEnd w:id="311"/>
      <w:bookmarkEnd w:id="312"/>
    </w:p>
    <w:bookmarkEnd w:id="313"/>
    <w:bookmarkEnd w:id="314"/>
    <w:bookmarkEnd w:id="315"/>
    <w:bookmarkEnd w:id="316"/>
    <w:bookmarkEnd w:id="317"/>
    <w:bookmarkEnd w:id="318"/>
    <w:bookmarkEnd w:id="319"/>
    <w:bookmarkEnd w:id="320"/>
    <w:bookmarkEnd w:id="321"/>
    <w:bookmarkEnd w:id="322"/>
    <w:p w14:paraId="33D1C4C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2.2.1 发包人代表</w:t>
      </w:r>
    </w:p>
    <w:p w14:paraId="12FF225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发包人代表：</w:t>
      </w:r>
    </w:p>
    <w:p w14:paraId="013DE78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7E58AE2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6B4C39B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职    务：</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258A0EE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8FD7FB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邮    编：</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134CD71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发包人对发包人代表的授权范围如下：</w:t>
      </w:r>
      <w:r>
        <w:rPr>
          <w:rFonts w:hint="eastAsia" w:ascii="宋体" w:hAnsi="宋体" w:cs="宋体"/>
          <w:sz w:val="24"/>
          <w:szCs w:val="24"/>
          <w:highlight w:val="none"/>
          <w:u w:val="single"/>
        </w:rPr>
        <w:t>代表发包人对项目建设进行协调、管控、审查，确保安全、质量、环保、进度、成本可控，及时处理项目相关问题，向承包人等下达各类指令。由发包人授权的，以授权书载明的授权范围为准</w:t>
      </w:r>
      <w:r>
        <w:rPr>
          <w:rFonts w:hint="eastAsia" w:ascii="宋体" w:hAnsi="宋体" w:cs="宋体"/>
          <w:sz w:val="24"/>
          <w:szCs w:val="24"/>
          <w:highlight w:val="none"/>
        </w:rPr>
        <w:t>。</w:t>
      </w:r>
    </w:p>
    <w:p w14:paraId="4EBFE596">
      <w:pPr>
        <w:pStyle w:val="8"/>
        <w:spacing w:before="0" w:after="0" w:line="400" w:lineRule="exact"/>
        <w:ind w:left="848" w:hanging="848" w:hangingChars="352"/>
        <w:rPr>
          <w:rFonts w:ascii="宋体" w:hAnsi="宋体" w:cs="宋体"/>
          <w:sz w:val="24"/>
          <w:szCs w:val="24"/>
          <w:highlight w:val="none"/>
        </w:rPr>
      </w:pPr>
      <w:bookmarkStart w:id="323" w:name="_Toc532377332"/>
      <w:r>
        <w:rPr>
          <w:rFonts w:hint="eastAsia" w:ascii="宋体" w:hAnsi="宋体" w:cs="宋体"/>
          <w:sz w:val="24"/>
          <w:szCs w:val="24"/>
          <w:highlight w:val="none"/>
        </w:rPr>
        <w:t>2.4 施工现场、施工条件和基础资料的提供</w:t>
      </w:r>
      <w:bookmarkEnd w:id="323"/>
    </w:p>
    <w:p w14:paraId="3BB99D6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2.4.1 提供施工现场</w:t>
      </w:r>
    </w:p>
    <w:p w14:paraId="2EFBD9E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2.4.1.1 提供场地：</w:t>
      </w:r>
    </w:p>
    <w:p w14:paraId="22D93D9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施工场地的提供采用以下第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种方式：</w:t>
      </w:r>
    </w:p>
    <w:p w14:paraId="1E3B411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（1）一次提供全部施工场地：发包人于</w:t>
      </w:r>
      <w:r>
        <w:rPr>
          <w:rFonts w:hint="eastAsia" w:ascii="宋体" w:hAnsi="宋体" w:cs="宋体"/>
          <w:sz w:val="24"/>
          <w:szCs w:val="24"/>
          <w:highlight w:val="none"/>
          <w:u w:val="single"/>
        </w:rPr>
        <w:t>开工</w:t>
      </w:r>
      <w:r>
        <w:rPr>
          <w:rFonts w:hint="eastAsia" w:ascii="宋体" w:hAnsi="宋体" w:cs="宋体"/>
          <w:sz w:val="24"/>
          <w:szCs w:val="24"/>
          <w:highlight w:val="none"/>
        </w:rPr>
        <w:t>前向承包人提供合同工程用地红线范围内的施工场地。</w:t>
      </w:r>
    </w:p>
    <w:p w14:paraId="535DB5C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（2）分次提供全部施工场地：</w:t>
      </w:r>
      <w:r>
        <w:rPr>
          <w:rFonts w:hint="eastAsia" w:ascii="宋体" w:hAnsi="宋体" w:cs="宋体"/>
          <w:sz w:val="24"/>
          <w:szCs w:val="24"/>
          <w:highlight w:val="none"/>
          <w:u w:val="single"/>
        </w:rPr>
        <w:t>发包人按约定的时间分次向承包人提供合同工程用地红线范围内的施工场地</w:t>
      </w:r>
      <w:r>
        <w:rPr>
          <w:rFonts w:hint="eastAsia" w:ascii="宋体" w:hAnsi="宋体" w:cs="宋体"/>
          <w:sz w:val="24"/>
          <w:szCs w:val="24"/>
          <w:highlight w:val="none"/>
        </w:rPr>
        <w:t>。</w:t>
      </w:r>
    </w:p>
    <w:p w14:paraId="6DAD797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承包人编制的施工组织计划已充分考虑了施工场地提供的因素</w:t>
      </w:r>
      <w:r>
        <w:rPr>
          <w:rFonts w:hint="eastAsia" w:ascii="宋体" w:hAnsi="宋体" w:cs="宋体"/>
          <w:sz w:val="24"/>
          <w:szCs w:val="24"/>
          <w:highlight w:val="none"/>
        </w:rPr>
        <w:t>。</w:t>
      </w:r>
    </w:p>
    <w:p w14:paraId="3765F1E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施工场地未能按约定提供的，承包人应结合施工场地实际交地情况，优化施工组织计划。施工场地未能按约定提供，影响项目关键线路的，承包人可提交索赔申请，并经发包人审批后可按约定顺延项目工期，否则工期不予顺延</w:t>
      </w:r>
      <w:r>
        <w:rPr>
          <w:rFonts w:hint="eastAsia" w:ascii="宋体" w:hAnsi="宋体" w:cs="宋体"/>
          <w:sz w:val="24"/>
          <w:szCs w:val="24"/>
          <w:highlight w:val="none"/>
        </w:rPr>
        <w:t>。</w:t>
      </w:r>
    </w:p>
    <w:p w14:paraId="04367DC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2.4.2 提供施工条件</w:t>
      </w:r>
    </w:p>
    <w:p w14:paraId="6661258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关于发包人应负责提供施工所需要的条件：</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C238E7C">
      <w:pPr>
        <w:pStyle w:val="8"/>
        <w:spacing w:before="0" w:after="0" w:line="400" w:lineRule="exact"/>
        <w:ind w:left="848" w:hanging="848" w:hangingChars="352"/>
        <w:rPr>
          <w:rFonts w:ascii="宋体" w:hAnsi="宋体" w:cs="宋体"/>
          <w:sz w:val="24"/>
          <w:szCs w:val="24"/>
          <w:highlight w:val="none"/>
        </w:rPr>
      </w:pPr>
      <w:bookmarkStart w:id="324" w:name="_Toc532377333"/>
      <w:r>
        <w:rPr>
          <w:rFonts w:hint="eastAsia" w:ascii="宋体" w:hAnsi="宋体" w:cs="宋体"/>
          <w:sz w:val="24"/>
          <w:szCs w:val="24"/>
          <w:highlight w:val="none"/>
        </w:rPr>
        <w:t>2.5 资金来源证明及支付担保</w:t>
      </w:r>
      <w:bookmarkEnd w:id="324"/>
    </w:p>
    <w:p w14:paraId="7740C22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发包人提供资金来源证明的期限要求：</w:t>
      </w:r>
      <w:r>
        <w:rPr>
          <w:rFonts w:hint="eastAsia" w:ascii="宋体" w:hAnsi="宋体" w:cs="宋体"/>
          <w:sz w:val="24"/>
          <w:szCs w:val="24"/>
          <w:highlight w:val="none"/>
          <w:u w:val="single"/>
        </w:rPr>
        <w:t>不采用</w:t>
      </w:r>
      <w:r>
        <w:rPr>
          <w:rFonts w:hint="eastAsia" w:ascii="宋体" w:hAnsi="宋体" w:cs="宋体"/>
          <w:sz w:val="24"/>
          <w:szCs w:val="24"/>
          <w:highlight w:val="none"/>
        </w:rPr>
        <w:t>。</w:t>
      </w:r>
    </w:p>
    <w:p w14:paraId="55A884A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发包人是否提供支付担保：</w:t>
      </w:r>
      <w:r>
        <w:rPr>
          <w:rFonts w:hint="eastAsia" w:ascii="宋体" w:hAnsi="宋体" w:cs="宋体"/>
          <w:sz w:val="24"/>
          <w:szCs w:val="24"/>
          <w:highlight w:val="none"/>
          <w:u w:val="single"/>
        </w:rPr>
        <w:t>不提供</w:t>
      </w:r>
      <w:r>
        <w:rPr>
          <w:rFonts w:hint="eastAsia" w:ascii="宋体" w:hAnsi="宋体" w:cs="宋体"/>
          <w:sz w:val="24"/>
          <w:szCs w:val="24"/>
          <w:highlight w:val="none"/>
        </w:rPr>
        <w:t>。</w:t>
      </w:r>
    </w:p>
    <w:p w14:paraId="4F18661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支付担保的形式：</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73F4267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支付担保的金额：</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1807EF3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支付担保的时间：</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23E67F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支付担保的期限：</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2CDAB3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支付担保的退还时间：</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82EAB27">
      <w:pPr>
        <w:pStyle w:val="7"/>
        <w:spacing w:before="0" w:after="0" w:line="400" w:lineRule="exact"/>
        <w:rPr>
          <w:rFonts w:ascii="宋体" w:hAnsi="宋体" w:eastAsia="宋体" w:cs="宋体"/>
          <w:bCs/>
          <w:sz w:val="24"/>
          <w:szCs w:val="24"/>
          <w:highlight w:val="none"/>
        </w:rPr>
      </w:pPr>
      <w:bookmarkStart w:id="325" w:name="_Toc532377334"/>
      <w:bookmarkStart w:id="326" w:name="_Toc532375610"/>
      <w:bookmarkStart w:id="327" w:name="_Toc351203635"/>
      <w:r>
        <w:rPr>
          <w:rFonts w:hint="eastAsia" w:ascii="宋体" w:hAnsi="宋体" w:eastAsia="宋体" w:cs="宋体"/>
          <w:sz w:val="24"/>
          <w:szCs w:val="24"/>
          <w:highlight w:val="none"/>
        </w:rPr>
        <w:t>3</w:t>
      </w:r>
      <w:bookmarkStart w:id="328" w:name="_Toc296503158"/>
      <w:bookmarkStart w:id="329" w:name="_Toc292559363"/>
      <w:bookmarkStart w:id="330" w:name="_Toc296346659"/>
      <w:bookmarkStart w:id="331" w:name="_Toc297120458"/>
      <w:bookmarkStart w:id="332" w:name="_Toc292559868"/>
      <w:bookmarkStart w:id="333" w:name="_Toc296891198"/>
      <w:bookmarkStart w:id="334" w:name="_Toc296347157"/>
      <w:bookmarkStart w:id="335" w:name="_Toc296890986"/>
      <w:bookmarkStart w:id="336" w:name="_Toc297048344"/>
      <w:bookmarkStart w:id="337" w:name="_Toc296944497"/>
      <w:r>
        <w:rPr>
          <w:rFonts w:hint="eastAsia" w:ascii="宋体" w:hAnsi="宋体" w:eastAsia="宋体" w:cs="宋体"/>
          <w:sz w:val="24"/>
          <w:szCs w:val="24"/>
          <w:highlight w:val="none"/>
        </w:rPr>
        <w:t>. 承包人</w:t>
      </w:r>
      <w:bookmarkEnd w:id="325"/>
      <w:bookmarkEnd w:id="326"/>
      <w:bookmarkEnd w:id="327"/>
    </w:p>
    <w:bookmarkEnd w:id="328"/>
    <w:bookmarkEnd w:id="329"/>
    <w:bookmarkEnd w:id="330"/>
    <w:bookmarkEnd w:id="331"/>
    <w:bookmarkEnd w:id="332"/>
    <w:bookmarkEnd w:id="333"/>
    <w:bookmarkEnd w:id="334"/>
    <w:bookmarkEnd w:id="335"/>
    <w:bookmarkEnd w:id="336"/>
    <w:bookmarkEnd w:id="337"/>
    <w:p w14:paraId="5A10772A">
      <w:pPr>
        <w:pStyle w:val="8"/>
        <w:spacing w:before="0" w:after="0" w:line="400" w:lineRule="exact"/>
        <w:ind w:left="848" w:hanging="848" w:hangingChars="352"/>
        <w:rPr>
          <w:rFonts w:ascii="宋体" w:hAnsi="宋体" w:cs="宋体"/>
          <w:sz w:val="24"/>
          <w:szCs w:val="24"/>
          <w:highlight w:val="none"/>
        </w:rPr>
      </w:pPr>
      <w:bookmarkStart w:id="338" w:name="_Toc532377335"/>
      <w:r>
        <w:rPr>
          <w:rFonts w:hint="eastAsia" w:ascii="宋体" w:hAnsi="宋体" w:cs="宋体"/>
          <w:sz w:val="24"/>
          <w:szCs w:val="24"/>
          <w:highlight w:val="none"/>
        </w:rPr>
        <w:t>3.1 承包人的一般义务</w:t>
      </w:r>
      <w:bookmarkEnd w:id="338"/>
    </w:p>
    <w:p w14:paraId="79688FB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本款细化为3.1.1～3.1.10项：</w:t>
      </w:r>
    </w:p>
    <w:p w14:paraId="3F357EC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3.1.1办理法律规定和合同约定应由承包人办理的许可和批准，并将办理结果书面报送发包人留存；协助发包人办理施工所需的工程质量监督、安全监督、施工许可证等相关证件及手续。</w:t>
      </w:r>
    </w:p>
    <w:p w14:paraId="124512C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349FD9E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684BCAC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508BC4B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27D652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3.1.6按照第6.3款〔环境保护〕约定负责施工场地及其周边环境与生态的保护工作。</w:t>
      </w:r>
    </w:p>
    <w:p w14:paraId="29FEA08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3.1.7按照第6.1款〔安全文明施工〕约定采取施工安全措施，确保工程及其人员、材料、设备和设施的安全，防止因工程施工造成的人身伤害和财产损失。</w:t>
      </w:r>
    </w:p>
    <w:p w14:paraId="54344A1F">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3.1.8将发包人按合同约定支付的各项价款专用于合同工程，且应及时支付其雇用人员工资，并及时向分包人支付合同价款。</w:t>
      </w:r>
    </w:p>
    <w:p w14:paraId="6975A2A0">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3.1.9承包人提交的竣工资料的内容：</w:t>
      </w:r>
      <w:r>
        <w:rPr>
          <w:rFonts w:hint="eastAsia" w:ascii="宋体" w:hAnsi="宋体" w:cs="宋体"/>
          <w:sz w:val="24"/>
          <w:szCs w:val="24"/>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cs="宋体"/>
          <w:sz w:val="24"/>
          <w:szCs w:val="24"/>
          <w:highlight w:val="none"/>
        </w:rPr>
        <w:t>。</w:t>
      </w:r>
    </w:p>
    <w:p w14:paraId="56654C17">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承包人需要提交的竣工资料套数：完整竣工资料一式</w:t>
      </w:r>
      <w:r>
        <w:rPr>
          <w:rFonts w:hint="eastAsia" w:ascii="宋体" w:hAnsi="宋体" w:cs="宋体"/>
          <w:sz w:val="24"/>
          <w:szCs w:val="24"/>
          <w:highlight w:val="none"/>
          <w:u w:val="single"/>
        </w:rPr>
        <w:t>六</w:t>
      </w:r>
      <w:r>
        <w:rPr>
          <w:rFonts w:hint="eastAsia" w:ascii="宋体" w:hAnsi="宋体" w:cs="宋体"/>
          <w:sz w:val="24"/>
          <w:szCs w:val="24"/>
          <w:highlight w:val="none"/>
        </w:rPr>
        <w:t>套（含电子文档）。</w:t>
      </w:r>
    </w:p>
    <w:p w14:paraId="0E44367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承包人提交的竣工资料的费用承担：</w:t>
      </w:r>
      <w:r>
        <w:rPr>
          <w:rFonts w:hint="eastAsia" w:ascii="宋体" w:hAnsi="宋体" w:cs="宋体"/>
          <w:sz w:val="24"/>
          <w:szCs w:val="24"/>
          <w:highlight w:val="none"/>
          <w:u w:val="single"/>
        </w:rPr>
        <w:t>由承包人承担</w:t>
      </w:r>
      <w:r>
        <w:rPr>
          <w:rFonts w:hint="eastAsia" w:ascii="宋体" w:hAnsi="宋体" w:cs="宋体"/>
          <w:sz w:val="24"/>
          <w:szCs w:val="24"/>
          <w:highlight w:val="none"/>
        </w:rPr>
        <w:t>。</w:t>
      </w:r>
    </w:p>
    <w:p w14:paraId="256D0C3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承包人提交的竣工资料移交时间：</w:t>
      </w:r>
      <w:r>
        <w:rPr>
          <w:rFonts w:hint="eastAsia" w:ascii="宋体" w:hAnsi="宋体" w:cs="宋体"/>
          <w:sz w:val="24"/>
          <w:szCs w:val="24"/>
          <w:highlight w:val="none"/>
          <w:u w:val="single"/>
        </w:rPr>
        <w:t>工程竣工验收合格后1个月内移交给发包人</w:t>
      </w:r>
      <w:r>
        <w:rPr>
          <w:rFonts w:hint="eastAsia" w:ascii="宋体" w:hAnsi="宋体" w:cs="宋体"/>
          <w:sz w:val="24"/>
          <w:szCs w:val="24"/>
          <w:highlight w:val="none"/>
        </w:rPr>
        <w:t>。</w:t>
      </w:r>
    </w:p>
    <w:p w14:paraId="79AA783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承包人提交的竣工资料形式要求：</w:t>
      </w:r>
      <w:r>
        <w:rPr>
          <w:rFonts w:hint="eastAsia" w:ascii="宋体" w:hAnsi="宋体" w:cs="宋体"/>
          <w:sz w:val="24"/>
          <w:szCs w:val="24"/>
          <w:highlight w:val="none"/>
          <w:u w:val="single"/>
        </w:rPr>
        <w:t>完整的书面文件及电子文档</w:t>
      </w:r>
      <w:r>
        <w:rPr>
          <w:rFonts w:hint="eastAsia" w:ascii="宋体" w:hAnsi="宋体" w:cs="宋体"/>
          <w:sz w:val="24"/>
          <w:szCs w:val="24"/>
          <w:highlight w:val="none"/>
        </w:rPr>
        <w:t>。</w:t>
      </w:r>
    </w:p>
    <w:p w14:paraId="3F04775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3.1.10承包人应履行的其他义务：</w:t>
      </w:r>
    </w:p>
    <w:p w14:paraId="43C3B64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3.1.10.1在开始施工之前，承包人应核查、复测本工程的各种基准标志。承包人应及时将上述基准标志中存在的错误、不完整或其他缺陷通知发包人，以便发包人核实后重新确认。</w:t>
      </w:r>
    </w:p>
    <w:p w14:paraId="3FFC06D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3.1.10.2承包人应负责合同工程范围内测量控制网的测量设定和管理工作，为控制施工造成测量控制网误差累加，每月承包人复测一次测量控制网，并将修正数据及时通知发包人。经发包人批准，其他相关承包人可免费使用施工控制网。</w:t>
      </w:r>
    </w:p>
    <w:p w14:paraId="18231CE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7E3B495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3.1.10.4承包人应服从发包人要求的管理模式、工作方式和工作要求，同时接受跟审单位的管理和全程监督，配合项目结、决算的办理。</w:t>
      </w:r>
    </w:p>
    <w:p w14:paraId="670CDD4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3.1.10.5</w:t>
      </w:r>
      <w:r>
        <w:rPr>
          <w:rFonts w:hint="eastAsia" w:ascii="宋体" w:hAnsi="宋体" w:cs="宋体"/>
          <w:sz w:val="24"/>
          <w:szCs w:val="24"/>
          <w:highlight w:val="none"/>
          <w:u w:val="single"/>
        </w:rPr>
        <w:t>承包人应为本工程开立专用账户，接受发包人的监管</w:t>
      </w:r>
      <w:r>
        <w:rPr>
          <w:rFonts w:hint="eastAsia" w:ascii="宋体" w:hAnsi="宋体" w:cs="宋体"/>
          <w:sz w:val="24"/>
          <w:szCs w:val="24"/>
          <w:highlight w:val="none"/>
        </w:rPr>
        <w:t>。</w:t>
      </w:r>
    </w:p>
    <w:p w14:paraId="5B3EC4E1">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3.1.10.6</w:t>
      </w:r>
      <w:r>
        <w:rPr>
          <w:rFonts w:hint="eastAsia" w:ascii="宋体" w:hAnsi="宋体" w:cs="宋体"/>
          <w:sz w:val="24"/>
          <w:szCs w:val="24"/>
          <w:highlight w:val="none"/>
          <w:u w:val="single"/>
        </w:rPr>
        <w:t xml:space="preserve">    /    。</w:t>
      </w:r>
    </w:p>
    <w:p w14:paraId="1CAEE143">
      <w:pPr>
        <w:pStyle w:val="8"/>
        <w:spacing w:before="0" w:after="0" w:line="400" w:lineRule="exact"/>
        <w:ind w:left="848" w:hanging="848" w:hangingChars="352"/>
        <w:rPr>
          <w:rFonts w:ascii="宋体" w:hAnsi="宋体" w:cs="宋体"/>
          <w:sz w:val="24"/>
          <w:szCs w:val="24"/>
          <w:highlight w:val="none"/>
        </w:rPr>
      </w:pPr>
      <w:bookmarkStart w:id="339" w:name="_Toc532377336"/>
      <w:r>
        <w:rPr>
          <w:rFonts w:hint="eastAsia" w:ascii="宋体" w:hAnsi="宋体" w:cs="宋体"/>
          <w:sz w:val="24"/>
          <w:szCs w:val="24"/>
          <w:highlight w:val="none"/>
        </w:rPr>
        <w:t>3.2 项目经理</w:t>
      </w:r>
      <w:bookmarkEnd w:id="339"/>
    </w:p>
    <w:p w14:paraId="72A72FE2">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 xml:space="preserve">3.2.1 </w:t>
      </w:r>
      <w:r>
        <w:rPr>
          <w:rFonts w:hint="eastAsia" w:ascii="宋体" w:hAnsi="宋体" w:cs="宋体"/>
          <w:sz w:val="24"/>
          <w:szCs w:val="24"/>
          <w:highlight w:val="none"/>
        </w:rPr>
        <w:t>项目经理：</w:t>
      </w:r>
    </w:p>
    <w:p w14:paraId="02F7B4A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                    </w:t>
      </w:r>
      <w:r>
        <w:rPr>
          <w:rFonts w:hint="eastAsia" w:ascii="宋体" w:hAnsi="宋体" w:cs="宋体"/>
          <w:sz w:val="24"/>
          <w:szCs w:val="24"/>
          <w:highlight w:val="none"/>
        </w:rPr>
        <w:t>；</w:t>
      </w:r>
    </w:p>
    <w:p w14:paraId="4F27209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身份证号：</w:t>
      </w:r>
      <w:r>
        <w:rPr>
          <w:rFonts w:hint="eastAsia" w:ascii="宋体" w:hAnsi="宋体" w:cs="宋体"/>
          <w:sz w:val="24"/>
          <w:szCs w:val="24"/>
          <w:highlight w:val="none"/>
          <w:u w:val="single"/>
        </w:rPr>
        <w:t>                    </w:t>
      </w:r>
      <w:r>
        <w:rPr>
          <w:rFonts w:hint="eastAsia" w:ascii="宋体" w:hAnsi="宋体" w:cs="宋体"/>
          <w:sz w:val="24"/>
          <w:szCs w:val="24"/>
          <w:highlight w:val="none"/>
        </w:rPr>
        <w:t>；</w:t>
      </w:r>
    </w:p>
    <w:p w14:paraId="1C227EF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建造师执业资格等级：</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8B9563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建造师注册证书号：</w:t>
      </w:r>
      <w:r>
        <w:rPr>
          <w:rFonts w:hint="eastAsia" w:ascii="宋体" w:hAnsi="宋体" w:cs="宋体"/>
          <w:sz w:val="24"/>
          <w:szCs w:val="24"/>
          <w:highlight w:val="none"/>
          <w:u w:val="single"/>
        </w:rPr>
        <w:t>       </w:t>
      </w:r>
      <w:r>
        <w:rPr>
          <w:rFonts w:hint="eastAsia" w:ascii="宋体" w:hAnsi="宋体" w:cs="宋体"/>
          <w:sz w:val="24"/>
          <w:szCs w:val="24"/>
          <w:highlight w:val="none"/>
        </w:rPr>
        <w:t>；</w:t>
      </w:r>
    </w:p>
    <w:p w14:paraId="50C092C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建造师执业印章号：</w:t>
      </w:r>
      <w:r>
        <w:rPr>
          <w:rFonts w:hint="eastAsia" w:ascii="宋体" w:hAnsi="宋体" w:cs="宋体"/>
          <w:sz w:val="24"/>
          <w:szCs w:val="24"/>
          <w:highlight w:val="none"/>
          <w:u w:val="single"/>
        </w:rPr>
        <w:t>                     </w:t>
      </w:r>
      <w:r>
        <w:rPr>
          <w:rFonts w:hint="eastAsia" w:ascii="宋体" w:hAnsi="宋体" w:cs="宋体"/>
          <w:sz w:val="24"/>
          <w:szCs w:val="24"/>
          <w:highlight w:val="none"/>
        </w:rPr>
        <w:t>；</w:t>
      </w:r>
    </w:p>
    <w:p w14:paraId="08D894F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安全生产考核合格证书号：</w:t>
      </w:r>
      <w:r>
        <w:rPr>
          <w:rFonts w:hint="eastAsia" w:ascii="宋体" w:hAnsi="宋体" w:cs="宋体"/>
          <w:sz w:val="24"/>
          <w:szCs w:val="24"/>
          <w:highlight w:val="none"/>
          <w:u w:val="single"/>
        </w:rPr>
        <w:t>           </w:t>
      </w:r>
      <w:r>
        <w:rPr>
          <w:rFonts w:hint="eastAsia" w:ascii="宋体" w:hAnsi="宋体" w:cs="宋体"/>
          <w:sz w:val="24"/>
          <w:szCs w:val="24"/>
          <w:highlight w:val="none"/>
        </w:rPr>
        <w:t>；</w:t>
      </w:r>
    </w:p>
    <w:p w14:paraId="5A54E29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u w:val="single"/>
        </w:rPr>
        <w:t>         </w:t>
      </w:r>
      <w:r>
        <w:rPr>
          <w:rFonts w:hint="eastAsia" w:ascii="宋体" w:hAnsi="宋体" w:cs="宋体"/>
          <w:sz w:val="24"/>
          <w:szCs w:val="24"/>
          <w:highlight w:val="none"/>
        </w:rPr>
        <w:t>。</w:t>
      </w:r>
    </w:p>
    <w:p w14:paraId="02E2EF1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承包人对项目经理的授权范围如下：</w:t>
      </w:r>
      <w:r>
        <w:rPr>
          <w:rFonts w:hint="eastAsia" w:ascii="宋体" w:hAnsi="宋体" w:cs="宋体"/>
          <w:sz w:val="24"/>
          <w:szCs w:val="24"/>
          <w:highlight w:val="none"/>
          <w:u w:val="single"/>
        </w:rPr>
        <w:t>严格按设计图纸、现行国家施工规范及验收规范组织施工，保证工程质量、进度、安全；及时向发包人报告现场情况（以承包人书面授权范围为准）</w:t>
      </w:r>
      <w:r>
        <w:rPr>
          <w:rFonts w:hint="eastAsia" w:ascii="宋体" w:hAnsi="宋体" w:cs="宋体"/>
          <w:sz w:val="24"/>
          <w:szCs w:val="24"/>
          <w:highlight w:val="none"/>
        </w:rPr>
        <w:t>。</w:t>
      </w:r>
    </w:p>
    <w:p w14:paraId="2908E29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关于项目经理每月在施工现场的时间要求：</w:t>
      </w:r>
      <w:r>
        <w:rPr>
          <w:rFonts w:hint="eastAsia" w:ascii="宋体" w:hAnsi="宋体" w:cs="宋体"/>
          <w:sz w:val="24"/>
          <w:szCs w:val="24"/>
          <w:highlight w:val="none"/>
          <w:u w:val="single"/>
        </w:rPr>
        <w:t>不少于22天，由发包人负责项目经理的考勤</w:t>
      </w:r>
      <w:r>
        <w:rPr>
          <w:rFonts w:hint="eastAsia" w:ascii="宋体" w:hAnsi="宋体" w:cs="宋体"/>
          <w:sz w:val="24"/>
          <w:szCs w:val="24"/>
          <w:highlight w:val="none"/>
        </w:rPr>
        <w:t>。</w:t>
      </w:r>
    </w:p>
    <w:p w14:paraId="7C83E52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承包人应在合同签订后7天内提交与项目经理签订的劳动合同及为项目经理缴纳社会保险的证明，承包人未在限期内提交的，项目经理未能履行职责，发包人有权要求更换项目经理。更换后的项目经理应当是承包人的正式员工，且在职称、执业资格、项目管理经验等方面不低于原项目经理。</w:t>
      </w:r>
    </w:p>
    <w:p w14:paraId="61C2704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3.2.2 技术负责人</w:t>
      </w:r>
    </w:p>
    <w:p w14:paraId="7CF82D1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姓    名：</w:t>
      </w:r>
      <w:r>
        <w:rPr>
          <w:rFonts w:hint="eastAsia" w:ascii="宋体" w:hAnsi="宋体" w:cs="宋体"/>
          <w:sz w:val="24"/>
          <w:szCs w:val="24"/>
          <w:highlight w:val="none"/>
          <w:u w:val="single"/>
        </w:rPr>
        <w:t xml:space="preserve">                           </w:t>
      </w:r>
      <w:r>
        <w:rPr>
          <w:rFonts w:hint="eastAsia" w:ascii="宋体" w:hAnsi="宋体" w:cs="宋体"/>
          <w:sz w:val="24"/>
          <w:szCs w:val="24"/>
          <w:highlight w:val="none"/>
        </w:rPr>
        <w:t>；</w:t>
      </w:r>
    </w:p>
    <w:p w14:paraId="4369E3D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                     </w:t>
      </w:r>
      <w:r>
        <w:rPr>
          <w:rFonts w:hint="eastAsia" w:ascii="宋体" w:hAnsi="宋体" w:cs="宋体"/>
          <w:sz w:val="24"/>
          <w:szCs w:val="24"/>
          <w:highlight w:val="none"/>
        </w:rPr>
        <w:t>；</w:t>
      </w:r>
    </w:p>
    <w:p w14:paraId="3F3AA62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u w:val="single"/>
        </w:rPr>
        <w:t xml:space="preserve">                           </w:t>
      </w:r>
      <w:r>
        <w:rPr>
          <w:rFonts w:hint="eastAsia" w:ascii="宋体" w:hAnsi="宋体" w:cs="宋体"/>
          <w:sz w:val="24"/>
          <w:szCs w:val="24"/>
          <w:highlight w:val="none"/>
        </w:rPr>
        <w:t>；</w:t>
      </w:r>
    </w:p>
    <w:p w14:paraId="10FD01E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专   业：</w:t>
      </w:r>
      <w:r>
        <w:rPr>
          <w:rFonts w:hint="eastAsia" w:ascii="宋体" w:hAnsi="宋体" w:cs="宋体"/>
          <w:sz w:val="24"/>
          <w:szCs w:val="24"/>
          <w:highlight w:val="none"/>
          <w:u w:val="single"/>
        </w:rPr>
        <w:t xml:space="preserve">                           </w:t>
      </w:r>
      <w:r>
        <w:rPr>
          <w:rFonts w:hint="eastAsia" w:ascii="宋体" w:hAnsi="宋体" w:cs="宋体"/>
          <w:sz w:val="24"/>
          <w:szCs w:val="24"/>
          <w:highlight w:val="none"/>
        </w:rPr>
        <w:t>；</w:t>
      </w:r>
    </w:p>
    <w:p w14:paraId="1C4E6F6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证书名称及号码：</w:t>
      </w:r>
      <w:r>
        <w:rPr>
          <w:rFonts w:hint="eastAsia" w:ascii="宋体" w:hAnsi="宋体" w:cs="宋体"/>
          <w:sz w:val="24"/>
          <w:szCs w:val="24"/>
          <w:highlight w:val="none"/>
          <w:u w:val="single"/>
        </w:rPr>
        <w:t xml:space="preserve">                         </w:t>
      </w:r>
      <w:r>
        <w:rPr>
          <w:rFonts w:hint="eastAsia" w:ascii="宋体" w:hAnsi="宋体" w:cs="宋体"/>
          <w:sz w:val="24"/>
          <w:szCs w:val="24"/>
          <w:highlight w:val="none"/>
        </w:rPr>
        <w:t>；</w:t>
      </w:r>
    </w:p>
    <w:p w14:paraId="4452DCB6">
      <w:pPr>
        <w:pStyle w:val="2"/>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rPr>
        <w:t xml:space="preserve">    联系方式：</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w:t>
      </w:r>
    </w:p>
    <w:p w14:paraId="1447D189">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关于技</w:t>
      </w:r>
      <w:r>
        <w:rPr>
          <w:rFonts w:hint="eastAsia" w:ascii="宋体" w:hAnsi="宋体" w:cs="宋体"/>
          <w:sz w:val="24"/>
          <w:szCs w:val="24"/>
          <w:highlight w:val="none"/>
        </w:rPr>
        <w:t>术负责人每月在施工现场的时间要求：</w:t>
      </w:r>
      <w:r>
        <w:rPr>
          <w:rFonts w:hint="eastAsia" w:ascii="宋体" w:hAnsi="宋体" w:cs="宋体"/>
          <w:sz w:val="24"/>
          <w:szCs w:val="24"/>
          <w:highlight w:val="none"/>
          <w:u w:val="single"/>
        </w:rPr>
        <w:t>不少于22天，由发包人负责技术负责人的考勤</w:t>
      </w:r>
      <w:r>
        <w:rPr>
          <w:rFonts w:hint="eastAsia" w:ascii="宋体" w:hAnsi="宋体" w:cs="宋体"/>
          <w:sz w:val="24"/>
          <w:szCs w:val="24"/>
          <w:highlight w:val="none"/>
        </w:rPr>
        <w:t>。</w:t>
      </w:r>
    </w:p>
    <w:p w14:paraId="31B7C54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承包人应在合同签订后7天内提交与技术负责人签订的劳动合同及为技术负责人缴纳社会保险的证明，承包人未在限期内提交的，技术负责人未能履行职责，发包人有权要求更换技术负责人。</w:t>
      </w:r>
      <w:bookmarkStart w:id="340" w:name="_Hlk528927599"/>
      <w:r>
        <w:rPr>
          <w:rFonts w:hint="eastAsia" w:ascii="宋体" w:hAnsi="宋体" w:cs="宋体"/>
          <w:sz w:val="24"/>
          <w:szCs w:val="24"/>
          <w:highlight w:val="none"/>
          <w:u w:val="single"/>
        </w:rPr>
        <w:t>更换后的技术负责人应当是承包人的正式员工，且在职称、执业资格、项目管理经验等方面不低于原技术负责人。</w:t>
      </w:r>
    </w:p>
    <w:bookmarkEnd w:id="340"/>
    <w:p w14:paraId="64A5AD6C">
      <w:pPr>
        <w:spacing w:line="400" w:lineRule="exact"/>
        <w:ind w:firstLine="480" w:firstLineChars="200"/>
        <w:jc w:val="left"/>
        <w:rPr>
          <w:rFonts w:ascii="宋体" w:hAnsi="宋体" w:cs="宋体"/>
          <w:sz w:val="24"/>
          <w:szCs w:val="24"/>
          <w:highlight w:val="none"/>
        </w:rPr>
      </w:pPr>
      <w:bookmarkStart w:id="341" w:name="_Hlk528927718"/>
      <w:r>
        <w:rPr>
          <w:rFonts w:hint="eastAsia" w:ascii="宋体" w:hAnsi="宋体" w:cs="宋体"/>
          <w:sz w:val="24"/>
          <w:szCs w:val="24"/>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341"/>
    </w:p>
    <w:p w14:paraId="6A4CBD7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2A7C60E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1、死亡；</w:t>
      </w:r>
    </w:p>
    <w:p w14:paraId="2FA0531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2、非承包人原因导致工期延长，而致使项目经理和技术负责人达到法定退休年龄且确需退休；</w:t>
      </w:r>
    </w:p>
    <w:p w14:paraId="2492AFD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3、按《职工非因工伤残或因病丧失劳动能力程度鉴定标准（试行）》规定鉴定为完全丧失劳动能力和大部分丧失劳动能力；</w:t>
      </w:r>
    </w:p>
    <w:p w14:paraId="6C29908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4、非承包人原因导致中标3个月不能开工；</w:t>
      </w:r>
    </w:p>
    <w:p w14:paraId="353A170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5、被公安或者司法机关限制人身自由；</w:t>
      </w:r>
    </w:p>
    <w:p w14:paraId="752B4BA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6、被取消职称或者执业资格，不满足项目管理要求；</w:t>
      </w:r>
    </w:p>
    <w:p w14:paraId="2346AA9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7、非承包人原因导致确需变更的其它情形。</w:t>
      </w:r>
    </w:p>
    <w:p w14:paraId="47834C6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本款补充3.2.6项</w:t>
      </w:r>
    </w:p>
    <w:p w14:paraId="316F7C1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3.2.6 国有资金投资项目其他主要人员变更参照《重庆市政府投资项目合同变更管理暂行办法》的规定。</w:t>
      </w:r>
    </w:p>
    <w:p w14:paraId="4D6A9BF8">
      <w:pPr>
        <w:pStyle w:val="8"/>
        <w:spacing w:before="0" w:after="0" w:line="400" w:lineRule="exact"/>
        <w:ind w:left="848" w:hanging="848" w:hangingChars="352"/>
        <w:rPr>
          <w:rFonts w:ascii="宋体" w:hAnsi="宋体" w:cs="宋体"/>
          <w:sz w:val="24"/>
          <w:szCs w:val="24"/>
          <w:highlight w:val="none"/>
        </w:rPr>
      </w:pPr>
      <w:bookmarkStart w:id="342" w:name="_Toc532377337"/>
      <w:r>
        <w:rPr>
          <w:rFonts w:hint="eastAsia" w:ascii="宋体" w:hAnsi="宋体" w:cs="宋体"/>
          <w:sz w:val="24"/>
          <w:szCs w:val="24"/>
          <w:highlight w:val="none"/>
        </w:rPr>
        <w:t>3.3 承包人人员</w:t>
      </w:r>
      <w:bookmarkEnd w:id="342"/>
    </w:p>
    <w:p w14:paraId="665B80F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3.3.1 承包人应按建设行政主管部门现行规定配备现场施工从业人员，具体要求如下：</w:t>
      </w:r>
      <w:r>
        <w:rPr>
          <w:rFonts w:hint="eastAsia" w:ascii="宋体" w:hAnsi="宋体" w:cs="宋体"/>
          <w:sz w:val="24"/>
          <w:szCs w:val="24"/>
          <w:highlight w:val="none"/>
          <w:u w:val="single"/>
        </w:rPr>
        <w:t>《房屋建筑和市政基础设施工程施工现场从业人员配备标准》（DBJ50/T-157-2022）的相应要求。</w:t>
      </w:r>
    </w:p>
    <w:p w14:paraId="4943587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3.3.2承包人派驻到施工现场的主要施工管理人员在施工过程中如有变动，承包人应及时向发包人提交施工现场人员变动情况的报告。承包人更换主要施工管理人员时，应提前7天书面通知发包人，并征得发包人书面同意。通知中应当载明继任人员的职称、执业资格、项目管理经验等资料。更换后的施工管理人员应当是承包人的正式员工，且在职称、执业资格、项目管理经验等方面不低于原施工管理人员。</w:t>
      </w:r>
    </w:p>
    <w:p w14:paraId="67B58AF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20026C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3.3.4 承包人主要施工管理人员离开施工现场，指定的临时人员需满足：</w:t>
      </w:r>
      <w:r>
        <w:rPr>
          <w:rFonts w:hint="eastAsia" w:ascii="宋体" w:hAnsi="宋体" w:cs="宋体"/>
          <w:sz w:val="24"/>
          <w:szCs w:val="24"/>
          <w:highlight w:val="none"/>
          <w:u w:val="single"/>
        </w:rPr>
        <w:t>《房屋建筑和市政基础设施工程施工现场从业人员配备标准》（DBJ50/T-157-2022）的相应要求</w:t>
      </w:r>
      <w:r>
        <w:rPr>
          <w:rFonts w:hint="eastAsia" w:ascii="宋体" w:hAnsi="宋体" w:cs="宋体"/>
          <w:sz w:val="24"/>
          <w:szCs w:val="24"/>
          <w:highlight w:val="none"/>
        </w:rPr>
        <w:t>。</w:t>
      </w:r>
    </w:p>
    <w:p w14:paraId="11877DF2">
      <w:pPr>
        <w:pStyle w:val="8"/>
        <w:spacing w:before="0" w:after="0" w:line="400" w:lineRule="exact"/>
        <w:ind w:left="848" w:hanging="848" w:hangingChars="352"/>
        <w:rPr>
          <w:rFonts w:ascii="宋体" w:hAnsi="宋体" w:cs="宋体"/>
          <w:sz w:val="24"/>
          <w:szCs w:val="24"/>
          <w:highlight w:val="none"/>
        </w:rPr>
      </w:pPr>
      <w:bookmarkStart w:id="343" w:name="_Toc532377338"/>
      <w:r>
        <w:rPr>
          <w:rFonts w:hint="eastAsia" w:ascii="宋体" w:hAnsi="宋体" w:cs="宋体"/>
          <w:sz w:val="24"/>
          <w:szCs w:val="24"/>
          <w:highlight w:val="none"/>
        </w:rPr>
        <w:t>3</w:t>
      </w:r>
      <w:bookmarkStart w:id="344" w:name="_Toc300934945"/>
      <w:bookmarkStart w:id="345" w:name="_Toc297120459"/>
      <w:bookmarkStart w:id="346" w:name="_Toc292559364"/>
      <w:bookmarkStart w:id="347" w:name="_Toc296890987"/>
      <w:bookmarkStart w:id="348" w:name="_Toc296503159"/>
      <w:bookmarkStart w:id="349" w:name="_Toc304295523"/>
      <w:bookmarkStart w:id="350" w:name="_Toc296944498"/>
      <w:bookmarkStart w:id="351" w:name="_Toc296891199"/>
      <w:bookmarkStart w:id="352" w:name="_Toc296346660"/>
      <w:bookmarkStart w:id="353" w:name="_Toc303539102"/>
      <w:bookmarkStart w:id="354" w:name="_Toc296347158"/>
      <w:bookmarkStart w:id="355" w:name="_Toc297123492"/>
      <w:bookmarkStart w:id="356" w:name="_Toc292559869"/>
      <w:bookmarkStart w:id="357" w:name="_Toc297216151"/>
      <w:bookmarkStart w:id="358" w:name="_Toc297048345"/>
      <w:bookmarkStart w:id="359" w:name="_Toc312677988"/>
      <w:r>
        <w:rPr>
          <w:rFonts w:hint="eastAsia" w:ascii="宋体" w:hAnsi="宋体" w:cs="宋体"/>
          <w:sz w:val="24"/>
          <w:szCs w:val="24"/>
          <w:highlight w:val="none"/>
        </w:rPr>
        <w:t>.5 分包</w:t>
      </w:r>
      <w:bookmarkEnd w:id="343"/>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14:paraId="579BA0B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w:t>
      </w:r>
      <w:bookmarkStart w:id="360" w:name="_Toc312677989"/>
      <w:bookmarkStart w:id="361" w:name="_Toc296890988"/>
      <w:bookmarkStart w:id="362" w:name="_Toc303539103"/>
      <w:bookmarkStart w:id="363" w:name="_Toc304295524"/>
      <w:bookmarkStart w:id="364" w:name="_Toc300934946"/>
      <w:bookmarkStart w:id="365" w:name="_Toc296891200"/>
      <w:bookmarkStart w:id="366" w:name="_Toc296347159"/>
      <w:bookmarkStart w:id="367" w:name="_Toc318581158"/>
      <w:bookmarkStart w:id="368" w:name="_Toc296503160"/>
      <w:bookmarkStart w:id="369" w:name="_Toc297120460"/>
      <w:bookmarkStart w:id="370" w:name="_Toc297123493"/>
      <w:bookmarkStart w:id="371" w:name="_Toc296346661"/>
      <w:bookmarkStart w:id="372" w:name="_Toc292559870"/>
      <w:bookmarkStart w:id="373" w:name="_Toc292559365"/>
      <w:bookmarkStart w:id="374" w:name="_Toc296944499"/>
      <w:bookmarkStart w:id="375" w:name="_Toc297216152"/>
      <w:bookmarkStart w:id="376" w:name="_Toc297048346"/>
      <w:r>
        <w:rPr>
          <w:rFonts w:hint="eastAsia" w:ascii="宋体" w:hAnsi="宋体" w:cs="宋体"/>
          <w:sz w:val="24"/>
          <w:szCs w:val="24"/>
          <w:highlight w:val="none"/>
        </w:rPr>
        <w:t>.5.1 分包的一般约定：</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hint="eastAsia" w:ascii="宋体" w:hAnsi="宋体" w:cs="宋体"/>
          <w:sz w:val="24"/>
          <w:szCs w:val="24"/>
          <w:highlight w:val="none"/>
          <w:u w:val="single"/>
        </w:rPr>
        <w:t>不允许分包</w:t>
      </w:r>
      <w:r>
        <w:rPr>
          <w:rFonts w:hint="eastAsia" w:ascii="宋体" w:hAnsi="宋体" w:cs="宋体"/>
          <w:sz w:val="24"/>
          <w:szCs w:val="24"/>
          <w:highlight w:val="none"/>
        </w:rPr>
        <w:t>。</w:t>
      </w:r>
    </w:p>
    <w:p w14:paraId="40F1804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本款补充3.5.6项：</w:t>
      </w:r>
    </w:p>
    <w:p w14:paraId="3865ACD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3.5.6严禁违法分包</w:t>
      </w:r>
    </w:p>
    <w:p w14:paraId="6666397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56FF5BA6">
      <w:pPr>
        <w:pStyle w:val="8"/>
        <w:spacing w:before="0" w:after="0" w:line="400" w:lineRule="exact"/>
        <w:ind w:left="848" w:hanging="848" w:hangingChars="352"/>
        <w:rPr>
          <w:rFonts w:ascii="宋体" w:hAnsi="宋体" w:cs="宋体"/>
          <w:sz w:val="24"/>
          <w:szCs w:val="24"/>
          <w:highlight w:val="none"/>
        </w:rPr>
      </w:pPr>
      <w:bookmarkStart w:id="377" w:name="_Toc532377339"/>
      <w:r>
        <w:rPr>
          <w:rFonts w:hint="eastAsia" w:ascii="宋体" w:hAnsi="宋体" w:cs="宋体"/>
          <w:sz w:val="24"/>
          <w:szCs w:val="24"/>
          <w:highlight w:val="none"/>
        </w:rPr>
        <w:t>3.7 履约担保</w:t>
      </w:r>
      <w:bookmarkEnd w:id="377"/>
    </w:p>
    <w:p w14:paraId="679A294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3.7.1承包人是否提供履约担保：</w:t>
      </w:r>
      <w:r>
        <w:rPr>
          <w:rFonts w:hint="eastAsia" w:ascii="宋体" w:hAnsi="宋体" w:cs="宋体"/>
          <w:sz w:val="24"/>
          <w:szCs w:val="24"/>
          <w:highlight w:val="none"/>
          <w:u w:val="single"/>
        </w:rPr>
        <w:t>提供</w:t>
      </w:r>
      <w:r>
        <w:rPr>
          <w:rFonts w:hint="eastAsia" w:ascii="宋体" w:hAnsi="宋体" w:cs="宋体"/>
          <w:sz w:val="24"/>
          <w:szCs w:val="24"/>
          <w:highlight w:val="none"/>
        </w:rPr>
        <w:t>。</w:t>
      </w:r>
    </w:p>
    <w:p w14:paraId="139EAE2C">
      <w:pPr>
        <w:tabs>
          <w:tab w:val="left" w:pos="1134"/>
        </w:tabs>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3.7.2承包人提供履约担保的形式、金额及期限：</w:t>
      </w:r>
    </w:p>
    <w:p w14:paraId="757652D7">
      <w:pPr>
        <w:pStyle w:val="7"/>
        <w:spacing w:before="0" w:after="0" w:line="400" w:lineRule="exact"/>
        <w:rPr>
          <w:rFonts w:hint="eastAsia" w:ascii="宋体" w:hAnsi="宋体" w:eastAsia="宋体" w:cs="宋体"/>
          <w:b w:val="0"/>
          <w:kern w:val="2"/>
          <w:sz w:val="24"/>
          <w:szCs w:val="24"/>
          <w:highlight w:val="none"/>
          <w:lang w:val="en-US" w:eastAsia="zh-CN" w:bidi="ar-SA"/>
        </w:rPr>
      </w:pPr>
      <w:bookmarkStart w:id="378" w:name="_Toc267251418"/>
      <w:bookmarkStart w:id="379" w:name="_Toc351203637"/>
      <w:bookmarkStart w:id="380" w:name="_Toc532377344"/>
      <w:bookmarkStart w:id="381" w:name="_Toc532375612"/>
      <w:r>
        <w:rPr>
          <w:rFonts w:hint="eastAsia" w:ascii="宋体" w:hAnsi="宋体" w:eastAsia="宋体" w:cs="宋体"/>
          <w:b w:val="0"/>
          <w:kern w:val="2"/>
          <w:sz w:val="24"/>
          <w:szCs w:val="24"/>
          <w:highlight w:val="none"/>
          <w:lang w:val="en-US" w:eastAsia="zh-CN" w:bidi="ar-SA"/>
        </w:rPr>
        <w:t>合同签订前供应商向采购人缴纳合同金额5%的履约保证金（缴纳方式为银行转账），竣工验收后30日内无息返还；</w:t>
      </w:r>
    </w:p>
    <w:p w14:paraId="0BC3D1E9">
      <w:pPr>
        <w:pStyle w:val="7"/>
        <w:spacing w:before="0" w:after="0" w:line="400" w:lineRule="exact"/>
        <w:rPr>
          <w:rFonts w:ascii="宋体" w:hAnsi="宋体" w:eastAsia="宋体" w:cs="宋体"/>
          <w:bCs/>
          <w:sz w:val="24"/>
          <w:szCs w:val="24"/>
          <w:highlight w:val="none"/>
        </w:rPr>
      </w:pPr>
      <w:r>
        <w:rPr>
          <w:rFonts w:hint="eastAsia" w:ascii="宋体" w:hAnsi="宋体" w:eastAsia="宋体" w:cs="宋体"/>
          <w:sz w:val="24"/>
          <w:szCs w:val="24"/>
          <w:highlight w:val="none"/>
        </w:rPr>
        <w:t>5</w:t>
      </w:r>
      <w:bookmarkEnd w:id="378"/>
      <w:bookmarkStart w:id="382" w:name="_Toc296503163"/>
      <w:bookmarkStart w:id="383" w:name="_Toc296347162"/>
      <w:bookmarkStart w:id="384" w:name="_Toc292559872"/>
      <w:bookmarkStart w:id="385" w:name="_Toc297120463"/>
      <w:bookmarkStart w:id="386" w:name="_Toc292559367"/>
      <w:bookmarkStart w:id="387" w:name="_Toc296891203"/>
      <w:bookmarkStart w:id="388" w:name="_Toc296346664"/>
      <w:bookmarkStart w:id="389" w:name="_Toc296890991"/>
      <w:bookmarkStart w:id="390" w:name="_Toc296944502"/>
      <w:bookmarkStart w:id="391" w:name="_Toc297048349"/>
      <w:r>
        <w:rPr>
          <w:rFonts w:hint="eastAsia" w:ascii="宋体" w:hAnsi="宋体" w:eastAsia="宋体" w:cs="宋体"/>
          <w:sz w:val="24"/>
          <w:szCs w:val="24"/>
          <w:highlight w:val="none"/>
        </w:rPr>
        <w:t>. 工程质量</w:t>
      </w:r>
      <w:bookmarkEnd w:id="379"/>
      <w:bookmarkEnd w:id="380"/>
      <w:bookmarkEnd w:id="381"/>
    </w:p>
    <w:p w14:paraId="3BE62E5F">
      <w:pPr>
        <w:pStyle w:val="8"/>
        <w:spacing w:before="0" w:after="0" w:line="400" w:lineRule="exact"/>
        <w:ind w:left="848" w:hanging="848" w:hangingChars="352"/>
        <w:rPr>
          <w:rFonts w:ascii="宋体" w:hAnsi="宋体" w:cs="宋体"/>
          <w:sz w:val="24"/>
          <w:szCs w:val="24"/>
          <w:highlight w:val="none"/>
        </w:rPr>
      </w:pPr>
      <w:bookmarkStart w:id="392" w:name="_Toc532377345"/>
      <w:r>
        <w:rPr>
          <w:rFonts w:hint="eastAsia" w:ascii="宋体" w:hAnsi="宋体" w:cs="宋体"/>
          <w:sz w:val="24"/>
          <w:szCs w:val="24"/>
          <w:highlight w:val="none"/>
        </w:rPr>
        <w:t>5.1 质量要求</w:t>
      </w:r>
      <w:bookmarkEnd w:id="392"/>
      <w:bookmarkStart w:id="393" w:name="_Hlk528909888"/>
      <w:bookmarkStart w:id="394" w:name="_Toc303539106"/>
      <w:bookmarkStart w:id="395" w:name="_Toc297216155"/>
      <w:bookmarkStart w:id="396" w:name="_Toc312677997"/>
      <w:bookmarkStart w:id="397" w:name="_Toc300934949"/>
      <w:bookmarkStart w:id="398" w:name="_Toc297123496"/>
      <w:bookmarkStart w:id="399" w:name="_Toc304295527"/>
      <w:bookmarkStart w:id="400" w:name="_Toc318581164"/>
    </w:p>
    <w:p w14:paraId="38D360A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1.工程质量符合强制性质量标准，</w:t>
      </w:r>
      <w:r>
        <w:rPr>
          <w:rFonts w:hint="eastAsia" w:ascii="宋体" w:hAnsi="宋体" w:cs="宋体"/>
          <w:sz w:val="24"/>
          <w:szCs w:val="24"/>
          <w:highlight w:val="none"/>
          <w:u w:val="single"/>
        </w:rPr>
        <w:t>符合国家和重庆市现行有关施工质量验收规范要求，并达到合格标准</w:t>
      </w:r>
      <w:r>
        <w:rPr>
          <w:rFonts w:hint="eastAsia" w:ascii="宋体" w:hAnsi="宋体" w:cs="宋体"/>
          <w:sz w:val="24"/>
          <w:szCs w:val="24"/>
          <w:highlight w:val="none"/>
        </w:rPr>
        <w:t>。</w:t>
      </w:r>
    </w:p>
    <w:p w14:paraId="5AD48F98">
      <w:pPr>
        <w:snapToGrid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2.工程完工后，按国家相关标准验收程序和规程进行验收。验收的相关费用由承包人承担。</w:t>
      </w:r>
    </w:p>
    <w:p w14:paraId="2404F9D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3.承包人承担未达到采购文件的要求，且对发包人造成损失的，由承包人承担承担一切责任，并赔偿所造成的损失。</w:t>
      </w:r>
    </w:p>
    <w:bookmarkEnd w:id="393"/>
    <w:p w14:paraId="7CBF81FE">
      <w:pPr>
        <w:pStyle w:val="8"/>
        <w:spacing w:before="0" w:after="0" w:line="400" w:lineRule="exact"/>
        <w:ind w:left="848" w:hanging="848" w:hangingChars="352"/>
        <w:rPr>
          <w:rFonts w:ascii="宋体" w:hAnsi="宋体" w:cs="宋体"/>
          <w:sz w:val="24"/>
          <w:szCs w:val="24"/>
          <w:highlight w:val="none"/>
        </w:rPr>
      </w:pPr>
      <w:bookmarkStart w:id="401" w:name="_Toc532377346"/>
      <w:r>
        <w:rPr>
          <w:rFonts w:hint="eastAsia" w:ascii="宋体" w:hAnsi="宋体" w:cs="宋体"/>
          <w:sz w:val="24"/>
          <w:szCs w:val="24"/>
          <w:highlight w:val="none"/>
        </w:rPr>
        <w:t>5.2 质量保证措施</w:t>
      </w:r>
      <w:bookmarkEnd w:id="401"/>
    </w:p>
    <w:p w14:paraId="33A9665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本款补充5.2.4项：</w:t>
      </w:r>
    </w:p>
    <w:p w14:paraId="3595B84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5.2.4 在工程建设中，参建各方应严格执行以下规定（包括但不限于）：</w:t>
      </w:r>
    </w:p>
    <w:p w14:paraId="55815EB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《建筑工程施工质量验收统一标准》（GB50300-2013）</w:t>
      </w:r>
      <w:r>
        <w:rPr>
          <w:rFonts w:hint="eastAsia" w:ascii="宋体" w:hAnsi="宋体" w:cs="宋体"/>
          <w:sz w:val="24"/>
          <w:szCs w:val="24"/>
          <w:highlight w:val="none"/>
        </w:rPr>
        <w:t>；</w:t>
      </w:r>
    </w:p>
    <w:p w14:paraId="40CED84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《住房城乡建设部关于印发工程质量安全提升行动方案的通知》（建质〔2017〕57号）</w:t>
      </w:r>
      <w:r>
        <w:rPr>
          <w:rFonts w:hint="eastAsia" w:ascii="宋体" w:hAnsi="宋体" w:cs="宋体"/>
          <w:sz w:val="24"/>
          <w:szCs w:val="24"/>
          <w:highlight w:val="none"/>
        </w:rPr>
        <w:t>；</w:t>
      </w:r>
    </w:p>
    <w:p w14:paraId="409DD2F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《房屋建筑和市政基础设施工程竣工验收规定》（建质〔2013〕171号）</w:t>
      </w:r>
      <w:r>
        <w:rPr>
          <w:rFonts w:hint="eastAsia" w:ascii="宋体" w:hAnsi="宋体" w:cs="宋体"/>
          <w:sz w:val="24"/>
          <w:szCs w:val="24"/>
          <w:highlight w:val="none"/>
        </w:rPr>
        <w:t>；</w:t>
      </w:r>
    </w:p>
    <w:p w14:paraId="5CE3647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u w:val="single"/>
        </w:rPr>
        <w:t>《建设部关于贯彻执行建筑工程勘察设计及施工质量验收规范若干问题的通知》（建标〔2002〕212号）</w:t>
      </w:r>
      <w:r>
        <w:rPr>
          <w:rFonts w:hint="eastAsia" w:ascii="宋体" w:hAnsi="宋体" w:cs="宋体"/>
          <w:sz w:val="24"/>
          <w:szCs w:val="24"/>
          <w:highlight w:val="none"/>
        </w:rPr>
        <w:t>；</w:t>
      </w:r>
    </w:p>
    <w:p w14:paraId="58B428C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u w:val="single"/>
        </w:rPr>
        <w:t>《重庆市住房和城乡建设委员会关于印发&lt;重庆市房屋建筑和市政基础设施工程质量常见问题防治要点（2019年版）&gt;的通知》（渝建〔2019〕198号）</w:t>
      </w:r>
      <w:r>
        <w:rPr>
          <w:rFonts w:hint="eastAsia" w:ascii="宋体" w:hAnsi="宋体" w:cs="宋体"/>
          <w:sz w:val="24"/>
          <w:szCs w:val="24"/>
          <w:highlight w:val="none"/>
        </w:rPr>
        <w:t>；</w:t>
      </w:r>
    </w:p>
    <w:p w14:paraId="60486E0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w:t>
      </w:r>
      <w:r>
        <w:rPr>
          <w:rFonts w:hint="eastAsia" w:ascii="宋体" w:hAnsi="宋体" w:cs="宋体"/>
          <w:sz w:val="24"/>
          <w:szCs w:val="24"/>
          <w:highlight w:val="none"/>
          <w:u w:val="single"/>
        </w:rPr>
        <w:t>《关于印发&lt;重庆市房屋建筑和市政基础设施工程预拌商品砂浆应用推进工作方案&gt;的通知》（渝建〔2018〕375号）</w:t>
      </w:r>
      <w:r>
        <w:rPr>
          <w:rFonts w:hint="eastAsia" w:ascii="宋体" w:hAnsi="宋体" w:cs="宋体"/>
          <w:sz w:val="24"/>
          <w:szCs w:val="24"/>
          <w:highlight w:val="none"/>
        </w:rPr>
        <w:t>；</w:t>
      </w:r>
    </w:p>
    <w:p w14:paraId="0AF45EA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u w:val="single"/>
        </w:rPr>
        <w:t>《重庆市城乡建设委员会关于印发2018年房屋建筑和市政基础设施工程质量要点的通知》（渝建〔2018〕94号）</w:t>
      </w:r>
      <w:r>
        <w:rPr>
          <w:rFonts w:hint="eastAsia" w:ascii="宋体" w:hAnsi="宋体" w:cs="宋体"/>
          <w:sz w:val="24"/>
          <w:szCs w:val="24"/>
          <w:highlight w:val="none"/>
        </w:rPr>
        <w:t>；</w:t>
      </w:r>
    </w:p>
    <w:p w14:paraId="17588EF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u w:val="single"/>
        </w:rPr>
        <w:t>《重庆市城乡建设委员会关于进一步推广应用预拌商品砂浆的通知》（渝建〔2016〕318号）</w:t>
      </w:r>
      <w:r>
        <w:rPr>
          <w:rFonts w:hint="eastAsia" w:ascii="宋体" w:hAnsi="宋体" w:cs="宋体"/>
          <w:sz w:val="24"/>
          <w:szCs w:val="24"/>
          <w:highlight w:val="none"/>
        </w:rPr>
        <w:t>；</w:t>
      </w:r>
    </w:p>
    <w:p w14:paraId="19327F1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w:t>
      </w:r>
      <w:r>
        <w:rPr>
          <w:rFonts w:hint="eastAsia" w:ascii="宋体" w:hAnsi="宋体" w:cs="宋体"/>
          <w:sz w:val="24"/>
          <w:szCs w:val="24"/>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cs="宋体"/>
          <w:sz w:val="24"/>
          <w:szCs w:val="24"/>
          <w:highlight w:val="none"/>
        </w:rPr>
        <w:t>；</w:t>
      </w:r>
    </w:p>
    <w:p w14:paraId="537028A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cs="宋体"/>
          <w:sz w:val="24"/>
          <w:szCs w:val="24"/>
          <w:highlight w:val="none"/>
          <w:u w:val="single"/>
        </w:rPr>
        <w:t>国家和本市现行有关建设工程质量验收标准、规范和要求</w:t>
      </w:r>
      <w:r>
        <w:rPr>
          <w:rFonts w:hint="eastAsia" w:ascii="宋体" w:hAnsi="宋体" w:cs="宋体"/>
          <w:sz w:val="24"/>
          <w:szCs w:val="24"/>
          <w:highlight w:val="none"/>
        </w:rPr>
        <w:t>；</w:t>
      </w:r>
    </w:p>
    <w:p w14:paraId="04758F5D">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2083806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承包人和发包人在工程建设中，应严格执行国家及重庆市现行标准，如上述标准及规范要求有出入则以较严格者为准。</w:t>
      </w:r>
    </w:p>
    <w:p w14:paraId="40FF7EF6">
      <w:pPr>
        <w:pStyle w:val="8"/>
        <w:spacing w:before="0" w:after="0" w:line="400" w:lineRule="exact"/>
        <w:ind w:left="848" w:hanging="848" w:hangingChars="352"/>
        <w:rPr>
          <w:rFonts w:ascii="宋体" w:hAnsi="宋体" w:cs="宋体"/>
          <w:sz w:val="24"/>
          <w:szCs w:val="24"/>
          <w:highlight w:val="none"/>
        </w:rPr>
      </w:pPr>
      <w:bookmarkStart w:id="402" w:name="_Toc532377347"/>
      <w:bookmarkStart w:id="403" w:name="_Toc351203536"/>
      <w:bookmarkStart w:id="404" w:name="_Hlk528927873"/>
      <w:r>
        <w:rPr>
          <w:rFonts w:hint="eastAsia" w:ascii="宋体" w:hAnsi="宋体" w:cs="宋体"/>
          <w:sz w:val="24"/>
          <w:szCs w:val="24"/>
          <w:highlight w:val="none"/>
        </w:rPr>
        <w:t>5.3隐蔽工程检查</w:t>
      </w:r>
    </w:p>
    <w:p w14:paraId="388A24A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5.3.2检查程序</w:t>
      </w:r>
    </w:p>
    <w:p w14:paraId="0EB7427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工程隐蔽部位经承包人自检确认具备覆盖条件的，承包人应在共同检查前</w:t>
      </w:r>
      <w:r>
        <w:rPr>
          <w:rFonts w:hint="eastAsia" w:ascii="宋体" w:hAnsi="宋体" w:cs="宋体"/>
          <w:sz w:val="24"/>
          <w:szCs w:val="24"/>
          <w:highlight w:val="none"/>
          <w:u w:val="single"/>
        </w:rPr>
        <w:t xml:space="preserve"> 48  </w:t>
      </w:r>
      <w:r>
        <w:rPr>
          <w:rFonts w:hint="eastAsia" w:ascii="宋体" w:hAnsi="宋体" w:cs="宋体"/>
          <w:sz w:val="24"/>
          <w:szCs w:val="24"/>
          <w:highlight w:val="none"/>
        </w:rPr>
        <w:t>小时书面通知发包人检查，通知中应载明隐蔽检查的内容、时间和地点，并应附有自检记录和必要的检查资料。</w:t>
      </w:r>
    </w:p>
    <w:p w14:paraId="15995C64">
      <w:pPr>
        <w:pStyle w:val="8"/>
        <w:spacing w:before="0" w:after="0" w:line="400" w:lineRule="exact"/>
        <w:ind w:left="848" w:hanging="848" w:hangingChars="352"/>
        <w:rPr>
          <w:rFonts w:ascii="宋体" w:hAnsi="宋体" w:cs="宋体"/>
          <w:sz w:val="24"/>
          <w:szCs w:val="24"/>
          <w:highlight w:val="none"/>
        </w:rPr>
      </w:pPr>
      <w:r>
        <w:rPr>
          <w:rFonts w:hint="eastAsia" w:ascii="宋体" w:hAnsi="宋体" w:cs="宋体"/>
          <w:sz w:val="24"/>
          <w:szCs w:val="24"/>
          <w:highlight w:val="none"/>
        </w:rPr>
        <w:t>5</w:t>
      </w:r>
      <w:bookmarkStart w:id="405" w:name="_Toc337558762"/>
      <w:r>
        <w:rPr>
          <w:rFonts w:hint="eastAsia" w:ascii="宋体" w:hAnsi="宋体" w:cs="宋体"/>
          <w:sz w:val="24"/>
          <w:szCs w:val="24"/>
          <w:highlight w:val="none"/>
        </w:rPr>
        <w:t>.4 不合格工程的处理</w:t>
      </w:r>
      <w:bookmarkEnd w:id="402"/>
      <w:bookmarkEnd w:id="403"/>
    </w:p>
    <w:bookmarkEnd w:id="405"/>
    <w:p w14:paraId="79DFCB3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本款补充5.4.3项：</w:t>
      </w:r>
    </w:p>
    <w:p w14:paraId="64DE24C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5.4.3 承包人在收到发包人发出的《不合格分项报告》后，必须在发包人规定时间内按要求完成整改，未能在限定时间内完成整改的，须承担相应违约责任。</w:t>
      </w:r>
    </w:p>
    <w:p w14:paraId="60FF1D4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本条补充5.6款：</w:t>
      </w:r>
    </w:p>
    <w:bookmarkEnd w:id="404"/>
    <w:p w14:paraId="19C6B875">
      <w:pPr>
        <w:pStyle w:val="8"/>
        <w:spacing w:before="0" w:after="0" w:line="400" w:lineRule="exact"/>
        <w:ind w:left="848" w:hanging="848" w:hangingChars="352"/>
        <w:rPr>
          <w:rFonts w:ascii="宋体" w:hAnsi="宋体" w:cs="宋体"/>
          <w:sz w:val="24"/>
          <w:szCs w:val="24"/>
          <w:highlight w:val="none"/>
        </w:rPr>
      </w:pPr>
      <w:bookmarkStart w:id="406" w:name="_Toc532377348"/>
      <w:r>
        <w:rPr>
          <w:rFonts w:hint="eastAsia" w:ascii="宋体" w:hAnsi="宋体" w:cs="宋体"/>
          <w:sz w:val="24"/>
          <w:szCs w:val="24"/>
          <w:highlight w:val="none"/>
        </w:rPr>
        <w:t>5.6 质量事故的处理</w:t>
      </w:r>
      <w:bookmarkEnd w:id="406"/>
    </w:p>
    <w:p w14:paraId="2532D32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5.6.1 合同履行过程中，发生工程质量事故的调查处理按照国家及重庆市现行规定处理。</w:t>
      </w:r>
    </w:p>
    <w:p w14:paraId="39CD898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5.6.2 发包人在对工程质量、安全和环境保护、水土保持等建设全过程管理中发现有技术、质量和其他问题的，可责令承包人返工或整改；对存在的隐患，有权责令承包人予以解决，承包人按照合同中其他条款约定承担违约责任。</w:t>
      </w:r>
    </w:p>
    <w:bookmarkEnd w:id="382"/>
    <w:bookmarkEnd w:id="383"/>
    <w:bookmarkEnd w:id="384"/>
    <w:bookmarkEnd w:id="385"/>
    <w:bookmarkEnd w:id="386"/>
    <w:bookmarkEnd w:id="387"/>
    <w:bookmarkEnd w:id="388"/>
    <w:bookmarkEnd w:id="389"/>
    <w:bookmarkEnd w:id="390"/>
    <w:bookmarkEnd w:id="391"/>
    <w:bookmarkEnd w:id="394"/>
    <w:bookmarkEnd w:id="395"/>
    <w:bookmarkEnd w:id="396"/>
    <w:bookmarkEnd w:id="397"/>
    <w:bookmarkEnd w:id="398"/>
    <w:bookmarkEnd w:id="399"/>
    <w:bookmarkEnd w:id="400"/>
    <w:p w14:paraId="5A3B8E46">
      <w:pPr>
        <w:pStyle w:val="7"/>
        <w:spacing w:before="0" w:after="0" w:line="400" w:lineRule="exact"/>
        <w:rPr>
          <w:rFonts w:ascii="宋体" w:hAnsi="宋体" w:eastAsia="宋体" w:cs="宋体"/>
          <w:bCs/>
          <w:sz w:val="24"/>
          <w:szCs w:val="24"/>
          <w:highlight w:val="none"/>
        </w:rPr>
      </w:pPr>
      <w:bookmarkStart w:id="407" w:name="_Toc351203638"/>
      <w:bookmarkStart w:id="408" w:name="_Toc532375613"/>
      <w:bookmarkStart w:id="409" w:name="_Toc532377349"/>
      <w:bookmarkStart w:id="410" w:name="_Toc296346674"/>
      <w:bookmarkStart w:id="411" w:name="_Toc296891213"/>
      <w:bookmarkStart w:id="412" w:name="_Toc267251428"/>
      <w:bookmarkStart w:id="413" w:name="_Toc292559378"/>
      <w:bookmarkStart w:id="414" w:name="_Toc292559883"/>
      <w:bookmarkStart w:id="415" w:name="_Toc297120473"/>
      <w:bookmarkStart w:id="416" w:name="_Toc296503173"/>
      <w:bookmarkStart w:id="417" w:name="_Toc267251427"/>
      <w:bookmarkStart w:id="418" w:name="_Toc297048359"/>
      <w:bookmarkStart w:id="419" w:name="_Toc296891001"/>
      <w:bookmarkStart w:id="420" w:name="_Toc296944512"/>
      <w:bookmarkStart w:id="421" w:name="_Toc296347172"/>
      <w:r>
        <w:rPr>
          <w:rFonts w:hint="eastAsia" w:ascii="宋体" w:hAnsi="宋体" w:eastAsia="宋体" w:cs="宋体"/>
          <w:sz w:val="24"/>
          <w:szCs w:val="24"/>
          <w:highlight w:val="none"/>
        </w:rPr>
        <w:t>6. 安全文明施工与环境保护</w:t>
      </w:r>
      <w:bookmarkEnd w:id="407"/>
      <w:bookmarkEnd w:id="408"/>
      <w:bookmarkEnd w:id="409"/>
    </w:p>
    <w:p w14:paraId="06CB18DE">
      <w:pPr>
        <w:pStyle w:val="8"/>
        <w:spacing w:before="0" w:after="0" w:line="400" w:lineRule="exact"/>
        <w:ind w:left="848" w:hanging="848" w:hangingChars="352"/>
        <w:rPr>
          <w:rFonts w:ascii="宋体" w:hAnsi="宋体" w:cs="宋体"/>
          <w:sz w:val="24"/>
          <w:szCs w:val="24"/>
          <w:highlight w:val="none"/>
        </w:rPr>
      </w:pPr>
      <w:bookmarkStart w:id="422" w:name="_Toc532377350"/>
      <w:bookmarkStart w:id="423" w:name="_Toc532375614"/>
      <w:r>
        <w:rPr>
          <w:rFonts w:hint="eastAsia" w:ascii="宋体" w:hAnsi="宋体" w:cs="宋体"/>
          <w:sz w:val="24"/>
          <w:szCs w:val="24"/>
          <w:highlight w:val="none"/>
        </w:rPr>
        <w:t>6.1 安全文明施工</w:t>
      </w:r>
      <w:bookmarkEnd w:id="422"/>
      <w:bookmarkEnd w:id="423"/>
    </w:p>
    <w:p w14:paraId="6A17E6C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321B176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的批准。</w:t>
      </w:r>
    </w:p>
    <w:p w14:paraId="03D647C3">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6.1.1 项目安全生产的达标目标及相应事项的约定：</w:t>
      </w:r>
      <w:r>
        <w:rPr>
          <w:rFonts w:hint="eastAsia" w:ascii="宋体" w:hAnsi="宋体" w:cs="宋体"/>
          <w:sz w:val="24"/>
          <w:szCs w:val="24"/>
          <w:highlight w:val="none"/>
          <w:u w:val="single"/>
        </w:rPr>
        <w:t>达到《建筑施工安全检查标准》（JGJ59-2011）的要求</w:t>
      </w:r>
      <w:r>
        <w:rPr>
          <w:rFonts w:hint="eastAsia" w:ascii="宋体" w:hAnsi="宋体" w:cs="宋体"/>
          <w:sz w:val="24"/>
          <w:szCs w:val="24"/>
          <w:highlight w:val="none"/>
        </w:rPr>
        <w:t>。</w:t>
      </w:r>
    </w:p>
    <w:p w14:paraId="1864445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（1）按现行安全文明施工费计取及使用管理的政策文件规定及发包人制订的安全管理制度执行</w:t>
      </w:r>
      <w:r>
        <w:rPr>
          <w:rFonts w:hint="eastAsia" w:ascii="宋体" w:hAnsi="宋体" w:cs="宋体"/>
          <w:sz w:val="24"/>
          <w:szCs w:val="24"/>
          <w:highlight w:val="none"/>
        </w:rPr>
        <w:t>。</w:t>
      </w:r>
    </w:p>
    <w:p w14:paraId="245158E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（2）承包人的原因造成事故，由此产生的法律责任和事故责任及费用由承包人全部承担</w:t>
      </w:r>
      <w:r>
        <w:rPr>
          <w:rFonts w:hint="eastAsia" w:ascii="宋体" w:hAnsi="宋体" w:cs="宋体"/>
          <w:sz w:val="24"/>
          <w:szCs w:val="24"/>
          <w:highlight w:val="none"/>
        </w:rPr>
        <w:t>。</w:t>
      </w:r>
    </w:p>
    <w:p w14:paraId="4120F03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（3）承包人向发包人做出安全承诺，并签订《安全生产目标责任书》和《安全承诺书》</w:t>
      </w:r>
      <w:r>
        <w:rPr>
          <w:rFonts w:hint="eastAsia" w:ascii="宋体" w:hAnsi="宋体" w:cs="宋体"/>
          <w:sz w:val="24"/>
          <w:szCs w:val="24"/>
          <w:highlight w:val="none"/>
        </w:rPr>
        <w:t>。</w:t>
      </w:r>
    </w:p>
    <w:p w14:paraId="175A6BA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（4）承包人在施工过程中，必须严格执行安全生产法的相关规定，制定切实可靠的安全技术措施</w:t>
      </w:r>
      <w:r>
        <w:rPr>
          <w:rFonts w:hint="eastAsia" w:ascii="宋体" w:hAnsi="宋体" w:cs="宋体"/>
          <w:sz w:val="24"/>
          <w:szCs w:val="24"/>
          <w:highlight w:val="none"/>
        </w:rPr>
        <w:t>。</w:t>
      </w:r>
    </w:p>
    <w:p w14:paraId="33B52822">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（5）接受发包人安全监督和管理，在施工中违反安全管理规定和操作规程、违章作业的，承担违约责任</w:t>
      </w:r>
      <w:r>
        <w:rPr>
          <w:rFonts w:hint="eastAsia" w:ascii="宋体" w:hAnsi="宋体" w:cs="宋体"/>
          <w:sz w:val="24"/>
          <w:szCs w:val="24"/>
          <w:highlight w:val="none"/>
        </w:rPr>
        <w:t>。</w:t>
      </w:r>
    </w:p>
    <w:p w14:paraId="6BA4FA8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6.1.4 关于治安保卫的特别约定：</w:t>
      </w:r>
      <w:r>
        <w:rPr>
          <w:rFonts w:hint="eastAsia" w:ascii="宋体" w:hAnsi="宋体" w:cs="宋体"/>
          <w:sz w:val="24"/>
          <w:szCs w:val="24"/>
          <w:highlight w:val="none"/>
          <w:u w:val="single"/>
        </w:rPr>
        <w:t>承包人负责组建施工现场治安管理机构或联防组织；承包人负责编制施工场地治安管理计划和突发治安事件紧急预案</w:t>
      </w:r>
      <w:r>
        <w:rPr>
          <w:rFonts w:hint="eastAsia" w:ascii="宋体" w:hAnsi="宋体" w:cs="宋体"/>
          <w:sz w:val="24"/>
          <w:szCs w:val="24"/>
          <w:highlight w:val="none"/>
        </w:rPr>
        <w:t>。</w:t>
      </w:r>
    </w:p>
    <w:p w14:paraId="4ABD5091">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关于编制施工场地治安管理计划的约定：</w:t>
      </w:r>
      <w:r>
        <w:rPr>
          <w:rFonts w:hint="eastAsia" w:ascii="宋体" w:hAnsi="宋体" w:cs="宋体"/>
          <w:sz w:val="24"/>
          <w:szCs w:val="24"/>
          <w:highlight w:val="none"/>
          <w:u w:val="single"/>
        </w:rPr>
        <w:t>由承包人负责</w:t>
      </w:r>
      <w:r>
        <w:rPr>
          <w:rFonts w:hint="eastAsia" w:ascii="宋体" w:hAnsi="宋体" w:cs="宋体"/>
          <w:sz w:val="24"/>
          <w:szCs w:val="24"/>
          <w:highlight w:val="none"/>
        </w:rPr>
        <w:t>。</w:t>
      </w:r>
    </w:p>
    <w:p w14:paraId="3110964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6.1.5 文明施工</w:t>
      </w:r>
    </w:p>
    <w:p w14:paraId="1BA4270D">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合同当事人对文明施工的要求：</w:t>
      </w:r>
      <w:r>
        <w:rPr>
          <w:rFonts w:hint="eastAsia" w:ascii="宋体" w:hAnsi="宋体" w:cs="宋体"/>
          <w:sz w:val="24"/>
          <w:szCs w:val="24"/>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cs="宋体"/>
          <w:sz w:val="24"/>
          <w:szCs w:val="24"/>
          <w:highlight w:val="none"/>
        </w:rPr>
        <w:t>。</w:t>
      </w:r>
    </w:p>
    <w:p w14:paraId="506DD946">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cs="宋体"/>
          <w:sz w:val="24"/>
          <w:szCs w:val="24"/>
          <w:highlight w:val="none"/>
        </w:rPr>
        <w:t>。</w:t>
      </w:r>
    </w:p>
    <w:p w14:paraId="3C602F88">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6.1.6 关于安全文明施工费支付比例和支付期限的约定：按照行业主管部门相关规定执行。</w:t>
      </w:r>
    </w:p>
    <w:p w14:paraId="165F69E4">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安全文明施工费的要求与内容、提取支付方法以及违反约定造成损失的赔偿等条款，按照现行规范要求执行，做到专款专用</w:t>
      </w:r>
      <w:r>
        <w:rPr>
          <w:rFonts w:hint="eastAsia" w:ascii="宋体" w:hAnsi="宋体" w:cs="宋体"/>
          <w:sz w:val="24"/>
          <w:szCs w:val="24"/>
          <w:highlight w:val="none"/>
        </w:rPr>
        <w:t>。</w:t>
      </w:r>
    </w:p>
    <w:p w14:paraId="565E0E66">
      <w:pPr>
        <w:pStyle w:val="8"/>
        <w:spacing w:before="0" w:after="0" w:line="400" w:lineRule="exact"/>
        <w:ind w:left="848" w:hanging="848" w:hangingChars="352"/>
        <w:rPr>
          <w:rFonts w:ascii="宋体" w:hAnsi="宋体" w:cs="宋体"/>
          <w:sz w:val="24"/>
          <w:szCs w:val="24"/>
          <w:highlight w:val="none"/>
        </w:rPr>
      </w:pPr>
      <w:bookmarkStart w:id="424" w:name="_Toc532375615"/>
      <w:bookmarkStart w:id="425" w:name="_Toc532377351"/>
      <w:r>
        <w:rPr>
          <w:rFonts w:hint="eastAsia" w:ascii="宋体" w:hAnsi="宋体" w:cs="宋体"/>
          <w:sz w:val="24"/>
          <w:szCs w:val="24"/>
          <w:highlight w:val="none"/>
        </w:rPr>
        <w:t>6.3 环境保护</w:t>
      </w:r>
      <w:bookmarkEnd w:id="424"/>
      <w:bookmarkEnd w:id="425"/>
    </w:p>
    <w:p w14:paraId="697CF6B1">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本款补充6.3.1～6.3.8项：</w:t>
      </w:r>
    </w:p>
    <w:p w14:paraId="7FE9FEBD">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075767DD">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FC96069">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6.3.3 承包人应加强生态环境保护工作。施工期间，采取边坡防护，挡渣坝、排水沟、沉淀池、表土剥离和绿化恢复等水土保持措施减少水土流失量，绿化恢复宜采用适于当地生长的植物。</w:t>
      </w:r>
    </w:p>
    <w:p w14:paraId="13281A3E">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782DB896">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6.3.5 承包人应重视大气污染物污染防治措施。施工期间，严格执行市政府“蓝天行动”方案等有关规定，通过洒水防尘，严格控制施工场地扬尘和运输扬尘污染。</w:t>
      </w:r>
    </w:p>
    <w:p w14:paraId="2213AB84">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6.3.6 承包人应落实固体废物污染防治措施。施工期间，项目产生的弃方不可合理利用的，应运往指定的弃渣场内堆存；建筑垃圾运至指定的建筑垃圾消纳场处置；生活垃圾由当地环卫部门统一处置。</w:t>
      </w:r>
    </w:p>
    <w:p w14:paraId="5F8716F0">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6.3.7 承包人应认真落实噪声污染防治措施。施工期间，优选低噪声设备，合理安排施工时间，严格控制夜间施工，昼、夜施工场界需满足《建筑施工场界环境噪声排放标准》（GB12523-2011）。</w:t>
      </w:r>
    </w:p>
    <w:p w14:paraId="5FF455F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6.3.8 承包人自行负责办理有关施工场地交通、环卫和施工噪音管理等手续，并应按要求结合自身实际和重庆市相关规定，考虑不低于以上标准的此类工作。</w:t>
      </w:r>
    </w:p>
    <w:p w14:paraId="5F60EBF3">
      <w:pPr>
        <w:pStyle w:val="7"/>
        <w:spacing w:before="0" w:after="0" w:line="400" w:lineRule="exact"/>
        <w:rPr>
          <w:rFonts w:ascii="宋体" w:hAnsi="宋体" w:eastAsia="宋体" w:cs="宋体"/>
          <w:bCs/>
          <w:sz w:val="24"/>
          <w:szCs w:val="24"/>
          <w:highlight w:val="none"/>
        </w:rPr>
      </w:pPr>
      <w:bookmarkStart w:id="426" w:name="_Toc532375616"/>
      <w:bookmarkStart w:id="427" w:name="_Toc351203639"/>
      <w:bookmarkStart w:id="428" w:name="_Toc532377352"/>
      <w:r>
        <w:rPr>
          <w:rFonts w:hint="eastAsia" w:ascii="宋体" w:hAnsi="宋体" w:eastAsia="宋体" w:cs="宋体"/>
          <w:sz w:val="24"/>
          <w:szCs w:val="24"/>
          <w:highlight w:val="none"/>
        </w:rPr>
        <w:t>7. 工期和进度</w:t>
      </w:r>
      <w:bookmarkEnd w:id="426"/>
      <w:bookmarkEnd w:id="427"/>
      <w:bookmarkEnd w:id="428"/>
    </w:p>
    <w:p w14:paraId="06753E40">
      <w:pPr>
        <w:pStyle w:val="8"/>
        <w:spacing w:before="0" w:after="0" w:line="400" w:lineRule="exact"/>
        <w:ind w:left="848" w:hanging="848" w:hangingChars="352"/>
        <w:rPr>
          <w:rFonts w:ascii="宋体" w:hAnsi="宋体" w:cs="宋体"/>
          <w:sz w:val="24"/>
          <w:szCs w:val="24"/>
          <w:highlight w:val="none"/>
        </w:rPr>
      </w:pPr>
      <w:bookmarkStart w:id="429" w:name="_Toc532377353"/>
      <w:bookmarkStart w:id="430" w:name="_Toc532375617"/>
      <w:r>
        <w:rPr>
          <w:rFonts w:hint="eastAsia" w:ascii="宋体" w:hAnsi="宋体" w:cs="宋体"/>
          <w:sz w:val="24"/>
          <w:szCs w:val="24"/>
          <w:highlight w:val="none"/>
        </w:rPr>
        <w:t>7.1 施工组织设计</w:t>
      </w:r>
      <w:bookmarkEnd w:id="429"/>
      <w:bookmarkEnd w:id="430"/>
    </w:p>
    <w:p w14:paraId="2247E571">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7.1.1 合同当事人约定的施工组织设计应包括的其他内容：</w:t>
      </w:r>
      <w:r>
        <w:rPr>
          <w:rFonts w:hint="eastAsia" w:ascii="宋体" w:hAnsi="宋体" w:cs="宋体"/>
          <w:sz w:val="24"/>
          <w:szCs w:val="24"/>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cs="宋体"/>
          <w:sz w:val="24"/>
          <w:szCs w:val="24"/>
          <w:highlight w:val="none"/>
        </w:rPr>
        <w:t>。</w:t>
      </w:r>
    </w:p>
    <w:p w14:paraId="5A522C37">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7.1.2 施工组织设计的提交和修改</w:t>
      </w:r>
    </w:p>
    <w:p w14:paraId="35093813">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承包人提交详细施工组织设计的期限的约定：</w:t>
      </w:r>
      <w:r>
        <w:rPr>
          <w:rFonts w:hint="eastAsia" w:ascii="宋体" w:hAnsi="宋体" w:cs="宋体"/>
          <w:sz w:val="24"/>
          <w:szCs w:val="24"/>
          <w:highlight w:val="none"/>
          <w:u w:val="single"/>
        </w:rPr>
        <w:t>合同签订后10天内，但最迟不得晚于开工通知载明的开工日期前7天</w:t>
      </w:r>
      <w:r>
        <w:rPr>
          <w:rFonts w:hint="eastAsia" w:ascii="宋体" w:hAnsi="宋体" w:cs="宋体"/>
          <w:sz w:val="24"/>
          <w:szCs w:val="24"/>
          <w:highlight w:val="none"/>
        </w:rPr>
        <w:t>。</w:t>
      </w:r>
    </w:p>
    <w:p w14:paraId="692BE3B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发包人在收到详细的施工组织设计后确认或提出修改意见的期限：</w:t>
      </w:r>
      <w:r>
        <w:rPr>
          <w:rFonts w:hint="eastAsia" w:ascii="宋体" w:hAnsi="宋体" w:cs="宋体"/>
          <w:sz w:val="24"/>
          <w:szCs w:val="24"/>
          <w:highlight w:val="none"/>
          <w:u w:val="single"/>
        </w:rPr>
        <w:t>收到施工组织设计后10 天内</w:t>
      </w:r>
      <w:r>
        <w:rPr>
          <w:rFonts w:hint="eastAsia" w:ascii="宋体" w:hAnsi="宋体" w:cs="宋体"/>
          <w:sz w:val="24"/>
          <w:szCs w:val="24"/>
          <w:highlight w:val="none"/>
        </w:rPr>
        <w:t>。</w:t>
      </w:r>
    </w:p>
    <w:p w14:paraId="67502A9D">
      <w:pPr>
        <w:pStyle w:val="8"/>
        <w:spacing w:before="0" w:after="0" w:line="400" w:lineRule="exact"/>
        <w:ind w:left="848" w:hanging="848" w:hangingChars="352"/>
        <w:rPr>
          <w:rFonts w:ascii="宋体" w:hAnsi="宋体" w:cs="宋体"/>
          <w:sz w:val="24"/>
          <w:szCs w:val="24"/>
          <w:highlight w:val="none"/>
        </w:rPr>
      </w:pPr>
      <w:bookmarkStart w:id="431" w:name="_Toc532377354"/>
      <w:bookmarkStart w:id="432" w:name="_Toc532375618"/>
      <w:r>
        <w:rPr>
          <w:rFonts w:hint="eastAsia" w:ascii="宋体" w:hAnsi="宋体" w:cs="宋体"/>
          <w:sz w:val="24"/>
          <w:szCs w:val="24"/>
          <w:highlight w:val="none"/>
        </w:rPr>
        <w:t>7.2 施工进度计划</w:t>
      </w:r>
      <w:bookmarkEnd w:id="431"/>
      <w:bookmarkEnd w:id="432"/>
    </w:p>
    <w:p w14:paraId="6A449FF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7.2.2 施工进度计划的修订</w:t>
      </w:r>
    </w:p>
    <w:p w14:paraId="1EEC9EF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发包人在收到修订的施工进度计划后确认或提出修改意见的期限：</w:t>
      </w:r>
      <w:r>
        <w:rPr>
          <w:rFonts w:hint="eastAsia" w:ascii="宋体" w:hAnsi="宋体" w:cs="宋体"/>
          <w:sz w:val="24"/>
          <w:szCs w:val="24"/>
          <w:highlight w:val="none"/>
          <w:u w:val="single"/>
        </w:rPr>
        <w:t>收到修订的施工进度计划后10天内</w:t>
      </w:r>
      <w:r>
        <w:rPr>
          <w:rFonts w:hint="eastAsia" w:ascii="宋体" w:hAnsi="宋体" w:cs="宋体"/>
          <w:sz w:val="24"/>
          <w:szCs w:val="24"/>
          <w:highlight w:val="none"/>
        </w:rPr>
        <w:t>。</w:t>
      </w:r>
    </w:p>
    <w:p w14:paraId="0171A1F1">
      <w:pPr>
        <w:pStyle w:val="8"/>
        <w:spacing w:before="0" w:after="0" w:line="400" w:lineRule="exact"/>
        <w:ind w:left="848" w:hanging="848" w:hangingChars="352"/>
        <w:rPr>
          <w:rFonts w:ascii="宋体" w:hAnsi="宋体" w:cs="宋体"/>
          <w:sz w:val="24"/>
          <w:szCs w:val="24"/>
          <w:highlight w:val="none"/>
        </w:rPr>
      </w:pPr>
      <w:bookmarkStart w:id="433" w:name="_Toc532375619"/>
      <w:bookmarkStart w:id="434" w:name="_Toc532377355"/>
      <w:bookmarkStart w:id="435" w:name="_Toc303539123"/>
      <w:bookmarkStart w:id="436" w:name="_Toc297123514"/>
      <w:bookmarkStart w:id="437" w:name="_Toc304295541"/>
      <w:bookmarkStart w:id="438" w:name="_Toc297216173"/>
      <w:bookmarkStart w:id="439" w:name="_Toc300934966"/>
      <w:bookmarkStart w:id="440" w:name="_Toc312678005"/>
      <w:bookmarkStart w:id="441" w:name="_Toc312677479"/>
      <w:r>
        <w:rPr>
          <w:rFonts w:hint="eastAsia" w:ascii="宋体" w:hAnsi="宋体" w:cs="宋体"/>
          <w:sz w:val="24"/>
          <w:szCs w:val="24"/>
          <w:highlight w:val="none"/>
        </w:rPr>
        <w:t>7.3 开工</w:t>
      </w:r>
      <w:bookmarkEnd w:id="433"/>
      <w:bookmarkEnd w:id="434"/>
    </w:p>
    <w:p w14:paraId="48CF89A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7.3.1 开工准备</w:t>
      </w:r>
    </w:p>
    <w:p w14:paraId="3FE8876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关于承包人提交工程开工报审表的期限：</w:t>
      </w:r>
      <w:r>
        <w:rPr>
          <w:rFonts w:hint="eastAsia" w:ascii="宋体" w:hAnsi="宋体" w:cs="宋体"/>
          <w:sz w:val="24"/>
          <w:szCs w:val="24"/>
          <w:highlight w:val="none"/>
          <w:u w:val="single"/>
        </w:rPr>
        <w:t>不晚于开工前7天</w:t>
      </w:r>
      <w:r>
        <w:rPr>
          <w:rFonts w:hint="eastAsia" w:ascii="宋体" w:hAnsi="宋体" w:cs="宋体"/>
          <w:sz w:val="24"/>
          <w:szCs w:val="24"/>
          <w:highlight w:val="none"/>
        </w:rPr>
        <w:t>。</w:t>
      </w:r>
    </w:p>
    <w:p w14:paraId="67D8625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关于发包人应完成的其他开工准备工作及期限：</w:t>
      </w:r>
      <w:r>
        <w:rPr>
          <w:rFonts w:hint="eastAsia" w:ascii="宋体" w:hAnsi="宋体" w:cs="宋体"/>
          <w:sz w:val="24"/>
          <w:szCs w:val="24"/>
          <w:highlight w:val="none"/>
          <w:u w:val="single"/>
        </w:rPr>
        <w:t>不晚于开工前7天</w:t>
      </w:r>
      <w:r>
        <w:rPr>
          <w:rFonts w:hint="eastAsia" w:ascii="宋体" w:hAnsi="宋体" w:cs="宋体"/>
          <w:sz w:val="24"/>
          <w:szCs w:val="24"/>
          <w:highlight w:val="none"/>
        </w:rPr>
        <w:t>。</w:t>
      </w:r>
    </w:p>
    <w:p w14:paraId="3AF873C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关于承包人应完成的其他开工准备工作及期限：</w:t>
      </w:r>
      <w:r>
        <w:rPr>
          <w:rFonts w:hint="eastAsia" w:ascii="宋体" w:hAnsi="宋体" w:cs="宋体"/>
          <w:sz w:val="24"/>
          <w:szCs w:val="24"/>
          <w:highlight w:val="none"/>
          <w:u w:val="single"/>
        </w:rPr>
        <w:t>不晚于开工前7天</w:t>
      </w:r>
      <w:r>
        <w:rPr>
          <w:rFonts w:hint="eastAsia" w:ascii="宋体" w:hAnsi="宋体" w:cs="宋体"/>
          <w:sz w:val="24"/>
          <w:szCs w:val="24"/>
          <w:highlight w:val="none"/>
        </w:rPr>
        <w:t>。</w:t>
      </w:r>
    </w:p>
    <w:bookmarkEnd w:id="435"/>
    <w:bookmarkEnd w:id="436"/>
    <w:bookmarkEnd w:id="437"/>
    <w:bookmarkEnd w:id="438"/>
    <w:bookmarkEnd w:id="439"/>
    <w:bookmarkEnd w:id="440"/>
    <w:bookmarkEnd w:id="441"/>
    <w:p w14:paraId="33C1A31C">
      <w:pPr>
        <w:pStyle w:val="8"/>
        <w:spacing w:before="0" w:after="0" w:line="400" w:lineRule="exact"/>
        <w:ind w:left="848" w:hanging="848" w:hangingChars="352"/>
        <w:rPr>
          <w:rFonts w:ascii="宋体" w:hAnsi="宋体" w:cs="宋体"/>
          <w:sz w:val="24"/>
          <w:szCs w:val="24"/>
          <w:highlight w:val="none"/>
        </w:rPr>
      </w:pPr>
      <w:bookmarkStart w:id="442" w:name="_Toc532377356"/>
      <w:bookmarkStart w:id="443" w:name="_Toc532375620"/>
      <w:r>
        <w:rPr>
          <w:rFonts w:hint="eastAsia" w:ascii="宋体" w:hAnsi="宋体" w:cs="宋体"/>
          <w:sz w:val="24"/>
          <w:szCs w:val="24"/>
          <w:highlight w:val="none"/>
        </w:rPr>
        <w:t>7.4 测量放线</w:t>
      </w:r>
      <w:bookmarkEnd w:id="442"/>
      <w:bookmarkEnd w:id="443"/>
    </w:p>
    <w:p w14:paraId="13CE074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7.4.1 发包人向承包人提供测量基准点、基准线和水准点及其书面资料的期限：</w:t>
      </w:r>
      <w:r>
        <w:rPr>
          <w:rFonts w:hint="eastAsia" w:ascii="宋体" w:hAnsi="宋体" w:cs="宋体"/>
          <w:sz w:val="24"/>
          <w:szCs w:val="24"/>
          <w:highlight w:val="none"/>
          <w:u w:val="single"/>
        </w:rPr>
        <w:t>不晚于开工前5天</w:t>
      </w:r>
      <w:r>
        <w:rPr>
          <w:rFonts w:hint="eastAsia" w:ascii="宋体" w:hAnsi="宋体" w:cs="宋体"/>
          <w:sz w:val="24"/>
          <w:szCs w:val="24"/>
          <w:highlight w:val="none"/>
        </w:rPr>
        <w:t>。</w:t>
      </w:r>
    </w:p>
    <w:p w14:paraId="5D3E65D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承包人报发包人审批施工控制网资料的期限：</w:t>
      </w:r>
      <w:r>
        <w:rPr>
          <w:rFonts w:hint="eastAsia" w:ascii="宋体" w:hAnsi="宋体" w:cs="宋体"/>
          <w:sz w:val="24"/>
          <w:szCs w:val="24"/>
          <w:highlight w:val="none"/>
          <w:u w:val="single"/>
        </w:rPr>
        <w:t>发出开工通知后5天。承包人发现发包人提供的测量基准点、基准线和水准点及其书面资料存在错误或疏漏的，应及时通知发包人，承包人应会同发包人核实，发包人就如何处理和是否继续施工作出决定，并通知承包人</w:t>
      </w:r>
      <w:r>
        <w:rPr>
          <w:rFonts w:hint="eastAsia" w:ascii="宋体" w:hAnsi="宋体" w:cs="宋体"/>
          <w:sz w:val="24"/>
          <w:szCs w:val="24"/>
          <w:highlight w:val="none"/>
        </w:rPr>
        <w:t>。</w:t>
      </w:r>
    </w:p>
    <w:p w14:paraId="5189CB0D">
      <w:pPr>
        <w:pStyle w:val="8"/>
        <w:spacing w:before="0" w:after="0" w:line="400" w:lineRule="exact"/>
        <w:ind w:left="848" w:hanging="848" w:hangingChars="352"/>
        <w:rPr>
          <w:rFonts w:ascii="宋体" w:hAnsi="宋体" w:cs="宋体"/>
          <w:sz w:val="24"/>
          <w:szCs w:val="24"/>
          <w:highlight w:val="none"/>
        </w:rPr>
      </w:pPr>
      <w:bookmarkStart w:id="444" w:name="_Toc532375621"/>
      <w:bookmarkStart w:id="445" w:name="_Toc532377357"/>
      <w:r>
        <w:rPr>
          <w:rFonts w:hint="eastAsia" w:ascii="宋体" w:hAnsi="宋体" w:cs="宋体"/>
          <w:sz w:val="24"/>
          <w:szCs w:val="24"/>
          <w:highlight w:val="none"/>
        </w:rPr>
        <w:t>7</w:t>
      </w:r>
      <w:bookmarkStart w:id="446" w:name="_Toc304295546"/>
      <w:bookmarkStart w:id="447" w:name="_Toc312678010"/>
      <w:bookmarkStart w:id="448" w:name="_Toc300934968"/>
      <w:bookmarkStart w:id="449" w:name="_Toc297216175"/>
      <w:bookmarkStart w:id="450" w:name="_Toc297123516"/>
      <w:bookmarkStart w:id="451" w:name="_Toc312677484"/>
      <w:bookmarkStart w:id="452" w:name="_Toc303539125"/>
      <w:r>
        <w:rPr>
          <w:rFonts w:hint="eastAsia" w:ascii="宋体" w:hAnsi="宋体" w:cs="宋体"/>
          <w:sz w:val="24"/>
          <w:szCs w:val="24"/>
          <w:highlight w:val="none"/>
        </w:rPr>
        <w:t>.5 工期延误</w:t>
      </w:r>
      <w:bookmarkEnd w:id="444"/>
      <w:bookmarkEnd w:id="445"/>
    </w:p>
    <w:bookmarkEnd w:id="446"/>
    <w:bookmarkEnd w:id="447"/>
    <w:bookmarkEnd w:id="448"/>
    <w:bookmarkEnd w:id="449"/>
    <w:bookmarkEnd w:id="450"/>
    <w:bookmarkEnd w:id="451"/>
    <w:bookmarkEnd w:id="452"/>
    <w:p w14:paraId="03F28AB6">
      <w:pPr>
        <w:spacing w:line="400" w:lineRule="exact"/>
        <w:ind w:firstLine="480" w:firstLineChars="200"/>
        <w:jc w:val="left"/>
        <w:rPr>
          <w:rFonts w:ascii="宋体" w:hAnsi="宋体" w:cs="宋体"/>
          <w:sz w:val="24"/>
          <w:szCs w:val="24"/>
          <w:highlight w:val="none"/>
        </w:rPr>
      </w:pPr>
      <w:bookmarkStart w:id="453" w:name="_Hlk528927940"/>
      <w:r>
        <w:rPr>
          <w:rFonts w:hint="eastAsia" w:ascii="宋体" w:hAnsi="宋体" w:cs="宋体"/>
          <w:sz w:val="24"/>
          <w:szCs w:val="24"/>
          <w:highlight w:val="none"/>
        </w:rPr>
        <w:t>7.5.1 因发包人原因导致工期延误：</w:t>
      </w:r>
    </w:p>
    <w:p w14:paraId="78FFCCD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在合同履行过程中，除通用条款约定外，因下列情况导致工期延误和（或）费用增加的，由发包人承担由此延误的工期和（或）增加的费用：</w:t>
      </w:r>
    </w:p>
    <w:p w14:paraId="2F8B47A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（1）发包人未能按合同约定提供施工场地，且该未提供开工条件直接影响项目关键线路的；</w:t>
      </w:r>
    </w:p>
    <w:p w14:paraId="2FE75F3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（2）发包人提供的测量基准点、基准线和水准点及其书面资料存在错误或疏漏，且该错误或疏漏直接影响项目关键线路的；</w:t>
      </w:r>
    </w:p>
    <w:p w14:paraId="615582C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（3）发包人未按合同约定发出指示、批准等文件，且该未按合同约定发出指示、批准直接影响项目关键线路的；</w:t>
      </w:r>
    </w:p>
    <w:p w14:paraId="41E0110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（4）变更未及时审批，直接影响项目关键线路的；</w:t>
      </w:r>
    </w:p>
    <w:p w14:paraId="6898B16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（5）实施变更直接影响项目关键线路的；</w:t>
      </w:r>
    </w:p>
    <w:p w14:paraId="34EDDD3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（6）因发包人原因导致工程暂停施工、停建、缓建的；</w:t>
      </w:r>
    </w:p>
    <w:p w14:paraId="370427D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（7）因征地拆迁、当地群众阻工等情形的；</w:t>
      </w:r>
    </w:p>
    <w:p w14:paraId="7DB2B8B6">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（8）</w:t>
      </w:r>
      <w:r>
        <w:rPr>
          <w:rFonts w:hint="eastAsia" w:ascii="宋体" w:hAnsi="宋体" w:cs="宋体"/>
          <w:sz w:val="24"/>
          <w:szCs w:val="24"/>
          <w:highlight w:val="none"/>
          <w:u w:val="single"/>
        </w:rPr>
        <w:t>合同约定的其他情形</w:t>
      </w:r>
      <w:r>
        <w:rPr>
          <w:rFonts w:hint="eastAsia" w:ascii="宋体" w:hAnsi="宋体" w:cs="宋体"/>
          <w:sz w:val="24"/>
          <w:szCs w:val="24"/>
          <w:highlight w:val="none"/>
        </w:rPr>
        <w:t>。</w:t>
      </w:r>
    </w:p>
    <w:p w14:paraId="64D0D1A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cs="宋体"/>
          <w:sz w:val="24"/>
          <w:szCs w:val="24"/>
          <w:highlight w:val="none"/>
        </w:rPr>
        <w:t>。</w:t>
      </w:r>
    </w:p>
    <w:p w14:paraId="376608C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7.5.2 因承包人原因导致工期延误</w:t>
      </w:r>
    </w:p>
    <w:p w14:paraId="3183225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因承包人原因造成工期延误，逾期竣工按16.2.2（6）目执行。</w:t>
      </w:r>
    </w:p>
    <w:bookmarkEnd w:id="453"/>
    <w:p w14:paraId="68E31764">
      <w:pPr>
        <w:pStyle w:val="8"/>
        <w:spacing w:before="0" w:after="0" w:line="400" w:lineRule="exact"/>
        <w:ind w:left="848" w:hanging="848" w:hangingChars="352"/>
        <w:rPr>
          <w:rFonts w:ascii="宋体" w:hAnsi="宋体" w:cs="宋体"/>
          <w:sz w:val="24"/>
          <w:szCs w:val="24"/>
          <w:highlight w:val="none"/>
        </w:rPr>
      </w:pPr>
      <w:bookmarkStart w:id="454" w:name="_Toc532375622"/>
      <w:bookmarkStart w:id="455" w:name="_Toc532377358"/>
      <w:bookmarkStart w:id="456" w:name="_Hlk528927997"/>
      <w:r>
        <w:rPr>
          <w:rFonts w:hint="eastAsia" w:ascii="宋体" w:hAnsi="宋体" w:cs="宋体"/>
          <w:sz w:val="24"/>
          <w:szCs w:val="24"/>
          <w:highlight w:val="none"/>
        </w:rPr>
        <w:t>7</w:t>
      </w:r>
      <w:bookmarkStart w:id="457" w:name="_Toc303539128"/>
      <w:bookmarkStart w:id="458" w:name="_Toc304295549"/>
      <w:bookmarkStart w:id="459" w:name="_Toc300934971"/>
      <w:bookmarkStart w:id="460" w:name="_Toc297216178"/>
      <w:bookmarkStart w:id="461" w:name="_Toc297123519"/>
      <w:bookmarkStart w:id="462" w:name="_Toc312678015"/>
      <w:r>
        <w:rPr>
          <w:rFonts w:hint="eastAsia" w:ascii="宋体" w:hAnsi="宋体" w:cs="宋体"/>
          <w:sz w:val="24"/>
          <w:szCs w:val="24"/>
          <w:highlight w:val="none"/>
        </w:rPr>
        <w:t>.6 不</w:t>
      </w:r>
      <w:bookmarkEnd w:id="457"/>
      <w:bookmarkEnd w:id="458"/>
      <w:bookmarkEnd w:id="459"/>
      <w:bookmarkEnd w:id="460"/>
      <w:bookmarkEnd w:id="461"/>
      <w:bookmarkEnd w:id="462"/>
      <w:r>
        <w:rPr>
          <w:rFonts w:hint="eastAsia" w:ascii="宋体" w:hAnsi="宋体" w:cs="宋体"/>
          <w:sz w:val="24"/>
          <w:szCs w:val="24"/>
          <w:highlight w:val="none"/>
        </w:rPr>
        <w:t>利物质条件</w:t>
      </w:r>
      <w:bookmarkEnd w:id="454"/>
      <w:bookmarkEnd w:id="455"/>
    </w:p>
    <w:bookmarkEnd w:id="456"/>
    <w:p w14:paraId="4764A0DF">
      <w:pPr>
        <w:spacing w:line="400" w:lineRule="exact"/>
        <w:ind w:firstLine="480" w:firstLineChars="200"/>
        <w:jc w:val="left"/>
        <w:rPr>
          <w:rFonts w:ascii="宋体" w:hAnsi="宋体" w:cs="宋体"/>
          <w:bCs/>
          <w:sz w:val="24"/>
          <w:szCs w:val="24"/>
          <w:highlight w:val="none"/>
        </w:rPr>
      </w:pPr>
      <w:bookmarkStart w:id="463" w:name="_Toc304295550"/>
      <w:bookmarkStart w:id="464" w:name="_Toc318581172"/>
      <w:bookmarkStart w:id="465" w:name="_Toc312678016"/>
      <w:bookmarkStart w:id="466" w:name="_Toc297123520"/>
      <w:bookmarkStart w:id="467" w:name="_Toc297216179"/>
      <w:bookmarkStart w:id="468" w:name="_Toc303539129"/>
      <w:bookmarkStart w:id="469" w:name="_Toc300934972"/>
      <w:r>
        <w:rPr>
          <w:rFonts w:hint="eastAsia" w:ascii="宋体" w:hAnsi="宋体" w:cs="宋体"/>
          <w:sz w:val="24"/>
          <w:szCs w:val="24"/>
          <w:highlight w:val="none"/>
        </w:rPr>
        <w:t>不利物质条件的其他情形和有关约定：</w:t>
      </w:r>
      <w:bookmarkStart w:id="470" w:name="_Hlk528910274"/>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bookmarkEnd w:id="463"/>
    <w:bookmarkEnd w:id="464"/>
    <w:bookmarkEnd w:id="465"/>
    <w:bookmarkEnd w:id="466"/>
    <w:bookmarkEnd w:id="467"/>
    <w:bookmarkEnd w:id="468"/>
    <w:bookmarkEnd w:id="469"/>
    <w:bookmarkEnd w:id="470"/>
    <w:p w14:paraId="78BB555E">
      <w:pPr>
        <w:pStyle w:val="8"/>
        <w:spacing w:before="0" w:after="0" w:line="400" w:lineRule="exact"/>
        <w:ind w:left="848" w:hanging="848" w:hangingChars="352"/>
        <w:rPr>
          <w:rFonts w:ascii="宋体" w:hAnsi="宋体" w:cs="宋体"/>
          <w:sz w:val="24"/>
          <w:szCs w:val="24"/>
          <w:highlight w:val="none"/>
        </w:rPr>
      </w:pPr>
      <w:bookmarkStart w:id="471" w:name="_Toc532377359"/>
      <w:bookmarkStart w:id="472" w:name="_Toc532375623"/>
      <w:r>
        <w:rPr>
          <w:rFonts w:hint="eastAsia" w:ascii="宋体" w:hAnsi="宋体" w:cs="宋体"/>
          <w:sz w:val="24"/>
          <w:szCs w:val="24"/>
          <w:highlight w:val="none"/>
        </w:rPr>
        <w:t>7</w:t>
      </w:r>
      <w:bookmarkStart w:id="473" w:name="_Toc297216180"/>
      <w:bookmarkStart w:id="474" w:name="_Toc304295551"/>
      <w:bookmarkStart w:id="475" w:name="_Toc312678017"/>
      <w:bookmarkStart w:id="476" w:name="_Toc303539130"/>
      <w:bookmarkStart w:id="477" w:name="_Toc300934973"/>
      <w:bookmarkStart w:id="478" w:name="_Toc297123521"/>
      <w:r>
        <w:rPr>
          <w:rFonts w:hint="eastAsia" w:ascii="宋体" w:hAnsi="宋体" w:cs="宋体"/>
          <w:sz w:val="24"/>
          <w:szCs w:val="24"/>
          <w:highlight w:val="none"/>
        </w:rPr>
        <w:t>.7异常恶劣的气候条件</w:t>
      </w:r>
      <w:bookmarkEnd w:id="471"/>
      <w:bookmarkEnd w:id="472"/>
    </w:p>
    <w:bookmarkEnd w:id="473"/>
    <w:bookmarkEnd w:id="474"/>
    <w:bookmarkEnd w:id="475"/>
    <w:bookmarkEnd w:id="476"/>
    <w:bookmarkEnd w:id="477"/>
    <w:bookmarkEnd w:id="478"/>
    <w:p w14:paraId="4562E1BC">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发包人和承包人同意以下情形视为异常恶劣的气候条件：</w:t>
      </w:r>
      <w:r>
        <w:rPr>
          <w:rFonts w:hint="eastAsia" w:ascii="宋体" w:hAnsi="宋体" w:cs="宋体"/>
          <w:sz w:val="24"/>
          <w:szCs w:val="24"/>
          <w:highlight w:val="none"/>
          <w:u w:val="single"/>
        </w:rPr>
        <w:t xml:space="preserve">    （异常气候是指项目所在地50年以上一遇的罕见气候现象）</w:t>
      </w:r>
      <w:r>
        <w:rPr>
          <w:rFonts w:hint="eastAsia" w:ascii="宋体" w:hAnsi="宋体" w:cs="宋体"/>
          <w:sz w:val="24"/>
          <w:szCs w:val="24"/>
          <w:highlight w:val="none"/>
        </w:rPr>
        <w:t>。</w:t>
      </w:r>
    </w:p>
    <w:p w14:paraId="5C2F987A">
      <w:pPr>
        <w:pStyle w:val="8"/>
        <w:spacing w:before="0" w:after="0" w:line="400" w:lineRule="exact"/>
        <w:ind w:left="848" w:hanging="848" w:hangingChars="352"/>
        <w:rPr>
          <w:rFonts w:ascii="宋体" w:hAnsi="宋体" w:cs="宋体"/>
          <w:sz w:val="24"/>
          <w:szCs w:val="24"/>
          <w:highlight w:val="none"/>
        </w:rPr>
      </w:pPr>
      <w:bookmarkStart w:id="479" w:name="_Toc532377360"/>
      <w:bookmarkStart w:id="480" w:name="_Toc532375624"/>
      <w:r>
        <w:rPr>
          <w:rFonts w:hint="eastAsia" w:ascii="宋体" w:hAnsi="宋体" w:cs="宋体"/>
          <w:sz w:val="24"/>
          <w:szCs w:val="24"/>
          <w:highlight w:val="none"/>
        </w:rPr>
        <w:t>7.9 提前竣工</w:t>
      </w:r>
      <w:bookmarkEnd w:id="479"/>
      <w:bookmarkEnd w:id="480"/>
    </w:p>
    <w:p w14:paraId="68320B2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7.9.1项细化为：</w:t>
      </w:r>
    </w:p>
    <w:p w14:paraId="75C89F1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当项目需要提前竣工或项目工期按照第7.5款〔工期延误〕约定顺延后需要提前竣工的，发包人应向承包人下达提前竣工指示。承包人同意提前竣工的，应向发包人提交提前竣工方案，提前竣工方案经发包人审批后生效。由此增加的费用按照第10.4.1项〔变更估价原则〕约定执行。</w:t>
      </w:r>
    </w:p>
    <w:p w14:paraId="419760D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（2）发包人不得随意要求承包人提前竣工，承包人也不得随意提出提前竣工的建议。如遇特殊情况，确需将工期提前的，发包人和承包人必须采取有效措施，确保工程质量。</w:t>
      </w:r>
    </w:p>
    <w:p w14:paraId="5D6F18E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7E0AEB8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7.9.2 提前竣工的奖励：</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705AEBBA">
      <w:pPr>
        <w:pStyle w:val="7"/>
        <w:spacing w:before="0" w:after="0" w:line="400" w:lineRule="exact"/>
        <w:rPr>
          <w:rFonts w:ascii="宋体" w:hAnsi="宋体" w:eastAsia="宋体" w:cs="宋体"/>
          <w:bCs/>
          <w:sz w:val="24"/>
          <w:szCs w:val="24"/>
          <w:highlight w:val="none"/>
        </w:rPr>
      </w:pPr>
      <w:bookmarkStart w:id="481" w:name="_Toc532375625"/>
      <w:bookmarkStart w:id="482" w:name="_Toc532377361"/>
      <w:bookmarkStart w:id="483" w:name="_Toc351203640"/>
      <w:r>
        <w:rPr>
          <w:rFonts w:hint="eastAsia" w:ascii="宋体" w:hAnsi="宋体" w:eastAsia="宋体" w:cs="宋体"/>
          <w:sz w:val="24"/>
          <w:szCs w:val="24"/>
          <w:highlight w:val="none"/>
        </w:rPr>
        <w:t>8. 材料与设备</w:t>
      </w:r>
      <w:bookmarkEnd w:id="481"/>
      <w:bookmarkEnd w:id="482"/>
      <w:bookmarkEnd w:id="483"/>
    </w:p>
    <w:p w14:paraId="05BC6C81">
      <w:pPr>
        <w:pStyle w:val="8"/>
        <w:spacing w:before="0" w:after="0" w:line="400" w:lineRule="exact"/>
        <w:ind w:left="848" w:hanging="848" w:hangingChars="352"/>
        <w:rPr>
          <w:rFonts w:ascii="宋体" w:hAnsi="宋体" w:cs="宋体"/>
          <w:sz w:val="24"/>
          <w:szCs w:val="24"/>
          <w:highlight w:val="none"/>
        </w:rPr>
      </w:pPr>
      <w:bookmarkStart w:id="484" w:name="_Toc532377362"/>
      <w:bookmarkStart w:id="485" w:name="_Toc532375626"/>
      <w:r>
        <w:rPr>
          <w:rFonts w:hint="eastAsia" w:ascii="宋体" w:hAnsi="宋体" w:cs="宋体"/>
          <w:sz w:val="24"/>
          <w:szCs w:val="24"/>
          <w:highlight w:val="none"/>
        </w:rPr>
        <w:t>8.1发包人供应材料与工程设备</w:t>
      </w:r>
      <w:bookmarkEnd w:id="484"/>
      <w:bookmarkEnd w:id="485"/>
    </w:p>
    <w:p w14:paraId="295242B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材料的名称、规格、数量和价格：</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24CDCD45">
      <w:pPr>
        <w:pStyle w:val="8"/>
        <w:spacing w:before="0" w:after="0" w:line="400" w:lineRule="exact"/>
        <w:ind w:left="848" w:hanging="848" w:hangingChars="352"/>
        <w:rPr>
          <w:rFonts w:ascii="宋体" w:hAnsi="宋体" w:cs="宋体"/>
          <w:sz w:val="24"/>
          <w:szCs w:val="24"/>
          <w:highlight w:val="none"/>
        </w:rPr>
      </w:pPr>
      <w:bookmarkStart w:id="486" w:name="_Toc532375627"/>
      <w:bookmarkStart w:id="487" w:name="_Toc351203554"/>
      <w:bookmarkStart w:id="488" w:name="_Toc532377363"/>
      <w:r>
        <w:rPr>
          <w:rFonts w:hint="eastAsia" w:ascii="宋体" w:hAnsi="宋体" w:cs="宋体"/>
          <w:sz w:val="24"/>
          <w:szCs w:val="24"/>
          <w:highlight w:val="none"/>
        </w:rPr>
        <w:t>8</w:t>
      </w:r>
      <w:bookmarkStart w:id="489" w:name="_Toc337558778"/>
      <w:bookmarkStart w:id="490" w:name="_Toc296503060"/>
      <w:bookmarkStart w:id="491" w:name="_Toc296346561"/>
      <w:r>
        <w:rPr>
          <w:rFonts w:hint="eastAsia" w:ascii="宋体" w:hAnsi="宋体" w:cs="宋体"/>
          <w:sz w:val="24"/>
          <w:szCs w:val="24"/>
          <w:highlight w:val="none"/>
        </w:rPr>
        <w:t>.2 承包人采购材料与工程设备</w:t>
      </w:r>
      <w:bookmarkEnd w:id="486"/>
      <w:bookmarkEnd w:id="487"/>
      <w:bookmarkEnd w:id="488"/>
    </w:p>
    <w:bookmarkEnd w:id="489"/>
    <w:bookmarkEnd w:id="490"/>
    <w:bookmarkEnd w:id="491"/>
    <w:p w14:paraId="235D5A8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8.2.1承包人负责采购、运输和保管的材料、工程设备：</w:t>
      </w:r>
      <w:r>
        <w:rPr>
          <w:rFonts w:hint="eastAsia" w:ascii="宋体" w:hAnsi="宋体" w:cs="宋体"/>
          <w:sz w:val="24"/>
          <w:szCs w:val="24"/>
          <w:highlight w:val="none"/>
          <w:u w:val="single"/>
        </w:rPr>
        <w:t>所有产品和材料原则上均由承包人自行采购。在工程实施中，所有材料须经检验合格后才能用于本工程。所有产品和材料不包括暂估价材料/设备）的原价或进口材料/设备抵岸价、包装费、运杂费、运输损耗费等材料或设备运抵施工现场的费用、安装费及协调管理费、现场成品保护费、采购保管费、下车费及二次转运费、管理费、利润等及其它相关费用（不含税金），均已纳入签约合同价，包干使用，不作调整。承包人所选用的所有产品和材料，须按采购文件的要求执行。在施工进场前必须征得发包人的书面确认。未经发包人书面认可的材料将不予认可。对发包人不予认可的材料，发包人保留在同等价格、质量、规格的情况下进行更换的权利。</w:t>
      </w:r>
    </w:p>
    <w:p w14:paraId="34F4007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8.2.2承包人报送发包人审批的时间：</w:t>
      </w:r>
      <w:r>
        <w:rPr>
          <w:rFonts w:hint="eastAsia" w:ascii="宋体" w:hAnsi="宋体" w:cs="宋体"/>
          <w:sz w:val="24"/>
          <w:szCs w:val="24"/>
          <w:highlight w:val="none"/>
          <w:u w:val="single"/>
        </w:rPr>
        <w:t>按发包人单位的相关规定执行</w:t>
      </w:r>
      <w:r>
        <w:rPr>
          <w:rFonts w:hint="eastAsia" w:ascii="宋体" w:hAnsi="宋体" w:cs="宋体"/>
          <w:sz w:val="24"/>
          <w:szCs w:val="24"/>
          <w:highlight w:val="none"/>
        </w:rPr>
        <w:t>。</w:t>
      </w:r>
    </w:p>
    <w:p w14:paraId="3CCDCA2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8.2.3承包人选择的生产厂家或供应商满足下列条件：</w:t>
      </w:r>
    </w:p>
    <w:p w14:paraId="58A8FFB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A.承包人选择的混凝土供应商应满足下列条件：</w:t>
      </w:r>
      <w:r>
        <w:rPr>
          <w:rFonts w:hint="eastAsia" w:ascii="宋体" w:hAnsi="宋体" w:cs="宋体"/>
          <w:sz w:val="24"/>
          <w:szCs w:val="24"/>
          <w:highlight w:val="none"/>
          <w:u w:val="single"/>
        </w:rPr>
        <w:t>按国家相关规定执行</w:t>
      </w:r>
      <w:r>
        <w:rPr>
          <w:rFonts w:hint="eastAsia" w:ascii="宋体" w:hAnsi="宋体" w:cs="宋体"/>
          <w:sz w:val="24"/>
          <w:szCs w:val="24"/>
          <w:highlight w:val="none"/>
        </w:rPr>
        <w:t>；</w:t>
      </w:r>
    </w:p>
    <w:p w14:paraId="06E0E62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B.承包人选择的钢材供应商应满足下列条件：</w:t>
      </w:r>
      <w:r>
        <w:rPr>
          <w:rFonts w:hint="eastAsia" w:ascii="宋体" w:hAnsi="宋体" w:cs="宋体"/>
          <w:sz w:val="24"/>
          <w:szCs w:val="24"/>
          <w:highlight w:val="none"/>
          <w:u w:val="single"/>
        </w:rPr>
        <w:t>按国家相关规定执行</w:t>
      </w:r>
      <w:r>
        <w:rPr>
          <w:rFonts w:hint="eastAsia" w:ascii="宋体" w:hAnsi="宋体" w:cs="宋体"/>
          <w:sz w:val="24"/>
          <w:szCs w:val="24"/>
          <w:highlight w:val="none"/>
        </w:rPr>
        <w:t>；</w:t>
      </w:r>
    </w:p>
    <w:p w14:paraId="4153F2A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C.承包人选择的水泥供应商应满足下列条件：</w:t>
      </w:r>
      <w:r>
        <w:rPr>
          <w:rFonts w:hint="eastAsia" w:ascii="宋体" w:hAnsi="宋体" w:cs="宋体"/>
          <w:sz w:val="24"/>
          <w:szCs w:val="24"/>
          <w:highlight w:val="none"/>
          <w:u w:val="single"/>
        </w:rPr>
        <w:t>按国家相关规定执行</w:t>
      </w:r>
      <w:r>
        <w:rPr>
          <w:rFonts w:hint="eastAsia" w:ascii="宋体" w:hAnsi="宋体" w:cs="宋体"/>
          <w:sz w:val="24"/>
          <w:szCs w:val="24"/>
          <w:highlight w:val="none"/>
        </w:rPr>
        <w:t>；</w:t>
      </w:r>
    </w:p>
    <w:p w14:paraId="4331FAC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D.承包人采购的材料与设计或标准要求不符时，承包人应按发包人要求的时间运出施工场地，并重新采购符合要求的产品，并承担由此发生的费用，因此延误的工期不予顺延。</w:t>
      </w:r>
    </w:p>
    <w:p w14:paraId="34D07E5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E.承包人采购的材料在使用前，应按发包人的要求进行检验或试验，不合格的不得使用。</w:t>
      </w:r>
    </w:p>
    <w:p w14:paraId="7F1CA64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F.</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3306AA19">
      <w:pPr>
        <w:pStyle w:val="8"/>
        <w:spacing w:before="0" w:after="0" w:line="400" w:lineRule="exact"/>
        <w:ind w:left="848" w:hanging="848" w:hangingChars="352"/>
        <w:rPr>
          <w:rFonts w:ascii="宋体" w:hAnsi="宋体" w:cs="宋体"/>
          <w:sz w:val="24"/>
          <w:szCs w:val="24"/>
          <w:highlight w:val="none"/>
        </w:rPr>
      </w:pPr>
      <w:bookmarkStart w:id="492" w:name="_Toc532377364"/>
      <w:bookmarkStart w:id="493" w:name="_Toc532375628"/>
      <w:r>
        <w:rPr>
          <w:rFonts w:hint="eastAsia" w:ascii="宋体" w:hAnsi="宋体" w:cs="宋体"/>
          <w:sz w:val="24"/>
          <w:szCs w:val="24"/>
          <w:highlight w:val="none"/>
        </w:rPr>
        <w:t>8</w:t>
      </w:r>
      <w:bookmarkStart w:id="494" w:name="_Toc296347166"/>
      <w:bookmarkStart w:id="495" w:name="_Toc292559877"/>
      <w:bookmarkStart w:id="496" w:name="_Toc280868654"/>
      <w:bookmarkStart w:id="497" w:name="_Toc303539136"/>
      <w:bookmarkStart w:id="498" w:name="_Toc297216186"/>
      <w:bookmarkStart w:id="499" w:name="_Toc297048353"/>
      <w:bookmarkStart w:id="500" w:name="_Toc296503167"/>
      <w:bookmarkStart w:id="501" w:name="_Toc312677493"/>
      <w:bookmarkStart w:id="502" w:name="_Toc312678019"/>
      <w:bookmarkStart w:id="503" w:name="_Toc296890995"/>
      <w:bookmarkStart w:id="504" w:name="_Toc300934979"/>
      <w:bookmarkStart w:id="505" w:name="_Toc296346668"/>
      <w:bookmarkStart w:id="506" w:name="_Toc296944506"/>
      <w:bookmarkStart w:id="507" w:name="_Toc304295556"/>
      <w:bookmarkStart w:id="508" w:name="_Toc297123527"/>
      <w:bookmarkStart w:id="509" w:name="_Toc292559372"/>
      <w:bookmarkStart w:id="510" w:name="_Toc296891207"/>
      <w:bookmarkStart w:id="511" w:name="_Toc297120467"/>
      <w:bookmarkStart w:id="512" w:name="_Toc280868656"/>
      <w:bookmarkStart w:id="513" w:name="_Toc267251424"/>
      <w:bookmarkStart w:id="514" w:name="_Toc280868655"/>
      <w:r>
        <w:rPr>
          <w:rFonts w:hint="eastAsia" w:ascii="宋体" w:hAnsi="宋体" w:cs="宋体"/>
          <w:sz w:val="24"/>
          <w:szCs w:val="24"/>
          <w:highlight w:val="none"/>
        </w:rPr>
        <w:t>.4 材料与工程设备的保管与使用</w:t>
      </w:r>
      <w:bookmarkEnd w:id="492"/>
      <w:bookmarkEnd w:id="493"/>
    </w:p>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14:paraId="54A09F8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w:t>
      </w:r>
      <w:bookmarkStart w:id="515" w:name="_Toc292559373"/>
      <w:bookmarkStart w:id="516" w:name="_Toc292559878"/>
      <w:bookmarkStart w:id="517" w:name="_Toc300934980"/>
      <w:bookmarkStart w:id="518" w:name="_Toc296891208"/>
      <w:bookmarkStart w:id="519" w:name="_Toc296944507"/>
      <w:bookmarkStart w:id="520" w:name="_Toc296503168"/>
      <w:bookmarkStart w:id="521" w:name="_Toc312677494"/>
      <w:bookmarkStart w:id="522" w:name="_Toc297120468"/>
      <w:bookmarkStart w:id="523" w:name="_Toc303539137"/>
      <w:bookmarkStart w:id="524" w:name="_Toc296890996"/>
      <w:bookmarkStart w:id="525" w:name="_Toc297048354"/>
      <w:bookmarkStart w:id="526" w:name="_Toc297216187"/>
      <w:bookmarkStart w:id="527" w:name="_Toc318581173"/>
      <w:bookmarkStart w:id="528" w:name="_Toc297123528"/>
      <w:bookmarkStart w:id="529" w:name="_Toc304295557"/>
      <w:bookmarkStart w:id="530" w:name="_Toc312678020"/>
      <w:bookmarkStart w:id="531" w:name="_Toc296346669"/>
      <w:bookmarkStart w:id="532" w:name="_Toc296347167"/>
      <w:r>
        <w:rPr>
          <w:rFonts w:hint="eastAsia" w:ascii="宋体" w:hAnsi="宋体" w:cs="宋体"/>
          <w:sz w:val="24"/>
          <w:szCs w:val="24"/>
          <w:highlight w:val="none"/>
        </w:rPr>
        <w:t>.4.1 发包人供应的材料设备的保管费用的承担：</w:t>
      </w:r>
      <w:r>
        <w:rPr>
          <w:rFonts w:hint="eastAsia" w:ascii="宋体" w:hAnsi="宋体" w:cs="宋体"/>
          <w:sz w:val="24"/>
          <w:szCs w:val="24"/>
          <w:highlight w:val="none"/>
          <w:u w:val="single"/>
        </w:rPr>
        <w:t>承包人自行承担</w:t>
      </w:r>
      <w:r>
        <w:rPr>
          <w:rFonts w:hint="eastAsia" w:ascii="宋体" w:hAnsi="宋体" w:cs="宋体"/>
          <w:sz w:val="24"/>
          <w:szCs w:val="24"/>
          <w:highlight w:val="none"/>
        </w:rPr>
        <w:t>。</w:t>
      </w:r>
      <w:bookmarkEnd w:id="515"/>
      <w:bookmarkEnd w:id="516"/>
    </w:p>
    <w:p w14:paraId="57AAE4AE">
      <w:pPr>
        <w:pStyle w:val="8"/>
        <w:spacing w:before="0" w:after="0" w:line="400" w:lineRule="exact"/>
        <w:ind w:left="848" w:hanging="848" w:hangingChars="352"/>
        <w:rPr>
          <w:rFonts w:ascii="宋体" w:hAnsi="宋体" w:cs="宋体"/>
          <w:sz w:val="24"/>
          <w:szCs w:val="24"/>
          <w:highlight w:val="none"/>
        </w:rPr>
      </w:pPr>
      <w:bookmarkStart w:id="533" w:name="_Toc532377365"/>
      <w:bookmarkStart w:id="534" w:name="_Toc532375629"/>
      <w:r>
        <w:rPr>
          <w:rFonts w:hint="eastAsia" w:ascii="宋体" w:hAnsi="宋体" w:cs="宋体"/>
          <w:sz w:val="24"/>
          <w:szCs w:val="24"/>
          <w:highlight w:val="none"/>
        </w:rPr>
        <w:t>8.6 样品</w:t>
      </w:r>
      <w:bookmarkEnd w:id="533"/>
      <w:bookmarkEnd w:id="534"/>
    </w:p>
    <w:p w14:paraId="5A129C60">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8.6.1 样品的报送与封存</w:t>
      </w:r>
    </w:p>
    <w:p w14:paraId="41CFE367">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需要承包人报送样品的材料或工程设备，样品的种类、名称、规格、数量要求：</w:t>
      </w:r>
      <w:r>
        <w:rPr>
          <w:rFonts w:hint="eastAsia" w:ascii="宋体" w:hAnsi="宋体" w:cs="宋体"/>
          <w:sz w:val="24"/>
          <w:szCs w:val="24"/>
          <w:highlight w:val="none"/>
          <w:u w:val="single"/>
        </w:rPr>
        <w:t>按发包人要求提供</w:t>
      </w:r>
      <w:r>
        <w:rPr>
          <w:rFonts w:hint="eastAsia" w:ascii="宋体" w:hAnsi="宋体" w:cs="宋体"/>
          <w:sz w:val="24"/>
          <w:szCs w:val="24"/>
          <w:highlight w:val="none"/>
        </w:rPr>
        <w:t>。</w:t>
      </w:r>
    </w:p>
    <w:p w14:paraId="06FEE8FD">
      <w:pPr>
        <w:pStyle w:val="8"/>
        <w:spacing w:before="0" w:after="0" w:line="400" w:lineRule="exact"/>
        <w:ind w:left="848" w:hanging="848" w:hangingChars="352"/>
        <w:rPr>
          <w:rFonts w:ascii="宋体" w:hAnsi="宋体" w:cs="宋体"/>
          <w:sz w:val="24"/>
          <w:szCs w:val="24"/>
          <w:highlight w:val="none"/>
        </w:rPr>
      </w:pPr>
      <w:bookmarkStart w:id="535" w:name="_Toc532375630"/>
      <w:bookmarkStart w:id="536" w:name="_Toc532377366"/>
      <w:r>
        <w:rPr>
          <w:rFonts w:hint="eastAsia" w:ascii="宋体" w:hAnsi="宋体" w:cs="宋体"/>
          <w:sz w:val="24"/>
          <w:szCs w:val="24"/>
          <w:highlight w:val="none"/>
        </w:rPr>
        <w:t>8.8 施工设备和临时设施</w:t>
      </w:r>
      <w:bookmarkEnd w:id="535"/>
      <w:bookmarkEnd w:id="536"/>
    </w:p>
    <w:p w14:paraId="63CBD08F">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8.8.1 承包人提供的施工设备和临时设施</w:t>
      </w:r>
    </w:p>
    <w:p w14:paraId="10951059">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关于修建临时设施费用承担的约定：</w:t>
      </w:r>
      <w:r>
        <w:rPr>
          <w:rFonts w:hint="eastAsia" w:ascii="宋体" w:hAnsi="宋体" w:cs="宋体"/>
          <w:sz w:val="24"/>
          <w:szCs w:val="24"/>
          <w:highlight w:val="none"/>
          <w:u w:val="single"/>
        </w:rPr>
        <w:t>由承包人承担</w:t>
      </w:r>
      <w:r>
        <w:rPr>
          <w:rFonts w:hint="eastAsia" w:ascii="宋体" w:hAnsi="宋体" w:cs="宋体"/>
          <w:sz w:val="24"/>
          <w:szCs w:val="24"/>
          <w:highlight w:val="none"/>
        </w:rPr>
        <w:t>。</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14:paraId="0CBDC55A">
      <w:pPr>
        <w:pStyle w:val="7"/>
        <w:spacing w:before="0" w:after="0" w:line="400" w:lineRule="exact"/>
        <w:rPr>
          <w:rFonts w:ascii="宋体" w:hAnsi="宋体" w:eastAsia="宋体" w:cs="宋体"/>
          <w:bCs/>
          <w:sz w:val="24"/>
          <w:szCs w:val="24"/>
          <w:highlight w:val="none"/>
        </w:rPr>
      </w:pPr>
      <w:bookmarkStart w:id="537" w:name="_Toc532377367"/>
      <w:bookmarkStart w:id="538" w:name="_Toc351203641"/>
      <w:bookmarkStart w:id="539" w:name="_Toc532375631"/>
      <w:r>
        <w:rPr>
          <w:rFonts w:hint="eastAsia" w:ascii="宋体" w:hAnsi="宋体" w:eastAsia="宋体" w:cs="宋体"/>
          <w:sz w:val="24"/>
          <w:szCs w:val="24"/>
          <w:highlight w:val="none"/>
        </w:rPr>
        <w:t>9</w:t>
      </w:r>
      <w:bookmarkEnd w:id="512"/>
      <w:bookmarkEnd w:id="513"/>
      <w:bookmarkEnd w:id="514"/>
      <w:bookmarkStart w:id="540" w:name="_Toc304295559"/>
      <w:bookmarkStart w:id="541" w:name="_Toc312678021"/>
      <w:bookmarkStart w:id="542" w:name="_Toc312677495"/>
      <w:bookmarkStart w:id="543" w:name="_Toc297123533"/>
      <w:bookmarkStart w:id="544" w:name="_Toc303539139"/>
      <w:bookmarkStart w:id="545" w:name="_Toc300934982"/>
      <w:bookmarkStart w:id="546" w:name="_Toc297216192"/>
      <w:r>
        <w:rPr>
          <w:rFonts w:hint="eastAsia" w:ascii="宋体" w:hAnsi="宋体" w:eastAsia="宋体" w:cs="宋体"/>
          <w:sz w:val="24"/>
          <w:szCs w:val="24"/>
          <w:highlight w:val="none"/>
        </w:rPr>
        <w:t>. 试验与检验</w:t>
      </w:r>
      <w:bookmarkEnd w:id="537"/>
      <w:bookmarkEnd w:id="538"/>
      <w:bookmarkEnd w:id="539"/>
    </w:p>
    <w:bookmarkEnd w:id="540"/>
    <w:bookmarkEnd w:id="541"/>
    <w:bookmarkEnd w:id="542"/>
    <w:bookmarkEnd w:id="543"/>
    <w:bookmarkEnd w:id="544"/>
    <w:bookmarkEnd w:id="545"/>
    <w:bookmarkEnd w:id="546"/>
    <w:p w14:paraId="637584F3">
      <w:pPr>
        <w:pStyle w:val="8"/>
        <w:spacing w:before="0" w:after="0" w:line="400" w:lineRule="exact"/>
        <w:ind w:left="848" w:hanging="848" w:hangingChars="352"/>
        <w:rPr>
          <w:rFonts w:ascii="宋体" w:hAnsi="宋体" w:cs="宋体"/>
          <w:sz w:val="24"/>
          <w:szCs w:val="24"/>
          <w:highlight w:val="none"/>
        </w:rPr>
      </w:pPr>
      <w:bookmarkStart w:id="547" w:name="_Toc532377368"/>
      <w:bookmarkStart w:id="548" w:name="_Toc532375632"/>
      <w:r>
        <w:rPr>
          <w:rFonts w:hint="eastAsia" w:ascii="宋体" w:hAnsi="宋体" w:cs="宋体"/>
          <w:sz w:val="24"/>
          <w:szCs w:val="24"/>
          <w:highlight w:val="none"/>
        </w:rPr>
        <w:t>9</w:t>
      </w:r>
      <w:bookmarkStart w:id="549" w:name="_Toc312677496"/>
      <w:bookmarkStart w:id="550" w:name="_Toc303539140"/>
      <w:bookmarkStart w:id="551" w:name="_Toc297123534"/>
      <w:bookmarkStart w:id="552" w:name="_Toc312678022"/>
      <w:bookmarkStart w:id="553" w:name="_Toc304295560"/>
      <w:bookmarkStart w:id="554" w:name="_Toc297216193"/>
      <w:bookmarkStart w:id="555" w:name="_Toc300934983"/>
      <w:r>
        <w:rPr>
          <w:rFonts w:hint="eastAsia" w:ascii="宋体" w:hAnsi="宋体" w:cs="宋体"/>
          <w:sz w:val="24"/>
          <w:szCs w:val="24"/>
          <w:highlight w:val="none"/>
        </w:rPr>
        <w:t>.1 试验设备与试验人员</w:t>
      </w:r>
      <w:bookmarkEnd w:id="547"/>
      <w:bookmarkEnd w:id="548"/>
    </w:p>
    <w:bookmarkEnd w:id="549"/>
    <w:bookmarkEnd w:id="550"/>
    <w:bookmarkEnd w:id="551"/>
    <w:bookmarkEnd w:id="552"/>
    <w:bookmarkEnd w:id="553"/>
    <w:bookmarkEnd w:id="554"/>
    <w:bookmarkEnd w:id="555"/>
    <w:p w14:paraId="206B49D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w:t>
      </w:r>
      <w:bookmarkStart w:id="556" w:name="_Toc312677497"/>
      <w:bookmarkStart w:id="557" w:name="_Toc300934984"/>
      <w:bookmarkStart w:id="558" w:name="_Toc297123535"/>
      <w:bookmarkStart w:id="559" w:name="_Toc303539141"/>
      <w:bookmarkStart w:id="560" w:name="_Toc312678023"/>
      <w:bookmarkStart w:id="561" w:name="_Toc304295561"/>
      <w:bookmarkStart w:id="562" w:name="_Toc297216194"/>
      <w:bookmarkStart w:id="563" w:name="_Toc318581174"/>
      <w:r>
        <w:rPr>
          <w:rFonts w:hint="eastAsia" w:ascii="宋体" w:hAnsi="宋体" w:cs="宋体"/>
          <w:sz w:val="24"/>
          <w:szCs w:val="24"/>
          <w:highlight w:val="none"/>
        </w:rPr>
        <w:t>.1.2 试验设备</w:t>
      </w:r>
    </w:p>
    <w:p w14:paraId="7010C7A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施工现场需要配置的试验场所：</w:t>
      </w:r>
      <w:bookmarkEnd w:id="556"/>
      <w:bookmarkEnd w:id="557"/>
      <w:bookmarkEnd w:id="558"/>
      <w:bookmarkEnd w:id="559"/>
      <w:bookmarkEnd w:id="560"/>
      <w:bookmarkEnd w:id="561"/>
      <w:bookmarkEnd w:id="562"/>
      <w:bookmarkStart w:id="564" w:name="_Toc312678024"/>
      <w:bookmarkStart w:id="565" w:name="_Toc297123536"/>
      <w:bookmarkStart w:id="566" w:name="_Toc312677498"/>
      <w:bookmarkStart w:id="567" w:name="_Toc300934985"/>
      <w:bookmarkStart w:id="568" w:name="_Toc303539142"/>
      <w:bookmarkStart w:id="569" w:name="_Toc304295562"/>
      <w:bookmarkStart w:id="570" w:name="_Toc297216195"/>
      <w:r>
        <w:rPr>
          <w:rFonts w:hint="eastAsia" w:ascii="宋体" w:hAnsi="宋体" w:cs="宋体"/>
          <w:sz w:val="24"/>
          <w:szCs w:val="24"/>
          <w:highlight w:val="none"/>
          <w:u w:val="single"/>
        </w:rPr>
        <w:t>满足工程施工的需要</w:t>
      </w:r>
      <w:r>
        <w:rPr>
          <w:rFonts w:hint="eastAsia" w:ascii="宋体" w:hAnsi="宋体" w:cs="宋体"/>
          <w:sz w:val="24"/>
          <w:szCs w:val="24"/>
          <w:highlight w:val="none"/>
        </w:rPr>
        <w:t>。</w:t>
      </w:r>
    </w:p>
    <w:p w14:paraId="29590B2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施工现场需要配备的试验设备：</w:t>
      </w:r>
      <w:r>
        <w:rPr>
          <w:rFonts w:hint="eastAsia" w:ascii="宋体" w:hAnsi="宋体" w:cs="宋体"/>
          <w:sz w:val="24"/>
          <w:szCs w:val="24"/>
          <w:highlight w:val="none"/>
          <w:u w:val="single"/>
        </w:rPr>
        <w:t>满足工程施工的需要</w:t>
      </w:r>
      <w:r>
        <w:rPr>
          <w:rFonts w:hint="eastAsia" w:ascii="宋体" w:hAnsi="宋体" w:cs="宋体"/>
          <w:sz w:val="24"/>
          <w:szCs w:val="24"/>
          <w:highlight w:val="none"/>
        </w:rPr>
        <w:t>。</w:t>
      </w:r>
    </w:p>
    <w:p w14:paraId="165BEAC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施工现场需要具备的其他试验条件：</w:t>
      </w:r>
      <w:r>
        <w:rPr>
          <w:rFonts w:hint="eastAsia" w:ascii="宋体" w:hAnsi="宋体" w:cs="宋体"/>
          <w:sz w:val="24"/>
          <w:szCs w:val="24"/>
          <w:highlight w:val="none"/>
          <w:u w:val="single"/>
        </w:rPr>
        <w:t>满足工程施工的需要</w:t>
      </w:r>
      <w:r>
        <w:rPr>
          <w:rFonts w:hint="eastAsia" w:ascii="宋体" w:hAnsi="宋体" w:cs="宋体"/>
          <w:sz w:val="24"/>
          <w:szCs w:val="24"/>
          <w:highlight w:val="none"/>
        </w:rPr>
        <w:t>。</w:t>
      </w:r>
    </w:p>
    <w:p w14:paraId="5F371B7F">
      <w:pPr>
        <w:pStyle w:val="8"/>
        <w:spacing w:before="0" w:after="0" w:line="400" w:lineRule="exact"/>
        <w:ind w:left="848" w:hanging="848" w:hangingChars="352"/>
        <w:rPr>
          <w:rFonts w:ascii="宋体" w:hAnsi="宋体" w:cs="宋体"/>
          <w:sz w:val="24"/>
          <w:szCs w:val="24"/>
          <w:highlight w:val="none"/>
        </w:rPr>
      </w:pPr>
      <w:bookmarkStart w:id="571" w:name="_Toc532375633"/>
      <w:bookmarkStart w:id="572" w:name="_Toc532377369"/>
      <w:r>
        <w:rPr>
          <w:rFonts w:hint="eastAsia" w:ascii="宋体" w:hAnsi="宋体" w:cs="宋体"/>
          <w:sz w:val="24"/>
          <w:szCs w:val="24"/>
          <w:highlight w:val="none"/>
        </w:rPr>
        <w:t>9.4 现场工艺试验</w:t>
      </w:r>
      <w:bookmarkEnd w:id="571"/>
      <w:bookmarkEnd w:id="572"/>
    </w:p>
    <w:p w14:paraId="6443B6E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本款补充9.4.1～9.4.5项：</w:t>
      </w:r>
    </w:p>
    <w:bookmarkEnd w:id="563"/>
    <w:bookmarkEnd w:id="564"/>
    <w:bookmarkEnd w:id="565"/>
    <w:bookmarkEnd w:id="566"/>
    <w:bookmarkEnd w:id="567"/>
    <w:bookmarkEnd w:id="568"/>
    <w:bookmarkEnd w:id="569"/>
    <w:bookmarkEnd w:id="570"/>
    <w:p w14:paraId="7A88ACE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9.4.1一般检验试验：</w:t>
      </w:r>
    </w:p>
    <w:p w14:paraId="2086B44F">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根据《建设工程质量检测管理办法》（建设部令第57号）、《重庆市建设工程质量检测管理规定》（渝建发〔2024〕3号）、《</w:t>
      </w:r>
      <w:r>
        <w:rPr>
          <w:highlight w:val="none"/>
        </w:rPr>
        <w:fldChar w:fldCharType="begin"/>
      </w:r>
      <w:r>
        <w:rPr>
          <w:highlight w:val="none"/>
        </w:rPr>
        <w:instrText xml:space="preserve"> HYPERLINK "https://www.baidu.com/link?url=x-QNtYJHWwtuNgokIS4znxJG_R5dj-lKq0AnRn1W0Uh-XCy9sGzGrViI20X6xn5oenB7w989k0Sr_iLtX91_sVLReKJSFGfQywz4wnwaNP8Qht0YlS5jt9MFtzFZSX0O49m4jplYcMsgutCvQzcT-K&amp;wd=&amp;eqid=f84624e1004053d40000000666d16a15" \t "_blank" </w:instrText>
      </w:r>
      <w:r>
        <w:rPr>
          <w:highlight w:val="none"/>
        </w:rPr>
        <w:fldChar w:fldCharType="separate"/>
      </w:r>
      <w:r>
        <w:rPr>
          <w:rFonts w:hint="eastAsia" w:ascii="宋体" w:hAnsi="宋体" w:cs="宋体"/>
          <w:sz w:val="24"/>
          <w:szCs w:val="24"/>
          <w:highlight w:val="none"/>
        </w:rPr>
        <w:t>重庆市住建委关于进一步加强建设工程质量检测行业管理的通知</w:t>
      </w:r>
      <w:r>
        <w:rPr>
          <w:rFonts w:hint="eastAsia" w:ascii="宋体" w:hAnsi="宋体" w:cs="宋体"/>
          <w:sz w:val="24"/>
          <w:szCs w:val="24"/>
          <w:highlight w:val="none"/>
        </w:rPr>
        <w:fldChar w:fldCharType="end"/>
      </w:r>
      <w:r>
        <w:rPr>
          <w:rFonts w:hint="eastAsia" w:ascii="宋体" w:hAnsi="宋体" w:cs="宋体"/>
          <w:sz w:val="24"/>
          <w:szCs w:val="24"/>
          <w:highlight w:val="none"/>
        </w:rPr>
        <w:t>》（渝建管〔2023〕133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1BF02B54">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实施前，由发包人、承包人和第三方检测试验机构签订三方合同，第三方检测试验机构分别向承包人和发包人出具相应的检测试验报告。根据渝建管〔2023〕133号和有关施工规范、验收标准及施工图的规定或要求，所做的上述检测试验所需的试件取样、制作、送检，试件制作需要提供的材料以及检测、试验的配合工作由承包人负责完成并承担由此产生的所有相关费用。</w:t>
      </w:r>
    </w:p>
    <w:p w14:paraId="6616A67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9.4.2特殊检验试验：</w:t>
      </w:r>
    </w:p>
    <w:p w14:paraId="32947ED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管〔2023〕133号的规定，均由发包人委托相应的第三方检测试验机构进行检测，所发生的特殊检验试验费由发包人承担，不包含在合同价格中。</w:t>
      </w:r>
    </w:p>
    <w:p w14:paraId="368D668E">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发包人委托的第三方检测试验机构检测试验的试件所需的材料、取样、送检及相关配合工作由承包人负责完成并承担由此产生的所有相关费用。</w:t>
      </w:r>
    </w:p>
    <w:p w14:paraId="71C02FBF">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（2）施工措施的检测、试验：因施工措施需要而做的相关检测、试验由承包人负责实施，其费用由承包人承担。</w:t>
      </w:r>
    </w:p>
    <w:p w14:paraId="220D24DF">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9.4.3专项检测：</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209EF5EF">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9.4.4若因承包人取样、制样、送检及相关配合不及时而导致工程的工期和费用增加，影响的工期不予延长，增加费用由承包人承担。</w:t>
      </w:r>
    </w:p>
    <w:p w14:paraId="788371EE">
      <w:pPr>
        <w:tabs>
          <w:tab w:val="left" w:pos="711"/>
          <w:tab w:val="left" w:pos="2580"/>
        </w:tabs>
        <w:spacing w:line="400" w:lineRule="exact"/>
        <w:ind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9.4.5检测试验不合格的项目，其缺陷处理和复测费用由承包人承担，工期不予延长。</w:t>
      </w:r>
    </w:p>
    <w:bookmarkEnd w:id="410"/>
    <w:bookmarkEnd w:id="411"/>
    <w:bookmarkEnd w:id="412"/>
    <w:bookmarkEnd w:id="413"/>
    <w:bookmarkEnd w:id="414"/>
    <w:bookmarkEnd w:id="415"/>
    <w:bookmarkEnd w:id="416"/>
    <w:bookmarkEnd w:id="417"/>
    <w:bookmarkEnd w:id="418"/>
    <w:bookmarkEnd w:id="419"/>
    <w:bookmarkEnd w:id="420"/>
    <w:bookmarkEnd w:id="421"/>
    <w:p w14:paraId="08D0B0AB">
      <w:pPr>
        <w:pStyle w:val="7"/>
        <w:spacing w:before="0" w:after="0" w:line="400" w:lineRule="exact"/>
        <w:rPr>
          <w:rFonts w:ascii="宋体" w:hAnsi="宋体" w:eastAsia="宋体" w:cs="宋体"/>
          <w:bCs/>
          <w:sz w:val="24"/>
          <w:szCs w:val="24"/>
          <w:highlight w:val="none"/>
        </w:rPr>
      </w:pPr>
      <w:bookmarkStart w:id="573" w:name="_Toc532377370"/>
      <w:bookmarkStart w:id="574" w:name="_Toc532375634"/>
      <w:bookmarkStart w:id="575" w:name="_Toc267251484"/>
      <w:bookmarkStart w:id="576" w:name="_Toc267251486"/>
      <w:bookmarkStart w:id="577" w:name="_Toc267251490"/>
      <w:bookmarkStart w:id="578" w:name="_Toc267251489"/>
      <w:bookmarkStart w:id="579" w:name="_Toc267251482"/>
      <w:bookmarkStart w:id="580" w:name="_Hlk524298112"/>
      <w:bookmarkStart w:id="581" w:name="_Toc267251485"/>
      <w:bookmarkStart w:id="582" w:name="_Toc267251488"/>
      <w:bookmarkStart w:id="583" w:name="_Toc267251510"/>
      <w:bookmarkStart w:id="584" w:name="_Toc267251514"/>
      <w:bookmarkStart w:id="585" w:name="_Toc267251511"/>
      <w:bookmarkStart w:id="586" w:name="_Toc267251492"/>
      <w:bookmarkStart w:id="587" w:name="_Toc267251494"/>
      <w:bookmarkStart w:id="588" w:name="_Toc267251504"/>
      <w:bookmarkStart w:id="589" w:name="_Toc267251507"/>
      <w:bookmarkStart w:id="590" w:name="_Toc267251501"/>
      <w:bookmarkStart w:id="591" w:name="_Toc267251497"/>
      <w:bookmarkStart w:id="592" w:name="_Toc267251491"/>
      <w:bookmarkStart w:id="593" w:name="_Toc267251508"/>
      <w:bookmarkStart w:id="594" w:name="_Toc267251506"/>
      <w:bookmarkStart w:id="595" w:name="_Toc267251496"/>
      <w:bookmarkStart w:id="596" w:name="_Toc267251499"/>
      <w:bookmarkStart w:id="597" w:name="_Toc267251502"/>
      <w:bookmarkStart w:id="598" w:name="_Toc267251498"/>
      <w:bookmarkStart w:id="599" w:name="_Toc267251493"/>
      <w:bookmarkStart w:id="600" w:name="_Toc267251515"/>
      <w:bookmarkStart w:id="601" w:name="_Toc267251503"/>
      <w:bookmarkStart w:id="602" w:name="_Toc267251495"/>
      <w:bookmarkStart w:id="603" w:name="_Toc267251509"/>
      <w:bookmarkStart w:id="604" w:name="_Toc267251513"/>
      <w:r>
        <w:rPr>
          <w:rFonts w:hint="eastAsia" w:ascii="宋体" w:hAnsi="宋体" w:eastAsia="宋体" w:cs="宋体"/>
          <w:sz w:val="24"/>
          <w:szCs w:val="24"/>
          <w:highlight w:val="none"/>
        </w:rPr>
        <w:t>1</w:t>
      </w:r>
      <w:bookmarkStart w:id="605" w:name="_Toc296346694"/>
      <w:bookmarkStart w:id="606" w:name="_Toc292559398"/>
      <w:bookmarkStart w:id="607" w:name="_Toc300934989"/>
      <w:bookmarkStart w:id="608" w:name="_Toc303539146"/>
      <w:bookmarkStart w:id="609" w:name="_Toc296944532"/>
      <w:bookmarkStart w:id="610" w:name="_Toc297123540"/>
      <w:bookmarkStart w:id="611" w:name="_Toc292559903"/>
      <w:bookmarkStart w:id="612" w:name="_Toc296891233"/>
      <w:bookmarkStart w:id="613" w:name="_Toc297048379"/>
      <w:bookmarkStart w:id="614" w:name="_Toc297120493"/>
      <w:bookmarkStart w:id="615" w:name="_Toc296503193"/>
      <w:bookmarkStart w:id="616" w:name="_Toc297216199"/>
      <w:bookmarkStart w:id="617" w:name="_Toc296891021"/>
      <w:bookmarkStart w:id="618" w:name="_Toc296347192"/>
      <w:bookmarkStart w:id="619" w:name="_Toc304295566"/>
      <w:bookmarkStart w:id="620" w:name="_Toc312678025"/>
      <w:bookmarkStart w:id="621" w:name="_Toc312677499"/>
      <w:bookmarkStart w:id="622" w:name="_Toc267251440"/>
      <w:bookmarkStart w:id="623" w:name="_Toc267251439"/>
      <w:bookmarkStart w:id="624" w:name="_Toc267251433"/>
      <w:bookmarkStart w:id="625" w:name="_Toc267251435"/>
      <w:bookmarkStart w:id="626" w:name="_Toc267251441"/>
      <w:bookmarkStart w:id="627" w:name="_Toc267251437"/>
      <w:r>
        <w:rPr>
          <w:rFonts w:hint="eastAsia" w:ascii="宋体" w:hAnsi="宋体" w:eastAsia="宋体" w:cs="宋体"/>
          <w:sz w:val="24"/>
          <w:szCs w:val="24"/>
          <w:highlight w:val="none"/>
        </w:rPr>
        <w:t>0. 变更</w:t>
      </w:r>
      <w:bookmarkEnd w:id="573"/>
      <w:bookmarkEnd w:id="57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bookmarkEnd w:id="620"/>
    <w:bookmarkEnd w:id="621"/>
    <w:p w14:paraId="7635604E">
      <w:pPr>
        <w:pStyle w:val="8"/>
        <w:spacing w:before="0" w:after="0" w:line="400" w:lineRule="exact"/>
        <w:ind w:left="848" w:hanging="848" w:hangingChars="352"/>
        <w:rPr>
          <w:rFonts w:ascii="宋体" w:hAnsi="宋体" w:cs="宋体"/>
          <w:sz w:val="24"/>
          <w:szCs w:val="24"/>
          <w:highlight w:val="none"/>
        </w:rPr>
      </w:pPr>
      <w:bookmarkStart w:id="628" w:name="_Toc532375635"/>
      <w:bookmarkStart w:id="629" w:name="_Toc532377371"/>
      <w:r>
        <w:rPr>
          <w:rFonts w:hint="eastAsia" w:ascii="宋体" w:hAnsi="宋体" w:cs="宋体"/>
          <w:sz w:val="24"/>
          <w:szCs w:val="24"/>
          <w:highlight w:val="none"/>
        </w:rPr>
        <w:t>1</w:t>
      </w:r>
      <w:bookmarkStart w:id="630" w:name="_Toc303539147"/>
      <w:bookmarkStart w:id="631" w:name="_Toc297048380"/>
      <w:bookmarkStart w:id="632" w:name="_Toc296346695"/>
      <w:bookmarkStart w:id="633" w:name="_Toc297123541"/>
      <w:bookmarkStart w:id="634" w:name="_Toc296891022"/>
      <w:bookmarkStart w:id="635" w:name="_Toc300934990"/>
      <w:bookmarkStart w:id="636" w:name="_Toc296891234"/>
      <w:bookmarkStart w:id="637" w:name="_Toc312677500"/>
      <w:bookmarkStart w:id="638" w:name="_Toc296503194"/>
      <w:bookmarkStart w:id="639" w:name="_Toc292559399"/>
      <w:bookmarkStart w:id="640" w:name="_Toc297216200"/>
      <w:bookmarkStart w:id="641" w:name="_Toc292559904"/>
      <w:bookmarkStart w:id="642" w:name="_Toc312678026"/>
      <w:bookmarkStart w:id="643" w:name="_Toc297120494"/>
      <w:bookmarkStart w:id="644" w:name="_Toc296944533"/>
      <w:bookmarkStart w:id="645" w:name="_Toc304295567"/>
      <w:bookmarkStart w:id="646" w:name="_Toc296347193"/>
      <w:r>
        <w:rPr>
          <w:rFonts w:hint="eastAsia" w:ascii="宋体" w:hAnsi="宋体" w:cs="宋体"/>
          <w:sz w:val="24"/>
          <w:szCs w:val="24"/>
          <w:highlight w:val="none"/>
        </w:rPr>
        <w:t>0.1变更的范围</w:t>
      </w:r>
      <w:bookmarkEnd w:id="628"/>
      <w:bookmarkEnd w:id="629"/>
    </w:p>
    <w:p w14:paraId="36D15E1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关于变更范围的约定：</w:t>
      </w:r>
    </w:p>
    <w:p w14:paraId="144A3F1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（1）增加或减少合同中任何工作，或追加额外的工作；</w:t>
      </w:r>
    </w:p>
    <w:p w14:paraId="67E2DB4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（2）取消合同中任何工作；</w:t>
      </w:r>
    </w:p>
    <w:p w14:paraId="5A77624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（3）改变合同中任何工作的质量标准或其他特性；</w:t>
      </w:r>
    </w:p>
    <w:p w14:paraId="65D9349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（4）改变工程的基线、标高、位置和尺寸；</w:t>
      </w:r>
    </w:p>
    <w:p w14:paraId="5971C77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（5）适用于工程的标准和（或）规范变化导致需要对工程进行改变，且该改变导致工期和（或）费用变化的；</w:t>
      </w:r>
    </w:p>
    <w:p w14:paraId="6CD1919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（6）勘察设计变更；</w:t>
      </w:r>
    </w:p>
    <w:p w14:paraId="30CB29D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（7）实施内容变更，包括因设计变更和非设计变更引起的实施地点、投资规模、结构型式、采购数量、服务内容等进行的调整，以及因此导致的合同价格、工期变更；</w:t>
      </w:r>
    </w:p>
    <w:p w14:paraId="6E51341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（8）项目管理人员变更；</w:t>
      </w:r>
    </w:p>
    <w:p w14:paraId="6FECBB6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（9）非实施内容变化导致的工期变更；</w:t>
      </w:r>
    </w:p>
    <w:p w14:paraId="40BF049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w:t>
      </w:r>
      <w:r>
        <w:rPr>
          <w:rFonts w:hint="eastAsia" w:ascii="宋体" w:hAnsi="宋体" w:cs="宋体"/>
          <w:sz w:val="24"/>
          <w:szCs w:val="24"/>
          <w:highlight w:val="none"/>
          <w:u w:val="single"/>
        </w:rPr>
        <w:t>因施工单位工程原因导致项目合同变更的，增加的工程量由施工单位自行承担，不再追加施工费用</w:t>
      </w:r>
      <w:r>
        <w:rPr>
          <w:rFonts w:hint="eastAsia" w:ascii="宋体" w:hAnsi="宋体" w:cs="宋体"/>
          <w:sz w:val="24"/>
          <w:szCs w:val="24"/>
          <w:highlight w:val="none"/>
        </w:rPr>
        <w:t>。</w:t>
      </w:r>
    </w:p>
    <w:p w14:paraId="686F7D9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10B124C0">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承包人对其提供的材料、工程设备、施工、无负荷试车、热负荷试车及图纸参数存在的缺陷，自费修正、调整和完善，不属于变更。</w:t>
      </w:r>
    </w:p>
    <w:p w14:paraId="7A96736D">
      <w:pPr>
        <w:pStyle w:val="8"/>
        <w:spacing w:before="0" w:after="0" w:line="400" w:lineRule="exact"/>
        <w:ind w:left="848" w:hanging="848" w:hangingChars="352"/>
        <w:rPr>
          <w:rFonts w:ascii="宋体" w:hAnsi="宋体" w:cs="宋体"/>
          <w:sz w:val="24"/>
          <w:szCs w:val="24"/>
          <w:highlight w:val="none"/>
        </w:rPr>
      </w:pPr>
      <w:bookmarkStart w:id="647" w:name="_Toc532375636"/>
      <w:bookmarkStart w:id="648" w:name="_Toc532377372"/>
      <w:bookmarkStart w:id="649" w:name="_Toc351203569"/>
      <w:r>
        <w:rPr>
          <w:rFonts w:hint="eastAsia" w:ascii="宋体" w:hAnsi="宋体" w:cs="宋体"/>
          <w:sz w:val="24"/>
          <w:szCs w:val="24"/>
          <w:highlight w:val="none"/>
        </w:rPr>
        <w:t>1</w:t>
      </w:r>
      <w:bookmarkStart w:id="650" w:name="_Toc337558789"/>
      <w:bookmarkStart w:id="651" w:name="_Toc296346586"/>
      <w:bookmarkStart w:id="652" w:name="_Toc296503085"/>
      <w:r>
        <w:rPr>
          <w:rFonts w:hint="eastAsia" w:ascii="宋体" w:hAnsi="宋体" w:cs="宋体"/>
          <w:sz w:val="24"/>
          <w:szCs w:val="24"/>
          <w:highlight w:val="none"/>
        </w:rPr>
        <w:t>0.2变更权</w:t>
      </w:r>
      <w:bookmarkEnd w:id="647"/>
      <w:bookmarkEnd w:id="648"/>
      <w:bookmarkEnd w:id="649"/>
    </w:p>
    <w:bookmarkEnd w:id="650"/>
    <w:bookmarkEnd w:id="651"/>
    <w:bookmarkEnd w:id="652"/>
    <w:p w14:paraId="205057B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10.2.1发包人提出变更</w:t>
      </w:r>
    </w:p>
    <w:p w14:paraId="65C937B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发包人均可以提出变更。变更指示均以书面形式发出。承包人收到经发包人签认的变更指示后，方可实施变更。未取得经发包人签认的变更指示，承包人不得实施任何变更。</w:t>
      </w:r>
    </w:p>
    <w:p w14:paraId="5360B224">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涉及设计变更的，应由设计人提供变更后的图纸和说明，由发包人同意后以书面形式发出。如变更超过原设计标准或批准的建设规模时，由发包人及时办理规划、设计变更等审批手续。</w:t>
      </w:r>
    </w:p>
    <w:p w14:paraId="3FE6BC1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若出现重大设计变更，变更后的内容超出承包人资质或能力范围的，发包人将另行依法招标选择承包单位，无需征得承包人同意。</w:t>
      </w:r>
    </w:p>
    <w:p w14:paraId="59135B1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10.2.2 承包人提出变更建议</w:t>
      </w:r>
    </w:p>
    <w:p w14:paraId="0DBC3BF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s="宋体"/>
          <w:sz w:val="24"/>
          <w:szCs w:val="24"/>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s="宋体"/>
          <w:sz w:val="24"/>
          <w:szCs w:val="24"/>
          <w:highlight w:val="none"/>
        </w:rPr>
        <w:t>。</w:t>
      </w:r>
    </w:p>
    <w:p w14:paraId="4D8E0EB7">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如果发包人对承包人已实施的施工项目在发出重大设计变更之前要求承包人提出一份建议，那么，承包人应尽快提出：</w:t>
      </w:r>
    </w:p>
    <w:p w14:paraId="541E714F">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（1）对所提方案和（或）待做工作及其实施计划的说明</w:t>
      </w:r>
      <w:r>
        <w:rPr>
          <w:rFonts w:hint="eastAsia" w:ascii="宋体" w:hAnsi="宋体" w:cs="宋体"/>
          <w:sz w:val="24"/>
          <w:szCs w:val="24"/>
          <w:highlight w:val="none"/>
        </w:rPr>
        <w:t>；</w:t>
      </w:r>
    </w:p>
    <w:p w14:paraId="1F13ECC1">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（2）承包人按照对工程进度计划进行必要修改的建议</w:t>
      </w:r>
      <w:r>
        <w:rPr>
          <w:rFonts w:hint="eastAsia" w:ascii="宋体" w:hAnsi="宋体" w:cs="宋体"/>
          <w:sz w:val="24"/>
          <w:szCs w:val="24"/>
          <w:highlight w:val="none"/>
        </w:rPr>
        <w:t>；</w:t>
      </w:r>
    </w:p>
    <w:p w14:paraId="0CA307B9">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（3）承包人发生较大返工损失增加费用的建议</w:t>
      </w:r>
      <w:r>
        <w:rPr>
          <w:rFonts w:hint="eastAsia" w:ascii="宋体" w:hAnsi="宋体" w:cs="宋体"/>
          <w:sz w:val="24"/>
          <w:szCs w:val="24"/>
          <w:highlight w:val="none"/>
        </w:rPr>
        <w:t>。</w:t>
      </w:r>
    </w:p>
    <w:p w14:paraId="2CADDAD5">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发包人在收到上述建议书后，应尽快给予批准、否决或提出意见</w:t>
      </w:r>
      <w:r>
        <w:rPr>
          <w:rFonts w:hint="eastAsia" w:ascii="宋体" w:hAnsi="宋体" w:cs="宋体"/>
          <w:sz w:val="24"/>
          <w:szCs w:val="24"/>
          <w:highlight w:val="none"/>
        </w:rPr>
        <w:t>。</w:t>
      </w:r>
    </w:p>
    <w:p w14:paraId="7D770C52">
      <w:pPr>
        <w:pStyle w:val="8"/>
        <w:spacing w:before="0" w:after="0" w:line="400" w:lineRule="exact"/>
        <w:ind w:left="848" w:hanging="848" w:hangingChars="352"/>
        <w:rPr>
          <w:rFonts w:ascii="宋体" w:hAnsi="宋体" w:cs="宋体"/>
          <w:sz w:val="24"/>
          <w:szCs w:val="24"/>
          <w:highlight w:val="none"/>
        </w:rPr>
      </w:pPr>
      <w:bookmarkStart w:id="653" w:name="_Toc532377373"/>
      <w:bookmarkStart w:id="654" w:name="_Toc532375637"/>
      <w:bookmarkStart w:id="655" w:name="_Hlk528928195"/>
      <w:bookmarkStart w:id="656" w:name="_Toc351203570"/>
      <w:r>
        <w:rPr>
          <w:rFonts w:hint="eastAsia" w:ascii="宋体" w:hAnsi="宋体" w:cs="宋体"/>
          <w:sz w:val="24"/>
          <w:szCs w:val="24"/>
          <w:highlight w:val="none"/>
        </w:rPr>
        <w:t>1</w:t>
      </w:r>
      <w:bookmarkStart w:id="657" w:name="_Toc296346587"/>
      <w:bookmarkStart w:id="658" w:name="_Toc296503086"/>
      <w:bookmarkStart w:id="659" w:name="_Toc337558790"/>
      <w:r>
        <w:rPr>
          <w:rFonts w:hint="eastAsia" w:ascii="宋体" w:hAnsi="宋体" w:cs="宋体"/>
          <w:sz w:val="24"/>
          <w:szCs w:val="24"/>
          <w:highlight w:val="none"/>
        </w:rPr>
        <w:t>0.3变更程序</w:t>
      </w:r>
      <w:bookmarkEnd w:id="653"/>
      <w:bookmarkEnd w:id="654"/>
    </w:p>
    <w:bookmarkEnd w:id="657"/>
    <w:bookmarkEnd w:id="658"/>
    <w:bookmarkEnd w:id="659"/>
    <w:p w14:paraId="1776DA75">
      <w:pPr>
        <w:autoSpaceDE w:val="0"/>
        <w:autoSpaceDN w:val="0"/>
        <w:spacing w:line="400" w:lineRule="exact"/>
        <w:ind w:firstLine="480" w:firstLineChars="200"/>
        <w:jc w:val="left"/>
        <w:rPr>
          <w:rFonts w:ascii="宋体" w:hAnsi="宋体" w:cs="宋体"/>
          <w:sz w:val="24"/>
          <w:szCs w:val="24"/>
          <w:highlight w:val="none"/>
        </w:rPr>
      </w:pPr>
      <w:bookmarkStart w:id="660" w:name="_Hlk524353972"/>
      <w:r>
        <w:rPr>
          <w:rFonts w:hint="eastAsia" w:ascii="宋体" w:hAnsi="宋体" w:cs="宋体"/>
          <w:sz w:val="24"/>
          <w:szCs w:val="24"/>
          <w:highlight w:val="none"/>
        </w:rPr>
        <w:t>10.3.3 变更执行</w:t>
      </w:r>
    </w:p>
    <w:p w14:paraId="775B8364">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一般设计变更：承包人收到发包人下达的变更指示后，应按照发包人下达的变更指示执行，并书面说明实施该变更指示对合同价格和工期的影响，按照第10.4.1项〔变更估价原则〕约定执行。</w:t>
      </w:r>
    </w:p>
    <w:p w14:paraId="5292FDD7">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重大设计变更：需经设计人和发包人三方签名认可并报相关行业部门审查同意后实施。</w:t>
      </w:r>
    </w:p>
    <w:p w14:paraId="314E509E">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10.3.3 项增加以下内容：</w:t>
      </w:r>
    </w:p>
    <w:p w14:paraId="746E438D">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58EF3B7F">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项目的勘察设计、实施内容等作较大变更的，应当按照规定的程序报原审批部门审批；变更导致总投资超概的，应当报原投资概算核定部门核定。</w:t>
      </w:r>
    </w:p>
    <w:p w14:paraId="14B1C148">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项目管理人员变更的，应当经发包人领导班子集体决策同意，并将变更信息推送给行业主管部门。变更后的项目管理人员应当符合采购文件和行业主管部门的相关规定。</w:t>
      </w:r>
    </w:p>
    <w:p w14:paraId="2466B1EA">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B1C9DB9">
      <w:pPr>
        <w:autoSpaceDE w:val="0"/>
        <w:autoSpaceDN w:val="0"/>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项目合同变更后，增加的实施内容达到依法必须招标的规模标准的，增加的部分应当依法通过招标选择承包单位。</w:t>
      </w:r>
    </w:p>
    <w:bookmarkEnd w:id="655"/>
    <w:bookmarkEnd w:id="656"/>
    <w:bookmarkEnd w:id="660"/>
    <w:p w14:paraId="117066E3">
      <w:pPr>
        <w:pStyle w:val="8"/>
        <w:spacing w:before="0" w:after="0" w:line="400" w:lineRule="exact"/>
        <w:ind w:left="848" w:hanging="848" w:hangingChars="352"/>
        <w:rPr>
          <w:rFonts w:ascii="宋体" w:hAnsi="宋体" w:cs="宋体"/>
          <w:sz w:val="24"/>
          <w:szCs w:val="24"/>
          <w:highlight w:val="none"/>
        </w:rPr>
      </w:pPr>
      <w:bookmarkStart w:id="661" w:name="_Toc532377374"/>
      <w:bookmarkStart w:id="662" w:name="_Toc532375638"/>
      <w:r>
        <w:rPr>
          <w:rFonts w:hint="eastAsia" w:ascii="宋体" w:hAnsi="宋体" w:cs="宋体"/>
          <w:sz w:val="24"/>
          <w:szCs w:val="24"/>
          <w:highlight w:val="none"/>
        </w:rPr>
        <w:t>10.4 变更估价</w:t>
      </w:r>
      <w:bookmarkEnd w:id="661"/>
      <w:bookmarkEnd w:id="662"/>
    </w:p>
    <w:p w14:paraId="02FCE629">
      <w:pPr>
        <w:spacing w:line="400" w:lineRule="exact"/>
        <w:ind w:firstLine="480" w:firstLineChars="200"/>
        <w:jc w:val="left"/>
        <w:rPr>
          <w:rFonts w:ascii="宋体" w:hAnsi="宋体" w:cs="宋体"/>
          <w:sz w:val="24"/>
          <w:szCs w:val="24"/>
          <w:highlight w:val="none"/>
        </w:rPr>
      </w:pPr>
      <w:bookmarkStart w:id="663" w:name="_Hlk524296629"/>
      <w:r>
        <w:rPr>
          <w:rFonts w:hint="eastAsia" w:ascii="宋体" w:hAnsi="宋体" w:cs="宋体"/>
          <w:sz w:val="24"/>
          <w:szCs w:val="24"/>
          <w:highlight w:val="none"/>
        </w:rPr>
        <w:t>10.4.1 变更估价原则</w:t>
      </w:r>
    </w:p>
    <w:p w14:paraId="3B57CA36">
      <w:pPr>
        <w:pStyle w:val="2"/>
        <w:spacing w:line="400" w:lineRule="exact"/>
        <w:ind w:firstLine="480" w:firstLineChars="2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当发生工程变更时，工程量按</w:t>
      </w:r>
      <w:r>
        <w:rPr>
          <w:rFonts w:hint="eastAsia" w:ascii="宋体" w:hAnsi="宋体" w:eastAsia="宋体" w:cs="宋体"/>
          <w:sz w:val="24"/>
          <w:szCs w:val="24"/>
          <w:highlight w:val="none"/>
          <w:u w:val="single"/>
        </w:rPr>
        <w:t>第12.3.1项〔计量原则〕</w:t>
      </w:r>
      <w:r>
        <w:rPr>
          <w:rFonts w:hint="eastAsia" w:ascii="宋体" w:hAnsi="宋体" w:eastAsia="宋体" w:cs="宋体"/>
          <w:sz w:val="24"/>
          <w:szCs w:val="24"/>
          <w:highlight w:val="none"/>
        </w:rPr>
        <w:t>规定的计算规则及已标价工程量清单规定的工程量计算规则计量，按以下办法计价：</w:t>
      </w:r>
      <w:bookmarkStart w:id="664" w:name="_Hlk524770102"/>
    </w:p>
    <w:bookmarkEnd w:id="664"/>
    <w:p w14:paraId="5107477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10.4.1.1已标价工程量清单中有相同项目的，按照相同项目单价计算；</w:t>
      </w:r>
    </w:p>
    <w:p w14:paraId="317F9EE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10.4.1.2已标价工程量清单中有类似项目的，参考类似项目单价计算；</w:t>
      </w:r>
    </w:p>
    <w:p w14:paraId="0500204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10.4.1.3已标价工程量清单中无相同项目亦无类似项目的，按照以下原则执行：</w:t>
      </w:r>
    </w:p>
    <w:p w14:paraId="1DBEC16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跟审单位、发包人审定后执行</w:t>
      </w:r>
      <w:r>
        <w:rPr>
          <w:rFonts w:hint="eastAsia" w:ascii="宋体" w:hAnsi="宋体" w:cs="宋体"/>
          <w:sz w:val="24"/>
          <w:szCs w:val="24"/>
          <w:highlight w:val="none"/>
        </w:rPr>
        <w:t>。</w:t>
      </w:r>
    </w:p>
    <w:p w14:paraId="07ADD16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承包人报价浮动率按下列公式计算：承包人报价浮动率=（1-中标价/最高限价）×100%。</w:t>
      </w:r>
    </w:p>
    <w:p w14:paraId="456A4F7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（1）人工单价：按开标当期《重庆工程造价信息》发布的项目所在地的人工单价执行。</w:t>
      </w:r>
    </w:p>
    <w:p w14:paraId="3A8B9B30">
      <w:pPr>
        <w:spacing w:line="400" w:lineRule="exact"/>
        <w:ind w:firstLine="480" w:firstLineChars="200"/>
        <w:jc w:val="left"/>
        <w:rPr>
          <w:rFonts w:ascii="宋体" w:hAnsi="宋体" w:cs="宋体"/>
          <w:sz w:val="24"/>
          <w:szCs w:val="24"/>
          <w:highlight w:val="none"/>
        </w:rPr>
      </w:pPr>
      <w:bookmarkStart w:id="665" w:name="_Hlk529023896"/>
      <w:r>
        <w:rPr>
          <w:rFonts w:hint="eastAsia" w:ascii="宋体" w:hAnsi="宋体" w:cs="宋体"/>
          <w:sz w:val="24"/>
          <w:szCs w:val="24"/>
          <w:highlight w:val="none"/>
        </w:rPr>
        <w:t>（2）材料单价：</w:t>
      </w:r>
    </w:p>
    <w:p w14:paraId="7C7814D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①按</w:t>
      </w:r>
      <w:bookmarkStart w:id="666" w:name="_Hlk529023354"/>
      <w:r>
        <w:rPr>
          <w:rFonts w:hint="eastAsia" w:ascii="宋体" w:hAnsi="宋体" w:cs="宋体"/>
          <w:sz w:val="24"/>
          <w:szCs w:val="24"/>
          <w:highlight w:val="none"/>
        </w:rPr>
        <w:t>开标当期《重庆工程造价信息》发布的项目所在地的信息价</w:t>
      </w:r>
      <w:bookmarkEnd w:id="666"/>
      <w:r>
        <w:rPr>
          <w:rFonts w:hint="eastAsia" w:ascii="宋体" w:hAnsi="宋体" w:cs="宋体"/>
          <w:sz w:val="24"/>
          <w:szCs w:val="24"/>
          <w:highlight w:val="none"/>
        </w:rPr>
        <w:t>执行；</w:t>
      </w:r>
    </w:p>
    <w:p w14:paraId="660EE3C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②开标当期《重庆工程造价信息》中没有的，承包人响应报价中有的，按承包人响应报价中相同材料单价的最低值执行；</w:t>
      </w:r>
    </w:p>
    <w:p w14:paraId="7F6CDED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③开标当期《重庆工程造价信息》和承包人响应报价没有的，由承包人申报、会同跟审单位、发包人根据市场行情认质核价确定。</w:t>
      </w:r>
    </w:p>
    <w:bookmarkEnd w:id="665"/>
    <w:p w14:paraId="18B4CFE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企业管理费和利润：按承包人响应报价中相同工程分类的费用标准执行（响应报价中费用标准高于《重庆市建设工程费用定额》（CQFYDE-2018）费用标准的，按《重庆市建设工程费用定额》（CQFYDE-2018）费用标准执行）。</w:t>
      </w:r>
    </w:p>
    <w:p w14:paraId="7B94F54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（4）规费：按《重庆市建设工程费用定额》（CQFYDE-2018）费用标准进行计算。</w:t>
      </w:r>
    </w:p>
    <w:p w14:paraId="25AD29E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（5）税金：包含增值税、城市维护建设税、教育费附加、地方教育附加以及环境保护税。其中增值税按《重庆市建设工程费用定额》（CQFYDE-2018）规定及配套文件执行。</w:t>
      </w:r>
    </w:p>
    <w:p w14:paraId="01689137">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10.4.1.4已标价工程量清单中无相同项目亦无类似项目，也无定额可套用的，由承包人会同跟审单位、发包人按相关原则、编制方法编制补充定额（人工、材料、机械基价执行2018年计价定额的基价，2018年计价定额没有的基价，按市场价计），按照第10.4.1.3目约定执行；或参照重庆市场相同工作的市场价格上报发包人，最终价格按承包人、跟审单位、发包人共同询价确认的价格执行。</w:t>
      </w:r>
    </w:p>
    <w:p w14:paraId="1F97975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本款补充10.4.3项：</w:t>
      </w:r>
    </w:p>
    <w:p w14:paraId="79A5FDB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10.4.3工程变更引起施工方案改变并使措施项目发生变化时，承包人提出调整措施项目费的，应事前将拟实施的方案报发包人确认，并应详细说明与原方案措施项目相比的变化情况。拟实施的方案经发承包双方确认后执行，并应按照下列规定调整措施项目费：</w:t>
      </w:r>
    </w:p>
    <w:p w14:paraId="169FB49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cs="宋体"/>
          <w:sz w:val="24"/>
          <w:szCs w:val="24"/>
          <w:highlight w:val="none"/>
        </w:rPr>
        <w:t>；</w:t>
      </w:r>
    </w:p>
    <w:p w14:paraId="5901EF3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按照单价计算的措施项目费，应按照实际发生变化的措施项目，按照第10.4.1项〔变更估价原则〕约定执行</w:t>
      </w:r>
      <w:r>
        <w:rPr>
          <w:rFonts w:hint="eastAsia" w:ascii="宋体" w:hAnsi="宋体" w:cs="宋体"/>
          <w:sz w:val="24"/>
          <w:szCs w:val="24"/>
          <w:highlight w:val="none"/>
        </w:rPr>
        <w:t>；</w:t>
      </w:r>
    </w:p>
    <w:p w14:paraId="638B704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按总价（或系数）计算的措施项目费，应按照实际发生变化的措施项目费按承包人报价浮动率下浮后的金额计算</w:t>
      </w:r>
      <w:r>
        <w:rPr>
          <w:rFonts w:hint="eastAsia" w:ascii="宋体" w:hAnsi="宋体" w:cs="宋体"/>
          <w:sz w:val="24"/>
          <w:szCs w:val="24"/>
          <w:highlight w:val="none"/>
        </w:rPr>
        <w:t>；</w:t>
      </w:r>
    </w:p>
    <w:p w14:paraId="49FF4144">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（4）</w:t>
      </w:r>
      <w:r>
        <w:rPr>
          <w:rFonts w:hint="eastAsia" w:ascii="宋体" w:hAnsi="宋体" w:cs="宋体"/>
          <w:sz w:val="24"/>
          <w:szCs w:val="24"/>
          <w:highlight w:val="none"/>
          <w:u w:val="single"/>
        </w:rPr>
        <w:t>如果承包人未事前将拟实施的方案提交给发包人确认，则应视为工程变更不引起措施项目费的调整或承包人放弃调整措施项目费的权利</w:t>
      </w:r>
      <w:r>
        <w:rPr>
          <w:rFonts w:hint="eastAsia" w:ascii="宋体" w:hAnsi="宋体" w:cs="宋体"/>
          <w:sz w:val="24"/>
          <w:szCs w:val="24"/>
          <w:highlight w:val="none"/>
        </w:rPr>
        <w:t>。</w:t>
      </w:r>
    </w:p>
    <w:bookmarkEnd w:id="663"/>
    <w:p w14:paraId="7193E612">
      <w:pPr>
        <w:pStyle w:val="8"/>
        <w:spacing w:before="0" w:after="0" w:line="400" w:lineRule="exact"/>
        <w:ind w:left="848" w:hanging="848" w:hangingChars="352"/>
        <w:rPr>
          <w:rFonts w:ascii="宋体" w:hAnsi="宋体" w:cs="宋体"/>
          <w:sz w:val="24"/>
          <w:szCs w:val="24"/>
          <w:highlight w:val="none"/>
        </w:rPr>
      </w:pPr>
      <w:bookmarkStart w:id="667" w:name="_Toc532375639"/>
      <w:bookmarkStart w:id="668" w:name="_Toc532377375"/>
      <w:r>
        <w:rPr>
          <w:rFonts w:hint="eastAsia" w:ascii="宋体" w:hAnsi="宋体" w:cs="宋体"/>
          <w:sz w:val="24"/>
          <w:szCs w:val="24"/>
          <w:highlight w:val="none"/>
        </w:rPr>
        <w:t>1</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Start w:id="669" w:name="_Toc297120497"/>
      <w:bookmarkStart w:id="670" w:name="_Toc292559402"/>
      <w:bookmarkStart w:id="671" w:name="_Toc296503197"/>
      <w:bookmarkStart w:id="672" w:name="_Toc303539150"/>
      <w:bookmarkStart w:id="673" w:name="_Toc297216203"/>
      <w:bookmarkStart w:id="674" w:name="_Toc292559907"/>
      <w:bookmarkStart w:id="675" w:name="_Toc297123544"/>
      <w:bookmarkStart w:id="676" w:name="_Toc297048383"/>
      <w:bookmarkStart w:id="677" w:name="_Toc296347196"/>
      <w:bookmarkStart w:id="678" w:name="_Toc296891237"/>
      <w:bookmarkStart w:id="679" w:name="_Toc296891025"/>
      <w:bookmarkStart w:id="680" w:name="_Toc300934993"/>
      <w:bookmarkStart w:id="681" w:name="_Toc296944536"/>
      <w:bookmarkStart w:id="682" w:name="_Toc296346698"/>
      <w:bookmarkStart w:id="683" w:name="_Toc312678029"/>
      <w:bookmarkStart w:id="684" w:name="_Toc304295570"/>
      <w:bookmarkStart w:id="685" w:name="_Toc312677503"/>
      <w:r>
        <w:rPr>
          <w:rFonts w:hint="eastAsia" w:ascii="宋体" w:hAnsi="宋体" w:cs="宋体"/>
          <w:sz w:val="24"/>
          <w:szCs w:val="24"/>
          <w:highlight w:val="none"/>
        </w:rPr>
        <w:t>0.5承</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Start w:id="686" w:name="_Toc296891031"/>
      <w:bookmarkStart w:id="687" w:name="_Toc296347202"/>
      <w:bookmarkStart w:id="688" w:name="_Toc292559913"/>
      <w:bookmarkStart w:id="689" w:name="_Toc297123545"/>
      <w:bookmarkStart w:id="690" w:name="_Toc296346704"/>
      <w:bookmarkStart w:id="691" w:name="_Toc300934994"/>
      <w:bookmarkStart w:id="692" w:name="_Toc297216204"/>
      <w:bookmarkStart w:id="693" w:name="_Toc296503203"/>
      <w:bookmarkStart w:id="694" w:name="_Toc292559408"/>
      <w:bookmarkStart w:id="695" w:name="_Toc297120503"/>
      <w:bookmarkStart w:id="696" w:name="_Toc296891243"/>
      <w:bookmarkStart w:id="697" w:name="_Toc303539151"/>
      <w:bookmarkStart w:id="698" w:name="_Toc297048389"/>
      <w:bookmarkStart w:id="699" w:name="_Toc296944542"/>
      <w:r>
        <w:rPr>
          <w:rFonts w:hint="eastAsia" w:ascii="宋体" w:hAnsi="宋体" w:cs="宋体"/>
          <w:sz w:val="24"/>
          <w:szCs w:val="24"/>
          <w:highlight w:val="none"/>
        </w:rPr>
        <w:t>包人的合理化建议</w:t>
      </w:r>
      <w:bookmarkEnd w:id="667"/>
      <w:bookmarkEnd w:id="668"/>
    </w:p>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79366E3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承包人提出合理化建议的，应向发包人提交合理化建议说明，说明建议的内容和理由，以及实施该建议对合同价格和（或）工期和（或）工程经济效益的影响。</w:t>
      </w:r>
    </w:p>
    <w:p w14:paraId="7B9DB64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发包人审批承包人合理化建议的期限：</w:t>
      </w:r>
      <w:r>
        <w:rPr>
          <w:rFonts w:hint="eastAsia" w:ascii="宋体" w:hAnsi="宋体" w:cs="宋体"/>
          <w:sz w:val="24"/>
          <w:szCs w:val="24"/>
          <w:highlight w:val="none"/>
          <w:u w:val="single"/>
        </w:rPr>
        <w:t>不超过14天</w:t>
      </w:r>
      <w:r>
        <w:rPr>
          <w:rFonts w:hint="eastAsia" w:ascii="宋体" w:hAnsi="宋体" w:cs="宋体"/>
          <w:sz w:val="24"/>
          <w:szCs w:val="24"/>
          <w:highlight w:val="none"/>
        </w:rPr>
        <w:t>。</w:t>
      </w:r>
    </w:p>
    <w:p w14:paraId="16D2B3BC">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w:t>
      </w:r>
      <w:bookmarkStart w:id="700" w:name="_Toc296347203"/>
      <w:bookmarkStart w:id="701" w:name="_Toc304295571"/>
      <w:bookmarkStart w:id="702" w:name="_Toc312677504"/>
      <w:bookmarkStart w:id="703" w:name="_Toc296891032"/>
      <w:bookmarkStart w:id="704" w:name="_Toc296891244"/>
      <w:bookmarkStart w:id="705" w:name="_Toc292559914"/>
      <w:bookmarkStart w:id="706" w:name="_Toc312678030"/>
      <w:bookmarkStart w:id="707" w:name="_Toc297120504"/>
      <w:bookmarkStart w:id="708" w:name="_Toc297048390"/>
      <w:bookmarkStart w:id="709" w:name="_Toc303539152"/>
      <w:bookmarkStart w:id="710" w:name="_Toc296944543"/>
      <w:bookmarkStart w:id="711" w:name="_Toc297216205"/>
      <w:bookmarkStart w:id="712" w:name="_Toc296503204"/>
      <w:bookmarkStart w:id="713" w:name="_Toc300934995"/>
      <w:bookmarkStart w:id="714" w:name="_Toc296346705"/>
      <w:bookmarkStart w:id="715" w:name="_Toc297123546"/>
      <w:bookmarkStart w:id="716" w:name="_Toc318581175"/>
      <w:bookmarkStart w:id="717" w:name="_Toc292559409"/>
      <w:r>
        <w:rPr>
          <w:rFonts w:hint="eastAsia" w:ascii="宋体" w:hAnsi="宋体" w:cs="宋体"/>
          <w:sz w:val="24"/>
          <w:szCs w:val="24"/>
          <w:highlight w:val="none"/>
        </w:rPr>
        <w:t>包人提出的合理化建议降低了合同价格或缩短了工期或者提高了工程经济效益的奖励的方法和金额为：</w:t>
      </w:r>
      <w:r>
        <w:rPr>
          <w:rFonts w:hint="eastAsia" w:ascii="宋体" w:hAnsi="宋体" w:cs="宋体"/>
          <w:sz w:val="24"/>
          <w:szCs w:val="24"/>
          <w:highlight w:val="none"/>
          <w:u w:val="single"/>
        </w:rPr>
        <w:t>/</w:t>
      </w:r>
      <w:r>
        <w:rPr>
          <w:rFonts w:hint="eastAsia" w:ascii="宋体" w:hAnsi="宋体" w:cs="宋体"/>
          <w:sz w:val="24"/>
          <w:szCs w:val="24"/>
          <w:highlight w:val="none"/>
        </w:rPr>
        <w:t>。</w:t>
      </w:r>
    </w:p>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14:paraId="5EEF95D9">
      <w:pPr>
        <w:pStyle w:val="8"/>
        <w:spacing w:before="0" w:after="0" w:line="400" w:lineRule="exact"/>
        <w:ind w:left="848" w:hanging="848" w:hangingChars="352"/>
        <w:rPr>
          <w:rFonts w:ascii="宋体" w:hAnsi="宋体" w:cs="宋体"/>
          <w:sz w:val="24"/>
          <w:szCs w:val="24"/>
          <w:highlight w:val="none"/>
        </w:rPr>
      </w:pPr>
      <w:bookmarkStart w:id="718" w:name="_Toc532375640"/>
      <w:bookmarkStart w:id="719" w:name="_Toc532377376"/>
      <w:r>
        <w:rPr>
          <w:rFonts w:hint="eastAsia" w:ascii="宋体" w:hAnsi="宋体" w:cs="宋体"/>
          <w:sz w:val="24"/>
          <w:szCs w:val="24"/>
          <w:highlight w:val="none"/>
        </w:rPr>
        <w:t>1</w:t>
      </w:r>
      <w:bookmarkStart w:id="720" w:name="_Toc303539154"/>
      <w:bookmarkStart w:id="721" w:name="_Toc292559909"/>
      <w:bookmarkStart w:id="722" w:name="_Toc300934997"/>
      <w:bookmarkStart w:id="723" w:name="_Toc296503199"/>
      <w:bookmarkStart w:id="724" w:name="_Toc296346700"/>
      <w:bookmarkStart w:id="725" w:name="_Toc297048385"/>
      <w:bookmarkStart w:id="726" w:name="_Toc292559404"/>
      <w:bookmarkStart w:id="727" w:name="_Toc312677507"/>
      <w:bookmarkStart w:id="728" w:name="_Toc297123548"/>
      <w:bookmarkStart w:id="729" w:name="_Toc296944538"/>
      <w:bookmarkStart w:id="730" w:name="_Toc296891239"/>
      <w:bookmarkStart w:id="731" w:name="_Toc297216207"/>
      <w:bookmarkStart w:id="732" w:name="_Toc297120499"/>
      <w:bookmarkStart w:id="733" w:name="_Toc304295574"/>
      <w:bookmarkStart w:id="734" w:name="_Toc296891027"/>
      <w:bookmarkStart w:id="735" w:name="_Toc296347198"/>
      <w:bookmarkStart w:id="736" w:name="_Toc312678033"/>
      <w:r>
        <w:rPr>
          <w:rFonts w:hint="eastAsia" w:ascii="宋体" w:hAnsi="宋体" w:cs="宋体"/>
          <w:sz w:val="24"/>
          <w:szCs w:val="24"/>
          <w:highlight w:val="none"/>
        </w:rPr>
        <w:t>0.7 暂估价</w:t>
      </w:r>
      <w:bookmarkEnd w:id="718"/>
      <w:bookmarkEnd w:id="719"/>
    </w:p>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p w14:paraId="24C5181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专业工程暂估价：</w:t>
      </w:r>
      <w:r>
        <w:rPr>
          <w:rFonts w:hint="eastAsia" w:ascii="宋体" w:hAnsi="宋体" w:cs="宋体"/>
          <w:sz w:val="24"/>
          <w:szCs w:val="24"/>
          <w:highlight w:val="none"/>
          <w:u w:val="single"/>
        </w:rPr>
        <w:t xml:space="preserve">   /   </w:t>
      </w:r>
      <w:r>
        <w:rPr>
          <w:rFonts w:hint="eastAsia" w:ascii="宋体" w:hAnsi="宋体" w:cs="宋体"/>
          <w:sz w:val="24"/>
          <w:szCs w:val="24"/>
          <w:highlight w:val="none"/>
        </w:rPr>
        <w:t>万元。</w:t>
      </w:r>
    </w:p>
    <w:p w14:paraId="1391AA9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跟审单位、发包人共同审定。审定后根据承包人签订的相关合同（需经跟审单位、发包人共同确认）约定，由承包人申报，随进度款按与相关单位签订的合同约定一并支付。</w:t>
      </w:r>
    </w:p>
    <w:p w14:paraId="6FBB00BF">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单项合同暂估价在国家相关法律法规规定必须招标规模以上的，需依法必须招标的，由承包人、发包人共同招标确定。</w:t>
      </w:r>
    </w:p>
    <w:p w14:paraId="4496BD75">
      <w:pPr>
        <w:pStyle w:val="8"/>
        <w:spacing w:before="0" w:after="0" w:line="400" w:lineRule="exact"/>
        <w:ind w:left="848" w:hanging="848" w:hangingChars="352"/>
        <w:rPr>
          <w:rFonts w:ascii="宋体" w:hAnsi="宋体" w:cs="宋体"/>
          <w:sz w:val="24"/>
          <w:szCs w:val="24"/>
          <w:highlight w:val="none"/>
        </w:rPr>
      </w:pPr>
      <w:bookmarkStart w:id="737" w:name="_Toc532377377"/>
      <w:bookmarkStart w:id="738" w:name="_Toc532375641"/>
      <w:r>
        <w:rPr>
          <w:rFonts w:hint="eastAsia" w:ascii="宋体" w:hAnsi="宋体" w:cs="宋体"/>
          <w:sz w:val="24"/>
          <w:szCs w:val="24"/>
          <w:highlight w:val="none"/>
        </w:rPr>
        <w:t>10.8 暂列金额</w:t>
      </w:r>
      <w:bookmarkEnd w:id="737"/>
      <w:bookmarkEnd w:id="738"/>
    </w:p>
    <w:p w14:paraId="317B30EB">
      <w:pPr>
        <w:autoSpaceDE w:val="0"/>
        <w:autoSpaceDN w:val="0"/>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合同当事人关于暂列金额使用的约定：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789CF7AA">
      <w:pPr>
        <w:pStyle w:val="7"/>
        <w:spacing w:before="0" w:after="0" w:line="400" w:lineRule="exact"/>
        <w:rPr>
          <w:rFonts w:ascii="宋体" w:hAnsi="宋体" w:eastAsia="宋体" w:cs="宋体"/>
          <w:bCs/>
          <w:sz w:val="24"/>
          <w:szCs w:val="24"/>
          <w:highlight w:val="none"/>
        </w:rPr>
      </w:pPr>
      <w:bookmarkStart w:id="739" w:name="_Toc351203643"/>
      <w:bookmarkStart w:id="740" w:name="_Toc532375642"/>
      <w:bookmarkStart w:id="741" w:name="_Toc532377378"/>
      <w:r>
        <w:rPr>
          <w:rFonts w:hint="eastAsia" w:ascii="宋体" w:hAnsi="宋体" w:eastAsia="宋体" w:cs="宋体"/>
          <w:sz w:val="24"/>
          <w:szCs w:val="24"/>
          <w:highlight w:val="none"/>
        </w:rPr>
        <w:t>11. 价格调整</w:t>
      </w:r>
      <w:bookmarkEnd w:id="739"/>
      <w:bookmarkEnd w:id="740"/>
      <w:bookmarkEnd w:id="741"/>
    </w:p>
    <w:bookmarkEnd w:id="622"/>
    <w:bookmarkEnd w:id="623"/>
    <w:bookmarkEnd w:id="624"/>
    <w:bookmarkEnd w:id="625"/>
    <w:bookmarkEnd w:id="626"/>
    <w:bookmarkEnd w:id="627"/>
    <w:p w14:paraId="1E2767EC">
      <w:pPr>
        <w:pStyle w:val="8"/>
        <w:spacing w:before="0" w:after="0" w:line="400" w:lineRule="exact"/>
        <w:ind w:left="848" w:hanging="848" w:hangingChars="352"/>
        <w:rPr>
          <w:rFonts w:ascii="宋体" w:hAnsi="宋体" w:cs="宋体"/>
          <w:sz w:val="24"/>
          <w:szCs w:val="24"/>
          <w:highlight w:val="none"/>
        </w:rPr>
      </w:pPr>
      <w:bookmarkStart w:id="742" w:name="_Toc532375643"/>
      <w:bookmarkStart w:id="743" w:name="_Toc532377379"/>
      <w:bookmarkStart w:id="744" w:name="_Toc296347200"/>
      <w:bookmarkStart w:id="745" w:name="_Toc296944540"/>
      <w:bookmarkStart w:id="746" w:name="_Toc297120501"/>
      <w:bookmarkStart w:id="747" w:name="_Toc297048387"/>
      <w:bookmarkStart w:id="748" w:name="_Toc300935000"/>
      <w:bookmarkStart w:id="749" w:name="_Toc292559406"/>
      <w:bookmarkStart w:id="750" w:name="_Toc297123550"/>
      <w:bookmarkStart w:id="751" w:name="_Toc296346702"/>
      <w:bookmarkStart w:id="752" w:name="_Toc303539157"/>
      <w:bookmarkStart w:id="753" w:name="_Toc296503201"/>
      <w:bookmarkStart w:id="754" w:name="_Toc297216209"/>
      <w:bookmarkStart w:id="755" w:name="_Toc296891029"/>
      <w:bookmarkStart w:id="756" w:name="_Toc296891241"/>
      <w:bookmarkStart w:id="757" w:name="_Toc292559911"/>
      <w:bookmarkStart w:id="758" w:name="_Toc312678039"/>
      <w:bookmarkStart w:id="759" w:name="_Toc304295577"/>
      <w:bookmarkStart w:id="760" w:name="_Hlk528928232"/>
      <w:bookmarkStart w:id="761" w:name="_Toc296503205"/>
      <w:bookmarkStart w:id="762" w:name="_Toc296346706"/>
      <w:bookmarkStart w:id="763" w:name="_Toc292559915"/>
      <w:bookmarkStart w:id="764" w:name="_Toc296944544"/>
      <w:bookmarkStart w:id="765" w:name="_Toc297120505"/>
      <w:bookmarkStart w:id="766" w:name="_Toc296347204"/>
      <w:bookmarkStart w:id="767" w:name="_Toc296891033"/>
      <w:bookmarkStart w:id="768" w:name="_Toc297048391"/>
      <w:bookmarkStart w:id="769" w:name="_Toc296891245"/>
      <w:bookmarkStart w:id="770" w:name="_Toc292559410"/>
      <w:bookmarkStart w:id="771" w:name="_Toc351203644"/>
      <w:bookmarkStart w:id="772" w:name="_Toc297123552"/>
      <w:bookmarkStart w:id="773" w:name="_Toc297216211"/>
      <w:bookmarkStart w:id="774" w:name="_Toc303539159"/>
      <w:bookmarkStart w:id="775" w:name="_Toc304295579"/>
      <w:bookmarkStart w:id="776" w:name="_Toc312678040"/>
      <w:bookmarkStart w:id="777" w:name="_Toc300935002"/>
      <w:r>
        <w:rPr>
          <w:rFonts w:hint="eastAsia" w:ascii="宋体" w:hAnsi="宋体" w:cs="宋体"/>
          <w:sz w:val="24"/>
          <w:szCs w:val="24"/>
          <w:highlight w:val="none"/>
        </w:rPr>
        <w:t>11.1 市场价格波动引起的调整</w:t>
      </w:r>
      <w:bookmarkEnd w:id="742"/>
      <w:bookmarkEnd w:id="743"/>
    </w:p>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14:paraId="0678550A">
      <w:pPr>
        <w:spacing w:line="400" w:lineRule="exact"/>
        <w:ind w:firstLine="480" w:firstLineChars="200"/>
        <w:jc w:val="left"/>
        <w:rPr>
          <w:rFonts w:ascii="宋体" w:hAnsi="宋体" w:cs="宋体"/>
          <w:sz w:val="24"/>
          <w:szCs w:val="24"/>
          <w:highlight w:val="none"/>
        </w:rPr>
      </w:pPr>
      <w:bookmarkStart w:id="778" w:name="_Toc467689641"/>
      <w:bookmarkStart w:id="779" w:name="_Toc466913963"/>
      <w:bookmarkStart w:id="780" w:name="_Toc466911545"/>
      <w:bookmarkStart w:id="781" w:name="_Toc466913513"/>
      <w:r>
        <w:rPr>
          <w:rFonts w:hint="eastAsia" w:ascii="宋体" w:hAnsi="宋体" w:cs="宋体"/>
          <w:sz w:val="24"/>
          <w:szCs w:val="24"/>
          <w:highlight w:val="none"/>
        </w:rPr>
        <w:t>市场价格波动是否调整合同价格的约定：</w:t>
      </w:r>
      <w:r>
        <w:rPr>
          <w:rFonts w:hint="eastAsia" w:ascii="宋体" w:hAnsi="宋体" w:cs="宋体"/>
          <w:sz w:val="24"/>
          <w:szCs w:val="24"/>
          <w:highlight w:val="none"/>
          <w:u w:val="single"/>
        </w:rPr>
        <w:t>不调整</w:t>
      </w:r>
      <w:r>
        <w:rPr>
          <w:rFonts w:hint="eastAsia" w:ascii="宋体" w:hAnsi="宋体" w:cs="宋体"/>
          <w:sz w:val="24"/>
          <w:szCs w:val="24"/>
          <w:highlight w:val="none"/>
        </w:rPr>
        <w:t>。</w:t>
      </w:r>
    </w:p>
    <w:p w14:paraId="094899A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因市场价格波动调整合同价格，采用以下</w:t>
      </w:r>
      <w:r>
        <w:rPr>
          <w:rFonts w:hint="eastAsia" w:ascii="宋体" w:hAnsi="宋体" w:cs="宋体"/>
          <w:sz w:val="24"/>
          <w:szCs w:val="24"/>
          <w:highlight w:val="none"/>
          <w:u w:val="single"/>
        </w:rPr>
        <w:t>第  /   种</w:t>
      </w:r>
      <w:r>
        <w:rPr>
          <w:rFonts w:hint="eastAsia" w:ascii="宋体" w:hAnsi="宋体" w:cs="宋体"/>
          <w:sz w:val="24"/>
          <w:szCs w:val="24"/>
          <w:highlight w:val="none"/>
        </w:rPr>
        <w:t>方式对合同价格进行调整：</w:t>
      </w:r>
    </w:p>
    <w:p w14:paraId="4A15C30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第1种方式：采用价格指数进行价格调整。</w:t>
      </w:r>
    </w:p>
    <w:p w14:paraId="0D57E21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关于各可调因子、定值和变值权重，以及基本价格指数及其来源的约定：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178DA14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第2种方式：采用造价信息进行价格调整，调整方法如下：</w:t>
      </w:r>
    </w:p>
    <w:p w14:paraId="5CC877D0">
      <w:pPr>
        <w:spacing w:line="400" w:lineRule="exact"/>
        <w:ind w:firstLine="480" w:firstLineChars="200"/>
        <w:jc w:val="left"/>
        <w:rPr>
          <w:rFonts w:ascii="宋体" w:hAnsi="宋体" w:cs="宋体"/>
          <w:sz w:val="24"/>
          <w:szCs w:val="24"/>
          <w:highlight w:val="none"/>
        </w:rPr>
      </w:pPr>
      <w:bookmarkStart w:id="782" w:name="_Hlk524296901"/>
      <w:r>
        <w:rPr>
          <w:rFonts w:hint="eastAsia" w:ascii="宋体" w:hAnsi="宋体" w:cs="宋体"/>
          <w:sz w:val="24"/>
          <w:szCs w:val="24"/>
          <w:highlight w:val="none"/>
        </w:rPr>
        <w:t>11.1.1人工费价差调整办法</w:t>
      </w:r>
      <w:bookmarkEnd w:id="778"/>
      <w:bookmarkEnd w:id="779"/>
      <w:bookmarkEnd w:id="780"/>
      <w:bookmarkEnd w:id="781"/>
    </w:p>
    <w:p w14:paraId="61B8FAA7">
      <w:pPr>
        <w:tabs>
          <w:tab w:val="left" w:pos="711"/>
          <w:tab w:val="left" w:pos="2580"/>
        </w:tabs>
        <w:spacing w:line="400" w:lineRule="exact"/>
        <w:ind w:firstLine="480" w:firstLineChars="200"/>
        <w:jc w:val="left"/>
        <w:textAlignment w:val="baseline"/>
        <w:rPr>
          <w:rFonts w:ascii="宋体" w:hAnsi="宋体" w:cs="宋体"/>
          <w:sz w:val="24"/>
          <w:szCs w:val="24"/>
          <w:highlight w:val="none"/>
        </w:rPr>
      </w:pPr>
      <w:bookmarkStart w:id="783" w:name="_Toc466911548"/>
      <w:bookmarkStart w:id="784" w:name="_Toc466913966"/>
      <w:bookmarkStart w:id="785" w:name="_Toc467689644"/>
      <w:bookmarkStart w:id="786" w:name="_Toc466913516"/>
      <w:r>
        <w:rPr>
          <w:rFonts w:hint="eastAsia" w:ascii="宋体" w:hAnsi="宋体" w:cs="宋体"/>
          <w:sz w:val="24"/>
          <w:szCs w:val="24"/>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cs="宋体"/>
          <w:sz w:val="24"/>
          <w:szCs w:val="24"/>
          <w:highlight w:val="none"/>
          <w:u w:val="single"/>
        </w:rPr>
        <w:t>±5%</w:t>
      </w:r>
      <w:r>
        <w:rPr>
          <w:rFonts w:hint="eastAsia" w:ascii="宋体" w:hAnsi="宋体" w:cs="宋体"/>
          <w:sz w:val="24"/>
          <w:szCs w:val="24"/>
          <w:highlight w:val="none"/>
        </w:rPr>
        <w:t>时，按以下约定调整：</w:t>
      </w:r>
    </w:p>
    <w:p w14:paraId="53FCC339">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cs="宋体"/>
          <w:sz w:val="24"/>
          <w:szCs w:val="24"/>
          <w:highlight w:val="none"/>
          <w:u w:val="single"/>
        </w:rPr>
        <w:t>（1±5%）</w:t>
      </w:r>
      <w:r>
        <w:rPr>
          <w:rFonts w:hint="eastAsia" w:ascii="宋体" w:hAnsi="宋体" w:cs="宋体"/>
          <w:sz w:val="24"/>
          <w:szCs w:val="24"/>
          <w:highlight w:val="none"/>
        </w:rPr>
        <w:t>调差。</w:t>
      </w:r>
    </w:p>
    <w:p w14:paraId="13A9D3B6">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cs="宋体"/>
          <w:sz w:val="24"/>
          <w:szCs w:val="24"/>
          <w:highlight w:val="none"/>
          <w:u w:val="single"/>
        </w:rPr>
        <w:t>（1±5%）</w:t>
      </w:r>
      <w:r>
        <w:rPr>
          <w:rFonts w:hint="eastAsia" w:ascii="宋体" w:hAnsi="宋体" w:cs="宋体"/>
          <w:sz w:val="24"/>
          <w:szCs w:val="24"/>
          <w:highlight w:val="none"/>
        </w:rPr>
        <w:t>调差。</w:t>
      </w:r>
    </w:p>
    <w:p w14:paraId="2568A038">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2）工程量按照第12.3.1项〔计量原则〕约定计算，单位工程的人工消耗量按承包人响应报价的消耗量执行（承包人响应报价的单位工程人工消耗量高于定额单位工程人工消耗量的，按定额单位工程的人工消耗量执行）。</w:t>
      </w:r>
    </w:p>
    <w:p w14:paraId="45024285">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bookmarkEnd w:id="782"/>
    <w:p w14:paraId="3E11EC01">
      <w:pPr>
        <w:spacing w:line="400" w:lineRule="exact"/>
        <w:ind w:firstLine="480" w:firstLineChars="200"/>
        <w:jc w:val="left"/>
        <w:rPr>
          <w:rFonts w:ascii="宋体" w:hAnsi="宋体" w:cs="宋体"/>
          <w:sz w:val="24"/>
          <w:szCs w:val="24"/>
          <w:highlight w:val="none"/>
        </w:rPr>
      </w:pPr>
      <w:bookmarkStart w:id="787" w:name="_Hlk524297138"/>
      <w:r>
        <w:rPr>
          <w:rFonts w:hint="eastAsia" w:ascii="宋体" w:hAnsi="宋体" w:cs="宋体"/>
          <w:sz w:val="24"/>
          <w:szCs w:val="24"/>
          <w:highlight w:val="none"/>
        </w:rPr>
        <w:t>11.1.2 材料费价差调整</w:t>
      </w:r>
      <w:bookmarkEnd w:id="783"/>
      <w:bookmarkEnd w:id="784"/>
      <w:bookmarkEnd w:id="785"/>
      <w:bookmarkEnd w:id="786"/>
      <w:r>
        <w:rPr>
          <w:rFonts w:hint="eastAsia" w:ascii="宋体" w:hAnsi="宋体" w:cs="宋体"/>
          <w:sz w:val="24"/>
          <w:szCs w:val="24"/>
          <w:highlight w:val="none"/>
        </w:rPr>
        <w:t>办法</w:t>
      </w:r>
    </w:p>
    <w:p w14:paraId="262F5E7B">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可调价差材料：</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181C3998">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可调价差材料的价差调整办法如下：</w:t>
      </w:r>
    </w:p>
    <w:p w14:paraId="6C8070EB">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cs="宋体"/>
          <w:sz w:val="24"/>
          <w:szCs w:val="24"/>
          <w:highlight w:val="none"/>
          <w:u w:val="single"/>
        </w:rPr>
        <w:t>±5%</w:t>
      </w:r>
      <w:r>
        <w:rPr>
          <w:rFonts w:hint="eastAsia" w:ascii="宋体" w:hAnsi="宋体" w:cs="宋体"/>
          <w:sz w:val="24"/>
          <w:szCs w:val="24"/>
          <w:highlight w:val="none"/>
        </w:rPr>
        <w:t>时，按以下约定调整：</w:t>
      </w:r>
    </w:p>
    <w:p w14:paraId="552BF174">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cs="宋体"/>
          <w:sz w:val="24"/>
          <w:szCs w:val="24"/>
          <w:highlight w:val="none"/>
          <w:u w:val="single"/>
        </w:rPr>
        <w:t>（1±5%）</w:t>
      </w:r>
      <w:r>
        <w:rPr>
          <w:rFonts w:hint="eastAsia" w:ascii="宋体" w:hAnsi="宋体" w:cs="宋体"/>
          <w:sz w:val="24"/>
          <w:szCs w:val="24"/>
          <w:highlight w:val="none"/>
        </w:rPr>
        <w:t>调差。</w:t>
      </w:r>
    </w:p>
    <w:p w14:paraId="515A1727">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cs="宋体"/>
          <w:sz w:val="24"/>
          <w:szCs w:val="24"/>
          <w:highlight w:val="none"/>
          <w:u w:val="single"/>
        </w:rPr>
        <w:t>（1±5%）</w:t>
      </w:r>
      <w:r>
        <w:rPr>
          <w:rFonts w:hint="eastAsia" w:ascii="宋体" w:hAnsi="宋体" w:cs="宋体"/>
          <w:sz w:val="24"/>
          <w:szCs w:val="24"/>
          <w:highlight w:val="none"/>
        </w:rPr>
        <w:t>调差。</w:t>
      </w:r>
    </w:p>
    <w:p w14:paraId="65A8576B">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2）工程量按照第12.3.1项〔计量原则〕约定计算，单位工程的材料消耗量按承包人响应报价的消耗量执行（承包人响应报价的单位工程材料消耗量高于定额单位工程材料消耗量的，按定额单位工程的材料消耗量执行）。</w:t>
      </w:r>
    </w:p>
    <w:p w14:paraId="30006807">
      <w:pPr>
        <w:tabs>
          <w:tab w:val="left" w:pos="711"/>
          <w:tab w:val="left" w:pos="2580"/>
        </w:tabs>
        <w:spacing w:line="400" w:lineRule="exact"/>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bookmarkEnd w:id="787"/>
    <w:p w14:paraId="72FC5FB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第3种方式：其他价格调整方式：</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426C8930">
      <w:pPr>
        <w:pStyle w:val="8"/>
        <w:spacing w:before="0" w:after="0" w:line="400" w:lineRule="exact"/>
        <w:ind w:left="848" w:hanging="848" w:hangingChars="352"/>
        <w:rPr>
          <w:rFonts w:ascii="宋体" w:hAnsi="宋体" w:cs="宋体"/>
          <w:sz w:val="24"/>
          <w:szCs w:val="24"/>
          <w:highlight w:val="none"/>
        </w:rPr>
      </w:pPr>
      <w:bookmarkStart w:id="788" w:name="_Toc532375644"/>
      <w:bookmarkStart w:id="789" w:name="_Toc532377380"/>
      <w:r>
        <w:rPr>
          <w:rFonts w:hint="eastAsia" w:ascii="宋体" w:hAnsi="宋体" w:cs="宋体"/>
          <w:sz w:val="24"/>
          <w:szCs w:val="24"/>
          <w:highlight w:val="none"/>
        </w:rPr>
        <w:t>11.2 法律变化引起的调整</w:t>
      </w:r>
      <w:bookmarkEnd w:id="788"/>
      <w:bookmarkEnd w:id="789"/>
    </w:p>
    <w:p w14:paraId="7B7653F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7AFB75B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本条补充11.3款</w:t>
      </w:r>
    </w:p>
    <w:p w14:paraId="432598C5">
      <w:pPr>
        <w:pStyle w:val="8"/>
        <w:spacing w:before="0" w:after="0" w:line="400" w:lineRule="exact"/>
        <w:ind w:left="848" w:hanging="848" w:hangingChars="352"/>
        <w:rPr>
          <w:rFonts w:ascii="宋体" w:hAnsi="宋体" w:cs="宋体"/>
          <w:sz w:val="24"/>
          <w:szCs w:val="24"/>
          <w:highlight w:val="none"/>
        </w:rPr>
      </w:pPr>
      <w:bookmarkStart w:id="790" w:name="_Toc532375645"/>
      <w:bookmarkStart w:id="791" w:name="_Toc532377381"/>
      <w:r>
        <w:rPr>
          <w:rFonts w:hint="eastAsia" w:ascii="宋体" w:hAnsi="宋体" w:cs="宋体"/>
          <w:sz w:val="24"/>
          <w:szCs w:val="24"/>
          <w:highlight w:val="none"/>
        </w:rPr>
        <w:t>11.3 严重不平衡报价引起的调整</w:t>
      </w:r>
      <w:bookmarkEnd w:id="790"/>
      <w:bookmarkEnd w:id="791"/>
    </w:p>
    <w:p w14:paraId="4544770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不调整</w:t>
      </w:r>
      <w:r>
        <w:rPr>
          <w:rFonts w:hint="eastAsia" w:ascii="宋体" w:hAnsi="宋体" w:cs="宋体"/>
          <w:sz w:val="24"/>
          <w:szCs w:val="24"/>
          <w:highlight w:val="none"/>
        </w:rPr>
        <w:t>。</w:t>
      </w:r>
    </w:p>
    <w:bookmarkEnd w:id="760"/>
    <w:p w14:paraId="06EC15C4">
      <w:pPr>
        <w:pStyle w:val="7"/>
        <w:spacing w:before="0" w:after="0" w:line="400" w:lineRule="exact"/>
        <w:rPr>
          <w:rFonts w:ascii="宋体" w:hAnsi="宋体" w:eastAsia="宋体" w:cs="宋体"/>
          <w:bCs/>
          <w:sz w:val="24"/>
          <w:szCs w:val="24"/>
          <w:highlight w:val="none"/>
        </w:rPr>
      </w:pPr>
      <w:bookmarkStart w:id="792" w:name="_Toc532375646"/>
      <w:bookmarkStart w:id="793" w:name="_Toc532377382"/>
      <w:r>
        <w:rPr>
          <w:rFonts w:hint="eastAsia" w:ascii="宋体" w:hAnsi="宋体" w:eastAsia="宋体" w:cs="宋体"/>
          <w:sz w:val="24"/>
          <w:szCs w:val="24"/>
          <w:highlight w:val="none"/>
        </w:rPr>
        <w:t xml:space="preserve">12. </w:t>
      </w:r>
      <w:bookmarkEnd w:id="761"/>
      <w:bookmarkEnd w:id="762"/>
      <w:bookmarkEnd w:id="763"/>
      <w:bookmarkEnd w:id="764"/>
      <w:bookmarkEnd w:id="765"/>
      <w:bookmarkEnd w:id="766"/>
      <w:bookmarkEnd w:id="767"/>
      <w:bookmarkEnd w:id="768"/>
      <w:bookmarkEnd w:id="769"/>
      <w:bookmarkEnd w:id="770"/>
      <w:r>
        <w:rPr>
          <w:rFonts w:hint="eastAsia" w:ascii="宋体" w:hAnsi="宋体" w:eastAsia="宋体" w:cs="宋体"/>
          <w:sz w:val="24"/>
          <w:szCs w:val="24"/>
          <w:highlight w:val="none"/>
        </w:rPr>
        <w:t>合同价格、计量与支付</w:t>
      </w:r>
      <w:bookmarkEnd w:id="771"/>
      <w:bookmarkEnd w:id="792"/>
      <w:bookmarkEnd w:id="793"/>
    </w:p>
    <w:bookmarkEnd w:id="772"/>
    <w:bookmarkEnd w:id="773"/>
    <w:bookmarkEnd w:id="774"/>
    <w:bookmarkEnd w:id="775"/>
    <w:bookmarkEnd w:id="776"/>
    <w:bookmarkEnd w:id="777"/>
    <w:p w14:paraId="28B55606">
      <w:pPr>
        <w:pStyle w:val="8"/>
        <w:spacing w:before="0" w:after="0" w:line="400" w:lineRule="exact"/>
        <w:ind w:left="848" w:hanging="848" w:hangingChars="352"/>
        <w:rPr>
          <w:rFonts w:ascii="宋体" w:hAnsi="宋体" w:cs="宋体"/>
          <w:sz w:val="24"/>
          <w:szCs w:val="24"/>
          <w:highlight w:val="none"/>
        </w:rPr>
      </w:pPr>
      <w:bookmarkStart w:id="794" w:name="_Toc267251461"/>
      <w:bookmarkStart w:id="795" w:name="_Toc292559411"/>
      <w:bookmarkStart w:id="796" w:name="_Toc292559916"/>
      <w:bookmarkStart w:id="797" w:name="_Toc297120506"/>
      <w:bookmarkStart w:id="798" w:name="_Toc296346707"/>
      <w:bookmarkStart w:id="799" w:name="_Toc297048392"/>
      <w:bookmarkStart w:id="800" w:name="_Toc296891034"/>
      <w:bookmarkStart w:id="801" w:name="_Toc296347205"/>
      <w:bookmarkStart w:id="802" w:name="_Toc296891246"/>
      <w:bookmarkStart w:id="803" w:name="_Toc296944545"/>
      <w:bookmarkStart w:id="804" w:name="_Toc296503206"/>
      <w:bookmarkStart w:id="805" w:name="_Toc532377383"/>
      <w:bookmarkStart w:id="806" w:name="_Toc532375647"/>
      <w:bookmarkStart w:id="807" w:name="_Toc303539160"/>
      <w:bookmarkStart w:id="808" w:name="_Toc297216212"/>
      <w:bookmarkStart w:id="809" w:name="_Toc304295580"/>
      <w:bookmarkStart w:id="810" w:name="_Toc312678041"/>
      <w:bookmarkStart w:id="811" w:name="_Toc300935003"/>
      <w:bookmarkStart w:id="812" w:name="_Toc297123553"/>
      <w:r>
        <w:rPr>
          <w:rFonts w:hint="eastAsia" w:ascii="宋体" w:hAnsi="宋体" w:cs="宋体"/>
          <w:sz w:val="24"/>
          <w:szCs w:val="24"/>
          <w:highlight w:val="none"/>
        </w:rPr>
        <w:t>12.1 合</w:t>
      </w:r>
      <w:bookmarkEnd w:id="794"/>
      <w:bookmarkEnd w:id="795"/>
      <w:bookmarkEnd w:id="796"/>
      <w:r>
        <w:rPr>
          <w:rFonts w:hint="eastAsia" w:ascii="宋体" w:hAnsi="宋体" w:cs="宋体"/>
          <w:sz w:val="24"/>
          <w:szCs w:val="24"/>
          <w:highlight w:val="none"/>
        </w:rPr>
        <w:t>同价</w:t>
      </w:r>
      <w:bookmarkEnd w:id="797"/>
      <w:bookmarkEnd w:id="798"/>
      <w:bookmarkEnd w:id="799"/>
      <w:bookmarkEnd w:id="800"/>
      <w:bookmarkEnd w:id="801"/>
      <w:bookmarkEnd w:id="802"/>
      <w:bookmarkEnd w:id="803"/>
      <w:bookmarkEnd w:id="804"/>
      <w:r>
        <w:rPr>
          <w:rFonts w:hint="eastAsia" w:ascii="宋体" w:hAnsi="宋体" w:cs="宋体"/>
          <w:sz w:val="24"/>
          <w:szCs w:val="24"/>
          <w:highlight w:val="none"/>
        </w:rPr>
        <w:t>格形式</w:t>
      </w:r>
      <w:bookmarkEnd w:id="805"/>
      <w:bookmarkEnd w:id="806"/>
    </w:p>
    <w:bookmarkEnd w:id="807"/>
    <w:bookmarkEnd w:id="808"/>
    <w:bookmarkEnd w:id="809"/>
    <w:bookmarkEnd w:id="810"/>
    <w:bookmarkEnd w:id="811"/>
    <w:bookmarkEnd w:id="812"/>
    <w:p w14:paraId="4813C5E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1、单价合同。</w:t>
      </w:r>
    </w:p>
    <w:p w14:paraId="2BBA539D">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综合单价包含的风险范围：</w:t>
      </w:r>
      <w:r>
        <w:rPr>
          <w:rFonts w:hint="eastAsia" w:ascii="宋体" w:hAnsi="宋体" w:cs="宋体"/>
          <w:sz w:val="24"/>
          <w:szCs w:val="24"/>
          <w:highlight w:val="none"/>
          <w:u w:val="single"/>
        </w:rPr>
        <w:t>包括但不限于为实施和完成合同工程所需的人工费、材料费、施工机具使用费、企业管理费、利润、风险费、施工技术措施项目费、施工组织措施项目费及缺陷修复等费用，以及</w:t>
      </w:r>
      <w:bookmarkStart w:id="813" w:name="_Hlk528508096"/>
      <w:r>
        <w:rPr>
          <w:rFonts w:hint="eastAsia" w:ascii="宋体" w:hAnsi="宋体" w:cs="宋体"/>
          <w:sz w:val="24"/>
          <w:szCs w:val="24"/>
          <w:highlight w:val="none"/>
          <w:u w:val="single"/>
        </w:rPr>
        <w:t>第11.1款〔市场价格波动引起的调整〕约定范围内的市场价格波动风险、政策性文件规定的各项应有费用、</w:t>
      </w:r>
      <w:bookmarkEnd w:id="813"/>
      <w:r>
        <w:rPr>
          <w:rFonts w:hint="eastAsia" w:ascii="宋体" w:hAnsi="宋体" w:cs="宋体"/>
          <w:sz w:val="24"/>
          <w:szCs w:val="24"/>
          <w:highlight w:val="none"/>
          <w:u w:val="single"/>
        </w:rPr>
        <w:t>采购文件和合同明示或暗示的应由承包人承担的所有责任、义务和风险等所需的费用</w:t>
      </w:r>
      <w:r>
        <w:rPr>
          <w:rFonts w:hint="eastAsia" w:ascii="宋体" w:hAnsi="宋体" w:cs="宋体"/>
          <w:sz w:val="24"/>
          <w:szCs w:val="24"/>
          <w:highlight w:val="none"/>
        </w:rPr>
        <w:t>。</w:t>
      </w:r>
    </w:p>
    <w:p w14:paraId="3FD1CFA0">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风险费用的计算方法：</w:t>
      </w:r>
      <w:r>
        <w:rPr>
          <w:rFonts w:hint="eastAsia" w:ascii="宋体" w:hAnsi="宋体" w:cs="宋体"/>
          <w:sz w:val="24"/>
          <w:szCs w:val="24"/>
          <w:highlight w:val="none"/>
          <w:u w:val="single"/>
        </w:rPr>
        <w:t>由承包人自行考虑并计入签约合同价格中，包干使用</w:t>
      </w:r>
      <w:r>
        <w:rPr>
          <w:rFonts w:hint="eastAsia" w:ascii="宋体" w:hAnsi="宋体" w:cs="宋体"/>
          <w:sz w:val="24"/>
          <w:szCs w:val="24"/>
          <w:highlight w:val="none"/>
        </w:rPr>
        <w:t>。</w:t>
      </w:r>
    </w:p>
    <w:p w14:paraId="46EAA9A2">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风险范围以外合同价格的调整方法：</w:t>
      </w:r>
      <w:r>
        <w:rPr>
          <w:rFonts w:hint="eastAsia" w:ascii="宋体" w:hAnsi="宋体" w:cs="宋体"/>
          <w:sz w:val="24"/>
          <w:szCs w:val="24"/>
          <w:highlight w:val="none"/>
          <w:u w:val="single"/>
        </w:rPr>
        <w:t>按照合同相关条款约定执行</w:t>
      </w:r>
      <w:r>
        <w:rPr>
          <w:rFonts w:hint="eastAsia" w:ascii="宋体" w:hAnsi="宋体" w:cs="宋体"/>
          <w:sz w:val="24"/>
          <w:szCs w:val="24"/>
          <w:highlight w:val="none"/>
        </w:rPr>
        <w:t>。</w:t>
      </w:r>
    </w:p>
    <w:p w14:paraId="3A01BDD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2、总价合同：（</w:t>
      </w:r>
      <w:r>
        <w:rPr>
          <w:rFonts w:hint="eastAsia" w:ascii="宋体" w:hAnsi="宋体" w:cs="宋体"/>
          <w:sz w:val="24"/>
          <w:szCs w:val="24"/>
          <w:highlight w:val="none"/>
          <w:u w:val="single"/>
        </w:rPr>
        <w:t>不采用</w:t>
      </w:r>
      <w:r>
        <w:rPr>
          <w:rFonts w:hint="eastAsia" w:ascii="宋体" w:hAnsi="宋体" w:cs="宋体"/>
          <w:sz w:val="24"/>
          <w:szCs w:val="24"/>
          <w:highlight w:val="none"/>
        </w:rPr>
        <w:t>）</w:t>
      </w:r>
    </w:p>
    <w:p w14:paraId="5FA0B802">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总价包含的风险范围：</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63F8C682">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风险费用的计算方法：</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489C802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风险范围以外合同价格的调整方法：</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4B31255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3、其他价格方式：</w:t>
      </w:r>
      <w:r>
        <w:rPr>
          <w:rFonts w:hint="eastAsia" w:ascii="宋体" w:hAnsi="宋体" w:cs="宋体"/>
          <w:sz w:val="24"/>
          <w:szCs w:val="24"/>
          <w:highlight w:val="none"/>
          <w:u w:val="single"/>
        </w:rPr>
        <w:t>不采用</w:t>
      </w:r>
      <w:r>
        <w:rPr>
          <w:rFonts w:hint="eastAsia" w:ascii="宋体" w:hAnsi="宋体" w:cs="宋体"/>
          <w:sz w:val="24"/>
          <w:szCs w:val="24"/>
          <w:highlight w:val="none"/>
        </w:rPr>
        <w:t>。</w:t>
      </w:r>
    </w:p>
    <w:p w14:paraId="1634A29C">
      <w:pPr>
        <w:pStyle w:val="8"/>
        <w:spacing w:before="0" w:after="0" w:line="400" w:lineRule="exact"/>
        <w:ind w:left="848" w:hanging="848" w:hangingChars="352"/>
        <w:rPr>
          <w:rFonts w:ascii="宋体" w:hAnsi="宋体" w:cs="宋体"/>
          <w:sz w:val="24"/>
          <w:szCs w:val="24"/>
          <w:highlight w:val="none"/>
        </w:rPr>
      </w:pPr>
      <w:bookmarkStart w:id="814" w:name="_Toc532377384"/>
      <w:bookmarkStart w:id="815" w:name="_Toc532375648"/>
      <w:bookmarkStart w:id="816" w:name="_Toc297216213"/>
      <w:bookmarkStart w:id="817" w:name="_Toc303539161"/>
      <w:bookmarkStart w:id="818" w:name="_Toc304295581"/>
      <w:bookmarkStart w:id="819" w:name="_Toc312678042"/>
      <w:bookmarkStart w:id="820" w:name="_Toc300935004"/>
      <w:bookmarkStart w:id="821" w:name="_Toc297123554"/>
      <w:bookmarkStart w:id="822" w:name="_Toc296891247"/>
      <w:bookmarkStart w:id="823" w:name="_Toc297120507"/>
      <w:bookmarkStart w:id="824" w:name="_Toc297048393"/>
      <w:bookmarkStart w:id="825" w:name="_Toc296347206"/>
      <w:bookmarkStart w:id="826" w:name="_Toc292559917"/>
      <w:bookmarkStart w:id="827" w:name="_Toc296944546"/>
      <w:bookmarkStart w:id="828" w:name="_Toc296891035"/>
      <w:bookmarkStart w:id="829" w:name="_Toc296503207"/>
      <w:bookmarkStart w:id="830" w:name="_Toc296346708"/>
      <w:bookmarkStart w:id="831" w:name="_Toc292559412"/>
      <w:r>
        <w:rPr>
          <w:rFonts w:hint="eastAsia" w:ascii="宋体" w:hAnsi="宋体" w:cs="宋体"/>
          <w:sz w:val="24"/>
          <w:szCs w:val="24"/>
          <w:highlight w:val="none"/>
        </w:rPr>
        <w:t>12.2 预付款</w:t>
      </w:r>
      <w:bookmarkEnd w:id="814"/>
      <w:bookmarkEnd w:id="815"/>
    </w:p>
    <w:bookmarkEnd w:id="816"/>
    <w:bookmarkEnd w:id="817"/>
    <w:bookmarkEnd w:id="818"/>
    <w:bookmarkEnd w:id="819"/>
    <w:bookmarkEnd w:id="820"/>
    <w:bookmarkEnd w:id="821"/>
    <w:p w14:paraId="0ECCDAA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12.2.1 预付款的支付</w:t>
      </w:r>
    </w:p>
    <w:p w14:paraId="2D332F45">
      <w:pPr>
        <w:tabs>
          <w:tab w:val="left" w:pos="4962"/>
        </w:tabs>
        <w:spacing w:line="400" w:lineRule="exact"/>
        <w:ind w:firstLine="480" w:firstLineChars="200"/>
        <w:jc w:val="left"/>
        <w:rPr>
          <w:rFonts w:ascii="宋体" w:hAnsi="宋体" w:cs="宋体"/>
          <w:kern w:val="0"/>
          <w:sz w:val="24"/>
          <w:szCs w:val="24"/>
          <w:highlight w:val="none"/>
          <w:u w:val="single"/>
        </w:rPr>
      </w:pPr>
      <w:r>
        <w:rPr>
          <w:rFonts w:hint="eastAsia" w:ascii="宋体" w:hAnsi="宋体" w:cs="宋体"/>
          <w:sz w:val="24"/>
          <w:szCs w:val="24"/>
          <w:highlight w:val="none"/>
        </w:rPr>
        <w:t>预付款支付比例或金额：</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p>
    <w:p w14:paraId="4C1C9C59">
      <w:pPr>
        <w:tabs>
          <w:tab w:val="left" w:pos="4962"/>
        </w:tabs>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预付款支付期限：</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p>
    <w:p w14:paraId="4560EB3C">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预付款扣回的方式：</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p>
    <w:p w14:paraId="3E1A667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12.2.2 预付款担保</w:t>
      </w:r>
    </w:p>
    <w:p w14:paraId="52ACA60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承包人提交预付款担保的期限：</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p w14:paraId="27E550E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预付款担保的形式为：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p w14:paraId="6547DC8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预付款担保的金额：</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p w14:paraId="4659379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预付款担保的时间：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p w14:paraId="2382335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预付款担保的期限：</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p w14:paraId="083C8BD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预付款担保的退还时间：</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u w:val="single"/>
        </w:rPr>
        <w:t xml:space="preserve">/  </w:t>
      </w:r>
      <w:r>
        <w:rPr>
          <w:rFonts w:hint="eastAsia" w:ascii="宋体" w:hAnsi="宋体" w:cs="宋体"/>
          <w:sz w:val="24"/>
          <w:szCs w:val="24"/>
          <w:highlight w:val="none"/>
        </w:rPr>
        <w:t>。</w:t>
      </w:r>
    </w:p>
    <w:bookmarkEnd w:id="822"/>
    <w:bookmarkEnd w:id="823"/>
    <w:bookmarkEnd w:id="824"/>
    <w:bookmarkEnd w:id="825"/>
    <w:bookmarkEnd w:id="826"/>
    <w:bookmarkEnd w:id="827"/>
    <w:bookmarkEnd w:id="828"/>
    <w:bookmarkEnd w:id="829"/>
    <w:bookmarkEnd w:id="830"/>
    <w:bookmarkEnd w:id="831"/>
    <w:p w14:paraId="17A65B6E">
      <w:pPr>
        <w:pStyle w:val="8"/>
        <w:spacing w:before="0" w:after="0" w:line="400" w:lineRule="exact"/>
        <w:ind w:left="848" w:hanging="848" w:hangingChars="352"/>
        <w:rPr>
          <w:rFonts w:ascii="宋体" w:hAnsi="宋体" w:cs="宋体"/>
          <w:sz w:val="24"/>
          <w:szCs w:val="24"/>
          <w:highlight w:val="none"/>
        </w:rPr>
      </w:pPr>
      <w:bookmarkStart w:id="832" w:name="_Toc532377385"/>
      <w:bookmarkStart w:id="833" w:name="_Toc532375649"/>
      <w:r>
        <w:rPr>
          <w:rFonts w:hint="eastAsia" w:ascii="宋体" w:hAnsi="宋体" w:cs="宋体"/>
          <w:sz w:val="24"/>
          <w:szCs w:val="24"/>
          <w:highlight w:val="none"/>
        </w:rPr>
        <w:t>12.3 计量</w:t>
      </w:r>
      <w:bookmarkEnd w:id="832"/>
      <w:bookmarkEnd w:id="833"/>
    </w:p>
    <w:p w14:paraId="4E858BB1">
      <w:pPr>
        <w:spacing w:line="400" w:lineRule="exact"/>
        <w:ind w:firstLine="480" w:firstLineChars="200"/>
        <w:jc w:val="left"/>
        <w:rPr>
          <w:rFonts w:ascii="宋体" w:hAnsi="宋体" w:cs="宋体"/>
          <w:sz w:val="24"/>
          <w:szCs w:val="24"/>
          <w:highlight w:val="none"/>
        </w:rPr>
      </w:pPr>
      <w:bookmarkStart w:id="834" w:name="_Hlk528928260"/>
      <w:r>
        <w:rPr>
          <w:rFonts w:hint="eastAsia" w:ascii="宋体" w:hAnsi="宋体" w:cs="宋体"/>
          <w:sz w:val="24"/>
          <w:szCs w:val="24"/>
          <w:highlight w:val="none"/>
        </w:rPr>
        <w:t>12.3.1 计量原则</w:t>
      </w:r>
    </w:p>
    <w:p w14:paraId="596F6508">
      <w:pPr>
        <w:tabs>
          <w:tab w:val="left" w:pos="1134"/>
        </w:tabs>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834"/>
    <w:p w14:paraId="2825432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12.3.2 计量周期</w:t>
      </w:r>
    </w:p>
    <w:p w14:paraId="034CB97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关于计量周期的约定：</w:t>
      </w:r>
      <w:r>
        <w:rPr>
          <w:rFonts w:hint="eastAsia" w:ascii="宋体" w:hAnsi="宋体" w:cs="宋体"/>
          <w:sz w:val="24"/>
          <w:szCs w:val="24"/>
          <w:highlight w:val="none"/>
          <w:u w:val="single"/>
        </w:rPr>
        <w:t>按进度计量</w:t>
      </w:r>
      <w:r>
        <w:rPr>
          <w:rFonts w:hint="eastAsia" w:ascii="宋体" w:hAnsi="宋体" w:cs="宋体"/>
          <w:sz w:val="24"/>
          <w:szCs w:val="24"/>
          <w:highlight w:val="none"/>
        </w:rPr>
        <w:t>。</w:t>
      </w:r>
    </w:p>
    <w:p w14:paraId="16F2A52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12.3.3 单价合同的计量</w:t>
      </w:r>
    </w:p>
    <w:p w14:paraId="1FF18FE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关于单价合同计量的约定：</w:t>
      </w:r>
    </w:p>
    <w:p w14:paraId="61E7B4F3">
      <w:pPr>
        <w:spacing w:line="400" w:lineRule="exact"/>
        <w:ind w:firstLine="480" w:firstLineChars="200"/>
        <w:jc w:val="left"/>
        <w:rPr>
          <w:rFonts w:ascii="宋体" w:hAnsi="宋体" w:cs="宋体"/>
          <w:sz w:val="24"/>
          <w:szCs w:val="24"/>
          <w:highlight w:val="none"/>
          <w:u w:val="single"/>
        </w:rPr>
      </w:pPr>
      <w:bookmarkStart w:id="835" w:name="_Hlk528926162"/>
      <w:r>
        <w:rPr>
          <w:rFonts w:hint="eastAsia" w:ascii="宋体" w:hAnsi="宋体" w:cs="宋体"/>
          <w:sz w:val="24"/>
          <w:szCs w:val="24"/>
          <w:highlight w:val="none"/>
          <w:u w:val="single"/>
        </w:rPr>
        <w:t>（1）承包人应于当月25日前向发包人报送上月已完成的工程量，并附进度付款申请单、已完成工程量报表和其他有关资料</w:t>
      </w:r>
      <w:r>
        <w:rPr>
          <w:rFonts w:hint="eastAsia" w:ascii="宋体" w:hAnsi="宋体" w:cs="宋体"/>
          <w:sz w:val="24"/>
          <w:szCs w:val="24"/>
          <w:highlight w:val="none"/>
        </w:rPr>
        <w:t>。</w:t>
      </w:r>
    </w:p>
    <w:bookmarkEnd w:id="835"/>
    <w:p w14:paraId="6C8160BD">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cs="宋体"/>
          <w:sz w:val="24"/>
          <w:szCs w:val="24"/>
          <w:highlight w:val="none"/>
        </w:rPr>
        <w:t>。</w:t>
      </w:r>
    </w:p>
    <w:p w14:paraId="3EA872E9">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3）发包人应在收到承包人提交的工程量报表后7天内完成对承包人提交的工程量报表的审批，以确定当月实际完成的工程量。跟审单位、发包人任一方对工程量有异议的，均有权要求承包人进行共同复核或抽样复测。承包人应协助跟审单位进行复核或抽样复测，并按发包人要求提供补充计量资料。承包人未按发包人要求参加复核或抽样复测的，发包人复核或修正的工程量视为承包人实际完成的工程量</w:t>
      </w:r>
      <w:r>
        <w:rPr>
          <w:rFonts w:hint="eastAsia" w:ascii="宋体" w:hAnsi="宋体" w:cs="宋体"/>
          <w:sz w:val="24"/>
          <w:szCs w:val="24"/>
          <w:highlight w:val="none"/>
        </w:rPr>
        <w:t>。</w:t>
      </w:r>
    </w:p>
    <w:p w14:paraId="39E3533E">
      <w:pPr>
        <w:spacing w:line="40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cs="宋体"/>
          <w:sz w:val="24"/>
          <w:szCs w:val="24"/>
          <w:highlight w:val="none"/>
        </w:rPr>
        <w:t>。</w:t>
      </w:r>
    </w:p>
    <w:p w14:paraId="40B2521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12.3.4 总价合同的计量</w:t>
      </w:r>
    </w:p>
    <w:p w14:paraId="25FCC05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关于总价合同计量的约定：</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7735406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12.3.5总价合同采用支付分解表计量支付的，是否适用第12.3.4项〔总价合同的计量〕约定进行计量：</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7D9EC23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12.3.6 其他价格形式合同的计量</w:t>
      </w:r>
    </w:p>
    <w:p w14:paraId="15C992D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其他价格形式的计量方式和程序：</w:t>
      </w:r>
      <w:r>
        <w:rPr>
          <w:rFonts w:hint="eastAsia" w:ascii="宋体" w:hAnsi="宋体" w:cs="宋体"/>
          <w:sz w:val="24"/>
          <w:szCs w:val="24"/>
          <w:highlight w:val="none"/>
          <w:u w:val="single"/>
        </w:rPr>
        <w:t>不采用</w:t>
      </w:r>
      <w:r>
        <w:rPr>
          <w:rFonts w:hint="eastAsia" w:ascii="宋体" w:hAnsi="宋体" w:cs="宋体"/>
          <w:sz w:val="24"/>
          <w:szCs w:val="24"/>
          <w:highlight w:val="none"/>
        </w:rPr>
        <w:t>。</w:t>
      </w:r>
    </w:p>
    <w:p w14:paraId="49876391">
      <w:pPr>
        <w:pStyle w:val="8"/>
        <w:spacing w:before="0" w:after="0" w:line="400" w:lineRule="exact"/>
        <w:ind w:left="848" w:hanging="848" w:hangingChars="352"/>
        <w:rPr>
          <w:rFonts w:hint="default" w:ascii="宋体" w:hAnsi="宋体" w:eastAsia="宋体" w:cs="宋体"/>
          <w:sz w:val="24"/>
          <w:szCs w:val="24"/>
          <w:highlight w:val="none"/>
          <w:lang w:val="en-US" w:eastAsia="zh-CN"/>
        </w:rPr>
      </w:pPr>
      <w:bookmarkStart w:id="836" w:name="_Toc532375650"/>
      <w:bookmarkStart w:id="837" w:name="_Toc532377386"/>
      <w:bookmarkStart w:id="838" w:name="_Hlk528928289"/>
      <w:r>
        <w:rPr>
          <w:rFonts w:hint="eastAsia" w:ascii="宋体" w:hAnsi="宋体" w:cs="宋体"/>
          <w:sz w:val="24"/>
          <w:szCs w:val="24"/>
          <w:highlight w:val="none"/>
        </w:rPr>
        <w:t>12.4 工程进度款支付</w:t>
      </w:r>
      <w:bookmarkEnd w:id="836"/>
      <w:bookmarkEnd w:id="837"/>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无</w:t>
      </w:r>
    </w:p>
    <w:bookmarkEnd w:id="838"/>
    <w:p w14:paraId="5BC382C2">
      <w:pPr>
        <w:spacing w:line="400" w:lineRule="exact"/>
        <w:ind w:firstLine="480" w:firstLineChars="200"/>
        <w:jc w:val="left"/>
        <w:rPr>
          <w:rFonts w:hint="eastAsia" w:ascii="宋体" w:hAnsi="宋体" w:eastAsia="宋体" w:cs="宋体"/>
          <w:sz w:val="24"/>
          <w:szCs w:val="24"/>
          <w:highlight w:val="none"/>
          <w:u w:val="single"/>
        </w:rPr>
      </w:pPr>
      <w:r>
        <w:rPr>
          <w:rFonts w:hint="eastAsia" w:ascii="宋体" w:hAnsi="宋体" w:cs="宋体"/>
          <w:sz w:val="24"/>
          <w:szCs w:val="24"/>
          <w:highlight w:val="none"/>
          <w:lang w:val="en-US" w:eastAsia="zh-CN"/>
        </w:rPr>
        <w:t>工程款</w:t>
      </w:r>
      <w:r>
        <w:rPr>
          <w:rFonts w:hint="eastAsia" w:ascii="宋体" w:hAnsi="宋体" w:cs="宋体"/>
          <w:sz w:val="24"/>
          <w:szCs w:val="24"/>
          <w:highlight w:val="none"/>
        </w:rPr>
        <w:t>支付：</w:t>
      </w:r>
      <w:bookmarkStart w:id="839" w:name="_Toc532377387"/>
      <w:bookmarkStart w:id="840" w:name="_Toc351203585"/>
      <w:r>
        <w:rPr>
          <w:rFonts w:hint="eastAsia" w:ascii="宋体" w:hAnsi="宋体" w:eastAsia="宋体" w:cs="宋体"/>
          <w:sz w:val="24"/>
          <w:szCs w:val="24"/>
          <w:highlight w:val="none"/>
          <w:u w:val="single"/>
        </w:rPr>
        <w:t>成交供应商需要开具足额增值税专用发票，工程竣工验收合格后支付至合同金额的80%，结算审核完成后付款至结算金额的97%，工程保修期满后付至结算金额的100%(其中主体工程部分两年质保期届满后支付，防水工程部分五年质保期届满后支付。)</w:t>
      </w:r>
    </w:p>
    <w:p w14:paraId="6A615B62">
      <w:pPr>
        <w:pStyle w:val="8"/>
        <w:spacing w:before="0" w:after="0" w:line="400" w:lineRule="exact"/>
        <w:ind w:left="848" w:hanging="848" w:hangingChars="352"/>
        <w:rPr>
          <w:rFonts w:ascii="宋体" w:hAnsi="宋体" w:cs="宋体"/>
          <w:sz w:val="24"/>
          <w:szCs w:val="24"/>
          <w:highlight w:val="none"/>
        </w:rPr>
      </w:pPr>
      <w:r>
        <w:rPr>
          <w:rFonts w:hint="eastAsia" w:ascii="宋体" w:hAnsi="宋体" w:cs="宋体"/>
          <w:sz w:val="24"/>
          <w:szCs w:val="24"/>
          <w:highlight w:val="none"/>
        </w:rPr>
        <w:t>12.5支付账户</w:t>
      </w:r>
      <w:bookmarkEnd w:id="839"/>
      <w:bookmarkEnd w:id="840"/>
    </w:p>
    <w:p w14:paraId="6924A25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发包人应将合同价款支付至如下承包人指定的开户银行及银行账户：</w:t>
      </w:r>
    </w:p>
    <w:p w14:paraId="31E88136">
      <w:pPr>
        <w:spacing w:line="400" w:lineRule="exact"/>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收款单位名称：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6381B565">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收款账号：</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018D0B82">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收款开户银行：</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5ADB71C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 xml:space="preserve">发包人应将人工费（工资款）支付至如下承包人指定的农民工工资专用账户： </w:t>
      </w:r>
    </w:p>
    <w:p w14:paraId="1054A3E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开户银行：</w:t>
      </w:r>
      <w:r>
        <w:rPr>
          <w:rFonts w:hint="eastAsia" w:ascii="宋体" w:hAnsi="宋体" w:cs="宋体"/>
          <w:kern w:val="0"/>
          <w:sz w:val="24"/>
          <w:szCs w:val="24"/>
          <w:highlight w:val="none"/>
          <w:u w:val="single"/>
        </w:rPr>
        <w:t xml:space="preserve">            （渝中区内银行）       </w:t>
      </w:r>
      <w:r>
        <w:rPr>
          <w:rFonts w:hint="eastAsia" w:ascii="宋体" w:hAnsi="宋体" w:cs="宋体"/>
          <w:kern w:val="0"/>
          <w:sz w:val="24"/>
          <w:szCs w:val="24"/>
          <w:highlight w:val="none"/>
        </w:rPr>
        <w:t xml:space="preserve">； </w:t>
      </w:r>
    </w:p>
    <w:p w14:paraId="3EB2F1B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农民工工资专用账户名称：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 xml:space="preserve">； </w:t>
      </w:r>
    </w:p>
    <w:p w14:paraId="4BE2D2B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农民工工资专用账户账号：</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33C2FAC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发包人应按行业主管部门的相关规定将人工费（工资款）支付至承包人指定的农民工工资专用账户。</w:t>
      </w:r>
    </w:p>
    <w:p w14:paraId="087A136B">
      <w:pPr>
        <w:pStyle w:val="7"/>
        <w:spacing w:before="0" w:after="0" w:line="400" w:lineRule="exact"/>
        <w:rPr>
          <w:rFonts w:ascii="宋体" w:hAnsi="宋体" w:eastAsia="宋体" w:cs="宋体"/>
          <w:bCs/>
          <w:sz w:val="24"/>
          <w:szCs w:val="24"/>
          <w:highlight w:val="none"/>
        </w:rPr>
      </w:pPr>
      <w:bookmarkStart w:id="841" w:name="_Toc351203645"/>
      <w:bookmarkStart w:id="842" w:name="_Toc532377388"/>
      <w:bookmarkStart w:id="843" w:name="_Toc532375651"/>
      <w:bookmarkStart w:id="844" w:name="_Toc297216223"/>
      <w:bookmarkStart w:id="845" w:name="_Toc297123564"/>
      <w:bookmarkStart w:id="846" w:name="_Toc297120519"/>
      <w:bookmarkStart w:id="847" w:name="_Toc296891047"/>
      <w:bookmarkStart w:id="848" w:name="_Toc303539172"/>
      <w:bookmarkStart w:id="849" w:name="_Toc296503219"/>
      <w:bookmarkStart w:id="850" w:name="_Toc304295593"/>
      <w:bookmarkStart w:id="851" w:name="_Toc296944558"/>
      <w:bookmarkStart w:id="852" w:name="_Toc300935015"/>
      <w:bookmarkStart w:id="853" w:name="_Toc296347218"/>
      <w:bookmarkStart w:id="854" w:name="_Toc297048405"/>
      <w:bookmarkStart w:id="855" w:name="_Toc312678053"/>
      <w:bookmarkStart w:id="856" w:name="_Toc296891259"/>
      <w:bookmarkStart w:id="857" w:name="_Toc296346720"/>
      <w:bookmarkStart w:id="858" w:name="_Toc292559929"/>
      <w:bookmarkStart w:id="859" w:name="_Toc292559424"/>
      <w:r>
        <w:rPr>
          <w:rFonts w:hint="eastAsia" w:ascii="宋体" w:hAnsi="宋体" w:eastAsia="宋体" w:cs="宋体"/>
          <w:sz w:val="24"/>
          <w:szCs w:val="24"/>
          <w:highlight w:val="none"/>
        </w:rPr>
        <w:t>13. 验收和工程试车</w:t>
      </w:r>
      <w:bookmarkEnd w:id="841"/>
      <w:bookmarkEnd w:id="842"/>
      <w:bookmarkEnd w:id="843"/>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14:paraId="614E2FA8">
      <w:pPr>
        <w:pStyle w:val="8"/>
        <w:spacing w:before="0" w:after="0" w:line="400" w:lineRule="exact"/>
        <w:ind w:left="848" w:hanging="848" w:hangingChars="352"/>
        <w:rPr>
          <w:rFonts w:ascii="宋体" w:hAnsi="宋体" w:cs="宋体"/>
          <w:sz w:val="24"/>
          <w:szCs w:val="24"/>
          <w:highlight w:val="none"/>
        </w:rPr>
      </w:pPr>
      <w:bookmarkStart w:id="860" w:name="_Toc532375652"/>
      <w:bookmarkStart w:id="861" w:name="_Toc532377389"/>
      <w:bookmarkStart w:id="862" w:name="_Toc280868704"/>
      <w:bookmarkStart w:id="863" w:name="_Toc280868705"/>
      <w:bookmarkStart w:id="864" w:name="_Toc280868706"/>
      <w:bookmarkStart w:id="865" w:name="_Toc280868707"/>
      <w:bookmarkStart w:id="866" w:name="_Toc280868708"/>
      <w:bookmarkStart w:id="867" w:name="_Toc267251473"/>
      <w:bookmarkStart w:id="868" w:name="_Toc267251475"/>
      <w:bookmarkStart w:id="869" w:name="_Toc267251476"/>
      <w:bookmarkStart w:id="870" w:name="_Toc280868709"/>
      <w:bookmarkStart w:id="871" w:name="_Toc267251472"/>
      <w:bookmarkStart w:id="872" w:name="_Toc267251470"/>
      <w:bookmarkStart w:id="873" w:name="_Toc267251471"/>
      <w:bookmarkStart w:id="874" w:name="_Toc267251474"/>
      <w:r>
        <w:rPr>
          <w:rFonts w:hint="eastAsia" w:ascii="宋体" w:hAnsi="宋体" w:cs="宋体"/>
          <w:sz w:val="24"/>
          <w:szCs w:val="24"/>
          <w:highlight w:val="none"/>
        </w:rPr>
        <w:t>13.1 分部分项工程验收</w:t>
      </w:r>
      <w:bookmarkEnd w:id="860"/>
      <w:bookmarkEnd w:id="861"/>
    </w:p>
    <w:p w14:paraId="16649CA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13.1.2 发包人不能按时进行验收时，应提前</w:t>
      </w:r>
      <w:r>
        <w:rPr>
          <w:rFonts w:hint="eastAsia" w:ascii="宋体" w:hAnsi="宋体" w:cs="宋体"/>
          <w:sz w:val="24"/>
          <w:szCs w:val="24"/>
          <w:highlight w:val="none"/>
          <w:u w:val="single"/>
        </w:rPr>
        <w:t>24</w:t>
      </w:r>
      <w:r>
        <w:rPr>
          <w:rFonts w:hint="eastAsia" w:ascii="宋体" w:hAnsi="宋体" w:cs="宋体"/>
          <w:sz w:val="24"/>
          <w:szCs w:val="24"/>
          <w:highlight w:val="none"/>
        </w:rPr>
        <w:t>小时提交书面延期要求。</w:t>
      </w:r>
    </w:p>
    <w:p w14:paraId="6115A05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关于延期最长不得超过：</w:t>
      </w:r>
      <w:r>
        <w:rPr>
          <w:rFonts w:hint="eastAsia" w:ascii="宋体" w:hAnsi="宋体" w:cs="宋体"/>
          <w:sz w:val="24"/>
          <w:szCs w:val="24"/>
          <w:highlight w:val="none"/>
          <w:u w:val="single"/>
        </w:rPr>
        <w:t>48</w:t>
      </w:r>
      <w:r>
        <w:rPr>
          <w:rFonts w:hint="eastAsia" w:ascii="宋体" w:hAnsi="宋体" w:cs="宋体"/>
          <w:sz w:val="24"/>
          <w:szCs w:val="24"/>
          <w:highlight w:val="none"/>
        </w:rPr>
        <w:t>小时。</w:t>
      </w:r>
    </w:p>
    <w:p w14:paraId="40D75730">
      <w:pPr>
        <w:pStyle w:val="8"/>
        <w:spacing w:before="0" w:after="0" w:line="400" w:lineRule="exact"/>
        <w:ind w:left="848" w:hanging="848" w:hangingChars="352"/>
        <w:rPr>
          <w:rFonts w:ascii="宋体" w:hAnsi="宋体" w:cs="宋体"/>
          <w:sz w:val="24"/>
          <w:szCs w:val="24"/>
          <w:highlight w:val="none"/>
        </w:rPr>
      </w:pPr>
      <w:bookmarkStart w:id="875" w:name="_Toc532375653"/>
      <w:bookmarkStart w:id="876" w:name="_Toc532377390"/>
      <w:bookmarkStart w:id="877" w:name="_Toc296891263"/>
      <w:bookmarkStart w:id="878" w:name="_Toc312678056"/>
      <w:bookmarkStart w:id="879" w:name="_Toc304295596"/>
      <w:bookmarkStart w:id="880" w:name="_Toc297048409"/>
      <w:bookmarkStart w:id="881" w:name="_Toc292559428"/>
      <w:bookmarkStart w:id="882" w:name="_Toc303539173"/>
      <w:bookmarkStart w:id="883" w:name="_Toc296944562"/>
      <w:bookmarkStart w:id="884" w:name="_Toc297123565"/>
      <w:bookmarkStart w:id="885" w:name="_Toc296891051"/>
      <w:bookmarkStart w:id="886" w:name="_Toc296346724"/>
      <w:bookmarkStart w:id="887" w:name="_Toc296503223"/>
      <w:bookmarkStart w:id="888" w:name="_Toc296347222"/>
      <w:bookmarkStart w:id="889" w:name="_Toc292559933"/>
      <w:bookmarkStart w:id="890" w:name="_Toc297216224"/>
      <w:bookmarkStart w:id="891" w:name="_Toc300935016"/>
      <w:bookmarkStart w:id="892" w:name="_Toc297120523"/>
      <w:r>
        <w:rPr>
          <w:rFonts w:hint="eastAsia" w:ascii="宋体" w:hAnsi="宋体" w:cs="宋体"/>
          <w:sz w:val="24"/>
          <w:szCs w:val="24"/>
          <w:highlight w:val="none"/>
        </w:rPr>
        <w:t>13.2 竣工验收</w:t>
      </w:r>
      <w:bookmarkEnd w:id="875"/>
      <w:bookmarkEnd w:id="876"/>
    </w:p>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14:paraId="212004C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13.2.2竣工验收程序</w:t>
      </w:r>
    </w:p>
    <w:bookmarkEnd w:id="862"/>
    <w:p w14:paraId="7E4D8A8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关于竣工验收程序的约定：工程完工且符合下列条件时，承包人可向发包人提供竣工报告，并要求验收：</w:t>
      </w:r>
    </w:p>
    <w:p w14:paraId="7193EF9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（1）除发包人同意的甩项工作和缺陷修补工作外，合同范围内的全部工程以及有关工作，包括合同要求的试验、试运行以及检验均已完成，并符合合同要求；</w:t>
      </w:r>
    </w:p>
    <w:p w14:paraId="2BDE685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（2）已按合同约定编制了甩项工作和缺陷修补工作清单以及相应的施工计划；</w:t>
      </w:r>
    </w:p>
    <w:p w14:paraId="155C696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（3）已按合同约定的内容和份数备齐竣工资料。</w:t>
      </w:r>
    </w:p>
    <w:p w14:paraId="55E1ACA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541A8C0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工程竣工及竣工资料：</w:t>
      </w:r>
    </w:p>
    <w:p w14:paraId="3345247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（1）发包人应在收到承包人竣工报告后14天内组织设计单位、质监等其他部门进行验收，竣工日期以最后一次整改后通过竣工验收的时间为准</w:t>
      </w:r>
      <w:r>
        <w:rPr>
          <w:rFonts w:hint="eastAsia" w:ascii="宋体" w:hAnsi="宋体" w:cs="宋体"/>
          <w:sz w:val="24"/>
          <w:szCs w:val="24"/>
          <w:highlight w:val="none"/>
        </w:rPr>
        <w:t>。</w:t>
      </w:r>
    </w:p>
    <w:p w14:paraId="16B78604">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2）当工程具备竣工验收条件时，承包人应及时向发包人提交竣工报告及竣工资料、办理移交手续。否则发包人有权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cs="宋体"/>
          <w:sz w:val="24"/>
          <w:szCs w:val="24"/>
          <w:highlight w:val="none"/>
        </w:rPr>
        <w:t>。</w:t>
      </w:r>
    </w:p>
    <w:p w14:paraId="76D0FDCD">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（3）承包人提供竣工资料的约定：</w:t>
      </w:r>
      <w:r>
        <w:rPr>
          <w:rFonts w:hint="eastAsia" w:ascii="宋体" w:hAnsi="宋体" w:cs="宋体"/>
          <w:sz w:val="24"/>
          <w:szCs w:val="24"/>
          <w:highlight w:val="none"/>
          <w:u w:val="single"/>
        </w:rPr>
        <w:t>承包人提供纸质版竣工图三套，电子版竣工图二套（刻光盘）</w:t>
      </w:r>
      <w:r>
        <w:rPr>
          <w:rFonts w:hint="eastAsia" w:ascii="宋体" w:hAnsi="宋体" w:cs="宋体"/>
          <w:sz w:val="24"/>
          <w:szCs w:val="24"/>
          <w:highlight w:val="none"/>
        </w:rPr>
        <w:t>。</w:t>
      </w:r>
    </w:p>
    <w:bookmarkEnd w:id="863"/>
    <w:p w14:paraId="58D9C34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13.2.5 移交、接收全部与部分工程</w:t>
      </w:r>
    </w:p>
    <w:bookmarkEnd w:id="864"/>
    <w:p w14:paraId="17F57EE2">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承包人向发包人移交工程的期限：</w:t>
      </w:r>
      <w:r>
        <w:rPr>
          <w:rFonts w:hint="eastAsia" w:ascii="宋体" w:hAnsi="宋体" w:cs="宋体"/>
          <w:sz w:val="24"/>
          <w:szCs w:val="24"/>
          <w:highlight w:val="none"/>
          <w:u w:val="single"/>
        </w:rPr>
        <w:t>颁发工程接收证书后7天内完成工程的移交</w:t>
      </w:r>
      <w:r>
        <w:rPr>
          <w:rFonts w:hint="eastAsia" w:ascii="宋体" w:hAnsi="宋体" w:cs="宋体"/>
          <w:sz w:val="24"/>
          <w:szCs w:val="24"/>
          <w:highlight w:val="none"/>
        </w:rPr>
        <w:t>。</w:t>
      </w:r>
    </w:p>
    <w:p w14:paraId="69D4FECF">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发包人未按合同约定接收全部或部分工程的，违约金的计算方法为：无。</w:t>
      </w:r>
    </w:p>
    <w:bookmarkEnd w:id="865"/>
    <w:p w14:paraId="7471EBE2">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因承包人自身原因未按时移交工程的，违约金的计算方法为：</w:t>
      </w:r>
      <w:r>
        <w:rPr>
          <w:rFonts w:hint="eastAsia" w:ascii="宋体" w:hAnsi="宋体" w:cs="宋体"/>
          <w:sz w:val="24"/>
          <w:szCs w:val="24"/>
          <w:highlight w:val="none"/>
          <w:u w:val="single"/>
        </w:rPr>
        <w:t>承包人应承担工程照管、成品保护、保管等与工程有关的各项费用，并按经审定结算金额的0.5‰/天支付违约金</w:t>
      </w:r>
      <w:r>
        <w:rPr>
          <w:rFonts w:hint="eastAsia" w:ascii="宋体" w:hAnsi="宋体" w:cs="宋体"/>
          <w:sz w:val="24"/>
          <w:szCs w:val="24"/>
          <w:highlight w:val="none"/>
        </w:rPr>
        <w:t>。</w:t>
      </w:r>
    </w:p>
    <w:p w14:paraId="1BC1A351">
      <w:pPr>
        <w:pStyle w:val="8"/>
        <w:spacing w:before="0" w:after="0" w:line="400" w:lineRule="exact"/>
        <w:ind w:left="848" w:hanging="848" w:hangingChars="352"/>
        <w:rPr>
          <w:rFonts w:ascii="宋体" w:hAnsi="宋体" w:cs="宋体"/>
          <w:sz w:val="24"/>
          <w:szCs w:val="24"/>
          <w:highlight w:val="none"/>
        </w:rPr>
      </w:pPr>
      <w:bookmarkStart w:id="893" w:name="_Toc532377391"/>
      <w:bookmarkStart w:id="894" w:name="_Toc532375654"/>
      <w:r>
        <w:rPr>
          <w:rFonts w:hint="eastAsia" w:ascii="宋体" w:hAnsi="宋体" w:cs="宋体"/>
          <w:sz w:val="24"/>
          <w:szCs w:val="24"/>
          <w:highlight w:val="none"/>
        </w:rPr>
        <w:t>13.3 工程试车</w:t>
      </w:r>
      <w:bookmarkEnd w:id="893"/>
      <w:bookmarkEnd w:id="894"/>
    </w:p>
    <w:p w14:paraId="180C81D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13.3.1 试车程序</w:t>
      </w:r>
    </w:p>
    <w:p w14:paraId="57592D3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工程试车内容：</w:t>
      </w:r>
      <w:r>
        <w:rPr>
          <w:rFonts w:hint="eastAsia" w:ascii="宋体" w:hAnsi="宋体" w:cs="宋体"/>
          <w:sz w:val="24"/>
          <w:szCs w:val="24"/>
          <w:highlight w:val="none"/>
          <w:u w:val="single"/>
        </w:rPr>
        <w:t>按通用合同条款执行</w:t>
      </w:r>
      <w:r>
        <w:rPr>
          <w:rFonts w:hint="eastAsia" w:ascii="宋体" w:hAnsi="宋体" w:cs="宋体"/>
          <w:sz w:val="24"/>
          <w:szCs w:val="24"/>
          <w:highlight w:val="none"/>
        </w:rPr>
        <w:t>。</w:t>
      </w:r>
    </w:p>
    <w:p w14:paraId="7BF152D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（1）单机无负荷试车费用由</w:t>
      </w:r>
      <w:r>
        <w:rPr>
          <w:rFonts w:hint="eastAsia" w:ascii="宋体" w:hAnsi="宋体" w:cs="宋体"/>
          <w:sz w:val="24"/>
          <w:szCs w:val="24"/>
          <w:highlight w:val="none"/>
          <w:u w:val="single"/>
        </w:rPr>
        <w:t>承包人</w:t>
      </w:r>
      <w:r>
        <w:rPr>
          <w:rFonts w:hint="eastAsia" w:ascii="宋体" w:hAnsi="宋体" w:cs="宋体"/>
          <w:sz w:val="24"/>
          <w:szCs w:val="24"/>
          <w:highlight w:val="none"/>
        </w:rPr>
        <w:t>承担；</w:t>
      </w:r>
    </w:p>
    <w:p w14:paraId="0CB5CEB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（2）无负荷联动试车费用由</w:t>
      </w:r>
      <w:r>
        <w:rPr>
          <w:rFonts w:hint="eastAsia" w:ascii="宋体" w:hAnsi="宋体" w:cs="宋体"/>
          <w:sz w:val="24"/>
          <w:szCs w:val="24"/>
          <w:highlight w:val="none"/>
          <w:u w:val="single"/>
        </w:rPr>
        <w:t>承包人</w:t>
      </w:r>
      <w:r>
        <w:rPr>
          <w:rFonts w:hint="eastAsia" w:ascii="宋体" w:hAnsi="宋体" w:cs="宋体"/>
          <w:sz w:val="24"/>
          <w:szCs w:val="24"/>
          <w:highlight w:val="none"/>
        </w:rPr>
        <w:t>承担。</w:t>
      </w:r>
    </w:p>
    <w:p w14:paraId="3CA51C9B">
      <w:pPr>
        <w:pStyle w:val="8"/>
        <w:spacing w:before="0" w:after="0" w:line="400" w:lineRule="exact"/>
        <w:ind w:left="848" w:hanging="848" w:hangingChars="352"/>
        <w:rPr>
          <w:rFonts w:ascii="宋体" w:hAnsi="宋体" w:cs="宋体"/>
          <w:sz w:val="24"/>
          <w:szCs w:val="24"/>
          <w:highlight w:val="none"/>
        </w:rPr>
      </w:pPr>
      <w:bookmarkStart w:id="895" w:name="_Toc532377392"/>
      <w:bookmarkStart w:id="896" w:name="_Toc532375655"/>
      <w:r>
        <w:rPr>
          <w:rFonts w:hint="eastAsia" w:ascii="宋体" w:hAnsi="宋体" w:cs="宋体"/>
          <w:sz w:val="24"/>
          <w:szCs w:val="24"/>
          <w:highlight w:val="none"/>
        </w:rPr>
        <w:t>13.6 竣工退场</w:t>
      </w:r>
      <w:bookmarkEnd w:id="895"/>
      <w:bookmarkEnd w:id="896"/>
    </w:p>
    <w:p w14:paraId="6C4661D0">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13.6.1 竣工退场</w:t>
      </w:r>
    </w:p>
    <w:p w14:paraId="776B9A45">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承包人完成竣工退场的期限：</w:t>
      </w:r>
      <w:r>
        <w:rPr>
          <w:rFonts w:hint="eastAsia" w:ascii="宋体" w:hAnsi="宋体" w:cs="宋体"/>
          <w:sz w:val="24"/>
          <w:szCs w:val="24"/>
          <w:highlight w:val="none"/>
          <w:u w:val="single"/>
        </w:rPr>
        <w:t>工程接收证书颁发后28天内，承包人的施工人员、剩余材料、施工设备和临时工程应完全撤离施工场地并对施工场地进行清理、平整、复原，直至发包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s="宋体"/>
          <w:sz w:val="24"/>
          <w:szCs w:val="24"/>
          <w:highlight w:val="none"/>
        </w:rPr>
        <w:t>。</w:t>
      </w:r>
    </w:p>
    <w:bookmarkEnd w:id="866"/>
    <w:p w14:paraId="2464FDA2">
      <w:pPr>
        <w:pStyle w:val="7"/>
        <w:spacing w:before="0" w:after="0" w:line="400" w:lineRule="exact"/>
        <w:rPr>
          <w:rFonts w:ascii="宋体" w:hAnsi="宋体" w:eastAsia="宋体" w:cs="宋体"/>
          <w:bCs/>
          <w:sz w:val="24"/>
          <w:szCs w:val="24"/>
          <w:highlight w:val="none"/>
        </w:rPr>
      </w:pPr>
      <w:bookmarkStart w:id="897" w:name="_Toc532377393"/>
      <w:bookmarkStart w:id="898" w:name="_Toc351203646"/>
      <w:bookmarkStart w:id="899" w:name="_Toc532375656"/>
      <w:r>
        <w:rPr>
          <w:rFonts w:hint="eastAsia" w:ascii="宋体" w:hAnsi="宋体" w:eastAsia="宋体" w:cs="宋体"/>
          <w:sz w:val="24"/>
          <w:szCs w:val="24"/>
          <w:highlight w:val="none"/>
        </w:rPr>
        <w:t>14. 竣工结算</w:t>
      </w:r>
      <w:bookmarkEnd w:id="897"/>
      <w:bookmarkEnd w:id="898"/>
      <w:bookmarkEnd w:id="899"/>
    </w:p>
    <w:p w14:paraId="2BDB25A3">
      <w:pPr>
        <w:pStyle w:val="8"/>
        <w:spacing w:before="0" w:after="0" w:line="400" w:lineRule="exact"/>
        <w:ind w:left="848" w:hanging="848" w:hangingChars="352"/>
        <w:rPr>
          <w:rFonts w:ascii="宋体" w:hAnsi="宋体" w:cs="宋体"/>
          <w:sz w:val="24"/>
          <w:szCs w:val="24"/>
          <w:highlight w:val="none"/>
        </w:rPr>
      </w:pPr>
      <w:bookmarkStart w:id="900" w:name="_Toc532375657"/>
      <w:bookmarkStart w:id="901" w:name="_Toc532377394"/>
      <w:r>
        <w:rPr>
          <w:rFonts w:hint="eastAsia" w:ascii="宋体" w:hAnsi="宋体" w:cs="宋体"/>
          <w:sz w:val="24"/>
          <w:szCs w:val="24"/>
          <w:highlight w:val="none"/>
        </w:rPr>
        <w:t>14.1 竣工结算申请</w:t>
      </w:r>
      <w:bookmarkEnd w:id="900"/>
      <w:bookmarkEnd w:id="901"/>
    </w:p>
    <w:p w14:paraId="48606555">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承包人提交竣工结算申请单的期限：</w:t>
      </w:r>
      <w:r>
        <w:rPr>
          <w:rFonts w:hint="eastAsia" w:ascii="宋体" w:hAnsi="宋体" w:cs="宋体"/>
          <w:sz w:val="24"/>
          <w:szCs w:val="24"/>
          <w:highlight w:val="none"/>
          <w:u w:val="single"/>
        </w:rPr>
        <w:t>承包人应在工程竣工验收合格且报送完整工程竣工资料之日起28天内向发包人提交竣工结算申请单，并向发包人报送完整的工程竣工资料</w:t>
      </w:r>
      <w:bookmarkStart w:id="902" w:name="_Hlk524297994"/>
      <w:r>
        <w:rPr>
          <w:rFonts w:hint="eastAsia" w:ascii="宋体" w:hAnsi="宋体" w:cs="宋体"/>
          <w:sz w:val="24"/>
          <w:szCs w:val="24"/>
          <w:highlight w:val="none"/>
          <w:u w:val="single"/>
        </w:rPr>
        <w:t>。发包人对竣工结算申请单有异议的，应在接到竣工结算申请单后14天内要求承包人进行修正和提供补充资料，承包人在接到发包人提出的审核意见后，应在28天内按发包人提出的合理要求补充资料、修改竣工结算资料，并再次提交发包人审核。承包人未在规定时间内报送竣工结算资料给发包人造成经济损失的，承包人应承担赔偿责任。</w:t>
      </w:r>
    </w:p>
    <w:p w14:paraId="4000E63C">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竣工结算申请单包括但不限于以下内容：</w:t>
      </w:r>
    </w:p>
    <w:p w14:paraId="70F1A90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（1）竣工结算合同价格；</w:t>
      </w:r>
    </w:p>
    <w:p w14:paraId="5AF809D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（2）变更增减金额；</w:t>
      </w:r>
    </w:p>
    <w:p w14:paraId="57130F8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（3）现场签证增减金额；</w:t>
      </w:r>
    </w:p>
    <w:p w14:paraId="384A255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（4）索赔增减金额；</w:t>
      </w:r>
    </w:p>
    <w:p w14:paraId="302EB62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（5）奖励、罚金及违约金；</w:t>
      </w:r>
    </w:p>
    <w:p w14:paraId="7A166A4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（6）发包人已支付承包人的款项；</w:t>
      </w:r>
    </w:p>
    <w:p w14:paraId="43E5D2B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（7）应扣留的质量保证金；</w:t>
      </w:r>
    </w:p>
    <w:p w14:paraId="6680345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（8）发包人应支付承包人的合同价款。</w:t>
      </w:r>
      <w:bookmarkEnd w:id="902"/>
    </w:p>
    <w:p w14:paraId="7A7D4E26">
      <w:pPr>
        <w:pStyle w:val="8"/>
        <w:spacing w:before="0" w:after="0" w:line="400" w:lineRule="exact"/>
        <w:ind w:left="848" w:hanging="848" w:hangingChars="352"/>
        <w:rPr>
          <w:rFonts w:ascii="宋体" w:hAnsi="宋体" w:cs="宋体"/>
          <w:sz w:val="24"/>
          <w:szCs w:val="24"/>
          <w:highlight w:val="none"/>
        </w:rPr>
      </w:pPr>
      <w:bookmarkStart w:id="903" w:name="_Toc532375658"/>
      <w:bookmarkStart w:id="904" w:name="_Toc532377395"/>
      <w:r>
        <w:rPr>
          <w:rFonts w:hint="eastAsia" w:ascii="宋体" w:hAnsi="宋体" w:cs="宋体"/>
          <w:sz w:val="24"/>
          <w:szCs w:val="24"/>
          <w:highlight w:val="none"/>
        </w:rPr>
        <w:t>14.2 竣工结算审核</w:t>
      </w:r>
      <w:bookmarkEnd w:id="903"/>
      <w:bookmarkEnd w:id="904"/>
    </w:p>
    <w:p w14:paraId="19CF8CB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14.2.1 竣工结算办法</w:t>
      </w:r>
    </w:p>
    <w:p w14:paraId="0092482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14.2.1.1计量原则</w:t>
      </w:r>
    </w:p>
    <w:p w14:paraId="128639AF">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按照第12.3.1项〔计量原则〕约定执行。</w:t>
      </w:r>
    </w:p>
    <w:p w14:paraId="0C9B9E0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14.2.1.2计价原则</w:t>
      </w:r>
    </w:p>
    <w:p w14:paraId="50585B3E">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合同竣工结算价=Σ分部分项工程结算价+Σ措施项目结算价+Σ其他项目结算价±Σ价格调整（如有）±Σ变更、索赔与现场签证结算价±Σ奖励、罚金、违约金及其他费用+Σ规费+Σ税金</w:t>
      </w:r>
      <w:r>
        <w:rPr>
          <w:rFonts w:hint="eastAsia" w:ascii="宋体" w:hAnsi="宋体" w:cs="宋体"/>
          <w:sz w:val="24"/>
          <w:szCs w:val="24"/>
          <w:highlight w:val="none"/>
        </w:rPr>
        <w:t>。</w:t>
      </w:r>
    </w:p>
    <w:p w14:paraId="0C21413F">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具体结算办法如下：</w:t>
      </w:r>
    </w:p>
    <w:p w14:paraId="329278E9">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（1）分部分项工程：</w:t>
      </w:r>
    </w:p>
    <w:p w14:paraId="291D3FF2">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u w:val="single"/>
        </w:rPr>
        <w:t>①已标价工程量清单子目成交单价按合同约定无需调整的，以按照竣工图和第12.3.1项〔计量原则〕约定确定的工程量乘以相应的已标价工程量清单子目成交单价确定该部分分部分项工程结算价</w:t>
      </w:r>
      <w:r>
        <w:rPr>
          <w:rFonts w:hint="eastAsia" w:ascii="宋体" w:hAnsi="宋体" w:cs="宋体"/>
          <w:sz w:val="24"/>
          <w:szCs w:val="24"/>
          <w:highlight w:val="none"/>
        </w:rPr>
        <w:t>；</w:t>
      </w:r>
    </w:p>
    <w:p w14:paraId="07D7F733">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u w:val="single"/>
        </w:rPr>
        <w:t>②需要对没有填入成交单价或总额价的子目项目进行扣减的，第12.3.1项〔计量原则〕约定确定的工程量乘以按照10.4.1〔变更估价原则〕（3）目约定的成交单价进行扣减</w:t>
      </w:r>
      <w:r>
        <w:rPr>
          <w:rFonts w:hint="eastAsia" w:ascii="宋体" w:hAnsi="宋体" w:cs="宋体"/>
          <w:sz w:val="24"/>
          <w:szCs w:val="24"/>
          <w:highlight w:val="none"/>
        </w:rPr>
        <w:t>；</w:t>
      </w:r>
    </w:p>
    <w:p w14:paraId="6B16F20A">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u w:val="single"/>
        </w:rPr>
        <w:t>③合同、已标价工程量清单和采购文件另有约定的，按照其约定执行</w:t>
      </w:r>
      <w:r>
        <w:rPr>
          <w:rFonts w:hint="eastAsia" w:ascii="宋体" w:hAnsi="宋体" w:cs="宋体"/>
          <w:sz w:val="24"/>
          <w:szCs w:val="24"/>
          <w:highlight w:val="none"/>
        </w:rPr>
        <w:t>。</w:t>
      </w:r>
    </w:p>
    <w:p w14:paraId="2524B746">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（2）措施项目：</w:t>
      </w:r>
    </w:p>
    <w:p w14:paraId="5943E3CE">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u w:val="single"/>
        </w:rPr>
        <w:t>①施工组织措施项目费：无论任何因素而引起实际措施费的变化，均按响应时施工组织措施项目费的报价作为结算价（除安全文明施工费外）。</w:t>
      </w:r>
    </w:p>
    <w:p w14:paraId="2562D46E">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u w:val="single"/>
        </w:rPr>
        <w:t>②施工技术措施项目费：施工技术措施以项为单位的无论因设计变更或施工工艺变化等任何因素而引起实际措施费的变化，均按响应时措施费的报价作为结算价不作任何调整；施工技术措施清单中以项目编码、项目名称、项目特征、工程量及计量单位列项的项目，以承包人成交报价中的综合单价乘以按《重庆市建设工程工程量计算规》（CQJLGZ-2013）约定的计量规则计算的实际合格工程量办理结算</w:t>
      </w:r>
      <w:r>
        <w:rPr>
          <w:rFonts w:hint="eastAsia" w:ascii="宋体" w:hAnsi="宋体" w:cs="宋体"/>
          <w:sz w:val="24"/>
          <w:szCs w:val="24"/>
          <w:highlight w:val="none"/>
        </w:rPr>
        <w:t>。</w:t>
      </w:r>
    </w:p>
    <w:p w14:paraId="41F3BAB7">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u w:val="single"/>
        </w:rPr>
        <w:t>③安全文明施工费按照关于修订发布《重庆市建设工程安全文明施工费计职及使用管理规定》的通知渝建管(2024)38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cs="宋体"/>
          <w:sz w:val="24"/>
          <w:szCs w:val="24"/>
          <w:highlight w:val="none"/>
        </w:rPr>
        <w:t>。</w:t>
      </w:r>
    </w:p>
    <w:p w14:paraId="038FACA2">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（3）其他项目：</w:t>
      </w:r>
    </w:p>
    <w:p w14:paraId="71E21671">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①材料（工程设备）暂估价：</w:t>
      </w:r>
      <w:r>
        <w:rPr>
          <w:rFonts w:hint="eastAsia" w:ascii="宋体" w:hAnsi="宋体" w:cs="宋体"/>
          <w:sz w:val="24"/>
          <w:szCs w:val="24"/>
          <w:highlight w:val="none"/>
          <w:u w:val="single"/>
        </w:rPr>
        <w:t>按照第12.3.1项〔计量原则〕约定及对应定额消耗量确定的数量乘以跟审单位、发包人根据市场行情认质核价确定的价格进行结算</w:t>
      </w:r>
      <w:r>
        <w:rPr>
          <w:rFonts w:hint="eastAsia" w:ascii="宋体" w:hAnsi="宋体" w:cs="宋体"/>
          <w:sz w:val="24"/>
          <w:szCs w:val="24"/>
          <w:highlight w:val="none"/>
        </w:rPr>
        <w:t>。</w:t>
      </w:r>
    </w:p>
    <w:p w14:paraId="09F2797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②专业工程暂估价：</w:t>
      </w:r>
    </w:p>
    <w:p w14:paraId="3585A42C">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1）对于不属于依法必须招标的暂估价项目：按发包人审定的价格进行结算</w:t>
      </w:r>
      <w:r>
        <w:rPr>
          <w:rFonts w:hint="eastAsia" w:ascii="宋体" w:hAnsi="宋体" w:cs="宋体"/>
          <w:sz w:val="24"/>
          <w:szCs w:val="24"/>
          <w:highlight w:val="none"/>
        </w:rPr>
        <w:t>。</w:t>
      </w:r>
    </w:p>
    <w:p w14:paraId="5E6E333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2）对于依法必须招标的暂估价项目：达到招标规模标准的暂估价内容，包括专业工程暂估价和材料设备暂估价均应招标确定，并按暂估价采购文件约定结算</w:t>
      </w:r>
      <w:r>
        <w:rPr>
          <w:rFonts w:hint="eastAsia" w:ascii="宋体" w:hAnsi="宋体" w:cs="宋体"/>
          <w:sz w:val="24"/>
          <w:szCs w:val="24"/>
          <w:highlight w:val="none"/>
        </w:rPr>
        <w:t>。</w:t>
      </w:r>
    </w:p>
    <w:p w14:paraId="338B4CA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 xml:space="preserve">3）总承包服务费：/ </w:t>
      </w:r>
      <w:r>
        <w:rPr>
          <w:rFonts w:hint="eastAsia" w:ascii="宋体" w:hAnsi="宋体" w:cs="宋体"/>
          <w:sz w:val="24"/>
          <w:szCs w:val="24"/>
          <w:highlight w:val="none"/>
        </w:rPr>
        <w:t>。</w:t>
      </w:r>
    </w:p>
    <w:p w14:paraId="1D352663">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（4）价格调整：</w:t>
      </w:r>
      <w:r>
        <w:rPr>
          <w:rFonts w:hint="eastAsia" w:ascii="宋体" w:hAnsi="宋体" w:cs="宋体"/>
          <w:sz w:val="24"/>
          <w:szCs w:val="24"/>
          <w:highlight w:val="none"/>
          <w:u w:val="single"/>
        </w:rPr>
        <w:t>按照第11条〔价格调整〕约定约定执行</w:t>
      </w:r>
      <w:r>
        <w:rPr>
          <w:rFonts w:hint="eastAsia" w:ascii="宋体" w:hAnsi="宋体" w:cs="宋体"/>
          <w:sz w:val="24"/>
          <w:szCs w:val="24"/>
          <w:highlight w:val="none"/>
        </w:rPr>
        <w:t>。</w:t>
      </w:r>
    </w:p>
    <w:p w14:paraId="11FF0EA7">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（5）工程变更、索赔与现场签证：</w:t>
      </w:r>
    </w:p>
    <w:p w14:paraId="1CDDC911">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0819129A">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2）索赔：按照第10.4.1项〔变更估价原则〕和第14.2.1项〔竣工结算办法〕约定执行。</w:t>
      </w:r>
    </w:p>
    <w:p w14:paraId="1CB2E2AB">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3）现场签证：按照第10.4.1项〔变更估价原则〕和第14.2.1项〔竣工结算办法〕约定执行。</w:t>
      </w:r>
    </w:p>
    <w:p w14:paraId="43183CB0">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（7）奖励、罚金、违约金及其他费用：</w:t>
      </w:r>
      <w:r>
        <w:rPr>
          <w:rFonts w:hint="eastAsia" w:ascii="宋体" w:hAnsi="宋体" w:cs="宋体"/>
          <w:sz w:val="24"/>
          <w:szCs w:val="24"/>
          <w:highlight w:val="none"/>
          <w:u w:val="single"/>
        </w:rPr>
        <w:t>按实进行结算</w:t>
      </w:r>
      <w:r>
        <w:rPr>
          <w:rFonts w:hint="eastAsia" w:ascii="宋体" w:hAnsi="宋体" w:cs="宋体"/>
          <w:sz w:val="24"/>
          <w:szCs w:val="24"/>
          <w:highlight w:val="none"/>
        </w:rPr>
        <w:t>。</w:t>
      </w:r>
    </w:p>
    <w:p w14:paraId="4777438F">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r>
        <w:rPr>
          <w:rFonts w:hint="eastAsia" w:ascii="宋体" w:hAnsi="宋体" w:cs="宋体"/>
          <w:sz w:val="24"/>
          <w:szCs w:val="24"/>
          <w:highlight w:val="none"/>
        </w:rPr>
        <w:t>（8）规费：已标价工程量清单中规费费用按《重庆市建设工程费用定额》（CQFYDE-2018）执行。</w:t>
      </w:r>
    </w:p>
    <w:p w14:paraId="268A5BDD">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9）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6E7C6B5D">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（10）承包人应将完成该工程发生的包括但不限于以下措施及风险费用纳入本次响应报价中，不再另行计价：</w:t>
      </w:r>
    </w:p>
    <w:p w14:paraId="356D45C7">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1）施工所需的办公场地、材料堆放和转运、加工所需场地由承包人自行负责解决，并承担相应费用，费用已包含在响应报价中；</w:t>
      </w:r>
    </w:p>
    <w:p w14:paraId="3BDF0184">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2）承包人必须服从施工现场业主的统一管理，与综合管线迁建及所有相关的其他专业分包工程所产生的总承包服务费、配合费及配合其他参建单位所产生的窝工及施工降效等费用，费用包含在本次报价中，不再另行计算；</w:t>
      </w:r>
    </w:p>
    <w:p w14:paraId="6699195F">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3）按政策和合同约定的应由承包人交纳的各种保险费由承包人自行投保，保险费由承包人承担并支付，并根据企业自身和本工程情况，测算包含在相应的报价中。如果因承包人未按要求投保而受到损失时，承包人应承担一切责任；</w:t>
      </w:r>
    </w:p>
    <w:p w14:paraId="14ABD9B1">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4）承包人应先到工地踏勘以充分了解工地位置、地质情况、进出场道路、储存空间、装卸限制、行车干扰及任何其它足以影响承包价格的情况，任何因忽视或误解工地情况而导致的索赔或工期延长申请将不获批准；</w:t>
      </w:r>
    </w:p>
    <w:p w14:paraId="7EB02644">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5）承包人需对提供资料进行核实，核实费用由承包人负责；未提供部分需承包人现场自行核实，费用投标时自行考虑包含在响应报价内；</w:t>
      </w:r>
    </w:p>
    <w:p w14:paraId="2FF9EC39">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6）承包人自行勘查后，寻找合适的水、电搭接点，承包人自行承担施工、生活、办公所需的水、电接驳工作及相关费用；</w:t>
      </w:r>
    </w:p>
    <w:p w14:paraId="0953F544">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7）为了不受停电影响延误工期，承包人自行预备柴油发电机组，自备发电机的功率应与工程需用电力负荷相适应，确保施工期间能正常使用。承包人自行发电，承包人投标时应考虑该因素的有关费用，招标人不对发电费用予以补偿。承包人应自行准备抽水设备和准备蓄水池，并同时考虑水压不足的加压措施和考虑由此产生的相应费用，招标人不对抽水、蓄水和加压等费用予以补偿。招标人不对用水、用电所造成的停窝工事件作任何签证，也不因此延长工程工期；</w:t>
      </w:r>
    </w:p>
    <w:p w14:paraId="41C541E0">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8）承包人应考虑由于综合管网改迁周期长而占用施工场地影响施工及工期的措施费用；</w:t>
      </w:r>
    </w:p>
    <w:p w14:paraId="1030F833">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9）各种赶工措施费、夜间施工的手续办理及其费用；</w:t>
      </w:r>
    </w:p>
    <w:p w14:paraId="0DC82544">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10）材料及半成品的下车、堆放、仓储保管及二次转运至安装地点等全部费用；若因非承包人原因导致施工方案发生变化，经招标人审批施工方案后，运距按实调整；</w:t>
      </w:r>
    </w:p>
    <w:p w14:paraId="62A81B65">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11）与工程相关的环保、消防、市政、交通、公安、物业、安全、施工扰民等涉及工程施工有关的协调工作均由承包人负责，并承担协调费用，纳入响应报价中；</w:t>
      </w:r>
    </w:p>
    <w:p w14:paraId="5A583E51">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12）施工过程中由于停电、停水造成的停工，承包人为保证项目工期而采取的抢工措施由承包人自行解决，由此产生的措施费均由承包人自行解决，由此产生的措施费均由承包人自行测算后计入响应报价；</w:t>
      </w:r>
    </w:p>
    <w:p w14:paraId="4C66433F">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13）承包人应根据项目情况及天气充分考虑夜间加班、防暑降温、高温补贴等相关费用，承包人自行考虑计入本次响应报价中。</w:t>
      </w:r>
    </w:p>
    <w:p w14:paraId="362FB81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14.2.1.3竣工结算价</w:t>
      </w:r>
    </w:p>
    <w:p w14:paraId="04624D1D">
      <w:pPr>
        <w:tabs>
          <w:tab w:val="left" w:pos="711"/>
          <w:tab w:val="left" w:pos="2580"/>
        </w:tabs>
        <w:spacing w:line="400" w:lineRule="exact"/>
        <w:ind w:right="140" w:rightChars="50" w:firstLine="480" w:firstLineChars="200"/>
        <w:jc w:val="left"/>
        <w:textAlignment w:val="baseline"/>
        <w:rPr>
          <w:rFonts w:ascii="宋体" w:hAnsi="宋体" w:cs="宋体"/>
          <w:sz w:val="24"/>
          <w:szCs w:val="24"/>
          <w:highlight w:val="none"/>
          <w:u w:val="single"/>
        </w:rPr>
      </w:pPr>
      <w:bookmarkStart w:id="905" w:name="_Hlk528660512"/>
      <w:r>
        <w:rPr>
          <w:rFonts w:hint="eastAsia" w:ascii="宋体" w:hAnsi="宋体" w:cs="宋体"/>
          <w:sz w:val="24"/>
          <w:szCs w:val="24"/>
          <w:highlight w:val="none"/>
          <w:u w:val="single"/>
        </w:rPr>
        <w:t>以发包人会同跟审单位、承包人根据有效资料共同确定竣工结算金额作为合同竣工结算价</w:t>
      </w:r>
      <w:r>
        <w:rPr>
          <w:rFonts w:hint="eastAsia" w:ascii="宋体" w:hAnsi="宋体" w:cs="宋体"/>
          <w:sz w:val="24"/>
          <w:szCs w:val="24"/>
          <w:highlight w:val="none"/>
        </w:rPr>
        <w:t>。</w:t>
      </w:r>
    </w:p>
    <w:bookmarkEnd w:id="905"/>
    <w:p w14:paraId="6BB8146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14.2.2 竣工结算审核期限</w:t>
      </w:r>
    </w:p>
    <w:p w14:paraId="433B4F0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发包人审核竣工付款申请单的期限：</w:t>
      </w:r>
      <w:r>
        <w:rPr>
          <w:rFonts w:hint="eastAsia" w:ascii="宋体" w:hAnsi="宋体" w:cs="宋体"/>
          <w:sz w:val="24"/>
          <w:szCs w:val="24"/>
          <w:highlight w:val="none"/>
          <w:u w:val="single"/>
        </w:rPr>
        <w:t>不超过90日</w:t>
      </w:r>
      <w:r>
        <w:rPr>
          <w:rFonts w:hint="eastAsia" w:ascii="宋体" w:hAnsi="宋体" w:cs="宋体"/>
          <w:sz w:val="24"/>
          <w:szCs w:val="24"/>
          <w:highlight w:val="none"/>
        </w:rPr>
        <w:t>。</w:t>
      </w:r>
    </w:p>
    <w:p w14:paraId="58B16F5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发包人完成竣工付款的期限：</w:t>
      </w:r>
      <w:r>
        <w:rPr>
          <w:rFonts w:hint="eastAsia" w:ascii="宋体" w:hAnsi="宋体" w:cs="宋体"/>
          <w:sz w:val="24"/>
          <w:szCs w:val="24"/>
          <w:highlight w:val="none"/>
          <w:u w:val="single"/>
        </w:rPr>
        <w:t>承包人向发包人提供支付申请报告并经发包人审定后的 30 个工作日内</w:t>
      </w:r>
      <w:r>
        <w:rPr>
          <w:rFonts w:hint="eastAsia" w:ascii="宋体" w:hAnsi="宋体" w:cs="宋体"/>
          <w:sz w:val="24"/>
          <w:szCs w:val="24"/>
          <w:highlight w:val="none"/>
        </w:rPr>
        <w:t>。</w:t>
      </w:r>
    </w:p>
    <w:p w14:paraId="2446D363">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关于竣工付款证书异议部分复核的方式和程序： 按照第20条〔争议解决〕约定处理。</w:t>
      </w:r>
    </w:p>
    <w:p w14:paraId="5C4093A2">
      <w:pPr>
        <w:pStyle w:val="8"/>
        <w:spacing w:before="0" w:after="0" w:line="400" w:lineRule="exact"/>
        <w:ind w:left="848" w:hanging="848" w:hangingChars="352"/>
        <w:rPr>
          <w:rFonts w:ascii="宋体" w:hAnsi="宋体" w:cs="宋体"/>
          <w:sz w:val="24"/>
          <w:szCs w:val="24"/>
          <w:highlight w:val="none"/>
        </w:rPr>
      </w:pPr>
      <w:bookmarkStart w:id="906" w:name="_Toc532375659"/>
      <w:bookmarkStart w:id="907" w:name="_Toc532377396"/>
      <w:r>
        <w:rPr>
          <w:rFonts w:hint="eastAsia" w:ascii="宋体" w:hAnsi="宋体" w:cs="宋体"/>
          <w:sz w:val="24"/>
          <w:szCs w:val="24"/>
          <w:highlight w:val="none"/>
        </w:rPr>
        <w:t>14.4 最终结清</w:t>
      </w:r>
      <w:bookmarkEnd w:id="906"/>
      <w:bookmarkEnd w:id="907"/>
    </w:p>
    <w:p w14:paraId="736B434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14.4.1 最终结清申请单</w:t>
      </w:r>
    </w:p>
    <w:p w14:paraId="37AB0A7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承包人提交最终结清申请单的份数：</w:t>
      </w:r>
      <w:r>
        <w:rPr>
          <w:rFonts w:hint="eastAsia" w:ascii="宋体" w:hAnsi="宋体" w:cs="宋体"/>
          <w:sz w:val="24"/>
          <w:szCs w:val="24"/>
          <w:highlight w:val="none"/>
          <w:u w:val="single"/>
        </w:rPr>
        <w:t>3份</w:t>
      </w:r>
      <w:r>
        <w:rPr>
          <w:rFonts w:hint="eastAsia" w:ascii="宋体" w:hAnsi="宋体" w:cs="宋体"/>
          <w:sz w:val="24"/>
          <w:szCs w:val="24"/>
          <w:highlight w:val="none"/>
        </w:rPr>
        <w:t>。</w:t>
      </w:r>
    </w:p>
    <w:p w14:paraId="49147100">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承包人提交最终结算申请单的期限：</w:t>
      </w:r>
      <w:r>
        <w:rPr>
          <w:rFonts w:hint="eastAsia" w:ascii="宋体" w:hAnsi="宋体" w:cs="宋体"/>
          <w:sz w:val="24"/>
          <w:szCs w:val="24"/>
          <w:highlight w:val="none"/>
          <w:u w:val="single"/>
        </w:rPr>
        <w:t>缺陷责任期终止证书颁发后14天内</w:t>
      </w:r>
      <w:r>
        <w:rPr>
          <w:rFonts w:hint="eastAsia" w:ascii="宋体" w:hAnsi="宋体" w:cs="宋体"/>
          <w:sz w:val="24"/>
          <w:szCs w:val="24"/>
          <w:highlight w:val="none"/>
        </w:rPr>
        <w:t>。</w:t>
      </w:r>
    </w:p>
    <w:p w14:paraId="483EC8F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14.4.2 最终结清证书和支付</w:t>
      </w:r>
    </w:p>
    <w:p w14:paraId="19F42861">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（1）发包人完成最终结清申请单的审批并颁发最终结清证书的期限：</w:t>
      </w:r>
      <w:r>
        <w:rPr>
          <w:rFonts w:hint="eastAsia" w:ascii="宋体" w:hAnsi="宋体" w:cs="宋体"/>
          <w:sz w:val="24"/>
          <w:szCs w:val="24"/>
          <w:highlight w:val="none"/>
          <w:u w:val="single"/>
        </w:rPr>
        <w:t>发包人收到完整资料后14天内完成审批并颁发最终结清证书</w:t>
      </w:r>
      <w:r>
        <w:rPr>
          <w:rFonts w:hint="eastAsia" w:ascii="宋体" w:hAnsi="宋体" w:cs="宋体"/>
          <w:sz w:val="24"/>
          <w:szCs w:val="24"/>
          <w:highlight w:val="none"/>
        </w:rPr>
        <w:t>。</w:t>
      </w:r>
    </w:p>
    <w:p w14:paraId="23B2F34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（2）发包人完成支付的期限：</w:t>
      </w:r>
      <w:r>
        <w:rPr>
          <w:rFonts w:hint="eastAsia" w:ascii="宋体" w:hAnsi="宋体" w:cs="宋体"/>
          <w:sz w:val="24"/>
          <w:szCs w:val="24"/>
          <w:highlight w:val="none"/>
          <w:u w:val="single"/>
        </w:rPr>
        <w:t>颁发最终结清证书的14天内</w:t>
      </w:r>
      <w:r>
        <w:rPr>
          <w:rFonts w:hint="eastAsia" w:ascii="宋体" w:hAnsi="宋体" w:cs="宋体"/>
          <w:sz w:val="24"/>
          <w:szCs w:val="24"/>
          <w:highlight w:val="none"/>
        </w:rPr>
        <w:t>。</w:t>
      </w:r>
    </w:p>
    <w:p w14:paraId="1613FE5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本条补充14.5款：</w:t>
      </w:r>
    </w:p>
    <w:bookmarkEnd w:id="867"/>
    <w:bookmarkEnd w:id="868"/>
    <w:bookmarkEnd w:id="869"/>
    <w:bookmarkEnd w:id="870"/>
    <w:bookmarkEnd w:id="871"/>
    <w:bookmarkEnd w:id="872"/>
    <w:bookmarkEnd w:id="873"/>
    <w:bookmarkEnd w:id="874"/>
    <w:p w14:paraId="37CC190F">
      <w:pPr>
        <w:pStyle w:val="8"/>
        <w:spacing w:before="0" w:after="0" w:line="400" w:lineRule="exact"/>
        <w:ind w:left="848" w:hanging="848" w:hangingChars="352"/>
        <w:rPr>
          <w:rFonts w:ascii="宋体" w:hAnsi="宋体" w:cs="宋体"/>
          <w:sz w:val="24"/>
          <w:szCs w:val="24"/>
          <w:highlight w:val="none"/>
        </w:rPr>
      </w:pPr>
      <w:bookmarkStart w:id="908" w:name="_Toc532375660"/>
      <w:bookmarkStart w:id="909" w:name="_Toc532377397"/>
      <w:r>
        <w:rPr>
          <w:rFonts w:hint="eastAsia" w:ascii="宋体" w:hAnsi="宋体" w:cs="宋体"/>
          <w:sz w:val="24"/>
          <w:szCs w:val="24"/>
          <w:highlight w:val="none"/>
        </w:rPr>
        <w:t>14.5 逾期办理或不配合办理竣工结算的处理</w:t>
      </w:r>
      <w:bookmarkEnd w:id="908"/>
      <w:bookmarkEnd w:id="909"/>
    </w:p>
    <w:p w14:paraId="0350107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有下列情形之一的，视为承包人放弃与发包人共同办理竣工结算的权利，发包人有权会同跟审单位根据有效资料共同确定竣工结算金额。</w:t>
      </w:r>
    </w:p>
    <w:p w14:paraId="405E813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（1）承包人逾期未报送竣工结算资料，亦未获得发包人批准延期报送，经发包人两</w:t>
      </w:r>
      <w:bookmarkStart w:id="910" w:name="_Hlk529133622"/>
      <w:r>
        <w:rPr>
          <w:rFonts w:hint="eastAsia" w:ascii="宋体" w:hAnsi="宋体" w:cs="宋体"/>
          <w:sz w:val="24"/>
          <w:szCs w:val="24"/>
          <w:highlight w:val="none"/>
        </w:rPr>
        <w:t>次书面催告仍未在限期内报送的</w:t>
      </w:r>
      <w:bookmarkEnd w:id="910"/>
      <w:r>
        <w:rPr>
          <w:rFonts w:hint="eastAsia" w:ascii="宋体" w:hAnsi="宋体" w:cs="宋体"/>
          <w:sz w:val="24"/>
          <w:szCs w:val="24"/>
          <w:highlight w:val="none"/>
        </w:rPr>
        <w:t>；</w:t>
      </w:r>
    </w:p>
    <w:p w14:paraId="01D1CB50">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承包人在接到发包人对竣工结算申请单提出的审核意见后，未在限期内按发包人提出的合理要求补充资料和（或）修改竣工结算资料，亦未获得发包人批准延期报送，经发包人两次书面催告仍未在限期内报送的；</w:t>
      </w:r>
    </w:p>
    <w:p w14:paraId="6968D3B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（3）承包人不配合发包人、跟审单位、发包人委托的工程造价咨询服务单位办理竣工结算的，经发包人两次书面函告仍未改正的。</w:t>
      </w:r>
    </w:p>
    <w:p w14:paraId="69BA0170">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58C321EB">
      <w:pPr>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cs="宋体"/>
          <w:sz w:val="24"/>
          <w:szCs w:val="24"/>
          <w:highlight w:val="none"/>
        </w:rPr>
        <w:t>。</w:t>
      </w:r>
    </w:p>
    <w:bookmarkEnd w:id="575"/>
    <w:bookmarkEnd w:id="576"/>
    <w:bookmarkEnd w:id="577"/>
    <w:bookmarkEnd w:id="578"/>
    <w:bookmarkEnd w:id="579"/>
    <w:bookmarkEnd w:id="580"/>
    <w:bookmarkEnd w:id="581"/>
    <w:bookmarkEnd w:id="582"/>
    <w:p w14:paraId="434466D7">
      <w:pPr>
        <w:pStyle w:val="7"/>
        <w:spacing w:before="0" w:after="0" w:line="400" w:lineRule="exact"/>
        <w:rPr>
          <w:rFonts w:ascii="宋体" w:hAnsi="宋体" w:eastAsia="宋体" w:cs="宋体"/>
          <w:bCs/>
          <w:sz w:val="24"/>
          <w:szCs w:val="24"/>
          <w:highlight w:val="none"/>
        </w:rPr>
      </w:pPr>
      <w:bookmarkStart w:id="911" w:name="_Toc532377398"/>
      <w:bookmarkStart w:id="912" w:name="_Toc351203647"/>
      <w:bookmarkStart w:id="913" w:name="_Toc532375661"/>
      <w:bookmarkStart w:id="914" w:name="_Toc267251483"/>
      <w:bookmarkStart w:id="915" w:name="_Toc280868718"/>
      <w:bookmarkStart w:id="916" w:name="_Toc280868717"/>
      <w:r>
        <w:rPr>
          <w:rFonts w:hint="eastAsia" w:ascii="宋体" w:hAnsi="宋体" w:eastAsia="宋体" w:cs="宋体"/>
          <w:sz w:val="24"/>
          <w:szCs w:val="24"/>
          <w:highlight w:val="none"/>
        </w:rPr>
        <w:t>15. 缺陷责任期与保修</w:t>
      </w:r>
      <w:bookmarkEnd w:id="911"/>
      <w:bookmarkEnd w:id="912"/>
      <w:bookmarkEnd w:id="913"/>
    </w:p>
    <w:bookmarkEnd w:id="914"/>
    <w:p w14:paraId="7221CE8D">
      <w:pPr>
        <w:pStyle w:val="8"/>
        <w:spacing w:before="0" w:after="0" w:line="400" w:lineRule="exact"/>
        <w:ind w:left="848" w:hanging="848" w:hangingChars="352"/>
        <w:rPr>
          <w:rFonts w:ascii="宋体" w:hAnsi="宋体" w:cs="宋体"/>
          <w:sz w:val="24"/>
          <w:szCs w:val="24"/>
          <w:highlight w:val="none"/>
        </w:rPr>
      </w:pPr>
      <w:bookmarkStart w:id="917" w:name="_Toc532375662"/>
      <w:bookmarkStart w:id="918" w:name="_Toc532377399"/>
      <w:r>
        <w:rPr>
          <w:rFonts w:hint="eastAsia" w:ascii="宋体" w:hAnsi="宋体" w:cs="宋体"/>
          <w:sz w:val="24"/>
          <w:szCs w:val="24"/>
          <w:highlight w:val="none"/>
        </w:rPr>
        <w:t>15.2  缺陷责任期</w:t>
      </w:r>
    </w:p>
    <w:p w14:paraId="691587D1">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缺陷责任期的具体期限：</w:t>
      </w:r>
      <w:r>
        <w:rPr>
          <w:rFonts w:hint="eastAsia" w:ascii="宋体" w:hAnsi="宋体" w:cs="宋体"/>
          <w:sz w:val="24"/>
          <w:szCs w:val="24"/>
          <w:highlight w:val="none"/>
          <w:u w:val="single"/>
        </w:rPr>
        <w:t>承包人应承担的缺陷责任期自竣工验收合格之日起计算，缺陷责任期为 24个月（2 年）</w:t>
      </w:r>
      <w:r>
        <w:rPr>
          <w:rFonts w:hint="eastAsia" w:ascii="宋体" w:hAnsi="宋体" w:cs="宋体"/>
          <w:sz w:val="24"/>
          <w:szCs w:val="24"/>
          <w:highlight w:val="none"/>
          <w:u w:val="single"/>
          <w:lang w:eastAsia="zh-CN"/>
        </w:rPr>
        <w:t>，</w:t>
      </w:r>
      <w:r>
        <w:rPr>
          <w:rFonts w:hint="eastAsia" w:ascii="宋体" w:hAnsi="宋体" w:cs="宋体"/>
          <w:color w:val="002060"/>
          <w:sz w:val="24"/>
          <w:szCs w:val="24"/>
          <w:highlight w:val="none"/>
          <w:u w:val="single"/>
          <w:lang w:eastAsia="zh-CN"/>
        </w:rPr>
        <w:t>防水部分为</w:t>
      </w:r>
      <w:r>
        <w:rPr>
          <w:rFonts w:hint="eastAsia" w:ascii="宋体" w:hAnsi="宋体" w:cs="宋体"/>
          <w:color w:val="002060"/>
          <w:sz w:val="24"/>
          <w:szCs w:val="24"/>
          <w:highlight w:val="none"/>
          <w:u w:val="single"/>
          <w:lang w:val="en-US" w:eastAsia="zh-CN"/>
        </w:rPr>
        <w:t>60个月（5年）</w:t>
      </w:r>
      <w:r>
        <w:rPr>
          <w:rFonts w:hint="eastAsia" w:ascii="宋体" w:hAnsi="宋体" w:cs="宋体"/>
          <w:sz w:val="24"/>
          <w:szCs w:val="24"/>
          <w:highlight w:val="none"/>
        </w:rPr>
        <w:t>。</w:t>
      </w:r>
    </w:p>
    <w:p w14:paraId="1990D4B0">
      <w:pPr>
        <w:pStyle w:val="8"/>
        <w:spacing w:before="0" w:after="0" w:line="400" w:lineRule="exact"/>
        <w:ind w:left="848" w:hanging="848" w:hangingChars="352"/>
        <w:rPr>
          <w:rFonts w:ascii="宋体" w:hAnsi="宋体" w:cs="宋体"/>
          <w:sz w:val="24"/>
          <w:szCs w:val="24"/>
          <w:highlight w:val="none"/>
        </w:rPr>
      </w:pPr>
      <w:r>
        <w:rPr>
          <w:rFonts w:hint="eastAsia" w:ascii="宋体" w:hAnsi="宋体" w:cs="宋体"/>
          <w:sz w:val="24"/>
          <w:szCs w:val="24"/>
          <w:highlight w:val="none"/>
        </w:rPr>
        <w:t>15.3 质量保证金</w:t>
      </w:r>
      <w:bookmarkEnd w:id="917"/>
      <w:bookmarkEnd w:id="918"/>
    </w:p>
    <w:p w14:paraId="6A301743">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15.3.1 承包人提供质量保证金的方式</w:t>
      </w:r>
    </w:p>
    <w:p w14:paraId="4212AA2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质量保证金采用以下第</w:t>
      </w:r>
      <w:r>
        <w:rPr>
          <w:rFonts w:hint="eastAsia" w:ascii="宋体" w:hAnsi="宋体" w:cs="宋体"/>
          <w:sz w:val="24"/>
          <w:szCs w:val="24"/>
          <w:highlight w:val="none"/>
          <w:u w:val="single"/>
        </w:rPr>
        <w:t>（2）</w:t>
      </w:r>
      <w:r>
        <w:rPr>
          <w:rFonts w:hint="eastAsia" w:ascii="宋体" w:hAnsi="宋体" w:cs="宋体"/>
          <w:sz w:val="24"/>
          <w:szCs w:val="24"/>
          <w:highlight w:val="none"/>
        </w:rPr>
        <w:t>种方式：</w:t>
      </w:r>
    </w:p>
    <w:p w14:paraId="0F24F2A1">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（1）质量保证金保函</w:t>
      </w:r>
    </w:p>
    <w:p w14:paraId="049C1F5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1）缴纳形式：质量保证金保函包括银行保函、保证保险和担保保函，其示范文本详见合同附件。承包人提交的质量保证金保函应严格执行其示范文本，不得对示范文本中的实质性内容进行修改。</w:t>
      </w:r>
    </w:p>
    <w:p w14:paraId="24FE3FE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具体要求：质量保证金保函的开立人应当是具有相应资格的银行、保险机构、融资担保公司，其信用资质、履约能力、担保能力、赔付流程、安全保密等应符合工程保函业务条件。质量保证金保函应合法合规，符合招投标行政监督部门、行业主管部门和金融监管部门的相关规定，满足采购文件约定要求。承包人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承包人对所提交的质量保证金保函的真实性、合法性、有效性负责。</w:t>
      </w:r>
    </w:p>
    <w:p w14:paraId="7D0C88B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3）保函金额为：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265FBDC">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4）提交时间：</w:t>
      </w:r>
      <w:r>
        <w:rPr>
          <w:rFonts w:hint="eastAsia" w:ascii="宋体" w:hAnsi="宋体" w:cs="宋体"/>
          <w:sz w:val="24"/>
          <w:szCs w:val="24"/>
          <w:highlight w:val="none"/>
          <w:u w:val="single"/>
        </w:rPr>
        <w:t>工程竣工验收合格后14天内</w:t>
      </w:r>
      <w:r>
        <w:rPr>
          <w:rFonts w:hint="eastAsia" w:ascii="宋体" w:hAnsi="宋体" w:cs="宋体"/>
          <w:sz w:val="24"/>
          <w:szCs w:val="24"/>
          <w:highlight w:val="none"/>
        </w:rPr>
        <w:t>。</w:t>
      </w:r>
    </w:p>
    <w:p w14:paraId="714AC27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承包人提交质量保证金保函的，发包人应同时退还（若有）扣留的作为质量保证金的工程价款、履约担保；保函金额不得超过工程价款结算总额的3%</w:t>
      </w:r>
      <w:r>
        <w:rPr>
          <w:rFonts w:hint="eastAsia" w:ascii="宋体" w:hAnsi="宋体" w:cs="宋体"/>
          <w:sz w:val="24"/>
          <w:szCs w:val="24"/>
          <w:highlight w:val="none"/>
        </w:rPr>
        <w:t>。</w:t>
      </w:r>
    </w:p>
    <w:p w14:paraId="5336F9F3">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（2）竣工结算价的</w:t>
      </w:r>
      <w:r>
        <w:rPr>
          <w:rFonts w:hint="eastAsia" w:ascii="宋体" w:hAnsi="宋体" w:cs="宋体"/>
          <w:sz w:val="24"/>
          <w:szCs w:val="24"/>
          <w:highlight w:val="none"/>
          <w:u w:val="single"/>
        </w:rPr>
        <w:t xml:space="preserve"> 3% </w:t>
      </w:r>
      <w:r>
        <w:rPr>
          <w:rFonts w:hint="eastAsia" w:ascii="宋体" w:hAnsi="宋体" w:cs="宋体"/>
          <w:sz w:val="24"/>
          <w:szCs w:val="24"/>
          <w:highlight w:val="none"/>
        </w:rPr>
        <w:t>；</w:t>
      </w:r>
    </w:p>
    <w:p w14:paraId="23B3850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（3）其他方式：</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03B4DFEF">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15.3.2 质量保证金的扣留</w:t>
      </w:r>
    </w:p>
    <w:p w14:paraId="02D59EE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质量保证金的扣留采取以下第</w:t>
      </w:r>
      <w:r>
        <w:rPr>
          <w:rFonts w:hint="eastAsia" w:ascii="宋体" w:hAnsi="宋体" w:cs="宋体"/>
          <w:sz w:val="24"/>
          <w:szCs w:val="24"/>
          <w:highlight w:val="none"/>
          <w:u w:val="single"/>
        </w:rPr>
        <w:t>（2）</w:t>
      </w:r>
      <w:r>
        <w:rPr>
          <w:rFonts w:hint="eastAsia" w:ascii="宋体" w:hAnsi="宋体" w:cs="宋体"/>
          <w:sz w:val="24"/>
          <w:szCs w:val="24"/>
          <w:highlight w:val="none"/>
        </w:rPr>
        <w:t>种方式：</w:t>
      </w:r>
    </w:p>
    <w:p w14:paraId="751DA8B1">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（1）在支付工程进度款时逐次扣留，在此情形下，质量保证金的计算基数不包括预付款的支付、扣回以及价格调整的金额；</w:t>
      </w:r>
    </w:p>
    <w:p w14:paraId="1A34A38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（2）工程竣工结算时一次性扣留质量保证金；</w:t>
      </w:r>
    </w:p>
    <w:p w14:paraId="21B8A5EA">
      <w:pPr>
        <w:autoSpaceDE w:val="0"/>
        <w:autoSpaceDN w:val="0"/>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w:t>
      </w:r>
      <w:r>
        <w:rPr>
          <w:rFonts w:hint="eastAsia" w:ascii="宋体" w:hAnsi="宋体" w:cs="宋体"/>
          <w:sz w:val="24"/>
          <w:szCs w:val="24"/>
          <w:highlight w:val="none"/>
          <w:u w:val="single"/>
        </w:rPr>
        <w:t xml:space="preserve">其他扣留方式：  /     </w:t>
      </w:r>
      <w:r>
        <w:rPr>
          <w:rFonts w:hint="eastAsia" w:ascii="宋体" w:hAnsi="宋体" w:cs="宋体"/>
          <w:sz w:val="24"/>
          <w:szCs w:val="24"/>
          <w:highlight w:val="none"/>
        </w:rPr>
        <w:t>。</w:t>
      </w:r>
    </w:p>
    <w:p w14:paraId="5C9EEDB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15.3.3质量保证金的退还</w:t>
      </w:r>
    </w:p>
    <w:p w14:paraId="6CF51C0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u w:val="single"/>
        </w:rPr>
        <w:t>在发包人颁发缺陷责任期终止且无质量争议后 30 日内无息支付质量保证金的剩余部分工程保修期满后付至结算金额的100%(其中主体工程部分两年质保期届满后支付，防水工程部分五年质保期届满后支付。)。承包人不在约定期限内派人保修的，发包人可以委托他人修理，所产生的费用从质保金中扣除。若质保金不足以支付实际产生的维修费用，承包人应在收到发包人通知后三日内支付相应差额，并补缴质量保证金。缺陷责任期外的保修责任由承包人负责，如承包人未按要求维护和修缮，将被发包人纳入失信人名单</w:t>
      </w:r>
      <w:r>
        <w:rPr>
          <w:rFonts w:hint="eastAsia" w:ascii="宋体" w:hAnsi="宋体" w:cs="宋体"/>
          <w:sz w:val="24"/>
          <w:szCs w:val="24"/>
          <w:highlight w:val="none"/>
        </w:rPr>
        <w:t>。</w:t>
      </w:r>
    </w:p>
    <w:p w14:paraId="2EF3886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缺陷责任期内，承包人认真履行合同约定的责任，到期后，承包人可向发包人申请返还质量保证金</w:t>
      </w:r>
      <w:r>
        <w:rPr>
          <w:rFonts w:hint="eastAsia" w:ascii="宋体" w:hAnsi="宋体" w:cs="宋体"/>
          <w:sz w:val="24"/>
          <w:szCs w:val="24"/>
          <w:highlight w:val="none"/>
        </w:rPr>
        <w:t>。</w:t>
      </w:r>
    </w:p>
    <w:p w14:paraId="29DA282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（3）质量保证金是否支付利息采取以下</w:t>
      </w:r>
      <w:r>
        <w:rPr>
          <w:rFonts w:hint="eastAsia" w:ascii="宋体" w:hAnsi="宋体" w:cs="宋体"/>
          <w:sz w:val="24"/>
          <w:szCs w:val="24"/>
          <w:highlight w:val="none"/>
          <w:u w:val="single"/>
        </w:rPr>
        <w:t>第②种</w:t>
      </w:r>
      <w:r>
        <w:rPr>
          <w:rFonts w:hint="eastAsia" w:ascii="宋体" w:hAnsi="宋体" w:cs="宋体"/>
          <w:sz w:val="24"/>
          <w:szCs w:val="24"/>
          <w:highlight w:val="none"/>
        </w:rPr>
        <w:t>方式：</w:t>
      </w:r>
    </w:p>
    <w:p w14:paraId="0DAB68F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①按照中国人民银行  年  月公布的5年期贷款市场报价利率支付利息</w:t>
      </w:r>
      <w:r>
        <w:rPr>
          <w:rFonts w:hint="eastAsia" w:ascii="宋体" w:hAnsi="宋体" w:cs="宋体"/>
          <w:sz w:val="24"/>
          <w:szCs w:val="24"/>
          <w:highlight w:val="none"/>
        </w:rPr>
        <w:t>。</w:t>
      </w:r>
    </w:p>
    <w:p w14:paraId="49A0A61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u w:val="single"/>
        </w:rPr>
        <w:t>②不采用</w:t>
      </w:r>
      <w:r>
        <w:rPr>
          <w:rFonts w:hint="eastAsia" w:ascii="宋体" w:hAnsi="宋体" w:cs="宋体"/>
          <w:sz w:val="24"/>
          <w:szCs w:val="24"/>
          <w:highlight w:val="none"/>
        </w:rPr>
        <w:t>。</w:t>
      </w:r>
    </w:p>
    <w:p w14:paraId="3EE7978C">
      <w:pPr>
        <w:pStyle w:val="8"/>
        <w:spacing w:before="0" w:after="0" w:line="400" w:lineRule="exact"/>
        <w:ind w:left="848" w:hanging="848" w:hangingChars="352"/>
        <w:rPr>
          <w:rFonts w:ascii="宋体" w:hAnsi="宋体" w:cs="宋体"/>
          <w:sz w:val="24"/>
          <w:szCs w:val="24"/>
          <w:highlight w:val="none"/>
        </w:rPr>
      </w:pPr>
      <w:bookmarkStart w:id="919" w:name="_Toc532375663"/>
      <w:bookmarkStart w:id="920" w:name="_Toc532377400"/>
      <w:r>
        <w:rPr>
          <w:rFonts w:hint="eastAsia" w:ascii="宋体" w:hAnsi="宋体" w:cs="宋体"/>
          <w:sz w:val="24"/>
          <w:szCs w:val="24"/>
          <w:highlight w:val="none"/>
        </w:rPr>
        <w:t>15.4 保修</w:t>
      </w:r>
      <w:bookmarkEnd w:id="919"/>
      <w:bookmarkEnd w:id="920"/>
    </w:p>
    <w:p w14:paraId="186C4D0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15.4.1 保修责任</w:t>
      </w:r>
    </w:p>
    <w:p w14:paraId="5EBB8F7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工程保修期为：</w:t>
      </w:r>
      <w:bookmarkStart w:id="921" w:name="_Hlk524381274"/>
      <w:r>
        <w:rPr>
          <w:rFonts w:hint="eastAsia" w:ascii="宋体" w:hAnsi="宋体" w:cs="宋体"/>
          <w:sz w:val="24"/>
          <w:szCs w:val="24"/>
          <w:highlight w:val="none"/>
        </w:rPr>
        <w:t>按照附件1《工程质量保修书》的规定执行。</w:t>
      </w:r>
      <w:bookmarkEnd w:id="921"/>
    </w:p>
    <w:p w14:paraId="2779A4FF">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15.4.3 修复通知</w:t>
      </w:r>
    </w:p>
    <w:p w14:paraId="025531F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承包人收到保修通知并到达工程现场的合理时间：</w:t>
      </w:r>
      <w:r>
        <w:rPr>
          <w:rFonts w:hint="eastAsia" w:ascii="宋体" w:hAnsi="宋体" w:cs="宋体"/>
          <w:sz w:val="24"/>
          <w:szCs w:val="24"/>
          <w:highlight w:val="none"/>
          <w:u w:val="single"/>
        </w:rPr>
        <w:t>48小时内</w:t>
      </w:r>
      <w:r>
        <w:rPr>
          <w:rFonts w:hint="eastAsia" w:ascii="宋体" w:hAnsi="宋体" w:cs="宋体"/>
          <w:sz w:val="24"/>
          <w:szCs w:val="24"/>
          <w:highlight w:val="none"/>
        </w:rPr>
        <w:t>。</w:t>
      </w:r>
    </w:p>
    <w:p w14:paraId="7C83EA2D">
      <w:pPr>
        <w:pStyle w:val="7"/>
        <w:spacing w:before="0" w:after="0" w:line="400" w:lineRule="exact"/>
        <w:rPr>
          <w:rFonts w:ascii="宋体" w:hAnsi="宋体" w:eastAsia="宋体" w:cs="宋体"/>
          <w:bCs/>
          <w:sz w:val="24"/>
          <w:szCs w:val="24"/>
          <w:highlight w:val="none"/>
        </w:rPr>
      </w:pPr>
      <w:bookmarkStart w:id="922" w:name="_Toc351203648"/>
      <w:bookmarkStart w:id="923" w:name="_Toc532375664"/>
      <w:bookmarkStart w:id="924" w:name="_Toc532377401"/>
      <w:r>
        <w:rPr>
          <w:rFonts w:hint="eastAsia" w:ascii="宋体" w:hAnsi="宋体" w:eastAsia="宋体" w:cs="宋体"/>
          <w:sz w:val="24"/>
          <w:szCs w:val="24"/>
          <w:highlight w:val="none"/>
        </w:rPr>
        <w:t>16. 违约</w:t>
      </w:r>
      <w:bookmarkEnd w:id="922"/>
      <w:bookmarkEnd w:id="923"/>
      <w:bookmarkEnd w:id="924"/>
    </w:p>
    <w:p w14:paraId="4BD9831F">
      <w:pPr>
        <w:pStyle w:val="8"/>
        <w:spacing w:before="0" w:after="0" w:line="400" w:lineRule="exact"/>
        <w:ind w:left="848" w:hanging="848" w:hangingChars="352"/>
        <w:rPr>
          <w:rFonts w:ascii="宋体" w:hAnsi="宋体" w:cs="宋体"/>
          <w:sz w:val="24"/>
          <w:szCs w:val="24"/>
          <w:highlight w:val="none"/>
        </w:rPr>
      </w:pPr>
      <w:bookmarkStart w:id="925" w:name="_Toc532377402"/>
      <w:r>
        <w:rPr>
          <w:rFonts w:hint="eastAsia" w:ascii="宋体" w:hAnsi="宋体" w:cs="宋体"/>
          <w:sz w:val="24"/>
          <w:szCs w:val="24"/>
          <w:highlight w:val="none"/>
        </w:rPr>
        <w:t>16.1 发包人违约</w:t>
      </w:r>
      <w:bookmarkEnd w:id="925"/>
    </w:p>
    <w:p w14:paraId="6DBA800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16.1.1 发包人违约的情形</w:t>
      </w:r>
    </w:p>
    <w:p w14:paraId="5F50E93C">
      <w:pPr>
        <w:spacing w:line="400" w:lineRule="exact"/>
        <w:ind w:firstLine="480" w:firstLineChars="200"/>
        <w:rPr>
          <w:rFonts w:ascii="宋体" w:hAnsi="宋体" w:cs="宋体"/>
          <w:sz w:val="24"/>
          <w:szCs w:val="24"/>
          <w:highlight w:val="none"/>
        </w:rPr>
      </w:pPr>
      <w:r>
        <w:rPr>
          <w:rFonts w:hint="eastAsia" w:ascii="宋体" w:hAnsi="宋体" w:cs="宋体"/>
          <w:kern w:val="0"/>
          <w:sz w:val="24"/>
          <w:szCs w:val="24"/>
          <w:highlight w:val="none"/>
        </w:rPr>
        <w:t>除通用合同条款约定外，发包人违约的其他情形：</w:t>
      </w:r>
    </w:p>
    <w:p w14:paraId="53BC221D">
      <w:pPr>
        <w:spacing w:line="400" w:lineRule="exact"/>
        <w:ind w:firstLine="480" w:firstLineChars="200"/>
        <w:rPr>
          <w:rFonts w:ascii="宋体" w:hAnsi="宋体" w:cs="宋体"/>
          <w:sz w:val="24"/>
          <w:szCs w:val="24"/>
          <w:highlight w:val="none"/>
        </w:rPr>
      </w:pPr>
      <w:r>
        <w:rPr>
          <w:rFonts w:hint="eastAsia" w:ascii="宋体" w:hAnsi="宋体" w:cs="宋体"/>
          <w:kern w:val="0"/>
          <w:sz w:val="24"/>
          <w:szCs w:val="24"/>
          <w:highlight w:val="none"/>
        </w:rPr>
        <w:t>（1）根据专用合同条款7.5.1项因发包人原因导致工期延误的；</w:t>
      </w:r>
    </w:p>
    <w:p w14:paraId="21F21C5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（2）因发包人原因未能及时办理完毕合同约定的许可、批准或备案的；</w:t>
      </w:r>
    </w:p>
    <w:p w14:paraId="785FF3C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（3）因发包人未能按合同约定发出指示、指示延误或发出了错误指示而导致承包人费用增加和（或）工期延误的；</w:t>
      </w:r>
    </w:p>
    <w:p w14:paraId="1F22E347">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（4）根据5.3.3发包人要求重新检查的，经检查证明工程质量符合合同要求的，并由此产生增加的费用和（或）延误的工期的；</w:t>
      </w:r>
    </w:p>
    <w:p w14:paraId="29C53C45">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（5）因发包人原因造成工程质量未达到合同约定标准的；</w:t>
      </w:r>
    </w:p>
    <w:p w14:paraId="472EE70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（6）由于发包人原因对承包人造成的人员人身伤亡和财产损失的；</w:t>
      </w:r>
    </w:p>
    <w:p w14:paraId="4D15A9A8">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（7）因发包人原因导致工程无法按期办理竣工验收或竣工结算的；</w:t>
      </w:r>
    </w:p>
    <w:p w14:paraId="25FA37D6">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（8）发包人无正当理由未按约定退还履约担保或质量保证金的；</w:t>
      </w:r>
    </w:p>
    <w:p w14:paraId="41FD2176">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（9）发包人不当提取履约担保或质量保证金的；</w:t>
      </w:r>
    </w:p>
    <w:p w14:paraId="6B7FE888">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（10）发包人未按合同约定接收全部或部分工作的；</w:t>
      </w:r>
    </w:p>
    <w:p w14:paraId="0E7BEFA5">
      <w:pPr>
        <w:pStyle w:val="341"/>
        <w:spacing w:line="400" w:lineRule="exact"/>
        <w:ind w:firstLine="480"/>
        <w:jc w:val="left"/>
        <w:rPr>
          <w:rFonts w:ascii="宋体" w:hAnsi="宋体" w:cs="宋体"/>
          <w:kern w:val="0"/>
          <w:sz w:val="24"/>
          <w:szCs w:val="24"/>
          <w:highlight w:val="none"/>
          <w:u w:val="single"/>
        </w:rPr>
      </w:pPr>
      <w:r>
        <w:rPr>
          <w:rFonts w:hint="eastAsia" w:ascii="宋体" w:hAnsi="宋体" w:cs="宋体"/>
          <w:kern w:val="0"/>
          <w:sz w:val="24"/>
          <w:szCs w:val="24"/>
          <w:highlight w:val="none"/>
        </w:rPr>
        <w:t>（11）发包人未按合同约定办理保险的；</w:t>
      </w:r>
    </w:p>
    <w:p w14:paraId="277C0A9C">
      <w:pPr>
        <w:spacing w:line="400" w:lineRule="exact"/>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u w:val="single"/>
        </w:rPr>
        <w:t xml:space="preserve">（12）其他：  /  </w:t>
      </w:r>
      <w:r>
        <w:rPr>
          <w:rFonts w:hint="eastAsia" w:ascii="宋体" w:hAnsi="宋体" w:cs="宋体"/>
          <w:kern w:val="0"/>
          <w:sz w:val="24"/>
          <w:szCs w:val="24"/>
          <w:highlight w:val="none"/>
        </w:rPr>
        <w:t>。</w:t>
      </w:r>
    </w:p>
    <w:p w14:paraId="00E218FD">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16.1.2发包人违约的责任</w:t>
      </w:r>
    </w:p>
    <w:p w14:paraId="21CE49E2">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（1）因发包人原因未能及时办理完毕前述许可、批准或备案的违约责任：发包人不承担由此增加的费用。在满足发包人总工期的前提下，若工期影响超过 28 天按超过天数予以顺延工期。</w:t>
      </w:r>
    </w:p>
    <w:p w14:paraId="10CC25B1">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2）因发包人未能按合同约定发出指示、指示延误或发出了错误指示而导致承包人费用增加和（或）工期延误的，由发包人承担由此增加的费用和（或）顺延工期，并支付合理利润，具体索赔程序按照第19条〔索赔〕约定执行。</w:t>
      </w:r>
    </w:p>
    <w:p w14:paraId="2F5675C3">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（3）因发包人原因导致工期延误的违约责任：发包人不负责赔偿承包人工期延误的损失费用，在满足发包人总工期的前提下，计划工期可顺延。</w:t>
      </w:r>
    </w:p>
    <w:p w14:paraId="0CD4ED8B">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（4）因发包人原因未能在计划开工日期前 7 天内下达开工通知的违约责任：发包人不负责赔偿承包人工期延误的损失费用，在满足发包人总工期的前提下，计划工期可顺延。</w:t>
      </w:r>
    </w:p>
    <w:p w14:paraId="6CBD62C4">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（5）根据5.3.3项发包人要求重新检查的，经检查证明工程质量符合合同要求的，由发包人承担由此增加的费用和（或）顺延工期，并支付合理利润，具体索赔程序按照第19条〔索赔〕约定执行。</w:t>
      </w:r>
    </w:p>
    <w:p w14:paraId="5AFCE401">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31DD78E2">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（7）因发包人违反合同约定造成暂停施工的违约责任：</w:t>
      </w:r>
      <w:r>
        <w:rPr>
          <w:rFonts w:hint="eastAsia" w:ascii="宋体" w:hAnsi="宋体" w:cs="宋体"/>
          <w:sz w:val="24"/>
          <w:szCs w:val="24"/>
          <w:highlight w:val="none"/>
        </w:rPr>
        <w:t>导致承包人工期延误的，经发包人审批同意工期可相应顺延，现场留守人员及相关设备产生的费用经发包人审批后按实结算</w:t>
      </w:r>
      <w:r>
        <w:rPr>
          <w:rFonts w:hint="eastAsia" w:ascii="宋体" w:hAnsi="宋体" w:cs="宋体"/>
          <w:kern w:val="0"/>
          <w:sz w:val="24"/>
          <w:szCs w:val="24"/>
          <w:highlight w:val="none"/>
        </w:rPr>
        <w:t>，具体索赔程序按照第19条〔索赔〕约定执行。</w:t>
      </w:r>
    </w:p>
    <w:p w14:paraId="3396645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（8）因发包人原因导致工程无法按期办理竣工验收或竣工结算的违约责任：由发包人承担由此增加的费用和（或）顺延工期，具体索赔程序按照第19条〔索赔〕约定执行。</w:t>
      </w:r>
    </w:p>
    <w:p w14:paraId="63CD9513">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（9）发包人未按合同约定接收全部或部分工作的违约责任：由发包人承担自应当接收工程之日起的工程照管、成品保护、保管等与工程有关的各项费用。</w:t>
      </w:r>
    </w:p>
    <w:p w14:paraId="59C68CD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（10）其他：</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44868CA7">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发包人发生违约情况时，承包人应向发包人发出通知，要求发包人采取有效措施纠正违约行为。发包人收到承包人通知后的28天内仍不履行合同义务，承包人有权暂停施工。</w:t>
      </w:r>
    </w:p>
    <w:p w14:paraId="6ABE76D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16.1.3 因发包人违约解除合同</w:t>
      </w:r>
    </w:p>
    <w:p w14:paraId="591534B0">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因发包人违约并致使合同目的不能实现的，承包人有权解除合同：</w:t>
      </w:r>
    </w:p>
    <w:p w14:paraId="0F4350A5">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（1）因发包人原因延迟支付合同价款超过180天的；</w:t>
      </w:r>
    </w:p>
    <w:p w14:paraId="53B64EC4">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（2）因发包人原因导致工期延误超过90天的；</w:t>
      </w:r>
    </w:p>
    <w:p w14:paraId="578653E2">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（3）因发包人第16.1.2（5）违约情形导致暂停施工满56天，且发包人仍未纠正其违约行为的；</w:t>
      </w:r>
    </w:p>
    <w:p w14:paraId="126B1B00">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（4）其他未履行合同项下的义务构成对合同的实质性违约，并且在收到承包人要求说明其违约并予以补救的通知后56天内仍未补救该实质性违约的；</w:t>
      </w:r>
    </w:p>
    <w:p w14:paraId="0FEF1971">
      <w:pPr>
        <w:autoSpaceDE w:val="0"/>
        <w:autoSpaceDN w:val="0"/>
        <w:adjustRightInd w:val="0"/>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w:t>
      </w:r>
      <w:r>
        <w:rPr>
          <w:rFonts w:hint="eastAsia" w:ascii="宋体" w:hAnsi="宋体" w:cs="宋体"/>
          <w:kern w:val="0"/>
          <w:sz w:val="24"/>
          <w:szCs w:val="24"/>
          <w:highlight w:val="none"/>
          <w:u w:val="single"/>
        </w:rPr>
        <w:t>合同约定的承包人有权解除合同的其他情形</w:t>
      </w:r>
      <w:r>
        <w:rPr>
          <w:rFonts w:hint="eastAsia" w:ascii="宋体" w:hAnsi="宋体" w:cs="宋体"/>
          <w:kern w:val="0"/>
          <w:sz w:val="24"/>
          <w:szCs w:val="24"/>
          <w:highlight w:val="none"/>
        </w:rPr>
        <w:t>。</w:t>
      </w:r>
    </w:p>
    <w:p w14:paraId="593B6EE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16.1.4 因发包人违约解除合同后的付款</w:t>
      </w:r>
    </w:p>
    <w:p w14:paraId="2EDABDA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承包人按照本款约定解除合同的，发包人应在解除合同后28天内支付下列款项，并解除履约担保：</w:t>
      </w:r>
    </w:p>
    <w:p w14:paraId="1BC034C0">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（1）合同解除前所完成工作的价款；</w:t>
      </w:r>
    </w:p>
    <w:p w14:paraId="2D5B02D1">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（2）承包人为工程施工订购并已付款的材料、工程设备和其他物品的价款；</w:t>
      </w:r>
    </w:p>
    <w:p w14:paraId="79227106">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（3）承包人撤离施工现场以及遣散承包人人员的款项；</w:t>
      </w:r>
    </w:p>
    <w:p w14:paraId="5D606D05">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（4）按照合同约定在合同解除前应支付的违约金；</w:t>
      </w:r>
    </w:p>
    <w:p w14:paraId="5E65F12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（5）按照合同约定应当支付给承包人的其他款项；</w:t>
      </w:r>
    </w:p>
    <w:p w14:paraId="1F1D6F2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（6）按照合同约定应退还的质量保证金；</w:t>
      </w:r>
    </w:p>
    <w:p w14:paraId="76433591">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（7）因解除合同给承包人造成的损失；</w:t>
      </w:r>
    </w:p>
    <w:p w14:paraId="1414A907">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合同当事人未能就解除合同后的结清达成一致的，按照第20条〔争议解决〕的约定处理。</w:t>
      </w:r>
    </w:p>
    <w:p w14:paraId="52FEDD16">
      <w:pPr>
        <w:spacing w:line="400" w:lineRule="exact"/>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承包人应妥善做好已完工程和与工程有关的已购材料、工程设备的保护和移交工作，并将施工设备和人员撤出施工现场，发包人应为承包人撤出提供必要条件。</w:t>
      </w:r>
    </w:p>
    <w:p w14:paraId="67C0D1D3">
      <w:pPr>
        <w:pStyle w:val="8"/>
        <w:spacing w:before="0" w:after="0" w:line="400" w:lineRule="exact"/>
        <w:ind w:left="848" w:hanging="848" w:hangingChars="352"/>
        <w:rPr>
          <w:rFonts w:ascii="宋体" w:hAnsi="宋体" w:cs="宋体"/>
          <w:sz w:val="24"/>
          <w:szCs w:val="24"/>
          <w:highlight w:val="none"/>
        </w:rPr>
      </w:pPr>
      <w:bookmarkStart w:id="926" w:name="_Toc532377403"/>
      <w:r>
        <w:rPr>
          <w:rFonts w:hint="eastAsia" w:ascii="宋体" w:hAnsi="宋体" w:cs="宋体"/>
          <w:sz w:val="24"/>
          <w:szCs w:val="24"/>
          <w:highlight w:val="none"/>
        </w:rPr>
        <w:t>16.2 承包人违约</w:t>
      </w:r>
      <w:bookmarkEnd w:id="926"/>
    </w:p>
    <w:p w14:paraId="5ECC82AD">
      <w:pPr>
        <w:spacing w:line="400" w:lineRule="exact"/>
        <w:ind w:firstLine="480" w:firstLineChars="200"/>
        <w:jc w:val="left"/>
        <w:rPr>
          <w:rFonts w:ascii="宋体" w:hAnsi="宋体" w:cs="宋体"/>
          <w:kern w:val="0"/>
          <w:sz w:val="24"/>
          <w:szCs w:val="24"/>
          <w:highlight w:val="none"/>
        </w:rPr>
      </w:pPr>
      <w:bookmarkStart w:id="927" w:name="_Hlk524380579"/>
      <w:r>
        <w:rPr>
          <w:rFonts w:hint="eastAsia" w:ascii="宋体" w:hAnsi="宋体" w:cs="宋体"/>
          <w:kern w:val="0"/>
          <w:sz w:val="24"/>
          <w:szCs w:val="24"/>
          <w:highlight w:val="none"/>
        </w:rPr>
        <w:t>16.2.1 承包人违约的情形</w:t>
      </w:r>
    </w:p>
    <w:p w14:paraId="3285B124">
      <w:pPr>
        <w:spacing w:line="400" w:lineRule="exact"/>
        <w:ind w:firstLine="480" w:firstLineChars="200"/>
        <w:jc w:val="left"/>
        <w:rPr>
          <w:rFonts w:ascii="宋体" w:hAnsi="宋体" w:cs="宋体"/>
          <w:kern w:val="0"/>
          <w:sz w:val="24"/>
          <w:szCs w:val="24"/>
          <w:highlight w:val="none"/>
          <w:u w:val="single"/>
        </w:rPr>
      </w:pPr>
      <w:r>
        <w:rPr>
          <w:rFonts w:hint="eastAsia" w:ascii="宋体" w:hAnsi="宋体" w:cs="宋体"/>
          <w:kern w:val="0"/>
          <w:sz w:val="24"/>
          <w:szCs w:val="24"/>
          <w:highlight w:val="none"/>
        </w:rPr>
        <w:t>除通用合同条款约定外，承包人违约的其他情形：</w:t>
      </w:r>
    </w:p>
    <w:p w14:paraId="129A1CF2">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（1）承包人未按合同约定提交履约担保或质量保证金的；</w:t>
      </w:r>
    </w:p>
    <w:p w14:paraId="17D636D3">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（2）承包人未能按期开工的；</w:t>
      </w:r>
    </w:p>
    <w:p w14:paraId="28D66A9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（3）承包人未按投标文件的要求及时配备称职的主要管理人员，或承包人未按经审定的施工组织设计配备或更换关键施工设备的；</w:t>
      </w:r>
    </w:p>
    <w:p w14:paraId="5CE09086">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（4）承包人有安全问题或有违反安全管理规章制度情况的；</w:t>
      </w:r>
    </w:p>
    <w:p w14:paraId="4BBFF12F">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（5）承包人在缺陷责任期及保修期内，未能在合理期限对工程缺陷进行修复，或拒绝按发包人要求进行修复的；</w:t>
      </w:r>
    </w:p>
    <w:p w14:paraId="460E3AB5">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（6）承包人拖欠其工人或所雇人员工资或报酬，导致其工人或所雇人员向有关部门投诉、控告、检举或以聚集等方式讨要工资或报酬的；</w:t>
      </w:r>
    </w:p>
    <w:p w14:paraId="2A4B071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（7）承包人不配合发包人及发包人委托的工程造价咨询服务单位结算审核或承包人其他原因导致未按期完成工程竣工结算的；</w:t>
      </w:r>
    </w:p>
    <w:p w14:paraId="40B4F4C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（8）本工程禁止转包或分包，承包人进行转包或分包的均构成违约；</w:t>
      </w:r>
    </w:p>
    <w:p w14:paraId="57E68F89">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（9）承包人未按合同约定移交全部或部分工作的；</w:t>
      </w:r>
    </w:p>
    <w:p w14:paraId="29FBC875">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（10）承包人未按合同约定购买保险的；</w:t>
      </w:r>
    </w:p>
    <w:p w14:paraId="3DE04838">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（11）项目经理若有以下情形，属于承包人违约：</w:t>
      </w:r>
    </w:p>
    <w:p w14:paraId="4DA918E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1）项目经理不按承诺到岗的；</w:t>
      </w:r>
    </w:p>
    <w:p w14:paraId="31CBFE3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2）每月在施工现场的天数少于约定天数的；</w:t>
      </w:r>
    </w:p>
    <w:p w14:paraId="1515A5E3">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3）承包人未提交项目经理劳动合同和社会保险证明的；</w:t>
      </w:r>
    </w:p>
    <w:p w14:paraId="01FAB1F7">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4）未经批准，擅自离开施工现场（超过约定时间）的；</w:t>
      </w:r>
    </w:p>
    <w:p w14:paraId="563B818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5）未经批准，擅自变更项目经理的；</w:t>
      </w:r>
    </w:p>
    <w:p w14:paraId="0BCD6626">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6）按照渝建发〔2015〕35号文的要求，施工期间，项目经理因在一个记分周期内累计记分达到12分，被建设行政主管部门依法责令停止执业的；</w:t>
      </w:r>
    </w:p>
    <w:p w14:paraId="11EAA74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7）发包人有正当理由认为项目经理不称职/不履职，且承包人在约定时间内不予更换的；</w:t>
      </w:r>
    </w:p>
    <w:p w14:paraId="12F332C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8）其他双方约定的情形:</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22606D5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（12）技术负责人若有以下情形，属于承包人违约：</w:t>
      </w:r>
    </w:p>
    <w:p w14:paraId="248E2E5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1）每月在施工现场的天数少于约定天数的；</w:t>
      </w:r>
    </w:p>
    <w:p w14:paraId="248650C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2）承包人未提交技术负责人劳动合同和社会保险证明的；</w:t>
      </w:r>
    </w:p>
    <w:p w14:paraId="30B080F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3）未经批准，擅自离开施工现场（超过约定时间）的；</w:t>
      </w:r>
    </w:p>
    <w:p w14:paraId="061040B2">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4）未经批准，擅自变更技术负责人的；</w:t>
      </w:r>
    </w:p>
    <w:p w14:paraId="6D41EAD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5）发包人有正当理由认为技术负责人不称职/不履职，且承包人在约定时间内不予更换的；</w:t>
      </w:r>
    </w:p>
    <w:p w14:paraId="05A5126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6）其他双方约定的情形</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p w14:paraId="333D0533">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（13）主要施工管理人员若有以下情形，属于承包人违约：</w:t>
      </w:r>
    </w:p>
    <w:p w14:paraId="62165D4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1）承包人未提交主要管理人员劳动合同和社会保险证明的；</w:t>
      </w:r>
    </w:p>
    <w:p w14:paraId="3B46AC1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2）未经批准，擅自离开施工现场（超过约定时间）的；</w:t>
      </w:r>
    </w:p>
    <w:p w14:paraId="7FEDCAF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3）未经批准，擅自变更主要施工管理人员的；</w:t>
      </w:r>
    </w:p>
    <w:p w14:paraId="4BEEBC37">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4）发包人有正当理由认为主要施工管理人员不称职/不履职，且承包人在约定时间内不予更换的；</w:t>
      </w:r>
    </w:p>
    <w:p w14:paraId="2771A52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5）其他双方约定的情形</w:t>
      </w:r>
      <w:r>
        <w:rPr>
          <w:rFonts w:hint="eastAsia" w:ascii="宋体" w:hAnsi="宋体" w:cs="宋体"/>
          <w:kern w:val="0"/>
          <w:sz w:val="24"/>
          <w:szCs w:val="24"/>
          <w:highlight w:val="none"/>
          <w:u w:val="single"/>
        </w:rPr>
        <w:t xml:space="preserve">   /    </w:t>
      </w:r>
      <w:r>
        <w:rPr>
          <w:rFonts w:hint="eastAsia" w:ascii="宋体" w:hAnsi="宋体" w:cs="宋体"/>
          <w:kern w:val="0"/>
          <w:sz w:val="24"/>
          <w:szCs w:val="24"/>
          <w:highlight w:val="none"/>
        </w:rPr>
        <w:t>。</w:t>
      </w:r>
    </w:p>
    <w:bookmarkEnd w:id="927"/>
    <w:p w14:paraId="5D753DBD">
      <w:pPr>
        <w:adjustRightInd w:val="0"/>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16.2.2 承包人违约的责任</w:t>
      </w:r>
    </w:p>
    <w:p w14:paraId="448B7BD9">
      <w:pPr>
        <w:adjustRightInd w:val="0"/>
        <w:spacing w:line="4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承包人违约责任的承担方式和计算方法：</w:t>
      </w:r>
    </w:p>
    <w:p w14:paraId="60BFA1A1">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（1）承包人未按合同约定提交履约担保、质量保证金的违约责任：承包人应支付违约金，</w:t>
      </w:r>
      <w:r>
        <w:rPr>
          <w:rFonts w:hint="eastAsia" w:ascii="宋体" w:hAnsi="宋体" w:cs="宋体"/>
          <w:sz w:val="24"/>
          <w:szCs w:val="24"/>
          <w:highlight w:val="none"/>
        </w:rPr>
        <w:t>违约金的计算方法：</w:t>
      </w:r>
      <w:r>
        <w:rPr>
          <w:rFonts w:hint="eastAsia" w:ascii="宋体" w:hAnsi="宋体" w:cs="宋体"/>
          <w:kern w:val="0"/>
          <w:sz w:val="24"/>
          <w:szCs w:val="24"/>
          <w:highlight w:val="none"/>
        </w:rPr>
        <w:t>每延误1天，承包人按</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u w:val="single"/>
          <w:lang w:val="en-US" w:eastAsia="zh-CN"/>
        </w:rPr>
        <w:t>5</w:t>
      </w:r>
      <w:r>
        <w:rPr>
          <w:rFonts w:hint="eastAsia" w:ascii="宋体" w:hAnsi="宋体" w:cs="宋体"/>
          <w:kern w:val="0"/>
          <w:sz w:val="24"/>
          <w:szCs w:val="24"/>
          <w:highlight w:val="none"/>
          <w:u w:val="single"/>
        </w:rPr>
        <w:t>000元/天</w:t>
      </w:r>
      <w:r>
        <w:rPr>
          <w:rFonts w:hint="eastAsia" w:ascii="宋体" w:hAnsi="宋体" w:cs="宋体"/>
          <w:kern w:val="0"/>
          <w:sz w:val="24"/>
          <w:szCs w:val="24"/>
          <w:highlight w:val="none"/>
        </w:rPr>
        <w:t>支付违约金，累计违约金上限：</w:t>
      </w:r>
      <w:r>
        <w:rPr>
          <w:rFonts w:hint="eastAsia" w:ascii="宋体" w:hAnsi="宋体" w:cs="宋体"/>
          <w:kern w:val="0"/>
          <w:sz w:val="24"/>
          <w:szCs w:val="24"/>
          <w:highlight w:val="none"/>
          <w:u w:val="single"/>
          <w:lang w:val="en-US" w:eastAsia="zh-CN"/>
        </w:rPr>
        <w:t>1</w:t>
      </w:r>
      <w:r>
        <w:rPr>
          <w:rFonts w:hint="eastAsia" w:ascii="宋体" w:hAnsi="宋体" w:cs="宋体"/>
          <w:kern w:val="0"/>
          <w:sz w:val="24"/>
          <w:szCs w:val="24"/>
          <w:highlight w:val="none"/>
          <w:u w:val="single"/>
        </w:rPr>
        <w:t>0万元</w:t>
      </w:r>
      <w:r>
        <w:rPr>
          <w:rFonts w:hint="eastAsia" w:ascii="宋体" w:hAnsi="宋体" w:cs="宋体"/>
          <w:kern w:val="0"/>
          <w:sz w:val="24"/>
          <w:szCs w:val="24"/>
          <w:highlight w:val="none"/>
          <w:lang w:val="zh-CN"/>
        </w:rPr>
        <w:t>。</w:t>
      </w:r>
    </w:p>
    <w:p w14:paraId="452DC1B3">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（2）承包人转包或分包的违约责任：按照转包和（或）分包合同的合同金额的</w:t>
      </w:r>
      <w:r>
        <w:rPr>
          <w:rFonts w:hint="eastAsia" w:ascii="宋体" w:hAnsi="宋体" w:cs="宋体"/>
          <w:kern w:val="0"/>
          <w:sz w:val="24"/>
          <w:szCs w:val="24"/>
          <w:highlight w:val="none"/>
          <w:u w:val="single"/>
        </w:rPr>
        <w:t xml:space="preserve">  5 %</w:t>
      </w:r>
      <w:r>
        <w:rPr>
          <w:rFonts w:hint="eastAsia" w:ascii="宋体" w:hAnsi="宋体" w:cs="宋体"/>
          <w:kern w:val="0"/>
          <w:sz w:val="24"/>
          <w:szCs w:val="24"/>
          <w:highlight w:val="none"/>
        </w:rPr>
        <w:t>支付违约金，转包/分包商应在7天内撤离出场；同时，发包人有权解除本合同；因承包人转包或分包给发包人造成损害的，承包人还要承担损害赔偿责任。</w:t>
      </w:r>
    </w:p>
    <w:p w14:paraId="02F50EA2">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宋体"/>
          <w:kern w:val="0"/>
          <w:sz w:val="24"/>
          <w:szCs w:val="24"/>
          <w:highlight w:val="none"/>
          <w:u w:val="single"/>
        </w:rPr>
        <w:t xml:space="preserve">  5 %</w:t>
      </w:r>
      <w:r>
        <w:rPr>
          <w:rFonts w:hint="eastAsia" w:ascii="宋体" w:hAnsi="宋体" w:cs="宋体"/>
          <w:kern w:val="0"/>
          <w:sz w:val="24"/>
          <w:szCs w:val="24"/>
          <w:highlight w:val="none"/>
        </w:rPr>
        <w:t>支付违约金。</w:t>
      </w:r>
    </w:p>
    <w:p w14:paraId="709946F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宋体"/>
          <w:kern w:val="0"/>
          <w:sz w:val="24"/>
          <w:szCs w:val="24"/>
          <w:highlight w:val="none"/>
          <w:u w:val="single"/>
        </w:rPr>
        <w:t xml:space="preserve">  5 %</w:t>
      </w:r>
      <w:r>
        <w:rPr>
          <w:rFonts w:hint="eastAsia" w:ascii="宋体" w:hAnsi="宋体" w:cs="宋体"/>
          <w:kern w:val="0"/>
          <w:sz w:val="24"/>
          <w:szCs w:val="24"/>
          <w:highlight w:val="none"/>
        </w:rPr>
        <w:t>支付违约金。如不符合工程质量部分影响本工程其他部分正常使用的，承包人应当负责整改以消除这种影响。</w:t>
      </w:r>
    </w:p>
    <w:p w14:paraId="357182B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宋体"/>
          <w:kern w:val="0"/>
          <w:sz w:val="24"/>
          <w:szCs w:val="24"/>
          <w:highlight w:val="none"/>
          <w:u w:val="single"/>
        </w:rPr>
        <w:t xml:space="preserve">  1%</w:t>
      </w:r>
      <w:r>
        <w:rPr>
          <w:rFonts w:hint="eastAsia" w:ascii="宋体" w:hAnsi="宋体" w:cs="宋体"/>
          <w:kern w:val="0"/>
          <w:sz w:val="24"/>
          <w:szCs w:val="24"/>
          <w:highlight w:val="none"/>
        </w:rPr>
        <w:t>支付违约金。</w:t>
      </w:r>
    </w:p>
    <w:p w14:paraId="6C561E26">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（6）因承包人原因造成工期延误的违约承担方式和计算方法：由承包人承担由此增加的费用，</w:t>
      </w:r>
      <w:r>
        <w:rPr>
          <w:rFonts w:hint="eastAsia" w:ascii="宋体" w:hAnsi="宋体" w:cs="宋体"/>
          <w:sz w:val="24"/>
          <w:szCs w:val="24"/>
          <w:highlight w:val="none"/>
        </w:rPr>
        <w:t>由此导致工期延误的，工期不予顺延；逾期竣工违约金的计算方法：</w:t>
      </w:r>
      <w:r>
        <w:rPr>
          <w:rFonts w:hint="eastAsia" w:ascii="宋体" w:hAnsi="宋体" w:cs="宋体"/>
          <w:kern w:val="0"/>
          <w:sz w:val="24"/>
          <w:szCs w:val="24"/>
          <w:highlight w:val="none"/>
        </w:rPr>
        <w:t>每延误1天，承包人按</w:t>
      </w:r>
      <w:r>
        <w:rPr>
          <w:rFonts w:hint="eastAsia" w:ascii="宋体" w:hAnsi="宋体" w:cs="宋体"/>
          <w:kern w:val="0"/>
          <w:sz w:val="24"/>
          <w:szCs w:val="24"/>
          <w:highlight w:val="none"/>
          <w:u w:val="single"/>
        </w:rPr>
        <w:t xml:space="preserve"> 2000元/天</w:t>
      </w:r>
      <w:r>
        <w:rPr>
          <w:rFonts w:hint="eastAsia" w:ascii="宋体" w:hAnsi="宋体" w:cs="宋体"/>
          <w:kern w:val="0"/>
          <w:sz w:val="24"/>
          <w:szCs w:val="24"/>
          <w:highlight w:val="none"/>
        </w:rPr>
        <w:t>支付逾期竣工违约金，累计违约金上限：</w:t>
      </w:r>
      <w:r>
        <w:rPr>
          <w:rFonts w:hint="eastAsia" w:ascii="宋体" w:hAnsi="宋体" w:cs="宋体"/>
          <w:kern w:val="0"/>
          <w:sz w:val="24"/>
          <w:szCs w:val="24"/>
          <w:highlight w:val="none"/>
          <w:u w:val="single"/>
        </w:rPr>
        <w:t>无</w:t>
      </w:r>
      <w:r>
        <w:rPr>
          <w:rFonts w:hint="eastAsia" w:ascii="宋体" w:hAnsi="宋体" w:cs="宋体"/>
          <w:kern w:val="0"/>
          <w:sz w:val="24"/>
          <w:szCs w:val="24"/>
          <w:highlight w:val="none"/>
          <w:lang w:val="zh-CN"/>
        </w:rPr>
        <w:t>；</w:t>
      </w:r>
      <w:r>
        <w:rPr>
          <w:rFonts w:hint="eastAsia" w:ascii="宋体" w:hAnsi="宋体" w:cs="宋体"/>
          <w:kern w:val="0"/>
          <w:sz w:val="24"/>
          <w:szCs w:val="24"/>
          <w:highlight w:val="none"/>
        </w:rPr>
        <w:t>承包人支付逾期竣工违约金后，不免除承包人继续完成工程及修补缺陷的义务。</w:t>
      </w:r>
    </w:p>
    <w:p w14:paraId="0F2F9B0B">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（7）承包人在缺陷责任期及保修期内，未能在合理期限对工程缺陷进行修复，或拒绝按发包人要求进行修复的违约责任：按照发包人修复缺陷费用的</w:t>
      </w:r>
      <w:r>
        <w:rPr>
          <w:rFonts w:hint="eastAsia" w:ascii="宋体" w:hAnsi="宋体" w:cs="宋体"/>
          <w:kern w:val="0"/>
          <w:sz w:val="24"/>
          <w:szCs w:val="24"/>
          <w:highlight w:val="none"/>
          <w:u w:val="single"/>
        </w:rPr>
        <w:t xml:space="preserve"> 0.5%</w:t>
      </w:r>
      <w:r>
        <w:rPr>
          <w:rFonts w:hint="eastAsia" w:ascii="宋体" w:hAnsi="宋体" w:cs="宋体"/>
          <w:kern w:val="0"/>
          <w:sz w:val="24"/>
          <w:szCs w:val="24"/>
          <w:highlight w:val="none"/>
        </w:rPr>
        <w:t>支付违约金。</w:t>
      </w:r>
    </w:p>
    <w:p w14:paraId="2DE524B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（8）承包人明确表示或者以其行为表明不履行合同主要义务的违约责任：按签约合同价的</w:t>
      </w:r>
      <w:r>
        <w:rPr>
          <w:rFonts w:hint="eastAsia" w:ascii="宋体" w:hAnsi="宋体" w:cs="宋体"/>
          <w:kern w:val="0"/>
          <w:sz w:val="24"/>
          <w:szCs w:val="24"/>
          <w:highlight w:val="none"/>
          <w:u w:val="single"/>
        </w:rPr>
        <w:t xml:space="preserve"> 5%</w:t>
      </w:r>
      <w:r>
        <w:rPr>
          <w:rFonts w:hint="eastAsia" w:ascii="宋体" w:hAnsi="宋体" w:cs="宋体"/>
          <w:kern w:val="0"/>
          <w:sz w:val="24"/>
          <w:szCs w:val="24"/>
          <w:highlight w:val="none"/>
        </w:rPr>
        <w:t>支付违约金。同时，发包人有权解除合同，承包人应当在接到发包人的解除通知后7日内撤场完毕。</w:t>
      </w:r>
    </w:p>
    <w:p w14:paraId="4ECAC48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（9）承包人未能按照合同约定履行其他义务的违约责任：按</w:t>
      </w:r>
      <w:r>
        <w:rPr>
          <w:rFonts w:hint="eastAsia" w:ascii="宋体" w:hAnsi="宋体" w:cs="宋体"/>
          <w:kern w:val="0"/>
          <w:sz w:val="24"/>
          <w:szCs w:val="24"/>
          <w:highlight w:val="none"/>
          <w:u w:val="single"/>
        </w:rPr>
        <w:t>500元/次</w:t>
      </w:r>
      <w:r>
        <w:rPr>
          <w:rFonts w:hint="eastAsia" w:ascii="宋体" w:hAnsi="宋体" w:cs="宋体"/>
          <w:kern w:val="0"/>
          <w:sz w:val="24"/>
          <w:szCs w:val="24"/>
          <w:highlight w:val="none"/>
        </w:rPr>
        <w:t>支付违约金。</w:t>
      </w:r>
    </w:p>
    <w:p w14:paraId="135A377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（10）承包人未能按期开工的违约责任：按合同价</w:t>
      </w:r>
      <w:r>
        <w:rPr>
          <w:rFonts w:hint="eastAsia" w:ascii="宋体" w:hAnsi="宋体" w:cs="宋体"/>
          <w:kern w:val="0"/>
          <w:sz w:val="24"/>
          <w:szCs w:val="24"/>
          <w:highlight w:val="none"/>
          <w:u w:val="single"/>
        </w:rPr>
        <w:t>0.2‰/天</w:t>
      </w:r>
      <w:r>
        <w:rPr>
          <w:rFonts w:hint="eastAsia" w:ascii="宋体" w:hAnsi="宋体" w:cs="宋体"/>
          <w:kern w:val="0"/>
          <w:sz w:val="24"/>
          <w:szCs w:val="24"/>
          <w:highlight w:val="none"/>
        </w:rPr>
        <w:t>支付违约金，本项违约金累计限额为签约合同价的</w:t>
      </w:r>
      <w:r>
        <w:rPr>
          <w:rFonts w:hint="eastAsia" w:ascii="宋体" w:hAnsi="宋体" w:cs="宋体"/>
          <w:kern w:val="0"/>
          <w:sz w:val="24"/>
          <w:szCs w:val="24"/>
          <w:highlight w:val="none"/>
          <w:u w:val="single"/>
        </w:rPr>
        <w:t xml:space="preserve"> 1 %</w:t>
      </w:r>
      <w:r>
        <w:rPr>
          <w:rFonts w:hint="eastAsia" w:ascii="宋体" w:hAnsi="宋体" w:cs="宋体"/>
          <w:kern w:val="0"/>
          <w:sz w:val="24"/>
          <w:szCs w:val="24"/>
          <w:highlight w:val="none"/>
        </w:rPr>
        <w:t>。</w:t>
      </w:r>
    </w:p>
    <w:p w14:paraId="30FB8AEF">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（11）承包人未按经审定的施工组织设计配备或更换关键施工设备的违约责任：按</w:t>
      </w:r>
      <w:r>
        <w:rPr>
          <w:rFonts w:hint="eastAsia" w:ascii="宋体" w:hAnsi="宋体" w:cs="宋体"/>
          <w:kern w:val="0"/>
          <w:sz w:val="24"/>
          <w:szCs w:val="24"/>
          <w:highlight w:val="none"/>
          <w:u w:val="single"/>
        </w:rPr>
        <w:t>5000元/台·次</w:t>
      </w:r>
      <w:r>
        <w:rPr>
          <w:rFonts w:hint="eastAsia" w:ascii="宋体" w:hAnsi="宋体" w:cs="宋体"/>
          <w:kern w:val="0"/>
          <w:sz w:val="24"/>
          <w:szCs w:val="24"/>
          <w:highlight w:val="none"/>
        </w:rPr>
        <w:t>支付违约金。</w:t>
      </w:r>
    </w:p>
    <w:p w14:paraId="579A0BC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（12）承包人有安全问题或有违反安全管理规章制度情况的违约责任：根据具体情节，按签约合同价的</w:t>
      </w:r>
      <w:r>
        <w:rPr>
          <w:rFonts w:hint="eastAsia" w:ascii="宋体" w:hAnsi="宋体" w:cs="宋体"/>
          <w:kern w:val="0"/>
          <w:sz w:val="24"/>
          <w:szCs w:val="24"/>
          <w:highlight w:val="none"/>
          <w:u w:val="single"/>
        </w:rPr>
        <w:t>0.5‰/次</w:t>
      </w:r>
      <w:r>
        <w:rPr>
          <w:rFonts w:hint="eastAsia" w:ascii="宋体" w:hAnsi="宋体" w:cs="宋体"/>
          <w:kern w:val="0"/>
          <w:sz w:val="24"/>
          <w:szCs w:val="24"/>
          <w:highlight w:val="none"/>
        </w:rPr>
        <w:t>支付违约金（累计不超过签约合同价的1%，详见附件6安全管理协议）。</w:t>
      </w:r>
    </w:p>
    <w:p w14:paraId="6EBAC507">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宋体"/>
          <w:kern w:val="0"/>
          <w:sz w:val="24"/>
          <w:szCs w:val="24"/>
          <w:highlight w:val="none"/>
          <w:u w:val="single"/>
        </w:rPr>
        <w:t xml:space="preserve">  50000元/次</w:t>
      </w:r>
      <w:r>
        <w:rPr>
          <w:rFonts w:hint="eastAsia" w:ascii="宋体" w:hAnsi="宋体" w:cs="宋体"/>
          <w:kern w:val="0"/>
          <w:sz w:val="24"/>
          <w:szCs w:val="24"/>
          <w:highlight w:val="none"/>
        </w:rPr>
        <w:t>支付违约金。</w:t>
      </w:r>
    </w:p>
    <w:p w14:paraId="67BEFB17">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（14）承包人不配合发包人及发包人委托的工程造价咨询服务单位结算审核的违约责任：根据具体情节，按</w:t>
      </w:r>
      <w:r>
        <w:rPr>
          <w:rFonts w:hint="eastAsia" w:ascii="宋体" w:hAnsi="宋体" w:cs="宋体"/>
          <w:kern w:val="0"/>
          <w:sz w:val="24"/>
          <w:szCs w:val="24"/>
          <w:highlight w:val="none"/>
          <w:u w:val="single"/>
        </w:rPr>
        <w:t xml:space="preserve"> 10000元/次</w:t>
      </w:r>
      <w:r>
        <w:rPr>
          <w:rFonts w:hint="eastAsia" w:ascii="宋体" w:hAnsi="宋体" w:cs="宋体"/>
          <w:kern w:val="0"/>
          <w:sz w:val="24"/>
          <w:szCs w:val="24"/>
          <w:highlight w:val="none"/>
        </w:rPr>
        <w:t>支付违约金。</w:t>
      </w:r>
    </w:p>
    <w:p w14:paraId="7D1496E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宋体"/>
          <w:kern w:val="0"/>
          <w:sz w:val="24"/>
          <w:szCs w:val="24"/>
          <w:highlight w:val="none"/>
          <w:u w:val="single"/>
        </w:rPr>
        <w:t>1‰</w:t>
      </w:r>
      <w:r>
        <w:rPr>
          <w:rFonts w:hint="eastAsia" w:ascii="宋体" w:hAnsi="宋体" w:cs="宋体"/>
          <w:kern w:val="0"/>
          <w:sz w:val="24"/>
          <w:szCs w:val="24"/>
          <w:highlight w:val="none"/>
        </w:rPr>
        <w:t>支付违约金。</w:t>
      </w:r>
    </w:p>
    <w:p w14:paraId="5DCB64BC">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（16）承包人未按合同约定购买保险的违约责任：除按18.6.2项约定执行外，每延迟1天，按</w:t>
      </w:r>
      <w:r>
        <w:rPr>
          <w:rFonts w:hint="eastAsia" w:ascii="宋体" w:hAnsi="宋体" w:cs="宋体"/>
          <w:sz w:val="24"/>
          <w:szCs w:val="24"/>
          <w:highlight w:val="none"/>
          <w:u w:val="single"/>
        </w:rPr>
        <w:t>500元/天</w:t>
      </w:r>
      <w:r>
        <w:rPr>
          <w:rFonts w:hint="eastAsia" w:ascii="宋体" w:hAnsi="宋体" w:cs="宋体"/>
          <w:sz w:val="24"/>
          <w:szCs w:val="24"/>
          <w:highlight w:val="none"/>
        </w:rPr>
        <w:t>支付违约金。</w:t>
      </w:r>
    </w:p>
    <w:p w14:paraId="2312EF9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（17）发生第16.2.1项（11）目、16.2.1项（12）目、16.2.1项（13）目违约情形的违约责任：除承担由此增加的费用和工期延误的责任，承包人应向发包人支付违约金：</w:t>
      </w:r>
    </w:p>
    <w:p w14:paraId="3CFB2EB1">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1）项目经理违约承担方式和计算方法：对于第16.2.1项（11）目的情形，每发现一次，根据具体情节，按</w:t>
      </w:r>
      <w:r>
        <w:rPr>
          <w:rFonts w:hint="eastAsia" w:ascii="宋体" w:hAnsi="宋体" w:cs="宋体"/>
          <w:kern w:val="0"/>
          <w:sz w:val="24"/>
          <w:szCs w:val="24"/>
          <w:highlight w:val="none"/>
          <w:u w:val="single"/>
        </w:rPr>
        <w:t>5000元/天·次</w:t>
      </w:r>
      <w:r>
        <w:rPr>
          <w:rFonts w:hint="eastAsia" w:ascii="宋体" w:hAnsi="宋体" w:cs="宋体"/>
          <w:kern w:val="0"/>
          <w:sz w:val="24"/>
          <w:szCs w:val="24"/>
          <w:highlight w:val="none"/>
        </w:rPr>
        <w:t>支付违约金；项目经理不按承诺到岗的（3.2.3项约定的情形除外），按履约保证金的</w:t>
      </w:r>
      <w:r>
        <w:rPr>
          <w:rFonts w:hint="eastAsia" w:ascii="宋体" w:hAnsi="宋体" w:cs="宋体"/>
          <w:kern w:val="0"/>
          <w:sz w:val="24"/>
          <w:szCs w:val="24"/>
          <w:highlight w:val="none"/>
          <w:u w:val="single"/>
        </w:rPr>
        <w:t>50%</w:t>
      </w:r>
      <w:r>
        <w:rPr>
          <w:rFonts w:hint="eastAsia" w:ascii="宋体" w:hAnsi="宋体" w:cs="宋体"/>
          <w:kern w:val="0"/>
          <w:sz w:val="24"/>
          <w:szCs w:val="24"/>
          <w:highlight w:val="none"/>
        </w:rPr>
        <w:t>支付违约金，并解除合同；擅自更换项目经理的，按签约合同价的</w:t>
      </w:r>
      <w:r>
        <w:rPr>
          <w:rFonts w:hint="eastAsia" w:ascii="宋体" w:hAnsi="宋体" w:cs="宋体"/>
          <w:kern w:val="0"/>
          <w:sz w:val="24"/>
          <w:szCs w:val="24"/>
          <w:highlight w:val="none"/>
          <w:u w:val="single"/>
        </w:rPr>
        <w:t>1%/人·次</w:t>
      </w:r>
      <w:r>
        <w:rPr>
          <w:rFonts w:hint="eastAsia" w:ascii="宋体" w:hAnsi="宋体" w:cs="宋体"/>
          <w:kern w:val="0"/>
          <w:sz w:val="24"/>
          <w:szCs w:val="24"/>
          <w:highlight w:val="none"/>
        </w:rPr>
        <w:t>支付违约金，每次不低于</w:t>
      </w:r>
      <w:r>
        <w:rPr>
          <w:rFonts w:hint="eastAsia" w:ascii="宋体" w:hAnsi="宋体" w:cs="宋体"/>
          <w:kern w:val="0"/>
          <w:sz w:val="24"/>
          <w:szCs w:val="24"/>
          <w:highlight w:val="none"/>
          <w:u w:val="single"/>
        </w:rPr>
        <w:t>1.5万</w:t>
      </w:r>
      <w:r>
        <w:rPr>
          <w:rFonts w:hint="eastAsia" w:ascii="宋体" w:hAnsi="宋体" w:cs="宋体"/>
          <w:kern w:val="0"/>
          <w:sz w:val="24"/>
          <w:szCs w:val="24"/>
          <w:highlight w:val="none"/>
        </w:rPr>
        <w:t>，累计不超过</w:t>
      </w:r>
      <w:r>
        <w:rPr>
          <w:rFonts w:hint="eastAsia" w:ascii="宋体" w:hAnsi="宋体" w:cs="宋体"/>
          <w:kern w:val="0"/>
          <w:sz w:val="24"/>
          <w:szCs w:val="24"/>
          <w:highlight w:val="none"/>
          <w:u w:val="single"/>
        </w:rPr>
        <w:t>15万</w:t>
      </w:r>
      <w:r>
        <w:rPr>
          <w:rFonts w:hint="eastAsia" w:ascii="宋体" w:hAnsi="宋体" w:cs="宋体"/>
          <w:kern w:val="0"/>
          <w:sz w:val="24"/>
          <w:szCs w:val="24"/>
          <w:highlight w:val="none"/>
        </w:rPr>
        <w:t>；项目经理被责令停止执业的，按签约合同价的</w:t>
      </w:r>
      <w:r>
        <w:rPr>
          <w:rFonts w:hint="eastAsia" w:ascii="宋体" w:hAnsi="宋体" w:cs="宋体"/>
          <w:kern w:val="0"/>
          <w:sz w:val="24"/>
          <w:szCs w:val="24"/>
          <w:highlight w:val="none"/>
          <w:u w:val="single"/>
        </w:rPr>
        <w:t>1%/人·次</w:t>
      </w:r>
      <w:r>
        <w:rPr>
          <w:rFonts w:hint="eastAsia" w:ascii="宋体" w:hAnsi="宋体" w:cs="宋体"/>
          <w:kern w:val="0"/>
          <w:sz w:val="24"/>
          <w:szCs w:val="24"/>
          <w:highlight w:val="none"/>
        </w:rPr>
        <w:t>支付违约金，每次不低于</w:t>
      </w:r>
      <w:r>
        <w:rPr>
          <w:rFonts w:hint="eastAsia" w:ascii="宋体" w:hAnsi="宋体" w:cs="宋体"/>
          <w:kern w:val="0"/>
          <w:sz w:val="24"/>
          <w:szCs w:val="24"/>
          <w:highlight w:val="none"/>
          <w:u w:val="single"/>
        </w:rPr>
        <w:t>1.5万</w:t>
      </w:r>
      <w:r>
        <w:rPr>
          <w:rFonts w:hint="eastAsia" w:ascii="宋体" w:hAnsi="宋体" w:cs="宋体"/>
          <w:kern w:val="0"/>
          <w:sz w:val="24"/>
          <w:szCs w:val="24"/>
          <w:highlight w:val="none"/>
        </w:rPr>
        <w:t>，累计不超过</w:t>
      </w:r>
      <w:r>
        <w:rPr>
          <w:rFonts w:hint="eastAsia" w:ascii="宋体" w:hAnsi="宋体" w:cs="宋体"/>
          <w:kern w:val="0"/>
          <w:sz w:val="24"/>
          <w:szCs w:val="24"/>
          <w:highlight w:val="none"/>
          <w:u w:val="single"/>
        </w:rPr>
        <w:t>15万</w:t>
      </w:r>
      <w:r>
        <w:rPr>
          <w:rFonts w:hint="eastAsia" w:ascii="宋体" w:hAnsi="宋体" w:cs="宋体"/>
          <w:kern w:val="0"/>
          <w:sz w:val="24"/>
          <w:szCs w:val="24"/>
          <w:highlight w:val="none"/>
        </w:rPr>
        <w:t>。</w:t>
      </w:r>
    </w:p>
    <w:p w14:paraId="0997C1AC">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2）主要技术负责人违约承担方式和计算方法：对于第16.2.1项（12）目的六种情形，每发现一次，根据具体情节，按</w:t>
      </w:r>
      <w:r>
        <w:rPr>
          <w:rFonts w:hint="eastAsia" w:ascii="宋体" w:hAnsi="宋体" w:cs="宋体"/>
          <w:kern w:val="0"/>
          <w:sz w:val="24"/>
          <w:szCs w:val="24"/>
          <w:highlight w:val="none"/>
          <w:u w:val="single"/>
        </w:rPr>
        <w:t>3000元/天·次</w:t>
      </w:r>
      <w:r>
        <w:rPr>
          <w:rFonts w:hint="eastAsia" w:ascii="宋体" w:hAnsi="宋体" w:cs="宋体"/>
          <w:kern w:val="0"/>
          <w:sz w:val="24"/>
          <w:szCs w:val="24"/>
          <w:highlight w:val="none"/>
        </w:rPr>
        <w:t>支付违约金；擅自更换主要技术负责人的，按签约合同价的</w:t>
      </w:r>
      <w:r>
        <w:rPr>
          <w:rFonts w:hint="eastAsia" w:ascii="宋体" w:hAnsi="宋体" w:cs="宋体"/>
          <w:kern w:val="0"/>
          <w:sz w:val="24"/>
          <w:szCs w:val="24"/>
          <w:highlight w:val="none"/>
          <w:u w:val="single"/>
        </w:rPr>
        <w:t>0.5%/人·次</w:t>
      </w:r>
      <w:r>
        <w:rPr>
          <w:rFonts w:hint="eastAsia" w:ascii="宋体" w:hAnsi="宋体" w:cs="宋体"/>
          <w:kern w:val="0"/>
          <w:sz w:val="24"/>
          <w:szCs w:val="24"/>
          <w:highlight w:val="none"/>
        </w:rPr>
        <w:t>支付违约金，每次不低于</w:t>
      </w:r>
      <w:r>
        <w:rPr>
          <w:rFonts w:hint="eastAsia" w:ascii="宋体" w:hAnsi="宋体" w:cs="宋体"/>
          <w:kern w:val="0"/>
          <w:sz w:val="24"/>
          <w:szCs w:val="24"/>
          <w:highlight w:val="none"/>
          <w:u w:val="single"/>
        </w:rPr>
        <w:t>1万</w:t>
      </w:r>
      <w:r>
        <w:rPr>
          <w:rFonts w:hint="eastAsia" w:ascii="宋体" w:hAnsi="宋体" w:cs="宋体"/>
          <w:kern w:val="0"/>
          <w:sz w:val="24"/>
          <w:szCs w:val="24"/>
          <w:highlight w:val="none"/>
        </w:rPr>
        <w:t>，累计不超过</w:t>
      </w:r>
      <w:r>
        <w:rPr>
          <w:rFonts w:hint="eastAsia" w:ascii="宋体" w:hAnsi="宋体" w:cs="宋体"/>
          <w:kern w:val="0"/>
          <w:sz w:val="24"/>
          <w:szCs w:val="24"/>
          <w:highlight w:val="none"/>
          <w:u w:val="single"/>
        </w:rPr>
        <w:t>10万</w:t>
      </w:r>
      <w:r>
        <w:rPr>
          <w:rFonts w:hint="eastAsia" w:ascii="宋体" w:hAnsi="宋体" w:cs="宋体"/>
          <w:kern w:val="0"/>
          <w:sz w:val="24"/>
          <w:szCs w:val="24"/>
          <w:highlight w:val="none"/>
        </w:rPr>
        <w:t>。</w:t>
      </w:r>
    </w:p>
    <w:p w14:paraId="03E3E72B">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3）主要施工管理人员违约承担方式和计算方法：对于第16.2.1项（13）目的五种情形，每发现一次，根据具体情节，按</w:t>
      </w:r>
      <w:r>
        <w:rPr>
          <w:rFonts w:hint="eastAsia" w:ascii="宋体" w:hAnsi="宋体" w:cs="宋体"/>
          <w:kern w:val="0"/>
          <w:sz w:val="24"/>
          <w:szCs w:val="24"/>
          <w:highlight w:val="none"/>
          <w:u w:val="single"/>
        </w:rPr>
        <w:t>2000元/天·次</w:t>
      </w:r>
      <w:r>
        <w:rPr>
          <w:rFonts w:hint="eastAsia" w:ascii="宋体" w:hAnsi="宋体" w:cs="宋体"/>
          <w:kern w:val="0"/>
          <w:sz w:val="24"/>
          <w:szCs w:val="24"/>
          <w:highlight w:val="none"/>
        </w:rPr>
        <w:t>支付违约金。</w:t>
      </w:r>
    </w:p>
    <w:p w14:paraId="38B9893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（18）</w:t>
      </w:r>
      <w:r>
        <w:rPr>
          <w:rFonts w:hint="eastAsia" w:ascii="宋体" w:hAnsi="宋体" w:cs="宋体"/>
          <w:kern w:val="0"/>
          <w:sz w:val="24"/>
          <w:szCs w:val="24"/>
          <w:highlight w:val="none"/>
          <w:u w:val="single"/>
        </w:rPr>
        <w:t>合同另有约定的，按照其约定</w:t>
      </w:r>
      <w:r>
        <w:rPr>
          <w:rFonts w:hint="eastAsia" w:ascii="宋体" w:hAnsi="宋体" w:cs="宋体"/>
          <w:kern w:val="0"/>
          <w:sz w:val="24"/>
          <w:szCs w:val="24"/>
          <w:highlight w:val="none"/>
        </w:rPr>
        <w:t>。</w:t>
      </w:r>
      <w:bookmarkStart w:id="928" w:name="_Hlk524380347"/>
    </w:p>
    <w:p w14:paraId="7937B490">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应当由承包人向发包人支付的违约金，发包人可直接从届时有效的履约担保金中提取相应金额，不足部分由承包人支付；若发包人提取履约担保相应金额，则承包人应在提取后7日内补足或提交合同约定的履约担保的金额，否则按专用合同第</w:t>
      </w:r>
      <w:r>
        <w:rPr>
          <w:rFonts w:hint="eastAsia" w:ascii="宋体" w:hAnsi="宋体" w:cs="宋体"/>
          <w:kern w:val="0"/>
          <w:sz w:val="24"/>
          <w:szCs w:val="24"/>
          <w:highlight w:val="none"/>
        </w:rPr>
        <w:t>16.2.2项第（1）目承担违约责任</w:t>
      </w:r>
      <w:r>
        <w:rPr>
          <w:rFonts w:hint="eastAsia" w:ascii="宋体" w:hAnsi="宋体" w:cs="宋体"/>
          <w:sz w:val="24"/>
          <w:szCs w:val="24"/>
          <w:highlight w:val="none"/>
        </w:rPr>
        <w:t>，并从应付或到期应付给承包人的任何款项中或采用其他方法，扣除该违约金。</w:t>
      </w:r>
    </w:p>
    <w:p w14:paraId="1D08BE92">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宋体"/>
          <w:kern w:val="0"/>
          <w:sz w:val="24"/>
          <w:szCs w:val="24"/>
          <w:highlight w:val="none"/>
        </w:rPr>
        <w:t>，承担由此给</w:t>
      </w:r>
      <w:r>
        <w:rPr>
          <w:rFonts w:hint="eastAsia" w:ascii="宋体" w:hAnsi="宋体" w:cs="宋体"/>
          <w:sz w:val="24"/>
          <w:szCs w:val="24"/>
          <w:highlight w:val="none"/>
        </w:rPr>
        <w:t>发包人造成的经济损失。</w:t>
      </w:r>
    </w:p>
    <w:p w14:paraId="07964937">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承包人承担承包范围的工程质量、安全、环保责任，因承包人原因引起的质量、安全、环保等事故由承包人承担相应的法律后果。</w:t>
      </w:r>
    </w:p>
    <w:bookmarkEnd w:id="928"/>
    <w:p w14:paraId="75AF0FED">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16.2.3 因承包人违约解除合同</w:t>
      </w:r>
    </w:p>
    <w:p w14:paraId="2645940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因承包人违约并致使合同目的不能实现的，发包人有权解除合同：</w:t>
      </w:r>
    </w:p>
    <w:p w14:paraId="7155A2D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（1）未按合同约定在期限内购买保险的；</w:t>
      </w:r>
    </w:p>
    <w:p w14:paraId="22DCD68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（2）因承包人原因导致未按时开工的；</w:t>
      </w:r>
    </w:p>
    <w:p w14:paraId="4A8464C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（3）因承包人原因导致施工节点进度延误超过30天的；</w:t>
      </w:r>
    </w:p>
    <w:p w14:paraId="522AF6E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（4）发生第21.1款〔退出机制〕约定的情形的；</w:t>
      </w:r>
    </w:p>
    <w:p w14:paraId="7D774F4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（5）发包人发出整改通知后，承包人在发包人限定的期限内仍不纠正违约行为的；</w:t>
      </w:r>
    </w:p>
    <w:p w14:paraId="2E79057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（6）承包人进入清算或者严重资不抵债且无法履行合同的；</w:t>
      </w:r>
    </w:p>
    <w:p w14:paraId="6A37AF5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（7）违反相关法律而被相关政府部门依法吊销营业执照、责令停业、清算或宣布破产、责令关闭的；</w:t>
      </w:r>
    </w:p>
    <w:p w14:paraId="002BC39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（8）承包人未履行合同项下的义务构成对合同的实质性违约，并且在收到发包人要求说明其违约并予以补救的通知后56 天内仍未能补救该实质性违约的；</w:t>
      </w:r>
    </w:p>
    <w:p w14:paraId="34312543">
      <w:pPr>
        <w:pStyle w:val="341"/>
        <w:spacing w:line="40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（9）</w:t>
      </w:r>
      <w:r>
        <w:rPr>
          <w:rFonts w:hint="eastAsia" w:ascii="宋体" w:hAnsi="宋体" w:cs="宋体"/>
          <w:kern w:val="0"/>
          <w:sz w:val="24"/>
          <w:szCs w:val="24"/>
          <w:highlight w:val="none"/>
          <w:u w:val="single"/>
        </w:rPr>
        <w:t>合同约定的发包人有权解除合同的其他情形</w:t>
      </w:r>
      <w:r>
        <w:rPr>
          <w:rFonts w:hint="eastAsia" w:ascii="宋体" w:hAnsi="宋体" w:cs="宋体"/>
          <w:kern w:val="0"/>
          <w:sz w:val="24"/>
          <w:szCs w:val="24"/>
          <w:highlight w:val="none"/>
        </w:rPr>
        <w:t>。</w:t>
      </w:r>
    </w:p>
    <w:p w14:paraId="03DE67D4">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16.2.4因承包人违约解除合同后的处理</w:t>
      </w:r>
    </w:p>
    <w:p w14:paraId="68FD98B8">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因承包人违约导致合同解除的，合同当事人应在合同解除后56天内完成估价、付款和清算，并按以下约定执行：</w:t>
      </w:r>
    </w:p>
    <w:p w14:paraId="3216E6C5">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（1）合同解除后，按第14.2款结算审定方式确定承包人实际完成工作对应的合同价款，以及承包人已提供的材料、工程设备、施工设备和临时工程等的价值；</w:t>
      </w:r>
    </w:p>
    <w:p w14:paraId="46F7B05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（2）合同解除后，承包人应支付违约金；</w:t>
      </w:r>
    </w:p>
    <w:p w14:paraId="6F06880A">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（3）合同解除后，赔偿因解除合同给发包人造成的损失；</w:t>
      </w:r>
    </w:p>
    <w:p w14:paraId="6669479E">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（4）合同解除后，承包人应按照发包人要求和指示完成现场的清理和撤离。</w:t>
      </w:r>
    </w:p>
    <w:p w14:paraId="3B366D40">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2FBD8FD2">
      <w:pPr>
        <w:spacing w:line="40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915"/>
    <w:bookmarkEnd w:id="916"/>
    <w:p w14:paraId="348ED921">
      <w:pPr>
        <w:pStyle w:val="7"/>
        <w:spacing w:before="0" w:after="0" w:line="400" w:lineRule="exact"/>
        <w:rPr>
          <w:rFonts w:ascii="宋体" w:hAnsi="宋体" w:eastAsia="宋体" w:cs="宋体"/>
          <w:bCs/>
          <w:sz w:val="24"/>
          <w:szCs w:val="24"/>
          <w:highlight w:val="none"/>
        </w:rPr>
      </w:pPr>
      <w:bookmarkStart w:id="929" w:name="_Toc532375665"/>
      <w:bookmarkStart w:id="930" w:name="_Toc351203649"/>
      <w:bookmarkStart w:id="931" w:name="_Toc532377404"/>
      <w:bookmarkStart w:id="932" w:name="_Hlk528928440"/>
      <w:r>
        <w:rPr>
          <w:rFonts w:hint="eastAsia" w:ascii="宋体" w:hAnsi="宋体" w:eastAsia="宋体" w:cs="宋体"/>
          <w:sz w:val="24"/>
          <w:szCs w:val="24"/>
          <w:highlight w:val="none"/>
        </w:rPr>
        <w:t>17. 不可抗力</w:t>
      </w:r>
      <w:bookmarkEnd w:id="929"/>
      <w:bookmarkEnd w:id="930"/>
      <w:bookmarkEnd w:id="931"/>
    </w:p>
    <w:p w14:paraId="17CCA8F3">
      <w:pPr>
        <w:pStyle w:val="8"/>
        <w:spacing w:before="0" w:after="0" w:line="400" w:lineRule="exact"/>
        <w:ind w:left="848" w:hanging="848" w:hangingChars="352"/>
        <w:rPr>
          <w:rFonts w:ascii="宋体" w:hAnsi="宋体" w:cs="宋体"/>
          <w:sz w:val="24"/>
          <w:szCs w:val="24"/>
          <w:highlight w:val="none"/>
        </w:rPr>
      </w:pPr>
      <w:bookmarkStart w:id="933" w:name="_Toc532375666"/>
      <w:bookmarkStart w:id="934" w:name="_Toc532377405"/>
      <w:r>
        <w:rPr>
          <w:rFonts w:hint="eastAsia" w:ascii="宋体" w:hAnsi="宋体" w:cs="宋体"/>
          <w:sz w:val="24"/>
          <w:szCs w:val="24"/>
          <w:highlight w:val="none"/>
        </w:rPr>
        <w:t>17.1 不可抗力的确认</w:t>
      </w:r>
      <w:bookmarkEnd w:id="933"/>
      <w:bookmarkEnd w:id="934"/>
    </w:p>
    <w:p w14:paraId="28D8E89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除通用合同条款约定的不可抗力事件之外，视为不可抗力的其他情形：</w:t>
      </w:r>
      <w:bookmarkStart w:id="935" w:name="_Hlk524379638"/>
    </w:p>
    <w:p w14:paraId="6AB52D7F">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（1）洪水、火山爆发、山崩、山体滑坡、泥石流、龙卷风、隧道内不可预测的突发性地质灾害等自然灾害；</w:t>
      </w:r>
    </w:p>
    <w:p w14:paraId="5175FDA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（2）骚乱、戒严、封锁、禁运、恐怖行为、等社会行为，但承包人或其分包人派遣与雇佣的人员由于合同工程施工原因引起的除外；</w:t>
      </w:r>
    </w:p>
    <w:p w14:paraId="52EF710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（3）不能合理预见的重大交通阻滞、停运、交通事故，非双方责任引起的火灾、爆炸、船舶撞击等情形；</w:t>
      </w:r>
    </w:p>
    <w:p w14:paraId="660A8A3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（4）化学或放射性污染或核辐射；</w:t>
      </w:r>
    </w:p>
    <w:p w14:paraId="2CE82CA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（5）环保治理等政府行为导致项目停工的。</w:t>
      </w:r>
      <w:bookmarkEnd w:id="935"/>
    </w:p>
    <w:p w14:paraId="437A8CBA">
      <w:pPr>
        <w:pStyle w:val="8"/>
        <w:spacing w:before="0" w:after="0" w:line="400" w:lineRule="exact"/>
        <w:ind w:left="848" w:hanging="848" w:hangingChars="352"/>
        <w:rPr>
          <w:rFonts w:ascii="宋体" w:hAnsi="宋体" w:cs="宋体"/>
          <w:sz w:val="24"/>
          <w:szCs w:val="24"/>
          <w:highlight w:val="none"/>
        </w:rPr>
      </w:pPr>
      <w:bookmarkStart w:id="936" w:name="_Toc532375667"/>
      <w:bookmarkStart w:id="937" w:name="_Toc351203610"/>
      <w:bookmarkStart w:id="938" w:name="_Toc532377406"/>
      <w:bookmarkStart w:id="939" w:name="_Toc337558826"/>
      <w:bookmarkStart w:id="940" w:name="_Toc296346620"/>
      <w:bookmarkStart w:id="941" w:name="_Toc296503119"/>
      <w:r>
        <w:rPr>
          <w:rFonts w:hint="eastAsia" w:ascii="宋体" w:hAnsi="宋体" w:cs="宋体"/>
          <w:sz w:val="24"/>
          <w:szCs w:val="24"/>
          <w:highlight w:val="none"/>
        </w:rPr>
        <w:t>17.3 不可抗力后果的承担</w:t>
      </w:r>
      <w:bookmarkEnd w:id="936"/>
      <w:bookmarkEnd w:id="937"/>
      <w:bookmarkEnd w:id="938"/>
    </w:p>
    <w:bookmarkEnd w:id="939"/>
    <w:bookmarkEnd w:id="940"/>
    <w:bookmarkEnd w:id="941"/>
    <w:p w14:paraId="7220EE9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17.3.1 不可抗力引起的后果及造成的损失由合同当事人按照法律规定及合同约定各自承担。不可抗力发生前已完成的工程应当按照合同约定进行计量支付。</w:t>
      </w:r>
    </w:p>
    <w:p w14:paraId="554494D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17.3.2 不可抗力导致的人员伤亡、财产损失、费用增加和（或）工期延误等后果，由合同当事人按以下原则承担：</w:t>
      </w:r>
    </w:p>
    <w:p w14:paraId="2E2D102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（1）永久工程、已运至施工现场的施工材料和工程设备的损坏，以及因工程损坏造成的第三方人员伤亡和财产损失由发包人承担；</w:t>
      </w:r>
    </w:p>
    <w:p w14:paraId="27EC600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（2）承包人施工设备的损坏由承包人承担；</w:t>
      </w:r>
    </w:p>
    <w:p w14:paraId="271CF1B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（3）发包人和承包人承担各自人员伤亡和财产的损失；</w:t>
      </w:r>
    </w:p>
    <w:p w14:paraId="065CEE9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（4）因不可抗力影响承包人履行合同约定的义务，已经引起或将引起工期延误的，应当顺延工期，由此导致承包人停工的费用损失由发包人和承包人合理共担；</w:t>
      </w:r>
    </w:p>
    <w:p w14:paraId="3AF8CA6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（5）因不可抗力引起或将引起工期延误，发包人要求赶工的，由此增加的赶工费用由发包人承担；</w:t>
      </w:r>
    </w:p>
    <w:p w14:paraId="31A08462">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（6）承包人在停工期间按照发包人要求照管、清理和修复工程的费用由发包人承担；</w:t>
      </w:r>
    </w:p>
    <w:p w14:paraId="25102500">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（7）不可抗力事件发生后，合同当事人均应采取措施尽量避免和减少损失的扩大，任何一方当事人没有采取有效措施导致损失扩大的，应对扩大的损失承担责任。</w:t>
      </w:r>
    </w:p>
    <w:p w14:paraId="3AA3A2E1">
      <w:pPr>
        <w:pStyle w:val="8"/>
        <w:spacing w:before="0" w:after="0" w:line="400" w:lineRule="exact"/>
        <w:ind w:left="848" w:hanging="848" w:hangingChars="352"/>
        <w:rPr>
          <w:rFonts w:ascii="宋体" w:hAnsi="宋体" w:cs="宋体"/>
          <w:sz w:val="24"/>
          <w:szCs w:val="24"/>
          <w:highlight w:val="none"/>
        </w:rPr>
      </w:pPr>
      <w:bookmarkStart w:id="942" w:name="_Toc532377407"/>
      <w:bookmarkStart w:id="943" w:name="_Toc532375668"/>
      <w:r>
        <w:rPr>
          <w:rFonts w:hint="eastAsia" w:ascii="宋体" w:hAnsi="宋体" w:cs="宋体"/>
          <w:sz w:val="24"/>
          <w:szCs w:val="24"/>
          <w:highlight w:val="none"/>
        </w:rPr>
        <w:t>17.4 因不可抗力解除合同</w:t>
      </w:r>
      <w:bookmarkEnd w:id="942"/>
      <w:bookmarkEnd w:id="943"/>
    </w:p>
    <w:p w14:paraId="52FAA46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如果不可抗力事件的影响持续超过 120 日，合同任何一方均有权以书面通知终止合同。</w:t>
      </w:r>
    </w:p>
    <w:p w14:paraId="30BA6FEE">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合同解除后，发包人应在商定或确定发包人应支付款项后</w:t>
      </w:r>
      <w:r>
        <w:rPr>
          <w:rFonts w:hint="eastAsia" w:ascii="宋体" w:hAnsi="宋体" w:cs="宋体"/>
          <w:sz w:val="24"/>
          <w:szCs w:val="24"/>
          <w:highlight w:val="none"/>
          <w:u w:val="single"/>
        </w:rPr>
        <w:t>28</w:t>
      </w:r>
      <w:r>
        <w:rPr>
          <w:rFonts w:hint="eastAsia" w:ascii="宋体" w:hAnsi="宋体" w:cs="宋体"/>
          <w:sz w:val="24"/>
          <w:szCs w:val="24"/>
          <w:highlight w:val="none"/>
        </w:rPr>
        <w:t>天内完成款项的支付。</w:t>
      </w:r>
    </w:p>
    <w:p w14:paraId="43D84055">
      <w:pPr>
        <w:pStyle w:val="7"/>
        <w:spacing w:before="0" w:after="0" w:line="400" w:lineRule="exact"/>
        <w:rPr>
          <w:rFonts w:ascii="宋体" w:hAnsi="宋体" w:eastAsia="宋体" w:cs="宋体"/>
          <w:bCs/>
          <w:sz w:val="24"/>
          <w:szCs w:val="24"/>
          <w:highlight w:val="none"/>
        </w:rPr>
      </w:pPr>
      <w:bookmarkStart w:id="944" w:name="_Toc351203650"/>
      <w:bookmarkStart w:id="945" w:name="_Toc532377408"/>
      <w:bookmarkStart w:id="946" w:name="_Toc532375669"/>
      <w:r>
        <w:rPr>
          <w:rFonts w:hint="eastAsia" w:ascii="宋体" w:hAnsi="宋体" w:eastAsia="宋体" w:cs="宋体"/>
          <w:sz w:val="24"/>
          <w:szCs w:val="24"/>
          <w:highlight w:val="none"/>
        </w:rPr>
        <w:t>18. 保险</w:t>
      </w:r>
      <w:bookmarkEnd w:id="944"/>
      <w:bookmarkEnd w:id="945"/>
      <w:bookmarkEnd w:id="946"/>
    </w:p>
    <w:p w14:paraId="27D2078E">
      <w:pPr>
        <w:pStyle w:val="8"/>
        <w:spacing w:before="0" w:after="0" w:line="400" w:lineRule="exact"/>
        <w:ind w:left="848" w:hanging="848" w:hangingChars="352"/>
        <w:rPr>
          <w:rFonts w:ascii="宋体" w:hAnsi="宋体" w:cs="宋体"/>
          <w:sz w:val="24"/>
          <w:szCs w:val="24"/>
          <w:highlight w:val="none"/>
        </w:rPr>
      </w:pPr>
      <w:bookmarkStart w:id="947" w:name="_Toc532377409"/>
      <w:bookmarkStart w:id="948" w:name="_Toc532375670"/>
      <w:r>
        <w:rPr>
          <w:rFonts w:hint="eastAsia" w:ascii="宋体" w:hAnsi="宋体" w:cs="宋体"/>
          <w:sz w:val="24"/>
          <w:szCs w:val="24"/>
          <w:highlight w:val="none"/>
        </w:rPr>
        <w:t>18.1 工程保险</w:t>
      </w:r>
      <w:bookmarkEnd w:id="947"/>
      <w:bookmarkEnd w:id="948"/>
    </w:p>
    <w:p w14:paraId="6111094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承包人装备险、职工的（人身）事故险由承包人自行投保，保险费由承包人支付，并包含在合同签约价中。</w:t>
      </w:r>
    </w:p>
    <w:p w14:paraId="0F6F4ADD">
      <w:pPr>
        <w:pStyle w:val="8"/>
        <w:spacing w:before="0" w:after="0" w:line="400" w:lineRule="exact"/>
        <w:ind w:left="848" w:hanging="848" w:hangingChars="352"/>
        <w:rPr>
          <w:rFonts w:ascii="宋体" w:hAnsi="宋体" w:cs="宋体"/>
          <w:sz w:val="24"/>
          <w:szCs w:val="24"/>
          <w:highlight w:val="none"/>
        </w:rPr>
      </w:pPr>
      <w:bookmarkStart w:id="949" w:name="_Toc532375671"/>
      <w:bookmarkStart w:id="950" w:name="_Toc532377410"/>
      <w:r>
        <w:rPr>
          <w:rFonts w:hint="eastAsia" w:ascii="宋体" w:hAnsi="宋体" w:cs="宋体"/>
          <w:sz w:val="24"/>
          <w:szCs w:val="24"/>
          <w:highlight w:val="none"/>
        </w:rPr>
        <w:t>18.3 其他保险</w:t>
      </w:r>
      <w:bookmarkEnd w:id="949"/>
      <w:bookmarkEnd w:id="950"/>
    </w:p>
    <w:p w14:paraId="4DED3F1F">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关于其他保险的约定：</w:t>
      </w:r>
      <w:r>
        <w:rPr>
          <w:rFonts w:hint="eastAsia" w:ascii="宋体" w:hAnsi="宋体" w:cs="宋体"/>
          <w:sz w:val="24"/>
          <w:szCs w:val="24"/>
          <w:highlight w:val="none"/>
          <w:u w:val="single"/>
        </w:rPr>
        <w:t>合同当事人按重庆市地方及发包人有关规定执行</w:t>
      </w:r>
      <w:r>
        <w:rPr>
          <w:rFonts w:hint="eastAsia" w:ascii="宋体" w:hAnsi="宋体" w:cs="宋体"/>
          <w:sz w:val="24"/>
          <w:szCs w:val="24"/>
          <w:highlight w:val="none"/>
        </w:rPr>
        <w:t>。</w:t>
      </w:r>
    </w:p>
    <w:p w14:paraId="5E84C88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承包人是否应为其施工设备等办理财产保险：</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6AD7F3E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安全生产责任险：</w:t>
      </w:r>
      <w:r>
        <w:rPr>
          <w:rFonts w:hint="eastAsia" w:ascii="宋体" w:hAnsi="宋体" w:cs="宋体"/>
          <w:sz w:val="24"/>
          <w:szCs w:val="24"/>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cs="宋体"/>
          <w:sz w:val="24"/>
          <w:szCs w:val="24"/>
          <w:highlight w:val="none"/>
        </w:rPr>
        <w:t>。</w:t>
      </w:r>
    </w:p>
    <w:p w14:paraId="7F5CD0EE">
      <w:pPr>
        <w:pStyle w:val="8"/>
        <w:spacing w:before="0" w:after="0" w:line="400" w:lineRule="exact"/>
        <w:ind w:left="848" w:hanging="848" w:hangingChars="352"/>
        <w:rPr>
          <w:rFonts w:ascii="宋体" w:hAnsi="宋体" w:cs="宋体"/>
          <w:sz w:val="24"/>
          <w:szCs w:val="24"/>
          <w:highlight w:val="none"/>
        </w:rPr>
      </w:pPr>
      <w:bookmarkStart w:id="951" w:name="_Toc532375672"/>
      <w:bookmarkStart w:id="952" w:name="_Toc532377411"/>
      <w:r>
        <w:rPr>
          <w:rFonts w:hint="eastAsia" w:ascii="宋体" w:hAnsi="宋体" w:cs="宋体"/>
          <w:sz w:val="24"/>
          <w:szCs w:val="24"/>
          <w:highlight w:val="none"/>
        </w:rPr>
        <w:t>18.7 通知义务</w:t>
      </w:r>
      <w:bookmarkEnd w:id="951"/>
      <w:bookmarkEnd w:id="952"/>
    </w:p>
    <w:p w14:paraId="20ABFBD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关于变更保险合同时的通知义务的约定：</w:t>
      </w:r>
      <w:r>
        <w:rPr>
          <w:rFonts w:hint="eastAsia" w:ascii="宋体" w:hAnsi="宋体" w:cs="宋体"/>
          <w:sz w:val="24"/>
          <w:szCs w:val="24"/>
          <w:highlight w:val="none"/>
          <w:u w:val="single"/>
        </w:rPr>
        <w:t>按通用合同条款执行</w:t>
      </w:r>
      <w:r>
        <w:rPr>
          <w:rFonts w:hint="eastAsia" w:ascii="宋体" w:hAnsi="宋体" w:cs="宋体"/>
          <w:sz w:val="24"/>
          <w:szCs w:val="24"/>
          <w:highlight w:val="none"/>
        </w:rPr>
        <w:t>。</w:t>
      </w:r>
    </w:p>
    <w:p w14:paraId="21E8B03F">
      <w:pPr>
        <w:pStyle w:val="8"/>
        <w:spacing w:before="0" w:after="0" w:line="400" w:lineRule="exact"/>
        <w:ind w:left="848" w:hanging="848" w:hangingChars="352"/>
        <w:rPr>
          <w:rFonts w:ascii="宋体" w:hAnsi="宋体" w:cs="宋体"/>
          <w:sz w:val="24"/>
          <w:szCs w:val="24"/>
          <w:highlight w:val="none"/>
        </w:rPr>
      </w:pPr>
      <w:bookmarkStart w:id="953" w:name="_Toc532375673"/>
      <w:bookmarkStart w:id="954" w:name="_Toc532377412"/>
      <w:r>
        <w:rPr>
          <w:rFonts w:hint="eastAsia" w:ascii="宋体" w:hAnsi="宋体" w:cs="宋体"/>
          <w:sz w:val="24"/>
          <w:szCs w:val="24"/>
          <w:highlight w:val="none"/>
        </w:rPr>
        <w:t>18.8 其他</w:t>
      </w:r>
      <w:bookmarkEnd w:id="953"/>
      <w:bookmarkEnd w:id="954"/>
    </w:p>
    <w:p w14:paraId="4314A41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18.8.1 工程开工日前，承包人向发包人提交各项生效的保险证据和保险单副本。未按本项约定提交的，每延后1天，承包人按500元/天支付违约金。</w:t>
      </w:r>
    </w:p>
    <w:p w14:paraId="79D91933">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18.8.2 承包人保险赔偿金不足以补偿发包人损失时，</w:t>
      </w:r>
      <w:bookmarkStart w:id="955" w:name="_Hlk524378346"/>
      <w:r>
        <w:rPr>
          <w:rFonts w:hint="eastAsia" w:ascii="宋体" w:hAnsi="宋体" w:cs="宋体"/>
          <w:sz w:val="24"/>
          <w:szCs w:val="24"/>
          <w:highlight w:val="none"/>
        </w:rPr>
        <w:t>差额由承包人负责补足</w:t>
      </w:r>
      <w:bookmarkEnd w:id="955"/>
      <w:r>
        <w:rPr>
          <w:rFonts w:hint="eastAsia" w:ascii="宋体" w:hAnsi="宋体" w:cs="宋体"/>
          <w:sz w:val="24"/>
          <w:szCs w:val="24"/>
          <w:highlight w:val="none"/>
        </w:rPr>
        <w:t>。</w:t>
      </w:r>
    </w:p>
    <w:p w14:paraId="0DCE14F6">
      <w:pPr>
        <w:pStyle w:val="7"/>
        <w:spacing w:before="0" w:after="0" w:line="400" w:lineRule="exact"/>
        <w:rPr>
          <w:rFonts w:ascii="宋体" w:hAnsi="宋体" w:eastAsia="宋体" w:cs="宋体"/>
          <w:bCs/>
          <w:sz w:val="24"/>
          <w:szCs w:val="24"/>
          <w:highlight w:val="none"/>
        </w:rPr>
      </w:pPr>
      <w:bookmarkStart w:id="956" w:name="_Toc351203620"/>
      <w:bookmarkStart w:id="957" w:name="_Toc532377413"/>
      <w:bookmarkStart w:id="958" w:name="_Toc532375674"/>
      <w:bookmarkStart w:id="959" w:name="_Toc296503140"/>
      <w:bookmarkStart w:id="960" w:name="_Toc296346641"/>
      <w:bookmarkStart w:id="961" w:name="_Toc337558835"/>
      <w:r>
        <w:rPr>
          <w:rFonts w:hint="eastAsia" w:ascii="宋体" w:hAnsi="宋体" w:eastAsia="宋体" w:cs="宋体"/>
          <w:sz w:val="24"/>
          <w:szCs w:val="24"/>
          <w:highlight w:val="none"/>
        </w:rPr>
        <w:t>19. 索赔</w:t>
      </w:r>
      <w:bookmarkEnd w:id="956"/>
      <w:bookmarkEnd w:id="957"/>
      <w:bookmarkEnd w:id="958"/>
    </w:p>
    <w:bookmarkEnd w:id="959"/>
    <w:bookmarkEnd w:id="960"/>
    <w:bookmarkEnd w:id="961"/>
    <w:p w14:paraId="0B8AF392">
      <w:pPr>
        <w:pStyle w:val="8"/>
        <w:spacing w:before="0" w:after="0" w:line="400" w:lineRule="exact"/>
        <w:ind w:left="848" w:hanging="848" w:hangingChars="352"/>
        <w:rPr>
          <w:rFonts w:ascii="宋体" w:hAnsi="宋体" w:cs="宋体"/>
          <w:sz w:val="24"/>
          <w:szCs w:val="24"/>
          <w:highlight w:val="none"/>
        </w:rPr>
      </w:pPr>
      <w:bookmarkStart w:id="962" w:name="_Toc532377414"/>
      <w:bookmarkStart w:id="963" w:name="_Toc532375675"/>
      <w:bookmarkStart w:id="964" w:name="_Toc351203621"/>
      <w:bookmarkStart w:id="965" w:name="_Toc296503141"/>
      <w:bookmarkStart w:id="966" w:name="_Toc296346642"/>
      <w:bookmarkStart w:id="967" w:name="_Toc337558836"/>
      <w:r>
        <w:rPr>
          <w:rFonts w:hint="eastAsia" w:ascii="宋体" w:hAnsi="宋体" w:cs="宋体"/>
          <w:sz w:val="24"/>
          <w:szCs w:val="24"/>
          <w:highlight w:val="none"/>
        </w:rPr>
        <w:t>19.1 承包人的索赔</w:t>
      </w:r>
      <w:bookmarkEnd w:id="962"/>
      <w:bookmarkEnd w:id="963"/>
    </w:p>
    <w:p w14:paraId="156A2563">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根据合同约定，承包人认为有权得到追加付款和（或）延长工期的，应按以下程序向发包人提出索赔：</w:t>
      </w:r>
    </w:p>
    <w:p w14:paraId="45ACC017">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（1）承包人应在索赔事件发生后28天内，向发包人递交索赔意向通知书，并说明发生索赔事件的事由；承包人未在前述28天内发出索赔意向通知书的，丧失要求追加付款和（或）延长工期的权利；</w:t>
      </w:r>
    </w:p>
    <w:p w14:paraId="501B9C99">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（2）承包人应在发出索赔意向通知书后28天内，向发包人正式递交索赔报告；索赔报告应详细说明索赔理由以及要求追加的付款金额和（或）延长的工期，并附必要的记录和证明材料；</w:t>
      </w:r>
    </w:p>
    <w:p w14:paraId="1DE92C40">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（3）索赔事件具有持续影响的，承包人应按发包人要求的合理时间间隔继续递交延续索赔通知，说明持续影响的实际情况和记录，列出累计的追加付款金额和（或）工期延长天数；</w:t>
      </w:r>
    </w:p>
    <w:p w14:paraId="01AE7D29">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（4）在索赔事件影响结束后28天内，承包人应向发包人递交最终索赔报告，说明最终要求索赔的追加付款金额和（或）延长的工期，并附必要的记录和证明材料。</w:t>
      </w:r>
    </w:p>
    <w:p w14:paraId="014449D6">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sz w:val="24"/>
          <w:szCs w:val="24"/>
          <w:highlight w:val="none"/>
          <w:u w:val="single"/>
        </w:rPr>
        <w:t xml:space="preserve">   /  </w:t>
      </w:r>
      <w:r>
        <w:rPr>
          <w:rFonts w:hint="eastAsia" w:ascii="宋体" w:hAnsi="宋体" w:cs="宋体"/>
          <w:sz w:val="24"/>
          <w:szCs w:val="24"/>
          <w:highlight w:val="none"/>
        </w:rPr>
        <w:t>。</w:t>
      </w:r>
    </w:p>
    <w:p w14:paraId="16991E92">
      <w:pPr>
        <w:pStyle w:val="8"/>
        <w:spacing w:before="0" w:after="0" w:line="400" w:lineRule="exact"/>
        <w:ind w:left="848" w:hanging="848" w:hangingChars="352"/>
        <w:rPr>
          <w:rFonts w:ascii="宋体" w:hAnsi="宋体" w:cs="宋体"/>
          <w:sz w:val="24"/>
          <w:szCs w:val="24"/>
          <w:highlight w:val="none"/>
        </w:rPr>
      </w:pPr>
      <w:bookmarkStart w:id="968" w:name="_Toc532377415"/>
      <w:bookmarkStart w:id="969" w:name="_Toc532375676"/>
      <w:r>
        <w:rPr>
          <w:rFonts w:hint="eastAsia" w:ascii="宋体" w:hAnsi="宋体" w:cs="宋体"/>
          <w:sz w:val="24"/>
          <w:szCs w:val="24"/>
          <w:highlight w:val="none"/>
        </w:rPr>
        <w:t>19.2 对承包人索赔的处理</w:t>
      </w:r>
      <w:bookmarkEnd w:id="968"/>
      <w:bookmarkEnd w:id="969"/>
    </w:p>
    <w:p w14:paraId="75C2A0B9">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对承包人索赔的处理如下：</w:t>
      </w:r>
    </w:p>
    <w:p w14:paraId="0A491381">
      <w:pPr>
        <w:autoSpaceDE w:val="0"/>
        <w:autoSpaceDN w:val="0"/>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1）发包人应在收到索赔报告或有关索赔的进一步证明材料后的28天内，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cs="宋体"/>
          <w:sz w:val="24"/>
          <w:szCs w:val="24"/>
          <w:highlight w:val="none"/>
        </w:rPr>
        <w:t>；</w:t>
      </w:r>
    </w:p>
    <w:p w14:paraId="2839B45E">
      <w:pPr>
        <w:autoSpaceDE w:val="0"/>
        <w:autoSpaceDN w:val="0"/>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（2）承包人接受索赔处理结果的，索赔款项在当期进度款中进行支付；承包人不接受索赔处理结果的，按照第20条〔争议解决〕约定处理</w:t>
      </w:r>
      <w:r>
        <w:rPr>
          <w:rFonts w:hint="eastAsia" w:ascii="宋体" w:hAnsi="宋体" w:cs="宋体"/>
          <w:sz w:val="24"/>
          <w:szCs w:val="24"/>
          <w:highlight w:val="none"/>
        </w:rPr>
        <w:t>；</w:t>
      </w:r>
    </w:p>
    <w:p w14:paraId="4C1211CA">
      <w:pPr>
        <w:autoSpaceDE w:val="0"/>
        <w:autoSpaceDN w:val="0"/>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u w:val="single"/>
        </w:rPr>
        <w:t>（3）工期延误的关键线路按照经发包人审批同意的施工组织设计计算</w:t>
      </w:r>
      <w:r>
        <w:rPr>
          <w:rFonts w:hint="eastAsia" w:ascii="宋体" w:hAnsi="宋体" w:cs="宋体"/>
          <w:sz w:val="24"/>
          <w:szCs w:val="24"/>
          <w:highlight w:val="none"/>
        </w:rPr>
        <w:t>。</w:t>
      </w:r>
    </w:p>
    <w:p w14:paraId="280B02D6">
      <w:pPr>
        <w:pStyle w:val="8"/>
        <w:spacing w:before="0" w:after="0" w:line="400" w:lineRule="exact"/>
        <w:ind w:left="848" w:hanging="848" w:hangingChars="352"/>
        <w:rPr>
          <w:rFonts w:ascii="宋体" w:hAnsi="宋体" w:cs="宋体"/>
          <w:sz w:val="24"/>
          <w:szCs w:val="24"/>
          <w:highlight w:val="none"/>
        </w:rPr>
      </w:pPr>
      <w:bookmarkStart w:id="970" w:name="_Toc532377416"/>
      <w:bookmarkStart w:id="971" w:name="_Toc532375677"/>
      <w:r>
        <w:rPr>
          <w:rFonts w:hint="eastAsia" w:ascii="宋体" w:hAnsi="宋体" w:cs="宋体"/>
          <w:sz w:val="24"/>
          <w:szCs w:val="24"/>
          <w:highlight w:val="none"/>
        </w:rPr>
        <w:t>19.3发包人的索赔</w:t>
      </w:r>
      <w:bookmarkEnd w:id="970"/>
      <w:bookmarkEnd w:id="971"/>
    </w:p>
    <w:p w14:paraId="301A565D">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根据合同约定，发包人认为有权得到赔付金额和（或）延长缺陷责任期的，应向承包人发出通知并附有详细的证明。</w:t>
      </w:r>
    </w:p>
    <w:p w14:paraId="23A0D319">
      <w:pPr>
        <w:autoSpaceDE w:val="0"/>
        <w:autoSpaceDN w:val="0"/>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发包人应在索赔事件发生后28天内向承包人提出索赔意向通知书，发包人未在前述28天内发出索赔意向通知书的，丧失要求赔付金额和（或）延长缺陷责任期的权利。发包人应在发出索赔意向通知书后28天内，向承包人正式递交索赔报告；索赔事件具有持续影响的，发包人应在索赔事件影响结束后28天内，</w:t>
      </w:r>
      <w:bookmarkStart w:id="972" w:name="_Hlk528652769"/>
      <w:r>
        <w:rPr>
          <w:rFonts w:hint="eastAsia" w:ascii="宋体" w:hAnsi="宋体" w:cs="宋体"/>
          <w:sz w:val="24"/>
          <w:szCs w:val="24"/>
          <w:highlight w:val="none"/>
        </w:rPr>
        <w:t>向承包人正式递交最终索赔报告</w:t>
      </w:r>
      <w:bookmarkEnd w:id="972"/>
      <w:r>
        <w:rPr>
          <w:rFonts w:hint="eastAsia" w:ascii="宋体" w:hAnsi="宋体" w:cs="宋体"/>
          <w:sz w:val="24"/>
          <w:szCs w:val="24"/>
          <w:highlight w:val="none"/>
        </w:rPr>
        <w:t>。</w:t>
      </w:r>
    </w:p>
    <w:p w14:paraId="07635FD4">
      <w:pPr>
        <w:pStyle w:val="8"/>
        <w:spacing w:before="0" w:after="0" w:line="400" w:lineRule="exact"/>
        <w:ind w:left="848" w:hanging="848" w:hangingChars="352"/>
        <w:rPr>
          <w:rFonts w:ascii="宋体" w:hAnsi="宋体" w:cs="宋体"/>
          <w:sz w:val="24"/>
          <w:szCs w:val="24"/>
          <w:highlight w:val="none"/>
        </w:rPr>
      </w:pPr>
      <w:bookmarkStart w:id="973" w:name="_Toc532377417"/>
      <w:bookmarkStart w:id="974" w:name="_Toc532375678"/>
      <w:r>
        <w:rPr>
          <w:rFonts w:hint="eastAsia" w:ascii="宋体" w:hAnsi="宋体" w:cs="宋体"/>
          <w:sz w:val="24"/>
          <w:szCs w:val="24"/>
          <w:highlight w:val="none"/>
        </w:rPr>
        <w:t>19.4 对发包人索赔的处理</w:t>
      </w:r>
      <w:bookmarkEnd w:id="973"/>
      <w:bookmarkEnd w:id="974"/>
    </w:p>
    <w:p w14:paraId="37BCA2D9">
      <w:pPr>
        <w:autoSpaceDE w:val="0"/>
        <w:autoSpaceDN w:val="0"/>
        <w:spacing w:line="400" w:lineRule="exact"/>
        <w:ind w:right="140" w:rightChars="50"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对发包人索赔的处理如下：</w:t>
      </w:r>
    </w:p>
    <w:p w14:paraId="2353EF26">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（1）承包人收到发包人提交的索赔报告后，应及时审查索赔报告的内容、查验发包人证明材料；</w:t>
      </w:r>
    </w:p>
    <w:p w14:paraId="6EC7DBB4">
      <w:pPr>
        <w:autoSpaceDE w:val="0"/>
        <w:autoSpaceDN w:val="0"/>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在收到索赔报告或有关索赔的进一步证明材料后28天内，将索赔处理结果答复发包人。如果承包人未在上述期限内作出答复的，应以书面形式催告承包人，经发包人三次书面催告后，承包人仍未按期限答复的，则视为对发包人索赔要求的认可；</w:t>
      </w:r>
    </w:p>
    <w:p w14:paraId="30869F8A">
      <w:pPr>
        <w:autoSpaceDE w:val="0"/>
        <w:autoSpaceDN w:val="0"/>
        <w:spacing w:line="400" w:lineRule="exact"/>
        <w:ind w:right="140" w:rightChars="50"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（3）承包人接受索赔处理结果的，发包人可从应支付给承包人的合同价款中扣除赔付的金额或延长缺陷责任期；发包人不接受索赔处理结果的，按第20条〔争议解决〕约定处理。</w:t>
      </w:r>
    </w:p>
    <w:p w14:paraId="17EF3EF8">
      <w:pPr>
        <w:pStyle w:val="8"/>
        <w:spacing w:before="0" w:after="0" w:line="400" w:lineRule="exact"/>
        <w:ind w:left="848" w:hanging="848" w:hangingChars="352"/>
        <w:rPr>
          <w:rFonts w:ascii="宋体" w:hAnsi="宋体" w:cs="宋体"/>
          <w:sz w:val="24"/>
          <w:szCs w:val="24"/>
          <w:highlight w:val="none"/>
        </w:rPr>
      </w:pPr>
      <w:bookmarkStart w:id="975" w:name="_Toc532375679"/>
      <w:bookmarkStart w:id="976" w:name="_Toc532377418"/>
      <w:bookmarkStart w:id="977" w:name="_Hlk528928420"/>
      <w:r>
        <w:rPr>
          <w:rFonts w:hint="eastAsia" w:ascii="宋体" w:hAnsi="宋体" w:cs="宋体"/>
          <w:sz w:val="24"/>
          <w:szCs w:val="24"/>
          <w:highlight w:val="none"/>
        </w:rPr>
        <w:t>19.5 提出索赔的期限</w:t>
      </w:r>
      <w:bookmarkEnd w:id="975"/>
      <w:bookmarkEnd w:id="976"/>
    </w:p>
    <w:p w14:paraId="21341B25">
      <w:pPr>
        <w:autoSpaceDE w:val="0"/>
        <w:autoSpaceDN w:val="0"/>
        <w:spacing w:line="400" w:lineRule="exact"/>
        <w:ind w:right="140" w:rightChars="50" w:firstLine="480" w:firstLineChars="200"/>
        <w:jc w:val="left"/>
        <w:rPr>
          <w:rFonts w:ascii="宋体" w:hAnsi="宋体" w:cs="宋体"/>
          <w:sz w:val="24"/>
          <w:szCs w:val="24"/>
          <w:highlight w:val="none"/>
        </w:rPr>
      </w:pPr>
      <w:bookmarkStart w:id="978" w:name="_Hlk524298376"/>
      <w:r>
        <w:rPr>
          <w:rFonts w:hint="eastAsia" w:ascii="宋体" w:hAnsi="宋体" w:cs="宋体"/>
          <w:sz w:val="24"/>
          <w:szCs w:val="24"/>
          <w:highlight w:val="none"/>
        </w:rPr>
        <w:t>任一索赔事件发生后28天内，承包人/发包人未向对方发出索赔意向通知书的，视为其已放弃索赔权，无权再就该索赔事项提出任何索赔。</w:t>
      </w:r>
    </w:p>
    <w:bookmarkEnd w:id="964"/>
    <w:bookmarkEnd w:id="965"/>
    <w:bookmarkEnd w:id="966"/>
    <w:bookmarkEnd w:id="967"/>
    <w:bookmarkEnd w:id="977"/>
    <w:bookmarkEnd w:id="978"/>
    <w:p w14:paraId="074DCBBE">
      <w:pPr>
        <w:pStyle w:val="7"/>
        <w:spacing w:before="0" w:after="0" w:line="400" w:lineRule="exact"/>
        <w:rPr>
          <w:rFonts w:ascii="宋体" w:hAnsi="宋体" w:eastAsia="宋体" w:cs="宋体"/>
          <w:bCs/>
          <w:sz w:val="24"/>
          <w:szCs w:val="24"/>
          <w:highlight w:val="none"/>
        </w:rPr>
      </w:pPr>
      <w:bookmarkStart w:id="979" w:name="_Toc532375680"/>
      <w:bookmarkStart w:id="980" w:name="_Toc532377419"/>
      <w:bookmarkStart w:id="981" w:name="_Toc351203651"/>
      <w:r>
        <w:rPr>
          <w:rFonts w:hint="eastAsia" w:ascii="宋体" w:hAnsi="宋体" w:eastAsia="宋体" w:cs="宋体"/>
          <w:sz w:val="24"/>
          <w:szCs w:val="24"/>
          <w:highlight w:val="none"/>
        </w:rPr>
        <w:t>20. 争议解决</w:t>
      </w:r>
      <w:bookmarkEnd w:id="979"/>
      <w:bookmarkEnd w:id="980"/>
      <w:bookmarkEnd w:id="981"/>
    </w:p>
    <w:p w14:paraId="1129AF1D">
      <w:pPr>
        <w:pStyle w:val="8"/>
        <w:spacing w:before="0" w:after="0" w:line="400" w:lineRule="exact"/>
        <w:ind w:left="848" w:hanging="848" w:hangingChars="352"/>
        <w:rPr>
          <w:rFonts w:ascii="宋体" w:hAnsi="宋体" w:cs="宋体"/>
          <w:sz w:val="24"/>
          <w:szCs w:val="24"/>
          <w:highlight w:val="none"/>
        </w:rPr>
      </w:pPr>
      <w:bookmarkStart w:id="982" w:name="_Toc532377420"/>
      <w:bookmarkStart w:id="983" w:name="_Toc532375681"/>
      <w:r>
        <w:rPr>
          <w:rFonts w:hint="eastAsia" w:ascii="宋体" w:hAnsi="宋体" w:cs="宋体"/>
          <w:sz w:val="24"/>
          <w:szCs w:val="24"/>
          <w:highlight w:val="none"/>
        </w:rPr>
        <w:t>20.3 争议评审</w:t>
      </w:r>
      <w:bookmarkEnd w:id="982"/>
      <w:bookmarkEnd w:id="983"/>
    </w:p>
    <w:p w14:paraId="2E6FD68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合同当事人是否同意将工程争议提交争议评审小组决定：</w:t>
      </w:r>
      <w:r>
        <w:rPr>
          <w:rFonts w:hint="eastAsia" w:ascii="宋体" w:hAnsi="宋体" w:cs="宋体"/>
          <w:sz w:val="24"/>
          <w:szCs w:val="24"/>
          <w:highlight w:val="none"/>
          <w:u w:val="single"/>
        </w:rPr>
        <w:t xml:space="preserve"> 否 </w:t>
      </w:r>
      <w:r>
        <w:rPr>
          <w:rFonts w:hint="eastAsia" w:ascii="宋体" w:hAnsi="宋体" w:cs="宋体"/>
          <w:sz w:val="24"/>
          <w:szCs w:val="24"/>
          <w:highlight w:val="none"/>
        </w:rPr>
        <w:t>。</w:t>
      </w:r>
    </w:p>
    <w:p w14:paraId="67C3CB81">
      <w:pPr>
        <w:pStyle w:val="8"/>
        <w:spacing w:before="0" w:after="0" w:line="400" w:lineRule="exact"/>
        <w:ind w:left="848" w:hanging="848" w:hangingChars="352"/>
        <w:rPr>
          <w:rFonts w:ascii="宋体" w:hAnsi="宋体" w:cs="宋体"/>
          <w:sz w:val="24"/>
          <w:szCs w:val="24"/>
          <w:highlight w:val="none"/>
        </w:rPr>
      </w:pPr>
      <w:bookmarkStart w:id="984" w:name="_Toc532375682"/>
      <w:bookmarkStart w:id="985" w:name="_Toc532377421"/>
      <w:r>
        <w:rPr>
          <w:rFonts w:hint="eastAsia" w:ascii="宋体" w:hAnsi="宋体" w:cs="宋体"/>
          <w:sz w:val="24"/>
          <w:szCs w:val="24"/>
          <w:highlight w:val="none"/>
        </w:rPr>
        <w:t>20.4 仲裁或诉讼</w:t>
      </w:r>
      <w:bookmarkEnd w:id="984"/>
      <w:bookmarkEnd w:id="985"/>
    </w:p>
    <w:p w14:paraId="3000339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因合同及合同有关事项发生的争议，按下列第</w:t>
      </w:r>
      <w:r>
        <w:rPr>
          <w:rFonts w:hint="eastAsia" w:ascii="宋体" w:hAnsi="宋体" w:cs="宋体"/>
          <w:sz w:val="24"/>
          <w:szCs w:val="24"/>
          <w:highlight w:val="none"/>
          <w:u w:val="single"/>
        </w:rPr>
        <w:t xml:space="preserve"> 2 </w:t>
      </w:r>
      <w:r>
        <w:rPr>
          <w:rFonts w:hint="eastAsia" w:ascii="宋体" w:hAnsi="宋体" w:cs="宋体"/>
          <w:sz w:val="24"/>
          <w:szCs w:val="24"/>
          <w:highlight w:val="none"/>
        </w:rPr>
        <w:t>种方式解决：</w:t>
      </w:r>
    </w:p>
    <w:p w14:paraId="2C19DF3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仲裁委员会申请仲裁；</w:t>
      </w:r>
    </w:p>
    <w:p w14:paraId="5AD753F4">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工程所在地     </w:t>
      </w:r>
      <w:r>
        <w:rPr>
          <w:rFonts w:hint="eastAsia" w:ascii="宋体" w:hAnsi="宋体" w:cs="宋体"/>
          <w:sz w:val="24"/>
          <w:szCs w:val="24"/>
          <w:highlight w:val="none"/>
        </w:rPr>
        <w:t>人民法院起诉。</w:t>
      </w:r>
    </w:p>
    <w:p w14:paraId="2F7EDA0A">
      <w:pPr>
        <w:pStyle w:val="7"/>
        <w:spacing w:before="0" w:after="0" w:line="400" w:lineRule="exact"/>
        <w:rPr>
          <w:rFonts w:ascii="宋体" w:hAnsi="宋体" w:eastAsia="宋体" w:cs="宋体"/>
          <w:bCs/>
          <w:sz w:val="24"/>
          <w:szCs w:val="24"/>
          <w:highlight w:val="none"/>
        </w:rPr>
      </w:pPr>
      <w:bookmarkStart w:id="986" w:name="_Toc532377422"/>
      <w:bookmarkStart w:id="987" w:name="_Toc532375683"/>
      <w:r>
        <w:rPr>
          <w:rFonts w:hint="eastAsia" w:ascii="宋体" w:hAnsi="宋体" w:eastAsia="宋体" w:cs="宋体"/>
          <w:sz w:val="24"/>
          <w:szCs w:val="24"/>
          <w:highlight w:val="none"/>
        </w:rPr>
        <w:t>21. 补充条款</w:t>
      </w:r>
      <w:bookmarkEnd w:id="986"/>
      <w:bookmarkEnd w:id="987"/>
    </w:p>
    <w:p w14:paraId="60902E41">
      <w:pPr>
        <w:pStyle w:val="8"/>
        <w:spacing w:before="0" w:after="0" w:line="400" w:lineRule="exact"/>
        <w:ind w:left="848" w:hanging="848" w:hangingChars="352"/>
        <w:rPr>
          <w:rFonts w:ascii="宋体" w:hAnsi="宋体" w:cs="宋体"/>
          <w:sz w:val="24"/>
          <w:szCs w:val="24"/>
          <w:highlight w:val="none"/>
        </w:rPr>
      </w:pPr>
      <w:bookmarkStart w:id="988" w:name="_Toc532377423"/>
      <w:bookmarkStart w:id="989" w:name="_Toc532375684"/>
      <w:r>
        <w:rPr>
          <w:rFonts w:hint="eastAsia" w:ascii="宋体" w:hAnsi="宋体" w:cs="宋体"/>
          <w:sz w:val="24"/>
          <w:szCs w:val="24"/>
          <w:highlight w:val="none"/>
        </w:rPr>
        <w:t>21.1 退出机制</w:t>
      </w:r>
      <w:bookmarkEnd w:id="988"/>
      <w:bookmarkEnd w:id="989"/>
    </w:p>
    <w:p w14:paraId="0F3490EC">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21.1.1有下列情形之一的，发包人有权解除合同，亦有权兑付履约担保，并对承包人做清退出场处理</w:t>
      </w:r>
      <w:r>
        <w:rPr>
          <w:rFonts w:hint="eastAsia" w:ascii="宋体" w:hAnsi="宋体" w:cs="宋体"/>
          <w:kern w:val="0"/>
          <w:sz w:val="24"/>
          <w:szCs w:val="24"/>
          <w:highlight w:val="none"/>
        </w:rPr>
        <w:t>：</w:t>
      </w:r>
    </w:p>
    <w:p w14:paraId="2875D6B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（1）因承包人原因造成较大及以上等级生产安全事故或工程质量事故的；</w:t>
      </w:r>
    </w:p>
    <w:p w14:paraId="7E0E8043">
      <w:pPr>
        <w:spacing w:line="400" w:lineRule="exact"/>
        <w:ind w:right="140" w:rightChars="50"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（2）因承包人债权债务纠纷或其他纠纷导致工程无法正常施工的。</w:t>
      </w:r>
    </w:p>
    <w:p w14:paraId="4BFA6D2C">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kern w:val="0"/>
          <w:sz w:val="24"/>
          <w:szCs w:val="24"/>
          <w:highlight w:val="none"/>
        </w:rPr>
        <w:t>（3）</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0C5F3738">
      <w:pPr>
        <w:pStyle w:val="2"/>
        <w:spacing w:line="4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21.1.2有下列情形之一的，承包人有权解除合同，并按16.1.4约定执行：</w:t>
      </w:r>
    </w:p>
    <w:p w14:paraId="5E7B951D">
      <w:pPr>
        <w:pStyle w:val="2"/>
        <w:spacing w:line="400" w:lineRule="exact"/>
        <w:ind w:right="140" w:rightChars="50"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（1）因发包人征地、拆迁、补偿、审批手续等原因致使本工程延期开工超过90天的。</w:t>
      </w:r>
    </w:p>
    <w:p w14:paraId="4B6F9079">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kern w:val="0"/>
          <w:sz w:val="24"/>
          <w:szCs w:val="24"/>
          <w:highlight w:val="none"/>
        </w:rPr>
        <w:t>（2）</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1B6060E6">
      <w:pPr>
        <w:pStyle w:val="8"/>
        <w:spacing w:before="0" w:after="0" w:line="400" w:lineRule="exact"/>
        <w:ind w:left="848" w:hanging="848" w:hangingChars="352"/>
        <w:rPr>
          <w:rFonts w:ascii="宋体" w:hAnsi="宋体" w:cs="宋体"/>
          <w:sz w:val="24"/>
          <w:szCs w:val="24"/>
          <w:highlight w:val="none"/>
        </w:rPr>
      </w:pPr>
      <w:bookmarkStart w:id="990" w:name="_Toc532377424"/>
      <w:bookmarkStart w:id="991" w:name="_Toc532375685"/>
      <w:r>
        <w:rPr>
          <w:rFonts w:hint="eastAsia" w:ascii="宋体" w:hAnsi="宋体" w:cs="宋体"/>
          <w:sz w:val="24"/>
          <w:szCs w:val="24"/>
          <w:highlight w:val="none"/>
        </w:rPr>
        <w:t>21.2智慧工地</w:t>
      </w:r>
      <w:bookmarkEnd w:id="990"/>
      <w:bookmarkEnd w:id="991"/>
    </w:p>
    <w:p w14:paraId="7E53B5FC">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工地建设可参照重庆市城乡建设委员会《关于印发“智慧工地”建设工作方案的通知》（渝建〔2017〕414号）的相关要求建设。</w:t>
      </w:r>
      <w:bookmarkEnd w:id="932"/>
    </w:p>
    <w:p w14:paraId="55CF15FE">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21.4 发包人不承担正常检查对工程施工可能造成影响的任何费用，不追加承包人的合同价款。</w:t>
      </w:r>
    </w:p>
    <w:p w14:paraId="54B82D0C">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21.5 实行工序验收首件制与交接制，根据国家与地方相关验收规范，结合政府主管部门及发包人的有关验收办法，及时开展分部、单位（子单位）等工程验收。</w:t>
      </w:r>
    </w:p>
    <w:p w14:paraId="791E9960">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21.6 严禁隐蔽工程未经验收即覆盖，否则，发包人有权要求承包人返工，由此造成的费用均由承包人承担。</w:t>
      </w:r>
    </w:p>
    <w:p w14:paraId="701C81C3">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21.7 合同签订后应无条件服从和遵守发包人制定的与本项目有关的管理规定。本合同所指规范、要求、细则、文件等若有更新，则按最新规定执行。</w:t>
      </w:r>
    </w:p>
    <w:p w14:paraId="7AAF732A">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21.8 承包人应按重庆市建设行政主管部门及发包人的要求办理相关手续（如：人员备案等）。</w:t>
      </w:r>
    </w:p>
    <w:p w14:paraId="57CCAAF1">
      <w:pPr>
        <w:pStyle w:val="2"/>
        <w:spacing w:line="400" w:lineRule="exact"/>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21.9 本工程的验收均按照发包人指定的检验、验收管理办法执行。</w:t>
      </w:r>
    </w:p>
    <w:p w14:paraId="62A98352">
      <w:pPr>
        <w:pStyle w:val="7"/>
        <w:spacing w:before="0" w:after="0" w:line="400" w:lineRule="exact"/>
        <w:rPr>
          <w:rFonts w:ascii="宋体" w:hAnsi="宋体" w:eastAsia="宋体" w:cs="宋体"/>
          <w:bCs/>
          <w:sz w:val="24"/>
          <w:szCs w:val="24"/>
          <w:highlight w:val="none"/>
        </w:rPr>
      </w:pPr>
      <w:bookmarkStart w:id="992" w:name="baidusnap7"/>
      <w:bookmarkEnd w:id="992"/>
      <w:bookmarkStart w:id="993" w:name="baidusnap3"/>
      <w:bookmarkEnd w:id="993"/>
      <w:bookmarkStart w:id="994" w:name="_Toc532375686"/>
      <w:bookmarkStart w:id="995" w:name="_Toc532377425"/>
      <w:bookmarkStart w:id="996" w:name="_Toc351203652"/>
      <w:r>
        <w:rPr>
          <w:rFonts w:hint="eastAsia" w:ascii="宋体" w:hAnsi="宋体" w:eastAsia="宋体" w:cs="宋体"/>
          <w:sz w:val="24"/>
          <w:szCs w:val="24"/>
          <w:highlight w:val="none"/>
        </w:rPr>
        <w:t>22. 合同附件</w:t>
      </w:r>
      <w:bookmarkEnd w:id="994"/>
      <w:bookmarkEnd w:id="995"/>
    </w:p>
    <w:p w14:paraId="0DD9C5FA">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以下附件是本合同的有效组成部分：</w:t>
      </w:r>
    </w:p>
    <w:p w14:paraId="460C921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附件1：工程质量保修书</w:t>
      </w:r>
    </w:p>
    <w:p w14:paraId="68FDD066">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附件2：主要建设工程文件目录</w:t>
      </w:r>
    </w:p>
    <w:p w14:paraId="32693EEB">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附件3：承包人项目管理机构组成表</w:t>
      </w:r>
    </w:p>
    <w:p w14:paraId="72C78A17">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附件4：履约担保（如有）</w:t>
      </w:r>
    </w:p>
    <w:p w14:paraId="5280936D">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附件5：预付款担保（如有）</w:t>
      </w:r>
    </w:p>
    <w:p w14:paraId="53E3A34F">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附件6：支付担保（如有）</w:t>
      </w:r>
    </w:p>
    <w:p w14:paraId="06875A3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附件7：专业工程暂估价表</w:t>
      </w:r>
    </w:p>
    <w:p w14:paraId="584B3475">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附件8：廉洁从业协议</w:t>
      </w:r>
    </w:p>
    <w:p w14:paraId="39233861">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附件9：安全管理协议</w:t>
      </w:r>
    </w:p>
    <w:p w14:paraId="0FD77000">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附件10：保障农民工工资支付协议</w:t>
      </w:r>
    </w:p>
    <w:p w14:paraId="188F77C8">
      <w:pPr>
        <w:spacing w:line="400" w:lineRule="exact"/>
        <w:ind w:right="140" w:rightChars="50" w:firstLine="480" w:firstLineChars="200"/>
        <w:jc w:val="left"/>
        <w:rPr>
          <w:rFonts w:ascii="宋体" w:hAnsi="宋体" w:cs="宋体"/>
          <w:sz w:val="24"/>
          <w:szCs w:val="24"/>
          <w:highlight w:val="none"/>
        </w:rPr>
      </w:pPr>
      <w:r>
        <w:rPr>
          <w:rFonts w:hint="eastAsia" w:ascii="宋体" w:hAnsi="宋体" w:cs="宋体"/>
          <w:sz w:val="24"/>
          <w:szCs w:val="24"/>
          <w:highlight w:val="none"/>
        </w:rPr>
        <w:t>附件11：质量保证金保函（如有）</w:t>
      </w:r>
    </w:p>
    <w:bookmarkEnd w:id="996"/>
    <w:p w14:paraId="11F760D1">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w:t>
      </w:r>
      <w:bookmarkStart w:id="997" w:name="_Toc296347225"/>
      <w:bookmarkStart w:id="998" w:name="_Toc296503226"/>
      <w:bookmarkStart w:id="999" w:name="_Toc296891266"/>
      <w:bookmarkStart w:id="1000" w:name="_Toc296346727"/>
      <w:bookmarkStart w:id="1001" w:name="_Toc296891054"/>
      <w:bookmarkStart w:id="1002" w:name="_Toc267261693"/>
      <w:bookmarkStart w:id="1003" w:name="_Toc296944565"/>
      <w:r>
        <w:rPr>
          <w:rFonts w:hint="eastAsia" w:ascii="宋体" w:hAnsi="宋体" w:cs="宋体"/>
          <w:sz w:val="24"/>
          <w:szCs w:val="24"/>
          <w:highlight w:val="none"/>
        </w:rPr>
        <w:t>件1：</w:t>
      </w:r>
      <w:bookmarkEnd w:id="997"/>
      <w:bookmarkEnd w:id="998"/>
      <w:bookmarkEnd w:id="999"/>
      <w:bookmarkEnd w:id="1000"/>
      <w:bookmarkEnd w:id="1001"/>
      <w:bookmarkEnd w:id="1002"/>
      <w:bookmarkEnd w:id="1003"/>
    </w:p>
    <w:p w14:paraId="67059B4F">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工程质量保修书</w:t>
      </w:r>
    </w:p>
    <w:p w14:paraId="77464397">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发包人（全称）：</w:t>
      </w:r>
      <w:r>
        <w:rPr>
          <w:rFonts w:hint="eastAsia" w:ascii="宋体" w:hAnsi="宋体" w:cs="宋体"/>
          <w:sz w:val="24"/>
          <w:szCs w:val="24"/>
          <w:highlight w:val="none"/>
          <w:u w:val="single"/>
        </w:rPr>
        <w:t xml:space="preserve">                             </w:t>
      </w:r>
    </w:p>
    <w:p w14:paraId="2EF925D4">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承包人（全称）：</w:t>
      </w:r>
      <w:r>
        <w:rPr>
          <w:rFonts w:hint="eastAsia" w:ascii="宋体" w:hAnsi="宋体" w:cs="宋体"/>
          <w:sz w:val="24"/>
          <w:szCs w:val="24"/>
          <w:highlight w:val="none"/>
          <w:u w:val="single"/>
        </w:rPr>
        <w:t xml:space="preserve">                             </w:t>
      </w:r>
    </w:p>
    <w:p w14:paraId="50024B0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发包人和承包人根据《中华人民共和国建筑法》和《建设工程质量管理条例》，经协商一致就</w:t>
      </w:r>
    </w:p>
    <w:p w14:paraId="45C600C0">
      <w:pPr>
        <w:spacing w:line="400" w:lineRule="exac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（工程全称）签订工程质量保修书。</w:t>
      </w:r>
    </w:p>
    <w:p w14:paraId="717758F1">
      <w:pPr>
        <w:spacing w:line="400" w:lineRule="exact"/>
        <w:ind w:firstLine="480" w:firstLineChars="200"/>
        <w:rPr>
          <w:rFonts w:ascii="宋体" w:hAnsi="宋体" w:cs="宋体"/>
          <w:sz w:val="24"/>
          <w:szCs w:val="24"/>
          <w:highlight w:val="none"/>
        </w:rPr>
      </w:pPr>
      <w:bookmarkStart w:id="1004" w:name="_Toc532375687"/>
      <w:r>
        <w:rPr>
          <w:rFonts w:hint="eastAsia" w:ascii="宋体" w:hAnsi="宋体" w:cs="宋体"/>
          <w:sz w:val="24"/>
          <w:szCs w:val="24"/>
          <w:highlight w:val="none"/>
        </w:rPr>
        <w:t>一、工程质量保修范围和内容</w:t>
      </w:r>
      <w:bookmarkEnd w:id="1004"/>
    </w:p>
    <w:p w14:paraId="723AD54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承包人在质量保修期内，按照有关法律规定和合同约定，承担工程质量保修责任。</w:t>
      </w:r>
    </w:p>
    <w:p w14:paraId="475798D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94BDAA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承包人承包范围内容均属质量保修范围内容；其中：</w:t>
      </w:r>
    </w:p>
    <w:p w14:paraId="323A826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1.属于设计原因造成的质量问题，承包人负责维修，不留隐患，费用由发包人承担；</w:t>
      </w:r>
    </w:p>
    <w:p w14:paraId="18A5A4E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2.属于施工造成的质量问题，承包人负责维修，不留隐患；</w:t>
      </w:r>
    </w:p>
    <w:p w14:paraId="1ACF8B3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3.属于业主使用不当造成的质量问题，配合抢修，费用由发包人承担。</w:t>
      </w:r>
    </w:p>
    <w:p w14:paraId="0A721384">
      <w:pPr>
        <w:spacing w:line="400" w:lineRule="exact"/>
        <w:ind w:firstLine="480" w:firstLineChars="200"/>
        <w:rPr>
          <w:rFonts w:ascii="宋体" w:hAnsi="宋体" w:cs="宋体"/>
          <w:sz w:val="24"/>
          <w:szCs w:val="24"/>
          <w:highlight w:val="none"/>
        </w:rPr>
      </w:pPr>
      <w:bookmarkStart w:id="1005" w:name="_Toc532375688"/>
      <w:r>
        <w:rPr>
          <w:rFonts w:hint="eastAsia" w:ascii="宋体" w:hAnsi="宋体" w:cs="宋体"/>
          <w:sz w:val="24"/>
          <w:szCs w:val="24"/>
          <w:highlight w:val="none"/>
        </w:rPr>
        <w:t>二、质量保修期</w:t>
      </w:r>
      <w:bookmarkEnd w:id="1005"/>
    </w:p>
    <w:p w14:paraId="3F60D6E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根据《建设工程质量管理条例》及有关规定，本工程质量保修期约定如下：</w:t>
      </w:r>
    </w:p>
    <w:p w14:paraId="2466B02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1.基础设施工程、房屋建筑的地基基础工程和主体结构工程，为设计文件规定的该工程的合理使用年限；</w:t>
      </w:r>
    </w:p>
    <w:p w14:paraId="5A0983D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2.屋面防水工程、有防水要求的卫生间、房间和外墙面的防渗漏，为5年；</w:t>
      </w:r>
    </w:p>
    <w:p w14:paraId="6339C6A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3.供热与供冷系统，为2个采暖期、供冷期；</w:t>
      </w:r>
    </w:p>
    <w:p w14:paraId="2CA1C31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4.电气管线、给排水管道、设备安装和装修工程，为2年；</w:t>
      </w:r>
    </w:p>
    <w:p w14:paraId="755A864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5.其他项目保修期限：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56CA1B0">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建设工程的保修期，自工程竣工验收合格之日起计算。</w:t>
      </w:r>
    </w:p>
    <w:p w14:paraId="22842548">
      <w:pPr>
        <w:spacing w:line="400" w:lineRule="exact"/>
        <w:ind w:firstLine="480" w:firstLineChars="200"/>
        <w:rPr>
          <w:rFonts w:ascii="宋体" w:hAnsi="宋体" w:cs="宋体"/>
          <w:sz w:val="24"/>
          <w:szCs w:val="24"/>
          <w:highlight w:val="none"/>
        </w:rPr>
      </w:pPr>
      <w:bookmarkStart w:id="1006" w:name="_Toc532375689"/>
      <w:r>
        <w:rPr>
          <w:rFonts w:hint="eastAsia" w:ascii="宋体" w:hAnsi="宋体" w:cs="宋体"/>
          <w:sz w:val="24"/>
          <w:szCs w:val="24"/>
          <w:highlight w:val="none"/>
        </w:rPr>
        <w:t>三、质量保修责任</w:t>
      </w:r>
      <w:bookmarkEnd w:id="1006"/>
    </w:p>
    <w:p w14:paraId="1555D82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1.属于保修范围、内容的项目，承包人应当在接到保修通知之日起48小时内派人保修。承包人不在约定期限内派人保修的，发包人可以委托他人修理，整改费用由承包人进行支付。</w:t>
      </w:r>
    </w:p>
    <w:p w14:paraId="48B191B0">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2.发生紧急事故需抢修的，承包人在接到事故通知后，应当立即到达事故现场抢修。</w:t>
      </w:r>
    </w:p>
    <w:p w14:paraId="540BADF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2007C74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4.质量保修完成后，由发包人组织验收。</w:t>
      </w:r>
    </w:p>
    <w:p w14:paraId="0D7E3796">
      <w:pPr>
        <w:spacing w:line="400" w:lineRule="exact"/>
        <w:ind w:firstLine="480" w:firstLineChars="200"/>
        <w:rPr>
          <w:rFonts w:ascii="宋体" w:hAnsi="宋体" w:cs="宋体"/>
          <w:sz w:val="24"/>
          <w:szCs w:val="24"/>
          <w:highlight w:val="none"/>
        </w:rPr>
      </w:pPr>
      <w:bookmarkStart w:id="1007" w:name="_Toc532375690"/>
      <w:r>
        <w:rPr>
          <w:rFonts w:hint="eastAsia" w:ascii="宋体" w:hAnsi="宋体" w:cs="宋体"/>
          <w:sz w:val="24"/>
          <w:szCs w:val="24"/>
          <w:highlight w:val="none"/>
        </w:rPr>
        <w:t>四、保修费用</w:t>
      </w:r>
      <w:bookmarkEnd w:id="1007"/>
    </w:p>
    <w:p w14:paraId="2A92C1D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保修费用由质量缺陷的责任方承担。</w:t>
      </w:r>
    </w:p>
    <w:p w14:paraId="508686FD">
      <w:pPr>
        <w:spacing w:line="400" w:lineRule="exact"/>
        <w:ind w:firstLine="480" w:firstLineChars="200"/>
        <w:rPr>
          <w:rFonts w:ascii="宋体" w:hAnsi="宋体" w:cs="宋体"/>
          <w:sz w:val="24"/>
          <w:szCs w:val="24"/>
          <w:highlight w:val="none"/>
        </w:rPr>
      </w:pPr>
      <w:bookmarkStart w:id="1008" w:name="_Toc532375691"/>
      <w:r>
        <w:rPr>
          <w:rFonts w:hint="eastAsia" w:ascii="宋体" w:hAnsi="宋体" w:cs="宋体"/>
          <w:sz w:val="24"/>
          <w:szCs w:val="24"/>
          <w:highlight w:val="none"/>
        </w:rPr>
        <w:t>五、双方约定的其他工程质量保修事项</w:t>
      </w:r>
    </w:p>
    <w:p w14:paraId="233EC22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按国家相关法律和规定执行</w:t>
      </w:r>
      <w:r>
        <w:rPr>
          <w:rFonts w:hint="eastAsia" w:ascii="宋体" w:hAnsi="宋体" w:cs="宋体"/>
          <w:sz w:val="24"/>
          <w:szCs w:val="24"/>
          <w:highlight w:val="none"/>
        </w:rPr>
        <w:t>。</w:t>
      </w:r>
      <w:bookmarkEnd w:id="1008"/>
    </w:p>
    <w:p w14:paraId="16333CE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本工程质量保修书由发包人、承包人在工程竣工验收前共同签署，作为施工合同附件，其有效期限至保修期满。</w:t>
      </w:r>
    </w:p>
    <w:p w14:paraId="0309CB5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六、本文件生效</w:t>
      </w:r>
    </w:p>
    <w:p w14:paraId="0617A37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本工程质量保修书经发包人与承包人盖章后生效。</w:t>
      </w:r>
    </w:p>
    <w:p w14:paraId="03C0F539">
      <w:pPr>
        <w:pStyle w:val="2"/>
        <w:spacing w:line="400" w:lineRule="exact"/>
        <w:ind w:firstLine="480" w:firstLineChars="200"/>
        <w:rPr>
          <w:rFonts w:ascii="宋体" w:hAnsi="宋体" w:eastAsia="宋体" w:cs="宋体"/>
          <w:sz w:val="24"/>
          <w:szCs w:val="24"/>
          <w:highlight w:val="none"/>
        </w:rPr>
      </w:pPr>
    </w:p>
    <w:p w14:paraId="3F7F0755">
      <w:pPr>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发包人：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（盖单位公章）</w:t>
      </w:r>
    </w:p>
    <w:p w14:paraId="21904115">
      <w:pPr>
        <w:spacing w:line="400" w:lineRule="exact"/>
        <w:ind w:firstLine="480" w:firstLineChars="200"/>
        <w:rPr>
          <w:rFonts w:ascii="宋体" w:hAnsi="宋体" w:cs="宋体"/>
          <w:snapToGrid w:val="0"/>
          <w:kern w:val="0"/>
          <w:sz w:val="24"/>
          <w:szCs w:val="24"/>
          <w:highlight w:val="none"/>
        </w:rPr>
      </w:pPr>
    </w:p>
    <w:p w14:paraId="61592A00">
      <w:pPr>
        <w:spacing w:line="400" w:lineRule="exact"/>
        <w:ind w:firstLine="480" w:firstLineChars="200"/>
        <w:rPr>
          <w:rFonts w:ascii="宋体" w:hAnsi="宋体" w:cs="宋体"/>
          <w:snapToGrid w:val="0"/>
          <w:kern w:val="0"/>
          <w:sz w:val="24"/>
          <w:szCs w:val="24"/>
          <w:highlight w:val="none"/>
        </w:rPr>
      </w:pPr>
    </w:p>
    <w:p w14:paraId="16BB0942">
      <w:pPr>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法定代表人或其委托代理人：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（签名）</w:t>
      </w:r>
    </w:p>
    <w:p w14:paraId="1805D147">
      <w:pPr>
        <w:spacing w:line="400" w:lineRule="exact"/>
        <w:ind w:firstLine="480" w:firstLineChars="200"/>
        <w:rPr>
          <w:rFonts w:ascii="宋体" w:hAnsi="宋体" w:cs="宋体"/>
          <w:snapToGrid w:val="0"/>
          <w:kern w:val="0"/>
          <w:sz w:val="24"/>
          <w:szCs w:val="24"/>
          <w:highlight w:val="none"/>
        </w:rPr>
      </w:pPr>
    </w:p>
    <w:p w14:paraId="7229CF57">
      <w:pPr>
        <w:spacing w:line="400" w:lineRule="exact"/>
        <w:ind w:firstLine="480" w:firstLineChars="200"/>
        <w:rPr>
          <w:rFonts w:ascii="宋体" w:hAnsi="宋体" w:cs="宋体"/>
          <w:snapToGrid w:val="0"/>
          <w:kern w:val="0"/>
          <w:sz w:val="24"/>
          <w:szCs w:val="24"/>
          <w:highlight w:val="none"/>
        </w:rPr>
      </w:pPr>
    </w:p>
    <w:p w14:paraId="13ACE5A7">
      <w:pPr>
        <w:spacing w:line="400" w:lineRule="exact"/>
        <w:ind w:firstLine="480" w:firstLineChars="200"/>
        <w:rPr>
          <w:rFonts w:ascii="宋体" w:hAnsi="宋体" w:cs="宋体"/>
          <w:sz w:val="24"/>
          <w:szCs w:val="24"/>
          <w:highlight w:val="none"/>
        </w:rPr>
      </w:pPr>
      <w:r>
        <w:rPr>
          <w:rFonts w:hint="eastAsia" w:ascii="宋体" w:hAnsi="宋体" w:cs="宋体"/>
          <w:snapToGrid w:val="0"/>
          <w:kern w:val="0"/>
          <w:sz w:val="24"/>
          <w:szCs w:val="24"/>
          <w:highlight w:val="none"/>
        </w:rPr>
        <w:t>承包人：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（盖单位公章）</w:t>
      </w:r>
    </w:p>
    <w:p w14:paraId="67CA10C5">
      <w:pPr>
        <w:spacing w:line="400" w:lineRule="exact"/>
        <w:ind w:firstLine="480" w:firstLineChars="200"/>
        <w:rPr>
          <w:rFonts w:ascii="宋体" w:hAnsi="宋体" w:cs="宋体"/>
          <w:snapToGrid w:val="0"/>
          <w:kern w:val="0"/>
          <w:sz w:val="24"/>
          <w:szCs w:val="24"/>
          <w:highlight w:val="none"/>
        </w:rPr>
      </w:pPr>
    </w:p>
    <w:p w14:paraId="1BAA6007">
      <w:pPr>
        <w:spacing w:line="400" w:lineRule="exact"/>
        <w:ind w:firstLine="480" w:firstLineChars="200"/>
        <w:rPr>
          <w:rFonts w:ascii="宋体" w:hAnsi="宋体" w:cs="宋体"/>
          <w:snapToGrid w:val="0"/>
          <w:kern w:val="0"/>
          <w:sz w:val="24"/>
          <w:szCs w:val="24"/>
          <w:highlight w:val="none"/>
        </w:rPr>
      </w:pPr>
    </w:p>
    <w:p w14:paraId="49E0DC36">
      <w:pPr>
        <w:spacing w:line="400" w:lineRule="exact"/>
        <w:ind w:firstLine="480" w:firstLineChars="200"/>
        <w:rPr>
          <w:rFonts w:ascii="宋体" w:hAnsi="宋体" w:cs="宋体"/>
          <w:bCs/>
          <w:kern w:val="0"/>
          <w:sz w:val="24"/>
          <w:szCs w:val="24"/>
          <w:highlight w:val="none"/>
        </w:rPr>
      </w:pPr>
      <w:r>
        <w:rPr>
          <w:rFonts w:hint="eastAsia" w:ascii="宋体" w:hAnsi="宋体" w:cs="宋体"/>
          <w:snapToGrid w:val="0"/>
          <w:kern w:val="0"/>
          <w:sz w:val="24"/>
          <w:szCs w:val="24"/>
          <w:highlight w:val="none"/>
        </w:rPr>
        <w:t>法定代表人或其委托代理人：</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（签名）</w:t>
      </w:r>
    </w:p>
    <w:p w14:paraId="54075EFF">
      <w:pPr>
        <w:spacing w:line="400" w:lineRule="exact"/>
        <w:ind w:firstLine="478" w:firstLineChars="200"/>
        <w:rPr>
          <w:rFonts w:ascii="宋体" w:hAnsi="宋体" w:cs="宋体"/>
          <w:snapToGrid w:val="0"/>
          <w:spacing w:val="1"/>
          <w:w w:val="99"/>
          <w:kern w:val="0"/>
          <w:position w:val="-2"/>
          <w:sz w:val="24"/>
          <w:szCs w:val="24"/>
          <w:highlight w:val="none"/>
        </w:rPr>
      </w:pPr>
    </w:p>
    <w:p w14:paraId="1C63B0B6">
      <w:pPr>
        <w:spacing w:line="400" w:lineRule="exact"/>
        <w:ind w:firstLine="478" w:firstLineChars="200"/>
        <w:rPr>
          <w:rFonts w:ascii="宋体" w:hAnsi="宋体" w:cs="宋体"/>
          <w:snapToGrid w:val="0"/>
          <w:spacing w:val="1"/>
          <w:w w:val="99"/>
          <w:kern w:val="0"/>
          <w:position w:val="-2"/>
          <w:sz w:val="24"/>
          <w:szCs w:val="24"/>
          <w:highlight w:val="none"/>
        </w:rPr>
      </w:pPr>
    </w:p>
    <w:p w14:paraId="21B6FA27">
      <w:pPr>
        <w:spacing w:line="400" w:lineRule="exact"/>
        <w:ind w:firstLine="480" w:firstLineChars="200"/>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签约时间：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年</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月</w:t>
      </w:r>
      <w:r>
        <w:rPr>
          <w:rFonts w:hint="eastAsia" w:ascii="宋体" w:hAnsi="宋体" w:cs="宋体"/>
          <w:snapToGrid w:val="0"/>
          <w:kern w:val="0"/>
          <w:sz w:val="24"/>
          <w:szCs w:val="24"/>
          <w:highlight w:val="none"/>
          <w:u w:val="single"/>
        </w:rPr>
        <w:t xml:space="preserve">     </w:t>
      </w:r>
      <w:r>
        <w:rPr>
          <w:rFonts w:hint="eastAsia" w:ascii="宋体" w:hAnsi="宋体" w:cs="宋体"/>
          <w:snapToGrid w:val="0"/>
          <w:kern w:val="0"/>
          <w:sz w:val="24"/>
          <w:szCs w:val="24"/>
          <w:highlight w:val="none"/>
        </w:rPr>
        <w:t>日</w:t>
      </w:r>
    </w:p>
    <w:p w14:paraId="70CC687D">
      <w:pPr>
        <w:spacing w:line="400" w:lineRule="exact"/>
        <w:rPr>
          <w:rFonts w:ascii="宋体" w:hAnsi="宋体" w:cs="宋体"/>
          <w:b/>
          <w:color w:val="auto"/>
          <w:sz w:val="21"/>
          <w:szCs w:val="21"/>
        </w:rPr>
      </w:pPr>
    </w:p>
    <w:p w14:paraId="2A94167A">
      <w:pPr>
        <w:rPr>
          <w:rFonts w:ascii="宋体" w:hAnsi="宋体" w:cs="宋体"/>
          <w:color w:val="auto"/>
          <w:sz w:val="21"/>
          <w:szCs w:val="21"/>
        </w:rPr>
      </w:pPr>
    </w:p>
    <w:p w14:paraId="20358E1D">
      <w:pPr>
        <w:rPr>
          <w:rFonts w:ascii="宋体" w:hAnsi="宋体" w:cs="宋体"/>
          <w:color w:val="auto"/>
          <w:sz w:val="21"/>
          <w:szCs w:val="21"/>
        </w:rPr>
      </w:pPr>
    </w:p>
    <w:p w14:paraId="22C33BF9">
      <w:pPr>
        <w:rPr>
          <w:rFonts w:ascii="宋体" w:hAnsi="宋体" w:cs="宋体"/>
          <w:color w:val="auto"/>
          <w:sz w:val="21"/>
          <w:szCs w:val="21"/>
        </w:rPr>
      </w:pPr>
    </w:p>
    <w:p w14:paraId="573A68DD">
      <w:pPr>
        <w:rPr>
          <w:rFonts w:ascii="宋体" w:hAnsi="宋体" w:cs="宋体"/>
          <w:color w:val="auto"/>
          <w:sz w:val="21"/>
          <w:szCs w:val="21"/>
        </w:rPr>
      </w:pPr>
    </w:p>
    <w:p w14:paraId="0DF76D0A">
      <w:pPr>
        <w:rPr>
          <w:rFonts w:ascii="宋体" w:hAnsi="宋体" w:cs="宋体"/>
          <w:color w:val="auto"/>
          <w:sz w:val="21"/>
          <w:szCs w:val="21"/>
        </w:rPr>
      </w:pPr>
    </w:p>
    <w:p w14:paraId="0A2CE9FF">
      <w:pPr>
        <w:rPr>
          <w:rFonts w:ascii="宋体" w:hAnsi="宋体" w:cs="宋体"/>
          <w:color w:val="auto"/>
          <w:sz w:val="21"/>
          <w:szCs w:val="21"/>
        </w:rPr>
      </w:pPr>
    </w:p>
    <w:p w14:paraId="52CA3121">
      <w:pPr>
        <w:rPr>
          <w:rFonts w:ascii="宋体" w:hAnsi="宋体" w:cs="宋体"/>
          <w:color w:val="auto"/>
        </w:rPr>
      </w:pPr>
      <w:r>
        <w:rPr>
          <w:rFonts w:ascii="宋体" w:hAnsi="宋体" w:cs="宋体"/>
          <w:color w:val="auto"/>
        </w:rPr>
        <w:br w:type="page"/>
      </w:r>
    </w:p>
    <w:p w14:paraId="2636B514">
      <w:pPr>
        <w:spacing w:line="400" w:lineRule="exact"/>
        <w:rPr>
          <w:rFonts w:ascii="宋体" w:hAnsi="宋体" w:cs="宋体"/>
          <w:sz w:val="24"/>
          <w:szCs w:val="24"/>
          <w:highlight w:val="none"/>
        </w:rPr>
      </w:pPr>
      <w:r>
        <w:rPr>
          <w:rFonts w:hint="eastAsia" w:ascii="宋体" w:hAnsi="宋体" w:cs="宋体"/>
          <w:sz w:val="24"/>
          <w:szCs w:val="24"/>
          <w:highlight w:val="none"/>
        </w:rPr>
        <w:t>附件2：</w:t>
      </w:r>
    </w:p>
    <w:p w14:paraId="34CD1208">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主要建设工程文件目录</w:t>
      </w:r>
    </w:p>
    <w:tbl>
      <w:tblPr>
        <w:tblStyle w:val="34"/>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42DF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14:paraId="78C9FD5B">
            <w:pPr>
              <w:spacing w:line="400" w:lineRule="exact"/>
              <w:jc w:val="center"/>
              <w:rPr>
                <w:rFonts w:ascii="宋体" w:hAnsi="宋体" w:cs="宋体"/>
                <w:sz w:val="24"/>
                <w:szCs w:val="24"/>
                <w:highlight w:val="none"/>
              </w:rPr>
            </w:pPr>
            <w:r>
              <w:rPr>
                <w:rFonts w:hint="eastAsia" w:ascii="宋体" w:hAnsi="宋体" w:cs="宋体"/>
                <w:sz w:val="24"/>
                <w:szCs w:val="24"/>
                <w:highlight w:val="none"/>
              </w:rPr>
              <w:t>文件名称</w:t>
            </w:r>
          </w:p>
        </w:tc>
        <w:tc>
          <w:tcPr>
            <w:tcW w:w="1418" w:type="dxa"/>
            <w:noWrap w:val="0"/>
            <w:vAlign w:val="center"/>
          </w:tcPr>
          <w:p w14:paraId="07CCBCBC">
            <w:pPr>
              <w:spacing w:line="400" w:lineRule="exact"/>
              <w:jc w:val="center"/>
              <w:rPr>
                <w:rFonts w:ascii="宋体" w:hAnsi="宋体" w:cs="宋体"/>
                <w:sz w:val="24"/>
                <w:szCs w:val="24"/>
                <w:highlight w:val="none"/>
              </w:rPr>
            </w:pPr>
            <w:r>
              <w:rPr>
                <w:rFonts w:hint="eastAsia" w:ascii="宋体" w:hAnsi="宋体" w:cs="宋体"/>
                <w:sz w:val="24"/>
                <w:szCs w:val="24"/>
                <w:highlight w:val="none"/>
              </w:rPr>
              <w:t>套数</w:t>
            </w:r>
          </w:p>
        </w:tc>
        <w:tc>
          <w:tcPr>
            <w:tcW w:w="1418" w:type="dxa"/>
            <w:noWrap w:val="0"/>
            <w:vAlign w:val="top"/>
          </w:tcPr>
          <w:p w14:paraId="2DA6DA3A">
            <w:pPr>
              <w:spacing w:line="400" w:lineRule="exact"/>
              <w:jc w:val="center"/>
              <w:rPr>
                <w:rFonts w:ascii="宋体" w:hAnsi="宋体" w:cs="宋体"/>
                <w:sz w:val="24"/>
                <w:szCs w:val="24"/>
                <w:highlight w:val="none"/>
              </w:rPr>
            </w:pPr>
            <w:r>
              <w:rPr>
                <w:rFonts w:hint="eastAsia" w:ascii="宋体" w:hAnsi="宋体" w:cs="宋体"/>
                <w:sz w:val="24"/>
                <w:szCs w:val="24"/>
                <w:highlight w:val="none"/>
              </w:rPr>
              <w:t>移交时间</w:t>
            </w:r>
          </w:p>
        </w:tc>
        <w:tc>
          <w:tcPr>
            <w:tcW w:w="2917" w:type="dxa"/>
            <w:noWrap w:val="0"/>
            <w:vAlign w:val="top"/>
          </w:tcPr>
          <w:p w14:paraId="437955D9">
            <w:pPr>
              <w:spacing w:line="400" w:lineRule="exact"/>
              <w:jc w:val="center"/>
              <w:rPr>
                <w:rFonts w:ascii="宋体" w:hAnsi="宋体" w:cs="宋体"/>
                <w:sz w:val="24"/>
                <w:szCs w:val="24"/>
                <w:highlight w:val="none"/>
              </w:rPr>
            </w:pPr>
            <w:r>
              <w:rPr>
                <w:rFonts w:hint="eastAsia" w:ascii="宋体" w:hAnsi="宋体" w:cs="宋体"/>
                <w:sz w:val="24"/>
                <w:szCs w:val="24"/>
                <w:highlight w:val="none"/>
              </w:rPr>
              <w:t>责任人</w:t>
            </w:r>
          </w:p>
        </w:tc>
      </w:tr>
      <w:tr w14:paraId="38755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16EE608B">
            <w:pPr>
              <w:spacing w:line="400" w:lineRule="exact"/>
              <w:ind w:firstLine="480" w:firstLineChars="200"/>
              <w:rPr>
                <w:rFonts w:ascii="宋体" w:hAnsi="宋体" w:cs="宋体"/>
                <w:sz w:val="24"/>
                <w:szCs w:val="24"/>
                <w:highlight w:val="none"/>
              </w:rPr>
            </w:pPr>
          </w:p>
        </w:tc>
        <w:tc>
          <w:tcPr>
            <w:tcW w:w="1418" w:type="dxa"/>
            <w:noWrap w:val="0"/>
            <w:vAlign w:val="center"/>
          </w:tcPr>
          <w:p w14:paraId="496EA42B">
            <w:pPr>
              <w:spacing w:line="400" w:lineRule="exact"/>
              <w:ind w:firstLine="480" w:firstLineChars="200"/>
              <w:rPr>
                <w:rFonts w:ascii="宋体" w:hAnsi="宋体" w:cs="宋体"/>
                <w:sz w:val="24"/>
                <w:szCs w:val="24"/>
                <w:highlight w:val="none"/>
              </w:rPr>
            </w:pPr>
          </w:p>
        </w:tc>
        <w:tc>
          <w:tcPr>
            <w:tcW w:w="1418" w:type="dxa"/>
            <w:noWrap w:val="0"/>
            <w:vAlign w:val="center"/>
          </w:tcPr>
          <w:p w14:paraId="4D199031">
            <w:pPr>
              <w:spacing w:line="400" w:lineRule="exact"/>
              <w:ind w:firstLine="480" w:firstLineChars="200"/>
              <w:rPr>
                <w:rFonts w:ascii="宋体" w:hAnsi="宋体" w:cs="宋体"/>
                <w:sz w:val="24"/>
                <w:szCs w:val="24"/>
                <w:highlight w:val="none"/>
              </w:rPr>
            </w:pPr>
          </w:p>
        </w:tc>
        <w:tc>
          <w:tcPr>
            <w:tcW w:w="2917" w:type="dxa"/>
            <w:noWrap w:val="0"/>
            <w:vAlign w:val="center"/>
          </w:tcPr>
          <w:p w14:paraId="6846CAAE">
            <w:pPr>
              <w:spacing w:line="400" w:lineRule="exact"/>
              <w:ind w:firstLine="480" w:firstLineChars="200"/>
              <w:rPr>
                <w:rFonts w:ascii="宋体" w:hAnsi="宋体" w:cs="宋体"/>
                <w:sz w:val="24"/>
                <w:szCs w:val="24"/>
                <w:highlight w:val="none"/>
              </w:rPr>
            </w:pPr>
          </w:p>
        </w:tc>
      </w:tr>
      <w:tr w14:paraId="25B3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2112CBC9">
            <w:pPr>
              <w:spacing w:line="400" w:lineRule="exact"/>
              <w:ind w:firstLine="480" w:firstLineChars="200"/>
              <w:rPr>
                <w:rFonts w:ascii="宋体" w:hAnsi="宋体" w:cs="宋体"/>
                <w:sz w:val="24"/>
                <w:szCs w:val="24"/>
                <w:highlight w:val="none"/>
              </w:rPr>
            </w:pPr>
          </w:p>
        </w:tc>
        <w:tc>
          <w:tcPr>
            <w:tcW w:w="1418" w:type="dxa"/>
            <w:noWrap w:val="0"/>
            <w:vAlign w:val="center"/>
          </w:tcPr>
          <w:p w14:paraId="03606402">
            <w:pPr>
              <w:spacing w:line="400" w:lineRule="exact"/>
              <w:ind w:firstLine="480" w:firstLineChars="200"/>
              <w:rPr>
                <w:rFonts w:ascii="宋体" w:hAnsi="宋体" w:cs="宋体"/>
                <w:sz w:val="24"/>
                <w:szCs w:val="24"/>
                <w:highlight w:val="none"/>
              </w:rPr>
            </w:pPr>
          </w:p>
        </w:tc>
        <w:tc>
          <w:tcPr>
            <w:tcW w:w="1418" w:type="dxa"/>
            <w:noWrap w:val="0"/>
            <w:vAlign w:val="center"/>
          </w:tcPr>
          <w:p w14:paraId="5AD7D8CE">
            <w:pPr>
              <w:spacing w:line="400" w:lineRule="exact"/>
              <w:ind w:firstLine="480" w:firstLineChars="200"/>
              <w:rPr>
                <w:rFonts w:ascii="宋体" w:hAnsi="宋体" w:cs="宋体"/>
                <w:sz w:val="24"/>
                <w:szCs w:val="24"/>
                <w:highlight w:val="none"/>
              </w:rPr>
            </w:pPr>
          </w:p>
        </w:tc>
        <w:tc>
          <w:tcPr>
            <w:tcW w:w="2917" w:type="dxa"/>
            <w:noWrap w:val="0"/>
            <w:vAlign w:val="center"/>
          </w:tcPr>
          <w:p w14:paraId="390B49D0">
            <w:pPr>
              <w:spacing w:line="400" w:lineRule="exact"/>
              <w:ind w:firstLine="480" w:firstLineChars="200"/>
              <w:rPr>
                <w:rFonts w:ascii="宋体" w:hAnsi="宋体" w:cs="宋体"/>
                <w:sz w:val="24"/>
                <w:szCs w:val="24"/>
                <w:highlight w:val="none"/>
              </w:rPr>
            </w:pPr>
          </w:p>
        </w:tc>
      </w:tr>
      <w:tr w14:paraId="6FA8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388C5C6">
            <w:pPr>
              <w:spacing w:line="400" w:lineRule="exact"/>
              <w:ind w:firstLine="480" w:firstLineChars="200"/>
              <w:rPr>
                <w:rFonts w:ascii="宋体" w:hAnsi="宋体" w:cs="宋体"/>
                <w:sz w:val="24"/>
                <w:szCs w:val="24"/>
                <w:highlight w:val="none"/>
              </w:rPr>
            </w:pPr>
          </w:p>
        </w:tc>
        <w:tc>
          <w:tcPr>
            <w:tcW w:w="1418" w:type="dxa"/>
            <w:noWrap w:val="0"/>
            <w:vAlign w:val="center"/>
          </w:tcPr>
          <w:p w14:paraId="25F74C4E">
            <w:pPr>
              <w:spacing w:line="400" w:lineRule="exact"/>
              <w:ind w:firstLine="480" w:firstLineChars="200"/>
              <w:rPr>
                <w:rFonts w:ascii="宋体" w:hAnsi="宋体" w:cs="宋体"/>
                <w:sz w:val="24"/>
                <w:szCs w:val="24"/>
                <w:highlight w:val="none"/>
              </w:rPr>
            </w:pPr>
          </w:p>
        </w:tc>
        <w:tc>
          <w:tcPr>
            <w:tcW w:w="1418" w:type="dxa"/>
            <w:noWrap w:val="0"/>
            <w:vAlign w:val="center"/>
          </w:tcPr>
          <w:p w14:paraId="6B0D03D4">
            <w:pPr>
              <w:spacing w:line="400" w:lineRule="exact"/>
              <w:ind w:firstLine="480" w:firstLineChars="200"/>
              <w:rPr>
                <w:rFonts w:ascii="宋体" w:hAnsi="宋体" w:cs="宋体"/>
                <w:sz w:val="24"/>
                <w:szCs w:val="24"/>
                <w:highlight w:val="none"/>
              </w:rPr>
            </w:pPr>
          </w:p>
        </w:tc>
        <w:tc>
          <w:tcPr>
            <w:tcW w:w="2917" w:type="dxa"/>
            <w:noWrap w:val="0"/>
            <w:vAlign w:val="center"/>
          </w:tcPr>
          <w:p w14:paraId="6C736897">
            <w:pPr>
              <w:spacing w:line="400" w:lineRule="exact"/>
              <w:ind w:firstLine="480" w:firstLineChars="200"/>
              <w:rPr>
                <w:rFonts w:ascii="宋体" w:hAnsi="宋体" w:cs="宋体"/>
                <w:sz w:val="24"/>
                <w:szCs w:val="24"/>
                <w:highlight w:val="none"/>
              </w:rPr>
            </w:pPr>
          </w:p>
        </w:tc>
      </w:tr>
      <w:tr w14:paraId="14EF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706792F5">
            <w:pPr>
              <w:spacing w:line="400" w:lineRule="exact"/>
              <w:ind w:firstLine="480" w:firstLineChars="200"/>
              <w:rPr>
                <w:rFonts w:ascii="宋体" w:hAnsi="宋体" w:cs="宋体"/>
                <w:sz w:val="24"/>
                <w:szCs w:val="24"/>
                <w:highlight w:val="none"/>
              </w:rPr>
            </w:pPr>
          </w:p>
        </w:tc>
        <w:tc>
          <w:tcPr>
            <w:tcW w:w="1418" w:type="dxa"/>
            <w:noWrap w:val="0"/>
            <w:vAlign w:val="center"/>
          </w:tcPr>
          <w:p w14:paraId="336ADDF3">
            <w:pPr>
              <w:spacing w:line="400" w:lineRule="exact"/>
              <w:ind w:firstLine="480" w:firstLineChars="200"/>
              <w:rPr>
                <w:rFonts w:ascii="宋体" w:hAnsi="宋体" w:cs="宋体"/>
                <w:sz w:val="24"/>
                <w:szCs w:val="24"/>
                <w:highlight w:val="none"/>
              </w:rPr>
            </w:pPr>
          </w:p>
        </w:tc>
        <w:tc>
          <w:tcPr>
            <w:tcW w:w="1418" w:type="dxa"/>
            <w:noWrap w:val="0"/>
            <w:vAlign w:val="center"/>
          </w:tcPr>
          <w:p w14:paraId="4DA06BC7">
            <w:pPr>
              <w:spacing w:line="400" w:lineRule="exact"/>
              <w:ind w:firstLine="480" w:firstLineChars="200"/>
              <w:rPr>
                <w:rFonts w:ascii="宋体" w:hAnsi="宋体" w:cs="宋体"/>
                <w:sz w:val="24"/>
                <w:szCs w:val="24"/>
                <w:highlight w:val="none"/>
              </w:rPr>
            </w:pPr>
          </w:p>
        </w:tc>
        <w:tc>
          <w:tcPr>
            <w:tcW w:w="2917" w:type="dxa"/>
            <w:noWrap w:val="0"/>
            <w:vAlign w:val="center"/>
          </w:tcPr>
          <w:p w14:paraId="2BFAD88A">
            <w:pPr>
              <w:spacing w:line="400" w:lineRule="exact"/>
              <w:ind w:firstLine="480" w:firstLineChars="200"/>
              <w:rPr>
                <w:rFonts w:ascii="宋体" w:hAnsi="宋体" w:cs="宋体"/>
                <w:sz w:val="24"/>
                <w:szCs w:val="24"/>
                <w:highlight w:val="none"/>
              </w:rPr>
            </w:pPr>
          </w:p>
        </w:tc>
      </w:tr>
      <w:tr w14:paraId="2623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77F9513B">
            <w:pPr>
              <w:spacing w:line="400" w:lineRule="exact"/>
              <w:ind w:firstLine="480" w:firstLineChars="200"/>
              <w:rPr>
                <w:rFonts w:ascii="宋体" w:hAnsi="宋体" w:cs="宋体"/>
                <w:sz w:val="24"/>
                <w:szCs w:val="24"/>
                <w:highlight w:val="none"/>
              </w:rPr>
            </w:pPr>
          </w:p>
        </w:tc>
        <w:tc>
          <w:tcPr>
            <w:tcW w:w="1418" w:type="dxa"/>
            <w:noWrap w:val="0"/>
            <w:vAlign w:val="center"/>
          </w:tcPr>
          <w:p w14:paraId="5843B57B">
            <w:pPr>
              <w:spacing w:line="400" w:lineRule="exact"/>
              <w:ind w:firstLine="480" w:firstLineChars="200"/>
              <w:rPr>
                <w:rFonts w:ascii="宋体" w:hAnsi="宋体" w:cs="宋体"/>
                <w:sz w:val="24"/>
                <w:szCs w:val="24"/>
                <w:highlight w:val="none"/>
              </w:rPr>
            </w:pPr>
          </w:p>
        </w:tc>
        <w:tc>
          <w:tcPr>
            <w:tcW w:w="1418" w:type="dxa"/>
            <w:noWrap w:val="0"/>
            <w:vAlign w:val="center"/>
          </w:tcPr>
          <w:p w14:paraId="6A7A5D5B">
            <w:pPr>
              <w:spacing w:line="400" w:lineRule="exact"/>
              <w:ind w:firstLine="480" w:firstLineChars="200"/>
              <w:rPr>
                <w:rFonts w:ascii="宋体" w:hAnsi="宋体" w:cs="宋体"/>
                <w:sz w:val="24"/>
                <w:szCs w:val="24"/>
                <w:highlight w:val="none"/>
              </w:rPr>
            </w:pPr>
          </w:p>
        </w:tc>
        <w:tc>
          <w:tcPr>
            <w:tcW w:w="2917" w:type="dxa"/>
            <w:noWrap w:val="0"/>
            <w:vAlign w:val="center"/>
          </w:tcPr>
          <w:p w14:paraId="5CAEF66A">
            <w:pPr>
              <w:spacing w:line="400" w:lineRule="exact"/>
              <w:ind w:firstLine="480" w:firstLineChars="200"/>
              <w:rPr>
                <w:rFonts w:ascii="宋体" w:hAnsi="宋体" w:cs="宋体"/>
                <w:sz w:val="24"/>
                <w:szCs w:val="24"/>
                <w:highlight w:val="none"/>
              </w:rPr>
            </w:pPr>
          </w:p>
        </w:tc>
      </w:tr>
      <w:tr w14:paraId="4E7B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9BC6298">
            <w:pPr>
              <w:spacing w:line="400" w:lineRule="exact"/>
              <w:ind w:firstLine="480" w:firstLineChars="200"/>
              <w:rPr>
                <w:rFonts w:ascii="宋体" w:hAnsi="宋体" w:cs="宋体"/>
                <w:sz w:val="24"/>
                <w:szCs w:val="24"/>
                <w:highlight w:val="none"/>
              </w:rPr>
            </w:pPr>
          </w:p>
        </w:tc>
        <w:tc>
          <w:tcPr>
            <w:tcW w:w="1418" w:type="dxa"/>
            <w:noWrap w:val="0"/>
            <w:vAlign w:val="center"/>
          </w:tcPr>
          <w:p w14:paraId="44FB1EE7">
            <w:pPr>
              <w:spacing w:line="400" w:lineRule="exact"/>
              <w:ind w:firstLine="480" w:firstLineChars="200"/>
              <w:rPr>
                <w:rFonts w:ascii="宋体" w:hAnsi="宋体" w:cs="宋体"/>
                <w:sz w:val="24"/>
                <w:szCs w:val="24"/>
                <w:highlight w:val="none"/>
              </w:rPr>
            </w:pPr>
          </w:p>
        </w:tc>
        <w:tc>
          <w:tcPr>
            <w:tcW w:w="1418" w:type="dxa"/>
            <w:noWrap w:val="0"/>
            <w:vAlign w:val="center"/>
          </w:tcPr>
          <w:p w14:paraId="7095C5C6">
            <w:pPr>
              <w:spacing w:line="400" w:lineRule="exact"/>
              <w:ind w:firstLine="480" w:firstLineChars="200"/>
              <w:rPr>
                <w:rFonts w:ascii="宋体" w:hAnsi="宋体" w:cs="宋体"/>
                <w:sz w:val="24"/>
                <w:szCs w:val="24"/>
                <w:highlight w:val="none"/>
              </w:rPr>
            </w:pPr>
          </w:p>
        </w:tc>
        <w:tc>
          <w:tcPr>
            <w:tcW w:w="2917" w:type="dxa"/>
            <w:noWrap w:val="0"/>
            <w:vAlign w:val="center"/>
          </w:tcPr>
          <w:p w14:paraId="2CC6E033">
            <w:pPr>
              <w:spacing w:line="400" w:lineRule="exact"/>
              <w:ind w:firstLine="480" w:firstLineChars="200"/>
              <w:rPr>
                <w:rFonts w:ascii="宋体" w:hAnsi="宋体" w:cs="宋体"/>
                <w:sz w:val="24"/>
                <w:szCs w:val="24"/>
                <w:highlight w:val="none"/>
              </w:rPr>
            </w:pPr>
          </w:p>
        </w:tc>
      </w:tr>
      <w:tr w14:paraId="4A98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4BA19629">
            <w:pPr>
              <w:spacing w:line="400" w:lineRule="exact"/>
              <w:ind w:firstLine="480" w:firstLineChars="200"/>
              <w:rPr>
                <w:rFonts w:ascii="宋体" w:hAnsi="宋体" w:cs="宋体"/>
                <w:sz w:val="24"/>
                <w:szCs w:val="24"/>
                <w:highlight w:val="none"/>
              </w:rPr>
            </w:pPr>
          </w:p>
        </w:tc>
        <w:tc>
          <w:tcPr>
            <w:tcW w:w="1418" w:type="dxa"/>
            <w:noWrap w:val="0"/>
            <w:vAlign w:val="center"/>
          </w:tcPr>
          <w:p w14:paraId="43C6F53E">
            <w:pPr>
              <w:spacing w:line="400" w:lineRule="exact"/>
              <w:ind w:firstLine="480" w:firstLineChars="200"/>
              <w:rPr>
                <w:rFonts w:ascii="宋体" w:hAnsi="宋体" w:cs="宋体"/>
                <w:sz w:val="24"/>
                <w:szCs w:val="24"/>
                <w:highlight w:val="none"/>
              </w:rPr>
            </w:pPr>
          </w:p>
        </w:tc>
        <w:tc>
          <w:tcPr>
            <w:tcW w:w="1418" w:type="dxa"/>
            <w:noWrap w:val="0"/>
            <w:vAlign w:val="center"/>
          </w:tcPr>
          <w:p w14:paraId="20024DB2">
            <w:pPr>
              <w:spacing w:line="400" w:lineRule="exact"/>
              <w:ind w:firstLine="480" w:firstLineChars="200"/>
              <w:rPr>
                <w:rFonts w:ascii="宋体" w:hAnsi="宋体" w:cs="宋体"/>
                <w:sz w:val="24"/>
                <w:szCs w:val="24"/>
                <w:highlight w:val="none"/>
              </w:rPr>
            </w:pPr>
          </w:p>
        </w:tc>
        <w:tc>
          <w:tcPr>
            <w:tcW w:w="2917" w:type="dxa"/>
            <w:noWrap w:val="0"/>
            <w:vAlign w:val="center"/>
          </w:tcPr>
          <w:p w14:paraId="02A54D9C">
            <w:pPr>
              <w:spacing w:line="400" w:lineRule="exact"/>
              <w:ind w:firstLine="480" w:firstLineChars="200"/>
              <w:rPr>
                <w:rFonts w:ascii="宋体" w:hAnsi="宋体" w:cs="宋体"/>
                <w:sz w:val="24"/>
                <w:szCs w:val="24"/>
                <w:highlight w:val="none"/>
              </w:rPr>
            </w:pPr>
          </w:p>
        </w:tc>
      </w:tr>
      <w:tr w14:paraId="5B09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039FE1D9">
            <w:pPr>
              <w:spacing w:line="400" w:lineRule="exact"/>
              <w:ind w:firstLine="480" w:firstLineChars="200"/>
              <w:rPr>
                <w:rFonts w:ascii="宋体" w:hAnsi="宋体" w:cs="宋体"/>
                <w:sz w:val="24"/>
                <w:szCs w:val="24"/>
                <w:highlight w:val="none"/>
              </w:rPr>
            </w:pPr>
          </w:p>
        </w:tc>
        <w:tc>
          <w:tcPr>
            <w:tcW w:w="1418" w:type="dxa"/>
            <w:noWrap w:val="0"/>
            <w:vAlign w:val="center"/>
          </w:tcPr>
          <w:p w14:paraId="19CE5E81">
            <w:pPr>
              <w:spacing w:line="400" w:lineRule="exact"/>
              <w:ind w:firstLine="480" w:firstLineChars="200"/>
              <w:rPr>
                <w:rFonts w:ascii="宋体" w:hAnsi="宋体" w:cs="宋体"/>
                <w:sz w:val="24"/>
                <w:szCs w:val="24"/>
                <w:highlight w:val="none"/>
              </w:rPr>
            </w:pPr>
          </w:p>
        </w:tc>
        <w:tc>
          <w:tcPr>
            <w:tcW w:w="1418" w:type="dxa"/>
            <w:noWrap w:val="0"/>
            <w:vAlign w:val="center"/>
          </w:tcPr>
          <w:p w14:paraId="2AF3016C">
            <w:pPr>
              <w:spacing w:line="400" w:lineRule="exact"/>
              <w:ind w:firstLine="480" w:firstLineChars="200"/>
              <w:rPr>
                <w:rFonts w:ascii="宋体" w:hAnsi="宋体" w:cs="宋体"/>
                <w:sz w:val="24"/>
                <w:szCs w:val="24"/>
                <w:highlight w:val="none"/>
              </w:rPr>
            </w:pPr>
          </w:p>
        </w:tc>
        <w:tc>
          <w:tcPr>
            <w:tcW w:w="2917" w:type="dxa"/>
            <w:noWrap w:val="0"/>
            <w:vAlign w:val="center"/>
          </w:tcPr>
          <w:p w14:paraId="4CA2E8EF">
            <w:pPr>
              <w:spacing w:line="400" w:lineRule="exact"/>
              <w:ind w:firstLine="480" w:firstLineChars="200"/>
              <w:rPr>
                <w:rFonts w:ascii="宋体" w:hAnsi="宋体" w:cs="宋体"/>
                <w:sz w:val="24"/>
                <w:szCs w:val="24"/>
                <w:highlight w:val="none"/>
              </w:rPr>
            </w:pPr>
          </w:p>
        </w:tc>
      </w:tr>
      <w:tr w14:paraId="1A8B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2C36F930">
            <w:pPr>
              <w:spacing w:line="400" w:lineRule="exact"/>
              <w:ind w:firstLine="480" w:firstLineChars="200"/>
              <w:rPr>
                <w:rFonts w:ascii="宋体" w:hAnsi="宋体" w:cs="宋体"/>
                <w:sz w:val="24"/>
                <w:szCs w:val="24"/>
                <w:highlight w:val="none"/>
              </w:rPr>
            </w:pPr>
          </w:p>
        </w:tc>
        <w:tc>
          <w:tcPr>
            <w:tcW w:w="1418" w:type="dxa"/>
            <w:noWrap w:val="0"/>
            <w:vAlign w:val="top"/>
          </w:tcPr>
          <w:p w14:paraId="03E359FD">
            <w:pPr>
              <w:spacing w:line="400" w:lineRule="exact"/>
              <w:ind w:firstLine="480" w:firstLineChars="200"/>
              <w:rPr>
                <w:rFonts w:ascii="宋体" w:hAnsi="宋体" w:cs="宋体"/>
                <w:sz w:val="24"/>
                <w:szCs w:val="24"/>
                <w:highlight w:val="none"/>
              </w:rPr>
            </w:pPr>
          </w:p>
        </w:tc>
        <w:tc>
          <w:tcPr>
            <w:tcW w:w="1418" w:type="dxa"/>
            <w:noWrap w:val="0"/>
            <w:vAlign w:val="top"/>
          </w:tcPr>
          <w:p w14:paraId="35440A6A">
            <w:pPr>
              <w:spacing w:line="400" w:lineRule="exact"/>
              <w:ind w:firstLine="480" w:firstLineChars="200"/>
              <w:rPr>
                <w:rFonts w:ascii="宋体" w:hAnsi="宋体" w:cs="宋体"/>
                <w:sz w:val="24"/>
                <w:szCs w:val="24"/>
                <w:highlight w:val="none"/>
              </w:rPr>
            </w:pPr>
          </w:p>
        </w:tc>
        <w:tc>
          <w:tcPr>
            <w:tcW w:w="2917" w:type="dxa"/>
            <w:noWrap w:val="0"/>
            <w:vAlign w:val="top"/>
          </w:tcPr>
          <w:p w14:paraId="127FD06E">
            <w:pPr>
              <w:spacing w:line="400" w:lineRule="exact"/>
              <w:ind w:firstLine="480" w:firstLineChars="200"/>
              <w:rPr>
                <w:rFonts w:ascii="宋体" w:hAnsi="宋体" w:cs="宋体"/>
                <w:sz w:val="24"/>
                <w:szCs w:val="24"/>
                <w:highlight w:val="none"/>
              </w:rPr>
            </w:pPr>
          </w:p>
        </w:tc>
      </w:tr>
      <w:tr w14:paraId="67C3C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14:paraId="6BEE5424">
            <w:pPr>
              <w:spacing w:line="400" w:lineRule="exact"/>
              <w:ind w:firstLine="480" w:firstLineChars="200"/>
              <w:rPr>
                <w:rFonts w:ascii="宋体" w:hAnsi="宋体" w:cs="宋体"/>
                <w:sz w:val="24"/>
                <w:szCs w:val="24"/>
                <w:highlight w:val="none"/>
              </w:rPr>
            </w:pPr>
          </w:p>
        </w:tc>
        <w:tc>
          <w:tcPr>
            <w:tcW w:w="1418" w:type="dxa"/>
            <w:noWrap w:val="0"/>
            <w:vAlign w:val="center"/>
          </w:tcPr>
          <w:p w14:paraId="10088953">
            <w:pPr>
              <w:spacing w:line="400" w:lineRule="exact"/>
              <w:ind w:firstLine="480" w:firstLineChars="200"/>
              <w:rPr>
                <w:rFonts w:ascii="宋体" w:hAnsi="宋体" w:cs="宋体"/>
                <w:sz w:val="24"/>
                <w:szCs w:val="24"/>
                <w:highlight w:val="none"/>
              </w:rPr>
            </w:pPr>
          </w:p>
        </w:tc>
        <w:tc>
          <w:tcPr>
            <w:tcW w:w="1418" w:type="dxa"/>
            <w:noWrap w:val="0"/>
            <w:vAlign w:val="center"/>
          </w:tcPr>
          <w:p w14:paraId="14560518">
            <w:pPr>
              <w:spacing w:line="400" w:lineRule="exact"/>
              <w:ind w:firstLine="480" w:firstLineChars="200"/>
              <w:rPr>
                <w:rFonts w:ascii="宋体" w:hAnsi="宋体" w:cs="宋体"/>
                <w:sz w:val="24"/>
                <w:szCs w:val="24"/>
                <w:highlight w:val="none"/>
              </w:rPr>
            </w:pPr>
          </w:p>
        </w:tc>
        <w:tc>
          <w:tcPr>
            <w:tcW w:w="2917" w:type="dxa"/>
            <w:noWrap w:val="0"/>
            <w:vAlign w:val="center"/>
          </w:tcPr>
          <w:p w14:paraId="282B44FE">
            <w:pPr>
              <w:spacing w:line="400" w:lineRule="exact"/>
              <w:ind w:firstLine="480" w:firstLineChars="200"/>
              <w:rPr>
                <w:rFonts w:ascii="宋体" w:hAnsi="宋体" w:cs="宋体"/>
                <w:sz w:val="24"/>
                <w:szCs w:val="24"/>
                <w:highlight w:val="none"/>
              </w:rPr>
            </w:pPr>
          </w:p>
        </w:tc>
      </w:tr>
      <w:tr w14:paraId="5CC8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36816D47">
            <w:pPr>
              <w:spacing w:line="400" w:lineRule="exact"/>
              <w:ind w:firstLine="480" w:firstLineChars="200"/>
              <w:rPr>
                <w:rFonts w:ascii="宋体" w:hAnsi="宋体" w:cs="宋体"/>
                <w:sz w:val="24"/>
                <w:szCs w:val="24"/>
                <w:highlight w:val="none"/>
              </w:rPr>
            </w:pPr>
          </w:p>
        </w:tc>
        <w:tc>
          <w:tcPr>
            <w:tcW w:w="1418" w:type="dxa"/>
            <w:noWrap w:val="0"/>
            <w:vAlign w:val="top"/>
          </w:tcPr>
          <w:p w14:paraId="1CFA2268">
            <w:pPr>
              <w:spacing w:line="400" w:lineRule="exact"/>
              <w:ind w:firstLine="480" w:firstLineChars="200"/>
              <w:rPr>
                <w:rFonts w:ascii="宋体" w:hAnsi="宋体" w:cs="宋体"/>
                <w:sz w:val="24"/>
                <w:szCs w:val="24"/>
                <w:highlight w:val="none"/>
              </w:rPr>
            </w:pPr>
          </w:p>
        </w:tc>
        <w:tc>
          <w:tcPr>
            <w:tcW w:w="1418" w:type="dxa"/>
            <w:noWrap w:val="0"/>
            <w:vAlign w:val="top"/>
          </w:tcPr>
          <w:p w14:paraId="082E30C5">
            <w:pPr>
              <w:spacing w:line="400" w:lineRule="exact"/>
              <w:ind w:firstLine="480" w:firstLineChars="200"/>
              <w:rPr>
                <w:rFonts w:ascii="宋体" w:hAnsi="宋体" w:cs="宋体"/>
                <w:sz w:val="24"/>
                <w:szCs w:val="24"/>
                <w:highlight w:val="none"/>
              </w:rPr>
            </w:pPr>
          </w:p>
        </w:tc>
        <w:tc>
          <w:tcPr>
            <w:tcW w:w="2917" w:type="dxa"/>
            <w:noWrap w:val="0"/>
            <w:vAlign w:val="top"/>
          </w:tcPr>
          <w:p w14:paraId="0147D240">
            <w:pPr>
              <w:spacing w:line="400" w:lineRule="exact"/>
              <w:ind w:firstLine="480" w:firstLineChars="200"/>
              <w:rPr>
                <w:rFonts w:ascii="宋体" w:hAnsi="宋体" w:cs="宋体"/>
                <w:sz w:val="24"/>
                <w:szCs w:val="24"/>
                <w:highlight w:val="none"/>
              </w:rPr>
            </w:pPr>
          </w:p>
        </w:tc>
      </w:tr>
      <w:tr w14:paraId="19B9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6615566D">
            <w:pPr>
              <w:spacing w:line="400" w:lineRule="exact"/>
              <w:ind w:firstLine="480" w:firstLineChars="200"/>
              <w:rPr>
                <w:rFonts w:ascii="宋体" w:hAnsi="宋体" w:cs="宋体"/>
                <w:sz w:val="24"/>
                <w:szCs w:val="24"/>
                <w:highlight w:val="none"/>
              </w:rPr>
            </w:pPr>
          </w:p>
        </w:tc>
        <w:tc>
          <w:tcPr>
            <w:tcW w:w="1418" w:type="dxa"/>
            <w:noWrap w:val="0"/>
            <w:vAlign w:val="top"/>
          </w:tcPr>
          <w:p w14:paraId="2A6804E0">
            <w:pPr>
              <w:spacing w:line="400" w:lineRule="exact"/>
              <w:ind w:firstLine="480" w:firstLineChars="200"/>
              <w:rPr>
                <w:rFonts w:ascii="宋体" w:hAnsi="宋体" w:cs="宋体"/>
                <w:sz w:val="24"/>
                <w:szCs w:val="24"/>
                <w:highlight w:val="none"/>
              </w:rPr>
            </w:pPr>
          </w:p>
        </w:tc>
        <w:tc>
          <w:tcPr>
            <w:tcW w:w="1418" w:type="dxa"/>
            <w:noWrap w:val="0"/>
            <w:vAlign w:val="top"/>
          </w:tcPr>
          <w:p w14:paraId="41C91016">
            <w:pPr>
              <w:spacing w:line="400" w:lineRule="exact"/>
              <w:ind w:firstLine="480" w:firstLineChars="200"/>
              <w:rPr>
                <w:rFonts w:ascii="宋体" w:hAnsi="宋体" w:cs="宋体"/>
                <w:sz w:val="24"/>
                <w:szCs w:val="24"/>
                <w:highlight w:val="none"/>
              </w:rPr>
            </w:pPr>
          </w:p>
        </w:tc>
        <w:tc>
          <w:tcPr>
            <w:tcW w:w="2917" w:type="dxa"/>
            <w:noWrap w:val="0"/>
            <w:vAlign w:val="top"/>
          </w:tcPr>
          <w:p w14:paraId="026DEBE2">
            <w:pPr>
              <w:spacing w:line="400" w:lineRule="exact"/>
              <w:ind w:firstLine="480" w:firstLineChars="200"/>
              <w:rPr>
                <w:rFonts w:ascii="宋体" w:hAnsi="宋体" w:cs="宋体"/>
                <w:sz w:val="24"/>
                <w:szCs w:val="24"/>
                <w:highlight w:val="none"/>
              </w:rPr>
            </w:pPr>
          </w:p>
        </w:tc>
      </w:tr>
      <w:tr w14:paraId="26AF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36F80123">
            <w:pPr>
              <w:spacing w:line="400" w:lineRule="exact"/>
              <w:ind w:firstLine="480" w:firstLineChars="200"/>
              <w:rPr>
                <w:rFonts w:ascii="宋体" w:hAnsi="宋体" w:cs="宋体"/>
                <w:sz w:val="24"/>
                <w:szCs w:val="24"/>
                <w:highlight w:val="none"/>
              </w:rPr>
            </w:pPr>
          </w:p>
        </w:tc>
        <w:tc>
          <w:tcPr>
            <w:tcW w:w="1418" w:type="dxa"/>
            <w:noWrap w:val="0"/>
            <w:vAlign w:val="top"/>
          </w:tcPr>
          <w:p w14:paraId="5CD77F80">
            <w:pPr>
              <w:spacing w:line="400" w:lineRule="exact"/>
              <w:ind w:firstLine="480" w:firstLineChars="200"/>
              <w:rPr>
                <w:rFonts w:ascii="宋体" w:hAnsi="宋体" w:cs="宋体"/>
                <w:sz w:val="24"/>
                <w:szCs w:val="24"/>
                <w:highlight w:val="none"/>
              </w:rPr>
            </w:pPr>
          </w:p>
        </w:tc>
        <w:tc>
          <w:tcPr>
            <w:tcW w:w="1418" w:type="dxa"/>
            <w:noWrap w:val="0"/>
            <w:vAlign w:val="top"/>
          </w:tcPr>
          <w:p w14:paraId="49A4F986">
            <w:pPr>
              <w:spacing w:line="400" w:lineRule="exact"/>
              <w:ind w:firstLine="480" w:firstLineChars="200"/>
              <w:rPr>
                <w:rFonts w:ascii="宋体" w:hAnsi="宋体" w:cs="宋体"/>
                <w:sz w:val="24"/>
                <w:szCs w:val="24"/>
                <w:highlight w:val="none"/>
              </w:rPr>
            </w:pPr>
          </w:p>
        </w:tc>
        <w:tc>
          <w:tcPr>
            <w:tcW w:w="2917" w:type="dxa"/>
            <w:noWrap w:val="0"/>
            <w:vAlign w:val="top"/>
          </w:tcPr>
          <w:p w14:paraId="2BC63587">
            <w:pPr>
              <w:spacing w:line="400" w:lineRule="exact"/>
              <w:ind w:firstLine="480" w:firstLineChars="200"/>
              <w:rPr>
                <w:rFonts w:ascii="宋体" w:hAnsi="宋体" w:cs="宋体"/>
                <w:sz w:val="24"/>
                <w:szCs w:val="24"/>
                <w:highlight w:val="none"/>
              </w:rPr>
            </w:pPr>
          </w:p>
        </w:tc>
      </w:tr>
      <w:tr w14:paraId="1207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09EAFDB">
            <w:pPr>
              <w:spacing w:line="400" w:lineRule="exact"/>
              <w:ind w:firstLine="480" w:firstLineChars="200"/>
              <w:rPr>
                <w:rFonts w:ascii="宋体" w:hAnsi="宋体" w:cs="宋体"/>
                <w:sz w:val="24"/>
                <w:szCs w:val="24"/>
                <w:highlight w:val="none"/>
              </w:rPr>
            </w:pPr>
          </w:p>
        </w:tc>
        <w:tc>
          <w:tcPr>
            <w:tcW w:w="1418" w:type="dxa"/>
            <w:noWrap w:val="0"/>
            <w:vAlign w:val="top"/>
          </w:tcPr>
          <w:p w14:paraId="1FD9C42F">
            <w:pPr>
              <w:spacing w:line="400" w:lineRule="exact"/>
              <w:ind w:firstLine="480" w:firstLineChars="200"/>
              <w:rPr>
                <w:rFonts w:ascii="宋体" w:hAnsi="宋体" w:cs="宋体"/>
                <w:sz w:val="24"/>
                <w:szCs w:val="24"/>
                <w:highlight w:val="none"/>
              </w:rPr>
            </w:pPr>
          </w:p>
        </w:tc>
        <w:tc>
          <w:tcPr>
            <w:tcW w:w="1418" w:type="dxa"/>
            <w:noWrap w:val="0"/>
            <w:vAlign w:val="top"/>
          </w:tcPr>
          <w:p w14:paraId="128D55E8">
            <w:pPr>
              <w:spacing w:line="400" w:lineRule="exact"/>
              <w:ind w:firstLine="480" w:firstLineChars="200"/>
              <w:rPr>
                <w:rFonts w:ascii="宋体" w:hAnsi="宋体" w:cs="宋体"/>
                <w:sz w:val="24"/>
                <w:szCs w:val="24"/>
                <w:highlight w:val="none"/>
              </w:rPr>
            </w:pPr>
          </w:p>
        </w:tc>
        <w:tc>
          <w:tcPr>
            <w:tcW w:w="2917" w:type="dxa"/>
            <w:noWrap w:val="0"/>
            <w:vAlign w:val="top"/>
          </w:tcPr>
          <w:p w14:paraId="534C8470">
            <w:pPr>
              <w:spacing w:line="400" w:lineRule="exact"/>
              <w:ind w:firstLine="480" w:firstLineChars="200"/>
              <w:rPr>
                <w:rFonts w:ascii="宋体" w:hAnsi="宋体" w:cs="宋体"/>
                <w:sz w:val="24"/>
                <w:szCs w:val="24"/>
                <w:highlight w:val="none"/>
              </w:rPr>
            </w:pPr>
          </w:p>
        </w:tc>
      </w:tr>
      <w:tr w14:paraId="3C59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4A634DD">
            <w:pPr>
              <w:spacing w:line="400" w:lineRule="exact"/>
              <w:ind w:firstLine="480" w:firstLineChars="200"/>
              <w:rPr>
                <w:rFonts w:ascii="宋体" w:hAnsi="宋体" w:cs="宋体"/>
                <w:sz w:val="24"/>
                <w:szCs w:val="24"/>
                <w:highlight w:val="none"/>
              </w:rPr>
            </w:pPr>
          </w:p>
        </w:tc>
        <w:tc>
          <w:tcPr>
            <w:tcW w:w="1418" w:type="dxa"/>
            <w:noWrap w:val="0"/>
            <w:vAlign w:val="top"/>
          </w:tcPr>
          <w:p w14:paraId="3E7AB0A8">
            <w:pPr>
              <w:spacing w:line="400" w:lineRule="exact"/>
              <w:ind w:firstLine="480" w:firstLineChars="200"/>
              <w:rPr>
                <w:rFonts w:ascii="宋体" w:hAnsi="宋体" w:cs="宋体"/>
                <w:sz w:val="24"/>
                <w:szCs w:val="24"/>
                <w:highlight w:val="none"/>
              </w:rPr>
            </w:pPr>
          </w:p>
        </w:tc>
        <w:tc>
          <w:tcPr>
            <w:tcW w:w="1418" w:type="dxa"/>
            <w:noWrap w:val="0"/>
            <w:vAlign w:val="top"/>
          </w:tcPr>
          <w:p w14:paraId="5F840929">
            <w:pPr>
              <w:spacing w:line="400" w:lineRule="exact"/>
              <w:ind w:firstLine="480" w:firstLineChars="200"/>
              <w:rPr>
                <w:rFonts w:ascii="宋体" w:hAnsi="宋体" w:cs="宋体"/>
                <w:sz w:val="24"/>
                <w:szCs w:val="24"/>
                <w:highlight w:val="none"/>
              </w:rPr>
            </w:pPr>
          </w:p>
        </w:tc>
        <w:tc>
          <w:tcPr>
            <w:tcW w:w="2917" w:type="dxa"/>
            <w:noWrap w:val="0"/>
            <w:vAlign w:val="top"/>
          </w:tcPr>
          <w:p w14:paraId="6A06D4FB">
            <w:pPr>
              <w:spacing w:line="400" w:lineRule="exact"/>
              <w:ind w:firstLine="480" w:firstLineChars="200"/>
              <w:rPr>
                <w:rFonts w:ascii="宋体" w:hAnsi="宋体" w:cs="宋体"/>
                <w:sz w:val="24"/>
                <w:szCs w:val="24"/>
                <w:highlight w:val="none"/>
              </w:rPr>
            </w:pPr>
          </w:p>
        </w:tc>
      </w:tr>
      <w:tr w14:paraId="7D789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46806E97">
            <w:pPr>
              <w:spacing w:line="400" w:lineRule="exact"/>
              <w:ind w:firstLine="480" w:firstLineChars="200"/>
              <w:rPr>
                <w:rFonts w:ascii="宋体" w:hAnsi="宋体" w:cs="宋体"/>
                <w:sz w:val="24"/>
                <w:szCs w:val="24"/>
                <w:highlight w:val="none"/>
              </w:rPr>
            </w:pPr>
          </w:p>
        </w:tc>
        <w:tc>
          <w:tcPr>
            <w:tcW w:w="1418" w:type="dxa"/>
            <w:noWrap w:val="0"/>
            <w:vAlign w:val="top"/>
          </w:tcPr>
          <w:p w14:paraId="69887F0B">
            <w:pPr>
              <w:spacing w:line="400" w:lineRule="exact"/>
              <w:ind w:firstLine="480" w:firstLineChars="200"/>
              <w:rPr>
                <w:rFonts w:ascii="宋体" w:hAnsi="宋体" w:cs="宋体"/>
                <w:sz w:val="24"/>
                <w:szCs w:val="24"/>
                <w:highlight w:val="none"/>
              </w:rPr>
            </w:pPr>
          </w:p>
        </w:tc>
        <w:tc>
          <w:tcPr>
            <w:tcW w:w="1418" w:type="dxa"/>
            <w:noWrap w:val="0"/>
            <w:vAlign w:val="top"/>
          </w:tcPr>
          <w:p w14:paraId="2A0BF928">
            <w:pPr>
              <w:spacing w:line="400" w:lineRule="exact"/>
              <w:ind w:firstLine="480" w:firstLineChars="200"/>
              <w:rPr>
                <w:rFonts w:ascii="宋体" w:hAnsi="宋体" w:cs="宋体"/>
                <w:sz w:val="24"/>
                <w:szCs w:val="24"/>
                <w:highlight w:val="none"/>
              </w:rPr>
            </w:pPr>
          </w:p>
        </w:tc>
        <w:tc>
          <w:tcPr>
            <w:tcW w:w="2917" w:type="dxa"/>
            <w:noWrap w:val="0"/>
            <w:vAlign w:val="top"/>
          </w:tcPr>
          <w:p w14:paraId="221650C5">
            <w:pPr>
              <w:spacing w:line="400" w:lineRule="exact"/>
              <w:ind w:firstLine="480" w:firstLineChars="200"/>
              <w:rPr>
                <w:rFonts w:ascii="宋体" w:hAnsi="宋体" w:cs="宋体"/>
                <w:sz w:val="24"/>
                <w:szCs w:val="24"/>
                <w:highlight w:val="none"/>
              </w:rPr>
            </w:pPr>
          </w:p>
        </w:tc>
      </w:tr>
      <w:tr w14:paraId="3852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69AF8A23">
            <w:pPr>
              <w:spacing w:line="400" w:lineRule="exact"/>
              <w:ind w:firstLine="480" w:firstLineChars="200"/>
              <w:rPr>
                <w:rFonts w:ascii="宋体" w:hAnsi="宋体" w:cs="宋体"/>
                <w:sz w:val="24"/>
                <w:szCs w:val="24"/>
                <w:highlight w:val="none"/>
              </w:rPr>
            </w:pPr>
          </w:p>
        </w:tc>
        <w:tc>
          <w:tcPr>
            <w:tcW w:w="1418" w:type="dxa"/>
            <w:noWrap w:val="0"/>
            <w:vAlign w:val="top"/>
          </w:tcPr>
          <w:p w14:paraId="411232EA">
            <w:pPr>
              <w:spacing w:line="400" w:lineRule="exact"/>
              <w:ind w:firstLine="480" w:firstLineChars="200"/>
              <w:rPr>
                <w:rFonts w:ascii="宋体" w:hAnsi="宋体" w:cs="宋体"/>
                <w:sz w:val="24"/>
                <w:szCs w:val="24"/>
                <w:highlight w:val="none"/>
              </w:rPr>
            </w:pPr>
          </w:p>
        </w:tc>
        <w:tc>
          <w:tcPr>
            <w:tcW w:w="1418" w:type="dxa"/>
            <w:noWrap w:val="0"/>
            <w:vAlign w:val="top"/>
          </w:tcPr>
          <w:p w14:paraId="160A9A61">
            <w:pPr>
              <w:spacing w:line="400" w:lineRule="exact"/>
              <w:ind w:firstLine="480" w:firstLineChars="200"/>
              <w:rPr>
                <w:rFonts w:ascii="宋体" w:hAnsi="宋体" w:cs="宋体"/>
                <w:sz w:val="24"/>
                <w:szCs w:val="24"/>
                <w:highlight w:val="none"/>
              </w:rPr>
            </w:pPr>
          </w:p>
        </w:tc>
        <w:tc>
          <w:tcPr>
            <w:tcW w:w="2917" w:type="dxa"/>
            <w:noWrap w:val="0"/>
            <w:vAlign w:val="top"/>
          </w:tcPr>
          <w:p w14:paraId="47ACF985">
            <w:pPr>
              <w:spacing w:line="400" w:lineRule="exact"/>
              <w:ind w:firstLine="480" w:firstLineChars="200"/>
              <w:rPr>
                <w:rFonts w:ascii="宋体" w:hAnsi="宋体" w:cs="宋体"/>
                <w:sz w:val="24"/>
                <w:szCs w:val="24"/>
                <w:highlight w:val="none"/>
              </w:rPr>
            </w:pPr>
          </w:p>
        </w:tc>
      </w:tr>
      <w:tr w14:paraId="5D27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14:paraId="7C9CC9CB">
            <w:pPr>
              <w:spacing w:line="400" w:lineRule="exact"/>
              <w:ind w:firstLine="480" w:firstLineChars="200"/>
              <w:rPr>
                <w:rFonts w:ascii="宋体" w:hAnsi="宋体" w:cs="宋体"/>
                <w:sz w:val="24"/>
                <w:szCs w:val="24"/>
                <w:highlight w:val="none"/>
              </w:rPr>
            </w:pPr>
          </w:p>
        </w:tc>
        <w:tc>
          <w:tcPr>
            <w:tcW w:w="1418" w:type="dxa"/>
            <w:noWrap w:val="0"/>
            <w:vAlign w:val="top"/>
          </w:tcPr>
          <w:p w14:paraId="35383A72">
            <w:pPr>
              <w:spacing w:line="400" w:lineRule="exact"/>
              <w:ind w:firstLine="480" w:firstLineChars="200"/>
              <w:rPr>
                <w:rFonts w:ascii="宋体" w:hAnsi="宋体" w:cs="宋体"/>
                <w:sz w:val="24"/>
                <w:szCs w:val="24"/>
                <w:highlight w:val="none"/>
              </w:rPr>
            </w:pPr>
          </w:p>
        </w:tc>
        <w:tc>
          <w:tcPr>
            <w:tcW w:w="1418" w:type="dxa"/>
            <w:noWrap w:val="0"/>
            <w:vAlign w:val="top"/>
          </w:tcPr>
          <w:p w14:paraId="48A61FA8">
            <w:pPr>
              <w:spacing w:line="400" w:lineRule="exact"/>
              <w:ind w:firstLine="480" w:firstLineChars="200"/>
              <w:rPr>
                <w:rFonts w:ascii="宋体" w:hAnsi="宋体" w:cs="宋体"/>
                <w:sz w:val="24"/>
                <w:szCs w:val="24"/>
                <w:highlight w:val="none"/>
              </w:rPr>
            </w:pPr>
          </w:p>
        </w:tc>
        <w:tc>
          <w:tcPr>
            <w:tcW w:w="2917" w:type="dxa"/>
            <w:noWrap w:val="0"/>
            <w:vAlign w:val="top"/>
          </w:tcPr>
          <w:p w14:paraId="24B5B99B">
            <w:pPr>
              <w:spacing w:line="400" w:lineRule="exact"/>
              <w:ind w:firstLine="480" w:firstLineChars="200"/>
              <w:rPr>
                <w:rFonts w:ascii="宋体" w:hAnsi="宋体" w:cs="宋体"/>
                <w:sz w:val="24"/>
                <w:szCs w:val="24"/>
                <w:highlight w:val="none"/>
              </w:rPr>
            </w:pPr>
          </w:p>
        </w:tc>
      </w:tr>
    </w:tbl>
    <w:p w14:paraId="670E87D0">
      <w:pPr>
        <w:spacing w:line="400" w:lineRule="exact"/>
        <w:ind w:firstLine="480" w:firstLineChars="200"/>
        <w:rPr>
          <w:rFonts w:ascii="宋体" w:hAnsi="宋体" w:cs="宋体"/>
          <w:sz w:val="24"/>
          <w:szCs w:val="24"/>
          <w:highlight w:val="none"/>
        </w:rPr>
      </w:pPr>
    </w:p>
    <w:p w14:paraId="74A3B78E">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w:t>
      </w:r>
      <w:bookmarkStart w:id="1009" w:name="_Toc296346729"/>
      <w:bookmarkStart w:id="1010" w:name="_Toc296503228"/>
      <w:bookmarkStart w:id="1011" w:name="_Toc296891268"/>
      <w:bookmarkStart w:id="1012" w:name="_Toc296891056"/>
      <w:bookmarkStart w:id="1013" w:name="_Toc267261699"/>
      <w:bookmarkStart w:id="1014" w:name="_Toc296944567"/>
      <w:bookmarkStart w:id="1015" w:name="_Toc296347227"/>
      <w:r>
        <w:rPr>
          <w:rFonts w:hint="eastAsia" w:ascii="宋体" w:hAnsi="宋体" w:cs="宋体"/>
          <w:sz w:val="24"/>
          <w:szCs w:val="24"/>
          <w:highlight w:val="none"/>
        </w:rPr>
        <w:t>件3：</w:t>
      </w:r>
    </w:p>
    <w:bookmarkEnd w:id="1009"/>
    <w:bookmarkEnd w:id="1010"/>
    <w:bookmarkEnd w:id="1011"/>
    <w:bookmarkEnd w:id="1012"/>
    <w:bookmarkEnd w:id="1013"/>
    <w:bookmarkEnd w:id="1014"/>
    <w:bookmarkEnd w:id="1015"/>
    <w:p w14:paraId="4C11EB10">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承包人项目管理机构组成表</w:t>
      </w:r>
    </w:p>
    <w:tbl>
      <w:tblPr>
        <w:tblStyle w:val="34"/>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2087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7618171">
            <w:pPr>
              <w:spacing w:line="400" w:lineRule="exact"/>
              <w:jc w:val="center"/>
              <w:rPr>
                <w:rFonts w:ascii="宋体" w:hAnsi="宋体" w:cs="宋体"/>
                <w:sz w:val="24"/>
                <w:szCs w:val="24"/>
                <w:highlight w:val="none"/>
              </w:rPr>
            </w:pPr>
            <w:r>
              <w:rPr>
                <w:rFonts w:hint="eastAsia" w:ascii="宋体" w:hAnsi="宋体" w:cs="宋体"/>
                <w:sz w:val="24"/>
                <w:szCs w:val="24"/>
                <w:highlight w:val="none"/>
              </w:rPr>
              <w:t>名    称</w:t>
            </w:r>
          </w:p>
        </w:tc>
        <w:tc>
          <w:tcPr>
            <w:tcW w:w="1418" w:type="dxa"/>
            <w:noWrap w:val="0"/>
            <w:vAlign w:val="center"/>
          </w:tcPr>
          <w:p w14:paraId="779F09F1">
            <w:pPr>
              <w:spacing w:line="400" w:lineRule="exact"/>
              <w:jc w:val="center"/>
              <w:rPr>
                <w:rFonts w:ascii="宋体" w:hAnsi="宋体" w:cs="宋体"/>
                <w:sz w:val="24"/>
                <w:szCs w:val="24"/>
                <w:highlight w:val="none"/>
              </w:rPr>
            </w:pPr>
            <w:r>
              <w:rPr>
                <w:rFonts w:hint="eastAsia" w:ascii="宋体" w:hAnsi="宋体" w:cs="宋体"/>
                <w:sz w:val="24"/>
                <w:szCs w:val="24"/>
                <w:highlight w:val="none"/>
              </w:rPr>
              <w:t>姓名</w:t>
            </w:r>
          </w:p>
        </w:tc>
        <w:tc>
          <w:tcPr>
            <w:tcW w:w="1134" w:type="dxa"/>
            <w:noWrap w:val="0"/>
            <w:vAlign w:val="center"/>
          </w:tcPr>
          <w:p w14:paraId="35D99FA4">
            <w:pPr>
              <w:spacing w:line="400" w:lineRule="exact"/>
              <w:jc w:val="center"/>
              <w:rPr>
                <w:rFonts w:ascii="宋体" w:hAnsi="宋体" w:cs="宋体"/>
                <w:sz w:val="24"/>
                <w:szCs w:val="24"/>
                <w:highlight w:val="none"/>
              </w:rPr>
            </w:pPr>
            <w:r>
              <w:rPr>
                <w:rFonts w:hint="eastAsia" w:ascii="宋体" w:hAnsi="宋体" w:cs="宋体"/>
                <w:sz w:val="24"/>
                <w:szCs w:val="24"/>
                <w:highlight w:val="none"/>
              </w:rPr>
              <w:t>职务</w:t>
            </w:r>
          </w:p>
        </w:tc>
        <w:tc>
          <w:tcPr>
            <w:tcW w:w="1134" w:type="dxa"/>
            <w:noWrap w:val="0"/>
            <w:vAlign w:val="center"/>
          </w:tcPr>
          <w:p w14:paraId="67A5E2C2">
            <w:pPr>
              <w:spacing w:line="400" w:lineRule="exact"/>
              <w:jc w:val="center"/>
              <w:rPr>
                <w:rFonts w:ascii="宋体" w:hAnsi="宋体" w:cs="宋体"/>
                <w:sz w:val="24"/>
                <w:szCs w:val="24"/>
                <w:highlight w:val="none"/>
              </w:rPr>
            </w:pPr>
            <w:r>
              <w:rPr>
                <w:rFonts w:hint="eastAsia" w:ascii="宋体" w:hAnsi="宋体" w:cs="宋体"/>
                <w:sz w:val="24"/>
                <w:szCs w:val="24"/>
                <w:highlight w:val="none"/>
              </w:rPr>
              <w:t>职称</w:t>
            </w:r>
          </w:p>
        </w:tc>
        <w:tc>
          <w:tcPr>
            <w:tcW w:w="4252" w:type="dxa"/>
            <w:noWrap w:val="0"/>
            <w:vAlign w:val="center"/>
          </w:tcPr>
          <w:p w14:paraId="6E14F8C2">
            <w:pPr>
              <w:spacing w:line="400" w:lineRule="exact"/>
              <w:jc w:val="center"/>
              <w:rPr>
                <w:rFonts w:ascii="宋体" w:hAnsi="宋体" w:cs="宋体"/>
                <w:sz w:val="24"/>
                <w:szCs w:val="24"/>
                <w:highlight w:val="none"/>
              </w:rPr>
            </w:pPr>
            <w:r>
              <w:rPr>
                <w:rFonts w:hint="eastAsia" w:ascii="宋体" w:hAnsi="宋体" w:cs="宋体"/>
                <w:sz w:val="24"/>
                <w:szCs w:val="24"/>
                <w:highlight w:val="none"/>
              </w:rPr>
              <w:t>主要资历、经验及承担过的项目</w:t>
            </w:r>
          </w:p>
        </w:tc>
      </w:tr>
      <w:tr w14:paraId="625F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14:paraId="6E52654D">
            <w:pPr>
              <w:spacing w:line="400" w:lineRule="exact"/>
              <w:rPr>
                <w:rFonts w:ascii="宋体" w:hAnsi="宋体" w:cs="宋体"/>
                <w:sz w:val="24"/>
                <w:szCs w:val="24"/>
                <w:highlight w:val="none"/>
              </w:rPr>
            </w:pPr>
            <w:r>
              <w:rPr>
                <w:rFonts w:hint="eastAsia" w:ascii="宋体" w:hAnsi="宋体" w:cs="宋体"/>
                <w:sz w:val="24"/>
                <w:szCs w:val="24"/>
                <w:highlight w:val="none"/>
              </w:rPr>
              <w:t>一、总部人员</w:t>
            </w:r>
          </w:p>
        </w:tc>
      </w:tr>
      <w:tr w14:paraId="1E53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997A2EE">
            <w:pPr>
              <w:spacing w:line="400" w:lineRule="exact"/>
              <w:jc w:val="center"/>
              <w:rPr>
                <w:rFonts w:ascii="宋体" w:hAnsi="宋体" w:cs="宋体"/>
                <w:sz w:val="24"/>
                <w:szCs w:val="24"/>
                <w:highlight w:val="none"/>
              </w:rPr>
            </w:pPr>
            <w:r>
              <w:rPr>
                <w:rFonts w:hint="eastAsia" w:ascii="宋体" w:hAnsi="宋体" w:cs="宋体"/>
                <w:sz w:val="24"/>
                <w:szCs w:val="24"/>
                <w:highlight w:val="none"/>
              </w:rPr>
              <w:t>项目主管</w:t>
            </w:r>
          </w:p>
        </w:tc>
        <w:tc>
          <w:tcPr>
            <w:tcW w:w="1418" w:type="dxa"/>
            <w:noWrap w:val="0"/>
            <w:vAlign w:val="center"/>
          </w:tcPr>
          <w:p w14:paraId="7E25BAAE">
            <w:pPr>
              <w:spacing w:line="400" w:lineRule="exact"/>
              <w:ind w:firstLine="480" w:firstLineChars="200"/>
              <w:rPr>
                <w:rFonts w:ascii="宋体" w:hAnsi="宋体" w:cs="宋体"/>
                <w:sz w:val="24"/>
                <w:szCs w:val="24"/>
                <w:highlight w:val="none"/>
              </w:rPr>
            </w:pPr>
          </w:p>
        </w:tc>
        <w:tc>
          <w:tcPr>
            <w:tcW w:w="1134" w:type="dxa"/>
            <w:noWrap w:val="0"/>
            <w:vAlign w:val="center"/>
          </w:tcPr>
          <w:p w14:paraId="3D474F73">
            <w:pPr>
              <w:spacing w:line="400" w:lineRule="exact"/>
              <w:ind w:firstLine="480" w:firstLineChars="200"/>
              <w:rPr>
                <w:rFonts w:ascii="宋体" w:hAnsi="宋体" w:cs="宋体"/>
                <w:sz w:val="24"/>
                <w:szCs w:val="24"/>
                <w:highlight w:val="none"/>
              </w:rPr>
            </w:pPr>
          </w:p>
        </w:tc>
        <w:tc>
          <w:tcPr>
            <w:tcW w:w="1134" w:type="dxa"/>
            <w:noWrap w:val="0"/>
            <w:vAlign w:val="center"/>
          </w:tcPr>
          <w:p w14:paraId="01ED1D59">
            <w:pPr>
              <w:spacing w:line="400" w:lineRule="exact"/>
              <w:ind w:firstLine="480" w:firstLineChars="200"/>
              <w:rPr>
                <w:rFonts w:ascii="宋体" w:hAnsi="宋体" w:cs="宋体"/>
                <w:sz w:val="24"/>
                <w:szCs w:val="24"/>
                <w:highlight w:val="none"/>
              </w:rPr>
            </w:pPr>
          </w:p>
        </w:tc>
        <w:tc>
          <w:tcPr>
            <w:tcW w:w="4252" w:type="dxa"/>
            <w:noWrap w:val="0"/>
            <w:vAlign w:val="center"/>
          </w:tcPr>
          <w:p w14:paraId="4EC62A07">
            <w:pPr>
              <w:spacing w:line="400" w:lineRule="exact"/>
              <w:ind w:firstLine="480" w:firstLineChars="200"/>
              <w:rPr>
                <w:rFonts w:ascii="宋体" w:hAnsi="宋体" w:cs="宋体"/>
                <w:sz w:val="24"/>
                <w:szCs w:val="24"/>
                <w:highlight w:val="none"/>
              </w:rPr>
            </w:pPr>
          </w:p>
        </w:tc>
      </w:tr>
      <w:tr w14:paraId="2DE8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1F289B">
            <w:pPr>
              <w:spacing w:line="400" w:lineRule="exact"/>
              <w:jc w:val="center"/>
              <w:rPr>
                <w:rFonts w:ascii="宋体" w:hAnsi="宋体" w:cs="宋体"/>
                <w:sz w:val="24"/>
                <w:szCs w:val="24"/>
                <w:highlight w:val="none"/>
              </w:rPr>
            </w:pPr>
          </w:p>
        </w:tc>
        <w:tc>
          <w:tcPr>
            <w:tcW w:w="1418" w:type="dxa"/>
            <w:noWrap w:val="0"/>
            <w:vAlign w:val="center"/>
          </w:tcPr>
          <w:p w14:paraId="14AD5BE4">
            <w:pPr>
              <w:spacing w:line="400" w:lineRule="exact"/>
              <w:ind w:firstLine="480" w:firstLineChars="200"/>
              <w:rPr>
                <w:rFonts w:ascii="宋体" w:hAnsi="宋体" w:cs="宋体"/>
                <w:sz w:val="24"/>
                <w:szCs w:val="24"/>
                <w:highlight w:val="none"/>
              </w:rPr>
            </w:pPr>
          </w:p>
        </w:tc>
        <w:tc>
          <w:tcPr>
            <w:tcW w:w="1134" w:type="dxa"/>
            <w:noWrap w:val="0"/>
            <w:vAlign w:val="center"/>
          </w:tcPr>
          <w:p w14:paraId="6AC0F482">
            <w:pPr>
              <w:spacing w:line="400" w:lineRule="exact"/>
              <w:ind w:firstLine="480" w:firstLineChars="200"/>
              <w:rPr>
                <w:rFonts w:ascii="宋体" w:hAnsi="宋体" w:cs="宋体"/>
                <w:sz w:val="24"/>
                <w:szCs w:val="24"/>
                <w:highlight w:val="none"/>
              </w:rPr>
            </w:pPr>
          </w:p>
        </w:tc>
        <w:tc>
          <w:tcPr>
            <w:tcW w:w="1134" w:type="dxa"/>
            <w:noWrap w:val="0"/>
            <w:vAlign w:val="center"/>
          </w:tcPr>
          <w:p w14:paraId="084A60C1">
            <w:pPr>
              <w:spacing w:line="400" w:lineRule="exact"/>
              <w:ind w:firstLine="480" w:firstLineChars="200"/>
              <w:rPr>
                <w:rFonts w:ascii="宋体" w:hAnsi="宋体" w:cs="宋体"/>
                <w:sz w:val="24"/>
                <w:szCs w:val="24"/>
                <w:highlight w:val="none"/>
              </w:rPr>
            </w:pPr>
          </w:p>
        </w:tc>
        <w:tc>
          <w:tcPr>
            <w:tcW w:w="4252" w:type="dxa"/>
            <w:noWrap w:val="0"/>
            <w:vAlign w:val="center"/>
          </w:tcPr>
          <w:p w14:paraId="6B6B6BDC">
            <w:pPr>
              <w:spacing w:line="400" w:lineRule="exact"/>
              <w:ind w:firstLine="480" w:firstLineChars="200"/>
              <w:rPr>
                <w:rFonts w:ascii="宋体" w:hAnsi="宋体" w:cs="宋体"/>
                <w:sz w:val="24"/>
                <w:szCs w:val="24"/>
                <w:highlight w:val="none"/>
              </w:rPr>
            </w:pPr>
          </w:p>
        </w:tc>
      </w:tr>
      <w:tr w14:paraId="6CE9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469886">
            <w:pPr>
              <w:spacing w:line="400" w:lineRule="exact"/>
              <w:jc w:val="center"/>
              <w:rPr>
                <w:rFonts w:ascii="宋体" w:hAnsi="宋体" w:cs="宋体"/>
                <w:sz w:val="24"/>
                <w:szCs w:val="24"/>
                <w:highlight w:val="none"/>
              </w:rPr>
            </w:pPr>
            <w:r>
              <w:rPr>
                <w:rFonts w:hint="eastAsia" w:ascii="宋体" w:hAnsi="宋体" w:cs="宋体"/>
                <w:sz w:val="24"/>
                <w:szCs w:val="24"/>
                <w:highlight w:val="none"/>
              </w:rPr>
              <w:t>其他人员</w:t>
            </w:r>
          </w:p>
        </w:tc>
        <w:tc>
          <w:tcPr>
            <w:tcW w:w="1418" w:type="dxa"/>
            <w:noWrap w:val="0"/>
            <w:vAlign w:val="center"/>
          </w:tcPr>
          <w:p w14:paraId="0C1989FA">
            <w:pPr>
              <w:spacing w:line="400" w:lineRule="exact"/>
              <w:ind w:firstLine="480" w:firstLineChars="200"/>
              <w:rPr>
                <w:rFonts w:ascii="宋体" w:hAnsi="宋体" w:cs="宋体"/>
                <w:sz w:val="24"/>
                <w:szCs w:val="24"/>
                <w:highlight w:val="none"/>
              </w:rPr>
            </w:pPr>
          </w:p>
        </w:tc>
        <w:tc>
          <w:tcPr>
            <w:tcW w:w="1134" w:type="dxa"/>
            <w:noWrap w:val="0"/>
            <w:vAlign w:val="center"/>
          </w:tcPr>
          <w:p w14:paraId="3C276337">
            <w:pPr>
              <w:spacing w:line="400" w:lineRule="exact"/>
              <w:ind w:firstLine="480" w:firstLineChars="200"/>
              <w:rPr>
                <w:rFonts w:ascii="宋体" w:hAnsi="宋体" w:cs="宋体"/>
                <w:sz w:val="24"/>
                <w:szCs w:val="24"/>
                <w:highlight w:val="none"/>
              </w:rPr>
            </w:pPr>
          </w:p>
        </w:tc>
        <w:tc>
          <w:tcPr>
            <w:tcW w:w="1134" w:type="dxa"/>
            <w:noWrap w:val="0"/>
            <w:vAlign w:val="center"/>
          </w:tcPr>
          <w:p w14:paraId="709E9B94">
            <w:pPr>
              <w:spacing w:line="400" w:lineRule="exact"/>
              <w:ind w:firstLine="480" w:firstLineChars="200"/>
              <w:rPr>
                <w:rFonts w:ascii="宋体" w:hAnsi="宋体" w:cs="宋体"/>
                <w:sz w:val="24"/>
                <w:szCs w:val="24"/>
                <w:highlight w:val="none"/>
              </w:rPr>
            </w:pPr>
          </w:p>
        </w:tc>
        <w:tc>
          <w:tcPr>
            <w:tcW w:w="4252" w:type="dxa"/>
            <w:noWrap w:val="0"/>
            <w:vAlign w:val="center"/>
          </w:tcPr>
          <w:p w14:paraId="2FF7169B">
            <w:pPr>
              <w:spacing w:line="400" w:lineRule="exact"/>
              <w:ind w:firstLine="480" w:firstLineChars="200"/>
              <w:rPr>
                <w:rFonts w:ascii="宋体" w:hAnsi="宋体" w:cs="宋体"/>
                <w:sz w:val="24"/>
                <w:szCs w:val="24"/>
                <w:highlight w:val="none"/>
              </w:rPr>
            </w:pPr>
          </w:p>
        </w:tc>
      </w:tr>
      <w:tr w14:paraId="23A1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649C52B">
            <w:pPr>
              <w:spacing w:line="400" w:lineRule="exact"/>
              <w:jc w:val="center"/>
              <w:rPr>
                <w:rFonts w:ascii="宋体" w:hAnsi="宋体" w:cs="宋体"/>
                <w:sz w:val="24"/>
                <w:szCs w:val="24"/>
                <w:highlight w:val="none"/>
              </w:rPr>
            </w:pPr>
          </w:p>
        </w:tc>
        <w:tc>
          <w:tcPr>
            <w:tcW w:w="1418" w:type="dxa"/>
            <w:noWrap w:val="0"/>
            <w:vAlign w:val="center"/>
          </w:tcPr>
          <w:p w14:paraId="6FFAF365">
            <w:pPr>
              <w:spacing w:line="400" w:lineRule="exact"/>
              <w:ind w:firstLine="480" w:firstLineChars="200"/>
              <w:rPr>
                <w:rFonts w:ascii="宋体" w:hAnsi="宋体" w:cs="宋体"/>
                <w:sz w:val="24"/>
                <w:szCs w:val="24"/>
                <w:highlight w:val="none"/>
              </w:rPr>
            </w:pPr>
          </w:p>
        </w:tc>
        <w:tc>
          <w:tcPr>
            <w:tcW w:w="1134" w:type="dxa"/>
            <w:noWrap w:val="0"/>
            <w:vAlign w:val="center"/>
          </w:tcPr>
          <w:p w14:paraId="6AA39DE7">
            <w:pPr>
              <w:spacing w:line="400" w:lineRule="exact"/>
              <w:ind w:firstLine="480" w:firstLineChars="200"/>
              <w:rPr>
                <w:rFonts w:ascii="宋体" w:hAnsi="宋体" w:cs="宋体"/>
                <w:sz w:val="24"/>
                <w:szCs w:val="24"/>
                <w:highlight w:val="none"/>
              </w:rPr>
            </w:pPr>
          </w:p>
        </w:tc>
        <w:tc>
          <w:tcPr>
            <w:tcW w:w="1134" w:type="dxa"/>
            <w:noWrap w:val="0"/>
            <w:vAlign w:val="center"/>
          </w:tcPr>
          <w:p w14:paraId="29915248">
            <w:pPr>
              <w:spacing w:line="400" w:lineRule="exact"/>
              <w:ind w:firstLine="480" w:firstLineChars="200"/>
              <w:rPr>
                <w:rFonts w:ascii="宋体" w:hAnsi="宋体" w:cs="宋体"/>
                <w:sz w:val="24"/>
                <w:szCs w:val="24"/>
                <w:highlight w:val="none"/>
              </w:rPr>
            </w:pPr>
          </w:p>
        </w:tc>
        <w:tc>
          <w:tcPr>
            <w:tcW w:w="4252" w:type="dxa"/>
            <w:noWrap w:val="0"/>
            <w:vAlign w:val="center"/>
          </w:tcPr>
          <w:p w14:paraId="6BF98891">
            <w:pPr>
              <w:spacing w:line="400" w:lineRule="exact"/>
              <w:ind w:firstLine="480" w:firstLineChars="200"/>
              <w:rPr>
                <w:rFonts w:ascii="宋体" w:hAnsi="宋体" w:cs="宋体"/>
                <w:sz w:val="24"/>
                <w:szCs w:val="24"/>
                <w:highlight w:val="none"/>
              </w:rPr>
            </w:pPr>
          </w:p>
        </w:tc>
      </w:tr>
      <w:tr w14:paraId="656D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377313E">
            <w:pPr>
              <w:spacing w:line="400" w:lineRule="exact"/>
              <w:rPr>
                <w:rFonts w:ascii="宋体" w:hAnsi="宋体" w:cs="宋体"/>
                <w:sz w:val="24"/>
                <w:szCs w:val="24"/>
                <w:highlight w:val="none"/>
              </w:rPr>
            </w:pPr>
            <w:r>
              <w:rPr>
                <w:rFonts w:hint="eastAsia" w:ascii="宋体" w:hAnsi="宋体" w:cs="宋体"/>
                <w:sz w:val="24"/>
                <w:szCs w:val="24"/>
                <w:highlight w:val="none"/>
              </w:rPr>
              <w:t>二、现场人员</w:t>
            </w:r>
          </w:p>
        </w:tc>
      </w:tr>
      <w:tr w14:paraId="10F8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15983C3">
            <w:pPr>
              <w:spacing w:line="400" w:lineRule="exact"/>
              <w:jc w:val="center"/>
              <w:rPr>
                <w:rFonts w:ascii="宋体" w:hAnsi="宋体" w:cs="宋体"/>
                <w:sz w:val="24"/>
                <w:szCs w:val="24"/>
                <w:highlight w:val="none"/>
              </w:rPr>
            </w:pPr>
            <w:r>
              <w:rPr>
                <w:rFonts w:hint="eastAsia" w:ascii="宋体" w:hAnsi="宋体" w:cs="宋体"/>
                <w:sz w:val="24"/>
                <w:szCs w:val="24"/>
                <w:highlight w:val="none"/>
              </w:rPr>
              <w:t>项目经理</w:t>
            </w:r>
          </w:p>
        </w:tc>
        <w:tc>
          <w:tcPr>
            <w:tcW w:w="1418" w:type="dxa"/>
            <w:noWrap w:val="0"/>
            <w:vAlign w:val="center"/>
          </w:tcPr>
          <w:p w14:paraId="59AAC80F">
            <w:pPr>
              <w:spacing w:line="400" w:lineRule="exact"/>
              <w:ind w:firstLine="480" w:firstLineChars="200"/>
              <w:rPr>
                <w:rFonts w:ascii="宋体" w:hAnsi="宋体" w:cs="宋体"/>
                <w:sz w:val="24"/>
                <w:szCs w:val="24"/>
                <w:highlight w:val="none"/>
              </w:rPr>
            </w:pPr>
          </w:p>
        </w:tc>
        <w:tc>
          <w:tcPr>
            <w:tcW w:w="1134" w:type="dxa"/>
            <w:noWrap w:val="0"/>
            <w:vAlign w:val="center"/>
          </w:tcPr>
          <w:p w14:paraId="7EBC4326">
            <w:pPr>
              <w:spacing w:line="400" w:lineRule="exact"/>
              <w:ind w:firstLine="480" w:firstLineChars="200"/>
              <w:rPr>
                <w:rFonts w:ascii="宋体" w:hAnsi="宋体" w:cs="宋体"/>
                <w:sz w:val="24"/>
                <w:szCs w:val="24"/>
                <w:highlight w:val="none"/>
              </w:rPr>
            </w:pPr>
          </w:p>
        </w:tc>
        <w:tc>
          <w:tcPr>
            <w:tcW w:w="1134" w:type="dxa"/>
            <w:noWrap w:val="0"/>
            <w:vAlign w:val="center"/>
          </w:tcPr>
          <w:p w14:paraId="3DCD4BDF">
            <w:pPr>
              <w:spacing w:line="400" w:lineRule="exact"/>
              <w:ind w:firstLine="480" w:firstLineChars="200"/>
              <w:rPr>
                <w:rFonts w:ascii="宋体" w:hAnsi="宋体" w:cs="宋体"/>
                <w:sz w:val="24"/>
                <w:szCs w:val="24"/>
                <w:highlight w:val="none"/>
              </w:rPr>
            </w:pPr>
          </w:p>
        </w:tc>
        <w:tc>
          <w:tcPr>
            <w:tcW w:w="4252" w:type="dxa"/>
            <w:noWrap w:val="0"/>
            <w:vAlign w:val="center"/>
          </w:tcPr>
          <w:p w14:paraId="070872C0">
            <w:pPr>
              <w:spacing w:line="400" w:lineRule="exact"/>
              <w:ind w:firstLine="480" w:firstLineChars="200"/>
              <w:rPr>
                <w:rFonts w:ascii="宋体" w:hAnsi="宋体" w:cs="宋体"/>
                <w:sz w:val="24"/>
                <w:szCs w:val="24"/>
                <w:highlight w:val="none"/>
              </w:rPr>
            </w:pPr>
          </w:p>
        </w:tc>
      </w:tr>
      <w:tr w14:paraId="44A4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A565D01">
            <w:pPr>
              <w:spacing w:line="400" w:lineRule="exact"/>
              <w:jc w:val="center"/>
              <w:rPr>
                <w:rFonts w:ascii="宋体" w:hAnsi="宋体" w:cs="宋体"/>
                <w:sz w:val="24"/>
                <w:szCs w:val="24"/>
                <w:highlight w:val="none"/>
              </w:rPr>
            </w:pPr>
            <w:r>
              <w:rPr>
                <w:rFonts w:hint="eastAsia" w:ascii="宋体" w:hAnsi="宋体" w:cs="宋体"/>
                <w:sz w:val="24"/>
                <w:szCs w:val="24"/>
                <w:highlight w:val="none"/>
              </w:rPr>
              <w:t>项目副经理</w:t>
            </w:r>
          </w:p>
        </w:tc>
        <w:tc>
          <w:tcPr>
            <w:tcW w:w="1418" w:type="dxa"/>
            <w:noWrap w:val="0"/>
            <w:vAlign w:val="center"/>
          </w:tcPr>
          <w:p w14:paraId="7FE3DC1A">
            <w:pPr>
              <w:spacing w:line="400" w:lineRule="exact"/>
              <w:ind w:firstLine="480" w:firstLineChars="200"/>
              <w:rPr>
                <w:rFonts w:ascii="宋体" w:hAnsi="宋体" w:cs="宋体"/>
                <w:sz w:val="24"/>
                <w:szCs w:val="24"/>
                <w:highlight w:val="none"/>
              </w:rPr>
            </w:pPr>
          </w:p>
        </w:tc>
        <w:tc>
          <w:tcPr>
            <w:tcW w:w="1134" w:type="dxa"/>
            <w:noWrap w:val="0"/>
            <w:vAlign w:val="center"/>
          </w:tcPr>
          <w:p w14:paraId="28FD72E0">
            <w:pPr>
              <w:spacing w:line="400" w:lineRule="exact"/>
              <w:ind w:firstLine="480" w:firstLineChars="200"/>
              <w:rPr>
                <w:rFonts w:ascii="宋体" w:hAnsi="宋体" w:cs="宋体"/>
                <w:sz w:val="24"/>
                <w:szCs w:val="24"/>
                <w:highlight w:val="none"/>
              </w:rPr>
            </w:pPr>
          </w:p>
        </w:tc>
        <w:tc>
          <w:tcPr>
            <w:tcW w:w="1134" w:type="dxa"/>
            <w:noWrap w:val="0"/>
            <w:vAlign w:val="center"/>
          </w:tcPr>
          <w:p w14:paraId="1E0D7A90">
            <w:pPr>
              <w:spacing w:line="400" w:lineRule="exact"/>
              <w:ind w:firstLine="480" w:firstLineChars="200"/>
              <w:rPr>
                <w:rFonts w:ascii="宋体" w:hAnsi="宋体" w:cs="宋体"/>
                <w:sz w:val="24"/>
                <w:szCs w:val="24"/>
                <w:highlight w:val="none"/>
              </w:rPr>
            </w:pPr>
          </w:p>
        </w:tc>
        <w:tc>
          <w:tcPr>
            <w:tcW w:w="4252" w:type="dxa"/>
            <w:noWrap w:val="0"/>
            <w:vAlign w:val="center"/>
          </w:tcPr>
          <w:p w14:paraId="59F79FEF">
            <w:pPr>
              <w:spacing w:line="400" w:lineRule="exact"/>
              <w:ind w:firstLine="480" w:firstLineChars="200"/>
              <w:rPr>
                <w:rFonts w:ascii="宋体" w:hAnsi="宋体" w:cs="宋体"/>
                <w:sz w:val="24"/>
                <w:szCs w:val="24"/>
                <w:highlight w:val="none"/>
              </w:rPr>
            </w:pPr>
          </w:p>
        </w:tc>
      </w:tr>
      <w:tr w14:paraId="5AEE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773085A">
            <w:pPr>
              <w:spacing w:line="400" w:lineRule="exact"/>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418" w:type="dxa"/>
            <w:noWrap w:val="0"/>
            <w:vAlign w:val="center"/>
          </w:tcPr>
          <w:p w14:paraId="3C939165">
            <w:pPr>
              <w:spacing w:line="400" w:lineRule="exact"/>
              <w:ind w:firstLine="480" w:firstLineChars="200"/>
              <w:rPr>
                <w:rFonts w:ascii="宋体" w:hAnsi="宋体" w:cs="宋体"/>
                <w:sz w:val="24"/>
                <w:szCs w:val="24"/>
                <w:highlight w:val="none"/>
              </w:rPr>
            </w:pPr>
          </w:p>
        </w:tc>
        <w:tc>
          <w:tcPr>
            <w:tcW w:w="1134" w:type="dxa"/>
            <w:noWrap w:val="0"/>
            <w:vAlign w:val="center"/>
          </w:tcPr>
          <w:p w14:paraId="5AEF6830">
            <w:pPr>
              <w:spacing w:line="400" w:lineRule="exact"/>
              <w:ind w:firstLine="480" w:firstLineChars="200"/>
              <w:rPr>
                <w:rFonts w:ascii="宋体" w:hAnsi="宋体" w:cs="宋体"/>
                <w:sz w:val="24"/>
                <w:szCs w:val="24"/>
                <w:highlight w:val="none"/>
              </w:rPr>
            </w:pPr>
          </w:p>
        </w:tc>
        <w:tc>
          <w:tcPr>
            <w:tcW w:w="1134" w:type="dxa"/>
            <w:noWrap w:val="0"/>
            <w:vAlign w:val="center"/>
          </w:tcPr>
          <w:p w14:paraId="16B36B89">
            <w:pPr>
              <w:spacing w:line="400" w:lineRule="exact"/>
              <w:ind w:firstLine="480" w:firstLineChars="200"/>
              <w:rPr>
                <w:rFonts w:ascii="宋体" w:hAnsi="宋体" w:cs="宋体"/>
                <w:sz w:val="24"/>
                <w:szCs w:val="24"/>
                <w:highlight w:val="none"/>
              </w:rPr>
            </w:pPr>
          </w:p>
        </w:tc>
        <w:tc>
          <w:tcPr>
            <w:tcW w:w="4252" w:type="dxa"/>
            <w:noWrap w:val="0"/>
            <w:vAlign w:val="center"/>
          </w:tcPr>
          <w:p w14:paraId="056CEFF1">
            <w:pPr>
              <w:spacing w:line="400" w:lineRule="exact"/>
              <w:ind w:firstLine="480" w:firstLineChars="200"/>
              <w:rPr>
                <w:rFonts w:ascii="宋体" w:hAnsi="宋体" w:cs="宋体"/>
                <w:sz w:val="24"/>
                <w:szCs w:val="24"/>
                <w:highlight w:val="none"/>
              </w:rPr>
            </w:pPr>
          </w:p>
        </w:tc>
      </w:tr>
      <w:tr w14:paraId="7E52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5DE1909">
            <w:pPr>
              <w:spacing w:line="400" w:lineRule="exact"/>
              <w:jc w:val="center"/>
              <w:rPr>
                <w:rFonts w:ascii="宋体" w:hAnsi="宋体" w:cs="宋体"/>
                <w:sz w:val="24"/>
                <w:szCs w:val="24"/>
                <w:highlight w:val="none"/>
              </w:rPr>
            </w:pPr>
            <w:r>
              <w:rPr>
                <w:rFonts w:hint="eastAsia" w:ascii="宋体" w:hAnsi="宋体" w:cs="宋体"/>
                <w:sz w:val="24"/>
                <w:szCs w:val="24"/>
                <w:highlight w:val="none"/>
              </w:rPr>
              <w:t>造价管理</w:t>
            </w:r>
          </w:p>
        </w:tc>
        <w:tc>
          <w:tcPr>
            <w:tcW w:w="1418" w:type="dxa"/>
            <w:noWrap w:val="0"/>
            <w:vAlign w:val="center"/>
          </w:tcPr>
          <w:p w14:paraId="177DFD18">
            <w:pPr>
              <w:spacing w:line="400" w:lineRule="exact"/>
              <w:ind w:firstLine="480" w:firstLineChars="200"/>
              <w:rPr>
                <w:rFonts w:ascii="宋体" w:hAnsi="宋体" w:cs="宋体"/>
                <w:sz w:val="24"/>
                <w:szCs w:val="24"/>
                <w:highlight w:val="none"/>
              </w:rPr>
            </w:pPr>
          </w:p>
        </w:tc>
        <w:tc>
          <w:tcPr>
            <w:tcW w:w="1134" w:type="dxa"/>
            <w:noWrap w:val="0"/>
            <w:vAlign w:val="center"/>
          </w:tcPr>
          <w:p w14:paraId="2FFFC9E4">
            <w:pPr>
              <w:spacing w:line="400" w:lineRule="exact"/>
              <w:ind w:firstLine="480" w:firstLineChars="200"/>
              <w:rPr>
                <w:rFonts w:ascii="宋体" w:hAnsi="宋体" w:cs="宋体"/>
                <w:sz w:val="24"/>
                <w:szCs w:val="24"/>
                <w:highlight w:val="none"/>
              </w:rPr>
            </w:pPr>
          </w:p>
        </w:tc>
        <w:tc>
          <w:tcPr>
            <w:tcW w:w="1134" w:type="dxa"/>
            <w:noWrap w:val="0"/>
            <w:vAlign w:val="center"/>
          </w:tcPr>
          <w:p w14:paraId="7943F1BC">
            <w:pPr>
              <w:spacing w:line="400" w:lineRule="exact"/>
              <w:ind w:firstLine="480" w:firstLineChars="200"/>
              <w:rPr>
                <w:rFonts w:ascii="宋体" w:hAnsi="宋体" w:cs="宋体"/>
                <w:sz w:val="24"/>
                <w:szCs w:val="24"/>
                <w:highlight w:val="none"/>
              </w:rPr>
            </w:pPr>
          </w:p>
        </w:tc>
        <w:tc>
          <w:tcPr>
            <w:tcW w:w="4252" w:type="dxa"/>
            <w:noWrap w:val="0"/>
            <w:vAlign w:val="center"/>
          </w:tcPr>
          <w:p w14:paraId="2B41DEFD">
            <w:pPr>
              <w:spacing w:line="400" w:lineRule="exact"/>
              <w:ind w:firstLine="480" w:firstLineChars="200"/>
              <w:rPr>
                <w:rFonts w:ascii="宋体" w:hAnsi="宋体" w:cs="宋体"/>
                <w:sz w:val="24"/>
                <w:szCs w:val="24"/>
                <w:highlight w:val="none"/>
              </w:rPr>
            </w:pPr>
          </w:p>
        </w:tc>
      </w:tr>
      <w:tr w14:paraId="051E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09D107D">
            <w:pPr>
              <w:spacing w:line="400" w:lineRule="exact"/>
              <w:jc w:val="center"/>
              <w:rPr>
                <w:rFonts w:ascii="宋体" w:hAnsi="宋体" w:cs="宋体"/>
                <w:sz w:val="24"/>
                <w:szCs w:val="24"/>
                <w:highlight w:val="none"/>
              </w:rPr>
            </w:pPr>
            <w:r>
              <w:rPr>
                <w:rFonts w:hint="eastAsia" w:ascii="宋体" w:hAnsi="宋体" w:cs="宋体"/>
                <w:sz w:val="24"/>
                <w:szCs w:val="24"/>
                <w:highlight w:val="none"/>
              </w:rPr>
              <w:t>质量管理</w:t>
            </w:r>
          </w:p>
        </w:tc>
        <w:tc>
          <w:tcPr>
            <w:tcW w:w="1418" w:type="dxa"/>
            <w:noWrap w:val="0"/>
            <w:vAlign w:val="center"/>
          </w:tcPr>
          <w:p w14:paraId="396AB990">
            <w:pPr>
              <w:spacing w:line="400" w:lineRule="exact"/>
              <w:ind w:firstLine="480" w:firstLineChars="200"/>
              <w:rPr>
                <w:rFonts w:ascii="宋体" w:hAnsi="宋体" w:cs="宋体"/>
                <w:sz w:val="24"/>
                <w:szCs w:val="24"/>
                <w:highlight w:val="none"/>
              </w:rPr>
            </w:pPr>
          </w:p>
        </w:tc>
        <w:tc>
          <w:tcPr>
            <w:tcW w:w="1134" w:type="dxa"/>
            <w:noWrap w:val="0"/>
            <w:vAlign w:val="center"/>
          </w:tcPr>
          <w:p w14:paraId="7889C9F5">
            <w:pPr>
              <w:spacing w:line="400" w:lineRule="exact"/>
              <w:ind w:firstLine="480" w:firstLineChars="200"/>
              <w:rPr>
                <w:rFonts w:ascii="宋体" w:hAnsi="宋体" w:cs="宋体"/>
                <w:sz w:val="24"/>
                <w:szCs w:val="24"/>
                <w:highlight w:val="none"/>
              </w:rPr>
            </w:pPr>
          </w:p>
        </w:tc>
        <w:tc>
          <w:tcPr>
            <w:tcW w:w="1134" w:type="dxa"/>
            <w:noWrap w:val="0"/>
            <w:vAlign w:val="center"/>
          </w:tcPr>
          <w:p w14:paraId="2A79D4F4">
            <w:pPr>
              <w:spacing w:line="400" w:lineRule="exact"/>
              <w:ind w:firstLine="480" w:firstLineChars="200"/>
              <w:rPr>
                <w:rFonts w:ascii="宋体" w:hAnsi="宋体" w:cs="宋体"/>
                <w:sz w:val="24"/>
                <w:szCs w:val="24"/>
                <w:highlight w:val="none"/>
              </w:rPr>
            </w:pPr>
          </w:p>
        </w:tc>
        <w:tc>
          <w:tcPr>
            <w:tcW w:w="4252" w:type="dxa"/>
            <w:noWrap w:val="0"/>
            <w:vAlign w:val="center"/>
          </w:tcPr>
          <w:p w14:paraId="7786393D">
            <w:pPr>
              <w:spacing w:line="400" w:lineRule="exact"/>
              <w:ind w:firstLine="480" w:firstLineChars="200"/>
              <w:rPr>
                <w:rFonts w:ascii="宋体" w:hAnsi="宋体" w:cs="宋体"/>
                <w:sz w:val="24"/>
                <w:szCs w:val="24"/>
                <w:highlight w:val="none"/>
              </w:rPr>
            </w:pPr>
          </w:p>
        </w:tc>
      </w:tr>
      <w:tr w14:paraId="1303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99826F">
            <w:pPr>
              <w:spacing w:line="400" w:lineRule="exact"/>
              <w:jc w:val="center"/>
              <w:rPr>
                <w:rFonts w:ascii="宋体" w:hAnsi="宋体" w:cs="宋体"/>
                <w:sz w:val="24"/>
                <w:szCs w:val="24"/>
                <w:highlight w:val="none"/>
              </w:rPr>
            </w:pPr>
            <w:r>
              <w:rPr>
                <w:rFonts w:hint="eastAsia" w:ascii="宋体" w:hAnsi="宋体" w:cs="宋体"/>
                <w:sz w:val="24"/>
                <w:szCs w:val="24"/>
                <w:highlight w:val="none"/>
              </w:rPr>
              <w:t>材料管理</w:t>
            </w:r>
          </w:p>
        </w:tc>
        <w:tc>
          <w:tcPr>
            <w:tcW w:w="1418" w:type="dxa"/>
            <w:noWrap w:val="0"/>
            <w:vAlign w:val="center"/>
          </w:tcPr>
          <w:p w14:paraId="3F2CCE39">
            <w:pPr>
              <w:spacing w:line="400" w:lineRule="exact"/>
              <w:ind w:firstLine="480" w:firstLineChars="200"/>
              <w:rPr>
                <w:rFonts w:ascii="宋体" w:hAnsi="宋体" w:cs="宋体"/>
                <w:sz w:val="24"/>
                <w:szCs w:val="24"/>
                <w:highlight w:val="none"/>
              </w:rPr>
            </w:pPr>
          </w:p>
        </w:tc>
        <w:tc>
          <w:tcPr>
            <w:tcW w:w="1134" w:type="dxa"/>
            <w:noWrap w:val="0"/>
            <w:vAlign w:val="center"/>
          </w:tcPr>
          <w:p w14:paraId="7AEFC2CF">
            <w:pPr>
              <w:spacing w:line="400" w:lineRule="exact"/>
              <w:ind w:firstLine="480" w:firstLineChars="200"/>
              <w:rPr>
                <w:rFonts w:ascii="宋体" w:hAnsi="宋体" w:cs="宋体"/>
                <w:sz w:val="24"/>
                <w:szCs w:val="24"/>
                <w:highlight w:val="none"/>
              </w:rPr>
            </w:pPr>
          </w:p>
        </w:tc>
        <w:tc>
          <w:tcPr>
            <w:tcW w:w="1134" w:type="dxa"/>
            <w:noWrap w:val="0"/>
            <w:vAlign w:val="center"/>
          </w:tcPr>
          <w:p w14:paraId="57F6DE87">
            <w:pPr>
              <w:spacing w:line="400" w:lineRule="exact"/>
              <w:ind w:firstLine="480" w:firstLineChars="200"/>
              <w:rPr>
                <w:rFonts w:ascii="宋体" w:hAnsi="宋体" w:cs="宋体"/>
                <w:sz w:val="24"/>
                <w:szCs w:val="24"/>
                <w:highlight w:val="none"/>
              </w:rPr>
            </w:pPr>
          </w:p>
        </w:tc>
        <w:tc>
          <w:tcPr>
            <w:tcW w:w="4252" w:type="dxa"/>
            <w:noWrap w:val="0"/>
            <w:vAlign w:val="center"/>
          </w:tcPr>
          <w:p w14:paraId="3E099441">
            <w:pPr>
              <w:spacing w:line="400" w:lineRule="exact"/>
              <w:ind w:firstLine="480" w:firstLineChars="200"/>
              <w:rPr>
                <w:rFonts w:ascii="宋体" w:hAnsi="宋体" w:cs="宋体"/>
                <w:sz w:val="24"/>
                <w:szCs w:val="24"/>
                <w:highlight w:val="none"/>
              </w:rPr>
            </w:pPr>
          </w:p>
        </w:tc>
      </w:tr>
      <w:tr w14:paraId="4FB818B5">
        <w:tblPrEx>
          <w:tblCellMar>
            <w:top w:w="0" w:type="dxa"/>
            <w:left w:w="28" w:type="dxa"/>
            <w:bottom w:w="0" w:type="dxa"/>
            <w:right w:w="28" w:type="dxa"/>
          </w:tblCellMar>
        </w:tblPrEx>
        <w:trPr>
          <w:jc w:val="center"/>
        </w:trPr>
        <w:tc>
          <w:tcPr>
            <w:tcW w:w="1871" w:type="dxa"/>
            <w:noWrap w:val="0"/>
            <w:vAlign w:val="center"/>
          </w:tcPr>
          <w:p w14:paraId="530CF058">
            <w:pPr>
              <w:spacing w:line="400" w:lineRule="exact"/>
              <w:jc w:val="center"/>
              <w:rPr>
                <w:rFonts w:ascii="宋体" w:hAnsi="宋体" w:cs="宋体"/>
                <w:sz w:val="24"/>
                <w:szCs w:val="24"/>
                <w:highlight w:val="none"/>
              </w:rPr>
            </w:pPr>
            <w:r>
              <w:rPr>
                <w:rFonts w:hint="eastAsia" w:ascii="宋体" w:hAnsi="宋体" w:cs="宋体"/>
                <w:sz w:val="24"/>
                <w:szCs w:val="24"/>
                <w:highlight w:val="none"/>
              </w:rPr>
              <w:t>计划管理</w:t>
            </w:r>
          </w:p>
        </w:tc>
        <w:tc>
          <w:tcPr>
            <w:tcW w:w="1418" w:type="dxa"/>
            <w:noWrap w:val="0"/>
            <w:vAlign w:val="center"/>
          </w:tcPr>
          <w:p w14:paraId="3B3F1E9D">
            <w:pPr>
              <w:spacing w:line="400" w:lineRule="exact"/>
              <w:ind w:firstLine="480" w:firstLineChars="200"/>
              <w:rPr>
                <w:rFonts w:ascii="宋体" w:hAnsi="宋体" w:cs="宋体"/>
                <w:sz w:val="24"/>
                <w:szCs w:val="24"/>
                <w:highlight w:val="none"/>
              </w:rPr>
            </w:pPr>
          </w:p>
        </w:tc>
        <w:tc>
          <w:tcPr>
            <w:tcW w:w="1134" w:type="dxa"/>
            <w:noWrap w:val="0"/>
            <w:vAlign w:val="center"/>
          </w:tcPr>
          <w:p w14:paraId="1D059373">
            <w:pPr>
              <w:spacing w:line="400" w:lineRule="exact"/>
              <w:ind w:firstLine="480" w:firstLineChars="200"/>
              <w:rPr>
                <w:rFonts w:ascii="宋体" w:hAnsi="宋体" w:cs="宋体"/>
                <w:sz w:val="24"/>
                <w:szCs w:val="24"/>
                <w:highlight w:val="none"/>
              </w:rPr>
            </w:pPr>
          </w:p>
        </w:tc>
        <w:tc>
          <w:tcPr>
            <w:tcW w:w="1134" w:type="dxa"/>
            <w:noWrap w:val="0"/>
            <w:vAlign w:val="center"/>
          </w:tcPr>
          <w:p w14:paraId="030A8862">
            <w:pPr>
              <w:spacing w:line="400" w:lineRule="exact"/>
              <w:ind w:firstLine="480" w:firstLineChars="200"/>
              <w:rPr>
                <w:rFonts w:ascii="宋体" w:hAnsi="宋体" w:cs="宋体"/>
                <w:sz w:val="24"/>
                <w:szCs w:val="24"/>
                <w:highlight w:val="none"/>
              </w:rPr>
            </w:pPr>
          </w:p>
        </w:tc>
        <w:tc>
          <w:tcPr>
            <w:tcW w:w="4252" w:type="dxa"/>
            <w:noWrap w:val="0"/>
            <w:vAlign w:val="center"/>
          </w:tcPr>
          <w:p w14:paraId="676B15E8">
            <w:pPr>
              <w:spacing w:line="400" w:lineRule="exact"/>
              <w:ind w:firstLine="480" w:firstLineChars="200"/>
              <w:rPr>
                <w:rFonts w:ascii="宋体" w:hAnsi="宋体" w:cs="宋体"/>
                <w:sz w:val="24"/>
                <w:szCs w:val="24"/>
                <w:highlight w:val="none"/>
              </w:rPr>
            </w:pPr>
          </w:p>
        </w:tc>
      </w:tr>
      <w:tr w14:paraId="739A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BD2E8EF">
            <w:pPr>
              <w:spacing w:line="400" w:lineRule="exact"/>
              <w:jc w:val="center"/>
              <w:rPr>
                <w:rFonts w:ascii="宋体" w:hAnsi="宋体" w:cs="宋体"/>
                <w:sz w:val="24"/>
                <w:szCs w:val="24"/>
                <w:highlight w:val="none"/>
              </w:rPr>
            </w:pPr>
            <w:r>
              <w:rPr>
                <w:rFonts w:hint="eastAsia" w:ascii="宋体" w:hAnsi="宋体" w:cs="宋体"/>
                <w:sz w:val="24"/>
                <w:szCs w:val="24"/>
                <w:highlight w:val="none"/>
              </w:rPr>
              <w:t>安全管理</w:t>
            </w:r>
          </w:p>
        </w:tc>
        <w:tc>
          <w:tcPr>
            <w:tcW w:w="1418" w:type="dxa"/>
            <w:noWrap w:val="0"/>
            <w:vAlign w:val="center"/>
          </w:tcPr>
          <w:p w14:paraId="358BC237">
            <w:pPr>
              <w:spacing w:line="400" w:lineRule="exact"/>
              <w:ind w:firstLine="480" w:firstLineChars="200"/>
              <w:rPr>
                <w:rFonts w:ascii="宋体" w:hAnsi="宋体" w:cs="宋体"/>
                <w:sz w:val="24"/>
                <w:szCs w:val="24"/>
                <w:highlight w:val="none"/>
              </w:rPr>
            </w:pPr>
          </w:p>
        </w:tc>
        <w:tc>
          <w:tcPr>
            <w:tcW w:w="1134" w:type="dxa"/>
            <w:noWrap w:val="0"/>
            <w:vAlign w:val="center"/>
          </w:tcPr>
          <w:p w14:paraId="26A87C1E">
            <w:pPr>
              <w:spacing w:line="400" w:lineRule="exact"/>
              <w:ind w:firstLine="480" w:firstLineChars="200"/>
              <w:rPr>
                <w:rFonts w:ascii="宋体" w:hAnsi="宋体" w:cs="宋体"/>
                <w:sz w:val="24"/>
                <w:szCs w:val="24"/>
                <w:highlight w:val="none"/>
              </w:rPr>
            </w:pPr>
          </w:p>
        </w:tc>
        <w:tc>
          <w:tcPr>
            <w:tcW w:w="1134" w:type="dxa"/>
            <w:noWrap w:val="0"/>
            <w:vAlign w:val="center"/>
          </w:tcPr>
          <w:p w14:paraId="48E6CA7C">
            <w:pPr>
              <w:spacing w:line="400" w:lineRule="exact"/>
              <w:ind w:firstLine="480" w:firstLineChars="200"/>
              <w:rPr>
                <w:rFonts w:ascii="宋体" w:hAnsi="宋体" w:cs="宋体"/>
                <w:sz w:val="24"/>
                <w:szCs w:val="24"/>
                <w:highlight w:val="none"/>
              </w:rPr>
            </w:pPr>
          </w:p>
        </w:tc>
        <w:tc>
          <w:tcPr>
            <w:tcW w:w="4252" w:type="dxa"/>
            <w:noWrap w:val="0"/>
            <w:vAlign w:val="center"/>
          </w:tcPr>
          <w:p w14:paraId="5611AEEE">
            <w:pPr>
              <w:spacing w:line="400" w:lineRule="exact"/>
              <w:ind w:firstLine="480" w:firstLineChars="200"/>
              <w:rPr>
                <w:rFonts w:ascii="宋体" w:hAnsi="宋体" w:cs="宋体"/>
                <w:sz w:val="24"/>
                <w:szCs w:val="24"/>
                <w:highlight w:val="none"/>
              </w:rPr>
            </w:pPr>
          </w:p>
        </w:tc>
      </w:tr>
      <w:tr w14:paraId="1033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396C676">
            <w:pPr>
              <w:spacing w:line="400" w:lineRule="exact"/>
              <w:jc w:val="center"/>
              <w:rPr>
                <w:rFonts w:ascii="宋体" w:hAnsi="宋体" w:cs="宋体"/>
                <w:sz w:val="24"/>
                <w:szCs w:val="24"/>
                <w:highlight w:val="none"/>
              </w:rPr>
            </w:pPr>
            <w:r>
              <w:rPr>
                <w:rFonts w:hint="eastAsia" w:ascii="宋体" w:hAnsi="宋体" w:cs="宋体"/>
                <w:sz w:val="24"/>
                <w:szCs w:val="24"/>
                <w:highlight w:val="none"/>
              </w:rPr>
              <w:t>其他人员</w:t>
            </w:r>
          </w:p>
        </w:tc>
        <w:tc>
          <w:tcPr>
            <w:tcW w:w="1418" w:type="dxa"/>
            <w:noWrap w:val="0"/>
            <w:vAlign w:val="center"/>
          </w:tcPr>
          <w:p w14:paraId="2AB650AD">
            <w:pPr>
              <w:spacing w:line="400" w:lineRule="exact"/>
              <w:ind w:firstLine="480" w:firstLineChars="200"/>
              <w:rPr>
                <w:rFonts w:ascii="宋体" w:hAnsi="宋体" w:cs="宋体"/>
                <w:sz w:val="24"/>
                <w:szCs w:val="24"/>
                <w:highlight w:val="none"/>
              </w:rPr>
            </w:pPr>
          </w:p>
        </w:tc>
        <w:tc>
          <w:tcPr>
            <w:tcW w:w="1134" w:type="dxa"/>
            <w:noWrap w:val="0"/>
            <w:vAlign w:val="center"/>
          </w:tcPr>
          <w:p w14:paraId="3B6E212C">
            <w:pPr>
              <w:spacing w:line="400" w:lineRule="exact"/>
              <w:ind w:firstLine="480" w:firstLineChars="200"/>
              <w:rPr>
                <w:rFonts w:ascii="宋体" w:hAnsi="宋体" w:cs="宋体"/>
                <w:sz w:val="24"/>
                <w:szCs w:val="24"/>
                <w:highlight w:val="none"/>
              </w:rPr>
            </w:pPr>
          </w:p>
        </w:tc>
        <w:tc>
          <w:tcPr>
            <w:tcW w:w="1134" w:type="dxa"/>
            <w:noWrap w:val="0"/>
            <w:vAlign w:val="center"/>
          </w:tcPr>
          <w:p w14:paraId="058AABFF">
            <w:pPr>
              <w:spacing w:line="400" w:lineRule="exact"/>
              <w:ind w:firstLine="480" w:firstLineChars="200"/>
              <w:rPr>
                <w:rFonts w:ascii="宋体" w:hAnsi="宋体" w:cs="宋体"/>
                <w:sz w:val="24"/>
                <w:szCs w:val="24"/>
                <w:highlight w:val="none"/>
              </w:rPr>
            </w:pPr>
          </w:p>
        </w:tc>
        <w:tc>
          <w:tcPr>
            <w:tcW w:w="4252" w:type="dxa"/>
            <w:noWrap w:val="0"/>
            <w:vAlign w:val="center"/>
          </w:tcPr>
          <w:p w14:paraId="74BA40D2">
            <w:pPr>
              <w:spacing w:line="400" w:lineRule="exact"/>
              <w:ind w:firstLine="480" w:firstLineChars="200"/>
              <w:rPr>
                <w:rFonts w:ascii="宋体" w:hAnsi="宋体" w:cs="宋体"/>
                <w:sz w:val="24"/>
                <w:szCs w:val="24"/>
                <w:highlight w:val="none"/>
              </w:rPr>
            </w:pPr>
          </w:p>
        </w:tc>
      </w:tr>
      <w:tr w14:paraId="2063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6560A0D">
            <w:pPr>
              <w:spacing w:line="400" w:lineRule="exact"/>
              <w:ind w:firstLine="480" w:firstLineChars="200"/>
              <w:rPr>
                <w:rFonts w:ascii="宋体" w:hAnsi="宋体" w:cs="宋体"/>
                <w:sz w:val="24"/>
                <w:szCs w:val="24"/>
                <w:highlight w:val="none"/>
              </w:rPr>
            </w:pPr>
          </w:p>
        </w:tc>
        <w:tc>
          <w:tcPr>
            <w:tcW w:w="1418" w:type="dxa"/>
            <w:noWrap w:val="0"/>
            <w:vAlign w:val="center"/>
          </w:tcPr>
          <w:p w14:paraId="2437CC3C">
            <w:pPr>
              <w:spacing w:line="400" w:lineRule="exact"/>
              <w:ind w:firstLine="480" w:firstLineChars="200"/>
              <w:rPr>
                <w:rFonts w:ascii="宋体" w:hAnsi="宋体" w:cs="宋体"/>
                <w:sz w:val="24"/>
                <w:szCs w:val="24"/>
                <w:highlight w:val="none"/>
              </w:rPr>
            </w:pPr>
          </w:p>
        </w:tc>
        <w:tc>
          <w:tcPr>
            <w:tcW w:w="1134" w:type="dxa"/>
            <w:noWrap w:val="0"/>
            <w:vAlign w:val="center"/>
          </w:tcPr>
          <w:p w14:paraId="3B9F3D1A">
            <w:pPr>
              <w:spacing w:line="400" w:lineRule="exact"/>
              <w:ind w:firstLine="480" w:firstLineChars="200"/>
              <w:rPr>
                <w:rFonts w:ascii="宋体" w:hAnsi="宋体" w:cs="宋体"/>
                <w:sz w:val="24"/>
                <w:szCs w:val="24"/>
                <w:highlight w:val="none"/>
              </w:rPr>
            </w:pPr>
          </w:p>
        </w:tc>
        <w:tc>
          <w:tcPr>
            <w:tcW w:w="1134" w:type="dxa"/>
            <w:noWrap w:val="0"/>
            <w:vAlign w:val="center"/>
          </w:tcPr>
          <w:p w14:paraId="223F6C26">
            <w:pPr>
              <w:spacing w:line="400" w:lineRule="exact"/>
              <w:ind w:firstLine="480" w:firstLineChars="200"/>
              <w:rPr>
                <w:rFonts w:ascii="宋体" w:hAnsi="宋体" w:cs="宋体"/>
                <w:sz w:val="24"/>
                <w:szCs w:val="24"/>
                <w:highlight w:val="none"/>
              </w:rPr>
            </w:pPr>
          </w:p>
        </w:tc>
        <w:tc>
          <w:tcPr>
            <w:tcW w:w="4252" w:type="dxa"/>
            <w:noWrap w:val="0"/>
            <w:vAlign w:val="center"/>
          </w:tcPr>
          <w:p w14:paraId="66D7BB2E">
            <w:pPr>
              <w:spacing w:line="400" w:lineRule="exact"/>
              <w:ind w:firstLine="480" w:firstLineChars="200"/>
              <w:rPr>
                <w:rFonts w:ascii="宋体" w:hAnsi="宋体" w:cs="宋体"/>
                <w:sz w:val="24"/>
                <w:szCs w:val="24"/>
                <w:highlight w:val="none"/>
              </w:rPr>
            </w:pPr>
          </w:p>
        </w:tc>
      </w:tr>
      <w:tr w14:paraId="55EB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6EC7C39">
            <w:pPr>
              <w:spacing w:line="400" w:lineRule="exact"/>
              <w:ind w:firstLine="480" w:firstLineChars="200"/>
              <w:rPr>
                <w:rFonts w:ascii="宋体" w:hAnsi="宋体" w:cs="宋体"/>
                <w:sz w:val="24"/>
                <w:szCs w:val="24"/>
                <w:highlight w:val="none"/>
              </w:rPr>
            </w:pPr>
          </w:p>
        </w:tc>
        <w:tc>
          <w:tcPr>
            <w:tcW w:w="1418" w:type="dxa"/>
            <w:noWrap w:val="0"/>
            <w:vAlign w:val="center"/>
          </w:tcPr>
          <w:p w14:paraId="3C2425DA">
            <w:pPr>
              <w:spacing w:line="400" w:lineRule="exact"/>
              <w:ind w:firstLine="480" w:firstLineChars="200"/>
              <w:rPr>
                <w:rFonts w:ascii="宋体" w:hAnsi="宋体" w:cs="宋体"/>
                <w:sz w:val="24"/>
                <w:szCs w:val="24"/>
                <w:highlight w:val="none"/>
              </w:rPr>
            </w:pPr>
          </w:p>
        </w:tc>
        <w:tc>
          <w:tcPr>
            <w:tcW w:w="1134" w:type="dxa"/>
            <w:noWrap w:val="0"/>
            <w:vAlign w:val="center"/>
          </w:tcPr>
          <w:p w14:paraId="255B3A4B">
            <w:pPr>
              <w:spacing w:line="400" w:lineRule="exact"/>
              <w:ind w:firstLine="480" w:firstLineChars="200"/>
              <w:rPr>
                <w:rFonts w:ascii="宋体" w:hAnsi="宋体" w:cs="宋体"/>
                <w:sz w:val="24"/>
                <w:szCs w:val="24"/>
                <w:highlight w:val="none"/>
              </w:rPr>
            </w:pPr>
          </w:p>
        </w:tc>
        <w:tc>
          <w:tcPr>
            <w:tcW w:w="1134" w:type="dxa"/>
            <w:noWrap w:val="0"/>
            <w:vAlign w:val="center"/>
          </w:tcPr>
          <w:p w14:paraId="22C59A66">
            <w:pPr>
              <w:spacing w:line="400" w:lineRule="exact"/>
              <w:ind w:firstLine="480" w:firstLineChars="200"/>
              <w:rPr>
                <w:rFonts w:ascii="宋体" w:hAnsi="宋体" w:cs="宋体"/>
                <w:sz w:val="24"/>
                <w:szCs w:val="24"/>
                <w:highlight w:val="none"/>
              </w:rPr>
            </w:pPr>
          </w:p>
        </w:tc>
        <w:tc>
          <w:tcPr>
            <w:tcW w:w="4252" w:type="dxa"/>
            <w:noWrap w:val="0"/>
            <w:vAlign w:val="center"/>
          </w:tcPr>
          <w:p w14:paraId="6BD8128A">
            <w:pPr>
              <w:spacing w:line="400" w:lineRule="exact"/>
              <w:ind w:firstLine="480" w:firstLineChars="200"/>
              <w:rPr>
                <w:rFonts w:ascii="宋体" w:hAnsi="宋体" w:cs="宋体"/>
                <w:sz w:val="24"/>
                <w:szCs w:val="24"/>
                <w:highlight w:val="none"/>
              </w:rPr>
            </w:pPr>
          </w:p>
        </w:tc>
      </w:tr>
      <w:tr w14:paraId="2ED0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noWrap w:val="0"/>
            <w:vAlign w:val="center"/>
          </w:tcPr>
          <w:p w14:paraId="297736B1">
            <w:pPr>
              <w:spacing w:line="400" w:lineRule="exact"/>
              <w:ind w:firstLine="480" w:firstLineChars="200"/>
              <w:rPr>
                <w:rFonts w:ascii="宋体" w:hAnsi="宋体" w:cs="宋体"/>
                <w:sz w:val="24"/>
                <w:szCs w:val="24"/>
                <w:highlight w:val="none"/>
              </w:rPr>
            </w:pPr>
          </w:p>
        </w:tc>
        <w:tc>
          <w:tcPr>
            <w:tcW w:w="1418" w:type="dxa"/>
            <w:noWrap w:val="0"/>
            <w:vAlign w:val="center"/>
          </w:tcPr>
          <w:p w14:paraId="59E7F4DE">
            <w:pPr>
              <w:spacing w:line="400" w:lineRule="exact"/>
              <w:ind w:firstLine="480" w:firstLineChars="200"/>
              <w:rPr>
                <w:rFonts w:ascii="宋体" w:hAnsi="宋体" w:cs="宋体"/>
                <w:sz w:val="24"/>
                <w:szCs w:val="24"/>
                <w:highlight w:val="none"/>
              </w:rPr>
            </w:pPr>
          </w:p>
        </w:tc>
        <w:tc>
          <w:tcPr>
            <w:tcW w:w="1134" w:type="dxa"/>
            <w:noWrap w:val="0"/>
            <w:vAlign w:val="center"/>
          </w:tcPr>
          <w:p w14:paraId="7A0320D8">
            <w:pPr>
              <w:spacing w:line="400" w:lineRule="exact"/>
              <w:ind w:firstLine="480" w:firstLineChars="200"/>
              <w:rPr>
                <w:rFonts w:ascii="宋体" w:hAnsi="宋体" w:cs="宋体"/>
                <w:sz w:val="24"/>
                <w:szCs w:val="24"/>
                <w:highlight w:val="none"/>
              </w:rPr>
            </w:pPr>
          </w:p>
        </w:tc>
        <w:tc>
          <w:tcPr>
            <w:tcW w:w="1134" w:type="dxa"/>
            <w:noWrap w:val="0"/>
            <w:vAlign w:val="center"/>
          </w:tcPr>
          <w:p w14:paraId="4A3C6E63">
            <w:pPr>
              <w:spacing w:line="400" w:lineRule="exact"/>
              <w:ind w:firstLine="480" w:firstLineChars="200"/>
              <w:rPr>
                <w:rFonts w:ascii="宋体" w:hAnsi="宋体" w:cs="宋体"/>
                <w:sz w:val="24"/>
                <w:szCs w:val="24"/>
                <w:highlight w:val="none"/>
              </w:rPr>
            </w:pPr>
          </w:p>
        </w:tc>
        <w:tc>
          <w:tcPr>
            <w:tcW w:w="4252" w:type="dxa"/>
            <w:noWrap w:val="0"/>
            <w:vAlign w:val="center"/>
          </w:tcPr>
          <w:p w14:paraId="0B65505A">
            <w:pPr>
              <w:spacing w:line="400" w:lineRule="exact"/>
              <w:ind w:firstLine="480" w:firstLineChars="200"/>
              <w:rPr>
                <w:rFonts w:ascii="宋体" w:hAnsi="宋体" w:cs="宋体"/>
                <w:sz w:val="24"/>
                <w:szCs w:val="24"/>
                <w:highlight w:val="none"/>
              </w:rPr>
            </w:pPr>
          </w:p>
        </w:tc>
      </w:tr>
      <w:tr w14:paraId="5AA3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noWrap w:val="0"/>
            <w:vAlign w:val="center"/>
          </w:tcPr>
          <w:p w14:paraId="24E82784">
            <w:pPr>
              <w:spacing w:line="400" w:lineRule="exact"/>
              <w:ind w:firstLine="480" w:firstLineChars="200"/>
              <w:rPr>
                <w:rFonts w:ascii="宋体" w:hAnsi="宋体" w:cs="宋体"/>
                <w:sz w:val="24"/>
                <w:szCs w:val="24"/>
                <w:highlight w:val="none"/>
              </w:rPr>
            </w:pPr>
          </w:p>
        </w:tc>
        <w:tc>
          <w:tcPr>
            <w:tcW w:w="1418" w:type="dxa"/>
            <w:noWrap w:val="0"/>
            <w:vAlign w:val="center"/>
          </w:tcPr>
          <w:p w14:paraId="0C4ACB29">
            <w:pPr>
              <w:spacing w:line="400" w:lineRule="exact"/>
              <w:ind w:firstLine="480" w:firstLineChars="200"/>
              <w:rPr>
                <w:rFonts w:ascii="宋体" w:hAnsi="宋体" w:cs="宋体"/>
                <w:sz w:val="24"/>
                <w:szCs w:val="24"/>
                <w:highlight w:val="none"/>
              </w:rPr>
            </w:pPr>
          </w:p>
        </w:tc>
        <w:tc>
          <w:tcPr>
            <w:tcW w:w="1134" w:type="dxa"/>
            <w:noWrap w:val="0"/>
            <w:vAlign w:val="center"/>
          </w:tcPr>
          <w:p w14:paraId="6CF48484">
            <w:pPr>
              <w:spacing w:line="400" w:lineRule="exact"/>
              <w:ind w:firstLine="480" w:firstLineChars="200"/>
              <w:rPr>
                <w:rFonts w:ascii="宋体" w:hAnsi="宋体" w:cs="宋体"/>
                <w:sz w:val="24"/>
                <w:szCs w:val="24"/>
                <w:highlight w:val="none"/>
              </w:rPr>
            </w:pPr>
          </w:p>
        </w:tc>
        <w:tc>
          <w:tcPr>
            <w:tcW w:w="1134" w:type="dxa"/>
            <w:noWrap w:val="0"/>
            <w:vAlign w:val="center"/>
          </w:tcPr>
          <w:p w14:paraId="1D747182">
            <w:pPr>
              <w:spacing w:line="400" w:lineRule="exact"/>
              <w:ind w:firstLine="480" w:firstLineChars="200"/>
              <w:rPr>
                <w:rFonts w:ascii="宋体" w:hAnsi="宋体" w:cs="宋体"/>
                <w:sz w:val="24"/>
                <w:szCs w:val="24"/>
                <w:highlight w:val="none"/>
              </w:rPr>
            </w:pPr>
          </w:p>
        </w:tc>
        <w:tc>
          <w:tcPr>
            <w:tcW w:w="4252" w:type="dxa"/>
            <w:noWrap w:val="0"/>
            <w:vAlign w:val="center"/>
          </w:tcPr>
          <w:p w14:paraId="31D22898">
            <w:pPr>
              <w:spacing w:line="400" w:lineRule="exact"/>
              <w:ind w:firstLine="480" w:firstLineChars="200"/>
              <w:rPr>
                <w:rFonts w:ascii="宋体" w:hAnsi="宋体" w:cs="宋体"/>
                <w:sz w:val="24"/>
                <w:szCs w:val="24"/>
                <w:highlight w:val="none"/>
              </w:rPr>
            </w:pPr>
          </w:p>
        </w:tc>
      </w:tr>
    </w:tbl>
    <w:p w14:paraId="5E2CB503">
      <w:pPr>
        <w:spacing w:line="400" w:lineRule="exact"/>
        <w:rPr>
          <w:rFonts w:ascii="宋体" w:hAnsi="宋体" w:cs="宋体"/>
          <w:sz w:val="24"/>
          <w:szCs w:val="24"/>
          <w:highlight w:val="none"/>
        </w:rPr>
      </w:pPr>
      <w:r>
        <w:rPr>
          <w:rFonts w:hint="eastAsia" w:ascii="宋体" w:hAnsi="宋体" w:cs="宋体"/>
          <w:sz w:val="24"/>
          <w:szCs w:val="24"/>
          <w:highlight w:val="none"/>
        </w:rPr>
        <w:br w:type="page"/>
      </w:r>
      <w:bookmarkStart w:id="1016" w:name="_Toc267261701"/>
      <w:r>
        <w:rPr>
          <w:rFonts w:hint="eastAsia" w:ascii="宋体" w:hAnsi="宋体" w:cs="宋体"/>
          <w:sz w:val="24"/>
          <w:szCs w:val="24"/>
          <w:highlight w:val="none"/>
        </w:rPr>
        <w:t>附</w:t>
      </w:r>
      <w:bookmarkStart w:id="1017" w:name="_Toc296347230"/>
      <w:bookmarkStart w:id="1018" w:name="_Toc296944570"/>
      <w:bookmarkStart w:id="1019" w:name="_Toc296346732"/>
      <w:bookmarkStart w:id="1020" w:name="_Toc296503231"/>
      <w:bookmarkStart w:id="1021" w:name="_Toc296891059"/>
      <w:bookmarkStart w:id="1022" w:name="_Toc296891271"/>
      <w:r>
        <w:rPr>
          <w:rFonts w:hint="eastAsia" w:ascii="宋体" w:hAnsi="宋体" w:cs="宋体"/>
          <w:sz w:val="24"/>
          <w:szCs w:val="24"/>
          <w:highlight w:val="none"/>
        </w:rPr>
        <w:t>件4：履约担保（如有）</w:t>
      </w:r>
    </w:p>
    <w:bookmarkEnd w:id="1016"/>
    <w:bookmarkEnd w:id="1017"/>
    <w:bookmarkEnd w:id="1018"/>
    <w:bookmarkEnd w:id="1019"/>
    <w:bookmarkEnd w:id="1020"/>
    <w:bookmarkEnd w:id="1021"/>
    <w:bookmarkEnd w:id="1022"/>
    <w:p w14:paraId="161174F6">
      <w:pPr>
        <w:spacing w:line="400" w:lineRule="exact"/>
        <w:jc w:val="center"/>
        <w:rPr>
          <w:rFonts w:ascii="宋体" w:hAnsi="宋体" w:cs="宋体"/>
          <w:sz w:val="24"/>
          <w:szCs w:val="24"/>
          <w:highlight w:val="none"/>
        </w:rPr>
      </w:pPr>
      <w:r>
        <w:rPr>
          <w:rFonts w:hint="eastAsia" w:ascii="宋体" w:hAnsi="宋体" w:cs="宋体"/>
          <w:sz w:val="24"/>
          <w:szCs w:val="24"/>
          <w:highlight w:val="none"/>
        </w:rPr>
        <w:t>履约保函示范文本</w:t>
      </w:r>
    </w:p>
    <w:p w14:paraId="18D4BF35">
      <w:pPr>
        <w:spacing w:line="400" w:lineRule="exact"/>
        <w:rPr>
          <w:rFonts w:ascii="宋体" w:hAnsi="宋体" w:cs="宋体"/>
          <w:sz w:val="24"/>
          <w:szCs w:val="24"/>
          <w:highlight w:val="none"/>
        </w:rPr>
      </w:pPr>
    </w:p>
    <w:p w14:paraId="12F5658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申请人：</w:t>
      </w:r>
    </w:p>
    <w:p w14:paraId="753A7D8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p>
    <w:p w14:paraId="5BD9C3D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受益人：</w:t>
      </w:r>
    </w:p>
    <w:p w14:paraId="18354A6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p>
    <w:p w14:paraId="0B087720">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开立人：</w:t>
      </w:r>
    </w:p>
    <w:p w14:paraId="7247F8B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p>
    <w:p w14:paraId="6350523D">
      <w:pPr>
        <w:spacing w:line="400" w:lineRule="exact"/>
        <w:rPr>
          <w:rFonts w:ascii="宋体" w:hAnsi="宋体" w:cs="宋体"/>
          <w:sz w:val="24"/>
          <w:szCs w:val="24"/>
          <w:highlight w:val="none"/>
        </w:rPr>
      </w:pPr>
    </w:p>
    <w:p w14:paraId="100824D6">
      <w:pPr>
        <w:spacing w:line="400" w:lineRule="exac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（受益人名称）：</w:t>
      </w:r>
    </w:p>
    <w:p w14:paraId="6AAEA83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（以下简称“受益人”）与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（以下简称“申请人”）就工程</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以下简称“本工程”）施工和有关事项协商一致，根据本工程中标通知书、采购文件和投标文件，了解到申请人为本工程项下之承包人、受益人为本工程项下之发包人，基于申请人的请求，我方（即“开立人”）同意就申请人履行本工程依据中标通知书、采购文件和投标文件签订的</w:t>
      </w:r>
      <w:r>
        <w:rPr>
          <w:rFonts w:hint="eastAsia" w:ascii="宋体" w:hAnsi="宋体" w:cs="宋体"/>
          <w:sz w:val="24"/>
          <w:szCs w:val="24"/>
          <w:highlight w:val="none"/>
          <w:u w:val="single"/>
        </w:rPr>
        <w:t>《        》</w:t>
      </w:r>
      <w:r>
        <w:rPr>
          <w:rFonts w:hint="eastAsia" w:ascii="宋体" w:hAnsi="宋体" w:cs="宋体"/>
          <w:sz w:val="24"/>
          <w:szCs w:val="24"/>
          <w:highlight w:val="none"/>
        </w:rPr>
        <w:t>（以下简称“基础合同”）约定的义务，向贵方提供不可撤销、不可转让的见索即付保函（以下简称“本保函”）。</w:t>
      </w:r>
    </w:p>
    <w:p w14:paraId="0C3E017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一、本保函担保范围：承包人未按照基础合同的约定履行义务，应当向贵方承担的违约责任和赔偿因此造成的损失、利息、律师费、诉讼费用等实现债权的费用。</w:t>
      </w:r>
    </w:p>
    <w:p w14:paraId="2E77E9A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二、本保函担保金额最高不超过人民币（大写）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1EB6A5F">
      <w:pPr>
        <w:spacing w:line="400" w:lineRule="exact"/>
        <w:ind w:firstLine="480" w:firstLineChars="200"/>
        <w:rPr>
          <w:rFonts w:ascii="宋体" w:hAnsi="宋体" w:cs="宋体"/>
          <w:spacing w:val="6"/>
          <w:sz w:val="24"/>
          <w:szCs w:val="24"/>
          <w:highlight w:val="none"/>
        </w:rPr>
      </w:pPr>
      <w:r>
        <w:rPr>
          <w:rFonts w:hint="eastAsia" w:ascii="宋体" w:hAnsi="宋体" w:cs="宋体"/>
          <w:sz w:val="24"/>
          <w:szCs w:val="24"/>
          <w:highlight w:val="none"/>
        </w:rPr>
        <w:t>三、</w:t>
      </w:r>
      <w:r>
        <w:rPr>
          <w:rFonts w:hint="eastAsia" w:ascii="宋体" w:hAnsi="宋体" w:cs="宋体"/>
          <w:spacing w:val="6"/>
          <w:sz w:val="24"/>
          <w:szCs w:val="24"/>
          <w:highlight w:val="none"/>
        </w:rPr>
        <w:t>本保函有效期自受益人与申请人签订的合同生效之日</w:t>
      </w:r>
      <w:r>
        <w:rPr>
          <w:rFonts w:hint="eastAsia" w:ascii="宋体" w:hAnsi="宋体" w:cs="宋体"/>
          <w:sz w:val="24"/>
          <w:szCs w:val="24"/>
          <w:highlight w:val="none"/>
        </w:rPr>
        <w:t>起至合同约定的工期截止日后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天，最迟不超过</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717616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四、我方承诺，在收到受益人发来的书面索赔通知和本保函原件后的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个工作日内无条件支付至受益人指定账户，前述书面索赔通知即为付款要求之单据，且应满足以下要求：</w:t>
      </w:r>
    </w:p>
    <w:p w14:paraId="0E377AC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（1）索赔通知到达的日期在本保函的有效期内；</w:t>
      </w:r>
    </w:p>
    <w:p w14:paraId="43A269C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（2）载明要求支付的金额；</w:t>
      </w:r>
    </w:p>
    <w:p w14:paraId="26FDB73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（3）载明申请人违反合同义务的条款和内容；</w:t>
      </w:r>
    </w:p>
    <w:p w14:paraId="3A57ECE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（4）声明不存在合同文件约定或我国法律规定免除申请人或开立人支付责任的情形；</w:t>
      </w:r>
    </w:p>
    <w:p w14:paraId="207885C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（5）索赔通知应在本保函有效期内到达的地址是：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665D89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受益人发出的书面索赔通知应由其为鉴明受益人法定代表人（负责人）或授权代理人签名或盖个人名章并加盖公章。</w:t>
      </w:r>
    </w:p>
    <w:p w14:paraId="22DA909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五、本保函项下的权利不得转让，不得设定担保。贵方未经我方书面同意转让本保函或其项下任何权利，对我方不发生法律效力。</w:t>
      </w:r>
    </w:p>
    <w:p w14:paraId="58FDACB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六、与本保函有关的基础合同不成立、不生效、无效、被撤销、被解除，不影响本保函的独立有效。</w:t>
      </w:r>
    </w:p>
    <w:p w14:paraId="0F64E3D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063EDA4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八、本保函适用的法律为中华人民共和国法律，争议裁判管辖地为中华人民共和国</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08F482B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九、本保函自我方法定代表人或授权代表签名或盖个人名章并加盖公章或合同专用章之日起生效。</w:t>
      </w:r>
    </w:p>
    <w:p w14:paraId="677B701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十、本保函在重庆市辖区范围内的核验地点：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；核验方式：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4A6B6E5">
      <w:pPr>
        <w:spacing w:line="400" w:lineRule="exact"/>
        <w:rPr>
          <w:rFonts w:ascii="宋体" w:hAnsi="宋体" w:cs="宋体"/>
          <w:sz w:val="24"/>
          <w:szCs w:val="24"/>
          <w:highlight w:val="none"/>
        </w:rPr>
      </w:pPr>
    </w:p>
    <w:p w14:paraId="7A6B92C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开 立 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（公章）</w:t>
      </w:r>
    </w:p>
    <w:p w14:paraId="58A6186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法定代表人（或授权代表）：</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（签名或盖个人名章）</w:t>
      </w:r>
    </w:p>
    <w:p w14:paraId="40E59E75">
      <w:pPr>
        <w:spacing w:line="40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0E8DCDB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5EE59D6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p>
    <w:p w14:paraId="5A80FFB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14:paraId="6A67F32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开立时间：    年    月    日</w:t>
      </w:r>
    </w:p>
    <w:p w14:paraId="033EBCC4">
      <w:pPr>
        <w:widowControl/>
        <w:spacing w:line="400" w:lineRule="exact"/>
        <w:jc w:val="left"/>
        <w:rPr>
          <w:rFonts w:ascii="宋体" w:hAnsi="宋体" w:cs="宋体"/>
          <w:sz w:val="24"/>
          <w:szCs w:val="24"/>
          <w:highlight w:val="none"/>
        </w:rPr>
      </w:pPr>
      <w:r>
        <w:rPr>
          <w:rFonts w:hint="eastAsia" w:ascii="宋体" w:hAnsi="宋体" w:cs="宋体"/>
          <w:sz w:val="24"/>
          <w:szCs w:val="24"/>
          <w:highlight w:val="none"/>
        </w:rPr>
        <w:br w:type="page"/>
      </w:r>
    </w:p>
    <w:p w14:paraId="7386D9AD">
      <w:pPr>
        <w:spacing w:line="400" w:lineRule="exact"/>
        <w:rPr>
          <w:rFonts w:ascii="宋体" w:hAnsi="宋体" w:cs="宋体"/>
          <w:sz w:val="24"/>
          <w:szCs w:val="24"/>
          <w:highlight w:val="none"/>
        </w:rPr>
      </w:pPr>
      <w:r>
        <w:rPr>
          <w:rFonts w:hint="eastAsia" w:ascii="宋体" w:hAnsi="宋体" w:cs="宋体"/>
          <w:sz w:val="24"/>
          <w:szCs w:val="24"/>
          <w:highlight w:val="none"/>
        </w:rPr>
        <w:t>附</w:t>
      </w:r>
      <w:bookmarkStart w:id="1023" w:name="_Toc296891060"/>
      <w:bookmarkStart w:id="1024" w:name="_Toc296346733"/>
      <w:bookmarkStart w:id="1025" w:name="_Toc296503232"/>
      <w:bookmarkStart w:id="1026" w:name="_Toc296944571"/>
      <w:bookmarkStart w:id="1027" w:name="_Toc296891272"/>
      <w:bookmarkStart w:id="1028" w:name="_Toc296347231"/>
      <w:bookmarkStart w:id="1029" w:name="_Toc267261702"/>
      <w:r>
        <w:rPr>
          <w:rFonts w:hint="eastAsia" w:ascii="宋体" w:hAnsi="宋体" w:cs="宋体"/>
          <w:sz w:val="24"/>
          <w:szCs w:val="24"/>
          <w:highlight w:val="none"/>
        </w:rPr>
        <w:t>件5：</w:t>
      </w:r>
    </w:p>
    <w:bookmarkEnd w:id="1023"/>
    <w:bookmarkEnd w:id="1024"/>
    <w:bookmarkEnd w:id="1025"/>
    <w:bookmarkEnd w:id="1026"/>
    <w:bookmarkEnd w:id="1027"/>
    <w:bookmarkEnd w:id="1028"/>
    <w:bookmarkEnd w:id="1029"/>
    <w:p w14:paraId="4592CF7D">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预付款担保（如有）</w:t>
      </w:r>
    </w:p>
    <w:p w14:paraId="2082440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（发包人名称）：</w:t>
      </w:r>
    </w:p>
    <w:p w14:paraId="2782AEC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（承包人名称）（以下称“承包人”）与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（发包人名称）（以下简称“发包人”）于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日签订的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6B7F19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 担保金额人民币（大写）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438CB40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担保有效期自预付款支付给承包人起生效，至你方签发的进度款支付证书说明已完全扣清止。</w:t>
      </w:r>
    </w:p>
    <w:p w14:paraId="4110A0D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7A21E65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 你方和承包人按合同约定变更合同时，我方承担本保函规定的义务不变。</w:t>
      </w:r>
    </w:p>
    <w:p w14:paraId="37B379F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 因本保函发生的纠纷，可由双方协商解决，协商不成的，按下列第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种方式解决：</w:t>
      </w:r>
    </w:p>
    <w:p w14:paraId="77D5AE1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仲裁委员会申请仲裁；</w:t>
      </w:r>
    </w:p>
    <w:p w14:paraId="043401B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人民法院起诉。</w:t>
      </w:r>
    </w:p>
    <w:p w14:paraId="4F64250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6. 本保函自我方法定代表人（或其委托代理人）签名并加盖单位公章之日起生效。</w:t>
      </w:r>
    </w:p>
    <w:p w14:paraId="14829462">
      <w:pPr>
        <w:pStyle w:val="2"/>
        <w:spacing w:line="400" w:lineRule="exact"/>
        <w:ind w:firstLine="480" w:firstLineChars="200"/>
        <w:rPr>
          <w:rFonts w:ascii="宋体" w:hAnsi="宋体" w:eastAsia="宋体" w:cs="宋体"/>
          <w:sz w:val="24"/>
          <w:szCs w:val="24"/>
          <w:highlight w:val="none"/>
        </w:rPr>
      </w:pPr>
    </w:p>
    <w:p w14:paraId="0282657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担保人：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（盖单位公章）</w:t>
      </w:r>
    </w:p>
    <w:p w14:paraId="78C2A52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（签名）</w:t>
      </w:r>
    </w:p>
    <w:p w14:paraId="16731CB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7D33F148">
      <w:pPr>
        <w:spacing w:line="40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邮政编码：</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D95513E">
      <w:pPr>
        <w:spacing w:line="40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电    话：</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75EAAF75">
      <w:pPr>
        <w:spacing w:line="400" w:lineRule="exact"/>
        <w:ind w:firstLine="480" w:firstLineChars="200"/>
        <w:rPr>
          <w:rFonts w:ascii="宋体" w:hAnsi="宋体" w:cs="宋体"/>
          <w:sz w:val="24"/>
          <w:szCs w:val="24"/>
          <w:highlight w:val="none"/>
          <w:u w:val="single"/>
        </w:rPr>
      </w:pPr>
      <w:r>
        <w:rPr>
          <w:rFonts w:hint="eastAsia" w:ascii="宋体" w:hAnsi="宋体" w:cs="宋体"/>
          <w:sz w:val="24"/>
          <w:szCs w:val="24"/>
          <w:highlight w:val="none"/>
        </w:rPr>
        <w:t>传    真：</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18A58A78">
      <w:pPr>
        <w:spacing w:line="400" w:lineRule="exact"/>
        <w:ind w:firstLine="480" w:firstLineChars="200"/>
        <w:rPr>
          <w:rFonts w:ascii="宋体" w:hAnsi="宋体" w:cs="宋体"/>
          <w:sz w:val="24"/>
          <w:szCs w:val="24"/>
          <w:highlight w:val="none"/>
          <w:u w:val="single"/>
        </w:rPr>
      </w:pPr>
    </w:p>
    <w:p w14:paraId="2A72979D">
      <w:pPr>
        <w:spacing w:line="400" w:lineRule="exact"/>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25ABE444">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w:t>
      </w:r>
      <w:bookmarkStart w:id="1030" w:name="_Toc296503233"/>
      <w:bookmarkStart w:id="1031" w:name="_Toc296891061"/>
      <w:bookmarkStart w:id="1032" w:name="_Toc296347232"/>
      <w:bookmarkStart w:id="1033" w:name="_Toc296891273"/>
      <w:bookmarkStart w:id="1034" w:name="_Toc296346734"/>
      <w:bookmarkStart w:id="1035" w:name="_Toc296944572"/>
      <w:r>
        <w:rPr>
          <w:rFonts w:hint="eastAsia" w:ascii="宋体" w:hAnsi="宋体" w:cs="宋体"/>
          <w:sz w:val="24"/>
          <w:szCs w:val="24"/>
          <w:highlight w:val="none"/>
        </w:rPr>
        <w:t>件6：</w:t>
      </w:r>
    </w:p>
    <w:bookmarkEnd w:id="1030"/>
    <w:bookmarkEnd w:id="1031"/>
    <w:bookmarkEnd w:id="1032"/>
    <w:bookmarkEnd w:id="1033"/>
    <w:bookmarkEnd w:id="1034"/>
    <w:bookmarkEnd w:id="1035"/>
    <w:p w14:paraId="6C527C77">
      <w:pPr>
        <w:spacing w:line="400" w:lineRule="exact"/>
        <w:ind w:firstLine="480" w:firstLineChars="200"/>
        <w:jc w:val="center"/>
        <w:rPr>
          <w:rFonts w:ascii="宋体" w:hAnsi="宋体" w:cs="宋体"/>
          <w:sz w:val="24"/>
          <w:szCs w:val="24"/>
          <w:highlight w:val="none"/>
        </w:rPr>
      </w:pPr>
      <w:r>
        <w:rPr>
          <w:rFonts w:hint="eastAsia" w:ascii="宋体" w:hAnsi="宋体" w:cs="宋体"/>
          <w:sz w:val="24"/>
          <w:szCs w:val="24"/>
          <w:highlight w:val="none"/>
        </w:rPr>
        <w:t>支付担保（如有）</w:t>
      </w:r>
    </w:p>
    <w:p w14:paraId="74E665A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w:t>
      </w:r>
    </w:p>
    <w:p w14:paraId="5B9641C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鉴于你方作为承包人已经与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（发包人名称）（以下称“发包人”）于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日签订了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（工程名称）《建设工程施工合同》（以下称“主合同”），应发包人的申请，我方愿就发包人履行主合同约定的工程款支付义务以保证的方式向你方提供如下担保：</w:t>
      </w:r>
    </w:p>
    <w:p w14:paraId="7C8FFC77">
      <w:pPr>
        <w:spacing w:line="400" w:lineRule="exact"/>
        <w:ind w:firstLine="480" w:firstLineChars="200"/>
        <w:rPr>
          <w:rFonts w:ascii="宋体" w:hAnsi="宋体" w:cs="宋体"/>
          <w:sz w:val="24"/>
          <w:szCs w:val="24"/>
          <w:highlight w:val="none"/>
        </w:rPr>
      </w:pPr>
      <w:bookmarkStart w:id="1036" w:name="_Toc532375692"/>
      <w:r>
        <w:rPr>
          <w:rFonts w:hint="eastAsia" w:ascii="宋体" w:hAnsi="宋体" w:cs="宋体"/>
          <w:sz w:val="24"/>
          <w:szCs w:val="24"/>
          <w:highlight w:val="none"/>
        </w:rPr>
        <w:t>一、保证的范围及保证金额</w:t>
      </w:r>
      <w:bookmarkEnd w:id="1036"/>
    </w:p>
    <w:p w14:paraId="4D832DD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 我方的保证范围是主合同约定的工程款。</w:t>
      </w:r>
    </w:p>
    <w:p w14:paraId="00CE8BB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本保函所称主合同约定的工程款是指主合同约定的除工程质量保证金以外的合同价款。</w:t>
      </w:r>
    </w:p>
    <w:p w14:paraId="07E55EF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我方保证的金额是主合同约定的工程款的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%，数额最高不超过人民币元（大写：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AE9D51A">
      <w:pPr>
        <w:spacing w:line="400" w:lineRule="exact"/>
        <w:ind w:firstLine="480" w:firstLineChars="200"/>
        <w:rPr>
          <w:rFonts w:ascii="宋体" w:hAnsi="宋体" w:cs="宋体"/>
          <w:sz w:val="24"/>
          <w:szCs w:val="24"/>
          <w:highlight w:val="none"/>
        </w:rPr>
      </w:pPr>
      <w:bookmarkStart w:id="1037" w:name="_Toc532375693"/>
      <w:r>
        <w:rPr>
          <w:rFonts w:hint="eastAsia" w:ascii="宋体" w:hAnsi="宋体" w:cs="宋体"/>
          <w:sz w:val="24"/>
          <w:szCs w:val="24"/>
          <w:highlight w:val="none"/>
        </w:rPr>
        <w:t>二、保证的方式及保证期间</w:t>
      </w:r>
      <w:bookmarkEnd w:id="1037"/>
    </w:p>
    <w:p w14:paraId="7FEF155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 我方保证的方式为：连带责任保证。</w:t>
      </w:r>
    </w:p>
    <w:p w14:paraId="7519FB6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我方保证的期间为：自合同生效之日起至主合同约定的工程款支付完毕之日后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日内。</w:t>
      </w:r>
    </w:p>
    <w:p w14:paraId="56B65C5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你方与发包人协议变更工程款支付日期的，经我方书面同意后，保证期间按照变更后的支付日期做相应调整。</w:t>
      </w:r>
    </w:p>
    <w:p w14:paraId="7902AEDC">
      <w:pPr>
        <w:spacing w:line="400" w:lineRule="exact"/>
        <w:ind w:firstLine="480" w:firstLineChars="200"/>
        <w:rPr>
          <w:rFonts w:ascii="宋体" w:hAnsi="宋体" w:cs="宋体"/>
          <w:sz w:val="24"/>
          <w:szCs w:val="24"/>
          <w:highlight w:val="none"/>
        </w:rPr>
      </w:pPr>
      <w:bookmarkStart w:id="1038" w:name="_Toc532375694"/>
      <w:r>
        <w:rPr>
          <w:rFonts w:hint="eastAsia" w:ascii="宋体" w:hAnsi="宋体" w:cs="宋体"/>
          <w:sz w:val="24"/>
          <w:szCs w:val="24"/>
          <w:highlight w:val="none"/>
        </w:rPr>
        <w:t>三、承担保证责任的形式</w:t>
      </w:r>
      <w:bookmarkEnd w:id="1038"/>
    </w:p>
    <w:p w14:paraId="096E59F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我方承担保证责任的形式是代为支付。发包人未按主合同约定向你方支付工程款的，由我方在保证金额内代为支付。</w:t>
      </w:r>
    </w:p>
    <w:p w14:paraId="733AB254">
      <w:pPr>
        <w:spacing w:line="400" w:lineRule="exact"/>
        <w:ind w:firstLine="480" w:firstLineChars="200"/>
        <w:rPr>
          <w:rFonts w:ascii="宋体" w:hAnsi="宋体" w:cs="宋体"/>
          <w:sz w:val="24"/>
          <w:szCs w:val="24"/>
          <w:highlight w:val="none"/>
        </w:rPr>
      </w:pPr>
      <w:bookmarkStart w:id="1039" w:name="_Toc532375695"/>
      <w:r>
        <w:rPr>
          <w:rFonts w:hint="eastAsia" w:ascii="宋体" w:hAnsi="宋体" w:cs="宋体"/>
          <w:sz w:val="24"/>
          <w:szCs w:val="24"/>
          <w:highlight w:val="none"/>
        </w:rPr>
        <w:t>四、代偿的安排</w:t>
      </w:r>
      <w:bookmarkEnd w:id="1039"/>
    </w:p>
    <w:p w14:paraId="4833ADA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5EFCC5D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1F57B4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我方收到你方的书面索赔通知及相应的证明材料后７天内无条件支付。</w:t>
      </w:r>
    </w:p>
    <w:p w14:paraId="55A2723A">
      <w:pPr>
        <w:spacing w:line="400" w:lineRule="exact"/>
        <w:ind w:firstLine="480" w:firstLineChars="200"/>
        <w:rPr>
          <w:rFonts w:ascii="宋体" w:hAnsi="宋体" w:cs="宋体"/>
          <w:sz w:val="24"/>
          <w:szCs w:val="24"/>
          <w:highlight w:val="none"/>
        </w:rPr>
      </w:pPr>
      <w:bookmarkStart w:id="1040" w:name="_Toc532375696"/>
      <w:r>
        <w:rPr>
          <w:rFonts w:hint="eastAsia" w:ascii="宋体" w:hAnsi="宋体" w:cs="宋体"/>
          <w:sz w:val="24"/>
          <w:szCs w:val="24"/>
          <w:highlight w:val="none"/>
        </w:rPr>
        <w:t>五、保证责任的解除</w:t>
      </w:r>
      <w:bookmarkEnd w:id="1040"/>
    </w:p>
    <w:p w14:paraId="75C66F4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 在本保函承诺的保证期间内，你方未书面向我方主张保证责任的，自保证期间届满次日起，我方保证责任解除。</w:t>
      </w:r>
    </w:p>
    <w:p w14:paraId="6190BFD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发包人按主合同约定履行了工程款的全部支付义务的，自本保函承诺的保证期间届满次日起，我方保证责任解除。</w:t>
      </w:r>
    </w:p>
    <w:p w14:paraId="52BE26E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我方按照本保函向你方履行保证责任所支付金额达到本保函保证金额时，自我方向你方支付（支付款项从我方账户划出）之日起，保证责任即解除。</w:t>
      </w:r>
    </w:p>
    <w:p w14:paraId="1D96064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 按照法律法规的规定或出现应解除我方保证责任的其他情形的，我方在本保函项下的保证责任亦解除。</w:t>
      </w:r>
    </w:p>
    <w:p w14:paraId="465105D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 我方解除保证责任后，你方应自我方保证责任解除之日起  个工作日内，将本保函原件返还我方。</w:t>
      </w:r>
    </w:p>
    <w:p w14:paraId="5E41C3A4">
      <w:pPr>
        <w:spacing w:line="400" w:lineRule="exact"/>
        <w:ind w:firstLine="480" w:firstLineChars="200"/>
        <w:rPr>
          <w:rFonts w:ascii="宋体" w:hAnsi="宋体" w:cs="宋体"/>
          <w:sz w:val="24"/>
          <w:szCs w:val="24"/>
          <w:highlight w:val="none"/>
        </w:rPr>
      </w:pPr>
      <w:bookmarkStart w:id="1041" w:name="_Toc532375697"/>
      <w:r>
        <w:rPr>
          <w:rFonts w:hint="eastAsia" w:ascii="宋体" w:hAnsi="宋体" w:cs="宋体"/>
          <w:sz w:val="24"/>
          <w:szCs w:val="24"/>
          <w:highlight w:val="none"/>
        </w:rPr>
        <w:t>六、免责条款</w:t>
      </w:r>
      <w:bookmarkEnd w:id="1041"/>
    </w:p>
    <w:p w14:paraId="5C6D9BE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 因你方违约致使发包人不能履行义务的，我方不承担保证责任。</w:t>
      </w:r>
    </w:p>
    <w:p w14:paraId="52FDC61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依照法律法规的规定或你方与发包人的另行约定，免除发包人部分或全部义务的，我方亦免除其相应的保证责任。</w:t>
      </w:r>
    </w:p>
    <w:p w14:paraId="2087E26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C4BF7F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 因不可抗力造成发包人不能履行义务的，我方不承担保证责任。</w:t>
      </w:r>
    </w:p>
    <w:p w14:paraId="2DD4ABA8">
      <w:pPr>
        <w:spacing w:line="400" w:lineRule="exact"/>
        <w:ind w:firstLine="480" w:firstLineChars="200"/>
        <w:rPr>
          <w:rFonts w:ascii="宋体" w:hAnsi="宋体" w:cs="宋体"/>
          <w:sz w:val="24"/>
          <w:szCs w:val="24"/>
          <w:highlight w:val="none"/>
        </w:rPr>
      </w:pPr>
      <w:bookmarkStart w:id="1042" w:name="_Toc532375698"/>
      <w:r>
        <w:rPr>
          <w:rFonts w:hint="eastAsia" w:ascii="宋体" w:hAnsi="宋体" w:cs="宋体"/>
          <w:sz w:val="24"/>
          <w:szCs w:val="24"/>
          <w:highlight w:val="none"/>
        </w:rPr>
        <w:t>七、争议解决</w:t>
      </w:r>
      <w:bookmarkEnd w:id="1042"/>
    </w:p>
    <w:p w14:paraId="2C2C6AD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因本保函或本保函相关事项发生的纠纷，可由双方协商解决，协商不成的，按下列第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种方式解决：</w:t>
      </w:r>
    </w:p>
    <w:p w14:paraId="37CE04A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仲裁委员会申请仲裁；</w:t>
      </w:r>
    </w:p>
    <w:p w14:paraId="793EF39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（2）向</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人民法院起诉。</w:t>
      </w:r>
    </w:p>
    <w:p w14:paraId="591B3156">
      <w:pPr>
        <w:spacing w:line="400" w:lineRule="exact"/>
        <w:ind w:firstLine="480" w:firstLineChars="200"/>
        <w:rPr>
          <w:rFonts w:ascii="宋体" w:hAnsi="宋体" w:cs="宋体"/>
          <w:sz w:val="24"/>
          <w:szCs w:val="24"/>
          <w:highlight w:val="none"/>
        </w:rPr>
      </w:pPr>
      <w:bookmarkStart w:id="1043" w:name="_Toc532375699"/>
      <w:r>
        <w:rPr>
          <w:rFonts w:hint="eastAsia" w:ascii="宋体" w:hAnsi="宋体" w:cs="宋体"/>
          <w:sz w:val="24"/>
          <w:szCs w:val="24"/>
          <w:highlight w:val="none"/>
        </w:rPr>
        <w:t>八、保函的生效</w:t>
      </w:r>
      <w:bookmarkEnd w:id="1043"/>
    </w:p>
    <w:p w14:paraId="2EFCF18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本保函自我方法定代表人（或其委托代理人）签名并加盖单位公章之日起生效。</w:t>
      </w:r>
    </w:p>
    <w:p w14:paraId="5AC38E4E">
      <w:pPr>
        <w:spacing w:line="400" w:lineRule="exact"/>
        <w:ind w:firstLine="480" w:firstLineChars="200"/>
        <w:jc w:val="left"/>
        <w:rPr>
          <w:rFonts w:ascii="宋体" w:hAnsi="宋体" w:cs="宋体"/>
          <w:sz w:val="24"/>
          <w:szCs w:val="24"/>
          <w:highlight w:val="none"/>
        </w:rPr>
      </w:pPr>
    </w:p>
    <w:p w14:paraId="07BC8F26">
      <w:pPr>
        <w:spacing w:line="400" w:lineRule="exact"/>
        <w:ind w:firstLine="480" w:firstLineChars="200"/>
        <w:jc w:val="left"/>
        <w:rPr>
          <w:rFonts w:ascii="宋体" w:hAnsi="宋体" w:cs="宋体"/>
          <w:sz w:val="24"/>
          <w:szCs w:val="24"/>
          <w:highlight w:val="none"/>
        </w:rPr>
      </w:pPr>
    </w:p>
    <w:p w14:paraId="75C7E76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担保人：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（盖单位公章）</w:t>
      </w:r>
    </w:p>
    <w:p w14:paraId="5757E8D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（签名）</w:t>
      </w:r>
    </w:p>
    <w:p w14:paraId="64EAAB3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4B542C3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p>
    <w:p w14:paraId="3A3D24E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p>
    <w:p w14:paraId="5D2C4AB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0803AF8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rPr>
        <w:br w:type="page"/>
      </w:r>
      <w:r>
        <w:rPr>
          <w:rFonts w:hint="eastAsia" w:ascii="宋体" w:hAnsi="宋体" w:cs="宋体"/>
          <w:sz w:val="24"/>
          <w:szCs w:val="24"/>
          <w:highlight w:val="none"/>
        </w:rPr>
        <w:t>附件7：</w:t>
      </w:r>
    </w:p>
    <w:p w14:paraId="29A38DA9">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专业工程暂估价表</w:t>
      </w:r>
    </w:p>
    <w:tbl>
      <w:tblPr>
        <w:tblStyle w:val="34"/>
        <w:tblW w:w="9526" w:type="dxa"/>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0D36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37AF0DD0">
            <w:pPr>
              <w:spacing w:line="400" w:lineRule="exact"/>
              <w:jc w:val="center"/>
              <w:rPr>
                <w:rFonts w:ascii="宋体" w:hAnsi="宋体" w:cs="宋体"/>
                <w:sz w:val="24"/>
                <w:szCs w:val="24"/>
                <w:highlight w:val="none"/>
              </w:rPr>
            </w:pPr>
            <w:r>
              <w:rPr>
                <w:rFonts w:hint="eastAsia" w:ascii="宋体" w:hAnsi="宋体" w:cs="宋体"/>
                <w:sz w:val="24"/>
                <w:szCs w:val="24"/>
                <w:highlight w:val="none"/>
              </w:rPr>
              <w:t>序号</w:t>
            </w:r>
          </w:p>
        </w:tc>
        <w:tc>
          <w:tcPr>
            <w:tcW w:w="1984" w:type="dxa"/>
            <w:noWrap w:val="0"/>
            <w:vAlign w:val="top"/>
          </w:tcPr>
          <w:p w14:paraId="4223C392">
            <w:pPr>
              <w:spacing w:line="400" w:lineRule="exact"/>
              <w:jc w:val="center"/>
              <w:rPr>
                <w:rFonts w:ascii="宋体" w:hAnsi="宋体" w:cs="宋体"/>
                <w:sz w:val="24"/>
                <w:szCs w:val="24"/>
                <w:highlight w:val="none"/>
              </w:rPr>
            </w:pPr>
            <w:r>
              <w:rPr>
                <w:rFonts w:hint="eastAsia" w:ascii="宋体" w:hAnsi="宋体" w:cs="宋体"/>
                <w:sz w:val="24"/>
                <w:szCs w:val="24"/>
                <w:highlight w:val="none"/>
              </w:rPr>
              <w:t>专业工程名称</w:t>
            </w:r>
          </w:p>
        </w:tc>
        <w:tc>
          <w:tcPr>
            <w:tcW w:w="5103" w:type="dxa"/>
            <w:noWrap w:val="0"/>
            <w:vAlign w:val="top"/>
          </w:tcPr>
          <w:p w14:paraId="3421F129">
            <w:pPr>
              <w:spacing w:line="400" w:lineRule="exact"/>
              <w:jc w:val="center"/>
              <w:rPr>
                <w:rFonts w:ascii="宋体" w:hAnsi="宋体" w:cs="宋体"/>
                <w:sz w:val="24"/>
                <w:szCs w:val="24"/>
                <w:highlight w:val="none"/>
              </w:rPr>
            </w:pPr>
            <w:r>
              <w:rPr>
                <w:rFonts w:hint="eastAsia" w:ascii="宋体" w:hAnsi="宋体" w:cs="宋体"/>
                <w:sz w:val="24"/>
                <w:szCs w:val="24"/>
                <w:highlight w:val="none"/>
              </w:rPr>
              <w:t>工程内容</w:t>
            </w:r>
          </w:p>
        </w:tc>
        <w:tc>
          <w:tcPr>
            <w:tcW w:w="1560" w:type="dxa"/>
            <w:noWrap w:val="0"/>
            <w:vAlign w:val="top"/>
          </w:tcPr>
          <w:p w14:paraId="4E0BAC76">
            <w:pPr>
              <w:spacing w:line="400" w:lineRule="exact"/>
              <w:jc w:val="center"/>
              <w:rPr>
                <w:rFonts w:ascii="宋体" w:hAnsi="宋体" w:cs="宋体"/>
                <w:sz w:val="24"/>
                <w:szCs w:val="24"/>
                <w:highlight w:val="none"/>
              </w:rPr>
            </w:pPr>
            <w:r>
              <w:rPr>
                <w:rFonts w:hint="eastAsia" w:ascii="宋体" w:hAnsi="宋体" w:cs="宋体"/>
                <w:sz w:val="24"/>
                <w:szCs w:val="24"/>
                <w:highlight w:val="none"/>
              </w:rPr>
              <w:t>金额</w:t>
            </w:r>
          </w:p>
        </w:tc>
      </w:tr>
      <w:tr w14:paraId="5F82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01E0E2E">
            <w:pPr>
              <w:spacing w:line="400" w:lineRule="exact"/>
              <w:ind w:firstLine="480" w:firstLineChars="200"/>
              <w:rPr>
                <w:rFonts w:ascii="宋体" w:hAnsi="宋体" w:cs="宋体"/>
                <w:sz w:val="24"/>
                <w:szCs w:val="24"/>
                <w:highlight w:val="none"/>
              </w:rPr>
            </w:pPr>
          </w:p>
        </w:tc>
        <w:tc>
          <w:tcPr>
            <w:tcW w:w="1984" w:type="dxa"/>
            <w:noWrap w:val="0"/>
            <w:vAlign w:val="top"/>
          </w:tcPr>
          <w:p w14:paraId="434B00EE">
            <w:pPr>
              <w:spacing w:line="400" w:lineRule="exact"/>
              <w:ind w:firstLine="480" w:firstLineChars="200"/>
              <w:rPr>
                <w:rFonts w:ascii="宋体" w:hAnsi="宋体" w:cs="宋体"/>
                <w:sz w:val="24"/>
                <w:szCs w:val="24"/>
                <w:highlight w:val="none"/>
              </w:rPr>
            </w:pPr>
          </w:p>
        </w:tc>
        <w:tc>
          <w:tcPr>
            <w:tcW w:w="5103" w:type="dxa"/>
            <w:noWrap w:val="0"/>
            <w:vAlign w:val="top"/>
          </w:tcPr>
          <w:p w14:paraId="2D04CAB2">
            <w:pPr>
              <w:spacing w:line="400" w:lineRule="exact"/>
              <w:ind w:firstLine="480" w:firstLineChars="200"/>
              <w:rPr>
                <w:rFonts w:ascii="宋体" w:hAnsi="宋体" w:cs="宋体"/>
                <w:sz w:val="24"/>
                <w:szCs w:val="24"/>
                <w:highlight w:val="none"/>
              </w:rPr>
            </w:pPr>
          </w:p>
        </w:tc>
        <w:tc>
          <w:tcPr>
            <w:tcW w:w="1560" w:type="dxa"/>
            <w:noWrap w:val="0"/>
            <w:vAlign w:val="top"/>
          </w:tcPr>
          <w:p w14:paraId="0F99A5EC">
            <w:pPr>
              <w:spacing w:line="400" w:lineRule="exact"/>
              <w:ind w:firstLine="480" w:firstLineChars="200"/>
              <w:rPr>
                <w:rFonts w:ascii="宋体" w:hAnsi="宋体" w:cs="宋体"/>
                <w:sz w:val="24"/>
                <w:szCs w:val="24"/>
                <w:highlight w:val="none"/>
              </w:rPr>
            </w:pPr>
          </w:p>
        </w:tc>
      </w:tr>
      <w:tr w14:paraId="67C2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3B3D6C5">
            <w:pPr>
              <w:spacing w:line="400" w:lineRule="exact"/>
              <w:ind w:firstLine="480" w:firstLineChars="200"/>
              <w:rPr>
                <w:rFonts w:ascii="宋体" w:hAnsi="宋体" w:cs="宋体"/>
                <w:sz w:val="24"/>
                <w:szCs w:val="24"/>
                <w:highlight w:val="none"/>
              </w:rPr>
            </w:pPr>
          </w:p>
        </w:tc>
        <w:tc>
          <w:tcPr>
            <w:tcW w:w="1984" w:type="dxa"/>
            <w:noWrap w:val="0"/>
            <w:vAlign w:val="top"/>
          </w:tcPr>
          <w:p w14:paraId="1B7C27D1">
            <w:pPr>
              <w:spacing w:line="400" w:lineRule="exact"/>
              <w:ind w:firstLine="480" w:firstLineChars="200"/>
              <w:rPr>
                <w:rFonts w:ascii="宋体" w:hAnsi="宋体" w:cs="宋体"/>
                <w:sz w:val="24"/>
                <w:szCs w:val="24"/>
                <w:highlight w:val="none"/>
              </w:rPr>
            </w:pPr>
          </w:p>
        </w:tc>
        <w:tc>
          <w:tcPr>
            <w:tcW w:w="5103" w:type="dxa"/>
            <w:noWrap w:val="0"/>
            <w:vAlign w:val="top"/>
          </w:tcPr>
          <w:p w14:paraId="697D2C03">
            <w:pPr>
              <w:spacing w:line="400" w:lineRule="exact"/>
              <w:ind w:firstLine="480" w:firstLineChars="200"/>
              <w:rPr>
                <w:rFonts w:ascii="宋体" w:hAnsi="宋体" w:cs="宋体"/>
                <w:sz w:val="24"/>
                <w:szCs w:val="24"/>
                <w:highlight w:val="none"/>
              </w:rPr>
            </w:pPr>
          </w:p>
        </w:tc>
        <w:tc>
          <w:tcPr>
            <w:tcW w:w="1560" w:type="dxa"/>
            <w:noWrap w:val="0"/>
            <w:vAlign w:val="top"/>
          </w:tcPr>
          <w:p w14:paraId="2A80A23A">
            <w:pPr>
              <w:spacing w:line="400" w:lineRule="exact"/>
              <w:ind w:firstLine="480" w:firstLineChars="200"/>
              <w:rPr>
                <w:rFonts w:ascii="宋体" w:hAnsi="宋体" w:cs="宋体"/>
                <w:sz w:val="24"/>
                <w:szCs w:val="24"/>
                <w:highlight w:val="none"/>
              </w:rPr>
            </w:pPr>
          </w:p>
        </w:tc>
      </w:tr>
      <w:tr w14:paraId="65A1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CC87F7B">
            <w:pPr>
              <w:spacing w:line="400" w:lineRule="exact"/>
              <w:ind w:firstLine="480" w:firstLineChars="200"/>
              <w:rPr>
                <w:rFonts w:ascii="宋体" w:hAnsi="宋体" w:cs="宋体"/>
                <w:sz w:val="24"/>
                <w:szCs w:val="24"/>
                <w:highlight w:val="none"/>
              </w:rPr>
            </w:pPr>
          </w:p>
        </w:tc>
        <w:tc>
          <w:tcPr>
            <w:tcW w:w="1984" w:type="dxa"/>
            <w:noWrap w:val="0"/>
            <w:vAlign w:val="top"/>
          </w:tcPr>
          <w:p w14:paraId="09CE146B">
            <w:pPr>
              <w:spacing w:line="400" w:lineRule="exact"/>
              <w:ind w:firstLine="480" w:firstLineChars="200"/>
              <w:rPr>
                <w:rFonts w:ascii="宋体" w:hAnsi="宋体" w:cs="宋体"/>
                <w:sz w:val="24"/>
                <w:szCs w:val="24"/>
                <w:highlight w:val="none"/>
              </w:rPr>
            </w:pPr>
          </w:p>
        </w:tc>
        <w:tc>
          <w:tcPr>
            <w:tcW w:w="5103" w:type="dxa"/>
            <w:noWrap w:val="0"/>
            <w:vAlign w:val="top"/>
          </w:tcPr>
          <w:p w14:paraId="7E6B7199">
            <w:pPr>
              <w:spacing w:line="400" w:lineRule="exact"/>
              <w:ind w:firstLine="480" w:firstLineChars="200"/>
              <w:rPr>
                <w:rFonts w:ascii="宋体" w:hAnsi="宋体" w:cs="宋体"/>
                <w:sz w:val="24"/>
                <w:szCs w:val="24"/>
                <w:highlight w:val="none"/>
              </w:rPr>
            </w:pPr>
          </w:p>
        </w:tc>
        <w:tc>
          <w:tcPr>
            <w:tcW w:w="1560" w:type="dxa"/>
            <w:noWrap w:val="0"/>
            <w:vAlign w:val="top"/>
          </w:tcPr>
          <w:p w14:paraId="7BC25EEB">
            <w:pPr>
              <w:spacing w:line="400" w:lineRule="exact"/>
              <w:ind w:firstLine="480" w:firstLineChars="200"/>
              <w:rPr>
                <w:rFonts w:ascii="宋体" w:hAnsi="宋体" w:cs="宋体"/>
                <w:sz w:val="24"/>
                <w:szCs w:val="24"/>
                <w:highlight w:val="none"/>
              </w:rPr>
            </w:pPr>
          </w:p>
        </w:tc>
      </w:tr>
      <w:tr w14:paraId="5A60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8994365">
            <w:pPr>
              <w:spacing w:line="400" w:lineRule="exact"/>
              <w:ind w:firstLine="480" w:firstLineChars="200"/>
              <w:rPr>
                <w:rFonts w:ascii="宋体" w:hAnsi="宋体" w:cs="宋体"/>
                <w:sz w:val="24"/>
                <w:szCs w:val="24"/>
                <w:highlight w:val="none"/>
              </w:rPr>
            </w:pPr>
          </w:p>
        </w:tc>
        <w:tc>
          <w:tcPr>
            <w:tcW w:w="1984" w:type="dxa"/>
            <w:noWrap w:val="0"/>
            <w:vAlign w:val="top"/>
          </w:tcPr>
          <w:p w14:paraId="0DD4C9F1">
            <w:pPr>
              <w:spacing w:line="400" w:lineRule="exact"/>
              <w:ind w:firstLine="480" w:firstLineChars="200"/>
              <w:rPr>
                <w:rFonts w:ascii="宋体" w:hAnsi="宋体" w:cs="宋体"/>
                <w:sz w:val="24"/>
                <w:szCs w:val="24"/>
                <w:highlight w:val="none"/>
              </w:rPr>
            </w:pPr>
          </w:p>
        </w:tc>
        <w:tc>
          <w:tcPr>
            <w:tcW w:w="5103" w:type="dxa"/>
            <w:noWrap w:val="0"/>
            <w:vAlign w:val="top"/>
          </w:tcPr>
          <w:p w14:paraId="6A05EE94">
            <w:pPr>
              <w:spacing w:line="400" w:lineRule="exact"/>
              <w:ind w:firstLine="480" w:firstLineChars="200"/>
              <w:rPr>
                <w:rFonts w:ascii="宋体" w:hAnsi="宋体" w:cs="宋体"/>
                <w:sz w:val="24"/>
                <w:szCs w:val="24"/>
                <w:highlight w:val="none"/>
              </w:rPr>
            </w:pPr>
          </w:p>
        </w:tc>
        <w:tc>
          <w:tcPr>
            <w:tcW w:w="1560" w:type="dxa"/>
            <w:noWrap w:val="0"/>
            <w:vAlign w:val="top"/>
          </w:tcPr>
          <w:p w14:paraId="766A19D5">
            <w:pPr>
              <w:spacing w:line="400" w:lineRule="exact"/>
              <w:ind w:firstLine="480" w:firstLineChars="200"/>
              <w:rPr>
                <w:rFonts w:ascii="宋体" w:hAnsi="宋体" w:cs="宋体"/>
                <w:sz w:val="24"/>
                <w:szCs w:val="24"/>
                <w:highlight w:val="none"/>
              </w:rPr>
            </w:pPr>
          </w:p>
        </w:tc>
      </w:tr>
      <w:tr w14:paraId="7DAC9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1573E9D">
            <w:pPr>
              <w:spacing w:line="400" w:lineRule="exact"/>
              <w:ind w:firstLine="480" w:firstLineChars="200"/>
              <w:rPr>
                <w:rFonts w:ascii="宋体" w:hAnsi="宋体" w:cs="宋体"/>
                <w:sz w:val="24"/>
                <w:szCs w:val="24"/>
                <w:highlight w:val="none"/>
              </w:rPr>
            </w:pPr>
          </w:p>
        </w:tc>
        <w:tc>
          <w:tcPr>
            <w:tcW w:w="1984" w:type="dxa"/>
            <w:noWrap w:val="0"/>
            <w:vAlign w:val="top"/>
          </w:tcPr>
          <w:p w14:paraId="1C0768A6">
            <w:pPr>
              <w:spacing w:line="400" w:lineRule="exact"/>
              <w:ind w:firstLine="480" w:firstLineChars="200"/>
              <w:rPr>
                <w:rFonts w:ascii="宋体" w:hAnsi="宋体" w:cs="宋体"/>
                <w:sz w:val="24"/>
                <w:szCs w:val="24"/>
                <w:highlight w:val="none"/>
              </w:rPr>
            </w:pPr>
          </w:p>
        </w:tc>
        <w:tc>
          <w:tcPr>
            <w:tcW w:w="5103" w:type="dxa"/>
            <w:noWrap w:val="0"/>
            <w:vAlign w:val="top"/>
          </w:tcPr>
          <w:p w14:paraId="21784BF4">
            <w:pPr>
              <w:spacing w:line="400" w:lineRule="exact"/>
              <w:ind w:firstLine="480" w:firstLineChars="200"/>
              <w:rPr>
                <w:rFonts w:ascii="宋体" w:hAnsi="宋体" w:cs="宋体"/>
                <w:sz w:val="24"/>
                <w:szCs w:val="24"/>
                <w:highlight w:val="none"/>
              </w:rPr>
            </w:pPr>
          </w:p>
        </w:tc>
        <w:tc>
          <w:tcPr>
            <w:tcW w:w="1560" w:type="dxa"/>
            <w:noWrap w:val="0"/>
            <w:vAlign w:val="top"/>
          </w:tcPr>
          <w:p w14:paraId="6C1CE12B">
            <w:pPr>
              <w:spacing w:line="400" w:lineRule="exact"/>
              <w:ind w:firstLine="480" w:firstLineChars="200"/>
              <w:rPr>
                <w:rFonts w:ascii="宋体" w:hAnsi="宋体" w:cs="宋体"/>
                <w:sz w:val="24"/>
                <w:szCs w:val="24"/>
                <w:highlight w:val="none"/>
              </w:rPr>
            </w:pPr>
          </w:p>
        </w:tc>
      </w:tr>
      <w:tr w14:paraId="452E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D45D451">
            <w:pPr>
              <w:spacing w:line="400" w:lineRule="exact"/>
              <w:ind w:firstLine="480" w:firstLineChars="200"/>
              <w:rPr>
                <w:rFonts w:ascii="宋体" w:hAnsi="宋体" w:cs="宋体"/>
                <w:sz w:val="24"/>
                <w:szCs w:val="24"/>
                <w:highlight w:val="none"/>
              </w:rPr>
            </w:pPr>
          </w:p>
        </w:tc>
        <w:tc>
          <w:tcPr>
            <w:tcW w:w="1984" w:type="dxa"/>
            <w:noWrap w:val="0"/>
            <w:vAlign w:val="top"/>
          </w:tcPr>
          <w:p w14:paraId="623C086C">
            <w:pPr>
              <w:spacing w:line="400" w:lineRule="exact"/>
              <w:ind w:firstLine="480" w:firstLineChars="200"/>
              <w:rPr>
                <w:rFonts w:ascii="宋体" w:hAnsi="宋体" w:cs="宋体"/>
                <w:sz w:val="24"/>
                <w:szCs w:val="24"/>
                <w:highlight w:val="none"/>
              </w:rPr>
            </w:pPr>
          </w:p>
        </w:tc>
        <w:tc>
          <w:tcPr>
            <w:tcW w:w="5103" w:type="dxa"/>
            <w:noWrap w:val="0"/>
            <w:vAlign w:val="top"/>
          </w:tcPr>
          <w:p w14:paraId="07E0138D">
            <w:pPr>
              <w:spacing w:line="400" w:lineRule="exact"/>
              <w:ind w:firstLine="480" w:firstLineChars="200"/>
              <w:rPr>
                <w:rFonts w:ascii="宋体" w:hAnsi="宋体" w:cs="宋体"/>
                <w:sz w:val="24"/>
                <w:szCs w:val="24"/>
                <w:highlight w:val="none"/>
              </w:rPr>
            </w:pPr>
          </w:p>
        </w:tc>
        <w:tc>
          <w:tcPr>
            <w:tcW w:w="1560" w:type="dxa"/>
            <w:noWrap w:val="0"/>
            <w:vAlign w:val="top"/>
          </w:tcPr>
          <w:p w14:paraId="112875FE">
            <w:pPr>
              <w:spacing w:line="400" w:lineRule="exact"/>
              <w:ind w:firstLine="480" w:firstLineChars="200"/>
              <w:rPr>
                <w:rFonts w:ascii="宋体" w:hAnsi="宋体" w:cs="宋体"/>
                <w:sz w:val="24"/>
                <w:szCs w:val="24"/>
                <w:highlight w:val="none"/>
              </w:rPr>
            </w:pPr>
          </w:p>
        </w:tc>
      </w:tr>
      <w:tr w14:paraId="0507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3B80DC09">
            <w:pPr>
              <w:spacing w:line="400" w:lineRule="exact"/>
              <w:ind w:firstLine="480" w:firstLineChars="200"/>
              <w:rPr>
                <w:rFonts w:ascii="宋体" w:hAnsi="宋体" w:cs="宋体"/>
                <w:sz w:val="24"/>
                <w:szCs w:val="24"/>
                <w:highlight w:val="none"/>
              </w:rPr>
            </w:pPr>
          </w:p>
        </w:tc>
        <w:tc>
          <w:tcPr>
            <w:tcW w:w="1984" w:type="dxa"/>
            <w:noWrap w:val="0"/>
            <w:vAlign w:val="top"/>
          </w:tcPr>
          <w:p w14:paraId="7997FC74">
            <w:pPr>
              <w:spacing w:line="400" w:lineRule="exact"/>
              <w:ind w:firstLine="480" w:firstLineChars="200"/>
              <w:rPr>
                <w:rFonts w:ascii="宋体" w:hAnsi="宋体" w:cs="宋体"/>
                <w:sz w:val="24"/>
                <w:szCs w:val="24"/>
                <w:highlight w:val="none"/>
              </w:rPr>
            </w:pPr>
          </w:p>
        </w:tc>
        <w:tc>
          <w:tcPr>
            <w:tcW w:w="5103" w:type="dxa"/>
            <w:noWrap w:val="0"/>
            <w:vAlign w:val="top"/>
          </w:tcPr>
          <w:p w14:paraId="7043CC85">
            <w:pPr>
              <w:spacing w:line="400" w:lineRule="exact"/>
              <w:ind w:firstLine="480" w:firstLineChars="200"/>
              <w:rPr>
                <w:rFonts w:ascii="宋体" w:hAnsi="宋体" w:cs="宋体"/>
                <w:sz w:val="24"/>
                <w:szCs w:val="24"/>
                <w:highlight w:val="none"/>
              </w:rPr>
            </w:pPr>
          </w:p>
        </w:tc>
        <w:tc>
          <w:tcPr>
            <w:tcW w:w="1560" w:type="dxa"/>
            <w:noWrap w:val="0"/>
            <w:vAlign w:val="top"/>
          </w:tcPr>
          <w:p w14:paraId="7F440693">
            <w:pPr>
              <w:spacing w:line="400" w:lineRule="exact"/>
              <w:ind w:firstLine="480" w:firstLineChars="200"/>
              <w:rPr>
                <w:rFonts w:ascii="宋体" w:hAnsi="宋体" w:cs="宋体"/>
                <w:sz w:val="24"/>
                <w:szCs w:val="24"/>
                <w:highlight w:val="none"/>
              </w:rPr>
            </w:pPr>
          </w:p>
        </w:tc>
      </w:tr>
      <w:tr w14:paraId="5277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FF56EBA">
            <w:pPr>
              <w:spacing w:line="400" w:lineRule="exact"/>
              <w:ind w:firstLine="480" w:firstLineChars="200"/>
              <w:rPr>
                <w:rFonts w:ascii="宋体" w:hAnsi="宋体" w:cs="宋体"/>
                <w:sz w:val="24"/>
                <w:szCs w:val="24"/>
                <w:highlight w:val="none"/>
              </w:rPr>
            </w:pPr>
          </w:p>
        </w:tc>
        <w:tc>
          <w:tcPr>
            <w:tcW w:w="1984" w:type="dxa"/>
            <w:noWrap w:val="0"/>
            <w:vAlign w:val="top"/>
          </w:tcPr>
          <w:p w14:paraId="063976ED">
            <w:pPr>
              <w:spacing w:line="400" w:lineRule="exact"/>
              <w:ind w:firstLine="480" w:firstLineChars="200"/>
              <w:rPr>
                <w:rFonts w:ascii="宋体" w:hAnsi="宋体" w:cs="宋体"/>
                <w:sz w:val="24"/>
                <w:szCs w:val="24"/>
                <w:highlight w:val="none"/>
              </w:rPr>
            </w:pPr>
          </w:p>
        </w:tc>
        <w:tc>
          <w:tcPr>
            <w:tcW w:w="5103" w:type="dxa"/>
            <w:noWrap w:val="0"/>
            <w:vAlign w:val="top"/>
          </w:tcPr>
          <w:p w14:paraId="5D6D6B7F">
            <w:pPr>
              <w:spacing w:line="400" w:lineRule="exact"/>
              <w:ind w:firstLine="480" w:firstLineChars="200"/>
              <w:rPr>
                <w:rFonts w:ascii="宋体" w:hAnsi="宋体" w:cs="宋体"/>
                <w:sz w:val="24"/>
                <w:szCs w:val="24"/>
                <w:highlight w:val="none"/>
              </w:rPr>
            </w:pPr>
          </w:p>
        </w:tc>
        <w:tc>
          <w:tcPr>
            <w:tcW w:w="1560" w:type="dxa"/>
            <w:noWrap w:val="0"/>
            <w:vAlign w:val="top"/>
          </w:tcPr>
          <w:p w14:paraId="5E0C1652">
            <w:pPr>
              <w:spacing w:line="400" w:lineRule="exact"/>
              <w:ind w:firstLine="480" w:firstLineChars="200"/>
              <w:rPr>
                <w:rFonts w:ascii="宋体" w:hAnsi="宋体" w:cs="宋体"/>
                <w:sz w:val="24"/>
                <w:szCs w:val="24"/>
                <w:highlight w:val="none"/>
              </w:rPr>
            </w:pPr>
          </w:p>
        </w:tc>
      </w:tr>
      <w:tr w14:paraId="74AD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C820A87">
            <w:pPr>
              <w:spacing w:line="400" w:lineRule="exact"/>
              <w:ind w:firstLine="480" w:firstLineChars="200"/>
              <w:rPr>
                <w:rFonts w:ascii="宋体" w:hAnsi="宋体" w:cs="宋体"/>
                <w:sz w:val="24"/>
                <w:szCs w:val="24"/>
                <w:highlight w:val="none"/>
              </w:rPr>
            </w:pPr>
          </w:p>
        </w:tc>
        <w:tc>
          <w:tcPr>
            <w:tcW w:w="1984" w:type="dxa"/>
            <w:noWrap w:val="0"/>
            <w:vAlign w:val="top"/>
          </w:tcPr>
          <w:p w14:paraId="6583E76C">
            <w:pPr>
              <w:spacing w:line="400" w:lineRule="exact"/>
              <w:ind w:firstLine="480" w:firstLineChars="200"/>
              <w:rPr>
                <w:rFonts w:ascii="宋体" w:hAnsi="宋体" w:cs="宋体"/>
                <w:sz w:val="24"/>
                <w:szCs w:val="24"/>
                <w:highlight w:val="none"/>
              </w:rPr>
            </w:pPr>
          </w:p>
        </w:tc>
        <w:tc>
          <w:tcPr>
            <w:tcW w:w="5103" w:type="dxa"/>
            <w:noWrap w:val="0"/>
            <w:vAlign w:val="top"/>
          </w:tcPr>
          <w:p w14:paraId="41712B74">
            <w:pPr>
              <w:spacing w:line="400" w:lineRule="exact"/>
              <w:ind w:firstLine="480" w:firstLineChars="200"/>
              <w:rPr>
                <w:rFonts w:ascii="宋体" w:hAnsi="宋体" w:cs="宋体"/>
                <w:sz w:val="24"/>
                <w:szCs w:val="24"/>
                <w:highlight w:val="none"/>
              </w:rPr>
            </w:pPr>
          </w:p>
        </w:tc>
        <w:tc>
          <w:tcPr>
            <w:tcW w:w="1560" w:type="dxa"/>
            <w:noWrap w:val="0"/>
            <w:vAlign w:val="top"/>
          </w:tcPr>
          <w:p w14:paraId="1DE5A64A">
            <w:pPr>
              <w:spacing w:line="400" w:lineRule="exact"/>
              <w:ind w:firstLine="480" w:firstLineChars="200"/>
              <w:rPr>
                <w:rFonts w:ascii="宋体" w:hAnsi="宋体" w:cs="宋体"/>
                <w:sz w:val="24"/>
                <w:szCs w:val="24"/>
                <w:highlight w:val="none"/>
              </w:rPr>
            </w:pPr>
          </w:p>
        </w:tc>
      </w:tr>
      <w:tr w14:paraId="3CB8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C9E93DB">
            <w:pPr>
              <w:spacing w:line="400" w:lineRule="exact"/>
              <w:ind w:firstLine="480" w:firstLineChars="200"/>
              <w:rPr>
                <w:rFonts w:ascii="宋体" w:hAnsi="宋体" w:cs="宋体"/>
                <w:sz w:val="24"/>
                <w:szCs w:val="24"/>
                <w:highlight w:val="none"/>
              </w:rPr>
            </w:pPr>
          </w:p>
        </w:tc>
        <w:tc>
          <w:tcPr>
            <w:tcW w:w="1984" w:type="dxa"/>
            <w:noWrap w:val="0"/>
            <w:vAlign w:val="top"/>
          </w:tcPr>
          <w:p w14:paraId="4CBD6E8D">
            <w:pPr>
              <w:spacing w:line="400" w:lineRule="exact"/>
              <w:ind w:firstLine="480" w:firstLineChars="200"/>
              <w:rPr>
                <w:rFonts w:ascii="宋体" w:hAnsi="宋体" w:cs="宋体"/>
                <w:sz w:val="24"/>
                <w:szCs w:val="24"/>
                <w:highlight w:val="none"/>
              </w:rPr>
            </w:pPr>
          </w:p>
        </w:tc>
        <w:tc>
          <w:tcPr>
            <w:tcW w:w="5103" w:type="dxa"/>
            <w:noWrap w:val="0"/>
            <w:vAlign w:val="top"/>
          </w:tcPr>
          <w:p w14:paraId="0AB3FB9B">
            <w:pPr>
              <w:spacing w:line="400" w:lineRule="exact"/>
              <w:ind w:firstLine="480" w:firstLineChars="200"/>
              <w:rPr>
                <w:rFonts w:ascii="宋体" w:hAnsi="宋体" w:cs="宋体"/>
                <w:sz w:val="24"/>
                <w:szCs w:val="24"/>
                <w:highlight w:val="none"/>
              </w:rPr>
            </w:pPr>
          </w:p>
        </w:tc>
        <w:tc>
          <w:tcPr>
            <w:tcW w:w="1560" w:type="dxa"/>
            <w:noWrap w:val="0"/>
            <w:vAlign w:val="top"/>
          </w:tcPr>
          <w:p w14:paraId="484B3A91">
            <w:pPr>
              <w:spacing w:line="400" w:lineRule="exact"/>
              <w:ind w:firstLine="480" w:firstLineChars="200"/>
              <w:rPr>
                <w:rFonts w:ascii="宋体" w:hAnsi="宋体" w:cs="宋体"/>
                <w:sz w:val="24"/>
                <w:szCs w:val="24"/>
                <w:highlight w:val="none"/>
              </w:rPr>
            </w:pPr>
          </w:p>
        </w:tc>
      </w:tr>
      <w:tr w14:paraId="73E0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5828C17">
            <w:pPr>
              <w:spacing w:line="400" w:lineRule="exact"/>
              <w:ind w:firstLine="480" w:firstLineChars="200"/>
              <w:rPr>
                <w:rFonts w:ascii="宋体" w:hAnsi="宋体" w:cs="宋体"/>
                <w:sz w:val="24"/>
                <w:szCs w:val="24"/>
                <w:highlight w:val="none"/>
              </w:rPr>
            </w:pPr>
          </w:p>
        </w:tc>
        <w:tc>
          <w:tcPr>
            <w:tcW w:w="1984" w:type="dxa"/>
            <w:noWrap w:val="0"/>
            <w:vAlign w:val="top"/>
          </w:tcPr>
          <w:p w14:paraId="7D08B4C7">
            <w:pPr>
              <w:spacing w:line="400" w:lineRule="exact"/>
              <w:ind w:firstLine="480" w:firstLineChars="200"/>
              <w:rPr>
                <w:rFonts w:ascii="宋体" w:hAnsi="宋体" w:cs="宋体"/>
                <w:sz w:val="24"/>
                <w:szCs w:val="24"/>
                <w:highlight w:val="none"/>
              </w:rPr>
            </w:pPr>
          </w:p>
        </w:tc>
        <w:tc>
          <w:tcPr>
            <w:tcW w:w="5103" w:type="dxa"/>
            <w:noWrap w:val="0"/>
            <w:vAlign w:val="top"/>
          </w:tcPr>
          <w:p w14:paraId="2FE4F7B5">
            <w:pPr>
              <w:spacing w:line="400" w:lineRule="exact"/>
              <w:ind w:firstLine="480" w:firstLineChars="200"/>
              <w:rPr>
                <w:rFonts w:ascii="宋体" w:hAnsi="宋体" w:cs="宋体"/>
                <w:sz w:val="24"/>
                <w:szCs w:val="24"/>
                <w:highlight w:val="none"/>
              </w:rPr>
            </w:pPr>
          </w:p>
        </w:tc>
        <w:tc>
          <w:tcPr>
            <w:tcW w:w="1560" w:type="dxa"/>
            <w:noWrap w:val="0"/>
            <w:vAlign w:val="top"/>
          </w:tcPr>
          <w:p w14:paraId="3A56D55F">
            <w:pPr>
              <w:spacing w:line="400" w:lineRule="exact"/>
              <w:ind w:firstLine="480" w:firstLineChars="200"/>
              <w:rPr>
                <w:rFonts w:ascii="宋体" w:hAnsi="宋体" w:cs="宋体"/>
                <w:sz w:val="24"/>
                <w:szCs w:val="24"/>
                <w:highlight w:val="none"/>
              </w:rPr>
            </w:pPr>
          </w:p>
        </w:tc>
      </w:tr>
      <w:tr w14:paraId="6F79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2A61875C">
            <w:pPr>
              <w:spacing w:line="400" w:lineRule="exact"/>
              <w:ind w:firstLine="480" w:firstLineChars="200"/>
              <w:rPr>
                <w:rFonts w:ascii="宋体" w:hAnsi="宋体" w:cs="宋体"/>
                <w:sz w:val="24"/>
                <w:szCs w:val="24"/>
                <w:highlight w:val="none"/>
              </w:rPr>
            </w:pPr>
          </w:p>
        </w:tc>
        <w:tc>
          <w:tcPr>
            <w:tcW w:w="1984" w:type="dxa"/>
            <w:noWrap w:val="0"/>
            <w:vAlign w:val="top"/>
          </w:tcPr>
          <w:p w14:paraId="21488311">
            <w:pPr>
              <w:spacing w:line="400" w:lineRule="exact"/>
              <w:ind w:firstLine="480" w:firstLineChars="200"/>
              <w:rPr>
                <w:rFonts w:ascii="宋体" w:hAnsi="宋体" w:cs="宋体"/>
                <w:sz w:val="24"/>
                <w:szCs w:val="24"/>
                <w:highlight w:val="none"/>
              </w:rPr>
            </w:pPr>
          </w:p>
        </w:tc>
        <w:tc>
          <w:tcPr>
            <w:tcW w:w="5103" w:type="dxa"/>
            <w:noWrap w:val="0"/>
            <w:vAlign w:val="top"/>
          </w:tcPr>
          <w:p w14:paraId="553EF17F">
            <w:pPr>
              <w:spacing w:line="400" w:lineRule="exact"/>
              <w:ind w:firstLine="480" w:firstLineChars="200"/>
              <w:rPr>
                <w:rFonts w:ascii="宋体" w:hAnsi="宋体" w:cs="宋体"/>
                <w:sz w:val="24"/>
                <w:szCs w:val="24"/>
                <w:highlight w:val="none"/>
              </w:rPr>
            </w:pPr>
          </w:p>
        </w:tc>
        <w:tc>
          <w:tcPr>
            <w:tcW w:w="1560" w:type="dxa"/>
            <w:noWrap w:val="0"/>
            <w:vAlign w:val="top"/>
          </w:tcPr>
          <w:p w14:paraId="1A60088E">
            <w:pPr>
              <w:spacing w:line="400" w:lineRule="exact"/>
              <w:ind w:firstLine="480" w:firstLineChars="200"/>
              <w:rPr>
                <w:rFonts w:ascii="宋体" w:hAnsi="宋体" w:cs="宋体"/>
                <w:sz w:val="24"/>
                <w:szCs w:val="24"/>
                <w:highlight w:val="none"/>
              </w:rPr>
            </w:pPr>
          </w:p>
        </w:tc>
      </w:tr>
      <w:tr w14:paraId="447D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FB999A2">
            <w:pPr>
              <w:spacing w:line="400" w:lineRule="exact"/>
              <w:ind w:firstLine="480" w:firstLineChars="200"/>
              <w:rPr>
                <w:rFonts w:ascii="宋体" w:hAnsi="宋体" w:cs="宋体"/>
                <w:sz w:val="24"/>
                <w:szCs w:val="24"/>
                <w:highlight w:val="none"/>
              </w:rPr>
            </w:pPr>
          </w:p>
        </w:tc>
        <w:tc>
          <w:tcPr>
            <w:tcW w:w="1984" w:type="dxa"/>
            <w:noWrap w:val="0"/>
            <w:vAlign w:val="top"/>
          </w:tcPr>
          <w:p w14:paraId="1147F1F2">
            <w:pPr>
              <w:spacing w:line="400" w:lineRule="exact"/>
              <w:ind w:firstLine="480" w:firstLineChars="200"/>
              <w:rPr>
                <w:rFonts w:ascii="宋体" w:hAnsi="宋体" w:cs="宋体"/>
                <w:sz w:val="24"/>
                <w:szCs w:val="24"/>
                <w:highlight w:val="none"/>
              </w:rPr>
            </w:pPr>
          </w:p>
        </w:tc>
        <w:tc>
          <w:tcPr>
            <w:tcW w:w="5103" w:type="dxa"/>
            <w:noWrap w:val="0"/>
            <w:vAlign w:val="top"/>
          </w:tcPr>
          <w:p w14:paraId="26C35D36">
            <w:pPr>
              <w:spacing w:line="400" w:lineRule="exact"/>
              <w:ind w:firstLine="480" w:firstLineChars="200"/>
              <w:rPr>
                <w:rFonts w:ascii="宋体" w:hAnsi="宋体" w:cs="宋体"/>
                <w:sz w:val="24"/>
                <w:szCs w:val="24"/>
                <w:highlight w:val="none"/>
              </w:rPr>
            </w:pPr>
          </w:p>
        </w:tc>
        <w:tc>
          <w:tcPr>
            <w:tcW w:w="1560" w:type="dxa"/>
            <w:noWrap w:val="0"/>
            <w:vAlign w:val="top"/>
          </w:tcPr>
          <w:p w14:paraId="533261E8">
            <w:pPr>
              <w:spacing w:line="400" w:lineRule="exact"/>
              <w:ind w:firstLine="480" w:firstLineChars="200"/>
              <w:rPr>
                <w:rFonts w:ascii="宋体" w:hAnsi="宋体" w:cs="宋体"/>
                <w:sz w:val="24"/>
                <w:szCs w:val="24"/>
                <w:highlight w:val="none"/>
              </w:rPr>
            </w:pPr>
          </w:p>
        </w:tc>
      </w:tr>
      <w:tr w14:paraId="2D7A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A310897">
            <w:pPr>
              <w:spacing w:line="400" w:lineRule="exact"/>
              <w:ind w:firstLine="480" w:firstLineChars="200"/>
              <w:rPr>
                <w:rFonts w:ascii="宋体" w:hAnsi="宋体" w:cs="宋体"/>
                <w:sz w:val="24"/>
                <w:szCs w:val="24"/>
                <w:highlight w:val="none"/>
              </w:rPr>
            </w:pPr>
          </w:p>
        </w:tc>
        <w:tc>
          <w:tcPr>
            <w:tcW w:w="1984" w:type="dxa"/>
            <w:noWrap w:val="0"/>
            <w:vAlign w:val="top"/>
          </w:tcPr>
          <w:p w14:paraId="75C81AFA">
            <w:pPr>
              <w:spacing w:line="400" w:lineRule="exact"/>
              <w:ind w:firstLine="480" w:firstLineChars="200"/>
              <w:rPr>
                <w:rFonts w:ascii="宋体" w:hAnsi="宋体" w:cs="宋体"/>
                <w:sz w:val="24"/>
                <w:szCs w:val="24"/>
                <w:highlight w:val="none"/>
              </w:rPr>
            </w:pPr>
          </w:p>
        </w:tc>
        <w:tc>
          <w:tcPr>
            <w:tcW w:w="5103" w:type="dxa"/>
            <w:noWrap w:val="0"/>
            <w:vAlign w:val="top"/>
          </w:tcPr>
          <w:p w14:paraId="66206AE7">
            <w:pPr>
              <w:spacing w:line="400" w:lineRule="exact"/>
              <w:ind w:firstLine="480" w:firstLineChars="200"/>
              <w:rPr>
                <w:rFonts w:ascii="宋体" w:hAnsi="宋体" w:cs="宋体"/>
                <w:sz w:val="24"/>
                <w:szCs w:val="24"/>
                <w:highlight w:val="none"/>
              </w:rPr>
            </w:pPr>
          </w:p>
        </w:tc>
        <w:tc>
          <w:tcPr>
            <w:tcW w:w="1560" w:type="dxa"/>
            <w:noWrap w:val="0"/>
            <w:vAlign w:val="top"/>
          </w:tcPr>
          <w:p w14:paraId="0E9F1257">
            <w:pPr>
              <w:spacing w:line="400" w:lineRule="exact"/>
              <w:ind w:firstLine="480" w:firstLineChars="200"/>
              <w:rPr>
                <w:rFonts w:ascii="宋体" w:hAnsi="宋体" w:cs="宋体"/>
                <w:sz w:val="24"/>
                <w:szCs w:val="24"/>
                <w:highlight w:val="none"/>
              </w:rPr>
            </w:pPr>
          </w:p>
        </w:tc>
      </w:tr>
      <w:tr w14:paraId="36EF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157A13F1">
            <w:pPr>
              <w:spacing w:line="400" w:lineRule="exact"/>
              <w:ind w:firstLine="480" w:firstLineChars="200"/>
              <w:rPr>
                <w:rFonts w:ascii="宋体" w:hAnsi="宋体" w:cs="宋体"/>
                <w:sz w:val="24"/>
                <w:szCs w:val="24"/>
                <w:highlight w:val="none"/>
              </w:rPr>
            </w:pPr>
          </w:p>
        </w:tc>
        <w:tc>
          <w:tcPr>
            <w:tcW w:w="1984" w:type="dxa"/>
            <w:noWrap w:val="0"/>
            <w:vAlign w:val="top"/>
          </w:tcPr>
          <w:p w14:paraId="319D2337">
            <w:pPr>
              <w:spacing w:line="400" w:lineRule="exact"/>
              <w:ind w:firstLine="480" w:firstLineChars="200"/>
              <w:rPr>
                <w:rFonts w:ascii="宋体" w:hAnsi="宋体" w:cs="宋体"/>
                <w:sz w:val="24"/>
                <w:szCs w:val="24"/>
                <w:highlight w:val="none"/>
              </w:rPr>
            </w:pPr>
          </w:p>
        </w:tc>
        <w:tc>
          <w:tcPr>
            <w:tcW w:w="5103" w:type="dxa"/>
            <w:noWrap w:val="0"/>
            <w:vAlign w:val="top"/>
          </w:tcPr>
          <w:p w14:paraId="35B28E25">
            <w:pPr>
              <w:spacing w:line="400" w:lineRule="exact"/>
              <w:ind w:firstLine="480" w:firstLineChars="200"/>
              <w:rPr>
                <w:rFonts w:ascii="宋体" w:hAnsi="宋体" w:cs="宋体"/>
                <w:sz w:val="24"/>
                <w:szCs w:val="24"/>
                <w:highlight w:val="none"/>
              </w:rPr>
            </w:pPr>
          </w:p>
        </w:tc>
        <w:tc>
          <w:tcPr>
            <w:tcW w:w="1560" w:type="dxa"/>
            <w:noWrap w:val="0"/>
            <w:vAlign w:val="top"/>
          </w:tcPr>
          <w:p w14:paraId="25A9B27E">
            <w:pPr>
              <w:spacing w:line="400" w:lineRule="exact"/>
              <w:ind w:firstLine="480" w:firstLineChars="200"/>
              <w:rPr>
                <w:rFonts w:ascii="宋体" w:hAnsi="宋体" w:cs="宋体"/>
                <w:sz w:val="24"/>
                <w:szCs w:val="24"/>
                <w:highlight w:val="none"/>
              </w:rPr>
            </w:pPr>
          </w:p>
        </w:tc>
      </w:tr>
      <w:tr w14:paraId="6186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F0B2550">
            <w:pPr>
              <w:spacing w:line="400" w:lineRule="exact"/>
              <w:ind w:firstLine="480" w:firstLineChars="200"/>
              <w:rPr>
                <w:rFonts w:ascii="宋体" w:hAnsi="宋体" w:cs="宋体"/>
                <w:sz w:val="24"/>
                <w:szCs w:val="24"/>
                <w:highlight w:val="none"/>
              </w:rPr>
            </w:pPr>
          </w:p>
        </w:tc>
        <w:tc>
          <w:tcPr>
            <w:tcW w:w="1984" w:type="dxa"/>
            <w:noWrap w:val="0"/>
            <w:vAlign w:val="top"/>
          </w:tcPr>
          <w:p w14:paraId="37427CC1">
            <w:pPr>
              <w:spacing w:line="400" w:lineRule="exact"/>
              <w:ind w:firstLine="480" w:firstLineChars="200"/>
              <w:rPr>
                <w:rFonts w:ascii="宋体" w:hAnsi="宋体" w:cs="宋体"/>
                <w:sz w:val="24"/>
                <w:szCs w:val="24"/>
                <w:highlight w:val="none"/>
              </w:rPr>
            </w:pPr>
          </w:p>
        </w:tc>
        <w:tc>
          <w:tcPr>
            <w:tcW w:w="5103" w:type="dxa"/>
            <w:noWrap w:val="0"/>
            <w:vAlign w:val="top"/>
          </w:tcPr>
          <w:p w14:paraId="2EA21215">
            <w:pPr>
              <w:spacing w:line="400" w:lineRule="exact"/>
              <w:ind w:firstLine="480" w:firstLineChars="200"/>
              <w:rPr>
                <w:rFonts w:ascii="宋体" w:hAnsi="宋体" w:cs="宋体"/>
                <w:sz w:val="24"/>
                <w:szCs w:val="24"/>
                <w:highlight w:val="none"/>
              </w:rPr>
            </w:pPr>
          </w:p>
        </w:tc>
        <w:tc>
          <w:tcPr>
            <w:tcW w:w="1560" w:type="dxa"/>
            <w:noWrap w:val="0"/>
            <w:vAlign w:val="top"/>
          </w:tcPr>
          <w:p w14:paraId="7516C515">
            <w:pPr>
              <w:spacing w:line="400" w:lineRule="exact"/>
              <w:ind w:firstLine="480" w:firstLineChars="200"/>
              <w:rPr>
                <w:rFonts w:ascii="宋体" w:hAnsi="宋体" w:cs="宋体"/>
                <w:sz w:val="24"/>
                <w:szCs w:val="24"/>
                <w:highlight w:val="none"/>
              </w:rPr>
            </w:pPr>
          </w:p>
        </w:tc>
      </w:tr>
      <w:tr w14:paraId="7C47C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08FE92A8">
            <w:pPr>
              <w:spacing w:line="400" w:lineRule="exact"/>
              <w:ind w:firstLine="480" w:firstLineChars="200"/>
              <w:rPr>
                <w:rFonts w:ascii="宋体" w:hAnsi="宋体" w:cs="宋体"/>
                <w:sz w:val="24"/>
                <w:szCs w:val="24"/>
                <w:highlight w:val="none"/>
              </w:rPr>
            </w:pPr>
          </w:p>
        </w:tc>
        <w:tc>
          <w:tcPr>
            <w:tcW w:w="1984" w:type="dxa"/>
            <w:noWrap w:val="0"/>
            <w:vAlign w:val="top"/>
          </w:tcPr>
          <w:p w14:paraId="70786986">
            <w:pPr>
              <w:spacing w:line="400" w:lineRule="exact"/>
              <w:ind w:firstLine="480" w:firstLineChars="200"/>
              <w:rPr>
                <w:rFonts w:ascii="宋体" w:hAnsi="宋体" w:cs="宋体"/>
                <w:sz w:val="24"/>
                <w:szCs w:val="24"/>
                <w:highlight w:val="none"/>
              </w:rPr>
            </w:pPr>
          </w:p>
        </w:tc>
        <w:tc>
          <w:tcPr>
            <w:tcW w:w="5103" w:type="dxa"/>
            <w:noWrap w:val="0"/>
            <w:vAlign w:val="top"/>
          </w:tcPr>
          <w:p w14:paraId="6D1871E5">
            <w:pPr>
              <w:spacing w:line="400" w:lineRule="exact"/>
              <w:ind w:firstLine="480" w:firstLineChars="200"/>
              <w:rPr>
                <w:rFonts w:ascii="宋体" w:hAnsi="宋体" w:cs="宋体"/>
                <w:sz w:val="24"/>
                <w:szCs w:val="24"/>
                <w:highlight w:val="none"/>
              </w:rPr>
            </w:pPr>
          </w:p>
        </w:tc>
        <w:tc>
          <w:tcPr>
            <w:tcW w:w="1560" w:type="dxa"/>
            <w:noWrap w:val="0"/>
            <w:vAlign w:val="top"/>
          </w:tcPr>
          <w:p w14:paraId="5FCE3A14">
            <w:pPr>
              <w:spacing w:line="400" w:lineRule="exact"/>
              <w:ind w:firstLine="480" w:firstLineChars="200"/>
              <w:rPr>
                <w:rFonts w:ascii="宋体" w:hAnsi="宋体" w:cs="宋体"/>
                <w:sz w:val="24"/>
                <w:szCs w:val="24"/>
                <w:highlight w:val="none"/>
              </w:rPr>
            </w:pPr>
          </w:p>
        </w:tc>
      </w:tr>
      <w:tr w14:paraId="0225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75264B94">
            <w:pPr>
              <w:spacing w:line="400" w:lineRule="exact"/>
              <w:ind w:firstLine="480" w:firstLineChars="200"/>
              <w:rPr>
                <w:rFonts w:ascii="宋体" w:hAnsi="宋体" w:cs="宋体"/>
                <w:sz w:val="24"/>
                <w:szCs w:val="24"/>
                <w:highlight w:val="none"/>
              </w:rPr>
            </w:pPr>
          </w:p>
        </w:tc>
        <w:tc>
          <w:tcPr>
            <w:tcW w:w="1984" w:type="dxa"/>
            <w:noWrap w:val="0"/>
            <w:vAlign w:val="top"/>
          </w:tcPr>
          <w:p w14:paraId="4357E2D8">
            <w:pPr>
              <w:spacing w:line="400" w:lineRule="exact"/>
              <w:ind w:firstLine="480" w:firstLineChars="200"/>
              <w:rPr>
                <w:rFonts w:ascii="宋体" w:hAnsi="宋体" w:cs="宋体"/>
                <w:sz w:val="24"/>
                <w:szCs w:val="24"/>
                <w:highlight w:val="none"/>
              </w:rPr>
            </w:pPr>
          </w:p>
        </w:tc>
        <w:tc>
          <w:tcPr>
            <w:tcW w:w="5103" w:type="dxa"/>
            <w:noWrap w:val="0"/>
            <w:vAlign w:val="top"/>
          </w:tcPr>
          <w:p w14:paraId="7C1BA00F">
            <w:pPr>
              <w:spacing w:line="400" w:lineRule="exact"/>
              <w:ind w:firstLine="480" w:firstLineChars="200"/>
              <w:rPr>
                <w:rFonts w:ascii="宋体" w:hAnsi="宋体" w:cs="宋体"/>
                <w:sz w:val="24"/>
                <w:szCs w:val="24"/>
                <w:highlight w:val="none"/>
              </w:rPr>
            </w:pPr>
          </w:p>
        </w:tc>
        <w:tc>
          <w:tcPr>
            <w:tcW w:w="1560" w:type="dxa"/>
            <w:noWrap w:val="0"/>
            <w:vAlign w:val="top"/>
          </w:tcPr>
          <w:p w14:paraId="0B0CC55C">
            <w:pPr>
              <w:spacing w:line="400" w:lineRule="exact"/>
              <w:ind w:firstLine="480" w:firstLineChars="200"/>
              <w:rPr>
                <w:rFonts w:ascii="宋体" w:hAnsi="宋体" w:cs="宋体"/>
                <w:sz w:val="24"/>
                <w:szCs w:val="24"/>
                <w:highlight w:val="none"/>
              </w:rPr>
            </w:pPr>
          </w:p>
        </w:tc>
      </w:tr>
      <w:tr w14:paraId="793C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66687DDD">
            <w:pPr>
              <w:spacing w:line="400" w:lineRule="exact"/>
              <w:ind w:firstLine="480" w:firstLineChars="200"/>
              <w:rPr>
                <w:rFonts w:ascii="宋体" w:hAnsi="宋体" w:cs="宋体"/>
                <w:sz w:val="24"/>
                <w:szCs w:val="24"/>
                <w:highlight w:val="none"/>
              </w:rPr>
            </w:pPr>
          </w:p>
        </w:tc>
        <w:tc>
          <w:tcPr>
            <w:tcW w:w="1984" w:type="dxa"/>
            <w:noWrap w:val="0"/>
            <w:vAlign w:val="top"/>
          </w:tcPr>
          <w:p w14:paraId="2EC0F1BA">
            <w:pPr>
              <w:spacing w:line="400" w:lineRule="exact"/>
              <w:ind w:firstLine="480" w:firstLineChars="200"/>
              <w:rPr>
                <w:rFonts w:ascii="宋体" w:hAnsi="宋体" w:cs="宋体"/>
                <w:sz w:val="24"/>
                <w:szCs w:val="24"/>
                <w:highlight w:val="none"/>
              </w:rPr>
            </w:pPr>
          </w:p>
        </w:tc>
        <w:tc>
          <w:tcPr>
            <w:tcW w:w="5103" w:type="dxa"/>
            <w:noWrap w:val="0"/>
            <w:vAlign w:val="top"/>
          </w:tcPr>
          <w:p w14:paraId="74732882">
            <w:pPr>
              <w:spacing w:line="400" w:lineRule="exact"/>
              <w:ind w:firstLine="480" w:firstLineChars="200"/>
              <w:rPr>
                <w:rFonts w:ascii="宋体" w:hAnsi="宋体" w:cs="宋体"/>
                <w:sz w:val="24"/>
                <w:szCs w:val="24"/>
                <w:highlight w:val="none"/>
              </w:rPr>
            </w:pPr>
          </w:p>
        </w:tc>
        <w:tc>
          <w:tcPr>
            <w:tcW w:w="1560" w:type="dxa"/>
            <w:noWrap w:val="0"/>
            <w:vAlign w:val="top"/>
          </w:tcPr>
          <w:p w14:paraId="1A5323FA">
            <w:pPr>
              <w:spacing w:line="400" w:lineRule="exact"/>
              <w:ind w:firstLine="480" w:firstLineChars="200"/>
              <w:rPr>
                <w:rFonts w:ascii="宋体" w:hAnsi="宋体" w:cs="宋体"/>
                <w:sz w:val="24"/>
                <w:szCs w:val="24"/>
                <w:highlight w:val="none"/>
              </w:rPr>
            </w:pPr>
          </w:p>
        </w:tc>
      </w:tr>
      <w:tr w14:paraId="68B9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13654C3">
            <w:pPr>
              <w:spacing w:line="400" w:lineRule="exact"/>
              <w:ind w:firstLine="480" w:firstLineChars="200"/>
              <w:rPr>
                <w:rFonts w:ascii="宋体" w:hAnsi="宋体" w:cs="宋体"/>
                <w:sz w:val="24"/>
                <w:szCs w:val="24"/>
                <w:highlight w:val="none"/>
              </w:rPr>
            </w:pPr>
          </w:p>
        </w:tc>
        <w:tc>
          <w:tcPr>
            <w:tcW w:w="1984" w:type="dxa"/>
            <w:noWrap w:val="0"/>
            <w:vAlign w:val="top"/>
          </w:tcPr>
          <w:p w14:paraId="614FF64B">
            <w:pPr>
              <w:spacing w:line="400" w:lineRule="exact"/>
              <w:ind w:firstLine="480" w:firstLineChars="200"/>
              <w:rPr>
                <w:rFonts w:ascii="宋体" w:hAnsi="宋体" w:cs="宋体"/>
                <w:sz w:val="24"/>
                <w:szCs w:val="24"/>
                <w:highlight w:val="none"/>
              </w:rPr>
            </w:pPr>
          </w:p>
        </w:tc>
        <w:tc>
          <w:tcPr>
            <w:tcW w:w="5103" w:type="dxa"/>
            <w:noWrap w:val="0"/>
            <w:vAlign w:val="top"/>
          </w:tcPr>
          <w:p w14:paraId="4FD87816">
            <w:pPr>
              <w:spacing w:line="400" w:lineRule="exact"/>
              <w:ind w:firstLine="480" w:firstLineChars="200"/>
              <w:rPr>
                <w:rFonts w:ascii="宋体" w:hAnsi="宋体" w:cs="宋体"/>
                <w:sz w:val="24"/>
                <w:szCs w:val="24"/>
                <w:highlight w:val="none"/>
              </w:rPr>
            </w:pPr>
          </w:p>
        </w:tc>
        <w:tc>
          <w:tcPr>
            <w:tcW w:w="1560" w:type="dxa"/>
            <w:noWrap w:val="0"/>
            <w:vAlign w:val="top"/>
          </w:tcPr>
          <w:p w14:paraId="25F4B85E">
            <w:pPr>
              <w:spacing w:line="400" w:lineRule="exact"/>
              <w:ind w:firstLine="480" w:firstLineChars="200"/>
              <w:rPr>
                <w:rFonts w:ascii="宋体" w:hAnsi="宋体" w:cs="宋体"/>
                <w:sz w:val="24"/>
                <w:szCs w:val="24"/>
                <w:highlight w:val="none"/>
              </w:rPr>
            </w:pPr>
          </w:p>
        </w:tc>
      </w:tr>
      <w:tr w14:paraId="639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56ECA151">
            <w:pPr>
              <w:spacing w:line="400" w:lineRule="exact"/>
              <w:ind w:firstLine="480" w:firstLineChars="200"/>
              <w:rPr>
                <w:rFonts w:ascii="宋体" w:hAnsi="宋体" w:cs="宋体"/>
                <w:sz w:val="24"/>
                <w:szCs w:val="24"/>
                <w:highlight w:val="none"/>
              </w:rPr>
            </w:pPr>
          </w:p>
        </w:tc>
        <w:tc>
          <w:tcPr>
            <w:tcW w:w="1984" w:type="dxa"/>
            <w:noWrap w:val="0"/>
            <w:vAlign w:val="top"/>
          </w:tcPr>
          <w:p w14:paraId="23C9EF42">
            <w:pPr>
              <w:spacing w:line="400" w:lineRule="exact"/>
              <w:ind w:firstLine="480" w:firstLineChars="200"/>
              <w:rPr>
                <w:rFonts w:ascii="宋体" w:hAnsi="宋体" w:cs="宋体"/>
                <w:sz w:val="24"/>
                <w:szCs w:val="24"/>
                <w:highlight w:val="none"/>
              </w:rPr>
            </w:pPr>
          </w:p>
        </w:tc>
        <w:tc>
          <w:tcPr>
            <w:tcW w:w="5103" w:type="dxa"/>
            <w:noWrap w:val="0"/>
            <w:vAlign w:val="top"/>
          </w:tcPr>
          <w:p w14:paraId="77BCB12C">
            <w:pPr>
              <w:spacing w:line="400" w:lineRule="exact"/>
              <w:ind w:firstLine="480" w:firstLineChars="200"/>
              <w:rPr>
                <w:rFonts w:ascii="宋体" w:hAnsi="宋体" w:cs="宋体"/>
                <w:sz w:val="24"/>
                <w:szCs w:val="24"/>
                <w:highlight w:val="none"/>
              </w:rPr>
            </w:pPr>
          </w:p>
        </w:tc>
        <w:tc>
          <w:tcPr>
            <w:tcW w:w="1560" w:type="dxa"/>
            <w:noWrap w:val="0"/>
            <w:vAlign w:val="top"/>
          </w:tcPr>
          <w:p w14:paraId="6E250501">
            <w:pPr>
              <w:spacing w:line="400" w:lineRule="exact"/>
              <w:ind w:firstLine="480" w:firstLineChars="200"/>
              <w:rPr>
                <w:rFonts w:ascii="宋体" w:hAnsi="宋体" w:cs="宋体"/>
                <w:sz w:val="24"/>
                <w:szCs w:val="24"/>
                <w:highlight w:val="none"/>
              </w:rPr>
            </w:pPr>
          </w:p>
        </w:tc>
      </w:tr>
      <w:tr w14:paraId="015B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noWrap w:val="0"/>
            <w:vAlign w:val="top"/>
          </w:tcPr>
          <w:p w14:paraId="4E183B08">
            <w:pPr>
              <w:spacing w:line="400" w:lineRule="exact"/>
              <w:ind w:firstLine="480" w:firstLineChars="200"/>
              <w:rPr>
                <w:rFonts w:ascii="宋体" w:hAnsi="宋体" w:cs="宋体"/>
                <w:sz w:val="24"/>
                <w:szCs w:val="24"/>
                <w:highlight w:val="none"/>
              </w:rPr>
            </w:pPr>
          </w:p>
        </w:tc>
        <w:tc>
          <w:tcPr>
            <w:tcW w:w="1984" w:type="dxa"/>
            <w:noWrap w:val="0"/>
            <w:vAlign w:val="top"/>
          </w:tcPr>
          <w:p w14:paraId="0A137E83">
            <w:pPr>
              <w:spacing w:line="400" w:lineRule="exact"/>
              <w:ind w:firstLine="480" w:firstLineChars="200"/>
              <w:rPr>
                <w:rFonts w:ascii="宋体" w:hAnsi="宋体" w:cs="宋体"/>
                <w:sz w:val="24"/>
                <w:szCs w:val="24"/>
                <w:highlight w:val="none"/>
              </w:rPr>
            </w:pPr>
          </w:p>
        </w:tc>
        <w:tc>
          <w:tcPr>
            <w:tcW w:w="5103" w:type="dxa"/>
            <w:noWrap w:val="0"/>
            <w:vAlign w:val="top"/>
          </w:tcPr>
          <w:p w14:paraId="16B6DD2F">
            <w:pPr>
              <w:spacing w:line="400" w:lineRule="exact"/>
              <w:ind w:firstLine="480" w:firstLineChars="200"/>
              <w:rPr>
                <w:rFonts w:ascii="宋体" w:hAnsi="宋体" w:cs="宋体"/>
                <w:sz w:val="24"/>
                <w:szCs w:val="24"/>
                <w:highlight w:val="none"/>
              </w:rPr>
            </w:pPr>
          </w:p>
        </w:tc>
        <w:tc>
          <w:tcPr>
            <w:tcW w:w="1560" w:type="dxa"/>
            <w:noWrap w:val="0"/>
            <w:vAlign w:val="top"/>
          </w:tcPr>
          <w:p w14:paraId="23D0F077">
            <w:pPr>
              <w:spacing w:line="400" w:lineRule="exact"/>
              <w:ind w:firstLine="480" w:firstLineChars="200"/>
              <w:rPr>
                <w:rFonts w:ascii="宋体" w:hAnsi="宋体" w:cs="宋体"/>
                <w:sz w:val="24"/>
                <w:szCs w:val="24"/>
                <w:highlight w:val="none"/>
              </w:rPr>
            </w:pPr>
          </w:p>
        </w:tc>
      </w:tr>
      <w:tr w14:paraId="5C7E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noWrap w:val="0"/>
            <w:vAlign w:val="top"/>
          </w:tcPr>
          <w:p w14:paraId="505D150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小计：</w:t>
            </w:r>
          </w:p>
        </w:tc>
      </w:tr>
    </w:tbl>
    <w:p w14:paraId="58B1D62B">
      <w:pPr>
        <w:spacing w:line="400" w:lineRule="exact"/>
        <w:ind w:firstLine="480" w:firstLineChars="200"/>
        <w:rPr>
          <w:rFonts w:ascii="宋体" w:hAnsi="宋体" w:cs="宋体"/>
          <w:sz w:val="24"/>
          <w:szCs w:val="24"/>
          <w:highlight w:val="none"/>
        </w:rPr>
      </w:pPr>
    </w:p>
    <w:p w14:paraId="77B7BD11">
      <w:pPr>
        <w:pStyle w:val="2"/>
        <w:spacing w:line="400" w:lineRule="exact"/>
        <w:rPr>
          <w:rFonts w:ascii="宋体" w:hAnsi="宋体" w:eastAsia="宋体" w:cs="宋体"/>
          <w:sz w:val="24"/>
          <w:szCs w:val="24"/>
          <w:highlight w:val="none"/>
        </w:rPr>
      </w:pPr>
    </w:p>
    <w:p w14:paraId="3D576819">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附件8：</w:t>
      </w:r>
    </w:p>
    <w:p w14:paraId="579A9005">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廉洁从业协议</w:t>
      </w:r>
    </w:p>
    <w:p w14:paraId="6E92AC0A">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发包人（全称）：</w:t>
      </w:r>
      <w:r>
        <w:rPr>
          <w:rFonts w:hint="eastAsia" w:ascii="宋体" w:hAnsi="宋体" w:cs="宋体"/>
          <w:sz w:val="24"/>
          <w:szCs w:val="24"/>
          <w:highlight w:val="none"/>
          <w:u w:val="single"/>
        </w:rPr>
        <w:t xml:space="preserve">                             </w:t>
      </w:r>
    </w:p>
    <w:p w14:paraId="0914EA1F">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承包人（全称）：</w:t>
      </w:r>
      <w:r>
        <w:rPr>
          <w:rFonts w:hint="eastAsia" w:ascii="宋体" w:hAnsi="宋体" w:cs="宋体"/>
          <w:sz w:val="24"/>
          <w:szCs w:val="24"/>
          <w:highlight w:val="none"/>
          <w:u w:val="single"/>
        </w:rPr>
        <w:t xml:space="preserve">                             </w:t>
      </w:r>
    </w:p>
    <w:p w14:paraId="33D125D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3CEB38F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1. 发包人承包人的权利和义务</w:t>
      </w:r>
    </w:p>
    <w:p w14:paraId="4FD8461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（1）严格遵守党的政策规定和国家有关法律法规及相关部门的有关规定。</w:t>
      </w:r>
    </w:p>
    <w:p w14:paraId="3D698EC0">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（2）严格执行 工程的合同文件，自觉按合同办事。</w:t>
      </w:r>
    </w:p>
    <w:p w14:paraId="17C6003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（3）双方的业务活动坚持公开、公正、诚信、透明的原则（法律认定的商业秘密和合同文件另有规定除外），不得损害国家和集体利益，违反工程建设管理规章制度。</w:t>
      </w:r>
    </w:p>
    <w:p w14:paraId="1B27A0B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（4）建立健全廉政制度，开展廉政教育，设立廉政告示牌，公布举报电话，监督并认真查处违法违纪行为。</w:t>
      </w:r>
    </w:p>
    <w:p w14:paraId="470C196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（5）发现对方在业务活动中有违反廉政规定的行为，有及时提醒对方纠正的权利和义务。</w:t>
      </w:r>
    </w:p>
    <w:p w14:paraId="6C771F0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（6）发现对方严重违反协议义务条款的行为，有向其上级有关部门举报、建议给予处理并要求告知处理结果的权利。</w:t>
      </w:r>
    </w:p>
    <w:p w14:paraId="0B1CD73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 发包人的义务</w:t>
      </w:r>
    </w:p>
    <w:p w14:paraId="0973DF5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（1）发包人及其工作人员不得索要或接受承包人的礼金、有价证券和贵重物品，不得在承包人报销任何应由发包人或发包人工作人员个人支付的费用等。</w:t>
      </w:r>
    </w:p>
    <w:p w14:paraId="6CCEB2E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（2）发包人工作人员不得参加承包人安排的超标准宴请和娱乐活动；不得接受承包人提供的通讯工具、交通工具和高档办公用品等。</w:t>
      </w:r>
    </w:p>
    <w:p w14:paraId="12439F0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（3）发包人及其工作人员不得要求或者接受承包人为其住房装修、婚丧嫁娶活动、配偶子女的工作安排以及出国出境、旅游等提供方便等。</w:t>
      </w:r>
    </w:p>
    <w:p w14:paraId="0885F84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（4）发包人工作人员及其配偶、子女不得从事与发包人工程有关的材料设备供应、工程分包、劳务等经济活动等。</w:t>
      </w:r>
    </w:p>
    <w:p w14:paraId="376E447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（5）发包人及其工作人员不得以任何理由向承包人推荐分包单位或推销材料，不得要求承包人购买合同规定外的材料和设备。</w:t>
      </w:r>
    </w:p>
    <w:p w14:paraId="608E262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（6）发包人工作人员要秉公办事，不准营私舞弊，不准利用职权从事各种个人有偿中介活动和安排个人施工队伍。</w:t>
      </w:r>
    </w:p>
    <w:p w14:paraId="10BFC3E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 承包人义务</w:t>
      </w:r>
    </w:p>
    <w:p w14:paraId="787260F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（1）承包人不得以任何理由向发包人及其工作人员行贿或馈赠礼金、有价证券、贵重礼品。</w:t>
      </w:r>
    </w:p>
    <w:p w14:paraId="035A554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（2）承包人不得以任何名义为发包人及其工作人员报销应由发包人单位或个人支付的任何费用。</w:t>
      </w:r>
    </w:p>
    <w:p w14:paraId="21AA38E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（3）承包人不得以任何理由安排发包人工作人员参加超标准宴请及娱乐活动。</w:t>
      </w:r>
    </w:p>
    <w:p w14:paraId="7534927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（4）承包人不得为发包人单位和个人购置或提供通讯工具、交通工具和高档办公用品等。</w:t>
      </w:r>
    </w:p>
    <w:p w14:paraId="3230E32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 违约责任</w:t>
      </w:r>
    </w:p>
    <w:p w14:paraId="1794C04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（1）发包人及其工作人员违反合同第1、2条，按管理权限，依据有关规定给予党纪、政纪或组织处理；涉嫌犯罪的，移交司法机关追究刑事责任；给承包人单位造成经济损失的，应予以赔偿。</w:t>
      </w:r>
    </w:p>
    <w:p w14:paraId="7F35048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（2）承包人及其工作人员违反合同第1、3条，按管理权限，依据有关规定给予党纪、政纪或组织处理；给发包人单位造成经济损失的，应予以赔偿。</w:t>
      </w:r>
    </w:p>
    <w:p w14:paraId="33B0276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1AA9B546">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6. 协议有效期为发包人、承包人双方签署之日起至该工程项目竣工验收后止。</w:t>
      </w:r>
    </w:p>
    <w:p w14:paraId="01338FF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7.协议作为 工程施工合同的附件，与工程施工合同具有同等的法律效力，经合同双方签署立即生效。</w:t>
      </w:r>
    </w:p>
    <w:p w14:paraId="77EAC38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（以下无正文）</w:t>
      </w:r>
    </w:p>
    <w:p w14:paraId="4C4FE8BE">
      <w:pPr>
        <w:spacing w:line="400" w:lineRule="exact"/>
        <w:rPr>
          <w:rFonts w:ascii="宋体" w:hAnsi="宋体" w:cs="宋体"/>
          <w:sz w:val="24"/>
          <w:szCs w:val="24"/>
          <w:highlight w:val="none"/>
        </w:rPr>
      </w:pPr>
    </w:p>
    <w:p w14:paraId="4CAD1A7B">
      <w:pPr>
        <w:pStyle w:val="2"/>
        <w:spacing w:line="400" w:lineRule="exact"/>
        <w:rPr>
          <w:rFonts w:ascii="宋体" w:hAnsi="宋体" w:eastAsia="宋体" w:cs="宋体"/>
          <w:sz w:val="24"/>
          <w:szCs w:val="24"/>
          <w:highlight w:val="none"/>
        </w:rPr>
      </w:pPr>
    </w:p>
    <w:p w14:paraId="169437FD">
      <w:pPr>
        <w:pStyle w:val="2"/>
        <w:spacing w:line="400" w:lineRule="exact"/>
        <w:rPr>
          <w:rFonts w:ascii="宋体" w:hAnsi="宋体" w:eastAsia="宋体" w:cs="宋体"/>
          <w:sz w:val="24"/>
          <w:szCs w:val="24"/>
          <w:highlight w:val="none"/>
        </w:rPr>
      </w:pPr>
    </w:p>
    <w:p w14:paraId="51F1CC11">
      <w:pPr>
        <w:spacing w:line="400" w:lineRule="exact"/>
        <w:rPr>
          <w:rFonts w:ascii="宋体" w:hAnsi="宋体" w:cs="宋体"/>
          <w:sz w:val="24"/>
          <w:szCs w:val="24"/>
          <w:highlight w:val="none"/>
        </w:rPr>
      </w:pPr>
      <w:r>
        <w:rPr>
          <w:rFonts w:hint="eastAsia" w:ascii="宋体" w:hAnsi="宋体" w:cs="宋体"/>
          <w:sz w:val="24"/>
          <w:szCs w:val="24"/>
          <w:highlight w:val="none"/>
        </w:rPr>
        <w:t>发  包 人：                         承  包  人 ：</w:t>
      </w:r>
    </w:p>
    <w:p w14:paraId="668B6CF6">
      <w:pPr>
        <w:spacing w:line="400" w:lineRule="exact"/>
        <w:rPr>
          <w:rFonts w:ascii="宋体" w:hAnsi="宋体" w:cs="宋体"/>
          <w:sz w:val="24"/>
          <w:szCs w:val="24"/>
          <w:highlight w:val="none"/>
        </w:rPr>
      </w:pPr>
    </w:p>
    <w:p w14:paraId="6A2D1EB2">
      <w:pPr>
        <w:spacing w:line="400" w:lineRule="exact"/>
        <w:rPr>
          <w:rFonts w:ascii="宋体" w:hAnsi="宋体" w:cs="宋体"/>
          <w:sz w:val="24"/>
          <w:szCs w:val="24"/>
          <w:highlight w:val="none"/>
        </w:rPr>
      </w:pPr>
    </w:p>
    <w:p w14:paraId="4E4377D1">
      <w:pPr>
        <w:spacing w:line="400" w:lineRule="exact"/>
        <w:rPr>
          <w:rFonts w:ascii="宋体" w:hAnsi="宋体" w:cs="宋体"/>
          <w:sz w:val="24"/>
          <w:szCs w:val="24"/>
          <w:highlight w:val="none"/>
        </w:rPr>
      </w:pPr>
      <w:r>
        <w:rPr>
          <w:rFonts w:hint="eastAsia" w:ascii="宋体" w:hAnsi="宋体" w:cs="宋体"/>
          <w:sz w:val="24"/>
          <w:szCs w:val="24"/>
          <w:highlight w:val="none"/>
        </w:rPr>
        <w:t xml:space="preserve">法定代表人                          法定代表人                      </w:t>
      </w:r>
    </w:p>
    <w:p w14:paraId="65C92E14">
      <w:pPr>
        <w:spacing w:line="400" w:lineRule="exact"/>
        <w:rPr>
          <w:rFonts w:ascii="宋体" w:hAnsi="宋体" w:cs="宋体"/>
          <w:sz w:val="24"/>
          <w:szCs w:val="24"/>
          <w:highlight w:val="none"/>
        </w:rPr>
      </w:pPr>
    </w:p>
    <w:p w14:paraId="3E8139CA">
      <w:pPr>
        <w:spacing w:line="400" w:lineRule="exact"/>
        <w:rPr>
          <w:rFonts w:ascii="宋体" w:hAnsi="宋体" w:cs="宋体"/>
          <w:sz w:val="24"/>
          <w:szCs w:val="24"/>
          <w:highlight w:val="none"/>
        </w:rPr>
      </w:pPr>
    </w:p>
    <w:p w14:paraId="6556FD75">
      <w:pPr>
        <w:spacing w:line="400" w:lineRule="exact"/>
        <w:rPr>
          <w:rFonts w:ascii="宋体" w:hAnsi="宋体" w:cs="宋体"/>
          <w:sz w:val="24"/>
          <w:szCs w:val="24"/>
          <w:highlight w:val="none"/>
        </w:rPr>
      </w:pPr>
      <w:r>
        <w:rPr>
          <w:rFonts w:hint="eastAsia" w:ascii="宋体" w:hAnsi="宋体" w:cs="宋体"/>
          <w:sz w:val="24"/>
          <w:szCs w:val="24"/>
          <w:highlight w:val="none"/>
        </w:rPr>
        <w:t>或其授权的代理人：                  或授权的代理人：</w:t>
      </w:r>
    </w:p>
    <w:p w14:paraId="77EF1FCA">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附件9：</w:t>
      </w:r>
    </w:p>
    <w:p w14:paraId="784AD39D">
      <w:pPr>
        <w:spacing w:beforeLines="50" w:afterLines="50" w:line="400" w:lineRule="exact"/>
        <w:jc w:val="center"/>
        <w:rPr>
          <w:rFonts w:ascii="宋体" w:hAnsi="宋体" w:cs="宋体"/>
          <w:sz w:val="24"/>
          <w:szCs w:val="24"/>
          <w:highlight w:val="none"/>
        </w:rPr>
      </w:pPr>
      <w:bookmarkStart w:id="1044" w:name="_Toc247431422"/>
      <w:bookmarkStart w:id="1045" w:name="_Toc448406299"/>
      <w:bookmarkStart w:id="1046" w:name="_Toc435689499"/>
      <w:bookmarkStart w:id="1047" w:name="_Toc336680145"/>
      <w:bookmarkStart w:id="1048" w:name="_Toc239510288"/>
      <w:bookmarkStart w:id="1049" w:name="_Toc435690184"/>
      <w:r>
        <w:rPr>
          <w:rFonts w:hint="eastAsia" w:ascii="宋体" w:hAnsi="宋体" w:cs="宋体"/>
          <w:sz w:val="24"/>
          <w:szCs w:val="24"/>
          <w:highlight w:val="none"/>
        </w:rPr>
        <w:t>安全管理协议</w:t>
      </w:r>
      <w:bookmarkEnd w:id="1044"/>
      <w:bookmarkEnd w:id="1045"/>
      <w:bookmarkEnd w:id="1046"/>
      <w:bookmarkEnd w:id="1047"/>
      <w:bookmarkEnd w:id="1048"/>
      <w:bookmarkEnd w:id="1049"/>
    </w:p>
    <w:p w14:paraId="4EFCE197">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发包人（全称）：</w:t>
      </w:r>
      <w:r>
        <w:rPr>
          <w:rFonts w:hint="eastAsia" w:ascii="宋体" w:hAnsi="宋体" w:cs="宋体"/>
          <w:sz w:val="24"/>
          <w:szCs w:val="24"/>
          <w:highlight w:val="none"/>
          <w:u w:val="single"/>
        </w:rPr>
        <w:t xml:space="preserve">                             </w:t>
      </w:r>
    </w:p>
    <w:p w14:paraId="02499C8E">
      <w:pPr>
        <w:snapToGrid w:val="0"/>
        <w:spacing w:line="400" w:lineRule="exact"/>
        <w:ind w:firstLine="482" w:firstLineChars="200"/>
        <w:rPr>
          <w:rFonts w:ascii="宋体" w:hAnsi="宋体" w:cs="宋体"/>
          <w:b/>
          <w:sz w:val="24"/>
          <w:szCs w:val="24"/>
          <w:highlight w:val="none"/>
          <w:u w:val="single"/>
        </w:rPr>
      </w:pPr>
      <w:r>
        <w:rPr>
          <w:rFonts w:hint="eastAsia" w:ascii="宋体" w:hAnsi="宋体" w:cs="宋体"/>
          <w:b/>
          <w:sz w:val="24"/>
          <w:szCs w:val="24"/>
          <w:highlight w:val="none"/>
        </w:rPr>
        <w:t>承包人（全称）：</w:t>
      </w:r>
      <w:r>
        <w:rPr>
          <w:rFonts w:hint="eastAsia" w:ascii="宋体" w:hAnsi="宋体" w:cs="宋体"/>
          <w:sz w:val="24"/>
          <w:szCs w:val="24"/>
          <w:highlight w:val="none"/>
          <w:u w:val="single"/>
        </w:rPr>
        <w:t xml:space="preserve">                             </w:t>
      </w:r>
    </w:p>
    <w:p w14:paraId="1CE4DF4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为了确保实现</w:t>
      </w:r>
      <w:r>
        <w:rPr>
          <w:rFonts w:hint="eastAsia" w:ascii="宋体" w:hAnsi="宋体" w:cs="宋体"/>
          <w:sz w:val="24"/>
          <w:szCs w:val="24"/>
          <w:highlight w:val="none"/>
          <w:u w:val="single"/>
        </w:rPr>
        <w:t xml:space="preserve">        </w:t>
      </w:r>
      <w:r>
        <w:rPr>
          <w:rFonts w:hint="eastAsia" w:ascii="宋体" w:hAnsi="宋体" w:cs="宋体"/>
          <w:sz w:val="24"/>
          <w:szCs w:val="24"/>
          <w:highlight w:val="none"/>
        </w:rPr>
        <w:t>安全生产目标，进一步明确双方的安全管理责任，加强安全生产管理工作的协调、管理力度，</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（以下简称“发包人”）与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003487B">
      <w:pPr>
        <w:spacing w:line="400" w:lineRule="exact"/>
        <w:ind w:firstLine="480" w:firstLineChars="200"/>
        <w:rPr>
          <w:rFonts w:ascii="宋体" w:hAnsi="宋体" w:cs="宋体"/>
          <w:sz w:val="24"/>
          <w:szCs w:val="24"/>
          <w:highlight w:val="none"/>
        </w:rPr>
      </w:pPr>
      <w:bookmarkStart w:id="1050" w:name="_Toc532375700"/>
      <w:bookmarkStart w:id="1051" w:name="_Toc247418263"/>
      <w:bookmarkStart w:id="1052" w:name="_Toc239510289"/>
      <w:bookmarkStart w:id="1053" w:name="_Toc247431423"/>
      <w:r>
        <w:rPr>
          <w:rFonts w:hint="eastAsia" w:ascii="宋体" w:hAnsi="宋体" w:cs="宋体"/>
          <w:sz w:val="24"/>
          <w:szCs w:val="24"/>
          <w:highlight w:val="none"/>
        </w:rPr>
        <w:t>一、协议有效期限</w:t>
      </w:r>
      <w:bookmarkEnd w:id="1050"/>
      <w:bookmarkEnd w:id="1051"/>
      <w:bookmarkEnd w:id="1052"/>
      <w:bookmarkEnd w:id="1053"/>
    </w:p>
    <w:p w14:paraId="4247338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本协议中所涉及的安全管理责任自合同签订之日起开始生效，至合同工程全部完工验收且经发包人与承包人签订移交协议生效后之日终止。</w:t>
      </w:r>
    </w:p>
    <w:p w14:paraId="271A2E8D">
      <w:pPr>
        <w:spacing w:line="400" w:lineRule="exact"/>
        <w:ind w:firstLine="480" w:firstLineChars="200"/>
        <w:rPr>
          <w:rFonts w:ascii="宋体" w:hAnsi="宋体" w:cs="宋体"/>
          <w:sz w:val="24"/>
          <w:szCs w:val="24"/>
          <w:highlight w:val="none"/>
        </w:rPr>
      </w:pPr>
      <w:bookmarkStart w:id="1054" w:name="_Toc247431424"/>
      <w:bookmarkStart w:id="1055" w:name="_Toc239510290"/>
      <w:bookmarkStart w:id="1056" w:name="_Toc532375701"/>
      <w:bookmarkStart w:id="1057" w:name="_Toc247418264"/>
      <w:r>
        <w:rPr>
          <w:rFonts w:hint="eastAsia" w:ascii="宋体" w:hAnsi="宋体" w:cs="宋体"/>
          <w:sz w:val="24"/>
          <w:szCs w:val="24"/>
          <w:highlight w:val="none"/>
        </w:rPr>
        <w:t>二、责任目标</w:t>
      </w:r>
      <w:bookmarkEnd w:id="1054"/>
      <w:bookmarkEnd w:id="1055"/>
      <w:bookmarkEnd w:id="1056"/>
      <w:bookmarkEnd w:id="1057"/>
    </w:p>
    <w:p w14:paraId="5F0088B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（一）承包人承诺承担和履行合同和发包人所规定的安全责任，且满足要求。</w:t>
      </w:r>
    </w:p>
    <w:p w14:paraId="4A04D63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（二）承包人的安全控制目标是确保本工程在实施过程中：</w:t>
      </w:r>
    </w:p>
    <w:p w14:paraId="2F98079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1．不发生人身重伤及死亡事故；</w:t>
      </w:r>
    </w:p>
    <w:p w14:paraId="6DA8195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2．不发生火灾事故；</w:t>
      </w:r>
    </w:p>
    <w:p w14:paraId="5FD5574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3．不发生负有同等及以上事故责任的造成人身重伤的一般交通事故；</w:t>
      </w:r>
    </w:p>
    <w:p w14:paraId="14C4D9E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4．不发生集体食物中毒事件（同时5人及以上的食物中毒）；</w:t>
      </w:r>
    </w:p>
    <w:p w14:paraId="37512CF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5．不发生流行性传染病 （无甲型传染病、其他常见传染病未形成多人同时患病）；</w:t>
      </w:r>
    </w:p>
    <w:p w14:paraId="194DE3B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6．不发生重大环境污染事件（生活、工业垃圾及其他污染物造成环境污染和大面积水土流失）；</w:t>
      </w:r>
    </w:p>
    <w:p w14:paraId="3ABB0E7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7．不发生对施工区附近生产、生活造成重大影响的事件（如造成重大设备损坏、重大财产损失、人员伤害等）；</w:t>
      </w:r>
    </w:p>
    <w:p w14:paraId="4AE90D1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8．不发生治安保卫事件（构成刑事拘留及以上的事件、盗窃直接损失超过1万元人民币的事件）。</w:t>
      </w:r>
    </w:p>
    <w:p w14:paraId="5BD108BD">
      <w:pPr>
        <w:spacing w:line="400" w:lineRule="exact"/>
        <w:ind w:firstLine="480" w:firstLineChars="200"/>
        <w:jc w:val="left"/>
        <w:rPr>
          <w:rFonts w:ascii="宋体" w:hAnsi="宋体" w:cs="宋体"/>
          <w:sz w:val="24"/>
          <w:szCs w:val="24"/>
          <w:highlight w:val="none"/>
        </w:rPr>
      </w:pPr>
      <w:bookmarkStart w:id="1058" w:name="_Toc239510291"/>
      <w:bookmarkStart w:id="1059" w:name="_Toc247431425"/>
      <w:bookmarkStart w:id="1060" w:name="_Toc247418265"/>
      <w:r>
        <w:rPr>
          <w:rFonts w:hint="eastAsia" w:ascii="宋体" w:hAnsi="宋体" w:cs="宋体"/>
          <w:sz w:val="24"/>
          <w:szCs w:val="24"/>
          <w:highlight w:val="none"/>
        </w:rPr>
        <w:t>（三）承包人承诺在施工中控制以下安全事故的发生：</w:t>
      </w:r>
      <w:bookmarkEnd w:id="1058"/>
      <w:bookmarkEnd w:id="1059"/>
      <w:bookmarkEnd w:id="1060"/>
    </w:p>
    <w:p w14:paraId="1FEA849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1．人员轻伤事故。</w:t>
      </w:r>
    </w:p>
    <w:p w14:paraId="7DD5D03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2．负有同等及以上事故责任的人身轻伤交通事故。</w:t>
      </w:r>
    </w:p>
    <w:p w14:paraId="49772C6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3．其他安全未遂事故和异常事件。</w:t>
      </w:r>
    </w:p>
    <w:p w14:paraId="1137252E">
      <w:pPr>
        <w:spacing w:line="400" w:lineRule="exact"/>
        <w:ind w:firstLine="480" w:firstLineChars="200"/>
        <w:rPr>
          <w:rFonts w:ascii="宋体" w:hAnsi="宋体" w:cs="宋体"/>
          <w:sz w:val="24"/>
          <w:szCs w:val="24"/>
          <w:highlight w:val="none"/>
        </w:rPr>
      </w:pPr>
      <w:bookmarkStart w:id="1061" w:name="_Toc532375702"/>
      <w:bookmarkStart w:id="1062" w:name="_Toc239510292"/>
      <w:bookmarkStart w:id="1063" w:name="_Toc247431426"/>
      <w:bookmarkStart w:id="1064" w:name="_Toc247418266"/>
      <w:r>
        <w:rPr>
          <w:rFonts w:hint="eastAsia" w:ascii="宋体" w:hAnsi="宋体" w:cs="宋体"/>
          <w:sz w:val="24"/>
          <w:szCs w:val="24"/>
          <w:highlight w:val="none"/>
        </w:rPr>
        <w:t>三、安全责任</w:t>
      </w:r>
      <w:bookmarkEnd w:id="1061"/>
      <w:bookmarkEnd w:id="1062"/>
      <w:bookmarkEnd w:id="1063"/>
      <w:bookmarkEnd w:id="1064"/>
    </w:p>
    <w:p w14:paraId="4BCA2B5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1．承包人负有安全生产的管理责任和直接责任。</w:t>
      </w:r>
    </w:p>
    <w:p w14:paraId="722F21A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2．承包人的法人或签署合同的公司总经理或受委托的代理人对合同安全负有全面的领导责任。</w:t>
      </w:r>
    </w:p>
    <w:p w14:paraId="6B5B826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3．承包人项目经理对施工现场的安全工作负有全面的直接领导责任。</w:t>
      </w:r>
    </w:p>
    <w:p w14:paraId="4B8E0BE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4．承包人保证执行“谁施工、谁负责”的施工安全原则。</w:t>
      </w:r>
    </w:p>
    <w:p w14:paraId="5F70D82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5．承包人保证服从发包人对安全工作的统一协调和管理。</w:t>
      </w:r>
    </w:p>
    <w:p w14:paraId="6D28472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6．承包人保证对本工程项目安全生产条件及其管理资源自行投入，保证安全资金的专款专用。</w:t>
      </w:r>
    </w:p>
    <w:p w14:paraId="3B81824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7．承包人保证建立本工程项目的安全管理体系及安全保证体系（注：项目安全管理大纲/手册、管理性的程序文件等）。</w:t>
      </w:r>
    </w:p>
    <w:p w14:paraId="040C789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8．承包人保证现场的安全管理专职人员必须持有建设主管部门安全生产培训考核合格证书。</w:t>
      </w:r>
    </w:p>
    <w:p w14:paraId="77D4CEF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9．承包人保证为现场所有工作人员（含分包商员工及劳务人员）配备符合国家标准的有承包人和/或其下属分包商标志的个人基本劳动保护用品。</w:t>
      </w:r>
    </w:p>
    <w:p w14:paraId="55C32C3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10．承包人保证按照国家法律规定为现场所有工作人员（含分包商员工及劳务人员）购买意外伤害保险。</w:t>
      </w:r>
    </w:p>
    <w:p w14:paraId="3C86102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11．承包人保证施工生活营地（包括自建的和租用的营地）满足消防、安全用电、卫生防疫、防暴雨、防雷击等方面的安全要求。</w:t>
      </w:r>
    </w:p>
    <w:p w14:paraId="7D64C47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12．承包人保证对带入现场的设备、工具、材料按照国家法规和标准进行检测、试验，并持有法定部门出具的检验证书。</w:t>
      </w:r>
    </w:p>
    <w:p w14:paraId="0DB134F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13．承包人保证制订施工现场的文明施工措施，保护环境、树木和植被，保持施工现场的良好秩序和整洁的作业环境。</w:t>
      </w:r>
    </w:p>
    <w:p w14:paraId="76A41C4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14．承包人负责在施工过程中与当地政府、周边群众及其他承包商保持良好的沟通和交流。承包人遇到与周边群众发生纠纷时，应负责协调工作，确保工程能够顺利进行。</w:t>
      </w:r>
    </w:p>
    <w:p w14:paraId="7516FA25">
      <w:pPr>
        <w:spacing w:line="400" w:lineRule="exact"/>
        <w:ind w:firstLine="480" w:firstLineChars="200"/>
        <w:rPr>
          <w:rFonts w:ascii="宋体" w:hAnsi="宋体" w:cs="宋体"/>
          <w:sz w:val="24"/>
          <w:szCs w:val="24"/>
          <w:highlight w:val="none"/>
        </w:rPr>
      </w:pPr>
      <w:bookmarkStart w:id="1065" w:name="_Toc532375703"/>
      <w:bookmarkStart w:id="1066" w:name="_Toc247431427"/>
      <w:bookmarkStart w:id="1067" w:name="_Toc239510293"/>
      <w:bookmarkStart w:id="1068" w:name="_Toc247418267"/>
      <w:r>
        <w:rPr>
          <w:rFonts w:hint="eastAsia" w:ascii="宋体" w:hAnsi="宋体" w:cs="宋体"/>
          <w:sz w:val="24"/>
          <w:szCs w:val="24"/>
          <w:highlight w:val="none"/>
        </w:rPr>
        <w:t>四、接口及协调</w:t>
      </w:r>
      <w:bookmarkEnd w:id="1065"/>
      <w:bookmarkEnd w:id="1066"/>
      <w:bookmarkEnd w:id="1067"/>
      <w:bookmarkEnd w:id="1068"/>
    </w:p>
    <w:p w14:paraId="242D0E0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1．承包人人员、车辆的出入，带入现场的设备、机具、材料，在现场使用的或直接管理的办公、生活、生产性设施的安全管理须满足发包人现场管理的基本要求。</w:t>
      </w:r>
    </w:p>
    <w:p w14:paraId="472016E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2．承包人应指定专职安全管理人员与发包人委托的监理公司接口，参与安全协调和管理。安全协调和管理的内容包括职业健康、工业安全、消防安全、卫生防疫、交通安全、环境保护、治安保卫等各方面。</w:t>
      </w:r>
    </w:p>
    <w:p w14:paraId="041C037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BB9105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4．承包人指定的专职安全管理人员应与发包人委托的监理公司建立联系，在业务上接受发包人委托的监理公司的协调和指导。</w:t>
      </w:r>
    </w:p>
    <w:p w14:paraId="6B7A26E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5．开工后承包人的专职安全管理人员应按照发包人委托的监理公司的规定，定期报送安全月度快报、季报、年报和各种专项事故报告等。</w:t>
      </w:r>
    </w:p>
    <w:p w14:paraId="3DC30AC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6．在工程实体未全部正式移交发包人施工管理部门之前，承包人依旧对施工范围内的安全管理负责。</w:t>
      </w:r>
    </w:p>
    <w:p w14:paraId="0FBF49B4">
      <w:pPr>
        <w:spacing w:line="400" w:lineRule="exact"/>
        <w:ind w:firstLine="480" w:firstLineChars="200"/>
        <w:rPr>
          <w:rFonts w:ascii="宋体" w:hAnsi="宋体" w:cs="宋体"/>
          <w:sz w:val="24"/>
          <w:szCs w:val="24"/>
          <w:highlight w:val="none"/>
        </w:rPr>
      </w:pPr>
      <w:bookmarkStart w:id="1069" w:name="_Toc247431428"/>
      <w:bookmarkStart w:id="1070" w:name="_Toc239510294"/>
      <w:bookmarkStart w:id="1071" w:name="_Toc532375704"/>
      <w:bookmarkStart w:id="1072" w:name="_Toc247418268"/>
      <w:r>
        <w:rPr>
          <w:rFonts w:hint="eastAsia" w:ascii="宋体" w:hAnsi="宋体" w:cs="宋体"/>
          <w:sz w:val="24"/>
          <w:szCs w:val="24"/>
          <w:highlight w:val="none"/>
        </w:rPr>
        <w:t>五、安全资质审查</w:t>
      </w:r>
      <w:bookmarkEnd w:id="1069"/>
      <w:bookmarkEnd w:id="1070"/>
      <w:bookmarkEnd w:id="1071"/>
      <w:bookmarkEnd w:id="1072"/>
    </w:p>
    <w:p w14:paraId="1BBCDE2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承包人在项目开工前5个工作天内向发包人提供以下安全资质供审查和存档：</w:t>
      </w:r>
    </w:p>
    <w:p w14:paraId="5BDBF7C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1．企业安全生产许可证书复印件。</w:t>
      </w:r>
    </w:p>
    <w:p w14:paraId="62A184D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2．企业近三年的施工简历及安全施工业绩证明文件。</w:t>
      </w:r>
    </w:p>
    <w:p w14:paraId="49E48EC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3．企业主要安全管理人员（包括项目经理、专职安全管理人员）经建设主管部门安全生产知识考核合格证书。</w:t>
      </w:r>
    </w:p>
    <w:p w14:paraId="26920D2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4．特种作业人员资格证书。</w:t>
      </w:r>
    </w:p>
    <w:p w14:paraId="55A3629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5．项目安全管理机构及其人员配备（承包人必须配有专职的安全员）。</w:t>
      </w:r>
    </w:p>
    <w:p w14:paraId="47B8410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6．适用于项目的安全管理体系及保证体系文件（安全管理大纲及管理程序文件）。</w:t>
      </w:r>
    </w:p>
    <w:p w14:paraId="45F50A81">
      <w:pPr>
        <w:spacing w:line="400" w:lineRule="exact"/>
        <w:ind w:firstLine="480" w:firstLineChars="200"/>
        <w:rPr>
          <w:rFonts w:ascii="宋体" w:hAnsi="宋体" w:cs="宋体"/>
          <w:sz w:val="24"/>
          <w:szCs w:val="24"/>
          <w:highlight w:val="none"/>
        </w:rPr>
      </w:pPr>
      <w:bookmarkStart w:id="1073" w:name="_Toc532375705"/>
      <w:bookmarkStart w:id="1074" w:name="_Toc247418269"/>
      <w:bookmarkStart w:id="1075" w:name="_Toc247431429"/>
      <w:bookmarkStart w:id="1076" w:name="_Toc239510295"/>
      <w:r>
        <w:rPr>
          <w:rFonts w:hint="eastAsia" w:ascii="宋体" w:hAnsi="宋体" w:cs="宋体"/>
          <w:sz w:val="24"/>
          <w:szCs w:val="24"/>
          <w:highlight w:val="none"/>
        </w:rPr>
        <w:t>六、人员基本素质</w:t>
      </w:r>
      <w:bookmarkEnd w:id="1073"/>
      <w:bookmarkEnd w:id="1074"/>
      <w:bookmarkEnd w:id="1075"/>
      <w:bookmarkEnd w:id="1076"/>
    </w:p>
    <w:p w14:paraId="32D7189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承包人提供的人员必须满足下列要求：</w:t>
      </w:r>
    </w:p>
    <w:p w14:paraId="0EC9817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9816B1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2．无刑事案件牵连。</w:t>
      </w:r>
    </w:p>
    <w:p w14:paraId="1808C43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3．无吸毒、酗酒、赌博、嫖娼等恶习及违法行为。</w:t>
      </w:r>
    </w:p>
    <w:p w14:paraId="29E72432">
      <w:pPr>
        <w:spacing w:line="400" w:lineRule="exact"/>
        <w:ind w:firstLine="480" w:firstLineChars="200"/>
        <w:rPr>
          <w:rFonts w:ascii="宋体" w:hAnsi="宋体" w:cs="宋体"/>
          <w:sz w:val="24"/>
          <w:szCs w:val="24"/>
          <w:highlight w:val="none"/>
        </w:rPr>
      </w:pPr>
      <w:bookmarkStart w:id="1077" w:name="_Toc247431430"/>
      <w:bookmarkStart w:id="1078" w:name="_Toc532375706"/>
      <w:bookmarkStart w:id="1079" w:name="_Toc239510296"/>
      <w:bookmarkStart w:id="1080" w:name="_Toc247418270"/>
      <w:r>
        <w:rPr>
          <w:rFonts w:hint="eastAsia" w:ascii="宋体" w:hAnsi="宋体" w:cs="宋体"/>
          <w:sz w:val="24"/>
          <w:szCs w:val="24"/>
          <w:highlight w:val="none"/>
        </w:rPr>
        <w:t>七、劳动保护</w:t>
      </w:r>
      <w:bookmarkEnd w:id="1077"/>
      <w:bookmarkEnd w:id="1078"/>
      <w:bookmarkEnd w:id="1079"/>
      <w:bookmarkEnd w:id="1080"/>
    </w:p>
    <w:p w14:paraId="3EB4790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1．承包人负责为本单位任何用工形式的员工提供个人劳动保护用品（包括工作服、安全帽、安全鞋等）。</w:t>
      </w:r>
    </w:p>
    <w:p w14:paraId="68FED97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2．承包人负责向特殊工种的员工提供特殊劳动保护，否则不得从事特殊工种作业。</w:t>
      </w:r>
    </w:p>
    <w:p w14:paraId="6B3C9DB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3．发包人有权检查承包人的个人劳动保护用品是否符合国家的相应标准。</w:t>
      </w:r>
    </w:p>
    <w:p w14:paraId="78C5D1A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 承包人在特殊风险场所作业而需要特殊防护用品或安全仪表时，必须在上述防护用品全部到位后才能开工。</w:t>
      </w:r>
    </w:p>
    <w:p w14:paraId="15E2824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5．承包人应配备临时安全围栏、警示带、警告标志、防火布等集体防护用品。</w:t>
      </w:r>
    </w:p>
    <w:p w14:paraId="6EE80F3F">
      <w:pPr>
        <w:spacing w:line="400" w:lineRule="exact"/>
        <w:ind w:firstLine="480" w:firstLineChars="200"/>
        <w:rPr>
          <w:rFonts w:ascii="宋体" w:hAnsi="宋体" w:cs="宋体"/>
          <w:sz w:val="24"/>
          <w:szCs w:val="24"/>
          <w:highlight w:val="none"/>
        </w:rPr>
      </w:pPr>
      <w:bookmarkStart w:id="1081" w:name="_Toc247418271"/>
      <w:bookmarkStart w:id="1082" w:name="_Toc247431431"/>
      <w:bookmarkStart w:id="1083" w:name="_Toc239510297"/>
      <w:bookmarkStart w:id="1084" w:name="_Toc532375707"/>
      <w:r>
        <w:rPr>
          <w:rFonts w:hint="eastAsia" w:ascii="宋体" w:hAnsi="宋体" w:cs="宋体"/>
          <w:sz w:val="24"/>
          <w:szCs w:val="24"/>
          <w:highlight w:val="none"/>
        </w:rPr>
        <w:t>八、施工机具与材料</w:t>
      </w:r>
      <w:bookmarkEnd w:id="1081"/>
      <w:bookmarkEnd w:id="1082"/>
      <w:bookmarkEnd w:id="1083"/>
      <w:bookmarkEnd w:id="1084"/>
    </w:p>
    <w:p w14:paraId="0CFDA75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1．承包人对带入现场的施工机械和工器具的安全负责。</w:t>
      </w:r>
    </w:p>
    <w:p w14:paraId="02B8B36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2．对于承包人带入现场的特殊工器具，如起重设备、索具、机动车辆、压缩气瓶等，承包人必须按国家法规和标准进行检测、试验，并持有法定部门出具的检验证书。</w:t>
      </w:r>
    </w:p>
    <w:p w14:paraId="0078984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3．对于不属于法定检测的工器具，承包人也必须建立相应的管理、检测制度，这些工器具包括登高工具、脚手架材料、电动工具、安全防护设备及用具等。</w:t>
      </w:r>
    </w:p>
    <w:p w14:paraId="1E1DE4E5">
      <w:pPr>
        <w:spacing w:line="400" w:lineRule="exact"/>
        <w:ind w:firstLine="480" w:firstLineChars="200"/>
        <w:rPr>
          <w:rFonts w:ascii="宋体" w:hAnsi="宋体" w:cs="宋体"/>
          <w:sz w:val="24"/>
          <w:szCs w:val="24"/>
          <w:highlight w:val="none"/>
        </w:rPr>
      </w:pPr>
      <w:bookmarkStart w:id="1085" w:name="_Toc239510298"/>
      <w:bookmarkStart w:id="1086" w:name="_Toc247431432"/>
      <w:bookmarkStart w:id="1087" w:name="_Toc247418272"/>
      <w:bookmarkStart w:id="1088" w:name="_Toc532375708"/>
      <w:r>
        <w:rPr>
          <w:rFonts w:hint="eastAsia" w:ascii="宋体" w:hAnsi="宋体" w:cs="宋体"/>
          <w:sz w:val="24"/>
          <w:szCs w:val="24"/>
          <w:highlight w:val="none"/>
        </w:rPr>
        <w:t>九、开工前安全条件检查</w:t>
      </w:r>
      <w:bookmarkEnd w:id="1085"/>
      <w:bookmarkEnd w:id="1086"/>
      <w:bookmarkEnd w:id="1087"/>
      <w:bookmarkEnd w:id="1088"/>
    </w:p>
    <w:p w14:paraId="0898AC1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发包人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2DC751A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C086E8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3．发包人检查发现的缺陷，承包人应在规定期限内完成整改。对于重大缺陷，发包人有权要求承包人推迟开工，由此对工期产生的影响或经济损失，由承包人承担。</w:t>
      </w:r>
    </w:p>
    <w:p w14:paraId="692B893E">
      <w:pPr>
        <w:spacing w:line="400" w:lineRule="exact"/>
        <w:ind w:firstLine="480" w:firstLineChars="200"/>
        <w:rPr>
          <w:rFonts w:ascii="宋体" w:hAnsi="宋体" w:cs="宋体"/>
          <w:sz w:val="24"/>
          <w:szCs w:val="24"/>
          <w:highlight w:val="none"/>
        </w:rPr>
      </w:pPr>
      <w:bookmarkStart w:id="1089" w:name="_Toc532375709"/>
      <w:bookmarkStart w:id="1090" w:name="_Toc239510299"/>
      <w:bookmarkStart w:id="1091" w:name="_Toc247418273"/>
      <w:bookmarkStart w:id="1092" w:name="_Toc247431433"/>
      <w:r>
        <w:rPr>
          <w:rFonts w:hint="eastAsia" w:ascii="宋体" w:hAnsi="宋体" w:cs="宋体"/>
          <w:sz w:val="24"/>
          <w:szCs w:val="24"/>
          <w:highlight w:val="none"/>
        </w:rPr>
        <w:t>十、安全监督</w:t>
      </w:r>
      <w:bookmarkEnd w:id="1089"/>
      <w:bookmarkEnd w:id="1090"/>
      <w:bookmarkEnd w:id="1091"/>
      <w:bookmarkEnd w:id="1092"/>
    </w:p>
    <w:p w14:paraId="008DA97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1．承包人应配备有满足项目安全管理需要的专职安全管理人员。</w:t>
      </w:r>
    </w:p>
    <w:p w14:paraId="5F201AB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2．承包人的专职安全管理人员必须持建设主管部门颁发的安全生产知识考核合格证书。</w:t>
      </w:r>
    </w:p>
    <w:p w14:paraId="2477D6F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3．承包人的专职安全管理人员在业务上接受发包人安全管理部门的协调和指导。</w:t>
      </w:r>
    </w:p>
    <w:p w14:paraId="563D1D4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4．承包人应建立班前安全交底制度；施工期间坚持开展安全检查和日常安全监督并形成相应的记录。</w:t>
      </w:r>
    </w:p>
    <w:p w14:paraId="58C5138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5．承包人应在每个作业区任命兼职安全员，赋予兼职安全员相应的授权和义务，并对兼职安全员进行定期考核。</w:t>
      </w:r>
    </w:p>
    <w:p w14:paraId="234CF62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6．承包人应接受和配合发包人专业部门的监督与安全评价。</w:t>
      </w:r>
    </w:p>
    <w:p w14:paraId="4F06096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7．发包人有权对承包人履行安全管理协议的情况进行监督，并有权对违章行为实行停工和处罚，处罚情况将通知承包人。涉及经济处罚时将直接通知合同管理部门从合同结算中扣除。</w:t>
      </w:r>
    </w:p>
    <w:p w14:paraId="252C72A2">
      <w:pPr>
        <w:spacing w:line="400" w:lineRule="exact"/>
        <w:ind w:firstLine="480" w:firstLineChars="200"/>
        <w:rPr>
          <w:rFonts w:ascii="宋体" w:hAnsi="宋体" w:cs="宋体"/>
          <w:sz w:val="24"/>
          <w:szCs w:val="24"/>
          <w:highlight w:val="none"/>
        </w:rPr>
      </w:pPr>
      <w:bookmarkStart w:id="1093" w:name="_Toc247418274"/>
      <w:bookmarkStart w:id="1094" w:name="_Toc247431434"/>
      <w:bookmarkStart w:id="1095" w:name="_Toc532375710"/>
      <w:bookmarkStart w:id="1096" w:name="_Toc239510300"/>
      <w:r>
        <w:rPr>
          <w:rFonts w:hint="eastAsia" w:ascii="宋体" w:hAnsi="宋体" w:cs="宋体"/>
          <w:sz w:val="24"/>
          <w:szCs w:val="24"/>
          <w:highlight w:val="none"/>
        </w:rPr>
        <w:t>十一、安全培训与授权</w:t>
      </w:r>
      <w:bookmarkEnd w:id="1093"/>
      <w:bookmarkEnd w:id="1094"/>
      <w:bookmarkEnd w:id="1095"/>
      <w:bookmarkEnd w:id="1096"/>
    </w:p>
    <w:p w14:paraId="0B92B6D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1．承包人所有特殊工种人员必须持证上岗，发包人有权对其进行抽查。承包人要建立特殊工种定期培训和检查计划，这些工种包括但不限于：机动车驾驶员、焊工、起重工、电工等。</w:t>
      </w:r>
    </w:p>
    <w:p w14:paraId="260A20C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2．承包人应在特殊工种之外的其他工种中，筛选出高风险工种，并对其开展针对性的专题安全培训。</w:t>
      </w:r>
    </w:p>
    <w:p w14:paraId="201B981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3．承包人应组织 “入场培训”和考核。发包人有权监督培训、考核情况或组织抽查考核。</w:t>
      </w:r>
    </w:p>
    <w:p w14:paraId="5975865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4．承包人应建立安全培训和考核机制，编制培训教材和培训滚动计划。承包人应组织安全考试/考核，建立培训考核记录，发包人有权查看这些记录。</w:t>
      </w:r>
    </w:p>
    <w:p w14:paraId="044E43B1">
      <w:pPr>
        <w:spacing w:line="400" w:lineRule="exact"/>
        <w:ind w:firstLine="480" w:firstLineChars="200"/>
        <w:rPr>
          <w:rFonts w:ascii="宋体" w:hAnsi="宋体" w:cs="宋体"/>
          <w:sz w:val="24"/>
          <w:szCs w:val="24"/>
          <w:highlight w:val="none"/>
        </w:rPr>
      </w:pPr>
      <w:bookmarkStart w:id="1097" w:name="_Toc247418275"/>
      <w:bookmarkStart w:id="1098" w:name="_Toc239510301"/>
      <w:bookmarkStart w:id="1099" w:name="_Toc532375711"/>
      <w:bookmarkStart w:id="1100" w:name="_Toc247431435"/>
      <w:r>
        <w:rPr>
          <w:rFonts w:hint="eastAsia" w:ascii="宋体" w:hAnsi="宋体" w:cs="宋体"/>
          <w:sz w:val="24"/>
          <w:szCs w:val="24"/>
          <w:highlight w:val="none"/>
        </w:rPr>
        <w:t>十二、职业健康与卫生防疫</w:t>
      </w:r>
      <w:bookmarkEnd w:id="1097"/>
      <w:bookmarkEnd w:id="1098"/>
      <w:bookmarkEnd w:id="1099"/>
      <w:bookmarkEnd w:id="1100"/>
    </w:p>
    <w:p w14:paraId="606FC2A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119352B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2．承包人应保证卫生防疫基本设施的投入，以满足医疗、急救的要求，建立外部医疗支持渠道。</w:t>
      </w:r>
    </w:p>
    <w:p w14:paraId="30A65BC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6A77BB33">
      <w:pPr>
        <w:spacing w:line="400" w:lineRule="exact"/>
        <w:ind w:firstLine="480" w:firstLineChars="200"/>
        <w:rPr>
          <w:rFonts w:ascii="宋体" w:hAnsi="宋体" w:cs="宋体"/>
          <w:sz w:val="24"/>
          <w:szCs w:val="24"/>
          <w:highlight w:val="none"/>
        </w:rPr>
      </w:pPr>
      <w:bookmarkStart w:id="1101" w:name="_Toc247418276"/>
      <w:bookmarkStart w:id="1102" w:name="_Toc247431436"/>
      <w:bookmarkStart w:id="1103" w:name="_Toc532375712"/>
      <w:bookmarkStart w:id="1104" w:name="_Toc239510302"/>
      <w:r>
        <w:rPr>
          <w:rFonts w:hint="eastAsia" w:ascii="宋体" w:hAnsi="宋体" w:cs="宋体"/>
          <w:sz w:val="24"/>
          <w:szCs w:val="24"/>
          <w:highlight w:val="none"/>
        </w:rPr>
        <w:t>十三、文明施工与环保要求</w:t>
      </w:r>
      <w:bookmarkEnd w:id="1101"/>
      <w:bookmarkEnd w:id="1102"/>
      <w:bookmarkEnd w:id="1103"/>
      <w:bookmarkEnd w:id="1104"/>
    </w:p>
    <w:p w14:paraId="630D40C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1．承包人需制订施工现场的文明施工措施，保持良好的施工现场秩序。施工现场的物料堆放要摆放整齐，安全标志和宣传标志要清楚醒目，废料、废物要分类收集，安全通道要畅通。</w:t>
      </w:r>
    </w:p>
    <w:p w14:paraId="718FEC6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2．承包人作业时应避免建筑材料抛洒、飞扬、流淌；应尽可能降低噪音、震动。</w:t>
      </w:r>
    </w:p>
    <w:p w14:paraId="3A6E404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3．承包人应根据实际需要，在施工现场布置临时卫生设施（洗手间、卫生间等），施工作业不破坏环境卫生，不污染现场环境。</w:t>
      </w:r>
    </w:p>
    <w:p w14:paraId="5BB583C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4．承包人在施工中应充分重视对环境的保护，保护绿色植被，保护古树。施工如需伤害古树，必须报告发包人，在未得到指令前，禁止擅自伤害古树。</w:t>
      </w:r>
    </w:p>
    <w:p w14:paraId="2C2DD66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688A927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6．承包人在施工中应禁止向环境，排放工业污水、生活污水、废油或其他有害物质。</w:t>
      </w:r>
    </w:p>
    <w:p w14:paraId="7DB0F28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7A3B9F9">
      <w:pPr>
        <w:spacing w:line="400" w:lineRule="exact"/>
        <w:ind w:firstLine="480" w:firstLineChars="200"/>
        <w:rPr>
          <w:rFonts w:ascii="宋体" w:hAnsi="宋体" w:cs="宋体"/>
          <w:sz w:val="24"/>
          <w:szCs w:val="24"/>
          <w:highlight w:val="none"/>
        </w:rPr>
      </w:pPr>
      <w:bookmarkStart w:id="1105" w:name="_Toc247431437"/>
      <w:bookmarkStart w:id="1106" w:name="_Toc247418277"/>
      <w:bookmarkStart w:id="1107" w:name="_Toc532375713"/>
      <w:bookmarkStart w:id="1108" w:name="_Toc239510303"/>
      <w:r>
        <w:rPr>
          <w:rFonts w:hint="eastAsia" w:ascii="宋体" w:hAnsi="宋体" w:cs="宋体"/>
          <w:sz w:val="24"/>
          <w:szCs w:val="24"/>
          <w:highlight w:val="none"/>
        </w:rPr>
        <w:t>十四、工程风险管理与事故预防</w:t>
      </w:r>
      <w:bookmarkEnd w:id="1105"/>
      <w:bookmarkEnd w:id="1106"/>
      <w:bookmarkEnd w:id="1107"/>
      <w:bookmarkEnd w:id="1108"/>
    </w:p>
    <w:p w14:paraId="21433435">
      <w:pPr>
        <w:spacing w:line="400" w:lineRule="exact"/>
        <w:ind w:firstLine="480" w:firstLineChars="200"/>
        <w:jc w:val="left"/>
        <w:rPr>
          <w:rFonts w:ascii="宋体" w:hAnsi="宋体" w:cs="宋体"/>
          <w:sz w:val="24"/>
          <w:szCs w:val="24"/>
          <w:highlight w:val="none"/>
        </w:rPr>
      </w:pPr>
      <w:bookmarkStart w:id="1109" w:name="_Toc247431438"/>
      <w:bookmarkStart w:id="1110" w:name="_Toc239510304"/>
      <w:bookmarkStart w:id="1111" w:name="_Toc247418278"/>
      <w:r>
        <w:rPr>
          <w:rFonts w:hint="eastAsia" w:ascii="宋体" w:hAnsi="宋体" w:cs="宋体"/>
          <w:sz w:val="24"/>
          <w:szCs w:val="24"/>
          <w:highlight w:val="none"/>
        </w:rPr>
        <w:t>（一）基本要求</w:t>
      </w:r>
      <w:bookmarkEnd w:id="1109"/>
      <w:bookmarkEnd w:id="1110"/>
      <w:bookmarkEnd w:id="1111"/>
    </w:p>
    <w:p w14:paraId="58C5268F">
      <w:pPr>
        <w:spacing w:line="400" w:lineRule="exact"/>
        <w:ind w:firstLine="480" w:firstLineChars="200"/>
        <w:jc w:val="left"/>
        <w:rPr>
          <w:rFonts w:ascii="宋体" w:hAnsi="宋体" w:cs="宋体"/>
          <w:sz w:val="24"/>
          <w:szCs w:val="24"/>
          <w:highlight w:val="none"/>
        </w:rPr>
      </w:pPr>
      <w:bookmarkStart w:id="1112" w:name="_Toc532375714"/>
      <w:r>
        <w:rPr>
          <w:rFonts w:hint="eastAsia" w:ascii="宋体" w:hAnsi="宋体" w:cs="宋体"/>
          <w:sz w:val="24"/>
          <w:szCs w:val="24"/>
          <w:highlight w:val="none"/>
        </w:rPr>
        <w:t>1．承包人应对施工过程进行全面、深入的危险源识别和风险分析。在施工安全组织设计中提供危险源及重要危险源清单、作业风险分析报告，该报告应包括（但不限于）如下信息：</w:t>
      </w:r>
      <w:bookmarkEnd w:id="1112"/>
    </w:p>
    <w:p w14:paraId="4B1A2D6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（1）高风险作业和工种清单：作业名称、类别和数量、主要事故风险。</w:t>
      </w:r>
    </w:p>
    <w:p w14:paraId="2027745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（2）施工能源和机械的种类、数量和主要事故风险。</w:t>
      </w:r>
    </w:p>
    <w:p w14:paraId="6C0CBE6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（3）施工作业条件的类型和主要事故风险。</w:t>
      </w:r>
    </w:p>
    <w:p w14:paraId="3F32B5C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（4）主要工艺过程（或施工活动）的类别及其相关的事故风险。</w:t>
      </w:r>
    </w:p>
    <w:p w14:paraId="5A8A055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（5）主要火灾危险（可燃物、点火源）。</w:t>
      </w:r>
    </w:p>
    <w:p w14:paraId="73DBB21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（6）主要自然灾害（洪水、大风、雷暴、暴雨、地质灾害等）。</w:t>
      </w:r>
    </w:p>
    <w:p w14:paraId="71BFF0E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（7）主要环境保护事件（有害垃圾、机械的跑冒滴漏、原材料流失、水土流失等）。</w:t>
      </w:r>
    </w:p>
    <w:p w14:paraId="0344815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（8）其他。</w:t>
      </w:r>
    </w:p>
    <w:p w14:paraId="0570A5D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2．承包人应针对识别出的危险源制定有针对性的事故预防措施并确保在施工中得到有效落实。</w:t>
      </w:r>
    </w:p>
    <w:p w14:paraId="73EAE82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3．承包人应建立日常施工活动的动态作业风险分析和安全交底制度。该制度应明确规定风险分析的方法、责任和交底的内容、时间及记录。</w:t>
      </w:r>
    </w:p>
    <w:p w14:paraId="0469DBC3">
      <w:pPr>
        <w:spacing w:line="400" w:lineRule="exact"/>
        <w:ind w:firstLine="480" w:firstLineChars="200"/>
        <w:jc w:val="left"/>
        <w:rPr>
          <w:rFonts w:ascii="宋体" w:hAnsi="宋体" w:cs="宋体"/>
          <w:sz w:val="24"/>
          <w:szCs w:val="24"/>
          <w:highlight w:val="none"/>
        </w:rPr>
      </w:pPr>
      <w:bookmarkStart w:id="1113" w:name="_Toc247418279"/>
      <w:bookmarkStart w:id="1114" w:name="_Toc239510305"/>
      <w:bookmarkStart w:id="1115" w:name="_Toc247431439"/>
      <w:r>
        <w:rPr>
          <w:rFonts w:hint="eastAsia" w:ascii="宋体" w:hAnsi="宋体" w:cs="宋体"/>
          <w:sz w:val="24"/>
          <w:szCs w:val="24"/>
          <w:highlight w:val="none"/>
        </w:rPr>
        <w:t>（二）现场作业基本安全条件</w:t>
      </w:r>
      <w:bookmarkEnd w:id="1113"/>
      <w:bookmarkEnd w:id="1114"/>
      <w:bookmarkEnd w:id="1115"/>
    </w:p>
    <w:p w14:paraId="74AE103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79FA8415">
      <w:pPr>
        <w:spacing w:line="400" w:lineRule="exact"/>
        <w:ind w:firstLine="480" w:firstLineChars="200"/>
        <w:rPr>
          <w:rFonts w:ascii="宋体" w:hAnsi="宋体" w:cs="宋体"/>
          <w:sz w:val="24"/>
          <w:szCs w:val="24"/>
          <w:highlight w:val="none"/>
        </w:rPr>
      </w:pPr>
      <w:bookmarkStart w:id="1116" w:name="_Toc247431440"/>
      <w:bookmarkStart w:id="1117" w:name="_Toc239510306"/>
      <w:bookmarkStart w:id="1118" w:name="_Toc247418280"/>
      <w:bookmarkStart w:id="1119" w:name="_Toc532375715"/>
      <w:r>
        <w:rPr>
          <w:rFonts w:hint="eastAsia" w:ascii="宋体" w:hAnsi="宋体" w:cs="宋体"/>
          <w:sz w:val="24"/>
          <w:szCs w:val="24"/>
          <w:highlight w:val="none"/>
        </w:rPr>
        <w:t>十五、事故报告与应急救援</w:t>
      </w:r>
      <w:bookmarkEnd w:id="1116"/>
      <w:bookmarkEnd w:id="1117"/>
      <w:bookmarkEnd w:id="1118"/>
      <w:bookmarkEnd w:id="1119"/>
    </w:p>
    <w:p w14:paraId="4A48961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1．承包人应制定对于未遂事故及以上级别的安全事件和事故，定期报送安全月度快报、季报、年报和各种专项事故报告等。</w:t>
      </w:r>
    </w:p>
    <w:p w14:paraId="54D97D1C">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2．承包人应建立安全事故统计记录、未遂事故统计记录、违章统计记录，并根据统计情况进行分析，并就分析结果制定相应的预防措施。</w:t>
      </w:r>
    </w:p>
    <w:p w14:paraId="1B0805CA">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3．承包人应建立事故应急救援机制，明确事故处置的基本原则，即现场发生事故时，首先抢救生命，向救援组织报警，并采取措施限制事故扩大。</w:t>
      </w:r>
    </w:p>
    <w:p w14:paraId="0E0569A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4．承包人应建立相应的应急响应组织，以便能迅速处理突发意外。</w:t>
      </w:r>
    </w:p>
    <w:p w14:paraId="0CB9E8D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5．承包人应建立专项应急响应预案，包括重大人身伤亡事故的救护预案、火灾响应预案、“四防”预案（防风、防冻、防雷、防暴雨）、重大疫病防护预案、环境污染防护预案、地质灾害防护预案等。</w:t>
      </w:r>
    </w:p>
    <w:p w14:paraId="25AF8B9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6．承包人应对应急预案进行适当演练，保证应急预案的可操作性。</w:t>
      </w:r>
    </w:p>
    <w:p w14:paraId="3E4058D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7．在工地的其他施工单位发生重大事故时，承包人应无条件立即配合、支持事故抢险。</w:t>
      </w:r>
    </w:p>
    <w:p w14:paraId="3FF5301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8．承包人必须为事故处置支付各项费用，包括受伤者的抚恤、补偿等费用，并按合同要求赔偿对发包人造成的损失。</w:t>
      </w:r>
    </w:p>
    <w:p w14:paraId="0A01FC8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9．由于发包人原因而造成的事故，发包人应负责按事故的具体损失情况给予承包人经济赔偿。</w:t>
      </w:r>
    </w:p>
    <w:p w14:paraId="1FDA5FB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10．涉及承包人员工的伤害事故，承包人除要报告发包人外，还应负责按照国家、行业和本单位上级公司的要求，上报事故。</w:t>
      </w:r>
    </w:p>
    <w:p w14:paraId="33D575E3">
      <w:pPr>
        <w:spacing w:line="400" w:lineRule="exact"/>
        <w:ind w:firstLine="480" w:firstLineChars="200"/>
        <w:rPr>
          <w:rFonts w:ascii="宋体" w:hAnsi="宋体" w:cs="宋体"/>
          <w:sz w:val="24"/>
          <w:szCs w:val="24"/>
          <w:highlight w:val="none"/>
        </w:rPr>
      </w:pPr>
      <w:bookmarkStart w:id="1120" w:name="_Toc247431441"/>
      <w:bookmarkStart w:id="1121" w:name="_Toc532375716"/>
      <w:bookmarkStart w:id="1122" w:name="_Toc239510307"/>
      <w:bookmarkStart w:id="1123" w:name="_Toc247418281"/>
      <w:r>
        <w:rPr>
          <w:rFonts w:hint="eastAsia" w:ascii="宋体" w:hAnsi="宋体" w:cs="宋体"/>
          <w:sz w:val="24"/>
          <w:szCs w:val="24"/>
          <w:highlight w:val="none"/>
        </w:rPr>
        <w:t>十六、安全业绩考核</w:t>
      </w:r>
      <w:bookmarkEnd w:id="1120"/>
      <w:bookmarkEnd w:id="1121"/>
      <w:bookmarkEnd w:id="1122"/>
      <w:bookmarkEnd w:id="1123"/>
    </w:p>
    <w:p w14:paraId="090F2734">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为了落实安全管理的责任，承包人在施工过程中发生安全事故时，承包人除应按国家有关规定承担责任和处罚外，发包人还将按照以下标准进行考核：</w:t>
      </w:r>
    </w:p>
    <w:tbl>
      <w:tblPr>
        <w:tblStyle w:val="34"/>
        <w:tblW w:w="7005" w:type="dxa"/>
        <w:jc w:val="center"/>
        <w:tblLayout w:type="fixed"/>
        <w:tblCellMar>
          <w:top w:w="0" w:type="dxa"/>
          <w:left w:w="0" w:type="dxa"/>
          <w:bottom w:w="0" w:type="dxa"/>
          <w:right w:w="0" w:type="dxa"/>
        </w:tblCellMar>
      </w:tblPr>
      <w:tblGrid>
        <w:gridCol w:w="3240"/>
        <w:gridCol w:w="3765"/>
      </w:tblGrid>
      <w:tr w14:paraId="1D96BEC0">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37775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593274F">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违约金额</w:t>
            </w:r>
          </w:p>
        </w:tc>
      </w:tr>
      <w:tr w14:paraId="17A85403">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06AA4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319FC4D5">
            <w:pPr>
              <w:spacing w:line="40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签约合同价</w:t>
            </w:r>
            <w:r>
              <w:rPr>
                <w:rFonts w:hint="eastAsia" w:ascii="宋体" w:hAnsi="宋体" w:cs="宋体"/>
                <w:sz w:val="24"/>
                <w:szCs w:val="24"/>
                <w:highlight w:val="none"/>
              </w:rPr>
              <w:t>的0.5‰</w:t>
            </w:r>
          </w:p>
        </w:tc>
      </w:tr>
      <w:tr w14:paraId="0F7F2FC4">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AB923B">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6E4AE61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签约合同价的2‰</w:t>
            </w:r>
          </w:p>
        </w:tc>
      </w:tr>
      <w:tr w14:paraId="484F45C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B2D4B0">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058455A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签约合同价的4‰</w:t>
            </w:r>
          </w:p>
        </w:tc>
      </w:tr>
    </w:tbl>
    <w:p w14:paraId="6602F69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（1）较大事故，是指造成3人以上10人以下死亡，或者10人以上50人以下重伤，或者1000万元以上5000万元以下直接经济损失的事故；</w:t>
      </w:r>
    </w:p>
    <w:p w14:paraId="6C49EA53">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（2）重大事故，是指造成10人以上30人以下死亡，或者50人以上100人以下重伤，或者5000万元以上1亿元以下直接经济损失的事故；</w:t>
      </w:r>
    </w:p>
    <w:p w14:paraId="52EED7E1">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（3）特别重大事故，是指造成30人以上死亡，或者100人以上重伤（包括急性工业中毒，下同），或者1亿元以上直接经济损失的事故；</w:t>
      </w:r>
    </w:p>
    <w:p w14:paraId="33C612CD">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（4）所称的“以上”包括本数，所称的“以下”不包括本数。</w:t>
      </w:r>
    </w:p>
    <w:p w14:paraId="35CE5CC6">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（5）如整个施工过程未发生以上安全事故，则给予承包人建安费总额的1‰的安全奖励。</w:t>
      </w:r>
    </w:p>
    <w:p w14:paraId="13B701A9">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发包人负责对承包人的安全业绩进行考核。每次合同支付前，承包人提交自我安全业绩评估报告，然后交发包人评价。发包人在签署评价意见后，将作为合同支付依据之一，同时也作为是否可接受承包人再次参加发包人项目投标的依据之一。 </w:t>
      </w:r>
    </w:p>
    <w:p w14:paraId="6BBD6692">
      <w:pPr>
        <w:spacing w:line="400" w:lineRule="exact"/>
        <w:ind w:firstLine="480" w:firstLineChars="200"/>
        <w:rPr>
          <w:rFonts w:ascii="宋体" w:hAnsi="宋体" w:cs="宋体"/>
          <w:sz w:val="24"/>
          <w:szCs w:val="24"/>
          <w:highlight w:val="none"/>
        </w:rPr>
      </w:pPr>
      <w:bookmarkStart w:id="1124" w:name="_Toc247418282"/>
      <w:bookmarkStart w:id="1125" w:name="_Toc532375717"/>
      <w:bookmarkStart w:id="1126" w:name="_Toc239510308"/>
      <w:bookmarkStart w:id="1127" w:name="_Toc247431442"/>
      <w:r>
        <w:rPr>
          <w:rFonts w:hint="eastAsia" w:ascii="宋体" w:hAnsi="宋体" w:cs="宋体"/>
          <w:sz w:val="24"/>
          <w:szCs w:val="24"/>
          <w:highlight w:val="none"/>
        </w:rPr>
        <w:t>十七、协议条款的修订</w:t>
      </w:r>
      <w:bookmarkEnd w:id="1124"/>
      <w:bookmarkEnd w:id="1125"/>
      <w:bookmarkEnd w:id="1126"/>
      <w:bookmarkEnd w:id="1127"/>
    </w:p>
    <w:p w14:paraId="799B95EE">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在项目实施过程中，经双方友好协商，本协议的有关条款也可做出相应的修改。</w:t>
      </w:r>
    </w:p>
    <w:p w14:paraId="753536B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本工程安全管理协议，由发包人、承包人双方在施工承包合同签订后7天内共同签署，作为施工合同附件。</w:t>
      </w:r>
    </w:p>
    <w:p w14:paraId="3F1EB682">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发  包  人（单位公章）：</w:t>
      </w:r>
      <w:r>
        <w:rPr>
          <w:rFonts w:hint="eastAsia" w:ascii="宋体" w:hAnsi="宋体" w:cs="宋体"/>
          <w:sz w:val="24"/>
          <w:szCs w:val="24"/>
          <w:highlight w:val="none"/>
          <w:u w:val="single"/>
        </w:rPr>
        <w:t xml:space="preserve">                   </w:t>
      </w:r>
    </w:p>
    <w:p w14:paraId="7D672848">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法定代表人（签名）：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22168D45">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或其委托代理人（签名）：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1AE7C769">
      <w:pPr>
        <w:spacing w:line="400" w:lineRule="exact"/>
        <w:ind w:firstLine="480" w:firstLineChars="200"/>
        <w:jc w:val="left"/>
        <w:rPr>
          <w:rFonts w:ascii="宋体" w:hAnsi="宋体" w:cs="宋体"/>
          <w:sz w:val="24"/>
          <w:szCs w:val="24"/>
          <w:highlight w:val="none"/>
        </w:rPr>
      </w:pPr>
    </w:p>
    <w:p w14:paraId="392337F7">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承  包  人（单位公章）：</w:t>
      </w:r>
      <w:r>
        <w:rPr>
          <w:rFonts w:hint="eastAsia" w:ascii="宋体" w:hAnsi="宋体" w:cs="宋体"/>
          <w:sz w:val="24"/>
          <w:szCs w:val="24"/>
          <w:highlight w:val="none"/>
          <w:u w:val="single"/>
        </w:rPr>
        <w:t xml:space="preserve">                   </w:t>
      </w:r>
    </w:p>
    <w:p w14:paraId="60BB0F27">
      <w:pPr>
        <w:spacing w:line="4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法定代表人（签名）：</w:t>
      </w:r>
      <w:r>
        <w:rPr>
          <w:rFonts w:hint="eastAsia" w:ascii="宋体" w:hAnsi="宋体" w:cs="宋体"/>
          <w:sz w:val="24"/>
          <w:szCs w:val="24"/>
          <w:highlight w:val="none"/>
          <w:u w:val="single"/>
        </w:rPr>
        <w:t xml:space="preserve">                       </w:t>
      </w:r>
    </w:p>
    <w:p w14:paraId="7575E1F6">
      <w:pPr>
        <w:spacing w:line="400" w:lineRule="exact"/>
        <w:ind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或其委托代理人（签名）：</w:t>
      </w:r>
      <w:r>
        <w:rPr>
          <w:rFonts w:hint="eastAsia" w:ascii="宋体" w:hAnsi="宋体" w:cs="宋体"/>
          <w:sz w:val="24"/>
          <w:szCs w:val="24"/>
          <w:highlight w:val="none"/>
          <w:u w:val="single"/>
        </w:rPr>
        <w:t xml:space="preserve">                   </w:t>
      </w:r>
    </w:p>
    <w:p w14:paraId="02426CF2">
      <w:pPr>
        <w:snapToGrid w:val="0"/>
        <w:spacing w:line="400" w:lineRule="exact"/>
        <w:jc w:val="lef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附件10：</w:t>
      </w:r>
    </w:p>
    <w:p w14:paraId="510B2DBF">
      <w:pPr>
        <w:spacing w:beforeLines="50" w:afterLines="50" w:line="400" w:lineRule="exact"/>
        <w:jc w:val="center"/>
        <w:rPr>
          <w:rFonts w:ascii="宋体" w:hAnsi="宋体" w:cs="宋体"/>
          <w:sz w:val="24"/>
          <w:szCs w:val="24"/>
          <w:highlight w:val="none"/>
        </w:rPr>
      </w:pPr>
      <w:r>
        <w:rPr>
          <w:rFonts w:hint="eastAsia" w:ascii="宋体" w:hAnsi="宋体" w:cs="宋体"/>
          <w:sz w:val="24"/>
          <w:szCs w:val="24"/>
          <w:highlight w:val="none"/>
        </w:rPr>
        <w:t>保障农民工工资支付协议</w:t>
      </w:r>
    </w:p>
    <w:p w14:paraId="613175EA">
      <w:pPr>
        <w:snapToGrid w:val="0"/>
        <w:spacing w:line="400" w:lineRule="exact"/>
        <w:rPr>
          <w:rFonts w:ascii="宋体" w:hAnsi="宋体" w:cs="宋体"/>
          <w:sz w:val="24"/>
          <w:szCs w:val="24"/>
          <w:highlight w:val="none"/>
        </w:rPr>
      </w:pPr>
      <w:r>
        <w:rPr>
          <w:rFonts w:hint="eastAsia" w:ascii="宋体" w:hAnsi="宋体" w:cs="宋体"/>
          <w:sz w:val="24"/>
          <w:szCs w:val="24"/>
          <w:highlight w:val="none"/>
        </w:rPr>
        <w:t xml:space="preserve"> 发包人：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w:t>
      </w:r>
    </w:p>
    <w:p w14:paraId="2F585AD5">
      <w:pPr>
        <w:snapToGrid w:val="0"/>
        <w:spacing w:line="400" w:lineRule="exact"/>
        <w:rPr>
          <w:rFonts w:ascii="宋体" w:hAnsi="宋体" w:cs="宋体"/>
          <w:sz w:val="24"/>
          <w:szCs w:val="24"/>
          <w:highlight w:val="none"/>
        </w:rPr>
      </w:pPr>
      <w:r>
        <w:rPr>
          <w:rFonts w:hint="eastAsia" w:ascii="宋体" w:hAnsi="宋体" w:cs="宋体"/>
          <w:sz w:val="24"/>
          <w:szCs w:val="24"/>
          <w:highlight w:val="none"/>
        </w:rPr>
        <w:t xml:space="preserve"> 承包人：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w:t>
      </w:r>
    </w:p>
    <w:p w14:paraId="067E00E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18068AB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一、承包人申报工程进度款时，应对上月已支付工程款用于农民工工资发放的情况进行说明，并附农民工代表按时足额收取了工资的签名确认书。发包人审核合格后，才进行当期工程进度款的支付。</w:t>
      </w:r>
    </w:p>
    <w:p w14:paraId="376186D5">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1AED65F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承包人每月10日前将本月作业班组、班组人数、农民工身份信息等报发包人，10日～15日分别以作业班组为小组，每小组自行选举产生一名农民工代表，发包人应全程监督，选举结果与当期工程款支付申请一并报送发包人。</w:t>
      </w:r>
    </w:p>
    <w:p w14:paraId="311855F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四、若发现承包人有下列事项的，发包人在支付当期进度款时暂扣当期应支付进度款5%比例的款项。</w:t>
      </w:r>
    </w:p>
    <w:p w14:paraId="0881B6DB">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（一）现场检查发现项目存在拖欠农民工工资情况并经核查属实的；</w:t>
      </w:r>
    </w:p>
    <w:p w14:paraId="74F1320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（二）相关行政管理部门检查发现存在拖欠农民工工资情况并经核查属实的；</w:t>
      </w:r>
    </w:p>
    <w:p w14:paraId="6082FAA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（三）有拖欠农民工工资投诉事项并经核查属实的。</w:t>
      </w:r>
    </w:p>
    <w:p w14:paraId="0047DD9F">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570ECD95">
      <w:pPr>
        <w:tabs>
          <w:tab w:val="left" w:pos="1080"/>
          <w:tab w:val="left" w:pos="1260"/>
          <w:tab w:val="left" w:pos="1440"/>
        </w:tabs>
        <w:spacing w:line="400" w:lineRule="exact"/>
        <w:ind w:firstLine="480" w:firstLineChars="200"/>
        <w:rPr>
          <w:rFonts w:ascii="宋体" w:hAnsi="宋体" w:cs="宋体"/>
          <w:snapToGrid w:val="0"/>
          <w:spacing w:val="-4"/>
          <w:kern w:val="0"/>
          <w:sz w:val="24"/>
          <w:szCs w:val="24"/>
          <w:highlight w:val="none"/>
        </w:rPr>
      </w:pPr>
      <w:r>
        <w:rPr>
          <w:rFonts w:hint="eastAsia" w:ascii="宋体" w:hAnsi="宋体" w:cs="宋体"/>
          <w:sz w:val="24"/>
          <w:szCs w:val="24"/>
          <w:highlight w:val="none"/>
        </w:rPr>
        <w:t>六、本协议经双方法定代表人或委托代理人签名并加盖单位公章后生效，履行完毕后自然失效。</w:t>
      </w:r>
    </w:p>
    <w:p w14:paraId="23CC8F34">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附件：</w:t>
      </w:r>
    </w:p>
    <w:p w14:paraId="7B24347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1、关于农民工工资发放情况的说明表</w:t>
      </w:r>
    </w:p>
    <w:p w14:paraId="6D36E291">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（以下无正文）</w:t>
      </w:r>
    </w:p>
    <w:p w14:paraId="061AEDF9">
      <w:pPr>
        <w:spacing w:line="400" w:lineRule="exact"/>
        <w:ind w:firstLine="480" w:firstLineChars="200"/>
        <w:rPr>
          <w:rFonts w:ascii="宋体" w:hAnsi="宋体" w:cs="宋体"/>
          <w:sz w:val="24"/>
          <w:szCs w:val="24"/>
          <w:highlight w:val="none"/>
        </w:rPr>
      </w:pPr>
    </w:p>
    <w:p w14:paraId="12423746">
      <w:pPr>
        <w:spacing w:line="400" w:lineRule="exact"/>
        <w:ind w:firstLine="480" w:firstLineChars="200"/>
        <w:rPr>
          <w:rFonts w:ascii="宋体" w:hAnsi="宋体" w:cs="宋体"/>
          <w:sz w:val="24"/>
          <w:szCs w:val="24"/>
          <w:highlight w:val="none"/>
        </w:rPr>
      </w:pPr>
    </w:p>
    <w:p w14:paraId="787F74D8">
      <w:pPr>
        <w:pStyle w:val="2"/>
        <w:spacing w:line="400" w:lineRule="exact"/>
        <w:rPr>
          <w:rFonts w:ascii="宋体" w:hAnsi="宋体" w:eastAsia="宋体" w:cs="宋体"/>
          <w:sz w:val="24"/>
          <w:szCs w:val="24"/>
          <w:highlight w:val="none"/>
        </w:rPr>
      </w:pPr>
    </w:p>
    <w:p w14:paraId="3DC13CED">
      <w:pPr>
        <w:spacing w:line="400" w:lineRule="exact"/>
        <w:rPr>
          <w:rFonts w:ascii="宋体" w:hAnsi="宋体" w:cs="宋体"/>
          <w:sz w:val="24"/>
          <w:szCs w:val="24"/>
          <w:highlight w:val="none"/>
        </w:rPr>
      </w:pPr>
      <w:r>
        <w:rPr>
          <w:rFonts w:hint="eastAsia" w:ascii="宋体" w:hAnsi="宋体" w:cs="宋体"/>
          <w:sz w:val="24"/>
          <w:szCs w:val="24"/>
          <w:highlight w:val="none"/>
        </w:rPr>
        <w:t>发包人：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（发包人）</w:t>
      </w:r>
    </w:p>
    <w:p w14:paraId="71841A0E">
      <w:pPr>
        <w:spacing w:line="400" w:lineRule="exac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p>
    <w:p w14:paraId="63A54E98">
      <w:pPr>
        <w:spacing w:line="400" w:lineRule="exact"/>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p>
    <w:p w14:paraId="706FE5BE">
      <w:pPr>
        <w:spacing w:line="400" w:lineRule="exact"/>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 xml:space="preserve">       </w:t>
      </w:r>
    </w:p>
    <w:p w14:paraId="0C62C936">
      <w:pPr>
        <w:spacing w:line="400" w:lineRule="exact"/>
        <w:rPr>
          <w:rFonts w:ascii="宋体" w:hAnsi="宋体" w:cs="宋体"/>
          <w:sz w:val="24"/>
          <w:szCs w:val="24"/>
          <w:highlight w:val="none"/>
        </w:rPr>
      </w:pPr>
    </w:p>
    <w:p w14:paraId="34CCA346">
      <w:pPr>
        <w:spacing w:line="400" w:lineRule="exact"/>
        <w:rPr>
          <w:rFonts w:ascii="宋体" w:hAnsi="宋体" w:cs="宋体"/>
          <w:sz w:val="24"/>
          <w:szCs w:val="24"/>
          <w:highlight w:val="none"/>
        </w:rPr>
      </w:pPr>
    </w:p>
    <w:p w14:paraId="1F1D69D1">
      <w:pPr>
        <w:spacing w:line="400" w:lineRule="exact"/>
        <w:rPr>
          <w:rFonts w:ascii="宋体" w:hAnsi="宋体" w:cs="宋体"/>
          <w:sz w:val="24"/>
          <w:szCs w:val="24"/>
          <w:highlight w:val="none"/>
        </w:rPr>
      </w:pPr>
    </w:p>
    <w:p w14:paraId="09A56AFD">
      <w:pPr>
        <w:spacing w:line="400" w:lineRule="exact"/>
        <w:rPr>
          <w:rFonts w:ascii="宋体" w:hAnsi="宋体" w:cs="宋体"/>
          <w:sz w:val="24"/>
          <w:szCs w:val="24"/>
          <w:highlight w:val="none"/>
        </w:rPr>
      </w:pPr>
      <w:r>
        <w:rPr>
          <w:rFonts w:hint="eastAsia" w:ascii="宋体" w:hAnsi="宋体" w:cs="宋体"/>
          <w:sz w:val="24"/>
          <w:szCs w:val="24"/>
          <w:highlight w:val="none"/>
        </w:rPr>
        <w:t>承包人：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（承包人）</w:t>
      </w:r>
    </w:p>
    <w:p w14:paraId="54D33B51">
      <w:pPr>
        <w:spacing w:line="400" w:lineRule="exact"/>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p>
    <w:p w14:paraId="61C758E7">
      <w:pPr>
        <w:spacing w:line="400" w:lineRule="exact"/>
        <w:rPr>
          <w:rFonts w:ascii="宋体" w:hAnsi="宋体" w:cs="宋体"/>
          <w:sz w:val="24"/>
          <w:szCs w:val="24"/>
          <w:highlight w:val="none"/>
        </w:rPr>
      </w:pPr>
      <w:r>
        <w:rPr>
          <w:rFonts w:hint="eastAsia" w:ascii="宋体" w:hAnsi="宋体" w:cs="宋体"/>
          <w:sz w:val="24"/>
          <w:szCs w:val="24"/>
          <w:highlight w:val="none"/>
        </w:rPr>
        <w:t>或委托代理人：</w:t>
      </w:r>
      <w:r>
        <w:rPr>
          <w:rFonts w:hint="eastAsia" w:ascii="宋体" w:hAnsi="宋体" w:cs="宋体"/>
          <w:sz w:val="24"/>
          <w:szCs w:val="24"/>
          <w:highlight w:val="none"/>
          <w:u w:val="single"/>
        </w:rPr>
        <w:t xml:space="preserve">       </w:t>
      </w:r>
    </w:p>
    <w:p w14:paraId="4F1FB93D">
      <w:pPr>
        <w:spacing w:line="400" w:lineRule="exact"/>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u w:val="single"/>
        </w:rPr>
        <w:t xml:space="preserve">       </w:t>
      </w:r>
    </w:p>
    <w:p w14:paraId="1F30A059">
      <w:pPr>
        <w:snapToGrid w:val="0"/>
        <w:spacing w:line="400" w:lineRule="exact"/>
        <w:ind w:firstLine="560"/>
        <w:rPr>
          <w:rFonts w:ascii="宋体" w:hAnsi="宋体" w:cs="宋体"/>
          <w:sz w:val="24"/>
          <w:szCs w:val="24"/>
          <w:highlight w:val="none"/>
        </w:rPr>
      </w:pPr>
    </w:p>
    <w:p w14:paraId="2ADADE22">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保障农民工工资支付协议附件1：</w:t>
      </w:r>
    </w:p>
    <w:p w14:paraId="573B656F">
      <w:pPr>
        <w:widowControl/>
        <w:snapToGrid w:val="0"/>
        <w:spacing w:line="400" w:lineRule="exact"/>
        <w:jc w:val="center"/>
        <w:rPr>
          <w:rFonts w:ascii="宋体" w:hAnsi="宋体" w:cs="宋体"/>
          <w:sz w:val="24"/>
          <w:szCs w:val="24"/>
          <w:highlight w:val="none"/>
        </w:rPr>
      </w:pPr>
      <w:r>
        <w:rPr>
          <w:rFonts w:hint="eastAsia" w:ascii="宋体" w:hAnsi="宋体" w:cs="宋体"/>
          <w:sz w:val="24"/>
          <w:szCs w:val="24"/>
          <w:highlight w:val="none"/>
        </w:rPr>
        <w:t>关于农民工工资发放情况的说明表</w:t>
      </w:r>
    </w:p>
    <w:tbl>
      <w:tblPr>
        <w:tblStyle w:val="34"/>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5B27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noWrap w:val="0"/>
            <w:vAlign w:val="top"/>
          </w:tcPr>
          <w:p w14:paraId="50F5D66B">
            <w:pPr>
              <w:widowControl/>
              <w:snapToGrid w:val="0"/>
              <w:spacing w:line="400" w:lineRule="exact"/>
              <w:jc w:val="left"/>
              <w:rPr>
                <w:rFonts w:ascii="宋体" w:hAnsi="宋体" w:cs="宋体"/>
                <w:kern w:val="0"/>
                <w:sz w:val="24"/>
                <w:szCs w:val="24"/>
                <w:highlight w:val="none"/>
              </w:rPr>
            </w:pPr>
            <w:r>
              <w:rPr>
                <w:rFonts w:hint="eastAsia" w:ascii="宋体" w:hAnsi="宋体" w:cs="宋体"/>
                <w:kern w:val="0"/>
                <w:sz w:val="24"/>
                <w:szCs w:val="24"/>
                <w:highlight w:val="none"/>
              </w:rPr>
              <w:t>工程名称：</w:t>
            </w:r>
          </w:p>
        </w:tc>
      </w:tr>
      <w:tr w14:paraId="7617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noWrap w:val="0"/>
            <w:vAlign w:val="top"/>
          </w:tcPr>
          <w:p w14:paraId="47CFBBDF">
            <w:pPr>
              <w:widowControl/>
              <w:snapToGrid w:val="0"/>
              <w:spacing w:line="400" w:lineRule="exact"/>
              <w:rPr>
                <w:rFonts w:ascii="宋体" w:hAnsi="宋体" w:cs="宋体"/>
                <w:kern w:val="0"/>
                <w:sz w:val="24"/>
                <w:szCs w:val="24"/>
                <w:highlight w:val="none"/>
              </w:rPr>
            </w:pPr>
            <w:r>
              <w:rPr>
                <w:rFonts w:hint="eastAsia" w:ascii="宋体" w:hAnsi="宋体" w:cs="宋体"/>
                <w:kern w:val="0"/>
                <w:sz w:val="24"/>
                <w:szCs w:val="24"/>
                <w:highlight w:val="none"/>
              </w:rPr>
              <w:t>施工单位：</w:t>
            </w:r>
          </w:p>
        </w:tc>
        <w:tc>
          <w:tcPr>
            <w:tcW w:w="6201" w:type="dxa"/>
            <w:noWrap w:val="0"/>
            <w:vAlign w:val="top"/>
          </w:tcPr>
          <w:p w14:paraId="791C5D59">
            <w:pPr>
              <w:widowControl/>
              <w:snapToGrid w:val="0"/>
              <w:spacing w:line="400" w:lineRule="exact"/>
              <w:rPr>
                <w:rFonts w:ascii="宋体" w:hAnsi="宋体" w:cs="宋体"/>
                <w:kern w:val="0"/>
                <w:sz w:val="24"/>
                <w:szCs w:val="24"/>
                <w:highlight w:val="none"/>
              </w:rPr>
            </w:pPr>
          </w:p>
        </w:tc>
      </w:tr>
      <w:tr w14:paraId="4EE4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noWrap w:val="0"/>
            <w:vAlign w:val="top"/>
          </w:tcPr>
          <w:p w14:paraId="27F0FF49">
            <w:pPr>
              <w:widowControl/>
              <w:snapToGrid w:val="0"/>
              <w:spacing w:line="400" w:lineRule="exact"/>
              <w:rPr>
                <w:rFonts w:ascii="宋体" w:hAnsi="宋体" w:cs="宋体"/>
                <w:kern w:val="0"/>
                <w:sz w:val="24"/>
                <w:szCs w:val="24"/>
                <w:highlight w:val="none"/>
                <w:u w:val="single"/>
              </w:rPr>
            </w:pPr>
          </w:p>
          <w:p w14:paraId="703848E0">
            <w:pPr>
              <w:widowControl/>
              <w:snapToGrid w:val="0"/>
              <w:spacing w:line="400" w:lineRule="exact"/>
              <w:rPr>
                <w:rFonts w:ascii="宋体" w:hAnsi="宋体" w:cs="宋体"/>
                <w:kern w:val="0"/>
                <w:sz w:val="24"/>
                <w:szCs w:val="24"/>
                <w:highlight w:val="none"/>
              </w:rPr>
            </w:pPr>
            <w:r>
              <w:rPr>
                <w:rFonts w:hint="eastAsia" w:ascii="宋体" w:hAnsi="宋体" w:cs="宋体"/>
                <w:kern w:val="0"/>
                <w:sz w:val="24"/>
                <w:szCs w:val="24"/>
                <w:highlight w:val="none"/>
              </w:rPr>
              <w:t>（项目业主单位名称）：</w:t>
            </w:r>
          </w:p>
          <w:p w14:paraId="432450D0">
            <w:pPr>
              <w:widowControl/>
              <w:snapToGrid w:val="0"/>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我单位负责承建的（工程名称）无拖欠农民工资的情况，贵单位先期支付我单位的工程款已优先用于支付了农民工工资，农民工工资全部按时足额进行了发放，请贵单位予以审核。</w:t>
            </w:r>
          </w:p>
          <w:p w14:paraId="4F08D9BC">
            <w:pPr>
              <w:pStyle w:val="2"/>
              <w:spacing w:line="400" w:lineRule="exact"/>
              <w:rPr>
                <w:rFonts w:ascii="宋体" w:hAnsi="宋体" w:eastAsia="宋体" w:cs="宋体"/>
                <w:sz w:val="24"/>
                <w:szCs w:val="24"/>
                <w:highlight w:val="none"/>
              </w:rPr>
            </w:pPr>
          </w:p>
          <w:p w14:paraId="29B3F8A2">
            <w:pPr>
              <w:widowControl/>
              <w:snapToGrid w:val="0"/>
              <w:spacing w:line="400" w:lineRule="exact"/>
              <w:ind w:firstLine="1440" w:firstLineChars="600"/>
              <w:rPr>
                <w:rFonts w:ascii="宋体" w:hAnsi="宋体" w:cs="宋体"/>
                <w:kern w:val="0"/>
                <w:sz w:val="24"/>
                <w:szCs w:val="24"/>
                <w:highlight w:val="none"/>
                <w:u w:val="single"/>
              </w:rPr>
            </w:pPr>
            <w:r>
              <w:rPr>
                <w:rFonts w:hint="eastAsia" w:ascii="宋体" w:hAnsi="宋体" w:cs="宋体"/>
                <w:kern w:val="0"/>
                <w:sz w:val="24"/>
                <w:szCs w:val="24"/>
                <w:highlight w:val="none"/>
              </w:rPr>
              <w:t>施工单位项目负责人签名（加盖项目章）：</w:t>
            </w:r>
            <w:r>
              <w:rPr>
                <w:rFonts w:hint="eastAsia" w:ascii="宋体" w:hAnsi="宋体" w:cs="宋体"/>
                <w:kern w:val="0"/>
                <w:sz w:val="24"/>
                <w:szCs w:val="24"/>
                <w:highlight w:val="none"/>
                <w:u w:val="single"/>
              </w:rPr>
              <w:t xml:space="preserve">        </w:t>
            </w:r>
          </w:p>
        </w:tc>
      </w:tr>
      <w:tr w14:paraId="7319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noWrap w:val="0"/>
            <w:vAlign w:val="center"/>
          </w:tcPr>
          <w:p w14:paraId="0A952DC7">
            <w:pPr>
              <w:widowControl/>
              <w:snapToGrid w:val="0"/>
              <w:spacing w:line="400" w:lineRule="exact"/>
              <w:jc w:val="center"/>
              <w:rPr>
                <w:rFonts w:ascii="宋体" w:hAnsi="宋体" w:cs="宋体"/>
                <w:kern w:val="0"/>
                <w:sz w:val="24"/>
                <w:szCs w:val="24"/>
                <w:highlight w:val="none"/>
              </w:rPr>
            </w:pPr>
            <w:r>
              <w:rPr>
                <w:rFonts w:hint="eastAsia" w:ascii="宋体" w:hAnsi="宋体" w:cs="宋体"/>
                <w:kern w:val="0"/>
                <w:sz w:val="24"/>
                <w:szCs w:val="24"/>
                <w:highlight w:val="none"/>
              </w:rPr>
              <w:t>工程部项目负责人意见：</w:t>
            </w:r>
          </w:p>
        </w:tc>
        <w:tc>
          <w:tcPr>
            <w:tcW w:w="6201" w:type="dxa"/>
            <w:noWrap w:val="0"/>
            <w:vAlign w:val="top"/>
          </w:tcPr>
          <w:p w14:paraId="7716001E">
            <w:pPr>
              <w:widowControl/>
              <w:snapToGrid w:val="0"/>
              <w:spacing w:line="400" w:lineRule="exact"/>
              <w:rPr>
                <w:rFonts w:ascii="宋体" w:hAnsi="宋体" w:cs="宋体"/>
                <w:kern w:val="0"/>
                <w:sz w:val="24"/>
                <w:szCs w:val="24"/>
                <w:highlight w:val="none"/>
                <w:u w:val="single"/>
              </w:rPr>
            </w:pPr>
          </w:p>
          <w:p w14:paraId="02CDD797">
            <w:pPr>
              <w:widowControl/>
              <w:snapToGrid w:val="0"/>
              <w:spacing w:line="400" w:lineRule="exact"/>
              <w:rPr>
                <w:rFonts w:ascii="宋体" w:hAnsi="宋体" w:cs="宋体"/>
                <w:kern w:val="0"/>
                <w:sz w:val="24"/>
                <w:szCs w:val="24"/>
                <w:highlight w:val="none"/>
                <w:u w:val="single"/>
              </w:rPr>
            </w:pPr>
            <w:r>
              <w:rPr>
                <w:rFonts w:hint="eastAsia" w:ascii="宋体" w:hAnsi="宋体" w:cs="宋体"/>
                <w:kern w:val="0"/>
                <w:sz w:val="24"/>
                <w:szCs w:val="24"/>
                <w:highlight w:val="none"/>
              </w:rPr>
              <w:t xml:space="preserve">                   项目负责人签名：</w:t>
            </w:r>
            <w:r>
              <w:rPr>
                <w:rFonts w:hint="eastAsia" w:ascii="宋体" w:hAnsi="宋体" w:cs="宋体"/>
                <w:kern w:val="0"/>
                <w:sz w:val="24"/>
                <w:szCs w:val="24"/>
                <w:highlight w:val="none"/>
                <w:u w:val="single"/>
              </w:rPr>
              <w:t xml:space="preserve">        </w:t>
            </w:r>
          </w:p>
        </w:tc>
      </w:tr>
    </w:tbl>
    <w:p w14:paraId="5DE73616">
      <w:pPr>
        <w:spacing w:line="400" w:lineRule="exact"/>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sz w:val="24"/>
          <w:szCs w:val="24"/>
          <w:highlight w:val="none"/>
        </w:rPr>
        <w:t>附件11：质量保证金保函（如有）</w:t>
      </w:r>
    </w:p>
    <w:p w14:paraId="77C153E8">
      <w:pPr>
        <w:spacing w:line="400" w:lineRule="exact"/>
        <w:jc w:val="center"/>
        <w:rPr>
          <w:rFonts w:ascii="宋体" w:hAnsi="宋体" w:cs="宋体"/>
          <w:sz w:val="24"/>
          <w:szCs w:val="24"/>
          <w:highlight w:val="none"/>
        </w:rPr>
      </w:pPr>
    </w:p>
    <w:p w14:paraId="0FFDCD49">
      <w:pPr>
        <w:spacing w:line="400" w:lineRule="exact"/>
        <w:jc w:val="center"/>
        <w:rPr>
          <w:rFonts w:ascii="宋体" w:hAnsi="宋体" w:cs="宋体"/>
          <w:sz w:val="24"/>
          <w:szCs w:val="24"/>
          <w:highlight w:val="none"/>
        </w:rPr>
      </w:pPr>
      <w:r>
        <w:rPr>
          <w:rFonts w:hint="eastAsia" w:ascii="宋体" w:hAnsi="宋体" w:cs="宋体"/>
          <w:sz w:val="24"/>
          <w:szCs w:val="24"/>
          <w:highlight w:val="none"/>
        </w:rPr>
        <w:t>工程质量保函示范文本</w:t>
      </w:r>
    </w:p>
    <w:p w14:paraId="5940E6FF">
      <w:pPr>
        <w:spacing w:line="400" w:lineRule="exact"/>
        <w:jc w:val="right"/>
        <w:rPr>
          <w:rFonts w:ascii="宋体" w:hAnsi="宋体" w:cs="宋体"/>
          <w:sz w:val="24"/>
          <w:szCs w:val="24"/>
          <w:highlight w:val="none"/>
        </w:rPr>
      </w:pPr>
      <w:r>
        <w:rPr>
          <w:rFonts w:hint="eastAsia" w:ascii="宋体" w:hAnsi="宋体" w:cs="宋体"/>
          <w:sz w:val="24"/>
          <w:szCs w:val="24"/>
          <w:highlight w:val="none"/>
        </w:rPr>
        <w:t xml:space="preserve">        </w:t>
      </w:r>
    </w:p>
    <w:p w14:paraId="3CC4B5E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申请人：</w:t>
      </w:r>
    </w:p>
    <w:p w14:paraId="71314FA8">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p>
    <w:p w14:paraId="1E041222">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受益人：</w:t>
      </w:r>
    </w:p>
    <w:p w14:paraId="17D1E7AD">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p>
    <w:p w14:paraId="07398B7A">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开立人：</w:t>
      </w:r>
    </w:p>
    <w:p w14:paraId="58B785F7">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p>
    <w:p w14:paraId="2D862FB9">
      <w:pPr>
        <w:spacing w:line="400" w:lineRule="exact"/>
        <w:rPr>
          <w:rFonts w:ascii="宋体" w:hAnsi="宋体" w:cs="宋体"/>
          <w:sz w:val="24"/>
          <w:szCs w:val="24"/>
          <w:highlight w:val="none"/>
        </w:rPr>
      </w:pPr>
    </w:p>
    <w:p w14:paraId="4EB98DBD">
      <w:pPr>
        <w:spacing w:line="400" w:lineRule="exact"/>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（受益人名称）： </w:t>
      </w:r>
    </w:p>
    <w:p w14:paraId="293748EC">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鉴于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（以下简称“受益人”）与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（以下简称“申请人”）于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日就</w:t>
      </w:r>
      <w:r>
        <w:rPr>
          <w:rFonts w:hint="eastAsia" w:ascii="宋体" w:hAnsi="宋体" w:cs="宋体"/>
          <w:sz w:val="24"/>
          <w:szCs w:val="24"/>
          <w:highlight w:val="none"/>
          <w:u w:val="single"/>
        </w:rPr>
        <w:t xml:space="preserve">           </w:t>
      </w:r>
      <w:r>
        <w:rPr>
          <w:rFonts w:hint="eastAsia" w:ascii="宋体" w:hAnsi="宋体" w:cs="宋体"/>
          <w:sz w:val="24"/>
          <w:szCs w:val="24"/>
          <w:highlight w:val="none"/>
        </w:rPr>
        <w:t>工程（以下简称“本工程”）施工和有关事项协商一致共同签订</w:t>
      </w:r>
      <w:r>
        <w:rPr>
          <w:rFonts w:hint="eastAsia" w:ascii="宋体" w:hAnsi="宋体" w:cs="宋体"/>
          <w:sz w:val="24"/>
          <w:szCs w:val="24"/>
          <w:highlight w:val="none"/>
          <w:u w:val="single"/>
        </w:rPr>
        <w:t>《         》</w:t>
      </w:r>
      <w:r>
        <w:rPr>
          <w:rFonts w:hint="eastAsia" w:ascii="宋体" w:hAnsi="宋体" w:cs="宋体"/>
          <w:sz w:val="24"/>
          <w:szCs w:val="24"/>
          <w:highlight w:val="none"/>
        </w:rPr>
        <w:t>（合同名称）合同编号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71CE5CCC">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一、本保函担保范围：承包人未按照合同约定履行工程缺陷责任期内的保修义务，应当向贵方承担的违约责任和赔偿因此造成的损失、利息、律师费、诉讼费用等实现债权的费用。</w:t>
      </w:r>
    </w:p>
    <w:p w14:paraId="27EAFB1B">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二、本保函担保金额最高不超过人民币（大写）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39ACA39A">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三、本保函有效期（保证期间）为以下第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种：</w:t>
      </w:r>
    </w:p>
    <w:p w14:paraId="6F0A5C0B">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（1）本保函有效期至</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25CA695D">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C11A7C5">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四、我方承诺，在收到受益人发来的书面索赔通知和本保函原件后的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个工作日内无条件支付至受益人指定账户，前述书面索赔通知即为付款要求之单据，且应满足以下要求：</w:t>
      </w:r>
    </w:p>
    <w:p w14:paraId="51919BED">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（1）索赔通知到达的日期在本保函的有效期内；</w:t>
      </w:r>
    </w:p>
    <w:p w14:paraId="0F3E63C7">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（2）载明要求支付的金额；</w:t>
      </w:r>
    </w:p>
    <w:p w14:paraId="44FE4EF1">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（3）载明申请人违反合同义务的条款和内容；</w:t>
      </w:r>
    </w:p>
    <w:p w14:paraId="0166287B">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（4）声明不存在合同文件约定或我国法律规定免除申请人或开立人支付责任的情形；</w:t>
      </w:r>
    </w:p>
    <w:p w14:paraId="5EF98E65">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（5）索赔通知应在本保函有效期内到达的地址是：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63C5B99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受益人发出的书面索赔通知应由其为鉴明受益人法定代表人（负责人）或授权代理人签名或盖个人名章并加盖公章。</w:t>
      </w:r>
    </w:p>
    <w:p w14:paraId="520849EC">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五、本保函项下的权利不得转让，不得设定担保。贵方未经我方书面同意转让本保函或其项下任何权利，对我方不发生法律效力。</w:t>
      </w:r>
    </w:p>
    <w:p w14:paraId="1B149B29">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六、与本保函有关的合同不成立、不生效、无效、被撤销、被解除，不影响本保函的独立有效。 </w:t>
      </w:r>
    </w:p>
    <w:p w14:paraId="3A03F83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74F51C73">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八、本保函适用的法律为中华人民共和国法律，争议裁判管辖地为中华人民共和国</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570DF1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九、本保函自我方法定代表人或授权代表签名或盖个人名章并加盖公章或合同专用章之日起生效。</w:t>
      </w:r>
    </w:p>
    <w:p w14:paraId="49D17D0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十、本保函在重庆市辖区范围内的核验地点：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；核验方式：</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9D965CF">
      <w:pPr>
        <w:spacing w:line="400" w:lineRule="exact"/>
        <w:ind w:firstLine="480" w:firstLineChars="200"/>
        <w:rPr>
          <w:rFonts w:ascii="宋体" w:hAnsi="宋体" w:cs="宋体"/>
          <w:sz w:val="24"/>
          <w:szCs w:val="24"/>
          <w:highlight w:val="none"/>
        </w:rPr>
      </w:pPr>
    </w:p>
    <w:p w14:paraId="75A4B74C">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开 立 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（公章）</w:t>
      </w:r>
    </w:p>
    <w:p w14:paraId="5B065A2E">
      <w:pPr>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法定代表人（或授权代表）：</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（签名或盖个人名章）</w:t>
      </w:r>
    </w:p>
    <w:p w14:paraId="63D81A13">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6E640347">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邮政编码：</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73E5C12D">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058007">
      <w:pPr>
        <w:overflowPunct w:val="0"/>
        <w:spacing w:line="400" w:lineRule="exact"/>
        <w:ind w:firstLine="480" w:firstLineChars="200"/>
        <w:rPr>
          <w:rFonts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CA42070">
      <w:pPr>
        <w:tabs>
          <w:tab w:val="left" w:pos="9000"/>
        </w:tabs>
        <w:spacing w:line="276" w:lineRule="auto"/>
        <w:jc w:val="center"/>
      </w:pPr>
      <w:r>
        <w:rPr>
          <w:rFonts w:hint="eastAsia" w:ascii="宋体" w:hAnsi="宋体" w:cs="宋体"/>
          <w:sz w:val="24"/>
          <w:szCs w:val="24"/>
          <w:highlight w:val="none"/>
        </w:rPr>
        <w:t>开立时间：    年    月    日</w:t>
      </w:r>
    </w:p>
    <w:p w14:paraId="6C82A75F">
      <w:pPr>
        <w:rPr>
          <w:rFonts w:ascii="宋体" w:hAnsi="宋体" w:cs="宋体"/>
          <w:color w:val="auto"/>
        </w:rPr>
      </w:pPr>
    </w:p>
    <w:p w14:paraId="35B3F3B1">
      <w:pPr>
        <w:rPr>
          <w:rFonts w:ascii="宋体" w:hAnsi="宋体" w:cs="宋体"/>
          <w:color w:val="auto"/>
        </w:rPr>
      </w:pPr>
    </w:p>
    <w:p w14:paraId="60FAD2A4">
      <w:pPr>
        <w:pStyle w:val="5"/>
        <w:spacing w:before="0" w:after="0" w:line="360" w:lineRule="auto"/>
        <w:jc w:val="center"/>
        <w:rPr>
          <w:rFonts w:ascii="宋体" w:hAnsi="宋体" w:cs="宋体"/>
          <w:b/>
          <w:color w:val="auto"/>
          <w:sz w:val="36"/>
          <w:szCs w:val="30"/>
        </w:rPr>
      </w:pPr>
      <w:r>
        <w:rPr>
          <w:rFonts w:hint="eastAsia" w:ascii="宋体" w:hAnsi="宋体" w:cs="宋体"/>
          <w:color w:val="auto"/>
          <w:sz w:val="21"/>
          <w:szCs w:val="24"/>
        </w:rPr>
        <w:br w:type="page"/>
      </w:r>
      <w:bookmarkStart w:id="1128" w:name="_Hlt41879464"/>
      <w:bookmarkEnd w:id="1128"/>
      <w:bookmarkStart w:id="1129" w:name="_Toc22380"/>
      <w:bookmarkStart w:id="1130" w:name="_Toc9538"/>
      <w:bookmarkStart w:id="1131" w:name="_Toc6968"/>
      <w:bookmarkStart w:id="1132" w:name="_Toc12789072"/>
      <w:bookmarkStart w:id="1133" w:name="_Toc65660378"/>
      <w:r>
        <w:rPr>
          <w:rFonts w:hint="eastAsia" w:ascii="宋体" w:hAnsi="宋体" w:eastAsia="宋体" w:cs="宋体"/>
          <w:color w:val="auto"/>
          <w:sz w:val="36"/>
          <w:szCs w:val="36"/>
        </w:rPr>
        <w:t>第七篇  响应文件格式要求</w:t>
      </w:r>
      <w:bookmarkEnd w:id="1129"/>
      <w:bookmarkEnd w:id="1130"/>
      <w:bookmarkEnd w:id="1131"/>
      <w:bookmarkEnd w:id="1132"/>
      <w:bookmarkEnd w:id="1133"/>
    </w:p>
    <w:p w14:paraId="70F6BE7C">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75053D6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7D79567B">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（二）明细报价表</w:t>
      </w:r>
    </w:p>
    <w:p w14:paraId="5AC9E49E">
      <w:pPr>
        <w:spacing w:line="24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低价风险担保缴纳承诺书</w:t>
      </w:r>
    </w:p>
    <w:p w14:paraId="03501423">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二、技术（质量）部分</w:t>
      </w:r>
    </w:p>
    <w:p w14:paraId="0968C40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54ECE318">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（二）项目部组建承诺</w:t>
      </w:r>
    </w:p>
    <w:p w14:paraId="2AD005B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）其他资料（格式自定）</w:t>
      </w:r>
    </w:p>
    <w:p w14:paraId="70D48BF5">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33711C2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26A37449">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（二）其它优惠服务承诺（格式自定）</w:t>
      </w:r>
    </w:p>
    <w:p w14:paraId="62973DC0">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四、资格条件及其他</w:t>
      </w:r>
    </w:p>
    <w:p w14:paraId="7CC22236">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w:t>
      </w:r>
    </w:p>
    <w:p w14:paraId="0B043B3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（二）法定代表人身份证明书（格式）</w:t>
      </w:r>
    </w:p>
    <w:p w14:paraId="7C22090E">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（三）法定代表人授权委托书（格式）</w:t>
      </w:r>
    </w:p>
    <w:p w14:paraId="34D958B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（四）基本资格条件承诺函（格式）</w:t>
      </w:r>
    </w:p>
    <w:p w14:paraId="2A6F3A67">
      <w:pPr>
        <w:spacing w:line="400" w:lineRule="exact"/>
        <w:ind w:firstLine="482" w:firstLineChars="200"/>
        <w:rPr>
          <w:rFonts w:ascii="宋体" w:hAnsi="宋体" w:cs="宋体"/>
          <w:b/>
          <w:color w:val="auto"/>
          <w:sz w:val="24"/>
          <w:szCs w:val="24"/>
        </w:rPr>
      </w:pPr>
      <w:r>
        <w:rPr>
          <w:rFonts w:hint="eastAsia" w:ascii="宋体" w:hAnsi="宋体" w:cs="宋体"/>
          <w:b/>
          <w:color w:val="auto"/>
          <w:sz w:val="24"/>
          <w:szCs w:val="24"/>
        </w:rPr>
        <w:t>五、其他资料</w:t>
      </w:r>
    </w:p>
    <w:p w14:paraId="5296711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w:t>
      </w:r>
    </w:p>
    <w:p w14:paraId="2E717117">
      <w:pPr>
        <w:snapToGrid w:val="0"/>
        <w:spacing w:line="360" w:lineRule="auto"/>
        <w:rPr>
          <w:color w:val="auto"/>
        </w:rPr>
        <w:sectPr>
          <w:headerReference r:id="rId13" w:type="default"/>
          <w:footerReference r:id="rId14" w:type="default"/>
          <w:pgSz w:w="11907" w:h="16840"/>
          <w:pgMar w:top="1440" w:right="1080" w:bottom="1440" w:left="1080" w:header="1134" w:footer="992" w:gutter="0"/>
          <w:pgNumType w:fmt="numberInDash"/>
          <w:cols w:space="720" w:num="1"/>
          <w:docGrid w:linePitch="380" w:charSpace="-5735"/>
        </w:sectPr>
      </w:pPr>
    </w:p>
    <w:p w14:paraId="2A158A60">
      <w:pPr>
        <w:pStyle w:val="5"/>
        <w:adjustRightInd w:val="0"/>
        <w:snapToGrid w:val="0"/>
        <w:spacing w:before="0" w:after="0" w:line="400" w:lineRule="exact"/>
        <w:ind w:firstLine="482" w:firstLineChars="200"/>
        <w:rPr>
          <w:rFonts w:ascii="宋体" w:hAnsi="宋体" w:eastAsia="宋体" w:cs="宋体"/>
          <w:color w:val="auto"/>
          <w:sz w:val="24"/>
        </w:rPr>
      </w:pPr>
      <w:bookmarkStart w:id="1134" w:name="_Toc313008356"/>
      <w:bookmarkStart w:id="1135" w:name="_Toc313888360"/>
      <w:bookmarkStart w:id="1136" w:name="_Toc12789073"/>
      <w:bookmarkStart w:id="1137" w:name="_Toc12673"/>
      <w:bookmarkStart w:id="1138" w:name="_Toc65660379"/>
      <w:bookmarkStart w:id="1139" w:name="_Toc3633"/>
      <w:bookmarkStart w:id="1140" w:name="_Toc342913419"/>
      <w:bookmarkStart w:id="1141" w:name="_Toc26343"/>
      <w:bookmarkStart w:id="1142" w:name="_Toc14244"/>
      <w:bookmarkStart w:id="1143" w:name="_Toc283382454"/>
      <w:r>
        <w:rPr>
          <w:rFonts w:hint="eastAsia" w:ascii="宋体" w:hAnsi="宋体" w:eastAsia="宋体" w:cs="宋体"/>
          <w:color w:val="auto"/>
          <w:sz w:val="24"/>
        </w:rPr>
        <w:t>一、经济部分</w:t>
      </w:r>
      <w:bookmarkEnd w:id="1134"/>
      <w:bookmarkEnd w:id="1135"/>
      <w:bookmarkEnd w:id="1136"/>
      <w:bookmarkEnd w:id="1137"/>
      <w:bookmarkEnd w:id="1138"/>
      <w:bookmarkEnd w:id="1139"/>
      <w:bookmarkEnd w:id="1140"/>
      <w:bookmarkEnd w:id="1141"/>
      <w:bookmarkEnd w:id="1142"/>
      <w:bookmarkEnd w:id="1143"/>
    </w:p>
    <w:p w14:paraId="27958A3D">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（一）竞争性报价函</w:t>
      </w:r>
    </w:p>
    <w:p w14:paraId="67EED588">
      <w:pPr>
        <w:tabs>
          <w:tab w:val="left" w:pos="6300"/>
        </w:tabs>
        <w:snapToGrid w:val="0"/>
        <w:spacing w:line="312" w:lineRule="auto"/>
        <w:jc w:val="center"/>
        <w:rPr>
          <w:rFonts w:ascii="宋体" w:hAnsi="宋体" w:cs="宋体"/>
          <w:b/>
          <w:color w:val="auto"/>
          <w:szCs w:val="28"/>
        </w:rPr>
      </w:pPr>
      <w:r>
        <w:rPr>
          <w:rFonts w:hint="eastAsia" w:ascii="宋体" w:hAnsi="宋体" w:cs="宋体"/>
          <w:b/>
          <w:color w:val="auto"/>
          <w:szCs w:val="28"/>
        </w:rPr>
        <w:t>竞争性报价函</w:t>
      </w:r>
    </w:p>
    <w:p w14:paraId="276F0C68">
      <w:pPr>
        <w:tabs>
          <w:tab w:val="left" w:pos="6300"/>
        </w:tabs>
        <w:snapToGrid w:val="0"/>
        <w:spacing w:line="312" w:lineRule="auto"/>
        <w:rPr>
          <w:rFonts w:ascii="宋体" w:hAnsi="宋体" w:cs="宋体"/>
          <w:color w:val="auto"/>
          <w:sz w:val="24"/>
          <w:szCs w:val="24"/>
        </w:rPr>
      </w:pPr>
      <w:r>
        <w:rPr>
          <w:rFonts w:hint="eastAsia" w:ascii="宋体" w:hAnsi="宋体" w:cs="宋体"/>
          <w:color w:val="auto"/>
          <w:sz w:val="24"/>
          <w:szCs w:val="24"/>
          <w:u w:val="single"/>
        </w:rPr>
        <w:t>（采购代理机构名称）</w:t>
      </w:r>
      <w:r>
        <w:rPr>
          <w:rFonts w:hint="eastAsia" w:ascii="宋体" w:hAnsi="宋体" w:cs="宋体"/>
          <w:color w:val="auto"/>
          <w:sz w:val="24"/>
          <w:szCs w:val="24"/>
        </w:rPr>
        <w:t>：</w:t>
      </w:r>
    </w:p>
    <w:p w14:paraId="4A6C82F3">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我方收到____________________________（谈判项目名称）的竞争性谈判文件，经详细研究，决定参加该谈判项目的竞争谈判。</w:t>
      </w:r>
    </w:p>
    <w:p w14:paraId="57F5C88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1.愿意按照竞争性谈判文件中的一切要求，提供本项目的交货及技术服务，项目初始报价（总价）为人民币大写：</w:t>
      </w:r>
      <w:r>
        <w:rPr>
          <w:rFonts w:hint="eastAsia" w:ascii="宋体" w:hAnsi="宋体" w:cs="宋体"/>
          <w:color w:val="auto"/>
          <w:sz w:val="24"/>
          <w:szCs w:val="24"/>
          <w:u w:val="single"/>
        </w:rPr>
        <w:t xml:space="preserve">            </w:t>
      </w:r>
      <w:r>
        <w:rPr>
          <w:rFonts w:hint="eastAsia" w:ascii="宋体" w:hAnsi="宋体" w:cs="宋体"/>
          <w:color w:val="auto"/>
          <w:sz w:val="24"/>
          <w:szCs w:val="24"/>
        </w:rPr>
        <w:t>；人民币小写：</w:t>
      </w:r>
      <w:r>
        <w:rPr>
          <w:rFonts w:hint="eastAsia" w:ascii="宋体" w:hAnsi="宋体" w:cs="宋体"/>
          <w:color w:val="auto"/>
          <w:sz w:val="24"/>
          <w:szCs w:val="24"/>
          <w:u w:val="single"/>
        </w:rPr>
        <w:t xml:space="preserve">          </w:t>
      </w:r>
      <w:r>
        <w:rPr>
          <w:rFonts w:hint="eastAsia" w:ascii="宋体" w:hAnsi="宋体" w:cs="宋体"/>
          <w:color w:val="auto"/>
          <w:sz w:val="24"/>
          <w:szCs w:val="24"/>
        </w:rPr>
        <w:t>。其中安全文明施工费</w:t>
      </w:r>
      <w:r>
        <w:rPr>
          <w:rFonts w:hint="eastAsia" w:ascii="宋体" w:hAnsi="宋体" w:cs="宋体"/>
          <w:color w:val="auto"/>
          <w:sz w:val="24"/>
          <w:szCs w:val="24"/>
          <w:u w:val="single"/>
        </w:rPr>
        <w:t xml:space="preserve">      </w:t>
      </w:r>
      <w:r>
        <w:rPr>
          <w:rFonts w:hint="eastAsia" w:ascii="宋体" w:hAnsi="宋体" w:cs="宋体"/>
          <w:color w:val="auto"/>
          <w:sz w:val="24"/>
          <w:szCs w:val="24"/>
        </w:rPr>
        <w:t>元，以我公司最后报价为准。</w:t>
      </w:r>
    </w:p>
    <w:p w14:paraId="3C786B4C">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2.我方现提交的响应文件为：响应文件正本</w:t>
      </w:r>
      <w:r>
        <w:rPr>
          <w:rFonts w:hint="eastAsia" w:ascii="宋体" w:hAnsi="宋体" w:cs="宋体"/>
          <w:color w:val="auto"/>
          <w:sz w:val="24"/>
          <w:szCs w:val="24"/>
          <w:u w:val="single"/>
        </w:rPr>
        <w:t xml:space="preserve">   </w:t>
      </w:r>
      <w:r>
        <w:rPr>
          <w:rFonts w:hint="eastAsia" w:ascii="宋体" w:hAnsi="宋体" w:cs="宋体"/>
          <w:color w:val="auto"/>
          <w:sz w:val="24"/>
          <w:szCs w:val="24"/>
        </w:rPr>
        <w:t>份，副本</w:t>
      </w:r>
      <w:r>
        <w:rPr>
          <w:rFonts w:hint="eastAsia" w:ascii="宋体" w:hAnsi="宋体" w:cs="宋体"/>
          <w:color w:val="auto"/>
          <w:sz w:val="24"/>
          <w:szCs w:val="24"/>
          <w:u w:val="single"/>
        </w:rPr>
        <w:t xml:space="preserve">   </w:t>
      </w:r>
      <w:r>
        <w:rPr>
          <w:rFonts w:hint="eastAsia" w:ascii="宋体" w:hAnsi="宋体" w:cs="宋体"/>
          <w:color w:val="auto"/>
          <w:sz w:val="24"/>
          <w:szCs w:val="24"/>
        </w:rPr>
        <w:t>份，电子文档</w:t>
      </w:r>
      <w:r>
        <w:rPr>
          <w:rFonts w:hint="eastAsia" w:ascii="宋体" w:hAnsi="宋体" w:cs="宋体"/>
          <w:color w:val="auto"/>
          <w:sz w:val="24"/>
          <w:szCs w:val="24"/>
          <w:u w:val="single"/>
        </w:rPr>
        <w:t xml:space="preserve">   </w:t>
      </w:r>
      <w:r>
        <w:rPr>
          <w:rFonts w:hint="eastAsia" w:ascii="宋体" w:hAnsi="宋体" w:cs="宋体"/>
          <w:color w:val="auto"/>
          <w:sz w:val="24"/>
          <w:szCs w:val="24"/>
        </w:rPr>
        <w:t>份。</w:t>
      </w:r>
    </w:p>
    <w:p w14:paraId="5829F447">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3.我方承诺：本次谈判的有效期为提交响应文件截止时间起90天。</w:t>
      </w:r>
    </w:p>
    <w:p w14:paraId="48A363CE">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4.我方完全理解和接受贵方竞争性谈判文件的一切规定和要求及谈判评审办法。</w:t>
      </w:r>
    </w:p>
    <w:p w14:paraId="3D0A55D0">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5.在整个竞争性谈判过程中，我方若有违规行为，接受按照《中华人民共和国政府采购法》和《竞争性谈判文件》之规定给予惩罚。</w:t>
      </w:r>
    </w:p>
    <w:p w14:paraId="5F396FB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6.我方若成为成交供应商，将按照最终谈判结果签订合同，并且严格履行合同义务。本承诺函将成为合同不可分割的一部分，与合同具有同等的法律效力。</w:t>
      </w:r>
    </w:p>
    <w:p w14:paraId="6736A978">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7.我方同意按竞争性谈判文件规定，交纳竞争性谈判文件要求的保证金。如果我方成为成交供应商，保证在接到成交通知书后，向采购代理机构缴纳竞争性谈判文件规定的采购代理服务费。</w:t>
      </w:r>
    </w:p>
    <w:p w14:paraId="534E7A0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8.</w:t>
      </w:r>
      <w:r>
        <w:rPr>
          <w:rFonts w:hint="eastAsia" w:ascii="宋体" w:hAnsi="宋体" w:cs="宋体"/>
          <w:color w:val="auto"/>
          <w:sz w:val="24"/>
          <w:szCs w:val="28"/>
        </w:rPr>
        <w:t>我方未</w:t>
      </w:r>
      <w:r>
        <w:rPr>
          <w:rFonts w:hint="eastAsia" w:ascii="宋体" w:hAnsi="宋体" w:cs="宋体"/>
          <w:color w:val="auto"/>
          <w:sz w:val="24"/>
          <w:szCs w:val="24"/>
        </w:rPr>
        <w:t>为采购项目提供整体设计、规范编制或者项目管理、监理、检测等服务。</w:t>
      </w:r>
    </w:p>
    <w:p w14:paraId="2082BAB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供应商（公章）或自然人签署：</w:t>
      </w:r>
    </w:p>
    <w:p w14:paraId="361F50B6">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51C3FFBE">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34606438">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7A5CEF8E">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214F306F">
      <w:pPr>
        <w:snapToGrid w:val="0"/>
        <w:spacing w:line="312" w:lineRule="auto"/>
        <w:ind w:firstLine="480" w:firstLineChars="200"/>
        <w:rPr>
          <w:color w:val="auto"/>
        </w:rPr>
        <w:sectPr>
          <w:pgSz w:w="11907" w:h="16840"/>
          <w:pgMar w:top="1440" w:right="1080" w:bottom="1440" w:left="1080"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4FAB930F">
      <w:pPr>
        <w:spacing w:line="400" w:lineRule="exact"/>
        <w:ind w:firstLine="480" w:firstLineChars="200"/>
        <w:rPr>
          <w:rFonts w:hint="eastAsia" w:ascii="宋体" w:hAnsi="宋体" w:cs="宋体"/>
          <w:color w:val="auto"/>
          <w:sz w:val="24"/>
          <w:szCs w:val="24"/>
        </w:rPr>
      </w:pPr>
      <w:bookmarkStart w:id="1144" w:name="_Toc313008357"/>
      <w:bookmarkStart w:id="1145" w:name="_Toc342913420"/>
      <w:bookmarkStart w:id="1146" w:name="_Toc313888361"/>
      <w:bookmarkStart w:id="1147" w:name="_Toc22655"/>
      <w:bookmarkStart w:id="1148" w:name="_Toc14073"/>
      <w:bookmarkStart w:id="1149" w:name="_Toc65660380"/>
      <w:r>
        <w:rPr>
          <w:rFonts w:hint="eastAsia" w:ascii="宋体" w:hAnsi="宋体" w:cs="宋体"/>
          <w:color w:val="auto"/>
          <w:sz w:val="24"/>
          <w:szCs w:val="24"/>
        </w:rPr>
        <w:t>（二）已标价工程量清单。</w:t>
      </w:r>
    </w:p>
    <w:p w14:paraId="1EFF9093">
      <w:pPr>
        <w:snapToGrid w:val="0"/>
        <w:spacing w:line="500" w:lineRule="exact"/>
        <w:ind w:firstLine="480" w:firstLineChars="200"/>
        <w:rPr>
          <w:rFonts w:ascii="宋体" w:hAnsi="宋体" w:cs="宋体"/>
          <w:color w:val="auto"/>
          <w:sz w:val="24"/>
          <w:szCs w:val="28"/>
        </w:rPr>
      </w:pPr>
    </w:p>
    <w:p w14:paraId="3B1C7EF7">
      <w:pPr>
        <w:snapToGrid w:val="0"/>
        <w:spacing w:line="500" w:lineRule="exact"/>
        <w:ind w:firstLine="480" w:firstLineChars="200"/>
        <w:rPr>
          <w:rFonts w:ascii="宋体" w:hAnsi="宋体" w:cs="宋体"/>
          <w:color w:val="auto"/>
          <w:sz w:val="24"/>
          <w:szCs w:val="28"/>
        </w:rPr>
      </w:pPr>
      <w:r>
        <w:rPr>
          <w:rFonts w:hint="eastAsia" w:ascii="宋体" w:hAnsi="宋体" w:cs="宋体"/>
          <w:color w:val="auto"/>
          <w:sz w:val="24"/>
          <w:szCs w:val="28"/>
        </w:rPr>
        <w:t xml:space="preserve"> 注：如挂网工程量清单名称与竞争性谈判文件所示项目名称不一致，以竞争性谈判文件所示项目名称为准；      </w:t>
      </w:r>
    </w:p>
    <w:p w14:paraId="5FFD901D">
      <w:pPr>
        <w:pStyle w:val="25"/>
        <w:spacing w:line="360" w:lineRule="auto"/>
        <w:rPr>
          <w:rFonts w:ascii="宋体" w:hAnsi="宋体" w:cs="宋体"/>
          <w:color w:val="auto"/>
          <w:sz w:val="24"/>
          <w:szCs w:val="24"/>
        </w:rPr>
      </w:pPr>
      <w:r>
        <w:rPr>
          <w:rFonts w:hint="eastAsia" w:ascii="宋体" w:hAnsi="宋体" w:cs="宋体"/>
          <w:color w:val="auto"/>
          <w:sz w:val="24"/>
          <w:szCs w:val="24"/>
        </w:rPr>
        <w:t xml:space="preserve">            </w:t>
      </w:r>
    </w:p>
    <w:p w14:paraId="01EB1879">
      <w:pPr>
        <w:spacing w:line="360" w:lineRule="auto"/>
        <w:ind w:right="480" w:firstLine="6480" w:firstLineChars="2700"/>
        <w:rPr>
          <w:rFonts w:ascii="宋体" w:hAnsi="宋体" w:cs="宋体"/>
          <w:color w:val="auto"/>
          <w:sz w:val="24"/>
          <w:szCs w:val="24"/>
        </w:rPr>
      </w:pPr>
      <w:r>
        <w:rPr>
          <w:rFonts w:hint="eastAsia" w:ascii="宋体" w:hAnsi="宋体" w:cs="宋体"/>
          <w:color w:val="auto"/>
          <w:sz w:val="24"/>
          <w:szCs w:val="24"/>
        </w:rPr>
        <w:t xml:space="preserve">                                         </w:t>
      </w:r>
    </w:p>
    <w:p w14:paraId="0B677786">
      <w:pPr>
        <w:rPr>
          <w:rFonts w:ascii="宋体" w:hAnsi="宋体" w:cs="宋体"/>
          <w:color w:val="auto"/>
          <w:sz w:val="24"/>
          <w:szCs w:val="24"/>
        </w:rPr>
      </w:pPr>
      <w:r>
        <w:rPr>
          <w:rFonts w:ascii="宋体" w:hAnsi="宋体" w:cs="宋体"/>
          <w:color w:val="auto"/>
          <w:sz w:val="24"/>
          <w:szCs w:val="24"/>
        </w:rPr>
        <w:br w:type="page"/>
      </w:r>
    </w:p>
    <w:p w14:paraId="3A846BD2">
      <w:pPr>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sz w:val="24"/>
          <w:szCs w:val="24"/>
          <w:highlight w:val="none"/>
        </w:rPr>
      </w:pPr>
      <w:bookmarkStart w:id="1150" w:name="_Toc26847"/>
      <w:bookmarkStart w:id="1151" w:name="_Toc834"/>
      <w:bookmarkStart w:id="1152" w:name="_Toc12529"/>
      <w:bookmarkStart w:id="1153" w:name="_Toc19181"/>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低价风险担保缴纳承诺书</w:t>
      </w:r>
      <w:bookmarkEnd w:id="1150"/>
      <w:bookmarkEnd w:id="1151"/>
      <w:bookmarkEnd w:id="1152"/>
      <w:bookmarkEnd w:id="1153"/>
    </w:p>
    <w:p w14:paraId="32F327E1">
      <w:pPr>
        <w:keepNext w:val="0"/>
        <w:keepLines w:val="0"/>
        <w:pageBreakBefore w:val="0"/>
        <w:widowControl w:val="0"/>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sz w:val="24"/>
          <w:szCs w:val="24"/>
          <w:highlight w:val="none"/>
        </w:rPr>
      </w:pPr>
    </w:p>
    <w:p w14:paraId="023ABC4E">
      <w:pPr>
        <w:keepNext w:val="0"/>
        <w:keepLines w:val="0"/>
        <w:pageBreakBefore w:val="0"/>
        <w:widowControl w:val="0"/>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低价风险担保缴纳承诺书</w:t>
      </w:r>
    </w:p>
    <w:p w14:paraId="568E2C30">
      <w:pPr>
        <w:keepNext w:val="0"/>
        <w:keepLines w:val="0"/>
        <w:pageBreakBefore w:val="0"/>
        <w:widowControl w:val="0"/>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0"/>
          <w:sz w:val="24"/>
          <w:szCs w:val="24"/>
          <w:highlight w:val="none"/>
        </w:rPr>
      </w:pPr>
    </w:p>
    <w:p w14:paraId="236B3DDF">
      <w:pPr>
        <w:keepNext w:val="0"/>
        <w:keepLines w:val="0"/>
        <w:pageBreakBefore w:val="0"/>
        <w:widowControl w:val="0"/>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（报价低于谈判项目最高限价的85%时采用）</w:t>
      </w:r>
    </w:p>
    <w:p w14:paraId="7551691F">
      <w:pPr>
        <w:keepNext w:val="0"/>
        <w:keepLines w:val="0"/>
        <w:pageBreakBefore w:val="0"/>
        <w:widowControl w:val="0"/>
        <w:kinsoku/>
        <w:wordWrap/>
        <w:overflowPunct/>
        <w:topLinePunct w:val="0"/>
        <w:autoSpaceDE/>
        <w:autoSpaceDN/>
        <w:bidi w:val="0"/>
        <w:adjustRightInd/>
        <w:snapToGrid w:val="0"/>
        <w:spacing w:line="400" w:lineRule="exact"/>
        <w:jc w:val="center"/>
        <w:textAlignment w:val="baseline"/>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34EB0B9A">
      <w:pPr>
        <w:keepNext w:val="0"/>
        <w:keepLines w:val="0"/>
        <w:pageBreakBefore w:val="0"/>
        <w:widowControl w:val="0"/>
        <w:kinsoku/>
        <w:wordWrap/>
        <w:overflowPunct/>
        <w:topLinePunct w:val="0"/>
        <w:autoSpaceDE/>
        <w:autoSpaceDN/>
        <w:bidi w:val="0"/>
        <w:adjustRightInd/>
        <w:snapToGrid w:val="0"/>
        <w:spacing w:line="400" w:lineRule="exac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color="000000"/>
        </w:rPr>
        <w:t xml:space="preserve">                     （采购人名称）</w:t>
      </w:r>
      <w:r>
        <w:rPr>
          <w:rFonts w:hint="eastAsia" w:ascii="宋体" w:hAnsi="宋体" w:eastAsia="宋体" w:cs="宋体"/>
          <w:color w:val="auto"/>
          <w:kern w:val="0"/>
          <w:sz w:val="24"/>
          <w:szCs w:val="24"/>
          <w:highlight w:val="none"/>
        </w:rPr>
        <w:t>：</w:t>
      </w:r>
    </w:p>
    <w:p w14:paraId="12E63C0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我公司</w:t>
      </w:r>
      <w:r>
        <w:rPr>
          <w:rFonts w:hint="eastAsia" w:ascii="宋体" w:hAnsi="宋体" w:eastAsia="宋体" w:cs="宋体"/>
          <w:color w:val="auto"/>
          <w:kern w:val="0"/>
          <w:sz w:val="24"/>
          <w:szCs w:val="24"/>
          <w:highlight w:val="none"/>
          <w:u w:val="single" w:color="000000"/>
        </w:rPr>
        <w:t xml:space="preserve">        （供应商名称）</w:t>
      </w:r>
      <w:r>
        <w:rPr>
          <w:rFonts w:hint="eastAsia" w:ascii="宋体" w:hAnsi="宋体" w:eastAsia="宋体" w:cs="宋体"/>
          <w:color w:val="auto"/>
          <w:kern w:val="0"/>
          <w:sz w:val="24"/>
          <w:szCs w:val="24"/>
          <w:highlight w:val="none"/>
        </w:rPr>
        <w:t>参加了你公司</w:t>
      </w:r>
      <w:r>
        <w:rPr>
          <w:rFonts w:hint="eastAsia" w:ascii="宋体" w:hAnsi="宋体" w:eastAsia="宋体" w:cs="宋体"/>
          <w:color w:val="auto"/>
          <w:kern w:val="0"/>
          <w:sz w:val="24"/>
          <w:szCs w:val="24"/>
          <w:highlight w:val="none"/>
          <w:u w:val="single" w:color="000000"/>
        </w:rPr>
        <w:t xml:space="preserve">        （项目名称）</w:t>
      </w:r>
      <w:r>
        <w:rPr>
          <w:rFonts w:hint="eastAsia" w:ascii="宋体" w:hAnsi="宋体" w:eastAsia="宋体" w:cs="宋体"/>
          <w:color w:val="auto"/>
          <w:kern w:val="0"/>
          <w:sz w:val="24"/>
          <w:szCs w:val="24"/>
          <w:highlight w:val="none"/>
        </w:rPr>
        <w:t>的竞争性谈判。我公司竞争性报价低于最高限价的85%，若获得成交资格，我公司承诺按照谈判文件的规定递交低价风险担保。同时，我公司已落实低价风险担保的缴纳方案，承诺如采用保函形式缴纳低价风险担保，保函的格式和内容符合谈判文件的要求。否则，我公司愿承担谈判文件中约定的，因未按规定递交低价风险担保的相应责任。</w:t>
      </w:r>
    </w:p>
    <w:p w14:paraId="72F62219">
      <w:pPr>
        <w:keepNext w:val="0"/>
        <w:keepLines w:val="0"/>
        <w:pageBreakBefore w:val="0"/>
        <w:widowControl w:val="0"/>
        <w:kinsoku/>
        <w:wordWrap/>
        <w:overflowPunct/>
        <w:topLinePunct w:val="0"/>
        <w:autoSpaceDE/>
        <w:autoSpaceDN/>
        <w:bidi w:val="0"/>
        <w:adjustRightInd/>
        <w:snapToGrid w:val="0"/>
        <w:spacing w:line="400" w:lineRule="exact"/>
        <w:ind w:firstLine="64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3896CD2">
      <w:pPr>
        <w:keepNext w:val="0"/>
        <w:keepLines w:val="0"/>
        <w:pageBreakBefore w:val="0"/>
        <w:widowControl w:val="0"/>
        <w:kinsoku/>
        <w:wordWrap/>
        <w:overflowPunct/>
        <w:topLinePunct w:val="0"/>
        <w:autoSpaceDE/>
        <w:autoSpaceDN/>
        <w:bidi w:val="0"/>
        <w:adjustRightInd/>
        <w:snapToGrid w:val="0"/>
        <w:spacing w:line="400" w:lineRule="exact"/>
        <w:ind w:firstLine="64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特此承诺。</w:t>
      </w:r>
    </w:p>
    <w:p w14:paraId="6629101A">
      <w:pPr>
        <w:keepNext w:val="0"/>
        <w:keepLines w:val="0"/>
        <w:pageBreakBefore w:val="0"/>
        <w:widowControl w:val="0"/>
        <w:kinsoku/>
        <w:wordWrap/>
        <w:overflowPunct/>
        <w:topLinePunct w:val="0"/>
        <w:autoSpaceDE/>
        <w:autoSpaceDN/>
        <w:bidi w:val="0"/>
        <w:adjustRightInd/>
        <w:snapToGrid w:val="0"/>
        <w:spacing w:line="400" w:lineRule="exact"/>
        <w:ind w:firstLine="640"/>
        <w:textAlignment w:val="baseline"/>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069BC1E6">
      <w:pPr>
        <w:keepNext w:val="0"/>
        <w:keepLines w:val="0"/>
        <w:pageBreakBefore w:val="0"/>
        <w:widowControl w:val="0"/>
        <w:kinsoku/>
        <w:wordWrap/>
        <w:overflowPunct/>
        <w:topLinePunct w:val="0"/>
        <w:autoSpaceDE/>
        <w:autoSpaceDN/>
        <w:bidi w:val="0"/>
        <w:adjustRightInd/>
        <w:snapToGrid w:val="0"/>
        <w:spacing w:line="400" w:lineRule="exact"/>
        <w:ind w:firstLine="640"/>
        <w:textAlignment w:val="baseline"/>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543D1008">
      <w:pPr>
        <w:keepNext w:val="0"/>
        <w:keepLines w:val="0"/>
        <w:pageBreakBefore w:val="0"/>
        <w:widowControl w:val="0"/>
        <w:kinsoku/>
        <w:wordWrap/>
        <w:overflowPunct/>
        <w:topLinePunct w:val="0"/>
        <w:autoSpaceDE/>
        <w:autoSpaceDN/>
        <w:bidi w:val="0"/>
        <w:adjustRightInd/>
        <w:snapToGrid w:val="0"/>
        <w:spacing w:line="400" w:lineRule="exact"/>
        <w:ind w:firstLine="640"/>
        <w:textAlignment w:val="baseline"/>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738C9838">
      <w:pPr>
        <w:keepNext w:val="0"/>
        <w:keepLines w:val="0"/>
        <w:pageBreakBefore w:val="0"/>
        <w:widowControl w:val="0"/>
        <w:kinsoku/>
        <w:wordWrap/>
        <w:overflowPunct/>
        <w:topLinePunct w:val="0"/>
        <w:autoSpaceDE/>
        <w:autoSpaceDN/>
        <w:bidi w:val="0"/>
        <w:adjustRightInd/>
        <w:snapToGrid w:val="0"/>
        <w:spacing w:line="400" w:lineRule="exact"/>
        <w:ind w:firstLine="640"/>
        <w:textAlignment w:val="baseline"/>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67E829F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color="000000"/>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1"/>
          <w:kern w:val="0"/>
          <w:sz w:val="24"/>
          <w:szCs w:val="24"/>
          <w:highlight w:val="none"/>
        </w:rPr>
        <w:t>盖单位章</w:t>
      </w:r>
      <w:r>
        <w:rPr>
          <w:rFonts w:hint="eastAsia" w:ascii="宋体" w:hAnsi="宋体" w:eastAsia="宋体" w:cs="宋体"/>
          <w:color w:val="auto"/>
          <w:kern w:val="0"/>
          <w:sz w:val="24"/>
          <w:szCs w:val="24"/>
          <w:highlight w:val="none"/>
        </w:rPr>
        <w:t>）</w:t>
      </w:r>
    </w:p>
    <w:p w14:paraId="66D585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color="000000"/>
        </w:rPr>
        <w:t xml:space="preserve">                    </w:t>
      </w:r>
      <w:r>
        <w:rPr>
          <w:rFonts w:hint="eastAsia" w:ascii="宋体" w:hAnsi="宋体" w:eastAsia="宋体" w:cs="宋体"/>
          <w:color w:val="auto"/>
          <w:kern w:val="0"/>
          <w:sz w:val="24"/>
          <w:szCs w:val="24"/>
          <w:highlight w:val="none"/>
        </w:rPr>
        <w:t>（签名或盖章）</w:t>
      </w:r>
    </w:p>
    <w:p w14:paraId="7A81A3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0CA9E3DB">
      <w:pPr>
        <w:keepNext w:val="0"/>
        <w:keepLines w:val="0"/>
        <w:pageBreakBefore w:val="0"/>
        <w:widowControl w:val="0"/>
        <w:kinsoku/>
        <w:wordWrap/>
        <w:overflowPunct/>
        <w:topLinePunct w:val="0"/>
        <w:autoSpaceDE/>
        <w:autoSpaceDN/>
        <w:bidi w:val="0"/>
        <w:adjustRightInd/>
        <w:snapToGrid w:val="0"/>
        <w:spacing w:before="190" w:line="400" w:lineRule="exact"/>
        <w:ind w:right="42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single" w:color="000000"/>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color="000000"/>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color="000000"/>
        </w:rPr>
        <w:t xml:space="preserve">    </w:t>
      </w:r>
      <w:r>
        <w:rPr>
          <w:rFonts w:hint="eastAsia" w:ascii="宋体" w:hAnsi="宋体" w:eastAsia="宋体" w:cs="宋体"/>
          <w:color w:val="auto"/>
          <w:kern w:val="0"/>
          <w:sz w:val="24"/>
          <w:szCs w:val="24"/>
          <w:highlight w:val="none"/>
        </w:rPr>
        <w:t>日</w:t>
      </w:r>
    </w:p>
    <w:p w14:paraId="4C263602">
      <w:pPr>
        <w:pStyle w:val="33"/>
        <w:keepNext w:val="0"/>
        <w:keepLines w:val="0"/>
        <w:pageBreakBefore w:val="0"/>
        <w:widowControl w:val="0"/>
        <w:kinsoku/>
        <w:wordWrap/>
        <w:overflowPunct/>
        <w:topLinePunct w:val="0"/>
        <w:autoSpaceDE/>
        <w:autoSpaceDN/>
        <w:bidi w:val="0"/>
        <w:adjustRightInd/>
        <w:spacing w:line="400" w:lineRule="exact"/>
        <w:rPr>
          <w:rFonts w:hint="eastAsia" w:ascii="宋体" w:hAnsi="宋体" w:eastAsia="宋体" w:cs="宋体"/>
          <w:color w:val="auto"/>
          <w:highlight w:val="none"/>
        </w:rPr>
        <w:sectPr>
          <w:pgSz w:w="11907" w:h="16840"/>
          <w:pgMar w:top="1134" w:right="1191" w:bottom="1134" w:left="1304" w:header="851" w:footer="992" w:gutter="0"/>
          <w:pgNumType w:fmt="numberInDash"/>
          <w:cols w:space="720" w:num="1"/>
          <w:rtlGutter w:val="0"/>
          <w:docGrid w:linePitch="380" w:charSpace="-5735"/>
        </w:sectPr>
      </w:pPr>
    </w:p>
    <w:p w14:paraId="454B8308">
      <w:pPr>
        <w:pStyle w:val="5"/>
        <w:adjustRightInd w:val="0"/>
        <w:snapToGrid w:val="0"/>
        <w:spacing w:before="0" w:after="0" w:line="400" w:lineRule="exact"/>
        <w:ind w:firstLine="482" w:firstLineChars="200"/>
        <w:rPr>
          <w:rFonts w:ascii="宋体" w:hAnsi="宋体" w:eastAsia="宋体" w:cs="宋体"/>
          <w:color w:val="auto"/>
          <w:sz w:val="24"/>
        </w:rPr>
      </w:pPr>
      <w:bookmarkStart w:id="1154" w:name="_Toc6434"/>
      <w:bookmarkStart w:id="1155" w:name="_Toc21399"/>
      <w:r>
        <w:rPr>
          <w:rFonts w:hint="eastAsia" w:ascii="宋体" w:hAnsi="宋体" w:eastAsia="宋体" w:cs="宋体"/>
          <w:color w:val="auto"/>
          <w:sz w:val="24"/>
        </w:rPr>
        <w:t>二、技术</w:t>
      </w:r>
      <w:r>
        <w:rPr>
          <w:rFonts w:hint="eastAsia" w:ascii="宋体" w:hAnsi="宋体" w:eastAsia="宋体" w:cs="宋体"/>
          <w:color w:val="auto"/>
          <w:sz w:val="24"/>
          <w:szCs w:val="24"/>
        </w:rPr>
        <w:t>（质量）</w:t>
      </w:r>
      <w:r>
        <w:rPr>
          <w:rFonts w:hint="eastAsia" w:ascii="宋体" w:hAnsi="宋体" w:eastAsia="宋体" w:cs="宋体"/>
          <w:color w:val="auto"/>
          <w:sz w:val="24"/>
        </w:rPr>
        <w:t>部分</w:t>
      </w:r>
      <w:bookmarkEnd w:id="1144"/>
      <w:bookmarkEnd w:id="1145"/>
      <w:bookmarkEnd w:id="1146"/>
      <w:bookmarkEnd w:id="1147"/>
      <w:bookmarkEnd w:id="1148"/>
      <w:bookmarkEnd w:id="1149"/>
      <w:bookmarkEnd w:id="1154"/>
      <w:bookmarkEnd w:id="1155"/>
    </w:p>
    <w:p w14:paraId="2DE5B42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（一）技术（质量）响应偏离表</w:t>
      </w:r>
    </w:p>
    <w:p w14:paraId="330695E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7495750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34"/>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6941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0E62CA03">
            <w:pPr>
              <w:tabs>
                <w:tab w:val="left" w:pos="6300"/>
              </w:tabs>
              <w:snapToGrid w:val="0"/>
              <w:jc w:val="center"/>
              <w:outlineLvl w:val="0"/>
              <w:rPr>
                <w:rFonts w:ascii="宋体" w:hAnsi="宋体" w:cs="宋体"/>
                <w:b/>
                <w:color w:val="auto"/>
                <w:sz w:val="21"/>
                <w:szCs w:val="21"/>
              </w:rPr>
            </w:pPr>
            <w:r>
              <w:rPr>
                <w:rFonts w:hint="eastAsia" w:ascii="宋体" w:hAnsi="宋体" w:cs="宋体"/>
                <w:b/>
                <w:color w:val="auto"/>
                <w:sz w:val="21"/>
                <w:szCs w:val="21"/>
              </w:rPr>
              <w:t>序号</w:t>
            </w:r>
          </w:p>
        </w:tc>
        <w:tc>
          <w:tcPr>
            <w:tcW w:w="2844" w:type="dxa"/>
            <w:vAlign w:val="center"/>
          </w:tcPr>
          <w:p w14:paraId="24F0AAAD">
            <w:pPr>
              <w:tabs>
                <w:tab w:val="left" w:pos="6300"/>
              </w:tabs>
              <w:snapToGrid w:val="0"/>
              <w:jc w:val="center"/>
              <w:outlineLvl w:val="0"/>
              <w:rPr>
                <w:rFonts w:ascii="宋体" w:hAnsi="宋体" w:cs="宋体"/>
                <w:b/>
                <w:color w:val="auto"/>
                <w:sz w:val="21"/>
                <w:szCs w:val="21"/>
              </w:rPr>
            </w:pPr>
            <w:r>
              <w:rPr>
                <w:rFonts w:hint="eastAsia" w:ascii="宋体" w:hAnsi="宋体" w:cs="宋体"/>
                <w:b/>
                <w:color w:val="auto"/>
                <w:sz w:val="21"/>
                <w:szCs w:val="21"/>
              </w:rPr>
              <w:t>采购需求</w:t>
            </w:r>
          </w:p>
        </w:tc>
        <w:tc>
          <w:tcPr>
            <w:tcW w:w="2952" w:type="dxa"/>
            <w:vAlign w:val="center"/>
          </w:tcPr>
          <w:p w14:paraId="02D3E44F">
            <w:pPr>
              <w:tabs>
                <w:tab w:val="left" w:pos="6300"/>
              </w:tabs>
              <w:snapToGrid w:val="0"/>
              <w:jc w:val="center"/>
              <w:outlineLvl w:val="0"/>
              <w:rPr>
                <w:rFonts w:ascii="宋体" w:hAnsi="宋体" w:cs="宋体"/>
                <w:b/>
                <w:color w:val="auto"/>
                <w:sz w:val="21"/>
                <w:szCs w:val="21"/>
              </w:rPr>
            </w:pPr>
            <w:r>
              <w:rPr>
                <w:rFonts w:hint="eastAsia" w:ascii="宋体" w:hAnsi="宋体" w:cs="宋体"/>
                <w:b/>
                <w:color w:val="auto"/>
                <w:sz w:val="21"/>
                <w:szCs w:val="21"/>
              </w:rPr>
              <w:t>响应情况</w:t>
            </w:r>
          </w:p>
        </w:tc>
        <w:tc>
          <w:tcPr>
            <w:tcW w:w="2212" w:type="dxa"/>
            <w:vAlign w:val="center"/>
          </w:tcPr>
          <w:p w14:paraId="210E285A">
            <w:pPr>
              <w:tabs>
                <w:tab w:val="left" w:pos="6300"/>
              </w:tabs>
              <w:snapToGrid w:val="0"/>
              <w:jc w:val="center"/>
              <w:outlineLvl w:val="0"/>
              <w:rPr>
                <w:rFonts w:ascii="宋体" w:hAnsi="宋体" w:cs="宋体"/>
                <w:b/>
                <w:color w:val="auto"/>
                <w:sz w:val="21"/>
                <w:szCs w:val="21"/>
              </w:rPr>
            </w:pPr>
            <w:r>
              <w:rPr>
                <w:rFonts w:hint="eastAsia" w:ascii="宋体" w:hAnsi="宋体" w:cs="宋体"/>
                <w:b/>
                <w:color w:val="auto"/>
                <w:sz w:val="21"/>
                <w:szCs w:val="21"/>
              </w:rPr>
              <w:t>差异说明</w:t>
            </w:r>
          </w:p>
        </w:tc>
      </w:tr>
      <w:tr w14:paraId="3E11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6D92F54">
            <w:pPr>
              <w:tabs>
                <w:tab w:val="left" w:pos="6300"/>
              </w:tabs>
              <w:snapToGrid w:val="0"/>
              <w:jc w:val="center"/>
              <w:outlineLvl w:val="0"/>
              <w:rPr>
                <w:rFonts w:ascii="宋体" w:hAnsi="宋体" w:cs="宋体"/>
                <w:color w:val="auto"/>
                <w:sz w:val="21"/>
                <w:szCs w:val="21"/>
              </w:rPr>
            </w:pPr>
          </w:p>
        </w:tc>
        <w:tc>
          <w:tcPr>
            <w:tcW w:w="2844" w:type="dxa"/>
            <w:vAlign w:val="center"/>
          </w:tcPr>
          <w:p w14:paraId="6ECB8374">
            <w:pPr>
              <w:tabs>
                <w:tab w:val="left" w:pos="6300"/>
              </w:tabs>
              <w:snapToGrid w:val="0"/>
              <w:jc w:val="center"/>
              <w:outlineLvl w:val="0"/>
              <w:rPr>
                <w:rFonts w:ascii="宋体" w:hAnsi="宋体" w:cs="宋体"/>
                <w:color w:val="auto"/>
                <w:sz w:val="21"/>
                <w:szCs w:val="21"/>
              </w:rPr>
            </w:pPr>
          </w:p>
        </w:tc>
        <w:tc>
          <w:tcPr>
            <w:tcW w:w="2952" w:type="dxa"/>
            <w:vAlign w:val="center"/>
          </w:tcPr>
          <w:p w14:paraId="0C0FA3E6">
            <w:pPr>
              <w:tabs>
                <w:tab w:val="left" w:pos="6300"/>
              </w:tabs>
              <w:snapToGrid w:val="0"/>
              <w:jc w:val="center"/>
              <w:outlineLvl w:val="0"/>
              <w:rPr>
                <w:rFonts w:ascii="宋体" w:hAnsi="宋体" w:cs="宋体"/>
                <w:color w:val="auto"/>
                <w:sz w:val="21"/>
                <w:szCs w:val="21"/>
              </w:rPr>
            </w:pPr>
            <w:r>
              <w:rPr>
                <w:rFonts w:hint="eastAsia" w:ascii="宋体" w:hAnsi="宋体" w:cs="宋体"/>
                <w:color w:val="auto"/>
                <w:sz w:val="21"/>
                <w:szCs w:val="21"/>
              </w:rPr>
              <w:t>提醒：请注明技术参数或具体内容</w:t>
            </w:r>
          </w:p>
        </w:tc>
        <w:tc>
          <w:tcPr>
            <w:tcW w:w="2212" w:type="dxa"/>
            <w:vAlign w:val="center"/>
          </w:tcPr>
          <w:p w14:paraId="3004D583">
            <w:pPr>
              <w:tabs>
                <w:tab w:val="left" w:pos="6300"/>
              </w:tabs>
              <w:snapToGrid w:val="0"/>
              <w:jc w:val="center"/>
              <w:outlineLvl w:val="0"/>
              <w:rPr>
                <w:rFonts w:ascii="宋体" w:hAnsi="宋体" w:cs="宋体"/>
                <w:color w:val="auto"/>
                <w:sz w:val="21"/>
                <w:szCs w:val="21"/>
              </w:rPr>
            </w:pPr>
          </w:p>
        </w:tc>
      </w:tr>
      <w:tr w14:paraId="0492A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835F46">
            <w:pPr>
              <w:tabs>
                <w:tab w:val="left" w:pos="6300"/>
              </w:tabs>
              <w:snapToGrid w:val="0"/>
              <w:jc w:val="center"/>
              <w:outlineLvl w:val="0"/>
              <w:rPr>
                <w:rFonts w:ascii="宋体" w:hAnsi="宋体" w:cs="宋体"/>
                <w:color w:val="auto"/>
                <w:sz w:val="21"/>
                <w:szCs w:val="21"/>
              </w:rPr>
            </w:pPr>
          </w:p>
        </w:tc>
        <w:tc>
          <w:tcPr>
            <w:tcW w:w="2844" w:type="dxa"/>
            <w:vAlign w:val="center"/>
          </w:tcPr>
          <w:p w14:paraId="6EFD4A8C">
            <w:pPr>
              <w:tabs>
                <w:tab w:val="left" w:pos="6300"/>
              </w:tabs>
              <w:snapToGrid w:val="0"/>
              <w:jc w:val="center"/>
              <w:outlineLvl w:val="0"/>
              <w:rPr>
                <w:rFonts w:ascii="宋体" w:hAnsi="宋体" w:cs="宋体"/>
                <w:color w:val="auto"/>
                <w:sz w:val="21"/>
                <w:szCs w:val="21"/>
              </w:rPr>
            </w:pPr>
          </w:p>
        </w:tc>
        <w:tc>
          <w:tcPr>
            <w:tcW w:w="2952" w:type="dxa"/>
            <w:vAlign w:val="center"/>
          </w:tcPr>
          <w:p w14:paraId="6E79199A">
            <w:pPr>
              <w:tabs>
                <w:tab w:val="left" w:pos="6300"/>
              </w:tabs>
              <w:snapToGrid w:val="0"/>
              <w:jc w:val="center"/>
              <w:outlineLvl w:val="0"/>
              <w:rPr>
                <w:rFonts w:ascii="宋体" w:hAnsi="宋体" w:cs="宋体"/>
                <w:color w:val="auto"/>
                <w:sz w:val="21"/>
                <w:szCs w:val="21"/>
              </w:rPr>
            </w:pPr>
          </w:p>
        </w:tc>
        <w:tc>
          <w:tcPr>
            <w:tcW w:w="2212" w:type="dxa"/>
            <w:vAlign w:val="center"/>
          </w:tcPr>
          <w:p w14:paraId="07B2FB72">
            <w:pPr>
              <w:tabs>
                <w:tab w:val="left" w:pos="6300"/>
              </w:tabs>
              <w:snapToGrid w:val="0"/>
              <w:jc w:val="center"/>
              <w:outlineLvl w:val="0"/>
              <w:rPr>
                <w:rFonts w:ascii="宋体" w:hAnsi="宋体" w:cs="宋体"/>
                <w:color w:val="auto"/>
                <w:sz w:val="21"/>
                <w:szCs w:val="21"/>
              </w:rPr>
            </w:pPr>
          </w:p>
        </w:tc>
      </w:tr>
      <w:tr w14:paraId="4D21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697691DD">
            <w:pPr>
              <w:tabs>
                <w:tab w:val="left" w:pos="6300"/>
              </w:tabs>
              <w:snapToGrid w:val="0"/>
              <w:jc w:val="center"/>
              <w:outlineLvl w:val="0"/>
              <w:rPr>
                <w:rFonts w:ascii="宋体" w:hAnsi="宋体" w:cs="宋体"/>
                <w:color w:val="auto"/>
                <w:sz w:val="21"/>
                <w:szCs w:val="21"/>
              </w:rPr>
            </w:pPr>
          </w:p>
        </w:tc>
        <w:tc>
          <w:tcPr>
            <w:tcW w:w="2844" w:type="dxa"/>
            <w:vAlign w:val="center"/>
          </w:tcPr>
          <w:p w14:paraId="5E8595EA">
            <w:pPr>
              <w:tabs>
                <w:tab w:val="left" w:pos="6300"/>
              </w:tabs>
              <w:snapToGrid w:val="0"/>
              <w:jc w:val="center"/>
              <w:outlineLvl w:val="0"/>
              <w:rPr>
                <w:rFonts w:ascii="宋体" w:hAnsi="宋体" w:cs="宋体"/>
                <w:color w:val="auto"/>
                <w:sz w:val="21"/>
                <w:szCs w:val="21"/>
              </w:rPr>
            </w:pPr>
          </w:p>
        </w:tc>
        <w:tc>
          <w:tcPr>
            <w:tcW w:w="2952" w:type="dxa"/>
            <w:vAlign w:val="center"/>
          </w:tcPr>
          <w:p w14:paraId="55B895E1">
            <w:pPr>
              <w:tabs>
                <w:tab w:val="left" w:pos="6300"/>
              </w:tabs>
              <w:snapToGrid w:val="0"/>
              <w:jc w:val="center"/>
              <w:outlineLvl w:val="0"/>
              <w:rPr>
                <w:rFonts w:ascii="宋体" w:hAnsi="宋体" w:cs="宋体"/>
                <w:color w:val="auto"/>
                <w:sz w:val="21"/>
                <w:szCs w:val="21"/>
              </w:rPr>
            </w:pPr>
          </w:p>
        </w:tc>
        <w:tc>
          <w:tcPr>
            <w:tcW w:w="2212" w:type="dxa"/>
            <w:vAlign w:val="center"/>
          </w:tcPr>
          <w:p w14:paraId="0A5C7E60">
            <w:pPr>
              <w:tabs>
                <w:tab w:val="left" w:pos="6300"/>
              </w:tabs>
              <w:snapToGrid w:val="0"/>
              <w:jc w:val="center"/>
              <w:outlineLvl w:val="0"/>
              <w:rPr>
                <w:rFonts w:ascii="宋体" w:hAnsi="宋体" w:cs="宋体"/>
                <w:color w:val="auto"/>
                <w:sz w:val="21"/>
                <w:szCs w:val="21"/>
              </w:rPr>
            </w:pPr>
          </w:p>
        </w:tc>
      </w:tr>
      <w:tr w14:paraId="5902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740C66F">
            <w:pPr>
              <w:tabs>
                <w:tab w:val="left" w:pos="6300"/>
              </w:tabs>
              <w:snapToGrid w:val="0"/>
              <w:jc w:val="center"/>
              <w:outlineLvl w:val="0"/>
              <w:rPr>
                <w:rFonts w:ascii="宋体" w:hAnsi="宋体" w:cs="宋体"/>
                <w:color w:val="auto"/>
                <w:sz w:val="21"/>
                <w:szCs w:val="21"/>
              </w:rPr>
            </w:pPr>
          </w:p>
        </w:tc>
        <w:tc>
          <w:tcPr>
            <w:tcW w:w="2844" w:type="dxa"/>
            <w:vAlign w:val="center"/>
          </w:tcPr>
          <w:p w14:paraId="151D6359">
            <w:pPr>
              <w:tabs>
                <w:tab w:val="left" w:pos="6300"/>
              </w:tabs>
              <w:snapToGrid w:val="0"/>
              <w:jc w:val="center"/>
              <w:outlineLvl w:val="0"/>
              <w:rPr>
                <w:rFonts w:ascii="宋体" w:hAnsi="宋体" w:cs="宋体"/>
                <w:color w:val="auto"/>
                <w:sz w:val="21"/>
                <w:szCs w:val="21"/>
              </w:rPr>
            </w:pPr>
          </w:p>
        </w:tc>
        <w:tc>
          <w:tcPr>
            <w:tcW w:w="2952" w:type="dxa"/>
            <w:vAlign w:val="center"/>
          </w:tcPr>
          <w:p w14:paraId="62996D62">
            <w:pPr>
              <w:tabs>
                <w:tab w:val="left" w:pos="6300"/>
              </w:tabs>
              <w:snapToGrid w:val="0"/>
              <w:jc w:val="center"/>
              <w:outlineLvl w:val="0"/>
              <w:rPr>
                <w:rFonts w:ascii="宋体" w:hAnsi="宋体" w:cs="宋体"/>
                <w:color w:val="auto"/>
                <w:sz w:val="21"/>
                <w:szCs w:val="21"/>
              </w:rPr>
            </w:pPr>
          </w:p>
        </w:tc>
        <w:tc>
          <w:tcPr>
            <w:tcW w:w="2212" w:type="dxa"/>
            <w:vAlign w:val="center"/>
          </w:tcPr>
          <w:p w14:paraId="296C08A1">
            <w:pPr>
              <w:tabs>
                <w:tab w:val="left" w:pos="6300"/>
              </w:tabs>
              <w:snapToGrid w:val="0"/>
              <w:jc w:val="center"/>
              <w:outlineLvl w:val="0"/>
              <w:rPr>
                <w:rFonts w:ascii="宋体" w:hAnsi="宋体" w:cs="宋体"/>
                <w:color w:val="auto"/>
                <w:sz w:val="21"/>
                <w:szCs w:val="21"/>
              </w:rPr>
            </w:pPr>
          </w:p>
        </w:tc>
      </w:tr>
      <w:tr w14:paraId="6625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75466E">
            <w:pPr>
              <w:tabs>
                <w:tab w:val="left" w:pos="6300"/>
              </w:tabs>
              <w:snapToGrid w:val="0"/>
              <w:jc w:val="center"/>
              <w:outlineLvl w:val="0"/>
              <w:rPr>
                <w:rFonts w:ascii="宋体" w:hAnsi="宋体" w:cs="宋体"/>
                <w:color w:val="auto"/>
                <w:sz w:val="21"/>
                <w:szCs w:val="21"/>
              </w:rPr>
            </w:pPr>
          </w:p>
        </w:tc>
        <w:tc>
          <w:tcPr>
            <w:tcW w:w="2844" w:type="dxa"/>
            <w:vAlign w:val="center"/>
          </w:tcPr>
          <w:p w14:paraId="3372905E">
            <w:pPr>
              <w:tabs>
                <w:tab w:val="left" w:pos="6300"/>
              </w:tabs>
              <w:snapToGrid w:val="0"/>
              <w:jc w:val="center"/>
              <w:outlineLvl w:val="0"/>
              <w:rPr>
                <w:rFonts w:ascii="宋体" w:hAnsi="宋体" w:cs="宋体"/>
                <w:color w:val="auto"/>
                <w:sz w:val="21"/>
                <w:szCs w:val="21"/>
              </w:rPr>
            </w:pPr>
          </w:p>
        </w:tc>
        <w:tc>
          <w:tcPr>
            <w:tcW w:w="2952" w:type="dxa"/>
            <w:vAlign w:val="center"/>
          </w:tcPr>
          <w:p w14:paraId="30A3C50F">
            <w:pPr>
              <w:tabs>
                <w:tab w:val="left" w:pos="6300"/>
              </w:tabs>
              <w:snapToGrid w:val="0"/>
              <w:jc w:val="center"/>
              <w:outlineLvl w:val="0"/>
              <w:rPr>
                <w:rFonts w:ascii="宋体" w:hAnsi="宋体" w:cs="宋体"/>
                <w:color w:val="auto"/>
                <w:sz w:val="21"/>
                <w:szCs w:val="21"/>
              </w:rPr>
            </w:pPr>
          </w:p>
        </w:tc>
        <w:tc>
          <w:tcPr>
            <w:tcW w:w="2212" w:type="dxa"/>
            <w:vAlign w:val="center"/>
          </w:tcPr>
          <w:p w14:paraId="3657393C">
            <w:pPr>
              <w:tabs>
                <w:tab w:val="left" w:pos="6300"/>
              </w:tabs>
              <w:snapToGrid w:val="0"/>
              <w:jc w:val="center"/>
              <w:outlineLvl w:val="0"/>
              <w:rPr>
                <w:rFonts w:ascii="宋体" w:hAnsi="宋体" w:cs="宋体"/>
                <w:color w:val="auto"/>
                <w:sz w:val="21"/>
                <w:szCs w:val="21"/>
              </w:rPr>
            </w:pPr>
          </w:p>
        </w:tc>
      </w:tr>
      <w:tr w14:paraId="5BF60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E18FF3C">
            <w:pPr>
              <w:tabs>
                <w:tab w:val="left" w:pos="6300"/>
              </w:tabs>
              <w:snapToGrid w:val="0"/>
              <w:jc w:val="center"/>
              <w:outlineLvl w:val="0"/>
              <w:rPr>
                <w:rFonts w:ascii="宋体" w:hAnsi="宋体" w:cs="宋体"/>
                <w:color w:val="auto"/>
                <w:sz w:val="21"/>
                <w:szCs w:val="21"/>
              </w:rPr>
            </w:pPr>
          </w:p>
        </w:tc>
        <w:tc>
          <w:tcPr>
            <w:tcW w:w="2844" w:type="dxa"/>
            <w:vAlign w:val="center"/>
          </w:tcPr>
          <w:p w14:paraId="72FADF7D">
            <w:pPr>
              <w:tabs>
                <w:tab w:val="left" w:pos="6300"/>
              </w:tabs>
              <w:snapToGrid w:val="0"/>
              <w:jc w:val="center"/>
              <w:outlineLvl w:val="0"/>
              <w:rPr>
                <w:rFonts w:ascii="宋体" w:hAnsi="宋体" w:cs="宋体"/>
                <w:color w:val="auto"/>
                <w:sz w:val="21"/>
                <w:szCs w:val="21"/>
              </w:rPr>
            </w:pPr>
          </w:p>
        </w:tc>
        <w:tc>
          <w:tcPr>
            <w:tcW w:w="2952" w:type="dxa"/>
            <w:vAlign w:val="center"/>
          </w:tcPr>
          <w:p w14:paraId="35F12E78">
            <w:pPr>
              <w:tabs>
                <w:tab w:val="left" w:pos="6300"/>
              </w:tabs>
              <w:snapToGrid w:val="0"/>
              <w:jc w:val="center"/>
              <w:outlineLvl w:val="0"/>
              <w:rPr>
                <w:rFonts w:ascii="宋体" w:hAnsi="宋体" w:cs="宋体"/>
                <w:color w:val="auto"/>
                <w:sz w:val="21"/>
                <w:szCs w:val="21"/>
              </w:rPr>
            </w:pPr>
          </w:p>
        </w:tc>
        <w:tc>
          <w:tcPr>
            <w:tcW w:w="2212" w:type="dxa"/>
            <w:vAlign w:val="center"/>
          </w:tcPr>
          <w:p w14:paraId="589F8EAE">
            <w:pPr>
              <w:tabs>
                <w:tab w:val="left" w:pos="6300"/>
              </w:tabs>
              <w:snapToGrid w:val="0"/>
              <w:jc w:val="center"/>
              <w:outlineLvl w:val="0"/>
              <w:rPr>
                <w:rFonts w:ascii="宋体" w:hAnsi="宋体" w:cs="宋体"/>
                <w:color w:val="auto"/>
                <w:sz w:val="21"/>
                <w:szCs w:val="21"/>
              </w:rPr>
            </w:pPr>
          </w:p>
        </w:tc>
      </w:tr>
      <w:tr w14:paraId="74BE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0FD240A">
            <w:pPr>
              <w:tabs>
                <w:tab w:val="left" w:pos="6300"/>
              </w:tabs>
              <w:snapToGrid w:val="0"/>
              <w:jc w:val="center"/>
              <w:outlineLvl w:val="0"/>
              <w:rPr>
                <w:rFonts w:ascii="宋体" w:hAnsi="宋体" w:cs="宋体"/>
                <w:color w:val="auto"/>
                <w:sz w:val="21"/>
                <w:szCs w:val="21"/>
              </w:rPr>
            </w:pPr>
          </w:p>
        </w:tc>
        <w:tc>
          <w:tcPr>
            <w:tcW w:w="2844" w:type="dxa"/>
            <w:vAlign w:val="center"/>
          </w:tcPr>
          <w:p w14:paraId="5BC271CF">
            <w:pPr>
              <w:tabs>
                <w:tab w:val="left" w:pos="6300"/>
              </w:tabs>
              <w:snapToGrid w:val="0"/>
              <w:jc w:val="center"/>
              <w:outlineLvl w:val="0"/>
              <w:rPr>
                <w:rFonts w:ascii="宋体" w:hAnsi="宋体" w:cs="宋体"/>
                <w:color w:val="auto"/>
                <w:sz w:val="21"/>
                <w:szCs w:val="21"/>
              </w:rPr>
            </w:pPr>
          </w:p>
        </w:tc>
        <w:tc>
          <w:tcPr>
            <w:tcW w:w="2952" w:type="dxa"/>
            <w:vAlign w:val="center"/>
          </w:tcPr>
          <w:p w14:paraId="4E370DA6">
            <w:pPr>
              <w:tabs>
                <w:tab w:val="left" w:pos="6300"/>
              </w:tabs>
              <w:snapToGrid w:val="0"/>
              <w:jc w:val="center"/>
              <w:outlineLvl w:val="0"/>
              <w:rPr>
                <w:rFonts w:ascii="宋体" w:hAnsi="宋体" w:cs="宋体"/>
                <w:color w:val="auto"/>
                <w:sz w:val="21"/>
                <w:szCs w:val="21"/>
              </w:rPr>
            </w:pPr>
          </w:p>
        </w:tc>
        <w:tc>
          <w:tcPr>
            <w:tcW w:w="2212" w:type="dxa"/>
            <w:vAlign w:val="center"/>
          </w:tcPr>
          <w:p w14:paraId="2663F3CB">
            <w:pPr>
              <w:tabs>
                <w:tab w:val="left" w:pos="6300"/>
              </w:tabs>
              <w:snapToGrid w:val="0"/>
              <w:jc w:val="center"/>
              <w:outlineLvl w:val="0"/>
              <w:rPr>
                <w:rFonts w:ascii="宋体" w:hAnsi="宋体" w:cs="宋体"/>
                <w:color w:val="auto"/>
                <w:sz w:val="21"/>
                <w:szCs w:val="21"/>
              </w:rPr>
            </w:pPr>
          </w:p>
        </w:tc>
      </w:tr>
      <w:tr w14:paraId="3C08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9FA9993">
            <w:pPr>
              <w:tabs>
                <w:tab w:val="left" w:pos="6300"/>
              </w:tabs>
              <w:snapToGrid w:val="0"/>
              <w:jc w:val="center"/>
              <w:outlineLvl w:val="0"/>
              <w:rPr>
                <w:rFonts w:ascii="宋体" w:hAnsi="宋体" w:cs="宋体"/>
                <w:color w:val="auto"/>
                <w:sz w:val="21"/>
                <w:szCs w:val="21"/>
              </w:rPr>
            </w:pPr>
          </w:p>
        </w:tc>
        <w:tc>
          <w:tcPr>
            <w:tcW w:w="2844" w:type="dxa"/>
            <w:vAlign w:val="center"/>
          </w:tcPr>
          <w:p w14:paraId="4C9E4B71">
            <w:pPr>
              <w:tabs>
                <w:tab w:val="left" w:pos="6300"/>
              </w:tabs>
              <w:snapToGrid w:val="0"/>
              <w:jc w:val="center"/>
              <w:outlineLvl w:val="0"/>
              <w:rPr>
                <w:rFonts w:ascii="宋体" w:hAnsi="宋体" w:cs="宋体"/>
                <w:color w:val="auto"/>
                <w:sz w:val="21"/>
                <w:szCs w:val="21"/>
              </w:rPr>
            </w:pPr>
          </w:p>
        </w:tc>
        <w:tc>
          <w:tcPr>
            <w:tcW w:w="2952" w:type="dxa"/>
            <w:vAlign w:val="center"/>
          </w:tcPr>
          <w:p w14:paraId="17404270">
            <w:pPr>
              <w:tabs>
                <w:tab w:val="left" w:pos="6300"/>
              </w:tabs>
              <w:snapToGrid w:val="0"/>
              <w:jc w:val="center"/>
              <w:outlineLvl w:val="0"/>
              <w:rPr>
                <w:rFonts w:ascii="宋体" w:hAnsi="宋体" w:cs="宋体"/>
                <w:color w:val="auto"/>
                <w:sz w:val="21"/>
                <w:szCs w:val="21"/>
              </w:rPr>
            </w:pPr>
          </w:p>
        </w:tc>
        <w:tc>
          <w:tcPr>
            <w:tcW w:w="2212" w:type="dxa"/>
            <w:vAlign w:val="center"/>
          </w:tcPr>
          <w:p w14:paraId="146A3D06">
            <w:pPr>
              <w:tabs>
                <w:tab w:val="left" w:pos="6300"/>
              </w:tabs>
              <w:snapToGrid w:val="0"/>
              <w:jc w:val="center"/>
              <w:outlineLvl w:val="0"/>
              <w:rPr>
                <w:rFonts w:ascii="宋体" w:hAnsi="宋体" w:cs="宋体"/>
                <w:color w:val="auto"/>
                <w:sz w:val="21"/>
                <w:szCs w:val="21"/>
              </w:rPr>
            </w:pPr>
          </w:p>
        </w:tc>
      </w:tr>
      <w:tr w14:paraId="3538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00567765">
            <w:pPr>
              <w:tabs>
                <w:tab w:val="left" w:pos="6300"/>
              </w:tabs>
              <w:snapToGrid w:val="0"/>
              <w:jc w:val="center"/>
              <w:outlineLvl w:val="0"/>
              <w:rPr>
                <w:rFonts w:ascii="宋体" w:hAnsi="宋体" w:cs="宋体"/>
                <w:color w:val="auto"/>
                <w:sz w:val="21"/>
                <w:szCs w:val="21"/>
              </w:rPr>
            </w:pPr>
          </w:p>
        </w:tc>
        <w:tc>
          <w:tcPr>
            <w:tcW w:w="2844" w:type="dxa"/>
            <w:vAlign w:val="center"/>
          </w:tcPr>
          <w:p w14:paraId="6260EC8C">
            <w:pPr>
              <w:tabs>
                <w:tab w:val="left" w:pos="6300"/>
              </w:tabs>
              <w:snapToGrid w:val="0"/>
              <w:jc w:val="center"/>
              <w:outlineLvl w:val="0"/>
              <w:rPr>
                <w:rFonts w:ascii="宋体" w:hAnsi="宋体" w:cs="宋体"/>
                <w:color w:val="auto"/>
                <w:sz w:val="21"/>
                <w:szCs w:val="21"/>
              </w:rPr>
            </w:pPr>
          </w:p>
        </w:tc>
        <w:tc>
          <w:tcPr>
            <w:tcW w:w="2952" w:type="dxa"/>
            <w:vAlign w:val="center"/>
          </w:tcPr>
          <w:p w14:paraId="575E47B1">
            <w:pPr>
              <w:tabs>
                <w:tab w:val="left" w:pos="6300"/>
              </w:tabs>
              <w:snapToGrid w:val="0"/>
              <w:jc w:val="center"/>
              <w:outlineLvl w:val="0"/>
              <w:rPr>
                <w:rFonts w:ascii="宋体" w:hAnsi="宋体" w:cs="宋体"/>
                <w:color w:val="auto"/>
                <w:sz w:val="21"/>
                <w:szCs w:val="21"/>
              </w:rPr>
            </w:pPr>
          </w:p>
        </w:tc>
        <w:tc>
          <w:tcPr>
            <w:tcW w:w="2212" w:type="dxa"/>
            <w:vAlign w:val="center"/>
          </w:tcPr>
          <w:p w14:paraId="5BEADBEF">
            <w:pPr>
              <w:tabs>
                <w:tab w:val="left" w:pos="6300"/>
              </w:tabs>
              <w:snapToGrid w:val="0"/>
              <w:jc w:val="center"/>
              <w:outlineLvl w:val="0"/>
              <w:rPr>
                <w:rFonts w:ascii="宋体" w:hAnsi="宋体" w:cs="宋体"/>
                <w:color w:val="auto"/>
                <w:sz w:val="21"/>
                <w:szCs w:val="21"/>
              </w:rPr>
            </w:pPr>
          </w:p>
        </w:tc>
      </w:tr>
      <w:tr w14:paraId="4014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B81F31F">
            <w:pPr>
              <w:tabs>
                <w:tab w:val="left" w:pos="6300"/>
              </w:tabs>
              <w:snapToGrid w:val="0"/>
              <w:jc w:val="center"/>
              <w:outlineLvl w:val="0"/>
              <w:rPr>
                <w:rFonts w:ascii="宋体" w:hAnsi="宋体" w:cs="宋体"/>
                <w:color w:val="auto"/>
                <w:sz w:val="21"/>
                <w:szCs w:val="21"/>
              </w:rPr>
            </w:pPr>
          </w:p>
        </w:tc>
        <w:tc>
          <w:tcPr>
            <w:tcW w:w="2844" w:type="dxa"/>
            <w:vAlign w:val="center"/>
          </w:tcPr>
          <w:p w14:paraId="4230B208">
            <w:pPr>
              <w:tabs>
                <w:tab w:val="left" w:pos="6300"/>
              </w:tabs>
              <w:snapToGrid w:val="0"/>
              <w:jc w:val="center"/>
              <w:outlineLvl w:val="0"/>
              <w:rPr>
                <w:rFonts w:ascii="宋体" w:hAnsi="宋体" w:cs="宋体"/>
                <w:color w:val="auto"/>
                <w:sz w:val="21"/>
                <w:szCs w:val="21"/>
              </w:rPr>
            </w:pPr>
          </w:p>
        </w:tc>
        <w:tc>
          <w:tcPr>
            <w:tcW w:w="2952" w:type="dxa"/>
            <w:vAlign w:val="center"/>
          </w:tcPr>
          <w:p w14:paraId="20D88449">
            <w:pPr>
              <w:tabs>
                <w:tab w:val="left" w:pos="6300"/>
              </w:tabs>
              <w:snapToGrid w:val="0"/>
              <w:jc w:val="center"/>
              <w:outlineLvl w:val="0"/>
              <w:rPr>
                <w:rFonts w:ascii="宋体" w:hAnsi="宋体" w:cs="宋体"/>
                <w:color w:val="auto"/>
                <w:sz w:val="21"/>
                <w:szCs w:val="21"/>
              </w:rPr>
            </w:pPr>
          </w:p>
        </w:tc>
        <w:tc>
          <w:tcPr>
            <w:tcW w:w="2212" w:type="dxa"/>
            <w:vAlign w:val="center"/>
          </w:tcPr>
          <w:p w14:paraId="4C24260A">
            <w:pPr>
              <w:tabs>
                <w:tab w:val="left" w:pos="6300"/>
              </w:tabs>
              <w:snapToGrid w:val="0"/>
              <w:jc w:val="center"/>
              <w:outlineLvl w:val="0"/>
              <w:rPr>
                <w:rFonts w:ascii="宋体" w:hAnsi="宋体" w:cs="宋体"/>
                <w:color w:val="auto"/>
                <w:sz w:val="21"/>
                <w:szCs w:val="21"/>
              </w:rPr>
            </w:pPr>
          </w:p>
        </w:tc>
      </w:tr>
    </w:tbl>
    <w:p w14:paraId="790230F6">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510F4314">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05C0D6C6">
      <w:pPr>
        <w:spacing w:line="500" w:lineRule="exact"/>
        <w:ind w:firstLine="720" w:firstLineChars="300"/>
        <w:rPr>
          <w:rFonts w:ascii="宋体" w:hAnsi="宋体" w:cs="宋体"/>
          <w:color w:val="auto"/>
          <w:sz w:val="24"/>
          <w:szCs w:val="28"/>
        </w:rPr>
      </w:pPr>
      <w:r>
        <w:rPr>
          <w:rFonts w:hint="eastAsia" w:ascii="宋体" w:hAnsi="宋体" w:cs="宋体"/>
          <w:color w:val="auto"/>
          <w:sz w:val="24"/>
          <w:szCs w:val="28"/>
        </w:rPr>
        <w:t>（供应商公章）                               （</w:t>
      </w:r>
      <w:r>
        <w:rPr>
          <w:rFonts w:hint="eastAsia" w:ascii="宋体" w:hAnsi="宋体" w:cs="宋体"/>
          <w:color w:val="auto"/>
          <w:sz w:val="24"/>
          <w:szCs w:val="24"/>
        </w:rPr>
        <w:t>签署</w:t>
      </w:r>
      <w:r>
        <w:rPr>
          <w:rFonts w:hint="eastAsia" w:ascii="宋体" w:hAnsi="宋体" w:cs="宋体"/>
          <w:color w:val="auto"/>
          <w:sz w:val="24"/>
          <w:szCs w:val="28"/>
        </w:rPr>
        <w:t>或盖章）</w:t>
      </w:r>
    </w:p>
    <w:p w14:paraId="23A97D6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5E7B96ED">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09F57264">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本表即为对本项目“第二篇  谈判项目技术（质量）需求”中所列条款进行比较和响应；</w:t>
      </w:r>
    </w:p>
    <w:p w14:paraId="3264069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2.本表可扩展。</w:t>
      </w:r>
    </w:p>
    <w:p w14:paraId="517B4EA3">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br w:type="page"/>
      </w:r>
      <w:bookmarkStart w:id="1156" w:name="_Toc12464"/>
      <w:bookmarkStart w:id="1157" w:name="_Toc2885"/>
      <w:bookmarkStart w:id="1158" w:name="_Toc12118"/>
      <w:r>
        <w:rPr>
          <w:rFonts w:hint="eastAsia" w:ascii="宋体" w:hAnsi="宋体" w:cs="宋体"/>
          <w:color w:val="auto"/>
          <w:sz w:val="24"/>
        </w:rPr>
        <w:t>（二）项目部组建承诺</w:t>
      </w:r>
    </w:p>
    <w:p w14:paraId="03BB742F">
      <w:pPr>
        <w:pStyle w:val="6"/>
        <w:spacing w:before="0" w:after="0" w:line="240" w:lineRule="auto"/>
        <w:jc w:val="center"/>
        <w:rPr>
          <w:rFonts w:hint="eastAsia" w:ascii="宋体" w:hAnsi="宋体" w:eastAsia="宋体" w:cs="宋体"/>
          <w:b w:val="0"/>
          <w:color w:val="auto"/>
          <w:kern w:val="2"/>
          <w:sz w:val="28"/>
          <w:szCs w:val="28"/>
          <w:highlight w:val="none"/>
          <w:lang w:val="en-US" w:eastAsia="zh-CN" w:bidi="ar-SA"/>
        </w:rPr>
      </w:pPr>
      <w:bookmarkStart w:id="1159" w:name="_Toc24753"/>
    </w:p>
    <w:p w14:paraId="72CCDC99">
      <w:pPr>
        <w:snapToGrid w:val="0"/>
        <w:spacing w:line="24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项目部组建承诺</w:t>
      </w:r>
      <w:bookmarkEnd w:id="1156"/>
      <w:bookmarkEnd w:id="1157"/>
      <w:bookmarkEnd w:id="1158"/>
      <w:bookmarkEnd w:id="1159"/>
    </w:p>
    <w:p w14:paraId="6B87BF7A">
      <w:pPr>
        <w:snapToGrid w:val="0"/>
        <w:spacing w:line="24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采购人</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w:t>
      </w:r>
    </w:p>
    <w:p w14:paraId="10A8206E">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名称）</w:t>
      </w:r>
      <w:r>
        <w:rPr>
          <w:rFonts w:hint="eastAsia" w:ascii="宋体" w:hAnsi="宋体" w:eastAsia="宋体" w:cs="宋体"/>
          <w:color w:val="auto"/>
          <w:sz w:val="24"/>
          <w:szCs w:val="24"/>
          <w:highlight w:val="none"/>
        </w:rPr>
        <w:t>参加了贵单位</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投标，自愿作出以下承诺：</w:t>
      </w:r>
    </w:p>
    <w:p w14:paraId="5A94D5ED">
      <w:pPr>
        <w:snapToGrid w:val="0"/>
        <w:spacing w:line="24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我公司若中标，在签订合同之前，将按照建设行政主管部门的要求组建施工项目部，配置</w:t>
      </w:r>
      <w:r>
        <w:rPr>
          <w:rFonts w:hint="eastAsia" w:ascii="宋体" w:hAnsi="宋体" w:eastAsia="宋体" w:cs="宋体"/>
          <w:color w:val="auto"/>
          <w:sz w:val="24"/>
          <w:szCs w:val="24"/>
          <w:highlight w:val="none"/>
          <w:lang w:val="en-US" w:eastAsia="zh-CN"/>
        </w:rPr>
        <w:t>2套</w:t>
      </w:r>
      <w:r>
        <w:rPr>
          <w:rFonts w:hint="eastAsia" w:ascii="宋体" w:hAnsi="宋体" w:eastAsia="宋体" w:cs="宋体"/>
          <w:color w:val="auto"/>
          <w:sz w:val="24"/>
          <w:szCs w:val="24"/>
          <w:highlight w:val="none"/>
        </w:rPr>
        <w:t>项目管理班子，出具任命文件</w:t>
      </w:r>
      <w:r>
        <w:rPr>
          <w:rFonts w:hint="eastAsia" w:ascii="宋体" w:hAnsi="宋体" w:eastAsia="宋体" w:cs="宋体"/>
          <w:color w:val="auto"/>
          <w:sz w:val="24"/>
          <w:szCs w:val="24"/>
          <w:highlight w:val="none"/>
          <w:lang w:eastAsia="zh-CN"/>
        </w:rPr>
        <w:t>，并满足采购人实际要求</w:t>
      </w:r>
      <w:r>
        <w:rPr>
          <w:rFonts w:hint="eastAsia" w:ascii="宋体" w:hAnsi="宋体" w:eastAsia="宋体" w:cs="宋体"/>
          <w:color w:val="auto"/>
          <w:sz w:val="24"/>
          <w:szCs w:val="24"/>
          <w:highlight w:val="none"/>
        </w:rPr>
        <w:t>。任命文件应当明确施工项目部的职责、岗位设置、人员配备，并书面通知</w:t>
      </w:r>
      <w:r>
        <w:rPr>
          <w:rFonts w:hint="eastAsia" w:ascii="宋体" w:hAnsi="宋体" w:eastAsia="宋体" w:cs="宋体"/>
          <w:color w:val="auto"/>
          <w:sz w:val="24"/>
          <w:szCs w:val="24"/>
          <w:highlight w:val="none"/>
          <w:lang w:val="en-US" w:eastAsia="zh-CN"/>
        </w:rPr>
        <w:t>贵单位</w:t>
      </w:r>
      <w:r>
        <w:rPr>
          <w:rFonts w:hint="eastAsia" w:ascii="宋体" w:hAnsi="宋体" w:eastAsia="宋体" w:cs="宋体"/>
          <w:color w:val="auto"/>
          <w:sz w:val="24"/>
          <w:szCs w:val="24"/>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eastAsia="宋体" w:cs="宋体"/>
          <w:color w:val="auto"/>
          <w:sz w:val="24"/>
          <w:szCs w:val="24"/>
          <w:highlight w:val="none"/>
          <w:lang w:val="en-US" w:eastAsia="zh-CN"/>
        </w:rPr>
        <w:t>贵单位</w:t>
      </w:r>
      <w:r>
        <w:rPr>
          <w:rFonts w:hint="eastAsia" w:ascii="宋体" w:hAnsi="宋体" w:eastAsia="宋体" w:cs="宋体"/>
          <w:color w:val="auto"/>
          <w:sz w:val="24"/>
          <w:szCs w:val="24"/>
          <w:highlight w:val="none"/>
        </w:rPr>
        <w:t>造成损失的，我公司依法承担违约赔偿责任。</w:t>
      </w:r>
    </w:p>
    <w:p w14:paraId="7350E404">
      <w:pPr>
        <w:snapToGrid w:val="0"/>
        <w:spacing w:line="240" w:lineRule="auto"/>
        <w:ind w:firstLine="480" w:firstLineChars="200"/>
        <w:rPr>
          <w:rFonts w:hint="eastAsia" w:ascii="宋体" w:hAnsi="宋体" w:eastAsia="宋体" w:cs="宋体"/>
          <w:color w:val="auto"/>
          <w:sz w:val="24"/>
          <w:szCs w:val="24"/>
          <w:highlight w:val="none"/>
          <w:lang w:val="en-US" w:eastAsia="zh-CN"/>
        </w:rPr>
      </w:pPr>
    </w:p>
    <w:p w14:paraId="2AC5486E">
      <w:pPr>
        <w:tabs>
          <w:tab w:val="left" w:pos="4200"/>
          <w:tab w:val="left" w:pos="4620"/>
        </w:tabs>
        <w:autoSpaceDE w:val="0"/>
        <w:autoSpaceDN w:val="0"/>
        <w:adjustRightInd w:val="0"/>
        <w:snapToGrid w:val="0"/>
        <w:spacing w:line="240" w:lineRule="auto"/>
        <w:jc w:val="left"/>
        <w:rPr>
          <w:rFonts w:hint="eastAsia" w:ascii="宋体" w:hAnsi="宋体" w:eastAsia="宋体" w:cs="宋体"/>
          <w:color w:val="auto"/>
          <w:kern w:val="0"/>
          <w:sz w:val="24"/>
          <w:szCs w:val="24"/>
          <w:highlight w:val="none"/>
        </w:rPr>
      </w:pPr>
    </w:p>
    <w:p w14:paraId="579E7480">
      <w:pPr>
        <w:tabs>
          <w:tab w:val="left" w:pos="4200"/>
          <w:tab w:val="left" w:pos="4620"/>
        </w:tabs>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应</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商：</w:t>
      </w:r>
      <w:r>
        <w:rPr>
          <w:rFonts w:hint="eastAsia" w:ascii="宋体" w:hAnsi="宋体" w:eastAsia="宋体" w:cs="宋体"/>
          <w:color w:val="auto"/>
          <w:w w:val="200"/>
          <w:kern w:val="0"/>
          <w:sz w:val="24"/>
          <w:szCs w:val="24"/>
          <w:highlight w:val="none"/>
          <w:u w:val="single"/>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1"/>
          <w:kern w:val="0"/>
          <w:sz w:val="24"/>
          <w:szCs w:val="24"/>
          <w:highlight w:val="none"/>
          <w:lang w:val="en-US" w:eastAsia="zh-CN"/>
        </w:rPr>
        <w:t>供应商公章</w:t>
      </w:r>
      <w:r>
        <w:rPr>
          <w:rFonts w:hint="eastAsia" w:ascii="宋体" w:hAnsi="宋体" w:eastAsia="宋体" w:cs="宋体"/>
          <w:color w:val="auto"/>
          <w:kern w:val="0"/>
          <w:sz w:val="24"/>
          <w:szCs w:val="24"/>
          <w:highlight w:val="none"/>
        </w:rPr>
        <w:t>）</w:t>
      </w:r>
    </w:p>
    <w:p w14:paraId="4A645FE0">
      <w:pPr>
        <w:tabs>
          <w:tab w:val="left" w:pos="6300"/>
        </w:tabs>
        <w:autoSpaceDE w:val="0"/>
        <w:autoSpaceDN w:val="0"/>
        <w:adjustRightInd w:val="0"/>
        <w:snapToGrid w:val="0"/>
        <w:spacing w:line="240" w:lineRule="auto"/>
        <w:ind w:firstLine="480" w:firstLineChars="200"/>
        <w:jc w:val="left"/>
        <w:rPr>
          <w:rFonts w:hint="eastAsia" w:ascii="宋体" w:hAnsi="宋体" w:eastAsia="宋体" w:cs="宋体"/>
          <w:color w:val="auto"/>
          <w:w w:val="200"/>
          <w:kern w:val="0"/>
          <w:sz w:val="24"/>
          <w:szCs w:val="24"/>
          <w:highlight w:val="none"/>
          <w:u w:val="single"/>
        </w:rPr>
      </w:pPr>
      <w:r>
        <w:rPr>
          <w:rFonts w:hint="eastAsia" w:ascii="宋体" w:hAnsi="宋体" w:eastAsia="宋体" w:cs="宋体"/>
          <w:color w:val="auto"/>
          <w:kern w:val="0"/>
          <w:sz w:val="24"/>
          <w:szCs w:val="24"/>
          <w:highlight w:val="none"/>
        </w:rPr>
        <w:t>法定代表人（或其授权代表）或自然人：</w:t>
      </w:r>
      <w:r>
        <w:rPr>
          <w:rFonts w:hint="eastAsia" w:ascii="宋体" w:hAnsi="宋体" w:eastAsia="宋体" w:cs="宋体"/>
          <w:color w:val="auto"/>
          <w:w w:val="200"/>
          <w:kern w:val="0"/>
          <w:sz w:val="24"/>
          <w:szCs w:val="24"/>
          <w:highlight w:val="none"/>
          <w:u w:val="single"/>
        </w:rPr>
        <w:t xml:space="preserve">          </w:t>
      </w:r>
      <w:r>
        <w:rPr>
          <w:rFonts w:hint="eastAsia" w:ascii="宋体" w:hAnsi="宋体" w:eastAsia="宋体" w:cs="宋体"/>
          <w:color w:val="auto"/>
          <w:spacing w:val="-1"/>
          <w:kern w:val="0"/>
          <w:sz w:val="24"/>
          <w:szCs w:val="24"/>
          <w:highlight w:val="none"/>
          <w:lang w:val="en-US" w:eastAsia="zh-CN"/>
        </w:rPr>
        <w:t>（签署或盖章）</w:t>
      </w:r>
    </w:p>
    <w:p w14:paraId="18D1DFD3">
      <w:pPr>
        <w:tabs>
          <w:tab w:val="left" w:pos="6300"/>
        </w:tabs>
        <w:autoSpaceDE w:val="0"/>
        <w:autoSpaceDN w:val="0"/>
        <w:adjustRightInd w:val="0"/>
        <w:snapToGrid w:val="0"/>
        <w:spacing w:line="240" w:lineRule="auto"/>
        <w:ind w:firstLine="480" w:firstLineChars="200"/>
        <w:jc w:val="left"/>
        <w:rPr>
          <w:rFonts w:hint="eastAsia" w:ascii="宋体" w:hAnsi="宋体" w:eastAsia="宋体" w:cs="宋体"/>
          <w:color w:val="auto"/>
          <w:kern w:val="0"/>
          <w:sz w:val="24"/>
          <w:szCs w:val="24"/>
          <w:highlight w:val="none"/>
        </w:rPr>
      </w:pPr>
    </w:p>
    <w:p w14:paraId="7808BD61">
      <w:pPr>
        <w:tabs>
          <w:tab w:val="left" w:pos="6300"/>
        </w:tabs>
        <w:autoSpaceDE w:val="0"/>
        <w:autoSpaceDN w:val="0"/>
        <w:adjustRightInd w:val="0"/>
        <w:snapToGrid w:val="0"/>
        <w:spacing w:line="240" w:lineRule="auto"/>
        <w:ind w:firstLine="480" w:firstLineChars="200"/>
        <w:jc w:val="right"/>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日</w:t>
      </w:r>
    </w:p>
    <w:p w14:paraId="17ECEEC2">
      <w:pPr>
        <w:tabs>
          <w:tab w:val="left" w:pos="6300"/>
        </w:tabs>
        <w:snapToGrid w:val="0"/>
        <w:spacing w:line="240" w:lineRule="auto"/>
        <w:ind w:firstLine="480" w:firstLineChars="200"/>
        <w:rPr>
          <w:rFonts w:hint="eastAsia" w:ascii="宋体" w:hAnsi="宋体" w:eastAsia="宋体" w:cs="宋体"/>
          <w:color w:val="auto"/>
          <w:sz w:val="24"/>
          <w:highlight w:val="none"/>
        </w:rPr>
      </w:pPr>
    </w:p>
    <w:p w14:paraId="2A490D59">
      <w:pPr>
        <w:tabs>
          <w:tab w:val="left" w:pos="6300"/>
        </w:tabs>
        <w:snapToGrid w:val="0"/>
        <w:spacing w:line="240" w:lineRule="auto"/>
        <w:ind w:firstLine="480" w:firstLineChars="200"/>
        <w:rPr>
          <w:rFonts w:hint="eastAsia" w:ascii="宋体" w:hAnsi="宋体" w:eastAsia="宋体" w:cs="宋体"/>
          <w:color w:val="auto"/>
          <w:sz w:val="24"/>
          <w:highlight w:val="none"/>
        </w:rPr>
      </w:pPr>
    </w:p>
    <w:p w14:paraId="5206F95A">
      <w:pPr>
        <w:rPr>
          <w:rFonts w:hint="eastAsia" w:ascii="宋体" w:hAnsi="宋体" w:cs="宋体"/>
          <w:color w:val="auto"/>
          <w:sz w:val="24"/>
        </w:rPr>
      </w:pPr>
      <w:r>
        <w:rPr>
          <w:rFonts w:hint="eastAsia" w:ascii="宋体" w:hAnsi="宋体" w:cs="宋体"/>
          <w:color w:val="auto"/>
          <w:sz w:val="24"/>
        </w:rPr>
        <w:br w:type="page"/>
      </w:r>
    </w:p>
    <w:p w14:paraId="20E95D3F">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w:t>
      </w:r>
      <w:r>
        <w:rPr>
          <w:rFonts w:hint="eastAsia" w:ascii="宋体" w:hAnsi="宋体" w:cs="宋体"/>
          <w:color w:val="auto"/>
          <w:sz w:val="24"/>
          <w:szCs w:val="24"/>
          <w:lang w:eastAsia="zh-CN"/>
        </w:rPr>
        <w:t>三</w:t>
      </w:r>
      <w:r>
        <w:rPr>
          <w:rFonts w:hint="eastAsia" w:ascii="宋体" w:hAnsi="宋体" w:cs="宋体"/>
          <w:color w:val="auto"/>
          <w:sz w:val="24"/>
          <w:szCs w:val="24"/>
        </w:rPr>
        <w:t>）其他资料（格式自定）</w:t>
      </w:r>
    </w:p>
    <w:p w14:paraId="6902E828">
      <w:pPr>
        <w:tabs>
          <w:tab w:val="left" w:pos="6300"/>
        </w:tabs>
        <w:snapToGrid w:val="0"/>
        <w:spacing w:line="500" w:lineRule="exact"/>
        <w:ind w:firstLine="480" w:firstLineChars="200"/>
        <w:rPr>
          <w:rFonts w:ascii="宋体" w:hAnsi="宋体" w:cs="宋体"/>
          <w:color w:val="auto"/>
          <w:sz w:val="24"/>
          <w:szCs w:val="24"/>
        </w:rPr>
      </w:pPr>
    </w:p>
    <w:p w14:paraId="1C5350AC">
      <w:pPr>
        <w:pStyle w:val="5"/>
        <w:adjustRightInd w:val="0"/>
        <w:snapToGrid w:val="0"/>
        <w:spacing w:before="0" w:after="0" w:line="400" w:lineRule="exact"/>
        <w:ind w:firstLine="640" w:firstLineChars="200"/>
        <w:rPr>
          <w:rFonts w:ascii="宋体" w:hAnsi="宋体" w:eastAsia="宋体" w:cs="宋体"/>
          <w:color w:val="auto"/>
          <w:sz w:val="24"/>
        </w:rPr>
      </w:pPr>
      <w:r>
        <w:rPr>
          <w:rFonts w:hint="eastAsia" w:ascii="宋体" w:hAnsi="宋体" w:eastAsia="宋体" w:cs="宋体"/>
          <w:b w:val="0"/>
          <w:color w:val="auto"/>
        </w:rPr>
        <w:br w:type="page"/>
      </w:r>
      <w:bookmarkStart w:id="1160" w:name="_Toc30336"/>
      <w:bookmarkStart w:id="1161" w:name="_Toc32158"/>
      <w:bookmarkStart w:id="1162" w:name="_Toc65660381"/>
      <w:bookmarkStart w:id="1163" w:name="_Toc32339"/>
      <w:bookmarkStart w:id="1164" w:name="_Toc3200"/>
      <w:bookmarkStart w:id="1165" w:name="_Toc313888362"/>
      <w:bookmarkStart w:id="1166" w:name="_Toc342913421"/>
      <w:bookmarkStart w:id="1167" w:name="_Toc313008358"/>
      <w:r>
        <w:rPr>
          <w:rFonts w:hint="eastAsia" w:ascii="宋体" w:hAnsi="宋体" w:eastAsia="宋体" w:cs="宋体"/>
          <w:color w:val="auto"/>
          <w:sz w:val="24"/>
        </w:rPr>
        <w:t>三、商务部分</w:t>
      </w:r>
      <w:bookmarkEnd w:id="1160"/>
      <w:bookmarkEnd w:id="1161"/>
      <w:bookmarkEnd w:id="1162"/>
      <w:bookmarkEnd w:id="1163"/>
      <w:bookmarkEnd w:id="1164"/>
    </w:p>
    <w:p w14:paraId="45D5D93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（一）商务响应偏离表</w:t>
      </w:r>
    </w:p>
    <w:p w14:paraId="673FD38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项目号：                               </w:t>
      </w:r>
    </w:p>
    <w:p w14:paraId="0D3E6756">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谈判项目名称：</w:t>
      </w:r>
    </w:p>
    <w:tbl>
      <w:tblPr>
        <w:tblStyle w:val="34"/>
        <w:tblW w:w="95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206"/>
        <w:gridCol w:w="2454"/>
        <w:gridCol w:w="2375"/>
      </w:tblGrid>
      <w:tr w14:paraId="577E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22" w:type="dxa"/>
            <w:vAlign w:val="center"/>
          </w:tcPr>
          <w:p w14:paraId="17566DBB">
            <w:pPr>
              <w:tabs>
                <w:tab w:val="left" w:pos="6300"/>
              </w:tabs>
              <w:snapToGrid w:val="0"/>
              <w:jc w:val="center"/>
              <w:outlineLvl w:val="0"/>
              <w:rPr>
                <w:rFonts w:ascii="宋体" w:hAnsi="宋体" w:cs="宋体"/>
                <w:b/>
                <w:color w:val="auto"/>
                <w:sz w:val="21"/>
                <w:szCs w:val="24"/>
              </w:rPr>
            </w:pPr>
            <w:r>
              <w:rPr>
                <w:rFonts w:hint="eastAsia" w:ascii="宋体" w:hAnsi="宋体" w:cs="宋体"/>
                <w:b/>
                <w:color w:val="auto"/>
                <w:sz w:val="21"/>
                <w:szCs w:val="24"/>
              </w:rPr>
              <w:t>序号</w:t>
            </w:r>
          </w:p>
        </w:tc>
        <w:tc>
          <w:tcPr>
            <w:tcW w:w="3206" w:type="dxa"/>
            <w:vAlign w:val="center"/>
          </w:tcPr>
          <w:p w14:paraId="4E8AC89F">
            <w:pPr>
              <w:tabs>
                <w:tab w:val="left" w:pos="6300"/>
              </w:tabs>
              <w:snapToGrid w:val="0"/>
              <w:jc w:val="center"/>
              <w:outlineLvl w:val="0"/>
              <w:rPr>
                <w:rFonts w:ascii="宋体" w:hAnsi="宋体" w:cs="宋体"/>
                <w:b/>
                <w:color w:val="auto"/>
                <w:sz w:val="21"/>
                <w:szCs w:val="24"/>
              </w:rPr>
            </w:pPr>
            <w:r>
              <w:rPr>
                <w:rFonts w:hint="eastAsia" w:ascii="宋体" w:hAnsi="宋体" w:cs="宋体"/>
                <w:b/>
                <w:color w:val="auto"/>
                <w:sz w:val="21"/>
                <w:szCs w:val="24"/>
              </w:rPr>
              <w:t>采购需求</w:t>
            </w:r>
          </w:p>
        </w:tc>
        <w:tc>
          <w:tcPr>
            <w:tcW w:w="2454" w:type="dxa"/>
            <w:vAlign w:val="center"/>
          </w:tcPr>
          <w:p w14:paraId="4D44E201">
            <w:pPr>
              <w:tabs>
                <w:tab w:val="left" w:pos="6300"/>
              </w:tabs>
              <w:snapToGrid w:val="0"/>
              <w:jc w:val="center"/>
              <w:outlineLvl w:val="0"/>
              <w:rPr>
                <w:rFonts w:ascii="宋体" w:hAnsi="宋体" w:cs="宋体"/>
                <w:b/>
                <w:color w:val="auto"/>
                <w:sz w:val="21"/>
                <w:szCs w:val="24"/>
              </w:rPr>
            </w:pPr>
            <w:r>
              <w:rPr>
                <w:rFonts w:hint="eastAsia" w:ascii="宋体" w:hAnsi="宋体" w:cs="宋体"/>
                <w:b/>
                <w:color w:val="auto"/>
                <w:sz w:val="21"/>
                <w:szCs w:val="24"/>
              </w:rPr>
              <w:t>响应情况</w:t>
            </w:r>
          </w:p>
        </w:tc>
        <w:tc>
          <w:tcPr>
            <w:tcW w:w="2375" w:type="dxa"/>
            <w:vAlign w:val="center"/>
          </w:tcPr>
          <w:p w14:paraId="5A9DBDEA">
            <w:pPr>
              <w:tabs>
                <w:tab w:val="left" w:pos="6300"/>
              </w:tabs>
              <w:snapToGrid w:val="0"/>
              <w:jc w:val="center"/>
              <w:outlineLvl w:val="0"/>
              <w:rPr>
                <w:rFonts w:ascii="宋体" w:hAnsi="宋体" w:cs="宋体"/>
                <w:b/>
                <w:color w:val="auto"/>
                <w:sz w:val="21"/>
                <w:szCs w:val="24"/>
              </w:rPr>
            </w:pPr>
            <w:r>
              <w:rPr>
                <w:rFonts w:hint="eastAsia" w:ascii="宋体" w:hAnsi="宋体" w:cs="宋体"/>
                <w:b/>
                <w:color w:val="auto"/>
                <w:sz w:val="21"/>
                <w:szCs w:val="21"/>
              </w:rPr>
              <w:t>差异说明</w:t>
            </w:r>
          </w:p>
        </w:tc>
      </w:tr>
      <w:tr w14:paraId="6554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2" w:type="dxa"/>
            <w:vAlign w:val="center"/>
          </w:tcPr>
          <w:p w14:paraId="31E45F1D">
            <w:pPr>
              <w:tabs>
                <w:tab w:val="left" w:pos="6300"/>
              </w:tabs>
              <w:snapToGrid w:val="0"/>
              <w:jc w:val="center"/>
              <w:outlineLvl w:val="0"/>
              <w:rPr>
                <w:rFonts w:ascii="宋体" w:hAnsi="宋体" w:cs="宋体"/>
                <w:color w:val="auto"/>
                <w:sz w:val="21"/>
                <w:szCs w:val="24"/>
              </w:rPr>
            </w:pPr>
          </w:p>
        </w:tc>
        <w:tc>
          <w:tcPr>
            <w:tcW w:w="3206" w:type="dxa"/>
            <w:vAlign w:val="center"/>
          </w:tcPr>
          <w:p w14:paraId="606FA7C1">
            <w:pPr>
              <w:tabs>
                <w:tab w:val="left" w:pos="6300"/>
              </w:tabs>
              <w:snapToGrid w:val="0"/>
              <w:jc w:val="center"/>
              <w:outlineLvl w:val="0"/>
              <w:rPr>
                <w:rFonts w:ascii="宋体" w:hAnsi="宋体" w:cs="宋体"/>
                <w:color w:val="auto"/>
                <w:sz w:val="21"/>
                <w:szCs w:val="24"/>
              </w:rPr>
            </w:pPr>
          </w:p>
        </w:tc>
        <w:tc>
          <w:tcPr>
            <w:tcW w:w="2454" w:type="dxa"/>
            <w:vAlign w:val="center"/>
          </w:tcPr>
          <w:p w14:paraId="1DAA76BC">
            <w:pPr>
              <w:tabs>
                <w:tab w:val="left" w:pos="6300"/>
              </w:tabs>
              <w:snapToGrid w:val="0"/>
              <w:outlineLvl w:val="0"/>
              <w:rPr>
                <w:rFonts w:ascii="宋体" w:hAnsi="宋体" w:cs="宋体"/>
                <w:color w:val="auto"/>
                <w:sz w:val="21"/>
                <w:szCs w:val="24"/>
              </w:rPr>
            </w:pPr>
            <w:r>
              <w:rPr>
                <w:rFonts w:hint="eastAsia" w:ascii="宋体" w:hAnsi="宋体" w:cs="宋体"/>
                <w:color w:val="auto"/>
                <w:sz w:val="21"/>
                <w:szCs w:val="21"/>
              </w:rPr>
              <w:t>提醒：请注明具体内容</w:t>
            </w:r>
          </w:p>
        </w:tc>
        <w:tc>
          <w:tcPr>
            <w:tcW w:w="2375" w:type="dxa"/>
            <w:vAlign w:val="center"/>
          </w:tcPr>
          <w:p w14:paraId="25968F49">
            <w:pPr>
              <w:tabs>
                <w:tab w:val="left" w:pos="6300"/>
              </w:tabs>
              <w:snapToGrid w:val="0"/>
              <w:jc w:val="center"/>
              <w:outlineLvl w:val="0"/>
              <w:rPr>
                <w:rFonts w:ascii="宋体" w:hAnsi="宋体" w:cs="宋体"/>
                <w:color w:val="auto"/>
                <w:sz w:val="21"/>
                <w:szCs w:val="24"/>
              </w:rPr>
            </w:pPr>
          </w:p>
        </w:tc>
      </w:tr>
      <w:tr w14:paraId="4FB2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2" w:type="dxa"/>
            <w:vAlign w:val="center"/>
          </w:tcPr>
          <w:p w14:paraId="533BEC9B">
            <w:pPr>
              <w:tabs>
                <w:tab w:val="left" w:pos="6300"/>
              </w:tabs>
              <w:snapToGrid w:val="0"/>
              <w:jc w:val="center"/>
              <w:outlineLvl w:val="0"/>
              <w:rPr>
                <w:rFonts w:ascii="宋体" w:hAnsi="宋体" w:cs="宋体"/>
                <w:color w:val="auto"/>
                <w:sz w:val="21"/>
                <w:szCs w:val="24"/>
              </w:rPr>
            </w:pPr>
          </w:p>
        </w:tc>
        <w:tc>
          <w:tcPr>
            <w:tcW w:w="3206" w:type="dxa"/>
            <w:vAlign w:val="center"/>
          </w:tcPr>
          <w:p w14:paraId="4AC98180">
            <w:pPr>
              <w:tabs>
                <w:tab w:val="left" w:pos="6300"/>
              </w:tabs>
              <w:snapToGrid w:val="0"/>
              <w:jc w:val="center"/>
              <w:outlineLvl w:val="0"/>
              <w:rPr>
                <w:rFonts w:ascii="宋体" w:hAnsi="宋体" w:cs="宋体"/>
                <w:color w:val="auto"/>
                <w:sz w:val="21"/>
                <w:szCs w:val="24"/>
              </w:rPr>
            </w:pPr>
          </w:p>
        </w:tc>
        <w:tc>
          <w:tcPr>
            <w:tcW w:w="2454" w:type="dxa"/>
            <w:vAlign w:val="center"/>
          </w:tcPr>
          <w:p w14:paraId="36671557">
            <w:pPr>
              <w:tabs>
                <w:tab w:val="left" w:pos="6300"/>
              </w:tabs>
              <w:snapToGrid w:val="0"/>
              <w:jc w:val="center"/>
              <w:outlineLvl w:val="0"/>
              <w:rPr>
                <w:rFonts w:ascii="宋体" w:hAnsi="宋体" w:cs="宋体"/>
                <w:color w:val="auto"/>
                <w:sz w:val="21"/>
                <w:szCs w:val="24"/>
              </w:rPr>
            </w:pPr>
          </w:p>
        </w:tc>
        <w:tc>
          <w:tcPr>
            <w:tcW w:w="2375" w:type="dxa"/>
            <w:vAlign w:val="center"/>
          </w:tcPr>
          <w:p w14:paraId="386613D3">
            <w:pPr>
              <w:tabs>
                <w:tab w:val="left" w:pos="6300"/>
              </w:tabs>
              <w:snapToGrid w:val="0"/>
              <w:jc w:val="center"/>
              <w:outlineLvl w:val="0"/>
              <w:rPr>
                <w:rFonts w:ascii="宋体" w:hAnsi="宋体" w:cs="宋体"/>
                <w:color w:val="auto"/>
                <w:sz w:val="21"/>
                <w:szCs w:val="24"/>
              </w:rPr>
            </w:pPr>
          </w:p>
        </w:tc>
      </w:tr>
      <w:tr w14:paraId="4712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2" w:type="dxa"/>
            <w:vAlign w:val="center"/>
          </w:tcPr>
          <w:p w14:paraId="0B663211">
            <w:pPr>
              <w:tabs>
                <w:tab w:val="left" w:pos="6300"/>
              </w:tabs>
              <w:snapToGrid w:val="0"/>
              <w:jc w:val="center"/>
              <w:outlineLvl w:val="0"/>
              <w:rPr>
                <w:rFonts w:ascii="宋体" w:hAnsi="宋体" w:cs="宋体"/>
                <w:color w:val="auto"/>
                <w:sz w:val="21"/>
                <w:szCs w:val="24"/>
              </w:rPr>
            </w:pPr>
          </w:p>
        </w:tc>
        <w:tc>
          <w:tcPr>
            <w:tcW w:w="3206" w:type="dxa"/>
            <w:vAlign w:val="center"/>
          </w:tcPr>
          <w:p w14:paraId="3E01CF49">
            <w:pPr>
              <w:tabs>
                <w:tab w:val="left" w:pos="6300"/>
              </w:tabs>
              <w:snapToGrid w:val="0"/>
              <w:jc w:val="center"/>
              <w:outlineLvl w:val="0"/>
              <w:rPr>
                <w:rFonts w:ascii="宋体" w:hAnsi="宋体" w:cs="宋体"/>
                <w:color w:val="auto"/>
                <w:sz w:val="21"/>
                <w:szCs w:val="24"/>
              </w:rPr>
            </w:pPr>
          </w:p>
        </w:tc>
        <w:tc>
          <w:tcPr>
            <w:tcW w:w="2454" w:type="dxa"/>
            <w:vAlign w:val="center"/>
          </w:tcPr>
          <w:p w14:paraId="10D640ED">
            <w:pPr>
              <w:tabs>
                <w:tab w:val="left" w:pos="6300"/>
              </w:tabs>
              <w:snapToGrid w:val="0"/>
              <w:jc w:val="center"/>
              <w:outlineLvl w:val="0"/>
              <w:rPr>
                <w:rFonts w:ascii="宋体" w:hAnsi="宋体" w:cs="宋体"/>
                <w:color w:val="auto"/>
                <w:sz w:val="21"/>
                <w:szCs w:val="24"/>
              </w:rPr>
            </w:pPr>
          </w:p>
        </w:tc>
        <w:tc>
          <w:tcPr>
            <w:tcW w:w="2375" w:type="dxa"/>
            <w:vAlign w:val="center"/>
          </w:tcPr>
          <w:p w14:paraId="512A29D4">
            <w:pPr>
              <w:tabs>
                <w:tab w:val="left" w:pos="6300"/>
              </w:tabs>
              <w:snapToGrid w:val="0"/>
              <w:jc w:val="center"/>
              <w:outlineLvl w:val="0"/>
              <w:rPr>
                <w:rFonts w:ascii="宋体" w:hAnsi="宋体" w:cs="宋体"/>
                <w:color w:val="auto"/>
                <w:sz w:val="21"/>
                <w:szCs w:val="24"/>
              </w:rPr>
            </w:pPr>
          </w:p>
        </w:tc>
      </w:tr>
      <w:tr w14:paraId="082C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2" w:type="dxa"/>
            <w:vAlign w:val="center"/>
          </w:tcPr>
          <w:p w14:paraId="28482DE7">
            <w:pPr>
              <w:tabs>
                <w:tab w:val="left" w:pos="6300"/>
              </w:tabs>
              <w:snapToGrid w:val="0"/>
              <w:jc w:val="center"/>
              <w:outlineLvl w:val="0"/>
              <w:rPr>
                <w:rFonts w:ascii="宋体" w:hAnsi="宋体" w:cs="宋体"/>
                <w:color w:val="auto"/>
                <w:sz w:val="21"/>
                <w:szCs w:val="24"/>
              </w:rPr>
            </w:pPr>
          </w:p>
        </w:tc>
        <w:tc>
          <w:tcPr>
            <w:tcW w:w="3206" w:type="dxa"/>
            <w:vAlign w:val="center"/>
          </w:tcPr>
          <w:p w14:paraId="4C0BBA0E">
            <w:pPr>
              <w:tabs>
                <w:tab w:val="left" w:pos="6300"/>
              </w:tabs>
              <w:snapToGrid w:val="0"/>
              <w:jc w:val="center"/>
              <w:outlineLvl w:val="0"/>
              <w:rPr>
                <w:rFonts w:ascii="宋体" w:hAnsi="宋体" w:cs="宋体"/>
                <w:color w:val="auto"/>
                <w:sz w:val="21"/>
                <w:szCs w:val="24"/>
              </w:rPr>
            </w:pPr>
          </w:p>
        </w:tc>
        <w:tc>
          <w:tcPr>
            <w:tcW w:w="2454" w:type="dxa"/>
            <w:vAlign w:val="center"/>
          </w:tcPr>
          <w:p w14:paraId="62233AFC">
            <w:pPr>
              <w:tabs>
                <w:tab w:val="left" w:pos="6300"/>
              </w:tabs>
              <w:snapToGrid w:val="0"/>
              <w:jc w:val="center"/>
              <w:outlineLvl w:val="0"/>
              <w:rPr>
                <w:rFonts w:ascii="宋体" w:hAnsi="宋体" w:cs="宋体"/>
                <w:color w:val="auto"/>
                <w:sz w:val="21"/>
                <w:szCs w:val="24"/>
              </w:rPr>
            </w:pPr>
          </w:p>
        </w:tc>
        <w:tc>
          <w:tcPr>
            <w:tcW w:w="2375" w:type="dxa"/>
            <w:vAlign w:val="center"/>
          </w:tcPr>
          <w:p w14:paraId="1C028577">
            <w:pPr>
              <w:tabs>
                <w:tab w:val="left" w:pos="6300"/>
              </w:tabs>
              <w:snapToGrid w:val="0"/>
              <w:jc w:val="center"/>
              <w:outlineLvl w:val="0"/>
              <w:rPr>
                <w:rFonts w:ascii="宋体" w:hAnsi="宋体" w:cs="宋体"/>
                <w:color w:val="auto"/>
                <w:sz w:val="21"/>
                <w:szCs w:val="24"/>
              </w:rPr>
            </w:pPr>
          </w:p>
        </w:tc>
      </w:tr>
      <w:tr w14:paraId="7BB5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2" w:type="dxa"/>
            <w:vAlign w:val="center"/>
          </w:tcPr>
          <w:p w14:paraId="00A5BFA0">
            <w:pPr>
              <w:tabs>
                <w:tab w:val="left" w:pos="6300"/>
              </w:tabs>
              <w:snapToGrid w:val="0"/>
              <w:jc w:val="center"/>
              <w:outlineLvl w:val="0"/>
              <w:rPr>
                <w:rFonts w:ascii="宋体" w:hAnsi="宋体" w:cs="宋体"/>
                <w:color w:val="auto"/>
                <w:sz w:val="21"/>
                <w:szCs w:val="24"/>
              </w:rPr>
            </w:pPr>
          </w:p>
        </w:tc>
        <w:tc>
          <w:tcPr>
            <w:tcW w:w="3206" w:type="dxa"/>
            <w:vAlign w:val="center"/>
          </w:tcPr>
          <w:p w14:paraId="55D58A6A">
            <w:pPr>
              <w:tabs>
                <w:tab w:val="left" w:pos="6300"/>
              </w:tabs>
              <w:snapToGrid w:val="0"/>
              <w:jc w:val="center"/>
              <w:outlineLvl w:val="0"/>
              <w:rPr>
                <w:rFonts w:ascii="宋体" w:hAnsi="宋体" w:cs="宋体"/>
                <w:color w:val="auto"/>
                <w:sz w:val="21"/>
                <w:szCs w:val="24"/>
              </w:rPr>
            </w:pPr>
          </w:p>
        </w:tc>
        <w:tc>
          <w:tcPr>
            <w:tcW w:w="2454" w:type="dxa"/>
            <w:vAlign w:val="center"/>
          </w:tcPr>
          <w:p w14:paraId="38CE5CB3">
            <w:pPr>
              <w:tabs>
                <w:tab w:val="left" w:pos="6300"/>
              </w:tabs>
              <w:snapToGrid w:val="0"/>
              <w:jc w:val="center"/>
              <w:outlineLvl w:val="0"/>
              <w:rPr>
                <w:rFonts w:ascii="宋体" w:hAnsi="宋体" w:cs="宋体"/>
                <w:color w:val="auto"/>
                <w:sz w:val="21"/>
                <w:szCs w:val="24"/>
              </w:rPr>
            </w:pPr>
          </w:p>
        </w:tc>
        <w:tc>
          <w:tcPr>
            <w:tcW w:w="2375" w:type="dxa"/>
            <w:vAlign w:val="center"/>
          </w:tcPr>
          <w:p w14:paraId="748459A8">
            <w:pPr>
              <w:tabs>
                <w:tab w:val="left" w:pos="6300"/>
              </w:tabs>
              <w:snapToGrid w:val="0"/>
              <w:jc w:val="center"/>
              <w:outlineLvl w:val="0"/>
              <w:rPr>
                <w:rFonts w:ascii="宋体" w:hAnsi="宋体" w:cs="宋体"/>
                <w:color w:val="auto"/>
                <w:sz w:val="21"/>
                <w:szCs w:val="24"/>
              </w:rPr>
            </w:pPr>
          </w:p>
        </w:tc>
      </w:tr>
      <w:tr w14:paraId="7F25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22" w:type="dxa"/>
            <w:vAlign w:val="center"/>
          </w:tcPr>
          <w:p w14:paraId="4FD8D07E">
            <w:pPr>
              <w:tabs>
                <w:tab w:val="left" w:pos="6300"/>
              </w:tabs>
              <w:snapToGrid w:val="0"/>
              <w:jc w:val="center"/>
              <w:outlineLvl w:val="0"/>
              <w:rPr>
                <w:rFonts w:ascii="宋体" w:hAnsi="宋体" w:cs="宋体"/>
                <w:color w:val="auto"/>
                <w:sz w:val="21"/>
                <w:szCs w:val="24"/>
              </w:rPr>
            </w:pPr>
          </w:p>
        </w:tc>
        <w:tc>
          <w:tcPr>
            <w:tcW w:w="3206" w:type="dxa"/>
            <w:vAlign w:val="center"/>
          </w:tcPr>
          <w:p w14:paraId="0F2327AE">
            <w:pPr>
              <w:tabs>
                <w:tab w:val="left" w:pos="6300"/>
              </w:tabs>
              <w:snapToGrid w:val="0"/>
              <w:jc w:val="center"/>
              <w:outlineLvl w:val="0"/>
              <w:rPr>
                <w:rFonts w:ascii="宋体" w:hAnsi="宋体" w:cs="宋体"/>
                <w:color w:val="auto"/>
                <w:sz w:val="21"/>
                <w:szCs w:val="24"/>
              </w:rPr>
            </w:pPr>
          </w:p>
        </w:tc>
        <w:tc>
          <w:tcPr>
            <w:tcW w:w="2454" w:type="dxa"/>
            <w:vAlign w:val="center"/>
          </w:tcPr>
          <w:p w14:paraId="5540439B">
            <w:pPr>
              <w:tabs>
                <w:tab w:val="left" w:pos="6300"/>
              </w:tabs>
              <w:snapToGrid w:val="0"/>
              <w:jc w:val="center"/>
              <w:outlineLvl w:val="0"/>
              <w:rPr>
                <w:rFonts w:ascii="宋体" w:hAnsi="宋体" w:cs="宋体"/>
                <w:color w:val="auto"/>
                <w:sz w:val="21"/>
                <w:szCs w:val="24"/>
              </w:rPr>
            </w:pPr>
          </w:p>
        </w:tc>
        <w:tc>
          <w:tcPr>
            <w:tcW w:w="2375" w:type="dxa"/>
            <w:vAlign w:val="center"/>
          </w:tcPr>
          <w:p w14:paraId="56191632">
            <w:pPr>
              <w:tabs>
                <w:tab w:val="left" w:pos="6300"/>
              </w:tabs>
              <w:snapToGrid w:val="0"/>
              <w:jc w:val="center"/>
              <w:outlineLvl w:val="0"/>
              <w:rPr>
                <w:rFonts w:ascii="宋体" w:hAnsi="宋体" w:cs="宋体"/>
                <w:color w:val="auto"/>
                <w:sz w:val="21"/>
                <w:szCs w:val="24"/>
              </w:rPr>
            </w:pPr>
          </w:p>
        </w:tc>
      </w:tr>
      <w:tr w14:paraId="5020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22" w:type="dxa"/>
            <w:vAlign w:val="center"/>
          </w:tcPr>
          <w:p w14:paraId="7D9AA86C">
            <w:pPr>
              <w:tabs>
                <w:tab w:val="left" w:pos="6300"/>
              </w:tabs>
              <w:snapToGrid w:val="0"/>
              <w:jc w:val="center"/>
              <w:outlineLvl w:val="0"/>
              <w:rPr>
                <w:rFonts w:ascii="宋体" w:hAnsi="宋体" w:cs="宋体"/>
                <w:color w:val="auto"/>
                <w:sz w:val="21"/>
                <w:szCs w:val="24"/>
              </w:rPr>
            </w:pPr>
          </w:p>
        </w:tc>
        <w:tc>
          <w:tcPr>
            <w:tcW w:w="3206" w:type="dxa"/>
            <w:vAlign w:val="center"/>
          </w:tcPr>
          <w:p w14:paraId="19FE7A05">
            <w:pPr>
              <w:tabs>
                <w:tab w:val="left" w:pos="6300"/>
              </w:tabs>
              <w:snapToGrid w:val="0"/>
              <w:jc w:val="center"/>
              <w:outlineLvl w:val="0"/>
              <w:rPr>
                <w:rFonts w:ascii="宋体" w:hAnsi="宋体" w:cs="宋体"/>
                <w:color w:val="auto"/>
                <w:sz w:val="21"/>
                <w:szCs w:val="24"/>
              </w:rPr>
            </w:pPr>
          </w:p>
        </w:tc>
        <w:tc>
          <w:tcPr>
            <w:tcW w:w="2454" w:type="dxa"/>
            <w:vAlign w:val="center"/>
          </w:tcPr>
          <w:p w14:paraId="6567F3CB">
            <w:pPr>
              <w:tabs>
                <w:tab w:val="left" w:pos="6300"/>
              </w:tabs>
              <w:snapToGrid w:val="0"/>
              <w:jc w:val="center"/>
              <w:outlineLvl w:val="0"/>
              <w:rPr>
                <w:rFonts w:ascii="宋体" w:hAnsi="宋体" w:cs="宋体"/>
                <w:color w:val="auto"/>
                <w:sz w:val="21"/>
                <w:szCs w:val="24"/>
              </w:rPr>
            </w:pPr>
          </w:p>
        </w:tc>
        <w:tc>
          <w:tcPr>
            <w:tcW w:w="2375" w:type="dxa"/>
            <w:vAlign w:val="center"/>
          </w:tcPr>
          <w:p w14:paraId="767EFA90">
            <w:pPr>
              <w:tabs>
                <w:tab w:val="left" w:pos="6300"/>
              </w:tabs>
              <w:snapToGrid w:val="0"/>
              <w:jc w:val="center"/>
              <w:outlineLvl w:val="0"/>
              <w:rPr>
                <w:rFonts w:ascii="宋体" w:hAnsi="宋体" w:cs="宋体"/>
                <w:color w:val="auto"/>
                <w:sz w:val="21"/>
                <w:szCs w:val="24"/>
              </w:rPr>
            </w:pPr>
          </w:p>
        </w:tc>
      </w:tr>
      <w:tr w14:paraId="4D7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522" w:type="dxa"/>
            <w:vAlign w:val="center"/>
          </w:tcPr>
          <w:p w14:paraId="1E416C32">
            <w:pPr>
              <w:tabs>
                <w:tab w:val="left" w:pos="6300"/>
              </w:tabs>
              <w:snapToGrid w:val="0"/>
              <w:jc w:val="center"/>
              <w:outlineLvl w:val="0"/>
              <w:rPr>
                <w:rFonts w:ascii="宋体" w:hAnsi="宋体" w:cs="宋体"/>
                <w:color w:val="auto"/>
                <w:sz w:val="21"/>
                <w:szCs w:val="24"/>
              </w:rPr>
            </w:pPr>
          </w:p>
        </w:tc>
        <w:tc>
          <w:tcPr>
            <w:tcW w:w="3206" w:type="dxa"/>
            <w:vAlign w:val="center"/>
          </w:tcPr>
          <w:p w14:paraId="54D6F5EE">
            <w:pPr>
              <w:tabs>
                <w:tab w:val="left" w:pos="6300"/>
              </w:tabs>
              <w:snapToGrid w:val="0"/>
              <w:jc w:val="center"/>
              <w:outlineLvl w:val="0"/>
              <w:rPr>
                <w:rFonts w:ascii="宋体" w:hAnsi="宋体" w:cs="宋体"/>
                <w:color w:val="auto"/>
                <w:sz w:val="21"/>
                <w:szCs w:val="24"/>
              </w:rPr>
            </w:pPr>
          </w:p>
        </w:tc>
        <w:tc>
          <w:tcPr>
            <w:tcW w:w="2454" w:type="dxa"/>
            <w:vAlign w:val="center"/>
          </w:tcPr>
          <w:p w14:paraId="4AFAC7C2">
            <w:pPr>
              <w:tabs>
                <w:tab w:val="left" w:pos="6300"/>
              </w:tabs>
              <w:snapToGrid w:val="0"/>
              <w:jc w:val="center"/>
              <w:outlineLvl w:val="0"/>
              <w:rPr>
                <w:rFonts w:ascii="宋体" w:hAnsi="宋体" w:cs="宋体"/>
                <w:color w:val="auto"/>
                <w:sz w:val="21"/>
                <w:szCs w:val="24"/>
              </w:rPr>
            </w:pPr>
          </w:p>
        </w:tc>
        <w:tc>
          <w:tcPr>
            <w:tcW w:w="2375" w:type="dxa"/>
            <w:vAlign w:val="center"/>
          </w:tcPr>
          <w:p w14:paraId="78C4B39A">
            <w:pPr>
              <w:tabs>
                <w:tab w:val="left" w:pos="6300"/>
              </w:tabs>
              <w:snapToGrid w:val="0"/>
              <w:jc w:val="center"/>
              <w:outlineLvl w:val="0"/>
              <w:rPr>
                <w:rFonts w:ascii="宋体" w:hAnsi="宋体" w:cs="宋体"/>
                <w:color w:val="auto"/>
                <w:sz w:val="21"/>
                <w:szCs w:val="24"/>
              </w:rPr>
            </w:pPr>
          </w:p>
        </w:tc>
      </w:tr>
    </w:tbl>
    <w:p w14:paraId="15BFCC32">
      <w:pPr>
        <w:spacing w:line="500" w:lineRule="exact"/>
        <w:ind w:firstLine="600" w:firstLineChars="250"/>
        <w:rPr>
          <w:rFonts w:ascii="宋体" w:hAnsi="宋体" w:cs="宋体"/>
          <w:color w:val="auto"/>
          <w:sz w:val="24"/>
          <w:szCs w:val="28"/>
        </w:rPr>
      </w:pPr>
      <w:r>
        <w:rPr>
          <w:rFonts w:hint="eastAsia" w:ascii="宋体" w:hAnsi="宋体" w:cs="宋体"/>
          <w:color w:val="auto"/>
          <w:sz w:val="24"/>
          <w:szCs w:val="28"/>
        </w:rPr>
        <w:t xml:space="preserve">供应商：                          </w:t>
      </w:r>
      <w:r>
        <w:rPr>
          <w:rFonts w:hint="eastAsia" w:ascii="宋体" w:hAnsi="宋体" w:cs="宋体"/>
          <w:color w:val="auto"/>
          <w:sz w:val="24"/>
          <w:szCs w:val="24"/>
        </w:rPr>
        <w:t>法定代表人（或其授权代表）或自然人</w:t>
      </w:r>
      <w:r>
        <w:rPr>
          <w:rFonts w:hint="eastAsia" w:ascii="宋体" w:hAnsi="宋体" w:cs="宋体"/>
          <w:color w:val="auto"/>
          <w:sz w:val="24"/>
          <w:szCs w:val="28"/>
        </w:rPr>
        <w:t>：</w:t>
      </w:r>
    </w:p>
    <w:p w14:paraId="2BE6D612">
      <w:pPr>
        <w:spacing w:line="500" w:lineRule="exact"/>
        <w:rPr>
          <w:rFonts w:ascii="宋体" w:hAnsi="宋体" w:cs="宋体"/>
          <w:color w:val="auto"/>
          <w:sz w:val="24"/>
          <w:szCs w:val="28"/>
        </w:rPr>
      </w:pPr>
      <w:r>
        <w:rPr>
          <w:rFonts w:hint="eastAsia" w:ascii="宋体" w:hAnsi="宋体" w:cs="宋体"/>
          <w:color w:val="auto"/>
          <w:sz w:val="24"/>
          <w:szCs w:val="28"/>
        </w:rPr>
        <w:t xml:space="preserve">    </w:t>
      </w:r>
    </w:p>
    <w:p w14:paraId="5FD1DDE2">
      <w:pPr>
        <w:spacing w:line="500" w:lineRule="exact"/>
        <w:ind w:firstLine="360" w:firstLineChars="150"/>
        <w:rPr>
          <w:rFonts w:ascii="宋体" w:hAnsi="宋体" w:cs="宋体"/>
          <w:color w:val="auto"/>
          <w:sz w:val="24"/>
          <w:szCs w:val="28"/>
        </w:rPr>
      </w:pPr>
      <w:r>
        <w:rPr>
          <w:rFonts w:hint="eastAsia" w:ascii="宋体" w:hAnsi="宋体" w:cs="宋体"/>
          <w:color w:val="auto"/>
          <w:sz w:val="24"/>
          <w:szCs w:val="28"/>
        </w:rPr>
        <w:t>（供应商公章）                                     （签署或盖章）</w:t>
      </w:r>
    </w:p>
    <w:p w14:paraId="07AD673B">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szCs w:val="28"/>
        </w:rPr>
        <w:t xml:space="preserve">                                                  年     月     日</w:t>
      </w:r>
    </w:p>
    <w:p w14:paraId="4BE9D167">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rPr>
        <w:t>注：</w:t>
      </w:r>
    </w:p>
    <w:p w14:paraId="254D2391">
      <w:pPr>
        <w:tabs>
          <w:tab w:val="left" w:pos="6300"/>
        </w:tabs>
        <w:snapToGrid w:val="0"/>
        <w:spacing w:line="400" w:lineRule="exact"/>
        <w:ind w:firstLine="480" w:firstLineChars="200"/>
        <w:rPr>
          <w:rFonts w:ascii="宋体" w:hAnsi="宋体" w:cs="宋体"/>
          <w:color w:val="auto"/>
          <w:sz w:val="24"/>
        </w:rPr>
      </w:pPr>
      <w:r>
        <w:rPr>
          <w:rFonts w:hint="eastAsia" w:ascii="宋体" w:hAnsi="宋体" w:cs="宋体"/>
          <w:color w:val="auto"/>
          <w:sz w:val="24"/>
          <w:szCs w:val="24"/>
        </w:rPr>
        <w:t>1</w:t>
      </w:r>
      <w:r>
        <w:rPr>
          <w:rFonts w:hint="eastAsia" w:ascii="宋体" w:hAnsi="宋体" w:cs="宋体"/>
          <w:color w:val="auto"/>
          <w:sz w:val="24"/>
        </w:rPr>
        <w:t>.</w:t>
      </w:r>
      <w:r>
        <w:rPr>
          <w:rFonts w:hint="eastAsia" w:ascii="宋体" w:hAnsi="宋体" w:cs="宋体"/>
          <w:color w:val="auto"/>
          <w:sz w:val="24"/>
          <w:szCs w:val="24"/>
        </w:rPr>
        <w:t>本表即为对本项目“第三篇  谈判项目商务需求”中所列条款进行比较和响应；</w:t>
      </w:r>
    </w:p>
    <w:p w14:paraId="2582F095">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rPr>
        <w:t>2.本表可扩展</w:t>
      </w:r>
      <w:r>
        <w:rPr>
          <w:rFonts w:hint="eastAsia" w:ascii="宋体" w:hAnsi="宋体" w:cs="宋体"/>
          <w:color w:val="auto"/>
          <w:sz w:val="24"/>
          <w:szCs w:val="24"/>
        </w:rPr>
        <w:t>。</w:t>
      </w:r>
    </w:p>
    <w:p w14:paraId="637DF3AC">
      <w:pPr>
        <w:tabs>
          <w:tab w:val="left" w:pos="6300"/>
        </w:tabs>
        <w:snapToGrid w:val="0"/>
        <w:spacing w:line="480" w:lineRule="exact"/>
        <w:ind w:firstLine="480" w:firstLineChars="200"/>
        <w:rPr>
          <w:rFonts w:ascii="宋体" w:hAnsi="宋体" w:cs="宋体"/>
          <w:color w:val="auto"/>
          <w:sz w:val="24"/>
          <w:szCs w:val="24"/>
        </w:rPr>
      </w:pPr>
    </w:p>
    <w:p w14:paraId="37641D15">
      <w:pPr>
        <w:tabs>
          <w:tab w:val="left" w:pos="6300"/>
        </w:tabs>
        <w:snapToGrid w:val="0"/>
        <w:spacing w:line="480" w:lineRule="exact"/>
        <w:ind w:firstLine="480" w:firstLineChars="200"/>
        <w:rPr>
          <w:rFonts w:ascii="宋体" w:hAnsi="宋体" w:cs="宋体"/>
          <w:color w:val="auto"/>
          <w:sz w:val="24"/>
          <w:szCs w:val="24"/>
        </w:rPr>
      </w:pPr>
    </w:p>
    <w:p w14:paraId="6F2181A8">
      <w:pPr>
        <w:tabs>
          <w:tab w:val="left" w:pos="6300"/>
        </w:tabs>
        <w:snapToGrid w:val="0"/>
        <w:spacing w:line="480" w:lineRule="exact"/>
        <w:ind w:firstLine="480" w:firstLineChars="200"/>
        <w:rPr>
          <w:rFonts w:ascii="宋体" w:hAnsi="宋体" w:cs="宋体"/>
          <w:color w:val="auto"/>
          <w:sz w:val="24"/>
          <w:szCs w:val="24"/>
        </w:rPr>
      </w:pPr>
    </w:p>
    <w:p w14:paraId="05A387DC">
      <w:pPr>
        <w:tabs>
          <w:tab w:val="left" w:pos="6300"/>
        </w:tabs>
        <w:snapToGrid w:val="0"/>
        <w:spacing w:line="480" w:lineRule="exact"/>
        <w:ind w:firstLine="480" w:firstLineChars="200"/>
        <w:rPr>
          <w:rFonts w:ascii="宋体" w:hAnsi="宋体" w:cs="宋体"/>
          <w:color w:val="auto"/>
          <w:sz w:val="24"/>
          <w:szCs w:val="24"/>
        </w:rPr>
      </w:pPr>
    </w:p>
    <w:p w14:paraId="053CB268">
      <w:pPr>
        <w:tabs>
          <w:tab w:val="left" w:pos="6300"/>
        </w:tabs>
        <w:snapToGrid w:val="0"/>
        <w:spacing w:line="48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（二）其它优惠服务承诺（格式自定）</w:t>
      </w:r>
    </w:p>
    <w:p w14:paraId="2F449228">
      <w:pPr>
        <w:tabs>
          <w:tab w:val="left" w:pos="6300"/>
        </w:tabs>
        <w:snapToGrid w:val="0"/>
        <w:spacing w:line="480" w:lineRule="exact"/>
        <w:ind w:firstLine="480" w:firstLineChars="200"/>
        <w:rPr>
          <w:rFonts w:ascii="宋体" w:hAnsi="宋体" w:cs="宋体"/>
          <w:color w:val="auto"/>
          <w:sz w:val="24"/>
          <w:szCs w:val="24"/>
        </w:rPr>
      </w:pPr>
    </w:p>
    <w:p w14:paraId="54C72FC4">
      <w:pPr>
        <w:pStyle w:val="5"/>
        <w:adjustRightInd w:val="0"/>
        <w:snapToGrid w:val="0"/>
        <w:spacing w:before="0" w:after="0" w:line="400" w:lineRule="exact"/>
        <w:ind w:firstLine="482" w:firstLineChars="200"/>
        <w:rPr>
          <w:rFonts w:ascii="宋体" w:hAnsi="宋体" w:eastAsia="宋体" w:cs="宋体"/>
          <w:color w:val="auto"/>
          <w:sz w:val="24"/>
        </w:rPr>
      </w:pPr>
      <w:r>
        <w:rPr>
          <w:rFonts w:hint="eastAsia" w:ascii="宋体" w:hAnsi="宋体" w:eastAsia="宋体" w:cs="宋体"/>
          <w:color w:val="auto"/>
          <w:sz w:val="24"/>
          <w:szCs w:val="24"/>
        </w:rPr>
        <w:br w:type="page"/>
      </w:r>
      <w:bookmarkStart w:id="1168" w:name="_Toc20483"/>
      <w:bookmarkStart w:id="1169" w:name="_Toc20162"/>
      <w:bookmarkStart w:id="1170" w:name="_Toc65660382"/>
      <w:bookmarkStart w:id="1171" w:name="_Toc30766"/>
      <w:bookmarkStart w:id="1172" w:name="_Toc2082"/>
      <w:r>
        <w:rPr>
          <w:rFonts w:hint="eastAsia" w:ascii="宋体" w:hAnsi="宋体" w:eastAsia="宋体" w:cs="宋体"/>
          <w:color w:val="auto"/>
          <w:sz w:val="24"/>
        </w:rPr>
        <w:t>四、</w:t>
      </w:r>
      <w:bookmarkEnd w:id="1165"/>
      <w:bookmarkEnd w:id="1166"/>
      <w:bookmarkEnd w:id="1167"/>
      <w:r>
        <w:rPr>
          <w:rFonts w:hint="eastAsia" w:ascii="宋体" w:hAnsi="宋体" w:eastAsia="宋体" w:cs="宋体"/>
          <w:color w:val="auto"/>
          <w:sz w:val="24"/>
        </w:rPr>
        <w:t>资格条件及其他</w:t>
      </w:r>
      <w:bookmarkEnd w:id="1168"/>
      <w:bookmarkEnd w:id="1169"/>
      <w:bookmarkEnd w:id="1170"/>
      <w:bookmarkEnd w:id="1171"/>
      <w:bookmarkEnd w:id="1172"/>
      <w:bookmarkStart w:id="1173" w:name="_Toc313888363"/>
      <w:bookmarkStart w:id="1174" w:name="_Toc313008359"/>
      <w:bookmarkStart w:id="1175" w:name="_Toc342913422"/>
    </w:p>
    <w:p w14:paraId="599174B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2D9FE4F3">
      <w:pPr>
        <w:tabs>
          <w:tab w:val="left" w:pos="6300"/>
        </w:tabs>
        <w:snapToGrid w:val="0"/>
        <w:spacing w:line="500" w:lineRule="exact"/>
        <w:ind w:firstLine="570"/>
        <w:rPr>
          <w:rFonts w:ascii="宋体" w:hAnsi="宋体" w:cs="宋体"/>
          <w:color w:val="auto"/>
          <w:sz w:val="24"/>
          <w:szCs w:val="24"/>
        </w:rPr>
      </w:pPr>
    </w:p>
    <w:p w14:paraId="61342A4A">
      <w:pPr>
        <w:tabs>
          <w:tab w:val="left" w:pos="6300"/>
        </w:tabs>
        <w:snapToGrid w:val="0"/>
        <w:spacing w:line="500" w:lineRule="exact"/>
        <w:ind w:firstLine="570"/>
        <w:rPr>
          <w:rFonts w:ascii="宋体" w:hAnsi="宋体" w:cs="宋体"/>
          <w:color w:val="auto"/>
        </w:rPr>
      </w:pPr>
    </w:p>
    <w:p w14:paraId="50B74677">
      <w:pPr>
        <w:tabs>
          <w:tab w:val="left" w:pos="6300"/>
        </w:tabs>
        <w:snapToGrid w:val="0"/>
        <w:spacing w:line="500" w:lineRule="exact"/>
        <w:ind w:firstLine="570"/>
        <w:rPr>
          <w:rFonts w:ascii="宋体" w:hAnsi="宋体" w:cs="宋体"/>
          <w:color w:val="auto"/>
        </w:rPr>
      </w:pPr>
    </w:p>
    <w:p w14:paraId="49834F02">
      <w:pPr>
        <w:tabs>
          <w:tab w:val="left" w:pos="6300"/>
        </w:tabs>
        <w:snapToGrid w:val="0"/>
        <w:spacing w:line="500" w:lineRule="exact"/>
        <w:ind w:firstLine="570"/>
        <w:rPr>
          <w:rFonts w:ascii="宋体" w:hAnsi="宋体" w:cs="宋体"/>
          <w:color w:val="auto"/>
        </w:rPr>
      </w:pPr>
    </w:p>
    <w:p w14:paraId="7E6B407B">
      <w:pPr>
        <w:tabs>
          <w:tab w:val="left" w:pos="6300"/>
        </w:tabs>
        <w:snapToGrid w:val="0"/>
        <w:spacing w:line="500" w:lineRule="exact"/>
        <w:ind w:firstLine="570"/>
        <w:rPr>
          <w:rFonts w:ascii="宋体" w:hAnsi="宋体" w:cs="宋体"/>
          <w:color w:val="auto"/>
        </w:rPr>
      </w:pPr>
    </w:p>
    <w:p w14:paraId="07F9B0D8">
      <w:pPr>
        <w:widowControl/>
        <w:spacing w:line="400" w:lineRule="exact"/>
        <w:ind w:firstLine="560" w:firstLineChars="200"/>
        <w:jc w:val="center"/>
        <w:rPr>
          <w:rFonts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（二）法定代表人身份证明书（格式）</w:t>
      </w:r>
    </w:p>
    <w:p w14:paraId="7139BED1">
      <w:pPr>
        <w:tabs>
          <w:tab w:val="left" w:pos="6300"/>
        </w:tabs>
        <w:snapToGrid w:val="0"/>
        <w:spacing w:line="500" w:lineRule="exact"/>
        <w:ind w:firstLine="570"/>
        <w:rPr>
          <w:rFonts w:ascii="宋体" w:hAnsi="宋体" w:cs="宋体"/>
          <w:color w:val="auto"/>
          <w:sz w:val="24"/>
        </w:rPr>
      </w:pPr>
    </w:p>
    <w:p w14:paraId="5D4CD23F">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谈判项目名称：</w:t>
      </w:r>
      <w:r>
        <w:rPr>
          <w:rFonts w:hint="eastAsia" w:ascii="宋体" w:hAnsi="宋体" w:cs="宋体"/>
          <w:color w:val="auto"/>
          <w:sz w:val="24"/>
          <w:u w:val="single"/>
        </w:rPr>
        <w:t xml:space="preserve">                                                </w:t>
      </w:r>
    </w:p>
    <w:p w14:paraId="290A11DC">
      <w:pPr>
        <w:tabs>
          <w:tab w:val="left" w:pos="6300"/>
        </w:tabs>
        <w:snapToGrid w:val="0"/>
        <w:spacing w:line="500" w:lineRule="exact"/>
        <w:ind w:firstLine="570"/>
        <w:rPr>
          <w:rFonts w:ascii="宋体" w:hAnsi="宋体" w:cs="宋体"/>
          <w:color w:val="auto"/>
          <w:sz w:val="24"/>
        </w:rPr>
      </w:pPr>
    </w:p>
    <w:p w14:paraId="7CA62E1C">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CFDD00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5419CDBC">
      <w:pPr>
        <w:tabs>
          <w:tab w:val="left" w:pos="6300"/>
        </w:tabs>
        <w:snapToGrid w:val="0"/>
        <w:spacing w:line="500" w:lineRule="exact"/>
        <w:ind w:firstLine="570"/>
        <w:rPr>
          <w:rFonts w:ascii="宋体" w:hAnsi="宋体" w:cs="宋体"/>
          <w:color w:val="auto"/>
          <w:sz w:val="24"/>
        </w:rPr>
      </w:pPr>
    </w:p>
    <w:p w14:paraId="0982E05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0A944782">
      <w:pPr>
        <w:tabs>
          <w:tab w:val="left" w:pos="6300"/>
        </w:tabs>
        <w:snapToGrid w:val="0"/>
        <w:spacing w:line="500" w:lineRule="exact"/>
        <w:ind w:firstLine="570"/>
        <w:rPr>
          <w:rFonts w:ascii="宋体" w:hAnsi="宋体" w:cs="宋体"/>
          <w:color w:val="auto"/>
          <w:sz w:val="24"/>
        </w:rPr>
      </w:pPr>
    </w:p>
    <w:p w14:paraId="18A665FE">
      <w:pPr>
        <w:tabs>
          <w:tab w:val="left" w:pos="6300"/>
        </w:tabs>
        <w:snapToGrid w:val="0"/>
        <w:spacing w:line="500" w:lineRule="exact"/>
        <w:ind w:firstLine="570"/>
        <w:rPr>
          <w:rFonts w:ascii="宋体" w:hAnsi="宋体" w:cs="宋体"/>
          <w:color w:val="auto"/>
          <w:sz w:val="24"/>
        </w:rPr>
      </w:pPr>
    </w:p>
    <w:p w14:paraId="08733C62">
      <w:pPr>
        <w:tabs>
          <w:tab w:val="left" w:pos="6300"/>
        </w:tabs>
        <w:snapToGrid w:val="0"/>
        <w:spacing w:line="500" w:lineRule="exact"/>
        <w:ind w:firstLine="570"/>
        <w:rPr>
          <w:rFonts w:ascii="宋体" w:hAnsi="宋体" w:cs="宋体"/>
          <w:color w:val="auto"/>
          <w:sz w:val="24"/>
        </w:rPr>
      </w:pPr>
    </w:p>
    <w:p w14:paraId="089DA04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5BAA9334">
      <w:pPr>
        <w:tabs>
          <w:tab w:val="left" w:pos="6300"/>
        </w:tabs>
        <w:snapToGrid w:val="0"/>
        <w:spacing w:line="500" w:lineRule="exact"/>
        <w:ind w:firstLine="570"/>
        <w:rPr>
          <w:rFonts w:ascii="宋体" w:hAnsi="宋体" w:cs="宋体"/>
          <w:color w:val="auto"/>
          <w:sz w:val="24"/>
        </w:rPr>
      </w:pPr>
    </w:p>
    <w:p w14:paraId="59F7D21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33B06EA0">
      <w:pPr>
        <w:tabs>
          <w:tab w:val="left" w:pos="6300"/>
        </w:tabs>
        <w:snapToGrid w:val="0"/>
        <w:spacing w:line="500" w:lineRule="exact"/>
        <w:ind w:firstLine="570"/>
        <w:rPr>
          <w:rFonts w:ascii="宋体" w:hAnsi="宋体" w:cs="宋体"/>
          <w:color w:val="auto"/>
          <w:sz w:val="24"/>
        </w:rPr>
      </w:pPr>
    </w:p>
    <w:p w14:paraId="264D23BD">
      <w:pPr>
        <w:tabs>
          <w:tab w:val="left" w:pos="6300"/>
        </w:tabs>
        <w:snapToGrid w:val="0"/>
        <w:spacing w:line="500" w:lineRule="exact"/>
        <w:ind w:firstLine="570"/>
        <w:rPr>
          <w:rFonts w:ascii="宋体" w:hAnsi="宋体" w:cs="宋体"/>
          <w:color w:val="auto"/>
          <w:sz w:val="24"/>
        </w:rPr>
      </w:pPr>
    </w:p>
    <w:p w14:paraId="0D8C337B">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法定代表人电话：</w:t>
      </w:r>
      <w:r>
        <w:rPr>
          <w:rFonts w:hint="eastAsia" w:ascii="宋体" w:hAnsi="宋体" w:cs="宋体"/>
          <w:color w:val="auto"/>
          <w:sz w:val="24"/>
          <w:u w:val="single"/>
        </w:rPr>
        <w:t xml:space="preserve">         </w:t>
      </w:r>
      <w:r>
        <w:rPr>
          <w:rFonts w:hint="eastAsia" w:ascii="宋体" w:hAnsi="宋体" w:cs="宋体"/>
          <w:color w:val="auto"/>
          <w:sz w:val="24"/>
        </w:rPr>
        <w:t>电子邮箱：</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（若授权他人办理并签署响应文件的可不填写）</w:t>
      </w:r>
    </w:p>
    <w:p w14:paraId="7B6EB41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45E104B5">
      <w:pPr>
        <w:tabs>
          <w:tab w:val="left" w:pos="6300"/>
        </w:tabs>
        <w:snapToGrid w:val="0"/>
        <w:spacing w:line="500" w:lineRule="exact"/>
        <w:ind w:firstLine="570"/>
        <w:rPr>
          <w:rFonts w:ascii="宋体" w:hAnsi="宋体" w:cs="宋体"/>
          <w:color w:val="auto"/>
          <w:sz w:val="24"/>
        </w:rPr>
      </w:pPr>
    </w:p>
    <w:p w14:paraId="79A09651">
      <w:pPr>
        <w:tabs>
          <w:tab w:val="left" w:pos="6300"/>
        </w:tabs>
        <w:snapToGrid w:val="0"/>
        <w:spacing w:line="500" w:lineRule="exact"/>
        <w:ind w:firstLine="570"/>
        <w:rPr>
          <w:rFonts w:ascii="宋体" w:hAnsi="宋体" w:cs="宋体"/>
          <w:color w:val="auto"/>
          <w:sz w:val="24"/>
        </w:rPr>
      </w:pPr>
    </w:p>
    <w:p w14:paraId="7BD2E919">
      <w:pPr>
        <w:tabs>
          <w:tab w:val="left" w:pos="6300"/>
        </w:tabs>
        <w:snapToGrid w:val="0"/>
        <w:spacing w:line="500" w:lineRule="exact"/>
        <w:ind w:firstLine="570"/>
        <w:rPr>
          <w:rFonts w:ascii="宋体" w:hAnsi="宋体" w:cs="宋体"/>
          <w:color w:val="auto"/>
          <w:sz w:val="24"/>
        </w:rPr>
      </w:pPr>
    </w:p>
    <w:p w14:paraId="63D69873">
      <w:pPr>
        <w:tabs>
          <w:tab w:val="left" w:pos="6300"/>
        </w:tabs>
        <w:snapToGrid w:val="0"/>
        <w:spacing w:line="500" w:lineRule="exact"/>
        <w:ind w:firstLine="570"/>
        <w:rPr>
          <w:rFonts w:ascii="宋体" w:hAnsi="宋体" w:cs="宋体"/>
          <w:color w:val="auto"/>
          <w:sz w:val="24"/>
        </w:rPr>
      </w:pPr>
    </w:p>
    <w:p w14:paraId="458BAC1B">
      <w:pPr>
        <w:tabs>
          <w:tab w:val="left" w:pos="6300"/>
        </w:tabs>
        <w:snapToGrid w:val="0"/>
        <w:spacing w:line="500" w:lineRule="exact"/>
        <w:ind w:firstLine="570"/>
        <w:rPr>
          <w:rFonts w:ascii="宋体" w:hAnsi="宋体" w:cs="宋体"/>
          <w:color w:val="auto"/>
          <w:sz w:val="24"/>
        </w:rPr>
      </w:pPr>
    </w:p>
    <w:p w14:paraId="7388D0DF">
      <w:pPr>
        <w:tabs>
          <w:tab w:val="left" w:pos="6300"/>
        </w:tabs>
        <w:snapToGrid w:val="0"/>
        <w:spacing w:line="500" w:lineRule="exact"/>
        <w:ind w:firstLine="570"/>
        <w:rPr>
          <w:rFonts w:ascii="宋体" w:hAnsi="宋体" w:cs="宋体"/>
          <w:color w:val="auto"/>
          <w:sz w:val="24"/>
        </w:rPr>
      </w:pPr>
    </w:p>
    <w:p w14:paraId="3C81B9A5">
      <w:pPr>
        <w:widowControl/>
        <w:spacing w:line="400" w:lineRule="exact"/>
        <w:ind w:firstLine="560" w:firstLineChars="200"/>
        <w:jc w:val="center"/>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（三）法定代表人授权委托书（格式）</w:t>
      </w:r>
    </w:p>
    <w:p w14:paraId="1AE874B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245F25B">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8"/>
        </w:rPr>
        <w:t>谈判项目名称</w:t>
      </w:r>
      <w:r>
        <w:rPr>
          <w:rFonts w:hint="eastAsia" w:ascii="宋体" w:hAnsi="宋体" w:cs="宋体"/>
          <w:color w:val="auto"/>
          <w:sz w:val="24"/>
        </w:rPr>
        <w:t>：</w:t>
      </w:r>
      <w:r>
        <w:rPr>
          <w:rFonts w:hint="eastAsia" w:ascii="宋体" w:hAnsi="宋体" w:cs="宋体"/>
          <w:color w:val="auto"/>
          <w:sz w:val="24"/>
          <w:u w:val="single"/>
        </w:rPr>
        <w:t xml:space="preserve">                                                </w:t>
      </w:r>
    </w:p>
    <w:p w14:paraId="4F33EA67">
      <w:pPr>
        <w:tabs>
          <w:tab w:val="left" w:pos="6300"/>
        </w:tabs>
        <w:snapToGrid w:val="0"/>
        <w:spacing w:line="500" w:lineRule="exact"/>
        <w:ind w:firstLine="570"/>
        <w:rPr>
          <w:rFonts w:ascii="宋体" w:hAnsi="宋体" w:cs="宋体"/>
          <w:color w:val="auto"/>
          <w:sz w:val="24"/>
        </w:rPr>
      </w:pPr>
    </w:p>
    <w:p w14:paraId="51F21EB8">
      <w:pPr>
        <w:tabs>
          <w:tab w:val="left" w:pos="6300"/>
        </w:tabs>
        <w:snapToGrid w:val="0"/>
        <w:spacing w:line="500" w:lineRule="exact"/>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44465DFB">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（被授权人姓名及身份证代码）代表我单位全权办理上述项目的谈判、签约等具体工作，并签署全部有关文件、协议及合同。</w:t>
      </w:r>
    </w:p>
    <w:p w14:paraId="1F2DAD0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w:t>
      </w:r>
      <w:r>
        <w:rPr>
          <w:rFonts w:hint="eastAsia" w:ascii="宋体" w:hAnsi="宋体" w:cs="宋体"/>
          <w:color w:val="auto"/>
          <w:sz w:val="24"/>
          <w:szCs w:val="28"/>
        </w:rPr>
        <w:t>签署</w:t>
      </w:r>
      <w:r>
        <w:rPr>
          <w:rFonts w:hint="eastAsia" w:ascii="宋体" w:hAnsi="宋体" w:cs="宋体"/>
          <w:color w:val="auto"/>
          <w:sz w:val="24"/>
        </w:rPr>
        <w:t>负全部责任。</w:t>
      </w:r>
    </w:p>
    <w:p w14:paraId="54B03AD9">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7F354785">
      <w:pPr>
        <w:tabs>
          <w:tab w:val="left" w:pos="6300"/>
        </w:tabs>
        <w:snapToGrid w:val="0"/>
        <w:spacing w:line="500" w:lineRule="exact"/>
        <w:ind w:firstLine="570"/>
        <w:rPr>
          <w:rFonts w:ascii="宋体" w:hAnsi="宋体" w:cs="宋体"/>
          <w:color w:val="auto"/>
          <w:sz w:val="24"/>
        </w:rPr>
      </w:pPr>
    </w:p>
    <w:p w14:paraId="10CCB762">
      <w:pPr>
        <w:tabs>
          <w:tab w:val="left" w:pos="6300"/>
        </w:tabs>
        <w:snapToGrid w:val="0"/>
        <w:spacing w:line="500" w:lineRule="exact"/>
        <w:ind w:firstLine="570"/>
        <w:rPr>
          <w:rFonts w:ascii="宋体" w:hAnsi="宋体" w:cs="宋体"/>
          <w:color w:val="auto"/>
          <w:sz w:val="24"/>
        </w:rPr>
      </w:pPr>
    </w:p>
    <w:p w14:paraId="319BC1AF">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24AFF871">
      <w:pPr>
        <w:tabs>
          <w:tab w:val="left" w:pos="6300"/>
        </w:tabs>
        <w:snapToGrid w:val="0"/>
        <w:spacing w:line="500" w:lineRule="exact"/>
        <w:ind w:firstLine="570"/>
        <w:rPr>
          <w:rFonts w:ascii="宋体" w:hAnsi="宋体" w:cs="宋体"/>
          <w:color w:val="auto"/>
          <w:sz w:val="24"/>
          <w:szCs w:val="28"/>
        </w:rPr>
      </w:pPr>
      <w:r>
        <w:rPr>
          <w:rFonts w:hint="eastAsia" w:ascii="宋体" w:hAnsi="宋体" w:cs="宋体"/>
          <w:color w:val="auto"/>
          <w:sz w:val="24"/>
          <w:szCs w:val="28"/>
        </w:rPr>
        <w:t>（签署或盖章）                                （签署或盖章）</w:t>
      </w:r>
    </w:p>
    <w:p w14:paraId="2DEE5D4B">
      <w:pPr>
        <w:tabs>
          <w:tab w:val="left" w:pos="6300"/>
        </w:tabs>
        <w:snapToGrid w:val="0"/>
        <w:spacing w:line="500" w:lineRule="exact"/>
        <w:ind w:firstLine="570"/>
        <w:rPr>
          <w:rFonts w:ascii="宋体" w:hAnsi="宋体" w:cs="宋体"/>
          <w:color w:val="auto"/>
          <w:sz w:val="24"/>
          <w:szCs w:val="28"/>
        </w:rPr>
      </w:pPr>
    </w:p>
    <w:p w14:paraId="152B7812">
      <w:pPr>
        <w:tabs>
          <w:tab w:val="left" w:pos="6300"/>
        </w:tabs>
        <w:snapToGrid w:val="0"/>
        <w:spacing w:line="500" w:lineRule="exact"/>
        <w:ind w:firstLine="570"/>
        <w:rPr>
          <w:rFonts w:ascii="宋体" w:hAnsi="宋体" w:cs="宋体"/>
          <w:color w:val="auto"/>
          <w:sz w:val="24"/>
        </w:rPr>
      </w:pPr>
    </w:p>
    <w:p w14:paraId="7057621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320C9CC2">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10F3F60E">
      <w:pPr>
        <w:tabs>
          <w:tab w:val="left" w:pos="6300"/>
        </w:tabs>
        <w:snapToGrid w:val="0"/>
        <w:spacing w:line="500" w:lineRule="exact"/>
        <w:ind w:firstLine="570"/>
        <w:rPr>
          <w:rFonts w:ascii="宋体" w:hAnsi="宋体" w:cs="宋体"/>
          <w:color w:val="auto"/>
          <w:sz w:val="24"/>
        </w:rPr>
      </w:pPr>
    </w:p>
    <w:p w14:paraId="04D721C3">
      <w:pPr>
        <w:tabs>
          <w:tab w:val="left" w:pos="6300"/>
        </w:tabs>
        <w:snapToGrid w:val="0"/>
        <w:spacing w:line="500" w:lineRule="exact"/>
        <w:ind w:firstLine="570"/>
        <w:rPr>
          <w:rFonts w:ascii="宋体" w:hAnsi="宋体" w:cs="宋体"/>
          <w:color w:val="auto"/>
          <w:sz w:val="24"/>
        </w:rPr>
      </w:pPr>
    </w:p>
    <w:p w14:paraId="78557C2D">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40EB3AE3">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71548211">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被授权人电话：</w:t>
      </w:r>
      <w:r>
        <w:rPr>
          <w:rFonts w:hint="eastAsia" w:ascii="宋体" w:hAnsi="宋体" w:cs="宋体"/>
          <w:color w:val="auto"/>
          <w:sz w:val="24"/>
          <w:u w:val="single"/>
        </w:rPr>
        <w:t xml:space="preserve">         </w:t>
      </w:r>
      <w:r>
        <w:rPr>
          <w:rFonts w:hint="eastAsia" w:ascii="宋体" w:hAnsi="宋体" w:cs="宋体"/>
          <w:color w:val="auto"/>
          <w:sz w:val="24"/>
        </w:rPr>
        <w:t xml:space="preserve"> 电子邮箱：</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（若法定代表人办理并签署响应文件的可不填写）</w:t>
      </w:r>
    </w:p>
    <w:p w14:paraId="469DC72E">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注：</w:t>
      </w:r>
    </w:p>
    <w:p w14:paraId="5C95AF06">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1.若为法定代表人办理并签署响应文件的，不提供此文件。</w:t>
      </w:r>
    </w:p>
    <w:p w14:paraId="0D34089B">
      <w:pPr>
        <w:widowControl/>
        <w:spacing w:line="400" w:lineRule="exact"/>
        <w:ind w:firstLine="560" w:firstLineChars="200"/>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（四）基本资格条件承诺函（格式）</w:t>
      </w:r>
    </w:p>
    <w:p w14:paraId="3B31F9C1">
      <w:pPr>
        <w:tabs>
          <w:tab w:val="left" w:pos="6300"/>
        </w:tabs>
        <w:snapToGrid w:val="0"/>
        <w:spacing w:line="500" w:lineRule="exact"/>
        <w:jc w:val="center"/>
        <w:rPr>
          <w:rFonts w:ascii="宋体" w:hAnsi="宋体" w:cs="宋体"/>
          <w:b/>
          <w:bCs/>
          <w:color w:val="auto"/>
          <w:szCs w:val="28"/>
        </w:rPr>
      </w:pPr>
      <w:r>
        <w:rPr>
          <w:rFonts w:hint="eastAsia" w:ascii="宋体" w:hAnsi="宋体" w:cs="宋体"/>
          <w:b/>
          <w:bCs/>
          <w:color w:val="auto"/>
          <w:szCs w:val="28"/>
        </w:rPr>
        <w:t>基本资格条件承诺函</w:t>
      </w:r>
    </w:p>
    <w:p w14:paraId="6CE13441">
      <w:pPr>
        <w:tabs>
          <w:tab w:val="left" w:pos="6300"/>
        </w:tabs>
        <w:snapToGrid w:val="0"/>
        <w:spacing w:line="530" w:lineRule="exact"/>
        <w:rPr>
          <w:rFonts w:ascii="宋体" w:hAnsi="宋体" w:cs="宋体"/>
          <w:color w:val="auto"/>
          <w:sz w:val="24"/>
        </w:rPr>
      </w:pPr>
    </w:p>
    <w:p w14:paraId="3055E74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（采购代理机构名称）：</w:t>
      </w:r>
    </w:p>
    <w:p w14:paraId="2E5E1F58">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u w:val="single"/>
        </w:rPr>
        <w:t xml:space="preserve">              </w:t>
      </w:r>
      <w:r>
        <w:rPr>
          <w:rFonts w:hint="eastAsia" w:ascii="宋体" w:hAnsi="宋体" w:cs="宋体"/>
          <w:color w:val="auto"/>
          <w:sz w:val="24"/>
        </w:rPr>
        <w:t>（供应商名称）郑重承诺：</w:t>
      </w:r>
    </w:p>
    <w:p w14:paraId="2E6B83F1">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7113926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7558ED5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szCs w:val="24"/>
        </w:rPr>
        <w:t>3.在参与</w:t>
      </w:r>
      <w:r>
        <w:rPr>
          <w:rFonts w:hint="eastAsia" w:ascii="宋体" w:hAnsi="宋体" w:cs="宋体"/>
          <w:color w:val="auto"/>
          <w:sz w:val="24"/>
          <w:szCs w:val="24"/>
          <w:lang w:eastAsia="zh-CN"/>
        </w:rPr>
        <w:t>重庆市未成年犯管教所</w:t>
      </w:r>
      <w:r>
        <w:rPr>
          <w:rFonts w:hint="eastAsia" w:ascii="宋体" w:hAnsi="宋体" w:cs="宋体"/>
          <w:color w:val="auto"/>
          <w:sz w:val="24"/>
          <w:szCs w:val="24"/>
        </w:rPr>
        <w:t>前期招标采购的项目中，未涉及到违法违规的行为。</w:t>
      </w:r>
    </w:p>
    <w:p w14:paraId="0D537E9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4.我方在采购项目评审（评标）环节结束后，随时接受采购人、采购代理机构的检查验证，配合提供相关证明材料，证明符合《中华人民共和国政府采购法》规定的供应商基本资格条件。</w:t>
      </w:r>
    </w:p>
    <w:p w14:paraId="66228BB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我方对以上承诺负全部法律责任。</w:t>
      </w:r>
    </w:p>
    <w:p w14:paraId="33F0481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特此承诺。</w:t>
      </w:r>
    </w:p>
    <w:p w14:paraId="4E39697C">
      <w:pPr>
        <w:tabs>
          <w:tab w:val="left" w:pos="6300"/>
        </w:tabs>
        <w:snapToGrid w:val="0"/>
        <w:spacing w:line="500" w:lineRule="exact"/>
        <w:ind w:firstLine="480" w:firstLineChars="200"/>
        <w:rPr>
          <w:rFonts w:ascii="宋体" w:hAnsi="宋体" w:cs="宋体"/>
          <w:color w:val="auto"/>
          <w:sz w:val="24"/>
        </w:rPr>
      </w:pPr>
    </w:p>
    <w:p w14:paraId="1E76A50B">
      <w:pPr>
        <w:tabs>
          <w:tab w:val="left" w:pos="6300"/>
        </w:tabs>
        <w:snapToGrid w:val="0"/>
        <w:spacing w:line="500" w:lineRule="exact"/>
        <w:ind w:firstLine="480" w:firstLineChars="200"/>
        <w:jc w:val="right"/>
        <w:rPr>
          <w:rFonts w:ascii="宋体" w:hAnsi="宋体" w:cs="宋体"/>
          <w:color w:val="auto"/>
          <w:sz w:val="24"/>
        </w:rPr>
      </w:pPr>
      <w:r>
        <w:rPr>
          <w:rFonts w:hint="eastAsia" w:ascii="宋体" w:hAnsi="宋体" w:cs="宋体"/>
          <w:color w:val="auto"/>
          <w:sz w:val="24"/>
        </w:rPr>
        <w:t>（供应商公章）</w:t>
      </w:r>
    </w:p>
    <w:p w14:paraId="7082AD89">
      <w:pPr>
        <w:widowControl/>
        <w:spacing w:line="400" w:lineRule="exact"/>
        <w:ind w:firstLine="7920" w:firstLineChars="3300"/>
        <w:jc w:val="left"/>
        <w:rPr>
          <w:rFonts w:ascii="宋体" w:hAnsi="宋体" w:cs="宋体"/>
          <w:color w:val="auto"/>
          <w:sz w:val="24"/>
          <w:szCs w:val="24"/>
        </w:rPr>
      </w:pPr>
      <w:r>
        <w:rPr>
          <w:rFonts w:hint="eastAsia" w:ascii="宋体" w:hAnsi="宋体" w:cs="宋体"/>
          <w:color w:val="auto"/>
          <w:sz w:val="24"/>
        </w:rPr>
        <w:t>年   月   日</w:t>
      </w:r>
    </w:p>
    <w:p w14:paraId="4AB909AA">
      <w:pPr>
        <w:pStyle w:val="5"/>
        <w:adjustRightInd w:val="0"/>
        <w:snapToGrid w:val="0"/>
        <w:spacing w:before="0" w:after="0" w:line="400" w:lineRule="exact"/>
        <w:ind w:firstLine="643" w:firstLineChars="200"/>
        <w:rPr>
          <w:rFonts w:ascii="宋体" w:hAnsi="宋体" w:eastAsia="宋体" w:cs="宋体"/>
          <w:color w:val="auto"/>
          <w:sz w:val="24"/>
        </w:rPr>
      </w:pPr>
      <w:r>
        <w:rPr>
          <w:rFonts w:hint="eastAsia" w:ascii="宋体" w:hAnsi="宋体" w:eastAsia="宋体" w:cs="宋体"/>
          <w:color w:val="auto"/>
        </w:rPr>
        <w:br w:type="page"/>
      </w:r>
      <w:bookmarkStart w:id="1176" w:name="_Toc17010"/>
      <w:bookmarkStart w:id="1177" w:name="_Toc2080"/>
      <w:bookmarkStart w:id="1178" w:name="_Toc31358"/>
      <w:bookmarkStart w:id="1179" w:name="_Toc65660383"/>
      <w:bookmarkStart w:id="1180" w:name="_Toc24081"/>
      <w:r>
        <w:rPr>
          <w:rFonts w:hint="eastAsia" w:ascii="宋体" w:hAnsi="宋体" w:eastAsia="宋体" w:cs="宋体"/>
          <w:color w:val="auto"/>
          <w:sz w:val="24"/>
        </w:rPr>
        <w:t>五、</w:t>
      </w:r>
      <w:bookmarkEnd w:id="1173"/>
      <w:bookmarkEnd w:id="1174"/>
      <w:bookmarkEnd w:id="1175"/>
      <w:r>
        <w:rPr>
          <w:rFonts w:hint="eastAsia" w:ascii="宋体" w:hAnsi="宋体" w:eastAsia="宋体" w:cs="宋体"/>
          <w:color w:val="auto"/>
          <w:sz w:val="24"/>
        </w:rPr>
        <w:t>其他资料</w:t>
      </w:r>
      <w:bookmarkEnd w:id="1176"/>
      <w:bookmarkEnd w:id="1177"/>
      <w:bookmarkEnd w:id="1178"/>
      <w:bookmarkEnd w:id="1179"/>
      <w:bookmarkEnd w:id="1180"/>
    </w:p>
    <w:p w14:paraId="50D0E574">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其他与项目有关的资料（自附）</w:t>
      </w:r>
    </w:p>
    <w:p w14:paraId="6AE0B7B9">
      <w:pPr>
        <w:spacing w:line="360" w:lineRule="auto"/>
        <w:ind w:firstLine="480" w:firstLineChars="200"/>
        <w:rPr>
          <w:rFonts w:ascii="宋体" w:hAnsi="宋体" w:cs="宋体"/>
          <w:color w:val="auto"/>
          <w:sz w:val="24"/>
          <w:szCs w:val="24"/>
        </w:rPr>
      </w:pPr>
    </w:p>
    <w:p w14:paraId="12DA8FBE">
      <w:pPr>
        <w:spacing w:line="360" w:lineRule="auto"/>
        <w:ind w:firstLine="480" w:firstLineChars="200"/>
        <w:jc w:val="center"/>
        <w:rPr>
          <w:rFonts w:ascii="宋体" w:hAnsi="宋体" w:cs="宋体"/>
          <w:color w:val="auto"/>
          <w:sz w:val="24"/>
          <w:szCs w:val="24"/>
        </w:rPr>
      </w:pPr>
    </w:p>
    <w:p w14:paraId="0EA266F2">
      <w:pPr>
        <w:spacing w:line="360" w:lineRule="auto"/>
        <w:ind w:firstLine="480" w:firstLineChars="200"/>
        <w:jc w:val="center"/>
        <w:rPr>
          <w:rFonts w:ascii="宋体" w:hAnsi="宋体" w:cs="宋体"/>
          <w:color w:val="auto"/>
          <w:sz w:val="24"/>
          <w:szCs w:val="24"/>
        </w:rPr>
      </w:pPr>
    </w:p>
    <w:p w14:paraId="2FB52C8D">
      <w:pPr>
        <w:spacing w:line="360" w:lineRule="auto"/>
        <w:ind w:firstLine="480" w:firstLineChars="200"/>
        <w:jc w:val="center"/>
        <w:rPr>
          <w:rFonts w:ascii="宋体" w:hAnsi="宋体" w:cs="宋体"/>
          <w:color w:val="auto"/>
          <w:sz w:val="24"/>
          <w:szCs w:val="24"/>
        </w:rPr>
      </w:pPr>
    </w:p>
    <w:p w14:paraId="34065877">
      <w:pPr>
        <w:spacing w:line="360" w:lineRule="auto"/>
        <w:ind w:firstLine="480" w:firstLineChars="200"/>
        <w:jc w:val="center"/>
        <w:rPr>
          <w:rFonts w:ascii="宋体" w:hAnsi="宋体" w:cs="宋体"/>
          <w:color w:val="auto"/>
          <w:sz w:val="24"/>
          <w:szCs w:val="24"/>
        </w:rPr>
      </w:pPr>
    </w:p>
    <w:p w14:paraId="606F29E0">
      <w:pPr>
        <w:spacing w:line="360" w:lineRule="auto"/>
        <w:ind w:firstLine="480" w:firstLineChars="200"/>
        <w:jc w:val="center"/>
        <w:rPr>
          <w:rFonts w:ascii="宋体" w:hAnsi="宋体" w:cs="宋体"/>
          <w:color w:val="auto"/>
          <w:sz w:val="24"/>
          <w:szCs w:val="24"/>
        </w:rPr>
      </w:pPr>
    </w:p>
    <w:p w14:paraId="7F0CED93">
      <w:pPr>
        <w:spacing w:line="360" w:lineRule="auto"/>
        <w:ind w:firstLine="480" w:firstLineChars="200"/>
        <w:jc w:val="center"/>
        <w:rPr>
          <w:rFonts w:ascii="宋体" w:hAnsi="宋体" w:cs="宋体"/>
          <w:color w:val="auto"/>
          <w:sz w:val="24"/>
          <w:szCs w:val="24"/>
        </w:rPr>
      </w:pPr>
    </w:p>
    <w:p w14:paraId="04ACA450">
      <w:pPr>
        <w:spacing w:line="360" w:lineRule="auto"/>
        <w:ind w:firstLine="480" w:firstLineChars="200"/>
        <w:jc w:val="center"/>
        <w:rPr>
          <w:rFonts w:ascii="宋体" w:hAnsi="宋体" w:cs="宋体"/>
          <w:color w:val="auto"/>
          <w:sz w:val="24"/>
          <w:szCs w:val="24"/>
        </w:rPr>
      </w:pPr>
    </w:p>
    <w:p w14:paraId="7E51AF07">
      <w:pPr>
        <w:spacing w:line="360" w:lineRule="auto"/>
        <w:ind w:firstLine="480" w:firstLineChars="200"/>
        <w:jc w:val="center"/>
        <w:rPr>
          <w:rFonts w:ascii="宋体" w:hAnsi="宋体" w:cs="宋体"/>
          <w:color w:val="auto"/>
          <w:sz w:val="24"/>
          <w:szCs w:val="24"/>
        </w:rPr>
      </w:pPr>
    </w:p>
    <w:p w14:paraId="33CDC69B">
      <w:pPr>
        <w:spacing w:line="360" w:lineRule="auto"/>
        <w:ind w:firstLine="480" w:firstLineChars="200"/>
        <w:jc w:val="center"/>
        <w:rPr>
          <w:rFonts w:ascii="宋体" w:hAnsi="宋体" w:cs="宋体"/>
          <w:color w:val="auto"/>
          <w:sz w:val="24"/>
          <w:szCs w:val="24"/>
        </w:rPr>
      </w:pPr>
    </w:p>
    <w:p w14:paraId="63D9392C">
      <w:pPr>
        <w:spacing w:line="360" w:lineRule="auto"/>
        <w:ind w:firstLine="480" w:firstLineChars="200"/>
        <w:jc w:val="center"/>
        <w:rPr>
          <w:rFonts w:ascii="宋体" w:hAnsi="宋体" w:cs="宋体"/>
          <w:color w:val="auto"/>
          <w:sz w:val="24"/>
          <w:szCs w:val="24"/>
        </w:rPr>
      </w:pPr>
    </w:p>
    <w:p w14:paraId="277E090B">
      <w:pPr>
        <w:spacing w:line="360" w:lineRule="auto"/>
        <w:ind w:firstLine="480" w:firstLineChars="200"/>
        <w:jc w:val="center"/>
        <w:rPr>
          <w:rFonts w:ascii="宋体" w:hAnsi="宋体" w:cs="宋体"/>
          <w:color w:val="auto"/>
          <w:sz w:val="24"/>
          <w:szCs w:val="24"/>
        </w:rPr>
      </w:pPr>
    </w:p>
    <w:p w14:paraId="5BEF668C">
      <w:pPr>
        <w:spacing w:line="360" w:lineRule="auto"/>
        <w:ind w:firstLine="560" w:firstLineChars="200"/>
        <w:jc w:val="center"/>
        <w:rPr>
          <w:rFonts w:ascii="宋体" w:hAnsi="宋体" w:cs="宋体"/>
          <w:color w:val="auto"/>
        </w:rPr>
      </w:pPr>
      <w:r>
        <w:rPr>
          <w:rFonts w:hint="eastAsia" w:ascii="宋体" w:hAnsi="宋体" w:cs="宋体"/>
          <w:color w:val="auto"/>
        </w:rPr>
        <w:t>（结束）</w:t>
      </w:r>
    </w:p>
    <w:p w14:paraId="534837EF">
      <w:pPr>
        <w:pStyle w:val="388"/>
        <w:ind w:firstLine="480"/>
        <w:outlineLvl w:val="1"/>
        <w:rPr>
          <w:rFonts w:ascii="宋体" w:hAnsi="宋体" w:eastAsia="宋体" w:cs="宋体"/>
          <w:bCs w:val="0"/>
          <w:smallCaps w:val="0"/>
          <w:color w:val="auto"/>
          <w:sz w:val="24"/>
        </w:rPr>
      </w:pPr>
      <w:r>
        <w:rPr>
          <w:rFonts w:hint="eastAsia" w:ascii="宋体" w:hAnsi="宋体" w:eastAsia="宋体" w:cs="宋体"/>
          <w:color w:val="auto"/>
        </w:rPr>
        <w:br w:type="page"/>
      </w:r>
      <w:bookmarkStart w:id="1181" w:name="_Toc22835"/>
      <w:bookmarkStart w:id="1182" w:name="_Toc32111"/>
      <w:bookmarkStart w:id="1183" w:name="_Toc477027621"/>
      <w:bookmarkStart w:id="1184" w:name="_Toc19707"/>
      <w:bookmarkStart w:id="1185" w:name="_Toc21179"/>
      <w:bookmarkStart w:id="1186" w:name="_Toc26458"/>
      <w:bookmarkStart w:id="1187" w:name="_Toc8321"/>
      <w:bookmarkStart w:id="1188" w:name="_Toc13336"/>
      <w:bookmarkStart w:id="1189" w:name="_Toc10567"/>
      <w:bookmarkStart w:id="1190" w:name="_Toc21969"/>
      <w:bookmarkStart w:id="1191" w:name="_Toc24258"/>
      <w:bookmarkStart w:id="1192" w:name="_Toc18063"/>
      <w:r>
        <w:rPr>
          <w:rStyle w:val="45"/>
          <w:rFonts w:hint="eastAsia" w:ascii="宋体" w:hAnsi="宋体" w:eastAsia="宋体" w:cs="宋体"/>
          <w:b w:val="0"/>
          <w:color w:val="auto"/>
          <w:sz w:val="24"/>
          <w:szCs w:val="24"/>
        </w:rPr>
        <w:t>附件一：供应商信息卡</w:t>
      </w:r>
      <w:bookmarkEnd w:id="1181"/>
      <w:bookmarkEnd w:id="1182"/>
      <w:bookmarkEnd w:id="1183"/>
      <w:bookmarkEnd w:id="1184"/>
      <w:bookmarkEnd w:id="1185"/>
      <w:bookmarkEnd w:id="1186"/>
      <w:bookmarkEnd w:id="1187"/>
      <w:bookmarkEnd w:id="1188"/>
      <w:bookmarkEnd w:id="1189"/>
      <w:bookmarkEnd w:id="1190"/>
      <w:bookmarkEnd w:id="1191"/>
      <w:bookmarkEnd w:id="1192"/>
    </w:p>
    <w:p w14:paraId="29F6A6CC">
      <w:pPr>
        <w:pStyle w:val="389"/>
        <w:spacing w:line="860" w:lineRule="exact"/>
        <w:jc w:val="both"/>
        <w:rPr>
          <w:rFonts w:ascii="宋体" w:eastAsia="宋体" w:cs="宋体"/>
          <w:color w:val="auto"/>
          <w:szCs w:val="24"/>
        </w:rPr>
      </w:pPr>
      <w:r>
        <w:rPr>
          <w:rFonts w:hint="eastAsia" w:ascii="宋体" w:eastAsia="宋体" w:cs="宋体"/>
          <w:color w:val="auto"/>
          <w:szCs w:val="24"/>
        </w:rPr>
        <w:t>：</w:t>
      </w:r>
    </w:p>
    <w:p w14:paraId="5B025F4C">
      <w:pPr>
        <w:pStyle w:val="389"/>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项目号：</w:t>
      </w:r>
    </w:p>
    <w:p w14:paraId="36765BD5">
      <w:pPr>
        <w:pStyle w:val="389"/>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供应商名称：</w:t>
      </w:r>
    </w:p>
    <w:p w14:paraId="63BD687F">
      <w:pPr>
        <w:pStyle w:val="389"/>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法定代表人：</w:t>
      </w:r>
    </w:p>
    <w:p w14:paraId="0065D3CF">
      <w:pPr>
        <w:pStyle w:val="389"/>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联系电话：</w:t>
      </w:r>
    </w:p>
    <w:p w14:paraId="1CD8B410">
      <w:pPr>
        <w:pStyle w:val="389"/>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授权代表：</w:t>
      </w:r>
    </w:p>
    <w:p w14:paraId="77CA132A">
      <w:pPr>
        <w:pStyle w:val="389"/>
        <w:spacing w:line="860" w:lineRule="exact"/>
        <w:ind w:firstLine="720" w:firstLineChars="300"/>
        <w:jc w:val="both"/>
        <w:rPr>
          <w:rFonts w:ascii="宋体" w:eastAsia="宋体" w:cs="宋体"/>
          <w:color w:val="auto"/>
          <w:szCs w:val="24"/>
        </w:rPr>
      </w:pPr>
      <w:r>
        <w:rPr>
          <w:rFonts w:hint="eastAsia" w:ascii="宋体" w:eastAsia="宋体" w:cs="宋体"/>
          <w:color w:val="auto"/>
          <w:szCs w:val="24"/>
        </w:rPr>
        <w:t>联系电话：</w:t>
      </w:r>
    </w:p>
    <w:p w14:paraId="46318174">
      <w:pPr>
        <w:pStyle w:val="390"/>
        <w:ind w:left="480" w:hanging="480"/>
        <w:jc w:val="both"/>
        <w:rPr>
          <w:rFonts w:ascii="宋体" w:hAnsi="宋体" w:eastAsia="宋体" w:cs="宋体"/>
          <w:color w:val="auto"/>
        </w:rPr>
      </w:pPr>
      <w:r>
        <w:rPr>
          <w:rFonts w:hint="eastAsia" w:ascii="宋体" w:hAnsi="宋体" w:eastAsia="宋体" w:cs="宋体"/>
          <w:color w:val="auto"/>
        </w:rPr>
        <w:t xml:space="preserve">                                             </w:t>
      </w:r>
    </w:p>
    <w:p w14:paraId="101A9527">
      <w:pPr>
        <w:pStyle w:val="390"/>
        <w:ind w:left="480" w:hanging="480"/>
        <w:jc w:val="both"/>
        <w:rPr>
          <w:rFonts w:ascii="宋体" w:hAnsi="宋体" w:eastAsia="宋体" w:cs="宋体"/>
          <w:color w:val="auto"/>
        </w:rPr>
      </w:pPr>
    </w:p>
    <w:p w14:paraId="53323D1C">
      <w:pPr>
        <w:pStyle w:val="390"/>
        <w:ind w:left="480" w:hanging="480"/>
        <w:jc w:val="both"/>
        <w:rPr>
          <w:rFonts w:ascii="宋体" w:hAnsi="宋体" w:eastAsia="宋体" w:cs="宋体"/>
          <w:color w:val="auto"/>
        </w:rPr>
      </w:pPr>
    </w:p>
    <w:p w14:paraId="5658A51F">
      <w:pPr>
        <w:pStyle w:val="390"/>
        <w:ind w:left="480" w:hanging="480"/>
        <w:jc w:val="both"/>
        <w:rPr>
          <w:rFonts w:ascii="宋体" w:hAnsi="宋体" w:eastAsia="宋体" w:cs="宋体"/>
          <w:color w:val="auto"/>
        </w:rPr>
      </w:pPr>
      <w:r>
        <w:rPr>
          <w:rFonts w:hint="eastAsia" w:ascii="宋体" w:hAnsi="宋体" w:eastAsia="宋体" w:cs="宋体"/>
          <w:color w:val="auto"/>
        </w:rPr>
        <w:t xml:space="preserve">                                              供应商(公章):</w:t>
      </w:r>
    </w:p>
    <w:p w14:paraId="422956F3">
      <w:pPr>
        <w:pStyle w:val="390"/>
        <w:ind w:left="480" w:hanging="480"/>
        <w:jc w:val="both"/>
        <w:rPr>
          <w:rFonts w:ascii="宋体" w:hAnsi="宋体" w:eastAsia="宋体" w:cs="宋体"/>
          <w:color w:val="auto"/>
        </w:rPr>
      </w:pPr>
      <w:r>
        <w:rPr>
          <w:rFonts w:hint="eastAsia" w:ascii="宋体" w:hAnsi="宋体" w:eastAsia="宋体" w:cs="宋体"/>
          <w:color w:val="auto"/>
        </w:rPr>
        <w:t xml:space="preserve">                                          日期：    年    月    日</w:t>
      </w:r>
    </w:p>
    <w:p w14:paraId="1F9CDE7A">
      <w:pPr>
        <w:ind w:left="716" w:hanging="716" w:hangingChars="297"/>
        <w:rPr>
          <w:rFonts w:ascii="宋体" w:hAnsi="宋体" w:cs="宋体"/>
          <w:b/>
          <w:color w:val="auto"/>
          <w:sz w:val="24"/>
          <w:szCs w:val="24"/>
        </w:rPr>
      </w:pPr>
    </w:p>
    <w:p w14:paraId="12CA8B66">
      <w:pPr>
        <w:ind w:left="716" w:hanging="716" w:hangingChars="297"/>
        <w:rPr>
          <w:rFonts w:ascii="宋体" w:hAnsi="宋体" w:cs="宋体"/>
          <w:b/>
          <w:color w:val="auto"/>
          <w:sz w:val="24"/>
          <w:szCs w:val="24"/>
        </w:rPr>
      </w:pPr>
    </w:p>
    <w:p w14:paraId="6E266FE3">
      <w:pPr>
        <w:ind w:firstLine="480"/>
        <w:rPr>
          <w:rFonts w:ascii="宋体" w:hAnsi="宋体" w:cs="宋体"/>
          <w:color w:val="auto"/>
          <w:sz w:val="24"/>
          <w:szCs w:val="24"/>
        </w:rPr>
      </w:pPr>
    </w:p>
    <w:p w14:paraId="225182F8">
      <w:pPr>
        <w:ind w:firstLine="480"/>
        <w:rPr>
          <w:rFonts w:ascii="宋体" w:hAnsi="宋体" w:cs="宋体"/>
          <w:color w:val="auto"/>
          <w:sz w:val="24"/>
          <w:szCs w:val="24"/>
        </w:rPr>
      </w:pPr>
    </w:p>
    <w:p w14:paraId="223FBD4A">
      <w:pPr>
        <w:ind w:firstLine="480"/>
        <w:rPr>
          <w:rFonts w:ascii="宋体" w:hAnsi="宋体" w:cs="宋体"/>
          <w:color w:val="auto"/>
          <w:sz w:val="24"/>
          <w:szCs w:val="24"/>
        </w:rPr>
      </w:pPr>
    </w:p>
    <w:p w14:paraId="46F9D4EB">
      <w:pPr>
        <w:ind w:firstLine="480"/>
        <w:rPr>
          <w:rFonts w:ascii="宋体" w:hAnsi="宋体" w:cs="宋体"/>
          <w:color w:val="auto"/>
          <w:sz w:val="24"/>
          <w:szCs w:val="24"/>
        </w:rPr>
      </w:pPr>
    </w:p>
    <w:p w14:paraId="06974DD8">
      <w:pPr>
        <w:ind w:firstLine="480"/>
        <w:rPr>
          <w:rFonts w:ascii="宋体" w:hAnsi="宋体" w:cs="宋体"/>
          <w:color w:val="auto"/>
          <w:sz w:val="24"/>
          <w:szCs w:val="24"/>
        </w:rPr>
      </w:pPr>
    </w:p>
    <w:p w14:paraId="783FCBDC">
      <w:pPr>
        <w:ind w:firstLine="482"/>
        <w:rPr>
          <w:rFonts w:ascii="宋体" w:hAnsi="宋体" w:cs="宋体"/>
          <w:b/>
          <w:color w:val="auto"/>
          <w:sz w:val="24"/>
          <w:szCs w:val="24"/>
        </w:rPr>
      </w:pPr>
      <w:r>
        <w:rPr>
          <w:rFonts w:hint="eastAsia" w:ascii="宋体" w:hAnsi="宋体" w:cs="宋体"/>
          <w:b/>
          <w:color w:val="auto"/>
          <w:sz w:val="24"/>
          <w:szCs w:val="24"/>
        </w:rPr>
        <w:t>注：该“供应商信息卡”由供应商在现场递交（内容填写完整或打印并加盖公章，不得装入密封响应文件内）。</w:t>
      </w:r>
    </w:p>
    <w:p w14:paraId="0BF797BE">
      <w:pPr>
        <w:pStyle w:val="388"/>
        <w:ind w:firstLine="480"/>
        <w:outlineLvl w:val="1"/>
        <w:rPr>
          <w:rFonts w:ascii="宋体" w:hAnsi="宋体" w:eastAsia="宋体" w:cs="宋体"/>
          <w:color w:val="auto"/>
          <w:sz w:val="32"/>
          <w:szCs w:val="21"/>
        </w:rPr>
      </w:pPr>
      <w:r>
        <w:rPr>
          <w:rFonts w:hint="eastAsia" w:ascii="宋体" w:hAnsi="宋体" w:eastAsia="宋体" w:cs="宋体"/>
          <w:color w:val="auto"/>
          <w:sz w:val="24"/>
          <w:szCs w:val="24"/>
        </w:rPr>
        <w:br w:type="page"/>
      </w:r>
      <w:bookmarkStart w:id="1193" w:name="_Toc4759"/>
      <w:bookmarkStart w:id="1194" w:name="_Toc31510"/>
      <w:bookmarkStart w:id="1195" w:name="_Toc31598"/>
      <w:bookmarkStart w:id="1196" w:name="_Toc17858"/>
      <w:bookmarkStart w:id="1197" w:name="_Toc4954"/>
      <w:r>
        <w:rPr>
          <w:rStyle w:val="45"/>
          <w:rFonts w:hint="eastAsia" w:ascii="宋体" w:hAnsi="宋体" w:eastAsia="宋体" w:cs="宋体"/>
          <w:b w:val="0"/>
          <w:color w:val="auto"/>
          <w:sz w:val="24"/>
          <w:szCs w:val="24"/>
        </w:rPr>
        <w:t>附件二：</w:t>
      </w:r>
      <w:bookmarkEnd w:id="1193"/>
      <w:bookmarkEnd w:id="1194"/>
      <w:r>
        <w:rPr>
          <w:rStyle w:val="45"/>
          <w:rFonts w:hint="eastAsia" w:ascii="宋体" w:hAnsi="宋体" w:eastAsia="宋体" w:cs="宋体"/>
          <w:b w:val="0"/>
          <w:color w:val="auto"/>
          <w:sz w:val="24"/>
          <w:szCs w:val="24"/>
          <w:lang w:eastAsia="zh-CN"/>
        </w:rPr>
        <w:t>重庆智胜达工程管理咨询有限公司</w:t>
      </w:r>
      <w:r>
        <w:rPr>
          <w:rStyle w:val="45"/>
          <w:rFonts w:hint="eastAsia" w:ascii="宋体" w:hAnsi="宋体" w:eastAsia="宋体" w:cs="宋体"/>
          <w:b w:val="0"/>
          <w:color w:val="auto"/>
          <w:sz w:val="24"/>
          <w:szCs w:val="24"/>
        </w:rPr>
        <w:t>发售登记表</w:t>
      </w:r>
      <w:bookmarkEnd w:id="1195"/>
      <w:bookmarkEnd w:id="1196"/>
      <w:bookmarkEnd w:id="1197"/>
    </w:p>
    <w:p w14:paraId="74371ED2">
      <w:pPr>
        <w:ind w:firstLine="480"/>
        <w:jc w:val="center"/>
        <w:outlineLvl w:val="1"/>
        <w:rPr>
          <w:rFonts w:ascii="宋体" w:hAnsi="宋体" w:cs="宋体"/>
          <w:b/>
          <w:color w:val="auto"/>
          <w:sz w:val="24"/>
        </w:rPr>
      </w:pPr>
    </w:p>
    <w:tbl>
      <w:tblPr>
        <w:tblStyle w:val="34"/>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A0AB4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4B1ACFC3">
            <w:pPr>
              <w:jc w:val="center"/>
              <w:rPr>
                <w:rFonts w:ascii="宋体" w:hAnsi="宋体" w:cs="宋体"/>
                <w:color w:val="auto"/>
                <w:sz w:val="24"/>
                <w:szCs w:val="24"/>
              </w:rPr>
            </w:pPr>
            <w:r>
              <w:rPr>
                <w:rFonts w:hint="eastAsia" w:ascii="宋体" w:hAnsi="宋体" w:cs="宋体"/>
                <w:color w:val="auto"/>
                <w:sz w:val="24"/>
                <w:szCs w:val="24"/>
              </w:rPr>
              <w:t>项目号</w:t>
            </w:r>
          </w:p>
        </w:tc>
        <w:tc>
          <w:tcPr>
            <w:tcW w:w="7423" w:type="dxa"/>
            <w:gridSpan w:val="3"/>
            <w:vAlign w:val="center"/>
          </w:tcPr>
          <w:p w14:paraId="60125E11">
            <w:pPr>
              <w:jc w:val="center"/>
              <w:rPr>
                <w:rFonts w:ascii="宋体" w:hAnsi="宋体" w:cs="宋体"/>
                <w:color w:val="auto"/>
                <w:sz w:val="24"/>
                <w:szCs w:val="24"/>
              </w:rPr>
            </w:pPr>
          </w:p>
        </w:tc>
      </w:tr>
      <w:tr w14:paraId="5C2EE4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13C2FAF5">
            <w:pPr>
              <w:jc w:val="center"/>
              <w:rPr>
                <w:rFonts w:ascii="宋体" w:hAnsi="宋体" w:cs="宋体"/>
                <w:color w:val="auto"/>
                <w:sz w:val="24"/>
                <w:szCs w:val="24"/>
              </w:rPr>
            </w:pPr>
            <w:r>
              <w:rPr>
                <w:rFonts w:hint="eastAsia" w:ascii="宋体" w:hAnsi="宋体" w:cs="宋体"/>
                <w:color w:val="auto"/>
                <w:sz w:val="24"/>
                <w:szCs w:val="24"/>
              </w:rPr>
              <w:t>项目名称</w:t>
            </w:r>
          </w:p>
        </w:tc>
        <w:tc>
          <w:tcPr>
            <w:tcW w:w="7423" w:type="dxa"/>
            <w:gridSpan w:val="3"/>
            <w:vAlign w:val="center"/>
          </w:tcPr>
          <w:p w14:paraId="2A7C5BBF">
            <w:pPr>
              <w:jc w:val="center"/>
              <w:rPr>
                <w:rFonts w:ascii="宋体" w:hAnsi="宋体" w:cs="宋体"/>
                <w:color w:val="auto"/>
                <w:sz w:val="24"/>
                <w:szCs w:val="24"/>
              </w:rPr>
            </w:pPr>
          </w:p>
        </w:tc>
      </w:tr>
      <w:tr w14:paraId="6F54D0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13FF002B">
            <w:pPr>
              <w:jc w:val="center"/>
              <w:rPr>
                <w:rFonts w:ascii="宋体" w:hAnsi="宋体" w:cs="宋体"/>
                <w:color w:val="auto"/>
                <w:sz w:val="24"/>
                <w:szCs w:val="24"/>
              </w:rPr>
            </w:pPr>
            <w:r>
              <w:rPr>
                <w:rFonts w:hint="eastAsia" w:ascii="宋体" w:hAnsi="宋体" w:cs="宋体"/>
                <w:color w:val="auto"/>
                <w:sz w:val="24"/>
                <w:szCs w:val="24"/>
              </w:rPr>
              <w:t>供应商名称</w:t>
            </w:r>
          </w:p>
        </w:tc>
        <w:tc>
          <w:tcPr>
            <w:tcW w:w="7423" w:type="dxa"/>
            <w:gridSpan w:val="3"/>
            <w:vAlign w:val="center"/>
          </w:tcPr>
          <w:p w14:paraId="6D7E8342">
            <w:pPr>
              <w:jc w:val="center"/>
              <w:rPr>
                <w:rFonts w:ascii="宋体" w:hAnsi="宋体" w:cs="宋体"/>
                <w:color w:val="auto"/>
                <w:sz w:val="24"/>
                <w:szCs w:val="24"/>
              </w:rPr>
            </w:pPr>
            <w:r>
              <w:rPr>
                <w:rFonts w:hint="eastAsia" w:ascii="宋体" w:hAnsi="宋体" w:cs="宋体"/>
                <w:color w:val="auto"/>
                <w:sz w:val="24"/>
                <w:szCs w:val="24"/>
              </w:rPr>
              <w:t>（供应商公章）</w:t>
            </w:r>
          </w:p>
        </w:tc>
      </w:tr>
      <w:tr w14:paraId="470CF7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2045B75A">
            <w:pPr>
              <w:jc w:val="center"/>
              <w:rPr>
                <w:rFonts w:ascii="宋体" w:hAnsi="宋体" w:cs="宋体"/>
                <w:color w:val="auto"/>
                <w:sz w:val="24"/>
                <w:szCs w:val="24"/>
              </w:rPr>
            </w:pPr>
            <w:r>
              <w:rPr>
                <w:rFonts w:hint="eastAsia" w:ascii="宋体" w:hAnsi="宋体" w:cs="宋体"/>
                <w:color w:val="auto"/>
                <w:sz w:val="24"/>
                <w:szCs w:val="24"/>
              </w:rPr>
              <w:t>联系人</w:t>
            </w:r>
          </w:p>
        </w:tc>
        <w:tc>
          <w:tcPr>
            <w:tcW w:w="2396" w:type="dxa"/>
            <w:vAlign w:val="center"/>
          </w:tcPr>
          <w:p w14:paraId="709053EA">
            <w:pPr>
              <w:jc w:val="center"/>
              <w:rPr>
                <w:rFonts w:ascii="宋体" w:hAnsi="宋体" w:cs="宋体"/>
                <w:color w:val="auto"/>
                <w:sz w:val="24"/>
                <w:szCs w:val="24"/>
              </w:rPr>
            </w:pPr>
          </w:p>
        </w:tc>
        <w:tc>
          <w:tcPr>
            <w:tcW w:w="1053" w:type="dxa"/>
            <w:vAlign w:val="center"/>
          </w:tcPr>
          <w:p w14:paraId="3A97A7A4">
            <w:pPr>
              <w:jc w:val="center"/>
              <w:rPr>
                <w:rFonts w:ascii="宋体" w:hAnsi="宋体" w:cs="宋体"/>
                <w:color w:val="auto"/>
                <w:sz w:val="24"/>
                <w:szCs w:val="24"/>
              </w:rPr>
            </w:pPr>
            <w:r>
              <w:rPr>
                <w:rFonts w:hint="eastAsia" w:ascii="宋体" w:hAnsi="宋体" w:cs="宋体"/>
                <w:color w:val="auto"/>
                <w:sz w:val="24"/>
                <w:szCs w:val="24"/>
              </w:rPr>
              <w:t>手机</w:t>
            </w:r>
          </w:p>
        </w:tc>
        <w:tc>
          <w:tcPr>
            <w:tcW w:w="3974" w:type="dxa"/>
            <w:vAlign w:val="center"/>
          </w:tcPr>
          <w:p w14:paraId="77DDA88D">
            <w:pPr>
              <w:jc w:val="center"/>
              <w:rPr>
                <w:rFonts w:ascii="宋体" w:hAnsi="宋体" w:cs="宋体"/>
                <w:color w:val="auto"/>
                <w:sz w:val="24"/>
                <w:szCs w:val="24"/>
              </w:rPr>
            </w:pPr>
          </w:p>
        </w:tc>
      </w:tr>
      <w:tr w14:paraId="1ADA0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220896AD">
            <w:pPr>
              <w:jc w:val="center"/>
              <w:rPr>
                <w:rFonts w:ascii="宋体" w:hAnsi="宋体" w:cs="宋体"/>
                <w:color w:val="auto"/>
                <w:sz w:val="24"/>
                <w:szCs w:val="24"/>
              </w:rPr>
            </w:pPr>
            <w:r>
              <w:rPr>
                <w:rFonts w:hint="eastAsia" w:ascii="宋体" w:hAnsi="宋体" w:cs="宋体"/>
                <w:color w:val="auto"/>
                <w:sz w:val="24"/>
                <w:szCs w:val="24"/>
              </w:rPr>
              <w:t>办公电话</w:t>
            </w:r>
          </w:p>
        </w:tc>
        <w:tc>
          <w:tcPr>
            <w:tcW w:w="2396" w:type="dxa"/>
            <w:vAlign w:val="center"/>
          </w:tcPr>
          <w:p w14:paraId="5D913CE3">
            <w:pPr>
              <w:jc w:val="center"/>
              <w:rPr>
                <w:rFonts w:ascii="宋体" w:hAnsi="宋体" w:cs="宋体"/>
                <w:color w:val="auto"/>
                <w:sz w:val="24"/>
                <w:szCs w:val="24"/>
              </w:rPr>
            </w:pPr>
          </w:p>
        </w:tc>
        <w:tc>
          <w:tcPr>
            <w:tcW w:w="1053" w:type="dxa"/>
            <w:vAlign w:val="center"/>
          </w:tcPr>
          <w:p w14:paraId="2D63E98E">
            <w:pPr>
              <w:jc w:val="center"/>
              <w:rPr>
                <w:rFonts w:ascii="宋体" w:hAnsi="宋体" w:cs="宋体"/>
                <w:color w:val="auto"/>
                <w:sz w:val="24"/>
                <w:szCs w:val="24"/>
              </w:rPr>
            </w:pPr>
            <w:r>
              <w:rPr>
                <w:rFonts w:hint="eastAsia" w:ascii="宋体" w:hAnsi="宋体" w:cs="宋体"/>
                <w:color w:val="auto"/>
                <w:sz w:val="24"/>
                <w:szCs w:val="24"/>
              </w:rPr>
              <w:t>传真</w:t>
            </w:r>
          </w:p>
        </w:tc>
        <w:tc>
          <w:tcPr>
            <w:tcW w:w="3974" w:type="dxa"/>
            <w:vAlign w:val="center"/>
          </w:tcPr>
          <w:p w14:paraId="0E7368FA">
            <w:pPr>
              <w:jc w:val="center"/>
              <w:rPr>
                <w:rFonts w:ascii="宋体" w:hAnsi="宋体" w:cs="宋体"/>
                <w:color w:val="auto"/>
                <w:sz w:val="24"/>
                <w:szCs w:val="24"/>
              </w:rPr>
            </w:pPr>
          </w:p>
        </w:tc>
      </w:tr>
      <w:tr w14:paraId="0CF158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3E5026A2">
            <w:pPr>
              <w:jc w:val="center"/>
              <w:rPr>
                <w:rFonts w:ascii="宋体" w:hAnsi="宋体" w:cs="宋体"/>
                <w:color w:val="auto"/>
                <w:sz w:val="24"/>
                <w:szCs w:val="24"/>
              </w:rPr>
            </w:pPr>
            <w:r>
              <w:rPr>
                <w:rFonts w:hint="eastAsia" w:ascii="宋体" w:hAnsi="宋体" w:cs="宋体"/>
                <w:color w:val="auto"/>
                <w:sz w:val="24"/>
                <w:szCs w:val="24"/>
              </w:rPr>
              <w:t>E-mail</w:t>
            </w:r>
          </w:p>
        </w:tc>
        <w:tc>
          <w:tcPr>
            <w:tcW w:w="7423" w:type="dxa"/>
            <w:gridSpan w:val="3"/>
            <w:vAlign w:val="center"/>
          </w:tcPr>
          <w:p w14:paraId="767274FA">
            <w:pPr>
              <w:jc w:val="center"/>
              <w:rPr>
                <w:rFonts w:ascii="宋体" w:hAnsi="宋体" w:cs="宋体"/>
                <w:color w:val="auto"/>
                <w:sz w:val="24"/>
                <w:szCs w:val="24"/>
              </w:rPr>
            </w:pPr>
          </w:p>
        </w:tc>
      </w:tr>
      <w:tr w14:paraId="15859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54B39706">
            <w:pPr>
              <w:jc w:val="center"/>
              <w:rPr>
                <w:rFonts w:ascii="宋体" w:hAnsi="宋体" w:cs="宋体"/>
                <w:color w:val="auto"/>
                <w:sz w:val="24"/>
                <w:szCs w:val="24"/>
              </w:rPr>
            </w:pPr>
            <w:r>
              <w:rPr>
                <w:rFonts w:hint="eastAsia" w:ascii="宋体" w:hAnsi="宋体" w:cs="宋体"/>
                <w:color w:val="auto"/>
                <w:sz w:val="24"/>
                <w:szCs w:val="24"/>
              </w:rPr>
              <w:t>单位地址</w:t>
            </w:r>
          </w:p>
        </w:tc>
        <w:tc>
          <w:tcPr>
            <w:tcW w:w="7423" w:type="dxa"/>
            <w:gridSpan w:val="3"/>
            <w:vAlign w:val="center"/>
          </w:tcPr>
          <w:p w14:paraId="7DF678BC">
            <w:pPr>
              <w:jc w:val="center"/>
              <w:rPr>
                <w:rFonts w:ascii="宋体" w:hAnsi="宋体" w:cs="宋体"/>
                <w:color w:val="auto"/>
                <w:sz w:val="24"/>
                <w:szCs w:val="24"/>
              </w:rPr>
            </w:pPr>
          </w:p>
        </w:tc>
      </w:tr>
    </w:tbl>
    <w:p w14:paraId="162D46EE">
      <w:pPr>
        <w:spacing w:line="360" w:lineRule="auto"/>
        <w:ind w:firstLine="480"/>
        <w:rPr>
          <w:rFonts w:ascii="宋体" w:hAnsi="宋体" w:cs="宋体"/>
          <w:color w:val="auto"/>
          <w:sz w:val="24"/>
          <w:szCs w:val="24"/>
        </w:rPr>
      </w:pPr>
      <w:r>
        <w:rPr>
          <w:rFonts w:hint="eastAsia" w:ascii="宋体" w:hAnsi="宋体" w:cs="宋体"/>
          <w:color w:val="auto"/>
          <w:sz w:val="24"/>
          <w:szCs w:val="24"/>
        </w:rPr>
        <w:t>谈判文件售价：</w:t>
      </w:r>
      <w:r>
        <w:rPr>
          <w:rFonts w:hint="eastAsia" w:ascii="宋体" w:hAnsi="宋体" w:cs="宋体"/>
          <w:color w:val="auto"/>
          <w:sz w:val="24"/>
          <w:szCs w:val="24"/>
          <w:lang w:val="en-US" w:eastAsia="zh-CN"/>
        </w:rPr>
        <w:t>3</w:t>
      </w:r>
      <w:r>
        <w:rPr>
          <w:rFonts w:hint="eastAsia" w:ascii="宋体" w:hAnsi="宋体" w:cs="宋体"/>
          <w:color w:val="auto"/>
          <w:sz w:val="24"/>
          <w:szCs w:val="24"/>
        </w:rPr>
        <w:t>00元/份              代理机构：</w:t>
      </w:r>
      <w:r>
        <w:rPr>
          <w:rFonts w:hint="eastAsia" w:ascii="宋体" w:hAnsi="宋体" w:cs="宋体"/>
          <w:color w:val="auto"/>
          <w:sz w:val="24"/>
          <w:szCs w:val="24"/>
          <w:lang w:eastAsia="zh-CN"/>
        </w:rPr>
        <w:t>重庆智胜达工程管理咨询有限公司</w:t>
      </w:r>
      <w:r>
        <w:rPr>
          <w:rFonts w:hint="eastAsia" w:ascii="宋体" w:hAnsi="宋体" w:cs="宋体"/>
          <w:color w:val="auto"/>
          <w:sz w:val="24"/>
          <w:szCs w:val="24"/>
        </w:rPr>
        <w:t xml:space="preserve">    </w:t>
      </w:r>
    </w:p>
    <w:p w14:paraId="5FB3B059">
      <w:pPr>
        <w:spacing w:line="360" w:lineRule="auto"/>
        <w:ind w:firstLine="480"/>
        <w:rPr>
          <w:rFonts w:ascii="宋体" w:hAnsi="宋体" w:cs="宋体"/>
          <w:color w:val="auto"/>
          <w:sz w:val="24"/>
          <w:szCs w:val="24"/>
        </w:rPr>
      </w:pPr>
    </w:p>
    <w:p w14:paraId="0C4BDC61">
      <w:pPr>
        <w:ind w:firstLine="482"/>
        <w:rPr>
          <w:rFonts w:ascii="宋体" w:hAnsi="宋体" w:cs="宋体"/>
          <w:b/>
          <w:color w:val="auto"/>
          <w:sz w:val="24"/>
          <w:szCs w:val="24"/>
        </w:rPr>
      </w:pPr>
      <w:r>
        <w:rPr>
          <w:rFonts w:hint="eastAsia" w:ascii="宋体" w:hAnsi="宋体" w:cs="宋体"/>
          <w:b/>
          <w:color w:val="auto"/>
          <w:sz w:val="24"/>
          <w:szCs w:val="24"/>
        </w:rPr>
        <w:t>注：“</w:t>
      </w:r>
      <w:r>
        <w:rPr>
          <w:rFonts w:hint="eastAsia" w:ascii="宋体" w:hAnsi="宋体" w:cs="宋体"/>
          <w:b/>
          <w:color w:val="auto"/>
          <w:sz w:val="24"/>
          <w:szCs w:val="24"/>
          <w:lang w:eastAsia="zh-CN"/>
        </w:rPr>
        <w:t>重庆智胜达工程管理咨询有限公司</w:t>
      </w:r>
      <w:r>
        <w:rPr>
          <w:rFonts w:hint="eastAsia" w:ascii="宋体" w:hAnsi="宋体" w:cs="宋体"/>
          <w:b/>
          <w:color w:val="auto"/>
          <w:sz w:val="24"/>
          <w:szCs w:val="24"/>
        </w:rPr>
        <w:t>发售登记表”由供应商在现场递交（内容填写完整或打印并加盖公章，不得装入密封响应文件内）。</w:t>
      </w:r>
    </w:p>
    <w:p w14:paraId="30268CE6">
      <w:pPr>
        <w:pStyle w:val="89"/>
        <w:rPr>
          <w:color w:val="auto"/>
        </w:rPr>
      </w:pPr>
    </w:p>
    <w:sectPr>
      <w:pgSz w:w="11907" w:h="16840"/>
      <w:pgMar w:top="1440" w:right="1080" w:bottom="1440" w:left="1080" w:header="1077"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书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B1B7">
    <w:pPr>
      <w:pStyle w:val="23"/>
      <w:framePr w:wrap="around" w:vAnchor="text" w:hAnchor="margin" w:xAlign="center" w:y="1"/>
      <w:jc w:val="center"/>
      <w:rPr>
        <w:rStyle w:val="394"/>
        <w:rFonts w:ascii="宋体"/>
        <w:sz w:val="21"/>
        <w:szCs w:val="21"/>
      </w:rPr>
    </w:pPr>
    <w:r>
      <w:rPr>
        <w:rFonts w:ascii="宋体"/>
        <w:sz w:val="21"/>
        <w:szCs w:val="21"/>
      </w:rPr>
      <w:fldChar w:fldCharType="begin"/>
    </w:r>
    <w:r>
      <w:rPr>
        <w:rStyle w:val="394"/>
        <w:rFonts w:ascii="宋体"/>
        <w:sz w:val="21"/>
        <w:szCs w:val="21"/>
      </w:rPr>
      <w:instrText xml:space="preserve">PAGE  </w:instrText>
    </w:r>
    <w:r>
      <w:rPr>
        <w:rFonts w:ascii="宋体"/>
        <w:sz w:val="21"/>
        <w:szCs w:val="21"/>
      </w:rPr>
      <w:fldChar w:fldCharType="separate"/>
    </w:r>
    <w:r>
      <w:rPr>
        <w:rStyle w:val="394"/>
        <w:rFonts w:ascii="宋体"/>
        <w:sz w:val="21"/>
        <w:szCs w:val="21"/>
      </w:rPr>
      <w:t>- 5 -</w:t>
    </w:r>
    <w:r>
      <w:rPr>
        <w:rFonts w:ascii="宋体"/>
        <w:sz w:val="21"/>
        <w:szCs w:val="21"/>
      </w:rPr>
      <w:fldChar w:fldCharType="end"/>
    </w:r>
  </w:p>
  <w:p w14:paraId="71EAC07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EAB61">
    <w:pPr>
      <w:pStyle w:val="23"/>
      <w:framePr w:wrap="around" w:vAnchor="text" w:hAnchor="margin" w:xAlign="center" w:y="1"/>
      <w:rPr>
        <w:rStyle w:val="394"/>
      </w:rPr>
    </w:pPr>
    <w:r>
      <w:fldChar w:fldCharType="begin"/>
    </w:r>
    <w:r>
      <w:rPr>
        <w:rStyle w:val="394"/>
      </w:rPr>
      <w:instrText xml:space="preserve">PAGE  </w:instrText>
    </w:r>
    <w:r>
      <w:fldChar w:fldCharType="end"/>
    </w:r>
  </w:p>
  <w:p w14:paraId="4AD451F2">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3B758">
    <w:pPr>
      <w:pStyle w:val="23"/>
      <w:framePr w:wrap="around" w:vAnchor="text" w:hAnchor="margin" w:xAlign="center" w:y="1"/>
      <w:rPr>
        <w:rStyle w:val="394"/>
      </w:rPr>
    </w:pPr>
  </w:p>
  <w:p w14:paraId="59E62B05">
    <w:pPr>
      <w:pStyle w:val="23"/>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3CB6">
    <w:pPr>
      <w:pStyle w:val="23"/>
      <w:jc w:val="center"/>
      <w:rPr>
        <w:rFonts w:ascii="宋体" w:hAnsi="宋体"/>
        <w:sz w:val="21"/>
        <w:szCs w:val="21"/>
      </w:rPr>
    </w:pPr>
    <w:r>
      <w:rPr>
        <w:rFonts w:ascii="宋体" w:hAnsi="宋体"/>
        <w:sz w:val="21"/>
        <w:szCs w:val="21"/>
      </w:rPr>
      <w:fldChar w:fldCharType="begin"/>
    </w:r>
    <w:r>
      <w:rPr>
        <w:rStyle w:val="394"/>
        <w:rFonts w:ascii="宋体" w:hAnsi="宋体"/>
        <w:szCs w:val="21"/>
      </w:rPr>
      <w:instrText xml:space="preserve"> PAGE </w:instrText>
    </w:r>
    <w:r>
      <w:rPr>
        <w:rFonts w:ascii="宋体" w:hAnsi="宋体"/>
        <w:sz w:val="21"/>
        <w:szCs w:val="21"/>
      </w:rPr>
      <w:fldChar w:fldCharType="separate"/>
    </w:r>
    <w:r>
      <w:rPr>
        <w:rStyle w:val="394"/>
        <w:rFonts w:ascii="宋体" w:hAnsi="宋体"/>
        <w:szCs w:val="21"/>
      </w:rPr>
      <w:t>- 17 -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7170">
    <w:pPr>
      <w:pStyle w:val="23"/>
      <w:framePr w:wrap="around" w:vAnchor="text" w:hAnchor="margin" w:xAlign="center" w:y="1"/>
      <w:rPr>
        <w:rStyle w:val="394"/>
      </w:rPr>
    </w:pPr>
    <w:r>
      <w:fldChar w:fldCharType="begin"/>
    </w:r>
    <w:r>
      <w:rPr>
        <w:rStyle w:val="394"/>
      </w:rPr>
      <w:instrText xml:space="preserve">PAGE  </w:instrText>
    </w:r>
    <w:r>
      <w:fldChar w:fldCharType="end"/>
    </w:r>
  </w:p>
  <w:p w14:paraId="41E679CF">
    <w:pPr>
      <w:pStyle w:val="2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03D2">
    <w:pPr>
      <w:pStyle w:val="23"/>
      <w:jc w:val="center"/>
      <w:rPr>
        <w:rFonts w:ascii="宋体" w:hAnsi="宋体"/>
        <w:sz w:val="21"/>
        <w:szCs w:val="21"/>
      </w:rPr>
    </w:pPr>
    <w:r>
      <w:rPr>
        <w:rFonts w:ascii="宋体" w:hAnsi="宋体"/>
        <w:sz w:val="21"/>
        <w:szCs w:val="21"/>
      </w:rPr>
      <w:fldChar w:fldCharType="begin"/>
    </w:r>
    <w:r>
      <w:rPr>
        <w:rStyle w:val="394"/>
        <w:rFonts w:ascii="宋体" w:hAnsi="宋体"/>
        <w:szCs w:val="21"/>
      </w:rPr>
      <w:instrText xml:space="preserve"> PAGE </w:instrText>
    </w:r>
    <w:r>
      <w:rPr>
        <w:rFonts w:ascii="宋体" w:hAnsi="宋体"/>
        <w:sz w:val="21"/>
        <w:szCs w:val="21"/>
      </w:rPr>
      <w:fldChar w:fldCharType="separate"/>
    </w:r>
    <w:r>
      <w:rPr>
        <w:rStyle w:val="394"/>
        <w:rFonts w:ascii="宋体" w:hAnsi="宋体"/>
        <w:szCs w:val="21"/>
      </w:rPr>
      <w:t>- 17 -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4595">
    <w:pPr>
      <w:pStyle w:val="23"/>
      <w:jc w:val="center"/>
      <w:rPr>
        <w:rFonts w:ascii="宋体" w:hAnsi="宋体"/>
        <w:sz w:val="21"/>
        <w:szCs w:val="21"/>
      </w:rPr>
    </w:pPr>
    <w:r>
      <w:rPr>
        <w:rFonts w:ascii="宋体" w:hAnsi="宋体"/>
        <w:sz w:val="21"/>
        <w:szCs w:val="21"/>
      </w:rPr>
      <w:fldChar w:fldCharType="begin"/>
    </w:r>
    <w:r>
      <w:rPr>
        <w:rStyle w:val="394"/>
        <w:rFonts w:ascii="宋体" w:hAnsi="宋体"/>
        <w:szCs w:val="21"/>
      </w:rPr>
      <w:instrText xml:space="preserve"> PAGE </w:instrText>
    </w:r>
    <w:r>
      <w:rPr>
        <w:rFonts w:ascii="宋体" w:hAnsi="宋体"/>
        <w:sz w:val="21"/>
        <w:szCs w:val="21"/>
      </w:rPr>
      <w:fldChar w:fldCharType="separate"/>
    </w:r>
    <w:r>
      <w:rPr>
        <w:rStyle w:val="394"/>
        <w:rFonts w:ascii="宋体" w:hAnsi="宋体"/>
        <w:szCs w:val="21"/>
      </w:rPr>
      <w:t>- 7 -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AFC4D">
    <w:pPr>
      <w:pStyle w:val="23"/>
      <w:jc w:val="center"/>
      <w:rPr>
        <w:rFonts w:ascii="宋体" w:hAnsi="宋体"/>
        <w:sz w:val="21"/>
        <w:szCs w:val="21"/>
      </w:rPr>
    </w:pPr>
    <w:r>
      <w:rPr>
        <w:rFonts w:ascii="宋体" w:hAnsi="宋体"/>
        <w:sz w:val="21"/>
        <w:szCs w:val="21"/>
      </w:rPr>
      <w:fldChar w:fldCharType="begin"/>
    </w:r>
    <w:r>
      <w:rPr>
        <w:rStyle w:val="394"/>
        <w:rFonts w:ascii="宋体" w:hAnsi="宋体"/>
        <w:sz w:val="21"/>
        <w:szCs w:val="21"/>
      </w:rPr>
      <w:instrText xml:space="preserve"> PAGE </w:instrText>
    </w:r>
    <w:r>
      <w:rPr>
        <w:rFonts w:ascii="宋体" w:hAnsi="宋体"/>
        <w:sz w:val="21"/>
        <w:szCs w:val="21"/>
      </w:rPr>
      <w:fldChar w:fldCharType="separate"/>
    </w:r>
    <w:r>
      <w:rPr>
        <w:rStyle w:val="394"/>
        <w:rFonts w:ascii="宋体" w:hAnsi="宋体"/>
        <w:sz w:val="21"/>
        <w:szCs w:val="21"/>
      </w:rPr>
      <w:t>- 43 -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304A">
    <w:pPr>
      <w:pStyle w:val="24"/>
      <w:pBdr>
        <w:bottom w:val="none" w:color="auto" w:sz="0" w:space="1"/>
      </w:pBdr>
      <w:jc w:val="center"/>
    </w:pPr>
    <w:r>
      <w:rPr>
        <w:rFonts w:hint="eastAsia" w:ascii="宋体" w:hAnsi="宋体" w:eastAsia="宋体" w:cs="宋体"/>
        <w:sz w:val="22"/>
        <w:szCs w:val="22"/>
        <w:u w:val="single"/>
        <w:lang w:eastAsia="zh-CN"/>
      </w:rPr>
      <w:t>重庆智胜达工程管理咨询有限公司</w:t>
    </w:r>
    <w:r>
      <w:rPr>
        <w:rFonts w:hint="eastAsia" w:ascii="宋体" w:hAnsi="宋体" w:eastAsia="宋体" w:cs="宋体"/>
        <w:sz w:val="22"/>
        <w:szCs w:val="22"/>
        <w:u w:val="single"/>
      </w:rPr>
      <w:t xml:space="preserve">     </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45F0">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DF52">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805EF">
    <w:pPr>
      <w:pStyle w:val="24"/>
      <w:pBdr>
        <w:bottom w:val="none" w:color="auto" w:sz="0" w:space="1"/>
      </w:pBdr>
      <w:jc w:val="right"/>
    </w:pPr>
    <w:r>
      <w:rPr>
        <w:rFonts w:hint="eastAsia" w:ascii="宋体" w:hAnsi="宋体" w:eastAsia="宋体" w:cs="宋体"/>
        <w:sz w:val="22"/>
        <w:szCs w:val="22"/>
        <w:u w:val="single"/>
        <w:lang w:eastAsia="zh-CN"/>
      </w:rPr>
      <w:t>重庆智胜达工程管理咨询有限公司</w:t>
    </w:r>
    <w:r>
      <w:rPr>
        <w:rFonts w:hint="eastAsia" w:ascii="宋体" w:hAnsi="宋体" w:eastAsia="宋体" w:cs="宋体"/>
        <w:sz w:val="22"/>
        <w:szCs w:val="22"/>
        <w:u w:val="single"/>
      </w:rPr>
      <w:t xml:space="preserve">                        </w:t>
    </w:r>
    <w:r>
      <w:rPr>
        <w:rFonts w:hint="eastAsia" w:ascii="宋体" w:hAnsi="宋体" w:cs="宋体"/>
        <w:sz w:val="22"/>
        <w:szCs w:val="22"/>
        <w:u w:val="single"/>
      </w:rPr>
      <w:t xml:space="preserve">                 竞争性谈判文件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YTY2OGJkYjFhOGMxYmYwOGYzODA2ZDJjOGQ1NDgifQ=="/>
  </w:docVars>
  <w:rsids>
    <w:rsidRoot w:val="005B6BAF"/>
    <w:rsid w:val="00191814"/>
    <w:rsid w:val="002D1E86"/>
    <w:rsid w:val="004C0FED"/>
    <w:rsid w:val="00500FBC"/>
    <w:rsid w:val="00517D65"/>
    <w:rsid w:val="005B6BAF"/>
    <w:rsid w:val="006F4419"/>
    <w:rsid w:val="00A521B6"/>
    <w:rsid w:val="00BC5A1D"/>
    <w:rsid w:val="00C902BA"/>
    <w:rsid w:val="00D34FC0"/>
    <w:rsid w:val="00D35DE6"/>
    <w:rsid w:val="00E346AD"/>
    <w:rsid w:val="00EF16B8"/>
    <w:rsid w:val="01A423B6"/>
    <w:rsid w:val="020236B3"/>
    <w:rsid w:val="0405179A"/>
    <w:rsid w:val="060B2564"/>
    <w:rsid w:val="09A54A0B"/>
    <w:rsid w:val="0A2C751F"/>
    <w:rsid w:val="0A8E5717"/>
    <w:rsid w:val="0AF67B2D"/>
    <w:rsid w:val="0B5F3090"/>
    <w:rsid w:val="0E6574A4"/>
    <w:rsid w:val="0F3B636C"/>
    <w:rsid w:val="0FA946D1"/>
    <w:rsid w:val="14B432F0"/>
    <w:rsid w:val="150F758C"/>
    <w:rsid w:val="15BD0622"/>
    <w:rsid w:val="19475ABD"/>
    <w:rsid w:val="19C9191D"/>
    <w:rsid w:val="19DA5490"/>
    <w:rsid w:val="1ACF36F1"/>
    <w:rsid w:val="1C351EAF"/>
    <w:rsid w:val="2295617E"/>
    <w:rsid w:val="245924CC"/>
    <w:rsid w:val="270510BF"/>
    <w:rsid w:val="29CC50A1"/>
    <w:rsid w:val="2EF12847"/>
    <w:rsid w:val="2F3A5849"/>
    <w:rsid w:val="32B859E0"/>
    <w:rsid w:val="356F5FF0"/>
    <w:rsid w:val="35E86ACE"/>
    <w:rsid w:val="3C1C3D9E"/>
    <w:rsid w:val="3D363C36"/>
    <w:rsid w:val="3D7B2413"/>
    <w:rsid w:val="3F6C442C"/>
    <w:rsid w:val="415E18D6"/>
    <w:rsid w:val="43801D1B"/>
    <w:rsid w:val="4C6B4A90"/>
    <w:rsid w:val="4E000207"/>
    <w:rsid w:val="4E976C6C"/>
    <w:rsid w:val="50323AEA"/>
    <w:rsid w:val="51790C79"/>
    <w:rsid w:val="51FD58DB"/>
    <w:rsid w:val="531D5224"/>
    <w:rsid w:val="541C476E"/>
    <w:rsid w:val="541F3870"/>
    <w:rsid w:val="55344D1A"/>
    <w:rsid w:val="55A72613"/>
    <w:rsid w:val="560F62EB"/>
    <w:rsid w:val="56420294"/>
    <w:rsid w:val="565C42B5"/>
    <w:rsid w:val="566D67EB"/>
    <w:rsid w:val="61970898"/>
    <w:rsid w:val="64FD031F"/>
    <w:rsid w:val="6A853B16"/>
    <w:rsid w:val="6C574C68"/>
    <w:rsid w:val="6EAD57E0"/>
    <w:rsid w:val="6FA8452B"/>
    <w:rsid w:val="72C6373D"/>
    <w:rsid w:val="75393925"/>
    <w:rsid w:val="76AC4795"/>
    <w:rsid w:val="789F5F12"/>
    <w:rsid w:val="7933353D"/>
    <w:rsid w:val="7A454F9B"/>
    <w:rsid w:val="7B756C45"/>
    <w:rsid w:val="7C535B5F"/>
    <w:rsid w:val="7DE66F02"/>
    <w:rsid w:val="7F5F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44"/>
    <w:qFormat/>
    <w:uiPriority w:val="0"/>
    <w:pPr>
      <w:keepNext/>
      <w:snapToGrid w:val="0"/>
      <w:spacing w:line="360" w:lineRule="atLeast"/>
      <w:outlineLvl w:val="0"/>
    </w:pPr>
    <w:rPr>
      <w:rFonts w:ascii="宋体"/>
    </w:rPr>
  </w:style>
  <w:style w:type="paragraph" w:styleId="5">
    <w:name w:val="heading 2"/>
    <w:basedOn w:val="1"/>
    <w:next w:val="1"/>
    <w:link w:val="45"/>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link w:val="46"/>
    <w:qFormat/>
    <w:uiPriority w:val="0"/>
    <w:pPr>
      <w:keepNext/>
      <w:keepLines/>
      <w:spacing w:before="260" w:after="260" w:line="413" w:lineRule="auto"/>
      <w:outlineLvl w:val="2"/>
    </w:pPr>
    <w:rPr>
      <w:b/>
      <w:sz w:val="32"/>
    </w:rPr>
  </w:style>
  <w:style w:type="paragraph" w:styleId="7">
    <w:name w:val="heading 4"/>
    <w:basedOn w:val="1"/>
    <w:next w:val="1"/>
    <w:link w:val="47"/>
    <w:qFormat/>
    <w:uiPriority w:val="0"/>
    <w:pPr>
      <w:keepNext/>
      <w:keepLines/>
      <w:spacing w:before="280" w:after="290" w:line="372" w:lineRule="auto"/>
      <w:outlineLvl w:val="3"/>
    </w:pPr>
    <w:rPr>
      <w:rFonts w:ascii="Arial" w:hAnsi="Arial" w:eastAsia="黑体"/>
      <w:b/>
    </w:rPr>
  </w:style>
  <w:style w:type="paragraph" w:styleId="8">
    <w:name w:val="heading 5"/>
    <w:basedOn w:val="1"/>
    <w:next w:val="1"/>
    <w:link w:val="48"/>
    <w:qFormat/>
    <w:uiPriority w:val="0"/>
    <w:pPr>
      <w:keepNext/>
      <w:keepLines/>
      <w:tabs>
        <w:tab w:val="left" w:pos="2551"/>
      </w:tabs>
      <w:spacing w:before="280" w:after="290" w:line="372" w:lineRule="auto"/>
      <w:ind w:left="2551" w:hanging="850"/>
      <w:outlineLvl w:val="4"/>
    </w:pPr>
    <w:rPr>
      <w:b/>
    </w:rPr>
  </w:style>
  <w:style w:type="paragraph" w:styleId="9">
    <w:name w:val="heading 6"/>
    <w:basedOn w:val="1"/>
    <w:next w:val="1"/>
    <w:link w:val="49"/>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10">
    <w:name w:val="heading 7"/>
    <w:basedOn w:val="1"/>
    <w:next w:val="1"/>
    <w:link w:val="50"/>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1">
    <w:name w:val="heading 8"/>
    <w:basedOn w:val="1"/>
    <w:next w:val="1"/>
    <w:link w:val="5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2">
    <w:name w:val="heading 9"/>
    <w:basedOn w:val="1"/>
    <w:next w:val="1"/>
    <w:link w:val="52"/>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35">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2"/>
    <w:qFormat/>
    <w:uiPriority w:val="0"/>
    <w:rPr>
      <w:rFonts w:ascii="仿宋_GB2312" w:eastAsia="仿宋_GB2312"/>
      <w:sz w:val="32"/>
    </w:rPr>
  </w:style>
  <w:style w:type="paragraph" w:styleId="3">
    <w:name w:val="toc 5"/>
    <w:basedOn w:val="1"/>
    <w:next w:val="1"/>
    <w:qFormat/>
    <w:uiPriority w:val="0"/>
    <w:pPr>
      <w:ind w:left="1680" w:leftChars="800"/>
    </w:pPr>
  </w:style>
  <w:style w:type="paragraph" w:styleId="13">
    <w:name w:val="toc 7"/>
    <w:basedOn w:val="1"/>
    <w:next w:val="1"/>
    <w:qFormat/>
    <w:uiPriority w:val="0"/>
    <w:pPr>
      <w:ind w:left="2520" w:leftChars="1200"/>
    </w:p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6">
    <w:name w:val="annotation text"/>
    <w:basedOn w:val="1"/>
    <w:link w:val="59"/>
    <w:qFormat/>
    <w:uiPriority w:val="0"/>
    <w:pPr>
      <w:adjustRightInd w:val="0"/>
      <w:spacing w:line="360" w:lineRule="atLeast"/>
      <w:jc w:val="left"/>
      <w:textAlignment w:val="baseline"/>
    </w:pPr>
    <w:rPr>
      <w:sz w:val="24"/>
    </w:rPr>
  </w:style>
  <w:style w:type="paragraph" w:styleId="17">
    <w:name w:val="List Bullet 3"/>
    <w:basedOn w:val="1"/>
    <w:qFormat/>
    <w:uiPriority w:val="0"/>
    <w:pPr>
      <w:tabs>
        <w:tab w:val="left" w:pos="1200"/>
      </w:tabs>
      <w:adjustRightInd w:val="0"/>
      <w:snapToGrid w:val="0"/>
      <w:spacing w:line="360" w:lineRule="auto"/>
      <w:ind w:left="1200" w:hanging="360"/>
    </w:pPr>
    <w:rPr>
      <w:sz w:val="24"/>
    </w:rPr>
  </w:style>
  <w:style w:type="paragraph" w:styleId="18">
    <w:name w:val="List Bullet 2"/>
    <w:basedOn w:val="1"/>
    <w:qFormat/>
    <w:uiPriority w:val="0"/>
    <w:pPr>
      <w:tabs>
        <w:tab w:val="left" w:pos="780"/>
      </w:tabs>
      <w:adjustRightInd w:val="0"/>
      <w:snapToGrid w:val="0"/>
      <w:spacing w:line="360" w:lineRule="auto"/>
      <w:ind w:left="780" w:hanging="360"/>
    </w:pPr>
    <w:rPr>
      <w:sz w:val="24"/>
    </w:rPr>
  </w:style>
  <w:style w:type="paragraph" w:styleId="19">
    <w:name w:val="toc 3"/>
    <w:basedOn w:val="1"/>
    <w:next w:val="1"/>
    <w:qFormat/>
    <w:uiPriority w:val="0"/>
    <w:pPr>
      <w:ind w:left="840" w:leftChars="400"/>
    </w:pPr>
  </w:style>
  <w:style w:type="paragraph" w:styleId="20">
    <w:name w:val="toc 8"/>
    <w:basedOn w:val="1"/>
    <w:next w:val="1"/>
    <w:qFormat/>
    <w:uiPriority w:val="0"/>
    <w:pPr>
      <w:ind w:left="2940" w:leftChars="1400"/>
    </w:pPr>
  </w:style>
  <w:style w:type="paragraph" w:styleId="21">
    <w:name w:val="Body Text Indent 2"/>
    <w:basedOn w:val="1"/>
    <w:qFormat/>
    <w:uiPriority w:val="0"/>
    <w:pPr>
      <w:snapToGrid w:val="0"/>
      <w:spacing w:line="560" w:lineRule="atLeast"/>
      <w:ind w:firstLine="540"/>
    </w:pPr>
  </w:style>
  <w:style w:type="paragraph" w:styleId="22">
    <w:name w:val="endnote text"/>
    <w:basedOn w:val="1"/>
    <w:link w:val="71"/>
    <w:qFormat/>
    <w:uiPriority w:val="0"/>
    <w:pPr>
      <w:widowControl/>
      <w:snapToGrid w:val="0"/>
      <w:jc w:val="left"/>
    </w:pPr>
    <w:rPr>
      <w:rFonts w:ascii="Arial" w:hAnsi="Arial"/>
      <w:szCs w:val="24"/>
      <w:lang w:eastAsia="en-US"/>
    </w:rPr>
  </w:style>
  <w:style w:type="paragraph" w:styleId="23">
    <w:name w:val="footer"/>
    <w:basedOn w:val="1"/>
    <w:link w:val="72"/>
    <w:qFormat/>
    <w:uiPriority w:val="0"/>
    <w:pPr>
      <w:tabs>
        <w:tab w:val="center" w:pos="4153"/>
        <w:tab w:val="right" w:pos="8306"/>
      </w:tabs>
      <w:snapToGrid w:val="0"/>
      <w:jc w:val="left"/>
    </w:pPr>
    <w:rPr>
      <w:sz w:val="18"/>
    </w:rPr>
  </w:style>
  <w:style w:type="paragraph" w:styleId="24">
    <w:name w:val="header"/>
    <w:basedOn w:val="1"/>
    <w:link w:val="75"/>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0"/>
    <w:pPr>
      <w:spacing w:line="180" w:lineRule="auto"/>
      <w:jc w:val="center"/>
    </w:pPr>
    <w:rPr>
      <w:sz w:val="30"/>
    </w:rPr>
  </w:style>
  <w:style w:type="paragraph" w:styleId="26">
    <w:name w:val="toc 4"/>
    <w:basedOn w:val="1"/>
    <w:next w:val="1"/>
    <w:qFormat/>
    <w:uiPriority w:val="0"/>
    <w:pPr>
      <w:ind w:left="1260" w:leftChars="600"/>
    </w:pPr>
  </w:style>
  <w:style w:type="paragraph" w:styleId="27">
    <w:name w:val="Subtitle"/>
    <w:basedOn w:val="1"/>
    <w:link w:val="76"/>
    <w:qFormat/>
    <w:uiPriority w:val="0"/>
    <w:pPr>
      <w:widowControl/>
      <w:jc w:val="center"/>
    </w:pPr>
    <w:rPr>
      <w:szCs w:val="24"/>
      <w:u w:val="single"/>
      <w:lang w:eastAsia="en-US"/>
    </w:rPr>
  </w:style>
  <w:style w:type="paragraph" w:styleId="28">
    <w:name w:val="footnote text"/>
    <w:basedOn w:val="1"/>
    <w:link w:val="77"/>
    <w:qFormat/>
    <w:uiPriority w:val="0"/>
    <w:pPr>
      <w:spacing w:line="360" w:lineRule="auto"/>
    </w:pPr>
    <w:rPr>
      <w:sz w:val="18"/>
    </w:rPr>
  </w:style>
  <w:style w:type="paragraph" w:styleId="29">
    <w:name w:val="toc 6"/>
    <w:basedOn w:val="1"/>
    <w:next w:val="1"/>
    <w:qFormat/>
    <w:uiPriority w:val="0"/>
    <w:pPr>
      <w:ind w:left="2100" w:leftChars="1000"/>
    </w:p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Title"/>
    <w:basedOn w:val="1"/>
    <w:link w:val="84"/>
    <w:qFormat/>
    <w:uiPriority w:val="0"/>
    <w:pPr>
      <w:widowControl/>
      <w:spacing w:after="240" w:line="360" w:lineRule="auto"/>
      <w:jc w:val="center"/>
    </w:pPr>
    <w:rPr>
      <w:rFonts w:ascii="Arial" w:hAnsi="Arial"/>
      <w:b/>
      <w:smallCaps/>
      <w:kern w:val="28"/>
      <w:sz w:val="36"/>
      <w:lang w:eastAsia="en-US"/>
    </w:rPr>
  </w:style>
  <w:style w:type="paragraph" w:styleId="33">
    <w:name w:val="Body Text First Indent"/>
    <w:basedOn w:val="2"/>
    <w:qFormat/>
    <w:uiPriority w:val="0"/>
    <w:pPr>
      <w:spacing w:line="360" w:lineRule="auto"/>
      <w:ind w:firstLine="420"/>
    </w:pPr>
    <w:rPr>
      <w:rFonts w:ascii="宋体" w:hAnsi="宋体"/>
      <w:sz w:val="24"/>
    </w:r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style>
  <w:style w:type="character" w:styleId="39">
    <w:name w:val="FollowedHyperlink"/>
    <w:qFormat/>
    <w:uiPriority w:val="0"/>
    <w:rPr>
      <w:color w:val="800080"/>
      <w:u w:val="single"/>
    </w:rPr>
  </w:style>
  <w:style w:type="character" w:styleId="40">
    <w:name w:val="Emphasis"/>
    <w:qFormat/>
    <w:uiPriority w:val="0"/>
    <w:rPr>
      <w:i/>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styleId="43">
    <w:name w:val="footnote reference"/>
    <w:qFormat/>
    <w:uiPriority w:val="0"/>
    <w:rPr>
      <w:position w:val="6"/>
      <w:sz w:val="14"/>
      <w:vertAlign w:val="superscript"/>
    </w:rPr>
  </w:style>
  <w:style w:type="character" w:customStyle="1" w:styleId="44">
    <w:name w:val="标题 1 Char"/>
    <w:link w:val="4"/>
    <w:semiHidden/>
    <w:qFormat/>
    <w:uiPriority w:val="0"/>
    <w:rPr>
      <w:rFonts w:ascii="宋体"/>
      <w:kern w:val="2"/>
      <w:sz w:val="28"/>
    </w:rPr>
  </w:style>
  <w:style w:type="character" w:customStyle="1" w:styleId="45">
    <w:name w:val="标题 2 Char"/>
    <w:link w:val="5"/>
    <w:semiHidden/>
    <w:qFormat/>
    <w:uiPriority w:val="0"/>
    <w:rPr>
      <w:rFonts w:ascii="Arial" w:hAnsi="Arial" w:eastAsia="黑体"/>
      <w:b/>
      <w:kern w:val="2"/>
      <w:sz w:val="32"/>
    </w:rPr>
  </w:style>
  <w:style w:type="character" w:customStyle="1" w:styleId="46">
    <w:name w:val="标题 3 Char"/>
    <w:link w:val="6"/>
    <w:semiHidden/>
    <w:qFormat/>
    <w:uiPriority w:val="0"/>
    <w:rPr>
      <w:rFonts w:eastAsia="宋体"/>
      <w:b/>
      <w:kern w:val="2"/>
      <w:sz w:val="32"/>
      <w:lang w:val="en-US" w:eastAsia="zh-CN"/>
    </w:rPr>
  </w:style>
  <w:style w:type="character" w:customStyle="1" w:styleId="47">
    <w:name w:val="标题 4 Char"/>
    <w:link w:val="7"/>
    <w:semiHidden/>
    <w:qFormat/>
    <w:uiPriority w:val="0"/>
    <w:rPr>
      <w:rFonts w:ascii="Arial" w:hAnsi="Arial" w:eastAsia="黑体"/>
      <w:b/>
      <w:kern w:val="2"/>
      <w:sz w:val="28"/>
    </w:rPr>
  </w:style>
  <w:style w:type="character" w:customStyle="1" w:styleId="48">
    <w:name w:val="标题 5 Char"/>
    <w:link w:val="8"/>
    <w:semiHidden/>
    <w:qFormat/>
    <w:uiPriority w:val="0"/>
    <w:rPr>
      <w:b/>
      <w:kern w:val="2"/>
      <w:sz w:val="28"/>
    </w:rPr>
  </w:style>
  <w:style w:type="character" w:customStyle="1" w:styleId="49">
    <w:name w:val="标题 6 Char"/>
    <w:link w:val="9"/>
    <w:semiHidden/>
    <w:qFormat/>
    <w:uiPriority w:val="0"/>
    <w:rPr>
      <w:rFonts w:ascii="Arial" w:hAnsi="Arial" w:eastAsia="黑体"/>
      <w:b/>
      <w:kern w:val="2"/>
      <w:sz w:val="24"/>
    </w:rPr>
  </w:style>
  <w:style w:type="character" w:customStyle="1" w:styleId="50">
    <w:name w:val="标题 7 Char"/>
    <w:link w:val="10"/>
    <w:semiHidden/>
    <w:qFormat/>
    <w:uiPriority w:val="0"/>
    <w:rPr>
      <w:rFonts w:ascii="Arial" w:hAnsi="Arial" w:eastAsia="黑体"/>
      <w:b/>
      <w:kern w:val="2"/>
      <w:sz w:val="24"/>
    </w:rPr>
  </w:style>
  <w:style w:type="character" w:customStyle="1" w:styleId="51">
    <w:name w:val="标题 8 Char"/>
    <w:link w:val="11"/>
    <w:semiHidden/>
    <w:qFormat/>
    <w:uiPriority w:val="0"/>
    <w:rPr>
      <w:rFonts w:ascii="Arial" w:hAnsi="Arial" w:eastAsia="黑体"/>
      <w:b/>
      <w:kern w:val="2"/>
      <w:sz w:val="24"/>
    </w:rPr>
  </w:style>
  <w:style w:type="character" w:customStyle="1" w:styleId="52">
    <w:name w:val="标题 9 Char"/>
    <w:link w:val="12"/>
    <w:semiHidden/>
    <w:qFormat/>
    <w:uiPriority w:val="0"/>
    <w:rPr>
      <w:rFonts w:ascii="Arial" w:hAnsi="Arial" w:eastAsia="黑体"/>
      <w:b/>
      <w:kern w:val="2"/>
      <w:sz w:val="24"/>
    </w:rPr>
  </w:style>
  <w:style w:type="character" w:customStyle="1" w:styleId="53">
    <w:name w:val="批注主题 Char"/>
    <w:link w:val="54"/>
    <w:semiHidden/>
    <w:qFormat/>
    <w:uiPriority w:val="0"/>
  </w:style>
  <w:style w:type="paragraph" w:customStyle="1" w:styleId="54">
    <w:name w:val="批注主题1"/>
    <w:basedOn w:val="16"/>
    <w:next w:val="16"/>
    <w:link w:val="53"/>
    <w:qFormat/>
    <w:uiPriority w:val="0"/>
    <w:pPr>
      <w:adjustRightInd/>
      <w:spacing w:line="240" w:lineRule="auto"/>
      <w:textAlignment w:val="auto"/>
    </w:pPr>
  </w:style>
  <w:style w:type="character" w:customStyle="1" w:styleId="55">
    <w:name w:val="正文首行缩进 Char"/>
    <w:link w:val="56"/>
    <w:semiHidden/>
    <w:qFormat/>
    <w:uiPriority w:val="0"/>
    <w:rPr>
      <w:rFonts w:ascii="宋体" w:hAnsi="宋体"/>
      <w:kern w:val="2"/>
      <w:sz w:val="24"/>
    </w:rPr>
  </w:style>
  <w:style w:type="paragraph" w:customStyle="1" w:styleId="56">
    <w:name w:val="正文首行缩进1"/>
    <w:basedOn w:val="2"/>
    <w:link w:val="55"/>
    <w:qFormat/>
    <w:uiPriority w:val="0"/>
    <w:pPr>
      <w:spacing w:line="360" w:lineRule="auto"/>
      <w:ind w:firstLine="420"/>
    </w:pPr>
    <w:rPr>
      <w:rFonts w:ascii="宋体" w:hAnsi="宋体"/>
      <w:sz w:val="24"/>
    </w:rPr>
  </w:style>
  <w:style w:type="character" w:customStyle="1" w:styleId="57">
    <w:name w:val="文档结构图 Char"/>
    <w:link w:val="58"/>
    <w:semiHidden/>
    <w:qFormat/>
    <w:uiPriority w:val="0"/>
    <w:rPr>
      <w:kern w:val="2"/>
      <w:sz w:val="28"/>
      <w:shd w:val="clear" w:color="auto" w:fill="000080"/>
    </w:rPr>
  </w:style>
  <w:style w:type="paragraph" w:customStyle="1" w:styleId="58">
    <w:name w:val="文档结构图1"/>
    <w:basedOn w:val="1"/>
    <w:link w:val="57"/>
    <w:qFormat/>
    <w:uiPriority w:val="0"/>
    <w:pPr>
      <w:shd w:val="clear" w:color="auto" w:fill="000080"/>
    </w:pPr>
    <w:rPr>
      <w:shd w:val="clear" w:color="auto" w:fill="000080"/>
    </w:rPr>
  </w:style>
  <w:style w:type="character" w:customStyle="1" w:styleId="59">
    <w:name w:val="批注文字 Char"/>
    <w:link w:val="16"/>
    <w:semiHidden/>
    <w:qFormat/>
    <w:uiPriority w:val="0"/>
    <w:rPr>
      <w:sz w:val="24"/>
    </w:rPr>
  </w:style>
  <w:style w:type="character" w:customStyle="1" w:styleId="60">
    <w:name w:val="正文文本 3 Char"/>
    <w:link w:val="61"/>
    <w:semiHidden/>
    <w:qFormat/>
    <w:uiPriority w:val="0"/>
    <w:rPr>
      <w:kern w:val="2"/>
      <w:sz w:val="16"/>
    </w:rPr>
  </w:style>
  <w:style w:type="paragraph" w:customStyle="1" w:styleId="61">
    <w:name w:val="正文文本 31"/>
    <w:basedOn w:val="1"/>
    <w:link w:val="60"/>
    <w:qFormat/>
    <w:uiPriority w:val="0"/>
    <w:pPr>
      <w:adjustRightInd w:val="0"/>
      <w:snapToGrid w:val="0"/>
      <w:spacing w:after="120" w:line="360" w:lineRule="auto"/>
    </w:pPr>
    <w:rPr>
      <w:sz w:val="16"/>
    </w:rPr>
  </w:style>
  <w:style w:type="character" w:customStyle="1" w:styleId="62">
    <w:name w:val="正文文本 Char"/>
    <w:link w:val="2"/>
    <w:semiHidden/>
    <w:qFormat/>
    <w:uiPriority w:val="0"/>
    <w:rPr>
      <w:rFonts w:ascii="仿宋_GB2312" w:eastAsia="仿宋_GB2312"/>
      <w:kern w:val="2"/>
      <w:sz w:val="32"/>
    </w:rPr>
  </w:style>
  <w:style w:type="character" w:customStyle="1" w:styleId="63">
    <w:name w:val="正文文本缩进 Char"/>
    <w:link w:val="64"/>
    <w:semiHidden/>
    <w:qFormat/>
    <w:uiPriority w:val="0"/>
    <w:rPr>
      <w:kern w:val="2"/>
      <w:sz w:val="44"/>
    </w:rPr>
  </w:style>
  <w:style w:type="paragraph" w:customStyle="1" w:styleId="64">
    <w:name w:val="正文文本缩进1"/>
    <w:basedOn w:val="1"/>
    <w:link w:val="63"/>
    <w:qFormat/>
    <w:uiPriority w:val="0"/>
    <w:pPr>
      <w:spacing w:line="700" w:lineRule="exact"/>
      <w:ind w:left="960"/>
    </w:pPr>
    <w:rPr>
      <w:sz w:val="44"/>
    </w:rPr>
  </w:style>
  <w:style w:type="character" w:customStyle="1" w:styleId="65">
    <w:name w:val="纯文本 Char"/>
    <w:link w:val="66"/>
    <w:semiHidden/>
    <w:qFormat/>
    <w:uiPriority w:val="0"/>
    <w:rPr>
      <w:rFonts w:ascii="宋体" w:hAnsi="Courier New"/>
      <w:kern w:val="2"/>
      <w:sz w:val="21"/>
    </w:rPr>
  </w:style>
  <w:style w:type="paragraph" w:customStyle="1" w:styleId="66">
    <w:name w:val="纯文本1"/>
    <w:basedOn w:val="1"/>
    <w:link w:val="65"/>
    <w:qFormat/>
    <w:uiPriority w:val="0"/>
    <w:rPr>
      <w:rFonts w:ascii="宋体" w:hAnsi="Courier New"/>
      <w:sz w:val="21"/>
    </w:rPr>
  </w:style>
  <w:style w:type="character" w:customStyle="1" w:styleId="67">
    <w:name w:val="日期 Char"/>
    <w:link w:val="68"/>
    <w:semiHidden/>
    <w:qFormat/>
    <w:uiPriority w:val="0"/>
    <w:rPr>
      <w:kern w:val="2"/>
      <w:sz w:val="28"/>
    </w:rPr>
  </w:style>
  <w:style w:type="paragraph" w:customStyle="1" w:styleId="68">
    <w:name w:val="日期1"/>
    <w:basedOn w:val="1"/>
    <w:next w:val="1"/>
    <w:link w:val="67"/>
    <w:qFormat/>
    <w:uiPriority w:val="0"/>
  </w:style>
  <w:style w:type="character" w:customStyle="1" w:styleId="69">
    <w:name w:val="正文文本缩进 2 Char"/>
    <w:link w:val="70"/>
    <w:semiHidden/>
    <w:qFormat/>
    <w:uiPriority w:val="0"/>
    <w:rPr>
      <w:kern w:val="2"/>
      <w:sz w:val="28"/>
    </w:rPr>
  </w:style>
  <w:style w:type="paragraph" w:customStyle="1" w:styleId="70">
    <w:name w:val="正文文本缩进 21"/>
    <w:basedOn w:val="1"/>
    <w:link w:val="69"/>
    <w:qFormat/>
    <w:uiPriority w:val="0"/>
    <w:pPr>
      <w:snapToGrid w:val="0"/>
      <w:spacing w:line="560" w:lineRule="atLeast"/>
      <w:ind w:firstLine="540"/>
    </w:pPr>
  </w:style>
  <w:style w:type="character" w:customStyle="1" w:styleId="71">
    <w:name w:val="尾注文本 Char"/>
    <w:link w:val="22"/>
    <w:semiHidden/>
    <w:qFormat/>
    <w:uiPriority w:val="0"/>
    <w:rPr>
      <w:rFonts w:ascii="Arial" w:hAnsi="Arial"/>
      <w:szCs w:val="24"/>
      <w:lang w:eastAsia="en-US"/>
    </w:rPr>
  </w:style>
  <w:style w:type="character" w:customStyle="1" w:styleId="72">
    <w:name w:val="页脚 Char"/>
    <w:link w:val="23"/>
    <w:semiHidden/>
    <w:qFormat/>
    <w:uiPriority w:val="0"/>
    <w:rPr>
      <w:kern w:val="2"/>
      <w:sz w:val="18"/>
    </w:rPr>
  </w:style>
  <w:style w:type="character" w:customStyle="1" w:styleId="73">
    <w:name w:val="正文首行缩进 2 Char"/>
    <w:link w:val="74"/>
    <w:semiHidden/>
    <w:qFormat/>
    <w:uiPriority w:val="0"/>
  </w:style>
  <w:style w:type="paragraph" w:customStyle="1" w:styleId="74">
    <w:name w:val="正文首行缩进 21"/>
    <w:basedOn w:val="64"/>
    <w:link w:val="73"/>
    <w:qFormat/>
    <w:uiPriority w:val="0"/>
    <w:pPr>
      <w:spacing w:after="120" w:line="240" w:lineRule="auto"/>
      <w:ind w:left="420" w:leftChars="200" w:firstLine="420" w:firstLineChars="200"/>
    </w:pPr>
  </w:style>
  <w:style w:type="character" w:customStyle="1" w:styleId="75">
    <w:name w:val="页眉 Char"/>
    <w:link w:val="24"/>
    <w:semiHidden/>
    <w:qFormat/>
    <w:uiPriority w:val="0"/>
    <w:rPr>
      <w:kern w:val="2"/>
      <w:sz w:val="18"/>
    </w:rPr>
  </w:style>
  <w:style w:type="character" w:customStyle="1" w:styleId="76">
    <w:name w:val="副标题 Char"/>
    <w:link w:val="27"/>
    <w:semiHidden/>
    <w:qFormat/>
    <w:uiPriority w:val="0"/>
    <w:rPr>
      <w:szCs w:val="24"/>
      <w:u w:val="single"/>
      <w:lang w:eastAsia="en-US"/>
    </w:rPr>
  </w:style>
  <w:style w:type="character" w:customStyle="1" w:styleId="77">
    <w:name w:val="脚注文本 Char"/>
    <w:link w:val="28"/>
    <w:semiHidden/>
    <w:qFormat/>
    <w:uiPriority w:val="0"/>
    <w:rPr>
      <w:kern w:val="2"/>
      <w:sz w:val="18"/>
    </w:rPr>
  </w:style>
  <w:style w:type="character" w:customStyle="1" w:styleId="78">
    <w:name w:val="正文文本缩进 3 Char"/>
    <w:link w:val="79"/>
    <w:semiHidden/>
    <w:qFormat/>
    <w:uiPriority w:val="0"/>
    <w:rPr>
      <w:rFonts w:ascii="黑体" w:eastAsia="黑体"/>
      <w:kern w:val="2"/>
      <w:sz w:val="28"/>
    </w:rPr>
  </w:style>
  <w:style w:type="paragraph" w:customStyle="1" w:styleId="79">
    <w:name w:val="正文文本缩进 31"/>
    <w:basedOn w:val="1"/>
    <w:link w:val="78"/>
    <w:qFormat/>
    <w:uiPriority w:val="0"/>
    <w:pPr>
      <w:spacing w:line="360" w:lineRule="auto"/>
      <w:ind w:firstLine="632"/>
    </w:pPr>
    <w:rPr>
      <w:rFonts w:ascii="黑体" w:eastAsia="黑体"/>
    </w:rPr>
  </w:style>
  <w:style w:type="character" w:customStyle="1" w:styleId="80">
    <w:name w:val="正文文本 2 Char"/>
    <w:link w:val="81"/>
    <w:semiHidden/>
    <w:qFormat/>
    <w:uiPriority w:val="0"/>
    <w:rPr>
      <w:kern w:val="2"/>
      <w:sz w:val="24"/>
    </w:rPr>
  </w:style>
  <w:style w:type="paragraph" w:customStyle="1" w:styleId="81">
    <w:name w:val="正文文本 21"/>
    <w:basedOn w:val="1"/>
    <w:link w:val="80"/>
    <w:qFormat/>
    <w:uiPriority w:val="0"/>
    <w:pPr>
      <w:adjustRightInd w:val="0"/>
      <w:snapToGrid w:val="0"/>
      <w:spacing w:after="120" w:line="480" w:lineRule="auto"/>
    </w:pPr>
    <w:rPr>
      <w:sz w:val="24"/>
    </w:rPr>
  </w:style>
  <w:style w:type="character" w:customStyle="1" w:styleId="82">
    <w:name w:val="HTML 预设格式 Char"/>
    <w:link w:val="83"/>
    <w:semiHidden/>
    <w:qFormat/>
    <w:uiPriority w:val="0"/>
    <w:rPr>
      <w:rFonts w:ascii="宋体" w:hAnsi="宋体"/>
      <w:color w:val="000000"/>
      <w:sz w:val="24"/>
      <w:szCs w:val="24"/>
    </w:rPr>
  </w:style>
  <w:style w:type="paragraph" w:customStyle="1" w:styleId="83">
    <w:name w:val="HTML 预设格式1"/>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4"/>
    </w:rPr>
  </w:style>
  <w:style w:type="character" w:customStyle="1" w:styleId="84">
    <w:name w:val="标题 Char"/>
    <w:link w:val="32"/>
    <w:semiHidden/>
    <w:qFormat/>
    <w:uiPriority w:val="0"/>
    <w:rPr>
      <w:rFonts w:ascii="Arial" w:hAnsi="Arial"/>
      <w:b/>
      <w:smallCaps/>
      <w:kern w:val="28"/>
      <w:sz w:val="36"/>
      <w:lang w:eastAsia="en-US"/>
    </w:rPr>
  </w:style>
  <w:style w:type="paragraph" w:customStyle="1" w:styleId="85">
    <w:name w:val="文本块1"/>
    <w:basedOn w:val="1"/>
    <w:link w:val="556"/>
    <w:qFormat/>
    <w:uiPriority w:val="0"/>
    <w:pPr>
      <w:autoSpaceDE w:val="0"/>
      <w:autoSpaceDN w:val="0"/>
      <w:adjustRightInd w:val="0"/>
      <w:spacing w:line="1270" w:lineRule="exact"/>
      <w:ind w:left="2160" w:right="-20" w:hanging="2160" w:hangingChars="300"/>
      <w:jc w:val="left"/>
    </w:pPr>
    <w:rPr>
      <w:i/>
      <w:iCs/>
      <w:color w:val="000000"/>
      <w:sz w:val="21"/>
      <w:szCs w:val="22"/>
    </w:rPr>
  </w:style>
  <w:style w:type="paragraph" w:customStyle="1" w:styleId="86">
    <w:name w:val="批注框文本 Char Char"/>
    <w:basedOn w:val="1"/>
    <w:link w:val="393"/>
    <w:qFormat/>
    <w:uiPriority w:val="0"/>
    <w:rPr>
      <w:sz w:val="18"/>
    </w:rPr>
  </w:style>
  <w:style w:type="paragraph" w:customStyle="1" w:styleId="87">
    <w:name w:val="列表 31"/>
    <w:basedOn w:val="1"/>
    <w:qFormat/>
    <w:uiPriority w:val="0"/>
    <w:pPr>
      <w:adjustRightInd w:val="0"/>
      <w:snapToGrid w:val="0"/>
      <w:spacing w:line="360" w:lineRule="auto"/>
      <w:ind w:left="100" w:leftChars="400" w:hanging="200" w:hangingChars="200"/>
    </w:pPr>
    <w:rPr>
      <w:sz w:val="24"/>
    </w:rPr>
  </w:style>
  <w:style w:type="paragraph" w:customStyle="1" w:styleId="88">
    <w:name w:val="列表编号 21"/>
    <w:basedOn w:val="1"/>
    <w:qFormat/>
    <w:uiPriority w:val="0"/>
    <w:pPr>
      <w:tabs>
        <w:tab w:val="left" w:pos="780"/>
      </w:tabs>
      <w:spacing w:line="360" w:lineRule="auto"/>
      <w:ind w:left="425" w:hanging="425"/>
    </w:pPr>
    <w:rPr>
      <w:sz w:val="24"/>
    </w:rPr>
  </w:style>
  <w:style w:type="paragraph" w:customStyle="1" w:styleId="89">
    <w:name w:val="正文缩进1"/>
    <w:basedOn w:val="1"/>
    <w:next w:val="1"/>
    <w:qFormat/>
    <w:uiPriority w:val="0"/>
    <w:pPr>
      <w:adjustRightInd w:val="0"/>
      <w:snapToGrid w:val="0"/>
      <w:spacing w:line="360" w:lineRule="auto"/>
      <w:ind w:firstLine="420"/>
    </w:pPr>
    <w:rPr>
      <w:sz w:val="24"/>
    </w:rPr>
  </w:style>
  <w:style w:type="paragraph" w:customStyle="1" w:styleId="90">
    <w:name w:val="引文目录标题1"/>
    <w:basedOn w:val="1"/>
    <w:next w:val="1"/>
    <w:qFormat/>
    <w:uiPriority w:val="0"/>
    <w:pPr>
      <w:spacing w:before="120"/>
    </w:pPr>
    <w:rPr>
      <w:rFonts w:ascii="Arial" w:hAnsi="Arial"/>
      <w:sz w:val="24"/>
    </w:rPr>
  </w:style>
  <w:style w:type="paragraph" w:customStyle="1" w:styleId="91">
    <w:name w:val="列表编号 31"/>
    <w:basedOn w:val="1"/>
    <w:qFormat/>
    <w:uiPriority w:val="0"/>
    <w:pPr>
      <w:tabs>
        <w:tab w:val="left" w:pos="2120"/>
      </w:tabs>
      <w:adjustRightInd w:val="0"/>
      <w:snapToGrid w:val="0"/>
      <w:spacing w:line="360" w:lineRule="auto"/>
      <w:ind w:left="2120" w:hanging="720"/>
    </w:pPr>
    <w:rPr>
      <w:sz w:val="24"/>
    </w:rPr>
  </w:style>
  <w:style w:type="paragraph" w:customStyle="1" w:styleId="92">
    <w:name w:val="列表 21"/>
    <w:basedOn w:val="1"/>
    <w:qFormat/>
    <w:uiPriority w:val="0"/>
    <w:pPr>
      <w:adjustRightInd w:val="0"/>
      <w:snapToGrid w:val="0"/>
      <w:spacing w:line="360" w:lineRule="auto"/>
      <w:ind w:left="100" w:leftChars="200" w:hanging="200" w:hangingChars="200"/>
    </w:pPr>
    <w:rPr>
      <w:sz w:val="24"/>
    </w:rPr>
  </w:style>
  <w:style w:type="paragraph" w:customStyle="1" w:styleId="93">
    <w:name w:val="列表接续1"/>
    <w:basedOn w:val="1"/>
    <w:qFormat/>
    <w:uiPriority w:val="0"/>
    <w:pPr>
      <w:adjustRightInd w:val="0"/>
      <w:snapToGrid w:val="0"/>
      <w:spacing w:after="120" w:line="360" w:lineRule="auto"/>
      <w:ind w:left="420" w:leftChars="200"/>
    </w:pPr>
    <w:rPr>
      <w:sz w:val="24"/>
    </w:rPr>
  </w:style>
  <w:style w:type="paragraph" w:customStyle="1" w:styleId="94">
    <w:name w:val="索引 41"/>
    <w:basedOn w:val="1"/>
    <w:next w:val="1"/>
    <w:qFormat/>
    <w:uiPriority w:val="0"/>
    <w:pPr>
      <w:ind w:left="600" w:leftChars="600"/>
    </w:pPr>
    <w:rPr>
      <w:sz w:val="21"/>
      <w:szCs w:val="24"/>
    </w:rPr>
  </w:style>
  <w:style w:type="paragraph" w:customStyle="1" w:styleId="95">
    <w:name w:val="寄信人地址1"/>
    <w:basedOn w:val="1"/>
    <w:qFormat/>
    <w:uiPriority w:val="0"/>
    <w:pPr>
      <w:snapToGrid w:val="0"/>
    </w:pPr>
    <w:rPr>
      <w:rFonts w:ascii="Arial" w:hAnsi="Arial" w:cs="Arial"/>
    </w:rPr>
  </w:style>
  <w:style w:type="paragraph" w:customStyle="1" w:styleId="96">
    <w:name w:val="列表接续 41"/>
    <w:basedOn w:val="1"/>
    <w:qFormat/>
    <w:uiPriority w:val="0"/>
    <w:pPr>
      <w:adjustRightInd w:val="0"/>
      <w:snapToGrid w:val="0"/>
      <w:spacing w:after="120" w:line="360" w:lineRule="auto"/>
      <w:ind w:left="1680" w:leftChars="800"/>
    </w:pPr>
    <w:rPr>
      <w:sz w:val="24"/>
    </w:rPr>
  </w:style>
  <w:style w:type="paragraph" w:customStyle="1" w:styleId="97">
    <w:name w:val="列表 51"/>
    <w:basedOn w:val="1"/>
    <w:qFormat/>
    <w:uiPriority w:val="0"/>
    <w:pPr>
      <w:adjustRightInd w:val="0"/>
      <w:snapToGrid w:val="0"/>
      <w:spacing w:line="360" w:lineRule="auto"/>
      <w:ind w:left="100" w:leftChars="800" w:hanging="200" w:hangingChars="200"/>
    </w:pPr>
    <w:rPr>
      <w:sz w:val="24"/>
    </w:rPr>
  </w:style>
  <w:style w:type="paragraph" w:customStyle="1" w:styleId="98">
    <w:name w:val="图表目录1"/>
    <w:basedOn w:val="1"/>
    <w:next w:val="1"/>
    <w:qFormat/>
    <w:uiPriority w:val="0"/>
    <w:pPr>
      <w:tabs>
        <w:tab w:val="right" w:leader="dot" w:pos="8640"/>
      </w:tabs>
      <w:spacing w:line="360" w:lineRule="auto"/>
      <w:ind w:left="400" w:hanging="400"/>
    </w:pPr>
    <w:rPr>
      <w:sz w:val="24"/>
    </w:rPr>
  </w:style>
  <w:style w:type="paragraph" w:customStyle="1" w:styleId="99">
    <w:name w:val="列表 41"/>
    <w:basedOn w:val="1"/>
    <w:qFormat/>
    <w:uiPriority w:val="0"/>
    <w:pPr>
      <w:adjustRightInd w:val="0"/>
      <w:snapToGrid w:val="0"/>
      <w:spacing w:line="360" w:lineRule="auto"/>
      <w:ind w:left="100" w:leftChars="600" w:hanging="200" w:hangingChars="200"/>
    </w:pPr>
    <w:rPr>
      <w:sz w:val="24"/>
    </w:rPr>
  </w:style>
  <w:style w:type="paragraph" w:customStyle="1" w:styleId="100">
    <w:name w:val="列表接续 21"/>
    <w:basedOn w:val="1"/>
    <w:qFormat/>
    <w:uiPriority w:val="0"/>
    <w:pPr>
      <w:adjustRightInd w:val="0"/>
      <w:snapToGrid w:val="0"/>
      <w:spacing w:after="120" w:line="360" w:lineRule="auto"/>
      <w:ind w:left="840" w:leftChars="400"/>
    </w:pPr>
    <w:rPr>
      <w:sz w:val="24"/>
    </w:rPr>
  </w:style>
  <w:style w:type="paragraph" w:customStyle="1" w:styleId="101">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02">
    <w:name w:val="列表接续 31"/>
    <w:basedOn w:val="1"/>
    <w:qFormat/>
    <w:uiPriority w:val="0"/>
    <w:pPr>
      <w:adjustRightInd w:val="0"/>
      <w:snapToGrid w:val="0"/>
      <w:spacing w:after="120" w:line="360" w:lineRule="auto"/>
      <w:ind w:left="1260" w:leftChars="600"/>
    </w:pPr>
    <w:rPr>
      <w:sz w:val="24"/>
    </w:rPr>
  </w:style>
  <w:style w:type="paragraph" w:customStyle="1" w:styleId="103">
    <w:name w:val="索引 11"/>
    <w:basedOn w:val="1"/>
    <w:next w:val="1"/>
    <w:qFormat/>
    <w:uiPriority w:val="0"/>
    <w:pPr>
      <w:adjustRightInd w:val="0"/>
      <w:spacing w:line="240" w:lineRule="atLeast"/>
      <w:textAlignment w:val="baseline"/>
    </w:pPr>
    <w:rPr>
      <w:rFonts w:ascii="宋体"/>
      <w:kern w:val="0"/>
      <w:sz w:val="21"/>
    </w:rPr>
  </w:style>
  <w:style w:type="paragraph" w:customStyle="1" w:styleId="104">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105">
    <w:name w:val="招标正文"/>
    <w:next w:val="106"/>
    <w:link w:val="415"/>
    <w:qFormat/>
    <w:uiPriority w:val="0"/>
    <w:pPr>
      <w:widowControl w:val="0"/>
      <w:spacing w:line="480" w:lineRule="exact"/>
      <w:jc w:val="both"/>
    </w:pPr>
    <w:rPr>
      <w:rFonts w:ascii="宋体" w:hAnsi="Times New Roman" w:eastAsia="宋体" w:cs="Times New Roman"/>
      <w:color w:val="000000"/>
      <w:kern w:val="2"/>
      <w:sz w:val="21"/>
      <w:szCs w:val="21"/>
      <w:lang w:val="en-US" w:eastAsia="zh-CN" w:bidi="ar-SA"/>
    </w:rPr>
  </w:style>
  <w:style w:type="paragraph" w:customStyle="1" w:styleId="106">
    <w:name w:val="样式 标题 3 + (中文) 黑体 小四 非加粗 段前: 7.8 磅 段后: 0 磅 行距: 固定值 20 磅"/>
    <w:basedOn w:val="6"/>
    <w:next w:val="1"/>
    <w:qFormat/>
    <w:uiPriority w:val="0"/>
    <w:pPr>
      <w:spacing w:before="0" w:after="0" w:line="400" w:lineRule="exact"/>
    </w:pPr>
    <w:rPr>
      <w:rFonts w:eastAsia="黑体" w:cs="宋体"/>
      <w:b w:val="0"/>
      <w:sz w:val="24"/>
    </w:rPr>
  </w:style>
  <w:style w:type="paragraph" w:customStyle="1" w:styleId="107">
    <w:name w:val="Table Text"/>
    <w:link w:val="443"/>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样式 正文文本缩进 + (中文) 仿宋_GB2312 左侧:  0 厘米 行距: 1.5 倍行距 首行缩进:  2 字符"/>
    <w:basedOn w:val="64"/>
    <w:link w:val="444"/>
    <w:qFormat/>
    <w:uiPriority w:val="0"/>
    <w:pPr>
      <w:spacing w:line="360" w:lineRule="auto"/>
      <w:ind w:left="0" w:firstLine="560" w:firstLineChars="200"/>
    </w:pPr>
    <w:rPr>
      <w:rFonts w:ascii="仿宋_GB2312" w:eastAsia="仿宋_GB2312" w:cs="宋体"/>
      <w:sz w:val="28"/>
      <w:szCs w:val="28"/>
    </w:rPr>
  </w:style>
  <w:style w:type="paragraph" w:customStyle="1" w:styleId="109">
    <w:name w:val="文字"/>
    <w:basedOn w:val="1"/>
    <w:link w:val="464"/>
    <w:qFormat/>
    <w:uiPriority w:val="0"/>
    <w:pPr>
      <w:tabs>
        <w:tab w:val="left" w:pos="8520"/>
      </w:tabs>
      <w:spacing w:line="312" w:lineRule="auto"/>
      <w:ind w:right="-210" w:firstLine="556"/>
    </w:pPr>
    <w:rPr>
      <w:rFonts w:ascii="宋体"/>
    </w:rPr>
  </w:style>
  <w:style w:type="paragraph" w:customStyle="1" w:styleId="110">
    <w:name w:val="标题4"/>
    <w:basedOn w:val="5"/>
    <w:next w:val="94"/>
    <w:link w:val="496"/>
    <w:qFormat/>
    <w:uiPriority w:val="0"/>
    <w:rPr>
      <w:bCs/>
      <w:sz w:val="24"/>
      <w:szCs w:val="32"/>
    </w:rPr>
  </w:style>
  <w:style w:type="paragraph" w:customStyle="1" w:styleId="111">
    <w:name w:val="引用1"/>
    <w:basedOn w:val="1"/>
    <w:next w:val="1"/>
    <w:link w:val="503"/>
    <w:qFormat/>
    <w:uiPriority w:val="0"/>
    <w:rPr>
      <w:i/>
      <w:iCs/>
      <w:color w:val="000000"/>
    </w:rPr>
  </w:style>
  <w:style w:type="paragraph" w:customStyle="1" w:styleId="112">
    <w:name w:val="Table Text Char Char Char"/>
    <w:link w:val="524"/>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标题5"/>
    <w:basedOn w:val="1"/>
    <w:link w:val="530"/>
    <w:qFormat/>
    <w:uiPriority w:val="0"/>
    <w:pPr>
      <w:tabs>
        <w:tab w:val="left" w:pos="0"/>
      </w:tabs>
      <w:autoSpaceDE w:val="0"/>
      <w:autoSpaceDN w:val="0"/>
      <w:adjustRightInd w:val="0"/>
      <w:snapToGrid w:val="0"/>
      <w:spacing w:line="320" w:lineRule="atLeast"/>
    </w:pPr>
    <w:rPr>
      <w:rFonts w:ascii="宋体"/>
      <w:sz w:val="21"/>
    </w:rPr>
  </w:style>
  <w:style w:type="paragraph" w:customStyle="1" w:styleId="114">
    <w:name w:val="Blockquote"/>
    <w:basedOn w:val="1"/>
    <w:link w:val="551"/>
    <w:qFormat/>
    <w:uiPriority w:val="0"/>
    <w:pPr>
      <w:autoSpaceDE w:val="0"/>
      <w:autoSpaceDN w:val="0"/>
      <w:adjustRightInd w:val="0"/>
      <w:spacing w:before="100" w:after="100"/>
      <w:ind w:left="360" w:right="360"/>
      <w:jc w:val="left"/>
    </w:pPr>
    <w:rPr>
      <w:sz w:val="24"/>
    </w:rPr>
  </w:style>
  <w:style w:type="paragraph" w:customStyle="1" w:styleId="115">
    <w:name w:val="明显引用1"/>
    <w:basedOn w:val="1"/>
    <w:next w:val="1"/>
    <w:link w:val="582"/>
    <w:qFormat/>
    <w:uiPriority w:val="0"/>
    <w:pPr>
      <w:pBdr>
        <w:bottom w:val="single" w:color="4F81BD" w:sz="4" w:space="4"/>
      </w:pBdr>
      <w:spacing w:before="200" w:after="280"/>
      <w:ind w:left="936" w:right="936"/>
    </w:pPr>
    <w:rPr>
      <w:b/>
      <w:bCs/>
      <w:i/>
      <w:iCs/>
      <w:color w:val="4F81BD"/>
      <w:sz w:val="21"/>
      <w:szCs w:val="22"/>
    </w:rPr>
  </w:style>
  <w:style w:type="paragraph" w:customStyle="1" w:styleId="116">
    <w:name w:val="明显引用111"/>
    <w:basedOn w:val="1"/>
    <w:next w:val="1"/>
    <w:link w:val="585"/>
    <w:qFormat/>
    <w:uiPriority w:val="0"/>
    <w:pPr>
      <w:pBdr>
        <w:bottom w:val="single" w:color="4F81BD" w:sz="4" w:space="4"/>
      </w:pBdr>
      <w:spacing w:before="200" w:after="280"/>
      <w:ind w:left="936" w:right="936"/>
    </w:pPr>
    <w:rPr>
      <w:b/>
      <w:bCs/>
      <w:i/>
      <w:iCs/>
      <w:color w:val="4F81BD"/>
    </w:rPr>
  </w:style>
  <w:style w:type="paragraph" w:customStyle="1" w:styleId="117">
    <w:name w:val="样式 首行缩进:  0.74 厘米"/>
    <w:basedOn w:val="1"/>
    <w:qFormat/>
    <w:uiPriority w:val="0"/>
    <w:pPr>
      <w:spacing w:line="360" w:lineRule="auto"/>
      <w:ind w:firstLine="420"/>
    </w:pPr>
    <w:rPr>
      <w:sz w:val="24"/>
    </w:rPr>
  </w:style>
  <w:style w:type="paragraph" w:customStyle="1" w:styleId="118">
    <w:name w:val="Char2 Char Char Char Char Char Char"/>
    <w:basedOn w:val="1"/>
    <w:qFormat/>
    <w:uiPriority w:val="0"/>
    <w:rPr>
      <w:rFonts w:ascii="仿宋_GB2312"/>
      <w:b/>
      <w:sz w:val="30"/>
    </w:rPr>
  </w:style>
  <w:style w:type="paragraph" w:customStyle="1" w:styleId="119">
    <w:name w:val="样式 标题 2 + 段前: 7.8 磅"/>
    <w:qFormat/>
    <w:uiPriority w:val="0"/>
    <w:pPr>
      <w:tabs>
        <w:tab w:val="left" w:pos="360"/>
      </w:tabs>
      <w:ind w:left="260"/>
    </w:pPr>
    <w:rPr>
      <w:rFonts w:ascii="Times New Roman" w:hAnsi="Times New Roman" w:eastAsia="黑体" w:cs="Times New Roman"/>
      <w:bCs/>
      <w:sz w:val="30"/>
      <w:lang w:val="en-US" w:eastAsia="zh-CN" w:bidi="ar-SA"/>
    </w:rPr>
  </w:style>
  <w:style w:type="paragraph" w:customStyle="1" w:styleId="120">
    <w:name w:val="zw"/>
    <w:basedOn w:val="1"/>
    <w:qFormat/>
    <w:uiPriority w:val="0"/>
    <w:pPr>
      <w:widowControl/>
      <w:spacing w:before="30"/>
      <w:ind w:left="100" w:right="100"/>
    </w:pPr>
    <w:rPr>
      <w:rFonts w:ascii="方正书宋简体" w:hAnsi="宋体" w:eastAsia="方正书宋简体"/>
      <w:color w:val="000000"/>
      <w:kern w:val="0"/>
      <w:sz w:val="21"/>
      <w:szCs w:val="21"/>
    </w:rPr>
  </w:style>
  <w:style w:type="paragraph" w:customStyle="1" w:styleId="121">
    <w:name w:val="正文文本 211"/>
    <w:basedOn w:val="1"/>
    <w:qFormat/>
    <w:uiPriority w:val="0"/>
    <w:pPr>
      <w:adjustRightInd w:val="0"/>
      <w:spacing w:before="120" w:line="360" w:lineRule="auto"/>
      <w:ind w:firstLine="480"/>
      <w:textAlignment w:val="baseline"/>
    </w:pPr>
    <w:rPr>
      <w:sz w:val="24"/>
    </w:rPr>
  </w:style>
  <w:style w:type="paragraph" w:customStyle="1" w:styleId="122">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3">
    <w:name w:val="正文 A"/>
    <w:qFormat/>
    <w:uiPriority w:val="0"/>
    <w:pPr>
      <w:widowControl w:val="0"/>
      <w:jc w:val="both"/>
    </w:pPr>
    <w:rPr>
      <w:rFonts w:ascii="Arial Unicode MS" w:hAnsi="Arial Unicode MS" w:eastAsia="宋体" w:cs="Arial Unicode MS"/>
      <w:color w:val="000000"/>
      <w:kern w:val="2"/>
      <w:sz w:val="21"/>
      <w:szCs w:val="21"/>
      <w:lang w:val="en-US" w:eastAsia="zh-CN" w:bidi="ar-SA"/>
    </w:rPr>
  </w:style>
  <w:style w:type="paragraph" w:customStyle="1" w:styleId="124">
    <w:name w:val="样式4"/>
    <w:basedOn w:val="7"/>
    <w:qFormat/>
    <w:uiPriority w:val="0"/>
    <w:pPr>
      <w:adjustRightInd w:val="0"/>
      <w:snapToGrid w:val="0"/>
    </w:pPr>
  </w:style>
  <w:style w:type="paragraph" w:customStyle="1" w:styleId="12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2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128">
    <w:name w:val="列表项目"/>
    <w:basedOn w:val="1"/>
    <w:qFormat/>
    <w:uiPriority w:val="0"/>
    <w:pPr>
      <w:tabs>
        <w:tab w:val="left" w:pos="420"/>
      </w:tabs>
      <w:spacing w:line="288" w:lineRule="auto"/>
      <w:ind w:left="840" w:leftChars="200" w:hanging="420" w:hangingChars="200"/>
    </w:pPr>
    <w:rPr>
      <w:sz w:val="21"/>
    </w:rPr>
  </w:style>
  <w:style w:type="paragraph" w:customStyle="1" w:styleId="129">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30">
    <w:name w:val="内容标题"/>
    <w:basedOn w:val="58"/>
    <w:qFormat/>
    <w:uiPriority w:val="0"/>
    <w:rPr>
      <w:rFonts w:ascii="Tahoma" w:hAnsi="Tahoma"/>
      <w:sz w:val="24"/>
    </w:rPr>
  </w:style>
  <w:style w:type="paragraph" w:customStyle="1" w:styleId="131">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paragraph" w:customStyle="1" w:styleId="132">
    <w:name w:val="表格标题"/>
    <w:basedOn w:val="133"/>
    <w:qFormat/>
    <w:uiPriority w:val="0"/>
  </w:style>
  <w:style w:type="paragraph" w:customStyle="1" w:styleId="133">
    <w:name w:val="表格内容"/>
    <w:basedOn w:val="1"/>
    <w:qFormat/>
    <w:uiPriority w:val="0"/>
    <w:pPr>
      <w:suppressLineNumbers/>
      <w:suppressAutoHyphens/>
    </w:pPr>
    <w:rPr>
      <w:sz w:val="21"/>
      <w:szCs w:val="24"/>
    </w:rPr>
  </w:style>
  <w:style w:type="paragraph" w:customStyle="1" w:styleId="134">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6">
    <w:name w:val="编号正文"/>
    <w:basedOn w:val="137"/>
    <w:qFormat/>
    <w:uiPriority w:val="0"/>
    <w:pPr>
      <w:snapToGrid/>
      <w:spacing w:line="360" w:lineRule="auto"/>
      <w:ind w:left="1407" w:hanging="1047"/>
      <w:jc w:val="left"/>
    </w:pPr>
    <w:rPr>
      <w:rFonts w:eastAsia="仿宋_GB2312"/>
    </w:rPr>
  </w:style>
  <w:style w:type="paragraph" w:customStyle="1" w:styleId="13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8">
    <w:name w:val="默认段落字体 Para Char Char Char Char Char Char Char"/>
    <w:basedOn w:val="1"/>
    <w:qFormat/>
    <w:uiPriority w:val="0"/>
    <w:rPr>
      <w:rFonts w:ascii="Tahoma" w:hAnsi="Tahoma"/>
      <w:sz w:val="24"/>
    </w:rPr>
  </w:style>
  <w:style w:type="paragraph" w:customStyle="1" w:styleId="139">
    <w:name w:val="表格正文"/>
    <w:basedOn w:val="1"/>
    <w:qFormat/>
    <w:uiPriority w:val="0"/>
    <w:rPr>
      <w:rFonts w:ascii="Calibri" w:hAnsi="Calibri" w:eastAsia="仿宋" w:cs="宋体"/>
      <w:sz w:val="24"/>
    </w:rPr>
  </w:style>
  <w:style w:type="paragraph" w:customStyle="1" w:styleId="140">
    <w:name w:val="样式 标题 6第五层条 + 三号 段前: 0.5 行"/>
    <w:basedOn w:val="9"/>
    <w:qFormat/>
    <w:uiPriority w:val="0"/>
    <w:pPr>
      <w:widowControl/>
      <w:adjustRightInd/>
      <w:snapToGrid/>
      <w:spacing w:beforeLines="50"/>
      <w:jc w:val="left"/>
    </w:pPr>
    <w:rPr>
      <w:snapToGrid w:val="0"/>
      <w:kern w:val="24"/>
      <w:sz w:val="28"/>
    </w:rPr>
  </w:style>
  <w:style w:type="paragraph" w:customStyle="1" w:styleId="141">
    <w:name w:val="Char Char1 Char Char"/>
    <w:basedOn w:val="58"/>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rPr>
  </w:style>
  <w:style w:type="paragraph" w:customStyle="1" w:styleId="142">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43">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44">
    <w:name w:val="Table Contents"/>
    <w:basedOn w:val="2"/>
    <w:qFormat/>
    <w:uiPriority w:val="0"/>
    <w:pPr>
      <w:suppressAutoHyphens/>
      <w:jc w:val="left"/>
    </w:pPr>
    <w:rPr>
      <w:rFonts w:ascii="Times New Roman" w:eastAsia="Times New Roman"/>
      <w:kern w:val="0"/>
      <w:sz w:val="24"/>
    </w:rPr>
  </w:style>
  <w:style w:type="paragraph" w:customStyle="1" w:styleId="145">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146">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4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48">
    <w:name w:val="pa-6"/>
    <w:basedOn w:val="1"/>
    <w:qFormat/>
    <w:uiPriority w:val="0"/>
    <w:pPr>
      <w:widowControl/>
      <w:spacing w:line="360" w:lineRule="atLeast"/>
      <w:jc w:val="left"/>
    </w:pPr>
    <w:rPr>
      <w:rFonts w:ascii="宋体" w:hAnsi="宋体" w:cs="宋体"/>
      <w:kern w:val="0"/>
      <w:sz w:val="24"/>
      <w:szCs w:val="24"/>
    </w:rPr>
  </w:style>
  <w:style w:type="paragraph" w:customStyle="1" w:styleId="149">
    <w:name w:val="Style Heading 3h3Heading 3 - oldLevel 3 HeadH3level_3PIM 3se..."/>
    <w:basedOn w:val="6"/>
    <w:qFormat/>
    <w:uiPriority w:val="0"/>
    <w:pPr>
      <w:tabs>
        <w:tab w:val="left" w:pos="709"/>
        <w:tab w:val="left" w:pos="1620"/>
      </w:tabs>
      <w:ind w:left="1620" w:hanging="360"/>
    </w:pPr>
  </w:style>
  <w:style w:type="paragraph" w:customStyle="1" w:styleId="150">
    <w:name w:val="关键词"/>
    <w:basedOn w:val="1"/>
    <w:next w:val="1"/>
    <w:qFormat/>
    <w:uiPriority w:val="0"/>
    <w:pPr>
      <w:spacing w:line="360" w:lineRule="auto"/>
    </w:pPr>
    <w:rPr>
      <w:rFonts w:eastAsia="黑体"/>
      <w:sz w:val="20"/>
    </w:rPr>
  </w:style>
  <w:style w:type="paragraph" w:customStyle="1" w:styleId="15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52">
    <w:name w:val="列表段落1"/>
    <w:basedOn w:val="1"/>
    <w:qFormat/>
    <w:uiPriority w:val="0"/>
    <w:pPr>
      <w:ind w:firstLine="420" w:firstLineChars="200"/>
    </w:pPr>
    <w:rPr>
      <w:rFonts w:ascii="Calibri" w:hAnsi="Calibri"/>
      <w:sz w:val="21"/>
      <w:szCs w:val="24"/>
    </w:rPr>
  </w:style>
  <w:style w:type="paragraph" w:customStyle="1" w:styleId="153">
    <w:name w:val="样式 标题 1 + 黑体 三号 非加粗 居中 段前: 6 磅 段后: 6 磅 行距: 固定值 20 磅"/>
    <w:basedOn w:val="4"/>
    <w:qFormat/>
    <w:uiPriority w:val="0"/>
    <w:pPr>
      <w:keepLines/>
      <w:snapToGrid/>
      <w:spacing w:before="120" w:after="120" w:line="400" w:lineRule="exact"/>
      <w:jc w:val="center"/>
    </w:pPr>
    <w:rPr>
      <w:rFonts w:ascii="黑体" w:hAnsi="黑体" w:eastAsia="黑体" w:cs="宋体"/>
      <w:kern w:val="44"/>
      <w:sz w:val="32"/>
    </w:rPr>
  </w:style>
  <w:style w:type="paragraph" w:customStyle="1" w:styleId="154">
    <w:name w:val="reader-word-layer reader-word-s43-1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5">
    <w:name w:val="_Style 200"/>
    <w:next w:val="1"/>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7">
    <w:name w:val="Title - Revision"/>
    <w:basedOn w:val="32"/>
    <w:qFormat/>
    <w:uiPriority w:val="0"/>
    <w:pPr>
      <w:spacing w:before="720"/>
    </w:pPr>
  </w:style>
  <w:style w:type="paragraph" w:customStyle="1" w:styleId="1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59">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0">
    <w:name w:val="Char3"/>
    <w:basedOn w:val="1"/>
    <w:qFormat/>
    <w:uiPriority w:val="0"/>
    <w:rPr>
      <w:rFonts w:ascii="Tahoma" w:hAnsi="Tahoma"/>
      <w:sz w:val="24"/>
    </w:rPr>
  </w:style>
  <w:style w:type="paragraph" w:customStyle="1" w:styleId="161">
    <w:name w:val="Char Char Char1 Char"/>
    <w:basedOn w:val="1"/>
    <w:qFormat/>
    <w:uiPriority w:val="0"/>
    <w:rPr>
      <w:sz w:val="21"/>
      <w:szCs w:val="24"/>
    </w:rPr>
  </w:style>
  <w:style w:type="paragraph" w:customStyle="1" w:styleId="162">
    <w:name w:val="列出段落1"/>
    <w:basedOn w:val="1"/>
    <w:qFormat/>
    <w:uiPriority w:val="0"/>
    <w:pPr>
      <w:ind w:firstLine="420" w:firstLineChars="200"/>
    </w:pPr>
    <w:rPr>
      <w:rFonts w:hint="eastAsia"/>
      <w:sz w:val="21"/>
    </w:rPr>
  </w:style>
  <w:style w:type="paragraph" w:customStyle="1" w:styleId="163">
    <w:name w:val="p16"/>
    <w:basedOn w:val="1"/>
    <w:qFormat/>
    <w:uiPriority w:val="0"/>
    <w:pPr>
      <w:widowControl/>
    </w:pPr>
    <w:rPr>
      <w:rFonts w:ascii="Calibri" w:hAnsi="Calibri" w:cs="宋体"/>
      <w:kern w:val="0"/>
      <w:sz w:val="21"/>
      <w:szCs w:val="21"/>
    </w:rPr>
  </w:style>
  <w:style w:type="paragraph" w:customStyle="1" w:styleId="164">
    <w:name w:val="正文表格"/>
    <w:basedOn w:val="1"/>
    <w:qFormat/>
    <w:uiPriority w:val="0"/>
    <w:pPr>
      <w:adjustRightInd w:val="0"/>
      <w:spacing w:before="40" w:after="40"/>
    </w:pPr>
    <w:rPr>
      <w:sz w:val="24"/>
    </w:rPr>
  </w:style>
  <w:style w:type="paragraph" w:customStyle="1" w:styleId="16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166">
    <w:name w:val="Char2"/>
    <w:basedOn w:val="1"/>
    <w:qFormat/>
    <w:uiPriority w:val="0"/>
    <w:pPr>
      <w:ind w:firstLine="3920" w:firstLineChars="1400"/>
    </w:pPr>
    <w:rPr>
      <w:rFonts w:ascii="Tahoma" w:hAnsi="Tahoma"/>
      <w:szCs w:val="28"/>
    </w:rPr>
  </w:style>
  <w:style w:type="paragraph" w:customStyle="1" w:styleId="167">
    <w:name w:val="文本1"/>
    <w:basedOn w:val="1"/>
    <w:qFormat/>
    <w:uiPriority w:val="0"/>
    <w:pPr>
      <w:adjustRightInd w:val="0"/>
      <w:spacing w:line="312" w:lineRule="atLeast"/>
      <w:jc w:val="center"/>
      <w:textAlignment w:val="baseline"/>
    </w:pPr>
    <w:rPr>
      <w:kern w:val="0"/>
      <w:sz w:val="18"/>
    </w:rPr>
  </w:style>
  <w:style w:type="paragraph" w:customStyle="1" w:styleId="168">
    <w:name w:val="表格"/>
    <w:basedOn w:val="1"/>
    <w:qFormat/>
    <w:uiPriority w:val="0"/>
    <w:pPr>
      <w:jc w:val="center"/>
      <w:textAlignment w:val="center"/>
    </w:pPr>
    <w:rPr>
      <w:rFonts w:ascii="华文细黑" w:hAnsi="华文细黑"/>
      <w:kern w:val="0"/>
      <w:sz w:val="21"/>
    </w:rPr>
  </w:style>
  <w:style w:type="paragraph" w:customStyle="1" w:styleId="169">
    <w:name w:val="_Style 96"/>
    <w:qFormat/>
    <w:uiPriority w:val="0"/>
    <w:rPr>
      <w:rFonts w:ascii="Calibri" w:hAnsi="Calibri" w:eastAsia="宋体" w:cs="Times New Roman"/>
      <w:kern w:val="2"/>
      <w:sz w:val="21"/>
      <w:szCs w:val="24"/>
      <w:lang w:val="en-US" w:eastAsia="zh-CN" w:bidi="ar-SA"/>
    </w:rPr>
  </w:style>
  <w:style w:type="paragraph" w:customStyle="1" w:styleId="170">
    <w:name w:val="TOC 标题1"/>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171">
    <w:name w:val="2"/>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2">
    <w:name w:val="默认段落字体 Para Char Char Char Char Char Char Char Char Char1 Char Char Char Char"/>
    <w:basedOn w:val="1"/>
    <w:qFormat/>
    <w:uiPriority w:val="0"/>
    <w:rPr>
      <w:rFonts w:ascii="Tahoma" w:hAnsi="Tahoma"/>
      <w:sz w:val="24"/>
    </w:rPr>
  </w:style>
  <w:style w:type="paragraph" w:customStyle="1" w:styleId="173">
    <w:name w:val="空半行"/>
    <w:basedOn w:val="1"/>
    <w:qFormat/>
    <w:uiPriority w:val="0"/>
    <w:pPr>
      <w:adjustRightInd w:val="0"/>
      <w:spacing w:line="120" w:lineRule="exact"/>
      <w:textAlignment w:val="baseline"/>
    </w:pPr>
    <w:rPr>
      <w:rFonts w:eastAsia="仿宋_GB2312"/>
      <w:color w:val="FFFFFF"/>
      <w:kern w:val="0"/>
      <w:sz w:val="30"/>
    </w:rPr>
  </w:style>
  <w:style w:type="paragraph" w:customStyle="1" w:styleId="17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Char Char Char1"/>
    <w:basedOn w:val="1"/>
    <w:qFormat/>
    <w:uiPriority w:val="0"/>
    <w:rPr>
      <w:sz w:val="21"/>
      <w:szCs w:val="24"/>
    </w:rPr>
  </w:style>
  <w:style w:type="paragraph" w:customStyle="1" w:styleId="176">
    <w:name w:val="intel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7">
    <w:name w:val="Char Char1 Char Char Char Char Char Char Char Char Char Char"/>
    <w:basedOn w:val="1"/>
    <w:qFormat/>
    <w:uiPriority w:val="0"/>
    <w:pPr>
      <w:autoSpaceDE w:val="0"/>
      <w:autoSpaceDN w:val="0"/>
      <w:adjustRightInd w:val="0"/>
      <w:ind w:firstLine="482"/>
    </w:pPr>
    <w:rPr>
      <w:rFonts w:ascii="Calibri" w:hAnsi="Calibri"/>
      <w:sz w:val="21"/>
    </w:rPr>
  </w:style>
  <w:style w:type="paragraph" w:customStyle="1" w:styleId="178">
    <w:name w:val="标题3——2"/>
    <w:basedOn w:val="6"/>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79">
    <w:name w:val="Char Char1 Char Char Char Char Char Char Char"/>
    <w:basedOn w:val="1"/>
    <w:qFormat/>
    <w:uiPriority w:val="0"/>
    <w:pPr>
      <w:pageBreakBefore/>
    </w:pPr>
    <w:rPr>
      <w:rFonts w:ascii="宋体" w:eastAsia="仿宋_GB2312" w:cs="宋体"/>
      <w:szCs w:val="28"/>
    </w:rPr>
  </w:style>
  <w:style w:type="paragraph" w:customStyle="1" w:styleId="18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1">
    <w:name w:val="Char Char1 Char"/>
    <w:basedOn w:val="1"/>
    <w:qFormat/>
    <w:uiPriority w:val="0"/>
    <w:rPr>
      <w:rFonts w:ascii="Tahoma" w:hAnsi="Tahoma"/>
      <w:sz w:val="24"/>
      <w:szCs w:val="24"/>
    </w:rPr>
  </w:style>
  <w:style w:type="paragraph" w:customStyle="1" w:styleId="18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83">
    <w:name w:val="IN Feature"/>
    <w:next w:val="146"/>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4">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85">
    <w:name w:val="表头样式"/>
    <w:basedOn w:val="1"/>
    <w:qFormat/>
    <w:uiPriority w:val="0"/>
    <w:pPr>
      <w:autoSpaceDE w:val="0"/>
      <w:autoSpaceDN w:val="0"/>
      <w:adjustRightInd w:val="0"/>
      <w:spacing w:line="360" w:lineRule="auto"/>
      <w:jc w:val="left"/>
    </w:pPr>
    <w:rPr>
      <w:b/>
      <w:kern w:val="0"/>
      <w:sz w:val="21"/>
    </w:rPr>
  </w:style>
  <w:style w:type="paragraph" w:customStyle="1" w:styleId="186">
    <w:name w:val="xl7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87">
    <w:name w:val="Char1"/>
    <w:basedOn w:val="1"/>
    <w:qFormat/>
    <w:uiPriority w:val="0"/>
    <w:rPr>
      <w:sz w:val="21"/>
    </w:rPr>
  </w:style>
  <w:style w:type="paragraph" w:customStyle="1" w:styleId="188">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1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9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1">
    <w:name w:val="Char Char Char Char Char Char Char Char Char Char Char Char Char Char Char Char"/>
    <w:basedOn w:val="1"/>
    <w:qFormat/>
    <w:uiPriority w:val="0"/>
    <w:pPr>
      <w:tabs>
        <w:tab w:val="left" w:pos="360"/>
      </w:tabs>
    </w:pPr>
    <w:rPr>
      <w:sz w:val="24"/>
    </w:rPr>
  </w:style>
  <w:style w:type="paragraph" w:customStyle="1" w:styleId="192">
    <w:name w:val="引用2"/>
    <w:basedOn w:val="1"/>
    <w:next w:val="1"/>
    <w:qFormat/>
    <w:uiPriority w:val="0"/>
    <w:rPr>
      <w:rFonts w:ascii="Calibri" w:hAnsi="Calibri"/>
      <w:i/>
      <w:iCs/>
      <w:color w:val="000000"/>
      <w:sz w:val="21"/>
      <w:szCs w:val="24"/>
    </w:rPr>
  </w:style>
  <w:style w:type="paragraph" w:customStyle="1" w:styleId="193">
    <w:name w:val="Char Char Char Char Char Char Char Char Char Char"/>
    <w:basedOn w:val="58"/>
    <w:qFormat/>
    <w:uiPriority w:val="0"/>
    <w:pPr>
      <w:spacing w:line="360" w:lineRule="auto"/>
      <w:ind w:firstLine="200" w:firstLineChars="200"/>
    </w:pPr>
    <w:rPr>
      <w:rFonts w:ascii="Tahoma" w:hAnsi="Tahoma"/>
      <w:sz w:val="24"/>
      <w:szCs w:val="24"/>
    </w:rPr>
  </w:style>
  <w:style w:type="paragraph" w:customStyle="1" w:styleId="19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5">
    <w:name w:val="摘要"/>
    <w:basedOn w:val="1"/>
    <w:next w:val="5"/>
    <w:qFormat/>
    <w:uiPriority w:val="0"/>
    <w:pPr>
      <w:spacing w:line="360" w:lineRule="auto"/>
    </w:pPr>
    <w:rPr>
      <w:rFonts w:eastAsia="黑体"/>
      <w:sz w:val="20"/>
    </w:rPr>
  </w:style>
  <w:style w:type="paragraph" w:customStyle="1" w:styleId="196">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7">
    <w:name w:val="样式 正文缩进正文（首行缩进两字）表正文正文非缩进特点标题4段1 + 首行缩进:  2 字符"/>
    <w:basedOn w:val="89"/>
    <w:qFormat/>
    <w:uiPriority w:val="0"/>
    <w:pPr>
      <w:ind w:firstLine="480" w:firstLineChars="200"/>
    </w:pPr>
  </w:style>
  <w:style w:type="paragraph" w:customStyle="1" w:styleId="198">
    <w:name w:val="_Style 57"/>
    <w:basedOn w:val="1"/>
    <w:qFormat/>
    <w:uiPriority w:val="0"/>
    <w:rPr>
      <w:sz w:val="21"/>
    </w:rPr>
  </w:style>
  <w:style w:type="paragraph" w:customStyle="1" w:styleId="199">
    <w:name w:val="标题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0">
    <w:name w:val="文章正文"/>
    <w:basedOn w:val="1"/>
    <w:qFormat/>
    <w:uiPriority w:val="0"/>
    <w:pPr>
      <w:ind w:firstLine="560" w:firstLineChars="200"/>
    </w:pPr>
    <w:rPr>
      <w:rFonts w:ascii="仿宋_GB2312" w:hAnsi="宋体" w:eastAsia="仿宋_GB2312"/>
      <w:color w:val="000000"/>
    </w:rPr>
  </w:style>
  <w:style w:type="paragraph" w:customStyle="1" w:styleId="201">
    <w:name w:val="3 Char Char Char Char Char Char Char Char Char3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02">
    <w:name w:val="Char12"/>
    <w:basedOn w:val="1"/>
    <w:qFormat/>
    <w:uiPriority w:val="0"/>
    <w:rPr>
      <w:sz w:val="21"/>
      <w:szCs w:val="24"/>
    </w:rPr>
  </w:style>
  <w:style w:type="paragraph" w:customStyle="1" w:styleId="203">
    <w:name w:val="修订1"/>
    <w:qFormat/>
    <w:uiPriority w:val="0"/>
    <w:rPr>
      <w:rFonts w:ascii="Times New Roman" w:hAnsi="Times New Roman" w:eastAsia="宋体" w:cs="Times New Roman"/>
      <w:kern w:val="2"/>
      <w:sz w:val="21"/>
      <w:lang w:val="en-US" w:eastAsia="zh-CN" w:bidi="ar-SA"/>
    </w:rPr>
  </w:style>
  <w:style w:type="paragraph" w:customStyle="1" w:styleId="204">
    <w:name w:val="xl7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05">
    <w:name w:val="图例"/>
    <w:basedOn w:val="1"/>
    <w:qFormat/>
    <w:uiPriority w:val="0"/>
    <w:pPr>
      <w:spacing w:before="120" w:after="120" w:line="360" w:lineRule="auto"/>
      <w:jc w:val="center"/>
    </w:pPr>
    <w:rPr>
      <w:rFonts w:eastAsia="仿宋_GB2312"/>
      <w:b/>
      <w:sz w:val="24"/>
    </w:rPr>
  </w:style>
  <w:style w:type="paragraph" w:customStyle="1" w:styleId="206">
    <w:name w:val="文本框样式1"/>
    <w:basedOn w:val="1"/>
    <w:qFormat/>
    <w:uiPriority w:val="0"/>
    <w:pPr>
      <w:adjustRightInd w:val="0"/>
      <w:snapToGrid w:val="0"/>
      <w:spacing w:before="60" w:line="180" w:lineRule="exact"/>
      <w:jc w:val="center"/>
    </w:pPr>
    <w:rPr>
      <w:sz w:val="21"/>
    </w:rPr>
  </w:style>
  <w:style w:type="paragraph" w:customStyle="1" w:styleId="207">
    <w:name w:val="Char Char Char"/>
    <w:basedOn w:val="58"/>
    <w:next w:val="6"/>
    <w:qFormat/>
    <w:uiPriority w:val="0"/>
    <w:pPr>
      <w:adjustRightInd w:val="0"/>
      <w:spacing w:line="600" w:lineRule="exact"/>
      <w:jc w:val="center"/>
      <w:outlineLvl w:val="2"/>
    </w:pPr>
    <w:rPr>
      <w:sz w:val="21"/>
    </w:rPr>
  </w:style>
  <w:style w:type="paragraph" w:customStyle="1" w:styleId="208">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0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0">
    <w:name w:val="reader-word-layer reader-word-s43-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1">
    <w:name w:val="p0"/>
    <w:basedOn w:val="1"/>
    <w:qFormat/>
    <w:uiPriority w:val="0"/>
    <w:pPr>
      <w:widowControl/>
    </w:pPr>
    <w:rPr>
      <w:kern w:val="0"/>
      <w:sz w:val="21"/>
      <w:szCs w:val="21"/>
    </w:rPr>
  </w:style>
  <w:style w:type="paragraph" w:customStyle="1" w:styleId="212">
    <w:name w:val="默认段落字体 Para Char Char Char Char Char Char Char Char Char Char Char Char Char"/>
    <w:basedOn w:val="1"/>
    <w:qFormat/>
    <w:uiPriority w:val="0"/>
    <w:rPr>
      <w:sz w:val="21"/>
    </w:rPr>
  </w:style>
  <w:style w:type="paragraph" w:customStyle="1" w:styleId="21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214">
    <w:name w:val="reader-word-layer reader-word-s43-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16">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17">
    <w:name w:val="可研正文"/>
    <w:basedOn w:val="2"/>
    <w:qFormat/>
    <w:uiPriority w:val="0"/>
    <w:pPr>
      <w:adjustRightInd w:val="0"/>
      <w:snapToGrid w:val="0"/>
      <w:spacing w:line="440" w:lineRule="exact"/>
      <w:ind w:firstLine="567"/>
    </w:pPr>
    <w:rPr>
      <w:sz w:val="28"/>
    </w:rPr>
  </w:style>
  <w:style w:type="paragraph" w:customStyle="1" w:styleId="218">
    <w:name w:val="p20"/>
    <w:basedOn w:val="1"/>
    <w:qFormat/>
    <w:uiPriority w:val="0"/>
    <w:pPr>
      <w:widowControl/>
      <w:jc w:val="left"/>
    </w:pPr>
    <w:rPr>
      <w:rFonts w:ascii="宋体" w:hAnsi="宋体" w:cs="宋体"/>
      <w:kern w:val="0"/>
      <w:sz w:val="24"/>
      <w:szCs w:val="24"/>
    </w:rPr>
  </w:style>
  <w:style w:type="paragraph" w:customStyle="1" w:styleId="219">
    <w:name w:val="正文1"/>
    <w:basedOn w:val="1"/>
    <w:qFormat/>
    <w:uiPriority w:val="0"/>
    <w:pPr>
      <w:spacing w:line="300" w:lineRule="auto"/>
      <w:ind w:firstLine="200" w:firstLineChars="200"/>
    </w:pPr>
    <w:rPr>
      <w:sz w:val="24"/>
    </w:rPr>
  </w:style>
  <w:style w:type="paragraph" w:customStyle="1" w:styleId="220">
    <w:name w:val="段落正文"/>
    <w:basedOn w:val="1"/>
    <w:qFormat/>
    <w:uiPriority w:val="0"/>
    <w:pPr>
      <w:spacing w:beforeLines="50" w:line="360" w:lineRule="auto"/>
      <w:ind w:firstLine="200" w:firstLineChars="200"/>
    </w:pPr>
    <w:rPr>
      <w:spacing w:val="2"/>
      <w:sz w:val="24"/>
    </w:rPr>
  </w:style>
  <w:style w:type="paragraph" w:customStyle="1" w:styleId="221">
    <w:name w:val="没有缩进（为图形使用）"/>
    <w:basedOn w:val="1"/>
    <w:qFormat/>
    <w:uiPriority w:val="0"/>
    <w:pPr>
      <w:spacing w:before="120" w:after="120" w:line="360" w:lineRule="auto"/>
    </w:pPr>
    <w:rPr>
      <w:sz w:val="24"/>
    </w:rPr>
  </w:style>
  <w:style w:type="paragraph" w:customStyle="1" w:styleId="222">
    <w:name w:val="Char1 Char Char Char"/>
    <w:basedOn w:val="1"/>
    <w:qFormat/>
    <w:uiPriority w:val="0"/>
    <w:rPr>
      <w:rFonts w:ascii="Tahoma" w:hAnsi="Tahoma"/>
      <w:sz w:val="30"/>
    </w:rPr>
  </w:style>
  <w:style w:type="paragraph" w:customStyle="1" w:styleId="223">
    <w:name w:val="样式2"/>
    <w:basedOn w:val="7"/>
    <w:qFormat/>
    <w:uiPriority w:val="0"/>
    <w:pPr>
      <w:tabs>
        <w:tab w:val="left" w:pos="720"/>
      </w:tabs>
      <w:spacing w:before="560" w:line="400" w:lineRule="exact"/>
      <w:ind w:left="420" w:hanging="420"/>
      <w:jc w:val="center"/>
      <w:outlineLvl w:val="0"/>
    </w:pPr>
    <w:rPr>
      <w:b w:val="0"/>
      <w:sz w:val="44"/>
    </w:rPr>
  </w:style>
  <w:style w:type="paragraph" w:customStyle="1" w:styleId="224">
    <w:name w:val="正文文本缩进 211"/>
    <w:basedOn w:val="1"/>
    <w:qFormat/>
    <w:uiPriority w:val="0"/>
    <w:pPr>
      <w:adjustRightInd w:val="0"/>
      <w:spacing w:before="120"/>
      <w:ind w:firstLine="420"/>
      <w:textAlignment w:val="baseline"/>
    </w:pPr>
    <w:rPr>
      <w:sz w:val="24"/>
    </w:rPr>
  </w:style>
  <w:style w:type="paragraph" w:customStyle="1" w:styleId="225">
    <w:name w:val="1.正文"/>
    <w:basedOn w:val="1"/>
    <w:qFormat/>
    <w:uiPriority w:val="0"/>
    <w:pPr>
      <w:spacing w:line="360" w:lineRule="auto"/>
      <w:ind w:left="540" w:leftChars="225" w:firstLine="540" w:firstLineChars="225"/>
    </w:pPr>
    <w:rPr>
      <w:sz w:val="24"/>
    </w:rPr>
  </w:style>
  <w:style w:type="paragraph" w:customStyle="1" w:styleId="226">
    <w:name w:val="00"/>
    <w:basedOn w:val="1"/>
    <w:qFormat/>
    <w:uiPriority w:val="0"/>
    <w:pPr>
      <w:autoSpaceDE w:val="0"/>
      <w:autoSpaceDN w:val="0"/>
      <w:adjustRightInd w:val="0"/>
      <w:jc w:val="left"/>
    </w:pPr>
    <w:rPr>
      <w:rFonts w:ascii="黑体" w:eastAsia="黑体"/>
      <w:b/>
      <w:kern w:val="0"/>
      <w:sz w:val="20"/>
    </w:rPr>
  </w:style>
  <w:style w:type="paragraph" w:customStyle="1" w:styleId="22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28">
    <w:name w:val="Title - Date"/>
    <w:basedOn w:val="32"/>
    <w:next w:val="1"/>
    <w:qFormat/>
    <w:uiPriority w:val="0"/>
    <w:pPr>
      <w:spacing w:before="240" w:after="720"/>
    </w:pPr>
    <w:rPr>
      <w:sz w:val="28"/>
    </w:rPr>
  </w:style>
  <w:style w:type="paragraph" w:customStyle="1" w:styleId="229">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30">
    <w:name w:val="首行缩进 1"/>
    <w:basedOn w:val="1"/>
    <w:qFormat/>
    <w:uiPriority w:val="0"/>
    <w:pPr>
      <w:spacing w:after="120" w:line="360" w:lineRule="auto"/>
      <w:ind w:firstLine="200" w:firstLineChars="200"/>
    </w:pPr>
    <w:rPr>
      <w:sz w:val="24"/>
    </w:rPr>
  </w:style>
  <w:style w:type="paragraph" w:customStyle="1" w:styleId="231">
    <w:name w:val="标题无"/>
    <w:basedOn w:val="1"/>
    <w:qFormat/>
    <w:uiPriority w:val="0"/>
    <w:pPr>
      <w:spacing w:line="360" w:lineRule="auto"/>
    </w:pPr>
    <w:rPr>
      <w:sz w:val="24"/>
    </w:rPr>
  </w:style>
  <w:style w:type="paragraph" w:customStyle="1" w:styleId="23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3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23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5">
    <w:name w:val="表格文字居中"/>
    <w:basedOn w:val="1"/>
    <w:next w:val="1"/>
    <w:qFormat/>
    <w:uiPriority w:val="0"/>
    <w:pPr>
      <w:tabs>
        <w:tab w:val="left" w:pos="720"/>
        <w:tab w:val="left" w:pos="900"/>
      </w:tabs>
      <w:adjustRightInd w:val="0"/>
      <w:snapToGrid w:val="0"/>
      <w:spacing w:beforeLines="20" w:afterLines="20" w:line="360" w:lineRule="auto"/>
      <w:jc w:val="center"/>
    </w:pPr>
    <w:rPr>
      <w:rFonts w:ascii="宋体" w:hAnsi="Arial"/>
      <w:kern w:val="0"/>
      <w:sz w:val="18"/>
    </w:rPr>
  </w:style>
  <w:style w:type="paragraph" w:customStyle="1" w:styleId="23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38">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9">
    <w:name w:val="rw"/>
    <w:basedOn w:val="1"/>
    <w:qFormat/>
    <w:uiPriority w:val="0"/>
    <w:pPr>
      <w:widowControl/>
      <w:spacing w:before="30"/>
      <w:ind w:left="100" w:right="100"/>
      <w:jc w:val="right"/>
    </w:pPr>
    <w:rPr>
      <w:rFonts w:ascii="方正仿宋简体" w:hAnsi="宋体" w:eastAsia="方正仿宋简体"/>
      <w:color w:val="000000"/>
      <w:kern w:val="0"/>
      <w:sz w:val="21"/>
      <w:szCs w:val="21"/>
    </w:rPr>
  </w:style>
  <w:style w:type="paragraph" w:customStyle="1" w:styleId="240">
    <w:name w:val="1"/>
    <w:basedOn w:val="1"/>
    <w:next w:val="66"/>
    <w:qFormat/>
    <w:uiPriority w:val="0"/>
    <w:rPr>
      <w:rFonts w:ascii="宋体" w:hAnsi="Courier New"/>
      <w:sz w:val="21"/>
    </w:rPr>
  </w:style>
  <w:style w:type="paragraph" w:customStyle="1" w:styleId="241">
    <w:name w:val="表文字"/>
    <w:qFormat/>
    <w:uiPriority w:val="0"/>
    <w:rPr>
      <w:rFonts w:ascii="宋体" w:hAnsi="Times New Roman" w:eastAsia="宋体" w:cs="Times New Roman"/>
      <w:kern w:val="2"/>
      <w:lang w:val="en-US" w:eastAsia="zh-CN" w:bidi="ar-SA"/>
    </w:rPr>
  </w:style>
  <w:style w:type="paragraph" w:customStyle="1" w:styleId="242">
    <w:name w:val="正文0"/>
    <w:basedOn w:val="1"/>
    <w:qFormat/>
    <w:uiPriority w:val="0"/>
    <w:pPr>
      <w:adjustRightInd w:val="0"/>
      <w:spacing w:line="360" w:lineRule="auto"/>
      <w:ind w:firstLine="482"/>
      <w:textAlignment w:val="baseline"/>
    </w:pPr>
    <w:rPr>
      <w:kern w:val="24"/>
      <w:sz w:val="24"/>
    </w:rPr>
  </w:style>
  <w:style w:type="paragraph" w:customStyle="1" w:styleId="243">
    <w:name w:val="表格内文字"/>
    <w:basedOn w:val="66"/>
    <w:qFormat/>
    <w:uiPriority w:val="0"/>
    <w:pPr>
      <w:adjustRightInd w:val="0"/>
    </w:pPr>
    <w:rPr>
      <w:color w:val="000000"/>
    </w:rPr>
  </w:style>
  <w:style w:type="paragraph" w:customStyle="1" w:styleId="24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5">
    <w:name w:val="样式 正文首行缩进 + 首行缩进:  2 字符1 Char Char"/>
    <w:basedOn w:val="56"/>
    <w:qFormat/>
    <w:uiPriority w:val="0"/>
    <w:pPr>
      <w:adjustRightInd w:val="0"/>
      <w:spacing w:line="400" w:lineRule="exact"/>
      <w:ind w:firstLine="480" w:firstLineChars="200"/>
      <w:textAlignment w:val="baseline"/>
    </w:pPr>
    <w:rPr>
      <w:rFonts w:cs="宋体"/>
      <w:color w:val="000000"/>
      <w:szCs w:val="24"/>
    </w:rPr>
  </w:style>
  <w:style w:type="paragraph" w:customStyle="1" w:styleId="246">
    <w:name w:val="正文4"/>
    <w:basedOn w:val="1"/>
    <w:qFormat/>
    <w:uiPriority w:val="0"/>
    <w:pPr>
      <w:tabs>
        <w:tab w:val="left" w:pos="1275"/>
      </w:tabs>
      <w:spacing w:before="60" w:after="60" w:line="360" w:lineRule="auto"/>
      <w:ind w:left="820" w:leftChars="400" w:hanging="705"/>
    </w:pPr>
    <w:rPr>
      <w:sz w:val="24"/>
    </w:rPr>
  </w:style>
  <w:style w:type="paragraph" w:customStyle="1" w:styleId="247">
    <w:name w:val="修订11"/>
    <w:qFormat/>
    <w:uiPriority w:val="0"/>
    <w:rPr>
      <w:rFonts w:ascii="Times New Roman" w:hAnsi="Times New Roman" w:eastAsia="宋体" w:cs="Times New Roman"/>
      <w:kern w:val="2"/>
      <w:sz w:val="21"/>
      <w:lang w:val="en-US" w:eastAsia="zh-CN" w:bidi="ar-SA"/>
    </w:rPr>
  </w:style>
  <w:style w:type="paragraph" w:customStyle="1" w:styleId="248">
    <w:name w:val="zz"/>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249">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5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5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3">
    <w:name w:val="二级列表"/>
    <w:basedOn w:val="220"/>
    <w:next w:val="220"/>
    <w:qFormat/>
    <w:uiPriority w:val="0"/>
    <w:pPr>
      <w:tabs>
        <w:tab w:val="left" w:pos="2120"/>
      </w:tabs>
      <w:ind w:firstLine="0" w:firstLineChars="0"/>
    </w:pPr>
    <w:rPr>
      <w:b/>
    </w:rPr>
  </w:style>
  <w:style w:type="paragraph" w:customStyle="1" w:styleId="254">
    <w:name w:val="6'"/>
    <w:basedOn w:val="1"/>
    <w:qFormat/>
    <w:uiPriority w:val="0"/>
    <w:pPr>
      <w:autoSpaceDE w:val="0"/>
      <w:autoSpaceDN w:val="0"/>
      <w:adjustRightInd w:val="0"/>
      <w:snapToGrid w:val="0"/>
      <w:spacing w:line="320" w:lineRule="exact"/>
      <w:jc w:val="center"/>
      <w:textAlignment w:val="baseline"/>
    </w:pPr>
    <w:rPr>
      <w:spacing w:val="20"/>
      <w:kern w:val="28"/>
      <w:sz w:val="21"/>
    </w:rPr>
  </w:style>
  <w:style w:type="paragraph" w:customStyle="1" w:styleId="255">
    <w:name w:val="Char Char Char Char Char Char Char Char Char Char Char Char Char"/>
    <w:basedOn w:val="1"/>
    <w:qFormat/>
    <w:uiPriority w:val="0"/>
    <w:rPr>
      <w:rFonts w:ascii="仿宋_GB2312" w:eastAsia="仿宋_GB2312"/>
      <w:b/>
      <w:sz w:val="32"/>
      <w:szCs w:val="32"/>
    </w:rPr>
  </w:style>
  <w:style w:type="paragraph" w:customStyle="1" w:styleId="25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57">
    <w:name w:val="标准正文"/>
    <w:basedOn w:val="64"/>
    <w:qFormat/>
    <w:uiPriority w:val="0"/>
    <w:pPr>
      <w:spacing w:before="60" w:after="60" w:line="360" w:lineRule="auto"/>
      <w:ind w:left="0" w:firstLine="482"/>
    </w:pPr>
    <w:rPr>
      <w:rFonts w:ascii="Arial" w:hAnsi="Arial"/>
      <w:sz w:val="24"/>
    </w:rPr>
  </w:style>
  <w:style w:type="paragraph" w:customStyle="1" w:styleId="25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0">
    <w:name w:val="TOC 标题2"/>
    <w:basedOn w:val="4"/>
    <w:next w:val="1"/>
    <w:qFormat/>
    <w:uiPriority w:val="0"/>
    <w:pPr>
      <w:keepLines/>
      <w:snapToGrid/>
      <w:spacing w:before="340" w:after="330" w:line="578" w:lineRule="auto"/>
      <w:outlineLvl w:val="9"/>
    </w:pPr>
    <w:rPr>
      <w:rFonts w:ascii="Calibri" w:hAnsi="Calibri"/>
      <w:b/>
      <w:bCs/>
      <w:kern w:val="44"/>
      <w:sz w:val="44"/>
      <w:szCs w:val="44"/>
    </w:rPr>
  </w:style>
  <w:style w:type="paragraph" w:customStyle="1" w:styleId="26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62">
    <w:name w:val="正文 + 三号"/>
    <w:basedOn w:val="1"/>
    <w:qFormat/>
    <w:uiPriority w:val="0"/>
    <w:rPr>
      <w:sz w:val="21"/>
    </w:rPr>
  </w:style>
  <w:style w:type="paragraph" w:customStyle="1" w:styleId="263">
    <w:name w:val="一级条标题"/>
    <w:basedOn w:val="264"/>
    <w:next w:val="209"/>
    <w:qFormat/>
    <w:uiPriority w:val="0"/>
    <w:pPr>
      <w:ind w:left="525"/>
      <w:outlineLvl w:val="2"/>
    </w:pPr>
    <w:rPr>
      <w:sz w:val="21"/>
    </w:rPr>
  </w:style>
  <w:style w:type="paragraph" w:customStyle="1" w:styleId="264">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265">
    <w:name w:val="规范文本"/>
    <w:basedOn w:val="66"/>
    <w:qFormat/>
    <w:uiPriority w:val="0"/>
    <w:pPr>
      <w:adjustRightInd w:val="0"/>
      <w:snapToGrid w:val="0"/>
      <w:spacing w:line="360" w:lineRule="exact"/>
      <w:ind w:firstLine="420"/>
      <w:jc w:val="left"/>
    </w:pPr>
    <w:rPr>
      <w:snapToGrid w:val="0"/>
      <w:kern w:val="0"/>
      <w:szCs w:val="21"/>
    </w:rPr>
  </w:style>
  <w:style w:type="paragraph" w:customStyle="1" w:styleId="266">
    <w:name w:val="Char Char Char Char Char"/>
    <w:basedOn w:val="1"/>
    <w:qFormat/>
    <w:uiPriority w:val="0"/>
    <w:pPr>
      <w:tabs>
        <w:tab w:val="left" w:pos="425"/>
      </w:tabs>
      <w:ind w:left="1620" w:hanging="360"/>
    </w:pPr>
    <w:rPr>
      <w:rFonts w:ascii="Tahoma" w:hAnsi="Tahoma"/>
      <w:sz w:val="24"/>
    </w:rPr>
  </w:style>
  <w:style w:type="paragraph" w:customStyle="1" w:styleId="267">
    <w:name w:val="WW-表格标题"/>
    <w:basedOn w:val="268"/>
    <w:qFormat/>
    <w:uiPriority w:val="0"/>
  </w:style>
  <w:style w:type="paragraph" w:customStyle="1" w:styleId="268">
    <w:name w:val="WW-表格内容"/>
    <w:basedOn w:val="1"/>
    <w:qFormat/>
    <w:uiPriority w:val="0"/>
    <w:pPr>
      <w:suppressLineNumbers/>
      <w:suppressAutoHyphens/>
    </w:pPr>
    <w:rPr>
      <w:sz w:val="21"/>
      <w:szCs w:val="24"/>
    </w:rPr>
  </w:style>
  <w:style w:type="paragraph" w:customStyle="1" w:styleId="269">
    <w:name w:val="Char Char18"/>
    <w:basedOn w:val="1"/>
    <w:qFormat/>
    <w:uiPriority w:val="0"/>
    <w:pPr>
      <w:widowControl/>
      <w:spacing w:after="160" w:line="240" w:lineRule="exact"/>
      <w:jc w:val="left"/>
    </w:pPr>
    <w:rPr>
      <w:rFonts w:ascii="Verdana" w:hAnsi="Verdana"/>
      <w:kern w:val="0"/>
      <w:sz w:val="20"/>
      <w:lang w:eastAsia="en-US"/>
    </w:rPr>
  </w:style>
  <w:style w:type="paragraph" w:customStyle="1" w:styleId="270">
    <w:name w:val="样式 行距: 1.5 倍行距1"/>
    <w:basedOn w:val="1"/>
    <w:qFormat/>
    <w:uiPriority w:val="0"/>
    <w:pPr>
      <w:snapToGrid w:val="0"/>
    </w:pPr>
    <w:rPr>
      <w:sz w:val="21"/>
    </w:rPr>
  </w:style>
  <w:style w:type="paragraph" w:customStyle="1" w:styleId="271">
    <w:name w:val="表体"/>
    <w:basedOn w:val="1"/>
    <w:next w:val="1"/>
    <w:qFormat/>
    <w:uiPriority w:val="0"/>
    <w:pPr>
      <w:spacing w:line="0" w:lineRule="atLeast"/>
    </w:pPr>
    <w:rPr>
      <w:rFonts w:ascii="Calibri" w:hAnsi="Calibri"/>
      <w:b/>
      <w:snapToGrid w:val="0"/>
      <w:sz w:val="21"/>
    </w:rPr>
  </w:style>
  <w:style w:type="paragraph" w:customStyle="1" w:styleId="272">
    <w:name w:val="样式15"/>
    <w:basedOn w:val="6"/>
    <w:qFormat/>
    <w:uiPriority w:val="0"/>
    <w:pPr>
      <w:tabs>
        <w:tab w:val="left" w:pos="0"/>
        <w:tab w:val="left" w:pos="210"/>
        <w:tab w:val="left" w:pos="420"/>
        <w:tab w:val="left" w:pos="1260"/>
      </w:tabs>
      <w:adjustRightInd w:val="0"/>
      <w:spacing w:before="0" w:after="0" w:line="240" w:lineRule="auto"/>
      <w:jc w:val="left"/>
    </w:pPr>
    <w:rPr>
      <w:rFonts w:ascii="仿宋_GB2312" w:hAnsi="Calibri" w:eastAsia="仿宋_GB2312"/>
      <w:szCs w:val="24"/>
    </w:rPr>
  </w:style>
  <w:style w:type="paragraph" w:customStyle="1" w:styleId="273">
    <w:name w:val="列出段落12"/>
    <w:basedOn w:val="1"/>
    <w:qFormat/>
    <w:uiPriority w:val="0"/>
    <w:pPr>
      <w:ind w:firstLine="420" w:firstLineChars="200"/>
    </w:pPr>
    <w:rPr>
      <w:szCs w:val="28"/>
    </w:rPr>
  </w:style>
  <w:style w:type="paragraph" w:customStyle="1" w:styleId="274">
    <w:name w:val="p18"/>
    <w:basedOn w:val="1"/>
    <w:qFormat/>
    <w:uiPriority w:val="0"/>
    <w:pPr>
      <w:widowControl/>
      <w:ind w:firstLine="420"/>
    </w:pPr>
    <w:rPr>
      <w:kern w:val="0"/>
      <w:szCs w:val="28"/>
    </w:rPr>
  </w:style>
  <w:style w:type="paragraph" w:customStyle="1" w:styleId="275">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76">
    <w:name w:val="样式 标题 1章标题Heading 0Section HeadPIM 1H1h11st levell11H1..."/>
    <w:basedOn w:val="4"/>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78">
    <w:name w:val="正文字缩2字"/>
    <w:basedOn w:val="1"/>
    <w:qFormat/>
    <w:uiPriority w:val="0"/>
    <w:pPr>
      <w:spacing w:before="60" w:after="60" w:line="360" w:lineRule="auto"/>
      <w:ind w:left="200" w:leftChars="200" w:firstLine="200" w:firstLineChars="200"/>
    </w:pPr>
    <w:rPr>
      <w:sz w:val="24"/>
    </w:rPr>
  </w:style>
  <w:style w:type="paragraph" w:customStyle="1" w:styleId="279">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0">
    <w:name w:val="正文（首行不缩进）"/>
    <w:basedOn w:val="1"/>
    <w:qFormat/>
    <w:uiPriority w:val="0"/>
    <w:pPr>
      <w:autoSpaceDE w:val="0"/>
      <w:autoSpaceDN w:val="0"/>
      <w:adjustRightInd w:val="0"/>
      <w:spacing w:line="360" w:lineRule="auto"/>
      <w:jc w:val="left"/>
    </w:pPr>
    <w:rPr>
      <w:kern w:val="0"/>
      <w:sz w:val="21"/>
    </w:rPr>
  </w:style>
  <w:style w:type="paragraph" w:customStyle="1" w:styleId="28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2">
    <w:name w:val="Char11"/>
    <w:basedOn w:val="1"/>
    <w:qFormat/>
    <w:uiPriority w:val="0"/>
    <w:rPr>
      <w:rFonts w:ascii="Tahoma" w:hAnsi="Tahoma"/>
      <w:sz w:val="24"/>
    </w:rPr>
  </w:style>
  <w:style w:type="paragraph" w:customStyle="1" w:styleId="283">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4">
    <w:name w:val="Char Char Char Char Char Char Char"/>
    <w:basedOn w:val="58"/>
    <w:qFormat/>
    <w:uiPriority w:val="0"/>
    <w:rPr>
      <w:rFonts w:ascii="宋体" w:hAnsi="Tahoma"/>
    </w:rPr>
  </w:style>
  <w:style w:type="paragraph" w:customStyle="1" w:styleId="285">
    <w:name w:val="pa-27"/>
    <w:basedOn w:val="1"/>
    <w:qFormat/>
    <w:uiPriority w:val="0"/>
    <w:pPr>
      <w:widowControl/>
      <w:spacing w:line="360" w:lineRule="atLeast"/>
      <w:ind w:firstLine="420"/>
    </w:pPr>
    <w:rPr>
      <w:rFonts w:ascii="宋体" w:hAnsi="宋体" w:cs="宋体"/>
      <w:kern w:val="0"/>
      <w:sz w:val="24"/>
      <w:szCs w:val="24"/>
    </w:rPr>
  </w:style>
  <w:style w:type="paragraph" w:customStyle="1" w:styleId="286">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87">
    <w:name w:val="p21"/>
    <w:basedOn w:val="1"/>
    <w:qFormat/>
    <w:uiPriority w:val="0"/>
    <w:pPr>
      <w:widowControl/>
      <w:jc w:val="left"/>
    </w:pPr>
    <w:rPr>
      <w:kern w:val="0"/>
      <w:sz w:val="18"/>
      <w:szCs w:val="18"/>
    </w:rPr>
  </w:style>
  <w:style w:type="paragraph" w:customStyle="1" w:styleId="288">
    <w:name w:val="xl7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89">
    <w:name w:val="表头"/>
    <w:basedOn w:val="139"/>
    <w:qFormat/>
    <w:uiPriority w:val="0"/>
    <w:pPr>
      <w:jc w:val="center"/>
    </w:pPr>
    <w:rPr>
      <w:b/>
      <w:bCs/>
    </w:rPr>
  </w:style>
  <w:style w:type="paragraph" w:customStyle="1" w:styleId="290">
    <w:name w:val="Char1 Char Char Char1"/>
    <w:basedOn w:val="1"/>
    <w:qFormat/>
    <w:uiPriority w:val="0"/>
    <w:rPr>
      <w:rFonts w:ascii="Tahoma" w:hAnsi="Tahoma"/>
      <w:sz w:val="24"/>
    </w:rPr>
  </w:style>
  <w:style w:type="paragraph" w:customStyle="1" w:styleId="29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92">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sz w:val="28"/>
    </w:rPr>
  </w:style>
  <w:style w:type="paragraph" w:customStyle="1" w:styleId="293">
    <w:name w:val="样式1"/>
    <w:basedOn w:val="7"/>
    <w:qFormat/>
    <w:uiPriority w:val="0"/>
    <w:pPr>
      <w:tabs>
        <w:tab w:val="left" w:pos="720"/>
      </w:tabs>
      <w:spacing w:before="500" w:after="260" w:line="560" w:lineRule="atLeast"/>
      <w:ind w:left="420" w:hanging="420"/>
    </w:pPr>
  </w:style>
  <w:style w:type="paragraph" w:customStyle="1" w:styleId="294">
    <w:name w:val="样式3"/>
    <w:basedOn w:val="4"/>
    <w:next w:val="4"/>
    <w:qFormat/>
    <w:uiPriority w:val="0"/>
    <w:pPr>
      <w:keepLines/>
      <w:adjustRightInd w:val="0"/>
      <w:spacing w:before="340" w:after="330" w:line="576" w:lineRule="auto"/>
    </w:pPr>
    <w:rPr>
      <w:rFonts w:ascii="Times New Roman" w:eastAsia="黑体"/>
      <w:b/>
      <w:kern w:val="44"/>
      <w:sz w:val="44"/>
    </w:rPr>
  </w:style>
  <w:style w:type="paragraph" w:customStyle="1" w:styleId="295">
    <w:name w:val="_Style 105"/>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96">
    <w:name w:val="p17"/>
    <w:basedOn w:val="1"/>
    <w:qFormat/>
    <w:uiPriority w:val="0"/>
    <w:pPr>
      <w:widowControl/>
    </w:pPr>
    <w:rPr>
      <w:kern w:val="0"/>
      <w:sz w:val="21"/>
      <w:szCs w:val="21"/>
    </w:rPr>
  </w:style>
  <w:style w:type="paragraph" w:customStyle="1" w:styleId="29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298">
    <w:name w:val="g3"/>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9">
    <w:name w:val="Char Char Char Char Char Char Char Char Char"/>
    <w:basedOn w:val="1"/>
    <w:qFormat/>
    <w:uiPriority w:val="0"/>
    <w:rPr>
      <w:sz w:val="21"/>
      <w:szCs w:val="24"/>
    </w:rPr>
  </w:style>
  <w:style w:type="paragraph" w:customStyle="1" w:styleId="300">
    <w:name w:val="二级条标题"/>
    <w:basedOn w:val="263"/>
    <w:next w:val="209"/>
    <w:qFormat/>
    <w:uiPriority w:val="0"/>
    <w:pPr>
      <w:ind w:left="840"/>
      <w:outlineLvl w:val="3"/>
    </w:pPr>
  </w:style>
  <w:style w:type="paragraph" w:customStyle="1" w:styleId="301">
    <w:name w:val="p19"/>
    <w:basedOn w:val="1"/>
    <w:qFormat/>
    <w:uiPriority w:val="0"/>
    <w:pPr>
      <w:widowControl/>
      <w:jc w:val="left"/>
    </w:pPr>
    <w:rPr>
      <w:b/>
      <w:bCs/>
      <w:caps/>
      <w:kern w:val="0"/>
      <w:szCs w:val="28"/>
    </w:rPr>
  </w:style>
  <w:style w:type="paragraph" w:customStyle="1" w:styleId="302">
    <w:name w:val="ly"/>
    <w:basedOn w:val="1"/>
    <w:qFormat/>
    <w:uiPriority w:val="0"/>
    <w:pPr>
      <w:widowControl/>
      <w:spacing w:before="30"/>
      <w:jc w:val="right"/>
    </w:pPr>
    <w:rPr>
      <w:rFonts w:ascii="方正书宋简体" w:hAnsi="宋体" w:eastAsia="方正书宋简体"/>
      <w:color w:val="000000"/>
      <w:kern w:val="0"/>
      <w:sz w:val="21"/>
      <w:szCs w:val="21"/>
    </w:rPr>
  </w:style>
  <w:style w:type="paragraph" w:customStyle="1" w:styleId="30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0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5">
    <w:name w:val="附录3"/>
    <w:basedOn w:val="1"/>
    <w:next w:val="1"/>
    <w:qFormat/>
    <w:uiPriority w:val="0"/>
    <w:pPr>
      <w:tabs>
        <w:tab w:val="left" w:pos="851"/>
      </w:tabs>
      <w:ind w:left="425" w:hanging="425"/>
      <w:outlineLvl w:val="2"/>
    </w:pPr>
    <w:rPr>
      <w:rFonts w:eastAsia="黑体"/>
      <w:b/>
      <w:sz w:val="32"/>
    </w:rPr>
  </w:style>
  <w:style w:type="paragraph" w:customStyle="1" w:styleId="306">
    <w:name w:val="表头文本"/>
    <w:qFormat/>
    <w:uiPriority w:val="0"/>
    <w:pPr>
      <w:jc w:val="center"/>
    </w:pPr>
    <w:rPr>
      <w:rFonts w:ascii="Arial" w:hAnsi="Arial" w:eastAsia="宋体" w:cs="Times New Roman"/>
      <w:b/>
      <w:sz w:val="21"/>
      <w:lang w:val="en-US" w:eastAsia="zh-CN" w:bidi="ar-SA"/>
    </w:rPr>
  </w:style>
  <w:style w:type="paragraph" w:customStyle="1" w:styleId="307">
    <w:name w:val="Char9 Char Char Char Char Char Char"/>
    <w:basedOn w:val="58"/>
    <w:qFormat/>
    <w:uiPriority w:val="0"/>
    <w:pPr>
      <w:spacing w:line="360" w:lineRule="auto"/>
      <w:ind w:firstLine="200" w:firstLineChars="200"/>
    </w:pPr>
    <w:rPr>
      <w:rFonts w:ascii="Tahoma" w:hAnsi="Tahoma"/>
      <w:sz w:val="24"/>
      <w:szCs w:val="24"/>
    </w:rPr>
  </w:style>
  <w:style w:type="paragraph" w:customStyle="1" w:styleId="308">
    <w:name w:val="样式 标题 1 + 居中 段前: 6 磅 段后: 6 磅 行距: 1.5 倍行距"/>
    <w:basedOn w:val="4"/>
    <w:qFormat/>
    <w:uiPriority w:val="0"/>
    <w:pPr>
      <w:keepLines/>
      <w:adjustRightInd w:val="0"/>
      <w:spacing w:before="120" w:after="120" w:line="360" w:lineRule="auto"/>
      <w:jc w:val="center"/>
    </w:pPr>
    <w:rPr>
      <w:rFonts w:ascii="Times New Roman"/>
      <w:b/>
      <w:kern w:val="44"/>
      <w:sz w:val="32"/>
    </w:rPr>
  </w:style>
  <w:style w:type="paragraph" w:customStyle="1" w:styleId="309">
    <w:name w:val="列出段落2"/>
    <w:basedOn w:val="1"/>
    <w:qFormat/>
    <w:uiPriority w:val="0"/>
    <w:pPr>
      <w:ind w:firstLine="420" w:firstLineChars="200"/>
    </w:pPr>
    <w:rPr>
      <w:sz w:val="21"/>
    </w:rPr>
  </w:style>
  <w:style w:type="paragraph" w:customStyle="1" w:styleId="310">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312">
    <w:name w:val="TOC 标题3"/>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313">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31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315">
    <w:name w:val="af"/>
    <w:basedOn w:val="1"/>
    <w:qFormat/>
    <w:uiPriority w:val="0"/>
    <w:pPr>
      <w:widowControl/>
      <w:spacing w:line="300" w:lineRule="atLeast"/>
      <w:jc w:val="left"/>
    </w:pPr>
    <w:rPr>
      <w:rFonts w:ascii="宋体" w:hAnsi="宋体"/>
      <w:kern w:val="0"/>
      <w:sz w:val="18"/>
    </w:rPr>
  </w:style>
  <w:style w:type="paragraph" w:customStyle="1" w:styleId="316">
    <w:name w:val="首行缩进"/>
    <w:basedOn w:val="1"/>
    <w:qFormat/>
    <w:uiPriority w:val="0"/>
    <w:pPr>
      <w:tabs>
        <w:tab w:val="left" w:pos="540"/>
      </w:tabs>
      <w:spacing w:line="360" w:lineRule="auto"/>
      <w:ind w:left="540"/>
    </w:pPr>
    <w:rPr>
      <w:rFonts w:eastAsia="仿宋_GB2312"/>
    </w:rPr>
  </w:style>
  <w:style w:type="paragraph" w:customStyle="1" w:styleId="31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31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319">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2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321">
    <w:name w:val="标题2"/>
    <w:basedOn w:val="5"/>
    <w:qFormat/>
    <w:uiPriority w:val="0"/>
    <w:pPr>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32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23">
    <w:name w:val="Char Char9 Char Char"/>
    <w:basedOn w:val="58"/>
    <w:qFormat/>
    <w:uiPriority w:val="0"/>
    <w:pPr>
      <w:spacing w:line="360" w:lineRule="auto"/>
      <w:ind w:firstLine="200" w:firstLineChars="200"/>
    </w:pPr>
    <w:rPr>
      <w:sz w:val="21"/>
    </w:rPr>
  </w:style>
  <w:style w:type="paragraph" w:customStyle="1" w:styleId="324">
    <w:name w:val="样式1xz"/>
    <w:basedOn w:val="1"/>
    <w:qFormat/>
    <w:uiPriority w:val="0"/>
    <w:pPr>
      <w:tabs>
        <w:tab w:val="left" w:pos="1050"/>
        <w:tab w:val="right" w:leader="dot" w:pos="8296"/>
      </w:tabs>
    </w:pPr>
    <w:rPr>
      <w:caps/>
      <w:spacing w:val="20"/>
      <w:sz w:val="24"/>
    </w:rPr>
  </w:style>
  <w:style w:type="paragraph" w:customStyle="1" w:styleId="325">
    <w:name w:val="样式 宋体 五号 行距: 单倍行距"/>
    <w:basedOn w:val="1"/>
    <w:qFormat/>
    <w:uiPriority w:val="0"/>
    <w:pPr>
      <w:adjustRightInd w:val="0"/>
      <w:jc w:val="left"/>
    </w:pPr>
    <w:rPr>
      <w:rFonts w:ascii="宋体" w:hAnsi="宋体"/>
      <w:kern w:val="0"/>
      <w:sz w:val="21"/>
    </w:rPr>
  </w:style>
  <w:style w:type="paragraph" w:customStyle="1" w:styleId="326">
    <w:name w:val="列出段落3"/>
    <w:basedOn w:val="1"/>
    <w:qFormat/>
    <w:uiPriority w:val="0"/>
    <w:pPr>
      <w:ind w:firstLine="420" w:firstLineChars="200"/>
    </w:pPr>
    <w:rPr>
      <w:szCs w:val="28"/>
    </w:rPr>
  </w:style>
  <w:style w:type="paragraph" w:customStyle="1" w:styleId="327">
    <w:name w:val="Char Char Char Char Char Char Char Char Char Char Char Char Char Char Char Char1"/>
    <w:basedOn w:val="58"/>
    <w:qFormat/>
    <w:uiPriority w:val="0"/>
    <w:pPr>
      <w:spacing w:line="360" w:lineRule="auto"/>
      <w:ind w:firstLine="200" w:firstLineChars="200"/>
    </w:pPr>
    <w:rPr>
      <w:rFonts w:ascii="Tahoma" w:hAnsi="Tahoma"/>
      <w:sz w:val="24"/>
    </w:rPr>
  </w:style>
  <w:style w:type="paragraph" w:customStyle="1" w:styleId="328">
    <w:name w:val="图片文字"/>
    <w:basedOn w:val="1"/>
    <w:qFormat/>
    <w:uiPriority w:val="0"/>
    <w:pPr>
      <w:spacing w:line="240" w:lineRule="atLeast"/>
      <w:jc w:val="center"/>
    </w:pPr>
    <w:rPr>
      <w:sz w:val="21"/>
    </w:rPr>
  </w:style>
  <w:style w:type="paragraph" w:customStyle="1" w:styleId="329">
    <w:name w:val="自定样式1"/>
    <w:basedOn w:val="1"/>
    <w:qFormat/>
    <w:uiPriority w:val="0"/>
    <w:pPr>
      <w:suppressAutoHyphens/>
      <w:jc w:val="center"/>
    </w:pPr>
    <w:rPr>
      <w:rFonts w:ascii="宋体" w:hAnsi="宋体"/>
      <w:color w:val="000000"/>
      <w:sz w:val="18"/>
      <w:szCs w:val="24"/>
    </w:rPr>
  </w:style>
  <w:style w:type="paragraph" w:customStyle="1" w:styleId="330">
    <w:name w:val="Char"/>
    <w:basedOn w:val="1"/>
    <w:qFormat/>
    <w:uiPriority w:val="0"/>
    <w:pPr>
      <w:spacing w:line="240" w:lineRule="atLeast"/>
      <w:ind w:left="420" w:firstLine="420"/>
    </w:pPr>
    <w:rPr>
      <w:kern w:val="0"/>
      <w:sz w:val="21"/>
    </w:rPr>
  </w:style>
  <w:style w:type="paragraph" w:customStyle="1" w:styleId="331">
    <w:name w:val="正  文"/>
    <w:basedOn w:val="1"/>
    <w:qFormat/>
    <w:uiPriority w:val="0"/>
    <w:pPr>
      <w:spacing w:line="360" w:lineRule="auto"/>
      <w:ind w:firstLine="200" w:firstLineChars="200"/>
    </w:pPr>
    <w:rPr>
      <w:rFonts w:ascii="宋体" w:hAnsi="Calibri"/>
      <w:sz w:val="24"/>
      <w:szCs w:val="24"/>
    </w:rPr>
  </w:style>
  <w:style w:type="paragraph" w:customStyle="1" w:styleId="332">
    <w:name w:val="Note"/>
    <w:basedOn w:val="1"/>
    <w:qFormat/>
    <w:uiPriority w:val="0"/>
    <w:pPr>
      <w:pBdr>
        <w:top w:val="single" w:color="auto" w:sz="12" w:space="3"/>
        <w:bottom w:val="single" w:color="auto" w:sz="12" w:space="3"/>
      </w:pBdr>
      <w:spacing w:line="360" w:lineRule="auto"/>
    </w:pPr>
    <w:rPr>
      <w:sz w:val="24"/>
    </w:rPr>
  </w:style>
  <w:style w:type="paragraph" w:customStyle="1" w:styleId="333">
    <w:name w:val="Char4"/>
    <w:basedOn w:val="1"/>
    <w:qFormat/>
    <w:uiPriority w:val="0"/>
    <w:pPr>
      <w:spacing w:line="240" w:lineRule="atLeast"/>
      <w:ind w:left="420" w:firstLine="420"/>
    </w:pPr>
    <w:rPr>
      <w:kern w:val="0"/>
      <w:sz w:val="21"/>
    </w:rPr>
  </w:style>
  <w:style w:type="paragraph" w:customStyle="1" w:styleId="334">
    <w:name w:val="表格文本"/>
    <w:qFormat/>
    <w:uiPriority w:val="0"/>
    <w:pPr>
      <w:tabs>
        <w:tab w:val="decimal" w:pos="0"/>
      </w:tabs>
    </w:pPr>
    <w:rPr>
      <w:rFonts w:ascii="Arial" w:hAnsi="Arial" w:eastAsia="宋体" w:cs="Times New Roman"/>
      <w:sz w:val="21"/>
      <w:lang w:val="en-US" w:eastAsia="zh-CN" w:bidi="ar-SA"/>
    </w:rPr>
  </w:style>
  <w:style w:type="paragraph" w:customStyle="1" w:styleId="335">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336">
    <w:name w:val="Char Char Char2"/>
    <w:basedOn w:val="1"/>
    <w:qFormat/>
    <w:uiPriority w:val="0"/>
    <w:rPr>
      <w:rFonts w:ascii="Tahoma" w:hAnsi="Tahoma"/>
      <w:sz w:val="24"/>
    </w:rPr>
  </w:style>
  <w:style w:type="paragraph" w:customStyle="1" w:styleId="337">
    <w:name w:val="标书正文:  0.74 厘米"/>
    <w:basedOn w:val="1"/>
    <w:qFormat/>
    <w:uiPriority w:val="0"/>
    <w:pPr>
      <w:snapToGrid w:val="0"/>
      <w:spacing w:line="360" w:lineRule="auto"/>
      <w:ind w:firstLine="420"/>
    </w:pPr>
    <w:rPr>
      <w:sz w:val="24"/>
    </w:rPr>
  </w:style>
  <w:style w:type="paragraph" w:customStyle="1" w:styleId="338">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339">
    <w:name w:val="Char Char6 Char Char"/>
    <w:basedOn w:val="1"/>
    <w:qFormat/>
    <w:uiPriority w:val="0"/>
    <w:rPr>
      <w:sz w:val="21"/>
      <w:szCs w:val="24"/>
    </w:rPr>
  </w:style>
  <w:style w:type="paragraph" w:customStyle="1" w:styleId="340">
    <w:name w:val="表格文字"/>
    <w:basedOn w:val="1"/>
    <w:qFormat/>
    <w:uiPriority w:val="0"/>
    <w:pPr>
      <w:adjustRightInd w:val="0"/>
      <w:spacing w:line="420" w:lineRule="atLeast"/>
      <w:jc w:val="left"/>
      <w:textAlignment w:val="baseline"/>
    </w:pPr>
    <w:rPr>
      <w:kern w:val="0"/>
      <w:sz w:val="21"/>
    </w:rPr>
  </w:style>
  <w:style w:type="paragraph" w:customStyle="1" w:styleId="341">
    <w:name w:val="列出段落11"/>
    <w:basedOn w:val="1"/>
    <w:qFormat/>
    <w:uiPriority w:val="0"/>
    <w:pPr>
      <w:ind w:firstLine="420" w:firstLineChars="200"/>
    </w:pPr>
    <w:rPr>
      <w:szCs w:val="28"/>
    </w:rPr>
  </w:style>
  <w:style w:type="paragraph" w:customStyle="1" w:styleId="342">
    <w:name w:val="标题3"/>
    <w:basedOn w:val="1"/>
    <w:qFormat/>
    <w:uiPriority w:val="0"/>
    <w:pPr>
      <w:widowControl/>
      <w:spacing w:before="100" w:beforeAutospacing="1" w:after="100" w:afterAutospacing="1"/>
      <w:jc w:val="left"/>
    </w:pPr>
    <w:rPr>
      <w:rFonts w:ascii="宋体" w:cs="宋体"/>
      <w:kern w:val="0"/>
      <w:sz w:val="24"/>
      <w:szCs w:val="24"/>
    </w:rPr>
  </w:style>
  <w:style w:type="paragraph" w:customStyle="1" w:styleId="343">
    <w:name w:val="Char Char 字元 字元 字元 Char Char Char Char"/>
    <w:basedOn w:val="1"/>
    <w:qFormat/>
    <w:uiPriority w:val="0"/>
    <w:pPr>
      <w:adjustRightInd w:val="0"/>
      <w:spacing w:line="360" w:lineRule="auto"/>
    </w:pPr>
    <w:rPr>
      <w:kern w:val="0"/>
      <w:sz w:val="24"/>
    </w:rPr>
  </w:style>
  <w:style w:type="paragraph" w:customStyle="1" w:styleId="344">
    <w:name w:val="表格5"/>
    <w:basedOn w:val="1"/>
    <w:qFormat/>
    <w:uiPriority w:val="0"/>
    <w:pPr>
      <w:adjustRightInd w:val="0"/>
      <w:spacing w:line="420" w:lineRule="atLeast"/>
      <w:ind w:left="1021" w:hanging="284"/>
      <w:jc w:val="left"/>
      <w:textAlignment w:val="baseline"/>
    </w:pPr>
    <w:rPr>
      <w:rFonts w:ascii="宋体"/>
      <w:kern w:val="0"/>
      <w:sz w:val="21"/>
    </w:rPr>
  </w:style>
  <w:style w:type="paragraph" w:customStyle="1" w:styleId="345">
    <w:name w:val="默认段落字体 Para Char Char Char Char"/>
    <w:basedOn w:val="1"/>
    <w:qFormat/>
    <w:uiPriority w:val="0"/>
    <w:rPr>
      <w:sz w:val="21"/>
      <w:szCs w:val="24"/>
    </w:rPr>
  </w:style>
  <w:style w:type="paragraph" w:customStyle="1" w:styleId="346">
    <w:name w:val="Char Char Char Char Char Char Char2"/>
    <w:basedOn w:val="1"/>
    <w:qFormat/>
    <w:uiPriority w:val="0"/>
    <w:rPr>
      <w:rFonts w:ascii="Tahoma" w:hAnsi="Tahoma"/>
      <w:sz w:val="24"/>
    </w:rPr>
  </w:style>
  <w:style w:type="paragraph" w:customStyle="1" w:styleId="3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348">
    <w:name w:val="reader-word-layer reader-word-s43-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49">
    <w:name w:val="Char Char14 Char Char"/>
    <w:basedOn w:val="1"/>
    <w:qFormat/>
    <w:uiPriority w:val="0"/>
    <w:rPr>
      <w:sz w:val="21"/>
      <w:szCs w:val="24"/>
    </w:rPr>
  </w:style>
  <w:style w:type="paragraph" w:customStyle="1" w:styleId="350">
    <w:name w:val="Char Char Char1 Char1"/>
    <w:basedOn w:val="1"/>
    <w:qFormat/>
    <w:uiPriority w:val="0"/>
    <w:rPr>
      <w:sz w:val="21"/>
    </w:rPr>
  </w:style>
  <w:style w:type="paragraph" w:customStyle="1" w:styleId="351">
    <w:name w:val="TOC 标题11"/>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352">
    <w:name w:val="pa-34"/>
    <w:basedOn w:val="1"/>
    <w:qFormat/>
    <w:uiPriority w:val="0"/>
    <w:pPr>
      <w:widowControl/>
      <w:spacing w:line="360" w:lineRule="atLeast"/>
      <w:ind w:firstLine="420"/>
      <w:jc w:val="left"/>
    </w:pPr>
    <w:rPr>
      <w:rFonts w:ascii="宋体" w:hAnsi="宋体" w:cs="宋体"/>
      <w:kern w:val="0"/>
      <w:sz w:val="24"/>
      <w:szCs w:val="24"/>
    </w:rPr>
  </w:style>
  <w:style w:type="paragraph" w:customStyle="1" w:styleId="353">
    <w:name w:val="bt"/>
    <w:basedOn w:val="1"/>
    <w:next w:val="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35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355">
    <w:name w:val="简单回函地址"/>
    <w:basedOn w:val="1"/>
    <w:qFormat/>
    <w:uiPriority w:val="0"/>
    <w:pPr>
      <w:adjustRightInd w:val="0"/>
      <w:snapToGrid w:val="0"/>
      <w:spacing w:line="360" w:lineRule="auto"/>
    </w:pPr>
    <w:rPr>
      <w:sz w:val="24"/>
    </w:rPr>
  </w:style>
  <w:style w:type="paragraph" w:customStyle="1" w:styleId="35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57">
    <w:name w:val="样式 样式 首行缩进:  2 字符 + 首行缩进:  2 字符"/>
    <w:basedOn w:val="1"/>
    <w:qFormat/>
    <w:uiPriority w:val="0"/>
    <w:pPr>
      <w:spacing w:line="360" w:lineRule="auto"/>
      <w:ind w:firstLine="480" w:firstLineChars="200"/>
    </w:pPr>
    <w:rPr>
      <w:sz w:val="24"/>
    </w:rPr>
  </w:style>
  <w:style w:type="paragraph" w:customStyle="1" w:styleId="358">
    <w:name w:val="_Style 55"/>
    <w:basedOn w:val="1"/>
    <w:qFormat/>
    <w:uiPriority w:val="0"/>
    <w:rPr>
      <w:sz w:val="21"/>
      <w:szCs w:val="24"/>
    </w:rPr>
  </w:style>
  <w:style w:type="paragraph" w:customStyle="1" w:styleId="359">
    <w:name w:val="p15"/>
    <w:basedOn w:val="1"/>
    <w:qFormat/>
    <w:uiPriority w:val="0"/>
    <w:pPr>
      <w:widowControl/>
      <w:spacing w:after="120"/>
    </w:pPr>
    <w:rPr>
      <w:kern w:val="0"/>
      <w:sz w:val="21"/>
      <w:szCs w:val="21"/>
    </w:rPr>
  </w:style>
  <w:style w:type="paragraph" w:customStyle="1" w:styleId="360">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361">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362">
    <w:name w:val="Char Char2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363">
    <w:name w:val="xl65"/>
    <w:basedOn w:val="1"/>
    <w:qFormat/>
    <w:uiPriority w:val="0"/>
    <w:pPr>
      <w:widowControl/>
      <w:spacing w:before="100" w:beforeAutospacing="1" w:after="100" w:afterAutospacing="1"/>
      <w:jc w:val="center"/>
    </w:pPr>
    <w:rPr>
      <w:rFonts w:ascii="黑体" w:hAnsi="宋体" w:eastAsia="黑体"/>
      <w:b/>
      <w:kern w:val="0"/>
      <w:sz w:val="36"/>
    </w:rPr>
  </w:style>
  <w:style w:type="paragraph" w:customStyle="1" w:styleId="36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365">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366">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367">
    <w:name w:val="Table Paragraph"/>
    <w:basedOn w:val="1"/>
    <w:qFormat/>
    <w:uiPriority w:val="0"/>
    <w:rPr>
      <w:sz w:val="21"/>
      <w:szCs w:val="24"/>
    </w:rPr>
  </w:style>
  <w:style w:type="paragraph" w:customStyle="1" w:styleId="368">
    <w:name w:val="标准样式1"/>
    <w:basedOn w:val="1"/>
    <w:qFormat/>
    <w:uiPriority w:val="0"/>
    <w:pPr>
      <w:spacing w:line="600" w:lineRule="exact"/>
      <w:ind w:firstLine="567"/>
    </w:pPr>
    <w:rPr>
      <w:rFonts w:ascii="Calibri" w:hAnsi="Calibri"/>
      <w:szCs w:val="24"/>
    </w:rPr>
  </w:style>
  <w:style w:type="paragraph" w:customStyle="1" w:styleId="369">
    <w:name w:val="_Style 87"/>
    <w:basedOn w:val="1"/>
    <w:qFormat/>
    <w:uiPriority w:val="0"/>
    <w:pPr>
      <w:ind w:firstLine="420" w:firstLineChars="200"/>
    </w:pPr>
    <w:rPr>
      <w:rFonts w:ascii="Calibri" w:hAnsi="Calibri"/>
      <w:szCs w:val="28"/>
    </w:rPr>
  </w:style>
  <w:style w:type="paragraph" w:customStyle="1" w:styleId="370">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37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372">
    <w:name w:val="明显引用11"/>
    <w:basedOn w:val="1"/>
    <w:next w:val="1"/>
    <w:qFormat/>
    <w:uiPriority w:val="0"/>
    <w:pPr>
      <w:pBdr>
        <w:bottom w:val="single" w:color="4F81BD" w:sz="4" w:space="4"/>
      </w:pBdr>
      <w:spacing w:before="200" w:after="280"/>
      <w:ind w:left="936" w:right="936"/>
    </w:pPr>
    <w:rPr>
      <w:rFonts w:ascii="Calibri" w:hAnsi="Calibri"/>
      <w:b/>
      <w:bCs/>
      <w:i/>
      <w:iCs/>
      <w:color w:val="4F81BD"/>
      <w:sz w:val="21"/>
      <w:szCs w:val="22"/>
    </w:rPr>
  </w:style>
  <w:style w:type="paragraph" w:customStyle="1" w:styleId="37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74">
    <w:name w:val="Char Char10 Char Char"/>
    <w:basedOn w:val="1"/>
    <w:qFormat/>
    <w:uiPriority w:val="0"/>
    <w:pPr>
      <w:widowControl/>
      <w:spacing w:after="160" w:line="240" w:lineRule="exact"/>
      <w:jc w:val="left"/>
    </w:pPr>
  </w:style>
  <w:style w:type="paragraph" w:customStyle="1" w:styleId="3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37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37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7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38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4"/>
      <w:szCs w:val="24"/>
    </w:rPr>
  </w:style>
  <w:style w:type="paragraph" w:customStyle="1" w:styleId="381">
    <w:name w:val="xl86"/>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color w:val="FF0000"/>
      <w:kern w:val="0"/>
      <w:sz w:val="24"/>
      <w:szCs w:val="24"/>
    </w:rPr>
  </w:style>
  <w:style w:type="paragraph" w:customStyle="1" w:styleId="382">
    <w:name w:val="xl8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3">
    <w:name w:val="xl8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4">
    <w:name w:val="xl8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5">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86">
    <w:name w:val="xl91"/>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387">
    <w:name w:val="xl92"/>
    <w:basedOn w:val="1"/>
    <w:qFormat/>
    <w:uiPriority w:val="0"/>
    <w:pPr>
      <w:widowControl/>
      <w:pBdr>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388">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89">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90">
    <w:name w:val="授权书和信息卡行距"/>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391">
    <w:name w:val="BodyText"/>
    <w:basedOn w:val="1"/>
    <w:next w:val="392"/>
    <w:qFormat/>
    <w:uiPriority w:val="0"/>
    <w:pPr>
      <w:textAlignment w:val="baseline"/>
    </w:pPr>
    <w:rPr>
      <w:rFonts w:ascii="仿宋_GB2312" w:eastAsia="仿宋_GB2312"/>
      <w:sz w:val="32"/>
    </w:rPr>
  </w:style>
  <w:style w:type="paragraph" w:customStyle="1" w:styleId="392">
    <w:name w:val="BodyTextIndent"/>
    <w:basedOn w:val="1"/>
    <w:qFormat/>
    <w:uiPriority w:val="0"/>
    <w:pPr>
      <w:spacing w:line="700" w:lineRule="exact"/>
      <w:ind w:left="960"/>
      <w:textAlignment w:val="baseline"/>
    </w:pPr>
    <w:rPr>
      <w:sz w:val="44"/>
    </w:rPr>
  </w:style>
  <w:style w:type="character" w:customStyle="1" w:styleId="393">
    <w:name w:val="批注框文本 Char Char Char"/>
    <w:link w:val="86"/>
    <w:semiHidden/>
    <w:qFormat/>
    <w:uiPriority w:val="0"/>
    <w:rPr>
      <w:kern w:val="2"/>
      <w:sz w:val="18"/>
    </w:rPr>
  </w:style>
  <w:style w:type="character" w:customStyle="1" w:styleId="394">
    <w:name w:val="页码1"/>
    <w:qFormat/>
    <w:uiPriority w:val="0"/>
  </w:style>
  <w:style w:type="character" w:customStyle="1" w:styleId="395">
    <w:name w:val="批注引用1"/>
    <w:qFormat/>
    <w:uiPriority w:val="0"/>
    <w:rPr>
      <w:sz w:val="21"/>
      <w:szCs w:val="21"/>
    </w:rPr>
  </w:style>
  <w:style w:type="character" w:customStyle="1" w:styleId="396">
    <w:name w:val="Char Char21"/>
    <w:qFormat/>
    <w:uiPriority w:val="0"/>
    <w:rPr>
      <w:rFonts w:eastAsia="宋体"/>
      <w:b/>
      <w:bCs/>
      <w:kern w:val="44"/>
      <w:sz w:val="32"/>
      <w:szCs w:val="44"/>
      <w:lang w:val="en-US" w:eastAsia="zh-CN" w:bidi="ar-SA"/>
    </w:rPr>
  </w:style>
  <w:style w:type="character" w:customStyle="1" w:styleId="397">
    <w:name w:val="Char Char36"/>
    <w:qFormat/>
    <w:uiPriority w:val="0"/>
    <w:rPr>
      <w:rFonts w:ascii="仿宋_GB2312" w:eastAsia="仿宋_GB2312" w:cs="MingLiU"/>
      <w:b/>
      <w:sz w:val="24"/>
      <w:szCs w:val="28"/>
    </w:rPr>
  </w:style>
  <w:style w:type="character" w:customStyle="1" w:styleId="398">
    <w:name w:val="标题 Char1"/>
    <w:qFormat/>
    <w:uiPriority w:val="0"/>
    <w:rPr>
      <w:rFonts w:ascii="Cambria" w:hAnsi="Cambria" w:cs="Times New Roman"/>
      <w:b/>
      <w:bCs/>
      <w:kern w:val="2"/>
      <w:sz w:val="32"/>
      <w:szCs w:val="32"/>
    </w:rPr>
  </w:style>
  <w:style w:type="character" w:customStyle="1" w:styleId="399">
    <w:name w:val="明显引用 Char5"/>
    <w:qFormat/>
    <w:uiPriority w:val="0"/>
    <w:rPr>
      <w:rFonts w:ascii="Times New Roman" w:hAnsi="Times New Roman" w:eastAsia="宋体" w:cs="Times New Roman"/>
      <w:i/>
      <w:iCs/>
      <w:color w:val="5B9BD5"/>
      <w:szCs w:val="24"/>
    </w:rPr>
  </w:style>
  <w:style w:type="character" w:customStyle="1" w:styleId="400">
    <w:name w:val="未处理的提及"/>
    <w:qFormat/>
    <w:uiPriority w:val="0"/>
    <w:rPr>
      <w:color w:val="808080"/>
      <w:shd w:val="clear" w:color="auto" w:fill="E6E6E6"/>
    </w:rPr>
  </w:style>
  <w:style w:type="character" w:customStyle="1" w:styleId="401">
    <w:name w:val="标题 2 Char1"/>
    <w:qFormat/>
    <w:uiPriority w:val="0"/>
    <w:rPr>
      <w:rFonts w:ascii="Cambria" w:hAnsi="Cambria" w:eastAsia="宋体" w:cs="Times New Roman"/>
      <w:b/>
      <w:bCs/>
      <w:kern w:val="2"/>
      <w:sz w:val="32"/>
      <w:szCs w:val="32"/>
    </w:rPr>
  </w:style>
  <w:style w:type="character" w:customStyle="1" w:styleId="402">
    <w:name w:val="H1 Char1"/>
    <w:qFormat/>
    <w:uiPriority w:val="0"/>
    <w:rPr>
      <w:rFonts w:eastAsia="黑体"/>
      <w:kern w:val="2"/>
      <w:sz w:val="44"/>
      <w:szCs w:val="44"/>
      <w:lang w:val="en-US" w:eastAsia="zh-CN" w:bidi="ar-SA"/>
    </w:rPr>
  </w:style>
  <w:style w:type="character" w:customStyle="1" w:styleId="403">
    <w:name w:val="文档结构图 Char3"/>
    <w:qFormat/>
    <w:uiPriority w:val="0"/>
    <w:rPr>
      <w:rFonts w:ascii="宋体" w:hAnsi="Calibri" w:eastAsia="宋体" w:cs="Times New Roman"/>
      <w:sz w:val="18"/>
      <w:szCs w:val="18"/>
    </w:rPr>
  </w:style>
  <w:style w:type="character" w:customStyle="1" w:styleId="404">
    <w:name w:val="明显引用 Char3"/>
    <w:qFormat/>
    <w:uiPriority w:val="0"/>
    <w:rPr>
      <w:rFonts w:ascii="Calibri" w:hAnsi="Calibri" w:eastAsia="宋体" w:cs="Times New Roman"/>
      <w:b/>
      <w:bCs/>
      <w:i/>
      <w:iCs/>
      <w:color w:val="4F81BD"/>
      <w:szCs w:val="24"/>
    </w:rPr>
  </w:style>
  <w:style w:type="character" w:customStyle="1" w:styleId="405">
    <w:name w:val="脚注文本 Char4"/>
    <w:qFormat/>
    <w:uiPriority w:val="0"/>
    <w:rPr>
      <w:rFonts w:ascii="Times New Roman" w:hAnsi="Times New Roman" w:eastAsia="宋体" w:cs="Times New Roman"/>
      <w:sz w:val="18"/>
      <w:szCs w:val="18"/>
    </w:rPr>
  </w:style>
  <w:style w:type="character" w:customStyle="1" w:styleId="406">
    <w:name w:val="Char Char1"/>
    <w:qFormat/>
    <w:uiPriority w:val="0"/>
    <w:rPr>
      <w:rFonts w:ascii="Arial" w:hAnsi="Arial" w:eastAsia="黑体"/>
      <w:kern w:val="2"/>
      <w:sz w:val="32"/>
      <w:szCs w:val="32"/>
      <w:lang w:val="en-US" w:eastAsia="zh-CN" w:bidi="ar-SA"/>
    </w:rPr>
  </w:style>
  <w:style w:type="character" w:customStyle="1" w:styleId="407">
    <w:name w:val="批注主题 Char1"/>
    <w:qFormat/>
    <w:uiPriority w:val="0"/>
    <w:rPr>
      <w:b/>
      <w:bCs/>
      <w:kern w:val="2"/>
      <w:sz w:val="21"/>
      <w:szCs w:val="24"/>
    </w:rPr>
  </w:style>
  <w:style w:type="character" w:customStyle="1" w:styleId="408">
    <w:name w:val="Char Char Char Char Char Char Char1"/>
    <w:qFormat/>
    <w:uiPriority w:val="0"/>
    <w:rPr>
      <w:rFonts w:ascii="宋体" w:hAnsi="宋体" w:eastAsia="宋体"/>
      <w:b/>
      <w:kern w:val="2"/>
      <w:sz w:val="32"/>
      <w:szCs w:val="32"/>
      <w:lang w:val="en-US" w:eastAsia="zh-CN" w:bidi="ar-SA"/>
    </w:rPr>
  </w:style>
  <w:style w:type="character" w:customStyle="1" w:styleId="409">
    <w:name w:val="Char Char24"/>
    <w:qFormat/>
    <w:uiPriority w:val="0"/>
    <w:rPr>
      <w:b/>
      <w:bCs/>
      <w:kern w:val="44"/>
      <w:sz w:val="44"/>
      <w:szCs w:val="44"/>
    </w:rPr>
  </w:style>
  <w:style w:type="character" w:customStyle="1" w:styleId="410">
    <w:name w:val="正文文本 Char1"/>
    <w:qFormat/>
    <w:uiPriority w:val="0"/>
    <w:rPr>
      <w:kern w:val="2"/>
      <w:sz w:val="21"/>
      <w:szCs w:val="24"/>
    </w:rPr>
  </w:style>
  <w:style w:type="character" w:customStyle="1" w:styleId="411">
    <w:name w:val="style31"/>
    <w:qFormat/>
    <w:uiPriority w:val="0"/>
    <w:rPr>
      <w:sz w:val="10"/>
      <w:szCs w:val="10"/>
    </w:rPr>
  </w:style>
  <w:style w:type="character" w:customStyle="1" w:styleId="412">
    <w:name w:val="v151"/>
    <w:qFormat/>
    <w:uiPriority w:val="0"/>
    <w:rPr>
      <w:sz w:val="18"/>
    </w:rPr>
  </w:style>
  <w:style w:type="character" w:customStyle="1" w:styleId="413">
    <w:name w:val="纯文本 Char4"/>
    <w:qFormat/>
    <w:uiPriority w:val="0"/>
    <w:rPr>
      <w:rFonts w:ascii="宋体" w:hAnsi="Courier New" w:eastAsia="宋体" w:cs="Courier New"/>
      <w:szCs w:val="21"/>
    </w:rPr>
  </w:style>
  <w:style w:type="character" w:customStyle="1" w:styleId="414">
    <w:name w:val="textcontents"/>
    <w:qFormat/>
    <w:uiPriority w:val="0"/>
  </w:style>
  <w:style w:type="character" w:customStyle="1" w:styleId="415">
    <w:name w:val="招标正文 Char Char"/>
    <w:link w:val="105"/>
    <w:semiHidden/>
    <w:qFormat/>
    <w:uiPriority w:val="0"/>
    <w:rPr>
      <w:rFonts w:ascii="宋体"/>
      <w:color w:val="000000"/>
      <w:kern w:val="2"/>
      <w:sz w:val="21"/>
      <w:szCs w:val="21"/>
      <w:lang w:val="en-US" w:eastAsia="zh-CN" w:bidi="ar-SA"/>
    </w:rPr>
  </w:style>
  <w:style w:type="character" w:customStyle="1" w:styleId="416">
    <w:name w:val="Table Text Char1 Char Char"/>
    <w:qFormat/>
    <w:uiPriority w:val="0"/>
    <w:rPr>
      <w:rFonts w:ascii="Arial" w:hAnsi="Arial"/>
      <w:kern w:val="2"/>
      <w:sz w:val="18"/>
      <w:lang w:val="en-US" w:eastAsia="zh-CN" w:bidi="ar-SA"/>
    </w:rPr>
  </w:style>
  <w:style w:type="character" w:customStyle="1" w:styleId="417">
    <w:name w:val="Char Char7"/>
    <w:qFormat/>
    <w:uiPriority w:val="0"/>
    <w:rPr>
      <w:kern w:val="2"/>
      <w:sz w:val="18"/>
    </w:rPr>
  </w:style>
  <w:style w:type="character" w:customStyle="1" w:styleId="418">
    <w:name w:val="正文文字4 Char Char"/>
    <w:qFormat/>
    <w:uiPriority w:val="0"/>
    <w:rPr>
      <w:kern w:val="2"/>
      <w:sz w:val="21"/>
      <w:szCs w:val="24"/>
    </w:rPr>
  </w:style>
  <w:style w:type="character" w:customStyle="1" w:styleId="419">
    <w:name w:val="标题 6 Char1"/>
    <w:qFormat/>
    <w:uiPriority w:val="0"/>
    <w:rPr>
      <w:rFonts w:ascii="Arial" w:hAnsi="Arial" w:eastAsia="黑体"/>
      <w:b/>
      <w:bCs/>
      <w:sz w:val="24"/>
      <w:szCs w:val="24"/>
      <w:lang w:val="en-US" w:eastAsia="zh-CN" w:bidi="ar-SA"/>
    </w:rPr>
  </w:style>
  <w:style w:type="character" w:customStyle="1" w:styleId="420">
    <w:name w:val="docpro"/>
    <w:qFormat/>
    <w:uiPriority w:val="0"/>
  </w:style>
  <w:style w:type="character" w:customStyle="1" w:styleId="421">
    <w:name w:val="Char Char Char Char Char Char Char Char Char Char Char Char Char Char Char"/>
    <w:qFormat/>
    <w:uiPriority w:val="0"/>
    <w:rPr>
      <w:rFonts w:ascii="宋体" w:hAnsi="宋体" w:eastAsia="宋体"/>
      <w:kern w:val="2"/>
      <w:sz w:val="24"/>
      <w:lang w:val="en-US" w:eastAsia="zh-CN" w:bidi="ar-SA"/>
    </w:rPr>
  </w:style>
  <w:style w:type="character" w:customStyle="1" w:styleId="422">
    <w:name w:val="标题 8 Char1"/>
    <w:qFormat/>
    <w:uiPriority w:val="0"/>
    <w:rPr>
      <w:rFonts w:ascii="Arial" w:hAnsi="Arial" w:eastAsia="黑体"/>
      <w:sz w:val="24"/>
      <w:szCs w:val="24"/>
      <w:lang w:val="en-US" w:eastAsia="zh-CN" w:bidi="ar-SA"/>
    </w:rPr>
  </w:style>
  <w:style w:type="character" w:customStyle="1" w:styleId="423">
    <w:name w:val="Char Char3"/>
    <w:qFormat/>
    <w:uiPriority w:val="0"/>
    <w:rPr>
      <w:rFonts w:eastAsia="宋体"/>
      <w:kern w:val="2"/>
      <w:sz w:val="18"/>
      <w:lang w:val="en-US" w:eastAsia="zh-CN"/>
    </w:rPr>
  </w:style>
  <w:style w:type="character" w:customStyle="1" w:styleId="424">
    <w:name w:val="15"/>
    <w:qFormat/>
    <w:uiPriority w:val="0"/>
  </w:style>
  <w:style w:type="character" w:customStyle="1" w:styleId="425">
    <w:name w:val="正文文本 3 Char3"/>
    <w:qFormat/>
    <w:uiPriority w:val="0"/>
    <w:rPr>
      <w:sz w:val="16"/>
      <w:szCs w:val="16"/>
    </w:rPr>
  </w:style>
  <w:style w:type="character" w:customStyle="1" w:styleId="426">
    <w:name w:val="0d1471"/>
    <w:qFormat/>
    <w:uiPriority w:val="0"/>
    <w:rPr>
      <w:color w:val="000000"/>
      <w:sz w:val="11"/>
      <w:szCs w:val="11"/>
      <w:u w:val="none"/>
    </w:rPr>
  </w:style>
  <w:style w:type="character" w:customStyle="1" w:styleId="427">
    <w:name w:val="副标题 Char4"/>
    <w:qFormat/>
    <w:uiPriority w:val="0"/>
    <w:rPr>
      <w:rFonts w:ascii="Calibri Light" w:hAnsi="Calibri Light" w:eastAsia="宋体" w:cs="Times New Roman"/>
      <w:b/>
      <w:bCs/>
      <w:kern w:val="28"/>
      <w:sz w:val="32"/>
      <w:szCs w:val="32"/>
    </w:rPr>
  </w:style>
  <w:style w:type="character" w:customStyle="1" w:styleId="428">
    <w:name w:val="Char Char20"/>
    <w:qFormat/>
    <w:uiPriority w:val="0"/>
    <w:rPr>
      <w:rFonts w:eastAsia="宋体"/>
      <w:kern w:val="2"/>
      <w:sz w:val="18"/>
      <w:szCs w:val="18"/>
      <w:lang w:val="en-US" w:eastAsia="zh-CN" w:bidi="ar-SA"/>
    </w:rPr>
  </w:style>
  <w:style w:type="character" w:customStyle="1" w:styleId="429">
    <w:name w:val="title11"/>
    <w:qFormat/>
    <w:uiPriority w:val="0"/>
    <w:rPr>
      <w:b/>
      <w:bCs/>
      <w:color w:val="FFFFFF"/>
      <w:sz w:val="11"/>
      <w:szCs w:val="11"/>
    </w:rPr>
  </w:style>
  <w:style w:type="character" w:customStyle="1" w:styleId="430">
    <w:name w:val="标书正文:  0.74 厘米 Char1"/>
    <w:qFormat/>
    <w:uiPriority w:val="0"/>
    <w:rPr>
      <w:rFonts w:eastAsia="宋体"/>
      <w:kern w:val="2"/>
      <w:sz w:val="24"/>
      <w:lang w:val="en-US" w:eastAsia="zh-CN"/>
    </w:rPr>
  </w:style>
  <w:style w:type="character" w:customStyle="1" w:styleId="431">
    <w:name w:val="标题 5 Char1"/>
    <w:qFormat/>
    <w:uiPriority w:val="0"/>
    <w:rPr>
      <w:rFonts w:ascii="宋体" w:hAnsi="宋体" w:eastAsia="宋体" w:cs="宋体"/>
      <w:b/>
      <w:bCs/>
      <w:sz w:val="20"/>
      <w:szCs w:val="20"/>
    </w:rPr>
  </w:style>
  <w:style w:type="character" w:customStyle="1" w:styleId="432">
    <w:name w:val="Char Char241"/>
    <w:qFormat/>
    <w:uiPriority w:val="0"/>
    <w:rPr>
      <w:rFonts w:eastAsia="宋体"/>
      <w:b/>
      <w:bCs/>
      <w:kern w:val="44"/>
      <w:sz w:val="44"/>
      <w:szCs w:val="44"/>
      <w:lang w:val="en-US" w:eastAsia="zh-CN" w:bidi="ar-SA"/>
    </w:rPr>
  </w:style>
  <w:style w:type="character" w:customStyle="1" w:styleId="433">
    <w:name w:val="style21"/>
    <w:qFormat/>
    <w:uiPriority w:val="0"/>
    <w:rPr>
      <w:b/>
      <w:bCs/>
      <w:sz w:val="28"/>
      <w:szCs w:val="28"/>
    </w:rPr>
  </w:style>
  <w:style w:type="character" w:customStyle="1" w:styleId="434">
    <w:name w:val="标题 3 字符1"/>
    <w:qFormat/>
    <w:uiPriority w:val="0"/>
    <w:rPr>
      <w:rFonts w:eastAsia="宋体"/>
      <w:b/>
      <w:kern w:val="2"/>
      <w:sz w:val="32"/>
      <w:lang w:val="en-US" w:eastAsia="zh-CN"/>
    </w:rPr>
  </w:style>
  <w:style w:type="character" w:customStyle="1" w:styleId="435">
    <w:name w:val="页眉 Char2"/>
    <w:qFormat/>
    <w:uiPriority w:val="0"/>
    <w:rPr>
      <w:sz w:val="18"/>
      <w:szCs w:val="18"/>
    </w:rPr>
  </w:style>
  <w:style w:type="character" w:customStyle="1" w:styleId="436">
    <w:name w:val="副标题 Char1"/>
    <w:qFormat/>
    <w:uiPriority w:val="0"/>
    <w:rPr>
      <w:rFonts w:ascii="Cambria" w:hAnsi="Cambria"/>
      <w:b/>
      <w:kern w:val="28"/>
      <w:sz w:val="32"/>
    </w:rPr>
  </w:style>
  <w:style w:type="character" w:customStyle="1" w:styleId="437">
    <w:name w:val="明显参考1"/>
    <w:qFormat/>
    <w:uiPriority w:val="0"/>
    <w:rPr>
      <w:b/>
      <w:bCs/>
      <w:smallCaps/>
      <w:color w:val="C0504D"/>
      <w:spacing w:val="5"/>
      <w:u w:val="single"/>
    </w:rPr>
  </w:style>
  <w:style w:type="character" w:customStyle="1" w:styleId="438">
    <w:name w:val="Char Char29"/>
    <w:qFormat/>
    <w:uiPriority w:val="0"/>
    <w:rPr>
      <w:rFonts w:ascii="Arial" w:hAnsi="Arial" w:eastAsia="宋体"/>
      <w:b/>
      <w:bCs/>
      <w:kern w:val="2"/>
      <w:sz w:val="21"/>
      <w:szCs w:val="28"/>
      <w:lang w:val="en-US" w:eastAsia="zh-CN" w:bidi="ar-SA"/>
    </w:rPr>
  </w:style>
  <w:style w:type="character" w:customStyle="1" w:styleId="439">
    <w:name w:val="标题 7 Char2"/>
    <w:qFormat/>
    <w:uiPriority w:val="0"/>
    <w:rPr>
      <w:rFonts w:ascii="Times New Roman" w:hAnsi="Times New Roman" w:eastAsia="仿宋_GB2312" w:cs="Times New Roman"/>
      <w:kern w:val="0"/>
      <w:sz w:val="30"/>
      <w:szCs w:val="20"/>
    </w:rPr>
  </w:style>
  <w:style w:type="character" w:customStyle="1" w:styleId="440">
    <w:name w:val="批注主题 Char3"/>
    <w:qFormat/>
    <w:uiPriority w:val="0"/>
    <w:rPr>
      <w:rFonts w:ascii="Calibri" w:hAnsi="Calibri" w:eastAsia="宋体" w:cs="Times New Roman"/>
      <w:b/>
      <w:bCs/>
      <w:szCs w:val="24"/>
    </w:rPr>
  </w:style>
  <w:style w:type="character" w:customStyle="1" w:styleId="441">
    <w:name w:val="尾注文本 Char3"/>
    <w:qFormat/>
    <w:uiPriority w:val="0"/>
    <w:rPr>
      <w:rFonts w:ascii="Arial" w:hAnsi="Arial" w:cs="Arial"/>
      <w:szCs w:val="24"/>
      <w:lang w:eastAsia="en-US"/>
    </w:rPr>
  </w:style>
  <w:style w:type="character" w:customStyle="1" w:styleId="442">
    <w:name w:val="Char Char22"/>
    <w:qFormat/>
    <w:uiPriority w:val="0"/>
    <w:rPr>
      <w:rFonts w:eastAsia="宋体"/>
      <w:kern w:val="2"/>
      <w:sz w:val="21"/>
      <w:szCs w:val="24"/>
      <w:lang w:val="en-US" w:eastAsia="zh-CN" w:bidi="ar-SA"/>
    </w:rPr>
  </w:style>
  <w:style w:type="character" w:customStyle="1" w:styleId="443">
    <w:name w:val="Table Text Char Char Char Char Char Char"/>
    <w:link w:val="107"/>
    <w:semiHidden/>
    <w:qFormat/>
    <w:uiPriority w:val="0"/>
    <w:rPr>
      <w:rFonts w:ascii="Arial" w:hAnsi="Arial"/>
      <w:kern w:val="2"/>
      <w:sz w:val="18"/>
      <w:lang w:val="en-US" w:eastAsia="zh-CN" w:bidi="ar-SA"/>
    </w:rPr>
  </w:style>
  <w:style w:type="character" w:customStyle="1" w:styleId="444">
    <w:name w:val="样式 正文文本缩进 + (中文) 仿宋_GB2312 左侧:  0 厘米 行距: 1.5 倍行距 首行缩进:  2 字符 Char Char"/>
    <w:link w:val="108"/>
    <w:semiHidden/>
    <w:qFormat/>
    <w:uiPriority w:val="0"/>
    <w:rPr>
      <w:rFonts w:ascii="仿宋_GB2312" w:eastAsia="仿宋_GB2312" w:cs="宋体"/>
      <w:kern w:val="2"/>
      <w:sz w:val="28"/>
      <w:szCs w:val="28"/>
    </w:rPr>
  </w:style>
  <w:style w:type="character" w:customStyle="1" w:styleId="445">
    <w:name w:val="书籍标题1"/>
    <w:qFormat/>
    <w:uiPriority w:val="0"/>
    <w:rPr>
      <w:b/>
      <w:bCs/>
      <w:smallCaps/>
      <w:spacing w:val="5"/>
    </w:rPr>
  </w:style>
  <w:style w:type="character" w:customStyle="1" w:styleId="446">
    <w:name w:val="页眉 Char3"/>
    <w:qFormat/>
    <w:uiPriority w:val="0"/>
    <w:rPr>
      <w:rFonts w:ascii="Times New Roman" w:hAnsi="Times New Roman" w:eastAsia="宋体" w:cs="Times New Roman"/>
      <w:sz w:val="20"/>
      <w:szCs w:val="20"/>
    </w:rPr>
  </w:style>
  <w:style w:type="character" w:customStyle="1" w:styleId="447">
    <w:name w:val="ITTHEADER2 Char"/>
    <w:qFormat/>
    <w:uiPriority w:val="0"/>
    <w:rPr>
      <w:rFonts w:ascii="仿宋_GB2312" w:eastAsia="仿宋_GB2312" w:cs="MingLiU"/>
      <w:b/>
      <w:spacing w:val="1"/>
      <w:w w:val="99"/>
      <w:sz w:val="28"/>
      <w:szCs w:val="32"/>
      <w:lang w:val="en-US" w:eastAsia="zh-CN" w:bidi="ar-SA"/>
    </w:rPr>
  </w:style>
  <w:style w:type="character" w:customStyle="1" w:styleId="448">
    <w:name w:val="Char Char11"/>
    <w:qFormat/>
    <w:uiPriority w:val="0"/>
    <w:rPr>
      <w:rFonts w:eastAsia="黑体"/>
      <w:kern w:val="2"/>
      <w:sz w:val="44"/>
      <w:szCs w:val="44"/>
      <w:lang w:val="en-US" w:eastAsia="zh-CN" w:bidi="ar-SA"/>
    </w:rPr>
  </w:style>
  <w:style w:type="character" w:customStyle="1" w:styleId="449">
    <w:name w:val="Table Heading Char Char"/>
    <w:qFormat/>
    <w:uiPriority w:val="0"/>
    <w:rPr>
      <w:rFonts w:ascii="Arial" w:hAnsi="Arial" w:eastAsia="黑体"/>
      <w:kern w:val="2"/>
      <w:sz w:val="18"/>
      <w:lang w:val="en-US" w:eastAsia="zh-CN"/>
    </w:rPr>
  </w:style>
  <w:style w:type="character" w:customStyle="1" w:styleId="450">
    <w:name w:val="ht1"/>
    <w:qFormat/>
    <w:uiPriority w:val="0"/>
    <w:rPr>
      <w:rFonts w:ascii="黑体" w:eastAsia="黑体"/>
      <w:b/>
      <w:bCs/>
    </w:rPr>
  </w:style>
  <w:style w:type="character" w:customStyle="1" w:styleId="451">
    <w:name w:val="Char Char4"/>
    <w:qFormat/>
    <w:uiPriority w:val="0"/>
    <w:rPr>
      <w:rFonts w:eastAsia="宋体"/>
      <w:b/>
      <w:kern w:val="2"/>
      <w:sz w:val="21"/>
      <w:lang w:val="en-US" w:eastAsia="zh-CN"/>
    </w:rPr>
  </w:style>
  <w:style w:type="character" w:customStyle="1" w:styleId="452">
    <w:name w:val="表中文字 Char Char"/>
    <w:qFormat/>
    <w:uiPriority w:val="0"/>
    <w:rPr>
      <w:rFonts w:ascii="黑体" w:hAnsi="宋体" w:eastAsia="黑体"/>
      <w:color w:val="000000"/>
      <w:kern w:val="2"/>
      <w:sz w:val="28"/>
      <w:szCs w:val="32"/>
      <w:lang w:val="en-US" w:eastAsia="zh-CN" w:bidi="ar-SA"/>
    </w:rPr>
  </w:style>
  <w:style w:type="character" w:customStyle="1" w:styleId="453">
    <w:name w:val="不明显参考1"/>
    <w:qFormat/>
    <w:uiPriority w:val="0"/>
    <w:rPr>
      <w:smallCaps/>
      <w:color w:val="C0504D"/>
      <w:u w:val="single"/>
    </w:rPr>
  </w:style>
  <w:style w:type="character" w:customStyle="1" w:styleId="454">
    <w:name w:val="Char Char12"/>
    <w:qFormat/>
    <w:uiPriority w:val="0"/>
    <w:rPr>
      <w:rFonts w:ascii="宋体" w:hAnsi="Courier New" w:cs="Courier New"/>
      <w:kern w:val="2"/>
      <w:sz w:val="21"/>
      <w:szCs w:val="21"/>
    </w:rPr>
  </w:style>
  <w:style w:type="character" w:customStyle="1" w:styleId="455">
    <w:name w:val="尾注文本 Char4"/>
    <w:qFormat/>
    <w:uiPriority w:val="0"/>
    <w:rPr>
      <w:rFonts w:ascii="Times New Roman" w:hAnsi="Times New Roman" w:eastAsia="宋体" w:cs="Times New Roman"/>
      <w:szCs w:val="24"/>
    </w:rPr>
  </w:style>
  <w:style w:type="character" w:customStyle="1" w:styleId="456">
    <w:name w:val="正文文本缩进 3 Char3"/>
    <w:qFormat/>
    <w:uiPriority w:val="0"/>
    <w:rPr>
      <w:rFonts w:ascii="宋体" w:hAnsi="宋体"/>
      <w:sz w:val="28"/>
      <w:szCs w:val="28"/>
    </w:rPr>
  </w:style>
  <w:style w:type="character" w:customStyle="1" w:styleId="457">
    <w:name w:val="标题 4 Char1"/>
    <w:qFormat/>
    <w:uiPriority w:val="0"/>
    <w:rPr>
      <w:rFonts w:ascii="Arial" w:hAnsi="Arial" w:eastAsia="黑体"/>
      <w:b/>
      <w:bCs/>
      <w:kern w:val="2"/>
      <w:sz w:val="28"/>
      <w:szCs w:val="28"/>
      <w:lang w:val="en-US" w:eastAsia="zh-CN" w:bidi="ar-SA"/>
    </w:rPr>
  </w:style>
  <w:style w:type="character" w:customStyle="1" w:styleId="458">
    <w:name w:val="Char Char19"/>
    <w:qFormat/>
    <w:uiPriority w:val="0"/>
    <w:rPr>
      <w:rFonts w:eastAsia="宋体"/>
      <w:b/>
      <w:bCs/>
      <w:kern w:val="2"/>
      <w:sz w:val="24"/>
      <w:szCs w:val="32"/>
      <w:lang w:val="en-US" w:eastAsia="zh-CN" w:bidi="ar-SA"/>
    </w:rPr>
  </w:style>
  <w:style w:type="character" w:customStyle="1" w:styleId="459">
    <w:name w:val="正文文本缩进 Char3"/>
    <w:qFormat/>
    <w:uiPriority w:val="0"/>
    <w:rPr>
      <w:szCs w:val="24"/>
    </w:rPr>
  </w:style>
  <w:style w:type="character" w:customStyle="1" w:styleId="460">
    <w:name w:val="日期 Char1"/>
    <w:qFormat/>
    <w:uiPriority w:val="0"/>
    <w:rPr>
      <w:kern w:val="2"/>
      <w:sz w:val="21"/>
      <w:szCs w:val="22"/>
    </w:rPr>
  </w:style>
  <w:style w:type="character" w:customStyle="1" w:styleId="461">
    <w:name w:val="标题 2 Char Char"/>
    <w:qFormat/>
    <w:uiPriority w:val="0"/>
    <w:rPr>
      <w:rFonts w:ascii="Arial" w:hAnsi="Arial" w:eastAsia="黑体"/>
      <w:b/>
      <w:bCs/>
      <w:kern w:val="2"/>
      <w:sz w:val="32"/>
      <w:szCs w:val="32"/>
      <w:lang w:val="en-US" w:eastAsia="zh-CN" w:bidi="ar-SA"/>
    </w:rPr>
  </w:style>
  <w:style w:type="character" w:customStyle="1" w:styleId="462">
    <w:name w:val="正文文本缩进 Char2"/>
    <w:qFormat/>
    <w:uiPriority w:val="0"/>
    <w:rPr>
      <w:rFonts w:ascii="Calibri" w:hAnsi="Calibri" w:eastAsia="宋体" w:cs="Times New Roman"/>
      <w:szCs w:val="24"/>
    </w:rPr>
  </w:style>
  <w:style w:type="character" w:customStyle="1" w:styleId="463">
    <w:name w:val="HTML 预设格式 Char3"/>
    <w:qFormat/>
    <w:uiPriority w:val="0"/>
    <w:rPr>
      <w:rFonts w:ascii="宋体" w:hAnsi="宋体" w:cs="宋体"/>
      <w:color w:val="000000"/>
      <w:sz w:val="24"/>
      <w:szCs w:val="24"/>
    </w:rPr>
  </w:style>
  <w:style w:type="character" w:customStyle="1" w:styleId="464">
    <w:name w:val="文字 Char Char"/>
    <w:link w:val="109"/>
    <w:semiHidden/>
    <w:qFormat/>
    <w:uiPriority w:val="0"/>
    <w:rPr>
      <w:rFonts w:ascii="宋体"/>
      <w:kern w:val="2"/>
      <w:sz w:val="28"/>
    </w:rPr>
  </w:style>
  <w:style w:type="character" w:customStyle="1" w:styleId="465">
    <w:name w:val="标题 2 Char Char Char1"/>
    <w:qFormat/>
    <w:uiPriority w:val="0"/>
    <w:rPr>
      <w:rFonts w:ascii="仿宋_GB2312" w:eastAsia="仿宋_GB2312" w:cs="MingLiU"/>
      <w:b/>
      <w:spacing w:val="1"/>
      <w:w w:val="99"/>
      <w:sz w:val="28"/>
      <w:szCs w:val="32"/>
      <w:lang w:val="en-US" w:eastAsia="zh-CN" w:bidi="ar-SA"/>
    </w:rPr>
  </w:style>
  <w:style w:type="character" w:customStyle="1" w:styleId="466">
    <w:name w:val="crowed11"/>
    <w:qFormat/>
    <w:uiPriority w:val="0"/>
    <w:rPr>
      <w:rFonts w:hint="default"/>
      <w:sz w:val="24"/>
    </w:rPr>
  </w:style>
  <w:style w:type="character" w:customStyle="1" w:styleId="467">
    <w:name w:val="批注框文本 Char2"/>
    <w:qFormat/>
    <w:uiPriority w:val="0"/>
    <w:rPr>
      <w:rFonts w:eastAsia="宋体"/>
      <w:kern w:val="2"/>
      <w:sz w:val="18"/>
      <w:szCs w:val="18"/>
      <w:lang w:val="en-US" w:eastAsia="zh-CN" w:bidi="ar-SA"/>
    </w:rPr>
  </w:style>
  <w:style w:type="character" w:customStyle="1" w:styleId="468">
    <w:name w:val="明显引用 Char2"/>
    <w:qFormat/>
    <w:uiPriority w:val="0"/>
    <w:rPr>
      <w:i/>
      <w:iCs/>
      <w:color w:val="5B9BD5"/>
      <w:kern w:val="2"/>
      <w:sz w:val="28"/>
    </w:rPr>
  </w:style>
  <w:style w:type="character" w:customStyle="1" w:styleId="469">
    <w:name w:val="页脚 Char1"/>
    <w:qFormat/>
    <w:uiPriority w:val="0"/>
    <w:rPr>
      <w:kern w:val="2"/>
      <w:sz w:val="18"/>
      <w:szCs w:val="18"/>
    </w:rPr>
  </w:style>
  <w:style w:type="character" w:customStyle="1" w:styleId="470">
    <w:name w:val="Char Char33"/>
    <w:qFormat/>
    <w:uiPriority w:val="0"/>
    <w:rPr>
      <w:rFonts w:ascii="仿宋_GB2312" w:eastAsia="仿宋_GB2312" w:cs="MingLiU"/>
      <w:b/>
      <w:sz w:val="24"/>
      <w:szCs w:val="28"/>
    </w:rPr>
  </w:style>
  <w:style w:type="character" w:customStyle="1" w:styleId="471">
    <w:name w:val="批注文字 Char4"/>
    <w:qFormat/>
    <w:uiPriority w:val="0"/>
    <w:rPr>
      <w:rFonts w:ascii="Times New Roman" w:hAnsi="Times New Roman" w:eastAsia="宋体" w:cs="Times New Roman"/>
      <w:szCs w:val="24"/>
    </w:rPr>
  </w:style>
  <w:style w:type="character" w:customStyle="1" w:styleId="472">
    <w:name w:val="apple-converted-space"/>
    <w:qFormat/>
    <w:uiPriority w:val="0"/>
    <w:rPr>
      <w:rFonts w:cs="Times New Roman"/>
    </w:rPr>
  </w:style>
  <w:style w:type="character" w:customStyle="1" w:styleId="473">
    <w:name w:val="Char Char71"/>
    <w:qFormat/>
    <w:uiPriority w:val="0"/>
    <w:rPr>
      <w:rFonts w:ascii="宋体" w:hAnsi="宋体" w:eastAsia="宋体"/>
      <w:kern w:val="2"/>
      <w:sz w:val="28"/>
    </w:rPr>
  </w:style>
  <w:style w:type="character" w:customStyle="1" w:styleId="474">
    <w:name w:val="日期 Char2"/>
    <w:qFormat/>
    <w:uiPriority w:val="0"/>
    <w:rPr>
      <w:kern w:val="2"/>
      <w:sz w:val="21"/>
      <w:szCs w:val="24"/>
    </w:rPr>
  </w:style>
  <w:style w:type="character" w:customStyle="1" w:styleId="475">
    <w:name w:val="文档结构图 Char2"/>
    <w:qFormat/>
    <w:uiPriority w:val="0"/>
    <w:rPr>
      <w:kern w:val="2"/>
      <w:sz w:val="21"/>
      <w:szCs w:val="24"/>
      <w:shd w:val="clear" w:color="auto" w:fill="000080"/>
    </w:rPr>
  </w:style>
  <w:style w:type="character" w:customStyle="1" w:styleId="476">
    <w:name w:val="Char Char10"/>
    <w:qFormat/>
    <w:uiPriority w:val="0"/>
    <w:rPr>
      <w:rFonts w:ascii="仿宋_GB2312" w:eastAsia="仿宋_GB2312"/>
      <w:b/>
      <w:spacing w:val="1"/>
      <w:w w:val="99"/>
      <w:sz w:val="32"/>
    </w:rPr>
  </w:style>
  <w:style w:type="character" w:customStyle="1" w:styleId="477">
    <w:name w:val="H1 Char2"/>
    <w:qFormat/>
    <w:uiPriority w:val="0"/>
    <w:rPr>
      <w:rFonts w:eastAsia="宋体"/>
      <w:b/>
      <w:bCs/>
      <w:kern w:val="44"/>
      <w:sz w:val="44"/>
      <w:szCs w:val="44"/>
      <w:lang w:val="en-US" w:eastAsia="zh-CN" w:bidi="ar-SA"/>
    </w:rPr>
  </w:style>
  <w:style w:type="character" w:customStyle="1" w:styleId="478">
    <w:name w:val="color_red1"/>
    <w:qFormat/>
    <w:uiPriority w:val="0"/>
    <w:rPr>
      <w:color w:val="FA0004"/>
    </w:rPr>
  </w:style>
  <w:style w:type="character" w:customStyle="1" w:styleId="479">
    <w:name w:val="批注文字 Char Char"/>
    <w:qFormat/>
    <w:uiPriority w:val="0"/>
    <w:rPr>
      <w:rFonts w:ascii="宋体" w:hAnsi="Times New Roman" w:eastAsia="宋体" w:cs="Times New Roman"/>
      <w:sz w:val="28"/>
      <w:szCs w:val="20"/>
    </w:rPr>
  </w:style>
  <w:style w:type="character" w:customStyle="1" w:styleId="480">
    <w:name w:val="正文文本缩进 Char1"/>
    <w:qFormat/>
    <w:uiPriority w:val="0"/>
    <w:rPr>
      <w:kern w:val="2"/>
      <w:sz w:val="21"/>
      <w:szCs w:val="24"/>
    </w:rPr>
  </w:style>
  <w:style w:type="character" w:customStyle="1" w:styleId="481">
    <w:name w:val="font1"/>
    <w:qFormat/>
    <w:uiPriority w:val="0"/>
    <w:rPr>
      <w:color w:val="000000"/>
      <w:sz w:val="18"/>
    </w:rPr>
  </w:style>
  <w:style w:type="character" w:customStyle="1" w:styleId="482">
    <w:name w:val="unnamed1"/>
    <w:qFormat/>
    <w:uiPriority w:val="0"/>
  </w:style>
  <w:style w:type="character" w:customStyle="1" w:styleId="483">
    <w:name w:val="正文文本 3 Char2"/>
    <w:qFormat/>
    <w:uiPriority w:val="0"/>
    <w:rPr>
      <w:rFonts w:ascii="Calibri" w:hAnsi="Calibri" w:eastAsia="宋体" w:cs="Times New Roman"/>
      <w:sz w:val="16"/>
      <w:szCs w:val="16"/>
    </w:rPr>
  </w:style>
  <w:style w:type="character" w:customStyle="1" w:styleId="484">
    <w:name w:val="批注框文本 Char1"/>
    <w:qFormat/>
    <w:uiPriority w:val="0"/>
    <w:rPr>
      <w:kern w:val="2"/>
      <w:sz w:val="18"/>
      <w:szCs w:val="18"/>
    </w:rPr>
  </w:style>
  <w:style w:type="character" w:customStyle="1" w:styleId="485">
    <w:name w:val="未命名11"/>
    <w:qFormat/>
    <w:uiPriority w:val="0"/>
    <w:rPr>
      <w:color w:val="77FFFF"/>
      <w:sz w:val="24"/>
    </w:rPr>
  </w:style>
  <w:style w:type="character" w:customStyle="1" w:styleId="486">
    <w:name w:val="Char Char121"/>
    <w:qFormat/>
    <w:uiPriority w:val="0"/>
    <w:rPr>
      <w:rFonts w:eastAsia="黑体"/>
      <w:kern w:val="2"/>
      <w:sz w:val="44"/>
      <w:szCs w:val="44"/>
      <w:lang w:val="en-US" w:eastAsia="zh-CN" w:bidi="ar-SA"/>
    </w:rPr>
  </w:style>
  <w:style w:type="character" w:customStyle="1" w:styleId="487">
    <w:name w:val="Char Char35"/>
    <w:qFormat/>
    <w:uiPriority w:val="0"/>
    <w:rPr>
      <w:rFonts w:ascii="仿宋_GB2312" w:eastAsia="仿宋_GB2312" w:cs="MingLiU"/>
      <w:b/>
      <w:sz w:val="24"/>
      <w:szCs w:val="28"/>
    </w:rPr>
  </w:style>
  <w:style w:type="character" w:customStyle="1" w:styleId="488">
    <w:name w:val="Char Char16"/>
    <w:qFormat/>
    <w:uiPriority w:val="0"/>
    <w:rPr>
      <w:rFonts w:eastAsia="宋体"/>
      <w:kern w:val="2"/>
      <w:sz w:val="21"/>
      <w:szCs w:val="24"/>
      <w:lang w:val="en-US" w:eastAsia="zh-CN" w:bidi="ar-SA"/>
    </w:rPr>
  </w:style>
  <w:style w:type="character" w:customStyle="1" w:styleId="489">
    <w:name w:val="标题 7 Char1"/>
    <w:qFormat/>
    <w:uiPriority w:val="0"/>
    <w:rPr>
      <w:rFonts w:eastAsia="宋体"/>
      <w:b/>
      <w:bCs/>
      <w:sz w:val="24"/>
      <w:szCs w:val="24"/>
      <w:lang w:val="en-US" w:eastAsia="zh-CN" w:bidi="ar-SA"/>
    </w:rPr>
  </w:style>
  <w:style w:type="character" w:customStyle="1" w:styleId="490">
    <w:name w:val="18"/>
    <w:qFormat/>
    <w:uiPriority w:val="0"/>
  </w:style>
  <w:style w:type="character" w:customStyle="1" w:styleId="491">
    <w:name w:val="脚注文本 Char1"/>
    <w:qFormat/>
    <w:uiPriority w:val="0"/>
    <w:rPr>
      <w:kern w:val="2"/>
      <w:sz w:val="18"/>
      <w:szCs w:val="18"/>
    </w:rPr>
  </w:style>
  <w:style w:type="character" w:customStyle="1" w:styleId="492">
    <w:name w:val="Char Char41"/>
    <w:qFormat/>
    <w:uiPriority w:val="0"/>
    <w:rPr>
      <w:rFonts w:ascii="宋体" w:hAnsi="Courier New" w:eastAsia="宋体"/>
      <w:kern w:val="2"/>
      <w:sz w:val="28"/>
      <w:szCs w:val="28"/>
      <w:lang w:val="en-US" w:eastAsia="zh-CN" w:bidi="ar-SA"/>
    </w:rPr>
  </w:style>
  <w:style w:type="character" w:customStyle="1" w:styleId="493">
    <w:name w:val="标题 Char4"/>
    <w:qFormat/>
    <w:uiPriority w:val="0"/>
    <w:rPr>
      <w:rFonts w:ascii="Calibri Light" w:hAnsi="Calibri Light" w:eastAsia="宋体" w:cs="Times New Roman"/>
      <w:b/>
      <w:bCs/>
      <w:sz w:val="32"/>
      <w:szCs w:val="32"/>
    </w:rPr>
  </w:style>
  <w:style w:type="character" w:customStyle="1" w:styleId="494">
    <w:name w:val="正文文本 Char2"/>
    <w:qFormat/>
    <w:uiPriority w:val="0"/>
    <w:rPr>
      <w:rFonts w:eastAsia="宋体"/>
      <w:kern w:val="2"/>
      <w:sz w:val="21"/>
      <w:szCs w:val="24"/>
      <w:lang w:val="en-US" w:eastAsia="zh-CN" w:bidi="ar-SA"/>
    </w:rPr>
  </w:style>
  <w:style w:type="character" w:customStyle="1" w:styleId="495">
    <w:name w:val="ss16"/>
    <w:qFormat/>
    <w:uiPriority w:val="0"/>
    <w:rPr>
      <w:rFonts w:hint="eastAsia" w:ascii="宋体" w:hAnsi="宋体" w:eastAsia="宋体"/>
      <w:color w:val="000000"/>
      <w:sz w:val="9"/>
      <w:szCs w:val="9"/>
    </w:rPr>
  </w:style>
  <w:style w:type="character" w:customStyle="1" w:styleId="496">
    <w:name w:val="标题4 Char Char"/>
    <w:link w:val="110"/>
    <w:semiHidden/>
    <w:qFormat/>
    <w:uiPriority w:val="0"/>
    <w:rPr>
      <w:rFonts w:ascii="Arial" w:hAnsi="Arial"/>
      <w:b/>
      <w:bCs/>
      <w:sz w:val="24"/>
      <w:szCs w:val="32"/>
    </w:rPr>
  </w:style>
  <w:style w:type="character" w:customStyle="1" w:styleId="497">
    <w:name w:val="Char Char5"/>
    <w:qFormat/>
    <w:uiPriority w:val="0"/>
    <w:rPr>
      <w:rFonts w:ascii="Arial" w:hAnsi="Arial" w:eastAsia="宋体"/>
      <w:b/>
      <w:smallCaps/>
      <w:kern w:val="28"/>
      <w:sz w:val="36"/>
      <w:lang w:val="en-US" w:eastAsia="en-US"/>
    </w:rPr>
  </w:style>
  <w:style w:type="character" w:customStyle="1" w:styleId="498">
    <w:name w:val="编号  ww Char1"/>
    <w:qFormat/>
    <w:uiPriority w:val="0"/>
    <w:rPr>
      <w:rFonts w:ascii="宋体" w:hAnsi="宋体" w:eastAsia="宋体" w:cs="宋体"/>
      <w:b/>
      <w:bCs/>
      <w:sz w:val="24"/>
      <w:szCs w:val="24"/>
      <w:lang w:val="en-US" w:eastAsia="zh-CN" w:bidi="ar-SA"/>
    </w:rPr>
  </w:style>
  <w:style w:type="character" w:customStyle="1" w:styleId="499">
    <w:name w:val="标题 2 Char Char Char2"/>
    <w:qFormat/>
    <w:uiPriority w:val="0"/>
    <w:rPr>
      <w:rFonts w:ascii="Cambria" w:hAnsi="Cambria" w:eastAsia="宋体"/>
      <w:b/>
      <w:bCs/>
      <w:kern w:val="2"/>
      <w:sz w:val="32"/>
      <w:szCs w:val="32"/>
      <w:lang w:val="en-US" w:eastAsia="zh-CN" w:bidi="ar-SA"/>
    </w:rPr>
  </w:style>
  <w:style w:type="character" w:customStyle="1" w:styleId="500">
    <w:name w:val="Char Char2"/>
    <w:qFormat/>
    <w:uiPriority w:val="0"/>
    <w:rPr>
      <w:rFonts w:ascii="宋体" w:hAnsi="Courier New" w:eastAsia="宋体"/>
      <w:color w:val="000000"/>
      <w:kern w:val="2"/>
      <w:sz w:val="21"/>
      <w:lang w:val="en-US" w:eastAsia="zh-CN" w:bidi="ar-SA"/>
    </w:rPr>
  </w:style>
  <w:style w:type="character" w:customStyle="1" w:styleId="501">
    <w:name w:val="HTML 预设格式 Char1"/>
    <w:qFormat/>
    <w:uiPriority w:val="0"/>
    <w:rPr>
      <w:rFonts w:ascii="宋体" w:hAnsi="宋体" w:cs="宋体"/>
      <w:color w:val="000000"/>
      <w:sz w:val="24"/>
      <w:szCs w:val="24"/>
    </w:rPr>
  </w:style>
  <w:style w:type="character" w:customStyle="1" w:styleId="502">
    <w:name w:val="普通文字 Char Char2"/>
    <w:qFormat/>
    <w:uiPriority w:val="0"/>
    <w:rPr>
      <w:rFonts w:ascii="宋体" w:hAnsi="Courier New" w:eastAsia="宋体" w:cs="Courier New"/>
      <w:kern w:val="2"/>
      <w:sz w:val="21"/>
      <w:szCs w:val="21"/>
      <w:lang w:val="en-US" w:eastAsia="zh-CN" w:bidi="ar-SA"/>
    </w:rPr>
  </w:style>
  <w:style w:type="character" w:customStyle="1" w:styleId="503">
    <w:name w:val="引用 Char1"/>
    <w:link w:val="111"/>
    <w:semiHidden/>
    <w:qFormat/>
    <w:uiPriority w:val="0"/>
    <w:rPr>
      <w:i/>
      <w:iCs/>
      <w:color w:val="000000"/>
      <w:kern w:val="2"/>
      <w:sz w:val="28"/>
    </w:rPr>
  </w:style>
  <w:style w:type="character" w:customStyle="1" w:styleId="504">
    <w:name w:val="Char Char8"/>
    <w:qFormat/>
    <w:uiPriority w:val="0"/>
    <w:rPr>
      <w:rFonts w:ascii="仿宋_GB2312" w:eastAsia="仿宋_GB2312"/>
      <w:b/>
      <w:sz w:val="28"/>
    </w:rPr>
  </w:style>
  <w:style w:type="character" w:customStyle="1" w:styleId="505">
    <w:name w:val="标题 5 Char2"/>
    <w:qFormat/>
    <w:uiPriority w:val="0"/>
    <w:rPr>
      <w:rFonts w:ascii="宋体" w:hAnsi="宋体" w:eastAsia="宋体" w:cs="宋体"/>
      <w:b/>
      <w:bCs/>
      <w:kern w:val="0"/>
      <w:sz w:val="20"/>
      <w:szCs w:val="20"/>
    </w:rPr>
  </w:style>
  <w:style w:type="character" w:customStyle="1" w:styleId="506">
    <w:name w:val="Char Char23"/>
    <w:qFormat/>
    <w:uiPriority w:val="0"/>
    <w:rPr>
      <w:rFonts w:eastAsia="宋体"/>
      <w:b/>
      <w:bCs/>
      <w:kern w:val="44"/>
      <w:sz w:val="32"/>
      <w:szCs w:val="44"/>
      <w:lang w:val="en-US" w:eastAsia="zh-CN" w:bidi="ar-SA"/>
    </w:rPr>
  </w:style>
  <w:style w:type="character" w:customStyle="1" w:styleId="507">
    <w:name w:val="正文文本 2 Char2"/>
    <w:qFormat/>
    <w:uiPriority w:val="0"/>
    <w:rPr>
      <w:rFonts w:ascii="Times New Roman" w:hAnsi="Times New Roman" w:eastAsia="宋体" w:cs="Times New Roman"/>
      <w:szCs w:val="24"/>
    </w:rPr>
  </w:style>
  <w:style w:type="character" w:customStyle="1" w:styleId="508">
    <w:name w:val="尾注文本 Char1"/>
    <w:qFormat/>
    <w:uiPriority w:val="0"/>
    <w:rPr>
      <w:kern w:val="2"/>
      <w:sz w:val="28"/>
    </w:rPr>
  </w:style>
  <w:style w:type="character" w:customStyle="1" w:styleId="509">
    <w:name w:val="Char Char112"/>
    <w:qFormat/>
    <w:uiPriority w:val="0"/>
    <w:rPr>
      <w:rFonts w:ascii="宋体"/>
      <w:kern w:val="2"/>
      <w:sz w:val="28"/>
    </w:rPr>
  </w:style>
  <w:style w:type="character" w:customStyle="1" w:styleId="510">
    <w:name w:val="日期 Char4"/>
    <w:qFormat/>
    <w:uiPriority w:val="0"/>
    <w:rPr>
      <w:szCs w:val="24"/>
    </w:rPr>
  </w:style>
  <w:style w:type="character" w:customStyle="1" w:styleId="511">
    <w:name w:val="批注主题 Char2"/>
    <w:qFormat/>
    <w:uiPriority w:val="0"/>
    <w:rPr>
      <w:rFonts w:eastAsia="宋体"/>
      <w:b/>
      <w:bCs/>
      <w:kern w:val="2"/>
      <w:sz w:val="21"/>
      <w:szCs w:val="24"/>
      <w:lang w:val="en-US" w:eastAsia="zh-CN" w:bidi="ar-SA"/>
    </w:rPr>
  </w:style>
  <w:style w:type="character" w:customStyle="1" w:styleId="512">
    <w:name w:val="normaltext1"/>
    <w:qFormat/>
    <w:uiPriority w:val="0"/>
    <w:rPr>
      <w:rFonts w:hint="default" w:ascii="ˎ̥" w:hAnsi="ˎ̥"/>
      <w:sz w:val="9"/>
      <w:szCs w:val="9"/>
    </w:rPr>
  </w:style>
  <w:style w:type="character" w:customStyle="1" w:styleId="513">
    <w:name w:val="标题 8 Char2"/>
    <w:qFormat/>
    <w:uiPriority w:val="0"/>
    <w:rPr>
      <w:rFonts w:ascii="Times New Roman" w:hAnsi="Arial" w:eastAsia="仿宋_GB2312" w:cs="Times New Roman"/>
      <w:kern w:val="0"/>
      <w:sz w:val="30"/>
      <w:szCs w:val="20"/>
    </w:rPr>
  </w:style>
  <w:style w:type="character" w:customStyle="1" w:styleId="514">
    <w:name w:val="标题 2 Char2"/>
    <w:qFormat/>
    <w:uiPriority w:val="0"/>
    <w:rPr>
      <w:rFonts w:ascii="Cambria" w:hAnsi="Cambria" w:eastAsia="宋体" w:cs="Times New Roman"/>
      <w:b/>
      <w:bCs/>
      <w:sz w:val="32"/>
      <w:szCs w:val="32"/>
    </w:rPr>
  </w:style>
  <w:style w:type="character" w:customStyle="1" w:styleId="515">
    <w:name w:val="ca-02"/>
    <w:qFormat/>
    <w:uiPriority w:val="0"/>
  </w:style>
  <w:style w:type="character" w:customStyle="1" w:styleId="516">
    <w:name w:val="批注主题 Char Char"/>
    <w:qFormat/>
    <w:uiPriority w:val="0"/>
    <w:rPr>
      <w:rFonts w:ascii="宋体" w:hAnsi="宋体" w:eastAsia="宋体"/>
      <w:kern w:val="2"/>
      <w:sz w:val="24"/>
      <w:szCs w:val="28"/>
      <w:lang w:val="en-US" w:eastAsia="zh-CN" w:bidi="ar-SA"/>
    </w:rPr>
  </w:style>
  <w:style w:type="character" w:customStyle="1" w:styleId="517">
    <w:name w:val="111"/>
    <w:qFormat/>
    <w:uiPriority w:val="0"/>
  </w:style>
  <w:style w:type="character" w:customStyle="1" w:styleId="518">
    <w:name w:val="小 Char"/>
    <w:qFormat/>
    <w:uiPriority w:val="0"/>
    <w:rPr>
      <w:rFonts w:ascii="宋体" w:hAnsi="Courier New" w:eastAsia="宋体"/>
      <w:kern w:val="2"/>
      <w:sz w:val="21"/>
      <w:lang w:val="en-US" w:eastAsia="zh-CN" w:bidi="ar-SA"/>
    </w:rPr>
  </w:style>
  <w:style w:type="character" w:customStyle="1" w:styleId="519">
    <w:name w:val="批注文字 Char3"/>
    <w:qFormat/>
    <w:uiPriority w:val="0"/>
    <w:rPr>
      <w:rFonts w:eastAsia="宋体"/>
      <w:kern w:val="2"/>
      <w:sz w:val="21"/>
      <w:szCs w:val="24"/>
      <w:lang w:val="en-US" w:eastAsia="zh-CN" w:bidi="ar-SA"/>
    </w:rPr>
  </w:style>
  <w:style w:type="character" w:customStyle="1" w:styleId="520">
    <w:name w:val="Char Char9"/>
    <w:qFormat/>
    <w:uiPriority w:val="0"/>
    <w:rPr>
      <w:rFonts w:ascii="仿宋_GB2312" w:eastAsia="仿宋_GB2312"/>
      <w:b/>
      <w:sz w:val="28"/>
    </w:rPr>
  </w:style>
  <w:style w:type="character" w:customStyle="1" w:styleId="521">
    <w:name w:val="不明显强调1"/>
    <w:qFormat/>
    <w:uiPriority w:val="0"/>
    <w:rPr>
      <w:i/>
      <w:iCs/>
      <w:color w:val="808080"/>
    </w:rPr>
  </w:style>
  <w:style w:type="character" w:customStyle="1" w:styleId="522">
    <w:name w:val="main_tdbg_7601"/>
    <w:qFormat/>
    <w:uiPriority w:val="0"/>
    <w:rPr>
      <w:sz w:val="14"/>
      <w:szCs w:val="14"/>
    </w:rPr>
  </w:style>
  <w:style w:type="character" w:customStyle="1" w:styleId="523">
    <w:name w:val="批注文字 Char1"/>
    <w:qFormat/>
    <w:uiPriority w:val="0"/>
    <w:rPr>
      <w:kern w:val="2"/>
      <w:sz w:val="21"/>
      <w:szCs w:val="24"/>
    </w:rPr>
  </w:style>
  <w:style w:type="character" w:customStyle="1" w:styleId="524">
    <w:name w:val="Table Text Char Char Char Char Char Char Char"/>
    <w:link w:val="112"/>
    <w:semiHidden/>
    <w:qFormat/>
    <w:uiPriority w:val="0"/>
    <w:rPr>
      <w:rFonts w:ascii="Arial" w:hAnsi="Arial"/>
      <w:kern w:val="2"/>
      <w:sz w:val="18"/>
      <w:lang w:val="en-US" w:eastAsia="zh-CN" w:bidi="ar-SA"/>
    </w:rPr>
  </w:style>
  <w:style w:type="character" w:customStyle="1" w:styleId="525">
    <w:name w:val="标题 3 Char2"/>
    <w:qFormat/>
    <w:uiPriority w:val="0"/>
    <w:rPr>
      <w:rFonts w:ascii="Times New Roman" w:hAnsi="Times New Roman" w:eastAsia="宋体" w:cs="Times New Roman"/>
      <w:b/>
      <w:bCs/>
      <w:sz w:val="32"/>
      <w:szCs w:val="32"/>
    </w:rPr>
  </w:style>
  <w:style w:type="character" w:customStyle="1" w:styleId="526">
    <w:name w:val="Section Char"/>
    <w:qFormat/>
    <w:uiPriority w:val="0"/>
    <w:rPr>
      <w:rFonts w:ascii="仿宋_GB2312" w:eastAsia="仿宋_GB2312" w:cs="MingLiU"/>
      <w:b/>
      <w:sz w:val="24"/>
      <w:szCs w:val="28"/>
      <w:lang w:val="en-US" w:eastAsia="zh-CN" w:bidi="ar-SA"/>
    </w:rPr>
  </w:style>
  <w:style w:type="character" w:customStyle="1" w:styleId="527">
    <w:name w:val="style161"/>
    <w:qFormat/>
    <w:uiPriority w:val="0"/>
    <w:rPr>
      <w:b/>
      <w:bCs/>
      <w:color w:val="333333"/>
    </w:rPr>
  </w:style>
  <w:style w:type="character" w:customStyle="1" w:styleId="528">
    <w:name w:val="正文文本缩进 3 Char1"/>
    <w:qFormat/>
    <w:uiPriority w:val="0"/>
    <w:rPr>
      <w:rFonts w:ascii="Times New Roman" w:hAnsi="Times New Roman"/>
      <w:kern w:val="2"/>
      <w:sz w:val="16"/>
    </w:rPr>
  </w:style>
  <w:style w:type="character" w:customStyle="1" w:styleId="529">
    <w:name w:val="Char Char30"/>
    <w:qFormat/>
    <w:uiPriority w:val="0"/>
    <w:rPr>
      <w:rFonts w:eastAsia="宋体"/>
      <w:b/>
      <w:bCs/>
      <w:kern w:val="2"/>
      <w:sz w:val="24"/>
      <w:szCs w:val="32"/>
      <w:lang w:val="en-US" w:eastAsia="zh-CN" w:bidi="ar-SA"/>
    </w:rPr>
  </w:style>
  <w:style w:type="character" w:customStyle="1" w:styleId="530">
    <w:name w:val="标题5 Char Char"/>
    <w:link w:val="113"/>
    <w:semiHidden/>
    <w:qFormat/>
    <w:uiPriority w:val="0"/>
    <w:rPr>
      <w:rFonts w:ascii="宋体"/>
      <w:sz w:val="21"/>
    </w:rPr>
  </w:style>
  <w:style w:type="character" w:customStyle="1" w:styleId="531">
    <w:name w:val="PIM 6 Char"/>
    <w:qFormat/>
    <w:uiPriority w:val="0"/>
    <w:rPr>
      <w:rFonts w:ascii="Arial" w:hAnsi="Arial" w:eastAsia="黑体"/>
      <w:b/>
      <w:bCs/>
      <w:kern w:val="2"/>
      <w:sz w:val="24"/>
      <w:szCs w:val="24"/>
      <w:lang w:val="en-US" w:eastAsia="zh-CN" w:bidi="ar-SA"/>
    </w:rPr>
  </w:style>
  <w:style w:type="character" w:customStyle="1" w:styleId="532">
    <w:name w:val="正文文本缩进 3 Char4"/>
    <w:qFormat/>
    <w:uiPriority w:val="0"/>
    <w:rPr>
      <w:rFonts w:ascii="Times New Roman" w:hAnsi="Times New Roman" w:eastAsia="宋体" w:cs="Times New Roman"/>
      <w:sz w:val="16"/>
      <w:szCs w:val="16"/>
    </w:rPr>
  </w:style>
  <w:style w:type="character" w:customStyle="1" w:styleId="533">
    <w:name w:val="引用 Char2"/>
    <w:qFormat/>
    <w:uiPriority w:val="0"/>
    <w:rPr>
      <w:i/>
      <w:iCs/>
      <w:color w:val="404040"/>
      <w:kern w:val="2"/>
      <w:sz w:val="28"/>
    </w:rPr>
  </w:style>
  <w:style w:type="character" w:customStyle="1" w:styleId="534">
    <w:name w:val="标题 1 Char Char"/>
    <w:qFormat/>
    <w:uiPriority w:val="0"/>
    <w:rPr>
      <w:rFonts w:ascii="Times New Roman" w:hAnsi="Times New Roman" w:eastAsia="宋体"/>
      <w:b/>
      <w:bCs/>
      <w:kern w:val="44"/>
      <w:sz w:val="44"/>
      <w:szCs w:val="44"/>
    </w:rPr>
  </w:style>
  <w:style w:type="character" w:customStyle="1" w:styleId="535">
    <w:name w:val="正文 + 三号 Char Char"/>
    <w:qFormat/>
    <w:uiPriority w:val="0"/>
    <w:rPr>
      <w:rFonts w:eastAsia="宋体"/>
      <w:kern w:val="2"/>
      <w:sz w:val="21"/>
      <w:lang w:val="en-US" w:eastAsia="zh-CN"/>
    </w:rPr>
  </w:style>
  <w:style w:type="character" w:customStyle="1" w:styleId="536">
    <w:name w:val="style121"/>
    <w:qFormat/>
    <w:uiPriority w:val="0"/>
    <w:rPr>
      <w:rFonts w:hint="eastAsia" w:ascii="宋体" w:hAnsi="宋体" w:eastAsia="宋体"/>
      <w:sz w:val="18"/>
      <w:szCs w:val="18"/>
    </w:rPr>
  </w:style>
  <w:style w:type="character" w:customStyle="1" w:styleId="537">
    <w:name w:val="Char Char111"/>
    <w:qFormat/>
    <w:uiPriority w:val="0"/>
    <w:rPr>
      <w:rFonts w:eastAsia="黑体"/>
      <w:kern w:val="2"/>
      <w:sz w:val="44"/>
      <w:lang w:val="en-US" w:eastAsia="zh-CN"/>
    </w:rPr>
  </w:style>
  <w:style w:type="character" w:customStyle="1" w:styleId="538">
    <w:name w:val="title_emph1"/>
    <w:qFormat/>
    <w:uiPriority w:val="0"/>
    <w:rPr>
      <w:rFonts w:hint="default" w:ascii="Arial" w:hAnsi="Arial"/>
      <w:b/>
      <w:sz w:val="20"/>
    </w:rPr>
  </w:style>
  <w:style w:type="character" w:customStyle="1" w:styleId="539">
    <w:name w:val="纯文本 Char2"/>
    <w:qFormat/>
    <w:uiPriority w:val="0"/>
    <w:rPr>
      <w:rFonts w:ascii="宋体" w:hAnsi="Courier New" w:eastAsia="宋体" w:cs="Courier New"/>
      <w:szCs w:val="21"/>
    </w:rPr>
  </w:style>
  <w:style w:type="character" w:customStyle="1" w:styleId="540">
    <w:name w:val="文档结构图 Char1"/>
    <w:qFormat/>
    <w:uiPriority w:val="0"/>
    <w:rPr>
      <w:rFonts w:ascii="宋体"/>
      <w:kern w:val="2"/>
      <w:sz w:val="18"/>
      <w:szCs w:val="18"/>
    </w:rPr>
  </w:style>
  <w:style w:type="character" w:customStyle="1" w:styleId="541">
    <w:name w:val="编号  ww Char"/>
    <w:qFormat/>
    <w:uiPriority w:val="0"/>
    <w:rPr>
      <w:rFonts w:ascii="仿宋_GB2312" w:eastAsia="仿宋_GB2312" w:cs="MingLiU"/>
      <w:b/>
      <w:sz w:val="24"/>
      <w:szCs w:val="28"/>
      <w:lang w:val="en-US" w:eastAsia="zh-CN" w:bidi="ar-SA"/>
    </w:rPr>
  </w:style>
  <w:style w:type="character" w:customStyle="1" w:styleId="542">
    <w:name w:val="Char Char32"/>
    <w:qFormat/>
    <w:uiPriority w:val="0"/>
    <w:rPr>
      <w:rFonts w:eastAsia="宋体"/>
      <w:b/>
      <w:bCs/>
      <w:kern w:val="44"/>
      <w:sz w:val="32"/>
      <w:szCs w:val="44"/>
      <w:lang w:val="en-US" w:eastAsia="zh-CN" w:bidi="ar-SA"/>
    </w:rPr>
  </w:style>
  <w:style w:type="character" w:customStyle="1" w:styleId="543">
    <w:name w:val="副标题 Char3"/>
    <w:qFormat/>
    <w:uiPriority w:val="0"/>
    <w:rPr>
      <w:szCs w:val="24"/>
      <w:u w:val="single"/>
      <w:lang w:eastAsia="en-US"/>
    </w:rPr>
  </w:style>
  <w:style w:type="character" w:customStyle="1" w:styleId="544">
    <w:name w:val="Char Char31"/>
    <w:qFormat/>
    <w:uiPriority w:val="0"/>
    <w:rPr>
      <w:rFonts w:ascii="Arial" w:hAnsi="Arial" w:eastAsia="黑体"/>
      <w:b/>
      <w:bCs/>
      <w:kern w:val="2"/>
      <w:sz w:val="32"/>
      <w:szCs w:val="32"/>
      <w:lang w:val="en-US" w:eastAsia="zh-CN" w:bidi="ar-SA"/>
    </w:rPr>
  </w:style>
  <w:style w:type="character" w:customStyle="1" w:styleId="545">
    <w:name w:val="Char Char37"/>
    <w:qFormat/>
    <w:uiPriority w:val="0"/>
    <w:rPr>
      <w:kern w:val="2"/>
      <w:sz w:val="18"/>
    </w:rPr>
  </w:style>
  <w:style w:type="character" w:customStyle="1" w:styleId="546">
    <w:name w:val="正文文本缩进 3 Char2"/>
    <w:qFormat/>
    <w:uiPriority w:val="0"/>
    <w:rPr>
      <w:rFonts w:ascii="Calibri" w:hAnsi="Calibri" w:eastAsia="宋体" w:cs="Times New Roman"/>
      <w:sz w:val="16"/>
      <w:szCs w:val="16"/>
    </w:rPr>
  </w:style>
  <w:style w:type="character" w:customStyle="1" w:styleId="547">
    <w:name w:val="Section Char1"/>
    <w:qFormat/>
    <w:uiPriority w:val="0"/>
    <w:rPr>
      <w:rFonts w:eastAsia="宋体"/>
      <w:b/>
      <w:bCs/>
      <w:kern w:val="2"/>
      <w:sz w:val="32"/>
      <w:szCs w:val="32"/>
      <w:lang w:val="en-US" w:eastAsia="zh-CN" w:bidi="ar-SA"/>
    </w:rPr>
  </w:style>
  <w:style w:type="character" w:customStyle="1" w:styleId="548">
    <w:name w:val="批注框文本 Char5"/>
    <w:qFormat/>
    <w:uiPriority w:val="0"/>
    <w:rPr>
      <w:rFonts w:ascii="Times New Roman" w:hAnsi="Times New Roman" w:eastAsia="宋体" w:cs="Times New Roman"/>
      <w:sz w:val="18"/>
      <w:szCs w:val="18"/>
    </w:rPr>
  </w:style>
  <w:style w:type="character" w:customStyle="1" w:styleId="549">
    <w:name w:val="引用 Char3"/>
    <w:qFormat/>
    <w:uiPriority w:val="0"/>
    <w:rPr>
      <w:rFonts w:ascii="Calibri" w:hAnsi="Calibri" w:eastAsia="宋体" w:cs="Times New Roman"/>
      <w:i/>
      <w:iCs/>
      <w:color w:val="000000"/>
      <w:szCs w:val="24"/>
    </w:rPr>
  </w:style>
  <w:style w:type="character" w:customStyle="1" w:styleId="550">
    <w:name w:val="Char Char15"/>
    <w:qFormat/>
    <w:uiPriority w:val="0"/>
    <w:rPr>
      <w:rFonts w:ascii="宋体" w:hAnsi="Courier New" w:eastAsia="宋体" w:cs="Courier New"/>
      <w:kern w:val="2"/>
      <w:sz w:val="21"/>
      <w:szCs w:val="21"/>
      <w:lang w:val="en-US" w:eastAsia="zh-CN" w:bidi="ar-SA"/>
    </w:rPr>
  </w:style>
  <w:style w:type="character" w:customStyle="1" w:styleId="551">
    <w:name w:val="Blockquote Char Char"/>
    <w:link w:val="114"/>
    <w:semiHidden/>
    <w:qFormat/>
    <w:uiPriority w:val="0"/>
    <w:rPr>
      <w:sz w:val="24"/>
    </w:rPr>
  </w:style>
  <w:style w:type="character" w:customStyle="1" w:styleId="552">
    <w:name w:val="明显引用 Char4"/>
    <w:qFormat/>
    <w:uiPriority w:val="0"/>
    <w:rPr>
      <w:b/>
      <w:bCs/>
      <w:i/>
      <w:iCs/>
      <w:color w:val="4F81BD"/>
    </w:rPr>
  </w:style>
  <w:style w:type="character" w:customStyle="1" w:styleId="553">
    <w:name w:val="Char Char25"/>
    <w:qFormat/>
    <w:uiPriority w:val="0"/>
    <w:rPr>
      <w:b/>
      <w:bCs/>
      <w:kern w:val="2"/>
      <w:sz w:val="32"/>
      <w:szCs w:val="32"/>
    </w:rPr>
  </w:style>
  <w:style w:type="character" w:customStyle="1" w:styleId="554">
    <w:name w:val="font161"/>
    <w:qFormat/>
    <w:uiPriority w:val="0"/>
    <w:rPr>
      <w:b/>
      <w:bCs/>
      <w:sz w:val="32"/>
      <w:szCs w:val="32"/>
    </w:rPr>
  </w:style>
  <w:style w:type="character" w:customStyle="1" w:styleId="555">
    <w:name w:val="日期 Char3"/>
    <w:qFormat/>
    <w:uiPriority w:val="0"/>
    <w:rPr>
      <w:rFonts w:ascii="Calibri" w:hAnsi="Calibri" w:eastAsia="宋体" w:cs="Times New Roman"/>
      <w:szCs w:val="24"/>
    </w:rPr>
  </w:style>
  <w:style w:type="character" w:customStyle="1" w:styleId="556">
    <w:name w:val="引用 Char"/>
    <w:link w:val="85"/>
    <w:semiHidden/>
    <w:qFormat/>
    <w:uiPriority w:val="0"/>
    <w:rPr>
      <w:i/>
      <w:iCs/>
      <w:color w:val="000000"/>
      <w:kern w:val="2"/>
      <w:sz w:val="21"/>
      <w:szCs w:val="22"/>
    </w:rPr>
  </w:style>
  <w:style w:type="character" w:customStyle="1" w:styleId="557">
    <w:name w:val="页眉 Char1"/>
    <w:qFormat/>
    <w:uiPriority w:val="0"/>
    <w:rPr>
      <w:kern w:val="2"/>
      <w:sz w:val="18"/>
      <w:szCs w:val="18"/>
    </w:rPr>
  </w:style>
  <w:style w:type="character" w:customStyle="1" w:styleId="558">
    <w:name w:val="样式 宋体"/>
    <w:qFormat/>
    <w:uiPriority w:val="0"/>
    <w:rPr>
      <w:rFonts w:ascii="宋体" w:hAnsi="宋体" w:eastAsia="宋体"/>
      <w:sz w:val="28"/>
    </w:rPr>
  </w:style>
  <w:style w:type="character" w:customStyle="1" w:styleId="559">
    <w:name w:val="脚注文本 Char2"/>
    <w:qFormat/>
    <w:uiPriority w:val="0"/>
    <w:rPr>
      <w:rFonts w:ascii="Calibri" w:hAnsi="Calibri" w:eastAsia="宋体" w:cs="Times New Roman"/>
      <w:sz w:val="18"/>
      <w:szCs w:val="18"/>
    </w:rPr>
  </w:style>
  <w:style w:type="character" w:customStyle="1" w:styleId="560">
    <w:name w:val="标题 3 Char1"/>
    <w:qFormat/>
    <w:uiPriority w:val="0"/>
    <w:rPr>
      <w:rFonts w:eastAsia="宋体"/>
      <w:b/>
      <w:bCs/>
      <w:kern w:val="2"/>
      <w:sz w:val="32"/>
      <w:szCs w:val="32"/>
      <w:lang w:val="en-US" w:eastAsia="zh-CN" w:bidi="ar-SA"/>
    </w:rPr>
  </w:style>
  <w:style w:type="character" w:customStyle="1" w:styleId="561">
    <w:name w:val="Char Char17"/>
    <w:qFormat/>
    <w:uiPriority w:val="0"/>
    <w:rPr>
      <w:rFonts w:eastAsia="宋体"/>
      <w:b/>
      <w:bCs/>
      <w:kern w:val="2"/>
      <w:sz w:val="21"/>
      <w:szCs w:val="24"/>
      <w:lang w:val="en-US" w:eastAsia="zh-CN" w:bidi="ar-SA"/>
    </w:rPr>
  </w:style>
  <w:style w:type="character" w:customStyle="1" w:styleId="562">
    <w:name w:val="Char Char6"/>
    <w:qFormat/>
    <w:uiPriority w:val="0"/>
    <w:rPr>
      <w:rFonts w:ascii="仿宋_GB2312" w:eastAsia="仿宋_GB2312"/>
      <w:kern w:val="2"/>
      <w:sz w:val="32"/>
    </w:rPr>
  </w:style>
  <w:style w:type="character" w:customStyle="1" w:styleId="563">
    <w:name w:val="书籍标题11"/>
    <w:qFormat/>
    <w:uiPriority w:val="0"/>
    <w:rPr>
      <w:b/>
      <w:bCs/>
      <w:smallCaps/>
      <w:spacing w:val="5"/>
    </w:rPr>
  </w:style>
  <w:style w:type="character" w:customStyle="1" w:styleId="564">
    <w:name w:val="Char Char13"/>
    <w:qFormat/>
    <w:uiPriority w:val="0"/>
    <w:rPr>
      <w:kern w:val="2"/>
      <w:sz w:val="18"/>
      <w:szCs w:val="18"/>
    </w:rPr>
  </w:style>
  <w:style w:type="character" w:customStyle="1" w:styleId="565">
    <w:name w:val="Char Char27"/>
    <w:qFormat/>
    <w:uiPriority w:val="0"/>
    <w:rPr>
      <w:rFonts w:eastAsia="宋体"/>
      <w:kern w:val="2"/>
      <w:sz w:val="18"/>
      <w:lang w:val="en-US" w:eastAsia="zh-CN"/>
    </w:rPr>
  </w:style>
  <w:style w:type="character" w:customStyle="1" w:styleId="566">
    <w:name w:val="批注框文本 Char3"/>
    <w:qFormat/>
    <w:uiPriority w:val="0"/>
    <w:rPr>
      <w:rFonts w:ascii="Calibri" w:hAnsi="Calibri" w:eastAsia="宋体" w:cs="Times New Roman"/>
      <w:sz w:val="18"/>
      <w:szCs w:val="18"/>
    </w:rPr>
  </w:style>
  <w:style w:type="character" w:customStyle="1" w:styleId="567">
    <w:name w:val="intel3"/>
    <w:qFormat/>
    <w:uiPriority w:val="0"/>
  </w:style>
  <w:style w:type="character" w:customStyle="1" w:styleId="568">
    <w:name w:val="标题 1 Char1"/>
    <w:qFormat/>
    <w:uiPriority w:val="0"/>
    <w:rPr>
      <w:rFonts w:eastAsia="宋体"/>
      <w:b/>
      <w:bCs/>
      <w:kern w:val="44"/>
      <w:sz w:val="44"/>
      <w:szCs w:val="44"/>
      <w:lang w:val="en-US" w:eastAsia="zh-CN" w:bidi="ar-SA"/>
    </w:rPr>
  </w:style>
  <w:style w:type="character" w:customStyle="1" w:styleId="569">
    <w:name w:val="正文文本缩进 Char4"/>
    <w:qFormat/>
    <w:uiPriority w:val="0"/>
    <w:rPr>
      <w:rFonts w:ascii="Times New Roman" w:hAnsi="Times New Roman" w:eastAsia="宋体" w:cs="Times New Roman"/>
      <w:szCs w:val="24"/>
    </w:rPr>
  </w:style>
  <w:style w:type="character" w:customStyle="1" w:styleId="570">
    <w:name w:val="纯文本 Char1"/>
    <w:qFormat/>
    <w:uiPriority w:val="0"/>
    <w:rPr>
      <w:rFonts w:ascii="宋体" w:hAnsi="Courier New" w:cs="Courier New"/>
      <w:kern w:val="2"/>
      <w:sz w:val="21"/>
      <w:szCs w:val="21"/>
    </w:rPr>
  </w:style>
  <w:style w:type="character" w:customStyle="1" w:styleId="571">
    <w:name w:val="正文文本缩进 2 Char1"/>
    <w:qFormat/>
    <w:uiPriority w:val="0"/>
    <w:rPr>
      <w:rFonts w:hint="default" w:ascii="Times New Roman" w:hAnsi="Times New Roman" w:cs="Times New Roman"/>
      <w:sz w:val="24"/>
      <w:szCs w:val="24"/>
    </w:rPr>
  </w:style>
  <w:style w:type="character" w:customStyle="1" w:styleId="572">
    <w:name w:val="content-white1"/>
    <w:qFormat/>
    <w:uiPriority w:val="0"/>
    <w:rPr>
      <w:color w:val="auto"/>
      <w:sz w:val="18"/>
      <w:u w:val="none"/>
    </w:rPr>
  </w:style>
  <w:style w:type="character" w:customStyle="1" w:styleId="573">
    <w:name w:val="H1 Char"/>
    <w:qFormat/>
    <w:uiPriority w:val="0"/>
    <w:rPr>
      <w:rFonts w:eastAsia="宋体"/>
      <w:b/>
      <w:bCs/>
      <w:kern w:val="44"/>
      <w:sz w:val="44"/>
      <w:szCs w:val="44"/>
      <w:lang w:val="en-US" w:eastAsia="zh-CN" w:bidi="ar-SA"/>
    </w:rPr>
  </w:style>
  <w:style w:type="character" w:customStyle="1" w:styleId="574">
    <w:name w:val="手改 Char Char"/>
    <w:qFormat/>
    <w:uiPriority w:val="0"/>
    <w:rPr>
      <w:kern w:val="2"/>
      <w:sz w:val="21"/>
      <w:szCs w:val="24"/>
    </w:rPr>
  </w:style>
  <w:style w:type="character" w:customStyle="1" w:styleId="575">
    <w:name w:val="14t1"/>
    <w:qFormat/>
    <w:uiPriority w:val="0"/>
    <w:rPr>
      <w:rFonts w:hint="eastAsia" w:ascii="宋体" w:hAnsi="宋体" w:eastAsia="宋体"/>
      <w:sz w:val="11"/>
      <w:szCs w:val="11"/>
    </w:rPr>
  </w:style>
  <w:style w:type="character" w:customStyle="1" w:styleId="576">
    <w:name w:val="标题 9 Char1"/>
    <w:qFormat/>
    <w:uiPriority w:val="0"/>
    <w:rPr>
      <w:rFonts w:ascii="Arial" w:hAnsi="Arial" w:eastAsia="黑体"/>
      <w:sz w:val="21"/>
      <w:szCs w:val="21"/>
      <w:lang w:val="en-US" w:eastAsia="zh-CN" w:bidi="ar-SA"/>
    </w:rPr>
  </w:style>
  <w:style w:type="character" w:customStyle="1" w:styleId="577">
    <w:name w:val="Char Char14"/>
    <w:qFormat/>
    <w:uiPriority w:val="0"/>
    <w:rPr>
      <w:kern w:val="2"/>
      <w:sz w:val="18"/>
      <w:szCs w:val="18"/>
    </w:rPr>
  </w:style>
  <w:style w:type="character" w:customStyle="1" w:styleId="578">
    <w:name w:val="正文文字4 Char"/>
    <w:qFormat/>
    <w:uiPriority w:val="0"/>
    <w:rPr>
      <w:rFonts w:eastAsia="宋体"/>
      <w:kern w:val="2"/>
      <w:sz w:val="21"/>
      <w:szCs w:val="24"/>
      <w:lang w:val="en-US" w:eastAsia="zh-CN" w:bidi="ar-SA"/>
    </w:rPr>
  </w:style>
  <w:style w:type="character" w:customStyle="1" w:styleId="579">
    <w:name w:val="ca-141"/>
    <w:qFormat/>
    <w:uiPriority w:val="0"/>
    <w:rPr>
      <w:rFonts w:hint="eastAsia" w:ascii="仿宋_GB2312" w:eastAsia="仿宋_GB2312"/>
      <w:sz w:val="21"/>
      <w:szCs w:val="21"/>
    </w:rPr>
  </w:style>
  <w:style w:type="character" w:customStyle="1" w:styleId="580">
    <w:name w:val="top-det1"/>
    <w:qFormat/>
    <w:uiPriority w:val="0"/>
    <w:rPr>
      <w:b/>
      <w:color w:val="000000"/>
    </w:rPr>
  </w:style>
  <w:style w:type="character" w:customStyle="1" w:styleId="581">
    <w:name w:val="明显强调1"/>
    <w:qFormat/>
    <w:uiPriority w:val="0"/>
    <w:rPr>
      <w:b/>
      <w:bCs/>
      <w:i/>
      <w:iCs/>
      <w:color w:val="4F81BD"/>
    </w:rPr>
  </w:style>
  <w:style w:type="character" w:customStyle="1" w:styleId="582">
    <w:name w:val="明显引用 Char"/>
    <w:link w:val="115"/>
    <w:semiHidden/>
    <w:qFormat/>
    <w:uiPriority w:val="0"/>
    <w:rPr>
      <w:b/>
      <w:bCs/>
      <w:i/>
      <w:iCs/>
      <w:color w:val="4F81BD"/>
      <w:kern w:val="2"/>
      <w:sz w:val="21"/>
      <w:szCs w:val="22"/>
    </w:rPr>
  </w:style>
  <w:style w:type="character" w:customStyle="1" w:styleId="583">
    <w:name w:val="H2 Char"/>
    <w:qFormat/>
    <w:uiPriority w:val="0"/>
    <w:rPr>
      <w:rFonts w:ascii="Arial" w:hAnsi="Arial" w:eastAsia="宋体"/>
      <w:kern w:val="2"/>
      <w:sz w:val="28"/>
      <w:lang w:val="en-US" w:eastAsia="zh-CN"/>
    </w:rPr>
  </w:style>
  <w:style w:type="character" w:customStyle="1" w:styleId="584">
    <w:name w:val="l1"/>
    <w:qFormat/>
    <w:uiPriority w:val="0"/>
  </w:style>
  <w:style w:type="character" w:customStyle="1" w:styleId="585">
    <w:name w:val="明显引用 Char1"/>
    <w:link w:val="116"/>
    <w:semiHidden/>
    <w:qFormat/>
    <w:uiPriority w:val="0"/>
    <w:rPr>
      <w:b/>
      <w:bCs/>
      <w:i/>
      <w:iCs/>
      <w:color w:val="4F81BD"/>
      <w:kern w:val="2"/>
      <w:sz w:val="28"/>
    </w:rPr>
  </w:style>
  <w:style w:type="character" w:customStyle="1" w:styleId="586">
    <w:name w:val="Char Char51"/>
    <w:qFormat/>
    <w:uiPriority w:val="0"/>
    <w:rPr>
      <w:kern w:val="2"/>
      <w:sz w:val="18"/>
    </w:rPr>
  </w:style>
  <w:style w:type="character" w:customStyle="1" w:styleId="587">
    <w:name w:val="Char Char26"/>
    <w:qFormat/>
    <w:uiPriority w:val="0"/>
    <w:rPr>
      <w:kern w:val="2"/>
      <w:sz w:val="18"/>
    </w:rPr>
  </w:style>
  <w:style w:type="character" w:customStyle="1" w:styleId="588">
    <w:name w:val="正文文本 2 Char1"/>
    <w:qFormat/>
    <w:uiPriority w:val="0"/>
    <w:rPr>
      <w:kern w:val="2"/>
      <w:sz w:val="21"/>
      <w:szCs w:val="24"/>
    </w:rPr>
  </w:style>
  <w:style w:type="character" w:customStyle="1" w:styleId="589">
    <w:name w:val="subhead1"/>
    <w:qFormat/>
    <w:uiPriority w:val="0"/>
    <w:rPr>
      <w:rFonts w:hint="default" w:ascii="Tahoma" w:hAnsi="Tahoma" w:cs="Tahoma"/>
      <w:color w:val="000000"/>
      <w:sz w:val="18"/>
      <w:szCs w:val="18"/>
      <w:u w:val="none"/>
      <w:shd w:val="clear" w:color="auto" w:fill="FFFFFF"/>
    </w:rPr>
  </w:style>
  <w:style w:type="character" w:customStyle="1" w:styleId="590">
    <w:name w:val="明显强调11"/>
    <w:qFormat/>
    <w:uiPriority w:val="0"/>
    <w:rPr>
      <w:b/>
      <w:bCs/>
      <w:i/>
      <w:iCs/>
      <w:color w:val="4F81BD"/>
    </w:rPr>
  </w:style>
  <w:style w:type="character" w:customStyle="1" w:styleId="591">
    <w:name w:val="批注文字 Char2"/>
    <w:qFormat/>
    <w:uiPriority w:val="0"/>
    <w:rPr>
      <w:rFonts w:ascii="Calibri" w:hAnsi="Calibri" w:eastAsia="宋体" w:cs="Times New Roman"/>
      <w:szCs w:val="24"/>
    </w:rPr>
  </w:style>
  <w:style w:type="character" w:customStyle="1" w:styleId="592">
    <w:name w:val="批注框文本 Char4"/>
    <w:qFormat/>
    <w:uiPriority w:val="0"/>
    <w:rPr>
      <w:sz w:val="18"/>
      <w:szCs w:val="18"/>
    </w:rPr>
  </w:style>
  <w:style w:type="character" w:customStyle="1" w:styleId="593">
    <w:name w:val="不明显强调11"/>
    <w:qFormat/>
    <w:uiPriority w:val="0"/>
    <w:rPr>
      <w:i/>
      <w:iCs/>
      <w:color w:val="808080"/>
    </w:rPr>
  </w:style>
  <w:style w:type="character" w:customStyle="1" w:styleId="594">
    <w:name w:val="纯文本 Char3"/>
    <w:qFormat/>
    <w:uiPriority w:val="0"/>
    <w:rPr>
      <w:rFonts w:ascii="宋体" w:hAnsi="Courier New" w:cs="Courier New"/>
      <w:szCs w:val="21"/>
    </w:rPr>
  </w:style>
  <w:style w:type="character" w:customStyle="1" w:styleId="595">
    <w:name w:val="标题 Char3"/>
    <w:qFormat/>
    <w:uiPriority w:val="0"/>
    <w:rPr>
      <w:szCs w:val="24"/>
      <w:u w:val="single"/>
      <w:lang w:eastAsia="en-US"/>
    </w:rPr>
  </w:style>
  <w:style w:type="character" w:customStyle="1" w:styleId="596">
    <w:name w:val="标题 6 Char2"/>
    <w:qFormat/>
    <w:uiPriority w:val="0"/>
    <w:rPr>
      <w:rFonts w:ascii="Times New Roman" w:hAnsi="Arial" w:eastAsia="仿宋_GB2312" w:cs="Times New Roman"/>
      <w:kern w:val="0"/>
      <w:sz w:val="30"/>
      <w:szCs w:val="20"/>
    </w:rPr>
  </w:style>
  <w:style w:type="character" w:customStyle="1" w:styleId="597">
    <w:name w:val="标题 4 Char2"/>
    <w:qFormat/>
    <w:uiPriority w:val="0"/>
    <w:rPr>
      <w:rFonts w:ascii="宋体" w:hAnsi="宋体" w:eastAsia="宋体" w:cs="宋体"/>
      <w:b/>
      <w:bCs/>
      <w:kern w:val="0"/>
      <w:sz w:val="24"/>
      <w:szCs w:val="24"/>
    </w:rPr>
  </w:style>
  <w:style w:type="character" w:customStyle="1" w:styleId="598">
    <w:name w:val="HTML 预设格式 Char2"/>
    <w:qFormat/>
    <w:uiPriority w:val="0"/>
    <w:rPr>
      <w:rFonts w:ascii="Courier New" w:hAnsi="Courier New" w:eastAsia="宋体" w:cs="Courier New"/>
      <w:sz w:val="20"/>
      <w:szCs w:val="20"/>
    </w:rPr>
  </w:style>
  <w:style w:type="character" w:customStyle="1" w:styleId="599">
    <w:name w:val="批注主题 Char4"/>
    <w:qFormat/>
    <w:uiPriority w:val="0"/>
    <w:rPr>
      <w:b/>
      <w:bCs/>
      <w:szCs w:val="24"/>
    </w:rPr>
  </w:style>
  <w:style w:type="character" w:customStyle="1" w:styleId="600">
    <w:name w:val="正文文本缩进 2 Char2"/>
    <w:qFormat/>
    <w:uiPriority w:val="0"/>
    <w:rPr>
      <w:rFonts w:ascii="Calibri" w:hAnsi="Calibri" w:eastAsia="宋体" w:cs="Times New Roman"/>
      <w:szCs w:val="24"/>
    </w:rPr>
  </w:style>
  <w:style w:type="character" w:customStyle="1" w:styleId="601">
    <w:name w:val="Char Char34"/>
    <w:qFormat/>
    <w:uiPriority w:val="0"/>
    <w:rPr>
      <w:rFonts w:ascii="仿宋_GB2312" w:eastAsia="仿宋_GB2312" w:cs="MingLiU"/>
      <w:b/>
      <w:spacing w:val="1"/>
      <w:w w:val="99"/>
      <w:sz w:val="28"/>
      <w:szCs w:val="32"/>
    </w:rPr>
  </w:style>
  <w:style w:type="character" w:customStyle="1" w:styleId="602">
    <w:name w:val="s3"/>
    <w:qFormat/>
    <w:uiPriority w:val="0"/>
  </w:style>
  <w:style w:type="character" w:customStyle="1" w:styleId="603">
    <w:name w:val="文档结构图 Char4"/>
    <w:qFormat/>
    <w:uiPriority w:val="0"/>
    <w:rPr>
      <w:szCs w:val="24"/>
      <w:shd w:val="clear" w:color="auto" w:fill="000080"/>
    </w:rPr>
  </w:style>
  <w:style w:type="character" w:customStyle="1" w:styleId="604">
    <w:name w:val="尾注文本 Char2"/>
    <w:qFormat/>
    <w:uiPriority w:val="0"/>
    <w:rPr>
      <w:rFonts w:ascii="Calibri" w:hAnsi="Calibri" w:eastAsia="宋体" w:cs="Times New Roman"/>
      <w:szCs w:val="24"/>
    </w:rPr>
  </w:style>
  <w:style w:type="character" w:customStyle="1" w:styleId="605">
    <w:name w:val="ITTHEADER1 Char"/>
    <w:qFormat/>
    <w:uiPriority w:val="0"/>
    <w:rPr>
      <w:rFonts w:eastAsia="黑体"/>
      <w:kern w:val="2"/>
      <w:sz w:val="44"/>
      <w:szCs w:val="44"/>
      <w:lang w:val="en-US" w:eastAsia="zh-CN" w:bidi="ar-SA"/>
    </w:rPr>
  </w:style>
  <w:style w:type="character" w:customStyle="1" w:styleId="606">
    <w:name w:val="引用 Char4"/>
    <w:qFormat/>
    <w:uiPriority w:val="0"/>
    <w:rPr>
      <w:i/>
      <w:iCs/>
      <w:color w:val="000000"/>
    </w:rPr>
  </w:style>
  <w:style w:type="character" w:customStyle="1" w:styleId="607">
    <w:name w:val="副标题 Char2"/>
    <w:qFormat/>
    <w:uiPriority w:val="0"/>
    <w:rPr>
      <w:rFonts w:ascii="Cambria" w:hAnsi="Cambria" w:eastAsia="宋体" w:cs="Times New Roman"/>
      <w:b/>
      <w:bCs/>
      <w:kern w:val="28"/>
      <w:sz w:val="32"/>
      <w:szCs w:val="32"/>
    </w:rPr>
  </w:style>
  <w:style w:type="character" w:customStyle="1" w:styleId="608">
    <w:name w:val="页脚 Char2"/>
    <w:qFormat/>
    <w:uiPriority w:val="0"/>
    <w:rPr>
      <w:sz w:val="18"/>
      <w:szCs w:val="18"/>
    </w:rPr>
  </w:style>
  <w:style w:type="character" w:customStyle="1" w:styleId="609">
    <w:name w:val="正文文本 Char4"/>
    <w:qFormat/>
    <w:uiPriority w:val="0"/>
    <w:rPr>
      <w:szCs w:val="24"/>
    </w:rPr>
  </w:style>
  <w:style w:type="character" w:customStyle="1" w:styleId="610">
    <w:name w:val="脚注文本 Char3"/>
    <w:qFormat/>
    <w:uiPriority w:val="0"/>
    <w:rPr>
      <w:rFonts w:ascii="Arial" w:hAnsi="Arial" w:cs="Arial"/>
      <w:sz w:val="18"/>
      <w:szCs w:val="18"/>
      <w:lang w:eastAsia="en-US"/>
    </w:rPr>
  </w:style>
  <w:style w:type="character" w:customStyle="1" w:styleId="611">
    <w:name w:val="标题 9 Char2"/>
    <w:qFormat/>
    <w:uiPriority w:val="0"/>
    <w:rPr>
      <w:rFonts w:ascii="Times New Roman" w:hAnsi="Times New Roman" w:eastAsia="仿宋_GB2312" w:cs="Times New Roman"/>
      <w:kern w:val="0"/>
      <w:sz w:val="30"/>
      <w:szCs w:val="20"/>
    </w:rPr>
  </w:style>
  <w:style w:type="character" w:customStyle="1" w:styleId="612">
    <w:name w:val="明显参考11"/>
    <w:qFormat/>
    <w:uiPriority w:val="0"/>
    <w:rPr>
      <w:b/>
      <w:bCs/>
      <w:smallCaps/>
      <w:color w:val="C0504D"/>
      <w:spacing w:val="5"/>
      <w:u w:val="single"/>
    </w:rPr>
  </w:style>
  <w:style w:type="character" w:customStyle="1" w:styleId="613">
    <w:name w:val="正文文本缩进 2 Char3"/>
    <w:qFormat/>
    <w:uiPriority w:val="0"/>
    <w:rPr>
      <w:sz w:val="28"/>
      <w:szCs w:val="24"/>
    </w:rPr>
  </w:style>
  <w:style w:type="character" w:customStyle="1" w:styleId="614">
    <w:name w:val="标题 1 Char2"/>
    <w:qFormat/>
    <w:uiPriority w:val="0"/>
    <w:rPr>
      <w:rFonts w:ascii="Times New Roman" w:hAnsi="Times New Roman" w:eastAsia="宋体" w:cs="Times New Roman"/>
      <w:b/>
      <w:bCs/>
      <w:kern w:val="44"/>
      <w:sz w:val="44"/>
      <w:szCs w:val="44"/>
    </w:rPr>
  </w:style>
  <w:style w:type="character" w:customStyle="1" w:styleId="615">
    <w:name w:val="不明显参考11"/>
    <w:qFormat/>
    <w:uiPriority w:val="0"/>
    <w:rPr>
      <w:smallCaps/>
      <w:color w:val="C0504D"/>
      <w:u w:val="single"/>
    </w:rPr>
  </w:style>
  <w:style w:type="character" w:customStyle="1" w:styleId="616">
    <w:name w:val="正文文本 3 Char1"/>
    <w:qFormat/>
    <w:uiPriority w:val="0"/>
    <w:rPr>
      <w:kern w:val="2"/>
      <w:sz w:val="16"/>
      <w:szCs w:val="16"/>
    </w:rPr>
  </w:style>
  <w:style w:type="character" w:customStyle="1" w:styleId="617">
    <w:name w:val="正文文本 Char3"/>
    <w:qFormat/>
    <w:uiPriority w:val="0"/>
    <w:rPr>
      <w:rFonts w:ascii="Calibri" w:hAnsi="Calibri" w:eastAsia="宋体" w:cs="Times New Roman"/>
      <w:szCs w:val="24"/>
    </w:rPr>
  </w:style>
  <w:style w:type="character" w:customStyle="1" w:styleId="618">
    <w:name w:val="标题 Char2"/>
    <w:qFormat/>
    <w:uiPriority w:val="0"/>
    <w:rPr>
      <w:rFonts w:ascii="Cambria" w:hAnsi="Cambria" w:eastAsia="宋体" w:cs="Times New Roman"/>
      <w:b/>
      <w:bCs/>
      <w:sz w:val="32"/>
      <w:szCs w:val="32"/>
    </w:rPr>
  </w:style>
  <w:style w:type="character" w:customStyle="1" w:styleId="619">
    <w:name w:val="正文文本 3 Char4"/>
    <w:qFormat/>
    <w:uiPriority w:val="0"/>
    <w:rPr>
      <w:rFonts w:ascii="Times New Roman" w:hAnsi="Times New Roman" w:eastAsia="宋体" w:cs="Times New Roman"/>
      <w:sz w:val="16"/>
      <w:szCs w:val="16"/>
    </w:rPr>
  </w:style>
  <w:style w:type="character" w:customStyle="1" w:styleId="620">
    <w:name w:val="批注主题 Char5"/>
    <w:qFormat/>
    <w:uiPriority w:val="0"/>
    <w:rPr>
      <w:rFonts w:ascii="Times New Roman" w:hAnsi="Times New Roman" w:eastAsia="宋体" w:cs="Times New Roman"/>
      <w:b/>
      <w:bCs/>
      <w:szCs w:val="24"/>
    </w:rPr>
  </w:style>
  <w:style w:type="character" w:customStyle="1" w:styleId="621">
    <w:name w:val="正文文本 Char5"/>
    <w:qFormat/>
    <w:uiPriority w:val="0"/>
    <w:rPr>
      <w:rFonts w:ascii="Times New Roman" w:hAnsi="Times New Roman" w:eastAsia="宋体" w:cs="Times New Roman"/>
      <w:szCs w:val="24"/>
    </w:rPr>
  </w:style>
  <w:style w:type="character" w:customStyle="1" w:styleId="622">
    <w:name w:val="正文文本缩进 2 Char4"/>
    <w:qFormat/>
    <w:uiPriority w:val="0"/>
    <w:rPr>
      <w:rFonts w:ascii="Times New Roman" w:hAnsi="Times New Roman" w:eastAsia="宋体" w:cs="Times New Roman"/>
      <w:szCs w:val="24"/>
    </w:rPr>
  </w:style>
  <w:style w:type="character" w:customStyle="1" w:styleId="623">
    <w:name w:val="HTML 预设格式 Char4"/>
    <w:qFormat/>
    <w:uiPriority w:val="0"/>
    <w:rPr>
      <w:rFonts w:ascii="Courier New" w:hAnsi="Courier New" w:eastAsia="宋体" w:cs="Courier New"/>
      <w:sz w:val="20"/>
      <w:szCs w:val="20"/>
    </w:rPr>
  </w:style>
  <w:style w:type="character" w:customStyle="1" w:styleId="624">
    <w:name w:val="页脚 Char3"/>
    <w:qFormat/>
    <w:uiPriority w:val="0"/>
    <w:rPr>
      <w:rFonts w:ascii="Times New Roman" w:hAnsi="Times New Roman" w:eastAsia="宋体" w:cs="Times New Roman"/>
      <w:sz w:val="18"/>
      <w:szCs w:val="18"/>
    </w:rPr>
  </w:style>
  <w:style w:type="character" w:customStyle="1" w:styleId="625">
    <w:name w:val="日期 Char5"/>
    <w:qFormat/>
    <w:uiPriority w:val="0"/>
    <w:rPr>
      <w:rFonts w:ascii="Times New Roman" w:hAnsi="Times New Roman" w:eastAsia="宋体" w:cs="Times New Roman"/>
      <w:szCs w:val="24"/>
    </w:rPr>
  </w:style>
  <w:style w:type="character" w:customStyle="1" w:styleId="626">
    <w:name w:val="文档结构图 Char5"/>
    <w:qFormat/>
    <w:uiPriority w:val="0"/>
    <w:rPr>
      <w:rFonts w:ascii="Microsoft YaHei UI" w:hAnsi="Times New Roman" w:eastAsia="Microsoft YaHei UI" w:cs="Times New Roman"/>
      <w:sz w:val="18"/>
      <w:szCs w:val="18"/>
    </w:rPr>
  </w:style>
  <w:style w:type="character" w:customStyle="1" w:styleId="627">
    <w:name w:val="引用 Char5"/>
    <w:qFormat/>
    <w:uiPriority w:val="0"/>
    <w:rPr>
      <w:rFonts w:ascii="Times New Roman" w:hAnsi="Times New Roman" w:eastAsia="宋体" w:cs="Times New Roman"/>
      <w:i/>
      <w:iCs/>
      <w:color w:val="40404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鸿兴</Company>
  <Pages>105</Pages>
  <Words>16570</Words>
  <Characters>17256</Characters>
  <Lines>219</Lines>
  <Paragraphs>61</Paragraphs>
  <TotalTime>7</TotalTime>
  <ScaleCrop>false</ScaleCrop>
  <LinksUpToDate>false</LinksUpToDate>
  <CharactersWithSpaces>17818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2025-04-25T06:29:00Z</dcterms:created>
  <dc:creator>鸿兴</dc:creator>
  <cp:lastModifiedBy>AAA</cp:lastModifiedBy>
  <cp:lastPrinted>2023-05-05T17:51:00Z</cp:lastPrinted>
  <dcterms:modified xsi:type="dcterms:W3CDTF">2025-10-10T12:36:11Z</dcterms:modified>
  <dc:title>Administrator</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CE096DC7F8EA47A7936B25C14DF1EDD9_13</vt:lpwstr>
  </property>
  <property fmtid="{D5CDD505-2E9C-101B-9397-08002B2CF9AE}" pid="4" name="KSOTemplateDocerSaveRecord">
    <vt:lpwstr>eyJoZGlkIjoiOGUzYTY2OGJkYjFhOGMxYmYwOGYzODA2ZDJjOGQ1NDgiLCJ1c2VySWQiOiIxMTMyNTA2NTc5In0=</vt:lpwstr>
  </property>
</Properties>
</file>