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7BBAE">
      <w:pPr>
        <w:spacing w:line="360" w:lineRule="auto"/>
        <w:jc w:val="center"/>
        <w:rPr>
          <w:rFonts w:hint="eastAsia" w:ascii="方正楷体_GB2312" w:hAnsi="方正楷体_GB2312" w:eastAsia="方正楷体_GB2312" w:cs="方正楷体_GB2312"/>
          <w:b/>
          <w:bCs/>
          <w:color w:val="auto"/>
          <w:sz w:val="144"/>
          <w:szCs w:val="52"/>
          <w:highlight w:val="none"/>
        </w:rPr>
      </w:pPr>
      <w:bookmarkStart w:id="0" w:name="_Toc7408"/>
      <w:bookmarkStart w:id="1" w:name="_Toc17591"/>
      <w:bookmarkStart w:id="2" w:name="_Toc19609"/>
      <w:bookmarkStart w:id="3" w:name="_Toc31370"/>
      <w:bookmarkStart w:id="4" w:name="_Toc30988"/>
      <w:bookmarkStart w:id="5" w:name="_Toc16779"/>
      <w:bookmarkStart w:id="6" w:name="_Toc30711"/>
      <w:bookmarkStart w:id="7" w:name="_Toc31917"/>
      <w:r>
        <w:rPr>
          <w:rFonts w:hint="eastAsia" w:ascii="方正楷体_GB2312" w:hAnsi="方正楷体_GB2312" w:eastAsia="方正楷体_GB2312" w:cs="方正楷体_GB2312"/>
          <w:b/>
          <w:bCs/>
          <w:color w:val="auto"/>
          <w:sz w:val="144"/>
          <w:szCs w:val="52"/>
          <w:highlight w:val="none"/>
        </w:rPr>
        <w:t>国企采购</w:t>
      </w:r>
    </w:p>
    <w:p w14:paraId="46A6099D">
      <w:pPr>
        <w:spacing w:line="360" w:lineRule="auto"/>
        <w:jc w:val="center"/>
        <w:rPr>
          <w:rFonts w:hint="eastAsia" w:ascii="方正楷体_GB2312" w:hAnsi="方正楷体_GB2312" w:eastAsia="方正楷体_GB2312" w:cs="方正楷体_GB2312"/>
          <w:b/>
          <w:bCs/>
          <w:color w:val="auto"/>
          <w:sz w:val="144"/>
          <w:szCs w:val="52"/>
          <w:highlight w:val="none"/>
        </w:rPr>
      </w:pPr>
      <w:r>
        <w:rPr>
          <w:rFonts w:hint="eastAsia" w:ascii="方正楷体_GB2312" w:hAnsi="方正楷体_GB2312" w:eastAsia="方正楷体_GB2312" w:cs="方正楷体_GB2312"/>
          <w:b/>
          <w:bCs/>
          <w:color w:val="auto"/>
          <w:sz w:val="144"/>
          <w:szCs w:val="52"/>
          <w:highlight w:val="none"/>
        </w:rPr>
        <w:t>竞采文件</w:t>
      </w:r>
    </w:p>
    <w:bookmarkEnd w:id="0"/>
    <w:bookmarkEnd w:id="1"/>
    <w:bookmarkEnd w:id="2"/>
    <w:bookmarkEnd w:id="3"/>
    <w:bookmarkEnd w:id="4"/>
    <w:bookmarkEnd w:id="5"/>
    <w:bookmarkEnd w:id="6"/>
    <w:bookmarkEnd w:id="7"/>
    <w:p w14:paraId="2588E475">
      <w:pPr>
        <w:spacing w:line="360" w:lineRule="auto"/>
        <w:jc w:val="center"/>
        <w:rPr>
          <w:rFonts w:hint="eastAsia" w:ascii="方正楷体_GB2312" w:hAnsi="方正楷体_GB2312" w:eastAsia="方正楷体_GB2312" w:cs="方正楷体_GB2312"/>
          <w:b/>
          <w:bCs/>
          <w:color w:val="auto"/>
          <w:spacing w:val="80"/>
          <w:sz w:val="44"/>
          <w:szCs w:val="44"/>
          <w:highlight w:val="none"/>
        </w:rPr>
      </w:pPr>
      <w:r>
        <w:rPr>
          <w:rFonts w:hint="eastAsia" w:ascii="方正楷体_GB2312" w:hAnsi="方正楷体_GB2312" w:eastAsia="方正楷体_GB2312" w:cs="方正楷体_GB2312"/>
          <w:b/>
          <w:bCs/>
          <w:color w:val="auto"/>
          <w:sz w:val="72"/>
          <w:szCs w:val="44"/>
          <w:highlight w:val="none"/>
        </w:rPr>
        <w:t>（服务类综合评分）</w:t>
      </w:r>
    </w:p>
    <w:p w14:paraId="2FA8E99C">
      <w:pPr>
        <w:spacing w:line="360" w:lineRule="auto"/>
        <w:ind w:firstLine="720" w:firstLineChars="200"/>
        <w:jc w:val="left"/>
        <w:rPr>
          <w:rFonts w:hint="eastAsia" w:ascii="方正楷体_GB2312" w:hAnsi="方正楷体_GB2312" w:eastAsia="方正楷体_GB2312" w:cs="方正楷体_GB2312"/>
          <w:color w:val="auto"/>
          <w:sz w:val="36"/>
          <w:szCs w:val="30"/>
          <w:highlight w:val="none"/>
          <w:lang w:val="en-US" w:eastAsia="zh-CN"/>
        </w:rPr>
      </w:pPr>
      <w:r>
        <w:rPr>
          <w:rFonts w:hint="eastAsia" w:ascii="方正楷体_GB2312" w:hAnsi="方正楷体_GB2312" w:eastAsia="方正楷体_GB2312" w:cs="方正楷体_GB2312"/>
          <w:color w:val="auto"/>
          <w:sz w:val="36"/>
          <w:szCs w:val="30"/>
          <w:highlight w:val="none"/>
        </w:rPr>
        <w:t>项目编号：</w:t>
      </w:r>
      <w:bookmarkStart w:id="8" w:name="_Hlk111636989"/>
      <w:r>
        <w:rPr>
          <w:rFonts w:hint="eastAsia" w:ascii="方正楷体_GB2312" w:hAnsi="方正楷体_GB2312" w:eastAsia="方正楷体_GB2312" w:cs="方正楷体_GB2312"/>
          <w:color w:val="auto"/>
          <w:sz w:val="36"/>
          <w:szCs w:val="30"/>
          <w:highlight w:val="none"/>
        </w:rPr>
        <w:t>lfjt25C00081</w:t>
      </w:r>
    </w:p>
    <w:p w14:paraId="373D2E99">
      <w:pPr>
        <w:pStyle w:val="8"/>
        <w:spacing w:line="360" w:lineRule="auto"/>
        <w:ind w:left="2517" w:leftChars="256" w:hanging="1800" w:hangingChars="500"/>
        <w:jc w:val="left"/>
        <w:rPr>
          <w:rFonts w:hint="eastAsia" w:ascii="方正楷体_GB2312" w:hAnsi="方正楷体_GB2312" w:eastAsia="方正楷体_GB2312" w:cs="方正楷体_GB2312"/>
          <w:color w:val="auto"/>
          <w:sz w:val="36"/>
          <w:szCs w:val="30"/>
          <w:highlight w:val="none"/>
          <w:lang w:eastAsia="zh-CN"/>
        </w:rPr>
      </w:pPr>
      <w:r>
        <w:rPr>
          <w:rFonts w:hint="eastAsia" w:ascii="方正楷体_GB2312" w:hAnsi="方正楷体_GB2312" w:eastAsia="方正楷体_GB2312" w:cs="方正楷体_GB2312"/>
          <w:color w:val="auto"/>
          <w:sz w:val="36"/>
          <w:szCs w:val="30"/>
          <w:highlight w:val="none"/>
        </w:rPr>
        <w:t>项目名称：</w:t>
      </w:r>
      <w:r>
        <w:rPr>
          <w:rFonts w:hint="eastAsia" w:ascii="方正楷体_GB2312" w:hAnsi="方正楷体_GB2312" w:eastAsia="方正楷体_GB2312" w:cs="方正楷体_GB2312"/>
          <w:color w:val="auto"/>
          <w:sz w:val="36"/>
          <w:szCs w:val="30"/>
          <w:highlight w:val="none"/>
          <w:lang w:eastAsia="zh-CN"/>
        </w:rPr>
        <w:t>重庆市璧山区中医院病房改造及能力提升建设项目结构安全鉴定服务</w:t>
      </w:r>
    </w:p>
    <w:bookmarkEnd w:id="8"/>
    <w:p w14:paraId="101AB7C0">
      <w:pPr>
        <w:pStyle w:val="8"/>
        <w:spacing w:line="360" w:lineRule="auto"/>
        <w:rPr>
          <w:rFonts w:hint="eastAsia" w:ascii="方正楷体_GB2312" w:hAnsi="方正楷体_GB2312" w:eastAsia="方正楷体_GB2312" w:cs="方正楷体_GB2312"/>
          <w:color w:val="auto"/>
          <w:highlight w:val="none"/>
        </w:rPr>
      </w:pPr>
    </w:p>
    <w:p w14:paraId="0324558E">
      <w:pPr>
        <w:spacing w:line="360" w:lineRule="auto"/>
        <w:ind w:firstLine="720" w:firstLineChars="200"/>
        <w:jc w:val="left"/>
        <w:rPr>
          <w:rFonts w:hint="eastAsia" w:ascii="方正楷体_GB2312" w:hAnsi="方正楷体_GB2312" w:eastAsia="方正楷体_GB2312" w:cs="方正楷体_GB2312"/>
          <w:color w:val="auto"/>
          <w:kern w:val="2"/>
          <w:sz w:val="36"/>
          <w:szCs w:val="30"/>
          <w:highlight w:val="none"/>
          <w:lang w:val="en-US" w:eastAsia="zh-CN" w:bidi="ar-SA"/>
        </w:rPr>
      </w:pPr>
      <w:r>
        <w:rPr>
          <w:rFonts w:hint="eastAsia" w:ascii="方正楷体_GB2312" w:hAnsi="方正楷体_GB2312" w:eastAsia="方正楷体_GB2312" w:cs="方正楷体_GB2312"/>
          <w:color w:val="auto"/>
          <w:sz w:val="36"/>
          <w:szCs w:val="30"/>
          <w:highlight w:val="none"/>
        </w:rPr>
        <w:t>采购人：</w:t>
      </w:r>
      <w:r>
        <w:rPr>
          <w:rFonts w:hint="eastAsia" w:ascii="方正楷体_GB2312" w:hAnsi="方正楷体_GB2312" w:eastAsia="方正楷体_GB2312" w:cs="方正楷体_GB2312"/>
          <w:color w:val="auto"/>
          <w:kern w:val="2"/>
          <w:sz w:val="36"/>
          <w:szCs w:val="30"/>
          <w:highlight w:val="none"/>
          <w:lang w:val="en-US" w:eastAsia="zh-CN" w:bidi="ar-SA"/>
        </w:rPr>
        <w:t>重庆绿发基础设施建设有限公司</w:t>
      </w:r>
    </w:p>
    <w:p w14:paraId="29BB00BA">
      <w:pPr>
        <w:spacing w:line="360" w:lineRule="auto"/>
        <w:ind w:firstLine="720" w:firstLineChars="200"/>
        <w:jc w:val="left"/>
        <w:rPr>
          <w:rFonts w:hint="eastAsia" w:ascii="方正楷体_GB2312" w:hAnsi="方正楷体_GB2312" w:eastAsia="方正楷体_GB2312" w:cs="方正楷体_GB2312"/>
          <w:color w:val="auto"/>
          <w:sz w:val="36"/>
          <w:szCs w:val="30"/>
          <w:highlight w:val="none"/>
        </w:rPr>
      </w:pPr>
      <w:r>
        <w:rPr>
          <w:rFonts w:hint="eastAsia" w:ascii="方正楷体_GB2312" w:hAnsi="方正楷体_GB2312" w:eastAsia="方正楷体_GB2312" w:cs="方正楷体_GB2312"/>
          <w:color w:val="auto"/>
          <w:sz w:val="36"/>
          <w:szCs w:val="30"/>
          <w:highlight w:val="none"/>
        </w:rPr>
        <w:t>采购代理机构：中建华阳建设项目管理有限责任公司</w:t>
      </w:r>
    </w:p>
    <w:p w14:paraId="33759D0D">
      <w:pPr>
        <w:spacing w:line="360" w:lineRule="auto"/>
        <w:rPr>
          <w:rFonts w:hint="eastAsia" w:ascii="方正楷体_GB2312" w:hAnsi="方正楷体_GB2312" w:eastAsia="方正楷体_GB2312" w:cs="方正楷体_GB2312"/>
          <w:color w:val="auto"/>
          <w:highlight w:val="none"/>
        </w:rPr>
      </w:pPr>
    </w:p>
    <w:p w14:paraId="3838ECBC">
      <w:pPr>
        <w:pStyle w:val="8"/>
        <w:spacing w:line="360" w:lineRule="auto"/>
        <w:jc w:val="center"/>
        <w:rPr>
          <w:rFonts w:hint="eastAsia" w:ascii="方正楷体_GB2312" w:hAnsi="方正楷体_GB2312" w:eastAsia="方正楷体_GB2312" w:cs="方正楷体_GB2312"/>
          <w:color w:val="auto"/>
          <w:sz w:val="36"/>
          <w:szCs w:val="30"/>
          <w:highlight w:val="none"/>
        </w:rPr>
      </w:pPr>
      <w:r>
        <w:rPr>
          <w:rFonts w:hint="eastAsia" w:ascii="方正楷体_GB2312" w:hAnsi="方正楷体_GB2312" w:eastAsia="方正楷体_GB2312" w:cs="方正楷体_GB2312"/>
          <w:color w:val="auto"/>
          <w:sz w:val="36"/>
          <w:szCs w:val="30"/>
          <w:highlight w:val="none"/>
        </w:rPr>
        <w:t>二〇二五年</w:t>
      </w:r>
      <w:r>
        <w:rPr>
          <w:rFonts w:hint="eastAsia" w:ascii="方正楷体_GB2312" w:hAnsi="方正楷体_GB2312" w:eastAsia="方正楷体_GB2312" w:cs="方正楷体_GB2312"/>
          <w:color w:val="auto"/>
          <w:sz w:val="36"/>
          <w:szCs w:val="30"/>
          <w:highlight w:val="none"/>
          <w:lang w:val="en-US" w:eastAsia="zh-CN"/>
        </w:rPr>
        <w:t>四</w:t>
      </w:r>
      <w:r>
        <w:rPr>
          <w:rFonts w:hint="eastAsia" w:ascii="方正楷体_GB2312" w:hAnsi="方正楷体_GB2312" w:eastAsia="方正楷体_GB2312" w:cs="方正楷体_GB2312"/>
          <w:color w:val="auto"/>
          <w:sz w:val="36"/>
          <w:szCs w:val="30"/>
          <w:highlight w:val="none"/>
        </w:rPr>
        <w:t>月</w:t>
      </w:r>
    </w:p>
    <w:sdt>
      <w:sdtPr>
        <w:rPr>
          <w:rFonts w:hint="eastAsia" w:ascii="方正楷体_GB2312" w:hAnsi="方正楷体_GB2312" w:eastAsia="方正楷体_GB2312" w:cs="方正楷体_GB2312"/>
          <w:color w:val="auto"/>
          <w:sz w:val="21"/>
          <w:highlight w:val="none"/>
        </w:rPr>
        <w:id w:val="147465042"/>
        <w15:color w:val="DBDBDB"/>
        <w:docPartObj>
          <w:docPartGallery w:val="Table of Contents"/>
          <w:docPartUnique/>
        </w:docPartObj>
      </w:sdtPr>
      <w:sdtEndPr>
        <w:rPr>
          <w:rFonts w:hint="eastAsia" w:ascii="方正楷体_GB2312" w:hAnsi="方正楷体_GB2312" w:eastAsia="方正楷体_GB2312" w:cs="方正楷体_GB2312"/>
          <w:color w:val="auto"/>
          <w:sz w:val="28"/>
          <w:szCs w:val="28"/>
          <w:highlight w:val="none"/>
        </w:rPr>
      </w:sdtEndPr>
      <w:sdtContent>
        <w:p w14:paraId="67A49ADF">
          <w:pPr>
            <w:spacing w:line="360" w:lineRule="auto"/>
            <w:jc w:val="center"/>
            <w:rPr>
              <w:rFonts w:hint="eastAsia" w:ascii="方正楷体_GB2312" w:hAnsi="方正楷体_GB2312" w:eastAsia="方正楷体_GB2312" w:cs="方正楷体_GB2312"/>
              <w:color w:val="auto"/>
              <w:sz w:val="21"/>
              <w:highlight w:val="none"/>
            </w:rPr>
          </w:pPr>
        </w:p>
        <w:p w14:paraId="6E5E3D50">
          <w:pPr>
            <w:spacing w:line="360" w:lineRule="auto"/>
            <w:jc w:val="center"/>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 w:val="40"/>
              <w:szCs w:val="40"/>
              <w:highlight w:val="none"/>
            </w:rPr>
            <w:t>目录</w:t>
          </w:r>
        </w:p>
        <w:p w14:paraId="175E693A">
          <w:pPr>
            <w:pStyle w:val="17"/>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 w:val="28"/>
              <w:szCs w:val="28"/>
              <w:highlight w:val="none"/>
            </w:rPr>
            <w:fldChar w:fldCharType="begin"/>
          </w:r>
          <w:r>
            <w:rPr>
              <w:rFonts w:hint="eastAsia" w:ascii="方正楷体_GB2312" w:hAnsi="方正楷体_GB2312" w:eastAsia="方正楷体_GB2312" w:cs="方正楷体_GB2312"/>
              <w:color w:val="auto"/>
              <w:sz w:val="28"/>
              <w:szCs w:val="28"/>
              <w:highlight w:val="none"/>
            </w:rPr>
            <w:instrText xml:space="preserve">TOC \o "1-3" \h \u </w:instrText>
          </w:r>
          <w:r>
            <w:rPr>
              <w:rFonts w:hint="eastAsia" w:ascii="方正楷体_GB2312" w:hAnsi="方正楷体_GB2312" w:eastAsia="方正楷体_GB2312" w:cs="方正楷体_GB2312"/>
              <w:color w:val="auto"/>
              <w:sz w:val="28"/>
              <w:szCs w:val="28"/>
              <w:highlight w:val="none"/>
            </w:rPr>
            <w:fldChar w:fldCharType="separate"/>
          </w: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_Toc11333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第一篇  竞采邀请书</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_Toc11333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- 3 -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545ACC89">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_Toc7154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一、竞采项目内容</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_Toc7154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- 3 -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3A30EE06">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_Toc10750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二、资金来源</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_Toc10750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- 3 -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36845473">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_Toc3735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三、竞采资格条件</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_Toc3735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- 3 -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4030ECAA">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_Toc705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四、竞采有关说明</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_Toc705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- 4 -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70F62C95">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_Toc5583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五、联系方式</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_Toc5583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- 4 -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3EB7DDCF">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_Toc19890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六、其它有关规定</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_Toc19890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- 5 -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40757C45">
          <w:pPr>
            <w:pStyle w:val="17"/>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_Toc21462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第二篇  项目服务需求</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_Toc21462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- 6 -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54419482">
          <w:pPr>
            <w:pStyle w:val="17"/>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_Toc30001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第三篇 项目商务需求</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_Toc30001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- 8 -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0A5EC334">
          <w:pPr>
            <w:pStyle w:val="17"/>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_Toc32315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kern w:val="44"/>
              <w:szCs w:val="36"/>
              <w:highlight w:val="none"/>
            </w:rPr>
            <w:t>第四篇  竞采程序、评标办法、无效响应及采购终止</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_Toc32315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- 9 -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46C3F498">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_Toc17024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一、网上竞采程序</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_Toc17024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- 9 -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0DF0F7DF">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_Toc9081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二、 评审标准</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_Toc9081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- 11 -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410D0266">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_Toc17855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三、无效响应</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_Toc17855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- 14 -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7E3686DD">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_Toc22401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四、采购终止</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_Toc22401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- 14 -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16751891">
          <w:pPr>
            <w:pStyle w:val="17"/>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_Toc23646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第五篇 供应商须知</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_Toc23646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- 15 -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3E160ACA">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_Toc20813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一、竞采费用</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_Toc20813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- 15 -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6C0030A8">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_Toc4641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二、竞采文件</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_Toc4641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- 15 -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0849D1E3">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_Toc12846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三、竞采要求</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_Toc12846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- 15 -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40B24C1C">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_Toc9751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四、成交供应商的确认和变更</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_Toc9751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- 16 -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4CD9F712">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_Toc6943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五、成交通知</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_Toc6943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- 17 -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7537AAF2">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_Toc8937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六、关于质疑和投诉</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_Toc8937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- 17 -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6FE0D408">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_Toc2901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七、采购代理服务费</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_Toc2901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- 18 -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0A9C42AB">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_Toc30054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八、签订合同</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_Toc30054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- 19 -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3806AA4C">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_Toc9507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九、项目验收</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_Toc9507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- 19 -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67127C73">
          <w:pPr>
            <w:pStyle w:val="17"/>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_Toc1101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第六篇 合同格式</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_Toc1101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- 20 -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57E926C5">
          <w:pPr>
            <w:pStyle w:val="17"/>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_Toc13090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第七篇  响应文件编制要求</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_Toc13090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- 22 -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27EDA1BD">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_Toc15194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一、经济部分</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_Toc15194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- 22 -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376A8A39">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_Toc14203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二、服务部分</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_Toc14203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- 22 -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5ED448DE">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_Toc19439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三、商务文件</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_Toc19439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- 22 -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7D60A73A">
          <w:pPr>
            <w:pStyle w:val="19"/>
            <w:tabs>
              <w:tab w:val="right" w:leader="dot" w:pos="9412"/>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Cs w:val="28"/>
              <w:highlight w:val="none"/>
            </w:rPr>
            <w:fldChar w:fldCharType="begin"/>
          </w:r>
          <w:r>
            <w:rPr>
              <w:rFonts w:hint="eastAsia" w:ascii="方正楷体_GB2312" w:hAnsi="方正楷体_GB2312" w:eastAsia="方正楷体_GB2312" w:cs="方正楷体_GB2312"/>
              <w:color w:val="auto"/>
              <w:szCs w:val="28"/>
              <w:highlight w:val="none"/>
            </w:rPr>
            <w:instrText xml:space="preserve"> HYPERLINK \l _Toc24187 </w:instrText>
          </w:r>
          <w:r>
            <w:rPr>
              <w:rFonts w:hint="eastAsia" w:ascii="方正楷体_GB2312" w:hAnsi="方正楷体_GB2312" w:eastAsia="方正楷体_GB2312" w:cs="方正楷体_GB2312"/>
              <w:color w:val="auto"/>
              <w:szCs w:val="28"/>
              <w:highlight w:val="none"/>
            </w:rPr>
            <w:fldChar w:fldCharType="separate"/>
          </w:r>
          <w:r>
            <w:rPr>
              <w:rFonts w:hint="eastAsia" w:ascii="方正楷体_GB2312" w:hAnsi="方正楷体_GB2312" w:eastAsia="方正楷体_GB2312" w:cs="方正楷体_GB2312"/>
              <w:color w:val="auto"/>
              <w:highlight w:val="none"/>
            </w:rPr>
            <w:t>四、资格条件及其他</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_Toc24187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- 22 -</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szCs w:val="28"/>
              <w:highlight w:val="none"/>
            </w:rPr>
            <w:fldChar w:fldCharType="end"/>
          </w:r>
        </w:p>
        <w:p w14:paraId="46BC5D60">
          <w:pPr>
            <w:spacing w:line="360" w:lineRule="auto"/>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fldChar w:fldCharType="end"/>
          </w:r>
        </w:p>
      </w:sdtContent>
    </w:sdt>
    <w:p w14:paraId="03480A41">
      <w:pPr>
        <w:pStyle w:val="8"/>
        <w:spacing w:line="360" w:lineRule="auto"/>
        <w:jc w:val="center"/>
        <w:rPr>
          <w:rFonts w:hint="eastAsia" w:ascii="方正楷体_GB2312" w:hAnsi="方正楷体_GB2312" w:eastAsia="方正楷体_GB2312" w:cs="方正楷体_GB2312"/>
          <w:b/>
          <w:bCs/>
          <w:color w:val="auto"/>
          <w:spacing w:val="80"/>
          <w:sz w:val="44"/>
          <w:szCs w:val="44"/>
          <w:highlight w:val="none"/>
        </w:rPr>
      </w:pPr>
      <w:r>
        <w:rPr>
          <w:rFonts w:hint="eastAsia" w:ascii="方正楷体_GB2312" w:hAnsi="方正楷体_GB2312" w:eastAsia="方正楷体_GB2312" w:cs="方正楷体_GB2312"/>
          <w:color w:val="auto"/>
          <w:sz w:val="44"/>
          <w:szCs w:val="28"/>
          <w:highlight w:val="none"/>
        </w:rPr>
        <w:t xml:space="preserve">   </w:t>
      </w:r>
      <w:r>
        <w:rPr>
          <w:rFonts w:hint="eastAsia" w:ascii="方正楷体_GB2312" w:hAnsi="方正楷体_GB2312" w:eastAsia="方正楷体_GB2312" w:cs="方正楷体_GB2312"/>
          <w:color w:val="auto"/>
          <w:sz w:val="44"/>
          <w:szCs w:val="28"/>
          <w:highlight w:val="none"/>
        </w:rPr>
        <w:br w:type="page"/>
      </w:r>
    </w:p>
    <w:p w14:paraId="4827D868">
      <w:pPr>
        <w:pStyle w:val="3"/>
        <w:spacing w:line="360" w:lineRule="auto"/>
        <w:jc w:val="center"/>
        <w:rPr>
          <w:rFonts w:hint="eastAsia" w:ascii="方正楷体_GB2312" w:hAnsi="方正楷体_GB2312" w:eastAsia="方正楷体_GB2312" w:cs="方正楷体_GB2312"/>
          <w:color w:val="auto"/>
          <w:highlight w:val="none"/>
        </w:rPr>
      </w:pPr>
      <w:bookmarkStart w:id="9" w:name="_Toc76462316"/>
      <w:bookmarkStart w:id="10" w:name="_Toc11641050"/>
      <w:bookmarkStart w:id="11" w:name="_Toc12789052"/>
      <w:bookmarkStart w:id="12" w:name="_Toc106030870"/>
      <w:bookmarkStart w:id="13" w:name="_Toc11333"/>
      <w:r>
        <w:rPr>
          <w:rFonts w:hint="eastAsia" w:ascii="方正楷体_GB2312" w:hAnsi="方正楷体_GB2312" w:eastAsia="方正楷体_GB2312" w:cs="方正楷体_GB2312"/>
          <w:color w:val="auto"/>
          <w:highlight w:val="none"/>
        </w:rPr>
        <w:t>第一篇  竞采邀请书</w:t>
      </w:r>
      <w:bookmarkEnd w:id="9"/>
      <w:bookmarkEnd w:id="10"/>
      <w:bookmarkEnd w:id="11"/>
      <w:bookmarkEnd w:id="12"/>
      <w:bookmarkEnd w:id="13"/>
    </w:p>
    <w:p w14:paraId="4AF0C6AD">
      <w:pPr>
        <w:snapToGrid w:val="0"/>
        <w:spacing w:line="360" w:lineRule="auto"/>
        <w:ind w:firstLine="480" w:firstLineChars="200"/>
        <w:rPr>
          <w:rFonts w:hint="eastAsia" w:ascii="方正楷体_GB2312" w:hAnsi="方正楷体_GB2312" w:eastAsia="方正楷体_GB2312" w:cs="方正楷体_GB2312"/>
          <w:b/>
          <w:bCs/>
          <w:color w:val="auto"/>
          <w:spacing w:val="80"/>
          <w:sz w:val="44"/>
          <w:szCs w:val="44"/>
          <w:highlight w:val="none"/>
        </w:rPr>
      </w:pPr>
      <w:r>
        <w:rPr>
          <w:rFonts w:hint="eastAsia" w:ascii="方正楷体_GB2312" w:hAnsi="方正楷体_GB2312" w:eastAsia="方正楷体_GB2312" w:cs="方正楷体_GB2312"/>
          <w:color w:val="auto"/>
          <w:sz w:val="24"/>
          <w:szCs w:val="24"/>
          <w:highlight w:val="none"/>
        </w:rPr>
        <w:t>中建华阳建设项目管理有限责任公司（以下简称：采购代理机构）受</w:t>
      </w:r>
      <w:r>
        <w:rPr>
          <w:rFonts w:hint="eastAsia" w:ascii="方正楷体_GB2312" w:hAnsi="方正楷体_GB2312" w:eastAsia="方正楷体_GB2312" w:cs="方正楷体_GB2312"/>
          <w:color w:val="auto"/>
          <w:sz w:val="24"/>
          <w:szCs w:val="24"/>
          <w:highlight w:val="none"/>
          <w:lang w:val="en-US" w:eastAsia="zh-CN"/>
        </w:rPr>
        <w:t>重庆绿发基础设施建设有限公司(以下简称：采购人)</w:t>
      </w:r>
      <w:r>
        <w:rPr>
          <w:rFonts w:hint="eastAsia" w:ascii="方正楷体_GB2312" w:hAnsi="方正楷体_GB2312" w:eastAsia="方正楷体_GB2312" w:cs="方正楷体_GB2312"/>
          <w:color w:val="auto"/>
          <w:sz w:val="24"/>
          <w:szCs w:val="24"/>
          <w:highlight w:val="none"/>
        </w:rPr>
        <w:t>的委托，对</w:t>
      </w:r>
      <w:r>
        <w:rPr>
          <w:rFonts w:hint="eastAsia" w:ascii="方正楷体_GB2312" w:hAnsi="方正楷体_GB2312" w:eastAsia="方正楷体_GB2312" w:cs="方正楷体_GB2312"/>
          <w:color w:val="auto"/>
          <w:sz w:val="24"/>
          <w:szCs w:val="24"/>
          <w:highlight w:val="none"/>
          <w:lang w:eastAsia="zh-CN"/>
        </w:rPr>
        <w:t>重庆市璧山区中医院病房改造及能力提升建设项目结构安全鉴定服务</w:t>
      </w:r>
      <w:r>
        <w:rPr>
          <w:rFonts w:hint="eastAsia" w:ascii="方正楷体_GB2312" w:hAnsi="方正楷体_GB2312" w:eastAsia="方正楷体_GB2312" w:cs="方正楷体_GB2312"/>
          <w:color w:val="auto"/>
          <w:sz w:val="24"/>
          <w:szCs w:val="24"/>
          <w:highlight w:val="none"/>
        </w:rPr>
        <w:t>项目</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项目编号：lfjt25C00081</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rPr>
        <w:t>进行网上竞采采购。欢迎有资格的供应商前来参与网上竞采。</w:t>
      </w:r>
    </w:p>
    <w:p w14:paraId="532FAADA">
      <w:pPr>
        <w:pStyle w:val="4"/>
        <w:spacing w:line="360" w:lineRule="auto"/>
        <w:rPr>
          <w:rFonts w:hint="eastAsia" w:ascii="方正楷体_GB2312" w:hAnsi="方正楷体_GB2312" w:eastAsia="方正楷体_GB2312" w:cs="方正楷体_GB2312"/>
          <w:color w:val="auto"/>
          <w:highlight w:val="none"/>
        </w:rPr>
      </w:pPr>
      <w:bookmarkStart w:id="14" w:name="_Toc12808"/>
      <w:bookmarkStart w:id="15" w:name="_Toc25458"/>
      <w:bookmarkStart w:id="16" w:name="_Toc18159"/>
      <w:bookmarkStart w:id="17" w:name="_Toc3463"/>
      <w:bookmarkStart w:id="18" w:name="_Toc313893526"/>
      <w:bookmarkStart w:id="19" w:name="_Toc18881"/>
      <w:bookmarkStart w:id="20" w:name="_Toc317775175"/>
      <w:bookmarkStart w:id="21" w:name="_Toc7625"/>
      <w:bookmarkStart w:id="22" w:name="_Toc26820"/>
      <w:bookmarkStart w:id="23" w:name="_Toc7154"/>
      <w:r>
        <w:rPr>
          <w:rFonts w:hint="eastAsia" w:ascii="方正楷体_GB2312" w:hAnsi="方正楷体_GB2312" w:eastAsia="方正楷体_GB2312" w:cs="方正楷体_GB2312"/>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0"/>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700"/>
        <w:gridCol w:w="1687"/>
        <w:gridCol w:w="2168"/>
      </w:tblGrid>
      <w:tr w14:paraId="45F0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55" w:type="dxa"/>
            <w:tcBorders>
              <w:top w:val="single" w:color="auto" w:sz="4" w:space="0"/>
              <w:left w:val="single" w:color="auto" w:sz="4" w:space="0"/>
              <w:right w:val="single" w:color="auto" w:sz="4" w:space="0"/>
            </w:tcBorders>
            <w:vAlign w:val="center"/>
          </w:tcPr>
          <w:p w14:paraId="41721C7E">
            <w:pPr>
              <w:keepNext w:val="0"/>
              <w:keepLines w:val="0"/>
              <w:widowControl/>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rPr>
              <w:t>项目名称</w:t>
            </w:r>
          </w:p>
        </w:tc>
        <w:tc>
          <w:tcPr>
            <w:tcW w:w="1700" w:type="dxa"/>
            <w:tcBorders>
              <w:top w:val="single" w:color="auto" w:sz="4" w:space="0"/>
              <w:left w:val="single" w:color="auto" w:sz="4" w:space="0"/>
              <w:right w:val="single" w:color="auto" w:sz="4" w:space="0"/>
            </w:tcBorders>
            <w:vAlign w:val="center"/>
          </w:tcPr>
          <w:p w14:paraId="4AA574DB">
            <w:pPr>
              <w:keepNext w:val="0"/>
              <w:keepLines w:val="0"/>
              <w:widowControl/>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rPr>
              <w:t>最高限价</w:t>
            </w:r>
          </w:p>
          <w:p w14:paraId="247A12B1">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rPr>
              <w:t>（万元）</w:t>
            </w:r>
          </w:p>
        </w:tc>
        <w:tc>
          <w:tcPr>
            <w:tcW w:w="1687" w:type="dxa"/>
            <w:tcBorders>
              <w:top w:val="single" w:color="auto" w:sz="4" w:space="0"/>
              <w:left w:val="single" w:color="auto" w:sz="4" w:space="0"/>
              <w:right w:val="single" w:color="auto" w:sz="4" w:space="0"/>
            </w:tcBorders>
            <w:vAlign w:val="center"/>
          </w:tcPr>
          <w:p w14:paraId="382B0FD0">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rPr>
              <w:t>成交供应商数量（名）</w:t>
            </w:r>
          </w:p>
        </w:tc>
        <w:tc>
          <w:tcPr>
            <w:tcW w:w="2168" w:type="dxa"/>
            <w:tcBorders>
              <w:top w:val="single" w:color="auto" w:sz="4" w:space="0"/>
              <w:left w:val="single" w:color="auto" w:sz="4" w:space="0"/>
              <w:right w:val="single" w:color="auto" w:sz="4" w:space="0"/>
            </w:tcBorders>
            <w:vAlign w:val="center"/>
          </w:tcPr>
          <w:p w14:paraId="3E08E1B8">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rPr>
              <w:t>备注</w:t>
            </w:r>
          </w:p>
        </w:tc>
      </w:tr>
      <w:tr w14:paraId="634B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55" w:type="dxa"/>
            <w:tcBorders>
              <w:top w:val="single" w:color="auto" w:sz="4" w:space="0"/>
              <w:left w:val="single" w:color="auto" w:sz="4" w:space="0"/>
              <w:right w:val="single" w:color="auto" w:sz="4" w:space="0"/>
            </w:tcBorders>
            <w:vAlign w:val="center"/>
          </w:tcPr>
          <w:p w14:paraId="10B29763">
            <w:pPr>
              <w:keepNext w:val="0"/>
              <w:keepLines w:val="0"/>
              <w:widowControl/>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kern w:val="0"/>
                <w:sz w:val="24"/>
                <w:szCs w:val="24"/>
                <w:highlight w:val="none"/>
                <w:lang w:eastAsia="zh-CN"/>
              </w:rPr>
            </w:pPr>
            <w:bookmarkStart w:id="24" w:name="_Hlk344477914"/>
            <w:r>
              <w:rPr>
                <w:rFonts w:hint="eastAsia" w:ascii="方正楷体_GB2312" w:hAnsi="方正楷体_GB2312" w:eastAsia="方正楷体_GB2312" w:cs="方正楷体_GB2312"/>
                <w:color w:val="auto"/>
                <w:sz w:val="24"/>
                <w:szCs w:val="24"/>
                <w:highlight w:val="none"/>
                <w:lang w:eastAsia="zh-CN"/>
              </w:rPr>
              <w:t>重庆市璧山区中医院病房改造及能力提升建设项目结构安全鉴定服务</w:t>
            </w:r>
          </w:p>
        </w:tc>
        <w:tc>
          <w:tcPr>
            <w:tcW w:w="1700" w:type="dxa"/>
            <w:tcBorders>
              <w:top w:val="single" w:color="auto" w:sz="4" w:space="0"/>
              <w:left w:val="single" w:color="auto" w:sz="4" w:space="0"/>
              <w:right w:val="single" w:color="auto" w:sz="4" w:space="0"/>
            </w:tcBorders>
            <w:vAlign w:val="center"/>
          </w:tcPr>
          <w:p w14:paraId="5CDBC429">
            <w:pPr>
              <w:keepNext w:val="0"/>
              <w:keepLines w:val="0"/>
              <w:widowControl/>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kern w:val="0"/>
                <w:sz w:val="24"/>
                <w:szCs w:val="24"/>
                <w:highlight w:val="none"/>
                <w:lang w:val="en-US"/>
              </w:rPr>
            </w:pPr>
            <w:r>
              <w:rPr>
                <w:rFonts w:hint="eastAsia" w:ascii="方正楷体_GB2312" w:hAnsi="方正楷体_GB2312" w:eastAsia="方正楷体_GB2312" w:cs="方正楷体_GB2312"/>
                <w:color w:val="auto"/>
                <w:kern w:val="0"/>
                <w:sz w:val="24"/>
                <w:szCs w:val="24"/>
                <w:highlight w:val="none"/>
                <w:lang w:val="en-US" w:eastAsia="zh-CN"/>
              </w:rPr>
              <w:t>17.5</w:t>
            </w:r>
          </w:p>
        </w:tc>
        <w:tc>
          <w:tcPr>
            <w:tcW w:w="1687" w:type="dxa"/>
            <w:tcBorders>
              <w:top w:val="single" w:color="auto" w:sz="4" w:space="0"/>
              <w:left w:val="single" w:color="auto" w:sz="4" w:space="0"/>
              <w:right w:val="single" w:color="auto" w:sz="4" w:space="0"/>
            </w:tcBorders>
            <w:vAlign w:val="center"/>
          </w:tcPr>
          <w:p w14:paraId="5365605A">
            <w:pPr>
              <w:keepNext w:val="0"/>
              <w:keepLines w:val="0"/>
              <w:widowControl/>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68" w:type="dxa"/>
            <w:tcBorders>
              <w:top w:val="single" w:color="auto" w:sz="4" w:space="0"/>
              <w:left w:val="single" w:color="auto" w:sz="4" w:space="0"/>
              <w:right w:val="single" w:color="auto" w:sz="4" w:space="0"/>
            </w:tcBorders>
            <w:vAlign w:val="center"/>
          </w:tcPr>
          <w:p w14:paraId="19052239">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b/>
                <w:color w:val="auto"/>
                <w:sz w:val="24"/>
                <w:szCs w:val="24"/>
                <w:highlight w:val="none"/>
              </w:rPr>
            </w:pPr>
          </w:p>
        </w:tc>
      </w:tr>
      <w:bookmarkEnd w:id="24"/>
    </w:tbl>
    <w:p w14:paraId="24CFC3A3">
      <w:pPr>
        <w:pStyle w:val="4"/>
        <w:spacing w:line="360" w:lineRule="auto"/>
        <w:rPr>
          <w:rFonts w:hint="eastAsia" w:ascii="方正楷体_GB2312" w:hAnsi="方正楷体_GB2312" w:eastAsia="方正楷体_GB2312" w:cs="方正楷体_GB2312"/>
          <w:color w:val="auto"/>
          <w:highlight w:val="none"/>
        </w:rPr>
      </w:pPr>
      <w:bookmarkStart w:id="25" w:name="_Toc10750"/>
      <w:bookmarkStart w:id="26" w:name="_Toc22399"/>
      <w:bookmarkStart w:id="27" w:name="_Toc15727"/>
      <w:bookmarkStart w:id="28" w:name="_Toc1790"/>
      <w:bookmarkStart w:id="29" w:name="_Toc15576"/>
      <w:bookmarkStart w:id="30" w:name="_Toc19437"/>
      <w:bookmarkStart w:id="31" w:name="_Toc6462"/>
      <w:bookmarkStart w:id="32" w:name="_Toc25190"/>
      <w:bookmarkStart w:id="33" w:name="_Toc373860293"/>
      <w:bookmarkStart w:id="34" w:name="_Toc317775178"/>
      <w:r>
        <w:rPr>
          <w:rFonts w:hint="eastAsia" w:ascii="方正楷体_GB2312" w:hAnsi="方正楷体_GB2312" w:eastAsia="方正楷体_GB2312" w:cs="方正楷体_GB2312"/>
          <w:color w:val="auto"/>
          <w:highlight w:val="none"/>
        </w:rPr>
        <w:t>二、资金来源</w:t>
      </w:r>
      <w:bookmarkEnd w:id="25"/>
    </w:p>
    <w:p w14:paraId="23CE789E">
      <w:pPr>
        <w:spacing w:line="360" w:lineRule="auto"/>
        <w:ind w:firstLine="480" w:firstLineChars="200"/>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 w:val="24"/>
          <w:szCs w:val="24"/>
          <w:highlight w:val="none"/>
        </w:rPr>
        <w:t>单位自筹资金，预算金额为</w:t>
      </w:r>
      <w:r>
        <w:rPr>
          <w:rFonts w:hint="eastAsia" w:ascii="方正楷体_GB2312" w:hAnsi="方正楷体_GB2312" w:eastAsia="方正楷体_GB2312" w:cs="方正楷体_GB2312"/>
          <w:color w:val="auto"/>
          <w:sz w:val="24"/>
          <w:szCs w:val="24"/>
          <w:highlight w:val="none"/>
          <w:lang w:val="en-US" w:eastAsia="zh-CN"/>
        </w:rPr>
        <w:t>17.5</w:t>
      </w:r>
      <w:r>
        <w:rPr>
          <w:rFonts w:hint="eastAsia" w:ascii="方正楷体_GB2312" w:hAnsi="方正楷体_GB2312" w:eastAsia="方正楷体_GB2312" w:cs="方正楷体_GB2312"/>
          <w:color w:val="auto"/>
          <w:sz w:val="24"/>
          <w:szCs w:val="24"/>
          <w:highlight w:val="none"/>
        </w:rPr>
        <w:t>万元。</w:t>
      </w:r>
    </w:p>
    <w:p w14:paraId="0172FC54">
      <w:pPr>
        <w:pStyle w:val="4"/>
        <w:spacing w:line="360" w:lineRule="auto"/>
        <w:rPr>
          <w:rFonts w:hint="eastAsia" w:ascii="方正楷体_GB2312" w:hAnsi="方正楷体_GB2312" w:eastAsia="方正楷体_GB2312" w:cs="方正楷体_GB2312"/>
          <w:color w:val="auto"/>
          <w:highlight w:val="none"/>
        </w:rPr>
      </w:pPr>
      <w:bookmarkStart w:id="35" w:name="_Toc3735"/>
      <w:r>
        <w:rPr>
          <w:rFonts w:hint="eastAsia" w:ascii="方正楷体_GB2312" w:hAnsi="方正楷体_GB2312" w:eastAsia="方正楷体_GB2312" w:cs="方正楷体_GB2312"/>
          <w:color w:val="auto"/>
          <w:highlight w:val="none"/>
        </w:rPr>
        <w:t>三、</w:t>
      </w:r>
      <w:bookmarkEnd w:id="26"/>
      <w:bookmarkEnd w:id="27"/>
      <w:bookmarkEnd w:id="28"/>
      <w:bookmarkEnd w:id="29"/>
      <w:bookmarkEnd w:id="30"/>
      <w:bookmarkEnd w:id="31"/>
      <w:bookmarkEnd w:id="32"/>
      <w:r>
        <w:rPr>
          <w:rFonts w:hint="eastAsia" w:ascii="方正楷体_GB2312" w:hAnsi="方正楷体_GB2312" w:eastAsia="方正楷体_GB2312" w:cs="方正楷体_GB2312"/>
          <w:color w:val="auto"/>
          <w:highlight w:val="none"/>
        </w:rPr>
        <w:t>竞采资格条件</w:t>
      </w:r>
      <w:bookmarkEnd w:id="35"/>
    </w:p>
    <w:p w14:paraId="3376FC0C">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（一）基本条件</w:t>
      </w:r>
    </w:p>
    <w:p w14:paraId="7618E96B">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满足《中华人民共和国政府采购法》第二十二条规定；　</w:t>
      </w:r>
    </w:p>
    <w:p w14:paraId="0D50EF1F">
      <w:pPr>
        <w:pStyle w:val="8"/>
        <w:numPr>
          <w:ilvl w:val="0"/>
          <w:numId w:val="1"/>
        </w:num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特定资格条件</w:t>
      </w:r>
      <w:bookmarkEnd w:id="33"/>
      <w:bookmarkEnd w:id="34"/>
    </w:p>
    <w:p w14:paraId="17E8AD14">
      <w:pPr>
        <w:spacing w:line="360" w:lineRule="auto"/>
        <w:ind w:firstLine="480" w:firstLineChars="20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供应商必须具备省级、直辖市及以上质量技术监督部门颁发的计量认证证书(CMA);具有省级、直辖市建设主管部门颁发的建设工程质量检测机构资质证书，并具有见证取样、地基基础、主体结构工程现场检测、钢结构检测4项资质类别及其相应的检测项目和参数。</w:t>
      </w:r>
    </w:p>
    <w:p w14:paraId="22F38562">
      <w:pPr>
        <w:spacing w:line="360" w:lineRule="auto"/>
        <w:ind w:firstLine="480" w:firstLineChars="20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注:各供应商应提供以上资格条件的有效复印件或扫描件,必须清晰可见，并加盖供应商单位公章。</w:t>
      </w:r>
      <w:bookmarkStart w:id="189" w:name="_GoBack"/>
      <w:bookmarkEnd w:id="189"/>
    </w:p>
    <w:p w14:paraId="1B9F6F7C">
      <w:pPr>
        <w:pStyle w:val="4"/>
        <w:spacing w:line="360" w:lineRule="auto"/>
        <w:rPr>
          <w:rFonts w:hint="eastAsia" w:ascii="方正楷体_GB2312" w:hAnsi="方正楷体_GB2312" w:eastAsia="方正楷体_GB2312" w:cs="方正楷体_GB2312"/>
          <w:color w:val="auto"/>
          <w:highlight w:val="none"/>
        </w:rPr>
      </w:pPr>
      <w:bookmarkStart w:id="36" w:name="_Toc705"/>
      <w:r>
        <w:rPr>
          <w:rFonts w:hint="eastAsia" w:ascii="方正楷体_GB2312" w:hAnsi="方正楷体_GB2312" w:eastAsia="方正楷体_GB2312" w:cs="方正楷体_GB2312"/>
          <w:color w:val="auto"/>
          <w:highlight w:val="none"/>
        </w:rPr>
        <w:t>四、竞采有关说明</w:t>
      </w:r>
      <w:bookmarkEnd w:id="36"/>
    </w:p>
    <w:p w14:paraId="4A7A1AFA">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（一）供应商应通过行采家采购服务平台（www.gec123.com）登记加入“行采家供应商库”。</w:t>
      </w:r>
    </w:p>
    <w:p w14:paraId="3CAB5807">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（二）凡有意参加采购的供应商，请在行采家上下载本项目网上竞采文件以及变更等采购前公布的所有项目资料，无论供应商下载与否，均视为已知晓所有采购实质性要求内容。</w:t>
      </w:r>
    </w:p>
    <w:p w14:paraId="163D730D">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（三）线上报价</w:t>
      </w:r>
    </w:p>
    <w:p w14:paraId="5ABC50D9">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1.线上报价时间：按本项目网上公告规定的报价截止时间为准。</w:t>
      </w:r>
    </w:p>
    <w:p w14:paraId="6D3EB371">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2.线上报价要求：按本项目规定的时间在行采家进行网上报价。</w:t>
      </w:r>
    </w:p>
    <w:p w14:paraId="55386CCD">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（四）</w:t>
      </w:r>
      <w:r>
        <w:rPr>
          <w:rFonts w:hint="eastAsia" w:ascii="方正楷体_GB2312" w:hAnsi="方正楷体_GB2312" w:eastAsia="方正楷体_GB2312" w:cs="方正楷体_GB2312"/>
          <w:bCs/>
          <w:color w:val="auto"/>
          <w:sz w:val="24"/>
          <w:szCs w:val="24"/>
          <w:highlight w:val="none"/>
        </w:rPr>
        <w:t>供应商须在平台上报价并按要求上传响应文件，未按要求提供的为无效供应商。</w:t>
      </w:r>
    </w:p>
    <w:p w14:paraId="5919CFA8">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备注：</w:t>
      </w:r>
    </w:p>
    <w:p w14:paraId="10DA47E7">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1.供应商线上报价时须上传响应文件一份。</w:t>
      </w:r>
    </w:p>
    <w:p w14:paraId="353BDC21">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2.采购人将以平台的线上资料作为评判依据。</w:t>
      </w:r>
    </w:p>
    <w:p w14:paraId="4874A526">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3.供应商上传的响应文件应按照响应文件编制要求制作，规定签字、盖章的地方必须按规定签字、盖章，未按要求制作响应文件的作无效标处理。</w:t>
      </w:r>
    </w:p>
    <w:p w14:paraId="03BA6C6A">
      <w:pPr>
        <w:pStyle w:val="4"/>
        <w:spacing w:line="360" w:lineRule="auto"/>
        <w:rPr>
          <w:rFonts w:hint="eastAsia" w:ascii="方正楷体_GB2312" w:hAnsi="方正楷体_GB2312" w:eastAsia="方正楷体_GB2312" w:cs="方正楷体_GB2312"/>
          <w:color w:val="auto"/>
          <w:highlight w:val="none"/>
        </w:rPr>
      </w:pPr>
      <w:bookmarkStart w:id="37" w:name="_Toc5583"/>
      <w:r>
        <w:rPr>
          <w:rFonts w:hint="eastAsia" w:ascii="方正楷体_GB2312" w:hAnsi="方正楷体_GB2312" w:eastAsia="方正楷体_GB2312" w:cs="方正楷体_GB2312"/>
          <w:color w:val="auto"/>
          <w:highlight w:val="none"/>
        </w:rPr>
        <w:t>五、</w:t>
      </w:r>
      <w:bookmarkStart w:id="38" w:name="_Toc9654"/>
      <w:bookmarkStart w:id="39" w:name="_Toc5085"/>
      <w:bookmarkStart w:id="40" w:name="_Toc25886"/>
      <w:bookmarkStart w:id="41" w:name="_Toc3475"/>
      <w:bookmarkStart w:id="42" w:name="_Toc11828"/>
      <w:bookmarkStart w:id="43" w:name="_Toc20778"/>
      <w:bookmarkStart w:id="44" w:name="_Toc27955"/>
      <w:bookmarkStart w:id="45" w:name="_Toc15478"/>
      <w:bookmarkStart w:id="46" w:name="_Toc31315"/>
      <w:bookmarkStart w:id="47" w:name="_Toc19730"/>
      <w:bookmarkStart w:id="48" w:name="_Toc9027"/>
      <w:bookmarkStart w:id="49" w:name="_Toc13969"/>
      <w:bookmarkStart w:id="50" w:name="_Toc14778"/>
      <w:bookmarkStart w:id="51" w:name="_Toc25516"/>
      <w:r>
        <w:rPr>
          <w:rFonts w:hint="eastAsia" w:ascii="方正楷体_GB2312" w:hAnsi="方正楷体_GB2312" w:eastAsia="方正楷体_GB2312" w:cs="方正楷体_GB2312"/>
          <w:color w:val="auto"/>
          <w:highlight w:val="none"/>
        </w:rPr>
        <w:t>联系方式</w:t>
      </w:r>
      <w:bookmarkEnd w:id="37"/>
      <w:bookmarkEnd w:id="38"/>
      <w:bookmarkEnd w:id="39"/>
      <w:bookmarkEnd w:id="40"/>
      <w:bookmarkEnd w:id="41"/>
      <w:bookmarkEnd w:id="42"/>
      <w:bookmarkEnd w:id="43"/>
      <w:bookmarkEnd w:id="44"/>
    </w:p>
    <w:p w14:paraId="08D6128A">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（一）采购人：</w:t>
      </w:r>
      <w:r>
        <w:rPr>
          <w:rFonts w:hint="eastAsia" w:ascii="方正楷体_GB2312" w:hAnsi="方正楷体_GB2312" w:eastAsia="方正楷体_GB2312" w:cs="方正楷体_GB2312"/>
          <w:color w:val="auto"/>
          <w:sz w:val="24"/>
          <w:szCs w:val="24"/>
          <w:highlight w:val="none"/>
          <w:lang w:eastAsia="zh-CN"/>
        </w:rPr>
        <w:t>重庆绿发基础设施建设有限公司</w:t>
      </w:r>
    </w:p>
    <w:p w14:paraId="2F3C24DF">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lang w:val="en-US"/>
        </w:rPr>
      </w:pPr>
      <w:r>
        <w:rPr>
          <w:rFonts w:hint="eastAsia" w:ascii="方正楷体_GB2312" w:hAnsi="方正楷体_GB2312" w:eastAsia="方正楷体_GB2312" w:cs="方正楷体_GB2312"/>
          <w:color w:val="auto"/>
          <w:sz w:val="24"/>
          <w:szCs w:val="24"/>
          <w:highlight w:val="none"/>
        </w:rPr>
        <w:t>联系人：</w:t>
      </w:r>
      <w:r>
        <w:rPr>
          <w:rFonts w:hint="eastAsia" w:ascii="方正楷体_GB2312" w:hAnsi="方正楷体_GB2312" w:eastAsia="方正楷体_GB2312" w:cs="方正楷体_GB2312"/>
          <w:color w:val="auto"/>
          <w:sz w:val="24"/>
          <w:szCs w:val="24"/>
          <w:highlight w:val="none"/>
          <w:lang w:val="en-US" w:eastAsia="zh-CN"/>
        </w:rPr>
        <w:t xml:space="preserve">薛老师 </w:t>
      </w:r>
    </w:p>
    <w:p w14:paraId="0DA46DE4">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rPr>
        <w:t>电  话：</w:t>
      </w:r>
      <w:r>
        <w:rPr>
          <w:rFonts w:hint="eastAsia" w:ascii="方正楷体_GB2312" w:hAnsi="方正楷体_GB2312" w:eastAsia="方正楷体_GB2312" w:cs="方正楷体_GB2312"/>
          <w:color w:val="auto"/>
          <w:sz w:val="24"/>
          <w:szCs w:val="24"/>
          <w:highlight w:val="none"/>
          <w:lang w:val="en-US" w:eastAsia="zh-CN"/>
        </w:rPr>
        <w:t xml:space="preserve">15922902082 </w:t>
      </w:r>
    </w:p>
    <w:p w14:paraId="7350080C">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地  址：重庆市璧山区璧泉街道双星大道50号1幢7-1</w:t>
      </w:r>
    </w:p>
    <w:p w14:paraId="39BA1ADB">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二</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rPr>
        <w:t>采购代理机构：中建华阳建设项目管理有限责任公司</w:t>
      </w:r>
    </w:p>
    <w:p w14:paraId="38610850">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联系人：薛老师</w:t>
      </w:r>
    </w:p>
    <w:p w14:paraId="5D227E40">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电  话：15922601030</w:t>
      </w:r>
    </w:p>
    <w:p w14:paraId="233A57F1">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地  址：重庆市璧山区璧泉街道金剑路566附32号</w:t>
      </w:r>
    </w:p>
    <w:p w14:paraId="120B37BC">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p>
    <w:p w14:paraId="532E038F">
      <w:pPr>
        <w:pStyle w:val="4"/>
        <w:spacing w:line="360" w:lineRule="auto"/>
        <w:rPr>
          <w:rFonts w:hint="eastAsia" w:ascii="方正楷体_GB2312" w:hAnsi="方正楷体_GB2312" w:eastAsia="方正楷体_GB2312" w:cs="方正楷体_GB2312"/>
          <w:color w:val="auto"/>
          <w:highlight w:val="none"/>
        </w:rPr>
      </w:pPr>
      <w:bookmarkStart w:id="52" w:name="_Toc19890"/>
      <w:r>
        <w:rPr>
          <w:rFonts w:hint="eastAsia" w:ascii="方正楷体_GB2312" w:hAnsi="方正楷体_GB2312" w:eastAsia="方正楷体_GB2312" w:cs="方正楷体_GB2312"/>
          <w:color w:val="auto"/>
          <w:highlight w:val="none"/>
        </w:rPr>
        <w:t>六、</w:t>
      </w:r>
      <w:bookmarkEnd w:id="45"/>
      <w:bookmarkEnd w:id="46"/>
      <w:bookmarkEnd w:id="47"/>
      <w:bookmarkEnd w:id="48"/>
      <w:bookmarkEnd w:id="49"/>
      <w:bookmarkEnd w:id="50"/>
      <w:bookmarkEnd w:id="51"/>
      <w:r>
        <w:rPr>
          <w:rFonts w:hint="eastAsia" w:ascii="方正楷体_GB2312" w:hAnsi="方正楷体_GB2312" w:eastAsia="方正楷体_GB2312" w:cs="方正楷体_GB2312"/>
          <w:color w:val="auto"/>
          <w:highlight w:val="none"/>
        </w:rPr>
        <w:t>其它有关规定</w:t>
      </w:r>
      <w:bookmarkEnd w:id="52"/>
    </w:p>
    <w:p w14:paraId="7845ACAE">
      <w:pPr>
        <w:snapToGrid w:val="0"/>
        <w:spacing w:line="360" w:lineRule="auto"/>
        <w:ind w:firstLine="360" w:firstLineChars="15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（一）单位负责人为同一人或者存在直接控股、管理关系的不同供应商，不得参加同一合同项（分包）下的竞采活动，否则均为无效响应。</w:t>
      </w:r>
    </w:p>
    <w:p w14:paraId="0F88A207">
      <w:pPr>
        <w:snapToGrid w:val="0"/>
        <w:spacing w:line="360" w:lineRule="auto"/>
        <w:ind w:firstLine="360" w:firstLineChars="15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（二）为采购项目提供整体设计、规范编制或者项目管理、监理、检测等服务的供应商，不得再参加该采购项目的其他采购活动。</w:t>
      </w:r>
    </w:p>
    <w:p w14:paraId="3CB8C190">
      <w:pPr>
        <w:snapToGrid w:val="0"/>
        <w:spacing w:line="360" w:lineRule="auto"/>
        <w:ind w:firstLine="360" w:firstLineChars="15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（三）本项目的变更等文件（如果有）一律在“行采家”上发布，请各供应商注意下载；无论供应商下载与否，均视同供应商已知晓本项目澄清文件（如果有）的内容。</w:t>
      </w:r>
    </w:p>
    <w:p w14:paraId="36085B33">
      <w:pPr>
        <w:snapToGrid w:val="0"/>
        <w:spacing w:line="360" w:lineRule="auto"/>
        <w:ind w:firstLine="360" w:firstLineChars="15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（四）超过响应文件截止时间递交的响应文件，恕不接收。</w:t>
      </w:r>
    </w:p>
    <w:p w14:paraId="6AA5E3C1">
      <w:pPr>
        <w:snapToGrid w:val="0"/>
        <w:spacing w:line="360" w:lineRule="auto"/>
        <w:ind w:firstLine="360" w:firstLineChars="15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（五）竞采费用：无论竞采结果如何，供应商参与本项目竞采的所有成本费用均应由供应商自行承担。</w:t>
      </w:r>
    </w:p>
    <w:p w14:paraId="496D02C0">
      <w:pPr>
        <w:snapToGrid w:val="0"/>
        <w:spacing w:line="360" w:lineRule="auto"/>
        <w:ind w:firstLine="360" w:firstLineChars="15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（六）本项目不接受联合体参与竞采。</w:t>
      </w:r>
    </w:p>
    <w:p w14:paraId="03817D79">
      <w:pPr>
        <w:snapToGrid w:val="0"/>
        <w:spacing w:line="360" w:lineRule="auto"/>
        <w:ind w:firstLine="360" w:firstLineChars="15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221611F8">
      <w:pPr>
        <w:keepNext/>
        <w:keepLines/>
        <w:spacing w:line="360" w:lineRule="auto"/>
        <w:jc w:val="center"/>
        <w:rPr>
          <w:rFonts w:hint="eastAsia" w:ascii="方正楷体_GB2312" w:hAnsi="方正楷体_GB2312" w:eastAsia="方正楷体_GB2312" w:cs="方正楷体_GB2312"/>
          <w:color w:val="auto"/>
          <w:highlight w:val="none"/>
        </w:rPr>
      </w:pPr>
      <w:bookmarkStart w:id="53" w:name="_Toc106030878"/>
      <w:bookmarkStart w:id="54" w:name="_Toc76462324"/>
      <w:r>
        <w:rPr>
          <w:rFonts w:hint="eastAsia" w:ascii="方正楷体_GB2312" w:hAnsi="方正楷体_GB2312" w:eastAsia="方正楷体_GB2312" w:cs="方正楷体_GB2312"/>
          <w:color w:val="auto"/>
          <w:highlight w:val="none"/>
        </w:rPr>
        <w:br w:type="page"/>
      </w:r>
    </w:p>
    <w:p w14:paraId="3F9BDB72">
      <w:pPr>
        <w:pStyle w:val="3"/>
        <w:spacing w:line="360" w:lineRule="auto"/>
        <w:jc w:val="center"/>
        <w:rPr>
          <w:rFonts w:hint="eastAsia" w:ascii="方正楷体_GB2312" w:hAnsi="方正楷体_GB2312" w:eastAsia="方正楷体_GB2312" w:cs="方正楷体_GB2312"/>
          <w:color w:val="auto"/>
          <w:highlight w:val="none"/>
        </w:rPr>
      </w:pPr>
      <w:bookmarkStart w:id="55" w:name="_Toc21462"/>
      <w:r>
        <w:rPr>
          <w:rFonts w:hint="eastAsia" w:ascii="方正楷体_GB2312" w:hAnsi="方正楷体_GB2312" w:eastAsia="方正楷体_GB2312" w:cs="方正楷体_GB2312"/>
          <w:color w:val="auto"/>
          <w:highlight w:val="none"/>
        </w:rPr>
        <w:t>第二篇  项目</w:t>
      </w:r>
      <w:bookmarkEnd w:id="53"/>
      <w:bookmarkEnd w:id="54"/>
      <w:r>
        <w:rPr>
          <w:rFonts w:hint="eastAsia" w:ascii="方正楷体_GB2312" w:hAnsi="方正楷体_GB2312" w:eastAsia="方正楷体_GB2312" w:cs="方正楷体_GB2312"/>
          <w:color w:val="auto"/>
          <w:highlight w:val="none"/>
        </w:rPr>
        <w:t>服务需求</w:t>
      </w:r>
      <w:bookmarkEnd w:id="55"/>
    </w:p>
    <w:p w14:paraId="6E8D473E">
      <w:pPr>
        <w:spacing w:line="360" w:lineRule="auto"/>
        <w:ind w:firstLine="482" w:firstLineChars="200"/>
        <w:jc w:val="left"/>
        <w:rPr>
          <w:rFonts w:hint="eastAsia" w:ascii="方正楷体_GB2312" w:hAnsi="方正楷体_GB2312" w:eastAsia="方正楷体_GB2312" w:cs="方正楷体_GB2312"/>
          <w:color w:val="auto"/>
          <w:sz w:val="24"/>
          <w:szCs w:val="24"/>
          <w:highlight w:val="none"/>
        </w:rPr>
      </w:pPr>
      <w:bookmarkStart w:id="56" w:name="_Toc76462325"/>
      <w:bookmarkStart w:id="57" w:name="_Toc12789058"/>
      <w:r>
        <w:rPr>
          <w:rFonts w:hint="eastAsia" w:ascii="方正楷体_GB2312" w:hAnsi="方正楷体_GB2312" w:eastAsia="方正楷体_GB2312" w:cs="方正楷体_GB2312"/>
          <w:b/>
          <w:bCs/>
          <w:color w:val="auto"/>
          <w:sz w:val="24"/>
          <w:szCs w:val="24"/>
          <w:highlight w:val="none"/>
        </w:rPr>
        <w:t>本篇服务需求为符合性审查中的实质性要求，响应文件若不满足按无效处理。</w:t>
      </w:r>
    </w:p>
    <w:bookmarkEnd w:id="56"/>
    <w:p w14:paraId="339CA8D4">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rPr>
      </w:pPr>
      <w:bookmarkStart w:id="58" w:name="_Toc313536013"/>
      <w:bookmarkStart w:id="59" w:name="_Toc344475116"/>
      <w:bookmarkStart w:id="60" w:name="_Toc106030881"/>
      <w:bookmarkStart w:id="61" w:name="_Toc76462326"/>
      <w:r>
        <w:rPr>
          <w:rFonts w:hint="eastAsia" w:ascii="方正楷体_GB2312" w:hAnsi="方正楷体_GB2312" w:eastAsia="方正楷体_GB2312" w:cs="方正楷体_GB2312"/>
          <w:color w:val="auto"/>
          <w:sz w:val="24"/>
          <w:szCs w:val="24"/>
          <w:highlight w:val="none"/>
          <w:lang w:val="en-US" w:eastAsia="zh-CN"/>
        </w:rPr>
        <w:t>一</w:t>
      </w:r>
      <w:r>
        <w:rPr>
          <w:rFonts w:hint="eastAsia" w:ascii="方正楷体_GB2312" w:hAnsi="方正楷体_GB2312" w:eastAsia="方正楷体_GB2312" w:cs="方正楷体_GB2312"/>
          <w:color w:val="auto"/>
          <w:sz w:val="24"/>
          <w:szCs w:val="24"/>
          <w:highlight w:val="none"/>
        </w:rPr>
        <w:t>、</w:t>
      </w:r>
      <w:bookmarkEnd w:id="58"/>
      <w:bookmarkEnd w:id="59"/>
      <w:bookmarkEnd w:id="60"/>
      <w:bookmarkEnd w:id="61"/>
      <w:r>
        <w:rPr>
          <w:rFonts w:hint="eastAsia" w:ascii="方正楷体_GB2312" w:hAnsi="方正楷体_GB2312" w:eastAsia="方正楷体_GB2312" w:cs="方正楷体_GB2312"/>
          <w:color w:val="auto"/>
          <w:sz w:val="24"/>
          <w:szCs w:val="24"/>
          <w:highlight w:val="none"/>
        </w:rPr>
        <w:t>服务内容</w:t>
      </w:r>
    </w:p>
    <w:p w14:paraId="482CB0FB">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本项目业主为重庆市璧山区中医院，代建单位为</w:t>
      </w:r>
      <w:r>
        <w:rPr>
          <w:rFonts w:hint="eastAsia" w:ascii="方正楷体_GB2312" w:hAnsi="方正楷体_GB2312" w:eastAsia="方正楷体_GB2312" w:cs="方正楷体_GB2312"/>
          <w:color w:val="auto"/>
          <w:sz w:val="24"/>
          <w:szCs w:val="24"/>
          <w:highlight w:val="none"/>
          <w:lang w:eastAsia="zh-CN"/>
        </w:rPr>
        <w:t>重庆绿发基础设施建设有限公司。</w:t>
      </w:r>
      <w:r>
        <w:rPr>
          <w:rFonts w:hint="eastAsia" w:ascii="方正楷体_GB2312" w:hAnsi="方正楷体_GB2312" w:eastAsia="方正楷体_GB2312" w:cs="方正楷体_GB2312"/>
          <w:color w:val="auto"/>
          <w:sz w:val="24"/>
          <w:szCs w:val="24"/>
          <w:highlight w:val="none"/>
          <w:lang w:val="en-US" w:eastAsia="zh-CN"/>
        </w:rPr>
        <w:t>由于重庆市璧山区中医院门诊楼、外科楼、内科楼需进行改造，改造面积约3.5万平方米，需对门诊楼、外科楼、内科楼等进行房屋结构安全性鉴定，出具检测报告，以便后续设计。</w:t>
      </w:r>
    </w:p>
    <w:p w14:paraId="3093F242">
      <w:pPr>
        <w:numPr>
          <w:ilvl w:val="0"/>
          <w:numId w:val="2"/>
        </w:num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供应商实力</w:t>
      </w:r>
    </w:p>
    <w:p w14:paraId="1762D9D0">
      <w:pPr>
        <w:numPr>
          <w:ilvl w:val="0"/>
          <w:numId w:val="3"/>
        </w:num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拟派项目负责人1人，且须满足下列条件：</w:t>
      </w:r>
    </w:p>
    <w:p w14:paraId="2EE8CAAA">
      <w:pPr>
        <w:numPr>
          <w:ilvl w:val="0"/>
          <w:numId w:val="4"/>
        </w:num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必须具有工程类专业的高级职称;</w:t>
      </w:r>
    </w:p>
    <w:p w14:paraId="135E0CE5">
      <w:pPr>
        <w:numPr>
          <w:ilvl w:val="0"/>
          <w:numId w:val="4"/>
        </w:num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具有省级、直辖市建设主管部门颁发的建设工程质量检测专业人员岗位证书；</w:t>
      </w:r>
    </w:p>
    <w:p w14:paraId="494D4A4E">
      <w:pPr>
        <w:numPr>
          <w:ilvl w:val="0"/>
          <w:numId w:val="4"/>
        </w:num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必须为供应商本单位工作人员。</w:t>
      </w:r>
    </w:p>
    <w:p w14:paraId="1220AD8D">
      <w:pPr>
        <w:numPr>
          <w:ilvl w:val="0"/>
          <w:numId w:val="0"/>
        </w:num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拟派项目负责人须提供有效的职称证书复印件、身份证复印件、岗位证书复印件、2024年11月至2025年2月由供应商为其缴纳的社保证明材料(或劳动合同)复印件，上述复印件均需加盖供应商公章。</w:t>
      </w:r>
    </w:p>
    <w:p w14:paraId="05B721BB">
      <w:pPr>
        <w:numPr>
          <w:ilvl w:val="0"/>
          <w:numId w:val="3"/>
        </w:numPr>
        <w:spacing w:line="360" w:lineRule="auto"/>
        <w:ind w:left="0" w:leftChars="0"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拟派项目组其他人员(不含项目负责人):至少配备5人，且均须满足下列条件：</w:t>
      </w:r>
    </w:p>
    <w:p w14:paraId="6DE790D0">
      <w:pPr>
        <w:numPr>
          <w:ilvl w:val="0"/>
          <w:numId w:val="5"/>
        </w:numPr>
        <w:spacing w:line="360" w:lineRule="auto"/>
        <w:ind w:left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必须具有建设工程质量检测专业人员岗位证书；</w:t>
      </w:r>
    </w:p>
    <w:p w14:paraId="2C8102D1">
      <w:pPr>
        <w:numPr>
          <w:ilvl w:val="0"/>
          <w:numId w:val="5"/>
        </w:numPr>
        <w:spacing w:line="360" w:lineRule="auto"/>
        <w:ind w:left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具有工程类专业的中级及以上职称；</w:t>
      </w:r>
    </w:p>
    <w:p w14:paraId="31C7D289">
      <w:pPr>
        <w:numPr>
          <w:ilvl w:val="0"/>
          <w:numId w:val="5"/>
        </w:numPr>
        <w:spacing w:line="360" w:lineRule="auto"/>
        <w:ind w:left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必须为投标供应商本单位工作人员。</w:t>
      </w:r>
    </w:p>
    <w:p w14:paraId="55915D8F">
      <w:pPr>
        <w:numPr>
          <w:ilvl w:val="0"/>
          <w:numId w:val="0"/>
        </w:numPr>
        <w:spacing w:line="360" w:lineRule="auto"/>
        <w:ind w:firstLine="480" w:firstLineChars="200"/>
        <w:jc w:val="left"/>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 xml:space="preserve"> 拟派项目组其他人员均须提供有效的职称证书复印件、建设工程质量检测专业人员岗位证书复印件、身份证复印件、建设工程质量检测监督平台上的人员信息查询结果截图，2024年11月至2025年2月由供应商为其缴纳的社保证明材料(或劳动合同)复印件，上述复印件均需加盖供应商公章。</w:t>
      </w:r>
    </w:p>
    <w:p w14:paraId="7BE8D428">
      <w:pPr>
        <w:numPr>
          <w:ilvl w:val="0"/>
          <w:numId w:val="3"/>
        </w:numPr>
        <w:spacing w:line="360" w:lineRule="auto"/>
        <w:ind w:left="0" w:leftChars="0"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投标供应商须作出合同期限内项目组人员不得调整的承诺，承诺格式自拟。</w:t>
      </w:r>
    </w:p>
    <w:p w14:paraId="450717BD">
      <w:pPr>
        <w:numPr>
          <w:ilvl w:val="0"/>
          <w:numId w:val="3"/>
        </w:numPr>
        <w:spacing w:line="360" w:lineRule="auto"/>
        <w:ind w:left="0" w:leftChars="0"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外地检测机构需按照相关规定，到重庆市住房城乡建委完成备案手续办理。</w:t>
      </w:r>
    </w:p>
    <w:p w14:paraId="1CDE1247">
      <w:pPr>
        <w:pStyle w:val="2"/>
        <w:rPr>
          <w:rFonts w:hint="default"/>
          <w:lang w:val="en-US" w:eastAsia="zh-CN"/>
        </w:rPr>
      </w:pPr>
    </w:p>
    <w:p w14:paraId="2E6B4557">
      <w:pPr>
        <w:numPr>
          <w:ilvl w:val="0"/>
          <w:numId w:val="2"/>
        </w:num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其他</w:t>
      </w:r>
    </w:p>
    <w:p w14:paraId="230410C8">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其他未尽事宜在合同中约定。</w:t>
      </w:r>
    </w:p>
    <w:p w14:paraId="7952E635">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br w:type="page"/>
      </w:r>
    </w:p>
    <w:p w14:paraId="5B89D659">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rPr>
      </w:pPr>
    </w:p>
    <w:bookmarkEnd w:id="57"/>
    <w:p w14:paraId="2EF740C2">
      <w:pPr>
        <w:pStyle w:val="3"/>
        <w:numPr>
          <w:ilvl w:val="0"/>
          <w:numId w:val="6"/>
        </w:numPr>
        <w:spacing w:line="360" w:lineRule="auto"/>
        <w:jc w:val="center"/>
        <w:rPr>
          <w:rFonts w:hint="eastAsia" w:ascii="方正楷体_GB2312" w:hAnsi="方正楷体_GB2312" w:eastAsia="方正楷体_GB2312" w:cs="方正楷体_GB2312"/>
          <w:color w:val="auto"/>
          <w:highlight w:val="none"/>
        </w:rPr>
      </w:pPr>
      <w:bookmarkStart w:id="62" w:name="_Toc76462327"/>
      <w:bookmarkStart w:id="63" w:name="_Toc106030882"/>
      <w:bookmarkStart w:id="64" w:name="_Toc30001"/>
      <w:r>
        <w:rPr>
          <w:rFonts w:hint="eastAsia" w:ascii="方正楷体_GB2312" w:hAnsi="方正楷体_GB2312" w:eastAsia="方正楷体_GB2312" w:cs="方正楷体_GB2312"/>
          <w:color w:val="auto"/>
          <w:highlight w:val="none"/>
        </w:rPr>
        <w:t>项目商务需求</w:t>
      </w:r>
      <w:bookmarkEnd w:id="62"/>
      <w:bookmarkEnd w:id="63"/>
      <w:bookmarkEnd w:id="64"/>
    </w:p>
    <w:p w14:paraId="4DFEBE77">
      <w:pPr>
        <w:spacing w:line="360" w:lineRule="auto"/>
        <w:ind w:firstLine="482" w:firstLineChars="20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本篇商务需求为符合性审查中的实质性要求，响应文件若不满足按无效处理。</w:t>
      </w:r>
    </w:p>
    <w:p w14:paraId="0EC6CD56">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rPr>
      </w:pPr>
      <w:bookmarkStart w:id="65" w:name="_Toc106030883"/>
      <w:bookmarkStart w:id="66" w:name="_Toc76462328"/>
      <w:bookmarkStart w:id="67" w:name="_Toc344475120"/>
      <w:r>
        <w:rPr>
          <w:rFonts w:hint="eastAsia" w:ascii="方正楷体_GB2312" w:hAnsi="方正楷体_GB2312" w:eastAsia="方正楷体_GB2312" w:cs="方正楷体_GB2312"/>
          <w:color w:val="auto"/>
          <w:sz w:val="24"/>
          <w:szCs w:val="24"/>
          <w:highlight w:val="none"/>
        </w:rPr>
        <w:t>一、服务期、地点</w:t>
      </w:r>
      <w:bookmarkEnd w:id="65"/>
      <w:bookmarkEnd w:id="66"/>
      <w:bookmarkEnd w:id="67"/>
    </w:p>
    <w:p w14:paraId="2E9052A8">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eastAsia="zh-CN"/>
        </w:rPr>
      </w:pPr>
      <w:bookmarkStart w:id="68" w:name="_Toc344475121"/>
      <w:bookmarkStart w:id="69" w:name="_Toc76462329"/>
      <w:bookmarkStart w:id="70" w:name="_Toc106030884"/>
      <w:r>
        <w:rPr>
          <w:rFonts w:hint="eastAsia" w:ascii="方正楷体_GB2312" w:hAnsi="方正楷体_GB2312" w:eastAsia="方正楷体_GB2312" w:cs="方正楷体_GB2312"/>
          <w:color w:val="auto"/>
          <w:sz w:val="24"/>
          <w:szCs w:val="24"/>
          <w:highlight w:val="none"/>
        </w:rPr>
        <w:t>（一）服务期：</w:t>
      </w:r>
      <w:r>
        <w:rPr>
          <w:rFonts w:hint="eastAsia" w:ascii="方正楷体_GB2312" w:hAnsi="方正楷体_GB2312" w:eastAsia="方正楷体_GB2312" w:cs="方正楷体_GB2312"/>
          <w:color w:val="auto"/>
          <w:sz w:val="24"/>
          <w:szCs w:val="24"/>
          <w:highlight w:val="none"/>
          <w:lang w:eastAsia="zh-CN"/>
        </w:rPr>
        <w:t>自合同签订之日起10天提交鉴定报告。</w:t>
      </w:r>
    </w:p>
    <w:p w14:paraId="18140925">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（二）服务地点：</w:t>
      </w:r>
      <w:r>
        <w:rPr>
          <w:rFonts w:hint="eastAsia" w:ascii="方正楷体_GB2312" w:hAnsi="方正楷体_GB2312" w:eastAsia="方正楷体_GB2312" w:cs="方正楷体_GB2312"/>
          <w:color w:val="auto"/>
          <w:sz w:val="24"/>
          <w:szCs w:val="24"/>
          <w:highlight w:val="none"/>
          <w:lang w:val="en-US" w:eastAsia="zh-CN"/>
        </w:rPr>
        <w:t>重庆市璧山区中医院指定地点。</w:t>
      </w:r>
    </w:p>
    <w:p w14:paraId="2439FE59">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w:t>
      </w:r>
      <w:bookmarkEnd w:id="68"/>
      <w:r>
        <w:rPr>
          <w:rFonts w:hint="eastAsia" w:ascii="方正楷体_GB2312" w:hAnsi="方正楷体_GB2312" w:eastAsia="方正楷体_GB2312" w:cs="方正楷体_GB2312"/>
          <w:color w:val="auto"/>
          <w:sz w:val="24"/>
          <w:szCs w:val="24"/>
          <w:highlight w:val="none"/>
        </w:rPr>
        <w:t>报价要求</w:t>
      </w:r>
      <w:bookmarkEnd w:id="69"/>
      <w:bookmarkEnd w:id="70"/>
    </w:p>
    <w:p w14:paraId="563D0DB1">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1.本项目最高限价175000.00元，以上费用包含人工费、材料费、管理费、利润、规费、税金、采购代理服务费等完成本项内容所需的一切费用。</w:t>
      </w:r>
    </w:p>
    <w:p w14:paraId="3BB5B5F0">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2.供应商按照总价包干的方式报价，本次报价为人民币报价。</w:t>
      </w:r>
    </w:p>
    <w:p w14:paraId="04E3FC1D">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r>
        <w:rPr>
          <w:rFonts w:hint="eastAsia" w:ascii="方正楷体_GB2312" w:hAnsi="方正楷体_GB2312" w:eastAsia="方正楷体_GB2312" w:cs="方正楷体_GB2312"/>
          <w:color w:val="auto"/>
          <w:sz w:val="24"/>
          <w:szCs w:val="24"/>
          <w:highlight w:val="none"/>
        </w:rPr>
        <w:t>供应商的网上报价必须和响应文件中投标函的报价一致，否则作无效响应处理。</w:t>
      </w:r>
    </w:p>
    <w:p w14:paraId="0F3A79A7">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rPr>
      </w:pPr>
      <w:bookmarkStart w:id="71" w:name="_Toc109836389"/>
      <w:r>
        <w:rPr>
          <w:rFonts w:hint="eastAsia" w:ascii="方正楷体_GB2312" w:hAnsi="方正楷体_GB2312" w:eastAsia="方正楷体_GB2312" w:cs="方正楷体_GB2312"/>
          <w:color w:val="auto"/>
          <w:sz w:val="24"/>
          <w:szCs w:val="24"/>
          <w:highlight w:val="none"/>
        </w:rPr>
        <w:t>三、结算原则</w:t>
      </w:r>
    </w:p>
    <w:p w14:paraId="683A3E1A">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本项目最高价为17.5万元，结算价为供应商中标价包干。</w:t>
      </w:r>
    </w:p>
    <w:p w14:paraId="5E3DB80C">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rPr>
        <w:t>四、付款方式</w:t>
      </w:r>
      <w:r>
        <w:rPr>
          <w:rFonts w:hint="eastAsia" w:ascii="方正楷体_GB2312" w:hAnsi="方正楷体_GB2312" w:eastAsia="方正楷体_GB2312" w:cs="方正楷体_GB2312"/>
          <w:color w:val="auto"/>
          <w:sz w:val="24"/>
          <w:szCs w:val="24"/>
          <w:highlight w:val="none"/>
          <w:lang w:val="en-US" w:eastAsia="zh-CN"/>
        </w:rPr>
        <w:t xml:space="preserve">  </w:t>
      </w:r>
    </w:p>
    <w:p w14:paraId="65AF2143">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服务项目完成后，经采购人审核合格，由项目业主重庆市璧山区中医院一次性支付服务费的70%，施工图审查合格后支付剩余30%。付款时，供应商须提供足额增值税普通发票（发票抬头为重庆市璧山区中医院），采购项目价款支付到供应商银行基本账户。</w:t>
      </w:r>
    </w:p>
    <w:p w14:paraId="6BA2764D">
      <w:pPr>
        <w:numPr>
          <w:ilvl w:val="0"/>
          <w:numId w:val="7"/>
        </w:num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验收方式</w:t>
      </w:r>
    </w:p>
    <w:p w14:paraId="23582A6E">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按照国家及行业相关标准验收，如验收达不到规定要求，对采购人造成一定的影响，中标供应商须承担一切责任，并赔偿所造成的损失。</w:t>
      </w:r>
    </w:p>
    <w:p w14:paraId="1FB6BACE">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若中选人未能按期提交鉴定报告，每延期一天处罚中选人2000元/天。</w:t>
      </w:r>
    </w:p>
    <w:p w14:paraId="114508AA">
      <w:pPr>
        <w:numPr>
          <w:ilvl w:val="0"/>
          <w:numId w:val="7"/>
        </w:numPr>
        <w:spacing w:line="360" w:lineRule="auto"/>
        <w:ind w:firstLine="480" w:firstLineChars="200"/>
        <w:jc w:val="left"/>
        <w:rPr>
          <w:rFonts w:hint="eastAsia" w:ascii="方正楷体_GB2312" w:hAnsi="方正楷体_GB2312" w:eastAsia="方正楷体_GB2312" w:cs="方正楷体_GB2312"/>
          <w:b w:val="0"/>
          <w:color w:val="auto"/>
          <w:kern w:val="2"/>
          <w:sz w:val="24"/>
          <w:szCs w:val="24"/>
          <w:highlight w:val="none"/>
          <w:lang w:val="en-US" w:eastAsia="zh-CN" w:bidi="ar-SA"/>
        </w:rPr>
      </w:pPr>
      <w:r>
        <w:rPr>
          <w:rFonts w:hint="eastAsia" w:ascii="方正楷体_GB2312" w:hAnsi="方正楷体_GB2312" w:eastAsia="方正楷体_GB2312" w:cs="方正楷体_GB2312"/>
          <w:color w:val="auto"/>
          <w:sz w:val="24"/>
          <w:szCs w:val="24"/>
          <w:highlight w:val="none"/>
          <w:lang w:val="en-US" w:eastAsia="zh-CN"/>
        </w:rPr>
        <w:t>履约保证金</w:t>
      </w:r>
    </w:p>
    <w:p w14:paraId="43C67AFD">
      <w:pPr>
        <w:spacing w:line="360" w:lineRule="auto"/>
        <w:ind w:firstLine="480" w:firstLineChars="20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 xml:space="preserve">中选人应自中标（成交）通知书发出之日起7日内并在合同签订之前，按合同金额的10%向重庆市璧山区中医院缴纳履约保证金（以转账、支票、汇票、本票或者银行出具的保函等形式提交），在中选人向项目业主提交结算审核报告后退还。中选人不按约定缴纳履约保证金的，视为放弃成交。（注:采用保函形式的，保函必须为不可撤销且见索即付。）  </w:t>
      </w:r>
    </w:p>
    <w:p w14:paraId="68614BC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br w:type="page"/>
      </w:r>
    </w:p>
    <w:p w14:paraId="7D09709E">
      <w:pPr>
        <w:pStyle w:val="2"/>
        <w:rPr>
          <w:rFonts w:hint="eastAsia" w:ascii="方正楷体_GB2312" w:hAnsi="方正楷体_GB2312" w:eastAsia="方正楷体_GB2312" w:cs="方正楷体_GB2312"/>
          <w:color w:val="auto"/>
          <w:highlight w:val="none"/>
        </w:rPr>
      </w:pPr>
    </w:p>
    <w:p w14:paraId="0AE5554E">
      <w:pPr>
        <w:spacing w:line="360" w:lineRule="auto"/>
        <w:ind w:firstLine="723" w:firstLineChars="200"/>
        <w:jc w:val="center"/>
        <w:outlineLvl w:val="0"/>
        <w:rPr>
          <w:rFonts w:hint="eastAsia" w:ascii="方正楷体_GB2312" w:hAnsi="方正楷体_GB2312" w:eastAsia="方正楷体_GB2312" w:cs="方正楷体_GB2312"/>
          <w:b/>
          <w:color w:val="auto"/>
          <w:kern w:val="44"/>
          <w:sz w:val="36"/>
          <w:szCs w:val="36"/>
          <w:highlight w:val="none"/>
        </w:rPr>
      </w:pPr>
      <w:bookmarkStart w:id="72" w:name="_Toc32315"/>
      <w:r>
        <w:rPr>
          <w:rFonts w:hint="eastAsia" w:ascii="方正楷体_GB2312" w:hAnsi="方正楷体_GB2312" w:eastAsia="方正楷体_GB2312" w:cs="方正楷体_GB2312"/>
          <w:b/>
          <w:color w:val="auto"/>
          <w:kern w:val="44"/>
          <w:sz w:val="36"/>
          <w:szCs w:val="36"/>
          <w:highlight w:val="none"/>
        </w:rPr>
        <w:t>第四篇  竞采程序、评标办法</w:t>
      </w:r>
      <w:bookmarkEnd w:id="71"/>
      <w:r>
        <w:rPr>
          <w:rFonts w:hint="eastAsia" w:ascii="方正楷体_GB2312" w:hAnsi="方正楷体_GB2312" w:eastAsia="方正楷体_GB2312" w:cs="方正楷体_GB2312"/>
          <w:b/>
          <w:color w:val="auto"/>
          <w:kern w:val="44"/>
          <w:sz w:val="36"/>
          <w:szCs w:val="36"/>
          <w:highlight w:val="none"/>
        </w:rPr>
        <w:t>、无效响应及采购终止</w:t>
      </w:r>
      <w:bookmarkEnd w:id="72"/>
    </w:p>
    <w:p w14:paraId="2B4B851E">
      <w:pPr>
        <w:pStyle w:val="4"/>
        <w:spacing w:line="360" w:lineRule="auto"/>
        <w:rPr>
          <w:rFonts w:hint="eastAsia" w:ascii="方正楷体_GB2312" w:hAnsi="方正楷体_GB2312" w:eastAsia="方正楷体_GB2312" w:cs="方正楷体_GB2312"/>
          <w:color w:val="auto"/>
          <w:highlight w:val="none"/>
        </w:rPr>
      </w:pPr>
      <w:bookmarkStart w:id="73" w:name="_Toc10124"/>
      <w:bookmarkStart w:id="74" w:name="_Toc17024"/>
      <w:r>
        <w:rPr>
          <w:rFonts w:hint="eastAsia" w:ascii="方正楷体_GB2312" w:hAnsi="方正楷体_GB2312" w:eastAsia="方正楷体_GB2312" w:cs="方正楷体_GB2312"/>
          <w:color w:val="auto"/>
          <w:highlight w:val="none"/>
        </w:rPr>
        <w:t>一、</w:t>
      </w:r>
      <w:bookmarkEnd w:id="73"/>
      <w:bookmarkStart w:id="75" w:name="_Toc75793518"/>
      <w:r>
        <w:rPr>
          <w:rFonts w:hint="eastAsia" w:ascii="方正楷体_GB2312" w:hAnsi="方正楷体_GB2312" w:eastAsia="方正楷体_GB2312" w:cs="方正楷体_GB2312"/>
          <w:color w:val="auto"/>
          <w:highlight w:val="none"/>
        </w:rPr>
        <w:t>网上竞采程序</w:t>
      </w:r>
      <w:bookmarkEnd w:id="74"/>
      <w:bookmarkEnd w:id="75"/>
    </w:p>
    <w:p w14:paraId="7D385D29">
      <w:pPr>
        <w:spacing w:line="360" w:lineRule="auto"/>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44589A14">
      <w:pPr>
        <w:spacing w:line="360" w:lineRule="auto"/>
        <w:ind w:firstLine="482" w:firstLineChars="20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1.资格性检查。</w:t>
      </w:r>
      <w:r>
        <w:rPr>
          <w:rFonts w:hint="eastAsia" w:ascii="方正楷体_GB2312" w:hAnsi="方正楷体_GB2312" w:eastAsia="方正楷体_GB2312" w:cs="方正楷体_GB2312"/>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13"/>
        <w:gridCol w:w="2996"/>
        <w:gridCol w:w="5190"/>
      </w:tblGrid>
      <w:tr w14:paraId="1E00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80" w:type="dxa"/>
            <w:vAlign w:val="center"/>
          </w:tcPr>
          <w:p w14:paraId="09CF2420">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序号</w:t>
            </w:r>
          </w:p>
        </w:tc>
        <w:tc>
          <w:tcPr>
            <w:tcW w:w="3709" w:type="dxa"/>
            <w:gridSpan w:val="2"/>
            <w:vAlign w:val="center"/>
          </w:tcPr>
          <w:p w14:paraId="6F316856">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检查因素</w:t>
            </w:r>
          </w:p>
        </w:tc>
        <w:tc>
          <w:tcPr>
            <w:tcW w:w="5190" w:type="dxa"/>
            <w:vAlign w:val="center"/>
          </w:tcPr>
          <w:p w14:paraId="5F32CD67">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检查内容</w:t>
            </w:r>
          </w:p>
        </w:tc>
      </w:tr>
      <w:tr w14:paraId="6D3E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80" w:type="dxa"/>
            <w:vMerge w:val="restart"/>
            <w:vAlign w:val="center"/>
          </w:tcPr>
          <w:p w14:paraId="3E6A46FC">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w:t>
            </w:r>
          </w:p>
        </w:tc>
        <w:tc>
          <w:tcPr>
            <w:tcW w:w="713" w:type="dxa"/>
            <w:vMerge w:val="restart"/>
            <w:vAlign w:val="center"/>
          </w:tcPr>
          <w:p w14:paraId="33C5409B">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lang w:val="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val="zh-CN"/>
              </w:rPr>
              <w:t>应符合的基本资格条件</w:t>
            </w:r>
          </w:p>
        </w:tc>
        <w:tc>
          <w:tcPr>
            <w:tcW w:w="2996" w:type="dxa"/>
            <w:vAlign w:val="center"/>
          </w:tcPr>
          <w:p w14:paraId="41F6C5AF">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（1）具有独立承担民事责任的能力</w:t>
            </w:r>
          </w:p>
        </w:tc>
        <w:tc>
          <w:tcPr>
            <w:tcW w:w="5190" w:type="dxa"/>
            <w:vAlign w:val="center"/>
          </w:tcPr>
          <w:p w14:paraId="4CAE9CBF">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供应商法人营业执照（副本）或事业单位法人证书（副本）； 供应商法定代表人身份证明和法定代表人授权代表委托书。</w:t>
            </w:r>
          </w:p>
        </w:tc>
      </w:tr>
      <w:tr w14:paraId="625A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80" w:type="dxa"/>
            <w:vMerge w:val="continue"/>
            <w:vAlign w:val="center"/>
          </w:tcPr>
          <w:p w14:paraId="40C9B72D">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p>
        </w:tc>
        <w:tc>
          <w:tcPr>
            <w:tcW w:w="713" w:type="dxa"/>
            <w:vMerge w:val="continue"/>
            <w:vAlign w:val="center"/>
          </w:tcPr>
          <w:p w14:paraId="65C7880C">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lang w:val="zh-CN"/>
              </w:rPr>
            </w:pPr>
          </w:p>
        </w:tc>
        <w:tc>
          <w:tcPr>
            <w:tcW w:w="2996" w:type="dxa"/>
            <w:vAlign w:val="center"/>
          </w:tcPr>
          <w:p w14:paraId="5D882778">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（2）具有良好的商业信誉和健全的财务会计制度</w:t>
            </w:r>
          </w:p>
        </w:tc>
        <w:tc>
          <w:tcPr>
            <w:tcW w:w="5190" w:type="dxa"/>
            <w:vMerge w:val="restart"/>
            <w:vAlign w:val="center"/>
          </w:tcPr>
          <w:p w14:paraId="6796CD26">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供应商提供承诺函（见格式文件）</w:t>
            </w:r>
          </w:p>
        </w:tc>
      </w:tr>
      <w:tr w14:paraId="44E6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80" w:type="dxa"/>
            <w:vMerge w:val="continue"/>
            <w:vAlign w:val="center"/>
          </w:tcPr>
          <w:p w14:paraId="33DF1095">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p>
        </w:tc>
        <w:tc>
          <w:tcPr>
            <w:tcW w:w="713" w:type="dxa"/>
            <w:vMerge w:val="continue"/>
            <w:vAlign w:val="center"/>
          </w:tcPr>
          <w:p w14:paraId="4B8AE6A0">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lang w:val="zh-CN"/>
              </w:rPr>
            </w:pPr>
          </w:p>
        </w:tc>
        <w:tc>
          <w:tcPr>
            <w:tcW w:w="2996" w:type="dxa"/>
            <w:vAlign w:val="center"/>
          </w:tcPr>
          <w:p w14:paraId="2C24EA72">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（3）具有履行合同所必需的设备和专业技术能力</w:t>
            </w:r>
          </w:p>
        </w:tc>
        <w:tc>
          <w:tcPr>
            <w:tcW w:w="5190" w:type="dxa"/>
            <w:vMerge w:val="continue"/>
            <w:vAlign w:val="center"/>
          </w:tcPr>
          <w:p w14:paraId="767610AA">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p>
        </w:tc>
      </w:tr>
      <w:tr w14:paraId="68D9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80" w:type="dxa"/>
            <w:vMerge w:val="continue"/>
            <w:vAlign w:val="center"/>
          </w:tcPr>
          <w:p w14:paraId="112AD5CA">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p>
        </w:tc>
        <w:tc>
          <w:tcPr>
            <w:tcW w:w="713" w:type="dxa"/>
            <w:vMerge w:val="continue"/>
            <w:vAlign w:val="center"/>
          </w:tcPr>
          <w:p w14:paraId="54DF56C2">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lang w:val="zh-CN"/>
              </w:rPr>
            </w:pPr>
          </w:p>
        </w:tc>
        <w:tc>
          <w:tcPr>
            <w:tcW w:w="2996" w:type="dxa"/>
            <w:vAlign w:val="center"/>
          </w:tcPr>
          <w:p w14:paraId="08F9CAB0">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（4）有依法缴纳税收和社会保障金的良好记录</w:t>
            </w:r>
          </w:p>
        </w:tc>
        <w:tc>
          <w:tcPr>
            <w:tcW w:w="5190" w:type="dxa"/>
            <w:vMerge w:val="continue"/>
            <w:vAlign w:val="center"/>
          </w:tcPr>
          <w:p w14:paraId="0BE19604">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p>
        </w:tc>
      </w:tr>
      <w:tr w14:paraId="3553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680" w:type="dxa"/>
            <w:vMerge w:val="continue"/>
            <w:vAlign w:val="center"/>
          </w:tcPr>
          <w:p w14:paraId="2972B933">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p>
        </w:tc>
        <w:tc>
          <w:tcPr>
            <w:tcW w:w="713" w:type="dxa"/>
            <w:vMerge w:val="continue"/>
            <w:vAlign w:val="center"/>
          </w:tcPr>
          <w:p w14:paraId="7F30E9BF">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lang w:val="zh-CN"/>
              </w:rPr>
            </w:pPr>
          </w:p>
        </w:tc>
        <w:tc>
          <w:tcPr>
            <w:tcW w:w="2996" w:type="dxa"/>
            <w:vAlign w:val="center"/>
          </w:tcPr>
          <w:p w14:paraId="6F5B1FE2">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lang w:val="zh-CN"/>
              </w:rPr>
            </w:pPr>
            <w:r>
              <w:rPr>
                <w:rFonts w:hint="eastAsia" w:ascii="方正楷体_GB2312" w:hAnsi="方正楷体_GB2312" w:eastAsia="方正楷体_GB2312" w:cs="方正楷体_GB2312"/>
                <w:color w:val="auto"/>
                <w:sz w:val="24"/>
                <w:szCs w:val="24"/>
                <w:highlight w:val="none"/>
              </w:rPr>
              <w:t>（5）参加政府采购活动前三年内，在经营活动中没有重大违法记录</w:t>
            </w:r>
          </w:p>
        </w:tc>
        <w:tc>
          <w:tcPr>
            <w:tcW w:w="5190" w:type="dxa"/>
            <w:vAlign w:val="center"/>
          </w:tcPr>
          <w:p w14:paraId="0E0BADE6">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2D40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80" w:type="dxa"/>
            <w:vMerge w:val="continue"/>
            <w:vAlign w:val="center"/>
          </w:tcPr>
          <w:p w14:paraId="2B0045FB">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p>
        </w:tc>
        <w:tc>
          <w:tcPr>
            <w:tcW w:w="713" w:type="dxa"/>
            <w:vMerge w:val="continue"/>
            <w:vAlign w:val="center"/>
          </w:tcPr>
          <w:p w14:paraId="5F4D95B7">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lang w:val="zh-CN"/>
              </w:rPr>
            </w:pPr>
          </w:p>
        </w:tc>
        <w:tc>
          <w:tcPr>
            <w:tcW w:w="2996" w:type="dxa"/>
            <w:vAlign w:val="center"/>
          </w:tcPr>
          <w:p w14:paraId="4B3832CD">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（6）法律、行政法规规定的其他条件</w:t>
            </w:r>
          </w:p>
        </w:tc>
        <w:tc>
          <w:tcPr>
            <w:tcW w:w="5190" w:type="dxa"/>
            <w:vAlign w:val="center"/>
          </w:tcPr>
          <w:p w14:paraId="61EF676A">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p>
        </w:tc>
      </w:tr>
      <w:tr w14:paraId="0E02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80" w:type="dxa"/>
            <w:vAlign w:val="center"/>
          </w:tcPr>
          <w:p w14:paraId="73AA565E">
            <w:pPr>
              <w:keepNext w:val="0"/>
              <w:keepLines w:val="0"/>
              <w:suppressLineNumbers w:val="0"/>
              <w:spacing w:before="0" w:beforeAutospacing="0" w:after="0" w:afterAutospacing="0" w:line="360" w:lineRule="auto"/>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w:t>
            </w:r>
          </w:p>
        </w:tc>
        <w:tc>
          <w:tcPr>
            <w:tcW w:w="3709" w:type="dxa"/>
            <w:gridSpan w:val="2"/>
            <w:vAlign w:val="center"/>
          </w:tcPr>
          <w:p w14:paraId="1EC22B4E">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特定资格条件</w:t>
            </w:r>
          </w:p>
        </w:tc>
        <w:tc>
          <w:tcPr>
            <w:tcW w:w="5190" w:type="dxa"/>
            <w:vAlign w:val="center"/>
          </w:tcPr>
          <w:p w14:paraId="5F8FFFA9">
            <w:pPr>
              <w:keepNext w:val="0"/>
              <w:keepLines w:val="0"/>
              <w:suppressLineNumbers w:val="0"/>
              <w:spacing w:before="0" w:beforeAutospacing="0" w:after="0" w:afterAutospacing="0"/>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按第一篇“三、供应商资格条件（二）本项目的特定资格要求”的要求提交</w:t>
            </w:r>
          </w:p>
        </w:tc>
      </w:tr>
    </w:tbl>
    <w:p w14:paraId="68FAF8B9">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D5F29E0">
      <w:pPr>
        <w:snapToGrid w:val="0"/>
        <w:spacing w:line="360" w:lineRule="auto"/>
        <w:ind w:firstLine="482" w:firstLineChars="20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rPr>
        <w:t>2.符合性检查。</w:t>
      </w:r>
      <w:r>
        <w:rPr>
          <w:rFonts w:hint="eastAsia" w:ascii="方正楷体_GB2312" w:hAnsi="方正楷体_GB2312" w:eastAsia="方正楷体_GB2312" w:cs="方正楷体_GB2312"/>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92"/>
        <w:gridCol w:w="1875"/>
        <w:gridCol w:w="5382"/>
      </w:tblGrid>
      <w:tr w14:paraId="65F4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0" w:type="dxa"/>
            <w:vAlign w:val="center"/>
          </w:tcPr>
          <w:p w14:paraId="53F92420">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序号</w:t>
            </w:r>
          </w:p>
        </w:tc>
        <w:tc>
          <w:tcPr>
            <w:tcW w:w="3367" w:type="dxa"/>
            <w:gridSpan w:val="2"/>
            <w:vAlign w:val="center"/>
          </w:tcPr>
          <w:p w14:paraId="1183CB1D">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评审因素</w:t>
            </w:r>
          </w:p>
        </w:tc>
        <w:tc>
          <w:tcPr>
            <w:tcW w:w="5382" w:type="dxa"/>
            <w:vAlign w:val="center"/>
          </w:tcPr>
          <w:p w14:paraId="4C826375">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评审标准</w:t>
            </w:r>
          </w:p>
        </w:tc>
      </w:tr>
      <w:tr w14:paraId="71AB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0" w:type="dxa"/>
            <w:vMerge w:val="restart"/>
            <w:vAlign w:val="center"/>
          </w:tcPr>
          <w:p w14:paraId="684DAB32">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1492" w:type="dxa"/>
            <w:vMerge w:val="restart"/>
            <w:vAlign w:val="center"/>
          </w:tcPr>
          <w:p w14:paraId="55534B3D">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有效性审查</w:t>
            </w:r>
          </w:p>
        </w:tc>
        <w:tc>
          <w:tcPr>
            <w:tcW w:w="1875" w:type="dxa"/>
            <w:vAlign w:val="center"/>
          </w:tcPr>
          <w:p w14:paraId="2738BC1D">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sz w:val="24"/>
                <w:szCs w:val="24"/>
                <w:highlight w:val="none"/>
              </w:rPr>
              <w:t>响应文件签署</w:t>
            </w:r>
          </w:p>
        </w:tc>
        <w:tc>
          <w:tcPr>
            <w:tcW w:w="5382" w:type="dxa"/>
            <w:vAlign w:val="center"/>
          </w:tcPr>
          <w:p w14:paraId="4CE65333">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sz w:val="24"/>
                <w:szCs w:val="20"/>
                <w:highlight w:val="none"/>
              </w:rPr>
              <w:t>网上电子文档及响应文件</w:t>
            </w:r>
            <w:r>
              <w:rPr>
                <w:rFonts w:hint="eastAsia" w:ascii="方正楷体_GB2312" w:hAnsi="方正楷体_GB2312" w:eastAsia="方正楷体_GB2312" w:cs="方正楷体_GB2312"/>
                <w:color w:val="auto"/>
                <w:sz w:val="24"/>
                <w:szCs w:val="24"/>
                <w:highlight w:val="none"/>
              </w:rPr>
              <w:t>上法定代表人或其授权代表人的签字齐全。</w:t>
            </w:r>
          </w:p>
        </w:tc>
      </w:tr>
      <w:tr w14:paraId="779E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30" w:type="dxa"/>
            <w:vMerge w:val="continue"/>
            <w:vAlign w:val="center"/>
          </w:tcPr>
          <w:p w14:paraId="57513D4F">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kern w:val="0"/>
                <w:sz w:val="24"/>
                <w:szCs w:val="24"/>
                <w:highlight w:val="none"/>
              </w:rPr>
            </w:pPr>
          </w:p>
        </w:tc>
        <w:tc>
          <w:tcPr>
            <w:tcW w:w="1492" w:type="dxa"/>
            <w:vMerge w:val="continue"/>
            <w:vAlign w:val="center"/>
          </w:tcPr>
          <w:p w14:paraId="0E363C09">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p>
        </w:tc>
        <w:tc>
          <w:tcPr>
            <w:tcW w:w="1875" w:type="dxa"/>
            <w:vAlign w:val="center"/>
          </w:tcPr>
          <w:p w14:paraId="59AC2A92">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法定代表人身份证明及授权委托书</w:t>
            </w:r>
          </w:p>
        </w:tc>
        <w:tc>
          <w:tcPr>
            <w:tcW w:w="5382" w:type="dxa"/>
            <w:vAlign w:val="center"/>
          </w:tcPr>
          <w:p w14:paraId="1CCD79AD">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法定代表人身份证明及授权委托书有效，符合网上竞采文件规定的格式，签字或盖章齐全。</w:t>
            </w:r>
          </w:p>
        </w:tc>
      </w:tr>
      <w:tr w14:paraId="4D36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0" w:type="dxa"/>
            <w:vMerge w:val="continue"/>
            <w:vAlign w:val="center"/>
          </w:tcPr>
          <w:p w14:paraId="6A6E9695">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kern w:val="0"/>
                <w:sz w:val="24"/>
                <w:szCs w:val="24"/>
                <w:highlight w:val="none"/>
              </w:rPr>
            </w:pPr>
          </w:p>
        </w:tc>
        <w:tc>
          <w:tcPr>
            <w:tcW w:w="1492" w:type="dxa"/>
            <w:vMerge w:val="continue"/>
            <w:vAlign w:val="center"/>
          </w:tcPr>
          <w:p w14:paraId="67D4802A">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p>
        </w:tc>
        <w:tc>
          <w:tcPr>
            <w:tcW w:w="1875" w:type="dxa"/>
            <w:vAlign w:val="center"/>
          </w:tcPr>
          <w:p w14:paraId="6C3350A6">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4"/>
                <w:szCs w:val="24"/>
                <w:highlight w:val="none"/>
                <w:lang w:val="zh-CN"/>
              </w:rPr>
            </w:pPr>
            <w:r>
              <w:rPr>
                <w:rFonts w:hint="eastAsia" w:ascii="方正楷体_GB2312" w:hAnsi="方正楷体_GB2312" w:eastAsia="方正楷体_GB2312" w:cs="方正楷体_GB2312"/>
                <w:color w:val="auto"/>
                <w:sz w:val="24"/>
                <w:szCs w:val="24"/>
                <w:highlight w:val="none"/>
              </w:rPr>
              <w:t>响应</w:t>
            </w:r>
            <w:r>
              <w:rPr>
                <w:rFonts w:hint="eastAsia" w:ascii="方正楷体_GB2312" w:hAnsi="方正楷体_GB2312" w:eastAsia="方正楷体_GB2312" w:cs="方正楷体_GB2312"/>
                <w:color w:val="auto"/>
                <w:sz w:val="24"/>
                <w:szCs w:val="24"/>
                <w:highlight w:val="none"/>
                <w:lang w:val="zh-CN"/>
              </w:rPr>
              <w:t>方案</w:t>
            </w:r>
          </w:p>
        </w:tc>
        <w:tc>
          <w:tcPr>
            <w:tcW w:w="5382" w:type="dxa"/>
            <w:vAlign w:val="center"/>
          </w:tcPr>
          <w:p w14:paraId="39543DA0">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sz w:val="24"/>
                <w:szCs w:val="24"/>
                <w:highlight w:val="none"/>
                <w:lang w:val="zh-CN"/>
              </w:rPr>
              <w:t>每个分包只能有一个</w:t>
            </w:r>
            <w:r>
              <w:rPr>
                <w:rFonts w:hint="eastAsia" w:ascii="方正楷体_GB2312" w:hAnsi="方正楷体_GB2312" w:eastAsia="方正楷体_GB2312" w:cs="方正楷体_GB2312"/>
                <w:color w:val="auto"/>
                <w:sz w:val="24"/>
                <w:szCs w:val="24"/>
                <w:highlight w:val="none"/>
              </w:rPr>
              <w:t>响应</w:t>
            </w:r>
            <w:r>
              <w:rPr>
                <w:rFonts w:hint="eastAsia" w:ascii="方正楷体_GB2312" w:hAnsi="方正楷体_GB2312" w:eastAsia="方正楷体_GB2312" w:cs="方正楷体_GB2312"/>
                <w:color w:val="auto"/>
                <w:sz w:val="24"/>
                <w:szCs w:val="24"/>
                <w:highlight w:val="none"/>
                <w:lang w:val="zh-CN"/>
              </w:rPr>
              <w:t>方案。</w:t>
            </w:r>
          </w:p>
        </w:tc>
      </w:tr>
      <w:tr w14:paraId="1E1C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0" w:type="dxa"/>
            <w:vMerge w:val="continue"/>
            <w:vAlign w:val="center"/>
          </w:tcPr>
          <w:p w14:paraId="3D8AE2F2">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kern w:val="0"/>
                <w:sz w:val="24"/>
                <w:szCs w:val="24"/>
                <w:highlight w:val="none"/>
              </w:rPr>
            </w:pPr>
          </w:p>
        </w:tc>
        <w:tc>
          <w:tcPr>
            <w:tcW w:w="1492" w:type="dxa"/>
            <w:vMerge w:val="continue"/>
            <w:vAlign w:val="center"/>
          </w:tcPr>
          <w:p w14:paraId="62D04AFB">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p>
        </w:tc>
        <w:tc>
          <w:tcPr>
            <w:tcW w:w="1875" w:type="dxa"/>
            <w:vAlign w:val="center"/>
          </w:tcPr>
          <w:p w14:paraId="30BDB4F4">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4"/>
                <w:szCs w:val="24"/>
                <w:highlight w:val="none"/>
                <w:lang w:val="zh-CN"/>
              </w:rPr>
            </w:pPr>
            <w:r>
              <w:rPr>
                <w:rFonts w:hint="eastAsia" w:ascii="方正楷体_GB2312" w:hAnsi="方正楷体_GB2312" w:eastAsia="方正楷体_GB2312" w:cs="方正楷体_GB2312"/>
                <w:color w:val="auto"/>
                <w:sz w:val="24"/>
                <w:szCs w:val="24"/>
                <w:highlight w:val="none"/>
              </w:rPr>
              <w:t>报价唯一</w:t>
            </w:r>
          </w:p>
        </w:tc>
        <w:tc>
          <w:tcPr>
            <w:tcW w:w="5382" w:type="dxa"/>
            <w:vAlign w:val="center"/>
          </w:tcPr>
          <w:p w14:paraId="2CA69366">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sz w:val="24"/>
                <w:szCs w:val="24"/>
                <w:highlight w:val="none"/>
                <w:lang w:val="zh-CN"/>
              </w:rPr>
              <w:t>只能在采购预算范围内报价，</w:t>
            </w:r>
            <w:r>
              <w:rPr>
                <w:rFonts w:hint="eastAsia" w:ascii="方正楷体_GB2312" w:hAnsi="方正楷体_GB2312" w:eastAsia="方正楷体_GB2312" w:cs="方正楷体_GB2312"/>
                <w:color w:val="auto"/>
                <w:sz w:val="24"/>
                <w:szCs w:val="24"/>
                <w:highlight w:val="none"/>
              </w:rPr>
              <w:t>只能有一个有效报价，不得提交选择性报价。</w:t>
            </w:r>
          </w:p>
        </w:tc>
      </w:tr>
      <w:tr w14:paraId="5C51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0" w:type="dxa"/>
            <w:vAlign w:val="center"/>
          </w:tcPr>
          <w:p w14:paraId="4FB8E427">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1492" w:type="dxa"/>
            <w:vAlign w:val="center"/>
          </w:tcPr>
          <w:p w14:paraId="5E5C617A">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完整性审查</w:t>
            </w:r>
          </w:p>
        </w:tc>
        <w:tc>
          <w:tcPr>
            <w:tcW w:w="1875" w:type="dxa"/>
            <w:vAlign w:val="center"/>
          </w:tcPr>
          <w:p w14:paraId="1B4957DD">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sz w:val="24"/>
                <w:szCs w:val="24"/>
                <w:highlight w:val="none"/>
              </w:rPr>
              <w:t>响应</w:t>
            </w:r>
            <w:r>
              <w:rPr>
                <w:rFonts w:hint="eastAsia" w:ascii="方正楷体_GB2312" w:hAnsi="方正楷体_GB2312" w:eastAsia="方正楷体_GB2312" w:cs="方正楷体_GB2312"/>
                <w:color w:val="auto"/>
                <w:sz w:val="24"/>
                <w:szCs w:val="24"/>
                <w:highlight w:val="none"/>
                <w:lang w:val="zh-CN"/>
              </w:rPr>
              <w:t>文件份数</w:t>
            </w:r>
          </w:p>
        </w:tc>
        <w:tc>
          <w:tcPr>
            <w:tcW w:w="5382" w:type="dxa"/>
            <w:vAlign w:val="center"/>
          </w:tcPr>
          <w:p w14:paraId="5370B861">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sz w:val="24"/>
                <w:szCs w:val="24"/>
                <w:highlight w:val="none"/>
              </w:rPr>
              <w:t>响应</w:t>
            </w:r>
            <w:r>
              <w:rPr>
                <w:rFonts w:hint="eastAsia" w:ascii="方正楷体_GB2312" w:hAnsi="方正楷体_GB2312" w:eastAsia="方正楷体_GB2312" w:cs="方正楷体_GB2312"/>
                <w:color w:val="auto"/>
                <w:sz w:val="24"/>
                <w:szCs w:val="24"/>
                <w:highlight w:val="none"/>
                <w:lang w:val="zh-CN"/>
              </w:rPr>
              <w:t>文件数量（</w:t>
            </w:r>
            <w:r>
              <w:rPr>
                <w:rFonts w:hint="eastAsia" w:ascii="方正楷体_GB2312" w:hAnsi="方正楷体_GB2312" w:eastAsia="方正楷体_GB2312" w:cs="方正楷体_GB2312"/>
                <w:color w:val="auto"/>
                <w:sz w:val="24"/>
                <w:szCs w:val="24"/>
                <w:highlight w:val="none"/>
              </w:rPr>
              <w:t>含电子文档</w:t>
            </w:r>
            <w:r>
              <w:rPr>
                <w:rFonts w:hint="eastAsia" w:ascii="方正楷体_GB2312" w:hAnsi="方正楷体_GB2312" w:eastAsia="方正楷体_GB2312" w:cs="方正楷体_GB2312"/>
                <w:color w:val="auto"/>
                <w:sz w:val="24"/>
                <w:szCs w:val="24"/>
                <w:highlight w:val="none"/>
                <w:lang w:val="zh-CN"/>
              </w:rPr>
              <w:t>）符合</w:t>
            </w:r>
            <w:r>
              <w:rPr>
                <w:rFonts w:hint="eastAsia" w:ascii="方正楷体_GB2312" w:hAnsi="方正楷体_GB2312" w:eastAsia="方正楷体_GB2312" w:cs="方正楷体_GB2312"/>
                <w:color w:val="auto"/>
                <w:sz w:val="24"/>
                <w:szCs w:val="24"/>
                <w:highlight w:val="none"/>
              </w:rPr>
              <w:t>网上竞采</w:t>
            </w:r>
            <w:r>
              <w:rPr>
                <w:rFonts w:hint="eastAsia" w:ascii="方正楷体_GB2312" w:hAnsi="方正楷体_GB2312" w:eastAsia="方正楷体_GB2312" w:cs="方正楷体_GB2312"/>
                <w:color w:val="auto"/>
                <w:sz w:val="24"/>
                <w:szCs w:val="24"/>
                <w:highlight w:val="none"/>
                <w:lang w:val="zh-CN"/>
              </w:rPr>
              <w:t>文件要求。</w:t>
            </w:r>
          </w:p>
        </w:tc>
      </w:tr>
      <w:tr w14:paraId="41F3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30" w:type="dxa"/>
            <w:vAlign w:val="center"/>
          </w:tcPr>
          <w:p w14:paraId="54BEC679">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1492" w:type="dxa"/>
            <w:vAlign w:val="center"/>
          </w:tcPr>
          <w:p w14:paraId="18EEE7B7">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响应程度审查</w:t>
            </w:r>
          </w:p>
        </w:tc>
        <w:tc>
          <w:tcPr>
            <w:tcW w:w="1875" w:type="dxa"/>
            <w:vAlign w:val="center"/>
          </w:tcPr>
          <w:p w14:paraId="3C898A8B">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响应文件内容</w:t>
            </w:r>
          </w:p>
        </w:tc>
        <w:tc>
          <w:tcPr>
            <w:tcW w:w="5382" w:type="dxa"/>
            <w:vAlign w:val="center"/>
          </w:tcPr>
          <w:p w14:paraId="23C97BDB">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sz w:val="24"/>
                <w:szCs w:val="24"/>
                <w:highlight w:val="none"/>
              </w:rPr>
              <w:t>对网上竞采文件第二篇、第三篇规定的网上竞采内容作出响应。</w:t>
            </w:r>
          </w:p>
        </w:tc>
      </w:tr>
    </w:tbl>
    <w:p w14:paraId="1904036A">
      <w:pPr>
        <w:snapToGrid w:val="0"/>
        <w:spacing w:line="360" w:lineRule="auto"/>
        <w:ind w:firstLine="482" w:firstLineChars="200"/>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rPr>
        <w:t>3.评选方法：综合评分法。</w:t>
      </w:r>
    </w:p>
    <w:p w14:paraId="7765795E">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方正楷体_GB2312" w:hAnsi="方正楷体_GB2312" w:eastAsia="方正楷体_GB2312" w:cs="方正楷体_GB2312"/>
          <w:color w:val="auto"/>
          <w:sz w:val="24"/>
          <w:szCs w:val="24"/>
          <w:highlight w:val="none"/>
        </w:rPr>
        <w:t>。按评审后得分由高到低的排列顺序推荐综合得分排名前三的供应商为本包（项目）中标候选人，排名第一的为第一中标候选人。得分相同的，按投标报价由低到高顺序排列。得分且投标报价相同的并列。</w:t>
      </w:r>
    </w:p>
    <w:p w14:paraId="4D347C14">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367A8B">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7BA98A5">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（四）在网上竞采过程中网上竞采的任何一方不得向他人透露与网上竞采有关的服务资料、价格或其他信息。</w:t>
      </w:r>
    </w:p>
    <w:p w14:paraId="16B56038">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（五）供应商在网上竞采时作出的所有书面承诺须由法定代表人或其授权代表签字。</w:t>
      </w:r>
    </w:p>
    <w:p w14:paraId="73E55B6F">
      <w:pPr>
        <w:pStyle w:val="4"/>
        <w:numPr>
          <w:ilvl w:val="0"/>
          <w:numId w:val="8"/>
        </w:numPr>
        <w:spacing w:line="360" w:lineRule="auto"/>
        <w:rPr>
          <w:rFonts w:hint="eastAsia" w:ascii="方正楷体_GB2312" w:hAnsi="方正楷体_GB2312" w:eastAsia="方正楷体_GB2312" w:cs="方正楷体_GB2312"/>
          <w:color w:val="auto"/>
          <w:highlight w:val="none"/>
        </w:rPr>
      </w:pPr>
      <w:bookmarkStart w:id="76" w:name="_Toc9081"/>
      <w:bookmarkStart w:id="77" w:name="_Hlk27399823"/>
      <w:r>
        <w:rPr>
          <w:rFonts w:hint="eastAsia" w:ascii="方正楷体_GB2312" w:hAnsi="方正楷体_GB2312" w:eastAsia="方正楷体_GB2312" w:cs="方正楷体_GB2312"/>
          <w:color w:val="auto"/>
          <w:highlight w:val="none"/>
        </w:rPr>
        <w:t>评审标准</w:t>
      </w:r>
      <w:bookmarkEnd w:id="76"/>
    </w:p>
    <w:p w14:paraId="2B457D11">
      <w:pPr>
        <w:pStyle w:val="8"/>
        <w:numPr>
          <w:ilvl w:val="0"/>
          <w:numId w:val="9"/>
        </w:numPr>
        <w:spacing w:line="360" w:lineRule="auto"/>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评审因素</w:t>
      </w:r>
    </w:p>
    <w:tbl>
      <w:tblPr>
        <w:tblStyle w:val="21"/>
        <w:tblW w:w="93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6"/>
        <w:gridCol w:w="1318"/>
        <w:gridCol w:w="4313"/>
        <w:gridCol w:w="2150"/>
      </w:tblGrid>
      <w:tr w14:paraId="2D91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EF71D38">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bCs/>
                <w:sz w:val="21"/>
                <w:szCs w:val="21"/>
                <w:lang w:eastAsia="zh-CN"/>
              </w:rPr>
            </w:pPr>
            <w:r>
              <w:rPr>
                <w:rFonts w:hint="eastAsia" w:ascii="方正楷体_GB2312" w:hAnsi="方正楷体_GB2312" w:eastAsia="方正楷体_GB2312" w:cs="方正楷体_GB2312"/>
                <w:b/>
                <w:bCs/>
                <w:sz w:val="21"/>
                <w:szCs w:val="21"/>
                <w:lang w:eastAsia="zh-CN"/>
              </w:rPr>
              <w:t>序号</w:t>
            </w:r>
          </w:p>
        </w:tc>
        <w:tc>
          <w:tcPr>
            <w:tcW w:w="1036" w:type="dxa"/>
            <w:vAlign w:val="center"/>
          </w:tcPr>
          <w:p w14:paraId="0347AB5C">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bCs/>
                <w:sz w:val="21"/>
                <w:szCs w:val="21"/>
                <w:lang w:eastAsia="zh-CN"/>
              </w:rPr>
            </w:pPr>
            <w:r>
              <w:rPr>
                <w:rFonts w:hint="eastAsia" w:ascii="方正楷体_GB2312" w:hAnsi="方正楷体_GB2312" w:eastAsia="方正楷体_GB2312" w:cs="方正楷体_GB2312"/>
                <w:b/>
                <w:bCs/>
                <w:sz w:val="21"/>
                <w:szCs w:val="21"/>
                <w:lang w:eastAsia="zh-CN"/>
              </w:rPr>
              <w:t>评分因素及权值</w:t>
            </w:r>
          </w:p>
        </w:tc>
        <w:tc>
          <w:tcPr>
            <w:tcW w:w="1318" w:type="dxa"/>
            <w:vAlign w:val="center"/>
          </w:tcPr>
          <w:p w14:paraId="49D84F46">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bCs/>
                <w:sz w:val="21"/>
                <w:szCs w:val="21"/>
                <w:lang w:eastAsia="zh-CN"/>
              </w:rPr>
            </w:pPr>
          </w:p>
          <w:p w14:paraId="08999AC9">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bCs/>
                <w:sz w:val="21"/>
                <w:szCs w:val="21"/>
                <w:lang w:eastAsia="zh-CN"/>
              </w:rPr>
            </w:pPr>
            <w:r>
              <w:rPr>
                <w:rFonts w:hint="eastAsia" w:ascii="方正楷体_GB2312" w:hAnsi="方正楷体_GB2312" w:eastAsia="方正楷体_GB2312" w:cs="方正楷体_GB2312"/>
                <w:b/>
                <w:bCs/>
                <w:sz w:val="21"/>
                <w:szCs w:val="21"/>
                <w:lang w:eastAsia="zh-CN"/>
              </w:rPr>
              <w:t>分值</w:t>
            </w:r>
          </w:p>
        </w:tc>
        <w:tc>
          <w:tcPr>
            <w:tcW w:w="4313" w:type="dxa"/>
            <w:vAlign w:val="center"/>
          </w:tcPr>
          <w:p w14:paraId="1A4D0F36">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bCs/>
                <w:sz w:val="21"/>
                <w:szCs w:val="21"/>
                <w:lang w:eastAsia="zh-CN"/>
              </w:rPr>
            </w:pPr>
            <w:r>
              <w:rPr>
                <w:rFonts w:hint="eastAsia" w:ascii="方正楷体_GB2312" w:hAnsi="方正楷体_GB2312" w:eastAsia="方正楷体_GB2312" w:cs="方正楷体_GB2312"/>
                <w:b/>
                <w:bCs/>
                <w:sz w:val="21"/>
                <w:szCs w:val="21"/>
                <w:lang w:eastAsia="zh-CN"/>
              </w:rPr>
              <w:t>评分标准</w:t>
            </w:r>
          </w:p>
        </w:tc>
        <w:tc>
          <w:tcPr>
            <w:tcW w:w="2150" w:type="dxa"/>
            <w:vAlign w:val="center"/>
          </w:tcPr>
          <w:p w14:paraId="5868C9D7">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bCs/>
                <w:sz w:val="21"/>
                <w:szCs w:val="21"/>
                <w:lang w:eastAsia="zh-CN"/>
              </w:rPr>
            </w:pPr>
            <w:r>
              <w:rPr>
                <w:rFonts w:hint="eastAsia" w:ascii="方正楷体_GB2312" w:hAnsi="方正楷体_GB2312" w:eastAsia="方正楷体_GB2312" w:cs="方正楷体_GB2312"/>
                <w:b/>
                <w:bCs/>
                <w:sz w:val="21"/>
                <w:szCs w:val="21"/>
                <w:lang w:eastAsia="zh-CN"/>
              </w:rPr>
              <w:t>说明</w:t>
            </w:r>
          </w:p>
        </w:tc>
      </w:tr>
      <w:tr w14:paraId="6FB7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4F3846E4">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E42AAA5">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4AD99F57">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1</w:t>
            </w:r>
          </w:p>
        </w:tc>
        <w:tc>
          <w:tcPr>
            <w:tcW w:w="1036" w:type="dxa"/>
          </w:tcPr>
          <w:p w14:paraId="3372DA0E">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6CAFA441">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投标报价</w:t>
            </w:r>
          </w:p>
          <w:p w14:paraId="0CDEAA2D">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（20分）</w:t>
            </w:r>
          </w:p>
        </w:tc>
        <w:tc>
          <w:tcPr>
            <w:tcW w:w="1318" w:type="dxa"/>
          </w:tcPr>
          <w:p w14:paraId="07E243A4">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5DC93009">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20分</w:t>
            </w:r>
          </w:p>
        </w:tc>
        <w:tc>
          <w:tcPr>
            <w:tcW w:w="4313" w:type="dxa"/>
          </w:tcPr>
          <w:p w14:paraId="75170AEE">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有效的投标报价中的最低价为评标基准价，按照下列公式计算每个供应商的投标价格得分。投标报价得分=(评标基准价/投标报价)x价格权重x100</w:t>
            </w:r>
          </w:p>
        </w:tc>
        <w:tc>
          <w:tcPr>
            <w:tcW w:w="2150" w:type="dxa"/>
          </w:tcPr>
          <w:p w14:paraId="377F55BD">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高于最高限价为无效报价</w:t>
            </w:r>
          </w:p>
        </w:tc>
      </w:tr>
      <w:tr w14:paraId="22F5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0C3FA640">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ED50692">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B44C169">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37ED1CA1">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DC91AA0">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7B01A9D">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5ED89631">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15901F11">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75D0CAE3">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75ACC4A0">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41006579">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2</w:t>
            </w:r>
          </w:p>
        </w:tc>
        <w:tc>
          <w:tcPr>
            <w:tcW w:w="1036" w:type="dxa"/>
            <w:vMerge w:val="restart"/>
          </w:tcPr>
          <w:p w14:paraId="3D1CA8CF">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2E803EC">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31F48AA1">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3BC8C799">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16357F5F">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1DE6840F">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ED8BF8C">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32AFB2B0">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E7ADB16">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44CA74E6">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服务部分</w:t>
            </w:r>
          </w:p>
          <w:p w14:paraId="70CA1969">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（60分）</w:t>
            </w:r>
          </w:p>
        </w:tc>
        <w:tc>
          <w:tcPr>
            <w:tcW w:w="1318" w:type="dxa"/>
          </w:tcPr>
          <w:p w14:paraId="7BFF2AF1">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13CC6FE4">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1952E85">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335F5887">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B1E82D1">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D003C25">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CDB2D11">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78B820BA">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7E94425">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705E5D08">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房屋建筑鉴定服务方案</w:t>
            </w:r>
          </w:p>
          <w:p w14:paraId="22709AA6">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（30分）</w:t>
            </w:r>
          </w:p>
        </w:tc>
        <w:tc>
          <w:tcPr>
            <w:tcW w:w="4313" w:type="dxa"/>
          </w:tcPr>
          <w:p w14:paraId="5A1C78CD">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1.房屋建筑鉴定服务方案，方案完整详细、检测依据、检测方法、使用仪器的适用性，是否科学、合理，检测参数及结论是否有针对性，完全满足采购人实际需求进行评审，标准如下:</w:t>
            </w:r>
          </w:p>
          <w:p w14:paraId="6EFDCCA6">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(1)房屋建筑鉴定服务方案完整详细、思路理解透彻，人员配置、计划安排、检测关键工作节点控制措施等要素齐全，检测方案考虑全面无重大遗漏，鉴定检测过程中检查和检测措施到位，使用仪器科学、合理，检测参数记录详细，完全满足采购人实际需求得30分;</w:t>
            </w:r>
          </w:p>
          <w:p w14:paraId="46A84D9E">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(2)房屋建筑鉴定服务方案完整详细、思路理解透彻，人员配置、计划安排、关键工作节点控制措施等要素较齐全，方案考虑全面无重大遗漏，鉴定检测过程中检查和检测措施基本到位，使用仪器一般合理，检测参数记录较详细,满足采购人实际需求得分20分;</w:t>
            </w:r>
          </w:p>
          <w:p w14:paraId="0B54436C">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(3)房屋建筑鉴定服务方案完整度一般、思路理解一般，人员配置、计划安排、关键工作节点控制措施等要素一般，方案考虑全面无重大遗漏，鉴定检测过程中检查和检测措施一般，使用仪器一般合理，有检测参数记录，基本满足采购人需求得 10分；</w:t>
            </w:r>
          </w:p>
          <w:p w14:paraId="1F48A3A0">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(4)有房屋建筑鉴定服务方案、有人员配置计划安排、有关键工作节点控制措施等要素，有鉴定检测过程中检查和检测措施，有检测仪器，有检测参数记录的5分；</w:t>
            </w:r>
          </w:p>
          <w:p w14:paraId="6E4D0BA8">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(5)未提供或基本不满足得0分。</w:t>
            </w:r>
          </w:p>
        </w:tc>
        <w:tc>
          <w:tcPr>
            <w:tcW w:w="2150" w:type="dxa"/>
            <w:vMerge w:val="restart"/>
            <w:vAlign w:val="center"/>
          </w:tcPr>
          <w:p w14:paraId="6CF584C9">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评审小组各成员根据方案评分，独立对各供应商提供的方案进行比较评分。各供应商方案最终得分为各评审小组成员打分的算术平均值。计算结果保留小数点后两位，第三位四舍五入。</w:t>
            </w:r>
          </w:p>
        </w:tc>
      </w:tr>
      <w:tr w14:paraId="4293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07C3A5B9">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036" w:type="dxa"/>
            <w:vMerge w:val="continue"/>
          </w:tcPr>
          <w:p w14:paraId="0937747E">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318" w:type="dxa"/>
          </w:tcPr>
          <w:p w14:paraId="72197BBC">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4A6983A2">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C91C011">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3586170E">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7E0FA930">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6F077B48">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1F0DA234">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67A4FEA9">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57293743">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1671D701">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安全保障</w:t>
            </w:r>
          </w:p>
          <w:p w14:paraId="6A0493D2">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（10分）</w:t>
            </w:r>
          </w:p>
        </w:tc>
        <w:tc>
          <w:tcPr>
            <w:tcW w:w="4313" w:type="dxa"/>
          </w:tcPr>
          <w:p w14:paraId="7CD40918">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安全保障方案，安全管理体系健全、措施可行：</w:t>
            </w:r>
          </w:p>
          <w:p w14:paraId="55DEE109">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(1)方案完整详细，以国家及重庆的标准规范等为依据，对安全实施难点有重点分析，切入点准确，可操作性强，内容重点突出问题剖析到位，能够协助采购人加以纠正，处置措施得力，完全满足采购人实际需求得10分:</w:t>
            </w:r>
          </w:p>
          <w:p w14:paraId="31A212BE">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(2)方案较完整详细，以国家及重庆的标准规范等为依据，对安全实施难点有分析，切入点较准确，可操作性较强，内容重点较突出，问题剖析较到位，能够协助采购人加以纠正，处置措施较得力，满足采购人实际需求得分 6分:</w:t>
            </w:r>
          </w:p>
          <w:p w14:paraId="2D3691DB">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(3)方案完整度一般，以国家及重庆的标准规范等为依据，对安全实施难点分析一般，切入点准确性一般，可操作性一般，内容重点突出性一般，问题剖析一般，能够协助采购人加以纠正，处置措施一般，并基本满足采购人需求得4分;</w:t>
            </w:r>
          </w:p>
          <w:p w14:paraId="1DFDAFA5">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(4)有方案，方案部分满足得2分；</w:t>
            </w:r>
          </w:p>
          <w:p w14:paraId="4F8DC976">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(5)未提供或基本不满足得0分。</w:t>
            </w:r>
          </w:p>
        </w:tc>
        <w:tc>
          <w:tcPr>
            <w:tcW w:w="2150" w:type="dxa"/>
            <w:vMerge w:val="continue"/>
          </w:tcPr>
          <w:p w14:paraId="742E3AFC">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r>
      <w:tr w14:paraId="1AC9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48D6F89E">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036" w:type="dxa"/>
            <w:vMerge w:val="continue"/>
          </w:tcPr>
          <w:p w14:paraId="48133D66">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318" w:type="dxa"/>
          </w:tcPr>
          <w:p w14:paraId="5C75AC2E">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B630952">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1DB59359">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6F3AF157">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5181D1B">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1A1469D3">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42C23C3A">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应急预案</w:t>
            </w:r>
          </w:p>
          <w:p w14:paraId="43C07D57">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（10分）</w:t>
            </w:r>
          </w:p>
        </w:tc>
        <w:tc>
          <w:tcPr>
            <w:tcW w:w="4313" w:type="dxa"/>
          </w:tcPr>
          <w:p w14:paraId="756D7F89">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应急预案，控制性项目安排得当，应急补救措施可行。</w:t>
            </w:r>
          </w:p>
          <w:p w14:paraId="36374AA2">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(1)应急预案，关键工作设置准确，计划周详，无重大遗漏，人员分工合理，问题分析与解决的处置措施有力，完全满足采购人实际需求得 10分;</w:t>
            </w:r>
          </w:p>
          <w:p w14:paraId="3D0D9CEF">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(2)应急预案，关键工作设置较准确，计划较周详，无重大遗漏，人员分工较合理，问题分析与解决的处置措施较有力，满足采购人实际需求得分6分:</w:t>
            </w:r>
          </w:p>
          <w:p w14:paraId="213875D9">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(3)应急预案，关键工作设置准确性一般,计划安排一般，人员分工一般，问题分析与解决的处置措施一般，并基本满足采购人需求得4分；</w:t>
            </w:r>
          </w:p>
          <w:p w14:paraId="160A6AC6">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(4)有应急预案，应急预案部分满足得2分;</w:t>
            </w:r>
          </w:p>
          <w:p w14:paraId="0F042E20">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(5)未提供或基本不满足得0分</w:t>
            </w:r>
          </w:p>
        </w:tc>
        <w:tc>
          <w:tcPr>
            <w:tcW w:w="2150" w:type="dxa"/>
            <w:vMerge w:val="continue"/>
          </w:tcPr>
          <w:p w14:paraId="0211A201">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r>
      <w:tr w14:paraId="549E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2075A2EB">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036" w:type="dxa"/>
            <w:vMerge w:val="continue"/>
          </w:tcPr>
          <w:p w14:paraId="6231D313">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318" w:type="dxa"/>
          </w:tcPr>
          <w:p w14:paraId="4B94746A">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55C1C57">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321ABD63">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15B5050">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738C1CFB">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311D9B1C">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76222CD2">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服务质量保证措施（10分）</w:t>
            </w:r>
          </w:p>
        </w:tc>
        <w:tc>
          <w:tcPr>
            <w:tcW w:w="4313" w:type="dxa"/>
          </w:tcPr>
          <w:p w14:paraId="27242083">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服务质量保证措施，详细说明项目实施的进度计划，明确各阶段的时间安排、人员及资源投入情况、各阶段主要工作内容和提交成果。</w:t>
            </w:r>
          </w:p>
          <w:p w14:paraId="07FF4569">
            <w:pPr>
              <w:pStyle w:val="8"/>
              <w:keepNext w:val="0"/>
              <w:keepLines w:val="0"/>
              <w:widowControl/>
              <w:numPr>
                <w:ilvl w:val="0"/>
                <w:numId w:val="10"/>
              </w:numPr>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进度计划及人员安排合理，有详细说明项目实施的进度计划，明确各阶段的时间安排、人员及资源投入情况，人员分工细致、各阶段目标明晰的得10分:</w:t>
            </w:r>
          </w:p>
          <w:p w14:paraId="5F4B8BC8">
            <w:pPr>
              <w:pStyle w:val="8"/>
              <w:keepNext w:val="0"/>
              <w:keepLines w:val="0"/>
              <w:widowControl/>
              <w:numPr>
                <w:ilvl w:val="0"/>
                <w:numId w:val="10"/>
              </w:numPr>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进度计划和人员安排较合理，有项目实施的进度计划，有各阶段的时间安排、人员及资源投入情况，人员分工较细致、各阶段目标较明晰的得5分;</w:t>
            </w:r>
          </w:p>
          <w:p w14:paraId="1F7C1980">
            <w:pPr>
              <w:pStyle w:val="8"/>
              <w:keepNext w:val="0"/>
              <w:keepLines w:val="0"/>
              <w:widowControl/>
              <w:suppressLineNumbers w:val="0"/>
              <w:kinsoku/>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(3)未提供或基本不满足得0分。</w:t>
            </w:r>
          </w:p>
        </w:tc>
        <w:tc>
          <w:tcPr>
            <w:tcW w:w="2150" w:type="dxa"/>
            <w:vMerge w:val="continue"/>
          </w:tcPr>
          <w:p w14:paraId="43EA7945">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r>
      <w:tr w14:paraId="5348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tcPr>
          <w:p w14:paraId="0F1176F6">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C2E492C">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2A84B5DC">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4D1CBF77">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7D0F535">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827F709">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7EFC5D46">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3</w:t>
            </w:r>
          </w:p>
        </w:tc>
        <w:tc>
          <w:tcPr>
            <w:tcW w:w="1036" w:type="dxa"/>
            <w:vMerge w:val="restart"/>
          </w:tcPr>
          <w:p w14:paraId="5125AF32">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0B5A5376">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566E13F7">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65E61814">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p w14:paraId="7C380461">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商务部分</w:t>
            </w:r>
          </w:p>
          <w:p w14:paraId="3B58C210">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（20分）</w:t>
            </w:r>
          </w:p>
        </w:tc>
        <w:tc>
          <w:tcPr>
            <w:tcW w:w="1318" w:type="dxa"/>
          </w:tcPr>
          <w:p w14:paraId="1A749740">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项目负责人（5分）</w:t>
            </w:r>
          </w:p>
        </w:tc>
        <w:tc>
          <w:tcPr>
            <w:tcW w:w="4313" w:type="dxa"/>
          </w:tcPr>
          <w:p w14:paraId="08AEDB4B">
            <w:pPr>
              <w:pStyle w:val="8"/>
              <w:keepNext w:val="0"/>
              <w:keepLines w:val="0"/>
              <w:widowControl/>
              <w:suppressLineNumbers w:val="0"/>
              <w:kinsoku/>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项目负责人具有正高级职称或具有一级注册结构工程师或注册土木工程师执业资格证书加5分。此项最多得5分。</w:t>
            </w:r>
          </w:p>
        </w:tc>
        <w:tc>
          <w:tcPr>
            <w:tcW w:w="2150" w:type="dxa"/>
          </w:tcPr>
          <w:p w14:paraId="16369788">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提供相应证明材料加盖投标单位公章。</w:t>
            </w:r>
          </w:p>
        </w:tc>
      </w:tr>
      <w:tr w14:paraId="763E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tcPr>
          <w:p w14:paraId="696DE773">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036" w:type="dxa"/>
            <w:vMerge w:val="continue"/>
          </w:tcPr>
          <w:p w14:paraId="616C2CFA">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318" w:type="dxa"/>
          </w:tcPr>
          <w:p w14:paraId="00926000">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其他成员</w:t>
            </w:r>
          </w:p>
          <w:p w14:paraId="11B75E08">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（5分）</w:t>
            </w:r>
          </w:p>
        </w:tc>
        <w:tc>
          <w:tcPr>
            <w:tcW w:w="4313" w:type="dxa"/>
          </w:tcPr>
          <w:p w14:paraId="2D7C4E07">
            <w:pPr>
              <w:pStyle w:val="8"/>
              <w:keepNext w:val="0"/>
              <w:keepLines w:val="0"/>
              <w:widowControl/>
              <w:suppressLineNumbers w:val="0"/>
              <w:kinsoku/>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拟派项目组其他人员(不含项目负责人):配备满足基本要求的基础上，拟派人员具有工程类专业的高级及以上职称的，每人加1分，最多加5分。</w:t>
            </w:r>
          </w:p>
        </w:tc>
        <w:tc>
          <w:tcPr>
            <w:tcW w:w="2150" w:type="dxa"/>
          </w:tcPr>
          <w:p w14:paraId="57006F7B">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提供相应证明材料加盖投标单位公章。</w:t>
            </w:r>
          </w:p>
        </w:tc>
      </w:tr>
      <w:tr w14:paraId="6B7A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tcPr>
          <w:p w14:paraId="3A1585CD">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036" w:type="dxa"/>
            <w:vMerge w:val="continue"/>
          </w:tcPr>
          <w:p w14:paraId="438F4286">
            <w:pPr>
              <w:pStyle w:val="8"/>
              <w:keepNext w:val="0"/>
              <w:keepLines w:val="0"/>
              <w:widowControl/>
              <w:suppressLineNumbers w:val="0"/>
              <w:spacing w:before="0" w:beforeAutospacing="0" w:after="0" w:afterAutospacing="0"/>
              <w:ind w:left="0" w:right="0"/>
              <w:jc w:val="both"/>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p>
        </w:tc>
        <w:tc>
          <w:tcPr>
            <w:tcW w:w="1318" w:type="dxa"/>
          </w:tcPr>
          <w:p w14:paraId="375A0F3C">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业绩部分</w:t>
            </w:r>
          </w:p>
          <w:p w14:paraId="1ECC0D45">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（10分）</w:t>
            </w:r>
          </w:p>
        </w:tc>
        <w:tc>
          <w:tcPr>
            <w:tcW w:w="4313" w:type="dxa"/>
          </w:tcPr>
          <w:p w14:paraId="61FD441C">
            <w:pPr>
              <w:pStyle w:val="8"/>
              <w:keepNext w:val="0"/>
              <w:keepLines w:val="0"/>
              <w:widowControl/>
              <w:suppressLineNumbers w:val="0"/>
              <w:kinsoku/>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供应商具有相关项目实施经验，能保证鉴定工作质量。提供近三年(2022年1月1日起)鉴定业绩(单项目合同与框架项目合同均可)，每提供一个有效业绩得5分，最多 10分。</w:t>
            </w:r>
          </w:p>
        </w:tc>
        <w:tc>
          <w:tcPr>
            <w:tcW w:w="2150" w:type="dxa"/>
          </w:tcPr>
          <w:p w14:paraId="1752785C">
            <w:pPr>
              <w:pStyle w:val="8"/>
              <w:keepNext w:val="0"/>
              <w:keepLines w:val="0"/>
              <w:widowControl/>
              <w:suppressLineNumbers w:val="0"/>
              <w:spacing w:before="0" w:beforeAutospacing="0" w:after="0" w:afterAutospacing="0"/>
              <w:ind w:left="0" w:right="0"/>
              <w:jc w:val="cente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pPr>
            <w:r>
              <w:rPr>
                <w:rFonts w:hint="eastAsia" w:ascii="方正楷体_GB2312" w:hAnsi="方正楷体_GB2312" w:eastAsia="方正楷体_GB2312" w:cs="方正楷体_GB2312"/>
                <w:b w:val="0"/>
                <w:bCs w:val="0"/>
                <w:snapToGrid/>
                <w:color w:val="auto"/>
                <w:kern w:val="0"/>
                <w:sz w:val="21"/>
                <w:szCs w:val="21"/>
                <w:highlight w:val="none"/>
                <w:lang w:val="en-US" w:eastAsia="zh-CN" w:bidi="ar-SA"/>
              </w:rPr>
              <w:t>业绩合同需同时包含安全性鉴定及抗震鉴定，提供合同扫描件加盖投标单位公章。</w:t>
            </w:r>
          </w:p>
        </w:tc>
      </w:tr>
      <w:bookmarkEnd w:id="77"/>
    </w:tbl>
    <w:p w14:paraId="603953D1">
      <w:pPr>
        <w:pStyle w:val="4"/>
        <w:spacing w:line="360" w:lineRule="auto"/>
        <w:rPr>
          <w:rFonts w:hint="eastAsia" w:ascii="方正楷体_GB2312" w:hAnsi="方正楷体_GB2312" w:eastAsia="方正楷体_GB2312" w:cs="方正楷体_GB2312"/>
          <w:color w:val="auto"/>
          <w:highlight w:val="none"/>
        </w:rPr>
      </w:pPr>
      <w:bookmarkStart w:id="78" w:name="_Toc17855"/>
      <w:bookmarkStart w:id="79" w:name="_Toc102227313"/>
      <w:bookmarkStart w:id="80" w:name="_Toc76462337"/>
      <w:bookmarkStart w:id="81" w:name="_Toc106030892"/>
      <w:r>
        <w:rPr>
          <w:rFonts w:hint="eastAsia" w:ascii="方正楷体_GB2312" w:hAnsi="方正楷体_GB2312" w:eastAsia="方正楷体_GB2312" w:cs="方正楷体_GB2312"/>
          <w:color w:val="auto"/>
          <w:highlight w:val="none"/>
        </w:rPr>
        <w:t>三、无效响应</w:t>
      </w:r>
      <w:bookmarkEnd w:id="78"/>
    </w:p>
    <w:p w14:paraId="563DEE0F">
      <w:pPr>
        <w:snapToGrid w:val="0"/>
        <w:spacing w:line="360" w:lineRule="auto"/>
        <w:ind w:firstLine="480" w:firstLineChars="200"/>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供应商发生以下条款情况之一者，视为无效报价：</w:t>
      </w:r>
    </w:p>
    <w:p w14:paraId="7ACEBAE8">
      <w:pPr>
        <w:pStyle w:val="14"/>
        <w:spacing w:line="360" w:lineRule="auto"/>
        <w:ind w:firstLine="480" w:firstLineChars="200"/>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（一）供应商不符合规定的资格条件的；</w:t>
      </w:r>
    </w:p>
    <w:p w14:paraId="06AC302B">
      <w:pPr>
        <w:pStyle w:val="14"/>
        <w:spacing w:line="360" w:lineRule="auto"/>
        <w:ind w:firstLine="480" w:firstLineChars="200"/>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（二）供应商未通过实质性响应审查的；</w:t>
      </w:r>
    </w:p>
    <w:p w14:paraId="2D38288F">
      <w:pPr>
        <w:pStyle w:val="14"/>
        <w:spacing w:line="360" w:lineRule="auto"/>
        <w:ind w:firstLine="480" w:firstLineChars="200"/>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（三）供应商所提交的响应文件未按“第七篇响应文件格式要求”要求签署或盖章的；</w:t>
      </w:r>
    </w:p>
    <w:p w14:paraId="357E3B8A">
      <w:pPr>
        <w:pStyle w:val="14"/>
        <w:spacing w:line="360" w:lineRule="auto"/>
        <w:ind w:firstLine="480" w:firstLineChars="200"/>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（四）供应商的报价超过采购预算或最高限价的；</w:t>
      </w:r>
    </w:p>
    <w:p w14:paraId="324B5988">
      <w:pPr>
        <w:pStyle w:val="14"/>
        <w:spacing w:line="360" w:lineRule="auto"/>
        <w:ind w:firstLine="480" w:firstLineChars="200"/>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（五）单位负责人为同一人或者存在直接控股、管理关系的不同供应商，参加同一合同项（包）报价的；</w:t>
      </w:r>
    </w:p>
    <w:p w14:paraId="6B6C1B0F">
      <w:pPr>
        <w:pStyle w:val="14"/>
        <w:spacing w:line="360" w:lineRule="auto"/>
        <w:ind w:firstLine="480" w:firstLineChars="200"/>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（六）为采购项目提供整体设计、规范编制或者项目管理、监理、检测等服务的供应商再参加该采购项目的其他采购活动的；</w:t>
      </w:r>
    </w:p>
    <w:p w14:paraId="6E6EE6FC">
      <w:pPr>
        <w:pStyle w:val="14"/>
        <w:spacing w:line="360" w:lineRule="auto"/>
        <w:ind w:firstLine="480" w:firstLineChars="200"/>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（七）法律、法规和竞采邀请书规定的其他无效情形。</w:t>
      </w:r>
    </w:p>
    <w:p w14:paraId="7940EB0C">
      <w:pPr>
        <w:pStyle w:val="4"/>
        <w:spacing w:line="360" w:lineRule="auto"/>
        <w:rPr>
          <w:rFonts w:hint="eastAsia" w:ascii="方正楷体_GB2312" w:hAnsi="方正楷体_GB2312" w:eastAsia="方正楷体_GB2312" w:cs="方正楷体_GB2312"/>
          <w:color w:val="auto"/>
          <w:highlight w:val="none"/>
        </w:rPr>
      </w:pPr>
      <w:bookmarkStart w:id="82" w:name="_Toc106030398"/>
      <w:bookmarkStart w:id="83" w:name="_Toc4422"/>
      <w:bookmarkStart w:id="84" w:name="_Toc21946"/>
      <w:bookmarkStart w:id="85" w:name="_Toc25549"/>
      <w:bookmarkStart w:id="86" w:name="_Toc6204"/>
      <w:bookmarkStart w:id="87" w:name="_Toc6719"/>
      <w:bookmarkStart w:id="88" w:name="_Toc14355"/>
      <w:bookmarkStart w:id="89" w:name="_Toc75793522"/>
      <w:bookmarkStart w:id="90" w:name="_Toc27133"/>
      <w:bookmarkStart w:id="91" w:name="_Toc23533"/>
      <w:bookmarkStart w:id="92" w:name="_Toc6956"/>
      <w:bookmarkStart w:id="93" w:name="_Toc25960"/>
      <w:bookmarkStart w:id="94" w:name="_Toc11293"/>
      <w:bookmarkStart w:id="95" w:name="_Toc20005"/>
      <w:bookmarkStart w:id="96" w:name="_Toc30605"/>
      <w:bookmarkStart w:id="97" w:name="_Toc7802"/>
      <w:bookmarkStart w:id="98" w:name="_Toc22401"/>
      <w:r>
        <w:rPr>
          <w:rFonts w:hint="eastAsia" w:ascii="方正楷体_GB2312" w:hAnsi="方正楷体_GB2312" w:eastAsia="方正楷体_GB2312" w:cs="方正楷体_GB2312"/>
          <w:color w:val="auto"/>
          <w:highlight w:val="none"/>
        </w:rPr>
        <w:t>四、</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方正楷体_GB2312" w:hAnsi="方正楷体_GB2312" w:eastAsia="方正楷体_GB2312" w:cs="方正楷体_GB2312"/>
          <w:color w:val="auto"/>
          <w:highlight w:val="none"/>
        </w:rPr>
        <w:t>采购终止</w:t>
      </w:r>
      <w:bookmarkEnd w:id="98"/>
    </w:p>
    <w:p w14:paraId="0B122CB7">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出现下列情形之一的，采购人或者采购代理机构应当终止采购活动，发布项目终止公告并说明原因，重新开展采购活动：</w:t>
      </w:r>
    </w:p>
    <w:p w14:paraId="2FC4F00D">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（一）因情况变化，不再符合规定的采购方式适用情形的；</w:t>
      </w:r>
    </w:p>
    <w:p w14:paraId="3E8BB210">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（二）出现影响采购公正的违法、违规行为的；</w:t>
      </w:r>
    </w:p>
    <w:p w14:paraId="470D7091">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（三）在采购过程中符合竞采要求的供应商不足3家的；</w:t>
      </w:r>
    </w:p>
    <w:p w14:paraId="54B36000">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（四）项目出现其他实质性影响，可能导致项目无法正常开展的情形。</w:t>
      </w:r>
    </w:p>
    <w:p w14:paraId="19135D05">
      <w:pPr>
        <w:keepNext/>
        <w:keepLines/>
        <w:spacing w:line="360" w:lineRule="auto"/>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br w:type="page"/>
      </w:r>
    </w:p>
    <w:p w14:paraId="52161282">
      <w:pPr>
        <w:pStyle w:val="3"/>
        <w:spacing w:line="360" w:lineRule="auto"/>
        <w:jc w:val="center"/>
        <w:rPr>
          <w:rFonts w:hint="eastAsia" w:ascii="方正楷体_GB2312" w:hAnsi="方正楷体_GB2312" w:eastAsia="方正楷体_GB2312" w:cs="方正楷体_GB2312"/>
          <w:color w:val="auto"/>
          <w:highlight w:val="none"/>
        </w:rPr>
      </w:pPr>
      <w:bookmarkStart w:id="99" w:name="_Toc23646"/>
      <w:r>
        <w:rPr>
          <w:rFonts w:hint="eastAsia" w:ascii="方正楷体_GB2312" w:hAnsi="方正楷体_GB2312" w:eastAsia="方正楷体_GB2312" w:cs="方正楷体_GB2312"/>
          <w:color w:val="auto"/>
          <w:highlight w:val="none"/>
        </w:rPr>
        <w:t>第五篇 供应商须知</w:t>
      </w:r>
      <w:bookmarkEnd w:id="79"/>
      <w:bookmarkEnd w:id="80"/>
      <w:bookmarkEnd w:id="81"/>
      <w:bookmarkEnd w:id="99"/>
    </w:p>
    <w:p w14:paraId="64BA1C32">
      <w:pPr>
        <w:pStyle w:val="4"/>
        <w:spacing w:line="360" w:lineRule="auto"/>
        <w:rPr>
          <w:rFonts w:hint="eastAsia" w:ascii="方正楷体_GB2312" w:hAnsi="方正楷体_GB2312" w:eastAsia="方正楷体_GB2312" w:cs="方正楷体_GB2312"/>
          <w:color w:val="auto"/>
          <w:highlight w:val="none"/>
        </w:rPr>
      </w:pPr>
      <w:bookmarkStart w:id="100" w:name="_Toc106030893"/>
      <w:bookmarkStart w:id="101" w:name="_Toc342913389"/>
      <w:bookmarkStart w:id="102" w:name="_Toc76462338"/>
      <w:bookmarkStart w:id="103" w:name="_Toc20813"/>
      <w:r>
        <w:rPr>
          <w:rFonts w:hint="eastAsia" w:ascii="方正楷体_GB2312" w:hAnsi="方正楷体_GB2312" w:eastAsia="方正楷体_GB2312" w:cs="方正楷体_GB2312"/>
          <w:color w:val="auto"/>
          <w:highlight w:val="none"/>
        </w:rPr>
        <w:t>一、竞采费用</w:t>
      </w:r>
      <w:bookmarkEnd w:id="100"/>
      <w:bookmarkEnd w:id="101"/>
      <w:bookmarkEnd w:id="102"/>
      <w:bookmarkEnd w:id="103"/>
    </w:p>
    <w:p w14:paraId="1CCC87D4">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参与竞采的供应商应承担其编制响应文件与递交响应文件所涉及的一切费用，不论竞采结果如何，采购人和采购代理机构在任何情况下无义务也无责任承担这些费用。</w:t>
      </w:r>
    </w:p>
    <w:p w14:paraId="4018F491">
      <w:pPr>
        <w:pStyle w:val="4"/>
        <w:spacing w:line="360" w:lineRule="auto"/>
        <w:rPr>
          <w:rFonts w:hint="eastAsia" w:ascii="方正楷体_GB2312" w:hAnsi="方正楷体_GB2312" w:eastAsia="方正楷体_GB2312" w:cs="方正楷体_GB2312"/>
          <w:color w:val="auto"/>
          <w:highlight w:val="none"/>
        </w:rPr>
      </w:pPr>
      <w:bookmarkStart w:id="104" w:name="_Toc342913391"/>
      <w:bookmarkStart w:id="105" w:name="_Toc106030894"/>
      <w:bookmarkStart w:id="106" w:name="_Toc76462339"/>
      <w:bookmarkStart w:id="107" w:name="_Toc4641"/>
      <w:r>
        <w:rPr>
          <w:rFonts w:hint="eastAsia" w:ascii="方正楷体_GB2312" w:hAnsi="方正楷体_GB2312" w:eastAsia="方正楷体_GB2312" w:cs="方正楷体_GB2312"/>
          <w:color w:val="auto"/>
          <w:highlight w:val="none"/>
        </w:rPr>
        <w:t>二、竞采文件</w:t>
      </w:r>
      <w:bookmarkEnd w:id="104"/>
      <w:bookmarkEnd w:id="105"/>
      <w:bookmarkEnd w:id="106"/>
      <w:bookmarkEnd w:id="107"/>
    </w:p>
    <w:p w14:paraId="3951E368">
      <w:pPr>
        <w:pStyle w:val="26"/>
        <w:ind w:firstLine="480"/>
        <w:rPr>
          <w:rFonts w:hint="eastAsia" w:ascii="方正楷体_GB2312" w:hAnsi="方正楷体_GB2312" w:eastAsia="方正楷体_GB2312" w:cs="方正楷体_GB2312"/>
          <w:b/>
          <w:bCs/>
          <w:color w:val="auto"/>
          <w:szCs w:val="28"/>
          <w:highlight w:val="none"/>
        </w:rPr>
      </w:pPr>
      <w:r>
        <w:rPr>
          <w:rFonts w:hint="eastAsia" w:ascii="方正楷体_GB2312" w:hAnsi="方正楷体_GB2312" w:eastAsia="方正楷体_GB2312" w:cs="方正楷体_GB2312"/>
          <w:color w:val="auto"/>
          <w:szCs w:val="28"/>
          <w:highlight w:val="none"/>
        </w:rPr>
        <w:t>（一）</w:t>
      </w:r>
      <w:r>
        <w:rPr>
          <w:rFonts w:hint="eastAsia" w:ascii="方正楷体_GB2312" w:hAnsi="方正楷体_GB2312" w:eastAsia="方正楷体_GB2312" w:cs="方正楷体_GB2312"/>
          <w:b/>
          <w:bCs/>
          <w:color w:val="auto"/>
          <w:szCs w:val="28"/>
          <w:highlight w:val="none"/>
        </w:rPr>
        <w:t>竞采文件由采购邀请书、项目服务需求、供应商须知、项目商务需求、竞采程序及评审标准、采购合同、响应文件编制要求七部分组成。</w:t>
      </w:r>
    </w:p>
    <w:p w14:paraId="59BAAB7F">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（二）采购人（或采购代理机构）所作的一切有效的书面通知、修改及补充，都是竞采文件不可分割的部分。</w:t>
      </w:r>
    </w:p>
    <w:p w14:paraId="0A874B92">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（三）竞采文件的解释</w:t>
      </w:r>
    </w:p>
    <w:p w14:paraId="57F5AC10">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08" w:name="_Toc318166429"/>
      <w:bookmarkStart w:id="109" w:name="_Toc318159160"/>
      <w:bookmarkStart w:id="110" w:name="_Toc318159780"/>
      <w:bookmarkStart w:id="111" w:name="_Toc318159349"/>
    </w:p>
    <w:p w14:paraId="7A4A14DF">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（四）评审的依据为竞采文件和响应文件（含有效的书面承诺）。评审小组判断响应文件对竞采文件的响应，仅基于响应文件本身而不靠外部证据。</w:t>
      </w:r>
    </w:p>
    <w:bookmarkEnd w:id="108"/>
    <w:bookmarkEnd w:id="109"/>
    <w:bookmarkEnd w:id="110"/>
    <w:bookmarkEnd w:id="111"/>
    <w:p w14:paraId="4EC48A73">
      <w:pPr>
        <w:pStyle w:val="4"/>
        <w:spacing w:line="360" w:lineRule="auto"/>
        <w:rPr>
          <w:rFonts w:hint="eastAsia" w:ascii="方正楷体_GB2312" w:hAnsi="方正楷体_GB2312" w:eastAsia="方正楷体_GB2312" w:cs="方正楷体_GB2312"/>
          <w:color w:val="auto"/>
          <w:highlight w:val="none"/>
        </w:rPr>
      </w:pPr>
      <w:bookmarkStart w:id="112" w:name="_Toc342913392"/>
      <w:bookmarkStart w:id="113" w:name="_Toc179714297"/>
      <w:bookmarkStart w:id="114" w:name="_Toc102227318"/>
      <w:bookmarkStart w:id="115" w:name="_Toc12846"/>
      <w:bookmarkStart w:id="116" w:name="_Toc106030895"/>
      <w:bookmarkStart w:id="117" w:name="_Toc76462340"/>
      <w:r>
        <w:rPr>
          <w:rFonts w:hint="eastAsia" w:ascii="方正楷体_GB2312" w:hAnsi="方正楷体_GB2312" w:eastAsia="方正楷体_GB2312" w:cs="方正楷体_GB2312"/>
          <w:color w:val="auto"/>
          <w:highlight w:val="none"/>
        </w:rPr>
        <w:t>三、竞采要求</w:t>
      </w:r>
      <w:bookmarkEnd w:id="112"/>
      <w:bookmarkEnd w:id="113"/>
      <w:bookmarkEnd w:id="114"/>
      <w:bookmarkEnd w:id="115"/>
      <w:bookmarkEnd w:id="116"/>
      <w:bookmarkEnd w:id="117"/>
    </w:p>
    <w:p w14:paraId="0351B17E">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（一）响应文件</w:t>
      </w:r>
    </w:p>
    <w:p w14:paraId="0DA6FB72">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1.供应商应当按照竞采文件的要求编制响应文件，并对竞采文件提出的要求和条件作出实质性响应。</w:t>
      </w:r>
    </w:p>
    <w:p w14:paraId="5AFC19F5">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2.响应文件组成</w:t>
      </w:r>
    </w:p>
    <w:p w14:paraId="5107D3EE">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846452A">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（二）竞采有效期：响应文件及有关承诺文件有效期为提交响应文件截止时间起90天。</w:t>
      </w:r>
    </w:p>
    <w:p w14:paraId="74CFB61B">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（三）修正错误</w:t>
      </w:r>
    </w:p>
    <w:p w14:paraId="0860786F">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1.若供应商所递交的响应文件或最后报价中的价格出现大写金额和小写金额不一致的错误，以</w:t>
      </w:r>
      <w:r>
        <w:rPr>
          <w:rFonts w:hint="eastAsia" w:ascii="方正楷体_GB2312" w:hAnsi="方正楷体_GB2312" w:eastAsia="方正楷体_GB2312" w:cs="方正楷体_GB2312"/>
          <w:b/>
          <w:bCs/>
          <w:color w:val="auto"/>
          <w:szCs w:val="28"/>
          <w:highlight w:val="none"/>
          <w:u w:val="single"/>
        </w:rPr>
        <w:t>大写金额修正为准</w:t>
      </w:r>
      <w:r>
        <w:rPr>
          <w:rFonts w:hint="eastAsia" w:ascii="方正楷体_GB2312" w:hAnsi="方正楷体_GB2312" w:eastAsia="方正楷体_GB2312" w:cs="方正楷体_GB2312"/>
          <w:color w:val="auto"/>
          <w:szCs w:val="28"/>
          <w:highlight w:val="none"/>
        </w:rPr>
        <w:t>。</w:t>
      </w:r>
    </w:p>
    <w:p w14:paraId="395482A6">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6F1C0483">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（四）提交响应文件的份数和签署</w:t>
      </w:r>
    </w:p>
    <w:p w14:paraId="61800A62">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1.响应文件电子文档一份。</w:t>
      </w:r>
    </w:p>
    <w:p w14:paraId="17C9F785">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2.响应文件按竞采文件“第七篇响应文件编制要求”要求签署或盖章。</w:t>
      </w:r>
    </w:p>
    <w:p w14:paraId="7100408B">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（五）响应文件的递交</w:t>
      </w:r>
    </w:p>
    <w:p w14:paraId="1488B2A1">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响应文件的电子文档应在有效报名时间段内，通过竞采系统在线提交。</w:t>
      </w:r>
    </w:p>
    <w:p w14:paraId="20CDFD4F">
      <w:pPr>
        <w:pStyle w:val="4"/>
        <w:spacing w:line="360" w:lineRule="auto"/>
        <w:rPr>
          <w:rFonts w:hint="eastAsia" w:ascii="方正楷体_GB2312" w:hAnsi="方正楷体_GB2312" w:eastAsia="方正楷体_GB2312" w:cs="方正楷体_GB2312"/>
          <w:color w:val="auto"/>
          <w:highlight w:val="none"/>
        </w:rPr>
      </w:pPr>
      <w:bookmarkStart w:id="118" w:name="_Toc76462341"/>
      <w:bookmarkStart w:id="119" w:name="_Toc9751"/>
      <w:bookmarkStart w:id="120" w:name="_Toc106030896"/>
      <w:r>
        <w:rPr>
          <w:rFonts w:hint="eastAsia" w:ascii="方正楷体_GB2312" w:hAnsi="方正楷体_GB2312" w:eastAsia="方正楷体_GB2312" w:cs="方正楷体_GB2312"/>
          <w:color w:val="auto"/>
          <w:highlight w:val="none"/>
        </w:rPr>
        <w:t>四、成交供应商的确认和变更</w:t>
      </w:r>
      <w:bookmarkEnd w:id="118"/>
      <w:bookmarkEnd w:id="119"/>
      <w:bookmarkEnd w:id="120"/>
    </w:p>
    <w:p w14:paraId="1BBBE11E">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（一）成交供应商的确认</w:t>
      </w:r>
    </w:p>
    <w:p w14:paraId="5BB46A3D">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采购人应当在5个工作日内，从评审报告提出的成交候选供应商中，按照排序由高到低的原则确定成交供应商，也可以授权竞采小组直接确定成交供应商。</w:t>
      </w:r>
    </w:p>
    <w:p w14:paraId="4AD40612">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（二）成交供应商的变更</w:t>
      </w:r>
    </w:p>
    <w:p w14:paraId="7A2A6037">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成交供应商拒绝与采购人签订合同的，采购人可以按照评标报告推荐的成交候选供应商顺序，确定排名下一位的候选人为成交供应商，也可以重新开展竞采活动。</w:t>
      </w:r>
    </w:p>
    <w:p w14:paraId="459A152D">
      <w:pPr>
        <w:pStyle w:val="4"/>
        <w:spacing w:line="360" w:lineRule="auto"/>
        <w:rPr>
          <w:rFonts w:hint="eastAsia" w:ascii="方正楷体_GB2312" w:hAnsi="方正楷体_GB2312" w:eastAsia="方正楷体_GB2312" w:cs="方正楷体_GB2312"/>
          <w:color w:val="auto"/>
          <w:highlight w:val="none"/>
        </w:rPr>
      </w:pPr>
      <w:bookmarkStart w:id="121" w:name="_Toc76462342"/>
      <w:bookmarkStart w:id="122" w:name="_Toc6943"/>
      <w:bookmarkStart w:id="123" w:name="_Toc106030897"/>
      <w:bookmarkStart w:id="124" w:name="_Toc342913395"/>
      <w:bookmarkStart w:id="125" w:name="_Toc102227321"/>
      <w:r>
        <w:rPr>
          <w:rFonts w:hint="eastAsia" w:ascii="方正楷体_GB2312" w:hAnsi="方正楷体_GB2312" w:eastAsia="方正楷体_GB2312" w:cs="方正楷体_GB2312"/>
          <w:color w:val="auto"/>
          <w:highlight w:val="none"/>
        </w:rPr>
        <w:t>五、成交通知</w:t>
      </w:r>
      <w:bookmarkEnd w:id="121"/>
      <w:bookmarkEnd w:id="122"/>
      <w:bookmarkEnd w:id="123"/>
      <w:bookmarkEnd w:id="124"/>
      <w:bookmarkEnd w:id="125"/>
    </w:p>
    <w:p w14:paraId="18CD1B92">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（一）成交供应商确定后，采购人/代理机构将在行采家上发布成交结果公告。</w:t>
      </w:r>
    </w:p>
    <w:p w14:paraId="388684EE">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（二）结果公告发出同时，采购人/代理机构将以书面形式发出《成交通知书》。《成交通知书》一经发出即发生法律效力。</w:t>
      </w:r>
    </w:p>
    <w:p w14:paraId="45208D72">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（三）《成交通知书》作为签订合同的依据。</w:t>
      </w:r>
    </w:p>
    <w:p w14:paraId="3B4874CE">
      <w:pPr>
        <w:pStyle w:val="4"/>
        <w:spacing w:line="360" w:lineRule="auto"/>
        <w:rPr>
          <w:rFonts w:hint="eastAsia" w:ascii="方正楷体_GB2312" w:hAnsi="方正楷体_GB2312" w:eastAsia="方正楷体_GB2312" w:cs="方正楷体_GB2312"/>
          <w:color w:val="auto"/>
          <w:highlight w:val="none"/>
        </w:rPr>
      </w:pPr>
      <w:bookmarkStart w:id="126" w:name="_Toc106030898"/>
      <w:bookmarkStart w:id="127" w:name="_Toc76462343"/>
      <w:bookmarkStart w:id="128" w:name="_Toc8937"/>
      <w:r>
        <w:rPr>
          <w:rFonts w:hint="eastAsia" w:ascii="方正楷体_GB2312" w:hAnsi="方正楷体_GB2312" w:eastAsia="方正楷体_GB2312" w:cs="方正楷体_GB2312"/>
          <w:color w:val="auto"/>
          <w:highlight w:val="none"/>
        </w:rPr>
        <w:t>六、关于质疑和投诉</w:t>
      </w:r>
      <w:bookmarkEnd w:id="126"/>
      <w:bookmarkEnd w:id="127"/>
      <w:bookmarkEnd w:id="128"/>
    </w:p>
    <w:p w14:paraId="204626A3">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（一）质疑</w:t>
      </w:r>
    </w:p>
    <w:p w14:paraId="79C4A901">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供应商认为采购文件、采购过程和成交结果使自己的权益受到伤害的，可向采购人或采购代理机构以书面形式提出质疑。</w:t>
      </w:r>
    </w:p>
    <w:p w14:paraId="53415CF0">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 xml:space="preserve">提出质疑的应当是参与所质疑项目采购活动的供应商。 </w:t>
      </w:r>
    </w:p>
    <w:p w14:paraId="427F48A8">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1.质疑时限、内容</w:t>
      </w:r>
    </w:p>
    <w:p w14:paraId="369242C8">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供应商认为采购文件、采购过程、成交结果使自己的权益受到损害的，可以在知道或者应知其权益受到损害之日起2个工作日内，以书面形式向采购人、采购代理机构提出质疑。</w:t>
      </w:r>
    </w:p>
    <w:p w14:paraId="75CC0FB2">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1.2供应商提出质疑应当提交质疑函和必要的证明材料，质疑函应当包括下列内容：</w:t>
      </w:r>
    </w:p>
    <w:p w14:paraId="2D75D854">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1.2.1供应商的名称、地址、联系人及联系电话；</w:t>
      </w:r>
    </w:p>
    <w:p w14:paraId="69A7B00B">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1.2.2质疑项目的名称、采购编号；</w:t>
      </w:r>
    </w:p>
    <w:p w14:paraId="2DB3B439">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1.2.3具体、明确的质疑事项和与质疑事项相关的请求；</w:t>
      </w:r>
    </w:p>
    <w:p w14:paraId="5E6371BB">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1.2.4事实依据；</w:t>
      </w:r>
    </w:p>
    <w:p w14:paraId="5BC259A3">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1.2.5必要的法律依据；</w:t>
      </w:r>
    </w:p>
    <w:p w14:paraId="1BFDA97A">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1.2.6提出质疑的日期；</w:t>
      </w:r>
    </w:p>
    <w:p w14:paraId="7D5159CF">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1.2.7营业执照（或事业单位法人证书，或个体工商户营业执照或有效的自然人身份证明）复印件；</w:t>
      </w:r>
    </w:p>
    <w:p w14:paraId="52DEF6CA">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1.2.8法定代表人授权委托书原件、法定代表人身份证复印件和其授权代表的身份证复印件（供应商为自然人的提供自然人身份证复印件）；</w:t>
      </w:r>
    </w:p>
    <w:p w14:paraId="1E4BF3FF">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1.3供应商为自然人的，质疑函应当由本人签字；供应商为法人或者其他组织的，质疑函应当由法定代表人、主要负责人，或者其授权代表签字或者盖章，并加盖公章。</w:t>
      </w:r>
    </w:p>
    <w:p w14:paraId="1752E283">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2.质疑答复</w:t>
      </w:r>
    </w:p>
    <w:p w14:paraId="3F159FDB">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采购人、采购代理机构应当在收到供应商的书面质疑后2个工作日内作出答复，并以书面形式通知质疑供应商和其他有关供应商。</w:t>
      </w:r>
    </w:p>
    <w:p w14:paraId="7EE59FF6">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3.其他</w:t>
      </w:r>
    </w:p>
    <w:p w14:paraId="2C77E11B">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（如有）</w:t>
      </w:r>
    </w:p>
    <w:p w14:paraId="070FFF37">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（二）投诉</w:t>
      </w:r>
    </w:p>
    <w:p w14:paraId="4DEE3C75">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1.供应商对采购人、采购代理机构的答复不满意，或者采购人、采购代理机构未在规定时间内作出答复的，可以在答复期满后2个工作日内向璧山国资中心提起投诉。</w:t>
      </w:r>
    </w:p>
    <w:p w14:paraId="7D81EF35">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2.在确定受理投诉后，璧山国资中心7个工作日内（需要检验、检测、鉴定、专家评审以及需要投诉人补正材料的，所需时间不计算在投诉处理期限内）对投诉事项做出处理决定。</w:t>
      </w:r>
    </w:p>
    <w:p w14:paraId="01305B85">
      <w:pPr>
        <w:pStyle w:val="4"/>
        <w:spacing w:line="360" w:lineRule="auto"/>
        <w:rPr>
          <w:rFonts w:hint="eastAsia" w:ascii="方正楷体_GB2312" w:hAnsi="方正楷体_GB2312" w:eastAsia="方正楷体_GB2312" w:cs="方正楷体_GB2312"/>
          <w:color w:val="auto"/>
          <w:highlight w:val="none"/>
        </w:rPr>
      </w:pPr>
      <w:bookmarkStart w:id="129" w:name="_Toc2901"/>
      <w:bookmarkStart w:id="130" w:name="_Toc76462344"/>
      <w:bookmarkStart w:id="131" w:name="_Toc106030899"/>
      <w:r>
        <w:rPr>
          <w:rFonts w:hint="eastAsia" w:ascii="方正楷体_GB2312" w:hAnsi="方正楷体_GB2312" w:eastAsia="方正楷体_GB2312" w:cs="方正楷体_GB2312"/>
          <w:color w:val="auto"/>
          <w:highlight w:val="none"/>
        </w:rPr>
        <w:t>七、采购代理服务费</w:t>
      </w:r>
      <w:bookmarkEnd w:id="129"/>
      <w:bookmarkEnd w:id="130"/>
      <w:bookmarkEnd w:id="131"/>
    </w:p>
    <w:p w14:paraId="2F58B3EC">
      <w:pPr>
        <w:pStyle w:val="26"/>
        <w:ind w:firstLine="480"/>
        <w:rPr>
          <w:rFonts w:hint="eastAsia" w:ascii="方正楷体_GB2312" w:hAnsi="方正楷体_GB2312" w:eastAsia="方正楷体_GB2312" w:cs="方正楷体_GB2312"/>
          <w:color w:val="auto"/>
          <w:szCs w:val="28"/>
          <w:highlight w:val="none"/>
        </w:rPr>
      </w:pPr>
      <w:bookmarkStart w:id="132" w:name="OLE_LINK7"/>
      <w:bookmarkStart w:id="133" w:name="OLE_LINK8"/>
      <w:r>
        <w:rPr>
          <w:rFonts w:hint="eastAsia" w:ascii="方正楷体_GB2312" w:hAnsi="方正楷体_GB2312" w:eastAsia="方正楷体_GB2312" w:cs="方正楷体_GB2312"/>
          <w:color w:val="auto"/>
          <w:szCs w:val="28"/>
          <w:highlight w:val="none"/>
        </w:rPr>
        <w:t>供应商成交后向采购代理机构缴纳采购代理服务费，采购代理服务费</w:t>
      </w:r>
      <w:bookmarkEnd w:id="132"/>
      <w:bookmarkEnd w:id="133"/>
      <w:r>
        <w:rPr>
          <w:rFonts w:hint="eastAsia" w:ascii="方正楷体_GB2312" w:hAnsi="方正楷体_GB2312" w:eastAsia="方正楷体_GB2312" w:cs="方正楷体_GB2312"/>
          <w:color w:val="auto"/>
          <w:szCs w:val="28"/>
          <w:highlight w:val="none"/>
        </w:rPr>
        <w:t>为</w:t>
      </w:r>
      <w:r>
        <w:rPr>
          <w:rFonts w:hint="eastAsia" w:ascii="方正楷体_GB2312" w:hAnsi="方正楷体_GB2312" w:eastAsia="方正楷体_GB2312" w:cs="方正楷体_GB2312"/>
          <w:color w:val="auto"/>
          <w:szCs w:val="28"/>
          <w:highlight w:val="none"/>
          <w:lang w:val="en-US" w:eastAsia="zh-CN"/>
        </w:rPr>
        <w:t xml:space="preserve">4000.00 </w:t>
      </w:r>
      <w:r>
        <w:rPr>
          <w:rFonts w:hint="eastAsia" w:ascii="方正楷体_GB2312" w:hAnsi="方正楷体_GB2312" w:eastAsia="方正楷体_GB2312" w:cs="方正楷体_GB2312"/>
          <w:color w:val="auto"/>
          <w:szCs w:val="28"/>
          <w:highlight w:val="none"/>
        </w:rPr>
        <w:t>元。</w:t>
      </w:r>
    </w:p>
    <w:p w14:paraId="65F989CC">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账号:2132 0101 2001 0001 462</w:t>
      </w:r>
    </w:p>
    <w:p w14:paraId="5F59E9E7">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账户名称:中建华阳建设项目管理有限责任公司璧山分公司</w:t>
      </w:r>
    </w:p>
    <w:p w14:paraId="075DCF7C">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开户行:重庆农村商业银行璧山支行城郊分理处</w:t>
      </w:r>
    </w:p>
    <w:p w14:paraId="0977DC54">
      <w:pPr>
        <w:pStyle w:val="4"/>
        <w:spacing w:line="360" w:lineRule="auto"/>
        <w:rPr>
          <w:rFonts w:hint="eastAsia" w:ascii="方正楷体_GB2312" w:hAnsi="方正楷体_GB2312" w:eastAsia="方正楷体_GB2312" w:cs="方正楷体_GB2312"/>
          <w:color w:val="auto"/>
          <w:highlight w:val="none"/>
        </w:rPr>
      </w:pPr>
      <w:bookmarkStart w:id="134" w:name="_Toc102227322"/>
      <w:bookmarkStart w:id="135" w:name="_Toc30054"/>
      <w:bookmarkStart w:id="136" w:name="_Toc106030901"/>
      <w:bookmarkStart w:id="137" w:name="_Toc342913396"/>
      <w:bookmarkStart w:id="138" w:name="_Toc76462346"/>
      <w:r>
        <w:rPr>
          <w:rFonts w:hint="eastAsia" w:ascii="方正楷体_GB2312" w:hAnsi="方正楷体_GB2312" w:eastAsia="方正楷体_GB2312" w:cs="方正楷体_GB2312"/>
          <w:color w:val="auto"/>
          <w:highlight w:val="none"/>
        </w:rPr>
        <w:t>八、签订</w:t>
      </w:r>
      <w:bookmarkEnd w:id="134"/>
      <w:r>
        <w:rPr>
          <w:rFonts w:hint="eastAsia" w:ascii="方正楷体_GB2312" w:hAnsi="方正楷体_GB2312" w:eastAsia="方正楷体_GB2312" w:cs="方正楷体_GB2312"/>
          <w:color w:val="auto"/>
          <w:highlight w:val="none"/>
        </w:rPr>
        <w:t>合同</w:t>
      </w:r>
      <w:bookmarkEnd w:id="135"/>
      <w:bookmarkEnd w:id="136"/>
      <w:bookmarkEnd w:id="137"/>
      <w:bookmarkEnd w:id="138"/>
    </w:p>
    <w:p w14:paraId="001310B9">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（一）采购人原则上应在结果公告发出之日起</w:t>
      </w:r>
      <w:r>
        <w:rPr>
          <w:rFonts w:hint="eastAsia" w:ascii="方正楷体_GB2312" w:hAnsi="方正楷体_GB2312" w:eastAsia="方正楷体_GB2312" w:cs="方正楷体_GB2312"/>
          <w:color w:val="auto"/>
          <w:szCs w:val="28"/>
          <w:highlight w:val="none"/>
          <w:lang w:val="en-US" w:eastAsia="zh-CN"/>
        </w:rPr>
        <w:t>3</w:t>
      </w:r>
      <w:r>
        <w:rPr>
          <w:rFonts w:hint="eastAsia" w:ascii="方正楷体_GB2312" w:hAnsi="方正楷体_GB2312" w:eastAsia="方正楷体_GB2312" w:cs="方正楷体_GB2312"/>
          <w:color w:val="auto"/>
          <w:szCs w:val="28"/>
          <w:highlight w:val="none"/>
        </w:rPr>
        <w:t>0个工作日内和成交供应商签订采购合同，无正当理由不得拒绝或拖延合同签订。所签订的合同不得对竞采文件和供应商的响应文件作实质性修改。其他未尽事宜由采购人和成交供应商在采购合同中详细约定。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0ACAB30B">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（二）竞采文件、供应商的响应文件及澄清文件等，均为签订采购合同的依据。</w:t>
      </w:r>
    </w:p>
    <w:p w14:paraId="706F1E3C">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（三）合同生效条款由供需双方约定，法律、行政法规规定应当办理批准、登记等手续后生效的合同，依照其规定。</w:t>
      </w:r>
    </w:p>
    <w:p w14:paraId="46E967FA">
      <w:pPr>
        <w:pStyle w:val="4"/>
        <w:spacing w:line="360" w:lineRule="auto"/>
        <w:rPr>
          <w:rFonts w:hint="eastAsia" w:ascii="方正楷体_GB2312" w:hAnsi="方正楷体_GB2312" w:eastAsia="方正楷体_GB2312" w:cs="方正楷体_GB2312"/>
          <w:color w:val="auto"/>
          <w:highlight w:val="none"/>
        </w:rPr>
      </w:pPr>
      <w:bookmarkStart w:id="139" w:name="_Toc106030902"/>
      <w:bookmarkStart w:id="140" w:name="_Toc9507"/>
      <w:r>
        <w:rPr>
          <w:rFonts w:hint="eastAsia" w:ascii="方正楷体_GB2312" w:hAnsi="方正楷体_GB2312" w:eastAsia="方正楷体_GB2312" w:cs="方正楷体_GB2312"/>
          <w:color w:val="auto"/>
          <w:highlight w:val="none"/>
        </w:rPr>
        <w:t>九、项目验收</w:t>
      </w:r>
      <w:bookmarkEnd w:id="139"/>
      <w:bookmarkEnd w:id="140"/>
    </w:p>
    <w:p w14:paraId="50AA8217">
      <w:pPr>
        <w:pStyle w:val="26"/>
        <w:ind w:firstLine="480"/>
        <w:rPr>
          <w:rFonts w:hint="eastAsia" w:ascii="方正楷体_GB2312" w:hAnsi="方正楷体_GB2312" w:eastAsia="方正楷体_GB2312" w:cs="方正楷体_GB2312"/>
          <w:color w:val="auto"/>
          <w:szCs w:val="28"/>
          <w:highlight w:val="none"/>
        </w:rPr>
      </w:pPr>
      <w:r>
        <w:rPr>
          <w:rFonts w:hint="eastAsia" w:ascii="方正楷体_GB2312" w:hAnsi="方正楷体_GB2312" w:eastAsia="方正楷体_GB2312" w:cs="方正楷体_GB2312"/>
          <w:color w:val="auto"/>
          <w:szCs w:val="28"/>
          <w:highlight w:val="none"/>
        </w:rPr>
        <w:t>合同执行完毕，采购人或采购代理机构原则上应在5个工作日内组织履约情况验收，不得无故拖延或附加额外条件。</w:t>
      </w:r>
    </w:p>
    <w:p w14:paraId="52ED7044">
      <w:pPr>
        <w:pStyle w:val="26"/>
        <w:ind w:firstLine="480"/>
        <w:rPr>
          <w:rFonts w:hint="eastAsia" w:ascii="方正楷体_GB2312" w:hAnsi="方正楷体_GB2312" w:eastAsia="方正楷体_GB2312" w:cs="方正楷体_GB2312"/>
          <w:color w:val="auto"/>
          <w:szCs w:val="28"/>
          <w:highlight w:val="none"/>
        </w:rPr>
      </w:pPr>
    </w:p>
    <w:p w14:paraId="4644FD79">
      <w:pPr>
        <w:keepNext/>
        <w:keepLines/>
        <w:spacing w:line="360" w:lineRule="auto"/>
        <w:jc w:val="center"/>
        <w:rPr>
          <w:rFonts w:hint="eastAsia" w:ascii="方正楷体_GB2312" w:hAnsi="方正楷体_GB2312" w:eastAsia="方正楷体_GB2312" w:cs="方正楷体_GB2312"/>
          <w:color w:val="auto"/>
          <w:highlight w:val="none"/>
        </w:rPr>
      </w:pPr>
      <w:bookmarkStart w:id="141" w:name="_Toc109836391"/>
      <w:r>
        <w:rPr>
          <w:rFonts w:hint="eastAsia" w:ascii="方正楷体_GB2312" w:hAnsi="方正楷体_GB2312" w:eastAsia="方正楷体_GB2312" w:cs="方正楷体_GB2312"/>
          <w:color w:val="auto"/>
          <w:highlight w:val="none"/>
        </w:rPr>
        <w:br w:type="page"/>
      </w:r>
    </w:p>
    <w:p w14:paraId="444653CC">
      <w:pPr>
        <w:pStyle w:val="3"/>
        <w:numPr>
          <w:ilvl w:val="0"/>
          <w:numId w:val="11"/>
        </w:numPr>
        <w:spacing w:line="360" w:lineRule="auto"/>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 xml:space="preserve"> </w:t>
      </w:r>
      <w:bookmarkStart w:id="142" w:name="_Toc1101"/>
      <w:r>
        <w:rPr>
          <w:rFonts w:hint="eastAsia" w:ascii="方正楷体_GB2312" w:hAnsi="方正楷体_GB2312" w:eastAsia="方正楷体_GB2312" w:cs="方正楷体_GB2312"/>
          <w:color w:val="auto"/>
          <w:highlight w:val="none"/>
        </w:rPr>
        <w:t>合同</w:t>
      </w:r>
      <w:bookmarkEnd w:id="141"/>
      <w:r>
        <w:rPr>
          <w:rFonts w:hint="eastAsia" w:ascii="方正楷体_GB2312" w:hAnsi="方正楷体_GB2312" w:eastAsia="方正楷体_GB2312" w:cs="方正楷体_GB2312"/>
          <w:color w:val="auto"/>
          <w:highlight w:val="none"/>
        </w:rPr>
        <w:t>格式</w:t>
      </w:r>
      <w:bookmarkEnd w:id="142"/>
    </w:p>
    <w:p w14:paraId="2501C5B5">
      <w:pPr>
        <w:jc w:val="center"/>
        <w:rPr>
          <w:rFonts w:hint="eastAsia" w:ascii="方正楷体_GB2312" w:hAnsi="方正楷体_GB2312" w:eastAsia="方正楷体_GB2312" w:cs="方正楷体_GB2312"/>
          <w:color w:val="auto"/>
          <w:sz w:val="48"/>
          <w:szCs w:val="48"/>
          <w:highlight w:val="none"/>
        </w:rPr>
      </w:pPr>
      <w:r>
        <w:rPr>
          <w:rFonts w:hint="eastAsia" w:ascii="方正楷体_GB2312" w:hAnsi="方正楷体_GB2312" w:eastAsia="方正楷体_GB2312" w:cs="方正楷体_GB2312"/>
          <w:color w:val="auto"/>
          <w:sz w:val="48"/>
          <w:szCs w:val="48"/>
          <w:highlight w:val="none"/>
        </w:rPr>
        <w:t>璧山区国企采购合同</w:t>
      </w:r>
    </w:p>
    <w:p w14:paraId="613BCF81">
      <w:pPr>
        <w:spacing w:line="440" w:lineRule="exact"/>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（项目采购编号：     ）</w:t>
      </w:r>
    </w:p>
    <w:p w14:paraId="74CCF896">
      <w:pPr>
        <w:spacing w:line="440" w:lineRule="exac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甲方（需方）：___________________________</w:t>
      </w:r>
    </w:p>
    <w:p w14:paraId="3090B980">
      <w:pPr>
        <w:spacing w:line="440" w:lineRule="exac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乙方（供方）：___________________________</w:t>
      </w:r>
    </w:p>
    <w:p w14:paraId="121AE14C">
      <w:pPr>
        <w:spacing w:line="440" w:lineRule="exac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经双方协商一致，达成以下购销合同：</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52A4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E668DAF">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服务名称</w:t>
            </w:r>
          </w:p>
        </w:tc>
        <w:tc>
          <w:tcPr>
            <w:tcW w:w="2518" w:type="dxa"/>
            <w:vAlign w:val="center"/>
          </w:tcPr>
          <w:p w14:paraId="3A3F2557">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服务范围、标准及要求</w:t>
            </w:r>
          </w:p>
        </w:tc>
        <w:tc>
          <w:tcPr>
            <w:tcW w:w="764" w:type="dxa"/>
            <w:gridSpan w:val="2"/>
            <w:vAlign w:val="center"/>
          </w:tcPr>
          <w:p w14:paraId="6F0B4E18">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数量</w:t>
            </w:r>
          </w:p>
        </w:tc>
        <w:tc>
          <w:tcPr>
            <w:tcW w:w="808" w:type="dxa"/>
            <w:vAlign w:val="center"/>
          </w:tcPr>
          <w:p w14:paraId="3B75FC78">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单价</w:t>
            </w:r>
          </w:p>
        </w:tc>
        <w:tc>
          <w:tcPr>
            <w:tcW w:w="1008" w:type="dxa"/>
            <w:vAlign w:val="center"/>
          </w:tcPr>
          <w:p w14:paraId="4FA55F76">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总价</w:t>
            </w:r>
          </w:p>
        </w:tc>
        <w:tc>
          <w:tcPr>
            <w:tcW w:w="1559" w:type="dxa"/>
            <w:vAlign w:val="center"/>
          </w:tcPr>
          <w:p w14:paraId="58AEE197">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服务时间</w:t>
            </w:r>
          </w:p>
        </w:tc>
        <w:tc>
          <w:tcPr>
            <w:tcW w:w="1626" w:type="dxa"/>
            <w:vAlign w:val="center"/>
          </w:tcPr>
          <w:p w14:paraId="0F0DF3DE">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服务地点</w:t>
            </w:r>
          </w:p>
        </w:tc>
      </w:tr>
      <w:tr w14:paraId="0D0F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8B24759">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2518" w:type="dxa"/>
            <w:vAlign w:val="center"/>
          </w:tcPr>
          <w:p w14:paraId="5C899F80">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764" w:type="dxa"/>
            <w:gridSpan w:val="2"/>
            <w:vAlign w:val="center"/>
          </w:tcPr>
          <w:p w14:paraId="243C2682">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808" w:type="dxa"/>
            <w:vAlign w:val="center"/>
          </w:tcPr>
          <w:p w14:paraId="6FD13F88">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008" w:type="dxa"/>
            <w:vAlign w:val="center"/>
          </w:tcPr>
          <w:p w14:paraId="5A63221C">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559" w:type="dxa"/>
            <w:vAlign w:val="center"/>
          </w:tcPr>
          <w:p w14:paraId="7754DDD1">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626" w:type="dxa"/>
            <w:vAlign w:val="center"/>
          </w:tcPr>
          <w:p w14:paraId="598C9975">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r>
      <w:tr w14:paraId="56D9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9840A4C">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2518" w:type="dxa"/>
            <w:vAlign w:val="center"/>
          </w:tcPr>
          <w:p w14:paraId="40EF8989">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764" w:type="dxa"/>
            <w:gridSpan w:val="2"/>
            <w:vAlign w:val="center"/>
          </w:tcPr>
          <w:p w14:paraId="0187FC68">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808" w:type="dxa"/>
            <w:vAlign w:val="center"/>
          </w:tcPr>
          <w:p w14:paraId="30694F63">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008" w:type="dxa"/>
            <w:vAlign w:val="center"/>
          </w:tcPr>
          <w:p w14:paraId="4AE7578C">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559" w:type="dxa"/>
            <w:vAlign w:val="center"/>
          </w:tcPr>
          <w:p w14:paraId="5807F721">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626" w:type="dxa"/>
            <w:vAlign w:val="center"/>
          </w:tcPr>
          <w:p w14:paraId="2AECE1AD">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r>
      <w:tr w14:paraId="018F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009A098">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2518" w:type="dxa"/>
            <w:vAlign w:val="center"/>
          </w:tcPr>
          <w:p w14:paraId="31C2C7FF">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764" w:type="dxa"/>
            <w:gridSpan w:val="2"/>
            <w:vAlign w:val="center"/>
          </w:tcPr>
          <w:p w14:paraId="6A7CE98E">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808" w:type="dxa"/>
            <w:vAlign w:val="center"/>
          </w:tcPr>
          <w:p w14:paraId="7A6749DF">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008" w:type="dxa"/>
            <w:vAlign w:val="center"/>
          </w:tcPr>
          <w:p w14:paraId="345C0741">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559" w:type="dxa"/>
            <w:vAlign w:val="center"/>
          </w:tcPr>
          <w:p w14:paraId="4FF26044">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626" w:type="dxa"/>
            <w:vAlign w:val="center"/>
          </w:tcPr>
          <w:p w14:paraId="00EE1931">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r>
      <w:tr w14:paraId="53AE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151851B">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2518" w:type="dxa"/>
            <w:vAlign w:val="center"/>
          </w:tcPr>
          <w:p w14:paraId="163B93DC">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764" w:type="dxa"/>
            <w:gridSpan w:val="2"/>
            <w:vAlign w:val="center"/>
          </w:tcPr>
          <w:p w14:paraId="0291F443">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808" w:type="dxa"/>
            <w:vAlign w:val="center"/>
          </w:tcPr>
          <w:p w14:paraId="078DC0F8">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008" w:type="dxa"/>
            <w:vAlign w:val="center"/>
          </w:tcPr>
          <w:p w14:paraId="6D132A1D">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559" w:type="dxa"/>
            <w:vAlign w:val="center"/>
          </w:tcPr>
          <w:p w14:paraId="04628341">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626" w:type="dxa"/>
            <w:vAlign w:val="center"/>
          </w:tcPr>
          <w:p w14:paraId="253C5696">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r>
      <w:tr w14:paraId="40AC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E3CBD25">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2518" w:type="dxa"/>
            <w:vAlign w:val="center"/>
          </w:tcPr>
          <w:p w14:paraId="52EF0FFB">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764" w:type="dxa"/>
            <w:gridSpan w:val="2"/>
            <w:vAlign w:val="center"/>
          </w:tcPr>
          <w:p w14:paraId="4F6E8B22">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808" w:type="dxa"/>
            <w:vAlign w:val="center"/>
          </w:tcPr>
          <w:p w14:paraId="07936693">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008" w:type="dxa"/>
            <w:vAlign w:val="center"/>
          </w:tcPr>
          <w:p w14:paraId="70E55298">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559" w:type="dxa"/>
            <w:vAlign w:val="center"/>
          </w:tcPr>
          <w:p w14:paraId="44C4F620">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626" w:type="dxa"/>
            <w:vAlign w:val="center"/>
          </w:tcPr>
          <w:p w14:paraId="396E912D">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r>
      <w:tr w14:paraId="05DA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3FA71B0">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2518" w:type="dxa"/>
            <w:vAlign w:val="center"/>
          </w:tcPr>
          <w:p w14:paraId="4B86C813">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764" w:type="dxa"/>
            <w:gridSpan w:val="2"/>
            <w:vAlign w:val="center"/>
          </w:tcPr>
          <w:p w14:paraId="5CEF00DA">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808" w:type="dxa"/>
            <w:vAlign w:val="center"/>
          </w:tcPr>
          <w:p w14:paraId="4CA1B874">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008" w:type="dxa"/>
            <w:vAlign w:val="center"/>
          </w:tcPr>
          <w:p w14:paraId="606EFC3D">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559" w:type="dxa"/>
            <w:vAlign w:val="center"/>
          </w:tcPr>
          <w:p w14:paraId="3F64899B">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626" w:type="dxa"/>
            <w:vAlign w:val="center"/>
          </w:tcPr>
          <w:p w14:paraId="5C384D47">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r>
      <w:tr w14:paraId="6424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F50D1BE">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2518" w:type="dxa"/>
            <w:vAlign w:val="center"/>
          </w:tcPr>
          <w:p w14:paraId="4599CF89">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764" w:type="dxa"/>
            <w:gridSpan w:val="2"/>
            <w:vAlign w:val="center"/>
          </w:tcPr>
          <w:p w14:paraId="564B5176">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808" w:type="dxa"/>
            <w:vAlign w:val="center"/>
          </w:tcPr>
          <w:p w14:paraId="00AAB7D3">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008" w:type="dxa"/>
            <w:vAlign w:val="center"/>
          </w:tcPr>
          <w:p w14:paraId="4B96AAD9">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559" w:type="dxa"/>
            <w:vAlign w:val="center"/>
          </w:tcPr>
          <w:p w14:paraId="04C7AF9B">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626" w:type="dxa"/>
            <w:vAlign w:val="center"/>
          </w:tcPr>
          <w:p w14:paraId="555D1F49">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r>
      <w:tr w14:paraId="6E0E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56BD30A">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2518" w:type="dxa"/>
            <w:vAlign w:val="center"/>
          </w:tcPr>
          <w:p w14:paraId="2A24B6A9">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764" w:type="dxa"/>
            <w:gridSpan w:val="2"/>
            <w:vAlign w:val="center"/>
          </w:tcPr>
          <w:p w14:paraId="0295B354">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808" w:type="dxa"/>
            <w:vAlign w:val="center"/>
          </w:tcPr>
          <w:p w14:paraId="53DACDC3">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008" w:type="dxa"/>
            <w:vAlign w:val="center"/>
          </w:tcPr>
          <w:p w14:paraId="4011916C">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559" w:type="dxa"/>
            <w:vAlign w:val="center"/>
          </w:tcPr>
          <w:p w14:paraId="7600A2E1">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c>
          <w:tcPr>
            <w:tcW w:w="1626" w:type="dxa"/>
            <w:vAlign w:val="center"/>
          </w:tcPr>
          <w:p w14:paraId="2B045DAD">
            <w:pPr>
              <w:keepNext w:val="0"/>
              <w:keepLines w:val="0"/>
              <w:suppressLineNumbers w:val="0"/>
              <w:spacing w:before="0" w:beforeAutospacing="0" w:after="0" w:afterAutospacing="0" w:line="240" w:lineRule="atLeast"/>
              <w:ind w:left="0" w:right="0"/>
              <w:jc w:val="center"/>
              <w:rPr>
                <w:rFonts w:hint="eastAsia" w:ascii="方正楷体_GB2312" w:hAnsi="方正楷体_GB2312" w:eastAsia="方正楷体_GB2312" w:cs="方正楷体_GB2312"/>
                <w:color w:val="auto"/>
                <w:sz w:val="24"/>
                <w:szCs w:val="24"/>
                <w:highlight w:val="none"/>
              </w:rPr>
            </w:pPr>
          </w:p>
        </w:tc>
      </w:tr>
      <w:tr w14:paraId="1EDC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88388C0">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合计人民币（小写）：</w:t>
            </w:r>
          </w:p>
        </w:tc>
      </w:tr>
      <w:tr w14:paraId="0C1B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61EE5C6">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合计人民币（大写）：</w:t>
            </w:r>
          </w:p>
        </w:tc>
      </w:tr>
      <w:tr w14:paraId="403C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4B133888">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一、质量要求和技术标准。</w:t>
            </w:r>
          </w:p>
        </w:tc>
      </w:tr>
      <w:tr w14:paraId="0640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734F85D9">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二、验收标准、方法：</w:t>
            </w:r>
          </w:p>
          <w:p w14:paraId="68E41473">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p>
        </w:tc>
      </w:tr>
      <w:tr w14:paraId="3503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67A8DAB9">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三、付款方式：</w:t>
            </w:r>
          </w:p>
        </w:tc>
      </w:tr>
      <w:tr w14:paraId="7C38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D3BCC75">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四、违约责任：</w:t>
            </w:r>
          </w:p>
          <w:p w14:paraId="0EC02C6E">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按《中华人民共和国民法典》、《中华人民共和国政府采购法》执行，或按双方约定。</w:t>
            </w:r>
          </w:p>
        </w:tc>
      </w:tr>
      <w:tr w14:paraId="723A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604D0405">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五、其他约定事项：</w:t>
            </w:r>
          </w:p>
          <w:p w14:paraId="0B29489F">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1.招标文件及其澄清文件、响应文件和承诺是本合同不可分割的部分。</w:t>
            </w:r>
          </w:p>
          <w:p w14:paraId="1C540AF6">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2.本合同如发生争议由双方协商解决，协商不成向需方所在地仲裁机构提请仲裁。</w:t>
            </w:r>
          </w:p>
          <w:p w14:paraId="7D4097FC">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3.本合同一式__份， 需方__份，供方__份，具备同等法律效力。</w:t>
            </w:r>
          </w:p>
          <w:p w14:paraId="3E8E189C">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4.其他：</w:t>
            </w:r>
          </w:p>
        </w:tc>
      </w:tr>
      <w:tr w14:paraId="293A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7DE3FB05">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需方：</w:t>
            </w:r>
          </w:p>
          <w:p w14:paraId="44EB81AD">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地址：</w:t>
            </w:r>
          </w:p>
          <w:p w14:paraId="7CE8BA7C">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联系电话：</w:t>
            </w:r>
          </w:p>
          <w:p w14:paraId="07C52E2A">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授权代表：</w:t>
            </w:r>
          </w:p>
        </w:tc>
        <w:tc>
          <w:tcPr>
            <w:tcW w:w="5125" w:type="dxa"/>
            <w:gridSpan w:val="6"/>
          </w:tcPr>
          <w:p w14:paraId="7CF01660">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供方：</w:t>
            </w:r>
          </w:p>
          <w:p w14:paraId="27368912">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地址：</w:t>
            </w:r>
          </w:p>
          <w:p w14:paraId="75398494">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电话：</w:t>
            </w:r>
          </w:p>
          <w:p w14:paraId="39CCE97B">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传真：</w:t>
            </w:r>
          </w:p>
          <w:p w14:paraId="1ED5B855">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开户银行：</w:t>
            </w:r>
          </w:p>
          <w:p w14:paraId="3011BF83">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账号：</w:t>
            </w:r>
          </w:p>
          <w:p w14:paraId="7001F1D3">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授权代表：</w:t>
            </w:r>
          </w:p>
          <w:p w14:paraId="789B9A0A">
            <w:pPr>
              <w:keepNext w:val="0"/>
              <w:keepLines w:val="0"/>
              <w:widowControl/>
              <w:suppressLineNumbers w:val="0"/>
              <w:spacing w:before="0" w:beforeAutospacing="0" w:after="0" w:afterAutospacing="0" w:line="240" w:lineRule="atLeast"/>
              <w:ind w:left="0" w:right="0"/>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（本栏请用计算机打印以便于准确付款）</w:t>
            </w:r>
          </w:p>
        </w:tc>
      </w:tr>
      <w:tr w14:paraId="1D60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3733F8B3">
            <w:pPr>
              <w:keepNext w:val="0"/>
              <w:keepLines w:val="0"/>
              <w:suppressLineNumbers w:val="0"/>
              <w:spacing w:before="0" w:beforeAutospacing="0" w:after="0" w:afterAutospacing="0" w:line="240" w:lineRule="atLeast"/>
              <w:ind w:left="0" w:right="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备注：</w:t>
            </w:r>
          </w:p>
        </w:tc>
      </w:tr>
    </w:tbl>
    <w:p w14:paraId="30186B20">
      <w:pPr>
        <w:spacing w:line="440" w:lineRule="exact"/>
        <w:rPr>
          <w:rFonts w:hint="eastAsia" w:ascii="方正楷体_GB2312" w:hAnsi="方正楷体_GB2312" w:eastAsia="方正楷体_GB2312" w:cs="方正楷体_GB2312"/>
          <w:color w:val="auto"/>
          <w:sz w:val="24"/>
          <w:highlight w:val="none"/>
        </w:rPr>
      </w:pPr>
    </w:p>
    <w:p w14:paraId="1993BE2D">
      <w:pPr>
        <w:pStyle w:val="26"/>
        <w:ind w:firstLine="480"/>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签约时间：           年   月   日         签约地点：</w:t>
      </w:r>
    </w:p>
    <w:p w14:paraId="7571E3E3">
      <w:pPr>
        <w:pStyle w:val="26"/>
        <w:ind w:firstLine="480"/>
        <w:rPr>
          <w:rFonts w:hint="eastAsia" w:ascii="方正楷体_GB2312" w:hAnsi="方正楷体_GB2312" w:eastAsia="方正楷体_GB2312" w:cs="方正楷体_GB2312"/>
          <w:color w:val="auto"/>
          <w:highlight w:val="none"/>
        </w:rPr>
      </w:pPr>
    </w:p>
    <w:p w14:paraId="70B95570">
      <w:pPr>
        <w:keepNext/>
        <w:keepLines/>
        <w:spacing w:line="360" w:lineRule="auto"/>
        <w:jc w:val="center"/>
        <w:rPr>
          <w:rFonts w:hint="eastAsia" w:ascii="方正楷体_GB2312" w:hAnsi="方正楷体_GB2312" w:eastAsia="方正楷体_GB2312" w:cs="方正楷体_GB2312"/>
          <w:color w:val="auto"/>
          <w:highlight w:val="none"/>
        </w:rPr>
      </w:pPr>
      <w:bookmarkStart w:id="143" w:name="_Toc10837"/>
      <w:r>
        <w:rPr>
          <w:rFonts w:hint="eastAsia" w:ascii="方正楷体_GB2312" w:hAnsi="方正楷体_GB2312" w:eastAsia="方正楷体_GB2312" w:cs="方正楷体_GB2312"/>
          <w:color w:val="auto"/>
          <w:highlight w:val="none"/>
        </w:rPr>
        <w:br w:type="page"/>
      </w:r>
    </w:p>
    <w:p w14:paraId="342EDF90">
      <w:pPr>
        <w:pStyle w:val="3"/>
        <w:spacing w:line="360" w:lineRule="auto"/>
        <w:jc w:val="center"/>
        <w:rPr>
          <w:rFonts w:hint="eastAsia" w:ascii="方正楷体_GB2312" w:hAnsi="方正楷体_GB2312" w:eastAsia="方正楷体_GB2312" w:cs="方正楷体_GB2312"/>
          <w:color w:val="auto"/>
          <w:highlight w:val="none"/>
        </w:rPr>
      </w:pPr>
      <w:bookmarkStart w:id="144" w:name="_Toc13090"/>
      <w:r>
        <w:rPr>
          <w:rFonts w:hint="eastAsia" w:ascii="方正楷体_GB2312" w:hAnsi="方正楷体_GB2312" w:eastAsia="方正楷体_GB2312" w:cs="方正楷体_GB2312"/>
          <w:color w:val="auto"/>
          <w:highlight w:val="none"/>
        </w:rPr>
        <w:t>第七篇  响应文件编制要求</w:t>
      </w:r>
      <w:bookmarkEnd w:id="143"/>
      <w:bookmarkEnd w:id="144"/>
    </w:p>
    <w:p w14:paraId="6DC0033F">
      <w:pPr>
        <w:pStyle w:val="4"/>
        <w:spacing w:line="360" w:lineRule="auto"/>
        <w:rPr>
          <w:rFonts w:hint="eastAsia" w:ascii="方正楷体_GB2312" w:hAnsi="方正楷体_GB2312" w:eastAsia="方正楷体_GB2312" w:cs="方正楷体_GB2312"/>
          <w:color w:val="auto"/>
          <w:highlight w:val="none"/>
        </w:rPr>
      </w:pPr>
      <w:bookmarkStart w:id="145" w:name="_Toc15194"/>
      <w:r>
        <w:rPr>
          <w:rFonts w:hint="eastAsia" w:ascii="方正楷体_GB2312" w:hAnsi="方正楷体_GB2312" w:eastAsia="方正楷体_GB2312" w:cs="方正楷体_GB2312"/>
          <w:color w:val="auto"/>
          <w:highlight w:val="none"/>
        </w:rPr>
        <w:t>一、经济部分</w:t>
      </w:r>
      <w:bookmarkEnd w:id="145"/>
    </w:p>
    <w:p w14:paraId="6EE6E056">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（一）报价函</w:t>
      </w:r>
    </w:p>
    <w:p w14:paraId="0F43800D">
      <w:pPr>
        <w:pStyle w:val="4"/>
        <w:spacing w:line="360" w:lineRule="auto"/>
        <w:rPr>
          <w:rFonts w:hint="eastAsia" w:ascii="方正楷体_GB2312" w:hAnsi="方正楷体_GB2312" w:eastAsia="方正楷体_GB2312" w:cs="方正楷体_GB2312"/>
          <w:color w:val="auto"/>
          <w:highlight w:val="none"/>
        </w:rPr>
      </w:pPr>
      <w:bookmarkStart w:id="146" w:name="_Toc14203"/>
      <w:r>
        <w:rPr>
          <w:rFonts w:hint="eastAsia" w:ascii="方正楷体_GB2312" w:hAnsi="方正楷体_GB2312" w:eastAsia="方正楷体_GB2312" w:cs="方正楷体_GB2312"/>
          <w:color w:val="auto"/>
          <w:highlight w:val="none"/>
        </w:rPr>
        <w:t>二、服务部分</w:t>
      </w:r>
      <w:bookmarkEnd w:id="146"/>
    </w:p>
    <w:p w14:paraId="78448543">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w:t>
      </w:r>
      <w:r>
        <w:rPr>
          <w:rFonts w:hint="eastAsia" w:ascii="方正楷体_GB2312" w:hAnsi="方正楷体_GB2312" w:eastAsia="方正楷体_GB2312" w:cs="方正楷体_GB2312"/>
          <w:color w:val="auto"/>
          <w:sz w:val="24"/>
          <w:szCs w:val="28"/>
          <w:highlight w:val="none"/>
        </w:rPr>
        <w:t>服务要求应答</w:t>
      </w:r>
    </w:p>
    <w:p w14:paraId="3A4752AB">
      <w:pPr>
        <w:snapToGrid w:val="0"/>
        <w:spacing w:line="360" w:lineRule="auto"/>
        <w:ind w:firstLine="480" w:firstLineChars="20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4"/>
          <w:highlight w:val="none"/>
        </w:rPr>
        <w:t>（二）</w:t>
      </w:r>
      <w:r>
        <w:rPr>
          <w:rFonts w:hint="eastAsia" w:ascii="方正楷体_GB2312" w:hAnsi="方正楷体_GB2312" w:eastAsia="方正楷体_GB2312" w:cs="方正楷体_GB2312"/>
          <w:color w:val="auto"/>
          <w:sz w:val="24"/>
          <w:szCs w:val="28"/>
          <w:highlight w:val="none"/>
        </w:rPr>
        <w:t>服务响应偏离表</w:t>
      </w:r>
    </w:p>
    <w:p w14:paraId="7D87211D">
      <w:pPr>
        <w:snapToGrid w:val="0"/>
        <w:spacing w:line="360" w:lineRule="auto"/>
        <w:ind w:firstLine="480" w:firstLineChars="20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（三）其他服务资料</w:t>
      </w:r>
    </w:p>
    <w:p w14:paraId="21E3B098">
      <w:pPr>
        <w:pStyle w:val="4"/>
        <w:spacing w:line="360" w:lineRule="auto"/>
        <w:rPr>
          <w:rFonts w:hint="eastAsia" w:ascii="方正楷体_GB2312" w:hAnsi="方正楷体_GB2312" w:eastAsia="方正楷体_GB2312" w:cs="方正楷体_GB2312"/>
          <w:color w:val="auto"/>
          <w:highlight w:val="none"/>
        </w:rPr>
      </w:pPr>
      <w:bookmarkStart w:id="147" w:name="_Toc19439"/>
      <w:r>
        <w:rPr>
          <w:rFonts w:hint="eastAsia" w:ascii="方正楷体_GB2312" w:hAnsi="方正楷体_GB2312" w:eastAsia="方正楷体_GB2312" w:cs="方正楷体_GB2312"/>
          <w:color w:val="auto"/>
          <w:highlight w:val="none"/>
        </w:rPr>
        <w:t>三、商务文件</w:t>
      </w:r>
      <w:bookmarkEnd w:id="147"/>
    </w:p>
    <w:p w14:paraId="0AD96D53">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（一）商务响应偏离表</w:t>
      </w:r>
    </w:p>
    <w:p w14:paraId="43395ED3">
      <w:pPr>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（二）其它优惠承诺</w:t>
      </w:r>
    </w:p>
    <w:p w14:paraId="30D1581F">
      <w:pPr>
        <w:pStyle w:val="4"/>
        <w:spacing w:line="360" w:lineRule="auto"/>
        <w:rPr>
          <w:rFonts w:hint="eastAsia" w:ascii="方正楷体_GB2312" w:hAnsi="方正楷体_GB2312" w:eastAsia="方正楷体_GB2312" w:cs="方正楷体_GB2312"/>
          <w:color w:val="auto"/>
          <w:highlight w:val="none"/>
        </w:rPr>
      </w:pPr>
      <w:bookmarkStart w:id="148" w:name="_Toc24187"/>
      <w:r>
        <w:rPr>
          <w:rFonts w:hint="eastAsia" w:ascii="方正楷体_GB2312" w:hAnsi="方正楷体_GB2312" w:eastAsia="方正楷体_GB2312" w:cs="方正楷体_GB2312"/>
          <w:color w:val="auto"/>
          <w:highlight w:val="none"/>
        </w:rPr>
        <w:t>四、资格条件及其他</w:t>
      </w:r>
      <w:bookmarkEnd w:id="148"/>
    </w:p>
    <w:p w14:paraId="2E87E465">
      <w:pPr>
        <w:snapToGrid w:val="0"/>
        <w:spacing w:line="360" w:lineRule="auto"/>
        <w:ind w:left="476" w:leftChars="17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（一）法人营业执照（副本）或事业单位法人证书（副本）或个体工商户营业执照或有效的自然人身份证明或社会团体法人登记证书复印件</w:t>
      </w:r>
    </w:p>
    <w:p w14:paraId="30052F37">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（二）法定代表人身份证明书（格式）</w:t>
      </w:r>
    </w:p>
    <w:p w14:paraId="2A630E92">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（三）法定代表人授权委托书（格式）</w:t>
      </w:r>
    </w:p>
    <w:p w14:paraId="63C7A476">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（四）基本资格条件承诺函（格式）</w:t>
      </w:r>
    </w:p>
    <w:p w14:paraId="0C8E4AF1">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（五）特定资格条件证书或证明文件</w:t>
      </w:r>
    </w:p>
    <w:p w14:paraId="1C5D0B1A">
      <w:pPr>
        <w:spacing w:line="360" w:lineRule="auto"/>
        <w:ind w:firstLine="480" w:firstLineChars="200"/>
        <w:rPr>
          <w:rFonts w:hint="eastAsia" w:ascii="方正楷体_GB2312" w:hAnsi="方正楷体_GB2312" w:eastAsia="方正楷体_GB2312" w:cs="方正楷体_GB2312"/>
          <w:color w:val="auto"/>
          <w:sz w:val="24"/>
          <w:szCs w:val="24"/>
          <w:highlight w:val="none"/>
          <w:bdr w:val="single" w:color="auto" w:sz="4" w:space="0"/>
        </w:rPr>
        <w:sectPr>
          <w:footerReference r:id="rId3" w:type="default"/>
          <w:pgSz w:w="11907" w:h="16840"/>
          <w:pgMar w:top="1134" w:right="1191" w:bottom="1134" w:left="1304" w:header="851" w:footer="992" w:gutter="0"/>
          <w:pgNumType w:fmt="numberInDash"/>
          <w:cols w:space="720" w:num="1"/>
          <w:docGrid w:linePitch="380" w:charSpace="-5735"/>
        </w:sectPr>
      </w:pPr>
    </w:p>
    <w:p w14:paraId="114C8208">
      <w:pPr>
        <w:numPr>
          <w:ilvl w:val="0"/>
          <w:numId w:val="12"/>
        </w:numPr>
        <w:spacing w:line="360" w:lineRule="auto"/>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经济部分</w:t>
      </w:r>
    </w:p>
    <w:p w14:paraId="1F007893">
      <w:pPr>
        <w:spacing w:line="360" w:lineRule="auto"/>
        <w:rPr>
          <w:rFonts w:hint="eastAsia" w:ascii="方正楷体_GB2312" w:hAnsi="方正楷体_GB2312" w:eastAsia="方正楷体_GB2312" w:cs="方正楷体_GB2312"/>
          <w:bCs/>
          <w:color w:val="auto"/>
          <w:szCs w:val="24"/>
          <w:highlight w:val="none"/>
        </w:rPr>
      </w:pPr>
      <w:r>
        <w:rPr>
          <w:rFonts w:hint="eastAsia" w:ascii="方正楷体_GB2312" w:hAnsi="方正楷体_GB2312" w:eastAsia="方正楷体_GB2312" w:cs="方正楷体_GB2312"/>
          <w:color w:val="auto"/>
          <w:sz w:val="24"/>
          <w:szCs w:val="18"/>
          <w:highlight w:val="none"/>
        </w:rPr>
        <w:t>（一）报价函</w:t>
      </w:r>
    </w:p>
    <w:p w14:paraId="7E56059C">
      <w:pPr>
        <w:tabs>
          <w:tab w:val="left" w:pos="6300"/>
        </w:tabs>
        <w:snapToGrid w:val="0"/>
        <w:spacing w:line="360" w:lineRule="auto"/>
        <w:ind w:left="14" w:leftChars="5" w:firstLine="611" w:firstLineChars="191"/>
        <w:jc w:val="center"/>
        <w:rPr>
          <w:rFonts w:hint="eastAsia" w:ascii="方正楷体_GB2312" w:hAnsi="方正楷体_GB2312" w:eastAsia="方正楷体_GB2312" w:cs="方正楷体_GB2312"/>
          <w:color w:val="auto"/>
          <w:sz w:val="32"/>
          <w:szCs w:val="32"/>
          <w:highlight w:val="none"/>
        </w:rPr>
      </w:pPr>
      <w:r>
        <w:rPr>
          <w:rFonts w:hint="eastAsia" w:ascii="方正楷体_GB2312" w:hAnsi="方正楷体_GB2312" w:eastAsia="方正楷体_GB2312" w:cs="方正楷体_GB2312"/>
          <w:color w:val="auto"/>
          <w:sz w:val="32"/>
          <w:szCs w:val="32"/>
          <w:highlight w:val="none"/>
        </w:rPr>
        <w:t>报价函</w:t>
      </w:r>
    </w:p>
    <w:p w14:paraId="41CCB205">
      <w:pPr>
        <w:tabs>
          <w:tab w:val="left" w:pos="6300"/>
        </w:tabs>
        <w:snapToGrid w:val="0"/>
        <w:spacing w:line="360" w:lineRule="auto"/>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u w:val="single"/>
        </w:rPr>
        <w:t>（代理机构名称）</w:t>
      </w:r>
      <w:r>
        <w:rPr>
          <w:rFonts w:hint="eastAsia" w:ascii="方正楷体_GB2312" w:hAnsi="方正楷体_GB2312" w:eastAsia="方正楷体_GB2312" w:cs="方正楷体_GB2312"/>
          <w:color w:val="auto"/>
          <w:sz w:val="24"/>
          <w:szCs w:val="24"/>
          <w:highlight w:val="none"/>
        </w:rPr>
        <w:t>：</w:t>
      </w:r>
    </w:p>
    <w:p w14:paraId="47B07A7E">
      <w:pPr>
        <w:tabs>
          <w:tab w:val="left" w:pos="6300"/>
        </w:tabs>
        <w:snapToGrid w:val="0"/>
        <w:spacing w:line="360" w:lineRule="auto"/>
        <w:ind w:left="14" w:leftChars="5" w:firstLine="458" w:firstLineChars="191"/>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.1、我方已仔细研究了</w:t>
      </w:r>
      <w:r>
        <w:rPr>
          <w:rFonts w:hint="eastAsia" w:ascii="方正楷体_GB2312" w:hAnsi="方正楷体_GB2312" w:eastAsia="方正楷体_GB2312" w:cs="方正楷体_GB2312"/>
          <w:color w:val="auto"/>
          <w:sz w:val="24"/>
          <w:szCs w:val="24"/>
          <w:highlight w:val="none"/>
          <w:u w:val="single"/>
        </w:rPr>
        <w:tab/>
      </w:r>
      <w:r>
        <w:rPr>
          <w:rFonts w:hint="eastAsia" w:ascii="方正楷体_GB2312" w:hAnsi="方正楷体_GB2312" w:eastAsia="方正楷体_GB2312" w:cs="方正楷体_GB2312"/>
          <w:color w:val="auto"/>
          <w:sz w:val="24"/>
          <w:szCs w:val="24"/>
          <w:highlight w:val="none"/>
        </w:rPr>
        <w:tab/>
      </w:r>
      <w:r>
        <w:rPr>
          <w:rFonts w:hint="eastAsia" w:ascii="方正楷体_GB2312" w:hAnsi="方正楷体_GB2312" w:eastAsia="方正楷体_GB2312" w:cs="方正楷体_GB2312"/>
          <w:color w:val="auto"/>
          <w:sz w:val="24"/>
          <w:szCs w:val="24"/>
          <w:highlight w:val="none"/>
        </w:rPr>
        <w:t>（项目名称）竞争性采购文件的全部内容，愿意以</w:t>
      </w:r>
      <w:r>
        <w:rPr>
          <w:rFonts w:hint="eastAsia" w:ascii="方正楷体_GB2312" w:hAnsi="方正楷体_GB2312" w:eastAsia="方正楷体_GB2312" w:cs="方正楷体_GB2312"/>
          <w:color w:val="auto"/>
          <w:sz w:val="24"/>
          <w:szCs w:val="24"/>
          <w:highlight w:val="none"/>
          <w:lang w:val="en-US" w:eastAsia="zh-CN"/>
        </w:rPr>
        <w:t>投标总价人民币大写：</w:t>
      </w:r>
      <w:r>
        <w:rPr>
          <w:rFonts w:hint="eastAsia" w:ascii="方正楷体_GB2312" w:hAnsi="方正楷体_GB2312" w:eastAsia="方正楷体_GB2312" w:cs="方正楷体_GB2312"/>
          <w:color w:val="auto"/>
          <w:sz w:val="24"/>
          <w:szCs w:val="24"/>
          <w:highlight w:val="none"/>
          <w:u w:val="single"/>
        </w:rPr>
        <w:tab/>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u w:val="single"/>
          <w:lang w:eastAsia="zh-CN"/>
        </w:rPr>
        <w:t>（</w:t>
      </w:r>
      <w:r>
        <w:rPr>
          <w:rFonts w:hint="eastAsia" w:ascii="方正楷体_GB2312" w:hAnsi="方正楷体_GB2312" w:eastAsia="方正楷体_GB2312" w:cs="方正楷体_GB2312"/>
          <w:color w:val="auto"/>
          <w:sz w:val="24"/>
          <w:szCs w:val="24"/>
          <w:highlight w:val="none"/>
          <w:u w:val="single"/>
          <w:lang w:val="en-US" w:eastAsia="zh-CN"/>
        </w:rPr>
        <w:t>小写：  元</w:t>
      </w:r>
      <w:r>
        <w:rPr>
          <w:rFonts w:hint="eastAsia" w:ascii="方正楷体_GB2312" w:hAnsi="方正楷体_GB2312" w:eastAsia="方正楷体_GB2312" w:cs="方正楷体_GB2312"/>
          <w:color w:val="auto"/>
          <w:sz w:val="24"/>
          <w:szCs w:val="24"/>
          <w:highlight w:val="none"/>
          <w:u w:val="single"/>
          <w:lang w:eastAsia="zh-CN"/>
        </w:rPr>
        <w:t>）</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进行报价。</w:t>
      </w:r>
    </w:p>
    <w:p w14:paraId="0EDE2E5F">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2、我方现提交的响应文件为：响应文件电子文档壹份。</w:t>
      </w:r>
    </w:p>
    <w:p w14:paraId="5643DE0F">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3、我方承诺：本次竞采的有效期为90天。</w:t>
      </w:r>
    </w:p>
    <w:p w14:paraId="7484E113">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4、我方完全理解和接受贵方竞采采购文件的一切规定和要求及评审办法。</w:t>
      </w:r>
    </w:p>
    <w:p w14:paraId="555AF5D0">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5、在整个竞采采购过程中，我方若有违规行为，接受按照行采家平台规定给予惩罚。</w:t>
      </w:r>
    </w:p>
    <w:p w14:paraId="5736B112">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6、我方若中选，将按照竞采结果签订合同，并且严格履行合同义务。本承诺函将成为合同不可分割的一部分，与合同具有同等的法律效力。</w:t>
      </w:r>
    </w:p>
    <w:p w14:paraId="007AC951">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7、我方理解，最低报价不是成交的唯一条件。</w:t>
      </w:r>
    </w:p>
    <w:p w14:paraId="3A4194B9">
      <w:pPr>
        <w:tabs>
          <w:tab w:val="left" w:pos="6300"/>
        </w:tabs>
        <w:snapToGrid w:val="0"/>
        <w:spacing w:line="360" w:lineRule="auto"/>
        <w:ind w:firstLine="570"/>
        <w:rPr>
          <w:rFonts w:hint="eastAsia" w:ascii="方正楷体_GB2312" w:hAnsi="方正楷体_GB2312" w:eastAsia="方正楷体_GB2312" w:cs="方正楷体_GB2312"/>
          <w:color w:val="auto"/>
          <w:sz w:val="24"/>
          <w:szCs w:val="24"/>
          <w:highlight w:val="none"/>
        </w:rPr>
      </w:pPr>
    </w:p>
    <w:p w14:paraId="455BE77C">
      <w:pPr>
        <w:tabs>
          <w:tab w:val="left" w:pos="6300"/>
        </w:tabs>
        <w:snapToGrid w:val="0"/>
        <w:spacing w:line="360" w:lineRule="auto"/>
        <w:ind w:firstLine="570"/>
        <w:rPr>
          <w:rFonts w:hint="eastAsia" w:ascii="方正楷体_GB2312" w:hAnsi="方正楷体_GB2312" w:eastAsia="方正楷体_GB2312" w:cs="方正楷体_GB2312"/>
          <w:color w:val="auto"/>
          <w:sz w:val="24"/>
          <w:szCs w:val="24"/>
          <w:highlight w:val="none"/>
        </w:rPr>
      </w:pPr>
    </w:p>
    <w:p w14:paraId="0E5ED599">
      <w:pPr>
        <w:tabs>
          <w:tab w:val="left" w:pos="6300"/>
        </w:tabs>
        <w:snapToGrid w:val="0"/>
        <w:spacing w:line="360" w:lineRule="auto"/>
        <w:ind w:firstLine="570"/>
        <w:rPr>
          <w:rFonts w:hint="eastAsia" w:ascii="方正楷体_GB2312" w:hAnsi="方正楷体_GB2312" w:eastAsia="方正楷体_GB2312" w:cs="方正楷体_GB2312"/>
          <w:color w:val="auto"/>
          <w:sz w:val="24"/>
          <w:szCs w:val="24"/>
          <w:highlight w:val="none"/>
        </w:rPr>
      </w:pPr>
    </w:p>
    <w:p w14:paraId="0E286342">
      <w:pPr>
        <w:tabs>
          <w:tab w:val="left" w:pos="6300"/>
        </w:tabs>
        <w:snapToGrid w:val="0"/>
        <w:spacing w:line="360" w:lineRule="auto"/>
        <w:ind w:firstLine="570"/>
        <w:rPr>
          <w:rFonts w:hint="eastAsia" w:ascii="方正楷体_GB2312" w:hAnsi="方正楷体_GB2312" w:eastAsia="方正楷体_GB2312" w:cs="方正楷体_GB2312"/>
          <w:color w:val="auto"/>
          <w:sz w:val="24"/>
          <w:szCs w:val="24"/>
          <w:highlight w:val="none"/>
        </w:rPr>
      </w:pPr>
    </w:p>
    <w:p w14:paraId="0605A75D">
      <w:pPr>
        <w:tabs>
          <w:tab w:val="left" w:pos="6300"/>
        </w:tabs>
        <w:snapToGrid w:val="0"/>
        <w:spacing w:line="360" w:lineRule="auto"/>
        <w:ind w:firstLine="57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供应商名称（公章）：</w:t>
      </w:r>
    </w:p>
    <w:p w14:paraId="1493EE42">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年   月   日</w:t>
      </w:r>
      <w:r>
        <w:rPr>
          <w:rFonts w:hint="eastAsia" w:ascii="方正楷体_GB2312" w:hAnsi="方正楷体_GB2312" w:eastAsia="方正楷体_GB2312" w:cs="方正楷体_GB2312"/>
          <w:color w:val="auto"/>
          <w:sz w:val="24"/>
          <w:szCs w:val="24"/>
          <w:highlight w:val="none"/>
        </w:rPr>
        <w:br w:type="page"/>
      </w:r>
    </w:p>
    <w:p w14:paraId="307411DB">
      <w:pPr>
        <w:pStyle w:val="2"/>
        <w:rPr>
          <w:rFonts w:hint="eastAsia" w:ascii="方正楷体_GB2312" w:hAnsi="方正楷体_GB2312" w:eastAsia="方正楷体_GB2312" w:cs="方正楷体_GB2312"/>
          <w:color w:val="auto"/>
          <w:highlight w:val="none"/>
        </w:rPr>
        <w:sectPr>
          <w:footerReference r:id="rId4" w:type="default"/>
          <w:pgSz w:w="11907" w:h="16840"/>
          <w:pgMar w:top="1134" w:right="1191" w:bottom="1134" w:left="1304" w:header="851" w:footer="992" w:gutter="0"/>
          <w:pgNumType w:fmt="numberInDash"/>
          <w:cols w:space="720" w:num="1"/>
          <w:docGrid w:linePitch="380" w:charSpace="-5735"/>
        </w:sectPr>
      </w:pPr>
    </w:p>
    <w:p w14:paraId="1E998148">
      <w:pPr>
        <w:numPr>
          <w:ilvl w:val="0"/>
          <w:numId w:val="12"/>
        </w:numPr>
        <w:snapToGrid w:val="0"/>
        <w:spacing w:line="360" w:lineRule="auto"/>
        <w:rPr>
          <w:rFonts w:hint="eastAsia" w:ascii="方正楷体_GB2312" w:hAnsi="方正楷体_GB2312" w:eastAsia="方正楷体_GB2312" w:cs="方正楷体_GB2312"/>
          <w:color w:val="auto"/>
          <w:highlight w:val="none"/>
        </w:rPr>
      </w:pPr>
      <w:bookmarkStart w:id="149" w:name="_Toc3192"/>
      <w:bookmarkStart w:id="150" w:name="_Toc486585241"/>
      <w:bookmarkStart w:id="151" w:name="_Toc487204798"/>
      <w:bookmarkStart w:id="152" w:name="_Toc9090"/>
      <w:bookmarkStart w:id="153" w:name="_Toc486608278"/>
      <w:r>
        <w:rPr>
          <w:rFonts w:hint="eastAsia" w:ascii="方正楷体_GB2312" w:hAnsi="方正楷体_GB2312" w:eastAsia="方正楷体_GB2312" w:cs="方正楷体_GB2312"/>
          <w:color w:val="auto"/>
          <w:highlight w:val="none"/>
        </w:rPr>
        <w:t>服务部分</w:t>
      </w:r>
      <w:bookmarkEnd w:id="149"/>
      <w:bookmarkEnd w:id="150"/>
      <w:bookmarkEnd w:id="151"/>
      <w:bookmarkEnd w:id="152"/>
      <w:bookmarkEnd w:id="153"/>
    </w:p>
    <w:p w14:paraId="3A12489A">
      <w:pPr>
        <w:snapToGrid w:val="0"/>
        <w:spacing w:line="360" w:lineRule="auto"/>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（一）服务方案</w:t>
      </w:r>
    </w:p>
    <w:p w14:paraId="3EAE414C">
      <w:pPr>
        <w:spacing w:line="360" w:lineRule="auto"/>
        <w:rPr>
          <w:rFonts w:hint="eastAsia" w:ascii="方正楷体_GB2312" w:hAnsi="方正楷体_GB2312" w:eastAsia="方正楷体_GB2312" w:cs="方正楷体_GB2312"/>
          <w:color w:val="auto"/>
          <w:szCs w:val="24"/>
          <w:highlight w:val="none"/>
        </w:rPr>
      </w:pPr>
    </w:p>
    <w:p w14:paraId="60BD47BB">
      <w:pPr>
        <w:spacing w:line="360" w:lineRule="auto"/>
        <w:rPr>
          <w:rFonts w:hint="eastAsia" w:ascii="方正楷体_GB2312" w:hAnsi="方正楷体_GB2312" w:eastAsia="方正楷体_GB2312" w:cs="方正楷体_GB2312"/>
          <w:color w:val="auto"/>
          <w:sz w:val="24"/>
          <w:szCs w:val="18"/>
          <w:highlight w:val="none"/>
        </w:rPr>
      </w:pPr>
      <w:r>
        <w:rPr>
          <w:rFonts w:hint="eastAsia" w:ascii="方正楷体_GB2312" w:hAnsi="方正楷体_GB2312" w:eastAsia="方正楷体_GB2312" w:cs="方正楷体_GB2312"/>
          <w:color w:val="auto"/>
          <w:sz w:val="24"/>
          <w:szCs w:val="18"/>
          <w:highlight w:val="none"/>
        </w:rPr>
        <w:br w:type="page"/>
      </w:r>
    </w:p>
    <w:p w14:paraId="600C98F2">
      <w:pPr>
        <w:spacing w:line="360" w:lineRule="auto"/>
        <w:rPr>
          <w:rFonts w:hint="eastAsia" w:ascii="方正楷体_GB2312" w:hAnsi="方正楷体_GB2312" w:eastAsia="方正楷体_GB2312" w:cs="方正楷体_GB2312"/>
          <w:color w:val="auto"/>
          <w:sz w:val="24"/>
          <w:szCs w:val="18"/>
          <w:highlight w:val="none"/>
        </w:rPr>
      </w:pPr>
      <w:r>
        <w:rPr>
          <w:rFonts w:hint="eastAsia" w:ascii="方正楷体_GB2312" w:hAnsi="方正楷体_GB2312" w:eastAsia="方正楷体_GB2312" w:cs="方正楷体_GB2312"/>
          <w:color w:val="auto"/>
          <w:sz w:val="24"/>
          <w:szCs w:val="18"/>
          <w:highlight w:val="none"/>
        </w:rPr>
        <w:t>（二）服务条款差异表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09F8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2F3E3E72">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Cs w:val="21"/>
                <w:highlight w:val="none"/>
              </w:rPr>
            </w:pPr>
            <w:r>
              <w:rPr>
                <w:rFonts w:hint="eastAsia" w:ascii="方正楷体_GB2312" w:hAnsi="方正楷体_GB2312" w:eastAsia="方正楷体_GB2312" w:cs="方正楷体_GB2312"/>
                <w:color w:val="auto"/>
                <w:sz w:val="21"/>
                <w:szCs w:val="21"/>
                <w:highlight w:val="none"/>
              </w:rPr>
              <w:t>序号</w:t>
            </w:r>
          </w:p>
        </w:tc>
        <w:tc>
          <w:tcPr>
            <w:tcW w:w="1542" w:type="pct"/>
            <w:vAlign w:val="center"/>
          </w:tcPr>
          <w:p w14:paraId="08AE1A06">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招标要求</w:t>
            </w:r>
          </w:p>
        </w:tc>
        <w:tc>
          <w:tcPr>
            <w:tcW w:w="1600" w:type="pct"/>
            <w:vAlign w:val="center"/>
          </w:tcPr>
          <w:p w14:paraId="39152601">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投标应答</w:t>
            </w:r>
          </w:p>
        </w:tc>
        <w:tc>
          <w:tcPr>
            <w:tcW w:w="1199" w:type="pct"/>
            <w:vAlign w:val="center"/>
          </w:tcPr>
          <w:p w14:paraId="1FAAE8CD">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差异说明</w:t>
            </w:r>
          </w:p>
        </w:tc>
      </w:tr>
      <w:tr w14:paraId="4AB5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1F357A9">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6BDABB45">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44811E87">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033FB030">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459E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EA6EBDD">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73756375">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0E6E41DF">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4928F29D">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71FE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2A55A8A">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0CAA9C1C">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5365F59B">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062AAC45">
            <w:pPr>
              <w:keepNext w:val="0"/>
              <w:keepLines w:val="0"/>
              <w:suppressLineNumbers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0B1E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B779EEF">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21C30A4D">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1540660C">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49E3C8F6">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6DE6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7A1D03D">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121E5CEC">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4D3FD506">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2ED2A95C">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1FD6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0F859D8">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37CB4265">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62C68A16">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13EEB2DD">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6D74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6AA7016">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1DA0D3AA">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2A67C318">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2E735599">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5636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86DC90D">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7FFFE399">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2F237BF1">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7312B700">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35DD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CDBA58">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6EAB1307">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3A3F5CB2">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2BF666C0">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058E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1F409DC">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2" w:type="pct"/>
            <w:vAlign w:val="center"/>
          </w:tcPr>
          <w:p w14:paraId="2AED0657">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6DC12A97">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9" w:type="pct"/>
            <w:vAlign w:val="center"/>
          </w:tcPr>
          <w:p w14:paraId="21AD1EFB">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bl>
    <w:p w14:paraId="4EE9D557">
      <w:pPr>
        <w:spacing w:line="360" w:lineRule="auto"/>
        <w:ind w:firstLine="600" w:firstLineChars="25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供应商：                      法定代表人（或法定代表人授权代表）或自然人：</w:t>
      </w:r>
    </w:p>
    <w:p w14:paraId="7D31CE0C">
      <w:pPr>
        <w:spacing w:line="360" w:lineRule="auto"/>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 xml:space="preserve">    </w:t>
      </w:r>
    </w:p>
    <w:p w14:paraId="7889E886">
      <w:pPr>
        <w:spacing w:line="360" w:lineRule="auto"/>
        <w:ind w:firstLine="720" w:firstLineChars="30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（供应商公章）                               （签署或盖章）</w:t>
      </w:r>
    </w:p>
    <w:p w14:paraId="6786D5AF">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szCs w:val="28"/>
          <w:highlight w:val="none"/>
        </w:rPr>
        <w:t xml:space="preserve">                                            年     月     日</w:t>
      </w:r>
    </w:p>
    <w:p w14:paraId="39D84E3E">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注：</w:t>
      </w:r>
    </w:p>
    <w:p w14:paraId="54D4FEAB">
      <w:pPr>
        <w:tabs>
          <w:tab w:val="left" w:pos="6300"/>
        </w:tabs>
        <w:snapToGrid w:val="0"/>
        <w:spacing w:line="360" w:lineRule="auto"/>
        <w:ind w:firstLine="57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1.本表即为对本项目“第二篇  项目服务需求”中所列条款进行比较和响应；</w:t>
      </w:r>
    </w:p>
    <w:p w14:paraId="2C671855">
      <w:pPr>
        <w:tabs>
          <w:tab w:val="left" w:pos="6300"/>
        </w:tabs>
        <w:snapToGrid w:val="0"/>
        <w:spacing w:line="360" w:lineRule="auto"/>
        <w:ind w:firstLine="57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2.本表可扩展；</w:t>
      </w:r>
    </w:p>
    <w:p w14:paraId="1A576D4E">
      <w:pPr>
        <w:tabs>
          <w:tab w:val="left" w:pos="6300"/>
        </w:tabs>
        <w:snapToGrid w:val="0"/>
        <w:spacing w:line="360" w:lineRule="auto"/>
        <w:ind w:firstLine="57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3.可附相关技术（质量）支撑材料。（格式自定）</w:t>
      </w:r>
    </w:p>
    <w:p w14:paraId="5FF0F55B">
      <w:pPr>
        <w:pStyle w:val="2"/>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br w:type="page"/>
      </w:r>
    </w:p>
    <w:p w14:paraId="5E22AF63">
      <w:pPr>
        <w:snapToGrid w:val="0"/>
        <w:spacing w:line="360" w:lineRule="auto"/>
        <w:ind w:firstLine="480" w:firstLineChars="20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（三）其他服务资料</w:t>
      </w:r>
    </w:p>
    <w:p w14:paraId="5EDC41FF">
      <w:pPr>
        <w:snapToGrid w:val="0"/>
        <w:spacing w:line="360" w:lineRule="auto"/>
        <w:ind w:firstLine="560" w:firstLineChars="20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Cs w:val="24"/>
          <w:highlight w:val="none"/>
        </w:rPr>
        <w:br w:type="page"/>
      </w:r>
    </w:p>
    <w:p w14:paraId="00D76FBC">
      <w:pPr>
        <w:numPr>
          <w:ilvl w:val="0"/>
          <w:numId w:val="12"/>
        </w:numPr>
        <w:spacing w:line="360" w:lineRule="auto"/>
        <w:rPr>
          <w:rFonts w:hint="eastAsia" w:ascii="方正楷体_GB2312" w:hAnsi="方正楷体_GB2312" w:eastAsia="方正楷体_GB2312" w:cs="方正楷体_GB2312"/>
          <w:color w:val="auto"/>
          <w:highlight w:val="none"/>
        </w:rPr>
      </w:pPr>
      <w:bookmarkStart w:id="154" w:name="_Toc32670"/>
      <w:bookmarkStart w:id="155" w:name="_Toc10372"/>
      <w:bookmarkStart w:id="156" w:name="_Toc28242"/>
      <w:bookmarkStart w:id="157" w:name="_Toc75793542"/>
      <w:bookmarkStart w:id="158" w:name="_Toc5573"/>
      <w:bookmarkStart w:id="159" w:name="_Toc7069"/>
      <w:bookmarkStart w:id="160" w:name="_Toc4362"/>
      <w:bookmarkStart w:id="161" w:name="_Toc17290"/>
      <w:bookmarkStart w:id="162" w:name="_Toc23523"/>
      <w:bookmarkStart w:id="163" w:name="_Toc106030419"/>
      <w:bookmarkStart w:id="164" w:name="_Toc492721039"/>
      <w:bookmarkStart w:id="165" w:name="_Toc26494"/>
      <w:bookmarkStart w:id="166" w:name="_Toc493178791"/>
      <w:bookmarkStart w:id="167" w:name="_Toc14954"/>
      <w:bookmarkStart w:id="168" w:name="_Toc22113"/>
      <w:bookmarkStart w:id="169" w:name="_Toc8958"/>
      <w:bookmarkStart w:id="170" w:name="_Toc30496"/>
      <w:bookmarkStart w:id="171" w:name="_Toc6786"/>
      <w:r>
        <w:rPr>
          <w:rFonts w:hint="eastAsia" w:ascii="方正楷体_GB2312" w:hAnsi="方正楷体_GB2312" w:eastAsia="方正楷体_GB2312" w:cs="方正楷体_GB2312"/>
          <w:color w:val="auto"/>
          <w:highlight w:val="none"/>
        </w:rPr>
        <w:t>商务文件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BF7D737">
      <w:pPr>
        <w:spacing w:line="360" w:lineRule="auto"/>
        <w:rPr>
          <w:rFonts w:hint="eastAsia" w:ascii="方正楷体_GB2312" w:hAnsi="方正楷体_GB2312" w:eastAsia="方正楷体_GB2312" w:cs="方正楷体_GB2312"/>
          <w:color w:val="auto"/>
          <w:sz w:val="22"/>
          <w:szCs w:val="16"/>
          <w:highlight w:val="none"/>
        </w:rPr>
      </w:pPr>
      <w:r>
        <w:rPr>
          <w:rFonts w:hint="eastAsia" w:ascii="方正楷体_GB2312" w:hAnsi="方正楷体_GB2312" w:eastAsia="方正楷体_GB2312" w:cs="方正楷体_GB2312"/>
          <w:color w:val="auto"/>
          <w:sz w:val="22"/>
          <w:szCs w:val="16"/>
          <w:highlight w:val="none"/>
        </w:rPr>
        <w:t>（一）商务条款偏离表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68DA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473408D">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2"/>
                <w:szCs w:val="16"/>
                <w:highlight w:val="none"/>
              </w:rPr>
            </w:pPr>
            <w:r>
              <w:rPr>
                <w:rFonts w:hint="eastAsia" w:ascii="方正楷体_GB2312" w:hAnsi="方正楷体_GB2312" w:eastAsia="方正楷体_GB2312" w:cs="方正楷体_GB2312"/>
                <w:color w:val="auto"/>
                <w:sz w:val="22"/>
                <w:szCs w:val="16"/>
                <w:highlight w:val="none"/>
              </w:rPr>
              <w:t>序号</w:t>
            </w:r>
          </w:p>
        </w:tc>
        <w:tc>
          <w:tcPr>
            <w:tcW w:w="1541" w:type="pct"/>
            <w:vAlign w:val="center"/>
          </w:tcPr>
          <w:p w14:paraId="45712B4F">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2"/>
                <w:szCs w:val="16"/>
                <w:highlight w:val="none"/>
              </w:rPr>
            </w:pPr>
            <w:r>
              <w:rPr>
                <w:rFonts w:hint="eastAsia" w:ascii="方正楷体_GB2312" w:hAnsi="方正楷体_GB2312" w:eastAsia="方正楷体_GB2312" w:cs="方正楷体_GB2312"/>
                <w:color w:val="auto"/>
                <w:sz w:val="22"/>
                <w:szCs w:val="16"/>
                <w:highlight w:val="none"/>
              </w:rPr>
              <w:t>招标商务要求</w:t>
            </w:r>
          </w:p>
        </w:tc>
        <w:tc>
          <w:tcPr>
            <w:tcW w:w="1600" w:type="pct"/>
            <w:vAlign w:val="center"/>
          </w:tcPr>
          <w:p w14:paraId="1A498CCD">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2"/>
                <w:szCs w:val="16"/>
                <w:highlight w:val="none"/>
              </w:rPr>
            </w:pPr>
            <w:r>
              <w:rPr>
                <w:rFonts w:hint="eastAsia" w:ascii="方正楷体_GB2312" w:hAnsi="方正楷体_GB2312" w:eastAsia="方正楷体_GB2312" w:cs="方正楷体_GB2312"/>
                <w:color w:val="auto"/>
                <w:sz w:val="22"/>
                <w:szCs w:val="16"/>
                <w:highlight w:val="none"/>
              </w:rPr>
              <w:t>投标商务应答</w:t>
            </w:r>
          </w:p>
        </w:tc>
        <w:tc>
          <w:tcPr>
            <w:tcW w:w="1198" w:type="pct"/>
            <w:vAlign w:val="center"/>
          </w:tcPr>
          <w:p w14:paraId="0F91140E">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2"/>
                <w:szCs w:val="16"/>
                <w:highlight w:val="none"/>
              </w:rPr>
            </w:pPr>
            <w:r>
              <w:rPr>
                <w:rFonts w:hint="eastAsia" w:ascii="方正楷体_GB2312" w:hAnsi="方正楷体_GB2312" w:eastAsia="方正楷体_GB2312" w:cs="方正楷体_GB2312"/>
                <w:color w:val="auto"/>
                <w:sz w:val="22"/>
                <w:szCs w:val="16"/>
                <w:highlight w:val="none"/>
              </w:rPr>
              <w:t>差异说明</w:t>
            </w:r>
          </w:p>
        </w:tc>
      </w:tr>
      <w:tr w14:paraId="34BB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79736AB">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2"/>
                <w:szCs w:val="16"/>
                <w:highlight w:val="none"/>
              </w:rPr>
            </w:pPr>
          </w:p>
        </w:tc>
        <w:tc>
          <w:tcPr>
            <w:tcW w:w="1541" w:type="pct"/>
            <w:vAlign w:val="center"/>
          </w:tcPr>
          <w:p w14:paraId="64793ED3">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2"/>
                <w:szCs w:val="16"/>
                <w:highlight w:val="none"/>
              </w:rPr>
            </w:pPr>
          </w:p>
        </w:tc>
        <w:tc>
          <w:tcPr>
            <w:tcW w:w="1600" w:type="pct"/>
            <w:vAlign w:val="center"/>
          </w:tcPr>
          <w:p w14:paraId="06279DEA">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2"/>
                <w:szCs w:val="16"/>
                <w:highlight w:val="none"/>
              </w:rPr>
            </w:pPr>
          </w:p>
        </w:tc>
        <w:tc>
          <w:tcPr>
            <w:tcW w:w="1198" w:type="pct"/>
            <w:vAlign w:val="center"/>
          </w:tcPr>
          <w:p w14:paraId="0054629D">
            <w:pPr>
              <w:keepNext w:val="0"/>
              <w:keepLines w:val="0"/>
              <w:suppressLineNumbers w:val="0"/>
              <w:spacing w:before="0" w:beforeAutospacing="0" w:after="0" w:afterAutospacing="0" w:line="360" w:lineRule="auto"/>
              <w:ind w:left="0" w:right="0"/>
              <w:rPr>
                <w:rFonts w:hint="eastAsia" w:ascii="方正楷体_GB2312" w:hAnsi="方正楷体_GB2312" w:eastAsia="方正楷体_GB2312" w:cs="方正楷体_GB2312"/>
                <w:color w:val="auto"/>
                <w:sz w:val="22"/>
                <w:szCs w:val="16"/>
                <w:highlight w:val="none"/>
              </w:rPr>
            </w:pPr>
          </w:p>
        </w:tc>
      </w:tr>
      <w:tr w14:paraId="07FF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345AF6">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257766BB">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4ED48BF5">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6579F6B5">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5B57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CFE7A25">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671D45BE">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36BFB4FC">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3DE890CC">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0118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C7E5F54">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7D51DD13">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2DEF1907">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0A5EA93D">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25EF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54AAA71">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22DEA8E9">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78865EE3">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534E3C84">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5432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3EFE6BC">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6C31D72A">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78CF9179">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4B8FB28C">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4A48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BBEFC20">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071E249A">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6D956CF9">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39A9DA12">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37E6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6FD3C14">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4BFA90EE">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7D0764A0">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7BA37B3D">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7EB1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A390C84">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3444F36F">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235B3386">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63FBCFC1">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68FA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vAlign w:val="center"/>
          </w:tcPr>
          <w:p w14:paraId="4F0DA9D0">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3DBBAFAE">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6F614311">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1D861EE4">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6181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E369411">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188BD677">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309DA809">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3B472C18">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r w14:paraId="4340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DB62BC1">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541" w:type="pct"/>
            <w:vAlign w:val="center"/>
          </w:tcPr>
          <w:p w14:paraId="019FBF25">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600" w:type="pct"/>
            <w:vAlign w:val="center"/>
          </w:tcPr>
          <w:p w14:paraId="4D3A3677">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c>
          <w:tcPr>
            <w:tcW w:w="1198" w:type="pct"/>
            <w:vAlign w:val="center"/>
          </w:tcPr>
          <w:p w14:paraId="79536E96">
            <w:pPr>
              <w:keepNext w:val="0"/>
              <w:keepLines w:val="0"/>
              <w:suppressLineNumbers w:val="0"/>
              <w:tabs>
                <w:tab w:val="left" w:pos="6300"/>
              </w:tabs>
              <w:snapToGrid w:val="0"/>
              <w:spacing w:before="0" w:beforeAutospacing="0" w:after="0" w:afterAutospacing="0" w:line="360" w:lineRule="auto"/>
              <w:ind w:left="0" w:right="0"/>
              <w:jc w:val="center"/>
              <w:rPr>
                <w:rFonts w:hint="eastAsia" w:ascii="方正楷体_GB2312" w:hAnsi="方正楷体_GB2312" w:eastAsia="方正楷体_GB2312" w:cs="方正楷体_GB2312"/>
                <w:color w:val="auto"/>
                <w:sz w:val="21"/>
                <w:szCs w:val="21"/>
                <w:highlight w:val="none"/>
              </w:rPr>
            </w:pPr>
          </w:p>
        </w:tc>
      </w:tr>
    </w:tbl>
    <w:p w14:paraId="413A58F9">
      <w:pPr>
        <w:spacing w:line="360" w:lineRule="auto"/>
        <w:ind w:firstLine="600" w:firstLineChars="250"/>
        <w:rPr>
          <w:rFonts w:hint="eastAsia" w:ascii="方正楷体_GB2312" w:hAnsi="方正楷体_GB2312" w:eastAsia="方正楷体_GB2312" w:cs="方正楷体_GB2312"/>
          <w:color w:val="auto"/>
          <w:sz w:val="24"/>
          <w:szCs w:val="28"/>
          <w:highlight w:val="none"/>
        </w:rPr>
      </w:pPr>
    </w:p>
    <w:p w14:paraId="1FBC2FB3">
      <w:pPr>
        <w:spacing w:line="360" w:lineRule="auto"/>
        <w:ind w:firstLine="600" w:firstLineChars="25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供应商：                     法定代表人（或法定代表人授权代表）或自然人：</w:t>
      </w:r>
    </w:p>
    <w:p w14:paraId="31C536D4">
      <w:pPr>
        <w:spacing w:line="360" w:lineRule="auto"/>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 xml:space="preserve">    （供应商公章）                               （签署或盖章）</w:t>
      </w:r>
    </w:p>
    <w:p w14:paraId="3064BDD8">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szCs w:val="28"/>
          <w:highlight w:val="none"/>
        </w:rPr>
        <w:t xml:space="preserve">                                            年     月     日</w:t>
      </w:r>
    </w:p>
    <w:p w14:paraId="00FBD108">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注：</w:t>
      </w:r>
    </w:p>
    <w:p w14:paraId="5D73E726">
      <w:pPr>
        <w:tabs>
          <w:tab w:val="left" w:pos="6300"/>
        </w:tabs>
        <w:snapToGrid w:val="0"/>
        <w:spacing w:line="360" w:lineRule="auto"/>
        <w:ind w:firstLine="57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1.本表即为对本项目“第三篇 项目商务需求”中所列条款进行比较和响应；</w:t>
      </w:r>
    </w:p>
    <w:p w14:paraId="40F4BD21">
      <w:pPr>
        <w:tabs>
          <w:tab w:val="left" w:pos="6300"/>
        </w:tabs>
        <w:snapToGrid w:val="0"/>
        <w:spacing w:line="360" w:lineRule="auto"/>
        <w:ind w:firstLine="57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2.本表可扩展。</w:t>
      </w:r>
    </w:p>
    <w:p w14:paraId="3061292B">
      <w:pPr>
        <w:tabs>
          <w:tab w:val="left" w:pos="6300"/>
        </w:tabs>
        <w:snapToGrid w:val="0"/>
        <w:spacing w:line="360" w:lineRule="auto"/>
        <w:ind w:firstLine="560" w:firstLineChars="20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Cs w:val="28"/>
          <w:highlight w:val="none"/>
        </w:rPr>
        <w:br w:type="page"/>
      </w:r>
      <w:r>
        <w:rPr>
          <w:rFonts w:hint="eastAsia" w:ascii="方正楷体_GB2312" w:hAnsi="方正楷体_GB2312" w:eastAsia="方正楷体_GB2312" w:cs="方正楷体_GB2312"/>
          <w:color w:val="auto"/>
          <w:sz w:val="24"/>
          <w:szCs w:val="28"/>
          <w:highlight w:val="none"/>
        </w:rPr>
        <w:t>（二）其他优惠承诺</w:t>
      </w:r>
    </w:p>
    <w:p w14:paraId="3E70BFC7">
      <w:pPr>
        <w:tabs>
          <w:tab w:val="left" w:pos="6300"/>
        </w:tabs>
        <w:snapToGrid w:val="0"/>
        <w:spacing w:line="360" w:lineRule="auto"/>
        <w:rPr>
          <w:rFonts w:hint="eastAsia" w:ascii="方正楷体_GB2312" w:hAnsi="方正楷体_GB2312" w:eastAsia="方正楷体_GB2312" w:cs="方正楷体_GB2312"/>
          <w:color w:val="auto"/>
          <w:sz w:val="24"/>
          <w:highlight w:val="none"/>
        </w:rPr>
      </w:pPr>
    </w:p>
    <w:p w14:paraId="7186158C">
      <w:pPr>
        <w:spacing w:line="360" w:lineRule="auto"/>
        <w:rPr>
          <w:rFonts w:hint="eastAsia" w:ascii="方正楷体_GB2312" w:hAnsi="方正楷体_GB2312" w:eastAsia="方正楷体_GB2312" w:cs="方正楷体_GB2312"/>
          <w:color w:val="auto"/>
          <w:highlight w:val="none"/>
        </w:rPr>
      </w:pPr>
      <w:bookmarkStart w:id="172" w:name="_Toc26381"/>
      <w:bookmarkStart w:id="173" w:name="_Toc106030421"/>
      <w:bookmarkStart w:id="174" w:name="_Toc12509"/>
      <w:bookmarkStart w:id="175" w:name="_Toc13249"/>
      <w:bookmarkStart w:id="176" w:name="_Toc30818"/>
      <w:bookmarkStart w:id="177" w:name="_Toc21121"/>
      <w:bookmarkStart w:id="178" w:name="_Toc4000"/>
      <w:bookmarkStart w:id="179" w:name="_Toc493178793"/>
      <w:bookmarkStart w:id="180" w:name="_Toc75793544"/>
      <w:bookmarkStart w:id="181" w:name="_Toc6108"/>
      <w:bookmarkStart w:id="182" w:name="_Toc11324"/>
      <w:bookmarkStart w:id="183" w:name="_Toc28432"/>
      <w:bookmarkStart w:id="184" w:name="_Toc492721038"/>
      <w:bookmarkStart w:id="185" w:name="_Toc17829"/>
      <w:bookmarkStart w:id="186" w:name="_Toc17848"/>
      <w:bookmarkStart w:id="187" w:name="_Toc23187"/>
      <w:bookmarkStart w:id="188" w:name="_Toc16577"/>
      <w:r>
        <w:rPr>
          <w:rFonts w:hint="eastAsia" w:ascii="方正楷体_GB2312" w:hAnsi="方正楷体_GB2312" w:eastAsia="方正楷体_GB2312" w:cs="方正楷体_GB2312"/>
          <w:color w:val="auto"/>
          <w:highlight w:val="none"/>
        </w:rPr>
        <w:br w:type="page"/>
      </w:r>
    </w:p>
    <w:p w14:paraId="2CCF8661">
      <w:pPr>
        <w:spacing w:line="360" w:lineRule="auto"/>
        <w:rPr>
          <w:rFonts w:hint="eastAsia" w:ascii="方正楷体_GB2312" w:hAnsi="方正楷体_GB2312" w:eastAsia="方正楷体_GB2312" w:cs="方正楷体_GB2312"/>
          <w:b/>
          <w:color w:val="auto"/>
          <w:szCs w:val="28"/>
          <w:highlight w:val="none"/>
        </w:rPr>
      </w:pPr>
      <w:r>
        <w:rPr>
          <w:rFonts w:hint="eastAsia" w:ascii="方正楷体_GB2312" w:hAnsi="方正楷体_GB2312" w:eastAsia="方正楷体_GB2312" w:cs="方正楷体_GB2312"/>
          <w:color w:val="auto"/>
          <w:highlight w:val="none"/>
        </w:rPr>
        <w:t>四、资格</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ascii="方正楷体_GB2312" w:hAnsi="方正楷体_GB2312" w:eastAsia="方正楷体_GB2312" w:cs="方正楷体_GB2312"/>
          <w:color w:val="auto"/>
          <w:highlight w:val="none"/>
        </w:rPr>
        <w:t>条件及其他</w:t>
      </w:r>
    </w:p>
    <w:p w14:paraId="02098D8B">
      <w:pPr>
        <w:spacing w:line="360" w:lineRule="auto"/>
        <w:ind w:firstLine="480" w:firstLineChars="200"/>
        <w:rPr>
          <w:rFonts w:hint="eastAsia" w:ascii="方正楷体_GB2312" w:hAnsi="方正楷体_GB2312" w:eastAsia="方正楷体_GB2312" w:cs="方正楷体_GB2312"/>
          <w:color w:val="auto"/>
          <w:sz w:val="24"/>
          <w:szCs w:val="28"/>
          <w:highlight w:val="none"/>
        </w:rPr>
      </w:pPr>
      <w:r>
        <w:rPr>
          <w:rFonts w:hint="eastAsia" w:ascii="方正楷体_GB2312" w:hAnsi="方正楷体_GB2312" w:eastAsia="方正楷体_GB2312" w:cs="方正楷体_GB2312"/>
          <w:color w:val="auto"/>
          <w:sz w:val="24"/>
          <w:szCs w:val="28"/>
          <w:highlight w:val="none"/>
        </w:rPr>
        <w:t>（一）法人营业执照（副本）或事业单位法人证书（副本）或个体工商户营业执照或有效的自然人身份证明或社会团体法人登记证书复印件</w:t>
      </w:r>
    </w:p>
    <w:p w14:paraId="6CAC52C7">
      <w:pPr>
        <w:tabs>
          <w:tab w:val="left" w:pos="6300"/>
        </w:tabs>
        <w:snapToGrid w:val="0"/>
        <w:spacing w:line="360" w:lineRule="auto"/>
        <w:ind w:firstLine="570"/>
        <w:rPr>
          <w:rFonts w:hint="eastAsia" w:ascii="方正楷体_GB2312" w:hAnsi="方正楷体_GB2312" w:eastAsia="方正楷体_GB2312" w:cs="方正楷体_GB2312"/>
          <w:color w:val="auto"/>
          <w:highlight w:val="none"/>
        </w:rPr>
      </w:pPr>
    </w:p>
    <w:p w14:paraId="521013A4">
      <w:pPr>
        <w:tabs>
          <w:tab w:val="left" w:pos="6300"/>
        </w:tabs>
        <w:snapToGrid w:val="0"/>
        <w:spacing w:line="360" w:lineRule="auto"/>
        <w:ind w:firstLine="570"/>
        <w:rPr>
          <w:rFonts w:hint="eastAsia" w:ascii="方正楷体_GB2312" w:hAnsi="方正楷体_GB2312" w:eastAsia="方正楷体_GB2312" w:cs="方正楷体_GB2312"/>
          <w:color w:val="auto"/>
          <w:highlight w:val="none"/>
        </w:rPr>
      </w:pPr>
    </w:p>
    <w:p w14:paraId="4690A88D">
      <w:pPr>
        <w:tabs>
          <w:tab w:val="left" w:pos="6300"/>
        </w:tabs>
        <w:snapToGrid w:val="0"/>
        <w:spacing w:line="360" w:lineRule="auto"/>
        <w:ind w:firstLine="570"/>
        <w:rPr>
          <w:rFonts w:hint="eastAsia" w:ascii="方正楷体_GB2312" w:hAnsi="方正楷体_GB2312" w:eastAsia="方正楷体_GB2312" w:cs="方正楷体_GB2312"/>
          <w:color w:val="auto"/>
          <w:highlight w:val="none"/>
        </w:rPr>
      </w:pPr>
    </w:p>
    <w:p w14:paraId="46D18D3A">
      <w:pPr>
        <w:tabs>
          <w:tab w:val="left" w:pos="6300"/>
        </w:tabs>
        <w:snapToGrid w:val="0"/>
        <w:spacing w:line="360" w:lineRule="auto"/>
        <w:ind w:firstLine="570"/>
        <w:rPr>
          <w:rFonts w:hint="eastAsia" w:ascii="方正楷体_GB2312" w:hAnsi="方正楷体_GB2312" w:eastAsia="方正楷体_GB2312" w:cs="方正楷体_GB2312"/>
          <w:color w:val="auto"/>
          <w:highlight w:val="none"/>
        </w:rPr>
      </w:pPr>
    </w:p>
    <w:p w14:paraId="31355857">
      <w:pPr>
        <w:tabs>
          <w:tab w:val="left" w:pos="6300"/>
        </w:tabs>
        <w:snapToGrid w:val="0"/>
        <w:spacing w:line="360" w:lineRule="auto"/>
        <w:ind w:firstLine="570"/>
        <w:rPr>
          <w:rFonts w:hint="eastAsia" w:ascii="方正楷体_GB2312" w:hAnsi="方正楷体_GB2312" w:eastAsia="方正楷体_GB2312" w:cs="方正楷体_GB2312"/>
          <w:color w:val="auto"/>
          <w:highlight w:val="none"/>
        </w:rPr>
      </w:pPr>
    </w:p>
    <w:p w14:paraId="0202C338">
      <w:pPr>
        <w:tabs>
          <w:tab w:val="left" w:pos="6300"/>
        </w:tabs>
        <w:snapToGrid w:val="0"/>
        <w:spacing w:line="360" w:lineRule="auto"/>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br w:type="page"/>
      </w:r>
      <w:r>
        <w:rPr>
          <w:rFonts w:hint="eastAsia" w:ascii="方正楷体_GB2312" w:hAnsi="方正楷体_GB2312" w:eastAsia="方正楷体_GB2312" w:cs="方正楷体_GB2312"/>
          <w:color w:val="auto"/>
          <w:sz w:val="24"/>
          <w:highlight w:val="none"/>
        </w:rPr>
        <w:t>（二）法定代表人身份证明书（格式）</w:t>
      </w:r>
    </w:p>
    <w:p w14:paraId="5CC24C2A">
      <w:pPr>
        <w:tabs>
          <w:tab w:val="left" w:pos="6300"/>
        </w:tabs>
        <w:snapToGrid w:val="0"/>
        <w:spacing w:line="360" w:lineRule="auto"/>
        <w:rPr>
          <w:rFonts w:hint="eastAsia" w:ascii="方正楷体_GB2312" w:hAnsi="方正楷体_GB2312" w:eastAsia="方正楷体_GB2312" w:cs="方正楷体_GB2312"/>
          <w:color w:val="auto"/>
          <w:sz w:val="24"/>
          <w:highlight w:val="none"/>
        </w:rPr>
      </w:pPr>
    </w:p>
    <w:p w14:paraId="19F01C2F">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招标项目名称：</w:t>
      </w:r>
      <w:r>
        <w:rPr>
          <w:rFonts w:hint="eastAsia" w:ascii="方正楷体_GB2312" w:hAnsi="方正楷体_GB2312" w:eastAsia="方正楷体_GB2312" w:cs="方正楷体_GB2312"/>
          <w:color w:val="auto"/>
          <w:sz w:val="24"/>
          <w:highlight w:val="none"/>
          <w:u w:val="single"/>
        </w:rPr>
        <w:t xml:space="preserve">                                                </w:t>
      </w:r>
    </w:p>
    <w:p w14:paraId="26D9D592">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7DD44BB1">
      <w:pPr>
        <w:tabs>
          <w:tab w:val="left" w:pos="6300"/>
        </w:tabs>
        <w:snapToGrid w:val="0"/>
        <w:spacing w:line="360" w:lineRule="auto"/>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致：</w:t>
      </w:r>
      <w:r>
        <w:rPr>
          <w:rFonts w:hint="eastAsia" w:ascii="方正楷体_GB2312" w:hAnsi="方正楷体_GB2312" w:eastAsia="方正楷体_GB2312" w:cs="方正楷体_GB2312"/>
          <w:color w:val="auto"/>
          <w:sz w:val="24"/>
          <w:highlight w:val="none"/>
          <w:u w:val="single"/>
        </w:rPr>
        <w:t xml:space="preserve">                     </w:t>
      </w:r>
      <w:r>
        <w:rPr>
          <w:rFonts w:hint="eastAsia" w:ascii="方正楷体_GB2312" w:hAnsi="方正楷体_GB2312" w:eastAsia="方正楷体_GB2312" w:cs="方正楷体_GB2312"/>
          <w:color w:val="auto"/>
          <w:sz w:val="24"/>
          <w:highlight w:val="none"/>
        </w:rPr>
        <w:t>（采购代理机构名称）：</w:t>
      </w:r>
    </w:p>
    <w:p w14:paraId="240D4139">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u w:val="single"/>
        </w:rPr>
        <w:t xml:space="preserve">        </w:t>
      </w:r>
      <w:r>
        <w:rPr>
          <w:rFonts w:hint="eastAsia" w:ascii="方正楷体_GB2312" w:hAnsi="方正楷体_GB2312" w:eastAsia="方正楷体_GB2312" w:cs="方正楷体_GB2312"/>
          <w:color w:val="auto"/>
          <w:sz w:val="24"/>
          <w:highlight w:val="none"/>
        </w:rPr>
        <w:t>（法定代表人姓名）</w:t>
      </w:r>
      <w:r>
        <w:rPr>
          <w:rFonts w:hint="eastAsia" w:ascii="方正楷体_GB2312" w:hAnsi="方正楷体_GB2312" w:eastAsia="方正楷体_GB2312" w:cs="方正楷体_GB2312"/>
          <w:color w:val="auto"/>
          <w:sz w:val="24"/>
          <w:highlight w:val="none"/>
          <w:u w:val="single"/>
        </w:rPr>
        <w:t xml:space="preserve">     </w:t>
      </w:r>
      <w:r>
        <w:rPr>
          <w:rFonts w:hint="eastAsia" w:ascii="方正楷体_GB2312" w:hAnsi="方正楷体_GB2312" w:eastAsia="方正楷体_GB2312" w:cs="方正楷体_GB2312"/>
          <w:color w:val="auto"/>
          <w:sz w:val="24"/>
          <w:highlight w:val="none"/>
        </w:rPr>
        <w:t>（性别）在</w:t>
      </w:r>
      <w:r>
        <w:rPr>
          <w:rFonts w:hint="eastAsia" w:ascii="方正楷体_GB2312" w:hAnsi="方正楷体_GB2312" w:eastAsia="方正楷体_GB2312" w:cs="方正楷体_GB2312"/>
          <w:color w:val="auto"/>
          <w:sz w:val="24"/>
          <w:highlight w:val="none"/>
          <w:u w:val="single"/>
        </w:rPr>
        <w:t xml:space="preserve">                       </w:t>
      </w:r>
      <w:r>
        <w:rPr>
          <w:rFonts w:hint="eastAsia" w:ascii="方正楷体_GB2312" w:hAnsi="方正楷体_GB2312" w:eastAsia="方正楷体_GB2312" w:cs="方正楷体_GB2312"/>
          <w:color w:val="auto"/>
          <w:sz w:val="24"/>
          <w:highlight w:val="none"/>
        </w:rPr>
        <w:t>（供应商名称）任</w:t>
      </w:r>
      <w:r>
        <w:rPr>
          <w:rFonts w:hint="eastAsia" w:ascii="方正楷体_GB2312" w:hAnsi="方正楷体_GB2312" w:eastAsia="方正楷体_GB2312" w:cs="方正楷体_GB2312"/>
          <w:color w:val="auto"/>
          <w:sz w:val="24"/>
          <w:highlight w:val="none"/>
          <w:u w:val="single"/>
        </w:rPr>
        <w:t xml:space="preserve">    </w:t>
      </w:r>
      <w:r>
        <w:rPr>
          <w:rFonts w:hint="eastAsia" w:ascii="方正楷体_GB2312" w:hAnsi="方正楷体_GB2312" w:eastAsia="方正楷体_GB2312" w:cs="方正楷体_GB2312"/>
          <w:color w:val="auto"/>
          <w:sz w:val="24"/>
          <w:highlight w:val="none"/>
        </w:rPr>
        <w:t>（职务名称）职务，是（供应商名称）</w:t>
      </w:r>
      <w:r>
        <w:rPr>
          <w:rFonts w:hint="eastAsia" w:ascii="方正楷体_GB2312" w:hAnsi="方正楷体_GB2312" w:eastAsia="方正楷体_GB2312" w:cs="方正楷体_GB2312"/>
          <w:color w:val="auto"/>
          <w:sz w:val="24"/>
          <w:highlight w:val="none"/>
          <w:u w:val="single"/>
        </w:rPr>
        <w:t xml:space="preserve">              </w:t>
      </w:r>
      <w:r>
        <w:rPr>
          <w:rFonts w:hint="eastAsia" w:ascii="方正楷体_GB2312" w:hAnsi="方正楷体_GB2312" w:eastAsia="方正楷体_GB2312" w:cs="方正楷体_GB2312"/>
          <w:color w:val="auto"/>
          <w:sz w:val="24"/>
          <w:highlight w:val="none"/>
        </w:rPr>
        <w:t>的法定代表人。</w:t>
      </w:r>
    </w:p>
    <w:p w14:paraId="69A62838">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6546883F">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特此证明。</w:t>
      </w:r>
    </w:p>
    <w:p w14:paraId="7BA8B079">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51B3AB15">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5EE9A69A">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 xml:space="preserve">                                             供应商：</w:t>
      </w:r>
    </w:p>
    <w:p w14:paraId="0B1F048A">
      <w:pPr>
        <w:tabs>
          <w:tab w:val="left" w:pos="6300"/>
        </w:tabs>
        <w:snapToGrid w:val="0"/>
        <w:spacing w:line="360" w:lineRule="auto"/>
        <w:ind w:firstLine="5848" w:firstLineChars="2437"/>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（供应商公章）</w:t>
      </w:r>
    </w:p>
    <w:p w14:paraId="7AB2A675">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57B94F44">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 xml:space="preserve">                                             年   月   日</w:t>
      </w:r>
    </w:p>
    <w:p w14:paraId="5DD00F8E">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法定代表人电话：XXXXXXX      电子邮箱：XXXXXX@XXXXX（若授权他人办理并签署响应文件的可不填写）</w:t>
      </w:r>
    </w:p>
    <w:p w14:paraId="2F7F0D37">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（附：法定代表人身份证正反面复印件）</w:t>
      </w:r>
    </w:p>
    <w:p w14:paraId="2298B824">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2CEAB021">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0C8B247E">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6D653F22">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3C9183C5">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3820101D">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br w:type="page"/>
      </w:r>
    </w:p>
    <w:p w14:paraId="42A15C02">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（三）法定代表人授权委托书（格式）</w:t>
      </w:r>
    </w:p>
    <w:p w14:paraId="4056ED0A">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p>
    <w:p w14:paraId="040C7107">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项目名称：</w:t>
      </w:r>
      <w:r>
        <w:rPr>
          <w:rFonts w:hint="eastAsia" w:ascii="方正楷体_GB2312" w:hAnsi="方正楷体_GB2312" w:eastAsia="方正楷体_GB2312" w:cs="方正楷体_GB2312"/>
          <w:color w:val="auto"/>
          <w:sz w:val="24"/>
          <w:szCs w:val="24"/>
          <w:highlight w:val="none"/>
          <w:u w:val="single"/>
        </w:rPr>
        <w:t xml:space="preserve">                            </w:t>
      </w:r>
    </w:p>
    <w:p w14:paraId="26D31172">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p>
    <w:p w14:paraId="73AA64EC">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（采购人名称）：</w:t>
      </w:r>
    </w:p>
    <w:p w14:paraId="2DA2A1AA">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（供应商法定代表人名称）是</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（供应商名称）的法定代表人，特授权</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（被授权人姓名及身份证号码）代表我单位全权办理上述项目的网上竞采、签约等具体工作，并签署全部有关文件、协议及合同。</w:t>
      </w:r>
    </w:p>
    <w:p w14:paraId="75E90744">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我单位对被授权人的签字负全部责任。</w:t>
      </w:r>
    </w:p>
    <w:p w14:paraId="365A431B">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在撤消授权的书面通知以前，本授权书一直有效。被授权人在授权书有效期内签署的所有文件不因授权的撤消而失效。</w:t>
      </w:r>
    </w:p>
    <w:p w14:paraId="69BAEC5A">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p>
    <w:p w14:paraId="659E9B46">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p>
    <w:p w14:paraId="2189130D">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被授权人：                                 供应商法定代表人：</w:t>
      </w:r>
    </w:p>
    <w:p w14:paraId="3119BE05">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（签字或盖章）                                （签字或盖章）</w:t>
      </w:r>
    </w:p>
    <w:p w14:paraId="7B32588B">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p>
    <w:p w14:paraId="3AE9C633">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p>
    <w:p w14:paraId="4A3D8375">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（附：被授权人、法定代表人身份证正反面）</w:t>
      </w:r>
    </w:p>
    <w:p w14:paraId="17EEA27D">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p>
    <w:p w14:paraId="3FE577A5">
      <w:pPr>
        <w:snapToGrid w:val="0"/>
        <w:spacing w:line="360" w:lineRule="auto"/>
        <w:ind w:firstLine="240" w:firstLineChars="100"/>
        <w:rPr>
          <w:rFonts w:hint="eastAsia" w:ascii="方正楷体_GB2312" w:hAnsi="方正楷体_GB2312" w:eastAsia="方正楷体_GB2312" w:cs="方正楷体_GB2312"/>
          <w:color w:val="auto"/>
          <w:sz w:val="24"/>
          <w:szCs w:val="24"/>
          <w:highlight w:val="none"/>
        </w:rPr>
      </w:pPr>
    </w:p>
    <w:p w14:paraId="0422C2E4">
      <w:pPr>
        <w:snapToGrid w:val="0"/>
        <w:spacing w:line="360" w:lineRule="auto"/>
        <w:ind w:firstLine="240" w:firstLineChars="100"/>
        <w:rPr>
          <w:rFonts w:hint="eastAsia" w:ascii="方正楷体_GB2312" w:hAnsi="方正楷体_GB2312" w:eastAsia="方正楷体_GB2312" w:cs="方正楷体_GB2312"/>
          <w:color w:val="auto"/>
          <w:sz w:val="24"/>
          <w:szCs w:val="24"/>
          <w:highlight w:val="none"/>
        </w:rPr>
      </w:pPr>
    </w:p>
    <w:p w14:paraId="2F14448F">
      <w:pPr>
        <w:snapToGrid w:val="0"/>
        <w:spacing w:line="360" w:lineRule="auto"/>
        <w:ind w:firstLine="240" w:firstLineChars="100"/>
        <w:jc w:val="righ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（供应商公章）</w:t>
      </w:r>
    </w:p>
    <w:p w14:paraId="2AFC2253">
      <w:pPr>
        <w:snapToGrid w:val="0"/>
        <w:spacing w:line="360" w:lineRule="auto"/>
        <w:ind w:firstLine="240" w:firstLineChars="100"/>
        <w:jc w:val="righ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年   月   日</w:t>
      </w:r>
    </w:p>
    <w:p w14:paraId="3D486B3A">
      <w:pPr>
        <w:snapToGrid w:val="0"/>
        <w:spacing w:line="360" w:lineRule="auto"/>
        <w:ind w:firstLine="240" w:firstLineChars="100"/>
        <w:rPr>
          <w:rFonts w:hint="eastAsia" w:ascii="方正楷体_GB2312" w:hAnsi="方正楷体_GB2312" w:eastAsia="方正楷体_GB2312" w:cs="方正楷体_GB2312"/>
          <w:color w:val="auto"/>
          <w:sz w:val="24"/>
          <w:szCs w:val="24"/>
          <w:highlight w:val="none"/>
        </w:rPr>
      </w:pPr>
    </w:p>
    <w:p w14:paraId="7F67E96C">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被授权人电话：XXXXXXX     电子邮箱：XXXXXX@XXXXX（若法定代表人办理并签署响应文件的可不填写）</w:t>
      </w:r>
    </w:p>
    <w:p w14:paraId="32EBE615">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w:t>
      </w:r>
    </w:p>
    <w:p w14:paraId="100B1DF0">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1.若为法定代表人办理并签署响应文件的，不提供此文件。</w:t>
      </w:r>
    </w:p>
    <w:p w14:paraId="46AF30CD">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p>
    <w:p w14:paraId="2796104D">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br w:type="page"/>
      </w:r>
    </w:p>
    <w:p w14:paraId="0755C75D">
      <w:pPr>
        <w:tabs>
          <w:tab w:val="left" w:pos="6300"/>
        </w:tabs>
        <w:snapToGrid w:val="0"/>
        <w:spacing w:line="360" w:lineRule="auto"/>
        <w:ind w:firstLine="57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（四）基本资格条件承诺函</w:t>
      </w:r>
    </w:p>
    <w:p w14:paraId="303690BF">
      <w:pPr>
        <w:spacing w:line="360" w:lineRule="auto"/>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基本资格条件承诺函</w:t>
      </w:r>
    </w:p>
    <w:p w14:paraId="32376158">
      <w:pPr>
        <w:tabs>
          <w:tab w:val="left" w:pos="6300"/>
        </w:tabs>
        <w:snapToGrid w:val="0"/>
        <w:spacing w:line="360" w:lineRule="auto"/>
        <w:rPr>
          <w:rFonts w:hint="eastAsia" w:ascii="方正楷体_GB2312" w:hAnsi="方正楷体_GB2312" w:eastAsia="方正楷体_GB2312" w:cs="方正楷体_GB2312"/>
          <w:color w:val="auto"/>
          <w:sz w:val="24"/>
          <w:highlight w:val="none"/>
        </w:rPr>
      </w:pPr>
    </w:p>
    <w:p w14:paraId="0C8BF29E">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致</w:t>
      </w:r>
      <w:r>
        <w:rPr>
          <w:rFonts w:hint="eastAsia" w:ascii="方正楷体_GB2312" w:hAnsi="方正楷体_GB2312" w:eastAsia="方正楷体_GB2312" w:cs="方正楷体_GB2312"/>
          <w:color w:val="auto"/>
          <w:sz w:val="24"/>
          <w:highlight w:val="none"/>
          <w:u w:val="single"/>
        </w:rPr>
        <w:t xml:space="preserve">                   </w:t>
      </w:r>
      <w:r>
        <w:rPr>
          <w:rFonts w:hint="eastAsia" w:ascii="方正楷体_GB2312" w:hAnsi="方正楷体_GB2312" w:eastAsia="方正楷体_GB2312" w:cs="方正楷体_GB2312"/>
          <w:color w:val="auto"/>
          <w:sz w:val="24"/>
          <w:highlight w:val="none"/>
        </w:rPr>
        <w:t>（采购代理机构名称）：</w:t>
      </w:r>
    </w:p>
    <w:p w14:paraId="78957D68">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 xml:space="preserve">    </w:t>
      </w:r>
      <w:r>
        <w:rPr>
          <w:rFonts w:hint="eastAsia" w:ascii="方正楷体_GB2312" w:hAnsi="方正楷体_GB2312" w:eastAsia="方正楷体_GB2312" w:cs="方正楷体_GB2312"/>
          <w:color w:val="auto"/>
          <w:sz w:val="24"/>
          <w:highlight w:val="none"/>
          <w:u w:val="single"/>
        </w:rPr>
        <w:t xml:space="preserve">              </w:t>
      </w:r>
      <w:r>
        <w:rPr>
          <w:rFonts w:hint="eastAsia" w:ascii="方正楷体_GB2312" w:hAnsi="方正楷体_GB2312" w:eastAsia="方正楷体_GB2312" w:cs="方正楷体_GB2312"/>
          <w:color w:val="auto"/>
          <w:sz w:val="24"/>
          <w:highlight w:val="none"/>
        </w:rPr>
        <w:t>（供应商名称）郑重承诺：</w:t>
      </w:r>
    </w:p>
    <w:p w14:paraId="3A2E308D">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1.我方具有良好的商业信誉和健全的财务会计制度，具有履行合同所必需的设备和专业技术能力，具</w:t>
      </w:r>
      <w:r>
        <w:rPr>
          <w:rFonts w:hint="eastAsia" w:ascii="方正楷体_GB2312" w:hAnsi="方正楷体_GB2312" w:eastAsia="方正楷体_GB2312" w:cs="方正楷体_GB2312"/>
          <w:color w:val="auto"/>
          <w:sz w:val="24"/>
          <w:highlight w:val="none"/>
          <w:lang w:val="zh-CN"/>
        </w:rPr>
        <w:t>有依法缴纳税收和社会保障金的良好记录</w:t>
      </w:r>
      <w:r>
        <w:rPr>
          <w:rFonts w:hint="eastAsia" w:ascii="方正楷体_GB2312" w:hAnsi="方正楷体_GB2312" w:eastAsia="方正楷体_GB2312" w:cs="方正楷体_GB2312"/>
          <w:color w:val="auto"/>
          <w:sz w:val="24"/>
          <w:highlight w:val="none"/>
        </w:rPr>
        <w:t>，参加本项目采购活动前三年内无重大违法活动记录。</w:t>
      </w:r>
    </w:p>
    <w:p w14:paraId="62F57BE8">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7C388FD">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6F2260F6">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我方对以上承诺负全部法律责任。</w:t>
      </w:r>
    </w:p>
    <w:p w14:paraId="450376ED">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特此承诺。</w:t>
      </w:r>
    </w:p>
    <w:p w14:paraId="7AEF79D7">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highlight w:val="none"/>
        </w:rPr>
      </w:pPr>
    </w:p>
    <w:p w14:paraId="29BD0C9E">
      <w:pPr>
        <w:tabs>
          <w:tab w:val="left" w:pos="6300"/>
        </w:tabs>
        <w:snapToGrid w:val="0"/>
        <w:spacing w:line="360" w:lineRule="auto"/>
        <w:ind w:firstLine="480" w:firstLineChars="200"/>
        <w:jc w:val="righ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（供应商公章）</w:t>
      </w:r>
    </w:p>
    <w:p w14:paraId="0BE8402E">
      <w:pPr>
        <w:tabs>
          <w:tab w:val="left" w:pos="6300"/>
        </w:tabs>
        <w:snapToGrid w:val="0"/>
        <w:spacing w:line="360" w:lineRule="auto"/>
        <w:ind w:firstLine="480" w:firstLineChars="200"/>
        <w:jc w:val="righ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年   月   日</w:t>
      </w:r>
    </w:p>
    <w:p w14:paraId="5F60C6BE">
      <w:pPr>
        <w:snapToGrid w:val="0"/>
        <w:spacing w:line="360" w:lineRule="auto"/>
        <w:ind w:firstLine="480" w:firstLineChars="200"/>
        <w:rPr>
          <w:rFonts w:hint="eastAsia" w:ascii="方正楷体_GB2312" w:hAnsi="方正楷体_GB2312" w:eastAsia="方正楷体_GB2312" w:cs="方正楷体_GB2312"/>
          <w:color w:val="auto"/>
          <w:sz w:val="24"/>
          <w:szCs w:val="24"/>
          <w:highlight w:val="none"/>
        </w:rPr>
      </w:pPr>
    </w:p>
    <w:p w14:paraId="34B62645">
      <w:pPr>
        <w:spacing w:line="360" w:lineRule="auto"/>
        <w:rPr>
          <w:rFonts w:hint="eastAsia" w:ascii="方正楷体_GB2312" w:hAnsi="方正楷体_GB2312" w:eastAsia="方正楷体_GB2312" w:cs="方正楷体_GB2312"/>
          <w:color w:val="auto"/>
          <w:highlight w:val="none"/>
        </w:rPr>
      </w:pPr>
    </w:p>
    <w:p w14:paraId="2E65A32E">
      <w:pPr>
        <w:spacing w:line="360" w:lineRule="auto"/>
        <w:rPr>
          <w:rFonts w:hint="eastAsia" w:ascii="方正楷体_GB2312" w:hAnsi="方正楷体_GB2312" w:eastAsia="方正楷体_GB2312" w:cs="方正楷体_GB2312"/>
          <w:color w:val="auto"/>
          <w:highlight w:val="none"/>
        </w:rPr>
      </w:pPr>
    </w:p>
    <w:p w14:paraId="7D53B04B">
      <w:pPr>
        <w:spacing w:line="360" w:lineRule="auto"/>
        <w:rPr>
          <w:rFonts w:hint="eastAsia" w:ascii="方正楷体_GB2312" w:hAnsi="方正楷体_GB2312" w:eastAsia="方正楷体_GB2312" w:cs="方正楷体_GB2312"/>
          <w:color w:val="auto"/>
          <w:highlight w:val="none"/>
        </w:rPr>
      </w:pPr>
    </w:p>
    <w:p w14:paraId="04113B61">
      <w:pPr>
        <w:spacing w:line="360" w:lineRule="auto"/>
        <w:rPr>
          <w:rFonts w:hint="eastAsia" w:ascii="方正楷体_GB2312" w:hAnsi="方正楷体_GB2312" w:eastAsia="方正楷体_GB2312" w:cs="方正楷体_GB2312"/>
          <w:color w:val="auto"/>
          <w:highlight w:val="none"/>
        </w:rPr>
      </w:pPr>
    </w:p>
    <w:p w14:paraId="78A60FA7">
      <w:pPr>
        <w:spacing w:line="360" w:lineRule="auto"/>
        <w:rPr>
          <w:rFonts w:hint="eastAsia" w:ascii="方正楷体_GB2312" w:hAnsi="方正楷体_GB2312" w:eastAsia="方正楷体_GB2312" w:cs="方正楷体_GB2312"/>
          <w:color w:val="auto"/>
          <w:highlight w:val="none"/>
        </w:rPr>
      </w:pPr>
    </w:p>
    <w:p w14:paraId="64D1C583">
      <w:pPr>
        <w:spacing w:line="360" w:lineRule="auto"/>
        <w:rPr>
          <w:rFonts w:hint="eastAsia" w:ascii="方正楷体_GB2312" w:hAnsi="方正楷体_GB2312" w:eastAsia="方正楷体_GB2312" w:cs="方正楷体_GB2312"/>
          <w:color w:val="auto"/>
          <w:highlight w:val="none"/>
        </w:rPr>
      </w:pPr>
    </w:p>
    <w:p w14:paraId="67BE9A15">
      <w:pPr>
        <w:spacing w:line="360" w:lineRule="auto"/>
        <w:rPr>
          <w:rFonts w:hint="eastAsia" w:ascii="方正楷体_GB2312" w:hAnsi="方正楷体_GB2312" w:eastAsia="方正楷体_GB2312" w:cs="方正楷体_GB2312"/>
          <w:color w:val="auto"/>
          <w:highlight w:val="none"/>
        </w:rPr>
      </w:pPr>
    </w:p>
    <w:p w14:paraId="660EFD2F">
      <w:pPr>
        <w:spacing w:line="360" w:lineRule="auto"/>
        <w:rPr>
          <w:rFonts w:hint="eastAsia" w:ascii="方正楷体_GB2312" w:hAnsi="方正楷体_GB2312" w:eastAsia="方正楷体_GB2312" w:cs="方正楷体_GB2312"/>
          <w:color w:val="auto"/>
          <w:highlight w:val="none"/>
        </w:rPr>
      </w:pPr>
    </w:p>
    <w:p w14:paraId="0E43A961">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szCs w:val="28"/>
          <w:highlight w:val="none"/>
        </w:rPr>
      </w:pPr>
    </w:p>
    <w:p w14:paraId="356DD4EF">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szCs w:val="28"/>
          <w:highlight w:val="none"/>
        </w:rPr>
      </w:pPr>
    </w:p>
    <w:p w14:paraId="03B01602">
      <w:pPr>
        <w:tabs>
          <w:tab w:val="left" w:pos="6300"/>
        </w:tabs>
        <w:snapToGrid w:val="0"/>
        <w:spacing w:line="360" w:lineRule="auto"/>
        <w:ind w:firstLine="480" w:firstLineChars="200"/>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（五）特定资格条件证书或证明文件</w:t>
      </w:r>
    </w:p>
    <w:p w14:paraId="7B8C844A">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09FB27C6">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04DE463F">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446082FD">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4953C2B5">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1869E37E">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1FDF7BBC">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2347A0B3">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598A18D4">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01855D3A">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29A2C308">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4E98E1FD">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6166014D">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7AE2ACCC">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700FFC67">
      <w:pPr>
        <w:tabs>
          <w:tab w:val="left" w:pos="6300"/>
        </w:tabs>
        <w:snapToGrid w:val="0"/>
        <w:spacing w:line="360" w:lineRule="auto"/>
        <w:ind w:firstLine="570"/>
        <w:jc w:val="left"/>
        <w:rPr>
          <w:rFonts w:hint="eastAsia" w:ascii="方正楷体_GB2312" w:hAnsi="方正楷体_GB2312" w:eastAsia="方正楷体_GB2312" w:cs="方正楷体_GB2312"/>
          <w:color w:val="auto"/>
          <w:sz w:val="24"/>
          <w:highlight w:val="none"/>
        </w:rPr>
      </w:pPr>
    </w:p>
    <w:p w14:paraId="335322A3">
      <w:pPr>
        <w:tabs>
          <w:tab w:val="left" w:pos="6300"/>
        </w:tabs>
        <w:snapToGrid w:val="0"/>
        <w:spacing w:line="360" w:lineRule="auto"/>
        <w:jc w:val="left"/>
        <w:rPr>
          <w:rFonts w:hint="eastAsia" w:ascii="方正楷体_GB2312" w:hAnsi="方正楷体_GB2312" w:eastAsia="方正楷体_GB2312" w:cs="方正楷体_GB2312"/>
          <w:color w:val="auto"/>
          <w:sz w:val="24"/>
          <w:highlight w:val="none"/>
        </w:rPr>
      </w:pPr>
    </w:p>
    <w:p w14:paraId="428357D5">
      <w:pPr>
        <w:pStyle w:val="8"/>
        <w:spacing w:line="360" w:lineRule="auto"/>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（结束）</w:t>
      </w:r>
    </w:p>
    <w:p w14:paraId="71B9A03C">
      <w:pPr>
        <w:pStyle w:val="6"/>
        <w:spacing w:line="360" w:lineRule="auto"/>
        <w:ind w:left="560"/>
        <w:rPr>
          <w:rFonts w:hint="eastAsia" w:ascii="方正楷体_GB2312" w:hAnsi="方正楷体_GB2312" w:eastAsia="方正楷体_GB2312" w:cs="方正楷体_GB2312"/>
          <w:color w:val="auto"/>
          <w:sz w:val="24"/>
          <w:szCs w:val="24"/>
          <w:highlight w:val="none"/>
        </w:rPr>
      </w:pPr>
    </w:p>
    <w:p w14:paraId="3FA93737">
      <w:pPr>
        <w:pStyle w:val="6"/>
        <w:spacing w:line="360" w:lineRule="auto"/>
        <w:ind w:left="560"/>
        <w:rPr>
          <w:rFonts w:hint="eastAsia" w:ascii="方正楷体_GB2312" w:hAnsi="方正楷体_GB2312" w:eastAsia="方正楷体_GB2312" w:cs="方正楷体_GB2312"/>
          <w:color w:val="auto"/>
          <w:sz w:val="24"/>
          <w:szCs w:val="24"/>
          <w:highlight w:val="none"/>
        </w:rPr>
      </w:pPr>
    </w:p>
    <w:p w14:paraId="26B71A74">
      <w:pPr>
        <w:spacing w:line="360" w:lineRule="auto"/>
        <w:rPr>
          <w:rFonts w:hint="eastAsia" w:ascii="方正楷体_GB2312" w:hAnsi="方正楷体_GB2312" w:eastAsia="方正楷体_GB2312" w:cs="方正楷体_GB2312"/>
          <w:color w:val="auto"/>
          <w:sz w:val="24"/>
          <w:szCs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楷体_GB2312">
    <w:panose1 w:val="02000000000000000000"/>
    <w:charset w:val="86"/>
    <w:family w:val="auto"/>
    <w:pitch w:val="default"/>
    <w:sig w:usb0="A00002BF" w:usb1="184F6CFA" w:usb2="00000012" w:usb3="00000000" w:csb0="00040001" w:csb1="00000000"/>
    <w:embedRegular r:id="rId1" w:fontKey="{B42958ED-93E9-42F2-B923-239B9161FE55}"/>
  </w:font>
  <w:font w:name="方正仿宋_GBK">
    <w:panose1 w:val="03000509000000000000"/>
    <w:charset w:val="86"/>
    <w:family w:val="script"/>
    <w:pitch w:val="default"/>
    <w:sig w:usb0="00000001" w:usb1="080E0000" w:usb2="00000000" w:usb3="00000000" w:csb0="00040000" w:csb1="00000000"/>
    <w:embedRegular r:id="rId2" w:fontKey="{50CBC6E4-F7EC-4A66-9876-194335E50E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970D">
    <w:pPr>
      <w:pStyle w:val="15"/>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9A380">
                          <w:pPr>
                            <w:pStyle w:val="15"/>
                          </w:pPr>
                          <w:r>
                            <w:fldChar w:fldCharType="begin"/>
                          </w:r>
                          <w:r>
                            <w:instrText xml:space="preserve"> PAGE  \* MERGEFORMAT </w:instrText>
                          </w:r>
                          <w:r>
                            <w:fldChar w:fldCharType="separate"/>
                          </w:r>
                          <w:r>
                            <w:t>- 23 -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F39A380">
                    <w:pPr>
                      <w:pStyle w:val="15"/>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4B6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E9ACE">
                          <w:pPr>
                            <w:pStyle w:val="15"/>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1F0E9ACE">
                    <w:pPr>
                      <w:pStyle w:val="15"/>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76584">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495622D">
                          <w:pPr>
                            <w:pStyle w:val="15"/>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495622D">
                    <w:pPr>
                      <w:pStyle w:val="15"/>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A61B">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34C51"/>
    <w:multiLevelType w:val="singleLevel"/>
    <w:tmpl w:val="D1434C51"/>
    <w:lvl w:ilvl="0" w:tentative="0">
      <w:start w:val="6"/>
      <w:numFmt w:val="chineseCounting"/>
      <w:suff w:val="space"/>
      <w:lvlText w:val="第%1篇"/>
      <w:lvlJc w:val="left"/>
      <w:rPr>
        <w:rFonts w:hint="eastAsia"/>
      </w:rPr>
    </w:lvl>
  </w:abstractNum>
  <w:abstractNum w:abstractNumId="1">
    <w:nsid w:val="D3F67655"/>
    <w:multiLevelType w:val="singleLevel"/>
    <w:tmpl w:val="D3F67655"/>
    <w:lvl w:ilvl="0" w:tentative="0">
      <w:start w:val="2"/>
      <w:numFmt w:val="chineseCounting"/>
      <w:suff w:val="nothing"/>
      <w:lvlText w:val="（%1）"/>
      <w:lvlJc w:val="left"/>
      <w:rPr>
        <w:rFonts w:hint="eastAsia"/>
      </w:rPr>
    </w:lvl>
  </w:abstractNum>
  <w:abstractNum w:abstractNumId="2">
    <w:nsid w:val="E3D048CF"/>
    <w:multiLevelType w:val="singleLevel"/>
    <w:tmpl w:val="E3D048CF"/>
    <w:lvl w:ilvl="0" w:tentative="0">
      <w:start w:val="2"/>
      <w:numFmt w:val="chineseCounting"/>
      <w:suff w:val="nothing"/>
      <w:lvlText w:val="%1、"/>
      <w:lvlJc w:val="left"/>
      <w:rPr>
        <w:rFonts w:hint="eastAsia"/>
      </w:rPr>
    </w:lvl>
  </w:abstractNum>
  <w:abstractNum w:abstractNumId="3">
    <w:nsid w:val="115518A5"/>
    <w:multiLevelType w:val="singleLevel"/>
    <w:tmpl w:val="115518A5"/>
    <w:lvl w:ilvl="0" w:tentative="0">
      <w:start w:val="1"/>
      <w:numFmt w:val="decimal"/>
      <w:lvlText w:val="%1)"/>
      <w:lvlJc w:val="left"/>
      <w:pPr>
        <w:tabs>
          <w:tab w:val="left" w:pos="312"/>
        </w:tabs>
      </w:pPr>
    </w:lvl>
  </w:abstractNum>
  <w:abstractNum w:abstractNumId="4">
    <w:nsid w:val="332A30F5"/>
    <w:multiLevelType w:val="singleLevel"/>
    <w:tmpl w:val="332A30F5"/>
    <w:lvl w:ilvl="0" w:tentative="0">
      <w:start w:val="1"/>
      <w:numFmt w:val="decimal"/>
      <w:lvlText w:val="(%1)"/>
      <w:lvlJc w:val="left"/>
      <w:pPr>
        <w:tabs>
          <w:tab w:val="left" w:pos="312"/>
        </w:tabs>
      </w:pPr>
    </w:lvl>
  </w:abstractNum>
  <w:abstractNum w:abstractNumId="5">
    <w:nsid w:val="3F7263B2"/>
    <w:multiLevelType w:val="singleLevel"/>
    <w:tmpl w:val="3F7263B2"/>
    <w:lvl w:ilvl="0" w:tentative="0">
      <w:start w:val="1"/>
      <w:numFmt w:val="decimal"/>
      <w:lvlText w:val="%1)"/>
      <w:lvlJc w:val="left"/>
      <w:pPr>
        <w:tabs>
          <w:tab w:val="left" w:pos="312"/>
        </w:tabs>
      </w:pPr>
    </w:lvl>
  </w:abstractNum>
  <w:abstractNum w:abstractNumId="6">
    <w:nsid w:val="46F7C53C"/>
    <w:multiLevelType w:val="singleLevel"/>
    <w:tmpl w:val="46F7C53C"/>
    <w:lvl w:ilvl="0" w:tentative="0">
      <w:start w:val="5"/>
      <w:numFmt w:val="chineseCounting"/>
      <w:suff w:val="nothing"/>
      <w:lvlText w:val="%1、"/>
      <w:lvlJc w:val="left"/>
      <w:rPr>
        <w:rFonts w:hint="eastAsia"/>
      </w:rPr>
    </w:lvl>
  </w:abstractNum>
  <w:abstractNum w:abstractNumId="7">
    <w:nsid w:val="483CD81B"/>
    <w:multiLevelType w:val="singleLevel"/>
    <w:tmpl w:val="483CD81B"/>
    <w:lvl w:ilvl="0" w:tentative="0">
      <w:start w:val="2"/>
      <w:numFmt w:val="chineseCounting"/>
      <w:suff w:val="nothing"/>
      <w:lvlText w:val="%1、"/>
      <w:lvlJc w:val="left"/>
      <w:rPr>
        <w:rFonts w:hint="eastAsia"/>
      </w:rPr>
    </w:lvl>
  </w:abstractNum>
  <w:abstractNum w:abstractNumId="8">
    <w:nsid w:val="58EA99C7"/>
    <w:multiLevelType w:val="singleLevel"/>
    <w:tmpl w:val="58EA99C7"/>
    <w:lvl w:ilvl="0" w:tentative="0">
      <w:start w:val="1"/>
      <w:numFmt w:val="decimal"/>
      <w:lvlText w:val="%1."/>
      <w:lvlJc w:val="left"/>
      <w:pPr>
        <w:tabs>
          <w:tab w:val="left" w:pos="312"/>
        </w:tabs>
      </w:pPr>
    </w:lvl>
  </w:abstractNum>
  <w:abstractNum w:abstractNumId="9">
    <w:nsid w:val="64F7617D"/>
    <w:multiLevelType w:val="singleLevel"/>
    <w:tmpl w:val="64F7617D"/>
    <w:lvl w:ilvl="0" w:tentative="0">
      <w:start w:val="1"/>
      <w:numFmt w:val="chineseCounting"/>
      <w:suff w:val="nothing"/>
      <w:lvlText w:val="%1、"/>
      <w:lvlJc w:val="left"/>
      <w:rPr>
        <w:rFonts w:hint="eastAsia"/>
      </w:rPr>
    </w:lvl>
  </w:abstractNum>
  <w:abstractNum w:abstractNumId="10">
    <w:nsid w:val="6667BD86"/>
    <w:multiLevelType w:val="singleLevel"/>
    <w:tmpl w:val="6667BD86"/>
    <w:lvl w:ilvl="0" w:tentative="0">
      <w:start w:val="1"/>
      <w:numFmt w:val="chineseCounting"/>
      <w:suff w:val="nothing"/>
      <w:lvlText w:val="（%1）"/>
      <w:lvlJc w:val="left"/>
      <w:rPr>
        <w:rFonts w:hint="eastAsia"/>
      </w:rPr>
    </w:lvl>
  </w:abstractNum>
  <w:abstractNum w:abstractNumId="11">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2"/>
  </w:num>
  <w:num w:numId="3">
    <w:abstractNumId w:val="8"/>
  </w:num>
  <w:num w:numId="4">
    <w:abstractNumId w:val="3"/>
  </w:num>
  <w:num w:numId="5">
    <w:abstractNumId w:val="5"/>
  </w:num>
  <w:num w:numId="6">
    <w:abstractNumId w:val="11"/>
  </w:num>
  <w:num w:numId="7">
    <w:abstractNumId w:val="6"/>
  </w:num>
  <w:num w:numId="8">
    <w:abstractNumId w:val="7"/>
  </w:num>
  <w:num w:numId="9">
    <w:abstractNumId w:val="10"/>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wMzIxNjEzOTlmZjBlMmM4Y2FkNTVhMTBmNWY4Y2UifQ=="/>
  </w:docVars>
  <w:rsids>
    <w:rsidRoot w:val="4DEF5E83"/>
    <w:rsid w:val="000F53B2"/>
    <w:rsid w:val="001113A3"/>
    <w:rsid w:val="00132983"/>
    <w:rsid w:val="0014025F"/>
    <w:rsid w:val="0020267E"/>
    <w:rsid w:val="00256254"/>
    <w:rsid w:val="00295373"/>
    <w:rsid w:val="002A0829"/>
    <w:rsid w:val="002D01E3"/>
    <w:rsid w:val="002D0AAE"/>
    <w:rsid w:val="002F5415"/>
    <w:rsid w:val="003000AB"/>
    <w:rsid w:val="00315FC9"/>
    <w:rsid w:val="003229F9"/>
    <w:rsid w:val="00366C18"/>
    <w:rsid w:val="00394DF7"/>
    <w:rsid w:val="003A2DDC"/>
    <w:rsid w:val="003C4F6C"/>
    <w:rsid w:val="003F52ED"/>
    <w:rsid w:val="0041230D"/>
    <w:rsid w:val="004A1673"/>
    <w:rsid w:val="004A3B1B"/>
    <w:rsid w:val="00557D8C"/>
    <w:rsid w:val="00561057"/>
    <w:rsid w:val="005F4542"/>
    <w:rsid w:val="00651ADC"/>
    <w:rsid w:val="00690752"/>
    <w:rsid w:val="006D245D"/>
    <w:rsid w:val="006D51E1"/>
    <w:rsid w:val="0075576C"/>
    <w:rsid w:val="008A150C"/>
    <w:rsid w:val="009266AD"/>
    <w:rsid w:val="0097760B"/>
    <w:rsid w:val="00C335D6"/>
    <w:rsid w:val="00CF6B2B"/>
    <w:rsid w:val="00D02170"/>
    <w:rsid w:val="00D54920"/>
    <w:rsid w:val="00E72388"/>
    <w:rsid w:val="00E822E9"/>
    <w:rsid w:val="00E93B74"/>
    <w:rsid w:val="00EA58DB"/>
    <w:rsid w:val="00EB07BF"/>
    <w:rsid w:val="00EF4BCC"/>
    <w:rsid w:val="00F72922"/>
    <w:rsid w:val="00F759F7"/>
    <w:rsid w:val="00F941FA"/>
    <w:rsid w:val="00F95539"/>
    <w:rsid w:val="00FA25E0"/>
    <w:rsid w:val="010131A7"/>
    <w:rsid w:val="012670EA"/>
    <w:rsid w:val="01782C45"/>
    <w:rsid w:val="01A432F5"/>
    <w:rsid w:val="01EF3980"/>
    <w:rsid w:val="02CA1934"/>
    <w:rsid w:val="03015719"/>
    <w:rsid w:val="035246AA"/>
    <w:rsid w:val="037E30D1"/>
    <w:rsid w:val="03A70F25"/>
    <w:rsid w:val="03AC20C9"/>
    <w:rsid w:val="042E69E2"/>
    <w:rsid w:val="056326BB"/>
    <w:rsid w:val="056E4905"/>
    <w:rsid w:val="057332A8"/>
    <w:rsid w:val="05AE345A"/>
    <w:rsid w:val="07B2792A"/>
    <w:rsid w:val="08990A0C"/>
    <w:rsid w:val="08DB2913"/>
    <w:rsid w:val="09914A41"/>
    <w:rsid w:val="0A472228"/>
    <w:rsid w:val="0C743400"/>
    <w:rsid w:val="0D0E7381"/>
    <w:rsid w:val="0DF63B62"/>
    <w:rsid w:val="0ECF491D"/>
    <w:rsid w:val="0F421593"/>
    <w:rsid w:val="0FE12B5A"/>
    <w:rsid w:val="0FF42057"/>
    <w:rsid w:val="102B7629"/>
    <w:rsid w:val="106877E7"/>
    <w:rsid w:val="116544B1"/>
    <w:rsid w:val="116A6B7F"/>
    <w:rsid w:val="12883059"/>
    <w:rsid w:val="12AD1419"/>
    <w:rsid w:val="12B35A5A"/>
    <w:rsid w:val="133B07D3"/>
    <w:rsid w:val="13482EF0"/>
    <w:rsid w:val="13540CE3"/>
    <w:rsid w:val="14AD5701"/>
    <w:rsid w:val="14AE0CDA"/>
    <w:rsid w:val="15344EF4"/>
    <w:rsid w:val="15770AE8"/>
    <w:rsid w:val="15AE1730"/>
    <w:rsid w:val="15BE749A"/>
    <w:rsid w:val="15DB68ED"/>
    <w:rsid w:val="16816E45"/>
    <w:rsid w:val="172D575F"/>
    <w:rsid w:val="17B17D6B"/>
    <w:rsid w:val="18360697"/>
    <w:rsid w:val="18D23988"/>
    <w:rsid w:val="1957287E"/>
    <w:rsid w:val="19CE23A1"/>
    <w:rsid w:val="1A037E63"/>
    <w:rsid w:val="1A551FDF"/>
    <w:rsid w:val="1AB175CD"/>
    <w:rsid w:val="1ABA46D4"/>
    <w:rsid w:val="1BB6167F"/>
    <w:rsid w:val="1C2830EC"/>
    <w:rsid w:val="1C2C1601"/>
    <w:rsid w:val="1C4865E5"/>
    <w:rsid w:val="1C7134B8"/>
    <w:rsid w:val="1C8651B5"/>
    <w:rsid w:val="1C8B4B07"/>
    <w:rsid w:val="1CB558B4"/>
    <w:rsid w:val="1CD048C1"/>
    <w:rsid w:val="1D517391"/>
    <w:rsid w:val="1D6B6159"/>
    <w:rsid w:val="1D925B8A"/>
    <w:rsid w:val="1E2B7565"/>
    <w:rsid w:val="1EF34658"/>
    <w:rsid w:val="1F5C6D76"/>
    <w:rsid w:val="1F7405B1"/>
    <w:rsid w:val="1F777037"/>
    <w:rsid w:val="209459C7"/>
    <w:rsid w:val="2107263D"/>
    <w:rsid w:val="219C4B33"/>
    <w:rsid w:val="219D08AB"/>
    <w:rsid w:val="225856E4"/>
    <w:rsid w:val="22734C95"/>
    <w:rsid w:val="22E31B89"/>
    <w:rsid w:val="232C638A"/>
    <w:rsid w:val="236723EA"/>
    <w:rsid w:val="23CD36CA"/>
    <w:rsid w:val="24156E1F"/>
    <w:rsid w:val="243A6885"/>
    <w:rsid w:val="24AA7567"/>
    <w:rsid w:val="24AC1531"/>
    <w:rsid w:val="24BD373E"/>
    <w:rsid w:val="24E707BB"/>
    <w:rsid w:val="24F064C4"/>
    <w:rsid w:val="25562B4F"/>
    <w:rsid w:val="258242A3"/>
    <w:rsid w:val="25893620"/>
    <w:rsid w:val="2589675C"/>
    <w:rsid w:val="273953D9"/>
    <w:rsid w:val="27BF5BC8"/>
    <w:rsid w:val="28335AC5"/>
    <w:rsid w:val="288F09E8"/>
    <w:rsid w:val="28DF032D"/>
    <w:rsid w:val="2A3C6EB3"/>
    <w:rsid w:val="2A8C609F"/>
    <w:rsid w:val="2AD215C5"/>
    <w:rsid w:val="2B6C6FC2"/>
    <w:rsid w:val="2C5801F0"/>
    <w:rsid w:val="2CD75C91"/>
    <w:rsid w:val="2CFE2B46"/>
    <w:rsid w:val="2D654973"/>
    <w:rsid w:val="2D734C34"/>
    <w:rsid w:val="2DDB4C35"/>
    <w:rsid w:val="2DF14458"/>
    <w:rsid w:val="2E9F3EB4"/>
    <w:rsid w:val="2EC93486"/>
    <w:rsid w:val="2F7B047E"/>
    <w:rsid w:val="2FDE0A0C"/>
    <w:rsid w:val="30B91B3B"/>
    <w:rsid w:val="30FF1B88"/>
    <w:rsid w:val="31327262"/>
    <w:rsid w:val="315C608D"/>
    <w:rsid w:val="3268462F"/>
    <w:rsid w:val="328F34B6"/>
    <w:rsid w:val="32B011BC"/>
    <w:rsid w:val="33B94BEA"/>
    <w:rsid w:val="34252EB0"/>
    <w:rsid w:val="342D3D10"/>
    <w:rsid w:val="343926B5"/>
    <w:rsid w:val="345B43EB"/>
    <w:rsid w:val="34763909"/>
    <w:rsid w:val="34D36666"/>
    <w:rsid w:val="3525563E"/>
    <w:rsid w:val="3547648D"/>
    <w:rsid w:val="356544C7"/>
    <w:rsid w:val="35987B8D"/>
    <w:rsid w:val="35A63D7A"/>
    <w:rsid w:val="37781747"/>
    <w:rsid w:val="3789228D"/>
    <w:rsid w:val="37906A90"/>
    <w:rsid w:val="379320DC"/>
    <w:rsid w:val="37BB0D1E"/>
    <w:rsid w:val="37FD732F"/>
    <w:rsid w:val="382F62A9"/>
    <w:rsid w:val="38AF4FF3"/>
    <w:rsid w:val="392F0C9C"/>
    <w:rsid w:val="393022D9"/>
    <w:rsid w:val="39704576"/>
    <w:rsid w:val="3979525D"/>
    <w:rsid w:val="39A24859"/>
    <w:rsid w:val="39B142BD"/>
    <w:rsid w:val="39DA5E57"/>
    <w:rsid w:val="3AAC3BE1"/>
    <w:rsid w:val="3AAF3477"/>
    <w:rsid w:val="3AB160D5"/>
    <w:rsid w:val="3AFB2473"/>
    <w:rsid w:val="3B27770B"/>
    <w:rsid w:val="3B284EE3"/>
    <w:rsid w:val="3C8B3CCA"/>
    <w:rsid w:val="3CD936B6"/>
    <w:rsid w:val="3D1759F9"/>
    <w:rsid w:val="3D6E2D89"/>
    <w:rsid w:val="3D753879"/>
    <w:rsid w:val="3D7D2A20"/>
    <w:rsid w:val="3D8C5D93"/>
    <w:rsid w:val="3DBE08A9"/>
    <w:rsid w:val="3E606E7E"/>
    <w:rsid w:val="3E9A0C6C"/>
    <w:rsid w:val="3EF0645B"/>
    <w:rsid w:val="3F36616F"/>
    <w:rsid w:val="3F387708"/>
    <w:rsid w:val="3F9A73D8"/>
    <w:rsid w:val="3FB026E8"/>
    <w:rsid w:val="3FC714BD"/>
    <w:rsid w:val="413F4A95"/>
    <w:rsid w:val="41684B4C"/>
    <w:rsid w:val="419F6289"/>
    <w:rsid w:val="424E557E"/>
    <w:rsid w:val="42786A9F"/>
    <w:rsid w:val="429F79EF"/>
    <w:rsid w:val="42FC4EA8"/>
    <w:rsid w:val="431E13F4"/>
    <w:rsid w:val="43FA7557"/>
    <w:rsid w:val="46933EA7"/>
    <w:rsid w:val="46B3312C"/>
    <w:rsid w:val="46D87B0C"/>
    <w:rsid w:val="46F801AE"/>
    <w:rsid w:val="474927B8"/>
    <w:rsid w:val="47BC567F"/>
    <w:rsid w:val="4819662E"/>
    <w:rsid w:val="483C334A"/>
    <w:rsid w:val="49027FE8"/>
    <w:rsid w:val="49724248"/>
    <w:rsid w:val="49CA74E0"/>
    <w:rsid w:val="49E369F5"/>
    <w:rsid w:val="49E8450A"/>
    <w:rsid w:val="4A590F64"/>
    <w:rsid w:val="4B594059"/>
    <w:rsid w:val="4B6B0F4E"/>
    <w:rsid w:val="4B726781"/>
    <w:rsid w:val="4BCA6B34"/>
    <w:rsid w:val="4C5A03C8"/>
    <w:rsid w:val="4C770C39"/>
    <w:rsid w:val="4C8C608C"/>
    <w:rsid w:val="4CC50B32"/>
    <w:rsid w:val="4D0104F9"/>
    <w:rsid w:val="4D0F047A"/>
    <w:rsid w:val="4D6510E9"/>
    <w:rsid w:val="4D9C1893"/>
    <w:rsid w:val="4DEE5E67"/>
    <w:rsid w:val="4DEF5E83"/>
    <w:rsid w:val="4F0516BA"/>
    <w:rsid w:val="4F977F9F"/>
    <w:rsid w:val="4FD322A6"/>
    <w:rsid w:val="4FE45692"/>
    <w:rsid w:val="504852D5"/>
    <w:rsid w:val="505C7A00"/>
    <w:rsid w:val="50690566"/>
    <w:rsid w:val="507F3B1D"/>
    <w:rsid w:val="50FA4B97"/>
    <w:rsid w:val="51410302"/>
    <w:rsid w:val="5186459D"/>
    <w:rsid w:val="51C55131"/>
    <w:rsid w:val="51C75820"/>
    <w:rsid w:val="51C766F4"/>
    <w:rsid w:val="525C5004"/>
    <w:rsid w:val="52705BD4"/>
    <w:rsid w:val="52FD2E8D"/>
    <w:rsid w:val="535A7887"/>
    <w:rsid w:val="53CD66E0"/>
    <w:rsid w:val="53FD6E04"/>
    <w:rsid w:val="54A33B56"/>
    <w:rsid w:val="55CB16B9"/>
    <w:rsid w:val="56A54175"/>
    <w:rsid w:val="570858F2"/>
    <w:rsid w:val="578B20C2"/>
    <w:rsid w:val="57C230D5"/>
    <w:rsid w:val="57DC0F5F"/>
    <w:rsid w:val="588C08D1"/>
    <w:rsid w:val="59495C20"/>
    <w:rsid w:val="598D1A7E"/>
    <w:rsid w:val="59D800F7"/>
    <w:rsid w:val="5A180D4E"/>
    <w:rsid w:val="5B305D11"/>
    <w:rsid w:val="5B8F3C7E"/>
    <w:rsid w:val="5BB15A9F"/>
    <w:rsid w:val="5C480E38"/>
    <w:rsid w:val="5C5251DF"/>
    <w:rsid w:val="5C5D2B35"/>
    <w:rsid w:val="5DFE04B3"/>
    <w:rsid w:val="5F125E59"/>
    <w:rsid w:val="5F3833E6"/>
    <w:rsid w:val="5F9A19AB"/>
    <w:rsid w:val="5FC04D5E"/>
    <w:rsid w:val="5FE536D5"/>
    <w:rsid w:val="614F3918"/>
    <w:rsid w:val="61515E49"/>
    <w:rsid w:val="62032BD0"/>
    <w:rsid w:val="6232470C"/>
    <w:rsid w:val="62643AFC"/>
    <w:rsid w:val="62EE2739"/>
    <w:rsid w:val="63750D8F"/>
    <w:rsid w:val="640F1ECC"/>
    <w:rsid w:val="64487C27"/>
    <w:rsid w:val="65F06D2C"/>
    <w:rsid w:val="66BB2590"/>
    <w:rsid w:val="66E203D8"/>
    <w:rsid w:val="671B7922"/>
    <w:rsid w:val="674B5F60"/>
    <w:rsid w:val="676B2C94"/>
    <w:rsid w:val="677F153E"/>
    <w:rsid w:val="68770832"/>
    <w:rsid w:val="687C133D"/>
    <w:rsid w:val="68C13736"/>
    <w:rsid w:val="690946BA"/>
    <w:rsid w:val="692810BE"/>
    <w:rsid w:val="69B214A0"/>
    <w:rsid w:val="69E00902"/>
    <w:rsid w:val="69EC54F9"/>
    <w:rsid w:val="6AE04B74"/>
    <w:rsid w:val="6AF01C56"/>
    <w:rsid w:val="6C710B23"/>
    <w:rsid w:val="6CFE7A1D"/>
    <w:rsid w:val="6D706919"/>
    <w:rsid w:val="6DF42C99"/>
    <w:rsid w:val="6E0E5660"/>
    <w:rsid w:val="6E1E4550"/>
    <w:rsid w:val="6E5F273D"/>
    <w:rsid w:val="6F443096"/>
    <w:rsid w:val="6F5778B8"/>
    <w:rsid w:val="703E4B7E"/>
    <w:rsid w:val="70D21129"/>
    <w:rsid w:val="70E51287"/>
    <w:rsid w:val="720535FB"/>
    <w:rsid w:val="72795537"/>
    <w:rsid w:val="754942E3"/>
    <w:rsid w:val="75F05AFC"/>
    <w:rsid w:val="75F25C45"/>
    <w:rsid w:val="777110D9"/>
    <w:rsid w:val="77D8153D"/>
    <w:rsid w:val="780B56E4"/>
    <w:rsid w:val="791553F6"/>
    <w:rsid w:val="799B1910"/>
    <w:rsid w:val="7A373298"/>
    <w:rsid w:val="7A41363F"/>
    <w:rsid w:val="7A542AC5"/>
    <w:rsid w:val="7B346CFF"/>
    <w:rsid w:val="7B5628D6"/>
    <w:rsid w:val="7B8E5BDC"/>
    <w:rsid w:val="7C025669"/>
    <w:rsid w:val="7C30163A"/>
    <w:rsid w:val="7C331A1A"/>
    <w:rsid w:val="7C4C02E1"/>
    <w:rsid w:val="7C7D2A53"/>
    <w:rsid w:val="7EE15F5F"/>
    <w:rsid w:val="7EE30820"/>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spacing w:line="360" w:lineRule="auto"/>
      <w:ind w:left="200" w:leftChars="200"/>
    </w:pPr>
    <w:rPr>
      <w:rFonts w:eastAsia="仿宋_GB2312"/>
    </w:rPr>
  </w:style>
  <w:style w:type="paragraph" w:styleId="8">
    <w:name w:val="Body Text"/>
    <w:basedOn w:val="1"/>
    <w:next w:val="1"/>
    <w:qFormat/>
    <w:uiPriority w:val="0"/>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1"/>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List"/>
    <w:basedOn w:val="1"/>
    <w:semiHidden/>
    <w:qFormat/>
    <w:uiPriority w:val="0"/>
    <w:pPr>
      <w:ind w:left="200" w:hanging="200" w:hangingChars="200"/>
    </w:pPr>
  </w:style>
  <w:style w:type="paragraph" w:styleId="19">
    <w:name w:val="toc 2"/>
    <w:basedOn w:val="1"/>
    <w:next w:val="1"/>
    <w:qFormat/>
    <w:uiPriority w:val="39"/>
    <w:pPr>
      <w:ind w:left="420" w:left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99"/>
    <w:rPr>
      <w:color w:val="0000FF"/>
      <w:u w:val="single"/>
    </w:rPr>
  </w:style>
  <w:style w:type="paragraph" w:customStyle="1" w:styleId="25">
    <w:name w:val="图例"/>
    <w:basedOn w:val="1"/>
    <w:qFormat/>
    <w:uiPriority w:val="0"/>
    <w:pPr>
      <w:spacing w:before="120" w:after="120" w:line="360" w:lineRule="auto"/>
      <w:jc w:val="center"/>
    </w:pPr>
    <w:rPr>
      <w:rFonts w:eastAsia="仿宋_GB2312"/>
      <w:b/>
      <w:sz w:val="24"/>
    </w:rPr>
  </w:style>
  <w:style w:type="paragraph" w:customStyle="1" w:styleId="26">
    <w:name w:val="电建正文"/>
    <w:basedOn w:val="27"/>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8"/>
    <w:next w:val="18"/>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1">
    <w:name w:val="标题 4 字符"/>
    <w:basedOn w:val="22"/>
    <w:link w:val="5"/>
    <w:semiHidden/>
    <w:qFormat/>
    <w:uiPriority w:val="0"/>
    <w:rPr>
      <w:rFonts w:asciiTheme="majorHAnsi" w:hAnsiTheme="majorHAnsi" w:eastAsiaTheme="majorEastAsia" w:cstheme="majorBidi"/>
      <w:b/>
      <w:bCs/>
      <w:kern w:val="2"/>
      <w:sz w:val="28"/>
      <w:szCs w:val="28"/>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30B90-039F-4C55-B9F9-E7E4AB0D23D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9170</Words>
  <Characters>9540</Characters>
  <Lines>1</Lines>
  <Paragraphs>1</Paragraphs>
  <TotalTime>12</TotalTime>
  <ScaleCrop>false</ScaleCrop>
  <LinksUpToDate>false</LinksUpToDate>
  <CharactersWithSpaces>9746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2025-02-24T02:52:00Z</dcterms:created>
  <dc:creator>Administrator</dc:creator>
  <cp:lastModifiedBy>Zero</cp:lastModifiedBy>
  <cp:lastPrinted>2025-04-01T04:23:00Z</cp:lastPrinted>
  <dcterms:modified xsi:type="dcterms:W3CDTF">2025-04-03T08:37:02Z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533651B711FA40A8B18BB2CE256EF7B6_13</vt:lpwstr>
  </property>
  <property fmtid="{D5CDD505-2E9C-101B-9397-08002B2CF9AE}" pid="4" name="KSOTemplateDocerSaveRecord">
    <vt:lpwstr>eyJoZGlkIjoiNTA0NjZhODU4OTkyNmZjOWU2NmUyMzkyMGVhYjM2MGUiLCJ1c2VySWQiOiIxNTI5NzkyMDA4In0=</vt:lpwstr>
  </property>
</Properties>
</file>