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245" w:lineRule="auto"/>
        <w:rPr>
          <w:color w:val="auto"/>
          <w:highlight w:val="none"/>
        </w:rPr>
      </w:pPr>
      <w:bookmarkStart w:id="120" w:name="_GoBack"/>
      <w:bookmarkEnd w:id="120"/>
    </w:p>
    <w:p>
      <w:pPr>
        <w:pStyle w:val="7"/>
        <w:spacing w:line="245" w:lineRule="auto"/>
        <w:rPr>
          <w:color w:val="auto"/>
          <w:highlight w:val="none"/>
        </w:rPr>
      </w:pPr>
    </w:p>
    <w:p>
      <w:pPr>
        <w:pStyle w:val="7"/>
        <w:spacing w:line="245" w:lineRule="auto"/>
        <w:rPr>
          <w:color w:val="auto"/>
          <w:highlight w:val="none"/>
        </w:rPr>
      </w:pPr>
    </w:p>
    <w:p>
      <w:pPr>
        <w:pStyle w:val="7"/>
        <w:spacing w:line="246" w:lineRule="auto"/>
        <w:rPr>
          <w:color w:val="auto"/>
          <w:highlight w:val="none"/>
        </w:rPr>
      </w:pPr>
    </w:p>
    <w:p>
      <w:pPr>
        <w:pStyle w:val="7"/>
        <w:spacing w:line="246" w:lineRule="auto"/>
        <w:rPr>
          <w:color w:val="auto"/>
          <w:highlight w:val="none"/>
        </w:rPr>
      </w:pPr>
    </w:p>
    <w:p>
      <w:pPr>
        <w:pStyle w:val="7"/>
        <w:spacing w:line="246" w:lineRule="auto"/>
        <w:rPr>
          <w:color w:val="auto"/>
          <w:highlight w:val="none"/>
        </w:rPr>
      </w:pPr>
    </w:p>
    <w:p>
      <w:pPr>
        <w:spacing w:before="558" w:line="212" w:lineRule="auto"/>
        <w:ind w:left="599"/>
        <w:outlineLvl w:val="9"/>
        <w:rPr>
          <w:rFonts w:ascii="微软雅黑" w:hAnsi="微软雅黑" w:eastAsia="微软雅黑" w:cs="微软雅黑"/>
          <w:color w:val="auto"/>
          <w:sz w:val="130"/>
          <w:szCs w:val="130"/>
          <w:highlight w:val="none"/>
        </w:rPr>
      </w:pPr>
      <w:bookmarkStart w:id="0" w:name="_Toc4338"/>
      <w:r>
        <w:rPr>
          <w:rFonts w:ascii="微软雅黑" w:hAnsi="微软雅黑" w:eastAsia="微软雅黑" w:cs="微软雅黑"/>
          <w:color w:val="auto"/>
          <w:spacing w:val="125"/>
          <w:sz w:val="130"/>
          <w:szCs w:val="130"/>
          <w:highlight w:val="none"/>
        </w:rPr>
        <w:t>询价通知书</w:t>
      </w:r>
      <w:bookmarkEnd w:id="0"/>
    </w:p>
    <w:p>
      <w:pPr>
        <w:pStyle w:val="7"/>
        <w:spacing w:line="295" w:lineRule="auto"/>
        <w:rPr>
          <w:color w:val="auto"/>
          <w:highlight w:val="none"/>
        </w:rPr>
      </w:pPr>
    </w:p>
    <w:p>
      <w:pPr>
        <w:pStyle w:val="7"/>
        <w:spacing w:line="295" w:lineRule="auto"/>
        <w:rPr>
          <w:color w:val="auto"/>
          <w:highlight w:val="none"/>
        </w:rPr>
      </w:pPr>
    </w:p>
    <w:p>
      <w:pPr>
        <w:spacing w:before="98" w:line="220" w:lineRule="auto"/>
        <w:ind w:left="2373"/>
        <w:rPr>
          <w:rFonts w:ascii="宋体" w:hAnsi="宋体" w:eastAsia="宋体" w:cs="宋体"/>
          <w:color w:val="auto"/>
          <w:sz w:val="30"/>
          <w:szCs w:val="30"/>
          <w:highlight w:val="none"/>
        </w:rPr>
      </w:pPr>
      <w:r>
        <w:rPr>
          <w:rFonts w:ascii="宋体" w:hAnsi="宋体" w:eastAsia="宋体" w:cs="宋体"/>
          <w:color w:val="auto"/>
          <w:spacing w:val="-2"/>
          <w:sz w:val="30"/>
          <w:szCs w:val="30"/>
          <w:highlight w:val="none"/>
        </w:rPr>
        <w:t>（编号：CQIP-20250</w:t>
      </w:r>
      <w:r>
        <w:rPr>
          <w:rFonts w:hint="eastAsia" w:ascii="宋体" w:hAnsi="宋体" w:eastAsia="宋体" w:cs="宋体"/>
          <w:color w:val="auto"/>
          <w:spacing w:val="-2"/>
          <w:sz w:val="30"/>
          <w:szCs w:val="30"/>
          <w:highlight w:val="none"/>
          <w:lang w:val="en-US" w:eastAsia="zh-CN"/>
        </w:rPr>
        <w:t>426</w:t>
      </w:r>
      <w:r>
        <w:rPr>
          <w:rFonts w:ascii="宋体" w:hAnsi="宋体" w:eastAsia="宋体" w:cs="宋体"/>
          <w:color w:val="auto"/>
          <w:spacing w:val="-2"/>
          <w:sz w:val="30"/>
          <w:szCs w:val="30"/>
          <w:highlight w:val="none"/>
        </w:rPr>
        <w:t>01）</w:t>
      </w:r>
    </w:p>
    <w:p>
      <w:pPr>
        <w:pStyle w:val="7"/>
        <w:spacing w:line="251" w:lineRule="auto"/>
        <w:rPr>
          <w:color w:val="auto"/>
          <w:highlight w:val="none"/>
        </w:rPr>
      </w:pPr>
    </w:p>
    <w:p>
      <w:pPr>
        <w:pStyle w:val="7"/>
        <w:spacing w:line="251" w:lineRule="auto"/>
        <w:rPr>
          <w:color w:val="auto"/>
          <w:highlight w:val="none"/>
        </w:rPr>
      </w:pPr>
    </w:p>
    <w:p>
      <w:pPr>
        <w:pStyle w:val="7"/>
        <w:spacing w:line="251" w:lineRule="auto"/>
        <w:rPr>
          <w:color w:val="auto"/>
          <w:highlight w:val="none"/>
        </w:rPr>
      </w:pPr>
    </w:p>
    <w:p>
      <w:pPr>
        <w:pStyle w:val="7"/>
        <w:spacing w:line="251" w:lineRule="auto"/>
        <w:rPr>
          <w:color w:val="auto"/>
          <w:highlight w:val="none"/>
        </w:rPr>
      </w:pPr>
    </w:p>
    <w:p>
      <w:pPr>
        <w:pStyle w:val="7"/>
        <w:spacing w:line="251" w:lineRule="auto"/>
        <w:rPr>
          <w:color w:val="auto"/>
          <w:highlight w:val="none"/>
        </w:rPr>
      </w:pPr>
    </w:p>
    <w:p>
      <w:pPr>
        <w:pStyle w:val="7"/>
        <w:spacing w:line="251" w:lineRule="auto"/>
        <w:rPr>
          <w:color w:val="auto"/>
          <w:highlight w:val="none"/>
        </w:rPr>
      </w:pPr>
    </w:p>
    <w:p>
      <w:pPr>
        <w:pStyle w:val="7"/>
        <w:spacing w:line="251" w:lineRule="auto"/>
        <w:rPr>
          <w:color w:val="auto"/>
          <w:highlight w:val="none"/>
        </w:rPr>
      </w:pPr>
    </w:p>
    <w:p>
      <w:pPr>
        <w:pStyle w:val="7"/>
        <w:spacing w:line="251" w:lineRule="auto"/>
        <w:rPr>
          <w:color w:val="auto"/>
          <w:highlight w:val="none"/>
        </w:rPr>
      </w:pPr>
    </w:p>
    <w:p>
      <w:pPr>
        <w:spacing w:before="150" w:line="209" w:lineRule="auto"/>
        <w:ind w:left="2459" w:leftChars="290" w:hanging="1850" w:hangingChars="500"/>
        <w:rPr>
          <w:rFonts w:hint="eastAsia" w:ascii="方正仿宋_GBK" w:hAnsi="方正仿宋_GBK" w:eastAsia="方正仿宋_GBK" w:cs="方正仿宋_GBK"/>
          <w:b w:val="0"/>
          <w:bCs w:val="0"/>
          <w:color w:val="auto"/>
          <w:sz w:val="35"/>
          <w:szCs w:val="35"/>
          <w:highlight w:val="none"/>
          <w:lang w:eastAsia="zh-CN"/>
        </w:rPr>
      </w:pPr>
      <w:r>
        <w:rPr>
          <w:rFonts w:ascii="黑体" w:hAnsi="黑体" w:eastAsia="黑体" w:cs="黑体"/>
          <w:color w:val="auto"/>
          <w:spacing w:val="10"/>
          <w:sz w:val="35"/>
          <w:szCs w:val="35"/>
          <w:highlight w:val="none"/>
        </w:rPr>
        <w:t>项目名称：</w:t>
      </w:r>
      <w:r>
        <w:rPr>
          <w:rFonts w:hint="eastAsia" w:ascii="方正仿宋_GBK" w:hAnsi="方正仿宋_GBK" w:eastAsia="方正仿宋_GBK" w:cs="方正仿宋_GBK"/>
          <w:color w:val="auto"/>
          <w:spacing w:val="10"/>
          <w:sz w:val="35"/>
          <w:szCs w:val="35"/>
          <w:highlight w:val="none"/>
          <w:lang w:val="en-US" w:eastAsia="zh-CN"/>
        </w:rPr>
        <w:t>重庆理工职业学院中央空调设备系统维护保养项目</w:t>
      </w:r>
    </w:p>
    <w:p>
      <w:pPr>
        <w:pStyle w:val="7"/>
        <w:spacing w:line="265" w:lineRule="auto"/>
        <w:rPr>
          <w:color w:val="auto"/>
          <w:highlight w:val="none"/>
        </w:rPr>
      </w:pPr>
    </w:p>
    <w:p>
      <w:pPr>
        <w:pStyle w:val="7"/>
        <w:spacing w:line="265" w:lineRule="auto"/>
        <w:rPr>
          <w:color w:val="auto"/>
          <w:highlight w:val="none"/>
        </w:rPr>
      </w:pPr>
    </w:p>
    <w:p>
      <w:pPr>
        <w:pStyle w:val="7"/>
        <w:spacing w:line="266" w:lineRule="auto"/>
        <w:rPr>
          <w:color w:val="auto"/>
          <w:highlight w:val="none"/>
        </w:rPr>
      </w:pPr>
    </w:p>
    <w:p>
      <w:pPr>
        <w:pStyle w:val="7"/>
        <w:spacing w:line="266" w:lineRule="auto"/>
        <w:rPr>
          <w:color w:val="auto"/>
          <w:highlight w:val="none"/>
        </w:rPr>
      </w:pPr>
    </w:p>
    <w:p>
      <w:pPr>
        <w:pStyle w:val="7"/>
        <w:spacing w:line="266" w:lineRule="auto"/>
        <w:rPr>
          <w:color w:val="auto"/>
          <w:highlight w:val="none"/>
        </w:rPr>
      </w:pPr>
    </w:p>
    <w:p>
      <w:pPr>
        <w:pStyle w:val="7"/>
        <w:spacing w:line="266" w:lineRule="auto"/>
        <w:rPr>
          <w:color w:val="auto"/>
          <w:highlight w:val="none"/>
        </w:rPr>
      </w:pPr>
    </w:p>
    <w:p>
      <w:pPr>
        <w:pStyle w:val="7"/>
        <w:spacing w:line="266" w:lineRule="auto"/>
        <w:rPr>
          <w:color w:val="auto"/>
          <w:highlight w:val="none"/>
        </w:rPr>
      </w:pPr>
    </w:p>
    <w:p>
      <w:pPr>
        <w:spacing w:before="150" w:line="209" w:lineRule="auto"/>
        <w:ind w:left="618"/>
        <w:rPr>
          <w:rFonts w:hint="eastAsia" w:ascii="方正仿宋_GBK" w:hAnsi="方正仿宋_GBK" w:eastAsia="方正仿宋_GBK" w:cs="方正仿宋_GBK"/>
          <w:color w:val="auto"/>
          <w:sz w:val="35"/>
          <w:szCs w:val="35"/>
          <w:highlight w:val="none"/>
        </w:rPr>
      </w:pPr>
      <w:r>
        <w:rPr>
          <w:rFonts w:ascii="黑体" w:hAnsi="黑体" w:eastAsia="黑体" w:cs="黑体"/>
          <w:color w:val="auto"/>
          <w:spacing w:val="7"/>
          <w:sz w:val="35"/>
          <w:szCs w:val="35"/>
          <w:highlight w:val="none"/>
        </w:rPr>
        <w:t>采 购 人：</w:t>
      </w:r>
      <w:r>
        <w:rPr>
          <w:rFonts w:hint="eastAsia" w:ascii="方正仿宋_GBK" w:hAnsi="方正仿宋_GBK" w:eastAsia="方正仿宋_GBK" w:cs="方正仿宋_GBK"/>
          <w:color w:val="auto"/>
          <w:spacing w:val="7"/>
          <w:sz w:val="35"/>
          <w:szCs w:val="35"/>
          <w:highlight w:val="none"/>
        </w:rPr>
        <w:t>重庆理工职业学院</w:t>
      </w:r>
    </w:p>
    <w:p>
      <w:pPr>
        <w:pStyle w:val="7"/>
        <w:spacing w:line="303" w:lineRule="auto"/>
        <w:rPr>
          <w:color w:val="auto"/>
          <w:highlight w:val="none"/>
        </w:rPr>
      </w:pPr>
    </w:p>
    <w:p>
      <w:pPr>
        <w:pStyle w:val="7"/>
        <w:spacing w:line="304" w:lineRule="auto"/>
        <w:rPr>
          <w:color w:val="auto"/>
          <w:highlight w:val="none"/>
        </w:rPr>
      </w:pPr>
    </w:p>
    <w:p>
      <w:pPr>
        <w:pStyle w:val="7"/>
        <w:spacing w:line="304" w:lineRule="auto"/>
        <w:rPr>
          <w:color w:val="auto"/>
          <w:highlight w:val="none"/>
        </w:rPr>
      </w:pPr>
    </w:p>
    <w:p>
      <w:pPr>
        <w:spacing w:before="151" w:line="207" w:lineRule="auto"/>
        <w:ind w:left="2994"/>
        <w:rPr>
          <w:rFonts w:ascii="微软雅黑" w:hAnsi="微软雅黑" w:eastAsia="微软雅黑" w:cs="微软雅黑"/>
          <w:b w:val="0"/>
          <w:bCs w:val="0"/>
          <w:color w:val="auto"/>
          <w:sz w:val="35"/>
          <w:szCs w:val="35"/>
          <w:highlight w:val="none"/>
        </w:rPr>
      </w:pPr>
      <w:r>
        <w:rPr>
          <w:rFonts w:ascii="微软雅黑" w:hAnsi="微软雅黑" w:eastAsia="微软雅黑" w:cs="微软雅黑"/>
          <w:b w:val="0"/>
          <w:bCs w:val="0"/>
          <w:color w:val="auto"/>
          <w:spacing w:val="5"/>
          <w:sz w:val="35"/>
          <w:szCs w:val="35"/>
          <w:highlight w:val="none"/>
        </w:rPr>
        <w:t>二〇二五年</w:t>
      </w:r>
      <w:r>
        <w:rPr>
          <w:rFonts w:hint="eastAsia" w:ascii="微软雅黑" w:hAnsi="微软雅黑" w:eastAsia="微软雅黑" w:cs="微软雅黑"/>
          <w:b w:val="0"/>
          <w:bCs w:val="0"/>
          <w:color w:val="auto"/>
          <w:spacing w:val="5"/>
          <w:sz w:val="35"/>
          <w:szCs w:val="35"/>
          <w:highlight w:val="none"/>
          <w:lang w:val="en-US" w:eastAsia="zh-CN"/>
        </w:rPr>
        <w:t>四</w:t>
      </w:r>
      <w:r>
        <w:rPr>
          <w:rFonts w:ascii="微软雅黑" w:hAnsi="微软雅黑" w:eastAsia="微软雅黑" w:cs="微软雅黑"/>
          <w:b w:val="0"/>
          <w:bCs w:val="0"/>
          <w:color w:val="auto"/>
          <w:spacing w:val="5"/>
          <w:sz w:val="35"/>
          <w:szCs w:val="35"/>
          <w:highlight w:val="none"/>
        </w:rPr>
        <w:t>月</w:t>
      </w:r>
    </w:p>
    <w:p>
      <w:pPr>
        <w:spacing w:line="207" w:lineRule="auto"/>
        <w:rPr>
          <w:rFonts w:ascii="微软雅黑" w:hAnsi="微软雅黑" w:eastAsia="微软雅黑" w:cs="微软雅黑"/>
          <w:b w:val="0"/>
          <w:bCs w:val="0"/>
          <w:color w:val="auto"/>
          <w:sz w:val="35"/>
          <w:szCs w:val="35"/>
          <w:highlight w:val="none"/>
        </w:rPr>
        <w:sectPr>
          <w:footerReference r:id="rId6" w:type="first"/>
          <w:footerReference r:id="rId5" w:type="default"/>
          <w:pgSz w:w="11907" w:h="16840"/>
          <w:pgMar w:top="1431" w:right="1786" w:bottom="0" w:left="1786" w:header="0" w:footer="0" w:gutter="0"/>
          <w:pgNumType w:fmt="decimal" w:start="1"/>
          <w:cols w:space="720" w:num="1"/>
        </w:sectPr>
      </w:pPr>
    </w:p>
    <w:p>
      <w:pPr>
        <w:spacing w:before="80" w:line="470" w:lineRule="exact"/>
        <w:jc w:val="center"/>
        <w:outlineLvl w:val="0"/>
        <w:rPr>
          <w:rFonts w:ascii="黑体" w:hAnsi="黑体" w:eastAsia="黑体" w:cs="黑体"/>
          <w:color w:val="auto"/>
          <w:sz w:val="35"/>
          <w:szCs w:val="35"/>
          <w:highlight w:val="none"/>
        </w:rPr>
      </w:pPr>
      <w:bookmarkStart w:id="1" w:name="bookmark1"/>
      <w:bookmarkEnd w:id="1"/>
      <w:bookmarkStart w:id="2" w:name="_Toc18567"/>
      <w:r>
        <w:rPr>
          <w:rFonts w:ascii="黑体" w:hAnsi="黑体" w:eastAsia="黑体" w:cs="黑体"/>
          <w:color w:val="auto"/>
          <w:spacing w:val="7"/>
          <w:position w:val="1"/>
          <w:sz w:val="35"/>
          <w:szCs w:val="35"/>
          <w:highlight w:val="none"/>
        </w:rPr>
        <w:t>第一篇 询价邀请书</w:t>
      </w:r>
      <w:bookmarkEnd w:id="2"/>
    </w:p>
    <w:p>
      <w:pPr>
        <w:spacing w:before="49" w:line="240" w:lineRule="auto"/>
        <w:ind w:right="81" w:firstLine="502"/>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重庆理工职业学院(以</w:t>
      </w:r>
      <w:r>
        <w:rPr>
          <w:rFonts w:ascii="宋体" w:hAnsi="宋体" w:eastAsia="宋体" w:cs="宋体"/>
          <w:color w:val="auto"/>
          <w:spacing w:val="-1"/>
          <w:sz w:val="24"/>
          <w:szCs w:val="24"/>
          <w:highlight w:val="none"/>
        </w:rPr>
        <w:t>下简称“采购人</w:t>
      </w:r>
      <w:r>
        <w:rPr>
          <w:rFonts w:ascii="宋体" w:hAnsi="宋体" w:eastAsia="宋体" w:cs="宋体"/>
          <w:color w:val="auto"/>
          <w:spacing w:val="-86"/>
          <w:sz w:val="24"/>
          <w:szCs w:val="24"/>
          <w:highlight w:val="none"/>
        </w:rPr>
        <w:t xml:space="preserve"> </w:t>
      </w:r>
      <w:r>
        <w:rPr>
          <w:rFonts w:ascii="宋体" w:hAnsi="宋体" w:eastAsia="宋体" w:cs="宋体"/>
          <w:color w:val="auto"/>
          <w:spacing w:val="-1"/>
          <w:sz w:val="24"/>
          <w:szCs w:val="24"/>
          <w:highlight w:val="none"/>
        </w:rPr>
        <w:t>”)对</w:t>
      </w:r>
      <w:r>
        <w:rPr>
          <w:rFonts w:hint="eastAsia" w:ascii="宋体" w:hAnsi="宋体" w:eastAsia="宋体" w:cs="宋体"/>
          <w:color w:val="auto"/>
          <w:spacing w:val="-1"/>
          <w:sz w:val="24"/>
          <w:szCs w:val="24"/>
          <w:highlight w:val="none"/>
          <w:lang w:val="en-US" w:eastAsia="zh-CN"/>
        </w:rPr>
        <w:t>本院中央空调设备系统维护保养项目</w:t>
      </w:r>
      <w:r>
        <w:rPr>
          <w:rFonts w:ascii="宋体" w:hAnsi="宋体" w:eastAsia="宋体" w:cs="宋体"/>
          <w:color w:val="auto"/>
          <w:spacing w:val="1"/>
          <w:sz w:val="24"/>
          <w:szCs w:val="24"/>
          <w:highlight w:val="none"/>
        </w:rPr>
        <w:t>进行询价采购，欢迎有资格的</w:t>
      </w:r>
      <w:r>
        <w:rPr>
          <w:rFonts w:hint="eastAsia" w:ascii="宋体" w:hAnsi="宋体" w:eastAsia="宋体" w:cs="宋体"/>
          <w:color w:val="auto"/>
          <w:spacing w:val="1"/>
          <w:sz w:val="24"/>
          <w:szCs w:val="24"/>
          <w:highlight w:val="none"/>
          <w:lang w:val="en-US" w:eastAsia="zh-CN"/>
        </w:rPr>
        <w:t>第三方服务机构（以下简称“</w:t>
      </w:r>
      <w:r>
        <w:rPr>
          <w:rFonts w:ascii="宋体" w:hAnsi="宋体" w:eastAsia="宋体" w:cs="宋体"/>
          <w:color w:val="auto"/>
          <w:spacing w:val="1"/>
          <w:sz w:val="24"/>
          <w:szCs w:val="24"/>
          <w:highlight w:val="none"/>
        </w:rPr>
        <w:t>供应商</w:t>
      </w:r>
      <w:r>
        <w:rPr>
          <w:rFonts w:hint="eastAsia" w:ascii="宋体" w:hAnsi="宋体" w:eastAsia="宋体" w:cs="宋体"/>
          <w:color w:val="auto"/>
          <w:spacing w:val="1"/>
          <w:sz w:val="24"/>
          <w:szCs w:val="24"/>
          <w:highlight w:val="none"/>
          <w:lang w:eastAsia="zh-CN"/>
        </w:rPr>
        <w:t>”）</w:t>
      </w:r>
      <w:r>
        <w:rPr>
          <w:rFonts w:ascii="宋体" w:hAnsi="宋体" w:eastAsia="宋体" w:cs="宋体"/>
          <w:color w:val="auto"/>
          <w:spacing w:val="1"/>
          <w:sz w:val="24"/>
          <w:szCs w:val="24"/>
          <w:highlight w:val="none"/>
        </w:rPr>
        <w:t>参加</w:t>
      </w:r>
      <w:r>
        <w:rPr>
          <w:rFonts w:ascii="宋体" w:hAnsi="宋体" w:eastAsia="宋体" w:cs="宋体"/>
          <w:color w:val="auto"/>
          <w:spacing w:val="-2"/>
          <w:sz w:val="24"/>
          <w:szCs w:val="24"/>
          <w:highlight w:val="none"/>
        </w:rPr>
        <w:t>询价比选。</w:t>
      </w:r>
    </w:p>
    <w:p>
      <w:pPr>
        <w:spacing w:line="227" w:lineRule="auto"/>
        <w:ind w:left="485"/>
        <w:outlineLvl w:val="1"/>
        <w:rPr>
          <w:rFonts w:ascii="黑体" w:hAnsi="黑体" w:eastAsia="黑体" w:cs="黑体"/>
          <w:color w:val="auto"/>
          <w:sz w:val="24"/>
          <w:szCs w:val="24"/>
          <w:highlight w:val="none"/>
        </w:rPr>
      </w:pPr>
      <w:bookmarkStart w:id="3" w:name="_Toc1101"/>
      <w:r>
        <w:rPr>
          <w:rFonts w:ascii="黑体" w:hAnsi="黑体" w:eastAsia="黑体" w:cs="黑体"/>
          <w:color w:val="auto"/>
          <w:spacing w:val="-2"/>
          <w:sz w:val="24"/>
          <w:szCs w:val="24"/>
          <w:highlight w:val="none"/>
        </w:rPr>
        <w:t>一、招标项目内容</w:t>
      </w:r>
      <w:bookmarkEnd w:id="3"/>
    </w:p>
    <w:tbl>
      <w:tblPr>
        <w:tblStyle w:val="15"/>
        <w:tblW w:w="8816" w:type="dxa"/>
        <w:tblInd w:w="28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513"/>
        <w:gridCol w:w="1785"/>
        <w:gridCol w:w="1590"/>
        <w:gridCol w:w="19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3513" w:type="dxa"/>
            <w:vAlign w:val="top"/>
          </w:tcPr>
          <w:p>
            <w:pPr>
              <w:spacing w:before="210" w:line="221" w:lineRule="auto"/>
              <w:ind w:left="1224"/>
              <w:rPr>
                <w:rFonts w:ascii="宋体" w:hAnsi="宋体" w:eastAsia="宋体" w:cs="宋体"/>
                <w:color w:val="auto"/>
                <w:sz w:val="24"/>
                <w:szCs w:val="24"/>
                <w:highlight w:val="none"/>
              </w:rPr>
            </w:pPr>
            <w:r>
              <w:rPr>
                <w:rFonts w:ascii="宋体" w:hAnsi="宋体" w:eastAsia="宋体" w:cs="宋体"/>
                <w:b/>
                <w:bCs/>
                <w:color w:val="auto"/>
                <w:spacing w:val="-6"/>
                <w:sz w:val="24"/>
                <w:szCs w:val="24"/>
                <w:highlight w:val="none"/>
              </w:rPr>
              <w:t>项目名称</w:t>
            </w:r>
          </w:p>
        </w:tc>
        <w:tc>
          <w:tcPr>
            <w:tcW w:w="1785" w:type="dxa"/>
            <w:vAlign w:val="top"/>
          </w:tcPr>
          <w:p>
            <w:pPr>
              <w:spacing w:before="54" w:line="221" w:lineRule="auto"/>
              <w:ind w:left="260"/>
              <w:rPr>
                <w:rFonts w:ascii="宋体" w:hAnsi="宋体" w:eastAsia="宋体" w:cs="宋体"/>
                <w:color w:val="auto"/>
                <w:sz w:val="24"/>
                <w:szCs w:val="24"/>
                <w:highlight w:val="none"/>
              </w:rPr>
            </w:pPr>
            <w:r>
              <w:rPr>
                <w:rFonts w:ascii="宋体" w:hAnsi="宋体" w:eastAsia="宋体" w:cs="宋体"/>
                <w:b/>
                <w:bCs/>
                <w:color w:val="auto"/>
                <w:spacing w:val="-6"/>
                <w:sz w:val="24"/>
                <w:szCs w:val="24"/>
                <w:highlight w:val="none"/>
              </w:rPr>
              <w:t>响应保证金</w:t>
            </w:r>
          </w:p>
          <w:p>
            <w:pPr>
              <w:spacing w:before="25" w:line="216" w:lineRule="auto"/>
              <w:ind w:left="382"/>
              <w:rPr>
                <w:rFonts w:ascii="宋体" w:hAnsi="宋体" w:eastAsia="宋体" w:cs="宋体"/>
                <w:color w:val="auto"/>
                <w:sz w:val="24"/>
                <w:szCs w:val="24"/>
                <w:highlight w:val="none"/>
              </w:rPr>
            </w:pPr>
            <w:r>
              <w:rPr>
                <w:rFonts w:ascii="宋体" w:hAnsi="宋体" w:eastAsia="宋体" w:cs="宋体"/>
                <w:b/>
                <w:bCs/>
                <w:color w:val="auto"/>
                <w:spacing w:val="-8"/>
                <w:sz w:val="24"/>
                <w:szCs w:val="24"/>
                <w:highlight w:val="none"/>
              </w:rPr>
              <w:t>（万元）</w:t>
            </w:r>
          </w:p>
        </w:tc>
        <w:tc>
          <w:tcPr>
            <w:tcW w:w="1590" w:type="dxa"/>
            <w:vAlign w:val="top"/>
          </w:tcPr>
          <w:p>
            <w:pPr>
              <w:spacing w:before="54" w:line="219" w:lineRule="auto"/>
              <w:ind w:left="362"/>
              <w:rPr>
                <w:rFonts w:ascii="宋体" w:hAnsi="宋体" w:eastAsia="宋体" w:cs="宋体"/>
                <w:color w:val="auto"/>
                <w:sz w:val="24"/>
                <w:szCs w:val="24"/>
                <w:highlight w:val="none"/>
              </w:rPr>
            </w:pPr>
            <w:r>
              <w:rPr>
                <w:rFonts w:ascii="宋体" w:hAnsi="宋体" w:eastAsia="宋体" w:cs="宋体"/>
                <w:b/>
                <w:bCs/>
                <w:color w:val="auto"/>
                <w:spacing w:val="-5"/>
                <w:sz w:val="24"/>
                <w:szCs w:val="24"/>
                <w:highlight w:val="none"/>
              </w:rPr>
              <w:t>最高限价</w:t>
            </w:r>
          </w:p>
          <w:p>
            <w:pPr>
              <w:spacing w:before="28" w:line="216" w:lineRule="auto"/>
              <w:ind w:left="371"/>
              <w:rPr>
                <w:rFonts w:ascii="宋体" w:hAnsi="宋体" w:eastAsia="宋体" w:cs="宋体"/>
                <w:color w:val="auto"/>
                <w:sz w:val="24"/>
                <w:szCs w:val="24"/>
                <w:highlight w:val="none"/>
              </w:rPr>
            </w:pPr>
            <w:r>
              <w:rPr>
                <w:rFonts w:ascii="宋体" w:hAnsi="宋体" w:eastAsia="宋体" w:cs="宋体"/>
                <w:b/>
                <w:bCs/>
                <w:color w:val="auto"/>
                <w:spacing w:val="-8"/>
                <w:sz w:val="24"/>
                <w:szCs w:val="24"/>
                <w:highlight w:val="none"/>
              </w:rPr>
              <w:t>（万元）</w:t>
            </w:r>
          </w:p>
        </w:tc>
        <w:tc>
          <w:tcPr>
            <w:tcW w:w="1928" w:type="dxa"/>
            <w:vAlign w:val="center"/>
          </w:tcPr>
          <w:p>
            <w:pPr>
              <w:spacing w:before="54" w:line="221" w:lineRule="auto"/>
              <w:ind w:left="260"/>
              <w:jc w:val="center"/>
              <w:rPr>
                <w:rFonts w:ascii="宋体" w:hAnsi="宋体" w:eastAsia="宋体" w:cs="宋体"/>
                <w:b/>
                <w:bCs/>
                <w:color w:val="auto"/>
                <w:spacing w:val="-6"/>
                <w:sz w:val="24"/>
                <w:szCs w:val="24"/>
                <w:highlight w:val="none"/>
              </w:rPr>
            </w:pPr>
            <w:r>
              <w:rPr>
                <w:rFonts w:ascii="宋体" w:hAnsi="宋体" w:eastAsia="宋体" w:cs="宋体"/>
                <w:b/>
                <w:bCs/>
                <w:color w:val="auto"/>
                <w:spacing w:val="-6"/>
                <w:sz w:val="24"/>
                <w:szCs w:val="24"/>
                <w:highlight w:val="none"/>
              </w:rPr>
              <w:t>成交供应商数量</w:t>
            </w:r>
          </w:p>
          <w:p>
            <w:pPr>
              <w:spacing w:before="54" w:line="221" w:lineRule="auto"/>
              <w:ind w:left="260"/>
              <w:jc w:val="center"/>
              <w:rPr>
                <w:rFonts w:ascii="宋体" w:hAnsi="宋体" w:eastAsia="宋体" w:cs="宋体"/>
                <w:b/>
                <w:bCs/>
                <w:color w:val="auto"/>
                <w:spacing w:val="-6"/>
                <w:sz w:val="24"/>
                <w:szCs w:val="24"/>
                <w:highlight w:val="none"/>
              </w:rPr>
            </w:pPr>
            <w:r>
              <w:rPr>
                <w:rFonts w:ascii="宋体" w:hAnsi="宋体" w:eastAsia="宋体" w:cs="宋体"/>
                <w:b/>
                <w:bCs/>
                <w:color w:val="auto"/>
                <w:spacing w:val="-6"/>
                <w:sz w:val="24"/>
                <w:szCs w:val="24"/>
                <w:highlight w:val="none"/>
              </w:rPr>
              <w:t>（名）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3513" w:type="dxa"/>
            <w:vAlign w:val="top"/>
          </w:tcPr>
          <w:p>
            <w:pPr>
              <w:spacing w:before="164" w:line="220" w:lineRule="auto"/>
              <w:ind w:left="143"/>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val="en-US" w:eastAsia="zh-CN"/>
              </w:rPr>
              <w:t>重庆理工职业学院中央空调设备系统维护保养项目</w:t>
            </w:r>
          </w:p>
        </w:tc>
        <w:tc>
          <w:tcPr>
            <w:tcW w:w="1785" w:type="dxa"/>
            <w:vAlign w:val="center"/>
          </w:tcPr>
          <w:p>
            <w:pPr>
              <w:spacing w:before="163"/>
              <w:ind w:left="672"/>
              <w:jc w:val="both"/>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0.2</w:t>
            </w:r>
          </w:p>
        </w:tc>
        <w:tc>
          <w:tcPr>
            <w:tcW w:w="1590" w:type="dxa"/>
            <w:vAlign w:val="center"/>
          </w:tcPr>
          <w:p>
            <w:pPr>
              <w:spacing w:before="164"/>
              <w:ind w:left="737"/>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pacing w:val="-14"/>
                <w:sz w:val="24"/>
                <w:szCs w:val="24"/>
                <w:highlight w:val="none"/>
                <w:lang w:val="en-US" w:eastAsia="zh-CN"/>
              </w:rPr>
              <w:t>10.00</w:t>
            </w:r>
          </w:p>
        </w:tc>
        <w:tc>
          <w:tcPr>
            <w:tcW w:w="1928" w:type="dxa"/>
            <w:vAlign w:val="center"/>
          </w:tcPr>
          <w:p>
            <w:pPr>
              <w:spacing w:before="164"/>
              <w:ind w:left="737"/>
              <w:jc w:val="both"/>
              <w:rPr>
                <w:rFonts w:ascii="宋体" w:hAnsi="宋体" w:eastAsia="宋体" w:cs="宋体"/>
                <w:b/>
                <w:bCs/>
                <w:color w:val="auto"/>
                <w:spacing w:val="-6"/>
                <w:sz w:val="24"/>
                <w:szCs w:val="24"/>
                <w:highlight w:val="none"/>
              </w:rPr>
            </w:pPr>
            <w:r>
              <w:rPr>
                <w:rFonts w:ascii="宋体" w:hAnsi="宋体" w:eastAsia="宋体" w:cs="宋体"/>
                <w:color w:val="auto"/>
                <w:spacing w:val="-14"/>
                <w:sz w:val="24"/>
                <w:szCs w:val="24"/>
                <w:highlight w:val="none"/>
              </w:rPr>
              <w:t>1</w:t>
            </w:r>
          </w:p>
        </w:tc>
      </w:tr>
    </w:tbl>
    <w:p>
      <w:pPr>
        <w:spacing w:before="106" w:line="241" w:lineRule="auto"/>
        <w:ind w:left="484"/>
        <w:outlineLvl w:val="1"/>
        <w:rPr>
          <w:rFonts w:ascii="黑体" w:hAnsi="黑体" w:eastAsia="黑体" w:cs="黑体"/>
          <w:color w:val="auto"/>
          <w:sz w:val="24"/>
          <w:szCs w:val="24"/>
          <w:highlight w:val="none"/>
        </w:rPr>
      </w:pPr>
      <w:bookmarkStart w:id="4" w:name="_Toc4056"/>
      <w:r>
        <w:rPr>
          <w:rFonts w:ascii="黑体" w:hAnsi="黑体" w:eastAsia="黑体" w:cs="黑体"/>
          <w:color w:val="auto"/>
          <w:spacing w:val="-3"/>
          <w:sz w:val="24"/>
          <w:szCs w:val="24"/>
          <w:highlight w:val="none"/>
        </w:rPr>
        <w:t>二、资金来源</w:t>
      </w:r>
      <w:bookmarkEnd w:id="4"/>
    </w:p>
    <w:p>
      <w:pPr>
        <w:spacing w:before="97" w:line="220" w:lineRule="auto"/>
        <w:ind w:left="48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单位自筹资金。</w:t>
      </w:r>
    </w:p>
    <w:p>
      <w:pPr>
        <w:spacing w:before="102" w:line="242" w:lineRule="auto"/>
        <w:ind w:left="488"/>
        <w:outlineLvl w:val="1"/>
        <w:rPr>
          <w:rFonts w:ascii="黑体" w:hAnsi="黑体" w:eastAsia="黑体" w:cs="黑体"/>
          <w:color w:val="auto"/>
          <w:sz w:val="24"/>
          <w:szCs w:val="24"/>
          <w:highlight w:val="none"/>
        </w:rPr>
      </w:pPr>
      <w:bookmarkStart w:id="5" w:name="_Toc15699"/>
      <w:r>
        <w:rPr>
          <w:rFonts w:ascii="黑体" w:hAnsi="黑体" w:eastAsia="黑体" w:cs="黑体"/>
          <w:color w:val="auto"/>
          <w:spacing w:val="-3"/>
          <w:sz w:val="24"/>
          <w:szCs w:val="24"/>
          <w:highlight w:val="none"/>
        </w:rPr>
        <w:t>三、资格要求</w:t>
      </w:r>
      <w:bookmarkEnd w:id="5"/>
    </w:p>
    <w:p>
      <w:pPr>
        <w:spacing w:before="96" w:line="240" w:lineRule="auto"/>
        <w:ind w:left="27" w:firstLine="452"/>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询价供应商是指向采购人提供货物、工程施工或者服务的法人、其他组织或者自</w:t>
      </w:r>
      <w:r>
        <w:rPr>
          <w:rFonts w:ascii="宋体" w:hAnsi="宋体" w:eastAsia="宋体" w:cs="宋体"/>
          <w:color w:val="auto"/>
          <w:spacing w:val="-4"/>
          <w:sz w:val="24"/>
          <w:szCs w:val="24"/>
          <w:highlight w:val="none"/>
        </w:rPr>
        <w:t>然人。</w:t>
      </w:r>
      <w:r>
        <w:rPr>
          <w:rFonts w:ascii="宋体" w:hAnsi="宋体" w:eastAsia="宋体" w:cs="宋体"/>
          <w:color w:val="auto"/>
          <w:sz w:val="24"/>
          <w:szCs w:val="24"/>
          <w:highlight w:val="none"/>
        </w:rPr>
        <w:t xml:space="preserve"> </w:t>
      </w:r>
      <w:r>
        <w:rPr>
          <w:rFonts w:ascii="宋体" w:hAnsi="宋体" w:eastAsia="宋体" w:cs="宋体"/>
          <w:color w:val="auto"/>
          <w:spacing w:val="-5"/>
          <w:sz w:val="24"/>
          <w:szCs w:val="24"/>
          <w:highlight w:val="none"/>
        </w:rPr>
        <w:t>以下简称供应商。</w:t>
      </w:r>
    </w:p>
    <w:p>
      <w:pPr>
        <w:spacing w:before="1" w:line="240" w:lineRule="auto"/>
        <w:ind w:left="48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合格的供应商应符合下列条件：</w:t>
      </w:r>
    </w:p>
    <w:p>
      <w:pPr>
        <w:spacing w:before="112" w:line="192" w:lineRule="auto"/>
        <w:ind w:left="465"/>
        <w:outlineLvl w:val="1"/>
        <w:rPr>
          <w:rFonts w:ascii="微软雅黑" w:hAnsi="微软雅黑" w:eastAsia="微软雅黑" w:cs="微软雅黑"/>
          <w:color w:val="auto"/>
          <w:sz w:val="24"/>
          <w:szCs w:val="24"/>
          <w:highlight w:val="none"/>
        </w:rPr>
      </w:pPr>
      <w:bookmarkStart w:id="6" w:name="_Toc24185"/>
      <w:r>
        <w:rPr>
          <w:rFonts w:ascii="微软雅黑" w:hAnsi="微软雅黑" w:eastAsia="微软雅黑" w:cs="微软雅黑"/>
          <w:color w:val="auto"/>
          <w:sz w:val="24"/>
          <w:szCs w:val="24"/>
          <w:highlight w:val="none"/>
        </w:rPr>
        <w:t>（一）一般资格条件</w:t>
      </w:r>
      <w:bookmarkEnd w:id="6"/>
    </w:p>
    <w:p>
      <w:pPr>
        <w:spacing w:before="75" w:line="240" w:lineRule="auto"/>
        <w:ind w:left="49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1.具有独立承担民事责任的能力；</w:t>
      </w:r>
    </w:p>
    <w:p>
      <w:pPr>
        <w:spacing w:before="113" w:line="240" w:lineRule="auto"/>
        <w:ind w:left="48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2.具有良好的商业信誉和健全的财务会计制度；</w:t>
      </w:r>
    </w:p>
    <w:p>
      <w:pPr>
        <w:spacing w:before="115" w:line="240" w:lineRule="auto"/>
        <w:ind w:left="48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3.具有履行合同所必需的设备和专业技术能力；</w:t>
      </w:r>
    </w:p>
    <w:p>
      <w:pPr>
        <w:spacing w:before="115" w:line="240" w:lineRule="auto"/>
        <w:ind w:left="47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4.有依法缴纳税收和社会保障资金的良好记录；</w:t>
      </w:r>
    </w:p>
    <w:p>
      <w:pPr>
        <w:spacing w:before="114" w:line="240" w:lineRule="auto"/>
        <w:ind w:left="484"/>
        <w:rPr>
          <w:rFonts w:hint="eastAsia" w:ascii="宋体" w:hAnsi="宋体" w:eastAsia="宋体" w:cs="宋体"/>
          <w:color w:val="auto"/>
          <w:sz w:val="24"/>
          <w:szCs w:val="24"/>
          <w:highlight w:val="none"/>
          <w:lang w:val="en-US" w:eastAsia="zh-CN"/>
        </w:rPr>
      </w:pPr>
      <w:r>
        <w:rPr>
          <w:rFonts w:ascii="宋体" w:hAnsi="宋体" w:eastAsia="宋体" w:cs="宋体"/>
          <w:color w:val="auto"/>
          <w:spacing w:val="-1"/>
          <w:sz w:val="24"/>
          <w:szCs w:val="24"/>
          <w:highlight w:val="none"/>
        </w:rPr>
        <w:t>5.参加采购活动前三年内，在经营活动中没有重大违法记录；</w:t>
      </w:r>
    </w:p>
    <w:p>
      <w:pPr>
        <w:spacing w:before="116" w:line="240" w:lineRule="auto"/>
        <w:ind w:left="48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6.法律、行政法规规定的其他条件。</w:t>
      </w:r>
    </w:p>
    <w:p>
      <w:pPr>
        <w:spacing w:before="111" w:line="192" w:lineRule="auto"/>
        <w:ind w:left="465"/>
        <w:outlineLvl w:val="1"/>
        <w:rPr>
          <w:rFonts w:hint="default" w:ascii="宋体" w:hAnsi="宋体" w:eastAsia="宋体" w:cs="宋体"/>
          <w:color w:val="auto"/>
          <w:spacing w:val="-1"/>
          <w:sz w:val="24"/>
          <w:szCs w:val="24"/>
          <w:highlight w:val="none"/>
        </w:rPr>
      </w:pPr>
      <w:bookmarkStart w:id="7" w:name="_Toc28787"/>
      <w:r>
        <w:rPr>
          <w:rFonts w:ascii="微软雅黑" w:hAnsi="微软雅黑" w:eastAsia="微软雅黑" w:cs="微软雅黑"/>
          <w:color w:val="auto"/>
          <w:spacing w:val="-11"/>
          <w:sz w:val="24"/>
          <w:szCs w:val="24"/>
          <w:highlight w:val="none"/>
        </w:rPr>
        <w:t>（</w:t>
      </w:r>
      <w:r>
        <w:rPr>
          <w:rFonts w:ascii="微软雅黑" w:hAnsi="微软雅黑" w:eastAsia="微软雅黑" w:cs="微软雅黑"/>
          <w:color w:val="auto"/>
          <w:spacing w:val="-12"/>
          <w:sz w:val="24"/>
          <w:szCs w:val="24"/>
          <w:highlight w:val="none"/>
        </w:rPr>
        <w:t xml:space="preserve"> </w:t>
      </w:r>
      <w:r>
        <w:rPr>
          <w:rFonts w:ascii="微软雅黑" w:hAnsi="微软雅黑" w:eastAsia="微软雅黑" w:cs="微软雅黑"/>
          <w:color w:val="auto"/>
          <w:spacing w:val="-11"/>
          <w:sz w:val="24"/>
          <w:szCs w:val="24"/>
          <w:highlight w:val="none"/>
        </w:rPr>
        <w:t>二</w:t>
      </w:r>
      <w:r>
        <w:rPr>
          <w:rFonts w:ascii="微软雅黑" w:hAnsi="微软雅黑" w:eastAsia="微软雅黑" w:cs="微软雅黑"/>
          <w:color w:val="auto"/>
          <w:spacing w:val="-27"/>
          <w:sz w:val="24"/>
          <w:szCs w:val="24"/>
          <w:highlight w:val="none"/>
        </w:rPr>
        <w:t xml:space="preserve"> </w:t>
      </w:r>
      <w:r>
        <w:rPr>
          <w:rFonts w:ascii="微软雅黑" w:hAnsi="微软雅黑" w:eastAsia="微软雅黑" w:cs="微软雅黑"/>
          <w:color w:val="auto"/>
          <w:spacing w:val="-11"/>
          <w:sz w:val="24"/>
          <w:szCs w:val="24"/>
          <w:highlight w:val="none"/>
        </w:rPr>
        <w:t>）特定资格条件</w:t>
      </w:r>
      <w:bookmarkEnd w:id="7"/>
      <w:bookmarkStart w:id="8" w:name="_Toc12831"/>
    </w:p>
    <w:p>
      <w:pPr>
        <w:numPr>
          <w:ilvl w:val="0"/>
          <w:numId w:val="1"/>
        </w:numPr>
        <w:spacing w:before="115" w:line="240" w:lineRule="auto"/>
        <w:ind w:left="479"/>
        <w:rPr>
          <w:rFonts w:hint="default" w:ascii="宋体" w:hAnsi="宋体" w:eastAsia="宋体" w:cs="宋体"/>
          <w:color w:val="auto"/>
          <w:spacing w:val="-1"/>
          <w:sz w:val="24"/>
          <w:szCs w:val="24"/>
          <w:highlight w:val="none"/>
          <w:lang w:val="en-US" w:eastAsia="zh-CN"/>
        </w:rPr>
      </w:pPr>
      <w:r>
        <w:rPr>
          <w:rFonts w:hint="default" w:ascii="宋体" w:hAnsi="宋体" w:eastAsia="宋体" w:cs="宋体"/>
          <w:color w:val="auto"/>
          <w:spacing w:val="-1"/>
          <w:sz w:val="24"/>
          <w:szCs w:val="24"/>
          <w:highlight w:val="none"/>
          <w:lang w:val="en-US" w:eastAsia="zh-CN"/>
        </w:rPr>
        <w:t>应具有相关</w:t>
      </w:r>
      <w:r>
        <w:rPr>
          <w:rFonts w:hint="eastAsia" w:ascii="宋体" w:hAnsi="宋体" w:eastAsia="宋体" w:cs="宋体"/>
          <w:color w:val="auto"/>
          <w:spacing w:val="-1"/>
          <w:sz w:val="24"/>
          <w:szCs w:val="24"/>
          <w:highlight w:val="none"/>
          <w:lang w:val="en-US" w:eastAsia="zh-CN"/>
        </w:rPr>
        <w:t>（以下任一）</w:t>
      </w:r>
      <w:r>
        <w:rPr>
          <w:rFonts w:hint="default" w:ascii="宋体" w:hAnsi="宋体" w:eastAsia="宋体" w:cs="宋体"/>
          <w:color w:val="auto"/>
          <w:spacing w:val="-1"/>
          <w:sz w:val="24"/>
          <w:szCs w:val="24"/>
          <w:highlight w:val="none"/>
          <w:lang w:val="en-US" w:eastAsia="zh-CN"/>
        </w:rPr>
        <w:t>《中国制冷空调设备维修安装企业资质》A 类资质、《集中式制冷空调设备维修安装》Ⅰ级证书、《中央空调维修保养消毒清洗资质》一级资质、建筑机电安装工程专业承包</w:t>
      </w:r>
      <w:r>
        <w:rPr>
          <w:rFonts w:hint="eastAsia" w:ascii="宋体" w:hAnsi="宋体" w:eastAsia="宋体" w:cs="宋体"/>
          <w:color w:val="auto"/>
          <w:spacing w:val="-1"/>
          <w:sz w:val="24"/>
          <w:szCs w:val="24"/>
          <w:highlight w:val="none"/>
          <w:lang w:val="en-US" w:eastAsia="zh-CN"/>
        </w:rPr>
        <w:t>叁</w:t>
      </w:r>
      <w:r>
        <w:rPr>
          <w:rFonts w:hint="default" w:ascii="宋体" w:hAnsi="宋体" w:eastAsia="宋体" w:cs="宋体"/>
          <w:color w:val="auto"/>
          <w:spacing w:val="-1"/>
          <w:sz w:val="24"/>
          <w:szCs w:val="24"/>
          <w:highlight w:val="none"/>
          <w:lang w:val="en-US" w:eastAsia="zh-CN"/>
        </w:rPr>
        <w:t>级资质</w:t>
      </w:r>
      <w:r>
        <w:rPr>
          <w:rFonts w:hint="eastAsia" w:ascii="宋体" w:hAnsi="宋体" w:eastAsia="宋体" w:cs="宋体"/>
          <w:color w:val="auto"/>
          <w:spacing w:val="-1"/>
          <w:sz w:val="24"/>
          <w:szCs w:val="24"/>
          <w:highlight w:val="none"/>
          <w:lang w:val="en-US" w:eastAsia="zh-CN"/>
        </w:rPr>
        <w:t>，且同时具有</w:t>
      </w:r>
      <w:r>
        <w:rPr>
          <w:rFonts w:hint="default" w:ascii="宋体" w:hAnsi="宋体" w:eastAsia="宋体" w:cs="宋体"/>
          <w:color w:val="auto"/>
          <w:spacing w:val="-1"/>
          <w:sz w:val="24"/>
          <w:szCs w:val="24"/>
          <w:highlight w:val="none"/>
          <w:lang w:val="en-US" w:eastAsia="zh-CN"/>
        </w:rPr>
        <w:t>《安全生产许可证》等。</w:t>
      </w:r>
    </w:p>
    <w:p>
      <w:pPr>
        <w:numPr>
          <w:ilvl w:val="0"/>
          <w:numId w:val="0"/>
        </w:numPr>
        <w:spacing w:before="115" w:line="240" w:lineRule="auto"/>
        <w:rPr>
          <w:rFonts w:hint="default"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 xml:space="preserve">     （供应商须</w:t>
      </w:r>
      <w:r>
        <w:rPr>
          <w:rFonts w:ascii="宋体" w:hAnsi="宋体" w:eastAsia="宋体" w:cs="宋体"/>
          <w:color w:val="auto"/>
          <w:sz w:val="24"/>
          <w:szCs w:val="24"/>
          <w:highlight w:val="none"/>
        </w:rPr>
        <w:t>提供</w:t>
      </w:r>
      <w:r>
        <w:rPr>
          <w:rFonts w:ascii="宋体" w:hAnsi="宋体" w:eastAsia="宋体" w:cs="宋体"/>
          <w:color w:val="auto"/>
          <w:spacing w:val="-1"/>
          <w:sz w:val="24"/>
          <w:szCs w:val="24"/>
          <w:highlight w:val="none"/>
        </w:rPr>
        <w:t>证书复印件，加盖</w:t>
      </w:r>
      <w:r>
        <w:rPr>
          <w:rFonts w:ascii="宋体" w:hAnsi="宋体" w:eastAsia="宋体" w:cs="宋体"/>
          <w:color w:val="auto"/>
          <w:spacing w:val="-2"/>
          <w:sz w:val="24"/>
          <w:szCs w:val="24"/>
          <w:highlight w:val="none"/>
        </w:rPr>
        <w:t>供应商公章</w:t>
      </w:r>
      <w:r>
        <w:rPr>
          <w:rFonts w:ascii="宋体" w:hAnsi="宋体" w:eastAsia="宋体" w:cs="宋体"/>
          <w:color w:val="auto"/>
          <w:spacing w:val="-1"/>
          <w:sz w:val="24"/>
          <w:szCs w:val="24"/>
          <w:highlight w:val="none"/>
        </w:rPr>
        <w:t>）</w:t>
      </w:r>
    </w:p>
    <w:p>
      <w:pPr>
        <w:numPr>
          <w:ilvl w:val="0"/>
          <w:numId w:val="1"/>
        </w:numPr>
        <w:spacing w:before="115" w:line="240" w:lineRule="auto"/>
        <w:ind w:left="479" w:leftChars="0" w:firstLine="0" w:firstLineChars="0"/>
        <w:rPr>
          <w:rFonts w:hint="default" w:ascii="宋体" w:hAnsi="宋体" w:eastAsia="宋体" w:cs="宋体"/>
          <w:color w:val="auto"/>
          <w:spacing w:val="-1"/>
          <w:sz w:val="24"/>
          <w:szCs w:val="24"/>
          <w:highlight w:val="none"/>
          <w:lang w:val="en-US" w:eastAsia="zh-CN"/>
        </w:rPr>
      </w:pPr>
      <w:r>
        <w:rPr>
          <w:rFonts w:hint="default" w:ascii="宋体" w:hAnsi="宋体" w:eastAsia="宋体" w:cs="宋体"/>
          <w:color w:val="auto"/>
          <w:spacing w:val="-1"/>
          <w:sz w:val="24"/>
          <w:szCs w:val="24"/>
          <w:highlight w:val="none"/>
          <w:lang w:val="en-US" w:eastAsia="zh-CN"/>
        </w:rPr>
        <w:t>提供的维护人员需具备由国家应急管理局颁发的且在有效期内的高处作业证、焊接与热切割作业证、制冷与空调设备安装修理作业证、低压电工证等。</w:t>
      </w:r>
    </w:p>
    <w:p>
      <w:pPr>
        <w:numPr>
          <w:ilvl w:val="0"/>
          <w:numId w:val="0"/>
        </w:numPr>
        <w:spacing w:before="115" w:line="240" w:lineRule="auto"/>
        <w:ind w:left="479" w:leftChars="0"/>
        <w:rPr>
          <w:rFonts w:hint="default"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 xml:space="preserve">   （供应商须</w:t>
      </w:r>
      <w:r>
        <w:rPr>
          <w:rFonts w:ascii="宋体" w:hAnsi="宋体" w:eastAsia="宋体" w:cs="宋体"/>
          <w:color w:val="auto"/>
          <w:sz w:val="24"/>
          <w:szCs w:val="24"/>
          <w:highlight w:val="none"/>
        </w:rPr>
        <w:t>提供</w:t>
      </w:r>
      <w:r>
        <w:rPr>
          <w:rFonts w:hint="eastAsia" w:ascii="宋体" w:hAnsi="宋体" w:eastAsia="宋体" w:cs="宋体"/>
          <w:color w:val="auto"/>
          <w:spacing w:val="-1"/>
          <w:sz w:val="24"/>
          <w:szCs w:val="24"/>
          <w:highlight w:val="none"/>
          <w:lang w:val="en-US" w:eastAsia="zh-CN"/>
        </w:rPr>
        <w:t>人员</w:t>
      </w:r>
      <w:r>
        <w:rPr>
          <w:rFonts w:ascii="宋体" w:hAnsi="宋体" w:eastAsia="宋体" w:cs="宋体"/>
          <w:color w:val="auto"/>
          <w:spacing w:val="-1"/>
          <w:sz w:val="24"/>
          <w:szCs w:val="24"/>
          <w:highlight w:val="none"/>
        </w:rPr>
        <w:t>证书复印件，加盖</w:t>
      </w:r>
      <w:r>
        <w:rPr>
          <w:rFonts w:ascii="宋体" w:hAnsi="宋体" w:eastAsia="宋体" w:cs="宋体"/>
          <w:color w:val="auto"/>
          <w:spacing w:val="-2"/>
          <w:sz w:val="24"/>
          <w:szCs w:val="24"/>
          <w:highlight w:val="none"/>
        </w:rPr>
        <w:t>供应商公章</w:t>
      </w:r>
      <w:r>
        <w:rPr>
          <w:rFonts w:ascii="宋体" w:hAnsi="宋体" w:eastAsia="宋体" w:cs="宋体"/>
          <w:color w:val="auto"/>
          <w:spacing w:val="-1"/>
          <w:sz w:val="24"/>
          <w:szCs w:val="24"/>
          <w:highlight w:val="none"/>
        </w:rPr>
        <w:t>）</w:t>
      </w:r>
    </w:p>
    <w:p>
      <w:pPr>
        <w:numPr>
          <w:ilvl w:val="0"/>
          <w:numId w:val="1"/>
        </w:numPr>
        <w:spacing w:before="115" w:line="240" w:lineRule="auto"/>
        <w:ind w:left="479" w:leftChars="0" w:firstLine="0" w:firstLineChars="0"/>
        <w:rPr>
          <w:rFonts w:hint="default" w:ascii="宋体" w:hAnsi="宋体" w:eastAsia="宋体" w:cs="宋体"/>
          <w:color w:val="auto"/>
          <w:spacing w:val="-1"/>
          <w:sz w:val="24"/>
          <w:szCs w:val="24"/>
          <w:highlight w:val="none"/>
          <w:lang w:val="en-US" w:eastAsia="zh-CN"/>
        </w:rPr>
      </w:pPr>
      <w:r>
        <w:rPr>
          <w:rFonts w:hint="default" w:ascii="宋体" w:hAnsi="宋体" w:eastAsia="宋体" w:cs="宋体"/>
          <w:color w:val="auto"/>
          <w:spacing w:val="-1"/>
          <w:sz w:val="24"/>
          <w:szCs w:val="24"/>
          <w:highlight w:val="none"/>
          <w:lang w:val="en-US" w:eastAsia="zh-CN"/>
        </w:rPr>
        <w:t>进场维护人员必须为本单位专职人员，且提供进场维护人员在本单位的近三个月（2025年第一季度）社保证明。</w:t>
      </w:r>
    </w:p>
    <w:p>
      <w:pPr>
        <w:numPr>
          <w:ilvl w:val="0"/>
          <w:numId w:val="0"/>
        </w:numPr>
        <w:spacing w:before="115" w:line="240" w:lineRule="auto"/>
        <w:ind w:left="479" w:leftChars="0"/>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 xml:space="preserve">   </w:t>
      </w:r>
      <w:r>
        <w:rPr>
          <w:rFonts w:hint="eastAsia" w:ascii="宋体" w:hAnsi="宋体" w:eastAsia="宋体" w:cs="宋体"/>
          <w:color w:val="auto"/>
          <w:spacing w:val="-2"/>
          <w:sz w:val="24"/>
          <w:szCs w:val="24"/>
          <w:highlight w:val="none"/>
          <w:lang w:val="en-US" w:eastAsia="zh-CN"/>
        </w:rPr>
        <w:t xml:space="preserve"> （</w:t>
      </w:r>
      <w:r>
        <w:rPr>
          <w:rFonts w:hint="eastAsia" w:ascii="宋体" w:hAnsi="宋体" w:eastAsia="宋体" w:cs="宋体"/>
          <w:color w:val="auto"/>
          <w:spacing w:val="-2"/>
          <w:sz w:val="24"/>
          <w:szCs w:val="24"/>
          <w:highlight w:val="none"/>
        </w:rPr>
        <w:t>供应商</w:t>
      </w:r>
      <w:r>
        <w:rPr>
          <w:rFonts w:hint="eastAsia" w:ascii="宋体" w:hAnsi="宋体" w:eastAsia="宋体" w:cs="宋体"/>
          <w:color w:val="auto"/>
          <w:spacing w:val="-2"/>
          <w:sz w:val="24"/>
          <w:szCs w:val="24"/>
          <w:highlight w:val="none"/>
          <w:lang w:val="en-US" w:eastAsia="zh-CN"/>
        </w:rPr>
        <w:t>须提供</w:t>
      </w:r>
      <w:r>
        <w:rPr>
          <w:rFonts w:hint="eastAsia" w:ascii="宋体" w:hAnsi="宋体" w:eastAsia="宋体" w:cs="宋体"/>
          <w:color w:val="auto"/>
          <w:spacing w:val="-2"/>
          <w:sz w:val="24"/>
          <w:szCs w:val="24"/>
          <w:highlight w:val="none"/>
        </w:rPr>
        <w:t>社保</w:t>
      </w:r>
      <w:r>
        <w:rPr>
          <w:rFonts w:hint="eastAsia" w:ascii="宋体" w:hAnsi="宋体" w:eastAsia="宋体" w:cs="宋体"/>
          <w:color w:val="auto"/>
          <w:spacing w:val="-1"/>
          <w:sz w:val="24"/>
          <w:szCs w:val="24"/>
          <w:highlight w:val="none"/>
        </w:rPr>
        <w:t>缴纳证明复印件</w:t>
      </w:r>
      <w:r>
        <w:rPr>
          <w:rFonts w:hint="eastAsia" w:ascii="宋体" w:hAnsi="宋体" w:eastAsia="宋体" w:cs="宋体"/>
          <w:color w:val="auto"/>
          <w:spacing w:val="-1"/>
          <w:sz w:val="24"/>
          <w:szCs w:val="24"/>
          <w:highlight w:val="none"/>
          <w:lang w:eastAsia="zh-CN"/>
        </w:rPr>
        <w:t>，</w:t>
      </w:r>
      <w:r>
        <w:rPr>
          <w:rFonts w:ascii="宋体" w:hAnsi="宋体" w:eastAsia="宋体" w:cs="宋体"/>
          <w:color w:val="auto"/>
          <w:spacing w:val="-1"/>
          <w:sz w:val="24"/>
          <w:szCs w:val="24"/>
          <w:highlight w:val="none"/>
        </w:rPr>
        <w:t>加盖供应商公</w:t>
      </w:r>
      <w:r>
        <w:rPr>
          <w:rFonts w:ascii="宋体" w:hAnsi="宋体" w:eastAsia="宋体" w:cs="宋体"/>
          <w:color w:val="auto"/>
          <w:spacing w:val="-2"/>
          <w:sz w:val="24"/>
          <w:szCs w:val="24"/>
          <w:highlight w:val="none"/>
        </w:rPr>
        <w:t>章</w:t>
      </w:r>
      <w:r>
        <w:rPr>
          <w:rFonts w:hint="eastAsia" w:ascii="宋体" w:hAnsi="宋体" w:eastAsia="宋体" w:cs="宋体"/>
          <w:color w:val="auto"/>
          <w:spacing w:val="-2"/>
          <w:sz w:val="24"/>
          <w:szCs w:val="24"/>
          <w:highlight w:val="none"/>
          <w:lang w:eastAsia="zh-CN"/>
        </w:rPr>
        <w:t>）</w:t>
      </w:r>
    </w:p>
    <w:p>
      <w:pPr>
        <w:spacing w:before="106" w:line="241" w:lineRule="auto"/>
        <w:ind w:left="498"/>
        <w:outlineLvl w:val="1"/>
        <w:rPr>
          <w:rFonts w:ascii="黑体" w:hAnsi="黑体" w:eastAsia="黑体" w:cs="黑体"/>
          <w:color w:val="auto"/>
          <w:sz w:val="24"/>
          <w:szCs w:val="24"/>
          <w:highlight w:val="none"/>
        </w:rPr>
      </w:pPr>
      <w:r>
        <w:rPr>
          <w:rFonts w:ascii="黑体" w:hAnsi="黑体" w:eastAsia="黑体" w:cs="黑体"/>
          <w:color w:val="auto"/>
          <w:spacing w:val="-4"/>
          <w:sz w:val="24"/>
          <w:szCs w:val="24"/>
          <w:highlight w:val="none"/>
        </w:rPr>
        <w:t>四、询价有关说明</w:t>
      </w:r>
      <w:bookmarkEnd w:id="8"/>
    </w:p>
    <w:p>
      <w:pPr>
        <w:spacing w:before="92" w:line="265" w:lineRule="auto"/>
        <w:ind w:right="81" w:firstLine="52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(一）凡有意参加询价的供应商，请于本公告发布之日起至</w:t>
      </w:r>
      <w:r>
        <w:rPr>
          <w:rFonts w:ascii="宋体" w:hAnsi="宋体" w:eastAsia="宋体" w:cs="宋体"/>
          <w:color w:val="auto"/>
          <w:spacing w:val="-11"/>
          <w:sz w:val="24"/>
          <w:szCs w:val="24"/>
          <w:highlight w:val="none"/>
        </w:rPr>
        <w:t>提交响应文件截止时间之前，在“行采家”平台</w:t>
      </w:r>
      <w:r>
        <w:rPr>
          <w:rFonts w:ascii="微软雅黑" w:hAnsi="微软雅黑" w:eastAsia="微软雅黑" w:cs="微软雅黑"/>
          <w:color w:val="auto"/>
          <w:spacing w:val="-11"/>
          <w:sz w:val="24"/>
          <w:szCs w:val="24"/>
          <w:highlight w:val="none"/>
        </w:rPr>
        <w:t xml:space="preserve">（ </w:t>
      </w:r>
      <w:r>
        <w:rPr>
          <w:color w:val="auto"/>
          <w:highlight w:val="none"/>
        </w:rPr>
        <w:fldChar w:fldCharType="begin"/>
      </w:r>
      <w:r>
        <w:rPr>
          <w:color w:val="auto"/>
          <w:highlight w:val="none"/>
        </w:rPr>
        <w:instrText xml:space="preserve"> HYPERLINK "https://www.gec123.com/" </w:instrText>
      </w:r>
      <w:r>
        <w:rPr>
          <w:color w:val="auto"/>
          <w:highlight w:val="none"/>
        </w:rPr>
        <w:fldChar w:fldCharType="separate"/>
      </w:r>
      <w:r>
        <w:rPr>
          <w:rFonts w:ascii="微软雅黑" w:hAnsi="微软雅黑" w:eastAsia="微软雅黑" w:cs="微软雅黑"/>
          <w:color w:val="auto"/>
          <w:spacing w:val="-11"/>
          <w:sz w:val="24"/>
          <w:szCs w:val="24"/>
          <w:highlight w:val="none"/>
        </w:rPr>
        <w:t>https://www.g</w:t>
      </w:r>
      <w:r>
        <w:rPr>
          <w:rFonts w:ascii="微软雅黑" w:hAnsi="微软雅黑" w:eastAsia="微软雅黑" w:cs="微软雅黑"/>
          <w:color w:val="auto"/>
          <w:spacing w:val="-12"/>
          <w:sz w:val="24"/>
          <w:szCs w:val="24"/>
          <w:highlight w:val="none"/>
        </w:rPr>
        <w:t>ec123.com/</w:t>
      </w:r>
      <w:r>
        <w:rPr>
          <w:rFonts w:ascii="微软雅黑" w:hAnsi="微软雅黑" w:eastAsia="微软雅黑" w:cs="微软雅黑"/>
          <w:color w:val="auto"/>
          <w:spacing w:val="-12"/>
          <w:sz w:val="24"/>
          <w:szCs w:val="24"/>
          <w:highlight w:val="none"/>
        </w:rPr>
        <w:fldChar w:fldCharType="end"/>
      </w:r>
      <w:r>
        <w:rPr>
          <w:rFonts w:ascii="微软雅黑" w:hAnsi="微软雅黑" w:eastAsia="微软雅黑" w:cs="微软雅黑"/>
          <w:color w:val="auto"/>
          <w:spacing w:val="-12"/>
          <w:sz w:val="24"/>
          <w:szCs w:val="24"/>
          <w:highlight w:val="none"/>
        </w:rPr>
        <w:t>）</w:t>
      </w:r>
      <w:r>
        <w:rPr>
          <w:rFonts w:ascii="宋体" w:hAnsi="宋体" w:eastAsia="宋体" w:cs="宋体"/>
          <w:color w:val="auto"/>
          <w:spacing w:val="-11"/>
          <w:sz w:val="24"/>
          <w:szCs w:val="24"/>
          <w:highlight w:val="none"/>
        </w:rPr>
        <w:t>或重庆理工职业学院官网校企合作一体化 招标采购平台</w:t>
      </w:r>
      <w:r>
        <w:rPr>
          <w:rFonts w:ascii="微软雅黑" w:hAnsi="微软雅黑" w:eastAsia="微软雅黑" w:cs="微软雅黑"/>
          <w:color w:val="auto"/>
          <w:spacing w:val="-12"/>
          <w:sz w:val="24"/>
          <w:szCs w:val="24"/>
          <w:highlight w:val="none"/>
        </w:rPr>
        <w:t>（http://www.cqip.com.cn/html/15/Index.shtml）</w:t>
      </w:r>
      <w:r>
        <w:rPr>
          <w:rFonts w:ascii="宋体" w:hAnsi="宋体" w:eastAsia="宋体" w:cs="宋体"/>
          <w:color w:val="auto"/>
          <w:spacing w:val="-12"/>
          <w:sz w:val="24"/>
          <w:szCs w:val="24"/>
          <w:highlight w:val="none"/>
        </w:rPr>
        <w:t>下载本项目招</w:t>
      </w:r>
      <w:r>
        <w:rPr>
          <w:rFonts w:ascii="宋体" w:hAnsi="宋体" w:eastAsia="宋体" w:cs="宋体"/>
          <w:color w:val="auto"/>
          <w:spacing w:val="1"/>
          <w:sz w:val="24"/>
          <w:szCs w:val="24"/>
          <w:highlight w:val="none"/>
        </w:rPr>
        <w:t>标文件以及图纸、补遗等开标前公布的所有项目资料。无论供应商下载与否，均视为已知</w:t>
      </w:r>
      <w:r>
        <w:rPr>
          <w:rFonts w:ascii="宋体" w:hAnsi="宋体" w:eastAsia="宋体" w:cs="宋体"/>
          <w:color w:val="auto"/>
          <w:spacing w:val="-2"/>
          <w:sz w:val="24"/>
          <w:szCs w:val="24"/>
          <w:highlight w:val="none"/>
        </w:rPr>
        <w:t>晓所有招标内容。</w:t>
      </w:r>
    </w:p>
    <w:p>
      <w:pPr>
        <w:spacing w:before="116" w:line="219" w:lineRule="auto"/>
        <w:ind w:left="49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（二）招标文件购买费：</w:t>
      </w:r>
      <w:r>
        <w:rPr>
          <w:rFonts w:hint="eastAsia" w:ascii="宋体" w:hAnsi="宋体" w:eastAsia="宋体" w:cs="宋体"/>
          <w:color w:val="auto"/>
          <w:spacing w:val="-1"/>
          <w:sz w:val="24"/>
          <w:szCs w:val="24"/>
          <w:highlight w:val="none"/>
          <w:lang w:val="en-US" w:eastAsia="zh-CN"/>
        </w:rPr>
        <w:t>不收取</w:t>
      </w:r>
      <w:r>
        <w:rPr>
          <w:rFonts w:ascii="宋体" w:hAnsi="宋体" w:eastAsia="宋体" w:cs="宋体"/>
          <w:color w:val="auto"/>
          <w:spacing w:val="-2"/>
          <w:sz w:val="24"/>
          <w:szCs w:val="24"/>
          <w:highlight w:val="none"/>
        </w:rPr>
        <w:t>。</w:t>
      </w:r>
    </w:p>
    <w:p>
      <w:pPr>
        <w:spacing w:before="116" w:line="219" w:lineRule="auto"/>
        <w:ind w:left="49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（三）供应商须满足以下三种要件，其响应文件才被接受：</w:t>
      </w:r>
    </w:p>
    <w:p>
      <w:pPr>
        <w:spacing w:before="113" w:line="220" w:lineRule="auto"/>
        <w:ind w:left="497"/>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1、按时递交了响应文件；</w:t>
      </w:r>
    </w:p>
    <w:p>
      <w:pPr>
        <w:spacing w:before="115" w:line="220" w:lineRule="auto"/>
        <w:ind w:left="48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2、按时报名签到；</w:t>
      </w:r>
    </w:p>
    <w:p>
      <w:pPr>
        <w:spacing w:before="114" w:line="219" w:lineRule="auto"/>
        <w:ind w:left="48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3、在响应文件递交截止时间前缴纳了询价响应保证金。</w:t>
      </w:r>
    </w:p>
    <w:p>
      <w:pPr>
        <w:spacing w:before="114" w:line="220" w:lineRule="auto"/>
        <w:ind w:left="491"/>
        <w:outlineLvl w:val="9"/>
        <w:rPr>
          <w:rFonts w:ascii="宋体" w:hAnsi="宋体" w:eastAsia="宋体" w:cs="宋体"/>
          <w:color w:val="auto"/>
          <w:sz w:val="24"/>
          <w:szCs w:val="24"/>
          <w:highlight w:val="none"/>
        </w:rPr>
      </w:pPr>
      <w:bookmarkStart w:id="9" w:name="_Toc25423"/>
      <w:r>
        <w:rPr>
          <w:rFonts w:ascii="宋体" w:hAnsi="宋体" w:eastAsia="宋体" w:cs="宋体"/>
          <w:color w:val="auto"/>
          <w:spacing w:val="-1"/>
          <w:sz w:val="24"/>
          <w:szCs w:val="24"/>
          <w:highlight w:val="none"/>
        </w:rPr>
        <w:t>（四）响应文件递交地址：重庆市巴南区界石镇东城大道 588</w:t>
      </w:r>
      <w:r>
        <w:rPr>
          <w:rFonts w:ascii="宋体" w:hAnsi="宋体" w:eastAsia="宋体" w:cs="宋体"/>
          <w:color w:val="auto"/>
          <w:spacing w:val="-45"/>
          <w:sz w:val="24"/>
          <w:szCs w:val="24"/>
          <w:highlight w:val="none"/>
        </w:rPr>
        <w:t xml:space="preserve"> </w:t>
      </w:r>
      <w:r>
        <w:rPr>
          <w:rFonts w:ascii="宋体" w:hAnsi="宋体" w:eastAsia="宋体" w:cs="宋体"/>
          <w:color w:val="auto"/>
          <w:spacing w:val="-1"/>
          <w:sz w:val="24"/>
          <w:szCs w:val="24"/>
          <w:highlight w:val="none"/>
        </w:rPr>
        <w:t>号重庆理</w:t>
      </w:r>
      <w:r>
        <w:rPr>
          <w:rFonts w:ascii="宋体" w:hAnsi="宋体" w:eastAsia="宋体" w:cs="宋体"/>
          <w:color w:val="auto"/>
          <w:spacing w:val="-2"/>
          <w:sz w:val="24"/>
          <w:szCs w:val="24"/>
          <w:highlight w:val="none"/>
        </w:rPr>
        <w:t>工职业学院行</w:t>
      </w:r>
      <w:bookmarkEnd w:id="9"/>
    </w:p>
    <w:p>
      <w:pPr>
        <w:spacing w:before="48" w:line="220" w:lineRule="auto"/>
        <w:outlineLvl w:val="9"/>
        <w:rPr>
          <w:rFonts w:ascii="宋体" w:hAnsi="宋体" w:eastAsia="宋体" w:cs="宋体"/>
          <w:color w:val="auto"/>
          <w:sz w:val="24"/>
          <w:szCs w:val="24"/>
          <w:highlight w:val="none"/>
        </w:rPr>
      </w:pPr>
      <w:bookmarkStart w:id="10" w:name="_Toc31626"/>
      <w:r>
        <w:rPr>
          <w:rFonts w:ascii="宋体" w:hAnsi="宋体" w:eastAsia="宋体" w:cs="宋体"/>
          <w:color w:val="auto"/>
          <w:spacing w:val="-3"/>
          <w:sz w:val="24"/>
          <w:szCs w:val="24"/>
          <w:highlight w:val="none"/>
        </w:rPr>
        <w:t>政楼五楼</w:t>
      </w:r>
      <w:r>
        <w:rPr>
          <w:rFonts w:ascii="宋体" w:hAnsi="宋体" w:eastAsia="宋体" w:cs="宋体"/>
          <w:color w:val="auto"/>
          <w:spacing w:val="-46"/>
          <w:sz w:val="24"/>
          <w:szCs w:val="24"/>
          <w:highlight w:val="none"/>
        </w:rPr>
        <w:t xml:space="preserve"> </w:t>
      </w:r>
      <w:r>
        <w:rPr>
          <w:rFonts w:ascii="宋体" w:hAnsi="宋体" w:eastAsia="宋体" w:cs="宋体"/>
          <w:color w:val="auto"/>
          <w:spacing w:val="-3"/>
          <w:sz w:val="24"/>
          <w:szCs w:val="24"/>
          <w:highlight w:val="none"/>
        </w:rPr>
        <w:t>527</w:t>
      </w:r>
      <w:r>
        <w:rPr>
          <w:rFonts w:ascii="宋体" w:hAnsi="宋体" w:eastAsia="宋体" w:cs="宋体"/>
          <w:color w:val="auto"/>
          <w:spacing w:val="-47"/>
          <w:sz w:val="24"/>
          <w:szCs w:val="24"/>
          <w:highlight w:val="none"/>
        </w:rPr>
        <w:t xml:space="preserve"> </w:t>
      </w:r>
      <w:r>
        <w:rPr>
          <w:rFonts w:ascii="宋体" w:hAnsi="宋体" w:eastAsia="宋体" w:cs="宋体"/>
          <w:color w:val="auto"/>
          <w:spacing w:val="-3"/>
          <w:sz w:val="24"/>
          <w:szCs w:val="24"/>
          <w:highlight w:val="none"/>
        </w:rPr>
        <w:t>室</w:t>
      </w:r>
      <w:bookmarkEnd w:id="10"/>
    </w:p>
    <w:p>
      <w:pPr>
        <w:spacing w:before="112" w:line="220" w:lineRule="auto"/>
        <w:ind w:left="492"/>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（五）响应文件递交开始时间：2025</w:t>
      </w:r>
      <w:r>
        <w:rPr>
          <w:rFonts w:ascii="宋体" w:hAnsi="宋体" w:eastAsia="宋体" w:cs="宋体"/>
          <w:color w:val="auto"/>
          <w:spacing w:val="-40"/>
          <w:sz w:val="24"/>
          <w:szCs w:val="24"/>
          <w:highlight w:val="none"/>
        </w:rPr>
        <w:t xml:space="preserve"> </w:t>
      </w:r>
      <w:r>
        <w:rPr>
          <w:rFonts w:ascii="宋体" w:hAnsi="宋体" w:eastAsia="宋体" w:cs="宋体"/>
          <w:color w:val="auto"/>
          <w:spacing w:val="-5"/>
          <w:sz w:val="24"/>
          <w:szCs w:val="24"/>
          <w:highlight w:val="none"/>
        </w:rPr>
        <w:t>年</w:t>
      </w:r>
      <w:r>
        <w:rPr>
          <w:rFonts w:ascii="宋体" w:hAnsi="宋体" w:eastAsia="宋体" w:cs="宋体"/>
          <w:color w:val="auto"/>
          <w:spacing w:val="-52"/>
          <w:sz w:val="24"/>
          <w:szCs w:val="24"/>
          <w:highlight w:val="none"/>
        </w:rPr>
        <w:t xml:space="preserve"> </w:t>
      </w:r>
      <w:r>
        <w:rPr>
          <w:rFonts w:hint="eastAsia" w:ascii="宋体" w:hAnsi="宋体" w:eastAsia="宋体" w:cs="宋体"/>
          <w:color w:val="auto"/>
          <w:spacing w:val="-5"/>
          <w:sz w:val="24"/>
          <w:szCs w:val="24"/>
          <w:highlight w:val="none"/>
          <w:lang w:val="en-US" w:eastAsia="zh-CN"/>
        </w:rPr>
        <w:t>5</w:t>
      </w:r>
      <w:r>
        <w:rPr>
          <w:rFonts w:ascii="宋体" w:hAnsi="宋体" w:eastAsia="宋体" w:cs="宋体"/>
          <w:color w:val="auto"/>
          <w:spacing w:val="-45"/>
          <w:sz w:val="24"/>
          <w:szCs w:val="24"/>
          <w:highlight w:val="none"/>
        </w:rPr>
        <w:t xml:space="preserve"> </w:t>
      </w:r>
      <w:r>
        <w:rPr>
          <w:rFonts w:ascii="宋体" w:hAnsi="宋体" w:eastAsia="宋体" w:cs="宋体"/>
          <w:color w:val="auto"/>
          <w:spacing w:val="-5"/>
          <w:sz w:val="24"/>
          <w:szCs w:val="24"/>
          <w:highlight w:val="none"/>
        </w:rPr>
        <w:t>月</w:t>
      </w:r>
      <w:r>
        <w:rPr>
          <w:rFonts w:hint="eastAsia" w:ascii="宋体" w:hAnsi="宋体" w:eastAsia="宋体" w:cs="宋体"/>
          <w:color w:val="auto"/>
          <w:spacing w:val="-5"/>
          <w:sz w:val="24"/>
          <w:szCs w:val="24"/>
          <w:highlight w:val="none"/>
          <w:lang w:val="en-US" w:eastAsia="zh-CN"/>
        </w:rPr>
        <w:t>13</w:t>
      </w:r>
      <w:r>
        <w:rPr>
          <w:rFonts w:ascii="宋体" w:hAnsi="宋体" w:eastAsia="宋体" w:cs="宋体"/>
          <w:color w:val="auto"/>
          <w:spacing w:val="-5"/>
          <w:sz w:val="24"/>
          <w:szCs w:val="24"/>
          <w:highlight w:val="none"/>
        </w:rPr>
        <w:t>日北京时间</w:t>
      </w:r>
      <w:r>
        <w:rPr>
          <w:rFonts w:ascii="宋体" w:hAnsi="宋体" w:eastAsia="宋体" w:cs="宋体"/>
          <w:color w:val="auto"/>
          <w:spacing w:val="-33"/>
          <w:sz w:val="24"/>
          <w:szCs w:val="24"/>
          <w:highlight w:val="none"/>
        </w:rPr>
        <w:t xml:space="preserve"> </w:t>
      </w:r>
      <w:r>
        <w:rPr>
          <w:rFonts w:ascii="宋体" w:hAnsi="宋体" w:eastAsia="宋体" w:cs="宋体"/>
          <w:color w:val="auto"/>
          <w:spacing w:val="-5"/>
          <w:sz w:val="24"/>
          <w:szCs w:val="24"/>
          <w:highlight w:val="none"/>
        </w:rPr>
        <w:t>14:00</w:t>
      </w:r>
    </w:p>
    <w:p>
      <w:pPr>
        <w:spacing w:before="114" w:line="220" w:lineRule="auto"/>
        <w:ind w:left="492"/>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（六）响应文件递交截止时间：2025</w:t>
      </w:r>
      <w:r>
        <w:rPr>
          <w:rFonts w:ascii="宋体" w:hAnsi="宋体" w:eastAsia="宋体" w:cs="宋体"/>
          <w:color w:val="auto"/>
          <w:spacing w:val="-40"/>
          <w:sz w:val="24"/>
          <w:szCs w:val="24"/>
          <w:highlight w:val="none"/>
        </w:rPr>
        <w:t xml:space="preserve"> </w:t>
      </w:r>
      <w:r>
        <w:rPr>
          <w:rFonts w:ascii="宋体" w:hAnsi="宋体" w:eastAsia="宋体" w:cs="宋体"/>
          <w:color w:val="auto"/>
          <w:spacing w:val="-5"/>
          <w:sz w:val="24"/>
          <w:szCs w:val="24"/>
          <w:highlight w:val="none"/>
        </w:rPr>
        <w:t>年</w:t>
      </w:r>
      <w:r>
        <w:rPr>
          <w:rFonts w:hint="eastAsia" w:ascii="宋体" w:hAnsi="宋体" w:eastAsia="宋体" w:cs="宋体"/>
          <w:color w:val="auto"/>
          <w:spacing w:val="-52"/>
          <w:sz w:val="24"/>
          <w:szCs w:val="24"/>
          <w:highlight w:val="none"/>
          <w:lang w:val="en-US" w:eastAsia="zh-CN"/>
        </w:rPr>
        <w:t>5</w:t>
      </w:r>
      <w:r>
        <w:rPr>
          <w:rFonts w:ascii="宋体" w:hAnsi="宋体" w:eastAsia="宋体" w:cs="宋体"/>
          <w:color w:val="auto"/>
          <w:spacing w:val="-45"/>
          <w:sz w:val="24"/>
          <w:szCs w:val="24"/>
          <w:highlight w:val="none"/>
        </w:rPr>
        <w:t xml:space="preserve"> </w:t>
      </w:r>
      <w:r>
        <w:rPr>
          <w:rFonts w:ascii="宋体" w:hAnsi="宋体" w:eastAsia="宋体" w:cs="宋体"/>
          <w:color w:val="auto"/>
          <w:spacing w:val="-5"/>
          <w:sz w:val="24"/>
          <w:szCs w:val="24"/>
          <w:highlight w:val="none"/>
        </w:rPr>
        <w:t>月</w:t>
      </w:r>
      <w:r>
        <w:rPr>
          <w:rFonts w:hint="eastAsia" w:ascii="宋体" w:hAnsi="宋体" w:eastAsia="宋体" w:cs="宋体"/>
          <w:color w:val="auto"/>
          <w:spacing w:val="-5"/>
          <w:sz w:val="24"/>
          <w:szCs w:val="24"/>
          <w:highlight w:val="none"/>
          <w:lang w:val="en-US" w:eastAsia="zh-CN"/>
        </w:rPr>
        <w:t>13</w:t>
      </w:r>
      <w:r>
        <w:rPr>
          <w:rFonts w:ascii="宋体" w:hAnsi="宋体" w:eastAsia="宋体" w:cs="宋体"/>
          <w:color w:val="auto"/>
          <w:spacing w:val="-5"/>
          <w:sz w:val="24"/>
          <w:szCs w:val="24"/>
          <w:highlight w:val="none"/>
        </w:rPr>
        <w:t>日北京时间</w:t>
      </w:r>
      <w:r>
        <w:rPr>
          <w:rFonts w:ascii="宋体" w:hAnsi="宋体" w:eastAsia="宋体" w:cs="宋体"/>
          <w:color w:val="auto"/>
          <w:spacing w:val="-33"/>
          <w:sz w:val="24"/>
          <w:szCs w:val="24"/>
          <w:highlight w:val="none"/>
        </w:rPr>
        <w:t xml:space="preserve"> </w:t>
      </w:r>
      <w:r>
        <w:rPr>
          <w:rFonts w:ascii="宋体" w:hAnsi="宋体" w:eastAsia="宋体" w:cs="宋体"/>
          <w:color w:val="auto"/>
          <w:spacing w:val="-5"/>
          <w:sz w:val="24"/>
          <w:szCs w:val="24"/>
          <w:highlight w:val="none"/>
        </w:rPr>
        <w:t>14:30</w:t>
      </w:r>
    </w:p>
    <w:p>
      <w:pPr>
        <w:spacing w:before="114" w:line="219" w:lineRule="auto"/>
        <w:ind w:left="492"/>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（七）询价开始时间：2025</w:t>
      </w:r>
      <w:r>
        <w:rPr>
          <w:rFonts w:ascii="宋体" w:hAnsi="宋体" w:eastAsia="宋体" w:cs="宋体"/>
          <w:color w:val="auto"/>
          <w:spacing w:val="-31"/>
          <w:sz w:val="24"/>
          <w:szCs w:val="24"/>
          <w:highlight w:val="none"/>
        </w:rPr>
        <w:t xml:space="preserve"> </w:t>
      </w:r>
      <w:r>
        <w:rPr>
          <w:rFonts w:ascii="宋体" w:hAnsi="宋体" w:eastAsia="宋体" w:cs="宋体"/>
          <w:color w:val="auto"/>
          <w:spacing w:val="-6"/>
          <w:sz w:val="24"/>
          <w:szCs w:val="24"/>
          <w:highlight w:val="none"/>
        </w:rPr>
        <w:t>年</w:t>
      </w:r>
      <w:r>
        <w:rPr>
          <w:rFonts w:ascii="宋体" w:hAnsi="宋体" w:eastAsia="宋体" w:cs="宋体"/>
          <w:color w:val="auto"/>
          <w:spacing w:val="-52"/>
          <w:sz w:val="24"/>
          <w:szCs w:val="24"/>
          <w:highlight w:val="none"/>
        </w:rPr>
        <w:t xml:space="preserve"> </w:t>
      </w:r>
      <w:r>
        <w:rPr>
          <w:rFonts w:hint="eastAsia" w:ascii="宋体" w:hAnsi="宋体" w:eastAsia="宋体" w:cs="宋体"/>
          <w:color w:val="auto"/>
          <w:spacing w:val="-6"/>
          <w:sz w:val="24"/>
          <w:szCs w:val="24"/>
          <w:highlight w:val="none"/>
          <w:lang w:val="en-US" w:eastAsia="zh-CN"/>
        </w:rPr>
        <w:t>5</w:t>
      </w:r>
      <w:r>
        <w:rPr>
          <w:rFonts w:ascii="宋体" w:hAnsi="宋体" w:eastAsia="宋体" w:cs="宋体"/>
          <w:color w:val="auto"/>
          <w:spacing w:val="-45"/>
          <w:sz w:val="24"/>
          <w:szCs w:val="24"/>
          <w:highlight w:val="none"/>
        </w:rPr>
        <w:t xml:space="preserve"> </w:t>
      </w:r>
      <w:r>
        <w:rPr>
          <w:rFonts w:ascii="宋体" w:hAnsi="宋体" w:eastAsia="宋体" w:cs="宋体"/>
          <w:color w:val="auto"/>
          <w:spacing w:val="-6"/>
          <w:sz w:val="24"/>
          <w:szCs w:val="24"/>
          <w:highlight w:val="none"/>
        </w:rPr>
        <w:t>月</w:t>
      </w:r>
      <w:r>
        <w:rPr>
          <w:rFonts w:hint="eastAsia" w:ascii="宋体" w:hAnsi="宋体" w:eastAsia="宋体" w:cs="宋体"/>
          <w:color w:val="auto"/>
          <w:spacing w:val="-6"/>
          <w:sz w:val="24"/>
          <w:szCs w:val="24"/>
          <w:highlight w:val="none"/>
          <w:lang w:val="en-US" w:eastAsia="zh-CN"/>
        </w:rPr>
        <w:t>13</w:t>
      </w:r>
      <w:r>
        <w:rPr>
          <w:rFonts w:ascii="宋体" w:hAnsi="宋体" w:eastAsia="宋体" w:cs="宋体"/>
          <w:color w:val="auto"/>
          <w:spacing w:val="-6"/>
          <w:sz w:val="24"/>
          <w:szCs w:val="24"/>
          <w:highlight w:val="none"/>
        </w:rPr>
        <w:t>日北京时间</w:t>
      </w:r>
      <w:r>
        <w:rPr>
          <w:rFonts w:ascii="宋体" w:hAnsi="宋体" w:eastAsia="宋体" w:cs="宋体"/>
          <w:color w:val="auto"/>
          <w:spacing w:val="-33"/>
          <w:sz w:val="24"/>
          <w:szCs w:val="24"/>
          <w:highlight w:val="none"/>
        </w:rPr>
        <w:t xml:space="preserve"> </w:t>
      </w:r>
      <w:r>
        <w:rPr>
          <w:rFonts w:ascii="宋体" w:hAnsi="宋体" w:eastAsia="宋体" w:cs="宋体"/>
          <w:color w:val="auto"/>
          <w:spacing w:val="-6"/>
          <w:sz w:val="24"/>
          <w:szCs w:val="24"/>
          <w:highlight w:val="none"/>
        </w:rPr>
        <w:t>14:30</w:t>
      </w:r>
    </w:p>
    <w:p>
      <w:pPr>
        <w:spacing w:before="113" w:line="219" w:lineRule="auto"/>
        <w:ind w:left="49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（八）询价地址：同响应文件递交地址</w:t>
      </w:r>
    </w:p>
    <w:p>
      <w:pPr>
        <w:spacing w:before="107" w:line="316" w:lineRule="exact"/>
        <w:ind w:left="483"/>
        <w:outlineLvl w:val="1"/>
        <w:rPr>
          <w:rFonts w:ascii="黑体" w:hAnsi="黑体" w:eastAsia="黑体" w:cs="黑体"/>
          <w:color w:val="auto"/>
          <w:sz w:val="24"/>
          <w:szCs w:val="24"/>
          <w:highlight w:val="none"/>
        </w:rPr>
      </w:pPr>
      <w:bookmarkStart w:id="11" w:name="_Toc3044"/>
      <w:r>
        <w:rPr>
          <w:rFonts w:ascii="黑体" w:hAnsi="黑体" w:eastAsia="黑体" w:cs="黑体"/>
          <w:color w:val="auto"/>
          <w:spacing w:val="-2"/>
          <w:position w:val="1"/>
          <w:sz w:val="24"/>
          <w:szCs w:val="24"/>
          <w:highlight w:val="none"/>
        </w:rPr>
        <w:t>五、响应保证金</w:t>
      </w:r>
      <w:bookmarkEnd w:id="11"/>
    </w:p>
    <w:p>
      <w:pPr>
        <w:spacing w:before="125" w:line="192" w:lineRule="auto"/>
        <w:ind w:left="466"/>
        <w:outlineLvl w:val="9"/>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w:t>
      </w:r>
      <w:r>
        <w:rPr>
          <w:rFonts w:hint="eastAsia" w:ascii="微软雅黑" w:hAnsi="微软雅黑" w:eastAsia="微软雅黑" w:cs="微软雅黑"/>
          <w:color w:val="auto"/>
          <w:sz w:val="24"/>
          <w:szCs w:val="24"/>
          <w:highlight w:val="none"/>
          <w:lang w:val="en-US" w:eastAsia="zh-CN"/>
        </w:rPr>
        <w:t>询价</w:t>
      </w:r>
      <w:r>
        <w:rPr>
          <w:rFonts w:hint="eastAsia" w:ascii="微软雅黑" w:hAnsi="微软雅黑" w:eastAsia="微软雅黑" w:cs="微软雅黑"/>
          <w:color w:val="auto"/>
          <w:sz w:val="24"/>
          <w:szCs w:val="24"/>
          <w:highlight w:val="none"/>
        </w:rPr>
        <w:t>保证金方式：现金</w:t>
      </w:r>
    </w:p>
    <w:p>
      <w:pPr>
        <w:spacing w:before="113" w:line="240" w:lineRule="auto"/>
        <w:ind w:right="80" w:firstLine="798" w:firstLineChars="330"/>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 保证金的交纳：信封密封，注明项目名称和</w:t>
      </w:r>
      <w:r>
        <w:rPr>
          <w:rFonts w:hint="eastAsia" w:ascii="宋体" w:hAnsi="宋体" w:eastAsia="宋体" w:cs="宋体"/>
          <w:color w:val="auto"/>
          <w:spacing w:val="1"/>
          <w:sz w:val="24"/>
          <w:szCs w:val="24"/>
          <w:highlight w:val="none"/>
          <w:lang w:val="en-US" w:eastAsia="zh-CN"/>
        </w:rPr>
        <w:t>供应商</w:t>
      </w:r>
      <w:r>
        <w:rPr>
          <w:rFonts w:hint="eastAsia" w:ascii="宋体" w:hAnsi="宋体" w:eastAsia="宋体" w:cs="宋体"/>
          <w:color w:val="auto"/>
          <w:spacing w:val="1"/>
          <w:sz w:val="24"/>
          <w:szCs w:val="24"/>
          <w:highlight w:val="none"/>
        </w:rPr>
        <w:t>名称，开标现场提交。</w:t>
      </w:r>
    </w:p>
    <w:p>
      <w:pPr>
        <w:spacing w:before="113" w:line="240" w:lineRule="auto"/>
        <w:ind w:right="80" w:firstLine="798" w:firstLineChars="330"/>
        <w:rPr>
          <w:rFonts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2．保证金的金额：</w:t>
      </w:r>
      <w:r>
        <w:rPr>
          <w:rFonts w:hint="eastAsia" w:ascii="宋体" w:hAnsi="宋体" w:eastAsia="宋体" w:cs="宋体"/>
          <w:color w:val="auto"/>
          <w:spacing w:val="1"/>
          <w:sz w:val="24"/>
          <w:szCs w:val="24"/>
          <w:highlight w:val="none"/>
          <w:lang w:val="en-US" w:eastAsia="zh-CN"/>
        </w:rPr>
        <w:t>2</w:t>
      </w:r>
      <w:r>
        <w:rPr>
          <w:rFonts w:hint="eastAsia" w:ascii="宋体" w:hAnsi="宋体" w:eastAsia="宋体" w:cs="宋体"/>
          <w:color w:val="auto"/>
          <w:spacing w:val="1"/>
          <w:sz w:val="24"/>
          <w:szCs w:val="24"/>
          <w:highlight w:val="none"/>
        </w:rPr>
        <w:t>000元整（人民币）</w:t>
      </w:r>
    </w:p>
    <w:p>
      <w:pPr>
        <w:spacing w:before="153" w:line="192" w:lineRule="auto"/>
        <w:ind w:left="466"/>
        <w:outlineLvl w:val="9"/>
        <w:rPr>
          <w:rFonts w:ascii="微软雅黑" w:hAnsi="微软雅黑" w:eastAsia="微软雅黑" w:cs="微软雅黑"/>
          <w:color w:val="auto"/>
          <w:sz w:val="24"/>
          <w:szCs w:val="24"/>
          <w:highlight w:val="none"/>
        </w:rPr>
      </w:pPr>
      <w:bookmarkStart w:id="12" w:name="_Toc11094"/>
      <w:r>
        <w:rPr>
          <w:rFonts w:ascii="微软雅黑" w:hAnsi="微软雅黑" w:eastAsia="微软雅黑" w:cs="微软雅黑"/>
          <w:color w:val="auto"/>
          <w:spacing w:val="-8"/>
          <w:sz w:val="24"/>
          <w:szCs w:val="24"/>
          <w:highlight w:val="none"/>
        </w:rPr>
        <w:t>（</w:t>
      </w:r>
      <w:r>
        <w:rPr>
          <w:rFonts w:ascii="微软雅黑" w:hAnsi="微软雅黑" w:eastAsia="微软雅黑" w:cs="微软雅黑"/>
          <w:color w:val="auto"/>
          <w:spacing w:val="-15"/>
          <w:sz w:val="24"/>
          <w:szCs w:val="24"/>
          <w:highlight w:val="none"/>
        </w:rPr>
        <w:t xml:space="preserve"> </w:t>
      </w:r>
      <w:r>
        <w:rPr>
          <w:rFonts w:ascii="微软雅黑" w:hAnsi="微软雅黑" w:eastAsia="微软雅黑" w:cs="微软雅黑"/>
          <w:color w:val="auto"/>
          <w:spacing w:val="-8"/>
          <w:sz w:val="24"/>
          <w:szCs w:val="24"/>
          <w:highlight w:val="none"/>
        </w:rPr>
        <w:t>二</w:t>
      </w:r>
      <w:r>
        <w:rPr>
          <w:rFonts w:ascii="微软雅黑" w:hAnsi="微软雅黑" w:eastAsia="微软雅黑" w:cs="微软雅黑"/>
          <w:color w:val="auto"/>
          <w:spacing w:val="-27"/>
          <w:sz w:val="24"/>
          <w:szCs w:val="24"/>
          <w:highlight w:val="none"/>
        </w:rPr>
        <w:t xml:space="preserve"> </w:t>
      </w:r>
      <w:r>
        <w:rPr>
          <w:rFonts w:ascii="微软雅黑" w:hAnsi="微软雅黑" w:eastAsia="微软雅黑" w:cs="微软雅黑"/>
          <w:color w:val="auto"/>
          <w:spacing w:val="-8"/>
          <w:sz w:val="24"/>
          <w:szCs w:val="24"/>
          <w:highlight w:val="none"/>
        </w:rPr>
        <w:t>）响应保证金退还方式</w:t>
      </w:r>
      <w:bookmarkEnd w:id="12"/>
    </w:p>
    <w:p>
      <w:pPr>
        <w:spacing w:before="113" w:line="240" w:lineRule="auto"/>
        <w:ind w:right="80" w:firstLine="798" w:firstLineChars="33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未成交供应商的响应保证金，在成交通知书发放后，五个工作日内按来款渠道直接退</w:t>
      </w:r>
      <w:r>
        <w:rPr>
          <w:rFonts w:ascii="宋体" w:hAnsi="宋体" w:eastAsia="宋体" w:cs="宋体"/>
          <w:color w:val="auto"/>
          <w:spacing w:val="-5"/>
          <w:sz w:val="24"/>
          <w:szCs w:val="24"/>
          <w:highlight w:val="none"/>
        </w:rPr>
        <w:t>还。</w:t>
      </w:r>
    </w:p>
    <w:p>
      <w:pPr>
        <w:spacing w:line="240" w:lineRule="auto"/>
        <w:ind w:left="1" w:right="80" w:firstLine="793" w:firstLineChars="32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成交供应商的响应保证金，在成交供应商与采购人签订合同后，五个工作日内按资金</w:t>
      </w:r>
      <w:r>
        <w:rPr>
          <w:rFonts w:ascii="宋体" w:hAnsi="宋体" w:eastAsia="宋体" w:cs="宋体"/>
          <w:color w:val="auto"/>
          <w:spacing w:val="3"/>
          <w:sz w:val="24"/>
          <w:szCs w:val="24"/>
          <w:highlight w:val="none"/>
        </w:rPr>
        <w:t xml:space="preserve"> </w:t>
      </w:r>
      <w:r>
        <w:rPr>
          <w:rFonts w:ascii="宋体" w:hAnsi="宋体" w:eastAsia="宋体" w:cs="宋体"/>
          <w:color w:val="auto"/>
          <w:spacing w:val="-2"/>
          <w:sz w:val="24"/>
          <w:szCs w:val="24"/>
          <w:highlight w:val="none"/>
        </w:rPr>
        <w:t>来款渠道直接退还。</w:t>
      </w:r>
    </w:p>
    <w:p>
      <w:pPr>
        <w:spacing w:before="1" w:line="241" w:lineRule="auto"/>
        <w:ind w:left="485"/>
        <w:outlineLvl w:val="1"/>
        <w:rPr>
          <w:rFonts w:ascii="黑体" w:hAnsi="黑体" w:eastAsia="黑体" w:cs="黑体"/>
          <w:color w:val="auto"/>
          <w:sz w:val="24"/>
          <w:szCs w:val="24"/>
          <w:highlight w:val="none"/>
        </w:rPr>
      </w:pPr>
      <w:bookmarkStart w:id="13" w:name="_Toc1007"/>
      <w:r>
        <w:rPr>
          <w:rFonts w:ascii="黑体" w:hAnsi="黑体" w:eastAsia="黑体" w:cs="黑体"/>
          <w:color w:val="auto"/>
          <w:spacing w:val="-2"/>
          <w:sz w:val="24"/>
          <w:szCs w:val="24"/>
          <w:highlight w:val="none"/>
        </w:rPr>
        <w:t>六、询价有关规定</w:t>
      </w:r>
      <w:bookmarkEnd w:id="13"/>
    </w:p>
    <w:p>
      <w:pPr>
        <w:spacing w:before="115" w:line="240" w:lineRule="auto"/>
        <w:ind w:firstLine="484" w:firstLineChars="20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w:t>
      </w:r>
      <w:r>
        <w:rPr>
          <w:rFonts w:hint="eastAsia" w:ascii="宋体" w:hAnsi="宋体" w:eastAsia="宋体" w:cs="宋体"/>
          <w:color w:val="auto"/>
          <w:spacing w:val="1"/>
          <w:sz w:val="24"/>
          <w:szCs w:val="24"/>
          <w:highlight w:val="none"/>
          <w:lang w:val="en-US" w:eastAsia="zh-CN"/>
        </w:rPr>
        <w:t>一</w:t>
      </w:r>
      <w:r>
        <w:rPr>
          <w:rFonts w:ascii="宋体" w:hAnsi="宋体" w:eastAsia="宋体" w:cs="宋体"/>
          <w:color w:val="auto"/>
          <w:spacing w:val="1"/>
          <w:sz w:val="24"/>
          <w:szCs w:val="24"/>
          <w:highlight w:val="none"/>
        </w:rPr>
        <w:t>）若同一合同项（分包）下为单一品目的货物采购中，同一品牌</w:t>
      </w:r>
      <w:r>
        <w:rPr>
          <w:rFonts w:ascii="宋体" w:hAnsi="宋体" w:eastAsia="宋体" w:cs="宋体"/>
          <w:color w:val="auto"/>
          <w:sz w:val="24"/>
          <w:szCs w:val="24"/>
          <w:highlight w:val="none"/>
        </w:rPr>
        <w:t xml:space="preserve">同一型号产品有 </w:t>
      </w:r>
      <w:r>
        <w:rPr>
          <w:rFonts w:ascii="宋体" w:hAnsi="宋体" w:eastAsia="宋体" w:cs="宋体"/>
          <w:color w:val="auto"/>
          <w:spacing w:val="-3"/>
          <w:sz w:val="24"/>
          <w:szCs w:val="24"/>
          <w:highlight w:val="none"/>
        </w:rPr>
        <w:t>多家供应商参加询价的，只能按照一家供应商计算。询价时在其他条件（资格符合性检查、</w:t>
      </w:r>
      <w:r>
        <w:rPr>
          <w:rFonts w:ascii="宋体" w:hAnsi="宋体" w:eastAsia="宋体" w:cs="宋体"/>
          <w:color w:val="auto"/>
          <w:spacing w:val="1"/>
          <w:sz w:val="24"/>
          <w:szCs w:val="24"/>
          <w:highlight w:val="none"/>
        </w:rPr>
        <w:t>响应文件的有效性、完整性和响应程度检查）合格的前提下，选取报价最低的供应商进入</w:t>
      </w:r>
      <w:r>
        <w:rPr>
          <w:rFonts w:ascii="宋体" w:hAnsi="宋体" w:eastAsia="宋体" w:cs="宋体"/>
          <w:color w:val="auto"/>
          <w:spacing w:val="4"/>
          <w:sz w:val="24"/>
          <w:szCs w:val="24"/>
          <w:highlight w:val="none"/>
        </w:rPr>
        <w:t xml:space="preserve"> </w:t>
      </w:r>
      <w:r>
        <w:rPr>
          <w:rFonts w:ascii="宋体" w:hAnsi="宋体" w:eastAsia="宋体" w:cs="宋体"/>
          <w:color w:val="auto"/>
          <w:spacing w:val="-1"/>
          <w:sz w:val="24"/>
          <w:szCs w:val="24"/>
          <w:highlight w:val="none"/>
        </w:rPr>
        <w:t>评审，舍掉其他供应商。</w:t>
      </w:r>
    </w:p>
    <w:p>
      <w:pPr>
        <w:spacing w:before="47" w:line="240" w:lineRule="auto"/>
        <w:ind w:left="2" w:firstLine="48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w:t>
      </w:r>
      <w:r>
        <w:rPr>
          <w:rFonts w:hint="eastAsia" w:ascii="宋体" w:hAnsi="宋体" w:eastAsia="宋体" w:cs="宋体"/>
          <w:color w:val="auto"/>
          <w:spacing w:val="1"/>
          <w:sz w:val="24"/>
          <w:szCs w:val="24"/>
          <w:highlight w:val="none"/>
          <w:lang w:val="en-US" w:eastAsia="zh-CN"/>
        </w:rPr>
        <w:t>二</w:t>
      </w:r>
      <w:r>
        <w:rPr>
          <w:rFonts w:ascii="宋体" w:hAnsi="宋体" w:eastAsia="宋体" w:cs="宋体"/>
          <w:color w:val="auto"/>
          <w:spacing w:val="1"/>
          <w:sz w:val="24"/>
          <w:szCs w:val="24"/>
          <w:highlight w:val="none"/>
        </w:rPr>
        <w:t>）同一项目的货物，制造商参与询价的，不得再委托代理商参与</w:t>
      </w:r>
      <w:r>
        <w:rPr>
          <w:rFonts w:ascii="宋体" w:hAnsi="宋体" w:eastAsia="宋体" w:cs="宋体"/>
          <w:color w:val="auto"/>
          <w:sz w:val="24"/>
          <w:szCs w:val="24"/>
          <w:highlight w:val="none"/>
        </w:rPr>
        <w:t xml:space="preserve">询价，否则均为 </w:t>
      </w:r>
      <w:r>
        <w:rPr>
          <w:rFonts w:ascii="宋体" w:hAnsi="宋体" w:eastAsia="宋体" w:cs="宋体"/>
          <w:color w:val="auto"/>
          <w:spacing w:val="-3"/>
          <w:sz w:val="24"/>
          <w:szCs w:val="24"/>
          <w:highlight w:val="none"/>
        </w:rPr>
        <w:t>无效响应。</w:t>
      </w:r>
    </w:p>
    <w:p>
      <w:pPr>
        <w:spacing w:before="113" w:line="240" w:lineRule="auto"/>
        <w:ind w:left="492"/>
        <w:outlineLvl w:val="9"/>
        <w:rPr>
          <w:rFonts w:ascii="宋体" w:hAnsi="宋体" w:eastAsia="宋体" w:cs="宋体"/>
          <w:color w:val="auto"/>
          <w:sz w:val="24"/>
          <w:szCs w:val="24"/>
          <w:highlight w:val="none"/>
        </w:rPr>
      </w:pPr>
      <w:bookmarkStart w:id="14" w:name="_Toc32053"/>
      <w:r>
        <w:rPr>
          <w:rFonts w:ascii="宋体" w:hAnsi="宋体" w:eastAsia="宋体" w:cs="宋体"/>
          <w:color w:val="auto"/>
          <w:spacing w:val="-1"/>
          <w:sz w:val="24"/>
          <w:szCs w:val="24"/>
          <w:highlight w:val="none"/>
        </w:rPr>
        <w:t>（</w:t>
      </w:r>
      <w:r>
        <w:rPr>
          <w:rFonts w:hint="eastAsia" w:ascii="宋体" w:hAnsi="宋体" w:eastAsia="宋体" w:cs="宋体"/>
          <w:color w:val="auto"/>
          <w:spacing w:val="-1"/>
          <w:sz w:val="24"/>
          <w:szCs w:val="24"/>
          <w:highlight w:val="none"/>
          <w:lang w:val="en-US" w:eastAsia="zh-CN"/>
        </w:rPr>
        <w:t>三</w:t>
      </w:r>
      <w:r>
        <w:rPr>
          <w:rFonts w:ascii="宋体" w:hAnsi="宋体" w:eastAsia="宋体" w:cs="宋体"/>
          <w:color w:val="auto"/>
          <w:spacing w:val="-1"/>
          <w:sz w:val="24"/>
          <w:szCs w:val="24"/>
          <w:highlight w:val="none"/>
        </w:rPr>
        <w:t>）超过响应文件截止时间递交的响应文件，恕不接收。</w:t>
      </w:r>
      <w:bookmarkEnd w:id="14"/>
    </w:p>
    <w:p>
      <w:pPr>
        <w:spacing w:before="115" w:line="240" w:lineRule="auto"/>
        <w:ind w:firstLine="49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w:t>
      </w:r>
      <w:r>
        <w:rPr>
          <w:rFonts w:hint="eastAsia" w:ascii="宋体" w:hAnsi="宋体" w:eastAsia="宋体" w:cs="宋体"/>
          <w:color w:val="auto"/>
          <w:spacing w:val="1"/>
          <w:sz w:val="24"/>
          <w:szCs w:val="24"/>
          <w:highlight w:val="none"/>
          <w:lang w:val="en-US" w:eastAsia="zh-CN"/>
        </w:rPr>
        <w:t>四</w:t>
      </w:r>
      <w:r>
        <w:rPr>
          <w:rFonts w:ascii="宋体" w:hAnsi="宋体" w:eastAsia="宋体" w:cs="宋体"/>
          <w:color w:val="auto"/>
          <w:spacing w:val="1"/>
          <w:sz w:val="24"/>
          <w:szCs w:val="24"/>
          <w:highlight w:val="none"/>
        </w:rPr>
        <w:t>）本招标文件在行采家、重庆理工职业学院官网发布，采购人</w:t>
      </w:r>
      <w:r>
        <w:rPr>
          <w:rFonts w:ascii="宋体" w:hAnsi="宋体" w:eastAsia="宋体" w:cs="宋体"/>
          <w:color w:val="auto"/>
          <w:sz w:val="24"/>
          <w:szCs w:val="24"/>
          <w:highlight w:val="none"/>
        </w:rPr>
        <w:t>对</w:t>
      </w:r>
      <w:r>
        <w:rPr>
          <w:rFonts w:ascii="宋体" w:hAnsi="宋体" w:eastAsia="宋体" w:cs="宋体"/>
          <w:color w:val="auto"/>
          <w:spacing w:val="-1"/>
          <w:sz w:val="24"/>
          <w:szCs w:val="24"/>
          <w:highlight w:val="none"/>
        </w:rPr>
        <w:t>任何转载信息及由此产生的后果均不承担任何责任。</w:t>
      </w:r>
    </w:p>
    <w:p>
      <w:pPr>
        <w:spacing w:before="105" w:line="241" w:lineRule="auto"/>
        <w:ind w:left="481"/>
        <w:outlineLvl w:val="1"/>
        <w:rPr>
          <w:rFonts w:ascii="黑体" w:hAnsi="黑体" w:eastAsia="黑体" w:cs="黑体"/>
          <w:color w:val="auto"/>
          <w:sz w:val="24"/>
          <w:szCs w:val="24"/>
          <w:highlight w:val="none"/>
        </w:rPr>
      </w:pPr>
      <w:bookmarkStart w:id="15" w:name="_Toc17181"/>
      <w:r>
        <w:rPr>
          <w:rFonts w:ascii="黑体" w:hAnsi="黑体" w:eastAsia="黑体" w:cs="黑体"/>
          <w:color w:val="auto"/>
          <w:spacing w:val="-2"/>
          <w:sz w:val="24"/>
          <w:szCs w:val="24"/>
          <w:highlight w:val="none"/>
        </w:rPr>
        <w:t>七、联系方式</w:t>
      </w:r>
      <w:bookmarkEnd w:id="15"/>
    </w:p>
    <w:p>
      <w:pPr>
        <w:spacing w:before="93" w:line="240" w:lineRule="auto"/>
        <w:ind w:left="46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采购人</w:t>
      </w:r>
      <w:r>
        <w:rPr>
          <w:rFonts w:ascii="微软雅黑" w:hAnsi="微软雅黑" w:eastAsia="微软雅黑" w:cs="微软雅黑"/>
          <w:color w:val="auto"/>
          <w:sz w:val="24"/>
          <w:szCs w:val="24"/>
          <w:highlight w:val="none"/>
        </w:rPr>
        <w:t>：</w:t>
      </w:r>
      <w:r>
        <w:rPr>
          <w:rFonts w:ascii="宋体" w:hAnsi="宋体" w:eastAsia="宋体" w:cs="宋体"/>
          <w:color w:val="auto"/>
          <w:sz w:val="24"/>
          <w:szCs w:val="24"/>
          <w:highlight w:val="none"/>
        </w:rPr>
        <w:t>重庆理工职业学院</w:t>
      </w:r>
    </w:p>
    <w:p>
      <w:pPr>
        <w:spacing w:before="72" w:line="240" w:lineRule="auto"/>
        <w:ind w:left="48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联系人：</w:t>
      </w:r>
      <w:r>
        <w:rPr>
          <w:rFonts w:hint="eastAsia" w:ascii="宋体" w:hAnsi="宋体" w:eastAsia="宋体" w:cs="宋体"/>
          <w:color w:val="auto"/>
          <w:spacing w:val="-2"/>
          <w:sz w:val="24"/>
          <w:szCs w:val="24"/>
          <w:highlight w:val="none"/>
          <w:lang w:val="en-US" w:eastAsia="zh-CN"/>
        </w:rPr>
        <w:t>吴</w:t>
      </w:r>
      <w:r>
        <w:rPr>
          <w:rFonts w:ascii="宋体" w:hAnsi="宋体" w:eastAsia="宋体" w:cs="宋体"/>
          <w:color w:val="auto"/>
          <w:spacing w:val="-2"/>
          <w:sz w:val="24"/>
          <w:szCs w:val="24"/>
          <w:highlight w:val="none"/>
        </w:rPr>
        <w:t>老师</w:t>
      </w:r>
    </w:p>
    <w:p>
      <w:pPr>
        <w:spacing w:before="115" w:line="240" w:lineRule="auto"/>
        <w:ind w:firstLine="468" w:firstLineChars="200"/>
        <w:rPr>
          <w:rFonts w:hint="default" w:ascii="宋体" w:hAnsi="宋体" w:eastAsia="宋体" w:cs="宋体"/>
          <w:color w:val="auto"/>
          <w:sz w:val="24"/>
          <w:szCs w:val="24"/>
          <w:highlight w:val="none"/>
          <w:lang w:val="en-US" w:eastAsia="zh-CN"/>
        </w:rPr>
      </w:pPr>
      <w:r>
        <w:rPr>
          <w:rFonts w:ascii="宋体" w:hAnsi="宋体" w:eastAsia="宋体" w:cs="宋体"/>
          <w:color w:val="auto"/>
          <w:spacing w:val="-3"/>
          <w:sz w:val="24"/>
          <w:szCs w:val="24"/>
          <w:highlight w:val="none"/>
        </w:rPr>
        <w:t>电  话：</w:t>
      </w:r>
      <w:r>
        <w:rPr>
          <w:rFonts w:hint="eastAsia" w:ascii="宋体" w:hAnsi="宋体" w:eastAsia="宋体" w:cs="宋体"/>
          <w:color w:val="auto"/>
          <w:spacing w:val="-3"/>
          <w:sz w:val="24"/>
          <w:szCs w:val="24"/>
          <w:highlight w:val="none"/>
          <w:lang w:val="en-US" w:eastAsia="zh-CN"/>
        </w:rPr>
        <w:t>13668080436</w:t>
      </w:r>
    </w:p>
    <w:p>
      <w:pPr>
        <w:spacing w:before="112" w:line="220" w:lineRule="auto"/>
        <w:ind w:left="48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地  址：重庆市巴南区界石镇东城大道 588</w:t>
      </w:r>
      <w:r>
        <w:rPr>
          <w:rFonts w:ascii="宋体" w:hAnsi="宋体" w:eastAsia="宋体" w:cs="宋体"/>
          <w:color w:val="auto"/>
          <w:spacing w:val="-33"/>
          <w:sz w:val="24"/>
          <w:szCs w:val="24"/>
          <w:highlight w:val="none"/>
        </w:rPr>
        <w:t xml:space="preserve"> </w:t>
      </w:r>
      <w:r>
        <w:rPr>
          <w:rFonts w:ascii="宋体" w:hAnsi="宋体" w:eastAsia="宋体" w:cs="宋体"/>
          <w:color w:val="auto"/>
          <w:spacing w:val="-1"/>
          <w:sz w:val="24"/>
          <w:szCs w:val="24"/>
          <w:highlight w:val="none"/>
        </w:rPr>
        <w:t>号</w:t>
      </w:r>
    </w:p>
    <w:p>
      <w:pPr>
        <w:spacing w:line="220" w:lineRule="auto"/>
        <w:rPr>
          <w:rFonts w:ascii="宋体" w:hAnsi="宋体" w:eastAsia="宋体" w:cs="宋体"/>
          <w:color w:val="auto"/>
          <w:sz w:val="24"/>
          <w:szCs w:val="24"/>
          <w:highlight w:val="none"/>
        </w:rPr>
        <w:sectPr>
          <w:footerReference r:id="rId7" w:type="default"/>
          <w:footerReference r:id="rId8" w:type="even"/>
          <w:pgSz w:w="11907" w:h="16840"/>
          <w:pgMar w:top="1323" w:right="1191" w:bottom="1221" w:left="1311" w:header="0" w:footer="853" w:gutter="0"/>
          <w:pgNumType w:fmt="decimal" w:start="1"/>
          <w:cols w:space="720" w:num="1"/>
        </w:sectPr>
      </w:pPr>
    </w:p>
    <w:p>
      <w:pPr>
        <w:spacing w:before="80" w:line="469" w:lineRule="exact"/>
        <w:ind w:left="3186"/>
        <w:outlineLvl w:val="0"/>
        <w:rPr>
          <w:rFonts w:ascii="黑体" w:hAnsi="黑体" w:eastAsia="黑体" w:cs="黑体"/>
          <w:color w:val="auto"/>
          <w:sz w:val="35"/>
          <w:szCs w:val="35"/>
          <w:highlight w:val="none"/>
        </w:rPr>
      </w:pPr>
      <w:bookmarkStart w:id="16" w:name="_Toc27496"/>
      <w:r>
        <w:rPr>
          <w:rFonts w:ascii="黑体" w:hAnsi="黑体" w:eastAsia="黑体" w:cs="黑体"/>
          <w:color w:val="auto"/>
          <w:spacing w:val="7"/>
          <w:position w:val="1"/>
          <w:sz w:val="35"/>
          <w:szCs w:val="35"/>
          <w:highlight w:val="none"/>
        </w:rPr>
        <w:t>第二篇 供应商须知</w:t>
      </w:r>
      <w:bookmarkEnd w:id="16"/>
    </w:p>
    <w:p>
      <w:pPr>
        <w:pStyle w:val="7"/>
        <w:spacing w:line="281" w:lineRule="auto"/>
        <w:rPr>
          <w:color w:val="auto"/>
          <w:highlight w:val="none"/>
        </w:rPr>
      </w:pPr>
    </w:p>
    <w:p>
      <w:pPr>
        <w:spacing w:before="78" w:line="242" w:lineRule="auto"/>
        <w:ind w:left="485"/>
        <w:outlineLvl w:val="1"/>
        <w:rPr>
          <w:rFonts w:ascii="黑体" w:hAnsi="黑体" w:eastAsia="黑体" w:cs="黑体"/>
          <w:color w:val="auto"/>
          <w:sz w:val="24"/>
          <w:szCs w:val="24"/>
          <w:highlight w:val="none"/>
        </w:rPr>
      </w:pPr>
      <w:bookmarkStart w:id="17" w:name="bookmark28"/>
      <w:bookmarkEnd w:id="17"/>
      <w:bookmarkStart w:id="18" w:name="_Toc5873"/>
      <w:r>
        <w:rPr>
          <w:rFonts w:ascii="黑体" w:hAnsi="黑体" w:eastAsia="黑体" w:cs="黑体"/>
          <w:color w:val="auto"/>
          <w:spacing w:val="-3"/>
          <w:sz w:val="24"/>
          <w:szCs w:val="24"/>
          <w:highlight w:val="none"/>
        </w:rPr>
        <w:t>一、询价费用</w:t>
      </w:r>
      <w:bookmarkEnd w:id="18"/>
    </w:p>
    <w:p>
      <w:pPr>
        <w:spacing w:before="95" w:line="304" w:lineRule="auto"/>
        <w:ind w:right="80" w:firstLine="48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参与询价的供应商应承担其编制响应文件与递交响应文件所涉及的一切费用，不论询</w:t>
      </w:r>
      <w:r>
        <w:rPr>
          <w:rFonts w:ascii="宋体" w:hAnsi="宋体" w:eastAsia="宋体" w:cs="宋体"/>
          <w:color w:val="auto"/>
          <w:spacing w:val="3"/>
          <w:sz w:val="24"/>
          <w:szCs w:val="24"/>
          <w:highlight w:val="none"/>
        </w:rPr>
        <w:t xml:space="preserve"> </w:t>
      </w:r>
      <w:r>
        <w:rPr>
          <w:rFonts w:ascii="宋体" w:hAnsi="宋体" w:eastAsia="宋体" w:cs="宋体"/>
          <w:color w:val="auto"/>
          <w:sz w:val="24"/>
          <w:szCs w:val="24"/>
          <w:highlight w:val="none"/>
        </w:rPr>
        <w:t>价结果如何，采购人在任何情况下无义</w:t>
      </w:r>
      <w:r>
        <w:rPr>
          <w:rFonts w:ascii="宋体" w:hAnsi="宋体" w:eastAsia="宋体" w:cs="宋体"/>
          <w:color w:val="auto"/>
          <w:spacing w:val="-1"/>
          <w:sz w:val="24"/>
          <w:szCs w:val="24"/>
          <w:highlight w:val="none"/>
        </w:rPr>
        <w:t>务也无责任承担这些费用。</w:t>
      </w:r>
    </w:p>
    <w:p>
      <w:pPr>
        <w:spacing w:line="241" w:lineRule="auto"/>
        <w:ind w:left="484"/>
        <w:outlineLvl w:val="1"/>
        <w:rPr>
          <w:rFonts w:ascii="黑体" w:hAnsi="黑体" w:eastAsia="黑体" w:cs="黑体"/>
          <w:color w:val="auto"/>
          <w:sz w:val="24"/>
          <w:szCs w:val="24"/>
          <w:highlight w:val="none"/>
        </w:rPr>
      </w:pPr>
      <w:bookmarkStart w:id="19" w:name="_Toc12232"/>
      <w:r>
        <w:rPr>
          <w:rFonts w:ascii="黑体" w:hAnsi="黑体" w:eastAsia="黑体" w:cs="黑体"/>
          <w:color w:val="auto"/>
          <w:spacing w:val="-3"/>
          <w:sz w:val="24"/>
          <w:szCs w:val="24"/>
          <w:highlight w:val="none"/>
        </w:rPr>
        <w:t>二、询价通知书</w:t>
      </w:r>
      <w:bookmarkEnd w:id="19"/>
    </w:p>
    <w:p>
      <w:pPr>
        <w:spacing w:before="96" w:line="263" w:lineRule="auto"/>
        <w:ind w:firstLine="370"/>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（一）询价通知书由询价邀请书、供应商须知、询价项</w:t>
      </w:r>
      <w:r>
        <w:rPr>
          <w:rFonts w:ascii="宋体" w:hAnsi="宋体" w:eastAsia="宋体" w:cs="宋体"/>
          <w:color w:val="auto"/>
          <w:spacing w:val="-7"/>
          <w:sz w:val="24"/>
          <w:szCs w:val="24"/>
          <w:highlight w:val="none"/>
        </w:rPr>
        <w:t>目</w:t>
      </w:r>
      <w:r>
        <w:rPr>
          <w:rFonts w:hint="eastAsia" w:ascii="宋体" w:hAnsi="宋体" w:eastAsia="宋体" w:cs="宋体"/>
          <w:color w:val="auto"/>
          <w:spacing w:val="-7"/>
          <w:sz w:val="24"/>
          <w:szCs w:val="24"/>
          <w:highlight w:val="none"/>
          <w:lang w:val="en-US" w:eastAsia="zh-CN"/>
        </w:rPr>
        <w:t>服务</w:t>
      </w:r>
      <w:r>
        <w:rPr>
          <w:rFonts w:ascii="宋体" w:hAnsi="宋体" w:eastAsia="宋体" w:cs="宋体"/>
          <w:color w:val="auto"/>
          <w:spacing w:val="-7"/>
          <w:sz w:val="24"/>
          <w:szCs w:val="24"/>
          <w:highlight w:val="none"/>
        </w:rPr>
        <w:t>需求、询价项目商务需求、</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合同主要条款和格式合同、响应文件格式要求六部分组成。</w:t>
      </w:r>
    </w:p>
    <w:p>
      <w:pPr>
        <w:spacing w:before="115" w:line="264" w:lineRule="auto"/>
        <w:ind w:right="80" w:firstLine="37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（二）采购人所作的一切有效的书</w:t>
      </w:r>
      <w:r>
        <w:rPr>
          <w:rFonts w:ascii="宋体" w:hAnsi="宋体" w:eastAsia="宋体" w:cs="宋体"/>
          <w:color w:val="auto"/>
          <w:spacing w:val="-3"/>
          <w:sz w:val="24"/>
          <w:szCs w:val="24"/>
          <w:highlight w:val="none"/>
        </w:rPr>
        <w:t>面通知、修改及补充，都是询价</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通知书不可分割的部分。</w:t>
      </w:r>
    </w:p>
    <w:p>
      <w:pPr>
        <w:spacing w:before="112" w:line="219" w:lineRule="auto"/>
        <w:ind w:left="371"/>
        <w:outlineLvl w:val="9"/>
        <w:rPr>
          <w:rFonts w:ascii="宋体" w:hAnsi="宋体" w:eastAsia="宋体" w:cs="宋体"/>
          <w:color w:val="auto"/>
          <w:sz w:val="24"/>
          <w:szCs w:val="24"/>
          <w:highlight w:val="none"/>
        </w:rPr>
      </w:pPr>
      <w:bookmarkStart w:id="20" w:name="_Toc14559"/>
      <w:r>
        <w:rPr>
          <w:rFonts w:ascii="宋体" w:hAnsi="宋体" w:eastAsia="宋体" w:cs="宋体"/>
          <w:color w:val="auto"/>
          <w:spacing w:val="-2"/>
          <w:sz w:val="24"/>
          <w:szCs w:val="24"/>
          <w:highlight w:val="none"/>
        </w:rPr>
        <w:t>（三）询价通知书的解释</w:t>
      </w:r>
      <w:bookmarkEnd w:id="20"/>
    </w:p>
    <w:p>
      <w:pPr>
        <w:spacing w:before="118" w:line="306" w:lineRule="auto"/>
        <w:ind w:right="16" w:firstLine="359"/>
        <w:jc w:val="both"/>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供应商如对询价通知书有疑问，必须以书面形式在提交响应文件截止时间</w:t>
      </w:r>
      <w:r>
        <w:rPr>
          <w:rFonts w:ascii="宋体" w:hAnsi="宋体" w:eastAsia="宋体" w:cs="宋体"/>
          <w:color w:val="auto"/>
          <w:spacing w:val="-33"/>
          <w:sz w:val="24"/>
          <w:szCs w:val="24"/>
          <w:highlight w:val="none"/>
        </w:rPr>
        <w:t xml:space="preserve"> </w:t>
      </w:r>
      <w:r>
        <w:rPr>
          <w:rFonts w:ascii="宋体" w:hAnsi="宋体" w:eastAsia="宋体" w:cs="宋体"/>
          <w:color w:val="auto"/>
          <w:spacing w:val="-3"/>
          <w:sz w:val="24"/>
          <w:szCs w:val="24"/>
          <w:highlight w:val="none"/>
        </w:rPr>
        <w:t>1</w:t>
      </w:r>
      <w:r>
        <w:rPr>
          <w:rFonts w:ascii="宋体" w:hAnsi="宋体" w:eastAsia="宋体" w:cs="宋体"/>
          <w:color w:val="auto"/>
          <w:spacing w:val="-51"/>
          <w:sz w:val="24"/>
          <w:szCs w:val="24"/>
          <w:highlight w:val="none"/>
        </w:rPr>
        <w:t xml:space="preserve"> </w:t>
      </w:r>
      <w:r>
        <w:rPr>
          <w:rFonts w:ascii="宋体" w:hAnsi="宋体" w:eastAsia="宋体" w:cs="宋体"/>
          <w:color w:val="auto"/>
          <w:spacing w:val="-3"/>
          <w:sz w:val="24"/>
          <w:szCs w:val="24"/>
          <w:highlight w:val="none"/>
        </w:rPr>
        <w:t>个工作日前</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向采购人要求澄清，采购人可视具体情况做出处</w:t>
      </w:r>
      <w:r>
        <w:rPr>
          <w:rFonts w:ascii="宋体" w:hAnsi="宋体" w:eastAsia="宋体" w:cs="宋体"/>
          <w:color w:val="auto"/>
          <w:spacing w:val="-3"/>
          <w:sz w:val="24"/>
          <w:szCs w:val="24"/>
          <w:highlight w:val="none"/>
        </w:rPr>
        <w:t>理或答复。如供应商未提出疑问，视为完全理解并同意</w:t>
      </w:r>
      <w:r>
        <w:rPr>
          <w:rFonts w:ascii="宋体" w:hAnsi="宋体" w:eastAsia="宋体" w:cs="宋体"/>
          <w:color w:val="auto"/>
          <w:spacing w:val="-4"/>
          <w:sz w:val="24"/>
          <w:szCs w:val="24"/>
          <w:highlight w:val="none"/>
        </w:rPr>
        <w:t>本询价通知书。一经进入询价程序，</w:t>
      </w:r>
      <w:r>
        <w:rPr>
          <w:rFonts w:ascii="宋体" w:hAnsi="宋体" w:eastAsia="宋体" w:cs="宋体"/>
          <w:color w:val="auto"/>
          <w:spacing w:val="1"/>
          <w:sz w:val="24"/>
          <w:szCs w:val="24"/>
          <w:highlight w:val="none"/>
        </w:rPr>
        <w:t>即视为供应商已详细阅读全部文件资料，完全理解询价通知书所有条款内容并同意放弃对</w:t>
      </w:r>
      <w:r>
        <w:rPr>
          <w:rFonts w:ascii="宋体" w:hAnsi="宋体" w:eastAsia="宋体" w:cs="宋体"/>
          <w:color w:val="auto"/>
          <w:spacing w:val="-1"/>
          <w:sz w:val="24"/>
          <w:szCs w:val="24"/>
          <w:highlight w:val="none"/>
        </w:rPr>
        <w:t>这方面有不明白及误解的权利。</w:t>
      </w:r>
    </w:p>
    <w:p>
      <w:pPr>
        <w:spacing w:before="1" w:line="241" w:lineRule="auto"/>
        <w:ind w:left="488"/>
        <w:outlineLvl w:val="1"/>
        <w:rPr>
          <w:rFonts w:ascii="黑体" w:hAnsi="黑体" w:eastAsia="黑体" w:cs="黑体"/>
          <w:color w:val="auto"/>
          <w:sz w:val="24"/>
          <w:szCs w:val="24"/>
          <w:highlight w:val="none"/>
        </w:rPr>
      </w:pPr>
      <w:bookmarkStart w:id="21" w:name="bookmark29"/>
      <w:bookmarkEnd w:id="21"/>
      <w:bookmarkStart w:id="22" w:name="_Toc28914"/>
      <w:r>
        <w:rPr>
          <w:rFonts w:ascii="黑体" w:hAnsi="黑体" w:eastAsia="黑体" w:cs="黑体"/>
          <w:color w:val="auto"/>
          <w:spacing w:val="-3"/>
          <w:sz w:val="24"/>
          <w:szCs w:val="24"/>
          <w:highlight w:val="none"/>
        </w:rPr>
        <w:t>三、询价要求</w:t>
      </w:r>
      <w:bookmarkEnd w:id="22"/>
    </w:p>
    <w:p>
      <w:pPr>
        <w:spacing w:before="95" w:line="192" w:lineRule="auto"/>
        <w:ind w:left="465"/>
        <w:outlineLvl w:val="9"/>
        <w:rPr>
          <w:rFonts w:ascii="微软雅黑" w:hAnsi="微软雅黑" w:eastAsia="微软雅黑" w:cs="微软雅黑"/>
          <w:color w:val="auto"/>
          <w:sz w:val="24"/>
          <w:szCs w:val="24"/>
          <w:highlight w:val="none"/>
        </w:rPr>
      </w:pPr>
      <w:bookmarkStart w:id="23" w:name="_Toc9252"/>
      <w:r>
        <w:rPr>
          <w:rFonts w:ascii="微软雅黑" w:hAnsi="微软雅黑" w:eastAsia="微软雅黑" w:cs="微软雅黑"/>
          <w:color w:val="auto"/>
          <w:sz w:val="24"/>
          <w:szCs w:val="24"/>
          <w:highlight w:val="none"/>
        </w:rPr>
        <w:t>（一）响应文件</w:t>
      </w:r>
      <w:bookmarkEnd w:id="23"/>
    </w:p>
    <w:p>
      <w:pPr>
        <w:spacing w:before="74" w:line="307" w:lineRule="auto"/>
        <w:ind w:right="80" w:firstLine="479"/>
        <w:jc w:val="both"/>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供应商应当按照询价通知书的要求编制响应文件，并对询价通知书提出的要求和条件</w:t>
      </w:r>
      <w:r>
        <w:rPr>
          <w:rFonts w:ascii="宋体" w:hAnsi="宋体" w:eastAsia="宋体" w:cs="宋体"/>
          <w:color w:val="auto"/>
          <w:spacing w:val="5"/>
          <w:sz w:val="24"/>
          <w:szCs w:val="24"/>
          <w:highlight w:val="none"/>
        </w:rPr>
        <w:t xml:space="preserve"> </w:t>
      </w:r>
      <w:r>
        <w:rPr>
          <w:rFonts w:ascii="宋体" w:hAnsi="宋体" w:eastAsia="宋体" w:cs="宋体"/>
          <w:color w:val="auto"/>
          <w:sz w:val="24"/>
          <w:szCs w:val="24"/>
          <w:highlight w:val="none"/>
        </w:rPr>
        <w:t>作出实质性响应，响应文件原则上采用软面订本，</w:t>
      </w:r>
      <w:r>
        <w:rPr>
          <w:rFonts w:ascii="宋体" w:hAnsi="宋体" w:eastAsia="宋体" w:cs="宋体"/>
          <w:color w:val="auto"/>
          <w:spacing w:val="-1"/>
          <w:sz w:val="24"/>
          <w:szCs w:val="24"/>
          <w:highlight w:val="none"/>
        </w:rPr>
        <w:t>同时应编制完整的页码、</w:t>
      </w:r>
      <w:r>
        <w:rPr>
          <w:rFonts w:ascii="宋体" w:hAnsi="宋体" w:eastAsia="宋体" w:cs="宋体"/>
          <w:color w:val="auto"/>
          <w:spacing w:val="-62"/>
          <w:sz w:val="24"/>
          <w:szCs w:val="24"/>
          <w:highlight w:val="none"/>
        </w:rPr>
        <w:t xml:space="preserve"> </w:t>
      </w:r>
      <w:r>
        <w:rPr>
          <w:rFonts w:ascii="宋体" w:hAnsi="宋体" w:eastAsia="宋体" w:cs="宋体"/>
          <w:color w:val="auto"/>
          <w:spacing w:val="-1"/>
          <w:sz w:val="24"/>
          <w:szCs w:val="24"/>
          <w:highlight w:val="none"/>
        </w:rPr>
        <w:t>目录（注：询</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价通知书中规定的需要提供相关原件或者加盖制造商鲜章的资料作为响应文件的组成部分</w:t>
      </w:r>
      <w:r>
        <w:rPr>
          <w:rFonts w:ascii="宋体" w:hAnsi="宋体" w:eastAsia="宋体" w:cs="宋体"/>
          <w:color w:val="auto"/>
          <w:spacing w:val="2"/>
          <w:sz w:val="24"/>
          <w:szCs w:val="24"/>
          <w:highlight w:val="none"/>
        </w:rPr>
        <w:t xml:space="preserve"> </w:t>
      </w:r>
      <w:r>
        <w:rPr>
          <w:rFonts w:ascii="宋体" w:hAnsi="宋体" w:eastAsia="宋体" w:cs="宋体"/>
          <w:color w:val="auto"/>
          <w:spacing w:val="-1"/>
          <w:sz w:val="24"/>
          <w:szCs w:val="24"/>
          <w:highlight w:val="none"/>
        </w:rPr>
        <w:t>时，该部分资料可不标注页码）。</w:t>
      </w:r>
    </w:p>
    <w:p>
      <w:pPr>
        <w:spacing w:line="220" w:lineRule="auto"/>
        <w:ind w:left="497"/>
        <w:outlineLvl w:val="9"/>
        <w:rPr>
          <w:rFonts w:ascii="宋体" w:hAnsi="宋体" w:eastAsia="宋体" w:cs="宋体"/>
          <w:color w:val="auto"/>
          <w:sz w:val="24"/>
          <w:szCs w:val="24"/>
          <w:highlight w:val="none"/>
        </w:rPr>
      </w:pPr>
      <w:bookmarkStart w:id="24" w:name="_Toc14332"/>
      <w:r>
        <w:rPr>
          <w:rFonts w:ascii="宋体" w:hAnsi="宋体" w:eastAsia="宋体" w:cs="宋体"/>
          <w:color w:val="auto"/>
          <w:spacing w:val="-4"/>
          <w:sz w:val="24"/>
          <w:szCs w:val="24"/>
          <w:highlight w:val="none"/>
        </w:rPr>
        <w:t>1.响应文件组成</w:t>
      </w:r>
      <w:bookmarkEnd w:id="24"/>
    </w:p>
    <w:p>
      <w:pPr>
        <w:spacing w:before="114" w:line="308" w:lineRule="auto"/>
        <w:ind w:right="80" w:firstLine="49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响应文件包括纸质文件和电子文件。电子文件内容应当</w:t>
      </w:r>
      <w:r>
        <w:rPr>
          <w:rFonts w:hint="eastAsia" w:ascii="宋体" w:hAnsi="宋体" w:eastAsia="宋体" w:cs="宋体"/>
          <w:color w:val="auto"/>
          <w:spacing w:val="1"/>
          <w:sz w:val="24"/>
          <w:szCs w:val="24"/>
          <w:highlight w:val="none"/>
          <w:lang w:val="en-US" w:eastAsia="zh-CN"/>
        </w:rPr>
        <w:t>与</w:t>
      </w:r>
      <w:r>
        <w:rPr>
          <w:rFonts w:ascii="宋体" w:hAnsi="宋体" w:eastAsia="宋体" w:cs="宋体"/>
          <w:color w:val="auto"/>
          <w:spacing w:val="2"/>
          <w:sz w:val="24"/>
          <w:szCs w:val="24"/>
          <w:highlight w:val="none"/>
        </w:rPr>
        <w:t>纸质文件正本一致</w:t>
      </w:r>
      <w:r>
        <w:rPr>
          <w:rFonts w:ascii="宋体" w:hAnsi="宋体" w:eastAsia="宋体" w:cs="宋体"/>
          <w:color w:val="auto"/>
          <w:sz w:val="24"/>
          <w:szCs w:val="24"/>
          <w:highlight w:val="none"/>
        </w:rPr>
        <w:t>；纸质文件由第六篇“响应文件格式要求</w:t>
      </w:r>
      <w:r>
        <w:rPr>
          <w:rFonts w:ascii="宋体" w:hAnsi="宋体" w:eastAsia="宋体" w:cs="宋体"/>
          <w:color w:val="auto"/>
          <w:spacing w:val="-78"/>
          <w:sz w:val="24"/>
          <w:szCs w:val="24"/>
          <w:highlight w:val="none"/>
        </w:rPr>
        <w:t xml:space="preserve"> </w:t>
      </w:r>
      <w:r>
        <w:rPr>
          <w:rFonts w:ascii="宋体" w:hAnsi="宋体" w:eastAsia="宋体" w:cs="宋体"/>
          <w:color w:val="auto"/>
          <w:sz w:val="24"/>
          <w:szCs w:val="24"/>
          <w:highlight w:val="none"/>
        </w:rPr>
        <w:t>”规定的部分和供应商所作的一切有效补</w:t>
      </w:r>
      <w:r>
        <w:rPr>
          <w:rFonts w:ascii="宋体" w:hAnsi="宋体" w:eastAsia="宋体" w:cs="宋体"/>
          <w:color w:val="auto"/>
          <w:spacing w:val="1"/>
          <w:sz w:val="24"/>
          <w:szCs w:val="24"/>
          <w:highlight w:val="none"/>
        </w:rPr>
        <w:t>充、修改和承诺等文件组成，也可在基本格式基础上对表格进行扩展，未规定格式的由供</w:t>
      </w:r>
      <w:r>
        <w:rPr>
          <w:rFonts w:ascii="宋体" w:hAnsi="宋体" w:eastAsia="宋体" w:cs="宋体"/>
          <w:color w:val="auto"/>
          <w:spacing w:val="-2"/>
          <w:sz w:val="24"/>
          <w:szCs w:val="24"/>
          <w:highlight w:val="none"/>
        </w:rPr>
        <w:t>应商自定格式。</w:t>
      </w:r>
    </w:p>
    <w:p>
      <w:pPr>
        <w:spacing w:before="1" w:line="221" w:lineRule="auto"/>
        <w:ind w:left="482"/>
        <w:outlineLvl w:val="9"/>
        <w:rPr>
          <w:rFonts w:ascii="宋体" w:hAnsi="宋体" w:eastAsia="宋体" w:cs="宋体"/>
          <w:color w:val="auto"/>
          <w:sz w:val="24"/>
          <w:szCs w:val="24"/>
          <w:highlight w:val="none"/>
        </w:rPr>
      </w:pPr>
      <w:bookmarkStart w:id="25" w:name="_Toc29984"/>
      <w:r>
        <w:rPr>
          <w:rFonts w:ascii="宋体" w:hAnsi="宋体" w:eastAsia="宋体" w:cs="宋体"/>
          <w:color w:val="auto"/>
          <w:spacing w:val="-3"/>
          <w:sz w:val="24"/>
          <w:szCs w:val="24"/>
          <w:highlight w:val="none"/>
        </w:rPr>
        <w:t>2.联合体</w:t>
      </w:r>
      <w:bookmarkEnd w:id="25"/>
    </w:p>
    <w:p>
      <w:pPr>
        <w:spacing w:before="111" w:line="219" w:lineRule="auto"/>
        <w:ind w:left="48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本项目不接受联合体响应。</w:t>
      </w:r>
    </w:p>
    <w:p>
      <w:pPr>
        <w:spacing w:before="115" w:line="219" w:lineRule="auto"/>
        <w:ind w:left="48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3.询价有效期：响应文件及有关承诺文件有效期为询价开始时间起</w:t>
      </w:r>
      <w:r>
        <w:rPr>
          <w:rFonts w:ascii="宋体" w:hAnsi="宋体" w:eastAsia="宋体" w:cs="宋体"/>
          <w:color w:val="auto"/>
          <w:sz w:val="24"/>
          <w:szCs w:val="24"/>
          <w:highlight w:val="none"/>
        </w:rPr>
        <w:t>90</w:t>
      </w:r>
      <w:r>
        <w:rPr>
          <w:rFonts w:ascii="宋体" w:hAnsi="宋体" w:eastAsia="宋体" w:cs="宋体"/>
          <w:color w:val="auto"/>
          <w:spacing w:val="-46"/>
          <w:sz w:val="24"/>
          <w:szCs w:val="24"/>
          <w:highlight w:val="none"/>
        </w:rPr>
        <w:t xml:space="preserve"> </w:t>
      </w:r>
      <w:r>
        <w:rPr>
          <w:rFonts w:ascii="宋体" w:hAnsi="宋体" w:eastAsia="宋体" w:cs="宋体"/>
          <w:color w:val="auto"/>
          <w:sz w:val="24"/>
          <w:szCs w:val="24"/>
          <w:highlight w:val="none"/>
        </w:rPr>
        <w:t>天。</w:t>
      </w:r>
    </w:p>
    <w:p>
      <w:pPr>
        <w:spacing w:before="113" w:line="192" w:lineRule="auto"/>
        <w:ind w:left="465"/>
        <w:outlineLvl w:val="9"/>
        <w:rPr>
          <w:rFonts w:ascii="微软雅黑" w:hAnsi="微软雅黑" w:eastAsia="微软雅黑" w:cs="微软雅黑"/>
          <w:color w:val="auto"/>
          <w:sz w:val="24"/>
          <w:szCs w:val="24"/>
          <w:highlight w:val="none"/>
        </w:rPr>
      </w:pPr>
      <w:bookmarkStart w:id="26" w:name="_Toc4314"/>
      <w:r>
        <w:rPr>
          <w:rFonts w:ascii="微软雅黑" w:hAnsi="微软雅黑" w:eastAsia="微软雅黑" w:cs="微软雅黑"/>
          <w:color w:val="auto"/>
          <w:spacing w:val="-11"/>
          <w:sz w:val="24"/>
          <w:szCs w:val="24"/>
          <w:highlight w:val="none"/>
        </w:rPr>
        <w:t>（</w:t>
      </w:r>
      <w:r>
        <w:rPr>
          <w:rFonts w:ascii="微软雅黑" w:hAnsi="微软雅黑" w:eastAsia="微软雅黑" w:cs="微软雅黑"/>
          <w:color w:val="auto"/>
          <w:spacing w:val="-12"/>
          <w:sz w:val="24"/>
          <w:szCs w:val="24"/>
          <w:highlight w:val="none"/>
        </w:rPr>
        <w:t xml:space="preserve"> </w:t>
      </w:r>
      <w:r>
        <w:rPr>
          <w:rFonts w:ascii="微软雅黑" w:hAnsi="微软雅黑" w:eastAsia="微软雅黑" w:cs="微软雅黑"/>
          <w:color w:val="auto"/>
          <w:spacing w:val="-11"/>
          <w:sz w:val="24"/>
          <w:szCs w:val="24"/>
          <w:highlight w:val="none"/>
        </w:rPr>
        <w:t>二</w:t>
      </w:r>
      <w:r>
        <w:rPr>
          <w:rFonts w:ascii="微软雅黑" w:hAnsi="微软雅黑" w:eastAsia="微软雅黑" w:cs="微软雅黑"/>
          <w:color w:val="auto"/>
          <w:spacing w:val="-27"/>
          <w:sz w:val="24"/>
          <w:szCs w:val="24"/>
          <w:highlight w:val="none"/>
        </w:rPr>
        <w:t xml:space="preserve"> </w:t>
      </w:r>
      <w:r>
        <w:rPr>
          <w:rFonts w:ascii="微软雅黑" w:hAnsi="微软雅黑" w:eastAsia="微软雅黑" w:cs="微软雅黑"/>
          <w:color w:val="auto"/>
          <w:spacing w:val="-11"/>
          <w:sz w:val="24"/>
          <w:szCs w:val="24"/>
          <w:highlight w:val="none"/>
        </w:rPr>
        <w:t>）响应保证金：</w:t>
      </w:r>
      <w:bookmarkEnd w:id="26"/>
    </w:p>
    <w:p>
      <w:pPr>
        <w:spacing w:before="73" w:line="219" w:lineRule="auto"/>
        <w:ind w:left="49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1.供应商提交保证金金额和方式详见“</w:t>
      </w:r>
      <w:r>
        <w:rPr>
          <w:rFonts w:ascii="宋体" w:hAnsi="宋体" w:eastAsia="宋体" w:cs="宋体"/>
          <w:b/>
          <w:bCs/>
          <w:color w:val="auto"/>
          <w:spacing w:val="-2"/>
          <w:sz w:val="24"/>
          <w:szCs w:val="24"/>
          <w:highlight w:val="none"/>
          <w:u w:val="single" w:color="auto"/>
        </w:rPr>
        <w:t>第一篇</w:t>
      </w:r>
      <w:r>
        <w:rPr>
          <w:rFonts w:ascii="宋体" w:hAnsi="宋体" w:eastAsia="宋体" w:cs="宋体"/>
          <w:color w:val="auto"/>
          <w:spacing w:val="-78"/>
          <w:sz w:val="24"/>
          <w:szCs w:val="24"/>
          <w:highlight w:val="none"/>
          <w:u w:val="single" w:color="auto"/>
        </w:rPr>
        <w:t xml:space="preserve"> </w:t>
      </w:r>
      <w:r>
        <w:rPr>
          <w:rFonts w:ascii="宋体" w:hAnsi="宋体" w:eastAsia="宋体" w:cs="宋体"/>
          <w:b/>
          <w:bCs/>
          <w:color w:val="auto"/>
          <w:spacing w:val="-2"/>
          <w:sz w:val="24"/>
          <w:szCs w:val="24"/>
          <w:highlight w:val="none"/>
          <w:u w:val="single" w:color="auto"/>
        </w:rPr>
        <w:t>”</w:t>
      </w:r>
      <w:r>
        <w:rPr>
          <w:rFonts w:ascii="宋体" w:hAnsi="宋体" w:eastAsia="宋体" w:cs="宋体"/>
          <w:color w:val="auto"/>
          <w:spacing w:val="-2"/>
          <w:sz w:val="24"/>
          <w:szCs w:val="24"/>
          <w:highlight w:val="none"/>
        </w:rPr>
        <w:t>；</w:t>
      </w:r>
    </w:p>
    <w:p>
      <w:pPr>
        <w:spacing w:before="115" w:line="221" w:lineRule="auto"/>
        <w:ind w:left="48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2.发生以下情况之一者，保证金不予退还：</w:t>
      </w:r>
    </w:p>
    <w:p>
      <w:pPr>
        <w:spacing w:before="114" w:line="219" w:lineRule="auto"/>
        <w:ind w:left="48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2.1</w:t>
      </w:r>
      <w:r>
        <w:rPr>
          <w:rFonts w:ascii="宋体" w:hAnsi="宋体" w:eastAsia="宋体" w:cs="宋体"/>
          <w:color w:val="auto"/>
          <w:spacing w:val="-48"/>
          <w:sz w:val="24"/>
          <w:szCs w:val="24"/>
          <w:highlight w:val="none"/>
        </w:rPr>
        <w:t xml:space="preserve"> </w:t>
      </w:r>
      <w:r>
        <w:rPr>
          <w:rFonts w:ascii="宋体" w:hAnsi="宋体" w:eastAsia="宋体" w:cs="宋体"/>
          <w:color w:val="auto"/>
          <w:spacing w:val="-1"/>
          <w:sz w:val="24"/>
          <w:szCs w:val="24"/>
          <w:highlight w:val="none"/>
        </w:rPr>
        <w:t>供应商在提交响应文件截止时间后撤回响应文件的；</w:t>
      </w:r>
    </w:p>
    <w:p>
      <w:pPr>
        <w:spacing w:before="114" w:line="219" w:lineRule="auto"/>
        <w:ind w:left="48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2.2</w:t>
      </w:r>
      <w:r>
        <w:rPr>
          <w:rFonts w:ascii="宋体" w:hAnsi="宋体" w:eastAsia="宋体" w:cs="宋体"/>
          <w:color w:val="auto"/>
          <w:spacing w:val="-36"/>
          <w:sz w:val="24"/>
          <w:szCs w:val="24"/>
          <w:highlight w:val="none"/>
        </w:rPr>
        <w:t xml:space="preserve"> </w:t>
      </w:r>
      <w:r>
        <w:rPr>
          <w:rFonts w:ascii="宋体" w:hAnsi="宋体" w:eastAsia="宋体" w:cs="宋体"/>
          <w:color w:val="auto"/>
          <w:spacing w:val="-2"/>
          <w:sz w:val="24"/>
          <w:szCs w:val="24"/>
          <w:highlight w:val="none"/>
        </w:rPr>
        <w:t>供应商在响应文件中提供虚假材料的</w:t>
      </w:r>
    </w:p>
    <w:p>
      <w:pPr>
        <w:spacing w:before="115" w:line="219" w:lineRule="auto"/>
        <w:jc w:val="right"/>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2.3</w:t>
      </w:r>
      <w:r>
        <w:rPr>
          <w:rFonts w:ascii="宋体" w:hAnsi="宋体" w:eastAsia="宋体" w:cs="宋体"/>
          <w:color w:val="auto"/>
          <w:spacing w:val="-24"/>
          <w:sz w:val="24"/>
          <w:szCs w:val="24"/>
          <w:highlight w:val="none"/>
        </w:rPr>
        <w:t xml:space="preserve"> </w:t>
      </w:r>
      <w:r>
        <w:rPr>
          <w:rFonts w:ascii="宋体" w:hAnsi="宋体" w:eastAsia="宋体" w:cs="宋体"/>
          <w:color w:val="auto"/>
          <w:spacing w:val="-3"/>
          <w:sz w:val="24"/>
          <w:szCs w:val="24"/>
          <w:highlight w:val="none"/>
        </w:rPr>
        <w:t>除因不可抗力或询价通知书认可的情形以外，成交供应商不与采购人签订合同的；</w:t>
      </w:r>
    </w:p>
    <w:p>
      <w:pPr>
        <w:spacing w:line="219" w:lineRule="auto"/>
        <w:rPr>
          <w:rFonts w:ascii="宋体" w:hAnsi="宋体" w:eastAsia="宋体" w:cs="宋体"/>
          <w:color w:val="auto"/>
          <w:sz w:val="24"/>
          <w:szCs w:val="24"/>
          <w:highlight w:val="none"/>
        </w:rPr>
        <w:sectPr>
          <w:footerReference r:id="rId11" w:type="first"/>
          <w:footerReference r:id="rId9" w:type="default"/>
          <w:footerReference r:id="rId10" w:type="even"/>
          <w:pgSz w:w="11907" w:h="16840"/>
          <w:pgMar w:top="1171" w:right="1110" w:bottom="1127" w:left="1312" w:header="0" w:footer="878" w:gutter="0"/>
          <w:pgNumType w:fmt="decimal"/>
          <w:cols w:space="720" w:num="1"/>
          <w:titlePg/>
        </w:sectPr>
      </w:pPr>
    </w:p>
    <w:p>
      <w:pPr>
        <w:spacing w:before="48" w:line="219" w:lineRule="auto"/>
        <w:ind w:left="48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2.4</w:t>
      </w:r>
      <w:r>
        <w:rPr>
          <w:rFonts w:ascii="宋体" w:hAnsi="宋体" w:eastAsia="宋体" w:cs="宋体"/>
          <w:color w:val="auto"/>
          <w:spacing w:val="-44"/>
          <w:sz w:val="24"/>
          <w:szCs w:val="24"/>
          <w:highlight w:val="none"/>
        </w:rPr>
        <w:t xml:space="preserve"> </w:t>
      </w:r>
      <w:r>
        <w:rPr>
          <w:rFonts w:ascii="宋体" w:hAnsi="宋体" w:eastAsia="宋体" w:cs="宋体"/>
          <w:color w:val="auto"/>
          <w:spacing w:val="-1"/>
          <w:sz w:val="24"/>
          <w:szCs w:val="24"/>
          <w:highlight w:val="none"/>
        </w:rPr>
        <w:t>供应商与采购人、其他供应商恶意串通的；</w:t>
      </w:r>
    </w:p>
    <w:p>
      <w:pPr>
        <w:spacing w:before="112" w:line="219" w:lineRule="auto"/>
        <w:ind w:left="483"/>
        <w:outlineLvl w:val="9"/>
        <w:rPr>
          <w:rFonts w:ascii="宋体" w:hAnsi="宋体" w:eastAsia="宋体" w:cs="宋体"/>
          <w:color w:val="auto"/>
          <w:sz w:val="24"/>
          <w:szCs w:val="24"/>
          <w:highlight w:val="none"/>
        </w:rPr>
      </w:pPr>
      <w:bookmarkStart w:id="27" w:name="_Toc19623"/>
      <w:r>
        <w:rPr>
          <w:rFonts w:ascii="宋体" w:hAnsi="宋体" w:eastAsia="宋体" w:cs="宋体"/>
          <w:color w:val="auto"/>
          <w:spacing w:val="-2"/>
          <w:sz w:val="24"/>
          <w:szCs w:val="24"/>
          <w:highlight w:val="none"/>
        </w:rPr>
        <w:t>2.5</w:t>
      </w:r>
      <w:r>
        <w:rPr>
          <w:rFonts w:ascii="宋体" w:hAnsi="宋体" w:eastAsia="宋体" w:cs="宋体"/>
          <w:color w:val="auto"/>
          <w:spacing w:val="-42"/>
          <w:sz w:val="24"/>
          <w:szCs w:val="24"/>
          <w:highlight w:val="none"/>
        </w:rPr>
        <w:t xml:space="preserve"> </w:t>
      </w:r>
      <w:r>
        <w:rPr>
          <w:rFonts w:ascii="宋体" w:hAnsi="宋体" w:eastAsia="宋体" w:cs="宋体"/>
          <w:color w:val="auto"/>
          <w:spacing w:val="-2"/>
          <w:sz w:val="24"/>
          <w:szCs w:val="24"/>
          <w:highlight w:val="none"/>
        </w:rPr>
        <w:t>询价通知书规定的其他情形。</w:t>
      </w:r>
      <w:bookmarkEnd w:id="27"/>
    </w:p>
    <w:p>
      <w:pPr>
        <w:spacing w:before="115" w:line="192" w:lineRule="auto"/>
        <w:ind w:left="466"/>
        <w:outlineLvl w:val="9"/>
        <w:rPr>
          <w:rFonts w:ascii="微软雅黑" w:hAnsi="微软雅黑" w:eastAsia="微软雅黑" w:cs="微软雅黑"/>
          <w:color w:val="auto"/>
          <w:sz w:val="24"/>
          <w:szCs w:val="24"/>
          <w:highlight w:val="none"/>
        </w:rPr>
      </w:pPr>
      <w:bookmarkStart w:id="28" w:name="_Toc4867"/>
      <w:r>
        <w:rPr>
          <w:rFonts w:ascii="微软雅黑" w:hAnsi="微软雅黑" w:eastAsia="微软雅黑" w:cs="微软雅黑"/>
          <w:color w:val="auto"/>
          <w:spacing w:val="-14"/>
          <w:sz w:val="24"/>
          <w:szCs w:val="24"/>
          <w:highlight w:val="none"/>
        </w:rPr>
        <w:t>（ 三</w:t>
      </w:r>
      <w:r>
        <w:rPr>
          <w:rFonts w:ascii="微软雅黑" w:hAnsi="微软雅黑" w:eastAsia="微软雅黑" w:cs="微软雅黑"/>
          <w:color w:val="auto"/>
          <w:spacing w:val="-26"/>
          <w:sz w:val="24"/>
          <w:szCs w:val="24"/>
          <w:highlight w:val="none"/>
        </w:rPr>
        <w:t xml:space="preserve"> </w:t>
      </w:r>
      <w:r>
        <w:rPr>
          <w:rFonts w:ascii="微软雅黑" w:hAnsi="微软雅黑" w:eastAsia="微软雅黑" w:cs="微软雅黑"/>
          <w:color w:val="auto"/>
          <w:spacing w:val="-14"/>
          <w:sz w:val="24"/>
          <w:szCs w:val="24"/>
          <w:highlight w:val="none"/>
        </w:rPr>
        <w:t>）修正错误</w:t>
      </w:r>
      <w:bookmarkEnd w:id="28"/>
    </w:p>
    <w:p>
      <w:pPr>
        <w:spacing w:before="72" w:line="220" w:lineRule="auto"/>
        <w:ind w:left="48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若响应文件出现计算或表达上的错误，修正错误的原则如下：</w:t>
      </w:r>
    </w:p>
    <w:p>
      <w:pPr>
        <w:spacing w:before="112" w:line="219" w:lineRule="auto"/>
        <w:ind w:left="49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1.响应文件中报价函的内容与响应文件中相应内容不一致的，以报价函为准；</w:t>
      </w:r>
    </w:p>
    <w:p>
      <w:pPr>
        <w:spacing w:before="116" w:line="220" w:lineRule="auto"/>
        <w:ind w:left="483"/>
        <w:outlineLvl w:val="9"/>
        <w:rPr>
          <w:rFonts w:ascii="宋体" w:hAnsi="宋体" w:eastAsia="宋体" w:cs="宋体"/>
          <w:color w:val="auto"/>
          <w:sz w:val="24"/>
          <w:szCs w:val="24"/>
          <w:highlight w:val="none"/>
        </w:rPr>
      </w:pPr>
      <w:bookmarkStart w:id="29" w:name="_Toc7832"/>
      <w:r>
        <w:rPr>
          <w:rFonts w:ascii="宋体" w:hAnsi="宋体" w:eastAsia="宋体" w:cs="宋体"/>
          <w:color w:val="auto"/>
          <w:spacing w:val="-1"/>
          <w:sz w:val="24"/>
          <w:szCs w:val="24"/>
          <w:highlight w:val="none"/>
        </w:rPr>
        <w:t>2.大写金额和小写金额不一致的，以大写金额为准；</w:t>
      </w:r>
      <w:bookmarkEnd w:id="29"/>
    </w:p>
    <w:p>
      <w:pPr>
        <w:spacing w:before="115" w:line="219" w:lineRule="auto"/>
        <w:ind w:left="485"/>
        <w:rPr>
          <w:rFonts w:ascii="宋体" w:hAnsi="宋体" w:eastAsia="宋体" w:cs="宋体"/>
          <w:color w:val="auto"/>
          <w:sz w:val="24"/>
          <w:szCs w:val="24"/>
          <w:highlight w:val="none"/>
        </w:rPr>
      </w:pPr>
      <w:r>
        <w:rPr>
          <w:rFonts w:ascii="宋体" w:hAnsi="宋体" w:eastAsia="宋体" w:cs="宋体"/>
          <w:color w:val="auto"/>
          <w:sz w:val="24"/>
          <w:szCs w:val="24"/>
          <w:highlight w:val="none"/>
        </w:rPr>
        <w:t>3.单价金额小数点或者百分比有明显错位的</w:t>
      </w:r>
      <w:r>
        <w:rPr>
          <w:rFonts w:ascii="宋体" w:hAnsi="宋体" w:eastAsia="宋体" w:cs="宋体"/>
          <w:color w:val="auto"/>
          <w:spacing w:val="-1"/>
          <w:sz w:val="24"/>
          <w:szCs w:val="24"/>
          <w:highlight w:val="none"/>
        </w:rPr>
        <w:t>，以报价函总价为准，并修改单价；</w:t>
      </w:r>
    </w:p>
    <w:p>
      <w:pPr>
        <w:spacing w:before="113" w:line="219" w:lineRule="auto"/>
        <w:ind w:left="480"/>
        <w:rPr>
          <w:rFonts w:ascii="宋体" w:hAnsi="宋体" w:eastAsia="宋体" w:cs="宋体"/>
          <w:color w:val="auto"/>
          <w:sz w:val="24"/>
          <w:szCs w:val="24"/>
          <w:highlight w:val="none"/>
        </w:rPr>
      </w:pPr>
      <w:r>
        <w:rPr>
          <w:rFonts w:ascii="宋体" w:hAnsi="宋体" w:eastAsia="宋体" w:cs="宋体"/>
          <w:color w:val="auto"/>
          <w:sz w:val="24"/>
          <w:szCs w:val="24"/>
          <w:highlight w:val="none"/>
        </w:rPr>
        <w:t>4.总价金额与按单价汇总金额不一致的，以单</w:t>
      </w:r>
      <w:r>
        <w:rPr>
          <w:rFonts w:ascii="宋体" w:hAnsi="宋体" w:eastAsia="宋体" w:cs="宋体"/>
          <w:color w:val="auto"/>
          <w:spacing w:val="-1"/>
          <w:sz w:val="24"/>
          <w:szCs w:val="24"/>
          <w:highlight w:val="none"/>
        </w:rPr>
        <w:t>价金额计算结果为准。</w:t>
      </w:r>
    </w:p>
    <w:p>
      <w:pPr>
        <w:spacing w:before="119" w:line="307" w:lineRule="auto"/>
        <w:ind w:left="4" w:right="98" w:firstLine="476"/>
        <w:jc w:val="both"/>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询价小组按上述修正错误的原则及方法调整或修正供应商报价，若同时出现两种以上</w:t>
      </w:r>
      <w:r>
        <w:rPr>
          <w:rFonts w:ascii="宋体" w:hAnsi="宋体" w:eastAsia="宋体" w:cs="宋体"/>
          <w:color w:val="auto"/>
          <w:spacing w:val="5"/>
          <w:sz w:val="24"/>
          <w:szCs w:val="24"/>
          <w:highlight w:val="none"/>
        </w:rPr>
        <w:t xml:space="preserve"> </w:t>
      </w:r>
      <w:r>
        <w:rPr>
          <w:rFonts w:ascii="宋体" w:hAnsi="宋体" w:eastAsia="宋体" w:cs="宋体"/>
          <w:color w:val="auto"/>
          <w:spacing w:val="1"/>
          <w:sz w:val="24"/>
          <w:szCs w:val="24"/>
          <w:highlight w:val="none"/>
        </w:rPr>
        <w:t>不一致的，按照前款规定的顺序修正，供应商同意并签字确认后，调整后的报价对供应商</w:t>
      </w:r>
      <w:r>
        <w:rPr>
          <w:rFonts w:ascii="宋体" w:hAnsi="宋体" w:eastAsia="宋体" w:cs="宋体"/>
          <w:color w:val="auto"/>
          <w:sz w:val="24"/>
          <w:szCs w:val="24"/>
          <w:highlight w:val="none"/>
        </w:rPr>
        <w:t xml:space="preserve"> 具有约束作用。如果供应商不接受修正后的报价</w:t>
      </w:r>
      <w:r>
        <w:rPr>
          <w:rFonts w:ascii="宋体" w:hAnsi="宋体" w:eastAsia="宋体" w:cs="宋体"/>
          <w:color w:val="auto"/>
          <w:spacing w:val="-1"/>
          <w:sz w:val="24"/>
          <w:szCs w:val="24"/>
          <w:highlight w:val="none"/>
        </w:rPr>
        <w:t>，则其响应将作为无效响应处理。</w:t>
      </w:r>
    </w:p>
    <w:p>
      <w:pPr>
        <w:spacing w:line="192" w:lineRule="auto"/>
        <w:ind w:left="466"/>
        <w:outlineLvl w:val="9"/>
        <w:rPr>
          <w:rFonts w:ascii="微软雅黑" w:hAnsi="微软雅黑" w:eastAsia="微软雅黑" w:cs="微软雅黑"/>
          <w:color w:val="auto"/>
          <w:sz w:val="24"/>
          <w:szCs w:val="24"/>
          <w:highlight w:val="none"/>
        </w:rPr>
      </w:pPr>
      <w:bookmarkStart w:id="30" w:name="_Toc15373"/>
      <w:r>
        <w:rPr>
          <w:rFonts w:ascii="微软雅黑" w:hAnsi="微软雅黑" w:eastAsia="微软雅黑" w:cs="微软雅黑"/>
          <w:color w:val="auto"/>
          <w:spacing w:val="-7"/>
          <w:sz w:val="24"/>
          <w:szCs w:val="24"/>
          <w:highlight w:val="none"/>
        </w:rPr>
        <w:t>（ 四</w:t>
      </w:r>
      <w:r>
        <w:rPr>
          <w:rFonts w:ascii="微软雅黑" w:hAnsi="微软雅黑" w:eastAsia="微软雅黑" w:cs="微软雅黑"/>
          <w:color w:val="auto"/>
          <w:spacing w:val="-26"/>
          <w:sz w:val="24"/>
          <w:szCs w:val="24"/>
          <w:highlight w:val="none"/>
        </w:rPr>
        <w:t xml:space="preserve"> </w:t>
      </w:r>
      <w:r>
        <w:rPr>
          <w:rFonts w:ascii="微软雅黑" w:hAnsi="微软雅黑" w:eastAsia="微软雅黑" w:cs="微软雅黑"/>
          <w:color w:val="auto"/>
          <w:spacing w:val="-7"/>
          <w:sz w:val="24"/>
          <w:szCs w:val="24"/>
          <w:highlight w:val="none"/>
        </w:rPr>
        <w:t>）提交响应文件的份数和签署</w:t>
      </w:r>
      <w:bookmarkEnd w:id="30"/>
    </w:p>
    <w:p>
      <w:pPr>
        <w:spacing w:before="72" w:line="278" w:lineRule="auto"/>
        <w:ind w:right="97" w:firstLine="49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1.响应文件一式</w:t>
      </w:r>
      <w:r>
        <w:rPr>
          <w:rFonts w:hint="eastAsia" w:ascii="宋体" w:hAnsi="宋体" w:eastAsia="宋体" w:cs="宋体"/>
          <w:color w:val="auto"/>
          <w:spacing w:val="1"/>
          <w:sz w:val="24"/>
          <w:szCs w:val="24"/>
          <w:highlight w:val="none"/>
          <w:lang w:val="en-US" w:eastAsia="zh-CN"/>
        </w:rPr>
        <w:t>三</w:t>
      </w:r>
      <w:r>
        <w:rPr>
          <w:rFonts w:ascii="宋体" w:hAnsi="宋体" w:eastAsia="宋体" w:cs="宋体"/>
          <w:color w:val="auto"/>
          <w:spacing w:val="1"/>
          <w:sz w:val="24"/>
          <w:szCs w:val="24"/>
          <w:highlight w:val="none"/>
        </w:rPr>
        <w:t>份，其中正本一份，副本</w:t>
      </w:r>
      <w:r>
        <w:rPr>
          <w:rFonts w:hint="eastAsia" w:ascii="宋体" w:hAnsi="宋体" w:eastAsia="宋体" w:cs="宋体"/>
          <w:color w:val="auto"/>
          <w:spacing w:val="1"/>
          <w:sz w:val="24"/>
          <w:szCs w:val="24"/>
          <w:highlight w:val="none"/>
          <w:lang w:val="en-US" w:eastAsia="zh-CN"/>
        </w:rPr>
        <w:t>一</w:t>
      </w:r>
      <w:r>
        <w:rPr>
          <w:rFonts w:ascii="宋体" w:hAnsi="宋体" w:eastAsia="宋体" w:cs="宋体"/>
          <w:color w:val="auto"/>
          <w:spacing w:val="1"/>
          <w:sz w:val="24"/>
          <w:szCs w:val="24"/>
          <w:highlight w:val="none"/>
        </w:rPr>
        <w:t>份，电</w:t>
      </w:r>
      <w:r>
        <w:rPr>
          <w:rFonts w:ascii="宋体" w:hAnsi="宋体" w:eastAsia="宋体" w:cs="宋体"/>
          <w:color w:val="auto"/>
          <w:sz w:val="24"/>
          <w:szCs w:val="24"/>
          <w:highlight w:val="none"/>
        </w:rPr>
        <w:t xml:space="preserve">子文档一份（电子文档为正本扫 </w:t>
      </w:r>
      <w:r>
        <w:rPr>
          <w:rFonts w:ascii="宋体" w:hAnsi="宋体" w:eastAsia="宋体" w:cs="宋体"/>
          <w:color w:val="auto"/>
          <w:spacing w:val="2"/>
          <w:sz w:val="24"/>
          <w:szCs w:val="24"/>
          <w:highlight w:val="none"/>
        </w:rPr>
        <w:t>描件内容应与纸质文件正本一致，如不一致以纸质文件正本为准。采用U</w:t>
      </w:r>
      <w:r>
        <w:rPr>
          <w:rFonts w:ascii="宋体" w:hAnsi="宋体" w:eastAsia="宋体" w:cs="宋体"/>
          <w:color w:val="auto"/>
          <w:spacing w:val="-38"/>
          <w:sz w:val="24"/>
          <w:szCs w:val="24"/>
          <w:highlight w:val="none"/>
        </w:rPr>
        <w:t xml:space="preserve"> </w:t>
      </w:r>
      <w:r>
        <w:rPr>
          <w:rFonts w:ascii="宋体" w:hAnsi="宋体" w:eastAsia="宋体" w:cs="宋体"/>
          <w:color w:val="auto"/>
          <w:spacing w:val="2"/>
          <w:sz w:val="24"/>
          <w:szCs w:val="24"/>
          <w:highlight w:val="none"/>
        </w:rPr>
        <w:t>盘为电子文档载</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体</w:t>
      </w:r>
      <w:r>
        <w:rPr>
          <w:rFonts w:ascii="宋体" w:hAnsi="宋体" w:eastAsia="宋体" w:cs="宋体"/>
          <w:color w:val="auto"/>
          <w:spacing w:val="11"/>
          <w:sz w:val="24"/>
          <w:szCs w:val="24"/>
          <w:highlight w:val="none"/>
        </w:rPr>
        <w:t>）；</w:t>
      </w:r>
      <w:r>
        <w:rPr>
          <w:rFonts w:ascii="宋体" w:hAnsi="宋体" w:eastAsia="宋体" w:cs="宋体"/>
          <w:color w:val="auto"/>
          <w:spacing w:val="-1"/>
          <w:sz w:val="24"/>
          <w:szCs w:val="24"/>
          <w:highlight w:val="none"/>
        </w:rPr>
        <w:t>副本可为正本的复印件，应与正本一致，如出现不一致情况以正本为准。</w:t>
      </w:r>
    </w:p>
    <w:p>
      <w:pPr>
        <w:spacing w:before="116" w:line="263" w:lineRule="auto"/>
        <w:ind w:left="4" w:right="98" w:firstLine="47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 xml:space="preserve">2.在响应文件正本中，询价采购文件第六篇响应文件格式中规定签字、盖章的地方必 </w:t>
      </w:r>
      <w:r>
        <w:rPr>
          <w:rFonts w:ascii="宋体" w:hAnsi="宋体" w:eastAsia="宋体" w:cs="宋体"/>
          <w:color w:val="auto"/>
          <w:spacing w:val="-2"/>
          <w:sz w:val="24"/>
          <w:szCs w:val="24"/>
          <w:highlight w:val="none"/>
        </w:rPr>
        <w:t>须按其规定签字、盖章。</w:t>
      </w:r>
    </w:p>
    <w:p>
      <w:pPr>
        <w:spacing w:before="112" w:line="192" w:lineRule="auto"/>
        <w:ind w:left="466"/>
        <w:outlineLvl w:val="9"/>
        <w:rPr>
          <w:rFonts w:ascii="微软雅黑" w:hAnsi="微软雅黑" w:eastAsia="微软雅黑" w:cs="微软雅黑"/>
          <w:color w:val="auto"/>
          <w:sz w:val="24"/>
          <w:szCs w:val="24"/>
          <w:highlight w:val="none"/>
        </w:rPr>
      </w:pPr>
      <w:bookmarkStart w:id="31" w:name="_Toc5211"/>
      <w:r>
        <w:rPr>
          <w:rFonts w:ascii="微软雅黑" w:hAnsi="微软雅黑" w:eastAsia="微软雅黑" w:cs="微软雅黑"/>
          <w:color w:val="auto"/>
          <w:sz w:val="24"/>
          <w:szCs w:val="24"/>
          <w:highlight w:val="none"/>
        </w:rPr>
        <w:t>（五）响应文件的递交</w:t>
      </w:r>
      <w:bookmarkEnd w:id="31"/>
    </w:p>
    <w:p>
      <w:pPr>
        <w:spacing w:before="72" w:line="220" w:lineRule="auto"/>
        <w:ind w:left="498"/>
        <w:outlineLvl w:val="9"/>
        <w:rPr>
          <w:rFonts w:ascii="宋体" w:hAnsi="宋体" w:eastAsia="宋体" w:cs="宋体"/>
          <w:color w:val="auto"/>
          <w:sz w:val="24"/>
          <w:szCs w:val="24"/>
          <w:highlight w:val="none"/>
        </w:rPr>
      </w:pPr>
      <w:bookmarkStart w:id="32" w:name="_Toc21020"/>
      <w:r>
        <w:rPr>
          <w:rFonts w:ascii="宋体" w:hAnsi="宋体" w:eastAsia="宋体" w:cs="宋体"/>
          <w:color w:val="auto"/>
          <w:spacing w:val="-3"/>
          <w:sz w:val="24"/>
          <w:szCs w:val="24"/>
          <w:highlight w:val="none"/>
        </w:rPr>
        <w:t>1.响应文件的密封与标记</w:t>
      </w:r>
      <w:bookmarkEnd w:id="32"/>
    </w:p>
    <w:p>
      <w:pPr>
        <w:spacing w:before="114" w:line="308" w:lineRule="auto"/>
        <w:ind w:firstLine="422"/>
        <w:rPr>
          <w:rFonts w:ascii="宋体" w:hAnsi="宋体" w:eastAsia="宋体" w:cs="宋体"/>
          <w:color w:val="auto"/>
          <w:sz w:val="24"/>
          <w:szCs w:val="24"/>
          <w:highlight w:val="none"/>
        </w:rPr>
      </w:pPr>
      <w:r>
        <w:rPr>
          <w:rFonts w:ascii="宋体" w:hAnsi="宋体" w:eastAsia="宋体" w:cs="宋体"/>
          <w:b/>
          <w:bCs/>
          <w:color w:val="auto"/>
          <w:spacing w:val="-27"/>
          <w:w w:val="94"/>
          <w:sz w:val="24"/>
          <w:szCs w:val="24"/>
          <w:highlight w:val="none"/>
          <w:u w:val="single" w:color="auto"/>
        </w:rPr>
        <w:t>响应文件的正本、副本、电子文档均应密封送达递交响应文件地</w:t>
      </w:r>
      <w:r>
        <w:rPr>
          <w:rFonts w:ascii="宋体" w:hAnsi="宋体" w:eastAsia="宋体" w:cs="宋体"/>
          <w:b/>
          <w:bCs/>
          <w:color w:val="auto"/>
          <w:spacing w:val="-27"/>
          <w:w w:val="94"/>
          <w:sz w:val="24"/>
          <w:szCs w:val="24"/>
          <w:highlight w:val="none"/>
        </w:rPr>
        <w:t>点</w:t>
      </w:r>
      <w:r>
        <w:rPr>
          <w:rFonts w:ascii="宋体" w:hAnsi="宋体" w:eastAsia="宋体" w:cs="宋体"/>
          <w:color w:val="auto"/>
          <w:spacing w:val="-27"/>
          <w:w w:val="94"/>
          <w:sz w:val="24"/>
          <w:szCs w:val="24"/>
          <w:highlight w:val="none"/>
        </w:rPr>
        <w:t>。</w:t>
      </w:r>
      <w:r>
        <w:rPr>
          <w:rFonts w:ascii="宋体" w:hAnsi="宋体" w:eastAsia="宋体" w:cs="宋体"/>
          <w:color w:val="auto"/>
          <w:spacing w:val="1"/>
          <w:sz w:val="24"/>
          <w:szCs w:val="24"/>
          <w:highlight w:val="none"/>
        </w:rPr>
        <w:t>信封上注明项目名称、分包号（若  有）、供应商名称和地址（若正本、副本分别进行密封的，还应在封套上注明“正本”、“副本”字样）。 信封封口处应加盖供应商公章或法人授权代表签字。</w:t>
      </w:r>
    </w:p>
    <w:p>
      <w:pPr>
        <w:spacing w:line="219" w:lineRule="auto"/>
        <w:ind w:left="483"/>
        <w:rPr>
          <w:rFonts w:ascii="宋体" w:hAnsi="宋体" w:eastAsia="宋体" w:cs="宋体"/>
          <w:color w:val="auto"/>
          <w:sz w:val="24"/>
          <w:szCs w:val="24"/>
          <w:highlight w:val="none"/>
        </w:rPr>
      </w:pPr>
      <w:r>
        <w:rPr>
          <w:rFonts w:ascii="宋体" w:hAnsi="宋体" w:eastAsia="宋体" w:cs="宋体"/>
          <w:color w:val="auto"/>
          <w:sz w:val="24"/>
          <w:szCs w:val="24"/>
          <w:highlight w:val="none"/>
        </w:rPr>
        <w:t>2.如果未按上述规定进行密封与标记的，采</w:t>
      </w:r>
      <w:r>
        <w:rPr>
          <w:rFonts w:ascii="宋体" w:hAnsi="宋体" w:eastAsia="宋体" w:cs="宋体"/>
          <w:color w:val="auto"/>
          <w:spacing w:val="-1"/>
          <w:sz w:val="24"/>
          <w:szCs w:val="24"/>
          <w:highlight w:val="none"/>
        </w:rPr>
        <w:t>购人将拒收其</w:t>
      </w:r>
      <w:r>
        <w:rPr>
          <w:rFonts w:hint="eastAsia" w:ascii="宋体" w:hAnsi="宋体" w:eastAsia="宋体" w:cs="宋体"/>
          <w:color w:val="auto"/>
          <w:spacing w:val="-1"/>
          <w:sz w:val="24"/>
          <w:szCs w:val="24"/>
          <w:highlight w:val="none"/>
          <w:lang w:val="en-US" w:eastAsia="zh-CN"/>
        </w:rPr>
        <w:t>响应文件</w:t>
      </w:r>
      <w:r>
        <w:rPr>
          <w:rFonts w:ascii="宋体" w:hAnsi="宋体" w:eastAsia="宋体" w:cs="宋体"/>
          <w:color w:val="auto"/>
          <w:spacing w:val="-1"/>
          <w:sz w:val="24"/>
          <w:szCs w:val="24"/>
          <w:highlight w:val="none"/>
        </w:rPr>
        <w:t>。</w:t>
      </w:r>
    </w:p>
    <w:p>
      <w:pPr>
        <w:spacing w:before="115" w:line="286" w:lineRule="auto"/>
        <w:ind w:right="34" w:firstLine="484"/>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3.响应文件投递截止时间：见询价通知书第一篇。供应商在提交响应文件截止时间前，</w:t>
      </w:r>
      <w:r>
        <w:rPr>
          <w:rFonts w:ascii="宋体" w:hAnsi="宋体" w:eastAsia="宋体" w:cs="宋体"/>
          <w:color w:val="auto"/>
          <w:spacing w:val="17"/>
          <w:sz w:val="24"/>
          <w:szCs w:val="24"/>
          <w:highlight w:val="none"/>
        </w:rPr>
        <w:t xml:space="preserve"> </w:t>
      </w:r>
      <w:r>
        <w:rPr>
          <w:rFonts w:ascii="宋体" w:hAnsi="宋体" w:eastAsia="宋体" w:cs="宋体"/>
          <w:color w:val="auto"/>
          <w:spacing w:val="2"/>
          <w:sz w:val="24"/>
          <w:szCs w:val="24"/>
          <w:highlight w:val="none"/>
        </w:rPr>
        <w:t>可以对所提交的响应文件进行补充、修改或者撤回，并书面通知采购人</w:t>
      </w:r>
      <w:r>
        <w:rPr>
          <w:rFonts w:ascii="宋体" w:hAnsi="宋体" w:eastAsia="宋体" w:cs="宋体"/>
          <w:color w:val="auto"/>
          <w:spacing w:val="1"/>
          <w:sz w:val="24"/>
          <w:szCs w:val="24"/>
          <w:highlight w:val="none"/>
        </w:rPr>
        <w:t>构。补充、修改的内容作为响应文件的组成部分。补充、修改的内容与响应文件不一致的，以</w:t>
      </w:r>
      <w:r>
        <w:rPr>
          <w:rFonts w:ascii="宋体" w:hAnsi="宋体" w:eastAsia="宋体" w:cs="宋体"/>
          <w:color w:val="auto"/>
          <w:spacing w:val="-1"/>
          <w:sz w:val="24"/>
          <w:szCs w:val="24"/>
          <w:highlight w:val="none"/>
        </w:rPr>
        <w:t>补充、修改的内容为准。</w:t>
      </w:r>
    </w:p>
    <w:p>
      <w:pPr>
        <w:spacing w:before="111" w:line="192" w:lineRule="auto"/>
        <w:ind w:left="466"/>
        <w:outlineLvl w:val="9"/>
        <w:rPr>
          <w:rFonts w:ascii="宋体" w:hAnsi="宋体" w:eastAsia="宋体" w:cs="宋体"/>
          <w:color w:val="auto"/>
          <w:sz w:val="24"/>
          <w:szCs w:val="24"/>
          <w:highlight w:val="none"/>
        </w:rPr>
      </w:pPr>
      <w:bookmarkStart w:id="33" w:name="_Toc5654"/>
      <w:r>
        <w:rPr>
          <w:rFonts w:ascii="微软雅黑" w:hAnsi="微软雅黑" w:eastAsia="微软雅黑" w:cs="微软雅黑"/>
          <w:color w:val="auto"/>
          <w:spacing w:val="-8"/>
          <w:sz w:val="24"/>
          <w:szCs w:val="24"/>
          <w:highlight w:val="none"/>
        </w:rPr>
        <w:t>（ 六</w:t>
      </w:r>
      <w:r>
        <w:rPr>
          <w:rFonts w:ascii="微软雅黑" w:hAnsi="微软雅黑" w:eastAsia="微软雅黑" w:cs="微软雅黑"/>
          <w:color w:val="auto"/>
          <w:spacing w:val="-18"/>
          <w:sz w:val="24"/>
          <w:szCs w:val="24"/>
          <w:highlight w:val="none"/>
        </w:rPr>
        <w:t xml:space="preserve"> </w:t>
      </w:r>
      <w:r>
        <w:rPr>
          <w:rFonts w:ascii="微软雅黑" w:hAnsi="微软雅黑" w:eastAsia="微软雅黑" w:cs="微软雅黑"/>
          <w:color w:val="auto"/>
          <w:spacing w:val="-8"/>
          <w:sz w:val="24"/>
          <w:szCs w:val="24"/>
          <w:highlight w:val="none"/>
        </w:rPr>
        <w:t>）响应文件语言：</w:t>
      </w:r>
      <w:r>
        <w:rPr>
          <w:rFonts w:ascii="宋体" w:hAnsi="宋体" w:eastAsia="宋体" w:cs="宋体"/>
          <w:color w:val="auto"/>
          <w:spacing w:val="-8"/>
          <w:sz w:val="24"/>
          <w:szCs w:val="24"/>
          <w:highlight w:val="none"/>
        </w:rPr>
        <w:t>简体中文</w:t>
      </w:r>
      <w:bookmarkEnd w:id="33"/>
    </w:p>
    <w:p>
      <w:pPr>
        <w:spacing w:before="72" w:line="192" w:lineRule="auto"/>
        <w:ind w:left="466"/>
        <w:outlineLvl w:val="9"/>
        <w:rPr>
          <w:rFonts w:ascii="微软雅黑" w:hAnsi="微软雅黑" w:eastAsia="微软雅黑" w:cs="微软雅黑"/>
          <w:color w:val="auto"/>
          <w:sz w:val="24"/>
          <w:szCs w:val="24"/>
          <w:highlight w:val="none"/>
        </w:rPr>
      </w:pPr>
      <w:bookmarkStart w:id="34" w:name="_Toc4323"/>
      <w:r>
        <w:rPr>
          <w:rFonts w:ascii="微软雅黑" w:hAnsi="微软雅黑" w:eastAsia="微软雅黑" w:cs="微软雅黑"/>
          <w:color w:val="auto"/>
          <w:spacing w:val="-9"/>
          <w:sz w:val="24"/>
          <w:szCs w:val="24"/>
          <w:highlight w:val="none"/>
        </w:rPr>
        <w:t>（</w:t>
      </w:r>
      <w:r>
        <w:rPr>
          <w:rFonts w:ascii="微软雅黑" w:hAnsi="微软雅黑" w:eastAsia="微软雅黑" w:cs="微软雅黑"/>
          <w:color w:val="auto"/>
          <w:spacing w:val="-21"/>
          <w:sz w:val="24"/>
          <w:szCs w:val="24"/>
          <w:highlight w:val="none"/>
        </w:rPr>
        <w:t xml:space="preserve"> </w:t>
      </w:r>
      <w:r>
        <w:rPr>
          <w:rFonts w:ascii="微软雅黑" w:hAnsi="微软雅黑" w:eastAsia="微软雅黑" w:cs="微软雅黑"/>
          <w:color w:val="auto"/>
          <w:spacing w:val="-9"/>
          <w:sz w:val="24"/>
          <w:szCs w:val="24"/>
          <w:highlight w:val="none"/>
        </w:rPr>
        <w:t>七</w:t>
      </w:r>
      <w:r>
        <w:rPr>
          <w:rFonts w:ascii="微软雅黑" w:hAnsi="微软雅黑" w:eastAsia="微软雅黑" w:cs="微软雅黑"/>
          <w:color w:val="auto"/>
          <w:spacing w:val="-27"/>
          <w:sz w:val="24"/>
          <w:szCs w:val="24"/>
          <w:highlight w:val="none"/>
        </w:rPr>
        <w:t xml:space="preserve"> </w:t>
      </w:r>
      <w:r>
        <w:rPr>
          <w:rFonts w:ascii="微软雅黑" w:hAnsi="微软雅黑" w:eastAsia="微软雅黑" w:cs="微软雅黑"/>
          <w:color w:val="auto"/>
          <w:spacing w:val="-9"/>
          <w:sz w:val="24"/>
          <w:szCs w:val="24"/>
          <w:highlight w:val="none"/>
        </w:rPr>
        <w:t>）供应商参与人员</w:t>
      </w:r>
      <w:bookmarkEnd w:id="34"/>
    </w:p>
    <w:p>
      <w:pPr>
        <w:spacing w:before="73" w:line="263" w:lineRule="auto"/>
        <w:ind w:right="98" w:firstLine="49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1.各个供应商参与询价的人员必须为法定代表人或具</w:t>
      </w:r>
      <w:r>
        <w:rPr>
          <w:rFonts w:ascii="宋体" w:hAnsi="宋体" w:eastAsia="宋体" w:cs="宋体"/>
          <w:color w:val="auto"/>
          <w:sz w:val="24"/>
          <w:szCs w:val="24"/>
          <w:highlight w:val="none"/>
        </w:rPr>
        <w:t xml:space="preserve">有法定代表人授权委托书的授权 </w:t>
      </w:r>
      <w:r>
        <w:rPr>
          <w:rFonts w:ascii="宋体" w:hAnsi="宋体" w:eastAsia="宋体" w:cs="宋体"/>
          <w:color w:val="auto"/>
          <w:spacing w:val="-1"/>
          <w:sz w:val="24"/>
          <w:szCs w:val="24"/>
          <w:highlight w:val="none"/>
        </w:rPr>
        <w:t>代表，除此之外，可再委派一名随从人员。</w:t>
      </w:r>
    </w:p>
    <w:p>
      <w:pPr>
        <w:spacing w:before="114" w:line="278" w:lineRule="auto"/>
        <w:ind w:right="98" w:firstLine="48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2.参与询价的供应商代表若为法定代表人时，必须携带法定代表人有效期内的身份证 原件；若为授权代表，必须携带授权代表有效期内的身份证原件。随从人员必须携带响应</w:t>
      </w:r>
      <w:r>
        <w:rPr>
          <w:rFonts w:ascii="宋体" w:hAnsi="宋体" w:eastAsia="宋体" w:cs="宋体"/>
          <w:color w:val="auto"/>
          <w:spacing w:val="3"/>
          <w:sz w:val="24"/>
          <w:szCs w:val="24"/>
          <w:highlight w:val="none"/>
        </w:rPr>
        <w:t xml:space="preserve"> </w:t>
      </w:r>
      <w:r>
        <w:rPr>
          <w:rFonts w:ascii="宋体" w:hAnsi="宋体" w:eastAsia="宋体" w:cs="宋体"/>
          <w:color w:val="auto"/>
          <w:spacing w:val="1"/>
          <w:sz w:val="24"/>
          <w:szCs w:val="24"/>
          <w:highlight w:val="none"/>
        </w:rPr>
        <w:t>供应商有效期内的介绍信。上述人员中随从人员未携带有效期内的介绍信，根据现场工作</w:t>
      </w:r>
    </w:p>
    <w:p>
      <w:pPr>
        <w:spacing w:line="278" w:lineRule="auto"/>
        <w:rPr>
          <w:rFonts w:ascii="宋体" w:hAnsi="宋体" w:eastAsia="宋体" w:cs="宋体"/>
          <w:color w:val="auto"/>
          <w:sz w:val="24"/>
          <w:szCs w:val="24"/>
          <w:highlight w:val="none"/>
        </w:rPr>
        <w:sectPr>
          <w:footerReference r:id="rId12" w:type="default"/>
          <w:pgSz w:w="11907" w:h="16840"/>
          <w:pgMar w:top="1323" w:right="1093" w:bottom="1221" w:left="1311" w:header="0" w:footer="853" w:gutter="0"/>
          <w:pgNumType w:fmt="decimal"/>
          <w:cols w:space="720" w:num="1"/>
        </w:sectPr>
      </w:pPr>
    </w:p>
    <w:p>
      <w:pPr>
        <w:spacing w:before="48" w:line="307" w:lineRule="auto"/>
        <w:ind w:left="6" w:hanging="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 xml:space="preserve">人员安排到指定地点休息；法定代表人或授权代表未携带有效期内的身份证原件，无法核 </w:t>
      </w:r>
      <w:r>
        <w:rPr>
          <w:rFonts w:ascii="宋体" w:hAnsi="宋体" w:eastAsia="宋体" w:cs="宋体"/>
          <w:color w:val="auto"/>
          <w:spacing w:val="-2"/>
          <w:sz w:val="24"/>
          <w:szCs w:val="24"/>
          <w:highlight w:val="none"/>
        </w:rPr>
        <w:t>实身份，其参与询价活动无效。</w:t>
      </w:r>
    </w:p>
    <w:p>
      <w:pPr>
        <w:spacing w:line="192" w:lineRule="auto"/>
        <w:ind w:left="467"/>
        <w:outlineLvl w:val="9"/>
        <w:rPr>
          <w:rFonts w:ascii="微软雅黑" w:hAnsi="微软雅黑" w:eastAsia="微软雅黑" w:cs="微软雅黑"/>
          <w:color w:val="auto"/>
          <w:sz w:val="24"/>
          <w:szCs w:val="24"/>
          <w:highlight w:val="none"/>
        </w:rPr>
      </w:pPr>
      <w:bookmarkStart w:id="35" w:name="_Toc20737"/>
      <w:r>
        <w:rPr>
          <w:rFonts w:ascii="微软雅黑" w:hAnsi="微软雅黑" w:eastAsia="微软雅黑" w:cs="微软雅黑"/>
          <w:color w:val="auto"/>
          <w:spacing w:val="-13"/>
          <w:sz w:val="24"/>
          <w:szCs w:val="24"/>
          <w:highlight w:val="none"/>
        </w:rPr>
        <w:t>（</w:t>
      </w:r>
      <w:r>
        <w:rPr>
          <w:rFonts w:ascii="微软雅黑" w:hAnsi="微软雅黑" w:eastAsia="微软雅黑" w:cs="微软雅黑"/>
          <w:color w:val="auto"/>
          <w:spacing w:val="-20"/>
          <w:sz w:val="24"/>
          <w:szCs w:val="24"/>
          <w:highlight w:val="none"/>
        </w:rPr>
        <w:t xml:space="preserve"> </w:t>
      </w:r>
      <w:r>
        <w:rPr>
          <w:rFonts w:ascii="微软雅黑" w:hAnsi="微软雅黑" w:eastAsia="微软雅黑" w:cs="微软雅黑"/>
          <w:color w:val="auto"/>
          <w:spacing w:val="-13"/>
          <w:sz w:val="24"/>
          <w:szCs w:val="24"/>
          <w:highlight w:val="none"/>
        </w:rPr>
        <w:t>八</w:t>
      </w:r>
      <w:r>
        <w:rPr>
          <w:rFonts w:ascii="微软雅黑" w:hAnsi="微软雅黑" w:eastAsia="微软雅黑" w:cs="微软雅黑"/>
          <w:color w:val="auto"/>
          <w:spacing w:val="-27"/>
          <w:sz w:val="24"/>
          <w:szCs w:val="24"/>
          <w:highlight w:val="none"/>
        </w:rPr>
        <w:t xml:space="preserve"> </w:t>
      </w:r>
      <w:r>
        <w:rPr>
          <w:rFonts w:ascii="微软雅黑" w:hAnsi="微软雅黑" w:eastAsia="微软雅黑" w:cs="微软雅黑"/>
          <w:color w:val="auto"/>
          <w:spacing w:val="-13"/>
          <w:sz w:val="24"/>
          <w:szCs w:val="24"/>
          <w:highlight w:val="none"/>
        </w:rPr>
        <w:t>）无效响应</w:t>
      </w:r>
      <w:bookmarkEnd w:id="35"/>
    </w:p>
    <w:p>
      <w:pPr>
        <w:spacing w:before="72" w:line="219" w:lineRule="auto"/>
        <w:ind w:left="481"/>
        <w:rPr>
          <w:rFonts w:ascii="宋体" w:hAnsi="宋体" w:eastAsia="宋体" w:cs="宋体"/>
          <w:color w:val="auto"/>
          <w:sz w:val="24"/>
          <w:szCs w:val="24"/>
          <w:highlight w:val="none"/>
        </w:rPr>
      </w:pPr>
      <w:r>
        <w:rPr>
          <w:rFonts w:ascii="宋体" w:hAnsi="宋体" w:eastAsia="宋体" w:cs="宋体"/>
          <w:color w:val="auto"/>
          <w:sz w:val="24"/>
          <w:szCs w:val="24"/>
          <w:highlight w:val="none"/>
        </w:rPr>
        <w:t>供应商发生以下条款情况之一者，视为无效响应</w:t>
      </w:r>
      <w:r>
        <w:rPr>
          <w:rFonts w:ascii="宋体" w:hAnsi="宋体" w:eastAsia="宋体" w:cs="宋体"/>
          <w:color w:val="auto"/>
          <w:spacing w:val="-1"/>
          <w:sz w:val="24"/>
          <w:szCs w:val="24"/>
          <w:highlight w:val="none"/>
        </w:rPr>
        <w:t>，其响应文件将被拒绝：</w:t>
      </w:r>
    </w:p>
    <w:p>
      <w:pPr>
        <w:spacing w:before="113" w:line="219" w:lineRule="auto"/>
        <w:ind w:left="49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1.供应商不符合规定的基本资格条件或特定资格条件的或未通过符合性检查的；</w:t>
      </w:r>
    </w:p>
    <w:p>
      <w:pPr>
        <w:spacing w:before="115" w:line="219" w:lineRule="auto"/>
        <w:ind w:left="48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2.供应商的法定代表人或其授权代表未参加询价；</w:t>
      </w:r>
    </w:p>
    <w:p>
      <w:pPr>
        <w:spacing w:before="116" w:line="219" w:lineRule="auto"/>
        <w:ind w:left="48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3.供应商未按照询价通知书的要求缴纳保证金的；</w:t>
      </w:r>
    </w:p>
    <w:p>
      <w:pPr>
        <w:spacing w:before="114" w:line="219" w:lineRule="auto"/>
        <w:ind w:left="48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4.供应商所提交的响应文件不按规定签字、盖章的；</w:t>
      </w:r>
    </w:p>
    <w:p>
      <w:pPr>
        <w:spacing w:before="117" w:line="263" w:lineRule="auto"/>
        <w:ind w:left="2" w:firstLine="48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5.供应商的报价超过采购预算或者最高限价的（若有采购预算单价，则含采购预算单</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价）的；</w:t>
      </w:r>
    </w:p>
    <w:p>
      <w:pPr>
        <w:spacing w:before="115" w:line="264" w:lineRule="auto"/>
        <w:ind w:left="21" w:firstLine="46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6.供应商响应文件内容有与国家现行法律法规相违背的内容，或附有采购人无法接受</w:t>
      </w:r>
      <w:r>
        <w:rPr>
          <w:rFonts w:ascii="宋体" w:hAnsi="宋体" w:eastAsia="宋体" w:cs="宋体"/>
          <w:color w:val="auto"/>
          <w:spacing w:val="2"/>
          <w:sz w:val="24"/>
          <w:szCs w:val="24"/>
          <w:highlight w:val="none"/>
        </w:rPr>
        <w:t xml:space="preserve"> </w:t>
      </w:r>
      <w:r>
        <w:rPr>
          <w:rFonts w:ascii="宋体" w:hAnsi="宋体" w:eastAsia="宋体" w:cs="宋体"/>
          <w:color w:val="auto"/>
          <w:spacing w:val="-6"/>
          <w:sz w:val="24"/>
          <w:szCs w:val="24"/>
          <w:highlight w:val="none"/>
        </w:rPr>
        <w:t>的条件的；</w:t>
      </w:r>
    </w:p>
    <w:p>
      <w:pPr>
        <w:spacing w:before="114" w:line="263" w:lineRule="auto"/>
        <w:ind w:firstLine="48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7.单位负责人为同一人或者存在直接控股、管理关系的不同供应商，不得再参加</w:t>
      </w:r>
      <w:r>
        <w:rPr>
          <w:rFonts w:ascii="宋体" w:hAnsi="宋体" w:eastAsia="宋体" w:cs="宋体"/>
          <w:color w:val="auto"/>
          <w:sz w:val="24"/>
          <w:szCs w:val="24"/>
          <w:highlight w:val="none"/>
        </w:rPr>
        <w:t xml:space="preserve">该采 </w:t>
      </w:r>
      <w:r>
        <w:rPr>
          <w:rFonts w:ascii="宋体" w:hAnsi="宋体" w:eastAsia="宋体" w:cs="宋体"/>
          <w:color w:val="auto"/>
          <w:spacing w:val="-1"/>
          <w:sz w:val="24"/>
          <w:szCs w:val="24"/>
          <w:highlight w:val="none"/>
        </w:rPr>
        <w:t>购项目的其他采购活动；</w:t>
      </w:r>
    </w:p>
    <w:p>
      <w:pPr>
        <w:spacing w:before="115" w:line="264" w:lineRule="auto"/>
        <w:ind w:left="3" w:firstLine="47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8.为采购项目提供整体设计、规范编制或者项目管理、监理、检测等服务的供应商再</w:t>
      </w:r>
      <w:r>
        <w:rPr>
          <w:rFonts w:ascii="宋体" w:hAnsi="宋体" w:eastAsia="宋体" w:cs="宋体"/>
          <w:color w:val="auto"/>
          <w:spacing w:val="3"/>
          <w:sz w:val="24"/>
          <w:szCs w:val="24"/>
          <w:highlight w:val="none"/>
        </w:rPr>
        <w:t xml:space="preserve"> </w:t>
      </w:r>
      <w:r>
        <w:rPr>
          <w:rFonts w:ascii="宋体" w:hAnsi="宋体" w:eastAsia="宋体" w:cs="宋体"/>
          <w:color w:val="auto"/>
          <w:spacing w:val="-1"/>
          <w:sz w:val="24"/>
          <w:szCs w:val="24"/>
          <w:highlight w:val="none"/>
        </w:rPr>
        <w:t>参加本项目的采购活动的；</w:t>
      </w:r>
    </w:p>
    <w:p>
      <w:pPr>
        <w:spacing w:before="114" w:line="219" w:lineRule="auto"/>
        <w:ind w:left="48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9.供应商串通响应本项目的；</w:t>
      </w:r>
    </w:p>
    <w:p>
      <w:pPr>
        <w:spacing w:before="116" w:line="219" w:lineRule="auto"/>
        <w:ind w:left="49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10.供应商组成联合体响应的（拒绝联合体响</w:t>
      </w:r>
      <w:r>
        <w:rPr>
          <w:rFonts w:ascii="宋体" w:hAnsi="宋体" w:eastAsia="宋体" w:cs="宋体"/>
          <w:color w:val="auto"/>
          <w:spacing w:val="-2"/>
          <w:sz w:val="24"/>
          <w:szCs w:val="24"/>
          <w:highlight w:val="none"/>
        </w:rPr>
        <w:t>应时适用</w:t>
      </w:r>
      <w:r>
        <w:rPr>
          <w:rFonts w:ascii="宋体" w:hAnsi="宋体" w:eastAsia="宋体" w:cs="宋体"/>
          <w:color w:val="auto"/>
          <w:sz w:val="24"/>
          <w:szCs w:val="24"/>
          <w:highlight w:val="none"/>
        </w:rPr>
        <w:t>）；</w:t>
      </w:r>
    </w:p>
    <w:p>
      <w:pPr>
        <w:spacing w:before="115" w:line="219" w:lineRule="auto"/>
        <w:ind w:left="49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11.法律、法规和询价通知书规定的其他</w:t>
      </w:r>
      <w:r>
        <w:rPr>
          <w:rFonts w:ascii="宋体" w:hAnsi="宋体" w:eastAsia="宋体" w:cs="宋体"/>
          <w:color w:val="auto"/>
          <w:spacing w:val="-2"/>
          <w:sz w:val="24"/>
          <w:szCs w:val="24"/>
          <w:highlight w:val="none"/>
        </w:rPr>
        <w:t>无效情形。</w:t>
      </w:r>
    </w:p>
    <w:p>
      <w:pPr>
        <w:spacing w:before="113" w:line="192" w:lineRule="auto"/>
        <w:ind w:left="467"/>
        <w:outlineLvl w:val="9"/>
        <w:rPr>
          <w:rFonts w:ascii="微软雅黑" w:hAnsi="微软雅黑" w:eastAsia="微软雅黑" w:cs="微软雅黑"/>
          <w:color w:val="auto"/>
          <w:sz w:val="24"/>
          <w:szCs w:val="24"/>
          <w:highlight w:val="none"/>
        </w:rPr>
      </w:pPr>
      <w:bookmarkStart w:id="36" w:name="_Toc12555"/>
      <w:r>
        <w:rPr>
          <w:rFonts w:ascii="微软雅黑" w:hAnsi="微软雅黑" w:eastAsia="微软雅黑" w:cs="微软雅黑"/>
          <w:color w:val="auto"/>
          <w:sz w:val="24"/>
          <w:szCs w:val="24"/>
          <w:highlight w:val="none"/>
        </w:rPr>
        <w:t>（九）终止采购活动</w:t>
      </w:r>
      <w:bookmarkEnd w:id="36"/>
    </w:p>
    <w:p>
      <w:pPr>
        <w:spacing w:before="74" w:line="307" w:lineRule="auto"/>
        <w:ind w:left="2" w:firstLine="49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出现下列情形之一的，采购人</w:t>
      </w:r>
      <w:r>
        <w:rPr>
          <w:rFonts w:ascii="宋体" w:hAnsi="宋体" w:eastAsia="宋体" w:cs="宋体"/>
          <w:color w:val="auto"/>
          <w:sz w:val="24"/>
          <w:szCs w:val="24"/>
          <w:highlight w:val="none"/>
        </w:rPr>
        <w:t xml:space="preserve">应当终止询价采购活动，发布项目终 </w:t>
      </w:r>
      <w:r>
        <w:rPr>
          <w:rFonts w:ascii="宋体" w:hAnsi="宋体" w:eastAsia="宋体" w:cs="宋体"/>
          <w:color w:val="auto"/>
          <w:spacing w:val="-1"/>
          <w:sz w:val="24"/>
          <w:szCs w:val="24"/>
          <w:highlight w:val="none"/>
        </w:rPr>
        <w:t>止公告并说明原因，重新开展采购活动：</w:t>
      </w:r>
    </w:p>
    <w:p>
      <w:pPr>
        <w:spacing w:before="1" w:line="218" w:lineRule="auto"/>
        <w:ind w:left="49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1.符合专业条件的供应商或者对询价通知书作实质响应的供应商不足三家的；</w:t>
      </w:r>
    </w:p>
    <w:p>
      <w:pPr>
        <w:spacing w:before="116" w:line="219" w:lineRule="auto"/>
        <w:ind w:left="48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2.供应商的报价均超过了采购预算，采购人不能支付的；</w:t>
      </w:r>
    </w:p>
    <w:p>
      <w:pPr>
        <w:spacing w:before="117" w:line="219" w:lineRule="auto"/>
        <w:ind w:left="48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3.出现影响采购公正的违法、违规行为的；</w:t>
      </w:r>
    </w:p>
    <w:p>
      <w:pPr>
        <w:spacing w:before="112" w:line="219" w:lineRule="auto"/>
        <w:ind w:left="48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4.因情况变化，不在符合规定的询价采购方式适用情形的。</w:t>
      </w:r>
    </w:p>
    <w:p>
      <w:pPr>
        <w:spacing w:before="118" w:line="219" w:lineRule="auto"/>
        <w:ind w:left="60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终止采购活动后，除采购任务取消情形外，应当重新组织采购。</w:t>
      </w:r>
    </w:p>
    <w:p>
      <w:pPr>
        <w:spacing w:before="105" w:line="242" w:lineRule="auto"/>
        <w:ind w:left="500"/>
        <w:outlineLvl w:val="1"/>
        <w:rPr>
          <w:rFonts w:ascii="黑体" w:hAnsi="黑体" w:eastAsia="黑体" w:cs="黑体"/>
          <w:color w:val="auto"/>
          <w:sz w:val="24"/>
          <w:szCs w:val="24"/>
          <w:highlight w:val="none"/>
        </w:rPr>
      </w:pPr>
      <w:bookmarkStart w:id="37" w:name="_Toc23023"/>
      <w:r>
        <w:rPr>
          <w:rFonts w:ascii="黑体" w:hAnsi="黑体" w:eastAsia="黑体" w:cs="黑体"/>
          <w:color w:val="auto"/>
          <w:spacing w:val="-3"/>
          <w:sz w:val="24"/>
          <w:szCs w:val="24"/>
          <w:highlight w:val="none"/>
        </w:rPr>
        <w:t>四、询价程序及成交标准</w:t>
      </w:r>
      <w:bookmarkEnd w:id="37"/>
    </w:p>
    <w:p>
      <w:pPr>
        <w:spacing w:before="93" w:line="228" w:lineRule="auto"/>
        <w:ind w:left="3" w:firstLine="290"/>
        <w:rPr>
          <w:rFonts w:ascii="宋体" w:hAnsi="宋体" w:eastAsia="宋体" w:cs="宋体"/>
          <w:color w:val="auto"/>
          <w:sz w:val="24"/>
          <w:szCs w:val="24"/>
          <w:highlight w:val="none"/>
        </w:rPr>
      </w:pPr>
      <w:r>
        <w:rPr>
          <w:rFonts w:ascii="微软雅黑" w:hAnsi="微软雅黑" w:eastAsia="微软雅黑" w:cs="微软雅黑"/>
          <w:color w:val="auto"/>
          <w:spacing w:val="-15"/>
          <w:w w:val="96"/>
          <w:sz w:val="24"/>
          <w:szCs w:val="24"/>
          <w:highlight w:val="none"/>
        </w:rPr>
        <w:t>（一</w:t>
      </w:r>
      <w:r>
        <w:rPr>
          <w:rFonts w:ascii="微软雅黑" w:hAnsi="微软雅黑" w:eastAsia="微软雅黑" w:cs="微软雅黑"/>
          <w:color w:val="auto"/>
          <w:spacing w:val="-14"/>
          <w:w w:val="96"/>
          <w:sz w:val="24"/>
          <w:szCs w:val="24"/>
          <w:highlight w:val="none"/>
        </w:rPr>
        <w:t>）本项目询价按照询价通知书规定的时间和地点进行。</w:t>
      </w:r>
      <w:r>
        <w:rPr>
          <w:rFonts w:ascii="宋体" w:hAnsi="宋体" w:eastAsia="宋体" w:cs="宋体"/>
          <w:color w:val="auto"/>
          <w:spacing w:val="-14"/>
          <w:w w:val="96"/>
          <w:sz w:val="24"/>
          <w:szCs w:val="24"/>
          <w:highlight w:val="none"/>
        </w:rPr>
        <w:t>供应商须有法定代表人或其授权代</w:t>
      </w:r>
      <w:r>
        <w:rPr>
          <w:rFonts w:ascii="宋体" w:hAnsi="宋体" w:eastAsia="宋体" w:cs="宋体"/>
          <w:color w:val="auto"/>
          <w:spacing w:val="-12"/>
          <w:w w:val="96"/>
          <w:sz w:val="24"/>
          <w:szCs w:val="24"/>
          <w:highlight w:val="none"/>
        </w:rPr>
        <w:t>表</w:t>
      </w:r>
      <w:r>
        <w:rPr>
          <w:rFonts w:ascii="宋体" w:hAnsi="宋体" w:eastAsia="宋体" w:cs="宋体"/>
          <w:color w:val="auto"/>
          <w:spacing w:val="21"/>
          <w:sz w:val="24"/>
          <w:szCs w:val="24"/>
          <w:highlight w:val="none"/>
        </w:rPr>
        <w:t xml:space="preserve"> </w:t>
      </w:r>
      <w:r>
        <w:rPr>
          <w:rFonts w:ascii="宋体" w:hAnsi="宋体" w:eastAsia="宋体" w:cs="宋体"/>
          <w:color w:val="auto"/>
          <w:spacing w:val="-2"/>
          <w:sz w:val="24"/>
          <w:szCs w:val="24"/>
          <w:highlight w:val="none"/>
        </w:rPr>
        <w:t>参加并签到。</w:t>
      </w:r>
    </w:p>
    <w:p>
      <w:pPr>
        <w:spacing w:before="112" w:line="192" w:lineRule="auto"/>
        <w:ind w:left="294"/>
        <w:rPr>
          <w:rFonts w:ascii="微软雅黑" w:hAnsi="微软雅黑" w:eastAsia="微软雅黑" w:cs="微软雅黑"/>
          <w:color w:val="auto"/>
          <w:sz w:val="24"/>
          <w:szCs w:val="24"/>
          <w:highlight w:val="none"/>
        </w:rPr>
      </w:pPr>
      <w:r>
        <w:rPr>
          <w:rFonts w:ascii="微软雅黑" w:hAnsi="微软雅黑" w:eastAsia="微软雅黑" w:cs="微软雅黑"/>
          <w:color w:val="auto"/>
          <w:spacing w:val="-12"/>
          <w:w w:val="91"/>
          <w:sz w:val="24"/>
          <w:szCs w:val="24"/>
          <w:highlight w:val="none"/>
        </w:rPr>
        <w:t>（二）询价小组由评审成员3人组成。</w:t>
      </w:r>
    </w:p>
    <w:p>
      <w:pPr>
        <w:spacing w:before="71" w:line="192" w:lineRule="auto"/>
        <w:ind w:left="294"/>
        <w:outlineLvl w:val="9"/>
        <w:rPr>
          <w:rFonts w:ascii="微软雅黑" w:hAnsi="微软雅黑" w:eastAsia="微软雅黑" w:cs="微软雅黑"/>
          <w:color w:val="auto"/>
          <w:sz w:val="24"/>
          <w:szCs w:val="24"/>
          <w:highlight w:val="none"/>
        </w:rPr>
      </w:pPr>
      <w:bookmarkStart w:id="38" w:name="_Toc17837"/>
      <w:r>
        <w:rPr>
          <w:rFonts w:ascii="微软雅黑" w:hAnsi="微软雅黑" w:eastAsia="微软雅黑" w:cs="微软雅黑"/>
          <w:color w:val="auto"/>
          <w:spacing w:val="-11"/>
          <w:w w:val="92"/>
          <w:sz w:val="24"/>
          <w:szCs w:val="24"/>
          <w:highlight w:val="none"/>
        </w:rPr>
        <w:t>（三）资格性符合性检查</w:t>
      </w:r>
      <w:bookmarkEnd w:id="38"/>
    </w:p>
    <w:p>
      <w:pPr>
        <w:spacing w:before="71" w:line="310" w:lineRule="auto"/>
        <w:ind w:left="3" w:firstLine="49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1.资格性检查。依据法律法规和询价通知书的规定，</w:t>
      </w:r>
      <w:r>
        <w:rPr>
          <w:rFonts w:ascii="宋体" w:hAnsi="宋体" w:eastAsia="宋体" w:cs="宋体"/>
          <w:color w:val="auto"/>
          <w:sz w:val="24"/>
          <w:szCs w:val="24"/>
          <w:highlight w:val="none"/>
        </w:rPr>
        <w:t>对响应文件中的资格证明、保证 金等进行审查，以确定供应商是否具备询价资</w:t>
      </w:r>
      <w:r>
        <w:rPr>
          <w:rFonts w:ascii="宋体" w:hAnsi="宋体" w:eastAsia="宋体" w:cs="宋体"/>
          <w:color w:val="auto"/>
          <w:spacing w:val="-1"/>
          <w:sz w:val="24"/>
          <w:szCs w:val="24"/>
          <w:highlight w:val="none"/>
        </w:rPr>
        <w:t>格。资格性检查资料表如下：</w:t>
      </w:r>
    </w:p>
    <w:p>
      <w:pPr>
        <w:spacing w:line="310" w:lineRule="auto"/>
        <w:rPr>
          <w:rFonts w:ascii="宋体" w:hAnsi="宋体" w:eastAsia="宋体" w:cs="宋体"/>
          <w:color w:val="auto"/>
          <w:sz w:val="24"/>
          <w:szCs w:val="24"/>
          <w:highlight w:val="none"/>
        </w:rPr>
        <w:sectPr>
          <w:footerReference r:id="rId13" w:type="default"/>
          <w:pgSz w:w="11907" w:h="16840"/>
          <w:pgMar w:top="1323" w:right="1190" w:bottom="1127" w:left="1310" w:header="0" w:footer="878" w:gutter="0"/>
          <w:pgNumType w:fmt="decimal"/>
          <w:cols w:space="720" w:num="1"/>
          <w:titlePg/>
        </w:sectPr>
      </w:pPr>
    </w:p>
    <w:tbl>
      <w:tblPr>
        <w:tblStyle w:val="15"/>
        <w:tblW w:w="9512" w:type="dxa"/>
        <w:tblInd w:w="19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9"/>
        <w:gridCol w:w="494"/>
        <w:gridCol w:w="4663"/>
        <w:gridCol w:w="35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769" w:type="dxa"/>
            <w:vAlign w:val="top"/>
          </w:tcPr>
          <w:p>
            <w:pPr>
              <w:pStyle w:val="16"/>
              <w:spacing w:before="91" w:line="230" w:lineRule="auto"/>
              <w:ind w:left="179"/>
              <w:rPr>
                <w:color w:val="auto"/>
                <w:highlight w:val="none"/>
              </w:rPr>
            </w:pPr>
            <w:r>
              <w:rPr>
                <w:b/>
                <w:bCs/>
                <w:color w:val="auto"/>
                <w:spacing w:val="4"/>
                <w:highlight w:val="none"/>
              </w:rPr>
              <w:t>序号</w:t>
            </w:r>
          </w:p>
        </w:tc>
        <w:tc>
          <w:tcPr>
            <w:tcW w:w="5157" w:type="dxa"/>
            <w:gridSpan w:val="2"/>
            <w:vAlign w:val="top"/>
          </w:tcPr>
          <w:p>
            <w:pPr>
              <w:pStyle w:val="16"/>
              <w:spacing w:before="92" w:line="228" w:lineRule="auto"/>
              <w:ind w:left="2161"/>
              <w:rPr>
                <w:color w:val="auto"/>
                <w:highlight w:val="none"/>
              </w:rPr>
            </w:pPr>
            <w:r>
              <w:rPr>
                <w:b/>
                <w:bCs/>
                <w:color w:val="auto"/>
                <w:spacing w:val="6"/>
                <w:highlight w:val="none"/>
              </w:rPr>
              <w:t>检查因素</w:t>
            </w:r>
          </w:p>
        </w:tc>
        <w:tc>
          <w:tcPr>
            <w:tcW w:w="3586" w:type="dxa"/>
            <w:vAlign w:val="top"/>
          </w:tcPr>
          <w:p>
            <w:pPr>
              <w:pStyle w:val="16"/>
              <w:spacing w:before="92" w:line="228" w:lineRule="auto"/>
              <w:ind w:left="1377"/>
              <w:rPr>
                <w:color w:val="auto"/>
                <w:highlight w:val="none"/>
              </w:rPr>
            </w:pPr>
            <w:r>
              <w:rPr>
                <w:b/>
                <w:bCs/>
                <w:color w:val="auto"/>
                <w:spacing w:val="6"/>
                <w:highlight w:val="none"/>
              </w:rPr>
              <w:t>检查内容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4" w:hRule="atLeast"/>
        </w:trPr>
        <w:tc>
          <w:tcPr>
            <w:tcW w:w="769" w:type="dxa"/>
            <w:vMerge w:val="restart"/>
            <w:tcBorders>
              <w:bottom w:val="nil"/>
            </w:tcBorders>
            <w:vAlign w:val="top"/>
          </w:tcPr>
          <w:p>
            <w:pPr>
              <w:spacing w:line="249" w:lineRule="auto"/>
              <w:rPr>
                <w:rFonts w:ascii="Arial"/>
                <w:color w:val="auto"/>
                <w:sz w:val="21"/>
                <w:highlight w:val="none"/>
              </w:rPr>
            </w:pPr>
          </w:p>
          <w:p>
            <w:pPr>
              <w:spacing w:line="249" w:lineRule="auto"/>
              <w:rPr>
                <w:rFonts w:ascii="Arial"/>
                <w:color w:val="auto"/>
                <w:sz w:val="21"/>
                <w:highlight w:val="none"/>
              </w:rPr>
            </w:pPr>
          </w:p>
          <w:p>
            <w:pPr>
              <w:spacing w:line="250" w:lineRule="auto"/>
              <w:rPr>
                <w:rFonts w:ascii="Arial"/>
                <w:color w:val="auto"/>
                <w:sz w:val="21"/>
                <w:highlight w:val="none"/>
              </w:rPr>
            </w:pPr>
          </w:p>
          <w:p>
            <w:pPr>
              <w:spacing w:line="250" w:lineRule="auto"/>
              <w:rPr>
                <w:rFonts w:ascii="Arial"/>
                <w:color w:val="auto"/>
                <w:sz w:val="21"/>
                <w:highlight w:val="none"/>
              </w:rPr>
            </w:pPr>
          </w:p>
          <w:p>
            <w:pPr>
              <w:spacing w:line="250" w:lineRule="auto"/>
              <w:rPr>
                <w:rFonts w:ascii="Arial"/>
                <w:color w:val="auto"/>
                <w:sz w:val="21"/>
                <w:highlight w:val="none"/>
              </w:rPr>
            </w:pPr>
          </w:p>
          <w:p>
            <w:pPr>
              <w:spacing w:line="250" w:lineRule="auto"/>
              <w:rPr>
                <w:rFonts w:ascii="Arial"/>
                <w:color w:val="auto"/>
                <w:sz w:val="21"/>
                <w:highlight w:val="none"/>
              </w:rPr>
            </w:pPr>
          </w:p>
          <w:p>
            <w:pPr>
              <w:spacing w:line="250" w:lineRule="auto"/>
              <w:rPr>
                <w:rFonts w:ascii="Arial"/>
                <w:color w:val="auto"/>
                <w:sz w:val="21"/>
                <w:highlight w:val="none"/>
              </w:rPr>
            </w:pPr>
          </w:p>
          <w:p>
            <w:pPr>
              <w:spacing w:line="250" w:lineRule="auto"/>
              <w:rPr>
                <w:rFonts w:ascii="Arial"/>
                <w:color w:val="auto"/>
                <w:sz w:val="21"/>
                <w:highlight w:val="none"/>
              </w:rPr>
            </w:pPr>
          </w:p>
          <w:p>
            <w:pPr>
              <w:pStyle w:val="16"/>
              <w:spacing w:before="65" w:line="271" w:lineRule="exact"/>
              <w:ind w:left="353"/>
              <w:rPr>
                <w:color w:val="auto"/>
                <w:highlight w:val="none"/>
              </w:rPr>
            </w:pPr>
            <w:r>
              <w:rPr>
                <w:color w:val="auto"/>
                <w:position w:val="1"/>
                <w:highlight w:val="none"/>
              </w:rPr>
              <w:t>1</w:t>
            </w:r>
          </w:p>
        </w:tc>
        <w:tc>
          <w:tcPr>
            <w:tcW w:w="494" w:type="dxa"/>
            <w:vMerge w:val="restart"/>
            <w:tcBorders>
              <w:bottom w:val="nil"/>
            </w:tcBorders>
            <w:textDirection w:val="tbRlV"/>
            <w:vAlign w:val="top"/>
          </w:tcPr>
          <w:p>
            <w:pPr>
              <w:pStyle w:val="16"/>
              <w:spacing w:before="142" w:line="216" w:lineRule="auto"/>
              <w:ind w:left="1115"/>
              <w:rPr>
                <w:color w:val="auto"/>
                <w:highlight w:val="none"/>
              </w:rPr>
            </w:pPr>
            <w:r>
              <w:rPr>
                <w:color w:val="auto"/>
                <w:spacing w:val="36"/>
                <w:highlight w:val="none"/>
              </w:rPr>
              <w:t>供应商基本资格条件</w:t>
            </w:r>
          </w:p>
        </w:tc>
        <w:tc>
          <w:tcPr>
            <w:tcW w:w="4663" w:type="dxa"/>
            <w:vAlign w:val="top"/>
          </w:tcPr>
          <w:p>
            <w:pPr>
              <w:spacing w:line="300" w:lineRule="auto"/>
              <w:rPr>
                <w:rFonts w:ascii="Arial"/>
                <w:color w:val="auto"/>
                <w:sz w:val="21"/>
                <w:highlight w:val="none"/>
              </w:rPr>
            </w:pPr>
          </w:p>
          <w:p>
            <w:pPr>
              <w:spacing w:line="301" w:lineRule="auto"/>
              <w:rPr>
                <w:rFonts w:ascii="Arial"/>
                <w:color w:val="auto"/>
                <w:sz w:val="21"/>
                <w:highlight w:val="none"/>
              </w:rPr>
            </w:pPr>
          </w:p>
          <w:p>
            <w:pPr>
              <w:pStyle w:val="16"/>
              <w:spacing w:before="65" w:line="228" w:lineRule="auto"/>
              <w:ind w:left="122"/>
              <w:rPr>
                <w:color w:val="auto"/>
                <w:highlight w:val="none"/>
              </w:rPr>
            </w:pPr>
            <w:r>
              <w:rPr>
                <w:color w:val="auto"/>
                <w:spacing w:val="8"/>
                <w:highlight w:val="none"/>
              </w:rPr>
              <w:t>（1）具有独立承担民事责任的能力</w:t>
            </w:r>
          </w:p>
        </w:tc>
        <w:tc>
          <w:tcPr>
            <w:tcW w:w="3586" w:type="dxa"/>
            <w:vAlign w:val="top"/>
          </w:tcPr>
          <w:p>
            <w:pPr>
              <w:pStyle w:val="16"/>
              <w:spacing w:before="67" w:line="222" w:lineRule="auto"/>
              <w:ind w:left="115" w:right="109" w:hanging="1"/>
              <w:rPr>
                <w:color w:val="auto"/>
                <w:highlight w:val="none"/>
              </w:rPr>
            </w:pPr>
            <w:r>
              <w:rPr>
                <w:color w:val="auto"/>
                <w:spacing w:val="9"/>
                <w:highlight w:val="none"/>
              </w:rPr>
              <w:t>供应商法人营业执照（副本）或事业</w:t>
            </w:r>
            <w:r>
              <w:rPr>
                <w:color w:val="auto"/>
                <w:spacing w:val="11"/>
                <w:highlight w:val="none"/>
              </w:rPr>
              <w:t xml:space="preserve"> </w:t>
            </w:r>
            <w:r>
              <w:rPr>
                <w:color w:val="auto"/>
                <w:spacing w:val="9"/>
                <w:highlight w:val="none"/>
              </w:rPr>
              <w:t>单位法人证书（副本）或个体工商户</w:t>
            </w:r>
            <w:r>
              <w:rPr>
                <w:color w:val="auto"/>
                <w:spacing w:val="10"/>
                <w:highlight w:val="none"/>
              </w:rPr>
              <w:t xml:space="preserve"> </w:t>
            </w:r>
            <w:r>
              <w:rPr>
                <w:color w:val="auto"/>
                <w:spacing w:val="9"/>
                <w:highlight w:val="none"/>
              </w:rPr>
              <w:t>营业执照或有效的自然人身份证明、</w:t>
            </w:r>
            <w:r>
              <w:rPr>
                <w:color w:val="auto"/>
                <w:spacing w:val="10"/>
                <w:highlight w:val="none"/>
              </w:rPr>
              <w:t xml:space="preserve"> </w:t>
            </w:r>
            <w:r>
              <w:rPr>
                <w:color w:val="auto"/>
                <w:spacing w:val="1"/>
                <w:highlight w:val="none"/>
              </w:rPr>
              <w:t>组织机构代码证（注</w:t>
            </w:r>
            <w:r>
              <w:rPr>
                <w:rFonts w:hint="eastAsia" w:ascii="宋体" w:hAnsi="宋体" w:cs="宋体"/>
                <w:color w:val="auto"/>
                <w:highlight w:val="none"/>
              </w:rPr>
              <w:t>①</w:t>
            </w:r>
            <w:r>
              <w:rPr>
                <w:color w:val="auto"/>
                <w:spacing w:val="-9"/>
                <w:highlight w:val="none"/>
              </w:rPr>
              <w:t>）；</w:t>
            </w:r>
          </w:p>
          <w:p>
            <w:pPr>
              <w:pStyle w:val="16"/>
              <w:spacing w:before="1" w:line="224" w:lineRule="auto"/>
              <w:ind w:left="113" w:right="109"/>
              <w:rPr>
                <w:color w:val="auto"/>
                <w:highlight w:val="none"/>
              </w:rPr>
            </w:pPr>
            <w:r>
              <w:rPr>
                <w:color w:val="auto"/>
                <w:spacing w:val="9"/>
                <w:highlight w:val="none"/>
              </w:rPr>
              <w:t>供应商法定代表人身份证明和法定代</w:t>
            </w:r>
            <w:r>
              <w:rPr>
                <w:color w:val="auto"/>
                <w:spacing w:val="11"/>
                <w:highlight w:val="none"/>
              </w:rPr>
              <w:t xml:space="preserve"> </w:t>
            </w:r>
            <w:r>
              <w:rPr>
                <w:color w:val="auto"/>
                <w:spacing w:val="8"/>
                <w:highlight w:val="none"/>
              </w:rPr>
              <w:t>表人授权代表委托书。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769" w:type="dxa"/>
            <w:vMerge w:val="continue"/>
            <w:tcBorders>
              <w:top w:val="nil"/>
              <w:bottom w:val="nil"/>
            </w:tcBorders>
            <w:vAlign w:val="top"/>
          </w:tcPr>
          <w:p>
            <w:pPr>
              <w:rPr>
                <w:rFonts w:ascii="Arial"/>
                <w:color w:val="auto"/>
                <w:sz w:val="21"/>
                <w:highlight w:val="none"/>
              </w:rPr>
            </w:pPr>
          </w:p>
        </w:tc>
        <w:tc>
          <w:tcPr>
            <w:tcW w:w="494" w:type="dxa"/>
            <w:vMerge w:val="continue"/>
            <w:tcBorders>
              <w:top w:val="nil"/>
              <w:bottom w:val="nil"/>
            </w:tcBorders>
            <w:textDirection w:val="tbRlV"/>
            <w:vAlign w:val="top"/>
          </w:tcPr>
          <w:p>
            <w:pPr>
              <w:rPr>
                <w:rFonts w:ascii="Arial"/>
                <w:color w:val="auto"/>
                <w:sz w:val="21"/>
                <w:highlight w:val="none"/>
              </w:rPr>
            </w:pPr>
          </w:p>
        </w:tc>
        <w:tc>
          <w:tcPr>
            <w:tcW w:w="4663" w:type="dxa"/>
            <w:vAlign w:val="top"/>
          </w:tcPr>
          <w:p>
            <w:pPr>
              <w:pStyle w:val="16"/>
              <w:spacing w:before="197" w:line="228" w:lineRule="auto"/>
              <w:ind w:left="122"/>
              <w:rPr>
                <w:color w:val="auto"/>
                <w:highlight w:val="none"/>
              </w:rPr>
            </w:pPr>
            <w:r>
              <w:rPr>
                <w:color w:val="auto"/>
                <w:spacing w:val="6"/>
                <w:highlight w:val="none"/>
              </w:rPr>
              <w:t>（2）具有良好的商业信誉和健全的财务会计</w:t>
            </w:r>
            <w:r>
              <w:rPr>
                <w:color w:val="auto"/>
                <w:spacing w:val="5"/>
                <w:highlight w:val="none"/>
              </w:rPr>
              <w:t>制度</w:t>
            </w:r>
          </w:p>
        </w:tc>
        <w:tc>
          <w:tcPr>
            <w:tcW w:w="3586" w:type="dxa"/>
            <w:vAlign w:val="top"/>
          </w:tcPr>
          <w:p>
            <w:pPr>
              <w:pStyle w:val="16"/>
              <w:spacing w:before="77" w:line="225" w:lineRule="auto"/>
              <w:ind w:left="114" w:right="109" w:firstLine="2"/>
              <w:rPr>
                <w:color w:val="auto"/>
                <w:highlight w:val="none"/>
              </w:rPr>
            </w:pPr>
            <w:r>
              <w:rPr>
                <w:color w:val="auto"/>
                <w:spacing w:val="9"/>
                <w:highlight w:val="none"/>
              </w:rPr>
              <w:t xml:space="preserve">投标人提供基本资格条件承诺函（见 </w:t>
            </w:r>
            <w:r>
              <w:rPr>
                <w:color w:val="auto"/>
                <w:spacing w:val="5"/>
                <w:highlight w:val="none"/>
              </w:rPr>
              <w:t>格式文件）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69" w:type="dxa"/>
            <w:vMerge w:val="continue"/>
            <w:tcBorders>
              <w:top w:val="nil"/>
              <w:bottom w:val="nil"/>
            </w:tcBorders>
            <w:vAlign w:val="top"/>
          </w:tcPr>
          <w:p>
            <w:pPr>
              <w:rPr>
                <w:rFonts w:ascii="Arial"/>
                <w:color w:val="auto"/>
                <w:sz w:val="21"/>
                <w:highlight w:val="none"/>
              </w:rPr>
            </w:pPr>
          </w:p>
        </w:tc>
        <w:tc>
          <w:tcPr>
            <w:tcW w:w="494" w:type="dxa"/>
            <w:vMerge w:val="continue"/>
            <w:tcBorders>
              <w:top w:val="nil"/>
              <w:bottom w:val="nil"/>
            </w:tcBorders>
            <w:textDirection w:val="tbRlV"/>
            <w:vAlign w:val="top"/>
          </w:tcPr>
          <w:p>
            <w:pPr>
              <w:rPr>
                <w:rFonts w:ascii="Arial"/>
                <w:color w:val="auto"/>
                <w:sz w:val="21"/>
                <w:highlight w:val="none"/>
              </w:rPr>
            </w:pPr>
          </w:p>
        </w:tc>
        <w:tc>
          <w:tcPr>
            <w:tcW w:w="4663" w:type="dxa"/>
            <w:vAlign w:val="top"/>
          </w:tcPr>
          <w:p>
            <w:pPr>
              <w:pStyle w:val="16"/>
              <w:spacing w:before="207" w:line="228" w:lineRule="auto"/>
              <w:ind w:left="122"/>
              <w:rPr>
                <w:color w:val="auto"/>
                <w:highlight w:val="none"/>
              </w:rPr>
            </w:pPr>
            <w:r>
              <w:rPr>
                <w:color w:val="auto"/>
                <w:spacing w:val="6"/>
                <w:highlight w:val="none"/>
              </w:rPr>
              <w:t>（3）具有履行合同所必需的设备和专业技术</w:t>
            </w:r>
            <w:r>
              <w:rPr>
                <w:color w:val="auto"/>
                <w:spacing w:val="5"/>
                <w:highlight w:val="none"/>
              </w:rPr>
              <w:t>能力</w:t>
            </w:r>
          </w:p>
        </w:tc>
        <w:tc>
          <w:tcPr>
            <w:tcW w:w="3586" w:type="dxa"/>
            <w:vAlign w:val="top"/>
          </w:tcPr>
          <w:p>
            <w:pPr>
              <w:pStyle w:val="16"/>
              <w:spacing w:before="87" w:line="225" w:lineRule="auto"/>
              <w:ind w:left="114" w:right="109" w:firstLine="2"/>
              <w:rPr>
                <w:color w:val="auto"/>
                <w:highlight w:val="none"/>
              </w:rPr>
            </w:pPr>
            <w:r>
              <w:rPr>
                <w:color w:val="auto"/>
                <w:spacing w:val="9"/>
                <w:highlight w:val="none"/>
              </w:rPr>
              <w:t xml:space="preserve">投标人提供基本资格条件承诺函（见 </w:t>
            </w:r>
            <w:r>
              <w:rPr>
                <w:color w:val="auto"/>
                <w:spacing w:val="5"/>
                <w:highlight w:val="none"/>
              </w:rPr>
              <w:t>格式文件）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769" w:type="dxa"/>
            <w:vMerge w:val="continue"/>
            <w:tcBorders>
              <w:top w:val="nil"/>
              <w:bottom w:val="nil"/>
            </w:tcBorders>
            <w:vAlign w:val="top"/>
          </w:tcPr>
          <w:p>
            <w:pPr>
              <w:rPr>
                <w:rFonts w:ascii="Arial"/>
                <w:color w:val="auto"/>
                <w:sz w:val="21"/>
                <w:highlight w:val="none"/>
              </w:rPr>
            </w:pPr>
          </w:p>
        </w:tc>
        <w:tc>
          <w:tcPr>
            <w:tcW w:w="494" w:type="dxa"/>
            <w:vMerge w:val="continue"/>
            <w:tcBorders>
              <w:top w:val="nil"/>
              <w:bottom w:val="nil"/>
            </w:tcBorders>
            <w:textDirection w:val="tbRlV"/>
            <w:vAlign w:val="top"/>
          </w:tcPr>
          <w:p>
            <w:pPr>
              <w:rPr>
                <w:rFonts w:ascii="Arial"/>
                <w:color w:val="auto"/>
                <w:sz w:val="21"/>
                <w:highlight w:val="none"/>
              </w:rPr>
            </w:pPr>
          </w:p>
        </w:tc>
        <w:tc>
          <w:tcPr>
            <w:tcW w:w="4663" w:type="dxa"/>
            <w:vAlign w:val="top"/>
          </w:tcPr>
          <w:p>
            <w:pPr>
              <w:pStyle w:val="16"/>
              <w:spacing w:before="78" w:line="216" w:lineRule="auto"/>
              <w:ind w:left="112" w:right="106" w:firstLine="9"/>
              <w:rPr>
                <w:color w:val="auto"/>
                <w:highlight w:val="none"/>
              </w:rPr>
            </w:pPr>
            <w:r>
              <w:rPr>
                <w:color w:val="auto"/>
                <w:spacing w:val="5"/>
                <w:highlight w:val="none"/>
              </w:rPr>
              <w:t>（4）参加采购活动前三年内，在经营活动中没有</w:t>
            </w:r>
            <w:r>
              <w:rPr>
                <w:color w:val="auto"/>
                <w:spacing w:val="18"/>
                <w:highlight w:val="none"/>
              </w:rPr>
              <w:t xml:space="preserve"> </w:t>
            </w:r>
            <w:r>
              <w:rPr>
                <w:color w:val="auto"/>
                <w:spacing w:val="7"/>
                <w:highlight w:val="none"/>
              </w:rPr>
              <w:t>重大违法记录（注</w:t>
            </w:r>
            <w:r>
              <w:rPr>
                <w:rFonts w:hint="eastAsia" w:ascii="宋体" w:hAnsi="宋体" w:cs="宋体"/>
                <w:color w:val="auto"/>
                <w:highlight w:val="none"/>
              </w:rPr>
              <w:t>②</w:t>
            </w:r>
            <w:r>
              <w:rPr>
                <w:color w:val="auto"/>
                <w:spacing w:val="7"/>
                <w:highlight w:val="none"/>
              </w:rPr>
              <w:t>）</w:t>
            </w:r>
          </w:p>
        </w:tc>
        <w:tc>
          <w:tcPr>
            <w:tcW w:w="3586" w:type="dxa"/>
            <w:vAlign w:val="top"/>
          </w:tcPr>
          <w:p>
            <w:pPr>
              <w:pStyle w:val="16"/>
              <w:spacing w:before="77" w:line="225" w:lineRule="auto"/>
              <w:ind w:left="114" w:right="109" w:firstLine="2"/>
              <w:rPr>
                <w:color w:val="auto"/>
                <w:highlight w:val="none"/>
              </w:rPr>
            </w:pPr>
            <w:r>
              <w:rPr>
                <w:color w:val="auto"/>
                <w:spacing w:val="9"/>
                <w:highlight w:val="none"/>
              </w:rPr>
              <w:t xml:space="preserve">投标人提供基本资格条件承诺函（见 </w:t>
            </w:r>
            <w:r>
              <w:rPr>
                <w:color w:val="auto"/>
                <w:spacing w:val="5"/>
                <w:highlight w:val="none"/>
              </w:rPr>
              <w:t>格式文件）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69" w:type="dxa"/>
            <w:vMerge w:val="continue"/>
            <w:tcBorders>
              <w:top w:val="nil"/>
              <w:bottom w:val="nil"/>
            </w:tcBorders>
            <w:vAlign w:val="top"/>
          </w:tcPr>
          <w:p>
            <w:pPr>
              <w:rPr>
                <w:rFonts w:ascii="Arial"/>
                <w:color w:val="auto"/>
                <w:sz w:val="21"/>
                <w:highlight w:val="none"/>
              </w:rPr>
            </w:pPr>
          </w:p>
        </w:tc>
        <w:tc>
          <w:tcPr>
            <w:tcW w:w="494" w:type="dxa"/>
            <w:vMerge w:val="continue"/>
            <w:tcBorders>
              <w:top w:val="nil"/>
              <w:bottom w:val="nil"/>
            </w:tcBorders>
            <w:textDirection w:val="tbRlV"/>
            <w:vAlign w:val="top"/>
          </w:tcPr>
          <w:p>
            <w:pPr>
              <w:rPr>
                <w:rFonts w:ascii="Arial"/>
                <w:color w:val="auto"/>
                <w:sz w:val="21"/>
                <w:highlight w:val="none"/>
              </w:rPr>
            </w:pPr>
          </w:p>
        </w:tc>
        <w:tc>
          <w:tcPr>
            <w:tcW w:w="4663" w:type="dxa"/>
            <w:vAlign w:val="top"/>
          </w:tcPr>
          <w:p>
            <w:pPr>
              <w:pStyle w:val="16"/>
              <w:spacing w:before="50" w:line="228" w:lineRule="auto"/>
              <w:ind w:left="122"/>
              <w:rPr>
                <w:color w:val="auto"/>
                <w:highlight w:val="none"/>
              </w:rPr>
            </w:pPr>
            <w:r>
              <w:rPr>
                <w:color w:val="auto"/>
                <w:spacing w:val="8"/>
                <w:highlight w:val="none"/>
              </w:rPr>
              <w:t>（5）法律、行政法规规定的其他条件</w:t>
            </w:r>
          </w:p>
        </w:tc>
        <w:tc>
          <w:tcPr>
            <w:tcW w:w="3586"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769" w:type="dxa"/>
            <w:vMerge w:val="continue"/>
            <w:tcBorders>
              <w:top w:val="nil"/>
            </w:tcBorders>
            <w:vAlign w:val="top"/>
          </w:tcPr>
          <w:p>
            <w:pPr>
              <w:rPr>
                <w:rFonts w:ascii="Arial"/>
                <w:color w:val="auto"/>
                <w:sz w:val="21"/>
                <w:highlight w:val="none"/>
              </w:rPr>
            </w:pPr>
          </w:p>
        </w:tc>
        <w:tc>
          <w:tcPr>
            <w:tcW w:w="494" w:type="dxa"/>
            <w:vMerge w:val="continue"/>
            <w:tcBorders>
              <w:top w:val="nil"/>
            </w:tcBorders>
            <w:textDirection w:val="tbRlV"/>
            <w:vAlign w:val="top"/>
          </w:tcPr>
          <w:p>
            <w:pPr>
              <w:rPr>
                <w:rFonts w:ascii="Arial"/>
                <w:color w:val="auto"/>
                <w:sz w:val="21"/>
                <w:highlight w:val="none"/>
              </w:rPr>
            </w:pPr>
          </w:p>
        </w:tc>
        <w:tc>
          <w:tcPr>
            <w:tcW w:w="4663" w:type="dxa"/>
            <w:vAlign w:val="top"/>
          </w:tcPr>
          <w:p>
            <w:pPr>
              <w:pStyle w:val="16"/>
              <w:spacing w:before="207" w:line="228" w:lineRule="auto"/>
              <w:ind w:left="122"/>
              <w:rPr>
                <w:color w:val="auto"/>
                <w:highlight w:val="none"/>
              </w:rPr>
            </w:pPr>
            <w:r>
              <w:rPr>
                <w:color w:val="auto"/>
                <w:spacing w:val="7"/>
                <w:highlight w:val="none"/>
              </w:rPr>
              <w:t>（6）特定资格条件</w:t>
            </w:r>
          </w:p>
        </w:tc>
        <w:tc>
          <w:tcPr>
            <w:tcW w:w="3586" w:type="dxa"/>
            <w:vAlign w:val="top"/>
          </w:tcPr>
          <w:p>
            <w:pPr>
              <w:pStyle w:val="16"/>
              <w:spacing w:before="87" w:line="225" w:lineRule="auto"/>
              <w:ind w:left="116" w:right="107"/>
              <w:rPr>
                <w:color w:val="auto"/>
                <w:highlight w:val="none"/>
              </w:rPr>
            </w:pPr>
            <w:r>
              <w:rPr>
                <w:color w:val="auto"/>
                <w:spacing w:val="7"/>
                <w:highlight w:val="none"/>
              </w:rPr>
              <w:t>按第一篇（二）特定资格条件</w:t>
            </w:r>
            <w:r>
              <w:rPr>
                <w:color w:val="auto"/>
                <w:spacing w:val="-56"/>
                <w:highlight w:val="none"/>
              </w:rPr>
              <w:t xml:space="preserve"> </w:t>
            </w:r>
            <w:r>
              <w:rPr>
                <w:color w:val="auto"/>
                <w:spacing w:val="7"/>
                <w:highlight w:val="none"/>
              </w:rPr>
              <w:t>”的要</w:t>
            </w:r>
            <w:r>
              <w:rPr>
                <w:color w:val="auto"/>
                <w:highlight w:val="none"/>
              </w:rPr>
              <w:t xml:space="preserve"> </w:t>
            </w:r>
            <w:r>
              <w:rPr>
                <w:color w:val="auto"/>
                <w:spacing w:val="7"/>
                <w:highlight w:val="none"/>
              </w:rPr>
              <w:t>求提交（如有）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769" w:type="dxa"/>
            <w:vAlign w:val="top"/>
          </w:tcPr>
          <w:p>
            <w:pPr>
              <w:pStyle w:val="16"/>
              <w:spacing w:before="197" w:line="271" w:lineRule="exact"/>
              <w:ind w:left="340"/>
              <w:rPr>
                <w:color w:val="auto"/>
                <w:highlight w:val="none"/>
              </w:rPr>
            </w:pPr>
            <w:r>
              <w:rPr>
                <w:color w:val="auto"/>
                <w:position w:val="1"/>
                <w:highlight w:val="none"/>
              </w:rPr>
              <w:t>2</w:t>
            </w:r>
          </w:p>
        </w:tc>
        <w:tc>
          <w:tcPr>
            <w:tcW w:w="5157" w:type="dxa"/>
            <w:gridSpan w:val="2"/>
            <w:vAlign w:val="top"/>
          </w:tcPr>
          <w:p>
            <w:pPr>
              <w:pStyle w:val="16"/>
              <w:spacing w:before="197" w:line="229" w:lineRule="auto"/>
              <w:ind w:left="112"/>
              <w:rPr>
                <w:color w:val="auto"/>
                <w:highlight w:val="none"/>
              </w:rPr>
            </w:pPr>
            <w:r>
              <w:rPr>
                <w:color w:val="auto"/>
                <w:spacing w:val="6"/>
                <w:highlight w:val="none"/>
              </w:rPr>
              <w:t>保证金</w:t>
            </w:r>
          </w:p>
        </w:tc>
        <w:tc>
          <w:tcPr>
            <w:tcW w:w="3586" w:type="dxa"/>
            <w:vAlign w:val="top"/>
          </w:tcPr>
          <w:p>
            <w:pPr>
              <w:pStyle w:val="16"/>
              <w:spacing w:before="77" w:line="225" w:lineRule="auto"/>
              <w:ind w:left="124" w:right="109" w:hanging="8"/>
              <w:rPr>
                <w:color w:val="auto"/>
                <w:highlight w:val="none"/>
              </w:rPr>
            </w:pPr>
            <w:r>
              <w:rPr>
                <w:color w:val="auto"/>
                <w:spacing w:val="9"/>
                <w:highlight w:val="none"/>
              </w:rPr>
              <w:t>按照询价通知书要求足额缴纳保证金</w:t>
            </w:r>
            <w:r>
              <w:rPr>
                <w:color w:val="auto"/>
                <w:spacing w:val="10"/>
                <w:highlight w:val="none"/>
              </w:rPr>
              <w:t xml:space="preserve"> </w:t>
            </w:r>
            <w:r>
              <w:rPr>
                <w:color w:val="auto"/>
                <w:spacing w:val="2"/>
                <w:highlight w:val="none"/>
              </w:rPr>
              <w:t>（如有）</w:t>
            </w:r>
          </w:p>
        </w:tc>
      </w:tr>
    </w:tbl>
    <w:p>
      <w:pPr>
        <w:spacing w:before="85" w:line="307" w:lineRule="auto"/>
        <w:ind w:left="252" w:right="242" w:firstLine="480"/>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注：</w:t>
      </w:r>
      <w:r>
        <w:rPr>
          <w:rFonts w:ascii="宋体" w:hAnsi="宋体" w:eastAsia="宋体" w:cs="宋体"/>
          <w:color w:val="auto"/>
          <w:spacing w:val="-78"/>
          <w:sz w:val="24"/>
          <w:szCs w:val="24"/>
          <w:highlight w:val="none"/>
        </w:rPr>
        <w:t xml:space="preserve"> </w:t>
      </w:r>
      <w:r>
        <w:rPr>
          <w:rFonts w:hint="eastAsia" w:ascii="宋体" w:hAnsi="宋体" w:cs="宋体"/>
          <w:color w:val="auto"/>
          <w:highlight w:val="none"/>
        </w:rPr>
        <w:t>①</w:t>
      </w:r>
      <w:r>
        <w:rPr>
          <w:rFonts w:ascii="宋体" w:hAnsi="宋体" w:eastAsia="宋体" w:cs="宋体"/>
          <w:color w:val="auto"/>
          <w:spacing w:val="-4"/>
          <w:sz w:val="24"/>
          <w:szCs w:val="24"/>
          <w:highlight w:val="none"/>
        </w:rPr>
        <w:t>供应商按“多证合一</w:t>
      </w:r>
      <w:r>
        <w:rPr>
          <w:rFonts w:ascii="宋体" w:hAnsi="宋体" w:eastAsia="宋体" w:cs="宋体"/>
          <w:color w:val="auto"/>
          <w:spacing w:val="-88"/>
          <w:sz w:val="24"/>
          <w:szCs w:val="24"/>
          <w:highlight w:val="none"/>
        </w:rPr>
        <w:t xml:space="preserve"> </w:t>
      </w:r>
      <w:r>
        <w:rPr>
          <w:rFonts w:ascii="宋体" w:hAnsi="宋体" w:eastAsia="宋体" w:cs="宋体"/>
          <w:color w:val="auto"/>
          <w:spacing w:val="-4"/>
          <w:sz w:val="24"/>
          <w:szCs w:val="24"/>
          <w:highlight w:val="none"/>
        </w:rPr>
        <w:t>”登记制度办理营业执照的，组织机构代码证、税务登记</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证（副本）以供应商所提供的营业执照（副本）复印件为准。</w:t>
      </w:r>
    </w:p>
    <w:p>
      <w:pPr>
        <w:spacing w:before="4" w:line="313" w:lineRule="auto"/>
        <w:ind w:left="252" w:right="179" w:firstLine="500"/>
        <w:jc w:val="both"/>
        <w:rPr>
          <w:rFonts w:ascii="宋体" w:hAnsi="宋体" w:eastAsia="宋体" w:cs="宋体"/>
          <w:color w:val="auto"/>
          <w:sz w:val="24"/>
          <w:szCs w:val="24"/>
          <w:highlight w:val="none"/>
        </w:rPr>
      </w:pPr>
      <w:r>
        <w:rPr>
          <w:rFonts w:hint="eastAsia" w:ascii="宋体" w:hAnsi="宋体" w:cs="宋体"/>
          <w:color w:val="auto"/>
          <w:highlight w:val="none"/>
        </w:rPr>
        <w:t>②</w:t>
      </w:r>
      <w:r>
        <w:rPr>
          <w:rFonts w:ascii="宋体" w:hAnsi="宋体" w:eastAsia="宋体" w:cs="宋体"/>
          <w:color w:val="auto"/>
          <w:sz w:val="24"/>
          <w:szCs w:val="24"/>
          <w:highlight w:val="none"/>
        </w:rPr>
        <w:t>“重大违法记录</w:t>
      </w:r>
      <w:r>
        <w:rPr>
          <w:rFonts w:ascii="宋体" w:hAnsi="宋体" w:eastAsia="宋体" w:cs="宋体"/>
          <w:color w:val="auto"/>
          <w:spacing w:val="-71"/>
          <w:sz w:val="24"/>
          <w:szCs w:val="24"/>
          <w:highlight w:val="none"/>
        </w:rPr>
        <w:t xml:space="preserve"> </w:t>
      </w:r>
      <w:r>
        <w:rPr>
          <w:rFonts w:ascii="宋体" w:hAnsi="宋体" w:eastAsia="宋体" w:cs="宋体"/>
          <w:color w:val="auto"/>
          <w:sz w:val="24"/>
          <w:szCs w:val="24"/>
          <w:highlight w:val="none"/>
        </w:rPr>
        <w:t>”，是指供应商因违法经营受到刑事处罚或者责令停产停业、吊销 许可证或者执照、较大数额罚款等行政处罚。行政处罚中“较大数额</w:t>
      </w:r>
      <w:r>
        <w:rPr>
          <w:rFonts w:ascii="宋体" w:hAnsi="宋体" w:eastAsia="宋体" w:cs="宋体"/>
          <w:color w:val="auto"/>
          <w:spacing w:val="-78"/>
          <w:sz w:val="24"/>
          <w:szCs w:val="24"/>
          <w:highlight w:val="none"/>
        </w:rPr>
        <w:t xml:space="preserve"> </w:t>
      </w:r>
      <w:r>
        <w:rPr>
          <w:rFonts w:ascii="宋体" w:hAnsi="宋体" w:eastAsia="宋体" w:cs="宋体"/>
          <w:color w:val="auto"/>
          <w:sz w:val="24"/>
          <w:szCs w:val="24"/>
          <w:highlight w:val="none"/>
        </w:rPr>
        <w:t xml:space="preserve">”的认定标准，由被 </w:t>
      </w:r>
      <w:r>
        <w:rPr>
          <w:rFonts w:ascii="宋体" w:hAnsi="宋体" w:eastAsia="宋体" w:cs="宋体"/>
          <w:color w:val="auto"/>
          <w:spacing w:val="-3"/>
          <w:sz w:val="24"/>
          <w:szCs w:val="24"/>
          <w:highlight w:val="none"/>
        </w:rPr>
        <w:t>执行人所在的省、自治区、直辖市人民政府制定，国务院</w:t>
      </w:r>
      <w:r>
        <w:rPr>
          <w:rFonts w:ascii="宋体" w:hAnsi="宋体" w:eastAsia="宋体" w:cs="宋体"/>
          <w:color w:val="auto"/>
          <w:spacing w:val="-4"/>
          <w:sz w:val="24"/>
          <w:szCs w:val="24"/>
          <w:highlight w:val="none"/>
        </w:rPr>
        <w:t>有关部门规定了较大数额标准的，</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从其规定。</w:t>
      </w:r>
    </w:p>
    <w:p>
      <w:pPr>
        <w:spacing w:before="3" w:line="308" w:lineRule="auto"/>
        <w:ind w:left="252" w:right="242" w:firstLine="482"/>
        <w:jc w:val="both"/>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 符合性检查。依据询价通知书的规定，从响应文件的有效性、完整性和对询</w:t>
      </w:r>
      <w:r>
        <w:rPr>
          <w:rFonts w:ascii="宋体" w:hAnsi="宋体" w:eastAsia="宋体" w:cs="宋体"/>
          <w:color w:val="auto"/>
          <w:spacing w:val="-3"/>
          <w:sz w:val="24"/>
          <w:szCs w:val="24"/>
          <w:highlight w:val="none"/>
        </w:rPr>
        <w:t>价通知</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书的响应程度进行审查，以确定是否对询价通知书的实质性要求作出响应。符合性检查资</w:t>
      </w:r>
      <w:r>
        <w:rPr>
          <w:rFonts w:ascii="宋体" w:hAnsi="宋体" w:eastAsia="宋体" w:cs="宋体"/>
          <w:color w:val="auto"/>
          <w:spacing w:val="3"/>
          <w:sz w:val="24"/>
          <w:szCs w:val="24"/>
          <w:highlight w:val="none"/>
        </w:rPr>
        <w:t xml:space="preserve"> </w:t>
      </w:r>
      <w:r>
        <w:rPr>
          <w:rFonts w:ascii="宋体" w:hAnsi="宋体" w:eastAsia="宋体" w:cs="宋体"/>
          <w:color w:val="auto"/>
          <w:spacing w:val="-2"/>
          <w:sz w:val="24"/>
          <w:szCs w:val="24"/>
          <w:highlight w:val="none"/>
        </w:rPr>
        <w:t>料表如下：</w:t>
      </w:r>
    </w:p>
    <w:p>
      <w:pPr>
        <w:spacing w:before="38"/>
        <w:rPr>
          <w:color w:val="auto"/>
          <w:highlight w:val="none"/>
        </w:rPr>
      </w:pPr>
    </w:p>
    <w:tbl>
      <w:tblPr>
        <w:tblStyle w:val="15"/>
        <w:tblW w:w="98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9"/>
        <w:gridCol w:w="1559"/>
        <w:gridCol w:w="1983"/>
        <w:gridCol w:w="56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679" w:type="dxa"/>
            <w:vAlign w:val="top"/>
          </w:tcPr>
          <w:p>
            <w:pPr>
              <w:pStyle w:val="16"/>
              <w:spacing w:before="57" w:line="230" w:lineRule="auto"/>
              <w:ind w:left="115"/>
              <w:rPr>
                <w:color w:val="auto"/>
                <w:highlight w:val="none"/>
              </w:rPr>
            </w:pPr>
            <w:r>
              <w:rPr>
                <w:b/>
                <w:bCs/>
                <w:color w:val="auto"/>
                <w:spacing w:val="4"/>
                <w:highlight w:val="none"/>
              </w:rPr>
              <w:t>序号</w:t>
            </w:r>
          </w:p>
        </w:tc>
        <w:tc>
          <w:tcPr>
            <w:tcW w:w="3542" w:type="dxa"/>
            <w:gridSpan w:val="2"/>
            <w:vAlign w:val="top"/>
          </w:tcPr>
          <w:p>
            <w:pPr>
              <w:pStyle w:val="16"/>
              <w:spacing w:before="58" w:line="228" w:lineRule="auto"/>
              <w:ind w:left="1351"/>
              <w:rPr>
                <w:color w:val="auto"/>
                <w:highlight w:val="none"/>
              </w:rPr>
            </w:pPr>
            <w:r>
              <w:rPr>
                <w:b/>
                <w:bCs/>
                <w:color w:val="auto"/>
                <w:spacing w:val="6"/>
                <w:highlight w:val="none"/>
              </w:rPr>
              <w:t>评审因素</w:t>
            </w:r>
          </w:p>
        </w:tc>
        <w:tc>
          <w:tcPr>
            <w:tcW w:w="5672" w:type="dxa"/>
            <w:vAlign w:val="top"/>
          </w:tcPr>
          <w:p>
            <w:pPr>
              <w:pStyle w:val="16"/>
              <w:spacing w:before="58" w:line="229" w:lineRule="auto"/>
              <w:ind w:left="2417"/>
              <w:rPr>
                <w:color w:val="auto"/>
                <w:highlight w:val="none"/>
              </w:rPr>
            </w:pPr>
            <w:r>
              <w:rPr>
                <w:b/>
                <w:bCs/>
                <w:color w:val="auto"/>
                <w:spacing w:val="6"/>
                <w:highlight w:val="none"/>
              </w:rPr>
              <w:t>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679" w:type="dxa"/>
            <w:vMerge w:val="restart"/>
            <w:tcBorders>
              <w:bottom w:val="nil"/>
            </w:tcBorders>
            <w:vAlign w:val="top"/>
          </w:tcPr>
          <w:p>
            <w:pPr>
              <w:spacing w:line="263" w:lineRule="auto"/>
              <w:rPr>
                <w:rFonts w:ascii="Arial"/>
                <w:color w:val="auto"/>
                <w:sz w:val="21"/>
                <w:highlight w:val="none"/>
              </w:rPr>
            </w:pPr>
          </w:p>
          <w:p>
            <w:pPr>
              <w:spacing w:line="263" w:lineRule="auto"/>
              <w:rPr>
                <w:rFonts w:ascii="Arial"/>
                <w:color w:val="auto"/>
                <w:sz w:val="21"/>
                <w:highlight w:val="none"/>
              </w:rPr>
            </w:pPr>
          </w:p>
          <w:p>
            <w:pPr>
              <w:spacing w:line="264" w:lineRule="auto"/>
              <w:rPr>
                <w:rFonts w:ascii="Arial"/>
                <w:color w:val="auto"/>
                <w:sz w:val="21"/>
                <w:highlight w:val="none"/>
              </w:rPr>
            </w:pPr>
          </w:p>
          <w:p>
            <w:pPr>
              <w:pStyle w:val="16"/>
              <w:spacing w:before="65" w:line="271" w:lineRule="exact"/>
              <w:ind w:left="307"/>
              <w:rPr>
                <w:color w:val="auto"/>
                <w:highlight w:val="none"/>
              </w:rPr>
            </w:pPr>
            <w:r>
              <w:rPr>
                <w:color w:val="auto"/>
                <w:position w:val="1"/>
                <w:highlight w:val="none"/>
              </w:rPr>
              <w:t>1</w:t>
            </w:r>
          </w:p>
        </w:tc>
        <w:tc>
          <w:tcPr>
            <w:tcW w:w="1559" w:type="dxa"/>
            <w:vMerge w:val="restart"/>
            <w:tcBorders>
              <w:bottom w:val="nil"/>
            </w:tcBorders>
            <w:vAlign w:val="top"/>
          </w:tcPr>
          <w:p>
            <w:pPr>
              <w:spacing w:line="263" w:lineRule="auto"/>
              <w:rPr>
                <w:rFonts w:ascii="Arial"/>
                <w:color w:val="auto"/>
                <w:sz w:val="21"/>
                <w:highlight w:val="none"/>
              </w:rPr>
            </w:pPr>
          </w:p>
          <w:p>
            <w:pPr>
              <w:spacing w:line="263" w:lineRule="auto"/>
              <w:rPr>
                <w:rFonts w:ascii="Arial"/>
                <w:color w:val="auto"/>
                <w:sz w:val="21"/>
                <w:highlight w:val="none"/>
              </w:rPr>
            </w:pPr>
          </w:p>
          <w:p>
            <w:pPr>
              <w:spacing w:line="264" w:lineRule="auto"/>
              <w:rPr>
                <w:rFonts w:ascii="Arial"/>
                <w:color w:val="auto"/>
                <w:sz w:val="21"/>
                <w:highlight w:val="none"/>
              </w:rPr>
            </w:pPr>
          </w:p>
          <w:p>
            <w:pPr>
              <w:pStyle w:val="16"/>
              <w:spacing w:before="65" w:line="229" w:lineRule="auto"/>
              <w:ind w:left="112"/>
              <w:rPr>
                <w:color w:val="auto"/>
                <w:highlight w:val="none"/>
              </w:rPr>
            </w:pPr>
            <w:r>
              <w:rPr>
                <w:color w:val="auto"/>
                <w:spacing w:val="7"/>
                <w:highlight w:val="none"/>
              </w:rPr>
              <w:t>有效性审查</w:t>
            </w:r>
          </w:p>
        </w:tc>
        <w:tc>
          <w:tcPr>
            <w:tcW w:w="1983" w:type="dxa"/>
            <w:vAlign w:val="top"/>
          </w:tcPr>
          <w:p>
            <w:pPr>
              <w:pStyle w:val="16"/>
              <w:spacing w:before="85" w:line="228" w:lineRule="auto"/>
              <w:ind w:left="123"/>
              <w:rPr>
                <w:color w:val="auto"/>
                <w:highlight w:val="none"/>
              </w:rPr>
            </w:pPr>
            <w:r>
              <w:rPr>
                <w:color w:val="auto"/>
                <w:spacing w:val="6"/>
                <w:highlight w:val="none"/>
              </w:rPr>
              <w:t>响应文件签署</w:t>
            </w:r>
          </w:p>
        </w:tc>
        <w:tc>
          <w:tcPr>
            <w:tcW w:w="5672" w:type="dxa"/>
            <w:vAlign w:val="top"/>
          </w:tcPr>
          <w:p>
            <w:pPr>
              <w:pStyle w:val="16"/>
              <w:spacing w:before="85" w:line="228" w:lineRule="auto"/>
              <w:ind w:left="125"/>
              <w:rPr>
                <w:color w:val="auto"/>
                <w:highlight w:val="none"/>
              </w:rPr>
            </w:pPr>
            <w:r>
              <w:rPr>
                <w:color w:val="auto"/>
                <w:spacing w:val="8"/>
                <w:highlight w:val="none"/>
              </w:rPr>
              <w:t>响应文件上法定代表人或其授权代表人的签字齐全。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679" w:type="dxa"/>
            <w:vMerge w:val="continue"/>
            <w:tcBorders>
              <w:top w:val="nil"/>
              <w:bottom w:val="nil"/>
            </w:tcBorders>
            <w:vAlign w:val="top"/>
          </w:tcPr>
          <w:p>
            <w:pPr>
              <w:rPr>
                <w:rFonts w:ascii="Arial"/>
                <w:color w:val="auto"/>
                <w:sz w:val="21"/>
                <w:highlight w:val="none"/>
              </w:rPr>
            </w:pPr>
          </w:p>
        </w:tc>
        <w:tc>
          <w:tcPr>
            <w:tcW w:w="1559" w:type="dxa"/>
            <w:vMerge w:val="continue"/>
            <w:tcBorders>
              <w:top w:val="nil"/>
              <w:bottom w:val="nil"/>
            </w:tcBorders>
            <w:vAlign w:val="top"/>
          </w:tcPr>
          <w:p>
            <w:pPr>
              <w:rPr>
                <w:rFonts w:ascii="Arial"/>
                <w:color w:val="auto"/>
                <w:sz w:val="21"/>
                <w:highlight w:val="none"/>
              </w:rPr>
            </w:pPr>
          </w:p>
        </w:tc>
        <w:tc>
          <w:tcPr>
            <w:tcW w:w="1983" w:type="dxa"/>
            <w:vAlign w:val="top"/>
          </w:tcPr>
          <w:p>
            <w:pPr>
              <w:pStyle w:val="16"/>
              <w:spacing w:before="48" w:line="225" w:lineRule="auto"/>
              <w:ind w:left="131" w:right="106" w:hanging="18"/>
              <w:rPr>
                <w:color w:val="auto"/>
                <w:highlight w:val="none"/>
              </w:rPr>
            </w:pPr>
            <w:r>
              <w:rPr>
                <w:color w:val="auto"/>
                <w:spacing w:val="19"/>
                <w:highlight w:val="none"/>
              </w:rPr>
              <w:t>法定代表人身份证</w:t>
            </w:r>
            <w:r>
              <w:rPr>
                <w:color w:val="auto"/>
                <w:spacing w:val="4"/>
                <w:highlight w:val="none"/>
              </w:rPr>
              <w:t xml:space="preserve"> </w:t>
            </w:r>
            <w:r>
              <w:rPr>
                <w:color w:val="auto"/>
                <w:spacing w:val="5"/>
                <w:highlight w:val="none"/>
              </w:rPr>
              <w:t>明及授权委托书</w:t>
            </w:r>
          </w:p>
        </w:tc>
        <w:tc>
          <w:tcPr>
            <w:tcW w:w="5672" w:type="dxa"/>
            <w:vAlign w:val="top"/>
          </w:tcPr>
          <w:p>
            <w:pPr>
              <w:pStyle w:val="16"/>
              <w:spacing w:before="48" w:line="225" w:lineRule="auto"/>
              <w:ind w:left="119" w:right="109" w:hanging="4"/>
              <w:rPr>
                <w:color w:val="auto"/>
                <w:highlight w:val="none"/>
              </w:rPr>
            </w:pPr>
            <w:r>
              <w:rPr>
                <w:color w:val="auto"/>
                <w:spacing w:val="9"/>
                <w:highlight w:val="none"/>
              </w:rPr>
              <w:t>法定代表人身份证明及授权委托书有效，符合询价通知书规</w:t>
            </w:r>
            <w:r>
              <w:rPr>
                <w:color w:val="auto"/>
                <w:spacing w:val="6"/>
                <w:highlight w:val="none"/>
              </w:rPr>
              <w:t xml:space="preserve"> </w:t>
            </w:r>
            <w:r>
              <w:rPr>
                <w:color w:val="auto"/>
                <w:spacing w:val="8"/>
                <w:highlight w:val="none"/>
              </w:rPr>
              <w:t>定的格式，签字或盖章齐全。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679" w:type="dxa"/>
            <w:vMerge w:val="continue"/>
            <w:tcBorders>
              <w:top w:val="nil"/>
              <w:bottom w:val="nil"/>
            </w:tcBorders>
            <w:vAlign w:val="top"/>
          </w:tcPr>
          <w:p>
            <w:pPr>
              <w:rPr>
                <w:rFonts w:ascii="Arial"/>
                <w:color w:val="auto"/>
                <w:sz w:val="21"/>
                <w:highlight w:val="none"/>
              </w:rPr>
            </w:pPr>
          </w:p>
        </w:tc>
        <w:tc>
          <w:tcPr>
            <w:tcW w:w="1559" w:type="dxa"/>
            <w:vMerge w:val="continue"/>
            <w:tcBorders>
              <w:top w:val="nil"/>
              <w:bottom w:val="nil"/>
            </w:tcBorders>
            <w:vAlign w:val="top"/>
          </w:tcPr>
          <w:p>
            <w:pPr>
              <w:rPr>
                <w:rFonts w:ascii="Arial"/>
                <w:color w:val="auto"/>
                <w:sz w:val="21"/>
                <w:highlight w:val="none"/>
              </w:rPr>
            </w:pPr>
          </w:p>
        </w:tc>
        <w:tc>
          <w:tcPr>
            <w:tcW w:w="1983" w:type="dxa"/>
            <w:vAlign w:val="top"/>
          </w:tcPr>
          <w:p>
            <w:pPr>
              <w:pStyle w:val="16"/>
              <w:spacing w:before="86" w:line="229" w:lineRule="auto"/>
              <w:ind w:left="123"/>
              <w:rPr>
                <w:color w:val="auto"/>
                <w:highlight w:val="none"/>
              </w:rPr>
            </w:pPr>
            <w:r>
              <w:rPr>
                <w:color w:val="auto"/>
                <w:spacing w:val="4"/>
                <w:highlight w:val="none"/>
              </w:rPr>
              <w:t>响应方案</w:t>
            </w:r>
          </w:p>
        </w:tc>
        <w:tc>
          <w:tcPr>
            <w:tcW w:w="5672" w:type="dxa"/>
            <w:vAlign w:val="top"/>
          </w:tcPr>
          <w:p>
            <w:pPr>
              <w:pStyle w:val="16"/>
              <w:spacing w:before="87" w:line="228" w:lineRule="auto"/>
              <w:ind w:left="114"/>
              <w:rPr>
                <w:color w:val="auto"/>
                <w:highlight w:val="none"/>
              </w:rPr>
            </w:pPr>
            <w:r>
              <w:rPr>
                <w:color w:val="auto"/>
                <w:spacing w:val="8"/>
                <w:highlight w:val="none"/>
              </w:rPr>
              <w:t>每个分包只能有一个响应方案。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679" w:type="dxa"/>
            <w:vMerge w:val="continue"/>
            <w:tcBorders>
              <w:top w:val="nil"/>
            </w:tcBorders>
            <w:vAlign w:val="top"/>
          </w:tcPr>
          <w:p>
            <w:pPr>
              <w:rPr>
                <w:rFonts w:ascii="Arial"/>
                <w:color w:val="auto"/>
                <w:sz w:val="21"/>
                <w:highlight w:val="none"/>
              </w:rPr>
            </w:pPr>
          </w:p>
        </w:tc>
        <w:tc>
          <w:tcPr>
            <w:tcW w:w="1559" w:type="dxa"/>
            <w:vMerge w:val="continue"/>
            <w:tcBorders>
              <w:top w:val="nil"/>
            </w:tcBorders>
            <w:vAlign w:val="top"/>
          </w:tcPr>
          <w:p>
            <w:pPr>
              <w:rPr>
                <w:rFonts w:ascii="Arial"/>
                <w:color w:val="auto"/>
                <w:sz w:val="21"/>
                <w:highlight w:val="none"/>
              </w:rPr>
            </w:pPr>
          </w:p>
        </w:tc>
        <w:tc>
          <w:tcPr>
            <w:tcW w:w="1983" w:type="dxa"/>
            <w:vAlign w:val="top"/>
          </w:tcPr>
          <w:p>
            <w:pPr>
              <w:pStyle w:val="16"/>
              <w:spacing w:before="187" w:line="227" w:lineRule="auto"/>
              <w:ind w:left="111"/>
              <w:rPr>
                <w:color w:val="auto"/>
                <w:highlight w:val="none"/>
              </w:rPr>
            </w:pPr>
            <w:r>
              <w:rPr>
                <w:color w:val="auto"/>
                <w:spacing w:val="8"/>
                <w:highlight w:val="none"/>
              </w:rPr>
              <w:t>报价唯一</w:t>
            </w:r>
          </w:p>
        </w:tc>
        <w:tc>
          <w:tcPr>
            <w:tcW w:w="5672" w:type="dxa"/>
            <w:vAlign w:val="top"/>
          </w:tcPr>
          <w:p>
            <w:pPr>
              <w:pStyle w:val="16"/>
              <w:spacing w:before="68" w:line="224" w:lineRule="auto"/>
              <w:ind w:left="118" w:right="152" w:firstLine="8"/>
              <w:rPr>
                <w:color w:val="auto"/>
                <w:highlight w:val="none"/>
              </w:rPr>
            </w:pPr>
            <w:r>
              <w:rPr>
                <w:color w:val="auto"/>
                <w:spacing w:val="7"/>
                <w:highlight w:val="none"/>
              </w:rPr>
              <w:t>只能在预算金额和最高限价内报价，只能有一个有效报价，</w:t>
            </w:r>
            <w:r>
              <w:rPr>
                <w:color w:val="auto"/>
                <w:spacing w:val="4"/>
                <w:highlight w:val="none"/>
              </w:rPr>
              <w:t xml:space="preserve"> </w:t>
            </w:r>
            <w:r>
              <w:rPr>
                <w:color w:val="auto"/>
                <w:spacing w:val="7"/>
                <w:highlight w:val="none"/>
              </w:rPr>
              <w:t>不得提交选择性报价。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679" w:type="dxa"/>
            <w:vMerge w:val="restart"/>
            <w:tcBorders>
              <w:bottom w:val="nil"/>
            </w:tcBorders>
            <w:vAlign w:val="top"/>
          </w:tcPr>
          <w:p>
            <w:pPr>
              <w:spacing w:line="303" w:lineRule="auto"/>
              <w:rPr>
                <w:rFonts w:ascii="Arial"/>
                <w:color w:val="auto"/>
                <w:sz w:val="21"/>
                <w:highlight w:val="none"/>
              </w:rPr>
            </w:pPr>
          </w:p>
          <w:p>
            <w:pPr>
              <w:pStyle w:val="16"/>
              <w:spacing w:before="65" w:line="271" w:lineRule="exact"/>
              <w:ind w:left="294"/>
              <w:rPr>
                <w:color w:val="auto"/>
                <w:highlight w:val="none"/>
              </w:rPr>
            </w:pPr>
            <w:r>
              <w:rPr>
                <w:color w:val="auto"/>
                <w:position w:val="1"/>
                <w:highlight w:val="none"/>
              </w:rPr>
              <w:t>2</w:t>
            </w:r>
          </w:p>
        </w:tc>
        <w:tc>
          <w:tcPr>
            <w:tcW w:w="1559" w:type="dxa"/>
            <w:vMerge w:val="restart"/>
            <w:tcBorders>
              <w:bottom w:val="nil"/>
            </w:tcBorders>
            <w:vAlign w:val="top"/>
          </w:tcPr>
          <w:p>
            <w:pPr>
              <w:spacing w:line="303" w:lineRule="auto"/>
              <w:rPr>
                <w:rFonts w:ascii="Arial"/>
                <w:color w:val="auto"/>
                <w:sz w:val="21"/>
                <w:highlight w:val="none"/>
              </w:rPr>
            </w:pPr>
          </w:p>
          <w:p>
            <w:pPr>
              <w:pStyle w:val="16"/>
              <w:spacing w:before="65" w:line="228" w:lineRule="auto"/>
              <w:ind w:left="113"/>
              <w:rPr>
                <w:color w:val="auto"/>
                <w:highlight w:val="none"/>
              </w:rPr>
            </w:pPr>
            <w:r>
              <w:rPr>
                <w:color w:val="auto"/>
                <w:spacing w:val="7"/>
                <w:highlight w:val="none"/>
              </w:rPr>
              <w:t>完整性审查</w:t>
            </w:r>
          </w:p>
        </w:tc>
        <w:tc>
          <w:tcPr>
            <w:tcW w:w="1983" w:type="dxa"/>
            <w:vAlign w:val="top"/>
          </w:tcPr>
          <w:p>
            <w:pPr>
              <w:pStyle w:val="16"/>
              <w:spacing w:before="104" w:line="228" w:lineRule="auto"/>
              <w:ind w:left="123"/>
              <w:rPr>
                <w:color w:val="auto"/>
                <w:highlight w:val="none"/>
              </w:rPr>
            </w:pPr>
            <w:r>
              <w:rPr>
                <w:color w:val="auto"/>
                <w:spacing w:val="6"/>
                <w:highlight w:val="none"/>
              </w:rPr>
              <w:t>响应文件份数</w:t>
            </w:r>
          </w:p>
        </w:tc>
        <w:tc>
          <w:tcPr>
            <w:tcW w:w="5672" w:type="dxa"/>
            <w:vAlign w:val="top"/>
          </w:tcPr>
          <w:p>
            <w:pPr>
              <w:pStyle w:val="16"/>
              <w:spacing w:before="103" w:line="227" w:lineRule="auto"/>
              <w:ind w:left="125"/>
              <w:rPr>
                <w:color w:val="auto"/>
                <w:highlight w:val="none"/>
              </w:rPr>
            </w:pPr>
            <w:r>
              <w:rPr>
                <w:color w:val="auto"/>
                <w:spacing w:val="8"/>
                <w:highlight w:val="none"/>
              </w:rPr>
              <w:t>响应文件正、副本、电子文档数量符合询价通知书要求。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679" w:type="dxa"/>
            <w:vMerge w:val="continue"/>
            <w:tcBorders>
              <w:top w:val="nil"/>
            </w:tcBorders>
            <w:vAlign w:val="top"/>
          </w:tcPr>
          <w:p>
            <w:pPr>
              <w:rPr>
                <w:rFonts w:ascii="Arial"/>
                <w:color w:val="auto"/>
                <w:sz w:val="21"/>
                <w:highlight w:val="none"/>
              </w:rPr>
            </w:pPr>
          </w:p>
        </w:tc>
        <w:tc>
          <w:tcPr>
            <w:tcW w:w="1559" w:type="dxa"/>
            <w:vMerge w:val="continue"/>
            <w:tcBorders>
              <w:top w:val="nil"/>
            </w:tcBorders>
            <w:vAlign w:val="top"/>
          </w:tcPr>
          <w:p>
            <w:pPr>
              <w:rPr>
                <w:rFonts w:ascii="Arial"/>
                <w:color w:val="auto"/>
                <w:sz w:val="21"/>
                <w:highlight w:val="none"/>
              </w:rPr>
            </w:pPr>
          </w:p>
        </w:tc>
        <w:tc>
          <w:tcPr>
            <w:tcW w:w="1983" w:type="dxa"/>
            <w:vAlign w:val="top"/>
          </w:tcPr>
          <w:p>
            <w:pPr>
              <w:pStyle w:val="16"/>
              <w:spacing w:before="158" w:line="228" w:lineRule="auto"/>
              <w:ind w:left="123"/>
              <w:rPr>
                <w:color w:val="auto"/>
                <w:highlight w:val="none"/>
              </w:rPr>
            </w:pPr>
            <w:r>
              <w:rPr>
                <w:color w:val="auto"/>
                <w:spacing w:val="6"/>
                <w:highlight w:val="none"/>
              </w:rPr>
              <w:t>响应文件内容</w:t>
            </w:r>
          </w:p>
        </w:tc>
        <w:tc>
          <w:tcPr>
            <w:tcW w:w="5672" w:type="dxa"/>
            <w:vAlign w:val="top"/>
          </w:tcPr>
          <w:p>
            <w:pPr>
              <w:pStyle w:val="16"/>
              <w:spacing w:before="36" w:line="222" w:lineRule="auto"/>
              <w:ind w:left="114" w:right="109" w:firstLine="1"/>
              <w:rPr>
                <w:color w:val="auto"/>
                <w:highlight w:val="none"/>
              </w:rPr>
            </w:pPr>
            <w:r>
              <w:rPr>
                <w:color w:val="auto"/>
                <w:spacing w:val="9"/>
                <w:highlight w:val="none"/>
              </w:rPr>
              <w:t>按询价通知书第六篇响应文件编制要求进行完整响应，无遗</w:t>
            </w:r>
            <w:r>
              <w:rPr>
                <w:color w:val="auto"/>
                <w:spacing w:val="5"/>
                <w:highlight w:val="none"/>
              </w:rPr>
              <w:t xml:space="preserve"> </w:t>
            </w:r>
            <w:r>
              <w:rPr>
                <w:color w:val="auto"/>
                <w:highlight w:val="none"/>
              </w:rPr>
              <w:t>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679" w:type="dxa"/>
            <w:vMerge w:val="restart"/>
            <w:tcBorders>
              <w:bottom w:val="nil"/>
            </w:tcBorders>
            <w:vAlign w:val="top"/>
          </w:tcPr>
          <w:p>
            <w:pPr>
              <w:pStyle w:val="16"/>
              <w:spacing w:before="299" w:line="269" w:lineRule="exact"/>
              <w:ind w:left="295"/>
              <w:rPr>
                <w:color w:val="auto"/>
                <w:highlight w:val="none"/>
              </w:rPr>
            </w:pPr>
            <w:r>
              <w:rPr>
                <w:color w:val="auto"/>
                <w:position w:val="1"/>
                <w:highlight w:val="none"/>
              </w:rPr>
              <w:t>3</w:t>
            </w:r>
          </w:p>
        </w:tc>
        <w:tc>
          <w:tcPr>
            <w:tcW w:w="1559" w:type="dxa"/>
            <w:vMerge w:val="restart"/>
            <w:tcBorders>
              <w:bottom w:val="nil"/>
            </w:tcBorders>
            <w:vAlign w:val="top"/>
          </w:tcPr>
          <w:p>
            <w:pPr>
              <w:pStyle w:val="16"/>
              <w:spacing w:before="178" w:line="222" w:lineRule="auto"/>
              <w:ind w:left="111"/>
              <w:rPr>
                <w:color w:val="auto"/>
                <w:highlight w:val="none"/>
              </w:rPr>
            </w:pPr>
            <w:r>
              <w:rPr>
                <w:color w:val="auto"/>
                <w:spacing w:val="22"/>
                <w:highlight w:val="none"/>
              </w:rPr>
              <w:t>询价通知书的</w:t>
            </w:r>
          </w:p>
          <w:p>
            <w:pPr>
              <w:pStyle w:val="16"/>
              <w:spacing w:line="229" w:lineRule="auto"/>
              <w:ind w:left="122"/>
              <w:rPr>
                <w:color w:val="auto"/>
                <w:highlight w:val="none"/>
              </w:rPr>
            </w:pPr>
            <w:r>
              <w:rPr>
                <w:color w:val="auto"/>
                <w:spacing w:val="6"/>
                <w:highlight w:val="none"/>
              </w:rPr>
              <w:t>响应程度审查</w:t>
            </w:r>
          </w:p>
        </w:tc>
        <w:tc>
          <w:tcPr>
            <w:tcW w:w="1983" w:type="dxa"/>
            <w:vAlign w:val="top"/>
          </w:tcPr>
          <w:p>
            <w:pPr>
              <w:pStyle w:val="16"/>
              <w:spacing w:before="100" w:line="228" w:lineRule="auto"/>
              <w:ind w:left="123"/>
              <w:rPr>
                <w:color w:val="auto"/>
                <w:highlight w:val="none"/>
              </w:rPr>
            </w:pPr>
            <w:r>
              <w:rPr>
                <w:color w:val="auto"/>
                <w:spacing w:val="6"/>
                <w:highlight w:val="none"/>
              </w:rPr>
              <w:t>响应文件内容</w:t>
            </w:r>
          </w:p>
        </w:tc>
        <w:tc>
          <w:tcPr>
            <w:tcW w:w="5672" w:type="dxa"/>
            <w:vAlign w:val="top"/>
          </w:tcPr>
          <w:p>
            <w:pPr>
              <w:pStyle w:val="16"/>
              <w:spacing w:before="99" w:line="227" w:lineRule="auto"/>
              <w:ind w:left="113"/>
              <w:rPr>
                <w:color w:val="auto"/>
                <w:highlight w:val="none"/>
              </w:rPr>
            </w:pPr>
            <w:r>
              <w:rPr>
                <w:color w:val="auto"/>
                <w:spacing w:val="9"/>
                <w:highlight w:val="none"/>
              </w:rPr>
              <w:t>对询价通知书第三篇、第四篇规定的询价内容作出响应。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679" w:type="dxa"/>
            <w:vMerge w:val="continue"/>
            <w:tcBorders>
              <w:top w:val="nil"/>
            </w:tcBorders>
            <w:vAlign w:val="top"/>
          </w:tcPr>
          <w:p>
            <w:pPr>
              <w:rPr>
                <w:rFonts w:ascii="Arial"/>
                <w:color w:val="auto"/>
                <w:sz w:val="21"/>
                <w:highlight w:val="none"/>
              </w:rPr>
            </w:pPr>
          </w:p>
        </w:tc>
        <w:tc>
          <w:tcPr>
            <w:tcW w:w="1559" w:type="dxa"/>
            <w:vMerge w:val="continue"/>
            <w:tcBorders>
              <w:top w:val="nil"/>
            </w:tcBorders>
            <w:vAlign w:val="top"/>
          </w:tcPr>
          <w:p>
            <w:pPr>
              <w:rPr>
                <w:rFonts w:ascii="Arial"/>
                <w:color w:val="auto"/>
                <w:sz w:val="21"/>
                <w:highlight w:val="none"/>
              </w:rPr>
            </w:pPr>
          </w:p>
        </w:tc>
        <w:tc>
          <w:tcPr>
            <w:tcW w:w="1983" w:type="dxa"/>
            <w:vAlign w:val="top"/>
          </w:tcPr>
          <w:p>
            <w:pPr>
              <w:pStyle w:val="16"/>
              <w:spacing w:before="90" w:line="227" w:lineRule="auto"/>
              <w:ind w:left="112"/>
              <w:rPr>
                <w:color w:val="auto"/>
                <w:highlight w:val="none"/>
              </w:rPr>
            </w:pPr>
            <w:r>
              <w:rPr>
                <w:color w:val="auto"/>
                <w:spacing w:val="8"/>
                <w:highlight w:val="none"/>
              </w:rPr>
              <w:t>询价有效期</w:t>
            </w:r>
          </w:p>
        </w:tc>
        <w:tc>
          <w:tcPr>
            <w:tcW w:w="5672" w:type="dxa"/>
            <w:vAlign w:val="top"/>
          </w:tcPr>
          <w:p>
            <w:pPr>
              <w:pStyle w:val="16"/>
              <w:spacing w:before="90" w:line="227" w:lineRule="auto"/>
              <w:ind w:left="114"/>
              <w:rPr>
                <w:color w:val="auto"/>
                <w:highlight w:val="none"/>
              </w:rPr>
            </w:pPr>
            <w:r>
              <w:rPr>
                <w:color w:val="auto"/>
                <w:spacing w:val="8"/>
                <w:highlight w:val="none"/>
              </w:rPr>
              <w:t>满足询价通知书规定。</w:t>
            </w:r>
          </w:p>
        </w:tc>
      </w:tr>
    </w:tbl>
    <w:p>
      <w:pPr>
        <w:spacing w:before="116" w:line="299" w:lineRule="auto"/>
        <w:ind w:left="257" w:right="243" w:firstLine="36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（1）询价小组在对响应文件的有效性、完整性和响应程度进行</w:t>
      </w:r>
      <w:r>
        <w:rPr>
          <w:rFonts w:ascii="宋体" w:hAnsi="宋体" w:eastAsia="宋体" w:cs="宋体"/>
          <w:color w:val="auto"/>
          <w:sz w:val="24"/>
          <w:szCs w:val="24"/>
          <w:highlight w:val="none"/>
        </w:rPr>
        <w:t xml:space="preserve">审查时，可以要求供应 </w:t>
      </w:r>
      <w:r>
        <w:rPr>
          <w:rFonts w:ascii="宋体" w:hAnsi="宋体" w:eastAsia="宋体" w:cs="宋体"/>
          <w:color w:val="auto"/>
          <w:spacing w:val="1"/>
          <w:sz w:val="24"/>
          <w:szCs w:val="24"/>
          <w:highlight w:val="none"/>
        </w:rPr>
        <w:t>商对响应文件中含义不明确、同类问题表述不一致或者有明显文字和计算错误的内容</w:t>
      </w:r>
      <w:r>
        <w:rPr>
          <w:rFonts w:ascii="宋体" w:hAnsi="宋体" w:eastAsia="宋体" w:cs="宋体"/>
          <w:color w:val="auto"/>
          <w:sz w:val="24"/>
          <w:szCs w:val="24"/>
          <w:highlight w:val="none"/>
        </w:rPr>
        <w:t>等作</w:t>
      </w:r>
    </w:p>
    <w:p>
      <w:pPr>
        <w:spacing w:line="299" w:lineRule="auto"/>
        <w:rPr>
          <w:rFonts w:ascii="宋体" w:hAnsi="宋体" w:eastAsia="宋体" w:cs="宋体"/>
          <w:color w:val="auto"/>
          <w:sz w:val="24"/>
          <w:szCs w:val="24"/>
          <w:highlight w:val="none"/>
        </w:rPr>
        <w:sectPr>
          <w:footerReference r:id="rId14" w:type="default"/>
          <w:pgSz w:w="11907" w:h="16840"/>
          <w:pgMar w:top="1255" w:right="948" w:bottom="1221" w:left="1060" w:header="0" w:footer="853" w:gutter="0"/>
          <w:pgNumType w:fmt="decimal"/>
          <w:cols w:space="720" w:num="1"/>
        </w:sectPr>
      </w:pPr>
    </w:p>
    <w:p>
      <w:pPr>
        <w:spacing w:before="49" w:line="307" w:lineRule="auto"/>
        <w:ind w:left="3" w:right="36" w:firstLine="1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出必要的澄清、说明或者更正。供应商的澄清、</w:t>
      </w:r>
      <w:r>
        <w:rPr>
          <w:rFonts w:ascii="宋体" w:hAnsi="宋体" w:eastAsia="宋体" w:cs="宋体"/>
          <w:color w:val="auto"/>
          <w:sz w:val="24"/>
          <w:szCs w:val="24"/>
          <w:highlight w:val="none"/>
        </w:rPr>
        <w:t xml:space="preserve">说明或者更正不得超出响应文件的范围或 </w:t>
      </w:r>
      <w:r>
        <w:rPr>
          <w:rFonts w:ascii="宋体" w:hAnsi="宋体" w:eastAsia="宋体" w:cs="宋体"/>
          <w:color w:val="auto"/>
          <w:spacing w:val="-1"/>
          <w:sz w:val="24"/>
          <w:szCs w:val="24"/>
          <w:highlight w:val="none"/>
        </w:rPr>
        <w:t>者改变响应文件的实质性内容。</w:t>
      </w:r>
    </w:p>
    <w:p>
      <w:pPr>
        <w:spacing w:line="278" w:lineRule="auto"/>
        <w:ind w:left="2" w:right="36" w:firstLine="37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（2）询价小组要求供应商澄清、说明或者更正响应文件应当以</w:t>
      </w:r>
      <w:r>
        <w:rPr>
          <w:rFonts w:ascii="宋体" w:hAnsi="宋体" w:eastAsia="宋体" w:cs="宋体"/>
          <w:color w:val="auto"/>
          <w:sz w:val="24"/>
          <w:szCs w:val="24"/>
          <w:highlight w:val="none"/>
        </w:rPr>
        <w:t xml:space="preserve">书面形式作出。供应商 </w:t>
      </w:r>
      <w:r>
        <w:rPr>
          <w:rFonts w:ascii="宋体" w:hAnsi="宋体" w:eastAsia="宋体" w:cs="宋体"/>
          <w:color w:val="auto"/>
          <w:spacing w:val="1"/>
          <w:sz w:val="24"/>
          <w:szCs w:val="24"/>
          <w:highlight w:val="none"/>
        </w:rPr>
        <w:t>的澄清、说明或者更正应当由法定代表人或其授权代表签字或者加盖公章。由授权代表签</w:t>
      </w:r>
      <w:r>
        <w:rPr>
          <w:rFonts w:ascii="宋体" w:hAnsi="宋体" w:eastAsia="宋体" w:cs="宋体"/>
          <w:color w:val="auto"/>
          <w:spacing w:val="2"/>
          <w:sz w:val="24"/>
          <w:szCs w:val="24"/>
          <w:highlight w:val="none"/>
        </w:rPr>
        <w:t xml:space="preserve"> </w:t>
      </w:r>
      <w:r>
        <w:rPr>
          <w:rFonts w:ascii="宋体" w:hAnsi="宋体" w:eastAsia="宋体" w:cs="宋体"/>
          <w:color w:val="auto"/>
          <w:sz w:val="24"/>
          <w:szCs w:val="24"/>
          <w:highlight w:val="none"/>
        </w:rPr>
        <w:t>字的，应当附法定代表人授权书。供应商为自然人的，应当</w:t>
      </w:r>
      <w:r>
        <w:rPr>
          <w:rFonts w:ascii="宋体" w:hAnsi="宋体" w:eastAsia="宋体" w:cs="宋体"/>
          <w:color w:val="auto"/>
          <w:spacing w:val="-1"/>
          <w:sz w:val="24"/>
          <w:szCs w:val="24"/>
          <w:highlight w:val="none"/>
        </w:rPr>
        <w:t>由本人签字并附身份证明。</w:t>
      </w:r>
    </w:p>
    <w:p>
      <w:pPr>
        <w:spacing w:before="116" w:line="264" w:lineRule="auto"/>
        <w:ind w:left="1" w:right="38" w:firstLine="37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（3）在询价过程中询价的任何一方不得向他人透露与询价有关</w:t>
      </w:r>
      <w:r>
        <w:rPr>
          <w:rFonts w:ascii="宋体" w:hAnsi="宋体" w:eastAsia="宋体" w:cs="宋体"/>
          <w:color w:val="auto"/>
          <w:sz w:val="24"/>
          <w:szCs w:val="24"/>
          <w:highlight w:val="none"/>
        </w:rPr>
        <w:t xml:space="preserve">的技术资料、价格或其 </w:t>
      </w:r>
      <w:r>
        <w:rPr>
          <w:rFonts w:ascii="宋体" w:hAnsi="宋体" w:eastAsia="宋体" w:cs="宋体"/>
          <w:color w:val="auto"/>
          <w:spacing w:val="-3"/>
          <w:sz w:val="24"/>
          <w:szCs w:val="24"/>
          <w:highlight w:val="none"/>
        </w:rPr>
        <w:t>他信息。</w:t>
      </w:r>
    </w:p>
    <w:p>
      <w:pPr>
        <w:spacing w:before="111" w:line="192" w:lineRule="auto"/>
        <w:ind w:left="347"/>
        <w:outlineLvl w:val="9"/>
        <w:rPr>
          <w:rFonts w:ascii="微软雅黑" w:hAnsi="微软雅黑" w:eastAsia="微软雅黑" w:cs="微软雅黑"/>
          <w:color w:val="auto"/>
          <w:sz w:val="24"/>
          <w:szCs w:val="24"/>
          <w:highlight w:val="none"/>
        </w:rPr>
      </w:pPr>
      <w:bookmarkStart w:id="39" w:name="_Toc19170"/>
      <w:r>
        <w:rPr>
          <w:rFonts w:ascii="微软雅黑" w:hAnsi="微软雅黑" w:eastAsia="微软雅黑" w:cs="微软雅黑"/>
          <w:color w:val="auto"/>
          <w:spacing w:val="-8"/>
          <w:sz w:val="24"/>
          <w:szCs w:val="24"/>
          <w:highlight w:val="none"/>
        </w:rPr>
        <w:t>（ 四</w:t>
      </w:r>
      <w:r>
        <w:rPr>
          <w:rFonts w:ascii="微软雅黑" w:hAnsi="微软雅黑" w:eastAsia="微软雅黑" w:cs="微软雅黑"/>
          <w:color w:val="auto"/>
          <w:spacing w:val="-18"/>
          <w:sz w:val="24"/>
          <w:szCs w:val="24"/>
          <w:highlight w:val="none"/>
        </w:rPr>
        <w:t xml:space="preserve"> </w:t>
      </w:r>
      <w:r>
        <w:rPr>
          <w:rFonts w:ascii="微软雅黑" w:hAnsi="微软雅黑" w:eastAsia="微软雅黑" w:cs="微软雅黑"/>
          <w:color w:val="auto"/>
          <w:spacing w:val="-8"/>
          <w:sz w:val="24"/>
          <w:szCs w:val="24"/>
          <w:highlight w:val="none"/>
        </w:rPr>
        <w:t>）对技术和商务部分的评审</w:t>
      </w:r>
      <w:bookmarkEnd w:id="39"/>
    </w:p>
    <w:p>
      <w:pPr>
        <w:spacing w:before="71" w:line="265" w:lineRule="auto"/>
        <w:ind w:left="7" w:right="36" w:firstLine="492"/>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1.“第三篇 询价项目</w:t>
      </w:r>
      <w:r>
        <w:rPr>
          <w:rFonts w:hint="eastAsia" w:ascii="宋体" w:hAnsi="宋体" w:eastAsia="宋体" w:cs="宋体"/>
          <w:color w:val="auto"/>
          <w:spacing w:val="-3"/>
          <w:sz w:val="24"/>
          <w:szCs w:val="24"/>
          <w:highlight w:val="none"/>
          <w:lang w:val="en-US" w:eastAsia="zh-CN"/>
        </w:rPr>
        <w:t>服务</w:t>
      </w:r>
      <w:r>
        <w:rPr>
          <w:rFonts w:ascii="宋体" w:hAnsi="宋体" w:eastAsia="宋体" w:cs="宋体"/>
          <w:color w:val="auto"/>
          <w:spacing w:val="-3"/>
          <w:sz w:val="24"/>
          <w:szCs w:val="24"/>
          <w:highlight w:val="none"/>
        </w:rPr>
        <w:t>需求</w:t>
      </w:r>
      <w:r>
        <w:rPr>
          <w:rFonts w:ascii="宋体" w:hAnsi="宋体" w:eastAsia="宋体" w:cs="宋体"/>
          <w:color w:val="auto"/>
          <w:spacing w:val="-88"/>
          <w:sz w:val="24"/>
          <w:szCs w:val="24"/>
          <w:highlight w:val="none"/>
        </w:rPr>
        <w:t xml:space="preserve"> </w:t>
      </w:r>
      <w:r>
        <w:rPr>
          <w:rFonts w:ascii="宋体" w:hAnsi="宋体" w:eastAsia="宋体" w:cs="宋体"/>
          <w:color w:val="auto"/>
          <w:spacing w:val="-3"/>
          <w:sz w:val="24"/>
          <w:szCs w:val="24"/>
          <w:highlight w:val="none"/>
        </w:rPr>
        <w:t>”有一条及以上不能满足询价</w:t>
      </w:r>
      <w:r>
        <w:rPr>
          <w:rFonts w:ascii="宋体" w:hAnsi="宋体" w:eastAsia="宋体" w:cs="宋体"/>
          <w:color w:val="auto"/>
          <w:spacing w:val="-4"/>
          <w:sz w:val="24"/>
          <w:szCs w:val="24"/>
          <w:highlight w:val="none"/>
        </w:rPr>
        <w:t>通知书要求的供应商为无</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rPr>
        <w:t>效响应；</w:t>
      </w:r>
    </w:p>
    <w:p>
      <w:pPr>
        <w:spacing w:before="110" w:line="265" w:lineRule="auto"/>
        <w:ind w:left="7" w:right="36" w:firstLine="477"/>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2.“第四篇 询价项目商务需求</w:t>
      </w:r>
      <w:r>
        <w:rPr>
          <w:rFonts w:ascii="宋体" w:hAnsi="宋体" w:eastAsia="宋体" w:cs="宋体"/>
          <w:color w:val="auto"/>
          <w:spacing w:val="-84"/>
          <w:sz w:val="24"/>
          <w:szCs w:val="24"/>
          <w:highlight w:val="none"/>
        </w:rPr>
        <w:t xml:space="preserve"> </w:t>
      </w:r>
      <w:r>
        <w:rPr>
          <w:rFonts w:ascii="宋体" w:hAnsi="宋体" w:eastAsia="宋体" w:cs="宋体"/>
          <w:color w:val="auto"/>
          <w:spacing w:val="-3"/>
          <w:sz w:val="24"/>
          <w:szCs w:val="24"/>
          <w:highlight w:val="none"/>
        </w:rPr>
        <w:t>”有一条及以上不能满足询价通知书要求的供应商为无</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rPr>
        <w:t>效响应。</w:t>
      </w:r>
    </w:p>
    <w:p>
      <w:pPr>
        <w:spacing w:before="110" w:line="192" w:lineRule="auto"/>
        <w:ind w:left="467"/>
        <w:outlineLvl w:val="9"/>
        <w:rPr>
          <w:rFonts w:ascii="微软雅黑" w:hAnsi="微软雅黑" w:eastAsia="微软雅黑" w:cs="微软雅黑"/>
          <w:color w:val="auto"/>
          <w:sz w:val="24"/>
          <w:szCs w:val="24"/>
          <w:highlight w:val="none"/>
        </w:rPr>
      </w:pPr>
      <w:bookmarkStart w:id="40" w:name="_Toc12008"/>
      <w:r>
        <w:rPr>
          <w:rFonts w:ascii="微软雅黑" w:hAnsi="微软雅黑" w:eastAsia="微软雅黑" w:cs="微软雅黑"/>
          <w:color w:val="auto"/>
          <w:sz w:val="24"/>
          <w:szCs w:val="24"/>
          <w:highlight w:val="none"/>
        </w:rPr>
        <w:t>（五）成交标准</w:t>
      </w:r>
      <w:bookmarkEnd w:id="40"/>
    </w:p>
    <w:p>
      <w:pPr>
        <w:spacing w:before="73" w:line="278" w:lineRule="auto"/>
        <w:ind w:left="3" w:right="36" w:firstLine="49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1.询价小组将依照本询价通知书相关规定对质量和服</w:t>
      </w:r>
      <w:r>
        <w:rPr>
          <w:rFonts w:ascii="宋体" w:hAnsi="宋体" w:eastAsia="宋体" w:cs="宋体"/>
          <w:color w:val="auto"/>
          <w:sz w:val="24"/>
          <w:szCs w:val="24"/>
          <w:highlight w:val="none"/>
        </w:rPr>
        <w:t>务均能满足询价实质性响应要求 的供应商所提交的报价进行评审，价格按照由低到高的顺序提出</w:t>
      </w:r>
      <w:r>
        <w:rPr>
          <w:rFonts w:ascii="宋体" w:hAnsi="宋体" w:eastAsia="宋体" w:cs="宋体"/>
          <w:color w:val="auto"/>
          <w:spacing w:val="-35"/>
          <w:sz w:val="24"/>
          <w:szCs w:val="24"/>
          <w:highlight w:val="none"/>
        </w:rPr>
        <w:t xml:space="preserve"> </w:t>
      </w:r>
      <w:r>
        <w:rPr>
          <w:rFonts w:ascii="宋体" w:hAnsi="宋体" w:eastAsia="宋体" w:cs="宋体"/>
          <w:color w:val="auto"/>
          <w:sz w:val="24"/>
          <w:szCs w:val="24"/>
          <w:highlight w:val="none"/>
        </w:rPr>
        <w:t>3</w:t>
      </w:r>
      <w:r>
        <w:rPr>
          <w:rFonts w:ascii="宋体" w:hAnsi="宋体" w:eastAsia="宋体" w:cs="宋体"/>
          <w:color w:val="auto"/>
          <w:spacing w:val="-45"/>
          <w:sz w:val="24"/>
          <w:szCs w:val="24"/>
          <w:highlight w:val="none"/>
        </w:rPr>
        <w:t xml:space="preserve"> </w:t>
      </w:r>
      <w:r>
        <w:rPr>
          <w:rFonts w:ascii="宋体" w:hAnsi="宋体" w:eastAsia="宋体" w:cs="宋体"/>
          <w:color w:val="auto"/>
          <w:sz w:val="24"/>
          <w:szCs w:val="24"/>
          <w:highlight w:val="none"/>
        </w:rPr>
        <w:t xml:space="preserve">名以上成交候选人，并 </w:t>
      </w:r>
      <w:r>
        <w:rPr>
          <w:rFonts w:ascii="宋体" w:hAnsi="宋体" w:eastAsia="宋体" w:cs="宋体"/>
          <w:color w:val="auto"/>
          <w:spacing w:val="-2"/>
          <w:sz w:val="24"/>
          <w:szCs w:val="24"/>
          <w:highlight w:val="none"/>
        </w:rPr>
        <w:t>编写评审报告。</w:t>
      </w:r>
    </w:p>
    <w:p>
      <w:pPr>
        <w:spacing w:before="116" w:line="278" w:lineRule="auto"/>
        <w:ind w:firstLine="484"/>
        <w:rPr>
          <w:rFonts w:ascii="宋体" w:hAnsi="宋体" w:eastAsia="宋体" w:cs="宋体"/>
          <w:color w:val="auto"/>
          <w:sz w:val="24"/>
          <w:szCs w:val="24"/>
          <w:highlight w:val="none"/>
        </w:rPr>
      </w:pPr>
      <w:r>
        <w:rPr>
          <w:rFonts w:ascii="宋体" w:hAnsi="宋体" w:eastAsia="宋体" w:cs="宋体"/>
          <w:color w:val="auto"/>
          <w:spacing w:val="-26"/>
          <w:w w:val="95"/>
          <w:sz w:val="24"/>
          <w:szCs w:val="24"/>
          <w:highlight w:val="none"/>
        </w:rPr>
        <w:t>2.若供应商的报价</w:t>
      </w:r>
      <w:r>
        <w:rPr>
          <w:rFonts w:ascii="宋体" w:hAnsi="宋体" w:eastAsia="宋体" w:cs="宋体"/>
          <w:color w:val="auto"/>
          <w:spacing w:val="-25"/>
          <w:w w:val="95"/>
          <w:sz w:val="24"/>
          <w:szCs w:val="24"/>
          <w:highlight w:val="none"/>
        </w:rPr>
        <w:t>相同的，按技术参数（条款）的优劣确定成交人；报价相同，技术</w:t>
      </w:r>
      <w:r>
        <w:rPr>
          <w:rFonts w:ascii="宋体" w:hAnsi="宋体" w:eastAsia="宋体" w:cs="宋体"/>
          <w:color w:val="auto"/>
          <w:spacing w:val="-12"/>
          <w:w w:val="95"/>
          <w:sz w:val="24"/>
          <w:szCs w:val="24"/>
          <w:highlight w:val="none"/>
        </w:rPr>
        <w:t>参</w:t>
      </w:r>
      <w:r>
        <w:rPr>
          <w:rFonts w:ascii="宋体" w:hAnsi="宋体" w:eastAsia="宋体" w:cs="宋体"/>
          <w:color w:val="auto"/>
          <w:spacing w:val="48"/>
          <w:sz w:val="24"/>
          <w:szCs w:val="24"/>
          <w:highlight w:val="none"/>
        </w:rPr>
        <w:t xml:space="preserve"> </w:t>
      </w:r>
      <w:r>
        <w:rPr>
          <w:rFonts w:ascii="宋体" w:hAnsi="宋体" w:eastAsia="宋体" w:cs="宋体"/>
          <w:color w:val="auto"/>
          <w:spacing w:val="-28"/>
          <w:w w:val="97"/>
          <w:sz w:val="24"/>
          <w:szCs w:val="24"/>
          <w:highlight w:val="none"/>
        </w:rPr>
        <w:t>数（条款）也相同的，按商务条款优劣</w:t>
      </w:r>
      <w:r>
        <w:rPr>
          <w:rFonts w:ascii="宋体" w:hAnsi="宋体" w:eastAsia="宋体" w:cs="宋体"/>
          <w:color w:val="auto"/>
          <w:spacing w:val="-27"/>
          <w:w w:val="97"/>
          <w:sz w:val="24"/>
          <w:szCs w:val="24"/>
          <w:highlight w:val="none"/>
        </w:rPr>
        <w:t>确定</w:t>
      </w:r>
      <w:r>
        <w:rPr>
          <w:rFonts w:ascii="宋体" w:hAnsi="宋体" w:eastAsia="宋体" w:cs="宋体"/>
          <w:color w:val="auto"/>
          <w:spacing w:val="-28"/>
          <w:w w:val="97"/>
          <w:sz w:val="24"/>
          <w:szCs w:val="24"/>
          <w:highlight w:val="none"/>
        </w:rPr>
        <w:t>成交人；报价相同，且技术和商务相同或不具有可比性则由</w:t>
      </w:r>
      <w:r>
        <w:rPr>
          <w:rFonts w:ascii="宋体" w:hAnsi="宋体" w:eastAsia="宋体" w:cs="宋体"/>
          <w:color w:val="auto"/>
          <w:spacing w:val="-11"/>
          <w:w w:val="97"/>
          <w:sz w:val="24"/>
          <w:szCs w:val="24"/>
          <w:highlight w:val="none"/>
        </w:rPr>
        <w:t>采</w:t>
      </w:r>
      <w:r>
        <w:rPr>
          <w:rFonts w:ascii="宋体" w:hAnsi="宋体" w:eastAsia="宋体" w:cs="宋体"/>
          <w:color w:val="auto"/>
          <w:sz w:val="24"/>
          <w:szCs w:val="24"/>
          <w:highlight w:val="none"/>
        </w:rPr>
        <w:t xml:space="preserve"> </w:t>
      </w:r>
      <w:r>
        <w:rPr>
          <w:rFonts w:ascii="宋体" w:hAnsi="宋体" w:eastAsia="宋体" w:cs="宋体"/>
          <w:color w:val="auto"/>
          <w:spacing w:val="-21"/>
          <w:w w:val="94"/>
          <w:sz w:val="24"/>
          <w:szCs w:val="24"/>
          <w:highlight w:val="none"/>
        </w:rPr>
        <w:t>购人或者采购人委托询价小组在相同报价竞标人中以抽签形式确定成交人。</w:t>
      </w:r>
    </w:p>
    <w:p>
      <w:pPr>
        <w:spacing w:before="113" w:line="219" w:lineRule="auto"/>
        <w:ind w:left="486"/>
        <w:outlineLvl w:val="9"/>
        <w:rPr>
          <w:rFonts w:ascii="宋体" w:hAnsi="宋体" w:eastAsia="宋体" w:cs="宋体"/>
          <w:color w:val="auto"/>
          <w:sz w:val="24"/>
          <w:szCs w:val="24"/>
          <w:highlight w:val="none"/>
        </w:rPr>
      </w:pPr>
      <w:bookmarkStart w:id="41" w:name="_Toc279"/>
      <w:r>
        <w:rPr>
          <w:rFonts w:ascii="宋体" w:hAnsi="宋体" w:eastAsia="宋体" w:cs="宋体"/>
          <w:color w:val="auto"/>
          <w:spacing w:val="-1"/>
          <w:sz w:val="24"/>
          <w:szCs w:val="24"/>
          <w:highlight w:val="none"/>
        </w:rPr>
        <w:t>3.成交价格=成交供应商的报价</w:t>
      </w:r>
      <w:bookmarkEnd w:id="41"/>
    </w:p>
    <w:p>
      <w:pPr>
        <w:spacing w:before="119" w:line="286" w:lineRule="auto"/>
        <w:ind w:left="1" w:right="36" w:firstLine="47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4.询价小组认为供应商的报价明显低于其他通过符合性审查供应商的报价，有可能影</w:t>
      </w:r>
      <w:r>
        <w:rPr>
          <w:rFonts w:ascii="宋体" w:hAnsi="宋体" w:eastAsia="宋体" w:cs="宋体"/>
          <w:color w:val="auto"/>
          <w:spacing w:val="5"/>
          <w:sz w:val="24"/>
          <w:szCs w:val="24"/>
          <w:highlight w:val="none"/>
        </w:rPr>
        <w:t xml:space="preserve"> </w:t>
      </w:r>
      <w:r>
        <w:rPr>
          <w:rFonts w:ascii="宋体" w:hAnsi="宋体" w:eastAsia="宋体" w:cs="宋体"/>
          <w:color w:val="auto"/>
          <w:spacing w:val="1"/>
          <w:sz w:val="24"/>
          <w:szCs w:val="24"/>
          <w:highlight w:val="none"/>
        </w:rPr>
        <w:t>响产品质量或者不能诚信履约的，应当要求其在评标现场合理的时间内提供书面说明，必</w:t>
      </w:r>
      <w:r>
        <w:rPr>
          <w:rFonts w:ascii="宋体" w:hAnsi="宋体" w:eastAsia="宋体" w:cs="宋体"/>
          <w:color w:val="auto"/>
          <w:spacing w:val="3"/>
          <w:sz w:val="24"/>
          <w:szCs w:val="24"/>
          <w:highlight w:val="none"/>
        </w:rPr>
        <w:t xml:space="preserve"> </w:t>
      </w:r>
      <w:r>
        <w:rPr>
          <w:rFonts w:ascii="宋体" w:hAnsi="宋体" w:eastAsia="宋体" w:cs="宋体"/>
          <w:color w:val="auto"/>
          <w:spacing w:val="1"/>
          <w:sz w:val="24"/>
          <w:szCs w:val="24"/>
          <w:highlight w:val="none"/>
        </w:rPr>
        <w:t>要时提交相关证明材料；供应商不能证明其报价合理性的，询价小组应当将其作为无效响</w:t>
      </w:r>
      <w:r>
        <w:rPr>
          <w:rFonts w:ascii="宋体" w:hAnsi="宋体" w:eastAsia="宋体" w:cs="宋体"/>
          <w:color w:val="auto"/>
          <w:spacing w:val="3"/>
          <w:sz w:val="24"/>
          <w:szCs w:val="24"/>
          <w:highlight w:val="none"/>
        </w:rPr>
        <w:t xml:space="preserve"> </w:t>
      </w:r>
      <w:r>
        <w:rPr>
          <w:rFonts w:ascii="宋体" w:hAnsi="宋体" w:eastAsia="宋体" w:cs="宋体"/>
          <w:color w:val="auto"/>
          <w:spacing w:val="-3"/>
          <w:sz w:val="24"/>
          <w:szCs w:val="24"/>
          <w:highlight w:val="none"/>
        </w:rPr>
        <w:t>应处理。</w:t>
      </w:r>
    </w:p>
    <w:p>
      <w:pPr>
        <w:spacing w:before="109" w:line="290" w:lineRule="auto"/>
        <w:ind w:left="3" w:right="36" w:firstLine="482"/>
        <w:rPr>
          <w:rFonts w:ascii="宋体" w:hAnsi="宋体" w:eastAsia="宋体" w:cs="宋体"/>
          <w:color w:val="auto"/>
          <w:sz w:val="24"/>
          <w:szCs w:val="24"/>
          <w:highlight w:val="none"/>
        </w:rPr>
      </w:pPr>
      <w:r>
        <w:rPr>
          <w:rFonts w:ascii="宋体" w:hAnsi="宋体" w:eastAsia="宋体" w:cs="宋体"/>
          <w:color w:val="auto"/>
          <w:sz w:val="24"/>
          <w:szCs w:val="24"/>
          <w:highlight w:val="none"/>
        </w:rPr>
        <w:t>5.采取采购人确定成交供应商的，采购</w:t>
      </w:r>
      <w:r>
        <w:rPr>
          <w:rFonts w:hint="eastAsia" w:ascii="宋体" w:hAnsi="宋体" w:eastAsia="宋体" w:cs="宋体"/>
          <w:color w:val="auto"/>
          <w:sz w:val="24"/>
          <w:szCs w:val="24"/>
          <w:highlight w:val="none"/>
          <w:lang w:eastAsia="zh-CN"/>
        </w:rPr>
        <w:t>人</w:t>
      </w:r>
      <w:r>
        <w:rPr>
          <w:rFonts w:ascii="宋体" w:hAnsi="宋体" w:eastAsia="宋体" w:cs="宋体"/>
          <w:color w:val="auto"/>
          <w:sz w:val="24"/>
          <w:szCs w:val="24"/>
          <w:highlight w:val="none"/>
        </w:rPr>
        <w:t>应当在评审结束后</w:t>
      </w:r>
      <w:r>
        <w:rPr>
          <w:rFonts w:ascii="宋体" w:hAnsi="宋体" w:eastAsia="宋体" w:cs="宋体"/>
          <w:color w:val="auto"/>
          <w:spacing w:val="-35"/>
          <w:sz w:val="24"/>
          <w:szCs w:val="24"/>
          <w:highlight w:val="none"/>
        </w:rPr>
        <w:t xml:space="preserve"> </w:t>
      </w:r>
      <w:r>
        <w:rPr>
          <w:rFonts w:ascii="宋体" w:hAnsi="宋体" w:eastAsia="宋体" w:cs="宋体"/>
          <w:color w:val="auto"/>
          <w:sz w:val="24"/>
          <w:szCs w:val="24"/>
          <w:highlight w:val="none"/>
        </w:rPr>
        <w:t>2</w:t>
      </w:r>
      <w:r>
        <w:rPr>
          <w:rFonts w:ascii="宋体" w:hAnsi="宋体" w:eastAsia="宋体" w:cs="宋体"/>
          <w:color w:val="auto"/>
          <w:spacing w:val="-48"/>
          <w:sz w:val="24"/>
          <w:szCs w:val="24"/>
          <w:highlight w:val="none"/>
        </w:rPr>
        <w:t xml:space="preserve"> </w:t>
      </w:r>
      <w:r>
        <w:rPr>
          <w:rFonts w:ascii="宋体" w:hAnsi="宋体" w:eastAsia="宋体" w:cs="宋体"/>
          <w:color w:val="auto"/>
          <w:sz w:val="24"/>
          <w:szCs w:val="24"/>
          <w:highlight w:val="none"/>
        </w:rPr>
        <w:t>个工作日内确认。采购人应当在收到评审报告后</w:t>
      </w:r>
      <w:r>
        <w:rPr>
          <w:rFonts w:ascii="宋体" w:hAnsi="宋体" w:eastAsia="宋体" w:cs="宋体"/>
          <w:color w:val="auto"/>
          <w:spacing w:val="-32"/>
          <w:sz w:val="24"/>
          <w:szCs w:val="24"/>
          <w:highlight w:val="none"/>
        </w:rPr>
        <w:t xml:space="preserve"> </w:t>
      </w:r>
      <w:r>
        <w:rPr>
          <w:rFonts w:ascii="宋体" w:hAnsi="宋体" w:eastAsia="宋体" w:cs="宋体"/>
          <w:color w:val="auto"/>
          <w:sz w:val="24"/>
          <w:szCs w:val="24"/>
          <w:highlight w:val="none"/>
        </w:rPr>
        <w:t>5</w:t>
      </w:r>
      <w:r>
        <w:rPr>
          <w:rFonts w:ascii="宋体" w:hAnsi="宋体" w:eastAsia="宋体" w:cs="宋体"/>
          <w:color w:val="auto"/>
          <w:spacing w:val="-48"/>
          <w:sz w:val="24"/>
          <w:szCs w:val="24"/>
          <w:highlight w:val="none"/>
        </w:rPr>
        <w:t xml:space="preserve"> </w:t>
      </w:r>
      <w:r>
        <w:rPr>
          <w:rFonts w:ascii="宋体" w:hAnsi="宋体" w:eastAsia="宋体" w:cs="宋体"/>
          <w:color w:val="auto"/>
          <w:sz w:val="24"/>
          <w:szCs w:val="24"/>
          <w:highlight w:val="none"/>
        </w:rPr>
        <w:t xml:space="preserve">个工作日内，从评审报告提出的成 </w:t>
      </w:r>
      <w:r>
        <w:rPr>
          <w:rFonts w:ascii="宋体" w:hAnsi="宋体" w:eastAsia="宋体" w:cs="宋体"/>
          <w:color w:val="auto"/>
          <w:spacing w:val="1"/>
          <w:sz w:val="24"/>
          <w:szCs w:val="24"/>
          <w:highlight w:val="none"/>
        </w:rPr>
        <w:t>交候选人中，根据质量和服务均能满足询价通知书实质性响应要求且报价最低的原则确定 成交供应商。采购人逾期未确定成交供应商且不提出异议的，视为确定评审报告提出的最</w:t>
      </w:r>
      <w:r>
        <w:rPr>
          <w:rFonts w:ascii="宋体" w:hAnsi="宋体" w:eastAsia="宋体" w:cs="宋体"/>
          <w:color w:val="auto"/>
          <w:sz w:val="24"/>
          <w:szCs w:val="24"/>
          <w:highlight w:val="none"/>
        </w:rPr>
        <w:t>后报价最低的供应商为成交供应商。采购人也可以授权询</w:t>
      </w:r>
      <w:r>
        <w:rPr>
          <w:rFonts w:ascii="宋体" w:hAnsi="宋体" w:eastAsia="宋体" w:cs="宋体"/>
          <w:color w:val="auto"/>
          <w:spacing w:val="-1"/>
          <w:sz w:val="24"/>
          <w:szCs w:val="24"/>
          <w:highlight w:val="none"/>
        </w:rPr>
        <w:t>价小组直接确定成交供应商。</w:t>
      </w:r>
    </w:p>
    <w:p>
      <w:pPr>
        <w:spacing w:before="117" w:line="219" w:lineRule="auto"/>
        <w:ind w:left="483"/>
        <w:outlineLvl w:val="9"/>
        <w:rPr>
          <w:rFonts w:ascii="宋体" w:hAnsi="宋体" w:eastAsia="宋体" w:cs="宋体"/>
          <w:color w:val="auto"/>
          <w:sz w:val="24"/>
          <w:szCs w:val="24"/>
          <w:highlight w:val="none"/>
        </w:rPr>
      </w:pPr>
      <w:bookmarkStart w:id="42" w:name="_Toc17460"/>
      <w:r>
        <w:rPr>
          <w:rFonts w:ascii="宋体" w:hAnsi="宋体" w:eastAsia="宋体" w:cs="宋体"/>
          <w:color w:val="auto"/>
          <w:spacing w:val="-2"/>
          <w:sz w:val="24"/>
          <w:szCs w:val="24"/>
          <w:highlight w:val="none"/>
        </w:rPr>
        <w:t>6.成交供应商的变更</w:t>
      </w:r>
      <w:bookmarkEnd w:id="42"/>
    </w:p>
    <w:p>
      <w:pPr>
        <w:spacing w:before="116" w:line="278" w:lineRule="auto"/>
        <w:ind w:left="1" w:right="36" w:firstLine="48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6.1</w:t>
      </w:r>
      <w:r>
        <w:rPr>
          <w:rFonts w:ascii="宋体" w:hAnsi="宋体" w:eastAsia="宋体" w:cs="宋体"/>
          <w:color w:val="auto"/>
          <w:spacing w:val="-36"/>
          <w:sz w:val="24"/>
          <w:szCs w:val="24"/>
          <w:highlight w:val="none"/>
        </w:rPr>
        <w:t xml:space="preserve"> </w:t>
      </w:r>
      <w:r>
        <w:rPr>
          <w:rFonts w:ascii="宋体" w:hAnsi="宋体" w:eastAsia="宋体" w:cs="宋体"/>
          <w:color w:val="auto"/>
          <w:spacing w:val="2"/>
          <w:sz w:val="24"/>
          <w:szCs w:val="24"/>
          <w:highlight w:val="none"/>
        </w:rPr>
        <w:t>成交供应商拒绝与采购人签订合同的，采购人可以按照评审报告推荐的成交候选</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供应商顺序，确定排名下一位的候选人为成交供应商，也可以重新开展采购活动。拒绝签</w:t>
      </w:r>
      <w:r>
        <w:rPr>
          <w:rFonts w:ascii="宋体" w:hAnsi="宋体" w:eastAsia="宋体" w:cs="宋体"/>
          <w:color w:val="auto"/>
          <w:spacing w:val="3"/>
          <w:sz w:val="24"/>
          <w:szCs w:val="24"/>
          <w:highlight w:val="none"/>
        </w:rPr>
        <w:t xml:space="preserve"> </w:t>
      </w:r>
      <w:r>
        <w:rPr>
          <w:rFonts w:ascii="宋体" w:hAnsi="宋体" w:eastAsia="宋体" w:cs="宋体"/>
          <w:color w:val="auto"/>
          <w:spacing w:val="-1"/>
          <w:sz w:val="24"/>
          <w:szCs w:val="24"/>
          <w:highlight w:val="none"/>
        </w:rPr>
        <w:t>订采购合同的成交供应商不得参加对该项目重新开展的采购活动。</w:t>
      </w:r>
    </w:p>
    <w:p>
      <w:pPr>
        <w:spacing w:before="116" w:line="263" w:lineRule="auto"/>
        <w:ind w:left="2" w:right="36" w:firstLine="48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6.2</w:t>
      </w:r>
      <w:r>
        <w:rPr>
          <w:rFonts w:ascii="宋体" w:hAnsi="宋体" w:eastAsia="宋体" w:cs="宋体"/>
          <w:color w:val="auto"/>
          <w:spacing w:val="-36"/>
          <w:sz w:val="24"/>
          <w:szCs w:val="24"/>
          <w:highlight w:val="none"/>
        </w:rPr>
        <w:t xml:space="preserve"> </w:t>
      </w:r>
      <w:r>
        <w:rPr>
          <w:rFonts w:ascii="宋体" w:hAnsi="宋体" w:eastAsia="宋体" w:cs="宋体"/>
          <w:color w:val="auto"/>
          <w:spacing w:val="2"/>
          <w:sz w:val="24"/>
          <w:szCs w:val="24"/>
          <w:highlight w:val="none"/>
        </w:rPr>
        <w:t>采购人违法改变成交结果，或者成交供应商无正当理由放弃成交项目的，应当依</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法承担法律责任。</w:t>
      </w:r>
    </w:p>
    <w:p>
      <w:pPr>
        <w:spacing w:line="263" w:lineRule="auto"/>
        <w:rPr>
          <w:rFonts w:ascii="宋体" w:hAnsi="宋体" w:eastAsia="宋体" w:cs="宋体"/>
          <w:color w:val="auto"/>
          <w:sz w:val="24"/>
          <w:szCs w:val="24"/>
          <w:highlight w:val="none"/>
        </w:rPr>
        <w:sectPr>
          <w:footerReference r:id="rId15" w:type="default"/>
          <w:pgSz w:w="11907" w:h="16840"/>
          <w:pgMar w:top="1323" w:right="1154" w:bottom="1221" w:left="1310" w:header="0" w:footer="853" w:gutter="0"/>
          <w:pgNumType w:fmt="decimal"/>
          <w:cols w:space="720" w:num="1"/>
          <w:titlePg/>
        </w:sectPr>
      </w:pPr>
    </w:p>
    <w:p>
      <w:pPr>
        <w:spacing w:before="53" w:line="242" w:lineRule="auto"/>
        <w:ind w:left="483"/>
        <w:outlineLvl w:val="1"/>
        <w:rPr>
          <w:rFonts w:ascii="黑体" w:hAnsi="黑体" w:eastAsia="黑体" w:cs="黑体"/>
          <w:color w:val="auto"/>
          <w:sz w:val="24"/>
          <w:szCs w:val="24"/>
          <w:highlight w:val="none"/>
        </w:rPr>
      </w:pPr>
      <w:bookmarkStart w:id="43" w:name="bookmark30"/>
      <w:bookmarkEnd w:id="43"/>
      <w:bookmarkStart w:id="44" w:name="_Toc28818"/>
      <w:r>
        <w:rPr>
          <w:rFonts w:ascii="黑体" w:hAnsi="黑体" w:eastAsia="黑体" w:cs="黑体"/>
          <w:color w:val="auto"/>
          <w:spacing w:val="-3"/>
          <w:sz w:val="24"/>
          <w:szCs w:val="24"/>
          <w:highlight w:val="none"/>
        </w:rPr>
        <w:t>五、评审依据</w:t>
      </w:r>
      <w:bookmarkEnd w:id="44"/>
    </w:p>
    <w:p>
      <w:pPr>
        <w:spacing w:before="92" w:line="305" w:lineRule="auto"/>
        <w:ind w:right="99" w:firstLine="48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评审的依据为询价通知书和响应文件（含有效的补充文件）。询价小组判断响应文件</w:t>
      </w:r>
      <w:r>
        <w:rPr>
          <w:rFonts w:ascii="宋体" w:hAnsi="宋体" w:eastAsia="宋体" w:cs="宋体"/>
          <w:color w:val="auto"/>
          <w:spacing w:val="6"/>
          <w:sz w:val="24"/>
          <w:szCs w:val="24"/>
          <w:highlight w:val="none"/>
        </w:rPr>
        <w:t xml:space="preserve"> </w:t>
      </w:r>
      <w:r>
        <w:rPr>
          <w:rFonts w:ascii="宋体" w:hAnsi="宋体" w:eastAsia="宋体" w:cs="宋体"/>
          <w:color w:val="auto"/>
          <w:spacing w:val="-1"/>
          <w:sz w:val="24"/>
          <w:szCs w:val="24"/>
          <w:highlight w:val="none"/>
        </w:rPr>
        <w:t>对询价通知书的响应，仅基于响应文件本身而不靠外部证据。</w:t>
      </w:r>
    </w:p>
    <w:p>
      <w:pPr>
        <w:spacing w:line="242" w:lineRule="auto"/>
        <w:ind w:left="485"/>
        <w:outlineLvl w:val="1"/>
        <w:rPr>
          <w:rFonts w:ascii="黑体" w:hAnsi="黑体" w:eastAsia="黑体" w:cs="黑体"/>
          <w:color w:val="auto"/>
          <w:sz w:val="24"/>
          <w:szCs w:val="24"/>
          <w:highlight w:val="none"/>
        </w:rPr>
      </w:pPr>
      <w:bookmarkStart w:id="45" w:name="_Toc25160"/>
      <w:r>
        <w:rPr>
          <w:rFonts w:ascii="黑体" w:hAnsi="黑体" w:eastAsia="黑体" w:cs="黑体"/>
          <w:color w:val="auto"/>
          <w:spacing w:val="-3"/>
          <w:sz w:val="24"/>
          <w:szCs w:val="24"/>
          <w:highlight w:val="none"/>
        </w:rPr>
        <w:t>六、成交通知</w:t>
      </w:r>
      <w:bookmarkEnd w:id="45"/>
    </w:p>
    <w:p>
      <w:pPr>
        <w:spacing w:before="92" w:line="219" w:lineRule="auto"/>
        <w:ind w:left="37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（一）成交供应商确定后</w:t>
      </w:r>
      <w:r>
        <w:rPr>
          <w:rFonts w:ascii="宋体" w:hAnsi="宋体" w:eastAsia="宋体" w:cs="宋体"/>
          <w:color w:val="auto"/>
          <w:spacing w:val="-48"/>
          <w:sz w:val="24"/>
          <w:szCs w:val="24"/>
          <w:highlight w:val="none"/>
        </w:rPr>
        <w:t xml:space="preserve"> </w:t>
      </w:r>
      <w:r>
        <w:rPr>
          <w:rFonts w:ascii="宋体" w:hAnsi="宋体" w:eastAsia="宋体" w:cs="宋体"/>
          <w:color w:val="auto"/>
          <w:spacing w:val="-1"/>
          <w:sz w:val="24"/>
          <w:szCs w:val="24"/>
          <w:highlight w:val="none"/>
        </w:rPr>
        <w:t>2</w:t>
      </w:r>
      <w:r>
        <w:rPr>
          <w:rFonts w:ascii="宋体" w:hAnsi="宋体" w:eastAsia="宋体" w:cs="宋体"/>
          <w:color w:val="auto"/>
          <w:spacing w:val="-50"/>
          <w:sz w:val="24"/>
          <w:szCs w:val="24"/>
          <w:highlight w:val="none"/>
        </w:rPr>
        <w:t xml:space="preserve"> </w:t>
      </w:r>
      <w:r>
        <w:rPr>
          <w:rFonts w:ascii="宋体" w:hAnsi="宋体" w:eastAsia="宋体" w:cs="宋体"/>
          <w:color w:val="auto"/>
          <w:spacing w:val="-1"/>
          <w:sz w:val="24"/>
          <w:szCs w:val="24"/>
          <w:highlight w:val="none"/>
        </w:rPr>
        <w:t>个工作日内，采购</w:t>
      </w:r>
      <w:r>
        <w:rPr>
          <w:rFonts w:hint="eastAsia" w:ascii="宋体" w:hAnsi="宋体" w:eastAsia="宋体" w:cs="宋体"/>
          <w:color w:val="auto"/>
          <w:spacing w:val="-1"/>
          <w:sz w:val="24"/>
          <w:szCs w:val="24"/>
          <w:highlight w:val="none"/>
          <w:lang w:eastAsia="zh-CN"/>
        </w:rPr>
        <w:t>人</w:t>
      </w:r>
      <w:r>
        <w:rPr>
          <w:rFonts w:ascii="宋体" w:hAnsi="宋体" w:eastAsia="宋体" w:cs="宋体"/>
          <w:color w:val="auto"/>
          <w:spacing w:val="-2"/>
          <w:sz w:val="24"/>
          <w:szCs w:val="24"/>
          <w:highlight w:val="none"/>
        </w:rPr>
        <w:t>发布成交结果公告。</w:t>
      </w:r>
    </w:p>
    <w:p>
      <w:pPr>
        <w:spacing w:before="116" w:line="264" w:lineRule="auto"/>
        <w:ind w:left="5" w:right="99" w:firstLine="36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（二）结果公告期结束后，采购</w:t>
      </w:r>
      <w:r>
        <w:rPr>
          <w:rFonts w:hint="eastAsia" w:ascii="宋体" w:hAnsi="宋体" w:eastAsia="宋体" w:cs="宋体"/>
          <w:color w:val="auto"/>
          <w:spacing w:val="-2"/>
          <w:sz w:val="24"/>
          <w:szCs w:val="24"/>
          <w:highlight w:val="none"/>
          <w:lang w:eastAsia="zh-CN"/>
        </w:rPr>
        <w:t>人</w:t>
      </w:r>
      <w:r>
        <w:rPr>
          <w:rFonts w:ascii="宋体" w:hAnsi="宋体" w:eastAsia="宋体" w:cs="宋体"/>
          <w:color w:val="auto"/>
          <w:spacing w:val="-2"/>
          <w:sz w:val="24"/>
          <w:szCs w:val="24"/>
          <w:highlight w:val="none"/>
        </w:rPr>
        <w:t>将以书面形式</w:t>
      </w:r>
      <w:r>
        <w:rPr>
          <w:rFonts w:ascii="宋体" w:hAnsi="宋体" w:eastAsia="宋体" w:cs="宋体"/>
          <w:color w:val="auto"/>
          <w:spacing w:val="-3"/>
          <w:sz w:val="24"/>
          <w:szCs w:val="24"/>
          <w:highlight w:val="none"/>
        </w:rPr>
        <w:t>发出《成交通知书》。《成交通</w:t>
      </w:r>
      <w:r>
        <w:rPr>
          <w:rFonts w:ascii="宋体" w:hAnsi="宋体" w:eastAsia="宋体" w:cs="宋体"/>
          <w:color w:val="auto"/>
          <w:spacing w:val="-1"/>
          <w:sz w:val="24"/>
          <w:szCs w:val="24"/>
          <w:highlight w:val="none"/>
        </w:rPr>
        <w:t>知书》一经发出即发生法律效力。</w:t>
      </w:r>
    </w:p>
    <w:p>
      <w:pPr>
        <w:spacing w:before="113" w:line="219" w:lineRule="auto"/>
        <w:ind w:left="372"/>
        <w:outlineLvl w:val="9"/>
        <w:rPr>
          <w:rFonts w:ascii="宋体" w:hAnsi="宋体" w:eastAsia="宋体" w:cs="宋体"/>
          <w:color w:val="auto"/>
          <w:sz w:val="24"/>
          <w:szCs w:val="24"/>
          <w:highlight w:val="none"/>
        </w:rPr>
      </w:pPr>
      <w:bookmarkStart w:id="46" w:name="_Toc24804"/>
      <w:r>
        <w:rPr>
          <w:rFonts w:ascii="宋体" w:hAnsi="宋体" w:eastAsia="宋体" w:cs="宋体"/>
          <w:color w:val="auto"/>
          <w:spacing w:val="-1"/>
          <w:sz w:val="24"/>
          <w:szCs w:val="24"/>
          <w:highlight w:val="none"/>
        </w:rPr>
        <w:t>（三）《成交通知书》将作为签订合同的依据。</w:t>
      </w:r>
      <w:bookmarkEnd w:id="46"/>
    </w:p>
    <w:p>
      <w:pPr>
        <w:spacing w:before="116" w:line="219" w:lineRule="auto"/>
        <w:ind w:left="37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（四）如有供应商对成交结果提出质疑的，在质疑处理完毕后发出成交通知书。</w:t>
      </w:r>
    </w:p>
    <w:p>
      <w:pPr>
        <w:spacing w:before="107"/>
        <w:ind w:left="481"/>
        <w:outlineLvl w:val="1"/>
        <w:rPr>
          <w:rFonts w:ascii="黑体" w:hAnsi="黑体" w:eastAsia="黑体" w:cs="黑体"/>
          <w:color w:val="auto"/>
          <w:sz w:val="24"/>
          <w:szCs w:val="24"/>
          <w:highlight w:val="none"/>
        </w:rPr>
      </w:pPr>
      <w:bookmarkStart w:id="47" w:name="_Toc322"/>
      <w:r>
        <w:rPr>
          <w:rFonts w:ascii="黑体" w:hAnsi="黑体" w:eastAsia="黑体" w:cs="黑体"/>
          <w:color w:val="auto"/>
          <w:spacing w:val="-1"/>
          <w:sz w:val="24"/>
          <w:szCs w:val="24"/>
          <w:highlight w:val="none"/>
        </w:rPr>
        <w:t>七、关于询问、质疑和投诉</w:t>
      </w:r>
      <w:bookmarkEnd w:id="47"/>
    </w:p>
    <w:p>
      <w:pPr>
        <w:spacing w:before="95" w:line="192" w:lineRule="auto"/>
        <w:ind w:left="466"/>
        <w:outlineLvl w:val="9"/>
        <w:rPr>
          <w:rFonts w:ascii="微软雅黑" w:hAnsi="微软雅黑" w:eastAsia="微软雅黑" w:cs="微软雅黑"/>
          <w:color w:val="auto"/>
          <w:sz w:val="24"/>
          <w:szCs w:val="24"/>
          <w:highlight w:val="none"/>
        </w:rPr>
      </w:pPr>
      <w:bookmarkStart w:id="48" w:name="_Toc17728"/>
      <w:r>
        <w:rPr>
          <w:rFonts w:ascii="微软雅黑" w:hAnsi="微软雅黑" w:eastAsia="微软雅黑" w:cs="微软雅黑"/>
          <w:color w:val="auto"/>
          <w:spacing w:val="1"/>
          <w:sz w:val="24"/>
          <w:szCs w:val="24"/>
          <w:highlight w:val="none"/>
        </w:rPr>
        <w:t>（一）询问</w:t>
      </w:r>
      <w:bookmarkEnd w:id="48"/>
    </w:p>
    <w:p>
      <w:pPr>
        <w:spacing w:before="72" w:line="307" w:lineRule="auto"/>
        <w:ind w:right="99" w:firstLine="479"/>
        <w:outlineLvl w:val="9"/>
        <w:rPr>
          <w:rFonts w:ascii="宋体" w:hAnsi="宋体" w:eastAsia="宋体" w:cs="宋体"/>
          <w:color w:val="auto"/>
          <w:sz w:val="24"/>
          <w:szCs w:val="24"/>
          <w:highlight w:val="none"/>
        </w:rPr>
      </w:pPr>
      <w:r>
        <w:rPr>
          <w:rFonts w:ascii="宋体" w:hAnsi="宋体" w:eastAsia="宋体" w:cs="宋体"/>
          <w:color w:val="auto"/>
          <w:sz w:val="24"/>
          <w:szCs w:val="24"/>
          <w:highlight w:val="none"/>
        </w:rPr>
        <w:t>采购人应当在</w:t>
      </w:r>
      <w:r>
        <w:rPr>
          <w:rFonts w:ascii="宋体" w:hAnsi="宋体" w:eastAsia="宋体" w:cs="宋体"/>
          <w:color w:val="auto"/>
          <w:spacing w:val="-27"/>
          <w:sz w:val="24"/>
          <w:szCs w:val="24"/>
          <w:highlight w:val="none"/>
        </w:rPr>
        <w:t xml:space="preserve"> </w:t>
      </w:r>
      <w:r>
        <w:rPr>
          <w:rFonts w:ascii="宋体" w:hAnsi="宋体" w:eastAsia="宋体" w:cs="宋体"/>
          <w:color w:val="auto"/>
          <w:sz w:val="24"/>
          <w:szCs w:val="24"/>
          <w:highlight w:val="none"/>
        </w:rPr>
        <w:t>3</w:t>
      </w:r>
      <w:r>
        <w:rPr>
          <w:rFonts w:ascii="宋体" w:hAnsi="宋体" w:eastAsia="宋体" w:cs="宋体"/>
          <w:color w:val="auto"/>
          <w:spacing w:val="-50"/>
          <w:sz w:val="24"/>
          <w:szCs w:val="24"/>
          <w:highlight w:val="none"/>
        </w:rPr>
        <w:t xml:space="preserve"> </w:t>
      </w:r>
      <w:r>
        <w:rPr>
          <w:rFonts w:ascii="宋体" w:hAnsi="宋体" w:eastAsia="宋体" w:cs="宋体"/>
          <w:color w:val="auto"/>
          <w:sz w:val="24"/>
          <w:szCs w:val="24"/>
          <w:highlight w:val="none"/>
        </w:rPr>
        <w:t xml:space="preserve">个工作日内对供应商依法提出的询问作出答复。供 </w:t>
      </w:r>
      <w:r>
        <w:rPr>
          <w:rFonts w:ascii="宋体" w:hAnsi="宋体" w:eastAsia="宋体" w:cs="宋体"/>
          <w:color w:val="auto"/>
          <w:spacing w:val="-1"/>
          <w:sz w:val="24"/>
          <w:szCs w:val="24"/>
          <w:highlight w:val="none"/>
        </w:rPr>
        <w:t>应商询问可以是口头或书面形式。</w:t>
      </w:r>
    </w:p>
    <w:p>
      <w:pPr>
        <w:spacing w:line="192" w:lineRule="auto"/>
        <w:ind w:left="466"/>
        <w:outlineLvl w:val="9"/>
        <w:rPr>
          <w:rFonts w:ascii="微软雅黑" w:hAnsi="微软雅黑" w:eastAsia="微软雅黑" w:cs="微软雅黑"/>
          <w:color w:val="auto"/>
          <w:sz w:val="24"/>
          <w:szCs w:val="24"/>
          <w:highlight w:val="none"/>
        </w:rPr>
      </w:pPr>
      <w:bookmarkStart w:id="49" w:name="_Toc23791"/>
      <w:r>
        <w:rPr>
          <w:rFonts w:ascii="微软雅黑" w:hAnsi="微软雅黑" w:eastAsia="微软雅黑" w:cs="微软雅黑"/>
          <w:color w:val="auto"/>
          <w:spacing w:val="-10"/>
          <w:sz w:val="24"/>
          <w:szCs w:val="24"/>
          <w:highlight w:val="none"/>
        </w:rPr>
        <w:t>（</w:t>
      </w:r>
      <w:r>
        <w:rPr>
          <w:rFonts w:ascii="微软雅黑" w:hAnsi="微软雅黑" w:eastAsia="微软雅黑" w:cs="微软雅黑"/>
          <w:color w:val="auto"/>
          <w:spacing w:val="-11"/>
          <w:sz w:val="24"/>
          <w:szCs w:val="24"/>
          <w:highlight w:val="none"/>
        </w:rPr>
        <w:t xml:space="preserve"> </w:t>
      </w:r>
      <w:r>
        <w:rPr>
          <w:rFonts w:ascii="微软雅黑" w:hAnsi="微软雅黑" w:eastAsia="微软雅黑" w:cs="微软雅黑"/>
          <w:color w:val="auto"/>
          <w:spacing w:val="-10"/>
          <w:sz w:val="24"/>
          <w:szCs w:val="24"/>
          <w:highlight w:val="none"/>
        </w:rPr>
        <w:t>二</w:t>
      </w:r>
      <w:r>
        <w:rPr>
          <w:rFonts w:ascii="微软雅黑" w:hAnsi="微软雅黑" w:eastAsia="微软雅黑" w:cs="微软雅黑"/>
          <w:color w:val="auto"/>
          <w:spacing w:val="-27"/>
          <w:sz w:val="24"/>
          <w:szCs w:val="24"/>
          <w:highlight w:val="none"/>
        </w:rPr>
        <w:t xml:space="preserve"> </w:t>
      </w:r>
      <w:r>
        <w:rPr>
          <w:rFonts w:ascii="微软雅黑" w:hAnsi="微软雅黑" w:eastAsia="微软雅黑" w:cs="微软雅黑"/>
          <w:color w:val="auto"/>
          <w:spacing w:val="-10"/>
          <w:sz w:val="24"/>
          <w:szCs w:val="24"/>
          <w:highlight w:val="none"/>
        </w:rPr>
        <w:t>）质疑内容、时限</w:t>
      </w:r>
      <w:bookmarkEnd w:id="49"/>
    </w:p>
    <w:p>
      <w:pPr>
        <w:spacing w:before="72" w:line="221" w:lineRule="auto"/>
        <w:ind w:left="498"/>
        <w:outlineLvl w:val="9"/>
        <w:rPr>
          <w:rFonts w:ascii="宋体" w:hAnsi="宋体" w:eastAsia="宋体" w:cs="宋体"/>
          <w:color w:val="auto"/>
          <w:sz w:val="24"/>
          <w:szCs w:val="24"/>
          <w:highlight w:val="none"/>
        </w:rPr>
      </w:pPr>
      <w:bookmarkStart w:id="50" w:name="_Toc12827"/>
      <w:r>
        <w:rPr>
          <w:rFonts w:ascii="宋体" w:hAnsi="宋体" w:eastAsia="宋体" w:cs="宋体"/>
          <w:color w:val="auto"/>
          <w:spacing w:val="-5"/>
          <w:sz w:val="24"/>
          <w:szCs w:val="24"/>
          <w:highlight w:val="none"/>
        </w:rPr>
        <w:t>1.质疑提出</w:t>
      </w:r>
      <w:bookmarkEnd w:id="50"/>
    </w:p>
    <w:p>
      <w:pPr>
        <w:spacing w:before="115" w:line="307" w:lineRule="auto"/>
        <w:ind w:right="35" w:firstLine="480"/>
        <w:outlineLvl w:val="9"/>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提出质疑的供应商应当是参与所质疑项目采购活动的供应商。潜在供应商提出质疑前，</w:t>
      </w:r>
      <w:r>
        <w:rPr>
          <w:rFonts w:ascii="宋体" w:hAnsi="宋体" w:eastAsia="宋体" w:cs="宋体"/>
          <w:color w:val="auto"/>
          <w:spacing w:val="16"/>
          <w:sz w:val="24"/>
          <w:szCs w:val="24"/>
          <w:highlight w:val="none"/>
        </w:rPr>
        <w:t xml:space="preserve"> </w:t>
      </w:r>
      <w:r>
        <w:rPr>
          <w:rFonts w:ascii="宋体" w:hAnsi="宋体" w:eastAsia="宋体" w:cs="宋体"/>
          <w:color w:val="auto"/>
          <w:spacing w:val="-1"/>
          <w:sz w:val="24"/>
          <w:szCs w:val="24"/>
          <w:highlight w:val="none"/>
        </w:rPr>
        <w:t>应依法获取其可质疑的采购文件。</w:t>
      </w:r>
    </w:p>
    <w:p>
      <w:pPr>
        <w:spacing w:line="220" w:lineRule="auto"/>
        <w:ind w:left="483"/>
        <w:outlineLvl w:val="9"/>
        <w:rPr>
          <w:rFonts w:ascii="宋体" w:hAnsi="宋体" w:eastAsia="宋体" w:cs="宋体"/>
          <w:color w:val="auto"/>
          <w:sz w:val="24"/>
          <w:szCs w:val="24"/>
          <w:highlight w:val="none"/>
        </w:rPr>
      </w:pPr>
      <w:bookmarkStart w:id="51" w:name="_Toc18527"/>
      <w:r>
        <w:rPr>
          <w:rFonts w:ascii="宋体" w:hAnsi="宋体" w:eastAsia="宋体" w:cs="宋体"/>
          <w:color w:val="auto"/>
          <w:spacing w:val="-2"/>
          <w:sz w:val="24"/>
          <w:szCs w:val="24"/>
          <w:highlight w:val="none"/>
        </w:rPr>
        <w:t>2.质疑时限、内容</w:t>
      </w:r>
      <w:bookmarkEnd w:id="51"/>
    </w:p>
    <w:p>
      <w:pPr>
        <w:spacing w:before="114" w:line="263" w:lineRule="auto"/>
        <w:ind w:left="2" w:right="99" w:firstLine="480"/>
        <w:outlineLvl w:val="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2.1</w:t>
      </w:r>
      <w:r>
        <w:rPr>
          <w:rFonts w:ascii="宋体" w:hAnsi="宋体" w:eastAsia="宋体" w:cs="宋体"/>
          <w:color w:val="auto"/>
          <w:spacing w:val="-37"/>
          <w:sz w:val="24"/>
          <w:szCs w:val="24"/>
          <w:highlight w:val="none"/>
        </w:rPr>
        <w:t xml:space="preserve"> </w:t>
      </w:r>
      <w:r>
        <w:rPr>
          <w:rFonts w:ascii="宋体" w:hAnsi="宋体" w:eastAsia="宋体" w:cs="宋体"/>
          <w:color w:val="auto"/>
          <w:spacing w:val="2"/>
          <w:sz w:val="24"/>
          <w:szCs w:val="24"/>
          <w:highlight w:val="none"/>
        </w:rPr>
        <w:t>供应商认为采购文件、采购过程和成交结果使自己的权益受到伤害的，可向采购</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人以书面形式提出质疑。</w:t>
      </w:r>
    </w:p>
    <w:p>
      <w:pPr>
        <w:spacing w:before="116" w:line="278" w:lineRule="auto"/>
        <w:ind w:left="1" w:right="99" w:firstLine="481"/>
        <w:outlineLvl w:val="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2.2</w:t>
      </w:r>
      <w:r>
        <w:rPr>
          <w:rFonts w:ascii="宋体" w:hAnsi="宋体" w:eastAsia="宋体" w:cs="宋体"/>
          <w:color w:val="auto"/>
          <w:spacing w:val="-37"/>
          <w:sz w:val="24"/>
          <w:szCs w:val="24"/>
          <w:highlight w:val="none"/>
        </w:rPr>
        <w:t xml:space="preserve"> </w:t>
      </w:r>
      <w:r>
        <w:rPr>
          <w:rFonts w:ascii="宋体" w:hAnsi="宋体" w:eastAsia="宋体" w:cs="宋体"/>
          <w:color w:val="auto"/>
          <w:spacing w:val="2"/>
          <w:sz w:val="24"/>
          <w:szCs w:val="24"/>
          <w:highlight w:val="none"/>
        </w:rPr>
        <w:t>供应商对询价文件提出质疑的，应在询价文件公布之日起三个工作日内，一次性</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提出针对询价文件的所有质疑（注：质疑特定资格条件、技术质量和商务要求、评审标准</w:t>
      </w:r>
      <w:r>
        <w:rPr>
          <w:rFonts w:ascii="宋体" w:hAnsi="宋体" w:eastAsia="宋体" w:cs="宋体"/>
          <w:color w:val="auto"/>
          <w:sz w:val="24"/>
          <w:szCs w:val="24"/>
          <w:highlight w:val="none"/>
        </w:rPr>
        <w:t xml:space="preserve"> 有异议的，应主要向采购人提出质疑</w:t>
      </w:r>
      <w:r>
        <w:rPr>
          <w:rFonts w:ascii="宋体" w:hAnsi="宋体" w:eastAsia="宋体" w:cs="宋体"/>
          <w:color w:val="auto"/>
          <w:spacing w:val="-1"/>
          <w:sz w:val="24"/>
          <w:szCs w:val="24"/>
          <w:highlight w:val="none"/>
        </w:rPr>
        <w:t>）。</w:t>
      </w:r>
    </w:p>
    <w:p>
      <w:pPr>
        <w:spacing w:before="115" w:line="264" w:lineRule="auto"/>
        <w:ind w:left="4" w:right="155" w:firstLine="479"/>
        <w:outlineLvl w:val="9"/>
        <w:rPr>
          <w:rFonts w:ascii="宋体" w:hAnsi="宋体" w:eastAsia="宋体" w:cs="宋体"/>
          <w:color w:val="auto"/>
          <w:sz w:val="24"/>
          <w:szCs w:val="24"/>
          <w:highlight w:val="none"/>
        </w:rPr>
      </w:pPr>
      <w:r>
        <w:rPr>
          <w:rFonts w:ascii="宋体" w:hAnsi="宋体" w:eastAsia="宋体" w:cs="宋体"/>
          <w:color w:val="auto"/>
          <w:sz w:val="24"/>
          <w:szCs w:val="24"/>
          <w:highlight w:val="none"/>
        </w:rPr>
        <w:t>2.3 供应商对采购过程提出质疑的，应在各</w:t>
      </w:r>
      <w:r>
        <w:rPr>
          <w:rFonts w:ascii="宋体" w:hAnsi="宋体" w:eastAsia="宋体" w:cs="宋体"/>
          <w:color w:val="auto"/>
          <w:spacing w:val="-1"/>
          <w:sz w:val="24"/>
          <w:szCs w:val="24"/>
          <w:highlight w:val="none"/>
        </w:rPr>
        <w:t>采购程序环节结束之日起七个工作日内，</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一次性提出针对同一采购程序环节的所有质疑。</w:t>
      </w:r>
    </w:p>
    <w:p>
      <w:pPr>
        <w:spacing w:before="114" w:line="264" w:lineRule="auto"/>
        <w:ind w:left="30" w:right="99" w:firstLine="453"/>
        <w:outlineLvl w:val="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2.4</w:t>
      </w:r>
      <w:r>
        <w:rPr>
          <w:rFonts w:ascii="宋体" w:hAnsi="宋体" w:eastAsia="宋体" w:cs="宋体"/>
          <w:color w:val="auto"/>
          <w:spacing w:val="-37"/>
          <w:sz w:val="24"/>
          <w:szCs w:val="24"/>
          <w:highlight w:val="none"/>
        </w:rPr>
        <w:t xml:space="preserve"> </w:t>
      </w:r>
      <w:r>
        <w:rPr>
          <w:rFonts w:ascii="宋体" w:hAnsi="宋体" w:eastAsia="宋体" w:cs="宋体"/>
          <w:color w:val="auto"/>
          <w:spacing w:val="2"/>
          <w:sz w:val="24"/>
          <w:szCs w:val="24"/>
          <w:highlight w:val="none"/>
        </w:rPr>
        <w:t>供应商对成交结果提出质疑的，应当在成交结果公告期限届满之日起七个工作日</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内，一次性提出针对成交结果的所有质疑。</w:t>
      </w:r>
    </w:p>
    <w:p>
      <w:pPr>
        <w:spacing w:before="115" w:line="219" w:lineRule="auto"/>
        <w:ind w:left="483"/>
        <w:outlineLvl w:val="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2.5</w:t>
      </w:r>
      <w:r>
        <w:rPr>
          <w:rFonts w:ascii="宋体" w:hAnsi="宋体" w:eastAsia="宋体" w:cs="宋体"/>
          <w:color w:val="auto"/>
          <w:spacing w:val="-36"/>
          <w:sz w:val="24"/>
          <w:szCs w:val="24"/>
          <w:highlight w:val="none"/>
        </w:rPr>
        <w:t xml:space="preserve"> </w:t>
      </w:r>
      <w:r>
        <w:rPr>
          <w:rFonts w:ascii="宋体" w:hAnsi="宋体" w:eastAsia="宋体" w:cs="宋体"/>
          <w:color w:val="auto"/>
          <w:spacing w:val="-1"/>
          <w:sz w:val="24"/>
          <w:szCs w:val="24"/>
          <w:highlight w:val="none"/>
        </w:rPr>
        <w:t>供应商提出质疑应当提交质疑函和必要的证明材料，质疑函应当包括下列内容：</w:t>
      </w:r>
    </w:p>
    <w:p>
      <w:pPr>
        <w:spacing w:before="114" w:line="219" w:lineRule="auto"/>
        <w:ind w:left="483"/>
        <w:outlineLvl w:val="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2.5.1</w:t>
      </w:r>
      <w:r>
        <w:rPr>
          <w:rFonts w:ascii="宋体" w:hAnsi="宋体" w:eastAsia="宋体" w:cs="宋体"/>
          <w:color w:val="auto"/>
          <w:spacing w:val="-40"/>
          <w:sz w:val="24"/>
          <w:szCs w:val="24"/>
          <w:highlight w:val="none"/>
        </w:rPr>
        <w:t xml:space="preserve"> </w:t>
      </w:r>
      <w:r>
        <w:rPr>
          <w:rFonts w:ascii="宋体" w:hAnsi="宋体" w:eastAsia="宋体" w:cs="宋体"/>
          <w:color w:val="auto"/>
          <w:spacing w:val="-1"/>
          <w:sz w:val="24"/>
          <w:szCs w:val="24"/>
          <w:highlight w:val="none"/>
        </w:rPr>
        <w:t>供应商的姓名或者名称、地址、邮编、联系人、联系电话及邮箱；</w:t>
      </w:r>
    </w:p>
    <w:p>
      <w:pPr>
        <w:spacing w:before="115" w:line="219" w:lineRule="auto"/>
        <w:ind w:left="483"/>
        <w:outlineLvl w:val="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2.5.2</w:t>
      </w:r>
      <w:r>
        <w:rPr>
          <w:rFonts w:ascii="宋体" w:hAnsi="宋体" w:eastAsia="宋体" w:cs="宋体"/>
          <w:color w:val="auto"/>
          <w:spacing w:val="-49"/>
          <w:sz w:val="24"/>
          <w:szCs w:val="24"/>
          <w:highlight w:val="none"/>
        </w:rPr>
        <w:t xml:space="preserve"> </w:t>
      </w:r>
      <w:r>
        <w:rPr>
          <w:rFonts w:ascii="宋体" w:hAnsi="宋体" w:eastAsia="宋体" w:cs="宋体"/>
          <w:color w:val="auto"/>
          <w:spacing w:val="-1"/>
          <w:sz w:val="24"/>
          <w:szCs w:val="24"/>
          <w:highlight w:val="none"/>
        </w:rPr>
        <w:t>质疑项目的名称、项目号以及询价项目编号；</w:t>
      </w:r>
    </w:p>
    <w:p>
      <w:pPr>
        <w:spacing w:before="117" w:line="220" w:lineRule="auto"/>
        <w:ind w:left="483"/>
        <w:outlineLvl w:val="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2.5.3</w:t>
      </w:r>
      <w:r>
        <w:rPr>
          <w:rFonts w:ascii="宋体" w:hAnsi="宋体" w:eastAsia="宋体" w:cs="宋体"/>
          <w:color w:val="auto"/>
          <w:spacing w:val="-46"/>
          <w:sz w:val="24"/>
          <w:szCs w:val="24"/>
          <w:highlight w:val="none"/>
        </w:rPr>
        <w:t xml:space="preserve"> </w:t>
      </w:r>
      <w:r>
        <w:rPr>
          <w:rFonts w:ascii="宋体" w:hAnsi="宋体" w:eastAsia="宋体" w:cs="宋体"/>
          <w:color w:val="auto"/>
          <w:spacing w:val="-1"/>
          <w:sz w:val="24"/>
          <w:szCs w:val="24"/>
          <w:highlight w:val="none"/>
        </w:rPr>
        <w:t>具体、明确的质疑事项和与质疑事项相关的请求；</w:t>
      </w:r>
    </w:p>
    <w:p>
      <w:pPr>
        <w:spacing w:before="112" w:line="219" w:lineRule="auto"/>
        <w:ind w:left="483"/>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2.5.4</w:t>
      </w:r>
      <w:r>
        <w:rPr>
          <w:rFonts w:ascii="宋体" w:hAnsi="宋体" w:eastAsia="宋体" w:cs="宋体"/>
          <w:color w:val="auto"/>
          <w:spacing w:val="-44"/>
          <w:sz w:val="24"/>
          <w:szCs w:val="24"/>
          <w:highlight w:val="none"/>
        </w:rPr>
        <w:t xml:space="preserve"> </w:t>
      </w:r>
      <w:r>
        <w:rPr>
          <w:rFonts w:ascii="宋体" w:hAnsi="宋体" w:eastAsia="宋体" w:cs="宋体"/>
          <w:color w:val="auto"/>
          <w:spacing w:val="-3"/>
          <w:sz w:val="24"/>
          <w:szCs w:val="24"/>
          <w:highlight w:val="none"/>
        </w:rPr>
        <w:t>事实依据；</w:t>
      </w:r>
    </w:p>
    <w:p>
      <w:pPr>
        <w:spacing w:before="117" w:line="219" w:lineRule="auto"/>
        <w:ind w:left="48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2.5.5</w:t>
      </w:r>
      <w:r>
        <w:rPr>
          <w:rFonts w:ascii="宋体" w:hAnsi="宋体" w:eastAsia="宋体" w:cs="宋体"/>
          <w:color w:val="auto"/>
          <w:spacing w:val="-38"/>
          <w:sz w:val="24"/>
          <w:szCs w:val="24"/>
          <w:highlight w:val="none"/>
        </w:rPr>
        <w:t xml:space="preserve"> </w:t>
      </w:r>
      <w:r>
        <w:rPr>
          <w:rFonts w:ascii="宋体" w:hAnsi="宋体" w:eastAsia="宋体" w:cs="宋体"/>
          <w:color w:val="auto"/>
          <w:spacing w:val="-2"/>
          <w:sz w:val="24"/>
          <w:szCs w:val="24"/>
          <w:highlight w:val="none"/>
        </w:rPr>
        <w:t>必要的法律依据和证明材料；</w:t>
      </w:r>
    </w:p>
    <w:p>
      <w:pPr>
        <w:spacing w:before="115" w:line="221" w:lineRule="auto"/>
        <w:ind w:left="48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2.5.6</w:t>
      </w:r>
      <w:r>
        <w:rPr>
          <w:rFonts w:ascii="宋体" w:hAnsi="宋体" w:eastAsia="宋体" w:cs="宋体"/>
          <w:color w:val="auto"/>
          <w:spacing w:val="-48"/>
          <w:sz w:val="24"/>
          <w:szCs w:val="24"/>
          <w:highlight w:val="none"/>
        </w:rPr>
        <w:t xml:space="preserve"> </w:t>
      </w:r>
      <w:r>
        <w:rPr>
          <w:rFonts w:ascii="宋体" w:hAnsi="宋体" w:eastAsia="宋体" w:cs="宋体"/>
          <w:color w:val="auto"/>
          <w:spacing w:val="-2"/>
          <w:sz w:val="24"/>
          <w:szCs w:val="24"/>
          <w:highlight w:val="none"/>
        </w:rPr>
        <w:t>提出质疑的日期；</w:t>
      </w:r>
    </w:p>
    <w:p>
      <w:pPr>
        <w:spacing w:before="112" w:line="219" w:lineRule="auto"/>
        <w:jc w:val="right"/>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2.5.7</w:t>
      </w:r>
      <w:r>
        <w:rPr>
          <w:rFonts w:ascii="宋体" w:hAnsi="宋体" w:eastAsia="宋体" w:cs="宋体"/>
          <w:color w:val="auto"/>
          <w:spacing w:val="-43"/>
          <w:sz w:val="24"/>
          <w:szCs w:val="24"/>
          <w:highlight w:val="none"/>
        </w:rPr>
        <w:t xml:space="preserve"> </w:t>
      </w:r>
      <w:r>
        <w:rPr>
          <w:rFonts w:ascii="宋体" w:hAnsi="宋体" w:eastAsia="宋体" w:cs="宋体"/>
          <w:color w:val="auto"/>
          <w:spacing w:val="-1"/>
          <w:sz w:val="24"/>
          <w:szCs w:val="24"/>
          <w:highlight w:val="none"/>
        </w:rPr>
        <w:t>营业执照（或事业单位法人证书，或</w:t>
      </w:r>
      <w:r>
        <w:rPr>
          <w:rFonts w:ascii="宋体" w:hAnsi="宋体" w:eastAsia="宋体" w:cs="宋体"/>
          <w:color w:val="auto"/>
          <w:spacing w:val="-2"/>
          <w:sz w:val="24"/>
          <w:szCs w:val="24"/>
          <w:highlight w:val="none"/>
        </w:rPr>
        <w:t>有效的自然人身份证明、组织机构代码证）</w:t>
      </w:r>
    </w:p>
    <w:p>
      <w:pPr>
        <w:spacing w:line="219" w:lineRule="auto"/>
        <w:rPr>
          <w:rFonts w:ascii="宋体" w:hAnsi="宋体" w:eastAsia="宋体" w:cs="宋体"/>
          <w:color w:val="auto"/>
          <w:sz w:val="24"/>
          <w:szCs w:val="24"/>
          <w:highlight w:val="none"/>
        </w:rPr>
        <w:sectPr>
          <w:footerReference r:id="rId16" w:type="default"/>
          <w:pgSz w:w="11907" w:h="16840"/>
          <w:pgMar w:top="1308" w:right="1091" w:bottom="1221" w:left="1311" w:header="0" w:footer="853" w:gutter="0"/>
          <w:pgNumType w:fmt="decimal"/>
          <w:cols w:space="720" w:num="1"/>
          <w:titlePg/>
        </w:sectPr>
      </w:pPr>
    </w:p>
    <w:p>
      <w:pPr>
        <w:spacing w:before="48" w:line="219" w:lineRule="auto"/>
        <w:ind w:left="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复印件加盖供应商公章；</w:t>
      </w:r>
    </w:p>
    <w:p>
      <w:pPr>
        <w:spacing w:before="114" w:line="308" w:lineRule="auto"/>
        <w:ind w:left="8" w:right="81" w:firstLine="47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2.5.8</w:t>
      </w:r>
      <w:r>
        <w:rPr>
          <w:rFonts w:ascii="宋体" w:hAnsi="宋体" w:eastAsia="宋体" w:cs="宋体"/>
          <w:color w:val="auto"/>
          <w:spacing w:val="-39"/>
          <w:sz w:val="24"/>
          <w:szCs w:val="24"/>
          <w:highlight w:val="none"/>
        </w:rPr>
        <w:t xml:space="preserve"> </w:t>
      </w:r>
      <w:r>
        <w:rPr>
          <w:rFonts w:ascii="宋体" w:hAnsi="宋体" w:eastAsia="宋体" w:cs="宋体"/>
          <w:color w:val="auto"/>
          <w:spacing w:val="2"/>
          <w:sz w:val="24"/>
          <w:szCs w:val="24"/>
          <w:highlight w:val="none"/>
        </w:rPr>
        <w:t>法定代表人授权委托书原件、法定代表人身份证复印件和其授权代表的身份证</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复印件（供应商为自然人的提供自然人身份证复印件</w:t>
      </w:r>
      <w:r>
        <w:rPr>
          <w:rFonts w:ascii="宋体" w:hAnsi="宋体" w:eastAsia="宋体" w:cs="宋体"/>
          <w:color w:val="auto"/>
          <w:spacing w:val="7"/>
          <w:sz w:val="24"/>
          <w:szCs w:val="24"/>
          <w:highlight w:val="none"/>
        </w:rPr>
        <w:t>），</w:t>
      </w:r>
      <w:r>
        <w:rPr>
          <w:rFonts w:ascii="宋体" w:hAnsi="宋体" w:eastAsia="宋体" w:cs="宋体"/>
          <w:color w:val="auto"/>
          <w:spacing w:val="-1"/>
          <w:sz w:val="24"/>
          <w:szCs w:val="24"/>
          <w:highlight w:val="none"/>
        </w:rPr>
        <w:t>加盖供应商公章；</w:t>
      </w:r>
    </w:p>
    <w:p>
      <w:pPr>
        <w:spacing w:line="307" w:lineRule="auto"/>
        <w:ind w:left="4" w:firstLine="48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2.6</w:t>
      </w:r>
      <w:r>
        <w:rPr>
          <w:rFonts w:ascii="宋体" w:hAnsi="宋体" w:eastAsia="宋体" w:cs="宋体"/>
          <w:color w:val="auto"/>
          <w:spacing w:val="-37"/>
          <w:sz w:val="24"/>
          <w:szCs w:val="24"/>
          <w:highlight w:val="none"/>
        </w:rPr>
        <w:t xml:space="preserve"> </w:t>
      </w:r>
      <w:r>
        <w:rPr>
          <w:rFonts w:ascii="宋体" w:hAnsi="宋体" w:eastAsia="宋体" w:cs="宋体"/>
          <w:color w:val="auto"/>
          <w:spacing w:val="2"/>
          <w:sz w:val="24"/>
          <w:szCs w:val="24"/>
          <w:highlight w:val="none"/>
        </w:rPr>
        <w:t>供应商为自然人的，质疑函应当由本人签字；供应商为法人或者其他组织的，质</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疑函应当由法定代表人、主要负责人，或者其授权代表签字或者盖章，并加盖供应商公章。</w:t>
      </w:r>
    </w:p>
    <w:p>
      <w:pPr>
        <w:spacing w:line="220" w:lineRule="auto"/>
        <w:ind w:left="486"/>
        <w:outlineLvl w:val="9"/>
        <w:rPr>
          <w:rFonts w:ascii="宋体" w:hAnsi="宋体" w:eastAsia="宋体" w:cs="宋体"/>
          <w:color w:val="auto"/>
          <w:sz w:val="24"/>
          <w:szCs w:val="24"/>
          <w:highlight w:val="none"/>
        </w:rPr>
      </w:pPr>
      <w:bookmarkStart w:id="52" w:name="_Toc17642"/>
      <w:r>
        <w:rPr>
          <w:rFonts w:ascii="宋体" w:hAnsi="宋体" w:eastAsia="宋体" w:cs="宋体"/>
          <w:color w:val="auto"/>
          <w:spacing w:val="-3"/>
          <w:sz w:val="24"/>
          <w:szCs w:val="24"/>
          <w:highlight w:val="none"/>
        </w:rPr>
        <w:t>3.质疑函格式</w:t>
      </w:r>
      <w:bookmarkEnd w:id="52"/>
    </w:p>
    <w:p>
      <w:pPr>
        <w:spacing w:before="115" w:line="307" w:lineRule="auto"/>
        <w:ind w:left="2" w:right="81" w:firstLine="480"/>
        <w:outlineLvl w:val="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质疑函（投诉书）范本可在财政部门户网站、中国政府采购网、重庆市政府采购网下</w:t>
      </w:r>
      <w:r>
        <w:rPr>
          <w:rFonts w:ascii="宋体" w:hAnsi="宋体" w:eastAsia="宋体" w:cs="宋体"/>
          <w:color w:val="auto"/>
          <w:spacing w:val="4"/>
          <w:sz w:val="24"/>
          <w:szCs w:val="24"/>
          <w:highlight w:val="none"/>
        </w:rPr>
        <w:t xml:space="preserve"> </w:t>
      </w:r>
      <w:r>
        <w:rPr>
          <w:rFonts w:ascii="宋体" w:hAnsi="宋体" w:eastAsia="宋体" w:cs="宋体"/>
          <w:color w:val="auto"/>
          <w:spacing w:val="-6"/>
          <w:sz w:val="24"/>
          <w:szCs w:val="24"/>
          <w:highlight w:val="none"/>
        </w:rPr>
        <w:t>载。</w:t>
      </w:r>
    </w:p>
    <w:p>
      <w:pPr>
        <w:spacing w:line="220" w:lineRule="auto"/>
        <w:ind w:left="480"/>
        <w:outlineLvl w:val="9"/>
        <w:rPr>
          <w:rFonts w:ascii="宋体" w:hAnsi="宋体" w:eastAsia="宋体" w:cs="宋体"/>
          <w:color w:val="auto"/>
          <w:sz w:val="24"/>
          <w:szCs w:val="24"/>
          <w:highlight w:val="none"/>
        </w:rPr>
      </w:pPr>
      <w:bookmarkStart w:id="53" w:name="_Toc20278"/>
      <w:r>
        <w:rPr>
          <w:rFonts w:ascii="宋体" w:hAnsi="宋体" w:eastAsia="宋体" w:cs="宋体"/>
          <w:color w:val="auto"/>
          <w:spacing w:val="-1"/>
          <w:sz w:val="24"/>
          <w:szCs w:val="24"/>
          <w:highlight w:val="none"/>
        </w:rPr>
        <w:t>4.质疑函接收方式</w:t>
      </w:r>
      <w:bookmarkEnd w:id="53"/>
    </w:p>
    <w:p>
      <w:pPr>
        <w:spacing w:before="116" w:line="307" w:lineRule="auto"/>
        <w:ind w:right="81" w:firstLine="481"/>
        <w:outlineLvl w:val="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质疑人应将质疑函（原件一式三份）送达或邮递至采购人，不符合要求的质疑函恕不</w:t>
      </w:r>
      <w:r>
        <w:rPr>
          <w:rFonts w:ascii="宋体" w:hAnsi="宋体" w:eastAsia="宋体" w:cs="宋体"/>
          <w:color w:val="auto"/>
          <w:spacing w:val="4"/>
          <w:sz w:val="24"/>
          <w:szCs w:val="24"/>
          <w:highlight w:val="none"/>
        </w:rPr>
        <w:t xml:space="preserve"> </w:t>
      </w:r>
      <w:r>
        <w:rPr>
          <w:rFonts w:ascii="宋体" w:hAnsi="宋体" w:eastAsia="宋体" w:cs="宋体"/>
          <w:color w:val="auto"/>
          <w:spacing w:val="-1"/>
          <w:sz w:val="24"/>
          <w:szCs w:val="24"/>
          <w:highlight w:val="none"/>
        </w:rPr>
        <w:t>接收。接收质疑的联系电话、联系方式等见第一篇。</w:t>
      </w:r>
    </w:p>
    <w:p>
      <w:pPr>
        <w:spacing w:before="1" w:line="220" w:lineRule="auto"/>
        <w:ind w:left="486"/>
        <w:outlineLvl w:val="9"/>
        <w:rPr>
          <w:rFonts w:ascii="宋体" w:hAnsi="宋体" w:eastAsia="宋体" w:cs="宋体"/>
          <w:color w:val="auto"/>
          <w:sz w:val="24"/>
          <w:szCs w:val="24"/>
          <w:highlight w:val="none"/>
        </w:rPr>
      </w:pPr>
      <w:bookmarkStart w:id="54" w:name="_Toc14014"/>
      <w:r>
        <w:rPr>
          <w:rFonts w:ascii="宋体" w:hAnsi="宋体" w:eastAsia="宋体" w:cs="宋体"/>
          <w:color w:val="auto"/>
          <w:spacing w:val="-3"/>
          <w:sz w:val="24"/>
          <w:szCs w:val="24"/>
          <w:highlight w:val="none"/>
        </w:rPr>
        <w:t>5.质疑答复</w:t>
      </w:r>
      <w:bookmarkEnd w:id="54"/>
    </w:p>
    <w:p>
      <w:pPr>
        <w:spacing w:before="114" w:line="307" w:lineRule="auto"/>
        <w:ind w:left="29" w:right="81" w:firstLine="451"/>
        <w:outlineLvl w:val="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采购人应当在收到供应商的书面质疑函后五个工作日内作出答复，并</w:t>
      </w:r>
      <w:r>
        <w:rPr>
          <w:rFonts w:ascii="宋体" w:hAnsi="宋体" w:eastAsia="宋体" w:cs="宋体"/>
          <w:color w:val="auto"/>
          <w:spacing w:val="-2"/>
          <w:sz w:val="24"/>
          <w:szCs w:val="24"/>
          <w:highlight w:val="none"/>
        </w:rPr>
        <w:t>以书面形式通知质疑供应商和其他有关供应商。</w:t>
      </w:r>
    </w:p>
    <w:p>
      <w:pPr>
        <w:spacing w:line="192" w:lineRule="auto"/>
        <w:ind w:left="467"/>
        <w:outlineLvl w:val="9"/>
        <w:rPr>
          <w:rFonts w:ascii="微软雅黑" w:hAnsi="微软雅黑" w:eastAsia="微软雅黑" w:cs="微软雅黑"/>
          <w:color w:val="auto"/>
          <w:sz w:val="24"/>
          <w:szCs w:val="24"/>
          <w:highlight w:val="none"/>
        </w:rPr>
      </w:pPr>
      <w:bookmarkStart w:id="55" w:name="_Toc6735"/>
      <w:r>
        <w:rPr>
          <w:rFonts w:ascii="微软雅黑" w:hAnsi="微软雅黑" w:eastAsia="微软雅黑" w:cs="微软雅黑"/>
          <w:color w:val="auto"/>
          <w:spacing w:val="-20"/>
          <w:sz w:val="24"/>
          <w:szCs w:val="24"/>
          <w:highlight w:val="none"/>
        </w:rPr>
        <w:t>（</w:t>
      </w:r>
      <w:r>
        <w:rPr>
          <w:rFonts w:ascii="微软雅黑" w:hAnsi="微软雅黑" w:eastAsia="微软雅黑" w:cs="微软雅黑"/>
          <w:color w:val="auto"/>
          <w:spacing w:val="-11"/>
          <w:sz w:val="24"/>
          <w:szCs w:val="24"/>
          <w:highlight w:val="none"/>
        </w:rPr>
        <w:t xml:space="preserve"> </w:t>
      </w:r>
      <w:r>
        <w:rPr>
          <w:rFonts w:ascii="微软雅黑" w:hAnsi="微软雅黑" w:eastAsia="微软雅黑" w:cs="微软雅黑"/>
          <w:color w:val="auto"/>
          <w:spacing w:val="-20"/>
          <w:sz w:val="24"/>
          <w:szCs w:val="24"/>
          <w:highlight w:val="none"/>
        </w:rPr>
        <w:t>三</w:t>
      </w:r>
      <w:r>
        <w:rPr>
          <w:rFonts w:ascii="微软雅黑" w:hAnsi="微软雅黑" w:eastAsia="微软雅黑" w:cs="微软雅黑"/>
          <w:color w:val="auto"/>
          <w:spacing w:val="-27"/>
          <w:sz w:val="24"/>
          <w:szCs w:val="24"/>
          <w:highlight w:val="none"/>
        </w:rPr>
        <w:t xml:space="preserve"> </w:t>
      </w:r>
      <w:r>
        <w:rPr>
          <w:rFonts w:ascii="微软雅黑" w:hAnsi="微软雅黑" w:eastAsia="微软雅黑" w:cs="微软雅黑"/>
          <w:color w:val="auto"/>
          <w:spacing w:val="-20"/>
          <w:sz w:val="24"/>
          <w:szCs w:val="24"/>
          <w:highlight w:val="none"/>
        </w:rPr>
        <w:t>）投诉</w:t>
      </w:r>
      <w:bookmarkEnd w:id="55"/>
    </w:p>
    <w:p>
      <w:pPr>
        <w:spacing w:before="70" w:line="279" w:lineRule="auto"/>
        <w:ind w:left="4" w:right="81" w:firstLine="49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1.供应商对采购人的答复不满意，或</w:t>
      </w:r>
      <w:r>
        <w:rPr>
          <w:rFonts w:ascii="宋体" w:hAnsi="宋体" w:eastAsia="宋体" w:cs="宋体"/>
          <w:color w:val="auto"/>
          <w:sz w:val="24"/>
          <w:szCs w:val="24"/>
          <w:highlight w:val="none"/>
        </w:rPr>
        <w:t>者采购人未在规</w:t>
      </w:r>
      <w:r>
        <w:rPr>
          <w:rFonts w:ascii="宋体" w:hAnsi="宋体" w:eastAsia="宋体" w:cs="宋体"/>
          <w:color w:val="auto"/>
          <w:spacing w:val="-3"/>
          <w:sz w:val="24"/>
          <w:szCs w:val="24"/>
          <w:highlight w:val="none"/>
        </w:rPr>
        <w:t>定时间内作出答复的，可以在答复期满后</w:t>
      </w:r>
      <w:r>
        <w:rPr>
          <w:rFonts w:ascii="宋体" w:hAnsi="宋体" w:eastAsia="宋体" w:cs="宋体"/>
          <w:color w:val="auto"/>
          <w:spacing w:val="-30"/>
          <w:sz w:val="24"/>
          <w:szCs w:val="24"/>
          <w:highlight w:val="none"/>
        </w:rPr>
        <w:t xml:space="preserve"> </w:t>
      </w:r>
      <w:r>
        <w:rPr>
          <w:rFonts w:ascii="宋体" w:hAnsi="宋体" w:eastAsia="宋体" w:cs="宋体"/>
          <w:color w:val="auto"/>
          <w:spacing w:val="-3"/>
          <w:sz w:val="24"/>
          <w:szCs w:val="24"/>
          <w:highlight w:val="none"/>
        </w:rPr>
        <w:t>15</w:t>
      </w:r>
      <w:r>
        <w:rPr>
          <w:rFonts w:ascii="宋体" w:hAnsi="宋体" w:eastAsia="宋体" w:cs="宋体"/>
          <w:color w:val="auto"/>
          <w:spacing w:val="-51"/>
          <w:sz w:val="24"/>
          <w:szCs w:val="24"/>
          <w:highlight w:val="none"/>
        </w:rPr>
        <w:t xml:space="preserve"> </w:t>
      </w:r>
      <w:r>
        <w:rPr>
          <w:rFonts w:ascii="宋体" w:hAnsi="宋体" w:eastAsia="宋体" w:cs="宋体"/>
          <w:color w:val="auto"/>
          <w:spacing w:val="-3"/>
          <w:sz w:val="24"/>
          <w:szCs w:val="24"/>
          <w:highlight w:val="none"/>
        </w:rPr>
        <w:t>个工作日内按照相关法律法规向财政部门提起</w:t>
      </w:r>
      <w:r>
        <w:rPr>
          <w:rFonts w:ascii="宋体" w:hAnsi="宋体" w:eastAsia="宋体" w:cs="宋体"/>
          <w:color w:val="auto"/>
          <w:spacing w:val="-5"/>
          <w:sz w:val="24"/>
          <w:szCs w:val="24"/>
          <w:highlight w:val="none"/>
        </w:rPr>
        <w:t>投诉。</w:t>
      </w:r>
    </w:p>
    <w:p>
      <w:pPr>
        <w:spacing w:before="114" w:line="263" w:lineRule="auto"/>
        <w:ind w:left="3" w:firstLine="48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2.供应商应按照《政府采购质疑和投诉办法》（财政部令第94</w:t>
      </w:r>
      <w:r>
        <w:rPr>
          <w:rFonts w:ascii="宋体" w:hAnsi="宋体" w:eastAsia="宋体" w:cs="宋体"/>
          <w:color w:val="auto"/>
          <w:spacing w:val="-42"/>
          <w:sz w:val="24"/>
          <w:szCs w:val="24"/>
          <w:highlight w:val="none"/>
        </w:rPr>
        <w:t xml:space="preserve"> </w:t>
      </w:r>
      <w:r>
        <w:rPr>
          <w:rFonts w:ascii="宋体" w:hAnsi="宋体" w:eastAsia="宋体" w:cs="宋体"/>
          <w:color w:val="auto"/>
          <w:spacing w:val="-1"/>
          <w:sz w:val="24"/>
          <w:szCs w:val="24"/>
          <w:highlight w:val="none"/>
        </w:rPr>
        <w:t>号）及相关法律法规要</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求递交投诉书和必要的证明材料。投诉书范本可在财政部门户网站和中国政府采购网下载。</w:t>
      </w:r>
    </w:p>
    <w:p>
      <w:pPr>
        <w:spacing w:before="115" w:line="293" w:lineRule="auto"/>
        <w:ind w:right="81" w:firstLine="48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3.投诉书应当使用中文，相关当事人提供外文书证或者外国语视听资料的，应当附有</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中文译本，由翻译机构盖章或者翻译人员签名；相关当事人向财政部门提供的在中华人民</w:t>
      </w:r>
      <w:r>
        <w:rPr>
          <w:rFonts w:ascii="宋体" w:hAnsi="宋体" w:eastAsia="宋体" w:cs="宋体"/>
          <w:color w:val="auto"/>
          <w:spacing w:val="4"/>
          <w:sz w:val="24"/>
          <w:szCs w:val="24"/>
          <w:highlight w:val="none"/>
        </w:rPr>
        <w:t xml:space="preserve"> </w:t>
      </w:r>
      <w:r>
        <w:rPr>
          <w:rFonts w:ascii="宋体" w:hAnsi="宋体" w:eastAsia="宋体" w:cs="宋体"/>
          <w:color w:val="auto"/>
          <w:spacing w:val="1"/>
          <w:sz w:val="24"/>
          <w:szCs w:val="24"/>
          <w:highlight w:val="none"/>
        </w:rPr>
        <w:t>共和国领域外形成的证据，应当说明来源，经所在国公证机关证明，并经中华人民共和国</w:t>
      </w:r>
      <w:r>
        <w:rPr>
          <w:rFonts w:ascii="宋体" w:hAnsi="宋体" w:eastAsia="宋体" w:cs="宋体"/>
          <w:color w:val="auto"/>
          <w:spacing w:val="4"/>
          <w:sz w:val="24"/>
          <w:szCs w:val="24"/>
          <w:highlight w:val="none"/>
        </w:rPr>
        <w:t xml:space="preserve"> </w:t>
      </w:r>
      <w:r>
        <w:rPr>
          <w:rFonts w:ascii="宋体" w:hAnsi="宋体" w:eastAsia="宋体" w:cs="宋体"/>
          <w:color w:val="auto"/>
          <w:spacing w:val="1"/>
          <w:sz w:val="24"/>
          <w:szCs w:val="24"/>
          <w:highlight w:val="none"/>
        </w:rPr>
        <w:t>驻该国使领馆认证，或者履行中华人民共和国与证据所在国订立的有关条约中规定的证明</w:t>
      </w:r>
      <w:r>
        <w:rPr>
          <w:rFonts w:ascii="宋体" w:hAnsi="宋体" w:eastAsia="宋体" w:cs="宋体"/>
          <w:color w:val="auto"/>
          <w:spacing w:val="4"/>
          <w:sz w:val="24"/>
          <w:szCs w:val="24"/>
          <w:highlight w:val="none"/>
        </w:rPr>
        <w:t xml:space="preserve"> </w:t>
      </w:r>
      <w:r>
        <w:rPr>
          <w:rFonts w:ascii="宋体" w:hAnsi="宋体" w:eastAsia="宋体" w:cs="宋体"/>
          <w:color w:val="auto"/>
          <w:spacing w:val="1"/>
          <w:sz w:val="24"/>
          <w:szCs w:val="24"/>
          <w:highlight w:val="none"/>
        </w:rPr>
        <w:t>手续；相关当事人提供的在香港特别行政区、澳门特别行政区和台湾地区内形成的证据，</w:t>
      </w:r>
      <w:r>
        <w:rPr>
          <w:rFonts w:ascii="宋体" w:hAnsi="宋体" w:eastAsia="宋体" w:cs="宋体"/>
          <w:color w:val="auto"/>
          <w:spacing w:val="4"/>
          <w:sz w:val="24"/>
          <w:szCs w:val="24"/>
          <w:highlight w:val="none"/>
        </w:rPr>
        <w:t xml:space="preserve"> </w:t>
      </w:r>
      <w:r>
        <w:rPr>
          <w:rFonts w:ascii="宋体" w:hAnsi="宋体" w:eastAsia="宋体" w:cs="宋体"/>
          <w:color w:val="auto"/>
          <w:spacing w:val="-1"/>
          <w:sz w:val="24"/>
          <w:szCs w:val="24"/>
          <w:highlight w:val="none"/>
        </w:rPr>
        <w:t>应当履行相关的证明手续。</w:t>
      </w:r>
    </w:p>
    <w:p>
      <w:pPr>
        <w:spacing w:before="116" w:line="278" w:lineRule="auto"/>
        <w:ind w:left="1" w:right="53" w:firstLine="47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4.在确定受理投诉后，财政部门自受理投诉之日起</w:t>
      </w:r>
      <w:r>
        <w:rPr>
          <w:rFonts w:ascii="宋体" w:hAnsi="宋体" w:eastAsia="宋体" w:cs="宋体"/>
          <w:color w:val="auto"/>
          <w:spacing w:val="-41"/>
          <w:sz w:val="24"/>
          <w:szCs w:val="24"/>
          <w:highlight w:val="none"/>
        </w:rPr>
        <w:t xml:space="preserve"> </w:t>
      </w:r>
      <w:r>
        <w:rPr>
          <w:rFonts w:ascii="宋体" w:hAnsi="宋体" w:eastAsia="宋体" w:cs="宋体"/>
          <w:color w:val="auto"/>
          <w:spacing w:val="-2"/>
          <w:sz w:val="24"/>
          <w:szCs w:val="24"/>
          <w:highlight w:val="none"/>
        </w:rPr>
        <w:t>30</w:t>
      </w:r>
      <w:r>
        <w:rPr>
          <w:rFonts w:ascii="宋体" w:hAnsi="宋体" w:eastAsia="宋体" w:cs="宋体"/>
          <w:color w:val="auto"/>
          <w:spacing w:val="-51"/>
          <w:sz w:val="24"/>
          <w:szCs w:val="24"/>
          <w:highlight w:val="none"/>
        </w:rPr>
        <w:t xml:space="preserve"> </w:t>
      </w:r>
      <w:r>
        <w:rPr>
          <w:rFonts w:ascii="宋体" w:hAnsi="宋体" w:eastAsia="宋体" w:cs="宋体"/>
          <w:color w:val="auto"/>
          <w:spacing w:val="-2"/>
          <w:sz w:val="24"/>
          <w:szCs w:val="24"/>
          <w:highlight w:val="none"/>
        </w:rPr>
        <w:t>个工作日内（需要检验、检测、</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鉴定、专家评审以及需要投诉人补正材料的，所需时间不计算在投诉处理期限内）对投诉</w:t>
      </w:r>
      <w:r>
        <w:rPr>
          <w:rFonts w:ascii="宋体" w:hAnsi="宋体" w:eastAsia="宋体" w:cs="宋体"/>
          <w:color w:val="auto"/>
          <w:spacing w:val="3"/>
          <w:sz w:val="24"/>
          <w:szCs w:val="24"/>
          <w:highlight w:val="none"/>
        </w:rPr>
        <w:t xml:space="preserve"> </w:t>
      </w:r>
      <w:r>
        <w:rPr>
          <w:rFonts w:ascii="宋体" w:hAnsi="宋体" w:eastAsia="宋体" w:cs="宋体"/>
          <w:color w:val="auto"/>
          <w:spacing w:val="-2"/>
          <w:sz w:val="24"/>
          <w:szCs w:val="24"/>
          <w:highlight w:val="none"/>
        </w:rPr>
        <w:t>事项做出处理决定。</w:t>
      </w:r>
    </w:p>
    <w:p>
      <w:pPr>
        <w:spacing w:before="105" w:line="242" w:lineRule="auto"/>
        <w:ind w:left="480"/>
        <w:outlineLvl w:val="1"/>
        <w:rPr>
          <w:rFonts w:ascii="黑体" w:hAnsi="黑体" w:eastAsia="黑体" w:cs="黑体"/>
          <w:color w:val="auto"/>
          <w:sz w:val="24"/>
          <w:szCs w:val="24"/>
          <w:highlight w:val="none"/>
        </w:rPr>
      </w:pPr>
      <w:bookmarkStart w:id="56" w:name="bookmark31"/>
      <w:bookmarkEnd w:id="56"/>
      <w:bookmarkStart w:id="57" w:name="_Toc22733"/>
      <w:r>
        <w:rPr>
          <w:rFonts w:ascii="黑体" w:hAnsi="黑体" w:eastAsia="黑体" w:cs="黑体"/>
          <w:color w:val="auto"/>
          <w:spacing w:val="-1"/>
          <w:sz w:val="24"/>
          <w:szCs w:val="24"/>
          <w:highlight w:val="none"/>
        </w:rPr>
        <w:t>八、询价供应商虚假应标、不履约等行为的处理</w:t>
      </w:r>
      <w:bookmarkEnd w:id="57"/>
    </w:p>
    <w:p>
      <w:pPr>
        <w:spacing w:before="95" w:line="304" w:lineRule="auto"/>
        <w:ind w:firstLine="409"/>
        <w:rPr>
          <w:rFonts w:ascii="宋体" w:hAnsi="宋体" w:eastAsia="宋体" w:cs="宋体"/>
          <w:color w:val="auto"/>
          <w:sz w:val="24"/>
          <w:szCs w:val="24"/>
          <w:highlight w:val="none"/>
        </w:rPr>
      </w:pPr>
      <w:r>
        <w:rPr>
          <w:rFonts w:ascii="宋体" w:hAnsi="宋体" w:eastAsia="宋体" w:cs="宋体"/>
          <w:color w:val="auto"/>
          <w:spacing w:val="-24"/>
          <w:w w:val="94"/>
          <w:sz w:val="24"/>
          <w:szCs w:val="24"/>
          <w:highlight w:val="none"/>
        </w:rPr>
        <w:t>供应商有提供虚假材料谋取成交，成交后无正当理由不与采购人签订合同，拒绝履行合同义务等行为，</w:t>
      </w:r>
      <w:r>
        <w:rPr>
          <w:rFonts w:ascii="宋体" w:hAnsi="宋体" w:eastAsia="宋体" w:cs="宋体"/>
          <w:color w:val="auto"/>
          <w:spacing w:val="2"/>
          <w:sz w:val="24"/>
          <w:szCs w:val="24"/>
          <w:highlight w:val="none"/>
        </w:rPr>
        <w:t xml:space="preserve"> </w:t>
      </w:r>
      <w:r>
        <w:rPr>
          <w:rFonts w:ascii="宋体" w:hAnsi="宋体" w:eastAsia="宋体" w:cs="宋体"/>
          <w:color w:val="auto"/>
          <w:spacing w:val="-22"/>
          <w:w w:val="95"/>
          <w:sz w:val="24"/>
          <w:szCs w:val="24"/>
          <w:highlight w:val="none"/>
        </w:rPr>
        <w:t>将严格按照《政府采购法》等相关法律法规予以处理。</w:t>
      </w:r>
    </w:p>
    <w:p>
      <w:pPr>
        <w:spacing w:before="2"/>
        <w:ind w:left="483"/>
        <w:outlineLvl w:val="1"/>
        <w:rPr>
          <w:rFonts w:ascii="黑体" w:hAnsi="黑体" w:eastAsia="黑体" w:cs="黑体"/>
          <w:color w:val="auto"/>
          <w:sz w:val="24"/>
          <w:szCs w:val="24"/>
          <w:highlight w:val="none"/>
        </w:rPr>
      </w:pPr>
      <w:bookmarkStart w:id="58" w:name="_Toc31408"/>
      <w:r>
        <w:rPr>
          <w:rFonts w:ascii="黑体" w:hAnsi="黑体" w:eastAsia="黑体" w:cs="黑体"/>
          <w:color w:val="auto"/>
          <w:spacing w:val="-2"/>
          <w:sz w:val="24"/>
          <w:szCs w:val="24"/>
          <w:highlight w:val="none"/>
        </w:rPr>
        <w:t>九、</w:t>
      </w:r>
      <w:r>
        <w:rPr>
          <w:rFonts w:hint="eastAsia" w:ascii="黑体" w:hAnsi="黑体" w:eastAsia="黑体" w:cs="黑体"/>
          <w:color w:val="auto"/>
          <w:spacing w:val="-2"/>
          <w:sz w:val="24"/>
          <w:szCs w:val="24"/>
          <w:highlight w:val="none"/>
          <w:lang w:val="en-US" w:eastAsia="zh-CN"/>
        </w:rPr>
        <w:t>比选</w:t>
      </w:r>
      <w:r>
        <w:rPr>
          <w:rFonts w:ascii="黑体" w:hAnsi="黑体" w:eastAsia="黑体" w:cs="黑体"/>
          <w:color w:val="auto"/>
          <w:spacing w:val="-2"/>
          <w:sz w:val="24"/>
          <w:szCs w:val="24"/>
          <w:highlight w:val="none"/>
        </w:rPr>
        <w:t>服务费</w:t>
      </w:r>
      <w:bookmarkEnd w:id="58"/>
    </w:p>
    <w:p>
      <w:pPr>
        <w:spacing w:before="97" w:line="219" w:lineRule="auto"/>
        <w:ind w:left="410"/>
        <w:rPr>
          <w:rFonts w:ascii="宋体" w:hAnsi="宋体" w:eastAsia="宋体" w:cs="宋体"/>
          <w:color w:val="auto"/>
          <w:sz w:val="24"/>
          <w:szCs w:val="24"/>
          <w:highlight w:val="none"/>
        </w:rPr>
      </w:pPr>
      <w:r>
        <w:rPr>
          <w:rFonts w:hint="eastAsia" w:ascii="宋体" w:hAnsi="宋体" w:eastAsia="宋体" w:cs="宋体"/>
          <w:color w:val="auto"/>
          <w:spacing w:val="-26"/>
          <w:w w:val="98"/>
          <w:sz w:val="24"/>
          <w:szCs w:val="24"/>
          <w:highlight w:val="none"/>
          <w:lang w:val="en-US" w:eastAsia="zh-CN"/>
        </w:rPr>
        <w:t>比选服务</w:t>
      </w:r>
      <w:r>
        <w:rPr>
          <w:rFonts w:ascii="宋体" w:hAnsi="宋体" w:eastAsia="宋体" w:cs="宋体"/>
          <w:color w:val="auto"/>
          <w:spacing w:val="-26"/>
          <w:w w:val="98"/>
          <w:sz w:val="24"/>
          <w:szCs w:val="24"/>
          <w:highlight w:val="none"/>
        </w:rPr>
        <w:t>费</w:t>
      </w:r>
      <w:r>
        <w:rPr>
          <w:rFonts w:hint="eastAsia" w:ascii="宋体" w:hAnsi="宋体" w:eastAsia="宋体" w:cs="宋体"/>
          <w:color w:val="auto"/>
          <w:spacing w:val="-24"/>
          <w:w w:val="94"/>
          <w:sz w:val="24"/>
          <w:szCs w:val="24"/>
          <w:highlight w:val="none"/>
          <w:lang w:val="en-US" w:eastAsia="zh-CN"/>
        </w:rPr>
        <w:t>60</w:t>
      </w:r>
      <w:r>
        <w:rPr>
          <w:rFonts w:ascii="宋体" w:hAnsi="宋体" w:eastAsia="宋体" w:cs="宋体"/>
          <w:color w:val="auto"/>
          <w:spacing w:val="-24"/>
          <w:w w:val="94"/>
          <w:sz w:val="24"/>
          <w:szCs w:val="24"/>
          <w:highlight w:val="none"/>
        </w:rPr>
        <w:t>0</w:t>
      </w:r>
      <w:r>
        <w:rPr>
          <w:rFonts w:ascii="宋体" w:hAnsi="宋体" w:eastAsia="宋体" w:cs="宋体"/>
          <w:color w:val="auto"/>
          <w:spacing w:val="-26"/>
          <w:w w:val="98"/>
          <w:sz w:val="24"/>
          <w:szCs w:val="24"/>
          <w:highlight w:val="none"/>
        </w:rPr>
        <w:t>元，由</w:t>
      </w:r>
      <w:r>
        <w:rPr>
          <w:rFonts w:hint="eastAsia" w:ascii="宋体" w:hAnsi="宋体" w:eastAsia="宋体" w:cs="宋体"/>
          <w:color w:val="auto"/>
          <w:spacing w:val="-26"/>
          <w:w w:val="98"/>
          <w:sz w:val="24"/>
          <w:szCs w:val="24"/>
          <w:highlight w:val="none"/>
          <w:lang w:val="en-US" w:eastAsia="zh-CN"/>
        </w:rPr>
        <w:t>成交供应商</w:t>
      </w:r>
      <w:r>
        <w:rPr>
          <w:rFonts w:ascii="宋体" w:hAnsi="宋体" w:eastAsia="宋体" w:cs="宋体"/>
          <w:color w:val="auto"/>
          <w:spacing w:val="-26"/>
          <w:w w:val="98"/>
          <w:sz w:val="24"/>
          <w:szCs w:val="24"/>
          <w:highlight w:val="none"/>
        </w:rPr>
        <w:t>在领取“</w:t>
      </w:r>
      <w:r>
        <w:rPr>
          <w:rFonts w:hint="eastAsia" w:ascii="宋体" w:hAnsi="宋体" w:eastAsia="宋体" w:cs="宋体"/>
          <w:color w:val="auto"/>
          <w:spacing w:val="-26"/>
          <w:w w:val="98"/>
          <w:sz w:val="24"/>
          <w:szCs w:val="24"/>
          <w:highlight w:val="none"/>
          <w:lang w:val="en-US" w:eastAsia="zh-CN"/>
        </w:rPr>
        <w:t>成交</w:t>
      </w:r>
      <w:r>
        <w:rPr>
          <w:rFonts w:ascii="宋体" w:hAnsi="宋体" w:eastAsia="宋体" w:cs="宋体"/>
          <w:color w:val="auto"/>
          <w:spacing w:val="-26"/>
          <w:w w:val="98"/>
          <w:sz w:val="24"/>
          <w:szCs w:val="24"/>
          <w:highlight w:val="none"/>
        </w:rPr>
        <w:t>通知书”前一次性支付给</w:t>
      </w:r>
      <w:r>
        <w:rPr>
          <w:rFonts w:hint="eastAsia" w:ascii="宋体" w:hAnsi="宋体" w:eastAsia="宋体" w:cs="宋体"/>
          <w:color w:val="auto"/>
          <w:spacing w:val="-26"/>
          <w:w w:val="98"/>
          <w:sz w:val="24"/>
          <w:szCs w:val="24"/>
          <w:highlight w:val="none"/>
          <w:lang w:val="en-US" w:eastAsia="zh-CN"/>
        </w:rPr>
        <w:t>采购人</w:t>
      </w:r>
      <w:r>
        <w:rPr>
          <w:rFonts w:ascii="宋体" w:hAnsi="宋体" w:eastAsia="宋体" w:cs="宋体"/>
          <w:color w:val="auto"/>
          <w:spacing w:val="-26"/>
          <w:w w:val="98"/>
          <w:sz w:val="24"/>
          <w:szCs w:val="24"/>
          <w:highlight w:val="none"/>
        </w:rPr>
        <w:t>招</w:t>
      </w:r>
      <w:r>
        <w:rPr>
          <w:rFonts w:hint="eastAsia" w:ascii="宋体" w:hAnsi="宋体" w:eastAsia="宋体" w:cs="宋体"/>
          <w:color w:val="auto"/>
          <w:spacing w:val="-26"/>
          <w:w w:val="98"/>
          <w:sz w:val="24"/>
          <w:szCs w:val="24"/>
          <w:highlight w:val="none"/>
          <w:lang w:val="en-US" w:eastAsia="zh-CN"/>
        </w:rPr>
        <w:t>投</w:t>
      </w:r>
      <w:r>
        <w:rPr>
          <w:rFonts w:ascii="宋体" w:hAnsi="宋体" w:eastAsia="宋体" w:cs="宋体"/>
          <w:color w:val="auto"/>
          <w:spacing w:val="-26"/>
          <w:w w:val="98"/>
          <w:sz w:val="24"/>
          <w:szCs w:val="24"/>
          <w:highlight w:val="none"/>
        </w:rPr>
        <w:t>标</w:t>
      </w:r>
      <w:r>
        <w:rPr>
          <w:rFonts w:hint="eastAsia" w:ascii="宋体" w:hAnsi="宋体" w:eastAsia="宋体" w:cs="宋体"/>
          <w:color w:val="auto"/>
          <w:spacing w:val="-26"/>
          <w:w w:val="98"/>
          <w:sz w:val="24"/>
          <w:szCs w:val="24"/>
          <w:highlight w:val="none"/>
          <w:lang w:val="en-US" w:eastAsia="zh-CN"/>
        </w:rPr>
        <w:t>办公室</w:t>
      </w:r>
      <w:r>
        <w:rPr>
          <w:rFonts w:ascii="宋体" w:hAnsi="宋体" w:eastAsia="宋体" w:cs="宋体"/>
          <w:color w:val="auto"/>
          <w:spacing w:val="-26"/>
          <w:w w:val="98"/>
          <w:sz w:val="24"/>
          <w:szCs w:val="24"/>
          <w:highlight w:val="none"/>
        </w:rPr>
        <w:t>。</w:t>
      </w:r>
    </w:p>
    <w:p>
      <w:pPr>
        <w:spacing w:before="104" w:line="316" w:lineRule="exact"/>
        <w:ind w:left="488"/>
        <w:outlineLvl w:val="1"/>
        <w:rPr>
          <w:rFonts w:ascii="黑体" w:hAnsi="黑体" w:eastAsia="黑体" w:cs="黑体"/>
          <w:color w:val="auto"/>
          <w:sz w:val="24"/>
          <w:szCs w:val="24"/>
          <w:highlight w:val="none"/>
        </w:rPr>
      </w:pPr>
      <w:bookmarkStart w:id="59" w:name="_Toc29221"/>
      <w:r>
        <w:rPr>
          <w:rFonts w:ascii="黑体" w:hAnsi="黑体" w:eastAsia="黑体" w:cs="黑体"/>
          <w:color w:val="auto"/>
          <w:spacing w:val="-3"/>
          <w:position w:val="1"/>
          <w:sz w:val="24"/>
          <w:szCs w:val="24"/>
          <w:highlight w:val="none"/>
        </w:rPr>
        <w:t>十、签订合同</w:t>
      </w:r>
      <w:bookmarkEnd w:id="59"/>
    </w:p>
    <w:p>
      <w:pPr>
        <w:spacing w:line="316" w:lineRule="exact"/>
        <w:rPr>
          <w:rFonts w:ascii="黑体" w:hAnsi="黑体" w:eastAsia="黑体" w:cs="黑体"/>
          <w:color w:val="auto"/>
          <w:sz w:val="24"/>
          <w:szCs w:val="24"/>
          <w:highlight w:val="none"/>
        </w:rPr>
        <w:sectPr>
          <w:footerReference r:id="rId17" w:type="default"/>
          <w:pgSz w:w="11907" w:h="16840"/>
          <w:pgMar w:top="1323" w:right="1109" w:bottom="1221" w:left="1310" w:header="0" w:footer="853" w:gutter="0"/>
          <w:pgNumType w:fmt="decimal"/>
          <w:cols w:space="720" w:num="1"/>
          <w:titlePg/>
        </w:sectPr>
      </w:pPr>
    </w:p>
    <w:p>
      <w:pPr>
        <w:spacing w:before="48" w:line="278" w:lineRule="auto"/>
        <w:ind w:left="1" w:right="28" w:firstLine="36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（一）采购人与成交供应商应当在成交通知书发出之日起</w:t>
      </w:r>
      <w:r>
        <w:rPr>
          <w:rFonts w:hint="eastAsia" w:ascii="宋体" w:hAnsi="宋体" w:eastAsia="宋体" w:cs="宋体"/>
          <w:color w:val="auto"/>
          <w:spacing w:val="-44"/>
          <w:sz w:val="24"/>
          <w:szCs w:val="24"/>
          <w:highlight w:val="none"/>
          <w:lang w:val="en-US" w:eastAsia="zh-CN"/>
        </w:rPr>
        <w:t>5个工作日</w:t>
      </w:r>
      <w:r>
        <w:rPr>
          <w:rFonts w:ascii="宋体" w:hAnsi="宋体" w:eastAsia="宋体" w:cs="宋体"/>
          <w:color w:val="auto"/>
          <w:spacing w:val="-1"/>
          <w:sz w:val="24"/>
          <w:szCs w:val="24"/>
          <w:highlight w:val="none"/>
        </w:rPr>
        <w:t>内，按</w:t>
      </w:r>
      <w:r>
        <w:rPr>
          <w:rFonts w:ascii="宋体" w:hAnsi="宋体" w:eastAsia="宋体" w:cs="宋体"/>
          <w:color w:val="auto"/>
          <w:spacing w:val="-2"/>
          <w:sz w:val="24"/>
          <w:szCs w:val="24"/>
          <w:highlight w:val="none"/>
        </w:rPr>
        <w:t>照询价通知书确</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定的合同文本以及采购标的、规格型号、采购金额、采购数量、技术和服务要求等事项签</w:t>
      </w:r>
      <w:r>
        <w:rPr>
          <w:rFonts w:ascii="宋体" w:hAnsi="宋体" w:eastAsia="宋体" w:cs="宋体"/>
          <w:color w:val="auto"/>
          <w:spacing w:val="-3"/>
          <w:sz w:val="24"/>
          <w:szCs w:val="24"/>
          <w:highlight w:val="none"/>
        </w:rPr>
        <w:t>订采购合同。</w:t>
      </w:r>
    </w:p>
    <w:p>
      <w:pPr>
        <w:spacing w:before="115" w:line="219" w:lineRule="auto"/>
        <w:jc w:val="right"/>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（二）询价通知书、成交供应商的响应文件及有效承诺文件等，均为签订合同的依据。</w:t>
      </w:r>
    </w:p>
    <w:p>
      <w:pPr>
        <w:spacing w:before="114" w:line="264" w:lineRule="auto"/>
        <w:ind w:right="28" w:firstLine="37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（三）成交供应商未按照询价通知书确定的事项签订合</w:t>
      </w:r>
      <w:r>
        <w:rPr>
          <w:rFonts w:ascii="宋体" w:hAnsi="宋体" w:eastAsia="宋体" w:cs="宋体"/>
          <w:color w:val="auto"/>
          <w:spacing w:val="-3"/>
          <w:sz w:val="24"/>
          <w:szCs w:val="24"/>
          <w:highlight w:val="none"/>
        </w:rPr>
        <w:t>同，或者与采购人另行订立背离</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合同实质性内容协议的，将承担相关法律责任。</w:t>
      </w:r>
    </w:p>
    <w:p>
      <w:pPr>
        <w:spacing w:before="115" w:line="278" w:lineRule="auto"/>
        <w:ind w:right="28" w:firstLine="37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（四）采购人不得向成交供应商提出超出询价以外的任</w:t>
      </w:r>
      <w:r>
        <w:rPr>
          <w:rFonts w:ascii="宋体" w:hAnsi="宋体" w:eastAsia="宋体" w:cs="宋体"/>
          <w:color w:val="auto"/>
          <w:spacing w:val="-3"/>
          <w:sz w:val="24"/>
          <w:szCs w:val="24"/>
          <w:highlight w:val="none"/>
        </w:rPr>
        <w:t>何要求作为签订合同的条件，不</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得与成交供应商订立背离询价确定的合同文本以及采购标的、规格型号、采购金额、采购</w:t>
      </w:r>
      <w:r>
        <w:rPr>
          <w:rFonts w:ascii="宋体" w:hAnsi="宋体" w:eastAsia="宋体" w:cs="宋体"/>
          <w:color w:val="auto"/>
          <w:spacing w:val="2"/>
          <w:sz w:val="24"/>
          <w:szCs w:val="24"/>
          <w:highlight w:val="none"/>
        </w:rPr>
        <w:t xml:space="preserve"> </w:t>
      </w:r>
      <w:r>
        <w:rPr>
          <w:rFonts w:ascii="宋体" w:hAnsi="宋体" w:eastAsia="宋体" w:cs="宋体"/>
          <w:color w:val="auto"/>
          <w:spacing w:val="-1"/>
          <w:sz w:val="24"/>
          <w:szCs w:val="24"/>
          <w:highlight w:val="none"/>
        </w:rPr>
        <w:t>数量、技术和服务要求等实质性内容的协议。</w:t>
      </w:r>
    </w:p>
    <w:p>
      <w:pPr>
        <w:spacing w:before="114" w:line="263" w:lineRule="auto"/>
        <w:ind w:left="3" w:right="28" w:firstLine="36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（五）除不可抗力等因素外，成交通知书发出后，采购</w:t>
      </w:r>
      <w:r>
        <w:rPr>
          <w:rFonts w:ascii="宋体" w:hAnsi="宋体" w:eastAsia="宋体" w:cs="宋体"/>
          <w:color w:val="auto"/>
          <w:spacing w:val="-3"/>
          <w:sz w:val="24"/>
          <w:szCs w:val="24"/>
          <w:highlight w:val="none"/>
        </w:rPr>
        <w:t>人改变成交结果，或者成交供应</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商无正当理由拒绝签订采购合同的，应当承担相应的法律责任。</w:t>
      </w:r>
    </w:p>
    <w:p>
      <w:pPr>
        <w:spacing w:line="263" w:lineRule="auto"/>
        <w:rPr>
          <w:rFonts w:ascii="宋体" w:hAnsi="宋体" w:eastAsia="宋体" w:cs="宋体"/>
          <w:color w:val="auto"/>
          <w:sz w:val="24"/>
          <w:szCs w:val="24"/>
          <w:highlight w:val="none"/>
        </w:rPr>
        <w:sectPr>
          <w:footerReference r:id="rId18" w:type="default"/>
          <w:pgSz w:w="11907" w:h="16840"/>
          <w:pgMar w:top="1323" w:right="1162" w:bottom="1221" w:left="1313" w:header="0" w:footer="853" w:gutter="0"/>
          <w:pgNumType w:fmt="decimal"/>
          <w:cols w:space="720" w:num="1"/>
        </w:sectPr>
      </w:pPr>
    </w:p>
    <w:p>
      <w:pPr>
        <w:spacing w:before="72" w:line="224" w:lineRule="auto"/>
        <w:ind w:left="2104"/>
        <w:outlineLvl w:val="0"/>
        <w:rPr>
          <w:rFonts w:ascii="宋体" w:hAnsi="宋体" w:eastAsia="宋体" w:cs="宋体"/>
          <w:b/>
          <w:bCs/>
          <w:color w:val="auto"/>
          <w:spacing w:val="6"/>
          <w:sz w:val="35"/>
          <w:szCs w:val="35"/>
          <w:highlight w:val="none"/>
        </w:rPr>
      </w:pPr>
      <w:bookmarkStart w:id="60" w:name="_Toc21724"/>
      <w:r>
        <w:rPr>
          <w:rFonts w:ascii="宋体" w:hAnsi="宋体" w:eastAsia="宋体" w:cs="宋体"/>
          <w:b/>
          <w:bCs/>
          <w:color w:val="auto"/>
          <w:spacing w:val="6"/>
          <w:sz w:val="35"/>
          <w:szCs w:val="35"/>
          <w:highlight w:val="none"/>
        </w:rPr>
        <w:t>第三篇 询价项目服务需求</w:t>
      </w:r>
      <w:bookmarkEnd w:id="60"/>
    </w:p>
    <w:p>
      <w:pPr>
        <w:spacing w:line="241" w:lineRule="auto"/>
        <w:ind w:firstLine="470" w:firstLineChars="200"/>
        <w:outlineLvl w:val="1"/>
        <w:rPr>
          <w:rFonts w:hint="eastAsia" w:asciiTheme="minorEastAsia" w:hAnsiTheme="minorEastAsia" w:eastAsiaTheme="minorEastAsia" w:cstheme="minorEastAsia"/>
          <w:b/>
          <w:bCs/>
          <w:color w:val="auto"/>
          <w:spacing w:val="-3"/>
          <w:sz w:val="24"/>
          <w:szCs w:val="24"/>
          <w:highlight w:val="none"/>
          <w:lang w:val="en-US" w:eastAsia="zh-CN"/>
        </w:rPr>
      </w:pPr>
      <w:bookmarkStart w:id="61" w:name="_Toc14348"/>
      <w:r>
        <w:rPr>
          <w:rFonts w:hint="eastAsia" w:asciiTheme="minorEastAsia" w:hAnsiTheme="minorEastAsia" w:eastAsiaTheme="minorEastAsia" w:cstheme="minorEastAsia"/>
          <w:b/>
          <w:bCs/>
          <w:color w:val="auto"/>
          <w:spacing w:val="-3"/>
          <w:sz w:val="24"/>
          <w:szCs w:val="24"/>
          <w:highlight w:val="none"/>
          <w:lang w:val="en-US" w:eastAsia="zh-CN"/>
        </w:rPr>
        <w:t>一、项目基本概况及说明</w:t>
      </w:r>
    </w:p>
    <w:p>
      <w:pPr>
        <w:spacing w:before="115" w:line="219" w:lineRule="auto"/>
        <w:ind w:firstLine="476" w:firstLineChars="200"/>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本项目为重庆理工职业空调设备系统的维护和保养，学院中央空调设有两套系统。行政楼是3台学院校区美的水冷螺杆冷水机组和1台热水锅炉，国际楼是2台纳森水冷螺杆冷水机组。其中螺杆式单冷冷水机组的冷凝器和燃气热水采暖锅炉属于压力容器，应严格按照相关法律规定及设备管理条例进行维护保养。</w:t>
      </w:r>
    </w:p>
    <w:p>
      <w:pPr>
        <w:spacing w:line="241" w:lineRule="auto"/>
        <w:ind w:firstLine="470" w:firstLineChars="200"/>
        <w:outlineLvl w:val="1"/>
        <w:rPr>
          <w:rFonts w:hint="eastAsia" w:ascii="宋体" w:hAnsi="宋体" w:eastAsia="宋体" w:cs="宋体"/>
          <w:b/>
          <w:bCs/>
          <w:color w:val="auto"/>
          <w:spacing w:val="-3"/>
          <w:sz w:val="24"/>
          <w:szCs w:val="24"/>
          <w:highlight w:val="none"/>
          <w:lang w:val="en-US" w:eastAsia="zh-CN"/>
        </w:rPr>
      </w:pPr>
      <w:r>
        <w:rPr>
          <w:rFonts w:hint="eastAsia" w:ascii="宋体" w:hAnsi="宋体" w:eastAsia="宋体" w:cs="宋体"/>
          <w:b/>
          <w:bCs/>
          <w:color w:val="auto"/>
          <w:spacing w:val="-3"/>
          <w:sz w:val="24"/>
          <w:szCs w:val="24"/>
          <w:highlight w:val="none"/>
          <w:lang w:val="en-US" w:eastAsia="zh-CN"/>
        </w:rPr>
        <w:t>二、维保内容及技术要求</w:t>
      </w:r>
    </w:p>
    <w:tbl>
      <w:tblPr>
        <w:tblStyle w:val="10"/>
        <w:tblW w:w="5000" w:type="pct"/>
        <w:tblInd w:w="0" w:type="dxa"/>
        <w:tblLayout w:type="fixed"/>
        <w:tblCellMar>
          <w:top w:w="0" w:type="dxa"/>
          <w:left w:w="108" w:type="dxa"/>
          <w:bottom w:w="0" w:type="dxa"/>
          <w:right w:w="108" w:type="dxa"/>
        </w:tblCellMar>
      </w:tblPr>
      <w:tblGrid>
        <w:gridCol w:w="827"/>
        <w:gridCol w:w="1219"/>
        <w:gridCol w:w="4739"/>
        <w:gridCol w:w="1832"/>
      </w:tblGrid>
      <w:tr>
        <w:tblPrEx>
          <w:tblCellMar>
            <w:top w:w="0" w:type="dxa"/>
            <w:left w:w="108" w:type="dxa"/>
            <w:bottom w:w="0" w:type="dxa"/>
            <w:right w:w="108" w:type="dxa"/>
          </w:tblCellMar>
        </w:tblPrEx>
        <w:trPr>
          <w:trHeight w:val="23" w:hRule="atLeast"/>
          <w:tblHeader/>
        </w:trPr>
        <w:tc>
          <w:tcPr>
            <w:tcW w:w="48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115" w:line="219" w:lineRule="auto"/>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序号</w:t>
            </w:r>
          </w:p>
        </w:tc>
        <w:tc>
          <w:tcPr>
            <w:tcW w:w="707" w:type="pct"/>
            <w:tcBorders>
              <w:top w:val="single" w:color="auto" w:sz="4" w:space="0"/>
              <w:left w:val="nil"/>
              <w:bottom w:val="single" w:color="auto" w:sz="4" w:space="0"/>
              <w:right w:val="single" w:color="auto" w:sz="4" w:space="0"/>
            </w:tcBorders>
            <w:shd w:val="clear" w:color="auto" w:fill="auto"/>
            <w:noWrap/>
            <w:vAlign w:val="center"/>
          </w:tcPr>
          <w:p>
            <w:pPr>
              <w:spacing w:before="115" w:line="219" w:lineRule="auto"/>
              <w:ind w:firstLine="476" w:firstLineChars="200"/>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名称</w:t>
            </w:r>
          </w:p>
        </w:tc>
        <w:tc>
          <w:tcPr>
            <w:tcW w:w="2749" w:type="pct"/>
            <w:tcBorders>
              <w:top w:val="single" w:color="auto" w:sz="4" w:space="0"/>
              <w:left w:val="nil"/>
              <w:bottom w:val="single" w:color="auto" w:sz="4" w:space="0"/>
              <w:right w:val="single" w:color="auto" w:sz="4" w:space="0"/>
            </w:tcBorders>
            <w:shd w:val="clear" w:color="auto" w:fill="auto"/>
            <w:noWrap/>
            <w:vAlign w:val="center"/>
          </w:tcPr>
          <w:p>
            <w:pPr>
              <w:spacing w:before="115" w:line="219" w:lineRule="auto"/>
              <w:ind w:firstLine="476" w:firstLineChars="200"/>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维保内容及技术要求</w:t>
            </w:r>
          </w:p>
        </w:tc>
        <w:tc>
          <w:tcPr>
            <w:tcW w:w="1063" w:type="pct"/>
            <w:tcBorders>
              <w:top w:val="single" w:color="auto" w:sz="4" w:space="0"/>
              <w:left w:val="nil"/>
              <w:bottom w:val="single" w:color="auto" w:sz="4" w:space="0"/>
              <w:right w:val="single" w:color="auto" w:sz="4" w:space="0"/>
            </w:tcBorders>
            <w:shd w:val="clear" w:color="auto" w:fill="auto"/>
            <w:noWrap/>
            <w:vAlign w:val="center"/>
          </w:tcPr>
          <w:p>
            <w:pPr>
              <w:spacing w:before="115" w:line="219" w:lineRule="auto"/>
              <w:ind w:firstLine="476" w:firstLineChars="200"/>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备注</w:t>
            </w:r>
          </w:p>
        </w:tc>
      </w:tr>
      <w:tr>
        <w:tblPrEx>
          <w:tblCellMar>
            <w:top w:w="0" w:type="dxa"/>
            <w:left w:w="108" w:type="dxa"/>
            <w:bottom w:w="0" w:type="dxa"/>
            <w:right w:w="108" w:type="dxa"/>
          </w:tblCellMar>
        </w:tblPrEx>
        <w:trPr>
          <w:trHeight w:val="23" w:hRule="atLeast"/>
        </w:trPr>
        <w:tc>
          <w:tcPr>
            <w:tcW w:w="480" w:type="pct"/>
            <w:tcBorders>
              <w:top w:val="nil"/>
              <w:left w:val="single" w:color="auto" w:sz="4" w:space="0"/>
              <w:bottom w:val="single" w:color="auto" w:sz="4" w:space="0"/>
              <w:right w:val="single" w:color="auto" w:sz="4" w:space="0"/>
            </w:tcBorders>
            <w:shd w:val="clear" w:color="auto" w:fill="auto"/>
            <w:noWrap/>
            <w:vAlign w:val="center"/>
          </w:tcPr>
          <w:p>
            <w:pPr>
              <w:spacing w:before="115" w:line="219" w:lineRule="auto"/>
              <w:jc w:val="center"/>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1</w:t>
            </w:r>
          </w:p>
        </w:tc>
        <w:tc>
          <w:tcPr>
            <w:tcW w:w="707" w:type="pct"/>
            <w:tcBorders>
              <w:top w:val="nil"/>
              <w:left w:val="nil"/>
              <w:bottom w:val="single" w:color="auto" w:sz="4" w:space="0"/>
              <w:right w:val="single" w:color="auto" w:sz="4" w:space="0"/>
            </w:tcBorders>
            <w:shd w:val="clear" w:color="auto" w:fill="auto"/>
            <w:noWrap/>
            <w:vAlign w:val="center"/>
          </w:tcPr>
          <w:p>
            <w:pPr>
              <w:spacing w:before="115" w:line="219" w:lineRule="auto"/>
              <w:jc w:val="center"/>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水冷螺杆机组</w:t>
            </w:r>
          </w:p>
        </w:tc>
        <w:tc>
          <w:tcPr>
            <w:tcW w:w="2749" w:type="pct"/>
            <w:tcBorders>
              <w:top w:val="nil"/>
              <w:left w:val="nil"/>
              <w:bottom w:val="single" w:color="auto" w:sz="4" w:space="0"/>
              <w:right w:val="single" w:color="auto" w:sz="4" w:space="0"/>
            </w:tcBorders>
            <w:shd w:val="clear" w:color="auto" w:fill="auto"/>
            <w:noWrap/>
            <w:vAlign w:val="center"/>
          </w:tcPr>
          <w:p>
            <w:pPr>
              <w:spacing w:before="115" w:line="219" w:lineRule="auto"/>
              <w:jc w:val="both"/>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（1）根据实际运行情况，每年维保期内对当年需投入运行的水冷螺杆主机冷冻油更换一次；</w:t>
            </w:r>
          </w:p>
          <w:p>
            <w:pPr>
              <w:spacing w:before="115" w:line="219" w:lineRule="auto"/>
              <w:jc w:val="both"/>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（2）供冷季节运行前须进行各项检查和清洗保养工作，以确保机组可靠、安全和高效运行；</w:t>
            </w:r>
          </w:p>
          <w:p>
            <w:pPr>
              <w:spacing w:before="115" w:line="219" w:lineRule="auto"/>
              <w:jc w:val="both"/>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（3）对破损保温及机组表面锈蚀处进行恢复处理，保证机组外观整洁干净；</w:t>
            </w:r>
          </w:p>
          <w:p>
            <w:pPr>
              <w:spacing w:before="115" w:line="219" w:lineRule="auto"/>
              <w:jc w:val="both"/>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（4）停机期间，每月一次定期巡查空调机组。每年的 3-5 月执行春季维护保养，完成保养后向甲方及甲方业主提交《春季维护保养评估报告》；</w:t>
            </w:r>
          </w:p>
          <w:p>
            <w:pPr>
              <w:spacing w:before="115" w:line="219" w:lineRule="auto"/>
              <w:jc w:val="both"/>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（5）机组运行期间，随时进行突发问题处理，定期进行各项检查，确保机组在整个供冷季节运行高效、可靠；</w:t>
            </w:r>
          </w:p>
          <w:p>
            <w:pPr>
              <w:spacing w:before="115" w:line="219" w:lineRule="auto"/>
              <w:jc w:val="both"/>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（6）及时处理设备故障。</w:t>
            </w:r>
          </w:p>
        </w:tc>
        <w:tc>
          <w:tcPr>
            <w:tcW w:w="1063" w:type="pct"/>
            <w:tcBorders>
              <w:top w:val="nil"/>
              <w:left w:val="nil"/>
              <w:bottom w:val="single" w:color="auto" w:sz="4" w:space="0"/>
              <w:right w:val="single" w:color="auto" w:sz="4" w:space="0"/>
            </w:tcBorders>
            <w:shd w:val="clear" w:color="auto" w:fill="auto"/>
            <w:noWrap/>
            <w:vAlign w:val="center"/>
          </w:tcPr>
          <w:p>
            <w:pPr>
              <w:spacing w:before="115" w:line="219" w:lineRule="auto"/>
              <w:jc w:val="both"/>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行政楼为3台美的空调，两用一备，国际楼纳森2台空调，一用一备。保证现场使用设备正常运行率大于80%，达到随时启动要求。</w:t>
            </w:r>
          </w:p>
        </w:tc>
      </w:tr>
      <w:tr>
        <w:tblPrEx>
          <w:tblCellMar>
            <w:top w:w="0" w:type="dxa"/>
            <w:left w:w="108" w:type="dxa"/>
            <w:bottom w:w="0" w:type="dxa"/>
            <w:right w:w="108" w:type="dxa"/>
          </w:tblCellMar>
        </w:tblPrEx>
        <w:trPr>
          <w:trHeight w:val="23" w:hRule="atLeast"/>
        </w:trPr>
        <w:tc>
          <w:tcPr>
            <w:tcW w:w="480" w:type="pct"/>
            <w:tcBorders>
              <w:top w:val="nil"/>
              <w:left w:val="single" w:color="auto" w:sz="4" w:space="0"/>
              <w:bottom w:val="single" w:color="auto" w:sz="4" w:space="0"/>
              <w:right w:val="single" w:color="auto" w:sz="4" w:space="0"/>
            </w:tcBorders>
            <w:shd w:val="clear" w:color="auto" w:fill="auto"/>
            <w:noWrap/>
            <w:vAlign w:val="center"/>
          </w:tcPr>
          <w:p>
            <w:pPr>
              <w:spacing w:before="115" w:line="219" w:lineRule="auto"/>
              <w:jc w:val="center"/>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2</w:t>
            </w:r>
          </w:p>
        </w:tc>
        <w:tc>
          <w:tcPr>
            <w:tcW w:w="707" w:type="pct"/>
            <w:tcBorders>
              <w:top w:val="nil"/>
              <w:left w:val="nil"/>
              <w:bottom w:val="single" w:color="auto" w:sz="4" w:space="0"/>
              <w:right w:val="single" w:color="auto" w:sz="4" w:space="0"/>
            </w:tcBorders>
            <w:shd w:val="clear" w:color="auto" w:fill="auto"/>
            <w:noWrap/>
            <w:vAlign w:val="center"/>
          </w:tcPr>
          <w:p>
            <w:pPr>
              <w:spacing w:before="115" w:line="219" w:lineRule="auto"/>
              <w:jc w:val="center"/>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暗装卧式盘管</w:t>
            </w:r>
          </w:p>
        </w:tc>
        <w:tc>
          <w:tcPr>
            <w:tcW w:w="2749" w:type="pct"/>
            <w:tcBorders>
              <w:top w:val="nil"/>
              <w:left w:val="nil"/>
              <w:bottom w:val="single" w:color="auto" w:sz="4" w:space="0"/>
              <w:right w:val="single" w:color="auto" w:sz="4" w:space="0"/>
            </w:tcBorders>
            <w:shd w:val="clear" w:color="auto" w:fill="auto"/>
            <w:noWrap/>
            <w:vAlign w:val="center"/>
          </w:tcPr>
          <w:p>
            <w:pPr>
              <w:spacing w:before="115" w:line="219" w:lineRule="auto"/>
              <w:jc w:val="both"/>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（1）普通清洗：每年两次，主要清洗滤网、风口。</w:t>
            </w:r>
          </w:p>
          <w:p>
            <w:pPr>
              <w:spacing w:before="115" w:line="219" w:lineRule="auto"/>
              <w:jc w:val="both"/>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（2）深度清洗（包括但不限于以下项目）：</w:t>
            </w:r>
          </w:p>
          <w:p>
            <w:pPr>
              <w:spacing w:before="115" w:line="219" w:lineRule="auto"/>
              <w:ind w:firstLine="238" w:firstLineChars="100"/>
              <w:jc w:val="both"/>
              <w:rPr>
                <w:rFonts w:hint="eastAsia" w:ascii="宋体" w:hAnsi="宋体" w:eastAsia="宋体" w:cs="宋体"/>
                <w:color w:val="auto"/>
                <w:spacing w:val="-1"/>
                <w:sz w:val="24"/>
                <w:szCs w:val="24"/>
                <w:highlight w:val="none"/>
                <w:lang w:val="en-US" w:eastAsia="zh-CN"/>
              </w:rPr>
            </w:pPr>
            <w:r>
              <w:rPr>
                <w:rFonts w:hint="default" w:ascii="宋体" w:hAnsi="宋体" w:eastAsia="宋体" w:cs="宋体"/>
                <w:color w:val="auto"/>
                <w:spacing w:val="-1"/>
                <w:sz w:val="24"/>
                <w:szCs w:val="24"/>
                <w:highlight w:val="none"/>
                <w:lang w:val="en-US" w:eastAsia="zh-CN"/>
              </w:rPr>
              <w:t>①</w:t>
            </w:r>
            <w:r>
              <w:rPr>
                <w:rFonts w:hint="eastAsia" w:ascii="宋体" w:hAnsi="宋体" w:eastAsia="宋体" w:cs="宋体"/>
                <w:color w:val="auto"/>
                <w:spacing w:val="-1"/>
                <w:sz w:val="24"/>
                <w:szCs w:val="24"/>
                <w:highlight w:val="none"/>
                <w:lang w:val="en-US" w:eastAsia="zh-CN"/>
              </w:rPr>
              <w:t>、拆卸盘管外壳和过滤网，清洗翅片、铜管等部件，去除灰尘、油污、锈蚀和细菌；</w:t>
            </w:r>
          </w:p>
          <w:p>
            <w:pPr>
              <w:spacing w:before="115" w:line="219" w:lineRule="auto"/>
              <w:ind w:firstLine="238" w:firstLineChars="100"/>
              <w:jc w:val="both"/>
              <w:rPr>
                <w:rFonts w:hint="eastAsia" w:ascii="宋体" w:hAnsi="宋体" w:eastAsia="宋体" w:cs="宋体"/>
                <w:color w:val="auto"/>
                <w:spacing w:val="-1"/>
                <w:sz w:val="24"/>
                <w:szCs w:val="24"/>
                <w:highlight w:val="none"/>
                <w:lang w:val="en-US" w:eastAsia="zh-CN"/>
              </w:rPr>
            </w:pPr>
            <w:r>
              <w:rPr>
                <w:rFonts w:hint="default" w:ascii="宋体" w:hAnsi="宋体" w:eastAsia="宋体" w:cs="宋体"/>
                <w:color w:val="auto"/>
                <w:spacing w:val="-1"/>
                <w:sz w:val="24"/>
                <w:szCs w:val="24"/>
                <w:highlight w:val="none"/>
                <w:lang w:val="en-US" w:eastAsia="zh-CN"/>
              </w:rPr>
              <w:t>②</w:t>
            </w:r>
            <w:r>
              <w:rPr>
                <w:rFonts w:hint="eastAsia" w:ascii="宋体" w:hAnsi="宋体" w:eastAsia="宋体" w:cs="宋体"/>
                <w:color w:val="auto"/>
                <w:spacing w:val="-1"/>
                <w:sz w:val="24"/>
                <w:szCs w:val="24"/>
                <w:highlight w:val="none"/>
                <w:lang w:val="en-US" w:eastAsia="zh-CN"/>
              </w:rPr>
              <w:t>、使用专用消毒剂对盘管内部进行消毒，杀灭细菌和病毒；</w:t>
            </w:r>
          </w:p>
          <w:p>
            <w:pPr>
              <w:spacing w:before="115" w:line="219" w:lineRule="auto"/>
              <w:ind w:firstLine="238" w:firstLineChars="100"/>
              <w:jc w:val="both"/>
              <w:rPr>
                <w:rFonts w:hint="eastAsia" w:ascii="宋体" w:hAnsi="宋体" w:eastAsia="宋体" w:cs="宋体"/>
                <w:color w:val="auto"/>
                <w:spacing w:val="-1"/>
                <w:sz w:val="24"/>
                <w:szCs w:val="24"/>
                <w:highlight w:val="none"/>
                <w:lang w:val="en-US" w:eastAsia="zh-CN"/>
              </w:rPr>
            </w:pPr>
            <w:r>
              <w:rPr>
                <w:rFonts w:hint="default" w:ascii="宋体" w:hAnsi="宋体" w:eastAsia="宋体" w:cs="宋体"/>
                <w:color w:val="auto"/>
                <w:spacing w:val="-1"/>
                <w:sz w:val="24"/>
                <w:szCs w:val="24"/>
                <w:highlight w:val="none"/>
                <w:lang w:val="en-US" w:eastAsia="zh-CN"/>
              </w:rPr>
              <w:t>③</w:t>
            </w:r>
            <w:r>
              <w:rPr>
                <w:rFonts w:hint="eastAsia" w:ascii="宋体" w:hAnsi="宋体" w:eastAsia="宋体" w:cs="宋体"/>
                <w:color w:val="auto"/>
                <w:spacing w:val="-1"/>
                <w:sz w:val="24"/>
                <w:szCs w:val="24"/>
                <w:highlight w:val="none"/>
                <w:lang w:val="en-US" w:eastAsia="zh-CN"/>
              </w:rPr>
              <w:t>、检查盘管是否有损坏或堵塞，必要时进行维修或更换；</w:t>
            </w:r>
          </w:p>
          <w:p>
            <w:pPr>
              <w:spacing w:before="115" w:line="219" w:lineRule="auto"/>
              <w:ind w:firstLine="238" w:firstLineChars="100"/>
              <w:jc w:val="both"/>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④、清洗完成后重新安装盘管，并进行调试，确保正常运行。</w:t>
            </w:r>
          </w:p>
          <w:p>
            <w:pPr>
              <w:spacing w:before="115" w:line="219" w:lineRule="auto"/>
              <w:jc w:val="both"/>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（3）定期检查盘管的控制、感应装置是否良好。</w:t>
            </w:r>
          </w:p>
          <w:p>
            <w:pPr>
              <w:spacing w:before="115" w:line="219" w:lineRule="auto"/>
              <w:jc w:val="both"/>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（4）定期检查排气阀、补水阀，保证排气顺畅，阀门运转灵活。</w:t>
            </w:r>
          </w:p>
          <w:p>
            <w:pPr>
              <w:spacing w:before="115" w:line="219" w:lineRule="auto"/>
              <w:jc w:val="both"/>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（5）定期检查冷凝排水盘和排水管道，确保没有阻隔堵塞、渗漏和溢流。</w:t>
            </w:r>
          </w:p>
          <w:p>
            <w:pPr>
              <w:spacing w:before="115" w:line="219" w:lineRule="auto"/>
              <w:jc w:val="both"/>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（6）定期检查管道保温，确保空调夏季运行时无漏水现象。</w:t>
            </w:r>
          </w:p>
          <w:p>
            <w:pPr>
              <w:spacing w:before="115" w:line="219" w:lineRule="auto"/>
              <w:jc w:val="both"/>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（7）检查风机运行噪声及振动，必要时更换轴承、电容等易损件。</w:t>
            </w:r>
          </w:p>
          <w:p>
            <w:pPr>
              <w:spacing w:before="115" w:line="219" w:lineRule="auto"/>
              <w:jc w:val="both"/>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（8）及时处理设备故障。</w:t>
            </w:r>
          </w:p>
        </w:tc>
        <w:tc>
          <w:tcPr>
            <w:tcW w:w="1063" w:type="pct"/>
            <w:tcBorders>
              <w:top w:val="nil"/>
              <w:left w:val="nil"/>
              <w:bottom w:val="single" w:color="auto" w:sz="4" w:space="0"/>
              <w:right w:val="single" w:color="auto" w:sz="4" w:space="0"/>
            </w:tcBorders>
            <w:shd w:val="clear" w:color="auto" w:fill="auto"/>
            <w:noWrap/>
            <w:vAlign w:val="center"/>
          </w:tcPr>
          <w:p>
            <w:pPr>
              <w:spacing w:before="115" w:line="219" w:lineRule="auto"/>
              <w:jc w:val="both"/>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将现有暗装卧式盘管分为三批次，每年深度清洗一批次，剩下两批次做普通清洗，三年需全部深度清洗，循环往复。</w:t>
            </w:r>
          </w:p>
        </w:tc>
      </w:tr>
      <w:tr>
        <w:tblPrEx>
          <w:tblCellMar>
            <w:top w:w="0" w:type="dxa"/>
            <w:left w:w="108" w:type="dxa"/>
            <w:bottom w:w="0" w:type="dxa"/>
            <w:right w:w="108" w:type="dxa"/>
          </w:tblCellMar>
        </w:tblPrEx>
        <w:trPr>
          <w:trHeight w:val="23" w:hRule="atLeast"/>
        </w:trPr>
        <w:tc>
          <w:tcPr>
            <w:tcW w:w="480" w:type="pct"/>
            <w:tcBorders>
              <w:top w:val="nil"/>
              <w:left w:val="single" w:color="auto" w:sz="4" w:space="0"/>
              <w:bottom w:val="single" w:color="auto" w:sz="4" w:space="0"/>
              <w:right w:val="single" w:color="auto" w:sz="4" w:space="0"/>
            </w:tcBorders>
            <w:shd w:val="clear" w:color="auto" w:fill="auto"/>
            <w:noWrap/>
            <w:vAlign w:val="center"/>
          </w:tcPr>
          <w:p>
            <w:pPr>
              <w:spacing w:before="115" w:line="219" w:lineRule="auto"/>
              <w:jc w:val="center"/>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3</w:t>
            </w:r>
          </w:p>
        </w:tc>
        <w:tc>
          <w:tcPr>
            <w:tcW w:w="707" w:type="pct"/>
            <w:tcBorders>
              <w:top w:val="nil"/>
              <w:left w:val="nil"/>
              <w:bottom w:val="single" w:color="auto" w:sz="4" w:space="0"/>
              <w:right w:val="single" w:color="auto" w:sz="4" w:space="0"/>
            </w:tcBorders>
            <w:shd w:val="clear" w:color="auto" w:fill="auto"/>
            <w:noWrap/>
            <w:vAlign w:val="center"/>
          </w:tcPr>
          <w:p>
            <w:pPr>
              <w:spacing w:before="115" w:line="219" w:lineRule="auto"/>
              <w:jc w:val="center"/>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冷却塔</w:t>
            </w:r>
          </w:p>
        </w:tc>
        <w:tc>
          <w:tcPr>
            <w:tcW w:w="2749" w:type="pct"/>
            <w:tcBorders>
              <w:top w:val="nil"/>
              <w:left w:val="nil"/>
              <w:bottom w:val="single" w:color="auto" w:sz="4" w:space="0"/>
              <w:right w:val="single" w:color="auto" w:sz="4" w:space="0"/>
            </w:tcBorders>
            <w:shd w:val="clear" w:color="auto" w:fill="auto"/>
            <w:noWrap/>
            <w:vAlign w:val="center"/>
          </w:tcPr>
          <w:p>
            <w:pPr>
              <w:spacing w:before="115" w:line="219" w:lineRule="auto"/>
              <w:jc w:val="both"/>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（1）每年运行前清洗冷却塔填料及塔体淤泥等一次；</w:t>
            </w:r>
          </w:p>
          <w:p>
            <w:pPr>
              <w:spacing w:before="115" w:line="219" w:lineRule="auto"/>
              <w:jc w:val="both"/>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（2）对异常工作电机皮带进行更换；</w:t>
            </w:r>
          </w:p>
          <w:p>
            <w:pPr>
              <w:spacing w:before="115" w:line="219" w:lineRule="auto"/>
              <w:jc w:val="both"/>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（3）清洗塔体周边地面，保证地面干燥整洁；</w:t>
            </w:r>
          </w:p>
          <w:p>
            <w:pPr>
              <w:spacing w:before="115" w:line="219" w:lineRule="auto"/>
              <w:jc w:val="both"/>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（4）定期（制冷季节每月一次）对冷却塔进行巡查。</w:t>
            </w:r>
          </w:p>
        </w:tc>
        <w:tc>
          <w:tcPr>
            <w:tcW w:w="1063" w:type="pct"/>
            <w:tcBorders>
              <w:top w:val="nil"/>
              <w:left w:val="nil"/>
              <w:bottom w:val="single" w:color="auto" w:sz="4" w:space="0"/>
              <w:right w:val="single" w:color="auto" w:sz="4" w:space="0"/>
            </w:tcBorders>
            <w:shd w:val="clear" w:color="auto" w:fill="auto"/>
            <w:noWrap/>
            <w:vAlign w:val="center"/>
          </w:tcPr>
          <w:p>
            <w:pPr>
              <w:spacing w:before="115" w:line="219" w:lineRule="auto"/>
              <w:ind w:firstLine="476" w:firstLineChars="200"/>
              <w:jc w:val="center"/>
              <w:rPr>
                <w:rFonts w:hint="eastAsia" w:ascii="宋体" w:hAnsi="宋体" w:eastAsia="宋体" w:cs="宋体"/>
                <w:color w:val="auto"/>
                <w:spacing w:val="-1"/>
                <w:sz w:val="24"/>
                <w:szCs w:val="24"/>
                <w:highlight w:val="none"/>
                <w:lang w:val="en-US" w:eastAsia="zh-CN"/>
              </w:rPr>
            </w:pPr>
          </w:p>
        </w:tc>
      </w:tr>
      <w:tr>
        <w:tblPrEx>
          <w:tblCellMar>
            <w:top w:w="0" w:type="dxa"/>
            <w:left w:w="108" w:type="dxa"/>
            <w:bottom w:w="0" w:type="dxa"/>
            <w:right w:w="108" w:type="dxa"/>
          </w:tblCellMar>
        </w:tblPrEx>
        <w:trPr>
          <w:trHeight w:val="23" w:hRule="atLeast"/>
        </w:trPr>
        <w:tc>
          <w:tcPr>
            <w:tcW w:w="480" w:type="pct"/>
            <w:tcBorders>
              <w:top w:val="nil"/>
              <w:left w:val="single" w:color="auto" w:sz="4" w:space="0"/>
              <w:bottom w:val="single" w:color="auto" w:sz="4" w:space="0"/>
              <w:right w:val="single" w:color="auto" w:sz="4" w:space="0"/>
            </w:tcBorders>
            <w:shd w:val="clear" w:color="auto" w:fill="auto"/>
            <w:noWrap/>
            <w:vAlign w:val="center"/>
          </w:tcPr>
          <w:p>
            <w:pPr>
              <w:spacing w:before="115" w:line="219" w:lineRule="auto"/>
              <w:jc w:val="center"/>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4</w:t>
            </w:r>
          </w:p>
        </w:tc>
        <w:tc>
          <w:tcPr>
            <w:tcW w:w="707" w:type="pct"/>
            <w:tcBorders>
              <w:top w:val="nil"/>
              <w:left w:val="nil"/>
              <w:bottom w:val="single" w:color="auto" w:sz="4" w:space="0"/>
              <w:right w:val="single" w:color="auto" w:sz="4" w:space="0"/>
            </w:tcBorders>
            <w:shd w:val="clear" w:color="auto" w:fill="auto"/>
            <w:noWrap/>
            <w:vAlign w:val="center"/>
          </w:tcPr>
          <w:p>
            <w:pPr>
              <w:spacing w:before="115" w:line="219" w:lineRule="auto"/>
              <w:jc w:val="center"/>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冷却、冷冻供回水泵</w:t>
            </w:r>
          </w:p>
        </w:tc>
        <w:tc>
          <w:tcPr>
            <w:tcW w:w="2749" w:type="pct"/>
            <w:tcBorders>
              <w:top w:val="nil"/>
              <w:left w:val="nil"/>
              <w:bottom w:val="single" w:color="auto" w:sz="4" w:space="0"/>
              <w:right w:val="single" w:color="auto" w:sz="4" w:space="0"/>
            </w:tcBorders>
            <w:shd w:val="clear" w:color="auto" w:fill="auto"/>
            <w:noWrap/>
            <w:vAlign w:val="center"/>
          </w:tcPr>
          <w:p>
            <w:pPr>
              <w:spacing w:before="115" w:line="219" w:lineRule="auto"/>
              <w:jc w:val="both"/>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（1）水泵电动机维护保养；</w:t>
            </w:r>
          </w:p>
          <w:p>
            <w:pPr>
              <w:spacing w:before="115" w:line="219" w:lineRule="auto"/>
              <w:jc w:val="both"/>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（2）机械部分维修保养；</w:t>
            </w:r>
          </w:p>
          <w:p>
            <w:pPr>
              <w:spacing w:before="115" w:line="219" w:lineRule="auto"/>
              <w:jc w:val="both"/>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（3）检查弹性联轴器有无损坏，如损坏则应更换弹性橡胶垫（不定期）；</w:t>
            </w:r>
          </w:p>
          <w:p>
            <w:pPr>
              <w:spacing w:before="115" w:line="219" w:lineRule="auto"/>
              <w:jc w:val="both"/>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（4）清洁水泵过滤网；</w:t>
            </w:r>
          </w:p>
          <w:p>
            <w:pPr>
              <w:spacing w:before="115" w:line="219" w:lineRule="auto"/>
              <w:jc w:val="both"/>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（5）电气控制部分检查；</w:t>
            </w:r>
          </w:p>
          <w:p>
            <w:pPr>
              <w:spacing w:before="115" w:line="219" w:lineRule="auto"/>
              <w:jc w:val="both"/>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（6）水泵运转时的电机外壳和轴承座的温度巡查；</w:t>
            </w:r>
          </w:p>
          <w:p>
            <w:pPr>
              <w:spacing w:before="115" w:line="219" w:lineRule="auto"/>
              <w:jc w:val="both"/>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（7）检查水泵运转是否有漏水、水泵运转是否存在异常的震动和噪音；</w:t>
            </w:r>
          </w:p>
          <w:p>
            <w:pPr>
              <w:spacing w:before="115" w:line="219" w:lineRule="auto"/>
              <w:jc w:val="both"/>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（8）每周检查一次电机电流、频率、电压、温度、噪声；</w:t>
            </w:r>
          </w:p>
          <w:p>
            <w:pPr>
              <w:spacing w:before="115" w:line="219" w:lineRule="auto"/>
              <w:jc w:val="both"/>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（9）每季度加注一次润滑油脂，并检查电气绝缘是否良好；</w:t>
            </w:r>
          </w:p>
          <w:p>
            <w:pPr>
              <w:spacing w:before="115" w:line="219" w:lineRule="auto"/>
              <w:jc w:val="both"/>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（10）及时处理设备故障。</w:t>
            </w:r>
          </w:p>
        </w:tc>
        <w:tc>
          <w:tcPr>
            <w:tcW w:w="1063" w:type="pct"/>
            <w:tcBorders>
              <w:top w:val="nil"/>
              <w:left w:val="nil"/>
              <w:bottom w:val="single" w:color="auto" w:sz="4" w:space="0"/>
              <w:right w:val="single" w:color="auto" w:sz="4" w:space="0"/>
            </w:tcBorders>
            <w:shd w:val="clear" w:color="auto" w:fill="auto"/>
            <w:noWrap/>
            <w:vAlign w:val="center"/>
          </w:tcPr>
          <w:p>
            <w:pPr>
              <w:spacing w:before="115" w:line="219" w:lineRule="auto"/>
              <w:ind w:firstLine="476" w:firstLineChars="200"/>
              <w:jc w:val="center"/>
              <w:rPr>
                <w:rFonts w:hint="eastAsia" w:ascii="宋体" w:hAnsi="宋体" w:eastAsia="宋体" w:cs="宋体"/>
                <w:color w:val="auto"/>
                <w:spacing w:val="-1"/>
                <w:sz w:val="24"/>
                <w:szCs w:val="24"/>
                <w:highlight w:val="none"/>
                <w:lang w:val="en-US" w:eastAsia="zh-CN"/>
              </w:rPr>
            </w:pPr>
          </w:p>
        </w:tc>
      </w:tr>
      <w:tr>
        <w:tblPrEx>
          <w:tblCellMar>
            <w:top w:w="0" w:type="dxa"/>
            <w:left w:w="108" w:type="dxa"/>
            <w:bottom w:w="0" w:type="dxa"/>
            <w:right w:w="108" w:type="dxa"/>
          </w:tblCellMar>
        </w:tblPrEx>
        <w:trPr>
          <w:trHeight w:val="23" w:hRule="atLeast"/>
        </w:trPr>
        <w:tc>
          <w:tcPr>
            <w:tcW w:w="480" w:type="pct"/>
            <w:tcBorders>
              <w:top w:val="nil"/>
              <w:left w:val="single" w:color="auto" w:sz="4" w:space="0"/>
              <w:bottom w:val="single" w:color="auto" w:sz="4" w:space="0"/>
              <w:right w:val="single" w:color="auto" w:sz="4" w:space="0"/>
            </w:tcBorders>
            <w:shd w:val="clear" w:color="auto" w:fill="auto"/>
            <w:noWrap/>
            <w:vAlign w:val="center"/>
          </w:tcPr>
          <w:p>
            <w:pPr>
              <w:spacing w:before="115" w:line="219" w:lineRule="auto"/>
              <w:jc w:val="center"/>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5</w:t>
            </w:r>
          </w:p>
        </w:tc>
        <w:tc>
          <w:tcPr>
            <w:tcW w:w="707" w:type="pct"/>
            <w:tcBorders>
              <w:top w:val="nil"/>
              <w:left w:val="nil"/>
              <w:bottom w:val="single" w:color="auto" w:sz="4" w:space="0"/>
              <w:right w:val="single" w:color="auto" w:sz="4" w:space="0"/>
            </w:tcBorders>
            <w:shd w:val="clear" w:color="auto" w:fill="auto"/>
            <w:noWrap/>
            <w:vAlign w:val="center"/>
          </w:tcPr>
          <w:p>
            <w:pPr>
              <w:spacing w:before="115" w:line="219" w:lineRule="auto"/>
              <w:jc w:val="center"/>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冷水管路及阀门系统</w:t>
            </w:r>
          </w:p>
        </w:tc>
        <w:tc>
          <w:tcPr>
            <w:tcW w:w="2749" w:type="pct"/>
            <w:tcBorders>
              <w:top w:val="nil"/>
              <w:left w:val="nil"/>
              <w:bottom w:val="single" w:color="auto" w:sz="4" w:space="0"/>
              <w:right w:val="single" w:color="auto" w:sz="4" w:space="0"/>
            </w:tcBorders>
            <w:shd w:val="clear" w:color="auto" w:fill="auto"/>
            <w:noWrap/>
            <w:vAlign w:val="center"/>
          </w:tcPr>
          <w:p>
            <w:pPr>
              <w:spacing w:before="115" w:line="219" w:lineRule="auto"/>
              <w:jc w:val="both"/>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（1）每年对水冷螺杆机组系统的冷冻水（冷却水）管路进行一次加药清洗</w:t>
            </w:r>
          </w:p>
          <w:p>
            <w:pPr>
              <w:spacing w:before="115" w:line="219" w:lineRule="auto"/>
              <w:ind w:firstLine="476" w:firstLineChars="200"/>
              <w:jc w:val="both"/>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清洗步骤：水冲洗—杀菌灭藻清洗——除垢剂清洗——清洗后冲洗——预膜——清洗后的清理；</w:t>
            </w:r>
          </w:p>
          <w:p>
            <w:pPr>
              <w:spacing w:before="115" w:line="219" w:lineRule="auto"/>
              <w:jc w:val="both"/>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2）管道、阀门检查对系统所有管道进行巡视，对阀门进行开关试验，必要时更换阀芯；对管道保温结露现象进行检查，必要时加厚或更换保温；对排水系统进行检查，必要时调整坡度及清洗；打开主管路过滤器，清除里面的杂物；清洗软水箱、并检查水位及补水情况。</w:t>
            </w:r>
          </w:p>
        </w:tc>
        <w:tc>
          <w:tcPr>
            <w:tcW w:w="1063" w:type="pct"/>
            <w:tcBorders>
              <w:top w:val="nil"/>
              <w:left w:val="nil"/>
              <w:bottom w:val="single" w:color="auto" w:sz="4" w:space="0"/>
              <w:right w:val="single" w:color="auto" w:sz="4" w:space="0"/>
            </w:tcBorders>
            <w:shd w:val="clear" w:color="auto" w:fill="auto"/>
            <w:noWrap/>
            <w:vAlign w:val="center"/>
          </w:tcPr>
          <w:p>
            <w:pPr>
              <w:spacing w:before="115" w:line="219" w:lineRule="auto"/>
              <w:ind w:firstLine="476" w:firstLineChars="200"/>
              <w:jc w:val="center"/>
              <w:rPr>
                <w:rFonts w:hint="eastAsia" w:ascii="宋体" w:hAnsi="宋体" w:eastAsia="宋体" w:cs="宋体"/>
                <w:color w:val="auto"/>
                <w:spacing w:val="-1"/>
                <w:sz w:val="24"/>
                <w:szCs w:val="24"/>
                <w:highlight w:val="none"/>
                <w:lang w:val="en-US" w:eastAsia="zh-CN"/>
              </w:rPr>
            </w:pPr>
          </w:p>
        </w:tc>
      </w:tr>
      <w:tr>
        <w:tblPrEx>
          <w:tblCellMar>
            <w:top w:w="0" w:type="dxa"/>
            <w:left w:w="108" w:type="dxa"/>
            <w:bottom w:w="0" w:type="dxa"/>
            <w:right w:w="108" w:type="dxa"/>
          </w:tblCellMar>
        </w:tblPrEx>
        <w:trPr>
          <w:trHeight w:val="23" w:hRule="atLeast"/>
        </w:trPr>
        <w:tc>
          <w:tcPr>
            <w:tcW w:w="48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115" w:line="219" w:lineRule="auto"/>
              <w:jc w:val="center"/>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6</w:t>
            </w:r>
          </w:p>
        </w:tc>
        <w:tc>
          <w:tcPr>
            <w:tcW w:w="707" w:type="pct"/>
            <w:tcBorders>
              <w:top w:val="single" w:color="auto" w:sz="4" w:space="0"/>
              <w:left w:val="nil"/>
              <w:bottom w:val="single" w:color="auto" w:sz="4" w:space="0"/>
              <w:right w:val="single" w:color="auto" w:sz="4" w:space="0"/>
            </w:tcBorders>
            <w:shd w:val="clear" w:color="auto" w:fill="auto"/>
            <w:noWrap/>
            <w:vAlign w:val="center"/>
          </w:tcPr>
          <w:p>
            <w:pPr>
              <w:spacing w:before="115" w:line="219" w:lineRule="auto"/>
              <w:jc w:val="center"/>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真空热水锅炉</w:t>
            </w:r>
          </w:p>
        </w:tc>
        <w:tc>
          <w:tcPr>
            <w:tcW w:w="2749" w:type="pct"/>
            <w:tcBorders>
              <w:top w:val="single" w:color="auto" w:sz="4" w:space="0"/>
              <w:left w:val="nil"/>
              <w:bottom w:val="single" w:color="auto" w:sz="4" w:space="0"/>
              <w:right w:val="single" w:color="auto" w:sz="4" w:space="0"/>
            </w:tcBorders>
            <w:shd w:val="clear" w:color="auto" w:fill="auto"/>
            <w:noWrap/>
            <w:vAlign w:val="center"/>
          </w:tcPr>
          <w:p>
            <w:pPr>
              <w:spacing w:before="115" w:line="219" w:lineRule="auto"/>
              <w:jc w:val="both"/>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（1）</w:t>
            </w:r>
            <w:r>
              <w:rPr>
                <w:rFonts w:hint="eastAsia" w:ascii="宋体" w:hAnsi="宋体" w:eastAsia="宋体" w:cs="宋体"/>
                <w:color w:val="auto"/>
                <w:spacing w:val="-1"/>
                <w:sz w:val="24"/>
                <w:szCs w:val="24"/>
                <w:highlight w:val="none"/>
                <w:lang w:val="en-US" w:eastAsia="zh-CN"/>
              </w:rPr>
              <w:br w:type="page"/>
            </w:r>
            <w:r>
              <w:rPr>
                <w:rFonts w:hint="eastAsia" w:ascii="宋体" w:hAnsi="宋体" w:eastAsia="宋体" w:cs="宋体"/>
                <w:color w:val="auto"/>
                <w:spacing w:val="-1"/>
                <w:sz w:val="24"/>
                <w:szCs w:val="24"/>
                <w:highlight w:val="none"/>
                <w:lang w:val="en-US" w:eastAsia="zh-CN"/>
              </w:rPr>
              <w:t>每年采暖前，对锅炉、水泵及管路系统进行全面的检查。每年 10-11 月执行秋季维护保养，完成保养后向甲方及甲方业主提交《秋季维护保养评估报告》；</w:t>
            </w:r>
          </w:p>
          <w:p>
            <w:pPr>
              <w:spacing w:before="115" w:line="219" w:lineRule="auto"/>
              <w:jc w:val="both"/>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（2）每年对热</w:t>
            </w:r>
            <w:r>
              <w:rPr>
                <w:rFonts w:hint="eastAsia" w:ascii="宋体" w:hAnsi="宋体" w:eastAsia="宋体" w:cs="宋体"/>
                <w:color w:val="auto"/>
                <w:spacing w:val="-1"/>
                <w:sz w:val="24"/>
                <w:szCs w:val="24"/>
                <w:highlight w:val="none"/>
                <w:lang w:val="en-US" w:eastAsia="zh-CN"/>
              </w:rPr>
              <w:br w:type="page"/>
            </w:r>
            <w:r>
              <w:rPr>
                <w:rFonts w:hint="eastAsia" w:ascii="宋体" w:hAnsi="宋体" w:eastAsia="宋体" w:cs="宋体"/>
                <w:color w:val="auto"/>
                <w:spacing w:val="-1"/>
                <w:sz w:val="24"/>
                <w:szCs w:val="24"/>
                <w:highlight w:val="none"/>
                <w:lang w:val="en-US" w:eastAsia="zh-CN"/>
              </w:rPr>
              <w:t>交换器进行1次清洁、除垢；</w:t>
            </w:r>
          </w:p>
          <w:p>
            <w:pPr>
              <w:spacing w:before="115" w:line="219" w:lineRule="auto"/>
              <w:jc w:val="both"/>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（3）每月对设备进行清洁，保持设备干净整洁；</w:t>
            </w:r>
          </w:p>
          <w:p>
            <w:pPr>
              <w:spacing w:before="115" w:line="219" w:lineRule="auto"/>
              <w:jc w:val="both"/>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（4）供暖期间专人定期巡视，及时处理设备故障。</w:t>
            </w:r>
          </w:p>
        </w:tc>
        <w:tc>
          <w:tcPr>
            <w:tcW w:w="1063" w:type="pct"/>
            <w:tcBorders>
              <w:top w:val="single" w:color="auto" w:sz="4" w:space="0"/>
              <w:left w:val="nil"/>
              <w:bottom w:val="single" w:color="auto" w:sz="4" w:space="0"/>
              <w:right w:val="single" w:color="auto" w:sz="4" w:space="0"/>
            </w:tcBorders>
            <w:shd w:val="clear" w:color="auto" w:fill="auto"/>
            <w:noWrap/>
            <w:vAlign w:val="center"/>
          </w:tcPr>
          <w:p>
            <w:pPr>
              <w:spacing w:before="115" w:line="219" w:lineRule="auto"/>
              <w:ind w:firstLine="476" w:firstLineChars="200"/>
              <w:jc w:val="center"/>
              <w:rPr>
                <w:rFonts w:hint="eastAsia" w:ascii="宋体" w:hAnsi="宋体" w:eastAsia="宋体" w:cs="宋体"/>
                <w:color w:val="auto"/>
                <w:spacing w:val="-1"/>
                <w:sz w:val="24"/>
                <w:szCs w:val="24"/>
                <w:highlight w:val="none"/>
                <w:lang w:val="en-US" w:eastAsia="zh-CN"/>
              </w:rPr>
            </w:pPr>
          </w:p>
        </w:tc>
      </w:tr>
      <w:tr>
        <w:tblPrEx>
          <w:tblCellMar>
            <w:top w:w="0" w:type="dxa"/>
            <w:left w:w="108" w:type="dxa"/>
            <w:bottom w:w="0" w:type="dxa"/>
            <w:right w:w="108" w:type="dxa"/>
          </w:tblCellMar>
        </w:tblPrEx>
        <w:trPr>
          <w:trHeight w:val="450" w:hRule="atLeast"/>
        </w:trPr>
        <w:tc>
          <w:tcPr>
            <w:tcW w:w="48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115" w:line="219" w:lineRule="auto"/>
              <w:jc w:val="center"/>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7</w:t>
            </w:r>
          </w:p>
        </w:tc>
        <w:tc>
          <w:tcPr>
            <w:tcW w:w="707" w:type="pct"/>
            <w:tcBorders>
              <w:top w:val="single" w:color="auto" w:sz="4" w:space="0"/>
              <w:left w:val="nil"/>
              <w:bottom w:val="single" w:color="auto" w:sz="4" w:space="0"/>
              <w:right w:val="single" w:color="auto" w:sz="4" w:space="0"/>
            </w:tcBorders>
            <w:shd w:val="clear" w:color="auto" w:fill="auto"/>
            <w:noWrap/>
            <w:vAlign w:val="center"/>
          </w:tcPr>
          <w:p>
            <w:pPr>
              <w:spacing w:before="115" w:line="219" w:lineRule="auto"/>
              <w:jc w:val="center"/>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压力容器</w:t>
            </w:r>
          </w:p>
        </w:tc>
        <w:tc>
          <w:tcPr>
            <w:tcW w:w="2749" w:type="pct"/>
            <w:tcBorders>
              <w:top w:val="single" w:color="auto" w:sz="4" w:space="0"/>
              <w:left w:val="nil"/>
              <w:bottom w:val="single" w:color="auto" w:sz="4" w:space="0"/>
              <w:right w:val="single" w:color="auto" w:sz="4" w:space="0"/>
            </w:tcBorders>
            <w:shd w:val="clear" w:color="auto" w:fill="auto"/>
            <w:noWrap/>
            <w:vAlign w:val="center"/>
          </w:tcPr>
          <w:p>
            <w:pPr>
              <w:spacing w:before="115" w:line="219" w:lineRule="auto"/>
              <w:jc w:val="both"/>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每年对压力容器泄压阀送检一次。</w:t>
            </w:r>
          </w:p>
        </w:tc>
        <w:tc>
          <w:tcPr>
            <w:tcW w:w="1063" w:type="pct"/>
            <w:tcBorders>
              <w:top w:val="single" w:color="auto" w:sz="4" w:space="0"/>
              <w:left w:val="nil"/>
              <w:bottom w:val="single" w:color="auto" w:sz="4" w:space="0"/>
              <w:right w:val="single" w:color="auto" w:sz="4" w:space="0"/>
            </w:tcBorders>
            <w:shd w:val="clear" w:color="auto" w:fill="auto"/>
            <w:noWrap/>
            <w:vAlign w:val="center"/>
          </w:tcPr>
          <w:p>
            <w:pPr>
              <w:spacing w:before="115" w:line="219" w:lineRule="auto"/>
              <w:ind w:firstLine="476" w:firstLineChars="200"/>
              <w:jc w:val="center"/>
              <w:rPr>
                <w:rFonts w:hint="eastAsia" w:ascii="宋体" w:hAnsi="宋体" w:eastAsia="宋体" w:cs="宋体"/>
                <w:color w:val="auto"/>
                <w:spacing w:val="-1"/>
                <w:sz w:val="24"/>
                <w:szCs w:val="24"/>
                <w:highlight w:val="none"/>
                <w:lang w:val="en-US" w:eastAsia="zh-CN"/>
              </w:rPr>
            </w:pPr>
          </w:p>
        </w:tc>
      </w:tr>
      <w:tr>
        <w:tblPrEx>
          <w:tblCellMar>
            <w:top w:w="0" w:type="dxa"/>
            <w:left w:w="108" w:type="dxa"/>
            <w:bottom w:w="0" w:type="dxa"/>
            <w:right w:w="108" w:type="dxa"/>
          </w:tblCellMar>
        </w:tblPrEx>
        <w:trPr>
          <w:trHeight w:val="450" w:hRule="atLeast"/>
        </w:trPr>
        <w:tc>
          <w:tcPr>
            <w:tcW w:w="48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before="115" w:line="219" w:lineRule="auto"/>
              <w:jc w:val="center"/>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8</w:t>
            </w:r>
          </w:p>
        </w:tc>
        <w:tc>
          <w:tcPr>
            <w:tcW w:w="707" w:type="pct"/>
            <w:tcBorders>
              <w:top w:val="single" w:color="auto" w:sz="4" w:space="0"/>
              <w:left w:val="nil"/>
              <w:bottom w:val="single" w:color="auto" w:sz="4" w:space="0"/>
              <w:right w:val="single" w:color="auto" w:sz="4" w:space="0"/>
            </w:tcBorders>
            <w:shd w:val="clear" w:color="auto" w:fill="auto"/>
            <w:noWrap/>
            <w:vAlign w:val="center"/>
          </w:tcPr>
          <w:p>
            <w:pPr>
              <w:spacing w:before="115" w:line="219" w:lineRule="auto"/>
              <w:jc w:val="center"/>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水处理机组</w:t>
            </w:r>
          </w:p>
        </w:tc>
        <w:tc>
          <w:tcPr>
            <w:tcW w:w="2749" w:type="pct"/>
            <w:tcBorders>
              <w:top w:val="single" w:color="auto" w:sz="4" w:space="0"/>
              <w:left w:val="nil"/>
              <w:bottom w:val="single" w:color="auto" w:sz="4" w:space="0"/>
              <w:right w:val="single" w:color="auto" w:sz="4" w:space="0"/>
            </w:tcBorders>
            <w:shd w:val="clear" w:color="auto" w:fill="auto"/>
            <w:noWrap/>
            <w:vAlign w:val="center"/>
          </w:tcPr>
          <w:p>
            <w:pPr>
              <w:numPr>
                <w:ilvl w:val="0"/>
                <w:numId w:val="2"/>
              </w:numPr>
              <w:spacing w:before="115" w:line="219" w:lineRule="auto"/>
              <w:jc w:val="both"/>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每年制冷季开始前，清洗管路，纳入《春季维护保养评估报告》；</w:t>
            </w:r>
          </w:p>
          <w:p>
            <w:pPr>
              <w:numPr>
                <w:ilvl w:val="0"/>
                <w:numId w:val="0"/>
              </w:numPr>
              <w:spacing w:before="115" w:line="219" w:lineRule="auto"/>
              <w:jc w:val="both"/>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（2）每年更换一次过滤装置填料；</w:t>
            </w:r>
          </w:p>
          <w:p>
            <w:pPr>
              <w:spacing w:before="115" w:line="219" w:lineRule="auto"/>
              <w:jc w:val="both"/>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（3）定期检测水质，如pH值、电导率、硬度等，确保水质达标。</w:t>
            </w:r>
          </w:p>
        </w:tc>
        <w:tc>
          <w:tcPr>
            <w:tcW w:w="1063" w:type="pct"/>
            <w:tcBorders>
              <w:top w:val="single" w:color="auto" w:sz="4" w:space="0"/>
              <w:left w:val="nil"/>
              <w:bottom w:val="single" w:color="auto" w:sz="4" w:space="0"/>
              <w:right w:val="single" w:color="auto" w:sz="4" w:space="0"/>
            </w:tcBorders>
            <w:shd w:val="clear" w:color="auto" w:fill="auto"/>
            <w:noWrap/>
            <w:vAlign w:val="center"/>
          </w:tcPr>
          <w:p>
            <w:pPr>
              <w:spacing w:before="115" w:line="219" w:lineRule="auto"/>
              <w:ind w:firstLine="476" w:firstLineChars="200"/>
              <w:jc w:val="center"/>
              <w:rPr>
                <w:rFonts w:hint="eastAsia" w:ascii="宋体" w:hAnsi="宋体" w:eastAsia="宋体" w:cs="宋体"/>
                <w:color w:val="auto"/>
                <w:spacing w:val="-1"/>
                <w:sz w:val="24"/>
                <w:szCs w:val="24"/>
                <w:highlight w:val="none"/>
                <w:lang w:val="en-US" w:eastAsia="zh-CN"/>
              </w:rPr>
            </w:pPr>
          </w:p>
        </w:tc>
      </w:tr>
    </w:tbl>
    <w:p>
      <w:pPr>
        <w:spacing w:line="241" w:lineRule="auto"/>
        <w:ind w:firstLine="470" w:firstLineChars="200"/>
        <w:outlineLvl w:val="1"/>
        <w:rPr>
          <w:rFonts w:hint="eastAsia" w:ascii="宋体" w:hAnsi="宋体" w:eastAsia="宋体" w:cs="宋体"/>
          <w:b/>
          <w:bCs/>
          <w:color w:val="auto"/>
          <w:spacing w:val="-3"/>
          <w:sz w:val="24"/>
          <w:szCs w:val="24"/>
          <w:highlight w:val="none"/>
          <w:lang w:val="en-US" w:eastAsia="zh-CN"/>
        </w:rPr>
      </w:pPr>
      <w:r>
        <w:rPr>
          <w:rFonts w:hint="eastAsia" w:ascii="宋体" w:hAnsi="宋体" w:eastAsia="宋体" w:cs="宋体"/>
          <w:b/>
          <w:bCs/>
          <w:color w:val="auto"/>
          <w:spacing w:val="-3"/>
          <w:sz w:val="24"/>
          <w:szCs w:val="24"/>
          <w:highlight w:val="none"/>
          <w:lang w:val="en-US" w:eastAsia="zh-CN"/>
        </w:rPr>
        <w:t>三、维保内容及服务要求</w:t>
      </w:r>
    </w:p>
    <w:p>
      <w:pPr>
        <w:spacing w:before="115" w:line="219" w:lineRule="auto"/>
        <w:ind w:firstLine="476" w:firstLineChars="200"/>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（一）中央空调维保项目服务要求</w:t>
      </w:r>
    </w:p>
    <w:p>
      <w:pPr>
        <w:spacing w:before="115" w:line="219" w:lineRule="auto"/>
        <w:ind w:firstLine="476" w:firstLineChars="200"/>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 xml:space="preserve">1.维保单位须遵守职业道德，按中央空调厂方技术标准每月对业主单位中央空调进行巡查维护，确保空调机组正常运行、末端设备的正常制冷及供暖效果。 </w:t>
      </w:r>
    </w:p>
    <w:p>
      <w:pPr>
        <w:spacing w:before="115" w:line="219" w:lineRule="auto"/>
        <w:ind w:firstLine="476" w:firstLineChars="200"/>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2.维保单位须结合本项目特征制定空调维保方案和应急预案，按照维保方案实维保，出具相应的《维护保养评估报告》。突发情况，按照应急预案实施。</w:t>
      </w:r>
    </w:p>
    <w:p>
      <w:pPr>
        <w:spacing w:before="115" w:line="219" w:lineRule="auto"/>
        <w:ind w:firstLine="476" w:firstLineChars="200"/>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 xml:space="preserve">3.每月一次定期巡查空调机组，包括配电箱电源线路、各项保护单元、大型机组油路、冷媒系统等；每年度两次（春，秋季节转换期间）对全部末端设备的清洗及进出风口的维护。定期维护保养本合同约定的设施，确保运行正常，如遇校方有重要会议、活动时需要维保人员全力配合，若因维保不及时造成停机和投诉的，发生1次扣除维保费1000元。 </w:t>
      </w:r>
    </w:p>
    <w:p>
      <w:pPr>
        <w:spacing w:before="115" w:line="219" w:lineRule="auto"/>
        <w:ind w:firstLine="476" w:firstLineChars="200"/>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 xml:space="preserve">4.维保单位须及时处理与空调相关的各种故障、换件、漏水问题；严格按照维修节点的规定时间完成修复（具体维修时间节点编制于空调维保方案，双方确认签字后参照实施，维修时间节点包括服务完成时间节点及方式要求等）。如因维保单位维修不及时或维修水平不足导致的二次维修造成的损失由维保单位负责。 </w:t>
      </w:r>
    </w:p>
    <w:p>
      <w:pPr>
        <w:spacing w:before="115" w:line="219" w:lineRule="auto"/>
        <w:ind w:firstLine="476" w:firstLineChars="200"/>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 xml:space="preserve">5.为了确保维修的及时性，维保供应商接到故障报修电话未进行处理的或者处理不及时的，被校方投诉的，发生一次扣除维保费1000元。若发生3次，除扣除服务费外，招标方有权终止合同，由此产生的后果由维保单位负责。 </w:t>
      </w:r>
    </w:p>
    <w:p>
      <w:pPr>
        <w:spacing w:before="115" w:line="219" w:lineRule="auto"/>
        <w:ind w:firstLine="476" w:firstLineChars="200"/>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6.合同期内发生维修（合同约定保养范围之外）涉及配件更换的，乙方应及时提交申请更换报告并向甲方提交配件采购清单及具体参数，由甲方决定自购或委托乙方购买，乙方免费负责更换。</w:t>
      </w:r>
    </w:p>
    <w:p>
      <w:pPr>
        <w:spacing w:before="115" w:line="219" w:lineRule="auto"/>
        <w:ind w:firstLine="476" w:firstLineChars="200"/>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7.维修的及时和效率性参照制定的空调维保方案和应急预案。做到及时效率完成，常规配件随时备用在库房，做到及时响应的同时也能在规定的时间内完成修复正常使用。</w:t>
      </w:r>
    </w:p>
    <w:p>
      <w:pPr>
        <w:spacing w:before="115" w:line="219" w:lineRule="auto"/>
        <w:ind w:firstLine="476" w:firstLineChars="200"/>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（二）中央空调循环水系统维保项目服务要求</w:t>
      </w:r>
    </w:p>
    <w:p>
      <w:pPr>
        <w:spacing w:before="115" w:line="219" w:lineRule="auto"/>
        <w:ind w:firstLine="476" w:firstLineChars="200"/>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 xml:space="preserve">1.维保单位负责对甲方单位循环水系统设备材料、容积、循环水量等基础情况进行观察监测。实施有效的水质处理，并做好相关维护和基础技术资料的记录整理。 </w:t>
      </w:r>
    </w:p>
    <w:p>
      <w:pPr>
        <w:spacing w:before="115" w:line="219" w:lineRule="auto"/>
        <w:ind w:firstLine="476" w:firstLineChars="200"/>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 xml:space="preserve">2.维保单位负责提供阻垢缓蚀剂、杀菌灭藻剂、冷冻水专用抑制剂，使循环水质调整达到最佳状态。随时取水化验符合国家标准要求。 </w:t>
      </w:r>
    </w:p>
    <w:p>
      <w:pPr>
        <w:spacing w:before="115" w:line="219" w:lineRule="auto"/>
        <w:ind w:firstLine="476" w:firstLineChars="200"/>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 xml:space="preserve">3.维保单位提供日常管理工作方面的资料。在投药运行期间，进行现场服务，随时可以对冷却水、冷冻水（制热水）的PH、电导率、碱度、硬度进行水质化验，分析检测并将结果以书面形式送交甲方单位，检测结果内需加入循环水标准（GB50050-2007工业循环冷却水处理设计规范）做相应对照，以便甲方单位随时了解水质情况。 </w:t>
      </w:r>
    </w:p>
    <w:p>
      <w:pPr>
        <w:spacing w:before="115" w:line="219" w:lineRule="auto"/>
        <w:ind w:firstLine="476" w:firstLineChars="200"/>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4.如甲方单位有特殊要求，维保单位应委派化验人员随时对水质进行化验。维保单位负责免费对甲方单位人员进行水处理基础知识培训，使其能熟悉了解水处理的相关工作程序和要求。</w:t>
      </w:r>
    </w:p>
    <w:p>
      <w:pPr>
        <w:spacing w:before="115" w:line="219" w:lineRule="auto"/>
        <w:ind w:firstLine="476" w:firstLineChars="200"/>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 xml:space="preserve">5.根据系统的实际情况和业主单位要求，每年最少对系统的冷凝器和冷却塔进行一次通炮清洗处理。要求目测冷凝器内壁附着物水冲即掉，露出金属本色；在潮湿情况下手感平滑。 </w:t>
      </w:r>
    </w:p>
    <w:p>
      <w:pPr>
        <w:spacing w:before="115" w:line="219" w:lineRule="auto"/>
        <w:ind w:firstLine="476" w:firstLineChars="200"/>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7.如发生任何因水处理造成安全责任事故（如因用药不当造成管道破裂、堵塞、非污不畅、设备损坏等危害）均由维保单位负责，维保单位要按相关安全生产操作规程进行施工，如在施工过程中发生安全事故，由维保单位负全责，并不得影响系统的正常运行。</w:t>
      </w:r>
    </w:p>
    <w:p>
      <w:pPr>
        <w:spacing w:line="241" w:lineRule="auto"/>
        <w:ind w:firstLine="470" w:firstLineChars="200"/>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pacing w:val="-3"/>
          <w:sz w:val="24"/>
          <w:szCs w:val="24"/>
          <w:highlight w:val="none"/>
          <w:lang w:val="en-US" w:eastAsia="zh-CN"/>
        </w:rPr>
        <w:t>四</w:t>
      </w:r>
      <w:r>
        <w:rPr>
          <w:rFonts w:hint="eastAsia" w:ascii="宋体" w:hAnsi="宋体" w:eastAsia="宋体" w:cs="宋体"/>
          <w:b/>
          <w:bCs/>
          <w:color w:val="auto"/>
          <w:spacing w:val="-3"/>
          <w:sz w:val="24"/>
          <w:szCs w:val="24"/>
          <w:highlight w:val="none"/>
        </w:rPr>
        <w:t>、现场踏勘</w:t>
      </w:r>
      <w:bookmarkEnd w:id="61"/>
    </w:p>
    <w:p>
      <w:pPr>
        <w:spacing w:before="115" w:line="219" w:lineRule="auto"/>
        <w:ind w:firstLine="476" w:firstLineChars="20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（一）不集中组织现场踏勘，供应商自行联系踏勘现场。</w:t>
      </w:r>
    </w:p>
    <w:p>
      <w:pPr>
        <w:spacing w:before="135" w:line="219" w:lineRule="auto"/>
        <w:ind w:firstLine="472" w:firstLineChars="20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（二）供应商踏勘现场发生的费用自理。</w:t>
      </w:r>
    </w:p>
    <w:p>
      <w:pPr>
        <w:spacing w:before="111" w:line="322" w:lineRule="auto"/>
        <w:ind w:right="142"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（三）除采购人原因外，供应商自行负责在踏勘现场中所发生的安全责任和财产损失。</w:t>
      </w:r>
    </w:p>
    <w:p>
      <w:pPr>
        <w:spacing w:before="111" w:line="322" w:lineRule="auto"/>
        <w:ind w:right="142" w:firstLine="480" w:firstLineChars="200"/>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（四）采购人在踏勘现场中介绍的工程</w:t>
      </w:r>
      <w:r>
        <w:rPr>
          <w:rFonts w:ascii="宋体" w:hAnsi="宋体" w:eastAsia="宋体" w:cs="宋体"/>
          <w:color w:val="auto"/>
          <w:spacing w:val="1"/>
          <w:sz w:val="24"/>
          <w:szCs w:val="24"/>
          <w:highlight w:val="none"/>
        </w:rPr>
        <w:t>场地和相关的周边环境情况，</w:t>
      </w:r>
      <w:r>
        <w:rPr>
          <w:rFonts w:ascii="宋体" w:hAnsi="宋体" w:eastAsia="宋体" w:cs="宋体"/>
          <w:color w:val="auto"/>
          <w:sz w:val="24"/>
          <w:szCs w:val="24"/>
          <w:highlight w:val="none"/>
        </w:rPr>
        <w:t>仅供供应商在编</w:t>
      </w:r>
      <w:r>
        <w:rPr>
          <w:rFonts w:ascii="宋体" w:hAnsi="宋体" w:eastAsia="宋体" w:cs="宋体"/>
          <w:color w:val="auto"/>
          <w:spacing w:val="-1"/>
          <w:sz w:val="24"/>
          <w:szCs w:val="24"/>
          <w:highlight w:val="none"/>
        </w:rPr>
        <w:t>制响应文件时参考，采购人不对供应商据此做出的判断和决策负责。</w:t>
      </w:r>
    </w:p>
    <w:p>
      <w:pPr>
        <w:spacing w:before="135" w:line="271" w:lineRule="auto"/>
        <w:ind w:right="142" w:firstLine="484" w:firstLineChars="20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（五）无论供应商是否踏勘过现场，均被认为在递交响应文件之前已</w:t>
      </w:r>
      <w:r>
        <w:rPr>
          <w:rFonts w:ascii="宋体" w:hAnsi="宋体" w:eastAsia="宋体" w:cs="宋体"/>
          <w:color w:val="auto"/>
          <w:sz w:val="24"/>
          <w:szCs w:val="24"/>
          <w:highlight w:val="none"/>
        </w:rPr>
        <w:t>经踏勘现场，对 本项目的风险和义务已经十分了解，并在其响应文件中已充</w:t>
      </w:r>
      <w:r>
        <w:rPr>
          <w:rFonts w:ascii="宋体" w:hAnsi="宋体" w:eastAsia="宋体" w:cs="宋体"/>
          <w:color w:val="auto"/>
          <w:spacing w:val="-1"/>
          <w:sz w:val="24"/>
          <w:szCs w:val="24"/>
          <w:highlight w:val="none"/>
        </w:rPr>
        <w:t>分考虑了现场和环境条件。</w:t>
      </w:r>
    </w:p>
    <w:p>
      <w:pPr>
        <w:spacing w:before="135" w:line="220" w:lineRule="auto"/>
        <w:ind w:left="66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踏勘现场联系人：</w:t>
      </w:r>
      <w:r>
        <w:rPr>
          <w:rFonts w:hint="eastAsia" w:ascii="宋体" w:hAnsi="宋体" w:eastAsia="宋体" w:cs="宋体"/>
          <w:color w:val="auto"/>
          <w:spacing w:val="-2"/>
          <w:sz w:val="24"/>
          <w:szCs w:val="24"/>
          <w:highlight w:val="none"/>
          <w:lang w:val="en-US" w:eastAsia="zh-CN"/>
        </w:rPr>
        <w:t>张工 15086858271</w:t>
      </w:r>
      <w:r>
        <w:rPr>
          <w:rFonts w:ascii="宋体" w:hAnsi="宋体" w:eastAsia="宋体" w:cs="宋体"/>
          <w:color w:val="auto"/>
          <w:spacing w:val="-2"/>
          <w:sz w:val="24"/>
          <w:szCs w:val="24"/>
          <w:highlight w:val="none"/>
        </w:rPr>
        <w:t>。</w:t>
      </w:r>
    </w:p>
    <w:p>
      <w:pPr>
        <w:spacing w:before="125" w:line="241" w:lineRule="auto"/>
        <w:ind w:firstLine="386" w:firstLineChars="200"/>
        <w:outlineLvl w:val="1"/>
        <w:rPr>
          <w:rFonts w:hint="default" w:ascii="宋体" w:hAnsi="宋体" w:eastAsia="宋体" w:cs="宋体"/>
          <w:b/>
          <w:bCs/>
          <w:color w:val="auto"/>
          <w:sz w:val="24"/>
          <w:szCs w:val="24"/>
          <w:highlight w:val="none"/>
          <w:lang w:val="en-US" w:eastAsia="zh-CN"/>
        </w:rPr>
      </w:pPr>
      <w:bookmarkStart w:id="62" w:name="_Toc10064"/>
      <w:r>
        <w:rPr>
          <w:rFonts w:hint="eastAsia" w:ascii="宋体" w:hAnsi="宋体" w:eastAsia="宋体" w:cs="宋体"/>
          <w:b/>
          <w:bCs/>
          <w:color w:val="auto"/>
          <w:spacing w:val="-24"/>
          <w:sz w:val="24"/>
          <w:szCs w:val="24"/>
          <w:highlight w:val="none"/>
          <w:lang w:val="en-US" w:eastAsia="zh-CN"/>
        </w:rPr>
        <w:t>五</w:t>
      </w:r>
      <w:r>
        <w:rPr>
          <w:rFonts w:hint="eastAsia" w:ascii="宋体" w:hAnsi="宋体" w:eastAsia="宋体" w:cs="宋体"/>
          <w:b/>
          <w:bCs/>
          <w:color w:val="auto"/>
          <w:spacing w:val="-24"/>
          <w:sz w:val="24"/>
          <w:szCs w:val="24"/>
          <w:highlight w:val="none"/>
        </w:rPr>
        <w:t>、服务</w:t>
      </w:r>
      <w:bookmarkEnd w:id="62"/>
      <w:r>
        <w:rPr>
          <w:rFonts w:hint="eastAsia" w:ascii="宋体" w:hAnsi="宋体" w:eastAsia="宋体" w:cs="宋体"/>
          <w:b/>
          <w:bCs/>
          <w:color w:val="auto"/>
          <w:spacing w:val="-24"/>
          <w:sz w:val="24"/>
          <w:szCs w:val="24"/>
          <w:highlight w:val="none"/>
          <w:lang w:val="en-US" w:eastAsia="zh-CN"/>
        </w:rPr>
        <w:t>验收标准</w:t>
      </w:r>
    </w:p>
    <w:p>
      <w:pPr>
        <w:spacing w:before="135" w:line="220" w:lineRule="auto"/>
        <w:ind w:firstLine="472" w:firstLineChars="200"/>
        <w:rPr>
          <w:rFonts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按规范完成该项目要求的所有内容</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lang w:val="en-US" w:eastAsia="zh-CN"/>
        </w:rPr>
        <w:t>并且通过采购人的认可和验收</w:t>
      </w:r>
      <w:r>
        <w:rPr>
          <w:rFonts w:ascii="宋体" w:hAnsi="宋体" w:eastAsia="宋体" w:cs="宋体"/>
          <w:color w:val="auto"/>
          <w:spacing w:val="-2"/>
          <w:sz w:val="24"/>
          <w:szCs w:val="24"/>
          <w:highlight w:val="none"/>
        </w:rPr>
        <w:t>。</w:t>
      </w:r>
    </w:p>
    <w:p>
      <w:pPr>
        <w:spacing w:before="72" w:line="224" w:lineRule="auto"/>
        <w:ind w:left="2104"/>
        <w:outlineLvl w:val="9"/>
        <w:rPr>
          <w:rFonts w:ascii="宋体" w:hAnsi="宋体" w:eastAsia="宋体" w:cs="宋体"/>
          <w:b/>
          <w:bCs/>
          <w:color w:val="auto"/>
          <w:spacing w:val="6"/>
          <w:sz w:val="35"/>
          <w:szCs w:val="35"/>
          <w:highlight w:val="none"/>
        </w:rPr>
      </w:pPr>
      <w:bookmarkStart w:id="63" w:name="_Toc4353"/>
    </w:p>
    <w:p>
      <w:pPr>
        <w:spacing w:before="72" w:line="224" w:lineRule="auto"/>
        <w:outlineLvl w:val="9"/>
        <w:rPr>
          <w:rFonts w:ascii="宋体" w:hAnsi="宋体" w:eastAsia="宋体" w:cs="宋体"/>
          <w:b/>
          <w:bCs/>
          <w:color w:val="auto"/>
          <w:spacing w:val="6"/>
          <w:sz w:val="35"/>
          <w:szCs w:val="35"/>
          <w:highlight w:val="none"/>
        </w:rPr>
      </w:pPr>
    </w:p>
    <w:p>
      <w:pPr>
        <w:spacing w:before="72" w:line="224" w:lineRule="auto"/>
        <w:outlineLvl w:val="9"/>
        <w:rPr>
          <w:rFonts w:ascii="宋体" w:hAnsi="宋体" w:eastAsia="宋体" w:cs="宋体"/>
          <w:b/>
          <w:bCs/>
          <w:color w:val="auto"/>
          <w:spacing w:val="6"/>
          <w:sz w:val="35"/>
          <w:szCs w:val="35"/>
          <w:highlight w:val="none"/>
        </w:rPr>
      </w:pPr>
    </w:p>
    <w:p>
      <w:pPr>
        <w:spacing w:before="72" w:line="224" w:lineRule="auto"/>
        <w:outlineLvl w:val="9"/>
        <w:rPr>
          <w:rFonts w:ascii="宋体" w:hAnsi="宋体" w:eastAsia="宋体" w:cs="宋体"/>
          <w:b/>
          <w:bCs/>
          <w:color w:val="auto"/>
          <w:spacing w:val="6"/>
          <w:sz w:val="35"/>
          <w:szCs w:val="35"/>
          <w:highlight w:val="none"/>
        </w:rPr>
      </w:pPr>
    </w:p>
    <w:p>
      <w:pPr>
        <w:spacing w:before="72" w:line="224" w:lineRule="auto"/>
        <w:ind w:left="2104"/>
        <w:outlineLvl w:val="0"/>
        <w:rPr>
          <w:rFonts w:ascii="宋体" w:hAnsi="宋体" w:eastAsia="宋体" w:cs="宋体"/>
          <w:color w:val="auto"/>
          <w:sz w:val="35"/>
          <w:szCs w:val="35"/>
          <w:highlight w:val="none"/>
        </w:rPr>
      </w:pPr>
      <w:r>
        <w:rPr>
          <w:rFonts w:ascii="宋体" w:hAnsi="宋体" w:eastAsia="宋体" w:cs="宋体"/>
          <w:b/>
          <w:bCs/>
          <w:color w:val="auto"/>
          <w:spacing w:val="6"/>
          <w:sz w:val="35"/>
          <w:szCs w:val="35"/>
          <w:highlight w:val="none"/>
        </w:rPr>
        <w:t>第四篇</w:t>
      </w:r>
      <w:r>
        <w:rPr>
          <w:rFonts w:ascii="宋体" w:hAnsi="宋体" w:eastAsia="宋体" w:cs="宋体"/>
          <w:color w:val="auto"/>
          <w:spacing w:val="6"/>
          <w:sz w:val="35"/>
          <w:szCs w:val="35"/>
          <w:highlight w:val="none"/>
        </w:rPr>
        <w:t xml:space="preserve"> </w:t>
      </w:r>
      <w:r>
        <w:rPr>
          <w:rFonts w:ascii="宋体" w:hAnsi="宋体" w:eastAsia="宋体" w:cs="宋体"/>
          <w:b/>
          <w:bCs/>
          <w:color w:val="auto"/>
          <w:spacing w:val="6"/>
          <w:sz w:val="35"/>
          <w:szCs w:val="35"/>
          <w:highlight w:val="none"/>
        </w:rPr>
        <w:t>询价项目商务需求</w:t>
      </w:r>
      <w:bookmarkEnd w:id="63"/>
    </w:p>
    <w:p>
      <w:pPr>
        <w:pStyle w:val="7"/>
        <w:spacing w:line="390" w:lineRule="auto"/>
        <w:rPr>
          <w:color w:val="auto"/>
          <w:highlight w:val="none"/>
        </w:rPr>
      </w:pPr>
    </w:p>
    <w:p>
      <w:pPr>
        <w:spacing w:before="78" w:line="241" w:lineRule="auto"/>
        <w:ind w:left="511"/>
        <w:outlineLvl w:val="1"/>
        <w:rPr>
          <w:rFonts w:ascii="黑体" w:hAnsi="黑体" w:eastAsia="黑体" w:cs="黑体"/>
          <w:color w:val="auto"/>
          <w:sz w:val="24"/>
          <w:szCs w:val="24"/>
          <w:highlight w:val="none"/>
        </w:rPr>
      </w:pPr>
      <w:bookmarkStart w:id="64" w:name="_Toc5181"/>
      <w:r>
        <w:rPr>
          <w:rFonts w:ascii="黑体" w:hAnsi="黑体" w:eastAsia="黑体" w:cs="黑体"/>
          <w:color w:val="auto"/>
          <w:spacing w:val="-2"/>
          <w:sz w:val="24"/>
          <w:szCs w:val="24"/>
          <w:highlight w:val="none"/>
        </w:rPr>
        <w:t>一、</w:t>
      </w:r>
      <w:r>
        <w:rPr>
          <w:rFonts w:hint="eastAsia" w:ascii="黑体" w:hAnsi="黑体" w:eastAsia="黑体" w:cs="黑体"/>
          <w:color w:val="auto"/>
          <w:spacing w:val="-2"/>
          <w:sz w:val="24"/>
          <w:szCs w:val="24"/>
          <w:highlight w:val="none"/>
          <w:lang w:val="en-US" w:eastAsia="zh-CN"/>
        </w:rPr>
        <w:t>服务期限</w:t>
      </w:r>
      <w:r>
        <w:rPr>
          <w:rFonts w:ascii="黑体" w:hAnsi="黑体" w:eastAsia="黑体" w:cs="黑体"/>
          <w:color w:val="auto"/>
          <w:spacing w:val="-2"/>
          <w:sz w:val="24"/>
          <w:szCs w:val="24"/>
          <w:highlight w:val="none"/>
        </w:rPr>
        <w:t>、地点、验收方式</w:t>
      </w:r>
      <w:bookmarkEnd w:id="64"/>
    </w:p>
    <w:p>
      <w:pPr>
        <w:spacing w:before="94" w:line="221" w:lineRule="auto"/>
        <w:ind w:left="517"/>
        <w:rPr>
          <w:rFonts w:hint="default" w:ascii="宋体" w:hAnsi="宋体" w:eastAsia="宋体" w:cs="宋体"/>
          <w:color w:val="auto"/>
          <w:sz w:val="24"/>
          <w:szCs w:val="24"/>
          <w:highlight w:val="none"/>
          <w:lang w:val="en-US"/>
        </w:rPr>
      </w:pPr>
      <w:r>
        <w:rPr>
          <w:rFonts w:ascii="宋体" w:hAnsi="宋体" w:eastAsia="宋体" w:cs="宋体"/>
          <w:color w:val="auto"/>
          <w:spacing w:val="-7"/>
          <w:sz w:val="24"/>
          <w:szCs w:val="24"/>
          <w:highlight w:val="none"/>
        </w:rPr>
        <w:t>（一）</w:t>
      </w:r>
      <w:r>
        <w:rPr>
          <w:rFonts w:hint="eastAsia" w:ascii="宋体" w:hAnsi="宋体" w:eastAsia="宋体" w:cs="宋体"/>
          <w:color w:val="auto"/>
          <w:spacing w:val="-7"/>
          <w:sz w:val="24"/>
          <w:szCs w:val="24"/>
          <w:highlight w:val="none"/>
          <w:lang w:val="en-US" w:eastAsia="zh-CN"/>
        </w:rPr>
        <w:t>服务期限</w:t>
      </w:r>
      <w:r>
        <w:rPr>
          <w:rFonts w:ascii="宋体" w:hAnsi="宋体" w:eastAsia="宋体" w:cs="宋体"/>
          <w:color w:val="auto"/>
          <w:spacing w:val="-7"/>
          <w:sz w:val="24"/>
          <w:szCs w:val="24"/>
          <w:highlight w:val="none"/>
        </w:rPr>
        <w:t>：</w:t>
      </w:r>
      <w:r>
        <w:rPr>
          <w:rFonts w:hint="eastAsia" w:ascii="宋体" w:hAnsi="宋体" w:eastAsia="宋体" w:cs="宋体"/>
          <w:color w:val="auto"/>
          <w:spacing w:val="-7"/>
          <w:sz w:val="24"/>
          <w:szCs w:val="24"/>
          <w:highlight w:val="none"/>
          <w:lang w:val="en-US" w:eastAsia="zh-CN"/>
        </w:rPr>
        <w:t>自签订合同之日起1年。</w:t>
      </w:r>
    </w:p>
    <w:p>
      <w:pPr>
        <w:spacing w:before="114" w:line="219" w:lineRule="auto"/>
        <w:ind w:left="51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（二）地点：采购人指定地点。</w:t>
      </w:r>
    </w:p>
    <w:p>
      <w:pPr>
        <w:spacing w:before="116" w:line="219" w:lineRule="auto"/>
        <w:ind w:left="51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（三）验收方式：由采购人自行组织验收。</w:t>
      </w:r>
    </w:p>
    <w:p>
      <w:pPr>
        <w:spacing w:before="103" w:line="242" w:lineRule="auto"/>
        <w:ind w:left="510"/>
        <w:outlineLvl w:val="1"/>
        <w:rPr>
          <w:rFonts w:ascii="黑体" w:hAnsi="黑体" w:eastAsia="黑体" w:cs="黑体"/>
          <w:color w:val="auto"/>
          <w:sz w:val="24"/>
          <w:szCs w:val="24"/>
          <w:highlight w:val="none"/>
        </w:rPr>
      </w:pPr>
      <w:bookmarkStart w:id="65" w:name="bookmark32"/>
      <w:bookmarkEnd w:id="65"/>
      <w:bookmarkStart w:id="66" w:name="_Toc4476"/>
      <w:r>
        <w:rPr>
          <w:rFonts w:ascii="黑体" w:hAnsi="黑体" w:eastAsia="黑体" w:cs="黑体"/>
          <w:color w:val="auto"/>
          <w:spacing w:val="-2"/>
          <w:sz w:val="24"/>
          <w:szCs w:val="24"/>
          <w:highlight w:val="none"/>
        </w:rPr>
        <w:t>二、报价要求</w:t>
      </w:r>
      <w:bookmarkEnd w:id="66"/>
    </w:p>
    <w:p>
      <w:pPr>
        <w:spacing w:before="94" w:line="308" w:lineRule="auto"/>
        <w:ind w:left="25" w:right="81" w:firstLine="482"/>
        <w:jc w:val="both"/>
        <w:rPr>
          <w:rFonts w:hint="eastAsia" w:ascii="宋体" w:hAnsi="宋体" w:eastAsia="宋体" w:cs="宋体"/>
          <w:color w:val="auto"/>
          <w:spacing w:val="-3"/>
          <w:sz w:val="24"/>
          <w:szCs w:val="24"/>
          <w:highlight w:val="none"/>
          <w:lang w:val="en-US" w:eastAsia="zh-CN"/>
        </w:rPr>
      </w:pPr>
      <w:r>
        <w:rPr>
          <w:rFonts w:hint="eastAsia" w:ascii="宋体" w:hAnsi="宋体" w:eastAsia="宋体" w:cs="宋体"/>
          <w:color w:val="auto"/>
          <w:spacing w:val="-3"/>
          <w:sz w:val="24"/>
          <w:szCs w:val="24"/>
          <w:highlight w:val="none"/>
          <w:lang w:val="en-US" w:eastAsia="zh-CN"/>
        </w:rPr>
        <w:t>本次报价须为人民币报价，报价费用包含但不限于设备维修保养费、材料费、人工费、运输费、水质检测费、安全阀送检费等完成本项目所需的一切费用。因供应商自身原因造成漏报、少报皆由其自行承担责任，采购人不再补偿。</w:t>
      </w:r>
    </w:p>
    <w:p>
      <w:pPr>
        <w:spacing w:before="107" w:line="241" w:lineRule="auto"/>
        <w:ind w:left="514"/>
        <w:outlineLvl w:val="1"/>
        <w:rPr>
          <w:rFonts w:ascii="黑体" w:hAnsi="黑体" w:eastAsia="黑体" w:cs="黑体"/>
          <w:color w:val="auto"/>
          <w:sz w:val="24"/>
          <w:szCs w:val="24"/>
          <w:highlight w:val="none"/>
        </w:rPr>
      </w:pPr>
      <w:bookmarkStart w:id="67" w:name="_Toc6999"/>
      <w:r>
        <w:rPr>
          <w:rFonts w:ascii="黑体" w:hAnsi="黑体" w:eastAsia="黑体" w:cs="黑体"/>
          <w:color w:val="auto"/>
          <w:spacing w:val="-3"/>
          <w:sz w:val="24"/>
          <w:szCs w:val="24"/>
          <w:highlight w:val="none"/>
        </w:rPr>
        <w:t>三、付款方式</w:t>
      </w:r>
      <w:bookmarkEnd w:id="67"/>
    </w:p>
    <w:p>
      <w:pPr>
        <w:spacing w:before="94" w:line="308" w:lineRule="auto"/>
        <w:ind w:left="25" w:right="81" w:firstLine="482"/>
        <w:jc w:val="both"/>
        <w:rPr>
          <w:rFonts w:hint="eastAsia" w:ascii="宋体" w:hAnsi="宋体" w:eastAsia="宋体" w:cs="宋体"/>
          <w:color w:val="auto"/>
          <w:spacing w:val="-3"/>
          <w:sz w:val="24"/>
          <w:szCs w:val="24"/>
          <w:highlight w:val="none"/>
          <w:lang w:val="en-US" w:eastAsia="zh-CN"/>
        </w:rPr>
      </w:pPr>
      <w:bookmarkStart w:id="68" w:name="bookmark33"/>
      <w:bookmarkEnd w:id="68"/>
      <w:bookmarkStart w:id="69" w:name="_Toc30128"/>
      <w:r>
        <w:rPr>
          <w:rFonts w:hint="eastAsia" w:ascii="宋体" w:hAnsi="宋体" w:eastAsia="宋体" w:cs="宋体"/>
          <w:color w:val="auto"/>
          <w:spacing w:val="-3"/>
          <w:sz w:val="24"/>
          <w:szCs w:val="24"/>
          <w:highlight w:val="none"/>
          <w:lang w:val="en-US" w:eastAsia="zh-CN"/>
        </w:rPr>
        <w:t>（一）成交供应商每季度维保结束后 7 个工作日内向采购人提交季度维保项目清单、外包服务项目验收评价表（详见招标文件第五篇合同附件二）、维护保养报告及支付申请等采购人需要的相关佐证资料。</w:t>
      </w:r>
    </w:p>
    <w:p>
      <w:pPr>
        <w:spacing w:before="94" w:line="308" w:lineRule="auto"/>
        <w:ind w:left="25" w:right="81" w:firstLine="482"/>
        <w:jc w:val="both"/>
        <w:rPr>
          <w:rFonts w:hint="eastAsia" w:ascii="宋体" w:hAnsi="宋体" w:eastAsia="宋体" w:cs="宋体"/>
          <w:color w:val="auto"/>
          <w:spacing w:val="-3"/>
          <w:sz w:val="24"/>
          <w:szCs w:val="24"/>
          <w:highlight w:val="none"/>
          <w:lang w:val="en-US" w:eastAsia="zh-CN"/>
        </w:rPr>
      </w:pPr>
      <w:r>
        <w:rPr>
          <w:rFonts w:hint="eastAsia" w:ascii="宋体" w:hAnsi="宋体" w:eastAsia="宋体" w:cs="宋体"/>
          <w:color w:val="auto"/>
          <w:spacing w:val="-3"/>
          <w:sz w:val="24"/>
          <w:szCs w:val="24"/>
          <w:highlight w:val="none"/>
          <w:lang w:val="en-US" w:eastAsia="zh-CN"/>
        </w:rPr>
        <w:t>（二）采购人对成交供应商提交的维保项目清单、支付申请、外包服务项目验收评价表等佐证材料进行审核，采购人按照成交供应商上季度实际维保项目内容支付相应费用。</w:t>
      </w:r>
    </w:p>
    <w:p>
      <w:pPr>
        <w:spacing w:before="94" w:line="308" w:lineRule="auto"/>
        <w:ind w:left="25" w:right="81" w:firstLine="482"/>
        <w:jc w:val="both"/>
        <w:rPr>
          <w:rFonts w:hint="eastAsia" w:ascii="宋体" w:hAnsi="宋体" w:eastAsia="宋体" w:cs="宋体"/>
          <w:color w:val="auto"/>
          <w:spacing w:val="-3"/>
          <w:sz w:val="24"/>
          <w:szCs w:val="24"/>
          <w:highlight w:val="none"/>
          <w:lang w:val="en-US" w:eastAsia="zh-CN"/>
        </w:rPr>
      </w:pPr>
      <w:r>
        <w:rPr>
          <w:rFonts w:hint="eastAsia" w:ascii="宋体" w:hAnsi="宋体" w:eastAsia="宋体" w:cs="宋体"/>
          <w:color w:val="auto"/>
          <w:spacing w:val="-3"/>
          <w:sz w:val="24"/>
          <w:szCs w:val="24"/>
          <w:highlight w:val="none"/>
          <w:lang w:val="en-US" w:eastAsia="zh-CN"/>
        </w:rPr>
        <w:t>（三）支付金额确定后，成交供应商需向采购人提供普通增值税发票后采购人进行支付，遇国家税收政策调整，结算时按新税率执行。</w:t>
      </w:r>
    </w:p>
    <w:p>
      <w:pPr>
        <w:spacing w:before="107" w:line="242" w:lineRule="auto"/>
        <w:ind w:left="524"/>
        <w:outlineLvl w:val="1"/>
        <w:rPr>
          <w:rFonts w:ascii="黑体" w:hAnsi="黑体" w:eastAsia="黑体" w:cs="黑体"/>
          <w:color w:val="auto"/>
          <w:sz w:val="24"/>
          <w:szCs w:val="24"/>
          <w:highlight w:val="none"/>
        </w:rPr>
      </w:pPr>
      <w:r>
        <w:rPr>
          <w:rFonts w:ascii="黑体" w:hAnsi="黑体" w:eastAsia="黑体" w:cs="黑体"/>
          <w:color w:val="auto"/>
          <w:spacing w:val="-5"/>
          <w:sz w:val="24"/>
          <w:szCs w:val="24"/>
          <w:highlight w:val="none"/>
        </w:rPr>
        <w:t>四、知识产权</w:t>
      </w:r>
      <w:bookmarkEnd w:id="69"/>
    </w:p>
    <w:p>
      <w:pPr>
        <w:spacing w:before="96" w:line="305" w:lineRule="auto"/>
        <w:ind w:left="25" w:right="81" w:firstLine="479"/>
        <w:jc w:val="both"/>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采购人在中华人民共和国境内使用成交供应商提供的货物及服务时免受第</w:t>
      </w:r>
      <w:r>
        <w:rPr>
          <w:rFonts w:ascii="宋体" w:hAnsi="宋体" w:eastAsia="宋体" w:cs="宋体"/>
          <w:color w:val="auto"/>
          <w:spacing w:val="1"/>
          <w:sz w:val="24"/>
          <w:szCs w:val="24"/>
          <w:highlight w:val="none"/>
        </w:rPr>
        <w:t xml:space="preserve"> </w:t>
      </w:r>
      <w:r>
        <w:rPr>
          <w:rFonts w:ascii="宋体" w:hAnsi="宋体" w:eastAsia="宋体" w:cs="宋体"/>
          <w:color w:val="auto"/>
          <w:spacing w:val="-3"/>
          <w:sz w:val="24"/>
          <w:szCs w:val="24"/>
          <w:highlight w:val="none"/>
        </w:rPr>
        <w:t>三方提出的侵犯其专利权或其它知识产权的起诉。如果第三方提出侵权</w:t>
      </w:r>
      <w:r>
        <w:rPr>
          <w:rFonts w:ascii="宋体" w:hAnsi="宋体" w:eastAsia="宋体" w:cs="宋体"/>
          <w:color w:val="auto"/>
          <w:spacing w:val="-4"/>
          <w:sz w:val="24"/>
          <w:szCs w:val="24"/>
          <w:highlight w:val="none"/>
        </w:rPr>
        <w:t>指控，成</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交供应商应承担由此而引起的一切法律责任和费用。</w:t>
      </w:r>
    </w:p>
    <w:p>
      <w:pPr>
        <w:spacing w:before="1" w:line="242" w:lineRule="auto"/>
        <w:ind w:left="508"/>
        <w:outlineLvl w:val="1"/>
        <w:rPr>
          <w:rFonts w:ascii="黑体" w:hAnsi="黑体" w:eastAsia="黑体" w:cs="黑体"/>
          <w:color w:val="auto"/>
          <w:sz w:val="24"/>
          <w:szCs w:val="24"/>
          <w:highlight w:val="none"/>
        </w:rPr>
      </w:pPr>
      <w:bookmarkStart w:id="70" w:name="_Toc18649"/>
      <w:r>
        <w:rPr>
          <w:rFonts w:ascii="黑体" w:hAnsi="黑体" w:eastAsia="黑体" w:cs="黑体"/>
          <w:color w:val="auto"/>
          <w:spacing w:val="-4"/>
          <w:sz w:val="24"/>
          <w:szCs w:val="24"/>
          <w:highlight w:val="none"/>
        </w:rPr>
        <w:t>五、其他</w:t>
      </w:r>
      <w:bookmarkEnd w:id="70"/>
    </w:p>
    <w:p>
      <w:pPr>
        <w:spacing w:before="122" w:line="219" w:lineRule="auto"/>
        <w:ind w:left="28" w:firstLine="488" w:firstLineChars="200"/>
        <w:outlineLvl w:val="9"/>
        <w:rPr>
          <w:rFonts w:ascii="宋体" w:hAnsi="宋体" w:eastAsia="宋体" w:cs="宋体"/>
          <w:color w:val="auto"/>
          <w:sz w:val="24"/>
          <w:szCs w:val="24"/>
          <w:highlight w:val="none"/>
        </w:rPr>
      </w:pPr>
      <w:bookmarkStart w:id="71" w:name="_Toc2804"/>
      <w:r>
        <w:rPr>
          <w:rFonts w:ascii="宋体" w:hAnsi="宋体" w:eastAsia="宋体" w:cs="宋体"/>
          <w:color w:val="auto"/>
          <w:spacing w:val="2"/>
          <w:sz w:val="24"/>
          <w:szCs w:val="24"/>
          <w:highlight w:val="none"/>
        </w:rPr>
        <w:t>（一）供应商必须在响应文件中对以上条款和服务承诺明</w:t>
      </w:r>
      <w:r>
        <w:rPr>
          <w:rFonts w:ascii="宋体" w:hAnsi="宋体" w:eastAsia="宋体" w:cs="宋体"/>
          <w:color w:val="auto"/>
          <w:spacing w:val="1"/>
          <w:sz w:val="24"/>
          <w:szCs w:val="24"/>
          <w:highlight w:val="none"/>
        </w:rPr>
        <w:t>确列出，承诺内</w:t>
      </w:r>
      <w:r>
        <w:rPr>
          <w:rFonts w:ascii="宋体" w:hAnsi="宋体" w:eastAsia="宋体" w:cs="宋体"/>
          <w:color w:val="auto"/>
          <w:spacing w:val="-1"/>
          <w:sz w:val="24"/>
          <w:szCs w:val="24"/>
          <w:highlight w:val="none"/>
        </w:rPr>
        <w:t>容必须达到本篇及询价采购文件其他条款的要求。</w:t>
      </w:r>
      <w:bookmarkEnd w:id="71"/>
    </w:p>
    <w:p>
      <w:pPr>
        <w:spacing w:before="117" w:line="219" w:lineRule="auto"/>
        <w:ind w:firstLine="476" w:firstLineChars="200"/>
        <w:outlineLvl w:val="9"/>
        <w:rPr>
          <w:rFonts w:ascii="宋体" w:hAnsi="宋体" w:eastAsia="宋体" w:cs="宋体"/>
          <w:color w:val="auto"/>
          <w:sz w:val="24"/>
          <w:szCs w:val="24"/>
          <w:highlight w:val="none"/>
        </w:rPr>
      </w:pPr>
      <w:bookmarkStart w:id="72" w:name="_Toc11083"/>
      <w:r>
        <w:rPr>
          <w:rFonts w:ascii="宋体" w:hAnsi="宋体" w:eastAsia="宋体" w:cs="宋体"/>
          <w:color w:val="auto"/>
          <w:spacing w:val="-1"/>
          <w:sz w:val="24"/>
          <w:szCs w:val="24"/>
          <w:highlight w:val="none"/>
        </w:rPr>
        <w:t>（二）其他未尽事宜由供需双方在采购合同中详细约定。</w:t>
      </w:r>
      <w:bookmarkEnd w:id="72"/>
    </w:p>
    <w:p>
      <w:pPr>
        <w:spacing w:before="93" w:line="219" w:lineRule="auto"/>
        <w:ind w:left="577"/>
        <w:rPr>
          <w:rFonts w:ascii="宋体" w:hAnsi="宋体" w:eastAsia="宋体" w:cs="宋体"/>
          <w:color w:val="auto"/>
          <w:sz w:val="24"/>
          <w:szCs w:val="24"/>
          <w:highlight w:val="none"/>
        </w:rPr>
      </w:pPr>
    </w:p>
    <w:p>
      <w:pPr>
        <w:spacing w:line="219" w:lineRule="auto"/>
        <w:rPr>
          <w:rFonts w:ascii="宋体" w:hAnsi="宋体" w:eastAsia="宋体" w:cs="宋体"/>
          <w:color w:val="auto"/>
          <w:sz w:val="24"/>
          <w:szCs w:val="24"/>
          <w:highlight w:val="none"/>
        </w:rPr>
        <w:sectPr>
          <w:pgSz w:w="11906" w:h="16839"/>
          <w:pgMar w:top="1378" w:right="1720" w:bottom="1222" w:left="1785" w:header="0" w:footer="853" w:gutter="0"/>
          <w:pgNumType w:fmt="decimal"/>
          <w:cols w:space="720" w:num="1"/>
          <w:titlePg/>
        </w:sectPr>
      </w:pPr>
    </w:p>
    <w:p>
      <w:pPr>
        <w:numPr>
          <w:ilvl w:val="0"/>
          <w:numId w:val="3"/>
        </w:numPr>
        <w:spacing w:line="219" w:lineRule="auto"/>
        <w:ind w:left="630" w:leftChars="0" w:firstLineChars="0"/>
        <w:jc w:val="center"/>
        <w:outlineLvl w:val="0"/>
        <w:rPr>
          <w:rFonts w:ascii="黑体" w:hAnsi="黑体" w:eastAsia="黑体" w:cs="黑体"/>
          <w:color w:val="auto"/>
          <w:spacing w:val="3"/>
          <w:position w:val="1"/>
          <w:sz w:val="35"/>
          <w:szCs w:val="35"/>
          <w:highlight w:val="none"/>
        </w:rPr>
      </w:pPr>
      <w:r>
        <w:rPr>
          <w:rFonts w:ascii="黑体" w:hAnsi="黑体" w:eastAsia="黑体" w:cs="黑体"/>
          <w:color w:val="auto"/>
          <w:spacing w:val="3"/>
          <w:position w:val="1"/>
          <w:sz w:val="35"/>
          <w:szCs w:val="35"/>
          <w:highlight w:val="none"/>
        </w:rPr>
        <w:t>合同主要条款和格式合同（</w:t>
      </w:r>
      <w:r>
        <w:rPr>
          <w:rFonts w:ascii="黑体" w:hAnsi="黑体" w:eastAsia="黑体" w:cs="黑体"/>
          <w:color w:val="auto"/>
          <w:spacing w:val="-77"/>
          <w:position w:val="1"/>
          <w:sz w:val="35"/>
          <w:szCs w:val="35"/>
          <w:highlight w:val="none"/>
        </w:rPr>
        <w:t xml:space="preserve"> </w:t>
      </w:r>
      <w:r>
        <w:rPr>
          <w:rFonts w:ascii="黑体" w:hAnsi="黑体" w:eastAsia="黑体" w:cs="黑体"/>
          <w:color w:val="auto"/>
          <w:spacing w:val="3"/>
          <w:position w:val="1"/>
          <w:sz w:val="35"/>
          <w:szCs w:val="35"/>
          <w:highlight w:val="none"/>
        </w:rPr>
        <w:t>样本</w:t>
      </w:r>
      <w:r>
        <w:rPr>
          <w:rFonts w:ascii="黑体" w:hAnsi="黑体" w:eastAsia="黑体" w:cs="黑体"/>
          <w:color w:val="auto"/>
          <w:spacing w:val="-88"/>
          <w:position w:val="1"/>
          <w:sz w:val="35"/>
          <w:szCs w:val="35"/>
          <w:highlight w:val="none"/>
        </w:rPr>
        <w:t xml:space="preserve"> </w:t>
      </w:r>
      <w:r>
        <w:rPr>
          <w:rFonts w:ascii="黑体" w:hAnsi="黑体" w:eastAsia="黑体" w:cs="黑体"/>
          <w:color w:val="auto"/>
          <w:spacing w:val="3"/>
          <w:position w:val="1"/>
          <w:sz w:val="35"/>
          <w:szCs w:val="35"/>
          <w:highlight w:val="none"/>
        </w:rPr>
        <w:t>）</w:t>
      </w:r>
    </w:p>
    <w:p>
      <w:pPr>
        <w:pStyle w:val="7"/>
        <w:numPr>
          <w:ilvl w:val="0"/>
          <w:numId w:val="0"/>
        </w:numPr>
        <w:kinsoku w:val="0"/>
        <w:autoSpaceDE w:val="0"/>
        <w:autoSpaceDN w:val="0"/>
        <w:adjustRightInd w:val="0"/>
        <w:snapToGrid w:val="0"/>
        <w:spacing w:line="240" w:lineRule="auto"/>
        <w:jc w:val="left"/>
        <w:textAlignment w:val="baseline"/>
        <w:rPr>
          <w:color w:val="auto"/>
          <w:highlight w:val="none"/>
        </w:rPr>
      </w:pPr>
    </w:p>
    <w:p>
      <w:pPr>
        <w:pStyle w:val="7"/>
        <w:numPr>
          <w:ilvl w:val="0"/>
          <w:numId w:val="0"/>
        </w:numPr>
        <w:kinsoku w:val="0"/>
        <w:autoSpaceDE w:val="0"/>
        <w:autoSpaceDN w:val="0"/>
        <w:adjustRightInd w:val="0"/>
        <w:snapToGrid w:val="0"/>
        <w:spacing w:line="240" w:lineRule="auto"/>
        <w:jc w:val="left"/>
        <w:textAlignment w:val="baseline"/>
        <w:rPr>
          <w:color w:val="auto"/>
          <w:highlight w:val="none"/>
        </w:rPr>
      </w:pPr>
    </w:p>
    <w:p>
      <w:pPr>
        <w:tabs>
          <w:tab w:val="left" w:pos="5128"/>
          <w:tab w:val="right" w:pos="8425"/>
        </w:tabs>
        <w:bidi w:val="0"/>
        <w:jc w:val="left"/>
        <w:rPr>
          <w:rFonts w:hint="default" w:ascii="Times New Roman" w:hAnsi="Times New Roman" w:eastAsia="宋体" w:cs="Times New Roman"/>
          <w:b/>
          <w:bCs/>
          <w:color w:val="auto"/>
          <w:spacing w:val="-15"/>
          <w:sz w:val="28"/>
          <w:szCs w:val="28"/>
          <w:highlight w:val="none"/>
        </w:rPr>
      </w:pPr>
      <w:bookmarkStart w:id="73" w:name="bookmark34"/>
      <w:bookmarkEnd w:id="73"/>
      <w:r>
        <w:rPr>
          <w:rFonts w:hint="default" w:ascii="Times New Roman" w:hAnsi="Times New Roman" w:eastAsia="宋体" w:cs="Times New Roman"/>
          <w:b/>
          <w:bCs/>
          <w:color w:val="auto"/>
          <w:spacing w:val="-15"/>
          <w:sz w:val="28"/>
          <w:szCs w:val="28"/>
          <w:highlight w:val="none"/>
          <w:lang w:eastAsia="zh-CN"/>
        </w:rPr>
        <w:tab/>
      </w:r>
      <w:r>
        <w:rPr>
          <w:rFonts w:hint="default" w:ascii="Times New Roman" w:hAnsi="Times New Roman" w:eastAsia="宋体" w:cs="Times New Roman"/>
          <w:b/>
          <w:bCs/>
          <w:color w:val="auto"/>
          <w:spacing w:val="-15"/>
          <w:sz w:val="28"/>
          <w:szCs w:val="28"/>
          <w:highlight w:val="none"/>
        </w:rPr>
        <w:t>合同编号：【</w:t>
      </w:r>
      <w:r>
        <w:rPr>
          <w:rFonts w:hint="default" w:ascii="Times New Roman" w:hAnsi="Times New Roman" w:eastAsia="宋体" w:cs="Times New Roman"/>
          <w:color w:val="auto"/>
          <w:spacing w:val="25"/>
          <w:sz w:val="28"/>
          <w:szCs w:val="28"/>
          <w:highlight w:val="none"/>
        </w:rPr>
        <w:t xml:space="preserve">   </w:t>
      </w:r>
      <w:r>
        <w:rPr>
          <w:rFonts w:hint="default" w:ascii="Times New Roman" w:hAnsi="Times New Roman" w:eastAsia="宋体" w:cs="Times New Roman"/>
          <w:b/>
          <w:bCs/>
          <w:color w:val="auto"/>
          <w:spacing w:val="-15"/>
          <w:sz w:val="28"/>
          <w:szCs w:val="28"/>
          <w:highlight w:val="none"/>
        </w:rPr>
        <w:t>】</w:t>
      </w:r>
    </w:p>
    <w:p>
      <w:pPr>
        <w:bidi w:val="0"/>
        <w:rPr>
          <w:rFonts w:hint="default" w:ascii="Times New Roman" w:hAnsi="Times New Roman" w:eastAsia="宋体" w:cs="Times New Roman"/>
          <w:b/>
          <w:bCs/>
          <w:color w:val="auto"/>
          <w:spacing w:val="-15"/>
          <w:sz w:val="28"/>
          <w:szCs w:val="28"/>
          <w:highlight w:val="none"/>
        </w:rPr>
      </w:pPr>
    </w:p>
    <w:p>
      <w:pPr>
        <w:bidi w:val="0"/>
        <w:jc w:val="center"/>
        <w:rPr>
          <w:rFonts w:hint="default" w:ascii="Times New Roman" w:hAnsi="Times New Roman" w:eastAsia="宋体" w:cs="Times New Roman"/>
          <w:b/>
          <w:bCs/>
          <w:color w:val="auto"/>
          <w:spacing w:val="-8"/>
          <w:sz w:val="52"/>
          <w:szCs w:val="52"/>
          <w:highlight w:val="none"/>
          <w:lang w:val="en-US" w:eastAsia="zh-CN"/>
        </w:rPr>
      </w:pPr>
    </w:p>
    <w:p>
      <w:pPr>
        <w:bidi w:val="0"/>
        <w:jc w:val="center"/>
        <w:rPr>
          <w:rFonts w:hint="default" w:ascii="Times New Roman" w:hAnsi="Times New Roman" w:eastAsia="宋体" w:cs="Times New Roman"/>
          <w:b/>
          <w:bCs/>
          <w:color w:val="auto"/>
          <w:spacing w:val="-8"/>
          <w:sz w:val="52"/>
          <w:szCs w:val="52"/>
          <w:highlight w:val="none"/>
          <w:lang w:val="en-US" w:eastAsia="zh-CN"/>
        </w:rPr>
      </w:pPr>
    </w:p>
    <w:p>
      <w:pPr>
        <w:bidi w:val="0"/>
        <w:spacing w:line="240" w:lineRule="auto"/>
        <w:jc w:val="center"/>
        <w:rPr>
          <w:rFonts w:hint="default" w:ascii="Times New Roman" w:hAnsi="Times New Roman" w:eastAsia="方正小标宋_GBK" w:cs="Times New Roman"/>
          <w:b/>
          <w:bCs/>
          <w:color w:val="auto"/>
          <w:spacing w:val="-8"/>
          <w:sz w:val="52"/>
          <w:szCs w:val="52"/>
          <w:highlight w:val="none"/>
          <w:lang w:val="en-US" w:eastAsia="zh-CN"/>
        </w:rPr>
      </w:pPr>
      <w:r>
        <w:rPr>
          <w:rFonts w:hint="default" w:ascii="Times New Roman" w:hAnsi="Times New Roman" w:eastAsia="方正小标宋_GBK" w:cs="Times New Roman"/>
          <w:b/>
          <w:bCs/>
          <w:color w:val="auto"/>
          <w:spacing w:val="-8"/>
          <w:sz w:val="52"/>
          <w:szCs w:val="52"/>
          <w:highlight w:val="none"/>
          <w:lang w:val="en-US" w:eastAsia="zh-CN"/>
        </w:rPr>
        <w:t>重庆理工职业学院</w:t>
      </w:r>
    </w:p>
    <w:p>
      <w:pPr>
        <w:bidi w:val="0"/>
        <w:spacing w:line="240" w:lineRule="auto"/>
        <w:jc w:val="center"/>
        <w:rPr>
          <w:rFonts w:hint="default" w:ascii="Times New Roman" w:hAnsi="Times New Roman" w:eastAsia="方正小标宋_GBK" w:cs="Times New Roman"/>
          <w:b/>
          <w:bCs/>
          <w:color w:val="auto"/>
          <w:spacing w:val="-8"/>
          <w:sz w:val="52"/>
          <w:szCs w:val="52"/>
          <w:highlight w:val="none"/>
        </w:rPr>
      </w:pPr>
      <w:r>
        <w:rPr>
          <w:rFonts w:hint="default" w:ascii="Times New Roman" w:hAnsi="Times New Roman" w:eastAsia="方正小标宋_GBK" w:cs="Times New Roman"/>
          <w:b/>
          <w:bCs/>
          <w:color w:val="auto"/>
          <w:spacing w:val="-8"/>
          <w:sz w:val="52"/>
          <w:szCs w:val="52"/>
          <w:highlight w:val="none"/>
          <w:lang w:val="en-US" w:eastAsia="zh-CN"/>
        </w:rPr>
        <w:t>中央</w:t>
      </w:r>
      <w:r>
        <w:rPr>
          <w:rFonts w:hint="default" w:ascii="Times New Roman" w:hAnsi="Times New Roman" w:eastAsia="方正小标宋_GBK" w:cs="Times New Roman"/>
          <w:b/>
          <w:bCs/>
          <w:color w:val="auto"/>
          <w:spacing w:val="-8"/>
          <w:sz w:val="52"/>
          <w:szCs w:val="52"/>
          <w:highlight w:val="none"/>
        </w:rPr>
        <w:t>空调系统维护保养合同</w:t>
      </w:r>
    </w:p>
    <w:p>
      <w:pPr>
        <w:bidi w:val="0"/>
        <w:jc w:val="left"/>
        <w:rPr>
          <w:rFonts w:hint="default" w:ascii="Times New Roman" w:hAnsi="Times New Roman" w:eastAsia="宋体" w:cs="Times New Roman"/>
          <w:b/>
          <w:bCs/>
          <w:color w:val="auto"/>
          <w:spacing w:val="-15"/>
          <w:sz w:val="28"/>
          <w:szCs w:val="28"/>
          <w:highlight w:val="none"/>
          <w:lang w:val="en-US" w:eastAsia="zh-CN"/>
        </w:rPr>
      </w:pPr>
    </w:p>
    <w:p>
      <w:pPr>
        <w:bidi w:val="0"/>
        <w:jc w:val="left"/>
        <w:rPr>
          <w:rFonts w:hint="default" w:ascii="Times New Roman" w:hAnsi="Times New Roman" w:eastAsia="宋体" w:cs="Times New Roman"/>
          <w:b/>
          <w:bCs/>
          <w:color w:val="auto"/>
          <w:spacing w:val="-15"/>
          <w:sz w:val="28"/>
          <w:szCs w:val="28"/>
          <w:highlight w:val="none"/>
          <w:lang w:val="en-US" w:eastAsia="zh-CN"/>
        </w:rPr>
      </w:pPr>
    </w:p>
    <w:p>
      <w:pPr>
        <w:bidi w:val="0"/>
        <w:ind w:firstLine="1507" w:firstLineChars="600"/>
        <w:jc w:val="both"/>
        <w:rPr>
          <w:rFonts w:hint="default" w:ascii="Times New Roman" w:hAnsi="Times New Roman" w:eastAsia="宋体" w:cs="Times New Roman"/>
          <w:b/>
          <w:bCs/>
          <w:color w:val="auto"/>
          <w:spacing w:val="-15"/>
          <w:sz w:val="28"/>
          <w:szCs w:val="28"/>
          <w:highlight w:val="none"/>
          <w:u w:val="single"/>
          <w:lang w:val="en-US" w:eastAsia="zh-CN"/>
        </w:rPr>
      </w:pPr>
      <w:r>
        <w:rPr>
          <w:rFonts w:hint="default" w:ascii="Times New Roman" w:hAnsi="Times New Roman" w:eastAsia="宋体" w:cs="Times New Roman"/>
          <w:b/>
          <w:bCs/>
          <w:color w:val="auto"/>
          <w:spacing w:val="-15"/>
          <w:sz w:val="28"/>
          <w:szCs w:val="28"/>
          <w:highlight w:val="none"/>
          <w:lang w:val="en-US" w:eastAsia="zh-CN"/>
        </w:rPr>
        <w:t>甲方：</w:t>
      </w:r>
      <w:r>
        <w:rPr>
          <w:rFonts w:hint="default" w:ascii="Times New Roman" w:hAnsi="Times New Roman" w:eastAsia="宋体" w:cs="Times New Roman"/>
          <w:b/>
          <w:bCs/>
          <w:color w:val="auto"/>
          <w:spacing w:val="-15"/>
          <w:sz w:val="28"/>
          <w:szCs w:val="28"/>
          <w:highlight w:val="none"/>
          <w:u w:val="single"/>
          <w:lang w:val="en-US" w:eastAsia="zh-CN"/>
        </w:rPr>
        <w:t xml:space="preserve">                                         </w:t>
      </w:r>
    </w:p>
    <w:p>
      <w:pPr>
        <w:bidi w:val="0"/>
        <w:ind w:firstLine="1507" w:firstLineChars="600"/>
        <w:jc w:val="both"/>
        <w:rPr>
          <w:rFonts w:hint="default" w:ascii="Times New Roman" w:hAnsi="Times New Roman" w:eastAsia="宋体" w:cs="Times New Roman"/>
          <w:b/>
          <w:bCs/>
          <w:color w:val="auto"/>
          <w:spacing w:val="-15"/>
          <w:sz w:val="28"/>
          <w:szCs w:val="28"/>
          <w:highlight w:val="none"/>
          <w:lang w:val="en-US" w:eastAsia="zh-CN"/>
        </w:rPr>
      </w:pPr>
      <w:r>
        <w:rPr>
          <w:rFonts w:hint="default" w:ascii="Times New Roman" w:hAnsi="Times New Roman" w:eastAsia="宋体" w:cs="Times New Roman"/>
          <w:b/>
          <w:bCs/>
          <w:color w:val="auto"/>
          <w:spacing w:val="-15"/>
          <w:sz w:val="28"/>
          <w:szCs w:val="28"/>
          <w:highlight w:val="none"/>
          <w:lang w:val="en-US" w:eastAsia="zh-CN"/>
        </w:rPr>
        <w:t>乙方：</w:t>
      </w:r>
      <w:r>
        <w:rPr>
          <w:rFonts w:hint="default" w:ascii="Times New Roman" w:hAnsi="Times New Roman" w:eastAsia="宋体" w:cs="Times New Roman"/>
          <w:b/>
          <w:bCs/>
          <w:color w:val="auto"/>
          <w:spacing w:val="-15"/>
          <w:sz w:val="28"/>
          <w:szCs w:val="28"/>
          <w:highlight w:val="none"/>
          <w:u w:val="single"/>
          <w:lang w:val="en-US" w:eastAsia="zh-CN"/>
        </w:rPr>
        <w:t xml:space="preserve">                                         </w:t>
      </w:r>
    </w:p>
    <w:p>
      <w:pPr>
        <w:bidi w:val="0"/>
        <w:rPr>
          <w:rFonts w:hint="default" w:ascii="Times New Roman" w:hAnsi="Times New Roman" w:eastAsia="宋体" w:cs="Times New Roman"/>
          <w:b/>
          <w:bCs/>
          <w:color w:val="auto"/>
          <w:spacing w:val="-8"/>
          <w:sz w:val="52"/>
          <w:szCs w:val="52"/>
          <w:highlight w:val="none"/>
          <w:lang w:val="en-US" w:eastAsia="zh-CN"/>
        </w:rPr>
      </w:pPr>
    </w:p>
    <w:p>
      <w:pPr>
        <w:bidi w:val="0"/>
        <w:rPr>
          <w:rFonts w:hint="default" w:ascii="Times New Roman" w:hAnsi="Times New Roman" w:eastAsia="宋体" w:cs="Times New Roman"/>
          <w:b/>
          <w:bCs/>
          <w:color w:val="auto"/>
          <w:spacing w:val="-12"/>
          <w:sz w:val="28"/>
          <w:szCs w:val="28"/>
          <w:highlight w:val="none"/>
        </w:rPr>
      </w:pPr>
    </w:p>
    <w:p>
      <w:pPr>
        <w:bidi w:val="0"/>
        <w:rPr>
          <w:rFonts w:hint="default" w:ascii="Times New Roman" w:hAnsi="Times New Roman" w:eastAsia="宋体" w:cs="Times New Roman"/>
          <w:b/>
          <w:bCs/>
          <w:color w:val="auto"/>
          <w:spacing w:val="-12"/>
          <w:sz w:val="28"/>
          <w:szCs w:val="28"/>
          <w:highlight w:val="none"/>
        </w:rPr>
      </w:pPr>
    </w:p>
    <w:p>
      <w:pPr>
        <w:bidi w:val="0"/>
        <w:rPr>
          <w:rFonts w:hint="default" w:ascii="Times New Roman" w:hAnsi="Times New Roman" w:eastAsia="宋体" w:cs="Times New Roman"/>
          <w:b/>
          <w:bCs/>
          <w:color w:val="auto"/>
          <w:spacing w:val="-12"/>
          <w:sz w:val="28"/>
          <w:szCs w:val="28"/>
          <w:highlight w:val="none"/>
        </w:rPr>
      </w:pPr>
    </w:p>
    <w:p>
      <w:pPr>
        <w:bidi w:val="0"/>
        <w:rPr>
          <w:rFonts w:hint="default" w:ascii="Times New Roman" w:hAnsi="Times New Roman" w:eastAsia="宋体" w:cs="Times New Roman"/>
          <w:b/>
          <w:bCs/>
          <w:color w:val="auto"/>
          <w:spacing w:val="-12"/>
          <w:sz w:val="28"/>
          <w:szCs w:val="28"/>
          <w:highlight w:val="none"/>
        </w:rPr>
      </w:pPr>
    </w:p>
    <w:p>
      <w:pPr>
        <w:bidi w:val="0"/>
        <w:ind w:firstLine="1800" w:firstLineChars="700"/>
        <w:jc w:val="both"/>
        <w:rPr>
          <w:rFonts w:hint="default" w:ascii="Times New Roman" w:hAnsi="Times New Roman" w:eastAsia="宋体" w:cs="Times New Roman"/>
          <w:b/>
          <w:bCs/>
          <w:color w:val="auto"/>
          <w:spacing w:val="-12"/>
          <w:sz w:val="28"/>
          <w:szCs w:val="28"/>
          <w:highlight w:val="none"/>
        </w:rPr>
      </w:pPr>
      <w:r>
        <w:rPr>
          <w:rFonts w:hint="default" w:ascii="Times New Roman" w:hAnsi="Times New Roman" w:eastAsia="宋体" w:cs="Times New Roman"/>
          <w:b/>
          <w:bCs/>
          <w:color w:val="auto"/>
          <w:spacing w:val="-12"/>
          <w:sz w:val="28"/>
          <w:szCs w:val="28"/>
          <w:highlight w:val="none"/>
        </w:rPr>
        <w:t>签订时间：【</w:t>
      </w:r>
      <w:r>
        <w:rPr>
          <w:rFonts w:hint="default" w:ascii="Times New Roman" w:hAnsi="Times New Roman" w:eastAsia="宋体" w:cs="Times New Roman"/>
          <w:color w:val="auto"/>
          <w:spacing w:val="17"/>
          <w:sz w:val="28"/>
          <w:szCs w:val="28"/>
          <w:highlight w:val="none"/>
        </w:rPr>
        <w:t xml:space="preserve">   </w:t>
      </w:r>
      <w:r>
        <w:rPr>
          <w:rFonts w:hint="default" w:ascii="Times New Roman" w:hAnsi="Times New Roman" w:eastAsia="宋体" w:cs="Times New Roman"/>
          <w:b/>
          <w:bCs/>
          <w:color w:val="auto"/>
          <w:spacing w:val="-12"/>
          <w:sz w:val="28"/>
          <w:szCs w:val="28"/>
          <w:highlight w:val="none"/>
        </w:rPr>
        <w:t>】年【</w:t>
      </w:r>
      <w:r>
        <w:rPr>
          <w:rFonts w:hint="default" w:ascii="Times New Roman" w:hAnsi="Times New Roman" w:eastAsia="宋体" w:cs="Times New Roman"/>
          <w:color w:val="auto"/>
          <w:spacing w:val="14"/>
          <w:sz w:val="28"/>
          <w:szCs w:val="28"/>
          <w:highlight w:val="none"/>
        </w:rPr>
        <w:t xml:space="preserve">   </w:t>
      </w:r>
      <w:r>
        <w:rPr>
          <w:rFonts w:hint="default" w:ascii="Times New Roman" w:hAnsi="Times New Roman" w:eastAsia="宋体" w:cs="Times New Roman"/>
          <w:b/>
          <w:bCs/>
          <w:color w:val="auto"/>
          <w:spacing w:val="-12"/>
          <w:sz w:val="28"/>
          <w:szCs w:val="28"/>
          <w:highlight w:val="none"/>
        </w:rPr>
        <w:t>】月【</w:t>
      </w:r>
      <w:r>
        <w:rPr>
          <w:rFonts w:hint="default" w:ascii="Times New Roman" w:hAnsi="Times New Roman" w:eastAsia="宋体" w:cs="Times New Roman"/>
          <w:color w:val="auto"/>
          <w:spacing w:val="14"/>
          <w:sz w:val="28"/>
          <w:szCs w:val="28"/>
          <w:highlight w:val="none"/>
        </w:rPr>
        <w:t xml:space="preserve">   </w:t>
      </w:r>
      <w:r>
        <w:rPr>
          <w:rFonts w:hint="default" w:ascii="Times New Roman" w:hAnsi="Times New Roman" w:eastAsia="宋体" w:cs="Times New Roman"/>
          <w:b/>
          <w:bCs/>
          <w:color w:val="auto"/>
          <w:spacing w:val="-12"/>
          <w:sz w:val="28"/>
          <w:szCs w:val="28"/>
          <w:highlight w:val="none"/>
        </w:rPr>
        <w:t>】日</w:t>
      </w:r>
    </w:p>
    <w:p>
      <w:pPr>
        <w:bidi w:val="0"/>
        <w:ind w:firstLine="1800" w:firstLineChars="700"/>
        <w:jc w:val="both"/>
        <w:rPr>
          <w:rFonts w:hint="default" w:ascii="Times New Roman" w:hAnsi="Times New Roman" w:eastAsia="宋体" w:cs="Times New Roman"/>
          <w:b/>
          <w:bCs/>
          <w:color w:val="auto"/>
          <w:spacing w:val="-12"/>
          <w:sz w:val="28"/>
          <w:szCs w:val="28"/>
          <w:highlight w:val="none"/>
          <w:lang w:val="en-US" w:eastAsia="zh-CN"/>
        </w:rPr>
        <w:sectPr>
          <w:pgSz w:w="11906" w:h="16838"/>
          <w:pgMar w:top="1984" w:right="1474" w:bottom="1984" w:left="1587" w:header="851" w:footer="992" w:gutter="0"/>
          <w:pgNumType w:fmt="decimal"/>
          <w:cols w:space="425" w:num="1"/>
          <w:docGrid w:type="lines" w:linePitch="312" w:charSpace="0"/>
        </w:sectPr>
      </w:pPr>
      <w:r>
        <w:rPr>
          <w:rFonts w:hint="default" w:ascii="Times New Roman" w:hAnsi="Times New Roman" w:eastAsia="宋体" w:cs="Times New Roman"/>
          <w:b/>
          <w:bCs/>
          <w:color w:val="auto"/>
          <w:spacing w:val="-12"/>
          <w:sz w:val="28"/>
          <w:szCs w:val="28"/>
          <w:highlight w:val="none"/>
        </w:rPr>
        <w:t>签订</w:t>
      </w:r>
      <w:r>
        <w:rPr>
          <w:rFonts w:hint="default" w:ascii="Times New Roman" w:hAnsi="Times New Roman" w:eastAsia="宋体" w:cs="Times New Roman"/>
          <w:b/>
          <w:bCs/>
          <w:color w:val="auto"/>
          <w:spacing w:val="-12"/>
          <w:sz w:val="28"/>
          <w:szCs w:val="28"/>
          <w:highlight w:val="none"/>
          <w:lang w:val="en-US" w:eastAsia="zh-CN"/>
        </w:rPr>
        <w:t>地点</w:t>
      </w:r>
      <w:r>
        <w:rPr>
          <w:rFonts w:hint="eastAsia" w:ascii="Times New Roman" w:hAnsi="Times New Roman" w:eastAsia="宋体" w:cs="Times New Roman"/>
          <w:b/>
          <w:bCs/>
          <w:color w:val="auto"/>
          <w:spacing w:val="-12"/>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default" w:ascii="Times New Roman" w:hAnsi="Times New Roman" w:eastAsia="方正小标宋_GBK" w:cs="Times New Roman"/>
          <w:b/>
          <w:bCs/>
          <w:color w:val="auto"/>
          <w:spacing w:val="-8"/>
          <w:sz w:val="44"/>
          <w:szCs w:val="44"/>
          <w:highlight w:val="none"/>
          <w:lang w:val="en-US" w:eastAsia="zh-CN"/>
        </w:rPr>
      </w:pPr>
      <w:r>
        <w:rPr>
          <w:rFonts w:hint="default" w:ascii="Times New Roman" w:hAnsi="Times New Roman" w:eastAsia="方正小标宋_GBK" w:cs="Times New Roman"/>
          <w:b/>
          <w:bCs/>
          <w:color w:val="auto"/>
          <w:spacing w:val="-8"/>
          <w:sz w:val="44"/>
          <w:szCs w:val="44"/>
          <w:highlight w:val="none"/>
          <w:lang w:val="en-US" w:eastAsia="zh-CN"/>
        </w:rPr>
        <w:t>重庆理工职业学院</w:t>
      </w:r>
    </w:p>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default" w:ascii="Times New Roman" w:hAnsi="Times New Roman" w:eastAsia="方正小标宋_GBK" w:cs="Times New Roman"/>
          <w:b/>
          <w:bCs/>
          <w:color w:val="auto"/>
          <w:spacing w:val="-8"/>
          <w:sz w:val="44"/>
          <w:szCs w:val="44"/>
          <w:highlight w:val="none"/>
          <w:lang w:val="en-US" w:eastAsia="zh-CN"/>
        </w:rPr>
      </w:pPr>
      <w:r>
        <w:rPr>
          <w:rFonts w:hint="default" w:ascii="Times New Roman" w:hAnsi="Times New Roman" w:eastAsia="方正小标宋_GBK" w:cs="Times New Roman"/>
          <w:b/>
          <w:bCs/>
          <w:color w:val="auto"/>
          <w:spacing w:val="-8"/>
          <w:sz w:val="44"/>
          <w:szCs w:val="44"/>
          <w:highlight w:val="none"/>
          <w:lang w:val="en-US" w:eastAsia="zh-CN"/>
        </w:rPr>
        <w:t>中央空调设备系统维护保养合同</w:t>
      </w:r>
    </w:p>
    <w:p>
      <w:pPr>
        <w:bidi w:val="0"/>
        <w:spacing w:line="240" w:lineRule="auto"/>
        <w:rPr>
          <w:rFonts w:hint="default" w:ascii="Times New Roman" w:hAnsi="Times New Roman" w:cs="Times New Roman"/>
          <w:color w:val="auto"/>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甲方（委托方）：重庆理工职业学院</w:t>
      </w:r>
      <w:r>
        <w:rPr>
          <w:rFonts w:hint="default" w:ascii="Times New Roman" w:hAnsi="Times New Roman" w:eastAsia="方正仿宋_GBK" w:cs="Times New Roman"/>
          <w:color w:val="auto"/>
          <w:sz w:val="32"/>
          <w:szCs w:val="32"/>
          <w:highlight w:val="none"/>
          <w:lang w:val="en-US" w:eastAsia="zh-CN"/>
        </w:rPr>
        <w:br w:type="textWrapping"/>
      </w:r>
      <w:r>
        <w:rPr>
          <w:rFonts w:hint="default" w:ascii="Times New Roman" w:hAnsi="Times New Roman" w:eastAsia="方正仿宋_GBK" w:cs="Times New Roman"/>
          <w:color w:val="auto"/>
          <w:sz w:val="32"/>
          <w:szCs w:val="32"/>
          <w:highlight w:val="none"/>
          <w:lang w:val="en-US" w:eastAsia="zh-CN"/>
        </w:rPr>
        <w:t>社会统一信用代码：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地址：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联系人：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联系电话：</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乙方（受托方）：</w:t>
      </w:r>
      <w:r>
        <w:rPr>
          <w:rFonts w:hint="default" w:ascii="Times New Roman" w:hAnsi="Times New Roman" w:eastAsia="方正仿宋_GBK" w:cs="Times New Roman"/>
          <w:color w:val="auto"/>
          <w:sz w:val="32"/>
          <w:szCs w:val="32"/>
          <w:highlight w:val="none"/>
          <w:lang w:val="en-US" w:eastAsia="zh-CN"/>
        </w:rPr>
        <w:br w:type="textWrapping"/>
      </w:r>
      <w:r>
        <w:rPr>
          <w:rFonts w:hint="default" w:ascii="Times New Roman" w:hAnsi="Times New Roman" w:eastAsia="方正仿宋_GBK" w:cs="Times New Roman"/>
          <w:color w:val="auto"/>
          <w:sz w:val="32"/>
          <w:szCs w:val="32"/>
          <w:highlight w:val="none"/>
          <w:lang w:val="en-US" w:eastAsia="zh-CN"/>
        </w:rPr>
        <w:t>社会统一信用代码：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地址：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联系人：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联系电话：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鉴于甲方拥有重庆理工职业学院校区空调设备系统，为确保该设备系统安全、正常、高效和节能运行，降低故障率，甲方委托乙方对其进行维护保养服务。为了明确甲乙双方权利和义务，本着平等互利、协商一致、等价互偿的原则，根据国家《中华人民共和国民法典》、《建设工程质量管理条例》及相关法律法规的规定，结合本工程的具体情况，在平等自愿的前提下，经双方友好协商，达成如下条款，共同遵守。</w:t>
      </w:r>
    </w:p>
    <w:p>
      <w:pPr>
        <w:numPr>
          <w:ilvl w:val="0"/>
          <w:numId w:val="0"/>
        </w:numPr>
        <w:bidi w:val="0"/>
        <w:spacing w:line="360" w:lineRule="auto"/>
        <w:jc w:val="center"/>
        <w:rPr>
          <w:rFonts w:hint="default" w:ascii="Times New Roman" w:hAnsi="Times New Roman" w:cs="Times New Roman"/>
          <w:b/>
          <w:bCs/>
          <w:color w:val="auto"/>
          <w:sz w:val="24"/>
          <w:szCs w:val="24"/>
          <w:highlight w:val="none"/>
          <w:lang w:val="en-US" w:eastAsia="zh-CN"/>
        </w:rPr>
      </w:pPr>
    </w:p>
    <w:p>
      <w:pPr>
        <w:numPr>
          <w:ilvl w:val="0"/>
          <w:numId w:val="0"/>
        </w:numPr>
        <w:bidi w:val="0"/>
        <w:spacing w:line="360" w:lineRule="auto"/>
        <w:jc w:val="center"/>
        <w:rPr>
          <w:rFonts w:hint="default" w:ascii="Times New Roman" w:hAnsi="Times New Roman" w:eastAsia="方正仿宋_GBK" w:cs="Times New Roman"/>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第一部分 通用条款</w:t>
      </w:r>
    </w:p>
    <w:p>
      <w:pPr>
        <w:bidi w:val="0"/>
        <w:spacing w:line="360" w:lineRule="auto"/>
        <w:ind w:firstLine="640" w:firstLineChars="200"/>
        <w:rPr>
          <w:rFonts w:hint="default" w:ascii="Times New Roman" w:hAnsi="Times New Roman" w:eastAsia="方正仿宋_GBK" w:cs="Times New Roman"/>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color w:val="auto"/>
          <w:sz w:val="32"/>
          <w:szCs w:val="32"/>
          <w:highlight w:val="none"/>
          <w:lang w:val="en-US" w:eastAsia="zh-CN"/>
        </w:rPr>
      </w:pPr>
      <w:r>
        <w:rPr>
          <w:rFonts w:hint="eastAsia" w:ascii="方正楷体_GBK" w:hAnsi="方正楷体_GBK" w:eastAsia="方正楷体_GBK" w:cs="方正楷体_GBK"/>
          <w:color w:val="auto"/>
          <w:sz w:val="32"/>
          <w:szCs w:val="32"/>
          <w:highlight w:val="none"/>
          <w:lang w:val="en-US" w:eastAsia="zh-CN"/>
        </w:rPr>
        <w:t>一、服务质量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1.1乙方承诺将在中国法律法规允许的情况下始终严格按照本合同的约定承担服务质量责任，且始终对服务产生的各类缺陷、质量或其他任何问题承担全部责任，包括对其他第三方和中国政府部门应承担的责任。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1.2甲方如发现乙方所提供的服务不符合本合同约定的，或存在其他任何问题，不符合国家、地方、行业质量标准和/或双方认可的服务质量标准、要求及规范的，甲方有权提出异议，甲方向乙方提异议后，乙方应在甲方提出的合理时间内，根据本合同约定和/或相关质量标准、要求及规范立即进行整改，由此产生的一切费用及责任等均由乙方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1.3本合同其他条款对乙方服务质量有约定的，从其约定。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eastAsia" w:ascii="方正楷体_GBK" w:hAnsi="方正楷体_GBK" w:eastAsia="方正楷体_GBK" w:cs="方正楷体_GBK"/>
          <w:color w:val="auto"/>
          <w:sz w:val="32"/>
          <w:szCs w:val="32"/>
          <w:highlight w:val="none"/>
          <w:lang w:val="en-US" w:eastAsia="zh-CN"/>
        </w:rPr>
        <w:t>二、</w:t>
      </w:r>
      <w:r>
        <w:rPr>
          <w:rFonts w:hint="default" w:ascii="方正楷体_GBK" w:hAnsi="方正楷体_GBK" w:eastAsia="方正楷体_GBK" w:cs="方正楷体_GBK"/>
          <w:color w:val="auto"/>
          <w:sz w:val="32"/>
          <w:szCs w:val="32"/>
          <w:highlight w:val="none"/>
          <w:lang w:val="en-US" w:eastAsia="zh-CN"/>
        </w:rPr>
        <w:t>费用及发票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2.1若在合同履行期间，因甲方原因增加费用的，则双方应另行签订补充协议；若增加的费用是因乙方原因导致的，则由乙方自行承担。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2.2乙方应提供符合法律规定的增值税发票，保证开具的发票种类、税率与合同一致，因乙方延迟送达、发票信息错误、发票无效等导致发票认证失败，甲方有权要求乙方重新开具正确的发票，并有权顺延付款时间且不因此承担任何违约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2.3因乙方开具发票给甲方造成损失的，乙方应赔偿甲方损失。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eastAsia" w:ascii="方正楷体_GBK" w:hAnsi="方正楷体_GBK" w:eastAsia="方正楷体_GBK" w:cs="方正楷体_GBK"/>
          <w:color w:val="auto"/>
          <w:sz w:val="32"/>
          <w:szCs w:val="32"/>
          <w:highlight w:val="none"/>
          <w:lang w:val="en-US" w:eastAsia="zh-CN"/>
        </w:rPr>
        <w:t>三、</w:t>
      </w:r>
      <w:r>
        <w:rPr>
          <w:rFonts w:hint="default" w:ascii="方正楷体_GBK" w:hAnsi="方正楷体_GBK" w:eastAsia="方正楷体_GBK" w:cs="方正楷体_GBK"/>
          <w:color w:val="auto"/>
          <w:sz w:val="32"/>
          <w:szCs w:val="32"/>
          <w:highlight w:val="none"/>
          <w:lang w:val="en-US" w:eastAsia="zh-CN"/>
        </w:rPr>
        <w:t>甲方权利义务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3.1甲方有权对乙方服务质量进行监督、检查，并对不符合本合同约定及甲方要求的，有权要求乙方限期进行整改并按照本合同相关约定进行扣款，乙方拒不整改或连续整改2次仍不符合本合同约定及甲方要求的，甲方有权解除合同，同时甲方有权要求乙方按本合同总额的30％承担违约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3.2乙方有下列情形之一的，甲方有权指出，并要求乙方立即更换服务人员：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3.2.1乙方工作人员每月累计被投诉达3次、合同期内累计被投诉达5次；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3.2.2乙方工作人员不遵守甲方及业主方现场管理规定；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3.2.3乙方工作人员有盗窃等违法行为；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3.2.4其他需要乙方更换人员的情形。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3.3甲方有权从乙方服务费、履约保证金中扣除乙方服务扣款、违约金、损失赔偿金等款项。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3.4甲方有权随时抽查乙方服务记录表单，若乙方虚假不实记录或拒绝甲方抽查的，甲方有权视其情况的严重程度决定解除本合同或扣减相应的服务费。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3.5甲方应按本合同约定及时、足额向乙方支付服务费。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eastAsia" w:ascii="方正楷体_GBK" w:hAnsi="方正楷体_GBK" w:eastAsia="方正楷体_GBK" w:cs="方正楷体_GBK"/>
          <w:color w:val="auto"/>
          <w:sz w:val="32"/>
          <w:szCs w:val="32"/>
          <w:highlight w:val="none"/>
          <w:lang w:val="en-US" w:eastAsia="zh-CN"/>
        </w:rPr>
        <w:t>四、</w:t>
      </w:r>
      <w:r>
        <w:rPr>
          <w:rFonts w:hint="default" w:ascii="方正楷体_GBK" w:hAnsi="方正楷体_GBK" w:eastAsia="方正楷体_GBK" w:cs="方正楷体_GBK"/>
          <w:color w:val="auto"/>
          <w:sz w:val="32"/>
          <w:szCs w:val="32"/>
          <w:highlight w:val="none"/>
          <w:lang w:val="en-US" w:eastAsia="zh-CN"/>
        </w:rPr>
        <w:t>乙方权利义务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4.1乙方有权按本合同约定收取服务费。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4.2乙方应具备签署及履行本合同的一切条件，包括但不限于乙方具备空调维保资质；乙方与乙方工作人员应存在合法的劳动或劳务关系，且乙方已按相关规定为服务人员购买社会保险、商业险。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4.3根据法律法规规定需要持证上岗的岗位，乙方工作人员必需持有相应证件，乙方不得安排未取得证件、证件过期的人员至甲方项目提供服务。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4.4乙方因履行本合同派驻甲方服务的各类工作人员，与甲方不存在劳动/劳务关系，乙方应为乙方工作人员提供必要的劳动工具及劳动保护。乙方工作人员因劳动/劳务、工伤、人身损害等产生纠纷的，乙方自行处理相关纠纷并承担全部赔偿责任；甲方因前述原因遭受损失的，乙方应赔偿甲方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4.5乙方应按本合同约定全面履行合同义务。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4.6乙方在履行过程中，不得因物料、易耗品短缺、机器设备发生故障等因素影响服务工作正常运作。出现前述影响服务正常运作情形的，乙方应及时予以处理，并采取相关措施保障服务品质及服务进度。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4.7乙方在服务过程中，发现可能导致人身财产损害的情况时，应及时向甲方报告并采取应急处理。乙方对因发现或处理不及时，以及处理方式不当所造成后果承担全部责任。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4.8乙方及乙方工作人员在服务过程中，应严格遵守国家相关法律、甲方及业主方现场管理规定，否则，甲方将追究乙方责任，并可视情节轻重进行处理直至解除本合同，同时甲方有权要求乙方按本合同通用条款的第10.3条承担违约责任；乙方及乙方工作人员在服务过程中应做好成品保护工作，不得对成品造成损坏，否则，由乙方承担相关法律责任；若给甲方造成损失或负面影响，乙方应赔偿甲方全部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4.9乙方履行本合同过程中，因乙方或乙方工作人员原因导致甲方、乙方或第三方发生人身伤害或财产损失的，由乙方负责处理并承担全部赔偿责任。如因服务质量给甲方造成损失的，乙方应赔偿甲方损失。若甲方因前述乙方或乙方人员原因承担赔偿责任，则甲方有权向乙方追偿，乙方还应向甲方支付含税合同总额的10%作为违约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4.10乙方不得聘用本合同所列项目现场其他服务公司、甲方的工作人员在本项目从事本合同所约定工作，一经发现，乙方应立即更换工作人员。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4.11乙方工作人员不得在甲方管理的物业区域内从事与本合同无关的活动，一经发现，甲方将追究乙方责任，并可视情节轻重进行处理直至解除本合同，同时甲方有权要求乙方按本合同</w:t>
      </w:r>
      <w:r>
        <w:rPr>
          <w:rFonts w:hint="eastAsia" w:ascii="Times New Roman" w:hAnsi="Times New Roman" w:eastAsia="方正仿宋_GBK" w:cs="Times New Roman"/>
          <w:color w:val="auto"/>
          <w:sz w:val="32"/>
          <w:szCs w:val="32"/>
          <w:highlight w:val="none"/>
          <w:lang w:val="en-US" w:eastAsia="zh-CN"/>
        </w:rPr>
        <w:t>总额的30％</w:t>
      </w:r>
      <w:r>
        <w:rPr>
          <w:rFonts w:hint="default" w:ascii="Times New Roman" w:hAnsi="Times New Roman" w:eastAsia="方正仿宋_GBK" w:cs="Times New Roman"/>
          <w:color w:val="auto"/>
          <w:sz w:val="32"/>
          <w:szCs w:val="32"/>
          <w:highlight w:val="none"/>
          <w:lang w:val="en-US" w:eastAsia="zh-CN"/>
        </w:rPr>
        <w:t>承担违约责任。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4.12本合同约定服务，乙方不得擅自转包、分包给第三方。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4.13乙方如对甲方管理物业区域内的业主另行提供有偿特约服务，须事前以书面形式向甲方申报备案，在得到甲方书面确认后方可实施，但不得影响本合同约定的服务工作；为业主提供服务的人员需从乙方公司另行指派，不得指派为甲方提供服务的人员。在提供有偿特约服务过程中发生的意外及工伤事故的所有费用或因在用工期间发生的劳动争议均由乙方自行承担，如致使甲方在名誉和经济上遭受损失的，乙方应赔偿甲方损失；给业主和第三方造成的经济损失和法律责任，均由乙方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4.14乙方发生名称、法定代表人(负责人)、股东、董监高人员、经营范围、注册资本金或公司(企业)章程等工商登记事项或税务登记事项(如增值税身份变更)变更的，应在变更后五个工作日内书面通知甲方，并附变更后的相关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4.15乙方须全力配合甲方应对突发公共卫生安全事件(新冠肺炎疫情等未知情况),严格贯彻执行当地政府单位及甲方各类防控管理方案及具体工作要求，并确保每项要求得到有效的实施。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4.16维护保养期内如乙方人为损坏甲方设备，乙方原价赔偿甲方。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eastAsia" w:ascii="方正楷体_GBK" w:hAnsi="方正楷体_GBK" w:eastAsia="方正楷体_GBK" w:cs="方正楷体_GBK"/>
          <w:color w:val="auto"/>
          <w:sz w:val="32"/>
          <w:szCs w:val="32"/>
          <w:highlight w:val="none"/>
          <w:lang w:val="en-US" w:eastAsia="zh-CN"/>
        </w:rPr>
        <w:t>五、</w:t>
      </w:r>
      <w:r>
        <w:rPr>
          <w:rFonts w:hint="default" w:ascii="方正楷体_GBK" w:hAnsi="方正楷体_GBK" w:eastAsia="方正楷体_GBK" w:cs="方正楷体_GBK"/>
          <w:color w:val="auto"/>
          <w:sz w:val="32"/>
          <w:szCs w:val="32"/>
          <w:highlight w:val="none"/>
          <w:lang w:val="en-US" w:eastAsia="zh-CN"/>
        </w:rPr>
        <w:t>保密条款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5.1乙方及乙方作业人员对签署、履行本合同过程中获悉的甲方、甲方客户的商业秘密负有保密义务。未经商业秘密所有者同意，乙方及乙方作业人员不得向任何第三方披露。乙方作业人员违反本协议之行为，均视为乙方之违约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5.2本合同解除、终止后，乙方及乙方作业人员对获悉的商业秘密仍具有保密义务，至甲方、甲方客户公开商业秘密时，乙方及乙方作业人员对公开的商业秘密的保密义务终止。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eastAsia" w:ascii="方正楷体_GBK" w:hAnsi="方正楷体_GBK" w:eastAsia="方正楷体_GBK" w:cs="方正楷体_GBK"/>
          <w:color w:val="auto"/>
          <w:sz w:val="32"/>
          <w:szCs w:val="32"/>
          <w:highlight w:val="none"/>
          <w:lang w:val="en-US" w:eastAsia="zh-CN"/>
        </w:rPr>
        <w:t>六、</w:t>
      </w:r>
      <w:r>
        <w:rPr>
          <w:rFonts w:hint="default" w:ascii="方正楷体_GBK" w:hAnsi="方正楷体_GBK" w:eastAsia="方正楷体_GBK" w:cs="方正楷体_GBK"/>
          <w:color w:val="auto"/>
          <w:sz w:val="32"/>
          <w:szCs w:val="32"/>
          <w:highlight w:val="none"/>
          <w:lang w:val="en-US" w:eastAsia="zh-CN"/>
        </w:rPr>
        <w:t>个人信息保护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6.1乙方不得未经甲方事先书面同意擅自收集，处理，使用或披露个人信息，除非法律要求或接受特定消息的个人明确同意。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6.2乙方取得甲方书面同意后，在收集个人信息时应确保已向被收集人充分披露了适用的个人信息保护法律法规所要求的所有信息，按照“合法、正当、透明、目的限制、信息最小化、准确、存储期限最小化、完整性与保密性、可问责”的一般原则处理获取的个人信息。乙方应对所收集的个人信息保密，并且不得向任何人透露个人信息，不得将其收集的任何个人信息转移到境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6.3未经甲方事先书面同意，乙方不得雇用任何分包商处理与服务有关的个人信息。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6.4合同终止或期满后，乙方应按照甲方指定的书面形式和格式，以甲方指定的形式向甲方交付乙方已收集</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使用</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披露或处理的与个人信息有关的所有记录或包含这些个人信息的任何记录协议，以及与此类个人信息有关的与第三方的任何和所有同意或协议的所有文档</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书籍</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记录和证据。此后，乙方应删除或销毁此类个人信息及其可能由乙方拥有或由乙方控制的所有记录的任何副本，并向甲方提供删除或销毁证据，除非适用法律要求存储此类个人信息。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6.5乙方应立即通知甲方关于任何个人或监管机构对本合同下有关个人信息的投诉或要求，或任何监管机构针对任何个人信息泄露事件进行的任何调查。对于个人信息泄露事件，乙方应立即自费作出所有合理的努力，以协助甲方调查和补救此类数据泄露事件以及与之有关的任何索赔，指控，诉讼。乙方在就该等事件向任何监管机构进行任何报告前，应事先获得甲方同意。如乙方提交任何报告给相关监管机构，也应向甲方提供报告的副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6.6如果乙方根据本合同需不时向甲方提供乙方人员的个人信息(“乙方个人信息”),则乙方同意甲方可以收集，使用，披露和处理该等乙方人员的个人信息，用于身份验证，授权访问等，以满足本合同目的。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eastAsia" w:ascii="方正楷体_GBK" w:hAnsi="方正楷体_GBK" w:eastAsia="方正楷体_GBK" w:cs="方正楷体_GBK"/>
          <w:color w:val="auto"/>
          <w:sz w:val="32"/>
          <w:szCs w:val="32"/>
          <w:highlight w:val="none"/>
          <w:lang w:val="en-US" w:eastAsia="zh-CN"/>
        </w:rPr>
        <w:t>七、</w:t>
      </w:r>
      <w:r>
        <w:rPr>
          <w:rFonts w:hint="default" w:ascii="方正楷体_GBK" w:hAnsi="方正楷体_GBK" w:eastAsia="方正楷体_GBK" w:cs="方正楷体_GBK"/>
          <w:color w:val="auto"/>
          <w:sz w:val="32"/>
          <w:szCs w:val="32"/>
          <w:highlight w:val="none"/>
          <w:lang w:val="en-US" w:eastAsia="zh-CN"/>
        </w:rPr>
        <w:t>不可抗力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7.1凡因发生地震、台风、暴雨、火灾等其他不能预见、不能避免并不能克服的不可抗力情形的，致使直接影响本合同的履行或不能按照本合同项下之约定履行时，遇有不可抗力的一方应当立即书面通知对方，并在发生不可抗力之日起15天内，提供必要的不可抗力详情及合同全部不能履行、部分不能履行或需要延期履行理由的有效书面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7.2根据不可抗力对本合同的影响程度，双方应当协商是否解除本合同或部分、全部免除履行本合同的责任，或延期履行本合同。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eastAsia" w:ascii="方正楷体_GBK" w:hAnsi="方正楷体_GBK" w:eastAsia="方正楷体_GBK" w:cs="方正楷体_GBK"/>
          <w:color w:val="auto"/>
          <w:sz w:val="32"/>
          <w:szCs w:val="32"/>
          <w:highlight w:val="none"/>
          <w:lang w:val="en-US" w:eastAsia="zh-CN"/>
        </w:rPr>
        <w:t>八、</w:t>
      </w:r>
      <w:r>
        <w:rPr>
          <w:rFonts w:hint="default" w:ascii="方正楷体_GBK" w:hAnsi="方正楷体_GBK" w:eastAsia="方正楷体_GBK" w:cs="方正楷体_GBK"/>
          <w:color w:val="auto"/>
          <w:sz w:val="32"/>
          <w:szCs w:val="32"/>
          <w:highlight w:val="none"/>
          <w:lang w:val="en-US" w:eastAsia="zh-CN"/>
        </w:rPr>
        <w:t>合同变更、解除、终止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8.1甲乙双方协商一致，可以变更、解除、终止本合同。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8.2任何一方破产或成为强制清算或者解散的对象，或者停止营业，另一方有权解除本合同。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8.3乙方有下列情形之一的，甲方有权解除本合同：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8.3.1未经甲方同意逾期未提供服务累计达3天或连续3天未提供服务的；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8.3.2乙方服务达不到合同约定的服务品质标准；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8.3.3乙方人员在服务区域聚众闹事或消极怠工的；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8.3.4乙方擅自将本合同转分包，或以其他形式委托第三方的；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8.3.5乙方拒绝重新提供或提供的发票仍不符合法律法规和监管规定的要求；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8.3.6乙方连续两次或者全年累计三次被甲方扣款处罚的；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8.3.7因乙方原因造成甲方重大经济损失或重大负面影响的；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8.3.8乙方有其他违约行为的。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8.4甲方与业主/业主委员会/建设单位等的服务合同解除/终止或甲方根据经营需要，甲方有权全部、部分解除/终止本合同，不视为甲方违约，甲方不承担任何责任。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8.5甲方根据本合同约定或法律规定解除本合同，自甲方解除通知(通知形式包括但不限于快递、邮件、传真、手机信息、QQ、微信等)到达乙方时本合同即解除，解除通知载明的解除日晚于解除通知到达日的，则以解除通知载明的解除日为准。本合同解除后，双方根据合同约定据实结算费用并办理移交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8.6乙方因服务质量被甲方解除合同达到三个项目以上(含),甲方有权将乙方列入供应商黑名单，并解除与乙方签订的所有服务合同，甲方无需承担任何违约责任，乙方应承担通用条款</w:t>
      </w:r>
      <w:r>
        <w:rPr>
          <w:rFonts w:hint="eastAsia" w:ascii="Times New Roman" w:hAnsi="Times New Roman" w:eastAsia="方正仿宋_GBK" w:cs="Times New Roman"/>
          <w:color w:val="auto"/>
          <w:sz w:val="32"/>
          <w:szCs w:val="32"/>
          <w:highlight w:val="none"/>
          <w:lang w:val="en-US" w:eastAsia="zh-CN"/>
        </w:rPr>
        <w:t>9</w:t>
      </w:r>
      <w:r>
        <w:rPr>
          <w:rFonts w:hint="default" w:ascii="Times New Roman" w:hAnsi="Times New Roman" w:eastAsia="方正仿宋_GBK" w:cs="Times New Roman"/>
          <w:color w:val="auto"/>
          <w:sz w:val="32"/>
          <w:szCs w:val="32"/>
          <w:highlight w:val="none"/>
          <w:lang w:val="en-US" w:eastAsia="zh-CN"/>
        </w:rPr>
        <w:t>.3条约定的违约责任。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eastAsia" w:ascii="方正楷体_GBK" w:hAnsi="方正楷体_GBK" w:eastAsia="方正楷体_GBK" w:cs="方正楷体_GBK"/>
          <w:color w:val="auto"/>
          <w:sz w:val="32"/>
          <w:szCs w:val="32"/>
          <w:highlight w:val="none"/>
          <w:lang w:val="en-US" w:eastAsia="zh-CN"/>
        </w:rPr>
        <w:t>九、</w:t>
      </w:r>
      <w:r>
        <w:rPr>
          <w:rFonts w:hint="default" w:ascii="方正楷体_GBK" w:hAnsi="方正楷体_GBK" w:eastAsia="方正楷体_GBK" w:cs="方正楷体_GBK"/>
          <w:color w:val="auto"/>
          <w:sz w:val="32"/>
          <w:szCs w:val="32"/>
          <w:highlight w:val="none"/>
          <w:lang w:val="en-US" w:eastAsia="zh-CN"/>
        </w:rPr>
        <w:t>违约责任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9.1甲方因自身原因未按时付款，每逾期一日，以逾期未付款为基数按万分之一向乙方支付违约金。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9.2乙方逾期提供服务或逾期未完工的，每逾期一日，应向甲方支付含税合同总额的千分之一作为违约金。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9.3乙方有下列情形之一的，应向甲方支付含税合同总额的30%作为违约金，给甲方造成损失的，乙方还应赔偿甲方损失：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9.3.1乙方有本合同通用条款第9.3条情形之一的；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9.3.2因乙方或乙方员工原因造成甲方费用增加或损失的。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eastAsia" w:ascii="方正楷体_GBK" w:hAnsi="方正楷体_GBK" w:eastAsia="方正楷体_GBK" w:cs="方正楷体_GBK"/>
          <w:color w:val="auto"/>
          <w:sz w:val="32"/>
          <w:szCs w:val="32"/>
          <w:highlight w:val="none"/>
          <w:lang w:val="en-US" w:eastAsia="zh-CN"/>
        </w:rPr>
        <w:t>十、</w:t>
      </w:r>
      <w:r>
        <w:rPr>
          <w:rFonts w:hint="default" w:ascii="方正楷体_GBK" w:hAnsi="方正楷体_GBK" w:eastAsia="方正楷体_GBK" w:cs="方正楷体_GBK"/>
          <w:color w:val="auto"/>
          <w:sz w:val="32"/>
          <w:szCs w:val="32"/>
          <w:highlight w:val="none"/>
          <w:lang w:val="en-US" w:eastAsia="zh-CN"/>
        </w:rPr>
        <w:t>争议解决方式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本合同在签订、履行及解释过程中发生的争议，由双方当事人协商解决，协商不成的，向甲方所在地有管辖权的人民法院提起诉讼解决。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eastAsia" w:ascii="方正楷体_GBK" w:hAnsi="方正楷体_GBK" w:eastAsia="方正楷体_GBK" w:cs="方正楷体_GBK"/>
          <w:color w:val="auto"/>
          <w:sz w:val="32"/>
          <w:szCs w:val="32"/>
          <w:highlight w:val="none"/>
          <w:lang w:val="en-US" w:eastAsia="zh-CN"/>
        </w:rPr>
        <w:t>十一、</w:t>
      </w:r>
      <w:r>
        <w:rPr>
          <w:rFonts w:hint="default" w:ascii="方正楷体_GBK" w:hAnsi="方正楷体_GBK" w:eastAsia="方正楷体_GBK" w:cs="方正楷体_GBK"/>
          <w:color w:val="auto"/>
          <w:sz w:val="32"/>
          <w:szCs w:val="32"/>
          <w:highlight w:val="none"/>
          <w:lang w:val="en-US" w:eastAsia="zh-CN"/>
        </w:rPr>
        <w:t>通知与送达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11.1本合同一方或任何第三方根据本合同发给另一方的律师函、催款函、诉讼、仲裁文书，均应向合同尾部的注册地址送达，除前述函件之外的通知，均可向合同尾部的联系地址送达。按约定地址送达的，视为有效送达。受送达人拒收的，不影响送达的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11.2乙方变更收款账户信息、送达地址的，需在变更前5个工作日内以书面形式通知甲方；书面通知送达前，甲方按本合同约定信息履行的，对乙方具有法律约束力。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eastAsia" w:ascii="方正楷体_GBK" w:hAnsi="方正楷体_GBK" w:eastAsia="方正楷体_GBK" w:cs="方正楷体_GBK"/>
          <w:color w:val="auto"/>
          <w:sz w:val="32"/>
          <w:szCs w:val="32"/>
          <w:highlight w:val="none"/>
          <w:lang w:val="en-US" w:eastAsia="zh-CN"/>
        </w:rPr>
        <w:t>十二、</w:t>
      </w:r>
      <w:r>
        <w:rPr>
          <w:rFonts w:hint="default" w:ascii="方正楷体_GBK" w:hAnsi="方正楷体_GBK" w:eastAsia="方正楷体_GBK" w:cs="方正楷体_GBK"/>
          <w:color w:val="auto"/>
          <w:sz w:val="32"/>
          <w:szCs w:val="32"/>
          <w:highlight w:val="none"/>
          <w:lang w:val="en-US" w:eastAsia="zh-CN"/>
        </w:rPr>
        <w:t>其他约定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12.1本合同项下甲方的损失包括但不限于甲方的直接损失、间接损失、诉讼费</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仲裁费、公告费、律师费、差旅费、保全费、保全担保费、公证费、鉴定费、执行费等相关费用。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12.2甲方招标文件(如有)、乙方投标文件(如有)为本合同附件，为本合同组成部分，与本合同具有同等法律效力。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黑体_GBK" w:hAnsi="方正黑体_GBK" w:eastAsia="方正黑体_GBK" w:cs="方正黑体_GBK"/>
          <w:b/>
          <w:bCs/>
          <w:color w:val="auto"/>
          <w:sz w:val="32"/>
          <w:szCs w:val="32"/>
          <w:highlight w:val="none"/>
          <w:lang w:val="en-US" w:eastAsia="zh-CN"/>
        </w:rPr>
        <w:sectPr>
          <w:footerReference r:id="rId19" w:type="default"/>
          <w:pgSz w:w="11906" w:h="16838"/>
          <w:pgMar w:top="1984" w:right="1474" w:bottom="1984" w:left="1587" w:header="851" w:footer="992" w:gutter="0"/>
          <w:pgNumType w:fmt="decimal"/>
          <w:cols w:space="425" w:num="1"/>
          <w:docGrid w:type="lines" w:linePitch="312" w:charSpace="0"/>
        </w:sectPr>
      </w:pPr>
      <w:r>
        <w:rPr>
          <w:rFonts w:hint="default" w:ascii="Times New Roman" w:hAnsi="Times New Roman" w:eastAsia="方正仿宋_GBK" w:cs="Times New Roman"/>
          <w:color w:val="auto"/>
          <w:sz w:val="32"/>
          <w:szCs w:val="32"/>
          <w:highlight w:val="none"/>
          <w:lang w:val="en-US" w:eastAsia="zh-CN"/>
        </w:rPr>
        <w:t>12.3本合同自双方加盖公章或合同专用章之日起生效。</w:t>
      </w:r>
    </w:p>
    <w:p>
      <w:pPr>
        <w:keepNext w:val="0"/>
        <w:keepLines w:val="0"/>
        <w:pageBreakBefore w:val="0"/>
        <w:widowControl w:val="0"/>
        <w:numPr>
          <w:ilvl w:val="0"/>
          <w:numId w:val="4"/>
        </w:numPr>
        <w:kinsoku/>
        <w:wordWrap/>
        <w:overflowPunct/>
        <w:topLinePunct w:val="0"/>
        <w:autoSpaceDE/>
        <w:autoSpaceDN/>
        <w:bidi w:val="0"/>
        <w:adjustRightInd/>
        <w:snapToGrid/>
        <w:spacing w:before="313" w:beforeLines="100" w:after="313" w:afterLines="100" w:line="560" w:lineRule="exact"/>
        <w:ind w:firstLine="640" w:firstLineChars="200"/>
        <w:jc w:val="center"/>
        <w:textAlignment w:val="auto"/>
        <w:rPr>
          <w:rFonts w:hint="eastAsia" w:ascii="方正黑体_GBK" w:hAnsi="方正黑体_GBK" w:eastAsia="方正黑体_GBK" w:cs="方正黑体_GBK"/>
          <w:b/>
          <w:bCs/>
          <w:color w:val="auto"/>
          <w:sz w:val="32"/>
          <w:szCs w:val="32"/>
          <w:highlight w:val="none"/>
          <w:lang w:val="en-US" w:eastAsia="zh-CN"/>
        </w:rPr>
      </w:pPr>
      <w:r>
        <w:rPr>
          <w:rFonts w:hint="eastAsia" w:ascii="方正黑体_GBK" w:hAnsi="方正黑体_GBK" w:eastAsia="方正黑体_GBK" w:cs="方正黑体_GBK"/>
          <w:b/>
          <w:bCs/>
          <w:color w:val="auto"/>
          <w:sz w:val="32"/>
          <w:szCs w:val="32"/>
          <w:highlight w:val="none"/>
          <w:lang w:val="en-US" w:eastAsia="zh-CN"/>
        </w:rPr>
        <w:t>专用条款</w:t>
      </w:r>
    </w:p>
    <w:p>
      <w:pPr>
        <w:numPr>
          <w:ilvl w:val="0"/>
          <w:numId w:val="0"/>
        </w:numPr>
        <w:bidi w:val="0"/>
        <w:spacing w:line="360" w:lineRule="auto"/>
        <w:jc w:val="both"/>
        <w:rPr>
          <w:rFonts w:hint="eastAsia" w:ascii="方正仿宋_GBK" w:hAnsi="方正仿宋_GBK" w:eastAsia="方正仿宋_GBK" w:cs="方正仿宋_GBK"/>
          <w:b/>
          <w:bCs/>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color w:val="auto"/>
          <w:sz w:val="32"/>
          <w:szCs w:val="32"/>
          <w:highlight w:val="none"/>
          <w:lang w:val="en-US" w:eastAsia="zh-CN"/>
        </w:rPr>
      </w:pPr>
      <w:r>
        <w:rPr>
          <w:rFonts w:hint="eastAsia" w:ascii="方正楷体_GBK" w:hAnsi="方正楷体_GBK" w:eastAsia="方正楷体_GBK" w:cs="方正楷体_GBK"/>
          <w:b w:val="0"/>
          <w:bCs w:val="0"/>
          <w:color w:val="auto"/>
          <w:sz w:val="32"/>
          <w:szCs w:val="32"/>
          <w:highlight w:val="none"/>
          <w:lang w:val="en-US" w:eastAsia="zh-CN"/>
        </w:rPr>
        <w:t>一、维保项目概述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项目名称：</w:t>
      </w:r>
      <w:r>
        <w:rPr>
          <w:rFonts w:hint="eastAsia" w:ascii="方正仿宋_GBK" w:hAnsi="方正仿宋_GBK" w:eastAsia="方正仿宋_GBK" w:cs="方正仿宋_GBK"/>
          <w:color w:val="auto"/>
          <w:sz w:val="32"/>
          <w:szCs w:val="32"/>
          <w:highlight w:val="none"/>
          <w:u w:val="single"/>
          <w:lang w:val="en-US" w:eastAsia="zh-CN"/>
        </w:rPr>
        <w:t>重庆理工职业学院中央空调设备系统维护保养项目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项目地址：</w:t>
      </w:r>
      <w:r>
        <w:rPr>
          <w:rFonts w:hint="eastAsia" w:ascii="方正仿宋_GBK" w:hAnsi="方正仿宋_GBK" w:eastAsia="方正仿宋_GBK" w:cs="方正仿宋_GBK"/>
          <w:color w:val="auto"/>
          <w:sz w:val="32"/>
          <w:szCs w:val="32"/>
          <w:highlight w:val="none"/>
          <w:u w:val="single"/>
          <w:lang w:val="en-US" w:eastAsia="zh-CN"/>
        </w:rPr>
        <w:t>重庆市巴南区界石镇东城大道588号重庆理工职业学院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维保范围：行政楼和国际楼内所有空调设备，包括但不限于水冷螺杆冷水机组、暗装卧式风机盘管、冷却塔、冷却（冷冻）供回水泵、冷水管路及阀门系统、热水锅炉、压力容器、水处理机组等，具体设备规格型号及数量见合同附件《重庆理工职业学院中央空调设备系统维护保养项目服务需求》中设备保养清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color w:val="auto"/>
          <w:sz w:val="32"/>
          <w:szCs w:val="32"/>
          <w:highlight w:val="none"/>
          <w:lang w:val="en-US" w:eastAsia="zh-CN"/>
        </w:rPr>
      </w:pPr>
      <w:r>
        <w:rPr>
          <w:rFonts w:hint="eastAsia" w:ascii="方正楷体_GBK" w:hAnsi="方正楷体_GBK" w:eastAsia="方正楷体_GBK" w:cs="方正楷体_GBK"/>
          <w:b w:val="0"/>
          <w:bCs w:val="0"/>
          <w:color w:val="auto"/>
          <w:sz w:val="32"/>
          <w:szCs w:val="32"/>
          <w:highlight w:val="none"/>
          <w:lang w:val="en-US" w:eastAsia="zh-CN"/>
        </w:rPr>
        <w:t>二、维保期限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本合同维保期限自</w:t>
      </w:r>
      <w:r>
        <w:rPr>
          <w:rFonts w:hint="eastAsia" w:ascii="方正仿宋_GBK" w:hAnsi="方正仿宋_GBK" w:eastAsia="方正仿宋_GBK" w:cs="方正仿宋_GBK"/>
          <w:color w:val="auto"/>
          <w:sz w:val="32"/>
          <w:szCs w:val="32"/>
          <w:highlight w:val="none"/>
          <w:u w:val="single"/>
          <w:lang w:val="en-US" w:eastAsia="zh-CN"/>
        </w:rPr>
        <w:t xml:space="preserve">     年    月    日</w:t>
      </w:r>
      <w:r>
        <w:rPr>
          <w:rFonts w:hint="eastAsia" w:ascii="方正仿宋_GBK" w:hAnsi="方正仿宋_GBK" w:eastAsia="方正仿宋_GBK" w:cs="方正仿宋_GBK"/>
          <w:color w:val="auto"/>
          <w:sz w:val="32"/>
          <w:szCs w:val="32"/>
          <w:highlight w:val="none"/>
          <w:lang w:val="en-US" w:eastAsia="zh-CN"/>
        </w:rPr>
        <w:t>[起始日期]起至</w:t>
      </w:r>
      <w:r>
        <w:rPr>
          <w:rFonts w:hint="eastAsia" w:ascii="方正仿宋_GBK" w:hAnsi="方正仿宋_GBK" w:eastAsia="方正仿宋_GBK" w:cs="方正仿宋_GBK"/>
          <w:color w:val="auto"/>
          <w:sz w:val="32"/>
          <w:szCs w:val="32"/>
          <w:highlight w:val="none"/>
          <w:u w:val="single"/>
          <w:lang w:val="en-US" w:eastAsia="zh-CN"/>
        </w:rPr>
        <w:t xml:space="preserve">     年    月    日</w:t>
      </w:r>
      <w:r>
        <w:rPr>
          <w:rFonts w:hint="eastAsia" w:ascii="方正仿宋_GBK" w:hAnsi="方正仿宋_GBK" w:eastAsia="方正仿宋_GBK" w:cs="方正仿宋_GBK"/>
          <w:color w:val="auto"/>
          <w:sz w:val="32"/>
          <w:szCs w:val="32"/>
          <w:highlight w:val="none"/>
          <w:lang w:val="en-US" w:eastAsia="zh-CN"/>
        </w:rPr>
        <w:t>[结束日期]止。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color w:val="auto"/>
          <w:sz w:val="32"/>
          <w:szCs w:val="32"/>
          <w:highlight w:val="none"/>
          <w:lang w:val="en-US" w:eastAsia="zh-CN"/>
        </w:rPr>
      </w:pPr>
      <w:r>
        <w:rPr>
          <w:rFonts w:hint="eastAsia" w:ascii="方正楷体_GBK" w:hAnsi="方正楷体_GBK" w:eastAsia="方正楷体_GBK" w:cs="方正楷体_GBK"/>
          <w:b w:val="0"/>
          <w:bCs w:val="0"/>
          <w:color w:val="auto"/>
          <w:sz w:val="32"/>
          <w:szCs w:val="32"/>
          <w:highlight w:val="none"/>
          <w:lang w:val="en-US" w:eastAsia="zh-CN"/>
        </w:rPr>
        <w:t>三、费用及支付方式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3.1服务费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3.1.1本合同总维保服务费（含税）为人民币</w:t>
      </w:r>
      <w:r>
        <w:rPr>
          <w:rFonts w:hint="eastAsia" w:ascii="方正仿宋_GBK" w:hAnsi="方正仿宋_GBK" w:eastAsia="方正仿宋_GBK" w:cs="方正仿宋_GBK"/>
          <w:color w:val="auto"/>
          <w:sz w:val="32"/>
          <w:szCs w:val="32"/>
          <w:highlight w:val="none"/>
          <w:u w:val="single"/>
          <w:lang w:val="en-US" w:eastAsia="zh-CN"/>
        </w:rPr>
        <w:t xml:space="preserve">           元</w:t>
      </w:r>
      <w:r>
        <w:rPr>
          <w:rFonts w:hint="eastAsia" w:ascii="方正仿宋_GBK" w:hAnsi="方正仿宋_GBK" w:eastAsia="方正仿宋_GBK" w:cs="方正仿宋_GBK"/>
          <w:color w:val="auto"/>
          <w:sz w:val="32"/>
          <w:szCs w:val="32"/>
          <w:highlight w:val="none"/>
          <w:lang w:val="en-US" w:eastAsia="zh-CN"/>
        </w:rPr>
        <w:t>（大写：</w:t>
      </w:r>
      <w:r>
        <w:rPr>
          <w:rFonts w:hint="eastAsia" w:ascii="方正仿宋_GBK" w:hAnsi="方正仿宋_GBK" w:eastAsia="方正仿宋_GBK" w:cs="方正仿宋_GBK"/>
          <w:color w:val="auto"/>
          <w:sz w:val="32"/>
          <w:szCs w:val="32"/>
          <w:highlight w:val="none"/>
          <w:u w:val="single"/>
          <w:lang w:val="en-US" w:eastAsia="zh-CN"/>
        </w:rPr>
        <w:t xml:space="preserve">            </w:t>
      </w:r>
      <w:r>
        <w:rPr>
          <w:rFonts w:hint="eastAsia" w:ascii="方正仿宋_GBK" w:hAnsi="方正仿宋_GBK" w:eastAsia="方正仿宋_GBK" w:cs="方正仿宋_GBK"/>
          <w:color w:val="auto"/>
          <w:sz w:val="32"/>
          <w:szCs w:val="32"/>
          <w:highlight w:val="none"/>
          <w:lang w:val="en-US" w:eastAsia="zh-CN"/>
        </w:rPr>
        <w:t>）。费用包含但不限于设备维修保养费、材料费、人工费、运输费、水质检测费、安全阀送检费等乙方履行本合同所需的全部费用。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3.1.2除本合同另有约定之外，甲方无需再向乙方支付任何其他费用。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3.2支付方式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3.2.1乙方每季度维保结束后</w:t>
      </w:r>
      <w:r>
        <w:rPr>
          <w:rFonts w:hint="eastAsia" w:ascii="方正仿宋_GBK" w:hAnsi="方正仿宋_GBK" w:eastAsia="方正仿宋_GBK" w:cs="方正仿宋_GBK"/>
          <w:color w:val="auto"/>
          <w:sz w:val="32"/>
          <w:szCs w:val="32"/>
          <w:highlight w:val="none"/>
          <w:u w:val="single"/>
          <w:lang w:val="en-US" w:eastAsia="zh-CN"/>
        </w:rPr>
        <w:t xml:space="preserve"> 7 </w:t>
      </w:r>
      <w:r>
        <w:rPr>
          <w:rFonts w:hint="eastAsia" w:ascii="方正仿宋_GBK" w:hAnsi="方正仿宋_GBK" w:eastAsia="方正仿宋_GBK" w:cs="方正仿宋_GBK"/>
          <w:color w:val="auto"/>
          <w:sz w:val="32"/>
          <w:szCs w:val="32"/>
          <w:highlight w:val="none"/>
          <w:lang w:val="en-US" w:eastAsia="zh-CN"/>
        </w:rPr>
        <w:t>个工作日内向甲方提交季度维保项目清单、外包服务项目验收评价表（见本合同附件二）、维护保养报告及支付申请等甲方需要的相关佐证资料。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3.2.2甲方对乙方提交的维保项目清单、支付申请、外包服务项目验收评价表等佐证材料进行审核，甲方按照乙方上季度实际维保项目内容支付相应费用。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3.2.3支付金额确定后，乙方需向甲方提供普通增值税发票后甲方进行支付，遇国家税收政策调整，结算时按新税率执行。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color w:val="auto"/>
          <w:sz w:val="32"/>
          <w:szCs w:val="32"/>
          <w:highlight w:val="none"/>
          <w:lang w:val="en-US" w:eastAsia="zh-CN"/>
        </w:rPr>
      </w:pPr>
      <w:r>
        <w:rPr>
          <w:rFonts w:hint="eastAsia" w:ascii="方正楷体_GBK" w:hAnsi="方正楷体_GBK" w:eastAsia="方正楷体_GBK" w:cs="方正楷体_GBK"/>
          <w:color w:val="auto"/>
          <w:sz w:val="32"/>
          <w:szCs w:val="32"/>
          <w:highlight w:val="none"/>
          <w:lang w:val="en-US" w:eastAsia="zh-CN"/>
        </w:rPr>
        <w:t>四、维保服务要求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4.1乙方须遵守职业道德，按中央空调厂方技术标准每月对甲方中央空调进行巡查维护，确保空调机组正常运行、末端设备制冷及供暖效果良好。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4.2乙方应结合本项目特征制定详细的空调维保方案和应急预案，经甲方审核同意后实施。按照维保方案进行维保，并出具相应的《维护保养评估报告》；突发情况时，严格按照应急预案执行。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4.3乙方每月对空调机组进行一次定期巡查，包括配电箱电源线路、各项保护单元、大型机组油路、冷媒系统等；每年度两次（春、秋季节转换期间）对全部末端设备进行清洗及进出风口维护。在甲方有重要会议、活动时，乙方应全力配合。若因维保不及时造成停机或投诉，每次扣除维保费</w:t>
      </w:r>
      <w:r>
        <w:rPr>
          <w:rFonts w:hint="eastAsia" w:ascii="方正仿宋_GBK" w:hAnsi="方正仿宋_GBK" w:eastAsia="方正仿宋_GBK" w:cs="方正仿宋_GBK"/>
          <w:color w:val="auto"/>
          <w:sz w:val="32"/>
          <w:szCs w:val="32"/>
          <w:highlight w:val="none"/>
          <w:u w:val="single"/>
          <w:lang w:val="en-US" w:eastAsia="zh-CN"/>
        </w:rPr>
        <w:t xml:space="preserve"> 1000 </w:t>
      </w:r>
      <w:r>
        <w:rPr>
          <w:rFonts w:hint="eastAsia" w:ascii="方正仿宋_GBK" w:hAnsi="方正仿宋_GBK" w:eastAsia="方正仿宋_GBK" w:cs="方正仿宋_GBK"/>
          <w:color w:val="auto"/>
          <w:sz w:val="32"/>
          <w:szCs w:val="32"/>
          <w:highlight w:val="none"/>
          <w:lang w:val="en-US" w:eastAsia="zh-CN"/>
        </w:rPr>
        <w:t>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4.4乙方应及时处理与空调相关的各种故障、换件、漏水问题，严格按照双方确认的维修节点规定时间完成修复。如因乙方维修不及时或维修水平不足导致二次维修造成损失的，由乙方负责赔偿。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4.5乙方在项目现场驻场维修人员不得少于两人，夏季高峰维修时段应根据实际情况增加维修人员，确保按正常维修完工节点执行。若接到故障报修电话未处理或处理不及时被甲方投诉的，每次扣除维保费</w:t>
      </w:r>
      <w:r>
        <w:rPr>
          <w:rFonts w:hint="eastAsia" w:ascii="方正仿宋_GBK" w:hAnsi="方正仿宋_GBK" w:eastAsia="方正仿宋_GBK" w:cs="方正仿宋_GBK"/>
          <w:color w:val="auto"/>
          <w:sz w:val="32"/>
          <w:szCs w:val="32"/>
          <w:highlight w:val="none"/>
          <w:u w:val="single"/>
          <w:lang w:val="en-US" w:eastAsia="zh-CN"/>
        </w:rPr>
        <w:t xml:space="preserve"> 1000 </w:t>
      </w:r>
      <w:r>
        <w:rPr>
          <w:rFonts w:hint="eastAsia" w:ascii="方正仿宋_GBK" w:hAnsi="方正仿宋_GBK" w:eastAsia="方正仿宋_GBK" w:cs="方正仿宋_GBK"/>
          <w:color w:val="auto"/>
          <w:sz w:val="32"/>
          <w:szCs w:val="32"/>
          <w:highlight w:val="none"/>
          <w:lang w:val="en-US" w:eastAsia="zh-CN"/>
        </w:rPr>
        <w:t>元；若发生</w:t>
      </w:r>
      <w:r>
        <w:rPr>
          <w:rFonts w:hint="eastAsia" w:ascii="方正仿宋_GBK" w:hAnsi="方正仿宋_GBK" w:eastAsia="方正仿宋_GBK" w:cs="方正仿宋_GBK"/>
          <w:color w:val="auto"/>
          <w:sz w:val="32"/>
          <w:szCs w:val="32"/>
          <w:highlight w:val="none"/>
          <w:u w:val="single"/>
          <w:lang w:val="en-US" w:eastAsia="zh-CN"/>
        </w:rPr>
        <w:t xml:space="preserve"> 3 </w:t>
      </w:r>
      <w:r>
        <w:rPr>
          <w:rFonts w:hint="eastAsia" w:ascii="方正仿宋_GBK" w:hAnsi="方正仿宋_GBK" w:eastAsia="方正仿宋_GBK" w:cs="方正仿宋_GBK"/>
          <w:color w:val="auto"/>
          <w:sz w:val="32"/>
          <w:szCs w:val="32"/>
          <w:highlight w:val="none"/>
          <w:lang w:val="en-US" w:eastAsia="zh-CN"/>
        </w:rPr>
        <w:t>次，除扣除服务费外，甲方有权终止合同，由此产生的一切后果由乙方承担。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4.6</w:t>
      </w:r>
      <w:r>
        <w:rPr>
          <w:rFonts w:hint="default" w:ascii="Times New Roman" w:hAnsi="Times New Roman" w:eastAsia="方正仿宋_GBK" w:cs="Times New Roman"/>
          <w:color w:val="auto"/>
          <w:sz w:val="32"/>
          <w:szCs w:val="32"/>
          <w:highlight w:val="none"/>
          <w:lang w:val="en-US" w:eastAsia="zh-CN"/>
        </w:rPr>
        <w:t>合同期内发生维修</w:t>
      </w:r>
      <w:r>
        <w:rPr>
          <w:rFonts w:hint="eastAsia" w:ascii="方正仿宋_GBK" w:hAnsi="方正仿宋_GBK" w:eastAsia="方正仿宋_GBK" w:cs="方正仿宋_GBK"/>
          <w:color w:val="auto"/>
          <w:sz w:val="32"/>
          <w:szCs w:val="32"/>
          <w:highlight w:val="none"/>
          <w:lang w:val="en-US" w:eastAsia="zh-CN"/>
        </w:rPr>
        <w:t>（合同约定保养范围之外）</w:t>
      </w:r>
      <w:r>
        <w:rPr>
          <w:rFonts w:hint="default" w:ascii="Times New Roman" w:hAnsi="Times New Roman" w:eastAsia="方正仿宋_GBK" w:cs="Times New Roman"/>
          <w:color w:val="auto"/>
          <w:sz w:val="32"/>
          <w:szCs w:val="32"/>
          <w:highlight w:val="none"/>
          <w:lang w:val="en-US" w:eastAsia="zh-CN"/>
        </w:rPr>
        <w:t>涉及配件更换的</w:t>
      </w:r>
      <w:r>
        <w:rPr>
          <w:rFonts w:hint="eastAsia" w:ascii="方正仿宋_GBK" w:hAnsi="方正仿宋_GBK" w:eastAsia="方正仿宋_GBK" w:cs="方正仿宋_GBK"/>
          <w:color w:val="auto"/>
          <w:sz w:val="32"/>
          <w:szCs w:val="32"/>
          <w:highlight w:val="none"/>
          <w:lang w:val="en-US" w:eastAsia="zh-CN"/>
        </w:rPr>
        <w:t>，乙方应及时提交申请更换报告并向甲方提交配件采购清单及具体参数，由甲方决定自购或委托乙方购买，乙方免费负责更换。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auto"/>
          <w:sz w:val="32"/>
          <w:szCs w:val="32"/>
          <w:highlight w:val="none"/>
          <w:lang w:val="en-US" w:eastAsia="zh-CN"/>
        </w:rPr>
      </w:pPr>
      <w:r>
        <w:rPr>
          <w:rFonts w:hint="default" w:ascii="方正仿宋_GBK" w:hAnsi="方正仿宋_GBK" w:eastAsia="方正仿宋_GBK" w:cs="方正仿宋_GBK"/>
          <w:color w:val="auto"/>
          <w:sz w:val="32"/>
          <w:szCs w:val="32"/>
          <w:highlight w:val="none"/>
          <w:lang w:val="en-US" w:eastAsia="zh-CN"/>
        </w:rPr>
        <w:t>4.7</w:t>
      </w:r>
      <w:r>
        <w:rPr>
          <w:rFonts w:hint="default" w:ascii="Times New Roman" w:hAnsi="Times New Roman" w:eastAsia="方正仿宋_GBK" w:cs="Times New Roman"/>
          <w:color w:val="auto"/>
          <w:sz w:val="32"/>
          <w:szCs w:val="32"/>
          <w:highlight w:val="none"/>
          <w:lang w:val="en-US" w:eastAsia="zh-CN"/>
        </w:rPr>
        <w:t>维修的及时和效率性参照制定的空调维保方案和应急预案。做到及时效率完成，常规配件随时备用在库房，做到及时响应的同时也能在规定的时间内完成修复正常使用。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color w:val="auto"/>
          <w:sz w:val="32"/>
          <w:szCs w:val="32"/>
          <w:highlight w:val="none"/>
          <w:lang w:val="en-US" w:eastAsia="zh-CN"/>
        </w:rPr>
      </w:pPr>
      <w:r>
        <w:rPr>
          <w:rFonts w:hint="eastAsia" w:ascii="方正楷体_GBK" w:hAnsi="方正楷体_GBK" w:eastAsia="方正楷体_GBK" w:cs="方正楷体_GBK"/>
          <w:b w:val="0"/>
          <w:bCs w:val="0"/>
          <w:color w:val="auto"/>
          <w:sz w:val="32"/>
          <w:szCs w:val="32"/>
          <w:highlight w:val="none"/>
          <w:lang w:val="en-US" w:eastAsia="zh-CN"/>
        </w:rPr>
        <w:t>五、维保内容及技术要求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见附件《重庆理工职业学院中央空调设备系统维护保养项目服务需求》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color w:val="auto"/>
          <w:sz w:val="32"/>
          <w:szCs w:val="32"/>
          <w:highlight w:val="none"/>
          <w:lang w:val="en-US" w:eastAsia="zh-CN"/>
        </w:rPr>
      </w:pPr>
      <w:r>
        <w:rPr>
          <w:rFonts w:hint="eastAsia" w:ascii="方正楷体_GBK" w:hAnsi="方正楷体_GBK" w:eastAsia="方正楷体_GBK" w:cs="方正楷体_GBK"/>
          <w:b w:val="0"/>
          <w:bCs w:val="0"/>
          <w:color w:val="auto"/>
          <w:sz w:val="32"/>
          <w:szCs w:val="32"/>
          <w:highlight w:val="none"/>
          <w:lang w:val="en-US" w:eastAsia="zh-CN"/>
        </w:rPr>
        <w:t>六、项目人员要求</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6.1提供的维护人员需具备由国家应急管理局颁发的且在有效期内的高处作业证、焊接与热切割作业证、制冷与空调设备安装修理作业证、低压电工证等。</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6.2进场维护人员必须为本合同乙方单位专职人员，且提供维护人员在本单位的近三个月（2025年一季度）社保证明。</w:t>
      </w:r>
    </w:p>
    <w:p>
      <w:pPr>
        <w:pStyle w:val="7"/>
        <w:pageBreakBefore w:val="0"/>
        <w:kinsoku/>
        <w:wordWrap/>
        <w:overflowPunct/>
        <w:topLinePunct w:val="0"/>
        <w:autoSpaceDE/>
        <w:autoSpaceDN/>
        <w:bidi w:val="0"/>
        <w:spacing w:line="560" w:lineRule="exact"/>
        <w:textAlignment w:val="auto"/>
        <w:rPr>
          <w:rFonts w:hint="default" w:ascii="Times New Roman" w:hAnsi="Times New Roman" w:eastAsia="方正仿宋_GBK" w:cs="Times New Roman"/>
          <w:color w:val="auto"/>
          <w:kern w:val="2"/>
          <w:sz w:val="32"/>
          <w:szCs w:val="32"/>
          <w:highlight w:val="none"/>
          <w:lang w:val="en-US" w:eastAsia="zh-CN" w:bidi="ar-SA"/>
        </w:rPr>
        <w:sectPr>
          <w:headerReference r:id="rId20" w:type="default"/>
          <w:footerReference r:id="rId21" w:type="default"/>
          <w:pgSz w:w="11906" w:h="16838"/>
          <w:pgMar w:top="0" w:right="1134" w:bottom="0" w:left="1134" w:header="851" w:footer="992" w:gutter="0"/>
          <w:pgNumType w:fmt="decimal"/>
          <w:cols w:space="425" w:num="1"/>
          <w:docGrid w:type="lines" w:linePitch="312" w:charSpace="0"/>
        </w:sectPr>
      </w:pPr>
      <w:r>
        <w:rPr>
          <w:rFonts w:hint="default" w:ascii="Times New Roman" w:hAnsi="Times New Roman" w:eastAsia="方正仿宋_GBK" w:cs="Times New Roman"/>
          <w:color w:val="auto"/>
          <w:kern w:val="2"/>
          <w:sz w:val="32"/>
          <w:szCs w:val="32"/>
          <w:highlight w:val="none"/>
          <w:lang w:val="en-US" w:eastAsia="zh-CN" w:bidi="ar-SA"/>
        </w:rPr>
        <w:t>（提供证书</w:t>
      </w:r>
      <w:r>
        <w:rPr>
          <w:rFonts w:hint="eastAsia" w:ascii="Times New Roman" w:hAnsi="Times New Roman" w:eastAsia="方正仿宋_GBK" w:cs="Times New Roman"/>
          <w:color w:val="auto"/>
          <w:kern w:val="2"/>
          <w:sz w:val="32"/>
          <w:szCs w:val="32"/>
          <w:highlight w:val="none"/>
          <w:lang w:val="en-US" w:eastAsia="zh-CN" w:bidi="ar-SA"/>
        </w:rPr>
        <w:t>复印件及社保缴纳证明</w:t>
      </w:r>
      <w:r>
        <w:rPr>
          <w:rFonts w:hint="default" w:ascii="Times New Roman" w:hAnsi="Times New Roman" w:eastAsia="方正仿宋_GBK" w:cs="Times New Roman"/>
          <w:color w:val="auto"/>
          <w:kern w:val="2"/>
          <w:sz w:val="32"/>
          <w:szCs w:val="32"/>
          <w:highlight w:val="none"/>
          <w:lang w:val="en-US" w:eastAsia="zh-CN" w:bidi="ar-SA"/>
        </w:rPr>
        <w:t>复印件并加盖供应商公章，原件备查）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color w:val="auto"/>
          <w:sz w:val="32"/>
          <w:szCs w:val="32"/>
          <w:highlight w:val="none"/>
          <w:lang w:val="en-US" w:eastAsia="zh-CN"/>
        </w:rPr>
      </w:pPr>
      <w:r>
        <w:rPr>
          <w:rFonts w:hint="eastAsia" w:ascii="方正楷体_GBK" w:hAnsi="方正楷体_GBK" w:eastAsia="方正楷体_GBK" w:cs="方正楷体_GBK"/>
          <w:b w:val="0"/>
          <w:bCs w:val="0"/>
          <w:color w:val="auto"/>
          <w:sz w:val="32"/>
          <w:szCs w:val="32"/>
          <w:highlight w:val="none"/>
          <w:lang w:val="en-US" w:eastAsia="zh-CN"/>
        </w:rPr>
        <w:t>七、服务考核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7.1考核分数方式运用：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招标人每月对服务情况实施检查考核，考核采取百分制，总分为100分，每月底前招标人依据《外包服务项目验收评价表》对中标单位进行打分，当月考核评分在90分（含90分）以上，当月服务费用全额发放；评分在89分（含 89 分）-80分之间的按100元/分扣除当月服务费；评分在80分以下，按200元 /分扣除当月服务费，扣完为止；评分在75分以下，招标人提出整改，中标单位需无条件按要求整改，拒不整改或连续三个月月考核分数低于75分，招标人有权直接解除项目合同。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7.2外包服务项目验收评价表：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见附件《外包服务项目验收评价表》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color w:val="auto"/>
          <w:sz w:val="32"/>
          <w:szCs w:val="32"/>
          <w:highlight w:val="none"/>
          <w:lang w:val="en-US" w:eastAsia="zh-CN"/>
        </w:rPr>
      </w:pPr>
      <w:r>
        <w:rPr>
          <w:rFonts w:hint="eastAsia" w:ascii="方正楷体_GBK" w:hAnsi="方正楷体_GBK" w:eastAsia="方正楷体_GBK" w:cs="方正楷体_GBK"/>
          <w:b w:val="0"/>
          <w:bCs w:val="0"/>
          <w:color w:val="auto"/>
          <w:sz w:val="32"/>
          <w:szCs w:val="32"/>
          <w:highlight w:val="none"/>
          <w:lang w:val="en-US" w:eastAsia="zh-CN"/>
        </w:rPr>
        <w:t>八、工程安全责任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8.1乙方负责施工期间，合同工程内容中约定的工作范围内的安全措施以及由于乙方责任所产生的安全责任，乙方承担相关的费用。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color w:val="auto"/>
          <w:sz w:val="32"/>
          <w:szCs w:val="32"/>
          <w:highlight w:val="none"/>
          <w:lang w:val="en-US" w:eastAsia="zh-CN"/>
        </w:rPr>
      </w:pPr>
      <w:r>
        <w:rPr>
          <w:rFonts w:hint="eastAsia" w:ascii="方正楷体_GBK" w:hAnsi="方正楷体_GBK" w:eastAsia="方正楷体_GBK" w:cs="方正楷体_GBK"/>
          <w:b w:val="0"/>
          <w:bCs w:val="0"/>
          <w:color w:val="auto"/>
          <w:sz w:val="32"/>
          <w:szCs w:val="32"/>
          <w:highlight w:val="none"/>
          <w:lang w:val="en-US" w:eastAsia="zh-CN"/>
        </w:rPr>
        <w:t>九、违约责任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9.1因不可抗力及其他非合同双方能够控制的事由造成任何一方不能履行合同，不能履行方不承担违约责任，但应及时告知另一方，并积极配合解决问题；另一方依据客观情况协商继续履行或终止合同。迟延履行合同后发生不可抗力的，不能免除迟延履行的违约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9.2乙方未经许可将本工程转包给其他方的，甲方有权解除合同，并要求乙方承担合同价款20%的违约金。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9.3乙方违反本合同约定给甲方造成损失的，乙方应对实际发生的损失承担赔偿责任。该等损失包括但不限于甲方为维权所支付的诉讼费用、律师费用以及其他相关费用，亦包括因乙方的违约行为向任何合同外主体支付的违约金、赔偿金、补偿金、罚金、行政罚款等。上述费用甲方有权直接在待支付给乙方的款项(如有)中予以扣除，不足部分有权继续向乙方进行追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color w:val="auto"/>
          <w:sz w:val="32"/>
          <w:szCs w:val="32"/>
          <w:highlight w:val="none"/>
          <w:lang w:val="en-US" w:eastAsia="zh-CN"/>
        </w:rPr>
      </w:pPr>
      <w:r>
        <w:rPr>
          <w:rFonts w:hint="eastAsia" w:ascii="方正楷体_GBK" w:hAnsi="方正楷体_GBK" w:eastAsia="方正楷体_GBK" w:cs="方正楷体_GBK"/>
          <w:b w:val="0"/>
          <w:bCs w:val="0"/>
          <w:color w:val="auto"/>
          <w:sz w:val="32"/>
          <w:szCs w:val="32"/>
          <w:highlight w:val="none"/>
          <w:lang w:val="en-US" w:eastAsia="zh-CN"/>
        </w:rPr>
        <w:t>十、其它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10.1本合同未尽事项，按照《中华人民共和国民法典》及有关规定，双方本着实事求是、平等互利的原则协商解决，经协商一致后，双方可签订补充协议；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10.2在合同执行过程中发生争议，双方友好协商解决，协商不成，甲乙双方都具备通过法律解决纠纷的权利，双方均可向本工程所在地人民法院提起诉讼；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10.3本合同经双方签字盖章后生效，合同权利义务履行完毕后自动终止；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10.4乙方确认，本合同所列地址为其有效通讯地址，甲方以及法院以邮寄方式向该地址发出书面函件及诉讼文书的，自寄出后2日视为已送达，乙方拒绝签收的不影响送达效力。乙方联系地址发生变更，应提前7日书面通知甲方，否则视为没有变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10.5本合同一式</w:t>
      </w:r>
      <w:r>
        <w:rPr>
          <w:rFonts w:hint="eastAsia" w:ascii="方正仿宋_GBK" w:hAnsi="方正仿宋_GBK" w:eastAsia="方正仿宋_GBK" w:cs="方正仿宋_GBK"/>
          <w:color w:val="auto"/>
          <w:kern w:val="2"/>
          <w:sz w:val="32"/>
          <w:szCs w:val="32"/>
          <w:highlight w:val="none"/>
          <w:u w:val="single"/>
          <w:lang w:val="en-US" w:eastAsia="zh-CN" w:bidi="ar-SA"/>
        </w:rPr>
        <w:t xml:space="preserve">      </w:t>
      </w:r>
      <w:r>
        <w:rPr>
          <w:rFonts w:hint="eastAsia" w:ascii="方正仿宋_GBK" w:hAnsi="方正仿宋_GBK" w:eastAsia="方正仿宋_GBK" w:cs="方正仿宋_GBK"/>
          <w:color w:val="auto"/>
          <w:kern w:val="2"/>
          <w:sz w:val="32"/>
          <w:szCs w:val="32"/>
          <w:highlight w:val="none"/>
          <w:lang w:val="en-US" w:eastAsia="zh-CN" w:bidi="ar-SA"/>
        </w:rPr>
        <w:t>份，甲方执</w:t>
      </w:r>
      <w:r>
        <w:rPr>
          <w:rFonts w:hint="eastAsia" w:ascii="方正仿宋_GBK" w:hAnsi="方正仿宋_GBK" w:eastAsia="方正仿宋_GBK" w:cs="方正仿宋_GBK"/>
          <w:color w:val="auto"/>
          <w:kern w:val="2"/>
          <w:sz w:val="32"/>
          <w:szCs w:val="32"/>
          <w:highlight w:val="none"/>
          <w:u w:val="single"/>
          <w:lang w:val="en-US" w:eastAsia="zh-CN" w:bidi="ar-SA"/>
        </w:rPr>
        <w:t xml:space="preserve">      </w:t>
      </w:r>
      <w:r>
        <w:rPr>
          <w:rFonts w:hint="eastAsia" w:ascii="方正仿宋_GBK" w:hAnsi="方正仿宋_GBK" w:eastAsia="方正仿宋_GBK" w:cs="方正仿宋_GBK"/>
          <w:color w:val="auto"/>
          <w:kern w:val="2"/>
          <w:sz w:val="32"/>
          <w:szCs w:val="32"/>
          <w:highlight w:val="none"/>
          <w:lang w:val="en-US" w:eastAsia="zh-CN" w:bidi="ar-SA"/>
        </w:rPr>
        <w:t>份，乙方</w:t>
      </w:r>
      <w:r>
        <w:rPr>
          <w:rFonts w:hint="eastAsia" w:ascii="方正仿宋_GBK" w:hAnsi="方正仿宋_GBK" w:eastAsia="方正仿宋_GBK" w:cs="方正仿宋_GBK"/>
          <w:color w:val="auto"/>
          <w:kern w:val="2"/>
          <w:sz w:val="32"/>
          <w:szCs w:val="32"/>
          <w:highlight w:val="none"/>
          <w:u w:val="single"/>
          <w:lang w:val="en-US" w:eastAsia="zh-CN" w:bidi="ar-SA"/>
        </w:rPr>
        <w:t xml:space="preserve">      </w:t>
      </w:r>
      <w:r>
        <w:rPr>
          <w:rFonts w:hint="eastAsia" w:ascii="方正仿宋_GBK" w:hAnsi="方正仿宋_GBK" w:eastAsia="方正仿宋_GBK" w:cs="方正仿宋_GBK"/>
          <w:color w:val="auto"/>
          <w:kern w:val="2"/>
          <w:sz w:val="32"/>
          <w:szCs w:val="32"/>
          <w:highlight w:val="none"/>
          <w:lang w:val="en-US" w:eastAsia="zh-CN" w:bidi="ar-SA"/>
        </w:rPr>
        <w:t>份，均具有同等的法律效力。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color w:val="auto"/>
          <w:sz w:val="32"/>
          <w:szCs w:val="32"/>
          <w:highlight w:val="none"/>
          <w:lang w:val="en-US" w:eastAsia="zh-CN"/>
        </w:rPr>
      </w:pPr>
      <w:r>
        <w:rPr>
          <w:rFonts w:hint="eastAsia" w:ascii="方正楷体_GBK" w:hAnsi="方正楷体_GBK" w:eastAsia="方正楷体_GBK" w:cs="方正楷体_GBK"/>
          <w:b w:val="0"/>
          <w:bCs w:val="0"/>
          <w:color w:val="auto"/>
          <w:sz w:val="32"/>
          <w:szCs w:val="32"/>
          <w:highlight w:val="none"/>
          <w:lang w:val="en-US" w:eastAsia="zh-CN"/>
        </w:rPr>
        <w:t>十一、本合同附件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附件一：《重庆理工职业学院中央空调设备系统维护保养项目服务需求》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附件二：《外包服务项目验收评价表》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-----------------以下无正文-----------------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kern w:val="2"/>
          <w:sz w:val="32"/>
          <w:szCs w:val="32"/>
          <w:highlight w:val="none"/>
          <w:lang w:val="en-US" w:eastAsia="zh-CN" w:bidi="ar-SA"/>
        </w:rPr>
        <w:sectPr>
          <w:pgSz w:w="11906" w:h="16838"/>
          <w:pgMar w:top="1984" w:right="1474" w:bottom="1417" w:left="1587"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-----------本页为签署页，无正文-----------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甲方（盖章）：</w:t>
      </w:r>
      <w:r>
        <w:rPr>
          <w:rFonts w:hint="eastAsia" w:ascii="方正仿宋_GBK" w:hAnsi="方正仿宋_GBK" w:eastAsia="方正仿宋_GBK" w:cs="方正仿宋_GBK"/>
          <w:color w:val="auto"/>
          <w:kern w:val="2"/>
          <w:sz w:val="32"/>
          <w:szCs w:val="32"/>
          <w:highlight w:val="none"/>
          <w:lang w:val="en-US" w:eastAsia="zh-CN" w:bidi="ar-SA"/>
        </w:rPr>
        <w:br w:type="textWrapping"/>
      </w:r>
      <w:r>
        <w:rPr>
          <w:rFonts w:hint="eastAsia" w:ascii="方正仿宋_GBK" w:hAnsi="方正仿宋_GBK" w:eastAsia="方正仿宋_GBK" w:cs="方正仿宋_GBK"/>
          <w:color w:val="auto"/>
          <w:kern w:val="2"/>
          <w:sz w:val="32"/>
          <w:szCs w:val="32"/>
          <w:highlight w:val="none"/>
          <w:lang w:val="en-US" w:eastAsia="zh-CN" w:bidi="ar-SA"/>
        </w:rPr>
        <w:t>法定（授权）代表人（签字）：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纳税人识别号：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开户行：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账户名称：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账号：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注册地址：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电话：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签订日期：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乙方（盖章）：</w:t>
      </w:r>
      <w:r>
        <w:rPr>
          <w:rFonts w:hint="eastAsia" w:ascii="方正仿宋_GBK" w:hAnsi="方正仿宋_GBK" w:eastAsia="方正仿宋_GBK" w:cs="方正仿宋_GBK"/>
          <w:color w:val="auto"/>
          <w:kern w:val="2"/>
          <w:sz w:val="32"/>
          <w:szCs w:val="32"/>
          <w:highlight w:val="none"/>
          <w:lang w:val="en-US" w:eastAsia="zh-CN" w:bidi="ar-SA"/>
        </w:rPr>
        <w:br w:type="textWrapping"/>
      </w:r>
      <w:r>
        <w:rPr>
          <w:rFonts w:hint="eastAsia" w:ascii="方正仿宋_GBK" w:hAnsi="方正仿宋_GBK" w:eastAsia="方正仿宋_GBK" w:cs="方正仿宋_GBK"/>
          <w:color w:val="auto"/>
          <w:kern w:val="2"/>
          <w:sz w:val="32"/>
          <w:szCs w:val="32"/>
          <w:highlight w:val="none"/>
          <w:lang w:val="en-US" w:eastAsia="zh-CN" w:bidi="ar-SA"/>
        </w:rPr>
        <w:t>法定（授权）代表人（签字）：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纳税人识别号：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开户行：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账户名称：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账号：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注册地址：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电话：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color w:val="auto"/>
          <w:kern w:val="2"/>
          <w:sz w:val="32"/>
          <w:szCs w:val="32"/>
          <w:highlight w:val="none"/>
          <w:lang w:val="en-US" w:eastAsia="zh-CN" w:bidi="ar-SA"/>
        </w:rPr>
        <w:t>签订日期：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p>
    <w:p>
      <w:pPr>
        <w:pStyle w:val="7"/>
        <w:spacing w:line="256" w:lineRule="auto"/>
        <w:rPr>
          <w:color w:val="auto"/>
          <w:highlight w:val="none"/>
        </w:rPr>
      </w:pPr>
    </w:p>
    <w:p>
      <w:pPr>
        <w:rPr>
          <w:color w:val="auto"/>
          <w:highlight w:val="none"/>
        </w:rPr>
      </w:pPr>
    </w:p>
    <w:p>
      <w:pPr>
        <w:rPr>
          <w:color w:val="auto"/>
          <w:highlight w:val="none"/>
        </w:rPr>
      </w:pPr>
    </w:p>
    <w:p>
      <w:pPr>
        <w:keepNext/>
        <w:keepLines/>
        <w:pageBreakBefore w:val="0"/>
        <w:widowControl w:val="0"/>
        <w:kinsoku/>
        <w:wordWrap/>
        <w:overflowPunct/>
        <w:topLinePunct w:val="0"/>
        <w:autoSpaceDE/>
        <w:autoSpaceDN/>
        <w:bidi w:val="0"/>
        <w:adjustRightInd w:val="0"/>
        <w:snapToGrid w:val="0"/>
        <w:spacing w:before="313" w:beforeLines="100" w:after="313" w:afterLines="100" w:line="560" w:lineRule="exact"/>
        <w:ind w:firstLine="0" w:firstLineChars="0"/>
        <w:jc w:val="left"/>
        <w:textAlignment w:val="auto"/>
        <w:outlineLvl w:val="9"/>
        <w:rPr>
          <w:rFonts w:hint="eastAsia" w:eastAsia="宋体"/>
          <w:b/>
          <w:bCs/>
          <w:color w:val="auto"/>
          <w:highlight w:val="none"/>
          <w:lang w:val="en-US" w:eastAsia="zh-CN"/>
        </w:rPr>
      </w:pPr>
      <w:r>
        <w:rPr>
          <w:rFonts w:hint="eastAsia" w:eastAsia="宋体"/>
          <w:b/>
          <w:bCs/>
          <w:color w:val="auto"/>
          <w:highlight w:val="none"/>
          <w:lang w:val="en-US" w:eastAsia="zh-CN"/>
        </w:rPr>
        <w:t>附件一</w:t>
      </w:r>
    </w:p>
    <w:p>
      <w:pPr>
        <w:keepNext/>
        <w:keepLines/>
        <w:pageBreakBefore w:val="0"/>
        <w:widowControl w:val="0"/>
        <w:kinsoku/>
        <w:wordWrap/>
        <w:overflowPunct/>
        <w:topLinePunct w:val="0"/>
        <w:autoSpaceDE/>
        <w:autoSpaceDN/>
        <w:bidi w:val="0"/>
        <w:adjustRightInd w:val="0"/>
        <w:snapToGrid w:val="0"/>
        <w:spacing w:before="313" w:beforeLines="100" w:after="313" w:afterLines="100" w:line="560" w:lineRule="exact"/>
        <w:ind w:firstLine="0" w:firstLineChars="0"/>
        <w:jc w:val="center"/>
        <w:textAlignment w:val="auto"/>
        <w:outlineLvl w:val="9"/>
        <w:rPr>
          <w:rFonts w:hint="eastAsia" w:ascii="方正小标宋_GBK" w:hAnsi="方正小标宋_GBK" w:eastAsia="方正小标宋_GBK" w:cs="方正小标宋_GBK"/>
          <w:b/>
          <w:bCs/>
          <w:color w:val="auto"/>
          <w:sz w:val="44"/>
          <w:szCs w:val="44"/>
          <w:highlight w:val="none"/>
          <w:lang w:val="en-US" w:eastAsia="zh-CN"/>
        </w:rPr>
      </w:pPr>
      <w:r>
        <w:rPr>
          <w:rFonts w:hint="eastAsia" w:ascii="方正小标宋_GBK" w:hAnsi="方正小标宋_GBK" w:eastAsia="方正小标宋_GBK" w:cs="方正小标宋_GBK"/>
          <w:b/>
          <w:bCs/>
          <w:color w:val="auto"/>
          <w:sz w:val="44"/>
          <w:szCs w:val="44"/>
          <w:highlight w:val="none"/>
          <w:lang w:val="en-US" w:eastAsia="zh-CN"/>
        </w:rPr>
        <w:t>重庆理工职业学院</w:t>
      </w:r>
    </w:p>
    <w:p>
      <w:pPr>
        <w:keepNext/>
        <w:keepLines/>
        <w:pageBreakBefore w:val="0"/>
        <w:widowControl w:val="0"/>
        <w:kinsoku/>
        <w:wordWrap/>
        <w:overflowPunct/>
        <w:topLinePunct w:val="0"/>
        <w:autoSpaceDE/>
        <w:autoSpaceDN/>
        <w:bidi w:val="0"/>
        <w:adjustRightInd w:val="0"/>
        <w:snapToGrid w:val="0"/>
        <w:spacing w:before="313" w:beforeLines="100" w:after="313" w:afterLines="100" w:line="560" w:lineRule="exact"/>
        <w:ind w:firstLine="0" w:firstLineChars="0"/>
        <w:jc w:val="center"/>
        <w:textAlignment w:val="auto"/>
        <w:outlineLvl w:val="9"/>
        <w:rPr>
          <w:rFonts w:hint="eastAsia" w:ascii="方正小标宋_GBK" w:hAnsi="方正小标宋_GBK" w:eastAsia="方正小标宋_GBK" w:cs="方正小标宋_GBK"/>
          <w:b/>
          <w:bCs/>
          <w:color w:val="auto"/>
          <w:sz w:val="44"/>
          <w:szCs w:val="44"/>
          <w:highlight w:val="none"/>
        </w:rPr>
      </w:pPr>
      <w:r>
        <w:rPr>
          <w:rFonts w:hint="eastAsia" w:ascii="方正小标宋_GBK" w:hAnsi="方正小标宋_GBK" w:eastAsia="方正小标宋_GBK" w:cs="方正小标宋_GBK"/>
          <w:b/>
          <w:bCs/>
          <w:color w:val="auto"/>
          <w:sz w:val="44"/>
          <w:szCs w:val="44"/>
          <w:highlight w:val="none"/>
          <w:lang w:val="en-US" w:eastAsia="zh-CN"/>
        </w:rPr>
        <w:t>中央空调设备系统维护保养</w:t>
      </w:r>
      <w:r>
        <w:rPr>
          <w:rFonts w:hint="eastAsia" w:ascii="方正小标宋_GBK" w:hAnsi="方正小标宋_GBK" w:eastAsia="方正小标宋_GBK" w:cs="方正小标宋_GBK"/>
          <w:b/>
          <w:bCs/>
          <w:color w:val="auto"/>
          <w:sz w:val="44"/>
          <w:szCs w:val="44"/>
          <w:highlight w:val="none"/>
        </w:rPr>
        <w:t>项目服务需求</w:t>
      </w:r>
    </w:p>
    <w:p>
      <w:pPr>
        <w:pageBreakBefore w:val="0"/>
        <w:kinsoku/>
        <w:wordWrap/>
        <w:overflowPunct/>
        <w:topLinePunct w:val="0"/>
        <w:autoSpaceDE/>
        <w:autoSpaceDN/>
        <w:bidi w:val="0"/>
        <w:spacing w:before="0" w:after="0" w:line="560" w:lineRule="exact"/>
        <w:ind w:firstLine="640" w:firstLineChars="200"/>
        <w:textAlignment w:val="auto"/>
        <w:outlineLvl w:val="9"/>
        <w:rPr>
          <w:rFonts w:hint="default" w:ascii="Times New Roman" w:hAnsi="Times New Roman" w:eastAsia="方正仿宋_GBK" w:cs="Times New Roman"/>
          <w:color w:val="auto"/>
          <w:sz w:val="32"/>
          <w:szCs w:val="32"/>
          <w:highlight w:val="none"/>
          <w:lang w:val="en-US" w:eastAsia="zh-CN"/>
        </w:rPr>
      </w:pPr>
      <w:bookmarkStart w:id="74" w:name="_Toc9533"/>
      <w:bookmarkStart w:id="75" w:name="_Toc5514"/>
    </w:p>
    <w:p>
      <w:pPr>
        <w:pageBreakBefore w:val="0"/>
        <w:kinsoku/>
        <w:wordWrap/>
        <w:overflowPunct/>
        <w:topLinePunct w:val="0"/>
        <w:autoSpaceDE/>
        <w:autoSpaceDN/>
        <w:bidi w:val="0"/>
        <w:spacing w:before="0" w:after="0" w:line="560" w:lineRule="exact"/>
        <w:ind w:firstLine="640" w:firstLineChars="200"/>
        <w:textAlignment w:val="auto"/>
        <w:outlineLvl w:val="9"/>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一、项目基本概况及说明</w:t>
      </w:r>
      <w:bookmarkEnd w:id="74"/>
    </w:p>
    <w:bookmarkEnd w:id="75"/>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val="en-US" w:eastAsia="zh-CN"/>
        </w:rPr>
        <w:t>本项目为重庆理工职业学院校区空调设备系统的维护和保养，学院</w:t>
      </w:r>
      <w:r>
        <w:rPr>
          <w:rFonts w:hint="default" w:ascii="Times New Roman" w:hAnsi="Times New Roman" w:eastAsia="方正仿宋_GBK" w:cs="Times New Roman"/>
          <w:color w:val="auto"/>
          <w:sz w:val="32"/>
          <w:szCs w:val="32"/>
          <w:highlight w:val="none"/>
        </w:rPr>
        <w:t>中央空调设有两套系统。</w:t>
      </w:r>
      <w:r>
        <w:rPr>
          <w:rFonts w:hint="default" w:ascii="Times New Roman" w:hAnsi="Times New Roman" w:eastAsia="方正仿宋_GBK" w:cs="Times New Roman"/>
          <w:color w:val="auto"/>
          <w:sz w:val="32"/>
          <w:szCs w:val="32"/>
          <w:highlight w:val="none"/>
          <w:lang w:val="en-US" w:eastAsia="zh-CN"/>
        </w:rPr>
        <w:t>行政楼是3台美的</w:t>
      </w:r>
      <w:r>
        <w:rPr>
          <w:rFonts w:hint="default" w:ascii="Times New Roman" w:hAnsi="Times New Roman" w:eastAsia="方正仿宋_GBK" w:cs="Times New Roman"/>
          <w:color w:val="auto"/>
          <w:sz w:val="32"/>
          <w:szCs w:val="32"/>
          <w:highlight w:val="none"/>
        </w:rPr>
        <w:t>水冷螺杆冷水机组</w:t>
      </w:r>
      <w:r>
        <w:rPr>
          <w:rFonts w:hint="default" w:ascii="Times New Roman" w:hAnsi="Times New Roman" w:eastAsia="方正仿宋_GBK" w:cs="Times New Roman"/>
          <w:color w:val="auto"/>
          <w:sz w:val="32"/>
          <w:szCs w:val="32"/>
          <w:highlight w:val="none"/>
          <w:lang w:val="en-US" w:eastAsia="zh-CN"/>
        </w:rPr>
        <w:t>和1台热水锅炉</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国际楼</w:t>
      </w:r>
      <w:r>
        <w:rPr>
          <w:rFonts w:hint="default" w:ascii="Times New Roman" w:hAnsi="Times New Roman" w:eastAsia="方正仿宋_GBK" w:cs="Times New Roman"/>
          <w:color w:val="auto"/>
          <w:sz w:val="32"/>
          <w:szCs w:val="32"/>
          <w:highlight w:val="none"/>
        </w:rPr>
        <w:t>是</w:t>
      </w:r>
      <w:r>
        <w:rPr>
          <w:rFonts w:hint="default" w:ascii="Times New Roman" w:hAnsi="Times New Roman" w:eastAsia="方正仿宋_GBK" w:cs="Times New Roman"/>
          <w:color w:val="auto"/>
          <w:sz w:val="32"/>
          <w:szCs w:val="32"/>
          <w:highlight w:val="none"/>
          <w:lang w:val="en-US" w:eastAsia="zh-CN"/>
        </w:rPr>
        <w:t>2台纳森</w:t>
      </w:r>
      <w:r>
        <w:rPr>
          <w:rFonts w:hint="default" w:ascii="Times New Roman" w:hAnsi="Times New Roman" w:eastAsia="方正仿宋_GBK" w:cs="Times New Roman"/>
          <w:color w:val="auto"/>
          <w:sz w:val="32"/>
          <w:szCs w:val="32"/>
          <w:highlight w:val="none"/>
        </w:rPr>
        <w:t>水冷螺杆冷水机组。</w:t>
      </w:r>
      <w:r>
        <w:rPr>
          <w:rFonts w:hint="default" w:ascii="Times New Roman" w:hAnsi="Times New Roman" w:eastAsia="方正仿宋_GBK" w:cs="Times New Roman"/>
          <w:color w:val="auto"/>
          <w:sz w:val="32"/>
          <w:szCs w:val="32"/>
          <w:highlight w:val="none"/>
          <w:lang w:eastAsia="zh-CN"/>
        </w:rPr>
        <w:t>其中</w:t>
      </w:r>
      <w:r>
        <w:rPr>
          <w:rFonts w:hint="default" w:ascii="Times New Roman" w:hAnsi="Times New Roman" w:eastAsia="方正仿宋_GBK" w:cs="Times New Roman"/>
          <w:color w:val="auto"/>
          <w:sz w:val="32"/>
          <w:szCs w:val="32"/>
          <w:highlight w:val="none"/>
        </w:rPr>
        <w:t>螺杆式单冷冷水机组</w:t>
      </w:r>
      <w:r>
        <w:rPr>
          <w:rFonts w:hint="default" w:ascii="Times New Roman" w:hAnsi="Times New Roman" w:eastAsia="方正仿宋_GBK" w:cs="Times New Roman"/>
          <w:color w:val="auto"/>
          <w:sz w:val="32"/>
          <w:szCs w:val="32"/>
          <w:highlight w:val="none"/>
          <w:lang w:eastAsia="zh-CN"/>
        </w:rPr>
        <w:t>的冷凝器</w:t>
      </w:r>
      <w:r>
        <w:rPr>
          <w:rFonts w:hint="default" w:ascii="Times New Roman" w:hAnsi="Times New Roman" w:eastAsia="方正仿宋_GBK" w:cs="Times New Roman"/>
          <w:color w:val="auto"/>
          <w:sz w:val="32"/>
          <w:szCs w:val="32"/>
          <w:highlight w:val="none"/>
        </w:rPr>
        <w:t>和燃气热水采暖锅炉</w:t>
      </w:r>
      <w:r>
        <w:rPr>
          <w:rFonts w:hint="default" w:ascii="Times New Roman" w:hAnsi="Times New Roman" w:eastAsia="方正仿宋_GBK" w:cs="Times New Roman"/>
          <w:color w:val="auto"/>
          <w:sz w:val="32"/>
          <w:szCs w:val="32"/>
          <w:highlight w:val="none"/>
          <w:lang w:eastAsia="zh-CN"/>
        </w:rPr>
        <w:t>属于压力容器，应</w:t>
      </w:r>
      <w:r>
        <w:rPr>
          <w:rFonts w:hint="default" w:ascii="Times New Roman" w:hAnsi="Times New Roman" w:eastAsia="方正仿宋_GBK" w:cs="Times New Roman"/>
          <w:color w:val="auto"/>
          <w:sz w:val="32"/>
          <w:szCs w:val="32"/>
          <w:highlight w:val="none"/>
          <w:lang w:val="en-US" w:eastAsia="zh-CN"/>
        </w:rPr>
        <w:t>严格</w:t>
      </w:r>
      <w:r>
        <w:rPr>
          <w:rFonts w:hint="default" w:ascii="Times New Roman" w:hAnsi="Times New Roman" w:eastAsia="方正仿宋_GBK" w:cs="Times New Roman"/>
          <w:color w:val="auto"/>
          <w:sz w:val="32"/>
          <w:szCs w:val="32"/>
          <w:highlight w:val="none"/>
          <w:lang w:eastAsia="zh-CN"/>
        </w:rPr>
        <w:t>按照相关法律规定</w:t>
      </w:r>
      <w:r>
        <w:rPr>
          <w:rFonts w:hint="default" w:ascii="Times New Roman" w:hAnsi="Times New Roman" w:eastAsia="方正仿宋_GBK" w:cs="Times New Roman"/>
          <w:color w:val="auto"/>
          <w:sz w:val="32"/>
          <w:szCs w:val="32"/>
          <w:highlight w:val="none"/>
          <w:lang w:val="en-US" w:eastAsia="zh-CN"/>
        </w:rPr>
        <w:t>及设备管理条例</w:t>
      </w:r>
      <w:r>
        <w:rPr>
          <w:rFonts w:hint="default" w:ascii="Times New Roman" w:hAnsi="Times New Roman" w:eastAsia="方正仿宋_GBK" w:cs="Times New Roman"/>
          <w:color w:val="auto"/>
          <w:sz w:val="32"/>
          <w:szCs w:val="32"/>
          <w:highlight w:val="none"/>
          <w:lang w:eastAsia="zh-CN"/>
        </w:rPr>
        <w:t>进行维护保养。</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rPr>
      </w:pPr>
      <w:r>
        <w:rPr>
          <w:rFonts w:hint="default" w:ascii="Times New Roman" w:hAnsi="Times New Roman" w:eastAsia="方正仿宋_GBK" w:cs="Times New Roman"/>
          <w:color w:val="auto"/>
          <w:sz w:val="32"/>
          <w:szCs w:val="32"/>
          <w:highlight w:val="none"/>
          <w:lang w:val="en-US" w:eastAsia="zh-CN"/>
        </w:rPr>
        <w:t>为了确保校方的设备安全、正常、高效和节能的使用，降低故障率，减少故障发生。现对外招采具有相应资质的维保单位。</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本项目包含行政楼和国际楼的空调设备，具体维保主要设备清单见下表。以下数量为参考数量，具体数量和设备现存故障以现场实际为准。</w:t>
      </w:r>
    </w:p>
    <w:p>
      <w:pPr>
        <w:pageBreakBefore w:val="0"/>
        <w:kinsoku/>
        <w:wordWrap/>
        <w:overflowPunct/>
        <w:topLinePunct w:val="0"/>
        <w:autoSpaceDE/>
        <w:autoSpaceDN/>
        <w:bidi w:val="0"/>
        <w:spacing w:line="560" w:lineRule="exact"/>
        <w:textAlignment w:val="auto"/>
        <w:rPr>
          <w:rFonts w:hint="eastAsia" w:ascii="方正楷体_GBK" w:hAnsi="方正楷体_GBK" w:eastAsia="方正楷体_GBK" w:cs="方正楷体_GBK"/>
          <w:b w:val="0"/>
          <w:bCs/>
          <w:color w:val="auto"/>
          <w:sz w:val="32"/>
          <w:szCs w:val="32"/>
          <w:highlight w:val="none"/>
          <w:lang w:eastAsia="zh-CN"/>
        </w:rPr>
      </w:pPr>
      <w:r>
        <w:rPr>
          <w:rFonts w:hint="eastAsia" w:ascii="方正楷体_GBK" w:hAnsi="方正楷体_GBK" w:eastAsia="方正楷体_GBK" w:cs="方正楷体_GBK"/>
          <w:b w:val="0"/>
          <w:bCs/>
          <w:color w:val="auto"/>
          <w:sz w:val="32"/>
          <w:szCs w:val="32"/>
          <w:highlight w:val="none"/>
          <w:lang w:eastAsia="zh-CN"/>
        </w:rPr>
        <w:t>（</w:t>
      </w:r>
      <w:r>
        <w:rPr>
          <w:rFonts w:hint="eastAsia" w:ascii="方正楷体_GBK" w:hAnsi="方正楷体_GBK" w:eastAsia="方正楷体_GBK" w:cs="方正楷体_GBK"/>
          <w:b w:val="0"/>
          <w:bCs/>
          <w:color w:val="auto"/>
          <w:sz w:val="32"/>
          <w:szCs w:val="32"/>
          <w:highlight w:val="none"/>
          <w:lang w:val="en-US" w:eastAsia="zh-CN"/>
        </w:rPr>
        <w:t>一</w:t>
      </w:r>
      <w:r>
        <w:rPr>
          <w:rFonts w:hint="eastAsia" w:ascii="方正楷体_GBK" w:hAnsi="方正楷体_GBK" w:eastAsia="方正楷体_GBK" w:cs="方正楷体_GBK"/>
          <w:b w:val="0"/>
          <w:bCs/>
          <w:color w:val="auto"/>
          <w:sz w:val="32"/>
          <w:szCs w:val="32"/>
          <w:highlight w:val="none"/>
          <w:lang w:eastAsia="zh-CN"/>
        </w:rPr>
        <w:t>）</w:t>
      </w:r>
      <w:r>
        <w:rPr>
          <w:rFonts w:hint="eastAsia" w:ascii="方正楷体_GBK" w:hAnsi="方正楷体_GBK" w:eastAsia="方正楷体_GBK" w:cs="方正楷体_GBK"/>
          <w:b w:val="0"/>
          <w:bCs/>
          <w:color w:val="auto"/>
          <w:sz w:val="32"/>
          <w:szCs w:val="32"/>
          <w:highlight w:val="none"/>
          <w:lang w:val="en-US" w:eastAsia="zh-CN"/>
        </w:rPr>
        <w:t>设备</w:t>
      </w:r>
      <w:r>
        <w:rPr>
          <w:rFonts w:hint="eastAsia" w:ascii="方正楷体_GBK" w:hAnsi="方正楷体_GBK" w:eastAsia="方正楷体_GBK" w:cs="方正楷体_GBK"/>
          <w:b w:val="0"/>
          <w:bCs/>
          <w:color w:val="auto"/>
          <w:sz w:val="32"/>
          <w:szCs w:val="32"/>
          <w:highlight w:val="none"/>
        </w:rPr>
        <w:t>保养清单</w:t>
      </w:r>
      <w:r>
        <w:rPr>
          <w:rFonts w:hint="eastAsia" w:ascii="方正楷体_GBK" w:hAnsi="方正楷体_GBK" w:eastAsia="方正楷体_GBK" w:cs="方正楷体_GBK"/>
          <w:b w:val="0"/>
          <w:bCs/>
          <w:color w:val="auto"/>
          <w:sz w:val="32"/>
          <w:szCs w:val="32"/>
          <w:highlight w:val="none"/>
          <w:lang w:eastAsia="zh-CN"/>
        </w:rPr>
        <w:t>（</w:t>
      </w:r>
      <w:r>
        <w:rPr>
          <w:rFonts w:hint="eastAsia" w:ascii="方正楷体_GBK" w:hAnsi="方正楷体_GBK" w:eastAsia="方正楷体_GBK" w:cs="方正楷体_GBK"/>
          <w:b w:val="0"/>
          <w:bCs/>
          <w:color w:val="auto"/>
          <w:sz w:val="32"/>
          <w:szCs w:val="32"/>
          <w:highlight w:val="none"/>
          <w:lang w:val="en-US" w:eastAsia="zh-CN"/>
        </w:rPr>
        <w:t>美的</w:t>
      </w:r>
      <w:r>
        <w:rPr>
          <w:rFonts w:hint="eastAsia" w:ascii="方正楷体_GBK" w:hAnsi="方正楷体_GBK" w:eastAsia="方正楷体_GBK" w:cs="方正楷体_GBK"/>
          <w:b w:val="0"/>
          <w:bCs/>
          <w:color w:val="auto"/>
          <w:sz w:val="32"/>
          <w:szCs w:val="32"/>
          <w:highlight w:val="none"/>
          <w:lang w:eastAsia="zh-CN"/>
        </w:rPr>
        <w:t>）</w:t>
      </w:r>
    </w:p>
    <w:tbl>
      <w:tblPr>
        <w:tblStyle w:val="10"/>
        <w:tblW w:w="5000" w:type="pct"/>
        <w:jc w:val="center"/>
        <w:tblLayout w:type="fixed"/>
        <w:tblCellMar>
          <w:top w:w="0" w:type="dxa"/>
          <w:left w:w="108" w:type="dxa"/>
          <w:bottom w:w="0" w:type="dxa"/>
          <w:right w:w="108" w:type="dxa"/>
        </w:tblCellMar>
      </w:tblPr>
      <w:tblGrid>
        <w:gridCol w:w="1027"/>
        <w:gridCol w:w="3713"/>
        <w:gridCol w:w="2869"/>
        <w:gridCol w:w="806"/>
        <w:gridCol w:w="1439"/>
      </w:tblGrid>
      <w:tr>
        <w:tblPrEx>
          <w:tblCellMar>
            <w:top w:w="0" w:type="dxa"/>
            <w:left w:w="108" w:type="dxa"/>
            <w:bottom w:w="0" w:type="dxa"/>
            <w:right w:w="108" w:type="dxa"/>
          </w:tblCellMar>
        </w:tblPrEx>
        <w:trPr>
          <w:trHeight w:val="375" w:hRule="atLeast"/>
          <w:jc w:val="center"/>
        </w:trPr>
        <w:tc>
          <w:tcPr>
            <w:tcW w:w="521"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_GBK" w:cs="Times New Roman"/>
                <w:b/>
                <w:bCs/>
                <w:color w:val="auto"/>
                <w:kern w:val="0"/>
                <w:sz w:val="32"/>
                <w:szCs w:val="32"/>
                <w:highlight w:val="none"/>
              </w:rPr>
            </w:pPr>
            <w:r>
              <w:rPr>
                <w:rFonts w:hint="default" w:ascii="Times New Roman" w:hAnsi="Times New Roman" w:eastAsia="方正仿宋_GBK" w:cs="Times New Roman"/>
                <w:b/>
                <w:bCs/>
                <w:color w:val="auto"/>
                <w:kern w:val="0"/>
                <w:sz w:val="32"/>
                <w:szCs w:val="32"/>
                <w:highlight w:val="none"/>
              </w:rPr>
              <w:t>序号</w:t>
            </w:r>
          </w:p>
        </w:tc>
        <w:tc>
          <w:tcPr>
            <w:tcW w:w="1884" w:type="pct"/>
            <w:tcBorders>
              <w:top w:val="single" w:color="auto" w:sz="4" w:space="0"/>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_GBK" w:cs="Times New Roman"/>
                <w:b/>
                <w:bCs/>
                <w:color w:val="auto"/>
                <w:kern w:val="0"/>
                <w:sz w:val="32"/>
                <w:szCs w:val="32"/>
                <w:highlight w:val="none"/>
              </w:rPr>
            </w:pPr>
            <w:r>
              <w:rPr>
                <w:rFonts w:hint="default" w:ascii="Times New Roman" w:hAnsi="Times New Roman" w:eastAsia="方正仿宋_GBK" w:cs="Times New Roman"/>
                <w:b/>
                <w:bCs/>
                <w:color w:val="auto"/>
                <w:kern w:val="0"/>
                <w:sz w:val="32"/>
                <w:szCs w:val="32"/>
                <w:highlight w:val="none"/>
              </w:rPr>
              <w:t>名称</w:t>
            </w:r>
          </w:p>
        </w:tc>
        <w:tc>
          <w:tcPr>
            <w:tcW w:w="1455" w:type="pct"/>
            <w:tcBorders>
              <w:top w:val="single" w:color="auto" w:sz="4" w:space="0"/>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_GBK" w:cs="Times New Roman"/>
                <w:b/>
                <w:bCs/>
                <w:color w:val="auto"/>
                <w:kern w:val="0"/>
                <w:sz w:val="32"/>
                <w:szCs w:val="32"/>
                <w:highlight w:val="none"/>
              </w:rPr>
            </w:pPr>
            <w:r>
              <w:rPr>
                <w:rFonts w:hint="default" w:ascii="Times New Roman" w:hAnsi="Times New Roman" w:eastAsia="方正仿宋_GBK" w:cs="Times New Roman"/>
                <w:b/>
                <w:bCs/>
                <w:color w:val="auto"/>
                <w:kern w:val="0"/>
                <w:sz w:val="32"/>
                <w:szCs w:val="32"/>
                <w:highlight w:val="none"/>
              </w:rPr>
              <w:t>规格型号</w:t>
            </w:r>
          </w:p>
        </w:tc>
        <w:tc>
          <w:tcPr>
            <w:tcW w:w="408" w:type="pct"/>
            <w:tcBorders>
              <w:top w:val="single" w:color="auto" w:sz="4" w:space="0"/>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_GBK" w:cs="Times New Roman"/>
                <w:b/>
                <w:bCs/>
                <w:color w:val="auto"/>
                <w:kern w:val="0"/>
                <w:sz w:val="32"/>
                <w:szCs w:val="32"/>
                <w:highlight w:val="none"/>
              </w:rPr>
            </w:pPr>
            <w:r>
              <w:rPr>
                <w:rFonts w:hint="default" w:ascii="Times New Roman" w:hAnsi="Times New Roman" w:eastAsia="方正仿宋_GBK" w:cs="Times New Roman"/>
                <w:b/>
                <w:bCs/>
                <w:color w:val="auto"/>
                <w:kern w:val="0"/>
                <w:sz w:val="32"/>
                <w:szCs w:val="32"/>
                <w:highlight w:val="none"/>
              </w:rPr>
              <w:t>单位</w:t>
            </w:r>
          </w:p>
        </w:tc>
        <w:tc>
          <w:tcPr>
            <w:tcW w:w="730" w:type="pct"/>
            <w:tcBorders>
              <w:top w:val="single" w:color="auto" w:sz="4" w:space="0"/>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_GBK" w:cs="Times New Roman"/>
                <w:b/>
                <w:bCs/>
                <w:color w:val="auto"/>
                <w:kern w:val="0"/>
                <w:sz w:val="32"/>
                <w:szCs w:val="32"/>
                <w:highlight w:val="none"/>
              </w:rPr>
            </w:pPr>
            <w:r>
              <w:rPr>
                <w:rFonts w:hint="default" w:ascii="Times New Roman" w:hAnsi="Times New Roman" w:eastAsia="方正仿宋_GBK" w:cs="Times New Roman"/>
                <w:b/>
                <w:bCs/>
                <w:color w:val="auto"/>
                <w:kern w:val="0"/>
                <w:sz w:val="32"/>
                <w:szCs w:val="32"/>
                <w:highlight w:val="none"/>
              </w:rPr>
              <w:t>数量</w:t>
            </w:r>
          </w:p>
        </w:tc>
      </w:tr>
      <w:tr>
        <w:tblPrEx>
          <w:tblCellMar>
            <w:top w:w="0" w:type="dxa"/>
            <w:left w:w="108" w:type="dxa"/>
            <w:bottom w:w="0" w:type="dxa"/>
            <w:right w:w="108" w:type="dxa"/>
          </w:tblCellMar>
        </w:tblPrEx>
        <w:trPr>
          <w:trHeight w:val="380" w:hRule="atLeast"/>
          <w:jc w:val="center"/>
        </w:trPr>
        <w:tc>
          <w:tcPr>
            <w:tcW w:w="521" w:type="pct"/>
            <w:tcBorders>
              <w:top w:val="nil"/>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1</w:t>
            </w:r>
          </w:p>
        </w:tc>
        <w:tc>
          <w:tcPr>
            <w:tcW w:w="1884" w:type="pct"/>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lang w:val="en-US" w:eastAsia="zh-CN"/>
              </w:rPr>
              <w:t>美的</w:t>
            </w:r>
            <w:r>
              <w:rPr>
                <w:rFonts w:hint="default" w:ascii="Times New Roman" w:hAnsi="Times New Roman" w:eastAsia="方正仿宋_GBK" w:cs="Times New Roman"/>
                <w:color w:val="auto"/>
                <w:kern w:val="0"/>
                <w:sz w:val="32"/>
                <w:szCs w:val="32"/>
                <w:highlight w:val="none"/>
              </w:rPr>
              <w:t>水冷螺杆冷水机组</w:t>
            </w:r>
          </w:p>
        </w:tc>
        <w:tc>
          <w:tcPr>
            <w:tcW w:w="1455" w:type="pct"/>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LSBLG640/MCF</w:t>
            </w:r>
          </w:p>
        </w:tc>
        <w:tc>
          <w:tcPr>
            <w:tcW w:w="408" w:type="pct"/>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台</w:t>
            </w:r>
          </w:p>
        </w:tc>
        <w:tc>
          <w:tcPr>
            <w:tcW w:w="730" w:type="pct"/>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_GBK" w:cs="Times New Roman"/>
                <w:color w:val="auto"/>
                <w:kern w:val="0"/>
                <w:sz w:val="32"/>
                <w:szCs w:val="32"/>
                <w:highlight w:val="none"/>
                <w:lang w:eastAsia="zh-CN"/>
              </w:rPr>
            </w:pPr>
            <w:r>
              <w:rPr>
                <w:rFonts w:hint="default" w:ascii="Times New Roman" w:hAnsi="Times New Roman" w:eastAsia="方正仿宋_GBK" w:cs="Times New Roman"/>
                <w:color w:val="auto"/>
                <w:kern w:val="0"/>
                <w:sz w:val="32"/>
                <w:szCs w:val="32"/>
                <w:highlight w:val="none"/>
                <w:lang w:val="en-US" w:eastAsia="zh-CN"/>
              </w:rPr>
              <w:t>3</w:t>
            </w:r>
          </w:p>
        </w:tc>
      </w:tr>
      <w:tr>
        <w:tblPrEx>
          <w:tblCellMar>
            <w:top w:w="0" w:type="dxa"/>
            <w:left w:w="108" w:type="dxa"/>
            <w:bottom w:w="0" w:type="dxa"/>
            <w:right w:w="108" w:type="dxa"/>
          </w:tblCellMar>
        </w:tblPrEx>
        <w:trPr>
          <w:trHeight w:val="380" w:hRule="atLeast"/>
          <w:jc w:val="center"/>
        </w:trPr>
        <w:tc>
          <w:tcPr>
            <w:tcW w:w="521" w:type="pct"/>
            <w:tcBorders>
              <w:top w:val="nil"/>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2</w:t>
            </w:r>
          </w:p>
        </w:tc>
        <w:tc>
          <w:tcPr>
            <w:tcW w:w="1884" w:type="pct"/>
            <w:tcBorders>
              <w:top w:val="nil"/>
              <w:left w:val="nil"/>
              <w:bottom w:val="single" w:color="auto" w:sz="4" w:space="0"/>
              <w:right w:val="single" w:color="auto" w:sz="4" w:space="0"/>
            </w:tcBorders>
            <w:shd w:val="clear" w:color="auto" w:fill="auto"/>
            <w:noWrap/>
            <w:vAlign w:val="center"/>
          </w:tcPr>
          <w:p>
            <w:pPr>
              <w:pageBreakBefore w:val="0"/>
              <w:widowControl/>
              <w:tabs>
                <w:tab w:val="left" w:pos="1524"/>
                <w:tab w:val="center" w:pos="2914"/>
              </w:tabs>
              <w:kinsoku/>
              <w:wordWrap/>
              <w:overflowPunct/>
              <w:topLinePunct w:val="0"/>
              <w:autoSpaceDE/>
              <w:autoSpaceDN/>
              <w:bidi w:val="0"/>
              <w:spacing w:line="560" w:lineRule="exact"/>
              <w:jc w:val="center"/>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暗装卧式风机盘管</w:t>
            </w:r>
          </w:p>
        </w:tc>
        <w:tc>
          <w:tcPr>
            <w:tcW w:w="1455" w:type="pct"/>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综合规格</w:t>
            </w:r>
          </w:p>
        </w:tc>
        <w:tc>
          <w:tcPr>
            <w:tcW w:w="408" w:type="pct"/>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台</w:t>
            </w:r>
          </w:p>
        </w:tc>
        <w:tc>
          <w:tcPr>
            <w:tcW w:w="730" w:type="pct"/>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_GBK" w:cs="Times New Roman"/>
                <w:color w:val="auto"/>
                <w:kern w:val="0"/>
                <w:sz w:val="32"/>
                <w:szCs w:val="32"/>
                <w:highlight w:val="none"/>
                <w:lang w:eastAsia="zh-CN"/>
              </w:rPr>
            </w:pPr>
            <w:r>
              <w:rPr>
                <w:rFonts w:hint="default" w:ascii="Times New Roman" w:hAnsi="Times New Roman" w:eastAsia="方正仿宋_GBK" w:cs="Times New Roman"/>
                <w:color w:val="auto"/>
                <w:kern w:val="0"/>
                <w:sz w:val="32"/>
                <w:szCs w:val="32"/>
                <w:highlight w:val="none"/>
                <w:lang w:val="en-US" w:eastAsia="zh-CN"/>
              </w:rPr>
              <w:t>109</w:t>
            </w:r>
          </w:p>
        </w:tc>
      </w:tr>
      <w:tr>
        <w:tblPrEx>
          <w:tblCellMar>
            <w:top w:w="0" w:type="dxa"/>
            <w:left w:w="108" w:type="dxa"/>
            <w:bottom w:w="0" w:type="dxa"/>
            <w:right w:w="108" w:type="dxa"/>
          </w:tblCellMar>
        </w:tblPrEx>
        <w:trPr>
          <w:trHeight w:val="380" w:hRule="atLeast"/>
          <w:jc w:val="center"/>
        </w:trPr>
        <w:tc>
          <w:tcPr>
            <w:tcW w:w="521" w:type="pct"/>
            <w:tcBorders>
              <w:top w:val="nil"/>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3</w:t>
            </w:r>
          </w:p>
        </w:tc>
        <w:tc>
          <w:tcPr>
            <w:tcW w:w="1884" w:type="pct"/>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冷却塔</w:t>
            </w:r>
          </w:p>
        </w:tc>
        <w:tc>
          <w:tcPr>
            <w:tcW w:w="1455" w:type="pct"/>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lang w:val="en-US" w:eastAsia="zh-CN"/>
              </w:rPr>
              <w:t>400m³</w:t>
            </w:r>
          </w:p>
        </w:tc>
        <w:tc>
          <w:tcPr>
            <w:tcW w:w="408" w:type="pct"/>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台</w:t>
            </w:r>
          </w:p>
        </w:tc>
        <w:tc>
          <w:tcPr>
            <w:tcW w:w="730" w:type="pct"/>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1</w:t>
            </w:r>
          </w:p>
        </w:tc>
      </w:tr>
      <w:tr>
        <w:tblPrEx>
          <w:tblCellMar>
            <w:top w:w="0" w:type="dxa"/>
            <w:left w:w="108" w:type="dxa"/>
            <w:bottom w:w="0" w:type="dxa"/>
            <w:right w:w="108" w:type="dxa"/>
          </w:tblCellMar>
        </w:tblPrEx>
        <w:trPr>
          <w:trHeight w:val="380" w:hRule="atLeast"/>
          <w:jc w:val="center"/>
        </w:trPr>
        <w:tc>
          <w:tcPr>
            <w:tcW w:w="521" w:type="pct"/>
            <w:tcBorders>
              <w:top w:val="nil"/>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4</w:t>
            </w:r>
          </w:p>
        </w:tc>
        <w:tc>
          <w:tcPr>
            <w:tcW w:w="1884" w:type="pct"/>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热水锅炉</w:t>
            </w:r>
          </w:p>
        </w:tc>
        <w:tc>
          <w:tcPr>
            <w:tcW w:w="1455" w:type="pct"/>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ZKW0.7-65\55-Q.Y</w:t>
            </w:r>
          </w:p>
        </w:tc>
        <w:tc>
          <w:tcPr>
            <w:tcW w:w="408" w:type="pct"/>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台</w:t>
            </w:r>
          </w:p>
        </w:tc>
        <w:tc>
          <w:tcPr>
            <w:tcW w:w="730" w:type="pct"/>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1</w:t>
            </w:r>
          </w:p>
        </w:tc>
      </w:tr>
      <w:tr>
        <w:tblPrEx>
          <w:tblCellMar>
            <w:top w:w="0" w:type="dxa"/>
            <w:left w:w="108" w:type="dxa"/>
            <w:bottom w:w="0" w:type="dxa"/>
            <w:right w:w="108" w:type="dxa"/>
          </w:tblCellMar>
        </w:tblPrEx>
        <w:trPr>
          <w:trHeight w:val="380" w:hRule="atLeast"/>
          <w:jc w:val="center"/>
        </w:trPr>
        <w:tc>
          <w:tcPr>
            <w:tcW w:w="521" w:type="pct"/>
            <w:tcBorders>
              <w:top w:val="nil"/>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5</w:t>
            </w:r>
          </w:p>
        </w:tc>
        <w:tc>
          <w:tcPr>
            <w:tcW w:w="1884" w:type="pct"/>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冷冻泵</w:t>
            </w:r>
          </w:p>
        </w:tc>
        <w:tc>
          <w:tcPr>
            <w:tcW w:w="1455" w:type="pct"/>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lang w:val="en-US" w:eastAsia="zh-CN"/>
              </w:rPr>
              <w:t>7.5kW</w:t>
            </w:r>
          </w:p>
        </w:tc>
        <w:tc>
          <w:tcPr>
            <w:tcW w:w="408" w:type="pct"/>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lang w:val="en-US" w:eastAsia="zh-CN"/>
              </w:rPr>
              <w:t>台</w:t>
            </w:r>
          </w:p>
        </w:tc>
        <w:tc>
          <w:tcPr>
            <w:tcW w:w="730" w:type="pct"/>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_GBK" w:cs="Times New Roman"/>
                <w:color w:val="auto"/>
                <w:kern w:val="0"/>
                <w:sz w:val="32"/>
                <w:szCs w:val="32"/>
                <w:highlight w:val="none"/>
                <w:lang w:eastAsia="zh-CN"/>
              </w:rPr>
            </w:pPr>
            <w:r>
              <w:rPr>
                <w:rFonts w:hint="default" w:ascii="Times New Roman" w:hAnsi="Times New Roman" w:eastAsia="方正仿宋_GBK" w:cs="Times New Roman"/>
                <w:color w:val="auto"/>
                <w:kern w:val="0"/>
                <w:sz w:val="32"/>
                <w:szCs w:val="32"/>
                <w:highlight w:val="none"/>
                <w:lang w:val="en-US" w:eastAsia="zh-CN"/>
              </w:rPr>
              <w:t>3</w:t>
            </w:r>
          </w:p>
        </w:tc>
      </w:tr>
      <w:tr>
        <w:tblPrEx>
          <w:tblCellMar>
            <w:top w:w="0" w:type="dxa"/>
            <w:left w:w="108" w:type="dxa"/>
            <w:bottom w:w="0" w:type="dxa"/>
            <w:right w:w="108" w:type="dxa"/>
          </w:tblCellMar>
        </w:tblPrEx>
        <w:trPr>
          <w:trHeight w:val="380" w:hRule="atLeast"/>
          <w:jc w:val="center"/>
        </w:trPr>
        <w:tc>
          <w:tcPr>
            <w:tcW w:w="521" w:type="pct"/>
            <w:tcBorders>
              <w:top w:val="nil"/>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6</w:t>
            </w:r>
          </w:p>
        </w:tc>
        <w:tc>
          <w:tcPr>
            <w:tcW w:w="1884" w:type="pct"/>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rPr>
              <w:t>冷却泵</w:t>
            </w:r>
          </w:p>
        </w:tc>
        <w:tc>
          <w:tcPr>
            <w:tcW w:w="1455" w:type="pct"/>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rPr>
              <w:t>5.5</w:t>
            </w:r>
            <w:r>
              <w:rPr>
                <w:rFonts w:hint="default" w:ascii="Times New Roman" w:hAnsi="Times New Roman" w:eastAsia="方正仿宋_GBK" w:cs="Times New Roman"/>
                <w:color w:val="auto"/>
                <w:kern w:val="0"/>
                <w:sz w:val="32"/>
                <w:szCs w:val="32"/>
                <w:highlight w:val="none"/>
                <w:lang w:val="en-US" w:eastAsia="zh-CN"/>
              </w:rPr>
              <w:t>kW</w:t>
            </w:r>
          </w:p>
        </w:tc>
        <w:tc>
          <w:tcPr>
            <w:tcW w:w="408" w:type="pct"/>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rPr>
              <w:t>台</w:t>
            </w:r>
          </w:p>
        </w:tc>
        <w:tc>
          <w:tcPr>
            <w:tcW w:w="730" w:type="pct"/>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3</w:t>
            </w:r>
          </w:p>
        </w:tc>
      </w:tr>
      <w:tr>
        <w:tblPrEx>
          <w:tblCellMar>
            <w:top w:w="0" w:type="dxa"/>
            <w:left w:w="108" w:type="dxa"/>
            <w:bottom w:w="0" w:type="dxa"/>
            <w:right w:w="108" w:type="dxa"/>
          </w:tblCellMar>
        </w:tblPrEx>
        <w:trPr>
          <w:trHeight w:val="380" w:hRule="atLeast"/>
          <w:jc w:val="center"/>
        </w:trPr>
        <w:tc>
          <w:tcPr>
            <w:tcW w:w="521" w:type="pct"/>
            <w:tcBorders>
              <w:top w:val="nil"/>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7</w:t>
            </w:r>
          </w:p>
        </w:tc>
        <w:tc>
          <w:tcPr>
            <w:tcW w:w="1884" w:type="pct"/>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配电柜</w:t>
            </w:r>
          </w:p>
        </w:tc>
        <w:tc>
          <w:tcPr>
            <w:tcW w:w="1455" w:type="pct"/>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_GBK" w:cs="Times New Roman"/>
                <w:color w:val="auto"/>
                <w:kern w:val="0"/>
                <w:sz w:val="32"/>
                <w:szCs w:val="32"/>
                <w:highlight w:val="none"/>
                <w:lang w:val="en-US" w:eastAsia="zh-CN"/>
              </w:rPr>
            </w:pPr>
          </w:p>
        </w:tc>
        <w:tc>
          <w:tcPr>
            <w:tcW w:w="408" w:type="pct"/>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lang w:val="en-US" w:eastAsia="zh-CN"/>
              </w:rPr>
              <w:t>个</w:t>
            </w:r>
          </w:p>
        </w:tc>
        <w:tc>
          <w:tcPr>
            <w:tcW w:w="730" w:type="pct"/>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_GBK" w:cs="Times New Roman"/>
                <w:color w:val="auto"/>
                <w:kern w:val="0"/>
                <w:sz w:val="32"/>
                <w:szCs w:val="32"/>
                <w:highlight w:val="none"/>
                <w:lang w:eastAsia="zh-CN"/>
              </w:rPr>
            </w:pPr>
            <w:r>
              <w:rPr>
                <w:rFonts w:hint="default" w:ascii="Times New Roman" w:hAnsi="Times New Roman" w:eastAsia="方正仿宋_GBK" w:cs="Times New Roman"/>
                <w:color w:val="auto"/>
                <w:kern w:val="0"/>
                <w:sz w:val="32"/>
                <w:szCs w:val="32"/>
                <w:highlight w:val="none"/>
                <w:lang w:val="en-US" w:eastAsia="zh-CN"/>
              </w:rPr>
              <w:t>5</w:t>
            </w:r>
          </w:p>
        </w:tc>
      </w:tr>
      <w:tr>
        <w:tblPrEx>
          <w:tblCellMar>
            <w:top w:w="0" w:type="dxa"/>
            <w:left w:w="108" w:type="dxa"/>
            <w:bottom w:w="0" w:type="dxa"/>
            <w:right w:w="108" w:type="dxa"/>
          </w:tblCellMar>
        </w:tblPrEx>
        <w:trPr>
          <w:trHeight w:val="380" w:hRule="atLeast"/>
          <w:jc w:val="center"/>
        </w:trPr>
        <w:tc>
          <w:tcPr>
            <w:tcW w:w="521"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kinsoku/>
              <w:wordWrap/>
              <w:overflowPunct/>
              <w:topLinePunct w:val="0"/>
              <w:autoSpaceDE/>
              <w:autoSpaceDN/>
              <w:bidi w:val="0"/>
              <w:spacing w:line="560" w:lineRule="exact"/>
              <w:jc w:val="center"/>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8</w:t>
            </w:r>
          </w:p>
        </w:tc>
        <w:tc>
          <w:tcPr>
            <w:tcW w:w="1884" w:type="pct"/>
            <w:tcBorders>
              <w:top w:val="single" w:color="auto" w:sz="4" w:space="0"/>
              <w:left w:val="nil"/>
              <w:bottom w:val="single" w:color="auto" w:sz="4" w:space="0"/>
              <w:right w:val="single" w:color="auto" w:sz="4" w:space="0"/>
            </w:tcBorders>
            <w:shd w:val="clear" w:color="auto" w:fill="auto"/>
            <w:noWrap/>
            <w:vAlign w:val="center"/>
          </w:tcPr>
          <w:p>
            <w:pPr>
              <w:pageBreakBefore w:val="0"/>
              <w:kinsoku/>
              <w:wordWrap/>
              <w:overflowPunct/>
              <w:topLinePunct w:val="0"/>
              <w:autoSpaceDE/>
              <w:autoSpaceDN/>
              <w:bidi w:val="0"/>
              <w:spacing w:line="560" w:lineRule="exact"/>
              <w:jc w:val="center"/>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lang w:eastAsia="zh-CN"/>
              </w:rPr>
              <w:t>系统管网</w:t>
            </w:r>
          </w:p>
        </w:tc>
        <w:tc>
          <w:tcPr>
            <w:tcW w:w="1455" w:type="pct"/>
            <w:tcBorders>
              <w:top w:val="single" w:color="auto" w:sz="4" w:space="0"/>
              <w:left w:val="nil"/>
              <w:bottom w:val="single" w:color="auto" w:sz="4" w:space="0"/>
              <w:right w:val="single" w:color="auto" w:sz="4" w:space="0"/>
            </w:tcBorders>
            <w:shd w:val="clear" w:color="auto" w:fill="auto"/>
            <w:noWrap/>
            <w:vAlign w:val="center"/>
          </w:tcPr>
          <w:p>
            <w:pPr>
              <w:pageBreakBefore w:val="0"/>
              <w:kinsoku/>
              <w:wordWrap/>
              <w:overflowPunct/>
              <w:topLinePunct w:val="0"/>
              <w:autoSpaceDE/>
              <w:autoSpaceDN/>
              <w:bidi w:val="0"/>
              <w:spacing w:line="560" w:lineRule="exact"/>
              <w:jc w:val="center"/>
              <w:textAlignment w:val="auto"/>
              <w:rPr>
                <w:rFonts w:hint="default" w:ascii="Times New Roman" w:hAnsi="Times New Roman" w:eastAsia="方正仿宋_GBK" w:cs="Times New Roman"/>
                <w:color w:val="auto"/>
                <w:kern w:val="0"/>
                <w:sz w:val="32"/>
                <w:szCs w:val="32"/>
                <w:highlight w:val="none"/>
              </w:rPr>
            </w:pPr>
          </w:p>
        </w:tc>
        <w:tc>
          <w:tcPr>
            <w:tcW w:w="408" w:type="pct"/>
            <w:tcBorders>
              <w:top w:val="single" w:color="auto" w:sz="4" w:space="0"/>
              <w:left w:val="nil"/>
              <w:bottom w:val="single" w:color="auto" w:sz="4" w:space="0"/>
              <w:right w:val="single" w:color="auto" w:sz="4" w:space="0"/>
            </w:tcBorders>
            <w:shd w:val="clear" w:color="auto" w:fill="auto"/>
            <w:noWrap/>
            <w:vAlign w:val="center"/>
          </w:tcPr>
          <w:p>
            <w:pPr>
              <w:pageBreakBefore w:val="0"/>
              <w:kinsoku/>
              <w:wordWrap/>
              <w:overflowPunct/>
              <w:topLinePunct w:val="0"/>
              <w:autoSpaceDE/>
              <w:autoSpaceDN/>
              <w:bidi w:val="0"/>
              <w:spacing w:line="560" w:lineRule="exact"/>
              <w:jc w:val="center"/>
              <w:textAlignment w:val="auto"/>
              <w:rPr>
                <w:rFonts w:hint="default" w:ascii="Times New Roman" w:hAnsi="Times New Roman" w:eastAsia="方正仿宋_GBK" w:cs="Times New Roman"/>
                <w:color w:val="auto"/>
                <w:kern w:val="0"/>
                <w:sz w:val="32"/>
                <w:szCs w:val="32"/>
                <w:highlight w:val="none"/>
                <w:lang w:eastAsia="zh-CN"/>
              </w:rPr>
            </w:pPr>
            <w:r>
              <w:rPr>
                <w:rFonts w:hint="default" w:ascii="Times New Roman" w:hAnsi="Times New Roman" w:eastAsia="方正仿宋_GBK" w:cs="Times New Roman"/>
                <w:color w:val="auto"/>
                <w:kern w:val="0"/>
                <w:sz w:val="32"/>
                <w:szCs w:val="32"/>
                <w:highlight w:val="none"/>
                <w:lang w:val="en-US" w:eastAsia="zh-CN"/>
              </w:rPr>
              <w:t>套</w:t>
            </w:r>
          </w:p>
        </w:tc>
        <w:tc>
          <w:tcPr>
            <w:tcW w:w="730" w:type="pct"/>
            <w:tcBorders>
              <w:top w:val="single" w:color="auto" w:sz="4" w:space="0"/>
              <w:left w:val="nil"/>
              <w:bottom w:val="single" w:color="auto" w:sz="4" w:space="0"/>
              <w:right w:val="single" w:color="auto" w:sz="4" w:space="0"/>
            </w:tcBorders>
            <w:shd w:val="clear" w:color="auto" w:fill="auto"/>
            <w:noWrap/>
            <w:vAlign w:val="center"/>
          </w:tcPr>
          <w:p>
            <w:pPr>
              <w:pageBreakBefore w:val="0"/>
              <w:kinsoku/>
              <w:wordWrap/>
              <w:overflowPunct/>
              <w:topLinePunct w:val="0"/>
              <w:autoSpaceDE/>
              <w:autoSpaceDN/>
              <w:bidi w:val="0"/>
              <w:spacing w:line="560" w:lineRule="exact"/>
              <w:jc w:val="center"/>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1</w:t>
            </w:r>
          </w:p>
        </w:tc>
      </w:tr>
    </w:tbl>
    <w:p>
      <w:pPr>
        <w:pageBreakBefore w:val="0"/>
        <w:kinsoku/>
        <w:wordWrap/>
        <w:overflowPunct/>
        <w:topLinePunct w:val="0"/>
        <w:autoSpaceDE/>
        <w:autoSpaceDN/>
        <w:bidi w:val="0"/>
        <w:spacing w:line="560" w:lineRule="exact"/>
        <w:textAlignment w:val="auto"/>
        <w:rPr>
          <w:rFonts w:hint="eastAsia" w:ascii="方正楷体_GBK" w:hAnsi="方正楷体_GBK" w:eastAsia="方正楷体_GBK" w:cs="方正楷体_GBK"/>
          <w:b w:val="0"/>
          <w:bCs/>
          <w:color w:val="auto"/>
          <w:sz w:val="32"/>
          <w:szCs w:val="32"/>
          <w:highlight w:val="none"/>
          <w:lang w:eastAsia="zh-CN"/>
        </w:rPr>
      </w:pPr>
      <w:r>
        <w:rPr>
          <w:rFonts w:hint="eastAsia" w:ascii="方正楷体_GBK" w:hAnsi="方正楷体_GBK" w:eastAsia="方正楷体_GBK" w:cs="方正楷体_GBK"/>
          <w:b w:val="0"/>
          <w:bCs/>
          <w:color w:val="auto"/>
          <w:sz w:val="32"/>
          <w:szCs w:val="32"/>
          <w:highlight w:val="none"/>
          <w:lang w:eastAsia="zh-CN"/>
        </w:rPr>
        <w:t>（</w:t>
      </w:r>
      <w:r>
        <w:rPr>
          <w:rFonts w:hint="eastAsia" w:ascii="方正楷体_GBK" w:hAnsi="方正楷体_GBK" w:eastAsia="方正楷体_GBK" w:cs="方正楷体_GBK"/>
          <w:b w:val="0"/>
          <w:bCs/>
          <w:color w:val="auto"/>
          <w:sz w:val="32"/>
          <w:szCs w:val="32"/>
          <w:highlight w:val="none"/>
          <w:lang w:val="en-US" w:eastAsia="zh-CN"/>
        </w:rPr>
        <w:t>二</w:t>
      </w:r>
      <w:r>
        <w:rPr>
          <w:rFonts w:hint="eastAsia" w:ascii="方正楷体_GBK" w:hAnsi="方正楷体_GBK" w:eastAsia="方正楷体_GBK" w:cs="方正楷体_GBK"/>
          <w:b w:val="0"/>
          <w:bCs/>
          <w:color w:val="auto"/>
          <w:sz w:val="32"/>
          <w:szCs w:val="32"/>
          <w:highlight w:val="none"/>
          <w:lang w:eastAsia="zh-CN"/>
        </w:rPr>
        <w:t>）</w:t>
      </w:r>
      <w:r>
        <w:rPr>
          <w:rFonts w:hint="eastAsia" w:ascii="方正楷体_GBK" w:hAnsi="方正楷体_GBK" w:eastAsia="方正楷体_GBK" w:cs="方正楷体_GBK"/>
          <w:b w:val="0"/>
          <w:bCs/>
          <w:color w:val="auto"/>
          <w:sz w:val="32"/>
          <w:szCs w:val="32"/>
          <w:highlight w:val="none"/>
        </w:rPr>
        <w:t>设备保养清单</w:t>
      </w:r>
      <w:r>
        <w:rPr>
          <w:rFonts w:hint="eastAsia" w:ascii="方正楷体_GBK" w:hAnsi="方正楷体_GBK" w:eastAsia="方正楷体_GBK" w:cs="方正楷体_GBK"/>
          <w:b w:val="0"/>
          <w:bCs/>
          <w:color w:val="auto"/>
          <w:sz w:val="32"/>
          <w:szCs w:val="32"/>
          <w:highlight w:val="none"/>
          <w:lang w:eastAsia="zh-CN"/>
        </w:rPr>
        <w:t>（</w:t>
      </w:r>
      <w:r>
        <w:rPr>
          <w:rFonts w:hint="eastAsia" w:ascii="方正楷体_GBK" w:hAnsi="方正楷体_GBK" w:eastAsia="方正楷体_GBK" w:cs="方正楷体_GBK"/>
          <w:b w:val="0"/>
          <w:bCs/>
          <w:color w:val="auto"/>
          <w:sz w:val="32"/>
          <w:szCs w:val="32"/>
          <w:highlight w:val="none"/>
          <w:lang w:val="en-US" w:eastAsia="zh-CN"/>
        </w:rPr>
        <w:t>纳森</w:t>
      </w:r>
      <w:r>
        <w:rPr>
          <w:rFonts w:hint="eastAsia" w:ascii="方正楷体_GBK" w:hAnsi="方正楷体_GBK" w:eastAsia="方正楷体_GBK" w:cs="方正楷体_GBK"/>
          <w:b w:val="0"/>
          <w:bCs/>
          <w:color w:val="auto"/>
          <w:sz w:val="32"/>
          <w:szCs w:val="32"/>
          <w:highlight w:val="none"/>
          <w:lang w:eastAsia="zh-CN"/>
        </w:rPr>
        <w:t>）</w:t>
      </w:r>
    </w:p>
    <w:tbl>
      <w:tblPr>
        <w:tblStyle w:val="10"/>
        <w:tblW w:w="5000" w:type="pct"/>
        <w:jc w:val="center"/>
        <w:tblLayout w:type="fixed"/>
        <w:tblCellMar>
          <w:top w:w="0" w:type="dxa"/>
          <w:left w:w="108" w:type="dxa"/>
          <w:bottom w:w="0" w:type="dxa"/>
          <w:right w:w="108" w:type="dxa"/>
        </w:tblCellMar>
      </w:tblPr>
      <w:tblGrid>
        <w:gridCol w:w="1009"/>
        <w:gridCol w:w="3712"/>
        <w:gridCol w:w="2888"/>
        <w:gridCol w:w="806"/>
        <w:gridCol w:w="1439"/>
      </w:tblGrid>
      <w:tr>
        <w:tblPrEx>
          <w:tblCellMar>
            <w:top w:w="0" w:type="dxa"/>
            <w:left w:w="108" w:type="dxa"/>
            <w:bottom w:w="0" w:type="dxa"/>
            <w:right w:w="108" w:type="dxa"/>
          </w:tblCellMar>
        </w:tblPrEx>
        <w:trPr>
          <w:trHeight w:val="375" w:hRule="atLeast"/>
          <w:jc w:val="center"/>
        </w:trPr>
        <w:tc>
          <w:tcPr>
            <w:tcW w:w="511"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_GBK" w:cs="Times New Roman"/>
                <w:b/>
                <w:bCs/>
                <w:color w:val="auto"/>
                <w:kern w:val="0"/>
                <w:sz w:val="32"/>
                <w:szCs w:val="32"/>
                <w:highlight w:val="none"/>
              </w:rPr>
            </w:pPr>
            <w:r>
              <w:rPr>
                <w:rFonts w:hint="default" w:ascii="Times New Roman" w:hAnsi="Times New Roman" w:eastAsia="方正仿宋_GBK" w:cs="Times New Roman"/>
                <w:b/>
                <w:bCs/>
                <w:color w:val="auto"/>
                <w:kern w:val="0"/>
                <w:sz w:val="32"/>
                <w:szCs w:val="32"/>
                <w:highlight w:val="none"/>
              </w:rPr>
              <w:t>序号</w:t>
            </w:r>
          </w:p>
        </w:tc>
        <w:tc>
          <w:tcPr>
            <w:tcW w:w="1883" w:type="pct"/>
            <w:tcBorders>
              <w:top w:val="single" w:color="auto" w:sz="4" w:space="0"/>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_GBK" w:cs="Times New Roman"/>
                <w:b/>
                <w:bCs/>
                <w:color w:val="auto"/>
                <w:kern w:val="0"/>
                <w:sz w:val="32"/>
                <w:szCs w:val="32"/>
                <w:highlight w:val="none"/>
              </w:rPr>
            </w:pPr>
            <w:r>
              <w:rPr>
                <w:rFonts w:hint="default" w:ascii="Times New Roman" w:hAnsi="Times New Roman" w:eastAsia="方正仿宋_GBK" w:cs="Times New Roman"/>
                <w:b/>
                <w:bCs/>
                <w:color w:val="auto"/>
                <w:kern w:val="0"/>
                <w:sz w:val="32"/>
                <w:szCs w:val="32"/>
                <w:highlight w:val="none"/>
              </w:rPr>
              <w:t>名称</w:t>
            </w:r>
          </w:p>
        </w:tc>
        <w:tc>
          <w:tcPr>
            <w:tcW w:w="1465" w:type="pct"/>
            <w:tcBorders>
              <w:top w:val="single" w:color="auto" w:sz="4" w:space="0"/>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_GBK" w:cs="Times New Roman"/>
                <w:b/>
                <w:bCs/>
                <w:color w:val="auto"/>
                <w:kern w:val="0"/>
                <w:sz w:val="32"/>
                <w:szCs w:val="32"/>
                <w:highlight w:val="none"/>
              </w:rPr>
            </w:pPr>
            <w:r>
              <w:rPr>
                <w:rFonts w:hint="default" w:ascii="Times New Roman" w:hAnsi="Times New Roman" w:eastAsia="方正仿宋_GBK" w:cs="Times New Roman"/>
                <w:b/>
                <w:bCs/>
                <w:color w:val="auto"/>
                <w:kern w:val="0"/>
                <w:sz w:val="32"/>
                <w:szCs w:val="32"/>
                <w:highlight w:val="none"/>
              </w:rPr>
              <w:t>规格型号</w:t>
            </w:r>
          </w:p>
        </w:tc>
        <w:tc>
          <w:tcPr>
            <w:tcW w:w="408" w:type="pct"/>
            <w:tcBorders>
              <w:top w:val="single" w:color="auto" w:sz="4" w:space="0"/>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_GBK" w:cs="Times New Roman"/>
                <w:b/>
                <w:bCs/>
                <w:color w:val="auto"/>
                <w:kern w:val="0"/>
                <w:sz w:val="32"/>
                <w:szCs w:val="32"/>
                <w:highlight w:val="none"/>
              </w:rPr>
            </w:pPr>
            <w:r>
              <w:rPr>
                <w:rFonts w:hint="default" w:ascii="Times New Roman" w:hAnsi="Times New Roman" w:eastAsia="方正仿宋_GBK" w:cs="Times New Roman"/>
                <w:b/>
                <w:bCs/>
                <w:color w:val="auto"/>
                <w:kern w:val="0"/>
                <w:sz w:val="32"/>
                <w:szCs w:val="32"/>
                <w:highlight w:val="none"/>
              </w:rPr>
              <w:t>单位</w:t>
            </w:r>
          </w:p>
        </w:tc>
        <w:tc>
          <w:tcPr>
            <w:tcW w:w="730" w:type="pct"/>
            <w:tcBorders>
              <w:top w:val="single" w:color="auto" w:sz="4" w:space="0"/>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_GBK" w:cs="Times New Roman"/>
                <w:b/>
                <w:bCs/>
                <w:color w:val="auto"/>
                <w:kern w:val="0"/>
                <w:sz w:val="32"/>
                <w:szCs w:val="32"/>
                <w:highlight w:val="none"/>
              </w:rPr>
            </w:pPr>
            <w:r>
              <w:rPr>
                <w:rFonts w:hint="default" w:ascii="Times New Roman" w:hAnsi="Times New Roman" w:eastAsia="方正仿宋_GBK" w:cs="Times New Roman"/>
                <w:b/>
                <w:bCs/>
                <w:color w:val="auto"/>
                <w:kern w:val="0"/>
                <w:sz w:val="32"/>
                <w:szCs w:val="32"/>
                <w:highlight w:val="none"/>
              </w:rPr>
              <w:t>数量</w:t>
            </w:r>
          </w:p>
        </w:tc>
      </w:tr>
      <w:tr>
        <w:tblPrEx>
          <w:tblCellMar>
            <w:top w:w="0" w:type="dxa"/>
            <w:left w:w="108" w:type="dxa"/>
            <w:bottom w:w="0" w:type="dxa"/>
            <w:right w:w="108" w:type="dxa"/>
          </w:tblCellMar>
        </w:tblPrEx>
        <w:trPr>
          <w:trHeight w:val="380" w:hRule="atLeast"/>
          <w:jc w:val="center"/>
        </w:trPr>
        <w:tc>
          <w:tcPr>
            <w:tcW w:w="511"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kinsoku/>
              <w:wordWrap/>
              <w:overflowPunct/>
              <w:topLinePunct w:val="0"/>
              <w:autoSpaceDE/>
              <w:autoSpaceDN/>
              <w:bidi w:val="0"/>
              <w:spacing w:line="560" w:lineRule="exact"/>
              <w:jc w:val="center"/>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1</w:t>
            </w:r>
          </w:p>
        </w:tc>
        <w:tc>
          <w:tcPr>
            <w:tcW w:w="1883" w:type="pct"/>
            <w:tcBorders>
              <w:top w:val="single" w:color="auto" w:sz="4" w:space="0"/>
              <w:left w:val="nil"/>
              <w:bottom w:val="single" w:color="auto" w:sz="4" w:space="0"/>
              <w:right w:val="single" w:color="auto" w:sz="4" w:space="0"/>
            </w:tcBorders>
            <w:shd w:val="clear" w:color="auto" w:fill="auto"/>
            <w:noWrap/>
            <w:vAlign w:val="center"/>
          </w:tcPr>
          <w:p>
            <w:pPr>
              <w:pageBreakBefore w:val="0"/>
              <w:kinsoku/>
              <w:wordWrap/>
              <w:overflowPunct/>
              <w:topLinePunct w:val="0"/>
              <w:autoSpaceDE/>
              <w:autoSpaceDN/>
              <w:bidi w:val="0"/>
              <w:spacing w:line="560" w:lineRule="exact"/>
              <w:jc w:val="center"/>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lang w:val="en-US" w:eastAsia="zh-CN"/>
              </w:rPr>
              <w:t>纳森</w:t>
            </w:r>
            <w:r>
              <w:rPr>
                <w:rFonts w:hint="default" w:ascii="Times New Roman" w:hAnsi="Times New Roman" w:eastAsia="方正仿宋_GBK" w:cs="Times New Roman"/>
                <w:color w:val="auto"/>
                <w:kern w:val="0"/>
                <w:sz w:val="32"/>
                <w:szCs w:val="32"/>
                <w:highlight w:val="none"/>
              </w:rPr>
              <w:t>水冷螺杆冷水机组</w:t>
            </w:r>
          </w:p>
        </w:tc>
        <w:tc>
          <w:tcPr>
            <w:tcW w:w="1465" w:type="pct"/>
            <w:tcBorders>
              <w:top w:val="single" w:color="auto" w:sz="4" w:space="0"/>
              <w:left w:val="nil"/>
              <w:bottom w:val="single" w:color="auto" w:sz="4" w:space="0"/>
              <w:right w:val="single" w:color="auto" w:sz="4" w:space="0"/>
            </w:tcBorders>
            <w:shd w:val="clear" w:color="auto" w:fill="auto"/>
            <w:noWrap/>
            <w:vAlign w:val="center"/>
          </w:tcPr>
          <w:p>
            <w:pPr>
              <w:pageBreakBefore w:val="0"/>
              <w:kinsoku/>
              <w:wordWrap/>
              <w:overflowPunct/>
              <w:topLinePunct w:val="0"/>
              <w:autoSpaceDE/>
              <w:autoSpaceDN/>
              <w:bidi w:val="0"/>
              <w:spacing w:line="560" w:lineRule="exact"/>
              <w:jc w:val="center"/>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LSBLG1060</w:t>
            </w:r>
          </w:p>
        </w:tc>
        <w:tc>
          <w:tcPr>
            <w:tcW w:w="408" w:type="pct"/>
            <w:tcBorders>
              <w:top w:val="single" w:color="auto" w:sz="4" w:space="0"/>
              <w:left w:val="nil"/>
              <w:bottom w:val="single" w:color="auto" w:sz="4" w:space="0"/>
              <w:right w:val="single" w:color="auto" w:sz="4" w:space="0"/>
            </w:tcBorders>
            <w:shd w:val="clear" w:color="auto" w:fill="auto"/>
            <w:noWrap/>
            <w:vAlign w:val="center"/>
          </w:tcPr>
          <w:p>
            <w:pPr>
              <w:pageBreakBefore w:val="0"/>
              <w:kinsoku/>
              <w:wordWrap/>
              <w:overflowPunct/>
              <w:topLinePunct w:val="0"/>
              <w:autoSpaceDE/>
              <w:autoSpaceDN/>
              <w:bidi w:val="0"/>
              <w:spacing w:line="560" w:lineRule="exact"/>
              <w:jc w:val="center"/>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台</w:t>
            </w:r>
          </w:p>
        </w:tc>
        <w:tc>
          <w:tcPr>
            <w:tcW w:w="730" w:type="pct"/>
            <w:tcBorders>
              <w:top w:val="single" w:color="auto" w:sz="4" w:space="0"/>
              <w:left w:val="nil"/>
              <w:bottom w:val="single" w:color="auto" w:sz="4" w:space="0"/>
              <w:right w:val="single" w:color="auto" w:sz="4" w:space="0"/>
            </w:tcBorders>
            <w:shd w:val="clear" w:color="auto" w:fill="auto"/>
            <w:noWrap/>
            <w:vAlign w:val="center"/>
          </w:tcPr>
          <w:p>
            <w:pPr>
              <w:pageBreakBefore w:val="0"/>
              <w:kinsoku/>
              <w:wordWrap/>
              <w:overflowPunct/>
              <w:topLinePunct w:val="0"/>
              <w:autoSpaceDE/>
              <w:autoSpaceDN/>
              <w:bidi w:val="0"/>
              <w:spacing w:line="560" w:lineRule="exact"/>
              <w:jc w:val="center"/>
              <w:textAlignment w:val="auto"/>
              <w:rPr>
                <w:rFonts w:hint="default" w:ascii="Times New Roman" w:hAnsi="Times New Roman" w:eastAsia="方正仿宋_GBK" w:cs="Times New Roman"/>
                <w:color w:val="auto"/>
                <w:kern w:val="0"/>
                <w:sz w:val="32"/>
                <w:szCs w:val="32"/>
                <w:highlight w:val="none"/>
                <w:lang w:eastAsia="zh-CN"/>
              </w:rPr>
            </w:pPr>
            <w:r>
              <w:rPr>
                <w:rFonts w:hint="default" w:ascii="Times New Roman" w:hAnsi="Times New Roman" w:eastAsia="方正仿宋_GBK" w:cs="Times New Roman"/>
                <w:color w:val="auto"/>
                <w:kern w:val="0"/>
                <w:sz w:val="32"/>
                <w:szCs w:val="32"/>
                <w:highlight w:val="none"/>
                <w:lang w:val="en-US" w:eastAsia="zh-CN"/>
              </w:rPr>
              <w:t>2</w:t>
            </w:r>
          </w:p>
        </w:tc>
      </w:tr>
      <w:tr>
        <w:tblPrEx>
          <w:tblCellMar>
            <w:top w:w="0" w:type="dxa"/>
            <w:left w:w="108" w:type="dxa"/>
            <w:bottom w:w="0" w:type="dxa"/>
            <w:right w:w="108" w:type="dxa"/>
          </w:tblCellMar>
        </w:tblPrEx>
        <w:trPr>
          <w:trHeight w:val="380" w:hRule="atLeast"/>
          <w:jc w:val="center"/>
        </w:trPr>
        <w:tc>
          <w:tcPr>
            <w:tcW w:w="511" w:type="pct"/>
            <w:tcBorders>
              <w:top w:val="nil"/>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2</w:t>
            </w:r>
          </w:p>
        </w:tc>
        <w:tc>
          <w:tcPr>
            <w:tcW w:w="1883" w:type="pct"/>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暗装卧式风机盘管</w:t>
            </w:r>
          </w:p>
        </w:tc>
        <w:tc>
          <w:tcPr>
            <w:tcW w:w="1465" w:type="pct"/>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综合规格</w:t>
            </w:r>
          </w:p>
        </w:tc>
        <w:tc>
          <w:tcPr>
            <w:tcW w:w="408" w:type="pct"/>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台</w:t>
            </w:r>
          </w:p>
        </w:tc>
        <w:tc>
          <w:tcPr>
            <w:tcW w:w="730" w:type="pct"/>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_GBK" w:cs="Times New Roman"/>
                <w:color w:val="auto"/>
                <w:kern w:val="0"/>
                <w:sz w:val="32"/>
                <w:szCs w:val="32"/>
                <w:highlight w:val="none"/>
                <w:lang w:eastAsia="zh-CN"/>
              </w:rPr>
            </w:pPr>
            <w:r>
              <w:rPr>
                <w:rFonts w:hint="default" w:ascii="Times New Roman" w:hAnsi="Times New Roman" w:eastAsia="方正仿宋_GBK" w:cs="Times New Roman"/>
                <w:color w:val="auto"/>
                <w:kern w:val="0"/>
                <w:sz w:val="32"/>
                <w:szCs w:val="32"/>
                <w:highlight w:val="none"/>
                <w:lang w:val="en-US" w:eastAsia="zh-CN"/>
              </w:rPr>
              <w:t>427</w:t>
            </w:r>
          </w:p>
        </w:tc>
      </w:tr>
      <w:tr>
        <w:tblPrEx>
          <w:tblCellMar>
            <w:top w:w="0" w:type="dxa"/>
            <w:left w:w="108" w:type="dxa"/>
            <w:bottom w:w="0" w:type="dxa"/>
            <w:right w:w="108" w:type="dxa"/>
          </w:tblCellMar>
        </w:tblPrEx>
        <w:trPr>
          <w:trHeight w:val="380" w:hRule="atLeast"/>
          <w:jc w:val="center"/>
        </w:trPr>
        <w:tc>
          <w:tcPr>
            <w:tcW w:w="511" w:type="pct"/>
            <w:tcBorders>
              <w:top w:val="nil"/>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3</w:t>
            </w:r>
          </w:p>
        </w:tc>
        <w:tc>
          <w:tcPr>
            <w:tcW w:w="1883" w:type="pct"/>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冷却塔</w:t>
            </w:r>
          </w:p>
        </w:tc>
        <w:tc>
          <w:tcPr>
            <w:tcW w:w="1465" w:type="pct"/>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lang w:val="en-US" w:eastAsia="zh-CN"/>
              </w:rPr>
              <w:t>700m³</w:t>
            </w:r>
          </w:p>
        </w:tc>
        <w:tc>
          <w:tcPr>
            <w:tcW w:w="408" w:type="pct"/>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台</w:t>
            </w:r>
          </w:p>
        </w:tc>
        <w:tc>
          <w:tcPr>
            <w:tcW w:w="730" w:type="pct"/>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1</w:t>
            </w:r>
          </w:p>
        </w:tc>
      </w:tr>
      <w:tr>
        <w:tblPrEx>
          <w:tblCellMar>
            <w:top w:w="0" w:type="dxa"/>
            <w:left w:w="108" w:type="dxa"/>
            <w:bottom w:w="0" w:type="dxa"/>
            <w:right w:w="108" w:type="dxa"/>
          </w:tblCellMar>
        </w:tblPrEx>
        <w:trPr>
          <w:trHeight w:val="380" w:hRule="atLeast"/>
          <w:jc w:val="center"/>
        </w:trPr>
        <w:tc>
          <w:tcPr>
            <w:tcW w:w="511" w:type="pct"/>
            <w:tcBorders>
              <w:top w:val="nil"/>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4</w:t>
            </w:r>
          </w:p>
        </w:tc>
        <w:tc>
          <w:tcPr>
            <w:tcW w:w="1883" w:type="pct"/>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冷冻</w:t>
            </w:r>
            <w:r>
              <w:rPr>
                <w:rFonts w:hint="default" w:ascii="Times New Roman" w:hAnsi="Times New Roman" w:eastAsia="方正仿宋_GBK" w:cs="Times New Roman"/>
                <w:color w:val="auto"/>
                <w:kern w:val="0"/>
                <w:sz w:val="32"/>
                <w:szCs w:val="32"/>
                <w:highlight w:val="none"/>
                <w:lang w:val="en-US" w:eastAsia="zh-CN"/>
              </w:rPr>
              <w:t>泵</w:t>
            </w:r>
          </w:p>
        </w:tc>
        <w:tc>
          <w:tcPr>
            <w:tcW w:w="1465" w:type="pct"/>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35kW</w:t>
            </w:r>
          </w:p>
        </w:tc>
        <w:tc>
          <w:tcPr>
            <w:tcW w:w="408" w:type="pct"/>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lang w:val="en-US" w:eastAsia="zh-CN"/>
              </w:rPr>
              <w:t>台</w:t>
            </w:r>
          </w:p>
        </w:tc>
        <w:tc>
          <w:tcPr>
            <w:tcW w:w="730" w:type="pct"/>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_GBK" w:cs="Times New Roman"/>
                <w:color w:val="auto"/>
                <w:kern w:val="0"/>
                <w:sz w:val="32"/>
                <w:szCs w:val="32"/>
                <w:highlight w:val="none"/>
                <w:lang w:eastAsia="zh-CN"/>
              </w:rPr>
            </w:pPr>
            <w:r>
              <w:rPr>
                <w:rFonts w:hint="default" w:ascii="Times New Roman" w:hAnsi="Times New Roman" w:eastAsia="方正仿宋_GBK" w:cs="Times New Roman"/>
                <w:color w:val="auto"/>
                <w:kern w:val="0"/>
                <w:sz w:val="32"/>
                <w:szCs w:val="32"/>
                <w:highlight w:val="none"/>
                <w:lang w:val="en-US" w:eastAsia="zh-CN"/>
              </w:rPr>
              <w:t>3</w:t>
            </w:r>
          </w:p>
        </w:tc>
      </w:tr>
      <w:tr>
        <w:tblPrEx>
          <w:tblCellMar>
            <w:top w:w="0" w:type="dxa"/>
            <w:left w:w="108" w:type="dxa"/>
            <w:bottom w:w="0" w:type="dxa"/>
            <w:right w:w="108" w:type="dxa"/>
          </w:tblCellMar>
        </w:tblPrEx>
        <w:trPr>
          <w:trHeight w:val="380" w:hRule="atLeast"/>
          <w:jc w:val="center"/>
        </w:trPr>
        <w:tc>
          <w:tcPr>
            <w:tcW w:w="511" w:type="pct"/>
            <w:tcBorders>
              <w:top w:val="nil"/>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5</w:t>
            </w:r>
          </w:p>
        </w:tc>
        <w:tc>
          <w:tcPr>
            <w:tcW w:w="1883" w:type="pct"/>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rPr>
              <w:t>冷却泵</w:t>
            </w:r>
          </w:p>
        </w:tc>
        <w:tc>
          <w:tcPr>
            <w:tcW w:w="1465" w:type="pct"/>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45</w:t>
            </w:r>
            <w:r>
              <w:rPr>
                <w:rFonts w:hint="eastAsia" w:eastAsia="方正仿宋_GBK" w:cs="Times New Roman"/>
                <w:color w:val="auto"/>
                <w:kern w:val="0"/>
                <w:sz w:val="32"/>
                <w:szCs w:val="32"/>
                <w:highlight w:val="none"/>
                <w:lang w:val="en-US" w:eastAsia="zh-CN"/>
              </w:rPr>
              <w:t>kW</w:t>
            </w:r>
          </w:p>
        </w:tc>
        <w:tc>
          <w:tcPr>
            <w:tcW w:w="408" w:type="pct"/>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rPr>
              <w:t>台</w:t>
            </w:r>
          </w:p>
        </w:tc>
        <w:tc>
          <w:tcPr>
            <w:tcW w:w="730" w:type="pct"/>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3</w:t>
            </w:r>
          </w:p>
        </w:tc>
      </w:tr>
      <w:tr>
        <w:tblPrEx>
          <w:tblCellMar>
            <w:top w:w="0" w:type="dxa"/>
            <w:left w:w="108" w:type="dxa"/>
            <w:bottom w:w="0" w:type="dxa"/>
            <w:right w:w="108" w:type="dxa"/>
          </w:tblCellMar>
        </w:tblPrEx>
        <w:trPr>
          <w:trHeight w:val="380" w:hRule="atLeast"/>
          <w:jc w:val="center"/>
        </w:trPr>
        <w:tc>
          <w:tcPr>
            <w:tcW w:w="511" w:type="pct"/>
            <w:tcBorders>
              <w:top w:val="nil"/>
              <w:left w:val="single" w:color="auto" w:sz="4" w:space="0"/>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6</w:t>
            </w:r>
          </w:p>
        </w:tc>
        <w:tc>
          <w:tcPr>
            <w:tcW w:w="1883" w:type="pct"/>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配电柜</w:t>
            </w:r>
          </w:p>
        </w:tc>
        <w:tc>
          <w:tcPr>
            <w:tcW w:w="1465" w:type="pct"/>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560" w:lineRule="exact"/>
              <w:ind w:firstLine="640" w:firstLineChars="200"/>
              <w:jc w:val="center"/>
              <w:textAlignment w:val="auto"/>
              <w:rPr>
                <w:rFonts w:hint="default" w:ascii="Times New Roman" w:hAnsi="Times New Roman" w:eastAsia="方正仿宋_GBK" w:cs="Times New Roman"/>
                <w:color w:val="auto"/>
                <w:kern w:val="0"/>
                <w:sz w:val="32"/>
                <w:szCs w:val="32"/>
                <w:highlight w:val="none"/>
              </w:rPr>
            </w:pPr>
          </w:p>
        </w:tc>
        <w:tc>
          <w:tcPr>
            <w:tcW w:w="408" w:type="pct"/>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lang w:val="en-US" w:eastAsia="zh-CN"/>
              </w:rPr>
              <w:t>个</w:t>
            </w:r>
          </w:p>
        </w:tc>
        <w:tc>
          <w:tcPr>
            <w:tcW w:w="730" w:type="pct"/>
            <w:tcBorders>
              <w:top w:val="nil"/>
              <w:left w:val="nil"/>
              <w:bottom w:val="single" w:color="auto" w:sz="4" w:space="0"/>
              <w:right w:val="single" w:color="auto" w:sz="4" w:space="0"/>
            </w:tcBorders>
            <w:shd w:val="clear" w:color="auto" w:fill="auto"/>
            <w:noWrap/>
            <w:vAlign w:val="center"/>
          </w:tcPr>
          <w:p>
            <w:pPr>
              <w:pageBreakBefore w:val="0"/>
              <w:widowControl/>
              <w:kinsoku/>
              <w:wordWrap/>
              <w:overflowPunct/>
              <w:topLinePunct w:val="0"/>
              <w:autoSpaceDE/>
              <w:autoSpaceDN/>
              <w:bidi w:val="0"/>
              <w:spacing w:line="560" w:lineRule="exact"/>
              <w:jc w:val="center"/>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lang w:val="en-US" w:eastAsia="zh-CN"/>
              </w:rPr>
              <w:t>3</w:t>
            </w:r>
          </w:p>
        </w:tc>
      </w:tr>
      <w:tr>
        <w:tblPrEx>
          <w:tblCellMar>
            <w:top w:w="0" w:type="dxa"/>
            <w:left w:w="108" w:type="dxa"/>
            <w:bottom w:w="0" w:type="dxa"/>
            <w:right w:w="108" w:type="dxa"/>
          </w:tblCellMar>
        </w:tblPrEx>
        <w:trPr>
          <w:trHeight w:val="380" w:hRule="atLeast"/>
          <w:jc w:val="center"/>
        </w:trPr>
        <w:tc>
          <w:tcPr>
            <w:tcW w:w="511"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kinsoku/>
              <w:wordWrap/>
              <w:overflowPunct/>
              <w:topLinePunct w:val="0"/>
              <w:autoSpaceDE/>
              <w:autoSpaceDN/>
              <w:bidi w:val="0"/>
              <w:spacing w:line="560" w:lineRule="exact"/>
              <w:jc w:val="center"/>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7</w:t>
            </w:r>
          </w:p>
        </w:tc>
        <w:tc>
          <w:tcPr>
            <w:tcW w:w="1883" w:type="pct"/>
            <w:tcBorders>
              <w:top w:val="single" w:color="auto" w:sz="4" w:space="0"/>
              <w:left w:val="nil"/>
              <w:bottom w:val="single" w:color="auto" w:sz="4" w:space="0"/>
              <w:right w:val="single" w:color="auto" w:sz="4" w:space="0"/>
            </w:tcBorders>
            <w:shd w:val="clear" w:color="auto" w:fill="auto"/>
            <w:noWrap/>
            <w:vAlign w:val="center"/>
          </w:tcPr>
          <w:p>
            <w:pPr>
              <w:pageBreakBefore w:val="0"/>
              <w:kinsoku/>
              <w:wordWrap/>
              <w:overflowPunct/>
              <w:topLinePunct w:val="0"/>
              <w:autoSpaceDE/>
              <w:autoSpaceDN/>
              <w:bidi w:val="0"/>
              <w:spacing w:line="560" w:lineRule="exact"/>
              <w:jc w:val="center"/>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lang w:eastAsia="zh-CN"/>
              </w:rPr>
              <w:t>系统管网</w:t>
            </w:r>
          </w:p>
        </w:tc>
        <w:tc>
          <w:tcPr>
            <w:tcW w:w="1465" w:type="pct"/>
            <w:tcBorders>
              <w:top w:val="single" w:color="auto" w:sz="4" w:space="0"/>
              <w:left w:val="nil"/>
              <w:bottom w:val="single" w:color="auto" w:sz="4" w:space="0"/>
              <w:right w:val="single" w:color="auto" w:sz="4" w:space="0"/>
            </w:tcBorders>
            <w:shd w:val="clear" w:color="auto" w:fill="auto"/>
            <w:noWrap/>
            <w:vAlign w:val="center"/>
          </w:tcPr>
          <w:p>
            <w:pPr>
              <w:pageBreakBefore w:val="0"/>
              <w:kinsoku/>
              <w:wordWrap/>
              <w:overflowPunct/>
              <w:topLinePunct w:val="0"/>
              <w:autoSpaceDE/>
              <w:autoSpaceDN/>
              <w:bidi w:val="0"/>
              <w:spacing w:line="560" w:lineRule="exact"/>
              <w:ind w:firstLine="640" w:firstLineChars="200"/>
              <w:jc w:val="center"/>
              <w:textAlignment w:val="auto"/>
              <w:rPr>
                <w:rFonts w:hint="default" w:ascii="Times New Roman" w:hAnsi="Times New Roman" w:eastAsia="方正仿宋_GBK" w:cs="Times New Roman"/>
                <w:color w:val="auto"/>
                <w:kern w:val="0"/>
                <w:sz w:val="32"/>
                <w:szCs w:val="32"/>
                <w:highlight w:val="none"/>
              </w:rPr>
            </w:pPr>
          </w:p>
        </w:tc>
        <w:tc>
          <w:tcPr>
            <w:tcW w:w="408" w:type="pct"/>
            <w:tcBorders>
              <w:top w:val="single" w:color="auto" w:sz="4" w:space="0"/>
              <w:left w:val="nil"/>
              <w:bottom w:val="single" w:color="auto" w:sz="4" w:space="0"/>
              <w:right w:val="single" w:color="auto" w:sz="4" w:space="0"/>
            </w:tcBorders>
            <w:shd w:val="clear" w:color="auto" w:fill="auto"/>
            <w:noWrap/>
            <w:vAlign w:val="center"/>
          </w:tcPr>
          <w:p>
            <w:pPr>
              <w:pageBreakBefore w:val="0"/>
              <w:kinsoku/>
              <w:wordWrap/>
              <w:overflowPunct/>
              <w:topLinePunct w:val="0"/>
              <w:autoSpaceDE/>
              <w:autoSpaceDN/>
              <w:bidi w:val="0"/>
              <w:spacing w:line="560" w:lineRule="exact"/>
              <w:jc w:val="center"/>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lang w:val="en-US" w:eastAsia="zh-CN"/>
              </w:rPr>
              <w:t>套</w:t>
            </w:r>
          </w:p>
        </w:tc>
        <w:tc>
          <w:tcPr>
            <w:tcW w:w="730" w:type="pct"/>
            <w:tcBorders>
              <w:top w:val="single" w:color="auto" w:sz="4" w:space="0"/>
              <w:left w:val="nil"/>
              <w:bottom w:val="single" w:color="auto" w:sz="4" w:space="0"/>
              <w:right w:val="single" w:color="auto" w:sz="4" w:space="0"/>
            </w:tcBorders>
            <w:shd w:val="clear" w:color="auto" w:fill="auto"/>
            <w:noWrap/>
            <w:vAlign w:val="center"/>
          </w:tcPr>
          <w:p>
            <w:pPr>
              <w:pageBreakBefore w:val="0"/>
              <w:kinsoku/>
              <w:wordWrap/>
              <w:overflowPunct/>
              <w:topLinePunct w:val="0"/>
              <w:autoSpaceDE/>
              <w:autoSpaceDN/>
              <w:bidi w:val="0"/>
              <w:spacing w:line="560" w:lineRule="exact"/>
              <w:jc w:val="center"/>
              <w:textAlignment w:val="auto"/>
              <w:rPr>
                <w:rFonts w:hint="default" w:ascii="Times New Roman" w:hAnsi="Times New Roman" w:eastAsia="方正仿宋_GBK" w:cs="Times New Roman"/>
                <w:color w:val="auto"/>
                <w:kern w:val="0"/>
                <w:sz w:val="32"/>
                <w:szCs w:val="32"/>
                <w:highlight w:val="none"/>
                <w:lang w:eastAsia="zh-CN"/>
              </w:rPr>
            </w:pPr>
            <w:r>
              <w:rPr>
                <w:rFonts w:hint="default" w:ascii="Times New Roman" w:hAnsi="Times New Roman" w:eastAsia="方正仿宋_GBK" w:cs="Times New Roman"/>
                <w:color w:val="auto"/>
                <w:kern w:val="0"/>
                <w:sz w:val="32"/>
                <w:szCs w:val="32"/>
                <w:highlight w:val="none"/>
                <w:lang w:val="en-US" w:eastAsia="zh-CN"/>
              </w:rPr>
              <w:t>1</w:t>
            </w:r>
          </w:p>
        </w:tc>
      </w:tr>
    </w:tbl>
    <w:p>
      <w:pPr>
        <w:pageBreakBefore w:val="0"/>
        <w:numPr>
          <w:ilvl w:val="0"/>
          <w:numId w:val="0"/>
        </w:numPr>
        <w:kinsoku/>
        <w:wordWrap/>
        <w:overflowPunct/>
        <w:topLinePunct w:val="0"/>
        <w:autoSpaceDE/>
        <w:autoSpaceDN/>
        <w:bidi w:val="0"/>
        <w:spacing w:line="560" w:lineRule="exact"/>
        <w:textAlignment w:val="auto"/>
        <w:rPr>
          <w:rFonts w:hint="default" w:ascii="方正黑体_GBK" w:hAnsi="方正黑体_GBK" w:eastAsia="方正黑体_GBK" w:cs="方正黑体_GBK"/>
          <w:b/>
          <w:color w:val="auto"/>
          <w:kern w:val="2"/>
          <w:sz w:val="32"/>
          <w:szCs w:val="32"/>
          <w:highlight w:val="none"/>
          <w:lang w:val="en-US" w:eastAsia="zh-CN" w:bidi="ar-SA"/>
        </w:rPr>
      </w:pPr>
      <w:r>
        <w:rPr>
          <w:rFonts w:hint="default" w:ascii="方正黑体_GBK" w:hAnsi="方正黑体_GBK" w:eastAsia="方正黑体_GBK" w:cs="方正黑体_GBK"/>
          <w:b/>
          <w:color w:val="auto"/>
          <w:kern w:val="2"/>
          <w:sz w:val="32"/>
          <w:szCs w:val="32"/>
          <w:highlight w:val="none"/>
          <w:lang w:val="en-US" w:eastAsia="zh-CN" w:bidi="ar-SA"/>
        </w:rPr>
        <w:t>二、维保内容及技术要求</w:t>
      </w:r>
    </w:p>
    <w:tbl>
      <w:tblPr>
        <w:tblStyle w:val="10"/>
        <w:tblW w:w="5000" w:type="pct"/>
        <w:tblInd w:w="0" w:type="dxa"/>
        <w:tblLayout w:type="fixed"/>
        <w:tblCellMar>
          <w:top w:w="0" w:type="dxa"/>
          <w:left w:w="108" w:type="dxa"/>
          <w:bottom w:w="0" w:type="dxa"/>
          <w:right w:w="108" w:type="dxa"/>
        </w:tblCellMar>
      </w:tblPr>
      <w:tblGrid>
        <w:gridCol w:w="946"/>
        <w:gridCol w:w="1394"/>
        <w:gridCol w:w="5419"/>
        <w:gridCol w:w="2095"/>
      </w:tblGrid>
      <w:tr>
        <w:tblPrEx>
          <w:tblCellMar>
            <w:top w:w="0" w:type="dxa"/>
            <w:left w:w="108" w:type="dxa"/>
            <w:bottom w:w="0" w:type="dxa"/>
            <w:right w:w="108" w:type="dxa"/>
          </w:tblCellMar>
        </w:tblPrEx>
        <w:trPr>
          <w:trHeight w:val="23" w:hRule="atLeast"/>
          <w:tblHeader/>
        </w:trPr>
        <w:tc>
          <w:tcPr>
            <w:tcW w:w="480" w:type="pc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kinsoku/>
              <w:wordWrap/>
              <w:overflowPunct/>
              <w:topLinePunct w:val="0"/>
              <w:autoSpaceDE/>
              <w:autoSpaceDN/>
              <w:bidi w:val="0"/>
              <w:spacing w:line="560" w:lineRule="exact"/>
              <w:jc w:val="center"/>
              <w:textAlignment w:val="auto"/>
              <w:rPr>
                <w:rFonts w:hint="default" w:ascii="Times New Roman" w:hAnsi="Times New Roman" w:eastAsia="方正仿宋_GBK" w:cs="Times New Roman"/>
                <w:b/>
                <w:bCs/>
                <w:color w:val="auto"/>
                <w:kern w:val="0"/>
                <w:sz w:val="32"/>
                <w:szCs w:val="32"/>
                <w:highlight w:val="none"/>
              </w:rPr>
            </w:pPr>
            <w:r>
              <w:rPr>
                <w:rFonts w:hint="default" w:ascii="Times New Roman" w:hAnsi="Times New Roman" w:eastAsia="方正仿宋_GBK" w:cs="Times New Roman"/>
                <w:b/>
                <w:bCs/>
                <w:color w:val="auto"/>
                <w:kern w:val="0"/>
                <w:sz w:val="32"/>
                <w:szCs w:val="32"/>
                <w:highlight w:val="none"/>
              </w:rPr>
              <w:t>序号</w:t>
            </w:r>
          </w:p>
        </w:tc>
        <w:tc>
          <w:tcPr>
            <w:tcW w:w="707" w:type="pct"/>
            <w:tcBorders>
              <w:top w:val="single" w:color="auto" w:sz="4" w:space="0"/>
              <w:left w:val="nil"/>
              <w:bottom w:val="single" w:color="auto" w:sz="4" w:space="0"/>
              <w:right w:val="single" w:color="auto" w:sz="4" w:space="0"/>
            </w:tcBorders>
            <w:shd w:val="clear" w:color="auto" w:fill="auto"/>
            <w:noWrap/>
            <w:vAlign w:val="center"/>
          </w:tcPr>
          <w:p>
            <w:pPr>
              <w:pageBreakBefore w:val="0"/>
              <w:kinsoku/>
              <w:wordWrap/>
              <w:overflowPunct/>
              <w:topLinePunct w:val="0"/>
              <w:autoSpaceDE/>
              <w:autoSpaceDN/>
              <w:bidi w:val="0"/>
              <w:spacing w:line="560" w:lineRule="exact"/>
              <w:jc w:val="center"/>
              <w:textAlignment w:val="auto"/>
              <w:rPr>
                <w:rFonts w:hint="default" w:ascii="Times New Roman" w:hAnsi="Times New Roman" w:eastAsia="方正仿宋_GBK" w:cs="Times New Roman"/>
                <w:b/>
                <w:bCs/>
                <w:color w:val="auto"/>
                <w:kern w:val="0"/>
                <w:sz w:val="32"/>
                <w:szCs w:val="32"/>
                <w:highlight w:val="none"/>
              </w:rPr>
            </w:pPr>
            <w:r>
              <w:rPr>
                <w:rFonts w:hint="default" w:ascii="Times New Roman" w:hAnsi="Times New Roman" w:eastAsia="方正仿宋_GBK" w:cs="Times New Roman"/>
                <w:b/>
                <w:bCs/>
                <w:color w:val="auto"/>
                <w:kern w:val="0"/>
                <w:sz w:val="32"/>
                <w:szCs w:val="32"/>
                <w:highlight w:val="none"/>
              </w:rPr>
              <w:t>名称</w:t>
            </w:r>
          </w:p>
        </w:tc>
        <w:tc>
          <w:tcPr>
            <w:tcW w:w="2749" w:type="pct"/>
            <w:tcBorders>
              <w:top w:val="single" w:color="auto" w:sz="4" w:space="0"/>
              <w:left w:val="nil"/>
              <w:bottom w:val="single" w:color="auto" w:sz="4" w:space="0"/>
              <w:right w:val="single" w:color="auto" w:sz="4" w:space="0"/>
            </w:tcBorders>
            <w:shd w:val="clear" w:color="auto" w:fill="auto"/>
            <w:noWrap/>
            <w:vAlign w:val="center"/>
          </w:tcPr>
          <w:p>
            <w:pPr>
              <w:pageBreakBefore w:val="0"/>
              <w:kinsoku/>
              <w:wordWrap/>
              <w:overflowPunct/>
              <w:topLinePunct w:val="0"/>
              <w:autoSpaceDE/>
              <w:autoSpaceDN/>
              <w:bidi w:val="0"/>
              <w:spacing w:line="560" w:lineRule="exact"/>
              <w:jc w:val="center"/>
              <w:textAlignment w:val="auto"/>
              <w:rPr>
                <w:rFonts w:hint="default" w:ascii="Times New Roman" w:hAnsi="Times New Roman" w:eastAsia="方正仿宋_GBK" w:cs="Times New Roman"/>
                <w:b/>
                <w:bCs/>
                <w:color w:val="auto"/>
                <w:kern w:val="0"/>
                <w:sz w:val="32"/>
                <w:szCs w:val="32"/>
                <w:highlight w:val="none"/>
              </w:rPr>
            </w:pPr>
            <w:r>
              <w:rPr>
                <w:rFonts w:hint="default" w:ascii="Times New Roman" w:hAnsi="Times New Roman" w:eastAsia="方正仿宋_GBK" w:cs="Times New Roman"/>
                <w:b/>
                <w:bCs/>
                <w:color w:val="auto"/>
                <w:kern w:val="0"/>
                <w:sz w:val="32"/>
                <w:szCs w:val="32"/>
                <w:highlight w:val="none"/>
              </w:rPr>
              <w:t>维保内容及技术要求</w:t>
            </w:r>
          </w:p>
        </w:tc>
        <w:tc>
          <w:tcPr>
            <w:tcW w:w="1063" w:type="pct"/>
            <w:tcBorders>
              <w:top w:val="single" w:color="auto" w:sz="4" w:space="0"/>
              <w:left w:val="nil"/>
              <w:bottom w:val="single" w:color="auto" w:sz="4" w:space="0"/>
              <w:right w:val="single" w:color="auto" w:sz="4" w:space="0"/>
            </w:tcBorders>
            <w:shd w:val="clear" w:color="auto" w:fill="auto"/>
            <w:noWrap/>
            <w:vAlign w:val="center"/>
          </w:tcPr>
          <w:p>
            <w:pPr>
              <w:pageBreakBefore w:val="0"/>
              <w:kinsoku/>
              <w:wordWrap/>
              <w:overflowPunct/>
              <w:topLinePunct w:val="0"/>
              <w:autoSpaceDE/>
              <w:autoSpaceDN/>
              <w:bidi w:val="0"/>
              <w:spacing w:line="560" w:lineRule="exact"/>
              <w:jc w:val="center"/>
              <w:textAlignment w:val="auto"/>
              <w:rPr>
                <w:rFonts w:hint="default" w:ascii="Times New Roman" w:hAnsi="Times New Roman" w:eastAsia="方正仿宋_GBK" w:cs="Times New Roman"/>
                <w:b/>
                <w:bCs/>
                <w:color w:val="auto"/>
                <w:kern w:val="0"/>
                <w:sz w:val="32"/>
                <w:szCs w:val="32"/>
                <w:highlight w:val="none"/>
              </w:rPr>
            </w:pPr>
            <w:r>
              <w:rPr>
                <w:rFonts w:hint="default" w:ascii="Times New Roman" w:hAnsi="Times New Roman" w:eastAsia="方正仿宋_GBK" w:cs="Times New Roman"/>
                <w:b/>
                <w:bCs/>
                <w:color w:val="auto"/>
                <w:kern w:val="0"/>
                <w:sz w:val="32"/>
                <w:szCs w:val="32"/>
                <w:highlight w:val="none"/>
              </w:rPr>
              <w:t>备注</w:t>
            </w:r>
          </w:p>
        </w:tc>
      </w:tr>
      <w:tr>
        <w:tblPrEx>
          <w:tblCellMar>
            <w:top w:w="0" w:type="dxa"/>
            <w:left w:w="108" w:type="dxa"/>
            <w:bottom w:w="0" w:type="dxa"/>
            <w:right w:w="108" w:type="dxa"/>
          </w:tblCellMar>
        </w:tblPrEx>
        <w:trPr>
          <w:trHeight w:val="23" w:hRule="atLeast"/>
        </w:trPr>
        <w:tc>
          <w:tcPr>
            <w:tcW w:w="480"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kern w:val="0"/>
                <w:sz w:val="32"/>
                <w:szCs w:val="32"/>
                <w:highlight w:val="none"/>
                <w:lang w:eastAsia="zh-CN"/>
              </w:rPr>
            </w:pPr>
            <w:r>
              <w:rPr>
                <w:rFonts w:hint="eastAsia" w:ascii="方正仿宋_GBK" w:hAnsi="方正仿宋_GBK" w:eastAsia="方正仿宋_GBK" w:cs="方正仿宋_GBK"/>
                <w:color w:val="auto"/>
                <w:kern w:val="0"/>
                <w:sz w:val="32"/>
                <w:szCs w:val="32"/>
                <w:highlight w:val="none"/>
                <w:lang w:val="en-US" w:eastAsia="zh-CN"/>
              </w:rPr>
              <w:t>1</w:t>
            </w:r>
          </w:p>
        </w:tc>
        <w:tc>
          <w:tcPr>
            <w:tcW w:w="70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水冷螺杆机组</w:t>
            </w:r>
          </w:p>
        </w:tc>
        <w:tc>
          <w:tcPr>
            <w:tcW w:w="274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（1）</w:t>
            </w:r>
            <w:r>
              <w:rPr>
                <w:rFonts w:hint="eastAsia" w:ascii="方正仿宋_GBK" w:hAnsi="方正仿宋_GBK" w:eastAsia="方正仿宋_GBK" w:cs="方正仿宋_GBK"/>
                <w:color w:val="auto"/>
                <w:kern w:val="0"/>
                <w:sz w:val="32"/>
                <w:szCs w:val="32"/>
                <w:highlight w:val="none"/>
                <w:lang w:eastAsia="zh-CN"/>
              </w:rPr>
              <w:t>根据实际运行情况，</w:t>
            </w:r>
            <w:r>
              <w:rPr>
                <w:rFonts w:hint="eastAsia" w:ascii="方正仿宋_GBK" w:hAnsi="方正仿宋_GBK" w:eastAsia="方正仿宋_GBK" w:cs="方正仿宋_GBK"/>
                <w:color w:val="auto"/>
                <w:kern w:val="0"/>
                <w:sz w:val="32"/>
                <w:szCs w:val="32"/>
                <w:highlight w:val="none"/>
              </w:rPr>
              <w:t>每年维保期内</w:t>
            </w:r>
            <w:r>
              <w:rPr>
                <w:rFonts w:hint="eastAsia" w:ascii="方正仿宋_GBK" w:hAnsi="方正仿宋_GBK" w:eastAsia="方正仿宋_GBK" w:cs="方正仿宋_GBK"/>
                <w:color w:val="auto"/>
                <w:kern w:val="0"/>
                <w:sz w:val="32"/>
                <w:szCs w:val="32"/>
                <w:highlight w:val="none"/>
                <w:lang w:val="en-US" w:eastAsia="zh-CN"/>
              </w:rPr>
              <w:t>对当年需投入运行的</w:t>
            </w:r>
            <w:r>
              <w:rPr>
                <w:rFonts w:hint="eastAsia" w:ascii="方正仿宋_GBK" w:hAnsi="方正仿宋_GBK" w:eastAsia="方正仿宋_GBK" w:cs="方正仿宋_GBK"/>
                <w:color w:val="auto"/>
                <w:kern w:val="0"/>
                <w:sz w:val="32"/>
                <w:szCs w:val="32"/>
                <w:highlight w:val="none"/>
              </w:rPr>
              <w:t>水冷螺杆主机冷冻油更换一次；</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（2）供冷季节运行前须进行各项检查和清洗保养工作，以确保机组可靠、安全和高效运行；</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（3）对破损保温及机组表面锈蚀处进行恢复处理，保证机组外观整洁干净；</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rPr>
              <w:t>（4）停机期间，</w:t>
            </w:r>
            <w:r>
              <w:rPr>
                <w:rFonts w:hint="eastAsia" w:ascii="方正仿宋_GBK" w:hAnsi="方正仿宋_GBK" w:eastAsia="方正仿宋_GBK" w:cs="方正仿宋_GBK"/>
                <w:color w:val="auto"/>
                <w:kern w:val="0"/>
                <w:sz w:val="32"/>
                <w:szCs w:val="32"/>
                <w:highlight w:val="none"/>
                <w:lang w:val="en-US" w:eastAsia="zh-CN"/>
              </w:rPr>
              <w:t>每月一次定期巡查空调机组。每年的 3-5 月执行春季维护保养，完成保养后向甲方及甲方业主提交《春季维护保养评估报告》；</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lang w:val="en-US" w:eastAsia="zh-CN"/>
              </w:rPr>
              <w:t>（5）机组运行期间，随时进行突发问题处理，</w:t>
            </w:r>
            <w:r>
              <w:rPr>
                <w:rFonts w:hint="eastAsia" w:ascii="方正仿宋_GBK" w:hAnsi="方正仿宋_GBK" w:eastAsia="方正仿宋_GBK" w:cs="方正仿宋_GBK"/>
                <w:color w:val="auto"/>
                <w:kern w:val="0"/>
                <w:sz w:val="32"/>
                <w:szCs w:val="32"/>
                <w:highlight w:val="none"/>
              </w:rPr>
              <w:t>定期进行各项检查，确保机组在整个供冷季节运行高效、可靠；</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kern w:val="0"/>
                <w:sz w:val="32"/>
                <w:szCs w:val="32"/>
                <w:highlight w:val="none"/>
              </w:rPr>
              <w:t>（6）及时处理设备故障</w:t>
            </w:r>
            <w:r>
              <w:rPr>
                <w:rFonts w:hint="eastAsia" w:ascii="方正仿宋_GBK" w:hAnsi="方正仿宋_GBK" w:eastAsia="方正仿宋_GBK" w:cs="方正仿宋_GBK"/>
                <w:color w:val="auto"/>
                <w:kern w:val="0"/>
                <w:sz w:val="32"/>
                <w:szCs w:val="32"/>
                <w:highlight w:val="none"/>
                <w:lang w:val="en-US" w:eastAsia="zh-CN" w:bidi="ar-SA"/>
              </w:rPr>
              <w:t>。</w:t>
            </w:r>
          </w:p>
        </w:tc>
        <w:tc>
          <w:tcPr>
            <w:tcW w:w="106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行政楼为3台美的空调，两用一备，国际楼纳森2台空调，一用一备。保证现场使用设备正常运行率大于80%，达到随时启动要求。</w:t>
            </w:r>
          </w:p>
        </w:tc>
      </w:tr>
      <w:tr>
        <w:tblPrEx>
          <w:tblCellMar>
            <w:top w:w="0" w:type="dxa"/>
            <w:left w:w="108" w:type="dxa"/>
            <w:bottom w:w="0" w:type="dxa"/>
            <w:right w:w="108" w:type="dxa"/>
          </w:tblCellMar>
        </w:tblPrEx>
        <w:trPr>
          <w:trHeight w:val="23" w:hRule="atLeast"/>
        </w:trPr>
        <w:tc>
          <w:tcPr>
            <w:tcW w:w="480"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kern w:val="0"/>
                <w:sz w:val="32"/>
                <w:szCs w:val="32"/>
                <w:highlight w:val="none"/>
                <w:lang w:eastAsia="zh-CN"/>
              </w:rPr>
            </w:pPr>
            <w:r>
              <w:rPr>
                <w:rFonts w:hint="eastAsia" w:ascii="方正仿宋_GBK" w:hAnsi="方正仿宋_GBK" w:eastAsia="方正仿宋_GBK" w:cs="方正仿宋_GBK"/>
                <w:color w:val="auto"/>
                <w:kern w:val="0"/>
                <w:sz w:val="32"/>
                <w:szCs w:val="32"/>
                <w:highlight w:val="none"/>
                <w:lang w:val="en-US" w:eastAsia="zh-CN"/>
              </w:rPr>
              <w:t>2</w:t>
            </w:r>
          </w:p>
        </w:tc>
        <w:tc>
          <w:tcPr>
            <w:tcW w:w="70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暗装卧式盘管</w:t>
            </w:r>
          </w:p>
        </w:tc>
        <w:tc>
          <w:tcPr>
            <w:tcW w:w="274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0" w:firstLineChars="0"/>
              <w:jc w:val="left"/>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普通</w:t>
            </w:r>
            <w:r>
              <w:rPr>
                <w:rFonts w:hint="eastAsia" w:ascii="方正仿宋_GBK" w:hAnsi="方正仿宋_GBK" w:eastAsia="方正仿宋_GBK" w:cs="方正仿宋_GBK"/>
                <w:color w:val="auto"/>
                <w:kern w:val="0"/>
                <w:sz w:val="32"/>
                <w:szCs w:val="32"/>
                <w:highlight w:val="none"/>
              </w:rPr>
              <w:t>清洗</w:t>
            </w:r>
            <w:r>
              <w:rPr>
                <w:rFonts w:hint="eastAsia" w:ascii="方正仿宋_GBK" w:hAnsi="方正仿宋_GBK" w:eastAsia="方正仿宋_GBK" w:cs="方正仿宋_GBK"/>
                <w:color w:val="auto"/>
                <w:kern w:val="0"/>
                <w:sz w:val="32"/>
                <w:szCs w:val="32"/>
                <w:highlight w:val="none"/>
                <w:lang w:eastAsia="zh-CN"/>
              </w:rPr>
              <w:t>：</w:t>
            </w:r>
            <w:r>
              <w:rPr>
                <w:rFonts w:hint="eastAsia" w:ascii="方正仿宋_GBK" w:hAnsi="方正仿宋_GBK" w:eastAsia="方正仿宋_GBK" w:cs="方正仿宋_GBK"/>
                <w:color w:val="auto"/>
                <w:kern w:val="0"/>
                <w:sz w:val="32"/>
                <w:szCs w:val="32"/>
                <w:highlight w:val="none"/>
              </w:rPr>
              <w:t>每年两次</w:t>
            </w:r>
            <w:r>
              <w:rPr>
                <w:rFonts w:hint="eastAsia" w:ascii="方正仿宋_GBK" w:hAnsi="方正仿宋_GBK" w:eastAsia="方正仿宋_GBK" w:cs="方正仿宋_GBK"/>
                <w:color w:val="auto"/>
                <w:kern w:val="0"/>
                <w:sz w:val="32"/>
                <w:szCs w:val="32"/>
                <w:highlight w:val="none"/>
                <w:lang w:eastAsia="zh-CN"/>
              </w:rPr>
              <w:t>，</w:t>
            </w:r>
            <w:r>
              <w:rPr>
                <w:rFonts w:hint="eastAsia" w:ascii="方正仿宋_GBK" w:hAnsi="方正仿宋_GBK" w:eastAsia="方正仿宋_GBK" w:cs="方正仿宋_GBK"/>
                <w:color w:val="auto"/>
                <w:kern w:val="0"/>
                <w:sz w:val="32"/>
                <w:szCs w:val="32"/>
                <w:highlight w:val="none"/>
                <w:lang w:val="en-US" w:eastAsia="zh-CN"/>
              </w:rPr>
              <w:t>主要清洗</w:t>
            </w:r>
            <w:r>
              <w:rPr>
                <w:rFonts w:hint="eastAsia" w:ascii="方正仿宋_GBK" w:hAnsi="方正仿宋_GBK" w:eastAsia="方正仿宋_GBK" w:cs="方正仿宋_GBK"/>
                <w:color w:val="auto"/>
                <w:kern w:val="0"/>
                <w:sz w:val="32"/>
                <w:szCs w:val="32"/>
                <w:highlight w:val="none"/>
              </w:rPr>
              <w:t>滤网、风口</w:t>
            </w:r>
            <w:r>
              <w:rPr>
                <w:rFonts w:hint="eastAsia" w:ascii="方正仿宋_GBK" w:hAnsi="方正仿宋_GBK" w:eastAsia="方正仿宋_GBK" w:cs="方正仿宋_GBK"/>
                <w:color w:val="auto"/>
                <w:kern w:val="0"/>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eastAsia="zh-CN"/>
              </w:rPr>
              <w:t>（</w:t>
            </w:r>
            <w:r>
              <w:rPr>
                <w:rFonts w:hint="eastAsia" w:ascii="方正仿宋_GBK" w:hAnsi="方正仿宋_GBK" w:eastAsia="方正仿宋_GBK" w:cs="方正仿宋_GBK"/>
                <w:color w:val="auto"/>
                <w:kern w:val="0"/>
                <w:sz w:val="32"/>
                <w:szCs w:val="32"/>
                <w:highlight w:val="none"/>
                <w:lang w:val="en-US" w:eastAsia="zh-CN"/>
              </w:rPr>
              <w:t>2</w:t>
            </w:r>
            <w:r>
              <w:rPr>
                <w:rFonts w:hint="eastAsia" w:ascii="方正仿宋_GBK" w:hAnsi="方正仿宋_GBK" w:eastAsia="方正仿宋_GBK" w:cs="方正仿宋_GBK"/>
                <w:color w:val="auto"/>
                <w:kern w:val="0"/>
                <w:sz w:val="32"/>
                <w:szCs w:val="32"/>
                <w:highlight w:val="none"/>
                <w:lang w:eastAsia="zh-CN"/>
              </w:rPr>
              <w:t>）</w:t>
            </w:r>
            <w:r>
              <w:rPr>
                <w:rFonts w:hint="eastAsia" w:ascii="方正仿宋_GBK" w:hAnsi="方正仿宋_GBK" w:eastAsia="方正仿宋_GBK" w:cs="方正仿宋_GBK"/>
                <w:color w:val="auto"/>
                <w:kern w:val="0"/>
                <w:sz w:val="32"/>
                <w:szCs w:val="32"/>
                <w:highlight w:val="none"/>
                <w:lang w:val="en-US" w:eastAsia="zh-CN"/>
              </w:rPr>
              <w:t>深度清洗（包括但不限于以下项目）：</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0" w:firstLineChars="0"/>
              <w:jc w:val="left"/>
              <w:textAlignment w:val="auto"/>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lang w:eastAsia="zh-CN"/>
              </w:rPr>
              <w:t>、</w:t>
            </w:r>
            <w:r>
              <w:rPr>
                <w:rFonts w:hint="eastAsia" w:ascii="方正仿宋_GBK" w:hAnsi="方正仿宋_GBK" w:eastAsia="方正仿宋_GBK" w:cs="方正仿宋_GBK"/>
                <w:color w:val="auto"/>
                <w:kern w:val="0"/>
                <w:sz w:val="32"/>
                <w:szCs w:val="32"/>
                <w:highlight w:val="none"/>
              </w:rPr>
              <w:t>拆卸盘管外壳和过滤网，清洗翅片、铜管等部件，去除灰尘、油污</w:t>
            </w:r>
            <w:r>
              <w:rPr>
                <w:rFonts w:hint="eastAsia" w:ascii="方正仿宋_GBK" w:hAnsi="方正仿宋_GBK" w:eastAsia="方正仿宋_GBK" w:cs="方正仿宋_GBK"/>
                <w:color w:val="auto"/>
                <w:kern w:val="0"/>
                <w:sz w:val="32"/>
                <w:szCs w:val="32"/>
                <w:highlight w:val="none"/>
                <w:lang w:eastAsia="zh-CN"/>
              </w:rPr>
              <w:t>、</w:t>
            </w:r>
            <w:r>
              <w:rPr>
                <w:rFonts w:hint="eastAsia" w:ascii="方正仿宋_GBK" w:hAnsi="方正仿宋_GBK" w:eastAsia="方正仿宋_GBK" w:cs="方正仿宋_GBK"/>
                <w:color w:val="auto"/>
                <w:kern w:val="0"/>
                <w:sz w:val="32"/>
                <w:szCs w:val="32"/>
                <w:highlight w:val="none"/>
                <w:lang w:val="en-US" w:eastAsia="zh-CN"/>
              </w:rPr>
              <w:t>锈蚀</w:t>
            </w:r>
            <w:r>
              <w:rPr>
                <w:rFonts w:hint="eastAsia" w:ascii="方正仿宋_GBK" w:hAnsi="方正仿宋_GBK" w:eastAsia="方正仿宋_GBK" w:cs="方正仿宋_GBK"/>
                <w:color w:val="auto"/>
                <w:kern w:val="0"/>
                <w:sz w:val="32"/>
                <w:szCs w:val="32"/>
                <w:highlight w:val="none"/>
              </w:rPr>
              <w:t>和细菌</w:t>
            </w:r>
            <w:r>
              <w:rPr>
                <w:rFonts w:hint="eastAsia" w:ascii="方正仿宋_GBK" w:hAnsi="方正仿宋_GBK" w:eastAsia="方正仿宋_GBK" w:cs="方正仿宋_GBK"/>
                <w:color w:val="auto"/>
                <w:kern w:val="0"/>
                <w:sz w:val="32"/>
                <w:szCs w:val="32"/>
                <w:highlight w:val="none"/>
                <w:lang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0" w:firstLineChars="0"/>
              <w:jc w:val="left"/>
              <w:textAlignment w:val="auto"/>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lang w:eastAsia="zh-CN"/>
              </w:rPr>
              <w:t>、</w:t>
            </w:r>
            <w:r>
              <w:rPr>
                <w:rFonts w:hint="eastAsia" w:ascii="方正仿宋_GBK" w:hAnsi="方正仿宋_GBK" w:eastAsia="方正仿宋_GBK" w:cs="方正仿宋_GBK"/>
                <w:color w:val="auto"/>
                <w:kern w:val="0"/>
                <w:sz w:val="32"/>
                <w:szCs w:val="32"/>
                <w:highlight w:val="none"/>
              </w:rPr>
              <w:t>使用专用消毒剂对盘管内部进行消毒，杀灭细菌和病毒</w:t>
            </w:r>
            <w:r>
              <w:rPr>
                <w:rFonts w:hint="eastAsia" w:ascii="方正仿宋_GBK" w:hAnsi="方正仿宋_GBK" w:eastAsia="方正仿宋_GBK" w:cs="方正仿宋_GBK"/>
                <w:color w:val="auto"/>
                <w:kern w:val="0"/>
                <w:sz w:val="32"/>
                <w:szCs w:val="32"/>
                <w:highlight w:val="none"/>
                <w:lang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0" w:firstLineChars="0"/>
              <w:jc w:val="left"/>
              <w:textAlignment w:val="auto"/>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lang w:eastAsia="zh-CN"/>
              </w:rPr>
              <w:t>、</w:t>
            </w:r>
            <w:r>
              <w:rPr>
                <w:rFonts w:hint="eastAsia" w:ascii="方正仿宋_GBK" w:hAnsi="方正仿宋_GBK" w:eastAsia="方正仿宋_GBK" w:cs="方正仿宋_GBK"/>
                <w:color w:val="auto"/>
                <w:kern w:val="0"/>
                <w:sz w:val="32"/>
                <w:szCs w:val="32"/>
                <w:highlight w:val="none"/>
              </w:rPr>
              <w:t>检查盘管是否有损坏或堵塞，必要时进行维修或更换</w:t>
            </w:r>
            <w:r>
              <w:rPr>
                <w:rFonts w:hint="eastAsia" w:ascii="方正仿宋_GBK" w:hAnsi="方正仿宋_GBK" w:eastAsia="方正仿宋_GBK" w:cs="方正仿宋_GBK"/>
                <w:color w:val="auto"/>
                <w:kern w:val="0"/>
                <w:sz w:val="32"/>
                <w:szCs w:val="32"/>
                <w:highlight w:val="none"/>
                <w:lang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0" w:firstLineChars="0"/>
              <w:jc w:val="left"/>
              <w:textAlignment w:val="auto"/>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lang w:eastAsia="zh-CN"/>
              </w:rPr>
              <w:t>、</w:t>
            </w:r>
            <w:r>
              <w:rPr>
                <w:rFonts w:hint="eastAsia" w:ascii="方正仿宋_GBK" w:hAnsi="方正仿宋_GBK" w:eastAsia="方正仿宋_GBK" w:cs="方正仿宋_GBK"/>
                <w:color w:val="auto"/>
                <w:kern w:val="0"/>
                <w:sz w:val="32"/>
                <w:szCs w:val="32"/>
                <w:highlight w:val="none"/>
              </w:rPr>
              <w:t>清洗完成后重新安装盘管，并进行调试，确保正常运行；</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w:t>
            </w:r>
            <w:r>
              <w:rPr>
                <w:rFonts w:hint="eastAsia" w:ascii="方正仿宋_GBK" w:hAnsi="方正仿宋_GBK" w:eastAsia="方正仿宋_GBK" w:cs="方正仿宋_GBK"/>
                <w:color w:val="auto"/>
                <w:kern w:val="0"/>
                <w:sz w:val="32"/>
                <w:szCs w:val="32"/>
                <w:highlight w:val="none"/>
                <w:lang w:val="en-US" w:eastAsia="zh-CN"/>
              </w:rPr>
              <w:t>3</w:t>
            </w:r>
            <w:r>
              <w:rPr>
                <w:rFonts w:hint="eastAsia" w:ascii="方正仿宋_GBK" w:hAnsi="方正仿宋_GBK" w:eastAsia="方正仿宋_GBK" w:cs="方正仿宋_GBK"/>
                <w:color w:val="auto"/>
                <w:kern w:val="0"/>
                <w:sz w:val="32"/>
                <w:szCs w:val="32"/>
                <w:highlight w:val="none"/>
              </w:rPr>
              <w:t>）定期检查盘管的控制</w:t>
            </w:r>
            <w:r>
              <w:rPr>
                <w:rFonts w:hint="eastAsia" w:ascii="方正仿宋_GBK" w:hAnsi="方正仿宋_GBK" w:eastAsia="方正仿宋_GBK" w:cs="方正仿宋_GBK"/>
                <w:color w:val="auto"/>
                <w:kern w:val="0"/>
                <w:sz w:val="32"/>
                <w:szCs w:val="32"/>
                <w:highlight w:val="none"/>
                <w:lang w:eastAsia="zh-CN"/>
              </w:rPr>
              <w:t>、</w:t>
            </w:r>
            <w:r>
              <w:rPr>
                <w:rFonts w:hint="eastAsia" w:ascii="方正仿宋_GBK" w:hAnsi="方正仿宋_GBK" w:eastAsia="方正仿宋_GBK" w:cs="方正仿宋_GBK"/>
                <w:color w:val="auto"/>
                <w:kern w:val="0"/>
                <w:sz w:val="32"/>
                <w:szCs w:val="32"/>
                <w:highlight w:val="none"/>
              </w:rPr>
              <w:t>感应装置是否良好；</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w:t>
            </w:r>
            <w:r>
              <w:rPr>
                <w:rFonts w:hint="eastAsia" w:ascii="方正仿宋_GBK" w:hAnsi="方正仿宋_GBK" w:eastAsia="方正仿宋_GBK" w:cs="方正仿宋_GBK"/>
                <w:color w:val="auto"/>
                <w:kern w:val="0"/>
                <w:sz w:val="32"/>
                <w:szCs w:val="32"/>
                <w:highlight w:val="none"/>
                <w:lang w:val="en-US" w:eastAsia="zh-CN"/>
              </w:rPr>
              <w:t>4</w:t>
            </w:r>
            <w:r>
              <w:rPr>
                <w:rFonts w:hint="eastAsia" w:ascii="方正仿宋_GBK" w:hAnsi="方正仿宋_GBK" w:eastAsia="方正仿宋_GBK" w:cs="方正仿宋_GBK"/>
                <w:color w:val="auto"/>
                <w:kern w:val="0"/>
                <w:sz w:val="32"/>
                <w:szCs w:val="32"/>
                <w:highlight w:val="none"/>
              </w:rPr>
              <w:t>）定期检查排气阀、补水阀，保证排气顺畅，阀门运转灵活；</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w:t>
            </w:r>
            <w:r>
              <w:rPr>
                <w:rFonts w:hint="eastAsia" w:ascii="方正仿宋_GBK" w:hAnsi="方正仿宋_GBK" w:eastAsia="方正仿宋_GBK" w:cs="方正仿宋_GBK"/>
                <w:color w:val="auto"/>
                <w:kern w:val="0"/>
                <w:sz w:val="32"/>
                <w:szCs w:val="32"/>
                <w:highlight w:val="none"/>
                <w:lang w:val="en-US" w:eastAsia="zh-CN"/>
              </w:rPr>
              <w:t>5</w:t>
            </w:r>
            <w:r>
              <w:rPr>
                <w:rFonts w:hint="eastAsia" w:ascii="方正仿宋_GBK" w:hAnsi="方正仿宋_GBK" w:eastAsia="方正仿宋_GBK" w:cs="方正仿宋_GBK"/>
                <w:color w:val="auto"/>
                <w:kern w:val="0"/>
                <w:sz w:val="32"/>
                <w:szCs w:val="32"/>
                <w:highlight w:val="none"/>
              </w:rPr>
              <w:t>）定期检查冷凝排水盘和排水管道，确保没有阻隔堵塞、渗漏和溢流；</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w:t>
            </w:r>
            <w:r>
              <w:rPr>
                <w:rFonts w:hint="eastAsia" w:ascii="方正仿宋_GBK" w:hAnsi="方正仿宋_GBK" w:eastAsia="方正仿宋_GBK" w:cs="方正仿宋_GBK"/>
                <w:color w:val="auto"/>
                <w:kern w:val="0"/>
                <w:sz w:val="32"/>
                <w:szCs w:val="32"/>
                <w:highlight w:val="none"/>
                <w:lang w:val="en-US" w:eastAsia="zh-CN"/>
              </w:rPr>
              <w:t>6</w:t>
            </w:r>
            <w:r>
              <w:rPr>
                <w:rFonts w:hint="eastAsia" w:ascii="方正仿宋_GBK" w:hAnsi="方正仿宋_GBK" w:eastAsia="方正仿宋_GBK" w:cs="方正仿宋_GBK"/>
                <w:color w:val="auto"/>
                <w:kern w:val="0"/>
                <w:sz w:val="32"/>
                <w:szCs w:val="32"/>
                <w:highlight w:val="none"/>
              </w:rPr>
              <w:t>）定期检查管道保温，确保空调夏季运行时无漏水现象；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w:t>
            </w:r>
            <w:r>
              <w:rPr>
                <w:rFonts w:hint="eastAsia" w:ascii="方正仿宋_GBK" w:hAnsi="方正仿宋_GBK" w:eastAsia="方正仿宋_GBK" w:cs="方正仿宋_GBK"/>
                <w:color w:val="auto"/>
                <w:kern w:val="0"/>
                <w:sz w:val="32"/>
                <w:szCs w:val="32"/>
                <w:highlight w:val="none"/>
                <w:lang w:val="en-US" w:eastAsia="zh-CN"/>
              </w:rPr>
              <w:t>7</w:t>
            </w:r>
            <w:r>
              <w:rPr>
                <w:rFonts w:hint="eastAsia" w:ascii="方正仿宋_GBK" w:hAnsi="方正仿宋_GBK" w:eastAsia="方正仿宋_GBK" w:cs="方正仿宋_GBK"/>
                <w:color w:val="auto"/>
                <w:kern w:val="0"/>
                <w:sz w:val="32"/>
                <w:szCs w:val="32"/>
                <w:highlight w:val="none"/>
              </w:rPr>
              <w:t>）检查风机运行噪声及振动，必要时更换轴承、电容等易损件；</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lang w:eastAsia="zh-CN"/>
              </w:rPr>
              <w:t>（</w:t>
            </w:r>
            <w:r>
              <w:rPr>
                <w:rFonts w:hint="eastAsia" w:ascii="方正仿宋_GBK" w:hAnsi="方正仿宋_GBK" w:eastAsia="方正仿宋_GBK" w:cs="方正仿宋_GBK"/>
                <w:color w:val="auto"/>
                <w:kern w:val="0"/>
                <w:sz w:val="32"/>
                <w:szCs w:val="32"/>
                <w:highlight w:val="none"/>
                <w:lang w:val="en-US" w:eastAsia="zh-CN"/>
              </w:rPr>
              <w:t>8</w:t>
            </w:r>
            <w:r>
              <w:rPr>
                <w:rFonts w:hint="eastAsia" w:ascii="方正仿宋_GBK" w:hAnsi="方正仿宋_GBK" w:eastAsia="方正仿宋_GBK" w:cs="方正仿宋_GBK"/>
                <w:color w:val="auto"/>
                <w:kern w:val="0"/>
                <w:sz w:val="32"/>
                <w:szCs w:val="32"/>
                <w:highlight w:val="none"/>
                <w:lang w:eastAsia="zh-CN"/>
              </w:rPr>
              <w:t>）</w:t>
            </w:r>
            <w:r>
              <w:rPr>
                <w:rFonts w:hint="eastAsia" w:ascii="方正仿宋_GBK" w:hAnsi="方正仿宋_GBK" w:eastAsia="方正仿宋_GBK" w:cs="方正仿宋_GBK"/>
                <w:color w:val="auto"/>
                <w:kern w:val="0"/>
                <w:sz w:val="32"/>
                <w:szCs w:val="32"/>
                <w:highlight w:val="none"/>
              </w:rPr>
              <w:t>及时处理设备故障。</w:t>
            </w:r>
          </w:p>
        </w:tc>
        <w:tc>
          <w:tcPr>
            <w:tcW w:w="106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将现有</w:t>
            </w:r>
            <w:r>
              <w:rPr>
                <w:rFonts w:hint="eastAsia" w:ascii="方正仿宋_GBK" w:hAnsi="方正仿宋_GBK" w:eastAsia="方正仿宋_GBK" w:cs="方正仿宋_GBK"/>
                <w:color w:val="auto"/>
                <w:kern w:val="0"/>
                <w:sz w:val="32"/>
                <w:szCs w:val="32"/>
                <w:highlight w:val="none"/>
              </w:rPr>
              <w:t>暗装卧式盘管</w:t>
            </w:r>
            <w:r>
              <w:rPr>
                <w:rFonts w:hint="eastAsia" w:ascii="方正仿宋_GBK" w:hAnsi="方正仿宋_GBK" w:eastAsia="方正仿宋_GBK" w:cs="方正仿宋_GBK"/>
                <w:color w:val="auto"/>
                <w:kern w:val="0"/>
                <w:sz w:val="32"/>
                <w:szCs w:val="32"/>
                <w:highlight w:val="none"/>
                <w:lang w:val="en-US" w:eastAsia="zh-CN"/>
              </w:rPr>
              <w:t>分为三批次，每年深度清洗一批次，剩下两批次做普通清洗，三年需全部深度清洗，循环往复。</w:t>
            </w:r>
          </w:p>
        </w:tc>
      </w:tr>
      <w:tr>
        <w:tblPrEx>
          <w:tblCellMar>
            <w:top w:w="0" w:type="dxa"/>
            <w:left w:w="108" w:type="dxa"/>
            <w:bottom w:w="0" w:type="dxa"/>
            <w:right w:w="108" w:type="dxa"/>
          </w:tblCellMar>
        </w:tblPrEx>
        <w:trPr>
          <w:trHeight w:val="23" w:hRule="atLeast"/>
        </w:trPr>
        <w:tc>
          <w:tcPr>
            <w:tcW w:w="480"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kern w:val="0"/>
                <w:sz w:val="32"/>
                <w:szCs w:val="32"/>
                <w:highlight w:val="none"/>
                <w:lang w:eastAsia="zh-CN"/>
              </w:rPr>
            </w:pPr>
            <w:r>
              <w:rPr>
                <w:rFonts w:hint="eastAsia" w:ascii="方正仿宋_GBK" w:hAnsi="方正仿宋_GBK" w:eastAsia="方正仿宋_GBK" w:cs="方正仿宋_GBK"/>
                <w:color w:val="auto"/>
                <w:kern w:val="0"/>
                <w:sz w:val="32"/>
                <w:szCs w:val="32"/>
                <w:highlight w:val="none"/>
                <w:lang w:val="en-US" w:eastAsia="zh-CN"/>
              </w:rPr>
              <w:t>3</w:t>
            </w:r>
          </w:p>
        </w:tc>
        <w:tc>
          <w:tcPr>
            <w:tcW w:w="70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冷却塔</w:t>
            </w:r>
          </w:p>
        </w:tc>
        <w:tc>
          <w:tcPr>
            <w:tcW w:w="274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（1）每年运行前清洗冷却塔填料及塔体淤泥等一次；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（2）对异常工作电机皮带进行更换；</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方正仿宋_GBK" w:hAnsi="方正仿宋_GBK" w:eastAsia="方正仿宋_GBK" w:cs="方正仿宋_GBK"/>
                <w:color w:val="auto"/>
                <w:kern w:val="0"/>
                <w:sz w:val="32"/>
                <w:szCs w:val="32"/>
                <w:highlight w:val="none"/>
                <w:lang w:eastAsia="zh-CN"/>
              </w:rPr>
            </w:pPr>
            <w:r>
              <w:rPr>
                <w:rFonts w:hint="eastAsia" w:ascii="方正仿宋_GBK" w:hAnsi="方正仿宋_GBK" w:eastAsia="方正仿宋_GBK" w:cs="方正仿宋_GBK"/>
                <w:color w:val="auto"/>
                <w:kern w:val="0"/>
                <w:sz w:val="32"/>
                <w:szCs w:val="32"/>
                <w:highlight w:val="none"/>
              </w:rPr>
              <w:t>（3）清洗塔体周边地面，保证地面干燥整洁</w:t>
            </w:r>
            <w:r>
              <w:rPr>
                <w:rFonts w:hint="eastAsia" w:ascii="方正仿宋_GBK" w:hAnsi="方正仿宋_GBK" w:eastAsia="方正仿宋_GBK" w:cs="方正仿宋_GBK"/>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方正仿宋_GBK" w:hAnsi="方正仿宋_GBK" w:eastAsia="方正仿宋_GBK" w:cs="方正仿宋_GBK"/>
                <w:color w:val="auto"/>
                <w:kern w:val="0"/>
                <w:sz w:val="32"/>
                <w:szCs w:val="32"/>
                <w:highlight w:val="none"/>
                <w:lang w:eastAsia="zh-CN"/>
              </w:rPr>
            </w:pPr>
            <w:r>
              <w:rPr>
                <w:rFonts w:hint="eastAsia" w:ascii="方正仿宋_GBK" w:hAnsi="方正仿宋_GBK" w:eastAsia="方正仿宋_GBK" w:cs="方正仿宋_GBK"/>
                <w:color w:val="auto"/>
                <w:kern w:val="0"/>
                <w:sz w:val="32"/>
                <w:szCs w:val="32"/>
                <w:highlight w:val="none"/>
              </w:rPr>
              <w:t>（4）定期（制冷季节每月一次）对冷却塔进行巡查</w:t>
            </w:r>
            <w:r>
              <w:rPr>
                <w:rFonts w:hint="eastAsia" w:ascii="方正仿宋_GBK" w:hAnsi="方正仿宋_GBK" w:eastAsia="方正仿宋_GBK" w:cs="方正仿宋_GBK"/>
                <w:color w:val="auto"/>
                <w:kern w:val="0"/>
                <w:sz w:val="32"/>
                <w:szCs w:val="32"/>
                <w:highlight w:val="none"/>
                <w:lang w:eastAsia="zh-CN"/>
              </w:rPr>
              <w:t>。</w:t>
            </w:r>
          </w:p>
        </w:tc>
        <w:tc>
          <w:tcPr>
            <w:tcW w:w="106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方正仿宋_GBK" w:hAnsi="方正仿宋_GBK" w:eastAsia="方正仿宋_GBK" w:cs="方正仿宋_GBK"/>
                <w:color w:val="auto"/>
                <w:kern w:val="0"/>
                <w:sz w:val="32"/>
                <w:szCs w:val="32"/>
                <w:highlight w:val="none"/>
              </w:rPr>
            </w:pPr>
          </w:p>
        </w:tc>
      </w:tr>
      <w:tr>
        <w:tblPrEx>
          <w:tblCellMar>
            <w:top w:w="0" w:type="dxa"/>
            <w:left w:w="108" w:type="dxa"/>
            <w:bottom w:w="0" w:type="dxa"/>
            <w:right w:w="108" w:type="dxa"/>
          </w:tblCellMar>
        </w:tblPrEx>
        <w:trPr>
          <w:trHeight w:val="23" w:hRule="atLeast"/>
        </w:trPr>
        <w:tc>
          <w:tcPr>
            <w:tcW w:w="480"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kern w:val="0"/>
                <w:sz w:val="32"/>
                <w:szCs w:val="32"/>
                <w:highlight w:val="none"/>
                <w:lang w:eastAsia="zh-CN"/>
              </w:rPr>
            </w:pPr>
            <w:r>
              <w:rPr>
                <w:rFonts w:hint="eastAsia" w:ascii="方正仿宋_GBK" w:hAnsi="方正仿宋_GBK" w:eastAsia="方正仿宋_GBK" w:cs="方正仿宋_GBK"/>
                <w:color w:val="auto"/>
                <w:kern w:val="0"/>
                <w:sz w:val="32"/>
                <w:szCs w:val="32"/>
                <w:highlight w:val="none"/>
                <w:lang w:val="en-US" w:eastAsia="zh-CN"/>
              </w:rPr>
              <w:t>4</w:t>
            </w:r>
          </w:p>
        </w:tc>
        <w:tc>
          <w:tcPr>
            <w:tcW w:w="70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冷却、冷冻供回水泵</w:t>
            </w:r>
          </w:p>
        </w:tc>
        <w:tc>
          <w:tcPr>
            <w:tcW w:w="274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（1）水泵电动机维护保养；</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（2）机械部分维修保养；</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（3）检查弹性联轴器有无损坏，如损坏则应更换弹性橡胶垫（不定期）；</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（4）清洁水泵过滤网；</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（5）电气控制部分检查；</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方正仿宋_GBK" w:hAnsi="方正仿宋_GBK" w:eastAsia="方正仿宋_GBK" w:cs="方正仿宋_GBK"/>
                <w:color w:val="auto"/>
                <w:kern w:val="0"/>
                <w:sz w:val="32"/>
                <w:szCs w:val="32"/>
                <w:highlight w:val="none"/>
                <w:lang w:eastAsia="zh-CN"/>
              </w:rPr>
            </w:pPr>
            <w:r>
              <w:rPr>
                <w:rFonts w:hint="eastAsia" w:ascii="方正仿宋_GBK" w:hAnsi="方正仿宋_GBK" w:eastAsia="方正仿宋_GBK" w:cs="方正仿宋_GBK"/>
                <w:color w:val="auto"/>
                <w:kern w:val="0"/>
                <w:sz w:val="32"/>
                <w:szCs w:val="32"/>
                <w:highlight w:val="none"/>
              </w:rPr>
              <w:t>（6）水泵运转时的电机外壳和轴承座的温度巡查</w:t>
            </w:r>
            <w:r>
              <w:rPr>
                <w:rFonts w:hint="eastAsia" w:ascii="方正仿宋_GBK" w:hAnsi="方正仿宋_GBK" w:eastAsia="方正仿宋_GBK" w:cs="方正仿宋_GBK"/>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方正仿宋_GBK" w:hAnsi="方正仿宋_GBK" w:eastAsia="方正仿宋_GBK" w:cs="方正仿宋_GBK"/>
                <w:color w:val="auto"/>
                <w:kern w:val="0"/>
                <w:sz w:val="32"/>
                <w:szCs w:val="32"/>
                <w:highlight w:val="none"/>
                <w:lang w:eastAsia="zh-CN"/>
              </w:rPr>
            </w:pPr>
            <w:r>
              <w:rPr>
                <w:rFonts w:hint="eastAsia" w:ascii="方正仿宋_GBK" w:hAnsi="方正仿宋_GBK" w:eastAsia="方正仿宋_GBK" w:cs="方正仿宋_GBK"/>
                <w:color w:val="auto"/>
                <w:kern w:val="0"/>
                <w:sz w:val="32"/>
                <w:szCs w:val="32"/>
                <w:highlight w:val="none"/>
              </w:rPr>
              <w:t>（7）检查水泵运转是否有漏水、水泵运转是否存在异常的震动和噪音</w:t>
            </w:r>
            <w:r>
              <w:rPr>
                <w:rFonts w:hint="eastAsia" w:ascii="方正仿宋_GBK" w:hAnsi="方正仿宋_GBK" w:eastAsia="方正仿宋_GBK" w:cs="方正仿宋_GBK"/>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方正仿宋_GBK" w:hAnsi="方正仿宋_GBK" w:eastAsia="方正仿宋_GBK" w:cs="方正仿宋_GBK"/>
                <w:color w:val="auto"/>
                <w:kern w:val="0"/>
                <w:sz w:val="32"/>
                <w:szCs w:val="32"/>
                <w:highlight w:val="none"/>
                <w:lang w:eastAsia="zh-CN"/>
              </w:rPr>
            </w:pPr>
            <w:r>
              <w:rPr>
                <w:rFonts w:hint="eastAsia" w:ascii="方正仿宋_GBK" w:hAnsi="方正仿宋_GBK" w:eastAsia="方正仿宋_GBK" w:cs="方正仿宋_GBK"/>
                <w:color w:val="auto"/>
                <w:kern w:val="0"/>
                <w:sz w:val="32"/>
                <w:szCs w:val="32"/>
                <w:highlight w:val="none"/>
              </w:rPr>
              <w:t>（8）每周检查一次电机电流、频率、电压、温度、噪声</w:t>
            </w:r>
            <w:r>
              <w:rPr>
                <w:rFonts w:hint="eastAsia" w:ascii="方正仿宋_GBK" w:hAnsi="方正仿宋_GBK" w:eastAsia="方正仿宋_GBK" w:cs="方正仿宋_GBK"/>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（9）每季度加注一次润滑油脂，并检查电气绝缘是否良好；</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rPr>
              <w:t>（</w:t>
            </w:r>
            <w:r>
              <w:rPr>
                <w:rFonts w:hint="eastAsia" w:ascii="方正仿宋_GBK" w:hAnsi="方正仿宋_GBK" w:eastAsia="方正仿宋_GBK" w:cs="方正仿宋_GBK"/>
                <w:color w:val="auto"/>
                <w:kern w:val="0"/>
                <w:sz w:val="32"/>
                <w:szCs w:val="32"/>
                <w:highlight w:val="none"/>
                <w:lang w:val="en-US" w:eastAsia="zh-CN"/>
              </w:rPr>
              <w:t>10</w:t>
            </w:r>
            <w:r>
              <w:rPr>
                <w:rFonts w:hint="eastAsia" w:ascii="方正仿宋_GBK" w:hAnsi="方正仿宋_GBK" w:eastAsia="方正仿宋_GBK" w:cs="方正仿宋_GBK"/>
                <w:color w:val="auto"/>
                <w:kern w:val="0"/>
                <w:sz w:val="32"/>
                <w:szCs w:val="32"/>
                <w:highlight w:val="none"/>
              </w:rPr>
              <w:t>）及时处理设备故障</w:t>
            </w:r>
            <w:r>
              <w:rPr>
                <w:rFonts w:hint="eastAsia" w:ascii="方正仿宋_GBK" w:hAnsi="方正仿宋_GBK" w:eastAsia="方正仿宋_GBK" w:cs="方正仿宋_GBK"/>
                <w:color w:val="auto"/>
                <w:kern w:val="0"/>
                <w:sz w:val="32"/>
                <w:szCs w:val="32"/>
                <w:highlight w:val="none"/>
                <w:lang w:eastAsia="zh-CN"/>
              </w:rPr>
              <w:t>。</w:t>
            </w:r>
          </w:p>
        </w:tc>
        <w:tc>
          <w:tcPr>
            <w:tcW w:w="106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方正仿宋_GBK" w:hAnsi="方正仿宋_GBK" w:eastAsia="方正仿宋_GBK" w:cs="方正仿宋_GBK"/>
                <w:color w:val="auto"/>
                <w:kern w:val="0"/>
                <w:sz w:val="32"/>
                <w:szCs w:val="32"/>
                <w:highlight w:val="none"/>
              </w:rPr>
            </w:pPr>
          </w:p>
        </w:tc>
      </w:tr>
      <w:tr>
        <w:tblPrEx>
          <w:tblCellMar>
            <w:top w:w="0" w:type="dxa"/>
            <w:left w:w="108" w:type="dxa"/>
            <w:bottom w:w="0" w:type="dxa"/>
            <w:right w:w="108" w:type="dxa"/>
          </w:tblCellMar>
        </w:tblPrEx>
        <w:trPr>
          <w:trHeight w:val="23" w:hRule="atLeast"/>
        </w:trPr>
        <w:tc>
          <w:tcPr>
            <w:tcW w:w="480"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kern w:val="0"/>
                <w:sz w:val="32"/>
                <w:szCs w:val="32"/>
                <w:highlight w:val="none"/>
                <w:lang w:eastAsia="zh-CN"/>
              </w:rPr>
            </w:pPr>
            <w:r>
              <w:rPr>
                <w:rFonts w:hint="eastAsia" w:ascii="方正仿宋_GBK" w:hAnsi="方正仿宋_GBK" w:eastAsia="方正仿宋_GBK" w:cs="方正仿宋_GBK"/>
                <w:color w:val="auto"/>
                <w:kern w:val="0"/>
                <w:sz w:val="32"/>
                <w:szCs w:val="32"/>
                <w:highlight w:val="none"/>
                <w:lang w:val="en-US" w:eastAsia="zh-CN"/>
              </w:rPr>
              <w:t>5</w:t>
            </w:r>
          </w:p>
        </w:tc>
        <w:tc>
          <w:tcPr>
            <w:tcW w:w="70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冷水管路及阀门系统</w:t>
            </w:r>
          </w:p>
        </w:tc>
        <w:tc>
          <w:tcPr>
            <w:tcW w:w="274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（1）每年对水冷螺杆机组系统的冷冻水（冷却水）管路进行一次加药清洗</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方正仿宋_GBK" w:hAnsi="方正仿宋_GBK" w:eastAsia="方正仿宋_GBK" w:cs="方正仿宋_GBK"/>
                <w:color w:val="auto"/>
                <w:kern w:val="0"/>
                <w:sz w:val="32"/>
                <w:szCs w:val="32"/>
                <w:highlight w:val="none"/>
                <w:lang w:eastAsia="zh-CN"/>
              </w:rPr>
            </w:pPr>
            <w:r>
              <w:rPr>
                <w:rFonts w:hint="eastAsia" w:ascii="方正仿宋_GBK" w:hAnsi="方正仿宋_GBK" w:eastAsia="方正仿宋_GBK" w:cs="方正仿宋_GBK"/>
                <w:color w:val="auto"/>
                <w:kern w:val="0"/>
                <w:sz w:val="32"/>
                <w:szCs w:val="32"/>
                <w:highlight w:val="none"/>
              </w:rPr>
              <w:t>清洗步骤：水冲洗—杀菌灭藻清洗——除垢剂清洗——清洗后冲洗——预膜——清洗后的清理</w:t>
            </w:r>
            <w:r>
              <w:rPr>
                <w:rFonts w:hint="eastAsia" w:ascii="方正仿宋_GBK" w:hAnsi="方正仿宋_GBK" w:eastAsia="方正仿宋_GBK" w:cs="方正仿宋_GBK"/>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2）管道、阀门检查对系统所有管道进行巡视，对阀门进行开关试验，必要时更换阀芯；对管道保温结露现象进行检查，必要时加厚或更换保温；对排水系统进行检查，必要时调整坡度及清洗；打开主管路过滤器，清除里面的杂物；清洗软水箱、并检查水位及补水情况。</w:t>
            </w:r>
          </w:p>
        </w:tc>
        <w:tc>
          <w:tcPr>
            <w:tcW w:w="106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方正仿宋_GBK" w:hAnsi="方正仿宋_GBK" w:eastAsia="方正仿宋_GBK" w:cs="方正仿宋_GBK"/>
                <w:color w:val="auto"/>
                <w:kern w:val="0"/>
                <w:sz w:val="32"/>
                <w:szCs w:val="32"/>
                <w:highlight w:val="none"/>
              </w:rPr>
            </w:pPr>
          </w:p>
        </w:tc>
      </w:tr>
      <w:tr>
        <w:tblPrEx>
          <w:tblCellMar>
            <w:top w:w="0" w:type="dxa"/>
            <w:left w:w="108" w:type="dxa"/>
            <w:bottom w:w="0" w:type="dxa"/>
            <w:right w:w="108" w:type="dxa"/>
          </w:tblCellMar>
        </w:tblPrEx>
        <w:trPr>
          <w:trHeight w:val="23" w:hRule="atLeast"/>
        </w:trPr>
        <w:tc>
          <w:tcPr>
            <w:tcW w:w="48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kern w:val="0"/>
                <w:sz w:val="32"/>
                <w:szCs w:val="32"/>
                <w:highlight w:val="none"/>
                <w:lang w:eastAsia="zh-CN"/>
              </w:rPr>
            </w:pPr>
            <w:r>
              <w:rPr>
                <w:rFonts w:hint="eastAsia" w:ascii="方正仿宋_GBK" w:hAnsi="方正仿宋_GBK" w:eastAsia="方正仿宋_GBK" w:cs="方正仿宋_GBK"/>
                <w:color w:val="auto"/>
                <w:kern w:val="0"/>
                <w:sz w:val="32"/>
                <w:szCs w:val="32"/>
                <w:highlight w:val="none"/>
                <w:lang w:val="en-US" w:eastAsia="zh-CN"/>
              </w:rPr>
              <w:t>6</w:t>
            </w:r>
          </w:p>
        </w:tc>
        <w:tc>
          <w:tcPr>
            <w:tcW w:w="707"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lang w:val="en-US" w:eastAsia="zh-CN"/>
              </w:rPr>
              <w:t>真空</w:t>
            </w:r>
            <w:r>
              <w:rPr>
                <w:rFonts w:hint="eastAsia" w:ascii="方正仿宋_GBK" w:hAnsi="方正仿宋_GBK" w:eastAsia="方正仿宋_GBK" w:cs="方正仿宋_GBK"/>
                <w:color w:val="auto"/>
                <w:kern w:val="0"/>
                <w:sz w:val="32"/>
                <w:szCs w:val="32"/>
                <w:highlight w:val="none"/>
              </w:rPr>
              <w:t>热水锅炉</w:t>
            </w:r>
          </w:p>
        </w:tc>
        <w:tc>
          <w:tcPr>
            <w:tcW w:w="2749"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br w:type="page"/>
            </w:r>
            <w:r>
              <w:rPr>
                <w:rFonts w:hint="eastAsia" w:ascii="方正仿宋_GBK" w:hAnsi="方正仿宋_GBK" w:eastAsia="方正仿宋_GBK" w:cs="方正仿宋_GBK"/>
                <w:color w:val="auto"/>
                <w:kern w:val="0"/>
                <w:sz w:val="32"/>
                <w:szCs w:val="32"/>
                <w:highlight w:val="none"/>
              </w:rPr>
              <w:t>每年采暖前，对锅炉、水泵及管路系统进行全面的检查</w:t>
            </w:r>
            <w:r>
              <w:rPr>
                <w:rFonts w:hint="eastAsia" w:ascii="方正仿宋_GBK" w:hAnsi="方正仿宋_GBK" w:eastAsia="方正仿宋_GBK" w:cs="方正仿宋_GBK"/>
                <w:color w:val="auto"/>
                <w:kern w:val="0"/>
                <w:sz w:val="32"/>
                <w:szCs w:val="32"/>
                <w:highlight w:val="none"/>
                <w:lang w:eastAsia="zh-CN"/>
              </w:rPr>
              <w:t>。</w:t>
            </w:r>
            <w:r>
              <w:rPr>
                <w:rFonts w:hint="eastAsia" w:ascii="方正仿宋_GBK" w:hAnsi="方正仿宋_GBK" w:eastAsia="方正仿宋_GBK" w:cs="方正仿宋_GBK"/>
                <w:color w:val="auto"/>
                <w:kern w:val="0"/>
                <w:sz w:val="32"/>
                <w:szCs w:val="32"/>
                <w:highlight w:val="none"/>
                <w:lang w:val="en-US" w:eastAsia="zh-CN"/>
              </w:rPr>
              <w:t>每年 10-11 月执行秋季维护保养，完成保养后向甲方及甲方业主提交《秋季维护保养评估报告》</w:t>
            </w:r>
            <w:r>
              <w:rPr>
                <w:rFonts w:hint="eastAsia" w:ascii="方正仿宋_GBK" w:hAnsi="方正仿宋_GBK" w:eastAsia="方正仿宋_GBK" w:cs="方正仿宋_GBK"/>
                <w:color w:val="auto"/>
                <w:kern w:val="0"/>
                <w:sz w:val="32"/>
                <w:szCs w:val="32"/>
                <w:highlight w:val="none"/>
              </w:rPr>
              <w:t>；</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每年对热</w:t>
            </w:r>
            <w:r>
              <w:rPr>
                <w:rFonts w:hint="eastAsia" w:ascii="方正仿宋_GBK" w:hAnsi="方正仿宋_GBK" w:eastAsia="方正仿宋_GBK" w:cs="方正仿宋_GBK"/>
                <w:color w:val="auto"/>
                <w:kern w:val="0"/>
                <w:sz w:val="32"/>
                <w:szCs w:val="32"/>
                <w:highlight w:val="none"/>
              </w:rPr>
              <w:br w:type="page"/>
            </w:r>
            <w:r>
              <w:rPr>
                <w:rFonts w:hint="eastAsia" w:ascii="方正仿宋_GBK" w:hAnsi="方正仿宋_GBK" w:eastAsia="方正仿宋_GBK" w:cs="方正仿宋_GBK"/>
                <w:color w:val="auto"/>
                <w:kern w:val="0"/>
                <w:sz w:val="32"/>
                <w:szCs w:val="32"/>
                <w:highlight w:val="none"/>
              </w:rPr>
              <w:t>交换器进行1次清洁、除垢；</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每月对设备进行清洁，保持设备干净整洁；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0" w:firstLineChars="0"/>
              <w:jc w:val="both"/>
              <w:textAlignment w:val="auto"/>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（4）</w:t>
            </w:r>
            <w:r>
              <w:rPr>
                <w:rFonts w:hint="eastAsia" w:ascii="方正仿宋_GBK" w:hAnsi="方正仿宋_GBK" w:eastAsia="方正仿宋_GBK" w:cs="方正仿宋_GBK"/>
                <w:color w:val="auto"/>
                <w:kern w:val="0"/>
                <w:sz w:val="32"/>
                <w:szCs w:val="32"/>
                <w:highlight w:val="none"/>
                <w:lang w:val="en-US" w:eastAsia="zh-CN"/>
              </w:rPr>
              <w:t>供暖期间专人定期</w:t>
            </w:r>
            <w:r>
              <w:rPr>
                <w:rFonts w:hint="eastAsia" w:ascii="方正仿宋_GBK" w:hAnsi="方正仿宋_GBK" w:eastAsia="方正仿宋_GBK" w:cs="方正仿宋_GBK"/>
                <w:color w:val="auto"/>
                <w:kern w:val="0"/>
                <w:sz w:val="32"/>
                <w:szCs w:val="32"/>
                <w:highlight w:val="none"/>
              </w:rPr>
              <w:t>巡视，及时处理设备故障。</w:t>
            </w:r>
          </w:p>
        </w:tc>
        <w:tc>
          <w:tcPr>
            <w:tcW w:w="1063"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方正仿宋_GBK" w:hAnsi="方正仿宋_GBK" w:eastAsia="方正仿宋_GBK" w:cs="方正仿宋_GBK"/>
                <w:color w:val="auto"/>
                <w:kern w:val="0"/>
                <w:sz w:val="32"/>
                <w:szCs w:val="32"/>
                <w:highlight w:val="none"/>
              </w:rPr>
            </w:pPr>
          </w:p>
        </w:tc>
      </w:tr>
      <w:tr>
        <w:tblPrEx>
          <w:tblCellMar>
            <w:top w:w="0" w:type="dxa"/>
            <w:left w:w="108" w:type="dxa"/>
            <w:bottom w:w="0" w:type="dxa"/>
            <w:right w:w="108" w:type="dxa"/>
          </w:tblCellMar>
        </w:tblPrEx>
        <w:trPr>
          <w:trHeight w:val="450" w:hRule="atLeast"/>
        </w:trPr>
        <w:tc>
          <w:tcPr>
            <w:tcW w:w="48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kern w:val="0"/>
                <w:sz w:val="32"/>
                <w:szCs w:val="32"/>
                <w:highlight w:val="none"/>
                <w:lang w:val="en-US" w:eastAsia="zh-CN"/>
              </w:rPr>
            </w:pPr>
            <w:bookmarkStart w:id="76" w:name="_Toc6647"/>
            <w:r>
              <w:rPr>
                <w:rFonts w:hint="eastAsia" w:ascii="方正仿宋_GBK" w:hAnsi="方正仿宋_GBK" w:eastAsia="方正仿宋_GBK" w:cs="方正仿宋_GBK"/>
                <w:color w:val="auto"/>
                <w:kern w:val="0"/>
                <w:sz w:val="32"/>
                <w:szCs w:val="32"/>
                <w:highlight w:val="none"/>
                <w:lang w:val="en-US" w:eastAsia="zh-CN"/>
              </w:rPr>
              <w:t>7</w:t>
            </w:r>
          </w:p>
        </w:tc>
        <w:tc>
          <w:tcPr>
            <w:tcW w:w="707"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压力容器</w:t>
            </w:r>
          </w:p>
        </w:tc>
        <w:tc>
          <w:tcPr>
            <w:tcW w:w="2749"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0" w:firstLineChars="0"/>
              <w:jc w:val="both"/>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每年对压力容器泄压阀送检一次。</w:t>
            </w:r>
          </w:p>
        </w:tc>
        <w:tc>
          <w:tcPr>
            <w:tcW w:w="1063"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方正仿宋_GBK" w:hAnsi="方正仿宋_GBK" w:eastAsia="方正仿宋_GBK" w:cs="方正仿宋_GBK"/>
                <w:color w:val="auto"/>
                <w:kern w:val="0"/>
                <w:sz w:val="32"/>
                <w:szCs w:val="32"/>
                <w:highlight w:val="none"/>
              </w:rPr>
            </w:pPr>
          </w:p>
        </w:tc>
      </w:tr>
      <w:tr>
        <w:tblPrEx>
          <w:tblCellMar>
            <w:top w:w="0" w:type="dxa"/>
            <w:left w:w="108" w:type="dxa"/>
            <w:bottom w:w="0" w:type="dxa"/>
            <w:right w:w="108" w:type="dxa"/>
          </w:tblCellMar>
        </w:tblPrEx>
        <w:trPr>
          <w:trHeight w:val="450" w:hRule="atLeast"/>
        </w:trPr>
        <w:tc>
          <w:tcPr>
            <w:tcW w:w="48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8</w:t>
            </w:r>
          </w:p>
        </w:tc>
        <w:tc>
          <w:tcPr>
            <w:tcW w:w="707"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水处理机组</w:t>
            </w:r>
          </w:p>
        </w:tc>
        <w:tc>
          <w:tcPr>
            <w:tcW w:w="2749"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（1）每年制冷季开始前，清洗管路，纳入《春季维护保养评估报告》；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（2）每年更换一次过滤装置填料；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（3）定期检测水质，如pH值、电导率、硬度等，确保水质达标。</w:t>
            </w:r>
          </w:p>
        </w:tc>
        <w:tc>
          <w:tcPr>
            <w:tcW w:w="1063"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方正仿宋_GBK" w:hAnsi="方正仿宋_GBK" w:eastAsia="方正仿宋_GBK" w:cs="方正仿宋_GBK"/>
                <w:color w:val="auto"/>
                <w:kern w:val="0"/>
                <w:sz w:val="32"/>
                <w:szCs w:val="32"/>
                <w:highlight w:val="none"/>
              </w:rPr>
            </w:pPr>
          </w:p>
        </w:tc>
      </w:tr>
    </w:tbl>
    <w:p>
      <w:pPr>
        <w:pageBreakBefore w:val="0"/>
        <w:numPr>
          <w:ilvl w:val="0"/>
          <w:numId w:val="8"/>
        </w:numPr>
        <w:kinsoku/>
        <w:wordWrap/>
        <w:overflowPunct/>
        <w:topLinePunct w:val="0"/>
        <w:autoSpaceDE/>
        <w:autoSpaceDN/>
        <w:bidi w:val="0"/>
        <w:spacing w:line="560" w:lineRule="exact"/>
        <w:ind w:firstLine="640" w:firstLineChars="200"/>
        <w:textAlignment w:val="auto"/>
        <w:rPr>
          <w:rFonts w:hint="eastAsia" w:ascii="方正黑体_GBK" w:hAnsi="方正黑体_GBK" w:eastAsia="方正黑体_GBK" w:cs="方正黑体_GBK"/>
          <w:b/>
          <w:color w:val="auto"/>
          <w:sz w:val="32"/>
          <w:szCs w:val="32"/>
          <w:highlight w:val="none"/>
          <w:lang w:val="en-US" w:eastAsia="zh-CN"/>
        </w:rPr>
      </w:pPr>
      <w:r>
        <w:rPr>
          <w:rFonts w:hint="eastAsia" w:ascii="方正黑体_GBK" w:hAnsi="方正黑体_GBK" w:eastAsia="方正黑体_GBK" w:cs="方正黑体_GBK"/>
          <w:b/>
          <w:color w:val="auto"/>
          <w:sz w:val="32"/>
          <w:szCs w:val="32"/>
          <w:highlight w:val="none"/>
        </w:rPr>
        <w:t>维保内容及</w:t>
      </w:r>
      <w:r>
        <w:rPr>
          <w:rFonts w:hint="eastAsia" w:ascii="方正黑体_GBK" w:hAnsi="方正黑体_GBK" w:eastAsia="方正黑体_GBK" w:cs="方正黑体_GBK"/>
          <w:b/>
          <w:color w:val="auto"/>
          <w:sz w:val="32"/>
          <w:szCs w:val="32"/>
          <w:highlight w:val="none"/>
          <w:lang w:val="en-US" w:eastAsia="zh-CN"/>
        </w:rPr>
        <w:t>服务</w:t>
      </w:r>
      <w:r>
        <w:rPr>
          <w:rFonts w:hint="eastAsia" w:ascii="方正黑体_GBK" w:hAnsi="方正黑体_GBK" w:eastAsia="方正黑体_GBK" w:cs="方正黑体_GBK"/>
          <w:b/>
          <w:color w:val="auto"/>
          <w:sz w:val="32"/>
          <w:szCs w:val="32"/>
          <w:highlight w:val="none"/>
        </w:rPr>
        <w:t>要求</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eastAsia" w:ascii="方正楷体_GBK" w:hAnsi="方正楷体_GBK" w:eastAsia="方正楷体_GBK" w:cs="方正楷体_GBK"/>
          <w:b w:val="0"/>
          <w:bCs/>
          <w:color w:val="auto"/>
          <w:kern w:val="0"/>
          <w:sz w:val="32"/>
          <w:szCs w:val="32"/>
          <w:highlight w:val="none"/>
          <w:lang w:val="en-US" w:eastAsia="zh-CN" w:bidi="ar"/>
        </w:rPr>
      </w:pPr>
      <w:r>
        <w:rPr>
          <w:rFonts w:hint="eastAsia" w:ascii="方正楷体_GBK" w:hAnsi="方正楷体_GBK" w:eastAsia="方正楷体_GBK" w:cs="方正楷体_GBK"/>
          <w:b w:val="0"/>
          <w:bCs/>
          <w:color w:val="auto"/>
          <w:sz w:val="32"/>
          <w:szCs w:val="32"/>
          <w:highlight w:val="none"/>
          <w:lang w:val="en-US" w:eastAsia="zh-CN"/>
        </w:rPr>
        <w:t>3.1</w:t>
      </w:r>
      <w:r>
        <w:rPr>
          <w:rFonts w:hint="eastAsia" w:ascii="方正楷体_GBK" w:hAnsi="方正楷体_GBK" w:eastAsia="方正楷体_GBK" w:cs="方正楷体_GBK"/>
          <w:b w:val="0"/>
          <w:bCs/>
          <w:color w:val="auto"/>
          <w:kern w:val="0"/>
          <w:sz w:val="32"/>
          <w:szCs w:val="32"/>
          <w:highlight w:val="none"/>
          <w:lang w:val="en-US" w:eastAsia="zh-CN" w:bidi="ar"/>
        </w:rPr>
        <w:t>中央空调维保项目服务要求</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 xml:space="preserve">（1）维保单位须遵守职业道德，按中央空调厂方技术标准每月对业主单位中央空调进行巡查维护，确保空调机组正常运行、末端设备的正常制冷及供暖效果。 </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（2）维保单位须结合本项目特征制定空调维保方案和应急预案，按照维保方案实维保，出具相应的《维护保养评估报告》。突发情况，按照应急预案实施。</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 xml:space="preserve">（3）每月一次定期巡查空调机组，包括配电箱电源线路、各项保护单元、大型机组油路、冷媒系统等；每年度两次（春，秋季节转换期间）对全部末端设备的清洗及进出风口的维护。定期维护保养本合同约定的设施，确保运行正常，如遇校方有重要会议、活动时需要维保人员全力配合，若因维保不及时造成停机和投诉的，发生1次扣除维保费1000元。 </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 xml:space="preserve">（4）维保单位须及时处理与空调相关的各种故障、换件、漏水问题；严格按照维修节点的规定时间完成修复（具体维修时间节点编制于空调维保方案，双方确认签字后参照实施，维修时间节点包括服务完成时间节点及方式要求等）。如因维保单位维修不及时或维修水平不足导致的二次维修造成的损失由维保单位负责。 </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（5）为了确保维修的及时性</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维保供应商接到故障报修电话未进行处理的或者处理不及时的，被校方投诉的，发生一次扣除维保费1000元。若发生</w:t>
      </w:r>
      <w:r>
        <w:rPr>
          <w:rFonts w:hint="eastAsia"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val="en-US" w:eastAsia="zh-CN"/>
        </w:rPr>
        <w:t xml:space="preserve">次，除扣除服务费外，招标方有权终止合同，由此产生的后果由维保单位负责。 </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（6）合同期内发生维修</w:t>
      </w:r>
      <w:r>
        <w:rPr>
          <w:rFonts w:hint="eastAsia" w:ascii="方正仿宋_GBK" w:hAnsi="方正仿宋_GBK" w:eastAsia="方正仿宋_GBK" w:cs="方正仿宋_GBK"/>
          <w:color w:val="auto"/>
          <w:sz w:val="32"/>
          <w:szCs w:val="32"/>
          <w:highlight w:val="none"/>
          <w:lang w:val="en-US" w:eastAsia="zh-CN"/>
        </w:rPr>
        <w:t>（合同约定保养范围之外）</w:t>
      </w:r>
      <w:r>
        <w:rPr>
          <w:rFonts w:hint="default" w:ascii="Times New Roman" w:hAnsi="Times New Roman" w:eastAsia="方正仿宋_GBK" w:cs="Times New Roman"/>
          <w:color w:val="auto"/>
          <w:sz w:val="32"/>
          <w:szCs w:val="32"/>
          <w:highlight w:val="none"/>
          <w:lang w:val="en-US" w:eastAsia="zh-CN"/>
        </w:rPr>
        <w:t>涉及配件更换的</w:t>
      </w:r>
      <w:r>
        <w:rPr>
          <w:rFonts w:hint="eastAsia" w:ascii="方正仿宋_GBK" w:hAnsi="方正仿宋_GBK" w:eastAsia="方正仿宋_GBK" w:cs="方正仿宋_GBK"/>
          <w:color w:val="auto"/>
          <w:sz w:val="32"/>
          <w:szCs w:val="32"/>
          <w:highlight w:val="none"/>
          <w:lang w:val="en-US" w:eastAsia="zh-CN"/>
        </w:rPr>
        <w:t>，乙方应及时提交申请更换报告并向甲方提交配件采购清单及具体参数，由甲方决定自购或委托乙方购买，乙方免费负责更换。</w:t>
      </w:r>
    </w:p>
    <w:p>
      <w:pPr>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b/>
          <w:color w:val="auto"/>
          <w:sz w:val="32"/>
          <w:szCs w:val="32"/>
          <w:highlight w:val="none"/>
          <w:lang w:val="en-US" w:eastAsia="zh-CN"/>
        </w:rPr>
      </w:pPr>
      <w:r>
        <w:rPr>
          <w:rFonts w:hint="eastAsia" w:eastAsia="方正仿宋_GBK" w:cs="Times New Roman"/>
          <w:color w:val="auto"/>
          <w:sz w:val="32"/>
          <w:szCs w:val="32"/>
          <w:highlight w:val="none"/>
          <w:lang w:val="en-US" w:eastAsia="zh-CN"/>
        </w:rPr>
        <w:t>（7）</w:t>
      </w:r>
      <w:r>
        <w:rPr>
          <w:rFonts w:hint="default" w:ascii="Times New Roman" w:hAnsi="Times New Roman" w:eastAsia="方正仿宋_GBK" w:cs="Times New Roman"/>
          <w:color w:val="auto"/>
          <w:sz w:val="32"/>
          <w:szCs w:val="32"/>
          <w:highlight w:val="none"/>
          <w:lang w:val="en-US" w:eastAsia="zh-CN"/>
        </w:rPr>
        <w:t>维修的及时和效率性参照制定的空调维保方案和应急预案。做到及时效率完成，常规配件随时备用在库房，做到及时响应的同时也能在规定的时间内完成修复正常使用。</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方正仿宋_GBK" w:cs="Times New Roman"/>
          <w:b/>
          <w:bCs/>
          <w:color w:val="auto"/>
          <w:kern w:val="0"/>
          <w:sz w:val="32"/>
          <w:szCs w:val="32"/>
          <w:highlight w:val="none"/>
          <w:lang w:val="en-US" w:eastAsia="zh-CN" w:bidi="ar"/>
        </w:rPr>
      </w:pPr>
      <w:r>
        <w:rPr>
          <w:rFonts w:hint="eastAsia" w:ascii="方正楷体_GBK" w:hAnsi="方正楷体_GBK" w:eastAsia="方正楷体_GBK" w:cs="方正楷体_GBK"/>
          <w:b w:val="0"/>
          <w:bCs/>
          <w:color w:val="auto"/>
          <w:sz w:val="32"/>
          <w:szCs w:val="32"/>
          <w:highlight w:val="none"/>
          <w:lang w:val="en-US" w:eastAsia="zh-CN"/>
        </w:rPr>
        <w:t>3.2</w:t>
      </w:r>
      <w:r>
        <w:rPr>
          <w:rFonts w:hint="eastAsia" w:ascii="方正楷体_GBK" w:hAnsi="方正楷体_GBK" w:eastAsia="方正楷体_GBK" w:cs="方正楷体_GBK"/>
          <w:b w:val="0"/>
          <w:bCs/>
          <w:color w:val="auto"/>
          <w:kern w:val="0"/>
          <w:sz w:val="32"/>
          <w:szCs w:val="32"/>
          <w:highlight w:val="none"/>
          <w:lang w:val="en-US" w:eastAsia="zh-CN" w:bidi="ar"/>
        </w:rPr>
        <w:t>中央空调循环水系统维保项目服务要求</w:t>
      </w:r>
    </w:p>
    <w:p>
      <w:pPr>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 xml:space="preserve">（1）维保单位负责对甲方单位循环水系统设备材料、容积、循环水量等基础情况进行观察监测。实施有效的水质处理，并做好相关维护和基础技术资料的记录整理。 </w:t>
      </w:r>
    </w:p>
    <w:p>
      <w:pPr>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 xml:space="preserve">（2）维保单位负责提供阻垢缓蚀剂、杀菌灭藻剂、冷冻水专用抑制剂，使循环水质调整达到最佳状态。随时取水化验符合国家标准要求。 </w:t>
      </w:r>
    </w:p>
    <w:p>
      <w:pPr>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 xml:space="preserve">（3）维保单位提供日常管理工作方面的资料。在投药运行期间，进行现场服务，随时可以对冷却水、冷冻水（制热水）的PH、电导率、碱度、硬度进行水质化验，分析检测并将结果以书面形式送交甲方单位，检测结果内需加入循环水标准（GB50050-2007工业循环冷却水处理设计规范）做相应对照，以便甲方单位随时了解水质情况。 </w:t>
      </w:r>
    </w:p>
    <w:p>
      <w:pPr>
        <w:pageBreakBefore w:val="0"/>
        <w:widowControl/>
        <w:numPr>
          <w:ilvl w:val="0"/>
          <w:numId w:val="0"/>
        </w:numPr>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（4）如甲方单位有特殊要求，维保单位应委派化验人员随时对水质进行化验。维保单位负责免费对甲方单位人员进行水处理基础知识培训，使其能熟悉了解水处理的相关工作程序和要求。</w:t>
      </w:r>
    </w:p>
    <w:p>
      <w:pPr>
        <w:pageBreakBefore w:val="0"/>
        <w:widowControl/>
        <w:numPr>
          <w:ilvl w:val="0"/>
          <w:numId w:val="0"/>
        </w:numPr>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 xml:space="preserve">（5）根据系统的实际情况和业主单位要求，每年最少对系统的冷凝器和冷却塔进行一次通炮清洗处理。要求目测冷凝器内壁附着物水冲即掉，露出金属本色；在潮湿情况下手感平滑。 </w:t>
      </w:r>
    </w:p>
    <w:p>
      <w:pPr>
        <w:pageBreakBefore w:val="0"/>
        <w:widowControl/>
        <w:numPr>
          <w:ilvl w:val="0"/>
          <w:numId w:val="0"/>
        </w:numPr>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6）如发生任何因水处理造成安全责任事故（如因用药不当造成管道破裂、堵塞、非污不畅、设备损坏等危害）均由维保单位负责，维保单位要按相关安全生产操作规程进行施工，如在施工过程中发生安全事故，由维保单位负全责，并不得影响系统的正常运行。</w:t>
      </w:r>
    </w:p>
    <w:p>
      <w:pPr>
        <w:pageBreakBefore w:val="0"/>
        <w:kinsoku/>
        <w:wordWrap/>
        <w:overflowPunct/>
        <w:topLinePunct w:val="0"/>
        <w:autoSpaceDE/>
        <w:autoSpaceDN/>
        <w:bidi w:val="0"/>
        <w:adjustRightInd w:val="0"/>
        <w:snapToGrid w:val="0"/>
        <w:spacing w:before="0" w:after="0" w:line="560" w:lineRule="exact"/>
        <w:ind w:firstLine="640" w:firstLineChars="200"/>
        <w:textAlignment w:val="auto"/>
        <w:outlineLvl w:val="9"/>
        <w:rPr>
          <w:rFonts w:hint="eastAsia" w:ascii="方正楷体_GBK" w:hAnsi="方正楷体_GBK" w:eastAsia="方正楷体_GBK" w:cs="方正楷体_GBK"/>
          <w:b w:val="0"/>
          <w:bCs/>
          <w:color w:val="auto"/>
          <w:sz w:val="32"/>
          <w:szCs w:val="32"/>
          <w:highlight w:val="none"/>
        </w:rPr>
      </w:pPr>
      <w:r>
        <w:rPr>
          <w:rFonts w:hint="eastAsia" w:ascii="方正楷体_GBK" w:hAnsi="方正楷体_GBK" w:eastAsia="方正楷体_GBK" w:cs="方正楷体_GBK"/>
          <w:b w:val="0"/>
          <w:bCs/>
          <w:color w:val="auto"/>
          <w:sz w:val="32"/>
          <w:szCs w:val="32"/>
          <w:highlight w:val="none"/>
          <w:lang w:val="en-US" w:eastAsia="zh-CN"/>
        </w:rPr>
        <w:t>四、项目单位要求</w:t>
      </w:r>
      <w:bookmarkEnd w:id="76"/>
    </w:p>
    <w:p>
      <w:pPr>
        <w:pageBreakBefore w:val="0"/>
        <w:widowControl/>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lang w:val="en-US" w:eastAsia="zh-CN"/>
        </w:rPr>
        <w:t>）参选人应具有相关</w:t>
      </w:r>
      <w:r>
        <w:rPr>
          <w:rFonts w:hint="eastAsia" w:eastAsia="方正仿宋_GBK" w:cs="Times New Roman"/>
          <w:color w:val="auto"/>
          <w:sz w:val="32"/>
          <w:szCs w:val="32"/>
          <w:highlight w:val="none"/>
          <w:lang w:val="en-US" w:eastAsia="zh-CN"/>
        </w:rPr>
        <w:t>（以下任一）</w:t>
      </w:r>
      <w:r>
        <w:rPr>
          <w:rFonts w:hint="default" w:ascii="Times New Roman" w:hAnsi="Times New Roman" w:eastAsia="方正仿宋_GBK" w:cs="Times New Roman"/>
          <w:color w:val="auto"/>
          <w:sz w:val="32"/>
          <w:szCs w:val="32"/>
          <w:highlight w:val="none"/>
          <w:lang w:val="en-US" w:eastAsia="zh-CN"/>
        </w:rPr>
        <w:t>《中国制冷空调设备维修安装企业资质》A 类资质、《集中式制冷空调设备维修安装》Ⅰ级证书、《中央空调维修保养消毒清洗资质》一级资质、建筑机电安装工程专业承包</w:t>
      </w:r>
      <w:r>
        <w:rPr>
          <w:rFonts w:hint="eastAsia" w:eastAsia="方正仿宋_GBK" w:cs="Times New Roman"/>
          <w:color w:val="auto"/>
          <w:sz w:val="32"/>
          <w:szCs w:val="32"/>
          <w:highlight w:val="none"/>
          <w:lang w:val="en-US" w:eastAsia="zh-CN"/>
        </w:rPr>
        <w:t>叁</w:t>
      </w:r>
      <w:r>
        <w:rPr>
          <w:rFonts w:hint="default" w:ascii="Times New Roman" w:hAnsi="Times New Roman" w:eastAsia="方正仿宋_GBK" w:cs="Times New Roman"/>
          <w:color w:val="auto"/>
          <w:sz w:val="32"/>
          <w:szCs w:val="32"/>
          <w:highlight w:val="none"/>
          <w:lang w:val="en-US" w:eastAsia="zh-CN"/>
        </w:rPr>
        <w:t>级资质</w:t>
      </w:r>
      <w:r>
        <w:rPr>
          <w:rFonts w:hint="eastAsia" w:eastAsia="方正仿宋_GBK" w:cs="Times New Roman"/>
          <w:color w:val="auto"/>
          <w:sz w:val="32"/>
          <w:szCs w:val="32"/>
          <w:highlight w:val="none"/>
          <w:lang w:val="en-US" w:eastAsia="zh-CN"/>
        </w:rPr>
        <w:t>，且同时具有</w:t>
      </w:r>
      <w:r>
        <w:rPr>
          <w:rFonts w:hint="default" w:ascii="Times New Roman" w:hAnsi="Times New Roman" w:eastAsia="方正仿宋_GBK" w:cs="Times New Roman"/>
          <w:color w:val="auto"/>
          <w:sz w:val="32"/>
          <w:szCs w:val="32"/>
          <w:highlight w:val="none"/>
          <w:lang w:val="en-US" w:eastAsia="zh-CN"/>
        </w:rPr>
        <w:t>《安全生产许可证》等。</w:t>
      </w:r>
    </w:p>
    <w:p>
      <w:pPr>
        <w:pageBreakBefore w:val="0"/>
        <w:widowControl/>
        <w:kinsoku/>
        <w:wordWrap/>
        <w:overflowPunct/>
        <w:topLinePunct w:val="0"/>
        <w:autoSpaceDE/>
        <w:autoSpaceDN/>
        <w:bidi w:val="0"/>
        <w:adjustRightInd w:val="0"/>
        <w:snapToGrid w:val="0"/>
        <w:spacing w:line="240" w:lineRule="auto"/>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（提供证书复印件并加盖供应商公章，原件备查）</w:t>
      </w:r>
    </w:p>
    <w:p>
      <w:pPr>
        <w:pageBreakBefore w:val="0"/>
        <w:kinsoku/>
        <w:wordWrap/>
        <w:overflowPunct/>
        <w:topLinePunct w:val="0"/>
        <w:autoSpaceDE/>
        <w:autoSpaceDN/>
        <w:bidi w:val="0"/>
        <w:adjustRightInd w:val="0"/>
        <w:snapToGrid w:val="0"/>
        <w:spacing w:before="0" w:after="0" w:line="240" w:lineRule="auto"/>
        <w:ind w:firstLine="640" w:firstLineChars="200"/>
        <w:textAlignment w:val="auto"/>
        <w:outlineLvl w:val="9"/>
        <w:rPr>
          <w:rFonts w:hint="eastAsia" w:ascii="方正楷体_GBK" w:hAnsi="方正楷体_GBK" w:eastAsia="方正楷体_GBK" w:cs="方正楷体_GBK"/>
          <w:b w:val="0"/>
          <w:bCs/>
          <w:color w:val="auto"/>
          <w:sz w:val="32"/>
          <w:szCs w:val="32"/>
          <w:highlight w:val="none"/>
          <w:lang w:val="en-US" w:eastAsia="zh-CN"/>
        </w:rPr>
      </w:pPr>
      <w:r>
        <w:rPr>
          <w:rFonts w:hint="eastAsia" w:ascii="方正楷体_GBK" w:hAnsi="方正楷体_GBK" w:eastAsia="方正楷体_GBK" w:cs="方正楷体_GBK"/>
          <w:b w:val="0"/>
          <w:bCs/>
          <w:color w:val="auto"/>
          <w:sz w:val="32"/>
          <w:szCs w:val="32"/>
          <w:highlight w:val="none"/>
          <w:lang w:val="en-US" w:eastAsia="zh-CN"/>
        </w:rPr>
        <w:t>五、项目人员要求</w:t>
      </w:r>
    </w:p>
    <w:p>
      <w:pPr>
        <w:pStyle w:val="7"/>
        <w:pageBreakBefore w:val="0"/>
        <w:kinsoku/>
        <w:wordWrap/>
        <w:overflowPunct/>
        <w:topLinePunct w:val="0"/>
        <w:autoSpaceDE/>
        <w:autoSpaceDN/>
        <w:bidi w:val="0"/>
        <w:spacing w:line="240" w:lineRule="auto"/>
        <w:ind w:firstLine="640" w:firstLineChars="200"/>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（1）提供的维护人员需具备由国家应急管理局颁发的且在有效期内的高处作业证、焊接与热切割作业证、制冷与空调设备安装修理作业证、低压电工证等。</w:t>
      </w:r>
    </w:p>
    <w:p>
      <w:pPr>
        <w:pStyle w:val="7"/>
        <w:pageBreakBefore w:val="0"/>
        <w:kinsoku/>
        <w:wordWrap/>
        <w:overflowPunct/>
        <w:topLinePunct w:val="0"/>
        <w:autoSpaceDE/>
        <w:autoSpaceDN/>
        <w:bidi w:val="0"/>
        <w:spacing w:line="240" w:lineRule="auto"/>
        <w:ind w:firstLine="640" w:firstLineChars="200"/>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（2）进场维护人员</w:t>
      </w:r>
      <w:r>
        <w:rPr>
          <w:rFonts w:hint="eastAsia" w:ascii="Times New Roman" w:eastAsia="方正仿宋_GBK" w:cs="Times New Roman"/>
          <w:color w:val="auto"/>
          <w:kern w:val="2"/>
          <w:sz w:val="32"/>
          <w:szCs w:val="32"/>
          <w:highlight w:val="none"/>
          <w:lang w:val="en-US" w:eastAsia="zh-CN" w:bidi="ar-SA"/>
        </w:rPr>
        <w:t>必须</w:t>
      </w:r>
      <w:r>
        <w:rPr>
          <w:rFonts w:hint="default" w:ascii="Times New Roman" w:hAnsi="Times New Roman" w:eastAsia="方正仿宋_GBK" w:cs="Times New Roman"/>
          <w:color w:val="auto"/>
          <w:kern w:val="2"/>
          <w:sz w:val="32"/>
          <w:szCs w:val="32"/>
          <w:highlight w:val="none"/>
          <w:lang w:val="en-US" w:eastAsia="zh-CN" w:bidi="ar-SA"/>
        </w:rPr>
        <w:t>为本单位专职人员，且提供</w:t>
      </w:r>
      <w:r>
        <w:rPr>
          <w:rFonts w:hint="eastAsia" w:ascii="Times New Roman" w:eastAsia="方正仿宋_GBK" w:cs="Times New Roman"/>
          <w:color w:val="auto"/>
          <w:kern w:val="2"/>
          <w:sz w:val="32"/>
          <w:szCs w:val="32"/>
          <w:highlight w:val="none"/>
          <w:lang w:val="en-US" w:eastAsia="zh-CN" w:bidi="ar-SA"/>
        </w:rPr>
        <w:t>进场</w:t>
      </w:r>
      <w:r>
        <w:rPr>
          <w:rFonts w:hint="default" w:ascii="Times New Roman" w:hAnsi="Times New Roman" w:eastAsia="方正仿宋_GBK" w:cs="Times New Roman"/>
          <w:color w:val="auto"/>
          <w:kern w:val="2"/>
          <w:sz w:val="32"/>
          <w:szCs w:val="32"/>
          <w:highlight w:val="none"/>
          <w:lang w:val="en-US" w:eastAsia="zh-CN" w:bidi="ar-SA"/>
        </w:rPr>
        <w:t>维护人员在本单位的</w:t>
      </w:r>
      <w:r>
        <w:rPr>
          <w:rFonts w:hint="eastAsia" w:ascii="Times New Roman" w:hAnsi="Times New Roman" w:eastAsia="方正仿宋_GBK" w:cs="Times New Roman"/>
          <w:color w:val="auto"/>
          <w:kern w:val="2"/>
          <w:sz w:val="32"/>
          <w:szCs w:val="32"/>
          <w:highlight w:val="none"/>
          <w:lang w:val="en-US" w:eastAsia="zh-CN" w:bidi="ar-SA"/>
        </w:rPr>
        <w:t>近</w:t>
      </w:r>
      <w:r>
        <w:rPr>
          <w:rFonts w:hint="default" w:ascii="Times New Roman" w:hAnsi="Times New Roman" w:eastAsia="方正仿宋_GBK" w:cs="Times New Roman"/>
          <w:color w:val="auto"/>
          <w:kern w:val="2"/>
          <w:sz w:val="32"/>
          <w:szCs w:val="32"/>
          <w:highlight w:val="none"/>
          <w:lang w:val="en-US" w:eastAsia="zh-CN" w:bidi="ar-SA"/>
        </w:rPr>
        <w:t>三个月</w:t>
      </w:r>
      <w:r>
        <w:rPr>
          <w:rFonts w:hint="eastAsia" w:ascii="Times New Roman" w:hAnsi="Times New Roman" w:eastAsia="方正仿宋_GBK" w:cs="Times New Roman"/>
          <w:color w:val="auto"/>
          <w:kern w:val="2"/>
          <w:sz w:val="32"/>
          <w:szCs w:val="32"/>
          <w:highlight w:val="none"/>
          <w:lang w:val="en-US" w:eastAsia="zh-CN" w:bidi="ar-SA"/>
        </w:rPr>
        <w:t>（2025年第一季度）</w:t>
      </w:r>
      <w:r>
        <w:rPr>
          <w:rFonts w:hint="default" w:ascii="Times New Roman" w:hAnsi="Times New Roman" w:eastAsia="方正仿宋_GBK" w:cs="Times New Roman"/>
          <w:color w:val="auto"/>
          <w:kern w:val="2"/>
          <w:sz w:val="32"/>
          <w:szCs w:val="32"/>
          <w:highlight w:val="none"/>
          <w:lang w:val="en-US" w:eastAsia="zh-CN" w:bidi="ar-SA"/>
        </w:rPr>
        <w:t>社保证明。</w:t>
      </w:r>
    </w:p>
    <w:p>
      <w:pPr>
        <w:pStyle w:val="7"/>
        <w:pageBreakBefore w:val="0"/>
        <w:kinsoku/>
        <w:wordWrap/>
        <w:overflowPunct/>
        <w:topLinePunct w:val="0"/>
        <w:autoSpaceDE/>
        <w:autoSpaceDN/>
        <w:bidi w:val="0"/>
        <w:spacing w:line="560" w:lineRule="exact"/>
        <w:textAlignment w:val="auto"/>
        <w:rPr>
          <w:rFonts w:hint="default" w:ascii="Times New Roman" w:hAnsi="Times New Roman" w:eastAsia="方正仿宋_GBK" w:cs="Times New Roman"/>
          <w:color w:val="auto"/>
          <w:kern w:val="2"/>
          <w:sz w:val="32"/>
          <w:szCs w:val="32"/>
          <w:highlight w:val="none"/>
          <w:lang w:val="en-US" w:eastAsia="zh-CN" w:bidi="ar-SA"/>
        </w:rPr>
        <w:sectPr>
          <w:headerReference r:id="rId22" w:type="default"/>
          <w:footerReference r:id="rId23" w:type="default"/>
          <w:pgSz w:w="11906" w:h="16838"/>
          <w:pgMar w:top="1417" w:right="1134" w:bottom="1417" w:left="1134" w:header="851" w:footer="992" w:gutter="0"/>
          <w:pgNumType w:fmt="decimal"/>
          <w:cols w:space="425" w:num="1"/>
          <w:docGrid w:type="lines" w:linePitch="312" w:charSpace="0"/>
        </w:sectPr>
      </w:pPr>
      <w:r>
        <w:rPr>
          <w:rFonts w:hint="default" w:ascii="Times New Roman" w:hAnsi="Times New Roman" w:eastAsia="方正仿宋_GBK" w:cs="Times New Roman"/>
          <w:color w:val="auto"/>
          <w:kern w:val="2"/>
          <w:sz w:val="32"/>
          <w:szCs w:val="32"/>
          <w:highlight w:val="none"/>
          <w:lang w:val="en-US" w:eastAsia="zh-CN" w:bidi="ar-SA"/>
        </w:rPr>
        <w:t>（提供证书</w:t>
      </w:r>
      <w:r>
        <w:rPr>
          <w:rFonts w:hint="eastAsia" w:ascii="Times New Roman" w:hAnsi="Times New Roman" w:eastAsia="方正仿宋_GBK" w:cs="Times New Roman"/>
          <w:color w:val="auto"/>
          <w:kern w:val="2"/>
          <w:sz w:val="32"/>
          <w:szCs w:val="32"/>
          <w:highlight w:val="none"/>
          <w:lang w:val="en-US" w:eastAsia="zh-CN" w:bidi="ar-SA"/>
        </w:rPr>
        <w:t>复印件及社保缴纳证明</w:t>
      </w:r>
      <w:r>
        <w:rPr>
          <w:rFonts w:hint="default" w:ascii="Times New Roman" w:hAnsi="Times New Roman" w:eastAsia="方正仿宋_GBK" w:cs="Times New Roman"/>
          <w:color w:val="auto"/>
          <w:kern w:val="2"/>
          <w:sz w:val="32"/>
          <w:szCs w:val="32"/>
          <w:highlight w:val="none"/>
          <w:lang w:val="en-US" w:eastAsia="zh-CN" w:bidi="ar-SA"/>
        </w:rPr>
        <w:t>复印件并加盖供应商公章，原件备查）</w:t>
      </w:r>
    </w:p>
    <w:p>
      <w:pPr>
        <w:keepNext w:val="0"/>
        <w:keepLines w:val="0"/>
        <w:widowControl/>
        <w:numPr>
          <w:ilvl w:val="0"/>
          <w:numId w:val="0"/>
        </w:numPr>
        <w:suppressLineNumbers w:val="0"/>
        <w:spacing w:line="360" w:lineRule="auto"/>
        <w:jc w:val="center"/>
        <w:rPr>
          <w:rFonts w:hint="eastAsia" w:ascii="宋体" w:hAnsi="宋体" w:eastAsia="宋体" w:cs="宋体"/>
          <w:b/>
          <w:color w:val="auto"/>
          <w:kern w:val="2"/>
          <w:sz w:val="28"/>
          <w:szCs w:val="28"/>
          <w:highlight w:val="none"/>
          <w:lang w:val="en-US" w:eastAsia="zh-CN" w:bidi="ar-SA"/>
        </w:rPr>
      </w:pPr>
      <w:r>
        <w:rPr>
          <w:rFonts w:hint="eastAsia" w:ascii="宋体" w:hAnsi="宋体" w:eastAsia="宋体" w:cs="宋体"/>
          <w:b/>
          <w:color w:val="auto"/>
          <w:kern w:val="2"/>
          <w:sz w:val="28"/>
          <w:szCs w:val="28"/>
          <w:highlight w:val="none"/>
          <w:lang w:val="en-US" w:eastAsia="zh-CN" w:bidi="ar-SA"/>
        </w:rPr>
        <w:t>重庆理工职业学院中央空调维护保养项目计价清</w:t>
      </w:r>
      <w:r>
        <w:rPr>
          <w:rFonts w:hint="eastAsia" w:ascii="宋体" w:hAnsi="宋体" w:cs="宋体"/>
          <w:b/>
          <w:color w:val="auto"/>
          <w:kern w:val="2"/>
          <w:sz w:val="28"/>
          <w:szCs w:val="28"/>
          <w:highlight w:val="none"/>
          <w:lang w:val="en-US" w:eastAsia="zh-CN" w:bidi="ar-SA"/>
        </w:rPr>
        <w:t>单</w:t>
      </w:r>
    </w:p>
    <w:tbl>
      <w:tblPr>
        <w:tblStyle w:val="10"/>
        <w:tblW w:w="508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13"/>
        <w:gridCol w:w="2857"/>
        <w:gridCol w:w="1113"/>
        <w:gridCol w:w="1113"/>
        <w:gridCol w:w="1113"/>
        <w:gridCol w:w="1128"/>
        <w:gridCol w:w="15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5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序号</w:t>
            </w:r>
          </w:p>
        </w:tc>
        <w:tc>
          <w:tcPr>
            <w:tcW w:w="1424"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名称</w:t>
            </w:r>
          </w:p>
        </w:tc>
        <w:tc>
          <w:tcPr>
            <w:tcW w:w="555"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单位</w:t>
            </w:r>
          </w:p>
        </w:tc>
        <w:tc>
          <w:tcPr>
            <w:tcW w:w="555"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数量</w:t>
            </w:r>
          </w:p>
        </w:tc>
        <w:tc>
          <w:tcPr>
            <w:tcW w:w="555"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单价</w:t>
            </w:r>
          </w:p>
        </w:tc>
        <w:tc>
          <w:tcPr>
            <w:tcW w:w="562"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总价</w:t>
            </w:r>
          </w:p>
        </w:tc>
        <w:tc>
          <w:tcPr>
            <w:tcW w:w="791"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55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w:t>
            </w:r>
          </w:p>
        </w:tc>
        <w:tc>
          <w:tcPr>
            <w:tcW w:w="1424"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冷冻油</w:t>
            </w:r>
          </w:p>
        </w:tc>
        <w:tc>
          <w:tcPr>
            <w:tcW w:w="55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L</w:t>
            </w:r>
          </w:p>
        </w:tc>
        <w:tc>
          <w:tcPr>
            <w:tcW w:w="111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200</w:t>
            </w:r>
          </w:p>
        </w:tc>
        <w:tc>
          <w:tcPr>
            <w:tcW w:w="111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p>
        </w:tc>
        <w:tc>
          <w:tcPr>
            <w:tcW w:w="11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微软雅黑" w:hAnsi="微软雅黑" w:eastAsia="微软雅黑" w:cs="微软雅黑"/>
                <w:i w:val="0"/>
                <w:iCs w:val="0"/>
                <w:color w:val="auto"/>
                <w:kern w:val="0"/>
                <w:sz w:val="24"/>
                <w:szCs w:val="24"/>
                <w:highlight w:val="none"/>
                <w:u w:val="none"/>
                <w:lang w:val="en-US" w:eastAsia="zh-CN" w:bidi="ar"/>
              </w:rPr>
            </w:pPr>
          </w:p>
        </w:tc>
        <w:tc>
          <w:tcPr>
            <w:tcW w:w="79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美的、纳森原厂（单机40L）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5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2</w:t>
            </w:r>
          </w:p>
        </w:tc>
        <w:tc>
          <w:tcPr>
            <w:tcW w:w="1424"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除垢剂</w:t>
            </w:r>
          </w:p>
        </w:tc>
        <w:tc>
          <w:tcPr>
            <w:tcW w:w="55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KG</w:t>
            </w:r>
          </w:p>
        </w:tc>
        <w:tc>
          <w:tcPr>
            <w:tcW w:w="111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118</w:t>
            </w:r>
          </w:p>
        </w:tc>
        <w:tc>
          <w:tcPr>
            <w:tcW w:w="111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p>
        </w:tc>
        <w:tc>
          <w:tcPr>
            <w:tcW w:w="11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p>
        </w:tc>
        <w:tc>
          <w:tcPr>
            <w:tcW w:w="79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康星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55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3</w:t>
            </w:r>
          </w:p>
        </w:tc>
        <w:tc>
          <w:tcPr>
            <w:tcW w:w="1424"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阻垢剂</w:t>
            </w:r>
          </w:p>
        </w:tc>
        <w:tc>
          <w:tcPr>
            <w:tcW w:w="55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KG</w:t>
            </w:r>
          </w:p>
        </w:tc>
        <w:tc>
          <w:tcPr>
            <w:tcW w:w="111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49</w:t>
            </w:r>
          </w:p>
        </w:tc>
        <w:tc>
          <w:tcPr>
            <w:tcW w:w="111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p>
        </w:tc>
        <w:tc>
          <w:tcPr>
            <w:tcW w:w="11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p>
        </w:tc>
        <w:tc>
          <w:tcPr>
            <w:tcW w:w="79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康星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 w:hRule="atLeast"/>
        </w:trPr>
        <w:tc>
          <w:tcPr>
            <w:tcW w:w="55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4</w:t>
            </w:r>
          </w:p>
        </w:tc>
        <w:tc>
          <w:tcPr>
            <w:tcW w:w="1424"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中性预膜剂</w:t>
            </w:r>
          </w:p>
        </w:tc>
        <w:tc>
          <w:tcPr>
            <w:tcW w:w="55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KG</w:t>
            </w:r>
          </w:p>
        </w:tc>
        <w:tc>
          <w:tcPr>
            <w:tcW w:w="111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49</w:t>
            </w:r>
          </w:p>
        </w:tc>
        <w:tc>
          <w:tcPr>
            <w:tcW w:w="111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p>
        </w:tc>
        <w:tc>
          <w:tcPr>
            <w:tcW w:w="11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p>
        </w:tc>
        <w:tc>
          <w:tcPr>
            <w:tcW w:w="79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康星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5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5</w:t>
            </w:r>
          </w:p>
        </w:tc>
        <w:tc>
          <w:tcPr>
            <w:tcW w:w="1424"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烂泥剥离剂</w:t>
            </w:r>
          </w:p>
        </w:tc>
        <w:tc>
          <w:tcPr>
            <w:tcW w:w="55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KG</w:t>
            </w:r>
          </w:p>
        </w:tc>
        <w:tc>
          <w:tcPr>
            <w:tcW w:w="111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56</w:t>
            </w:r>
          </w:p>
        </w:tc>
        <w:tc>
          <w:tcPr>
            <w:tcW w:w="111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p>
        </w:tc>
        <w:tc>
          <w:tcPr>
            <w:tcW w:w="11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p>
        </w:tc>
        <w:tc>
          <w:tcPr>
            <w:tcW w:w="79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康星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5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6</w:t>
            </w:r>
          </w:p>
        </w:tc>
        <w:tc>
          <w:tcPr>
            <w:tcW w:w="1424"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金属离子稳定剂</w:t>
            </w:r>
          </w:p>
        </w:tc>
        <w:tc>
          <w:tcPr>
            <w:tcW w:w="55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KG</w:t>
            </w:r>
          </w:p>
        </w:tc>
        <w:tc>
          <w:tcPr>
            <w:tcW w:w="111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66</w:t>
            </w:r>
          </w:p>
        </w:tc>
        <w:tc>
          <w:tcPr>
            <w:tcW w:w="111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p>
        </w:tc>
        <w:tc>
          <w:tcPr>
            <w:tcW w:w="11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p>
        </w:tc>
        <w:tc>
          <w:tcPr>
            <w:tcW w:w="79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康星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55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7</w:t>
            </w:r>
          </w:p>
        </w:tc>
        <w:tc>
          <w:tcPr>
            <w:tcW w:w="1424"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干燥过滤器</w:t>
            </w:r>
          </w:p>
        </w:tc>
        <w:tc>
          <w:tcPr>
            <w:tcW w:w="55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个</w:t>
            </w:r>
          </w:p>
        </w:tc>
        <w:tc>
          <w:tcPr>
            <w:tcW w:w="111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10</w:t>
            </w:r>
          </w:p>
        </w:tc>
        <w:tc>
          <w:tcPr>
            <w:tcW w:w="111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p>
        </w:tc>
        <w:tc>
          <w:tcPr>
            <w:tcW w:w="11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p>
        </w:tc>
        <w:tc>
          <w:tcPr>
            <w:tcW w:w="79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美的、纳森原厂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55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8</w:t>
            </w:r>
          </w:p>
        </w:tc>
        <w:tc>
          <w:tcPr>
            <w:tcW w:w="1424"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冷媒过滤器</w:t>
            </w:r>
          </w:p>
        </w:tc>
        <w:tc>
          <w:tcPr>
            <w:tcW w:w="55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个</w:t>
            </w:r>
          </w:p>
        </w:tc>
        <w:tc>
          <w:tcPr>
            <w:tcW w:w="111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5</w:t>
            </w:r>
          </w:p>
        </w:tc>
        <w:tc>
          <w:tcPr>
            <w:tcW w:w="111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p>
        </w:tc>
        <w:tc>
          <w:tcPr>
            <w:tcW w:w="11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p>
        </w:tc>
        <w:tc>
          <w:tcPr>
            <w:tcW w:w="79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美的、纳森原厂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5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9</w:t>
            </w:r>
          </w:p>
        </w:tc>
        <w:tc>
          <w:tcPr>
            <w:tcW w:w="1424"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冷凝器化学通炮清洗人工</w:t>
            </w:r>
          </w:p>
        </w:tc>
        <w:tc>
          <w:tcPr>
            <w:tcW w:w="55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台</w:t>
            </w:r>
          </w:p>
        </w:tc>
        <w:tc>
          <w:tcPr>
            <w:tcW w:w="111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5</w:t>
            </w:r>
          </w:p>
        </w:tc>
        <w:tc>
          <w:tcPr>
            <w:tcW w:w="111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p>
        </w:tc>
        <w:tc>
          <w:tcPr>
            <w:tcW w:w="11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p>
        </w:tc>
        <w:tc>
          <w:tcPr>
            <w:tcW w:w="79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5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10</w:t>
            </w:r>
          </w:p>
        </w:tc>
        <w:tc>
          <w:tcPr>
            <w:tcW w:w="1424"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冷却水系统化学清洗人工</w:t>
            </w:r>
          </w:p>
        </w:tc>
        <w:tc>
          <w:tcPr>
            <w:tcW w:w="55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项</w:t>
            </w:r>
          </w:p>
        </w:tc>
        <w:tc>
          <w:tcPr>
            <w:tcW w:w="111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5</w:t>
            </w:r>
          </w:p>
        </w:tc>
        <w:tc>
          <w:tcPr>
            <w:tcW w:w="111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p>
        </w:tc>
        <w:tc>
          <w:tcPr>
            <w:tcW w:w="11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p>
        </w:tc>
        <w:tc>
          <w:tcPr>
            <w:tcW w:w="79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5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11</w:t>
            </w:r>
          </w:p>
        </w:tc>
        <w:tc>
          <w:tcPr>
            <w:tcW w:w="1424"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运输费</w:t>
            </w:r>
          </w:p>
        </w:tc>
        <w:tc>
          <w:tcPr>
            <w:tcW w:w="55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项</w:t>
            </w:r>
          </w:p>
        </w:tc>
        <w:tc>
          <w:tcPr>
            <w:tcW w:w="111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1</w:t>
            </w:r>
          </w:p>
        </w:tc>
        <w:tc>
          <w:tcPr>
            <w:tcW w:w="111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p>
        </w:tc>
        <w:tc>
          <w:tcPr>
            <w:tcW w:w="11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p>
        </w:tc>
        <w:tc>
          <w:tcPr>
            <w:tcW w:w="79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5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微软雅黑" w:hAnsi="微软雅黑" w:eastAsia="微软雅黑" w:cs="微软雅黑"/>
                <w:i w:val="0"/>
                <w:iCs w:val="0"/>
                <w:color w:val="auto"/>
                <w:sz w:val="24"/>
                <w:szCs w:val="24"/>
                <w:highlight w:val="none"/>
                <w:u w:val="none"/>
                <w:lang w:val="en-US"/>
              </w:rPr>
            </w:pPr>
            <w:r>
              <w:rPr>
                <w:rFonts w:hint="eastAsia" w:ascii="微软雅黑" w:hAnsi="微软雅黑" w:eastAsia="微软雅黑" w:cs="微软雅黑"/>
                <w:i w:val="0"/>
                <w:iCs w:val="0"/>
                <w:color w:val="auto"/>
                <w:kern w:val="0"/>
                <w:sz w:val="24"/>
                <w:szCs w:val="24"/>
                <w:highlight w:val="none"/>
                <w:u w:val="none"/>
                <w:lang w:val="en-US" w:eastAsia="zh-CN" w:bidi="ar"/>
              </w:rPr>
              <w:t>12</w:t>
            </w:r>
          </w:p>
        </w:tc>
        <w:tc>
          <w:tcPr>
            <w:tcW w:w="1424"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水质检测</w:t>
            </w:r>
          </w:p>
        </w:tc>
        <w:tc>
          <w:tcPr>
            <w:tcW w:w="55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项</w:t>
            </w:r>
          </w:p>
        </w:tc>
        <w:tc>
          <w:tcPr>
            <w:tcW w:w="111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default" w:ascii="微软雅黑" w:hAnsi="微软雅黑" w:eastAsia="微软雅黑" w:cs="微软雅黑"/>
                <w:i w:val="0"/>
                <w:iCs w:val="0"/>
                <w:color w:val="auto"/>
                <w:kern w:val="0"/>
                <w:sz w:val="24"/>
                <w:szCs w:val="24"/>
                <w:highlight w:val="none"/>
                <w:u w:val="none"/>
                <w:lang w:val="en-US" w:eastAsia="zh-CN" w:bidi="ar"/>
              </w:rPr>
              <w:t>1</w:t>
            </w:r>
          </w:p>
        </w:tc>
        <w:tc>
          <w:tcPr>
            <w:tcW w:w="111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微软雅黑" w:hAnsi="微软雅黑" w:eastAsia="微软雅黑" w:cs="微软雅黑"/>
                <w:i w:val="0"/>
                <w:iCs w:val="0"/>
                <w:color w:val="auto"/>
                <w:kern w:val="0"/>
                <w:sz w:val="24"/>
                <w:szCs w:val="24"/>
                <w:highlight w:val="none"/>
                <w:u w:val="none"/>
                <w:lang w:val="en-US" w:eastAsia="zh-CN" w:bidi="ar"/>
              </w:rPr>
            </w:pPr>
          </w:p>
        </w:tc>
        <w:tc>
          <w:tcPr>
            <w:tcW w:w="11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p>
        </w:tc>
        <w:tc>
          <w:tcPr>
            <w:tcW w:w="79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自检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5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微软雅黑" w:hAnsi="微软雅黑" w:eastAsia="微软雅黑" w:cs="微软雅黑"/>
                <w:i w:val="0"/>
                <w:iCs w:val="0"/>
                <w:color w:val="auto"/>
                <w:sz w:val="24"/>
                <w:szCs w:val="24"/>
                <w:highlight w:val="none"/>
                <w:u w:val="none"/>
                <w:lang w:val="en-US"/>
              </w:rPr>
            </w:pPr>
            <w:r>
              <w:rPr>
                <w:rFonts w:hint="eastAsia" w:ascii="微软雅黑" w:hAnsi="微软雅黑" w:eastAsia="微软雅黑" w:cs="微软雅黑"/>
                <w:i w:val="0"/>
                <w:iCs w:val="0"/>
                <w:color w:val="auto"/>
                <w:kern w:val="0"/>
                <w:sz w:val="24"/>
                <w:szCs w:val="24"/>
                <w:highlight w:val="none"/>
                <w:u w:val="none"/>
                <w:lang w:val="en-US" w:eastAsia="zh-CN" w:bidi="ar"/>
              </w:rPr>
              <w:t>13</w:t>
            </w:r>
          </w:p>
        </w:tc>
        <w:tc>
          <w:tcPr>
            <w:tcW w:w="1424"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安全阀送检</w:t>
            </w:r>
          </w:p>
        </w:tc>
        <w:tc>
          <w:tcPr>
            <w:tcW w:w="55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项</w:t>
            </w:r>
          </w:p>
        </w:tc>
        <w:tc>
          <w:tcPr>
            <w:tcW w:w="111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10</w:t>
            </w:r>
          </w:p>
        </w:tc>
        <w:tc>
          <w:tcPr>
            <w:tcW w:w="111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微软雅黑" w:hAnsi="微软雅黑" w:eastAsia="微软雅黑" w:cs="微软雅黑"/>
                <w:i w:val="0"/>
                <w:iCs w:val="0"/>
                <w:color w:val="auto"/>
                <w:kern w:val="0"/>
                <w:sz w:val="24"/>
                <w:szCs w:val="24"/>
                <w:highlight w:val="none"/>
                <w:u w:val="none"/>
                <w:lang w:val="en-US" w:eastAsia="zh-CN" w:bidi="ar"/>
              </w:rPr>
            </w:pPr>
          </w:p>
        </w:tc>
        <w:tc>
          <w:tcPr>
            <w:tcW w:w="11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微软雅黑" w:hAnsi="微软雅黑" w:eastAsia="微软雅黑" w:cs="微软雅黑"/>
                <w:i w:val="0"/>
                <w:iCs w:val="0"/>
                <w:color w:val="auto"/>
                <w:kern w:val="0"/>
                <w:sz w:val="24"/>
                <w:szCs w:val="24"/>
                <w:highlight w:val="none"/>
                <w:u w:val="none"/>
                <w:lang w:val="en-US" w:eastAsia="zh-CN" w:bidi="ar"/>
              </w:rPr>
            </w:pPr>
          </w:p>
        </w:tc>
        <w:tc>
          <w:tcPr>
            <w:tcW w:w="79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第三方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5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微软雅黑" w:hAnsi="微软雅黑" w:eastAsia="微软雅黑" w:cs="微软雅黑"/>
                <w:i w:val="0"/>
                <w:iCs w:val="0"/>
                <w:color w:val="auto"/>
                <w:sz w:val="24"/>
                <w:szCs w:val="24"/>
                <w:highlight w:val="none"/>
                <w:u w:val="none"/>
                <w:lang w:val="en-US"/>
              </w:rPr>
            </w:pPr>
            <w:r>
              <w:rPr>
                <w:rFonts w:hint="eastAsia" w:ascii="微软雅黑" w:hAnsi="微软雅黑" w:eastAsia="微软雅黑" w:cs="微软雅黑"/>
                <w:i w:val="0"/>
                <w:iCs w:val="0"/>
                <w:color w:val="auto"/>
                <w:kern w:val="0"/>
                <w:sz w:val="24"/>
                <w:szCs w:val="24"/>
                <w:highlight w:val="none"/>
                <w:u w:val="none"/>
                <w:lang w:val="en-US" w:eastAsia="zh-CN" w:bidi="ar"/>
              </w:rPr>
              <w:t>14</w:t>
            </w:r>
          </w:p>
        </w:tc>
        <w:tc>
          <w:tcPr>
            <w:tcW w:w="1424"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冷却、冷冻供回水泵维修</w:t>
            </w:r>
          </w:p>
        </w:tc>
        <w:tc>
          <w:tcPr>
            <w:tcW w:w="55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台</w:t>
            </w:r>
          </w:p>
        </w:tc>
        <w:tc>
          <w:tcPr>
            <w:tcW w:w="111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微软雅黑" w:hAnsi="微软雅黑" w:eastAsia="微软雅黑" w:cs="微软雅黑"/>
                <w:i w:val="0"/>
                <w:iCs w:val="0"/>
                <w:color w:val="auto"/>
                <w:kern w:val="0"/>
                <w:sz w:val="24"/>
                <w:szCs w:val="24"/>
                <w:highlight w:val="none"/>
                <w:u w:val="none"/>
                <w:lang w:val="en-US" w:eastAsia="zh-CN" w:bidi="ar"/>
              </w:rPr>
            </w:pPr>
            <w:r>
              <w:rPr>
                <w:rFonts w:hint="default" w:ascii="微软雅黑" w:hAnsi="微软雅黑" w:eastAsia="微软雅黑" w:cs="微软雅黑"/>
                <w:i w:val="0"/>
                <w:iCs w:val="0"/>
                <w:color w:val="auto"/>
                <w:kern w:val="0"/>
                <w:sz w:val="24"/>
                <w:szCs w:val="24"/>
                <w:highlight w:val="none"/>
                <w:u w:val="none"/>
                <w:lang w:val="en-US" w:eastAsia="zh-CN" w:bidi="ar"/>
              </w:rPr>
              <w:t>1</w:t>
            </w:r>
          </w:p>
        </w:tc>
        <w:tc>
          <w:tcPr>
            <w:tcW w:w="111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微软雅黑" w:hAnsi="微软雅黑" w:eastAsia="微软雅黑" w:cs="微软雅黑"/>
                <w:i w:val="0"/>
                <w:iCs w:val="0"/>
                <w:color w:val="auto"/>
                <w:kern w:val="0"/>
                <w:sz w:val="24"/>
                <w:szCs w:val="24"/>
                <w:highlight w:val="none"/>
                <w:u w:val="none"/>
                <w:lang w:val="en-US" w:eastAsia="zh-CN" w:bidi="ar"/>
              </w:rPr>
            </w:pPr>
          </w:p>
        </w:tc>
        <w:tc>
          <w:tcPr>
            <w:tcW w:w="11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p>
        </w:tc>
        <w:tc>
          <w:tcPr>
            <w:tcW w:w="79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5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微软雅黑" w:hAnsi="微软雅黑" w:eastAsia="微软雅黑" w:cs="微软雅黑"/>
                <w:i w:val="0"/>
                <w:iCs w:val="0"/>
                <w:color w:val="auto"/>
                <w:sz w:val="24"/>
                <w:szCs w:val="24"/>
                <w:highlight w:val="none"/>
                <w:u w:val="none"/>
                <w:lang w:val="en-US"/>
              </w:rPr>
            </w:pPr>
            <w:r>
              <w:rPr>
                <w:rFonts w:hint="eastAsia" w:ascii="微软雅黑" w:hAnsi="微软雅黑" w:eastAsia="微软雅黑" w:cs="微软雅黑"/>
                <w:i w:val="0"/>
                <w:iCs w:val="0"/>
                <w:color w:val="auto"/>
                <w:kern w:val="0"/>
                <w:sz w:val="24"/>
                <w:szCs w:val="24"/>
                <w:highlight w:val="none"/>
                <w:u w:val="none"/>
                <w:lang w:val="en-US" w:eastAsia="zh-CN" w:bidi="ar"/>
              </w:rPr>
              <w:t>15</w:t>
            </w:r>
          </w:p>
        </w:tc>
        <w:tc>
          <w:tcPr>
            <w:tcW w:w="1424"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暗装卧式盘管深度清洗</w:t>
            </w:r>
          </w:p>
        </w:tc>
        <w:tc>
          <w:tcPr>
            <w:tcW w:w="55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台</w:t>
            </w:r>
          </w:p>
        </w:tc>
        <w:tc>
          <w:tcPr>
            <w:tcW w:w="111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50</w:t>
            </w:r>
          </w:p>
        </w:tc>
        <w:tc>
          <w:tcPr>
            <w:tcW w:w="111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微软雅黑" w:hAnsi="微软雅黑" w:eastAsia="微软雅黑" w:cs="微软雅黑"/>
                <w:i w:val="0"/>
                <w:iCs w:val="0"/>
                <w:color w:val="auto"/>
                <w:kern w:val="0"/>
                <w:sz w:val="24"/>
                <w:szCs w:val="24"/>
                <w:highlight w:val="none"/>
                <w:u w:val="none"/>
                <w:lang w:val="en-US" w:eastAsia="zh-CN" w:bidi="ar"/>
              </w:rPr>
            </w:pPr>
          </w:p>
        </w:tc>
        <w:tc>
          <w:tcPr>
            <w:tcW w:w="11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微软雅黑" w:hAnsi="微软雅黑" w:eastAsia="微软雅黑" w:cs="微软雅黑"/>
                <w:i w:val="0"/>
                <w:iCs w:val="0"/>
                <w:color w:val="auto"/>
                <w:kern w:val="0"/>
                <w:sz w:val="24"/>
                <w:szCs w:val="24"/>
                <w:highlight w:val="none"/>
                <w:u w:val="none"/>
                <w:lang w:val="en-US" w:eastAsia="zh-CN" w:bidi="ar"/>
              </w:rPr>
            </w:pPr>
          </w:p>
        </w:tc>
        <w:tc>
          <w:tcPr>
            <w:tcW w:w="79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5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16</w:t>
            </w:r>
          </w:p>
        </w:tc>
        <w:tc>
          <w:tcPr>
            <w:tcW w:w="1424"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kern w:val="2"/>
                <w:sz w:val="24"/>
                <w:szCs w:val="24"/>
                <w:highlight w:val="none"/>
                <w:u w:val="none"/>
                <w:lang w:val="en-US" w:eastAsia="zh-CN" w:bidi="ar-SA"/>
              </w:rPr>
            </w:pPr>
            <w:r>
              <w:rPr>
                <w:rFonts w:hint="eastAsia" w:ascii="微软雅黑" w:hAnsi="微软雅黑" w:eastAsia="微软雅黑" w:cs="微软雅黑"/>
                <w:i w:val="0"/>
                <w:iCs w:val="0"/>
                <w:color w:val="auto"/>
                <w:kern w:val="0"/>
                <w:sz w:val="24"/>
                <w:szCs w:val="24"/>
                <w:highlight w:val="none"/>
                <w:u w:val="none"/>
                <w:lang w:val="en-US" w:eastAsia="zh-CN" w:bidi="ar"/>
              </w:rPr>
              <w:t>暗装卧式盘管普通清洗</w:t>
            </w:r>
          </w:p>
        </w:tc>
        <w:tc>
          <w:tcPr>
            <w:tcW w:w="55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kern w:val="2"/>
                <w:sz w:val="24"/>
                <w:szCs w:val="24"/>
                <w:highlight w:val="none"/>
                <w:u w:val="none"/>
                <w:lang w:val="en-US" w:eastAsia="zh-CN" w:bidi="ar-SA"/>
              </w:rPr>
            </w:pPr>
            <w:r>
              <w:rPr>
                <w:rFonts w:hint="eastAsia" w:ascii="微软雅黑" w:hAnsi="微软雅黑" w:eastAsia="微软雅黑" w:cs="微软雅黑"/>
                <w:i w:val="0"/>
                <w:iCs w:val="0"/>
                <w:color w:val="auto"/>
                <w:kern w:val="0"/>
                <w:sz w:val="24"/>
                <w:szCs w:val="24"/>
                <w:highlight w:val="none"/>
                <w:u w:val="none"/>
                <w:lang w:val="en-US" w:eastAsia="zh-CN" w:bidi="ar"/>
              </w:rPr>
              <w:t>台</w:t>
            </w:r>
          </w:p>
        </w:tc>
        <w:tc>
          <w:tcPr>
            <w:tcW w:w="111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102</w:t>
            </w:r>
          </w:p>
        </w:tc>
        <w:tc>
          <w:tcPr>
            <w:tcW w:w="111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微软雅黑" w:hAnsi="微软雅黑" w:eastAsia="微软雅黑" w:cs="微软雅黑"/>
                <w:i w:val="0"/>
                <w:iCs w:val="0"/>
                <w:color w:val="auto"/>
                <w:kern w:val="0"/>
                <w:sz w:val="24"/>
                <w:szCs w:val="24"/>
                <w:highlight w:val="none"/>
                <w:u w:val="none"/>
                <w:lang w:val="en-US" w:eastAsia="zh-CN" w:bidi="ar"/>
              </w:rPr>
            </w:pPr>
          </w:p>
        </w:tc>
        <w:tc>
          <w:tcPr>
            <w:tcW w:w="112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微软雅黑" w:hAnsi="微软雅黑" w:eastAsia="微软雅黑" w:cs="微软雅黑"/>
                <w:i w:val="0"/>
                <w:iCs w:val="0"/>
                <w:color w:val="auto"/>
                <w:kern w:val="0"/>
                <w:sz w:val="24"/>
                <w:szCs w:val="24"/>
                <w:highlight w:val="none"/>
                <w:u w:val="none"/>
                <w:lang w:val="en-US" w:eastAsia="zh-CN" w:bidi="ar"/>
              </w:rPr>
            </w:pPr>
          </w:p>
        </w:tc>
        <w:tc>
          <w:tcPr>
            <w:tcW w:w="79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55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微软雅黑" w:hAnsi="微软雅黑" w:eastAsia="微软雅黑" w:cs="微软雅黑"/>
                <w:i w:val="0"/>
                <w:iCs w:val="0"/>
                <w:color w:val="auto"/>
                <w:sz w:val="24"/>
                <w:szCs w:val="24"/>
                <w:highlight w:val="none"/>
                <w:u w:val="none"/>
                <w:lang w:val="en-US"/>
              </w:rPr>
            </w:pPr>
            <w:r>
              <w:rPr>
                <w:rFonts w:hint="eastAsia" w:ascii="微软雅黑" w:hAnsi="微软雅黑" w:eastAsia="微软雅黑" w:cs="微软雅黑"/>
                <w:i w:val="0"/>
                <w:iCs w:val="0"/>
                <w:color w:val="auto"/>
                <w:kern w:val="0"/>
                <w:sz w:val="24"/>
                <w:szCs w:val="24"/>
                <w:highlight w:val="none"/>
                <w:u w:val="none"/>
                <w:lang w:val="en-US" w:eastAsia="zh-CN" w:bidi="ar"/>
              </w:rPr>
              <w:t>17</w:t>
            </w:r>
          </w:p>
        </w:tc>
        <w:tc>
          <w:tcPr>
            <w:tcW w:w="1424"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美的水冷螺杆冷水机组程序</w:t>
            </w:r>
          </w:p>
        </w:tc>
        <w:tc>
          <w:tcPr>
            <w:tcW w:w="55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项</w:t>
            </w:r>
          </w:p>
        </w:tc>
        <w:tc>
          <w:tcPr>
            <w:tcW w:w="111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1</w:t>
            </w:r>
          </w:p>
        </w:tc>
        <w:tc>
          <w:tcPr>
            <w:tcW w:w="111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微软雅黑" w:hAnsi="微软雅黑" w:eastAsia="微软雅黑" w:cs="微软雅黑"/>
                <w:i w:val="0"/>
                <w:iCs w:val="0"/>
                <w:color w:val="auto"/>
                <w:kern w:val="0"/>
                <w:sz w:val="24"/>
                <w:szCs w:val="24"/>
                <w:highlight w:val="none"/>
                <w:u w:val="none"/>
                <w:lang w:val="en-US" w:eastAsia="zh-CN" w:bidi="ar"/>
              </w:rPr>
            </w:pPr>
          </w:p>
        </w:tc>
        <w:tc>
          <w:tcPr>
            <w:tcW w:w="562"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p>
        </w:tc>
        <w:tc>
          <w:tcPr>
            <w:tcW w:w="79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55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18</w:t>
            </w:r>
          </w:p>
        </w:tc>
        <w:tc>
          <w:tcPr>
            <w:tcW w:w="1424"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中央空调水处理机组</w:t>
            </w:r>
          </w:p>
        </w:tc>
        <w:tc>
          <w:tcPr>
            <w:tcW w:w="55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套</w:t>
            </w:r>
          </w:p>
        </w:tc>
        <w:tc>
          <w:tcPr>
            <w:tcW w:w="111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微软雅黑" w:hAnsi="微软雅黑" w:eastAsia="微软雅黑" w:cs="微软雅黑"/>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olor w:val="auto"/>
                <w:kern w:val="0"/>
                <w:sz w:val="24"/>
                <w:szCs w:val="24"/>
                <w:highlight w:val="none"/>
                <w:u w:val="none"/>
                <w:lang w:val="en-US" w:eastAsia="zh-CN" w:bidi="ar"/>
              </w:rPr>
              <w:t>2</w:t>
            </w:r>
          </w:p>
        </w:tc>
        <w:tc>
          <w:tcPr>
            <w:tcW w:w="1114"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微软雅黑" w:hAnsi="微软雅黑" w:eastAsia="微软雅黑" w:cs="微软雅黑"/>
                <w:i w:val="0"/>
                <w:iCs w:val="0"/>
                <w:color w:val="auto"/>
                <w:kern w:val="0"/>
                <w:sz w:val="24"/>
                <w:szCs w:val="24"/>
                <w:highlight w:val="none"/>
                <w:u w:val="none"/>
                <w:lang w:val="en-US" w:eastAsia="zh-CN" w:bidi="ar"/>
              </w:rPr>
            </w:pPr>
          </w:p>
        </w:tc>
        <w:tc>
          <w:tcPr>
            <w:tcW w:w="562"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微软雅黑" w:hAnsi="微软雅黑" w:eastAsia="微软雅黑" w:cs="微软雅黑"/>
                <w:i w:val="0"/>
                <w:iCs w:val="0"/>
                <w:color w:val="auto"/>
                <w:kern w:val="0"/>
                <w:sz w:val="24"/>
                <w:szCs w:val="24"/>
                <w:highlight w:val="none"/>
                <w:u w:val="none"/>
                <w:lang w:val="en-US" w:eastAsia="zh-CN" w:bidi="ar"/>
              </w:rPr>
            </w:pPr>
          </w:p>
        </w:tc>
        <w:tc>
          <w:tcPr>
            <w:tcW w:w="79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trPr>
        <w:tc>
          <w:tcPr>
            <w:tcW w:w="55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24"/>
                <w:szCs w:val="24"/>
                <w:highlight w:val="none"/>
                <w:u w:val="none"/>
                <w:lang w:val="en-US"/>
              </w:rPr>
            </w:pPr>
            <w:r>
              <w:rPr>
                <w:rFonts w:hint="eastAsia" w:ascii="微软雅黑" w:hAnsi="微软雅黑" w:eastAsia="微软雅黑" w:cs="微软雅黑"/>
                <w:i w:val="0"/>
                <w:iCs w:val="0"/>
                <w:color w:val="auto"/>
                <w:kern w:val="0"/>
                <w:sz w:val="24"/>
                <w:szCs w:val="24"/>
                <w:highlight w:val="none"/>
                <w:u w:val="none"/>
                <w:lang w:val="en-US" w:eastAsia="zh-CN" w:bidi="ar"/>
              </w:rPr>
              <w:t>19</w:t>
            </w:r>
          </w:p>
        </w:tc>
        <w:tc>
          <w:tcPr>
            <w:tcW w:w="142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合计</w:t>
            </w:r>
          </w:p>
        </w:tc>
        <w:tc>
          <w:tcPr>
            <w:tcW w:w="55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4"/>
                <w:szCs w:val="24"/>
                <w:highlight w:val="none"/>
                <w:u w:val="none"/>
              </w:rPr>
            </w:pPr>
            <w:r>
              <w:rPr>
                <w:rFonts w:hint="eastAsia" w:ascii="微软雅黑" w:hAnsi="微软雅黑" w:eastAsia="微软雅黑" w:cs="微软雅黑"/>
                <w:i w:val="0"/>
                <w:iCs w:val="0"/>
                <w:color w:val="auto"/>
                <w:kern w:val="0"/>
                <w:sz w:val="24"/>
                <w:szCs w:val="24"/>
                <w:highlight w:val="none"/>
                <w:u w:val="none"/>
                <w:lang w:val="en-US" w:eastAsia="zh-CN" w:bidi="ar"/>
              </w:rPr>
              <w:t>项</w:t>
            </w:r>
          </w:p>
        </w:tc>
        <w:tc>
          <w:tcPr>
            <w:tcW w:w="555" w:type="pct"/>
            <w:tcBorders>
              <w:top w:val="nil"/>
              <w:left w:val="nil"/>
              <w:bottom w:val="single" w:color="000000" w:sz="8" w:space="0"/>
              <w:right w:val="single" w:color="000000" w:sz="8" w:space="0"/>
            </w:tcBorders>
            <w:shd w:val="clear" w:color="auto" w:fill="auto"/>
            <w:vAlign w:val="center"/>
          </w:tcPr>
          <w:p>
            <w:pPr>
              <w:jc w:val="center"/>
              <w:rPr>
                <w:rFonts w:hint="default" w:ascii="Arial" w:hAnsi="Arial" w:eastAsia="宋体" w:cs="Arial"/>
                <w:i w:val="0"/>
                <w:iCs w:val="0"/>
                <w:color w:val="auto"/>
                <w:sz w:val="24"/>
                <w:szCs w:val="24"/>
                <w:highlight w:val="none"/>
                <w:u w:val="none"/>
              </w:rPr>
            </w:pPr>
          </w:p>
        </w:tc>
        <w:tc>
          <w:tcPr>
            <w:tcW w:w="555" w:type="pct"/>
            <w:tcBorders>
              <w:top w:val="nil"/>
              <w:left w:val="nil"/>
              <w:bottom w:val="single" w:color="000000" w:sz="8" w:space="0"/>
              <w:right w:val="single" w:color="000000" w:sz="8" w:space="0"/>
            </w:tcBorders>
            <w:shd w:val="clear" w:color="auto" w:fill="auto"/>
            <w:vAlign w:val="center"/>
          </w:tcPr>
          <w:p>
            <w:pPr>
              <w:jc w:val="center"/>
              <w:rPr>
                <w:rFonts w:hint="default" w:ascii="Arial" w:hAnsi="Arial" w:eastAsia="宋体" w:cs="Arial"/>
                <w:i w:val="0"/>
                <w:iCs w:val="0"/>
                <w:color w:val="auto"/>
                <w:sz w:val="24"/>
                <w:szCs w:val="24"/>
                <w:highlight w:val="none"/>
                <w:u w:val="none"/>
              </w:rPr>
            </w:pPr>
          </w:p>
        </w:tc>
        <w:tc>
          <w:tcPr>
            <w:tcW w:w="562"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微软雅黑" w:hAnsi="微软雅黑" w:eastAsia="微软雅黑" w:cs="微软雅黑"/>
                <w:i w:val="0"/>
                <w:iCs w:val="0"/>
                <w:color w:val="auto"/>
                <w:kern w:val="0"/>
                <w:sz w:val="24"/>
                <w:szCs w:val="24"/>
                <w:highlight w:val="none"/>
                <w:u w:val="none"/>
                <w:lang w:val="en-US" w:eastAsia="zh-CN" w:bidi="ar"/>
              </w:rPr>
            </w:pPr>
          </w:p>
        </w:tc>
        <w:tc>
          <w:tcPr>
            <w:tcW w:w="791"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kern w:val="0"/>
                <w:sz w:val="21"/>
                <w:szCs w:val="21"/>
                <w:highlight w:val="none"/>
                <w:u w:val="none"/>
                <w:lang w:val="en-US" w:eastAsia="zh-CN" w:bidi="ar"/>
              </w:rPr>
            </w:pPr>
          </w:p>
        </w:tc>
      </w:tr>
    </w:tbl>
    <w:p>
      <w:pPr>
        <w:rPr>
          <w:rFonts w:hint="eastAsia" w:eastAsia="宋体"/>
          <w:b/>
          <w:bCs/>
          <w:color w:val="auto"/>
          <w:highlight w:val="none"/>
          <w:lang w:val="en-US" w:eastAsia="zh-CN"/>
        </w:rPr>
      </w:pPr>
    </w:p>
    <w:p>
      <w:pPr>
        <w:spacing w:before="80" w:line="470" w:lineRule="exact"/>
        <w:ind w:left="2638"/>
        <w:outlineLvl w:val="9"/>
        <w:rPr>
          <w:rFonts w:ascii="黑体" w:hAnsi="黑体" w:eastAsia="黑体" w:cs="黑体"/>
          <w:color w:val="auto"/>
          <w:spacing w:val="8"/>
          <w:position w:val="1"/>
          <w:sz w:val="35"/>
          <w:szCs w:val="35"/>
          <w:highlight w:val="none"/>
        </w:rPr>
      </w:pPr>
      <w:bookmarkStart w:id="77" w:name="bookmark35"/>
      <w:bookmarkEnd w:id="77"/>
      <w:bookmarkStart w:id="78" w:name="_Toc2555"/>
    </w:p>
    <w:p>
      <w:pPr>
        <w:spacing w:before="80" w:line="470" w:lineRule="exact"/>
        <w:jc w:val="left"/>
        <w:outlineLvl w:val="9"/>
        <w:rPr>
          <w:rFonts w:hint="eastAsia" w:ascii="黑体" w:hAnsi="黑体" w:eastAsia="黑体" w:cs="黑体"/>
          <w:color w:val="auto"/>
          <w:spacing w:val="8"/>
          <w:position w:val="1"/>
          <w:sz w:val="35"/>
          <w:szCs w:val="35"/>
          <w:highlight w:val="none"/>
          <w:lang w:val="en-US" w:eastAsia="zh-CN"/>
        </w:rPr>
      </w:pPr>
      <w:r>
        <w:rPr>
          <w:rFonts w:hint="eastAsia" w:ascii="黑体" w:hAnsi="黑体" w:eastAsia="黑体" w:cs="黑体"/>
          <w:color w:val="auto"/>
          <w:spacing w:val="8"/>
          <w:position w:val="1"/>
          <w:sz w:val="35"/>
          <w:szCs w:val="35"/>
          <w:highlight w:val="none"/>
          <w:lang w:val="en-US" w:eastAsia="zh-CN"/>
        </w:rPr>
        <w:t>附件二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313" w:beforeLines="100" w:after="313" w:afterLines="100" w:line="560" w:lineRule="exact"/>
        <w:jc w:val="center"/>
        <w:textAlignment w:val="auto"/>
        <w:rPr>
          <w:rFonts w:hint="default" w:ascii="宋体" w:hAnsi="宋体" w:eastAsia="宋体" w:cs="宋体"/>
          <w:b/>
          <w:color w:val="auto"/>
          <w:kern w:val="2"/>
          <w:sz w:val="32"/>
          <w:szCs w:val="32"/>
          <w:highlight w:val="none"/>
          <w:lang w:val="en-US" w:eastAsia="zh-CN" w:bidi="ar-SA"/>
        </w:rPr>
      </w:pPr>
      <w:r>
        <w:rPr>
          <w:rFonts w:hint="eastAsia" w:ascii="方正小标宋_GBK" w:hAnsi="方正小标宋_GBK" w:eastAsia="方正小标宋_GBK" w:cs="方正小标宋_GBK"/>
          <w:b/>
          <w:color w:val="auto"/>
          <w:kern w:val="2"/>
          <w:sz w:val="32"/>
          <w:szCs w:val="32"/>
          <w:highlight w:val="none"/>
          <w:lang w:val="en-US" w:eastAsia="zh-CN" w:bidi="ar-SA"/>
        </w:rPr>
        <w:t>外包服务项目验收评价表</w:t>
      </w:r>
    </w:p>
    <w:p>
      <w:pPr>
        <w:keepNext w:val="0"/>
        <w:keepLines w:val="0"/>
        <w:widowControl/>
        <w:numPr>
          <w:ilvl w:val="0"/>
          <w:numId w:val="0"/>
        </w:numPr>
        <w:suppressLineNumbers w:val="0"/>
        <w:spacing w:line="360" w:lineRule="auto"/>
        <w:ind w:firstLine="360" w:firstLineChars="200"/>
        <w:jc w:val="left"/>
        <w:rPr>
          <w:rFonts w:hint="default"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供应商名称：</w:t>
      </w:r>
      <w:r>
        <w:rPr>
          <w:rFonts w:hint="eastAsia" w:ascii="宋体" w:hAnsi="宋体" w:cs="宋体"/>
          <w:color w:val="auto"/>
          <w:kern w:val="2"/>
          <w:sz w:val="18"/>
          <w:szCs w:val="18"/>
          <w:highlight w:val="none"/>
          <w:lang w:val="en-US" w:eastAsia="zh-CN" w:bidi="ar-SA"/>
        </w:rPr>
        <w:t xml:space="preserve">                        联系人及电话：                           评价时间：</w:t>
      </w:r>
    </w:p>
    <w:tbl>
      <w:tblPr>
        <w:tblStyle w:val="11"/>
        <w:tblW w:w="95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887"/>
        <w:gridCol w:w="588"/>
        <w:gridCol w:w="453"/>
        <w:gridCol w:w="2011"/>
        <w:gridCol w:w="2825"/>
        <w:gridCol w:w="1461"/>
        <w:gridCol w:w="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886" w:type="dxa"/>
            <w:gridSpan w:val="3"/>
            <w:vAlign w:val="center"/>
          </w:tcPr>
          <w:p>
            <w:pPr>
              <w:keepNext w:val="0"/>
              <w:keepLines w:val="0"/>
              <w:widowControl/>
              <w:numPr>
                <w:ilvl w:val="0"/>
                <w:numId w:val="0"/>
              </w:numPr>
              <w:suppressLineNumbers w:val="0"/>
              <w:spacing w:line="240" w:lineRule="auto"/>
              <w:jc w:val="center"/>
              <w:rPr>
                <w:rFonts w:hint="default" w:ascii="宋体" w:hAnsi="宋体" w:eastAsia="宋体" w:cs="宋体"/>
                <w:color w:val="auto"/>
                <w:kern w:val="2"/>
                <w:sz w:val="18"/>
                <w:szCs w:val="18"/>
                <w:highlight w:val="none"/>
                <w:lang w:val="en-US" w:eastAsia="zh-CN" w:bidi="ar-SA"/>
              </w:rPr>
            </w:pPr>
            <w:r>
              <w:rPr>
                <w:rFonts w:hint="default" w:ascii="宋体" w:hAnsi="宋体" w:eastAsia="宋体" w:cs="宋体"/>
                <w:color w:val="auto"/>
                <w:kern w:val="2"/>
                <w:sz w:val="18"/>
                <w:szCs w:val="18"/>
                <w:highlight w:val="none"/>
                <w:lang w:val="en-US" w:eastAsia="zh-CN" w:bidi="ar-SA"/>
              </w:rPr>
              <w:t>评价内容（100 分制）</w:t>
            </w:r>
          </w:p>
        </w:tc>
        <w:tc>
          <w:tcPr>
            <w:tcW w:w="6750" w:type="dxa"/>
            <w:gridSpan w:val="4"/>
            <w:vAlign w:val="center"/>
          </w:tcPr>
          <w:p>
            <w:pPr>
              <w:keepNext w:val="0"/>
              <w:keepLines w:val="0"/>
              <w:widowControl/>
              <w:numPr>
                <w:ilvl w:val="0"/>
                <w:numId w:val="0"/>
              </w:numPr>
              <w:suppressLineNumbers w:val="0"/>
              <w:spacing w:line="240" w:lineRule="auto"/>
              <w:ind w:firstLine="360" w:firstLineChars="200"/>
              <w:jc w:val="center"/>
              <w:rPr>
                <w:rFonts w:hint="default" w:ascii="宋体" w:hAnsi="宋体" w:eastAsia="宋体" w:cs="宋体"/>
                <w:color w:val="auto"/>
                <w:kern w:val="2"/>
                <w:sz w:val="18"/>
                <w:szCs w:val="18"/>
                <w:highlight w:val="none"/>
                <w:lang w:val="en-US" w:eastAsia="zh-CN" w:bidi="ar-SA"/>
              </w:rPr>
            </w:pPr>
            <w:r>
              <w:rPr>
                <w:rFonts w:hint="default" w:ascii="宋体" w:hAnsi="宋体" w:eastAsia="宋体" w:cs="宋体"/>
                <w:color w:val="auto"/>
                <w:kern w:val="2"/>
                <w:sz w:val="18"/>
                <w:szCs w:val="18"/>
                <w:highlight w:val="none"/>
                <w:lang w:val="en-US" w:eastAsia="zh-CN" w:bidi="ar-SA"/>
              </w:rPr>
              <w:t>评价说明（据实描述）</w:t>
            </w:r>
          </w:p>
        </w:tc>
        <w:tc>
          <w:tcPr>
            <w:tcW w:w="925" w:type="dxa"/>
            <w:vAlign w:val="center"/>
          </w:tcPr>
          <w:p>
            <w:pPr>
              <w:keepNext w:val="0"/>
              <w:keepLines w:val="0"/>
              <w:widowControl/>
              <w:numPr>
                <w:ilvl w:val="0"/>
                <w:numId w:val="0"/>
              </w:numPr>
              <w:suppressLineNumbers w:val="0"/>
              <w:spacing w:line="240" w:lineRule="auto"/>
              <w:jc w:val="center"/>
              <w:rPr>
                <w:rFonts w:hint="default"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411" w:type="dxa"/>
            <w:vAlign w:val="center"/>
          </w:tcPr>
          <w:p>
            <w:pPr>
              <w:keepNext w:val="0"/>
              <w:keepLines w:val="0"/>
              <w:pageBreakBefore w:val="0"/>
              <w:widowControl/>
              <w:numPr>
                <w:ilvl w:val="0"/>
                <w:numId w:val="0"/>
              </w:numPr>
              <w:suppressLineNumbers w:val="0"/>
              <w:tabs>
                <w:tab w:val="center" w:pos="98"/>
              </w:tabs>
              <w:kinsoku/>
              <w:wordWrap/>
              <w:overflowPunct/>
              <w:topLinePunct w:val="0"/>
              <w:autoSpaceDE/>
              <w:autoSpaceDN/>
              <w:bidi w:val="0"/>
              <w:adjustRightInd/>
              <w:snapToGrid/>
              <w:spacing w:line="120" w:lineRule="auto"/>
              <w:jc w:val="center"/>
              <w:textAlignment w:val="auto"/>
              <w:rPr>
                <w:rFonts w:hint="default" w:ascii="宋体" w:hAnsi="宋体" w:eastAsia="宋体" w:cs="宋体"/>
                <w:color w:val="auto"/>
                <w:kern w:val="2"/>
                <w:sz w:val="18"/>
                <w:szCs w:val="18"/>
                <w:highlight w:val="none"/>
                <w:lang w:val="en-US" w:eastAsia="zh-CN" w:bidi="ar-SA"/>
              </w:rPr>
            </w:pPr>
            <w:r>
              <w:rPr>
                <w:rFonts w:hint="eastAsia" w:ascii="宋体" w:hAnsi="宋体" w:cs="宋体"/>
                <w:color w:val="auto"/>
                <w:kern w:val="2"/>
                <w:sz w:val="18"/>
                <w:szCs w:val="18"/>
                <w:highlight w:val="none"/>
                <w:lang w:val="en-US" w:eastAsia="zh-CN" w:bidi="ar-SA"/>
              </w:rPr>
              <w:t>1</w:t>
            </w:r>
          </w:p>
        </w:tc>
        <w:tc>
          <w:tcPr>
            <w:tcW w:w="887"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20" w:lineRule="auto"/>
              <w:jc w:val="center"/>
              <w:textAlignment w:val="auto"/>
              <w:rPr>
                <w:rFonts w:hint="eastAsia" w:ascii="宋体" w:hAnsi="宋体" w:eastAsia="宋体" w:cs="宋体"/>
                <w:color w:val="auto"/>
                <w:kern w:val="2"/>
                <w:sz w:val="18"/>
                <w:szCs w:val="18"/>
                <w:highlight w:val="none"/>
                <w:lang w:val="en-US" w:eastAsia="zh-CN" w:bidi="ar-SA"/>
              </w:rPr>
            </w:pPr>
            <w:r>
              <w:rPr>
                <w:rFonts w:hint="default" w:ascii="宋体" w:hAnsi="宋体" w:eastAsia="宋体" w:cs="宋体"/>
                <w:color w:val="auto"/>
                <w:kern w:val="2"/>
                <w:sz w:val="18"/>
                <w:szCs w:val="18"/>
                <w:highlight w:val="none"/>
                <w:lang w:val="en-US" w:eastAsia="zh-CN" w:bidi="ar-SA"/>
              </w:rPr>
              <w:t>人员到岗状况</w:t>
            </w:r>
          </w:p>
        </w:tc>
        <w:tc>
          <w:tcPr>
            <w:tcW w:w="588"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20" w:lineRule="auto"/>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kern w:val="2"/>
                <w:sz w:val="18"/>
                <w:szCs w:val="18"/>
                <w:highlight w:val="none"/>
                <w:lang w:val="en-US" w:eastAsia="zh-CN" w:bidi="ar-SA"/>
              </w:rPr>
              <w:t>10</w:t>
            </w:r>
            <w:r>
              <w:rPr>
                <w:rFonts w:hint="default" w:ascii="宋体" w:hAnsi="宋体" w:eastAsia="宋体" w:cs="宋体"/>
                <w:color w:val="auto"/>
                <w:kern w:val="2"/>
                <w:sz w:val="18"/>
                <w:szCs w:val="18"/>
                <w:highlight w:val="none"/>
                <w:lang w:val="en-US" w:eastAsia="zh-CN" w:bidi="ar-SA"/>
              </w:rPr>
              <w:t>分</w:t>
            </w:r>
          </w:p>
        </w:tc>
        <w:tc>
          <w:tcPr>
            <w:tcW w:w="6750" w:type="dxa"/>
            <w:gridSpan w:val="4"/>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20" w:lineRule="auto"/>
              <w:jc w:val="both"/>
              <w:textAlignment w:val="auto"/>
              <w:rPr>
                <w:rFonts w:hint="eastAsia" w:ascii="宋体" w:hAnsi="宋体" w:eastAsia="宋体" w:cs="宋体"/>
                <w:color w:val="auto"/>
                <w:kern w:val="2"/>
                <w:sz w:val="18"/>
                <w:szCs w:val="18"/>
                <w:highlight w:val="none"/>
                <w:lang w:val="en-US" w:eastAsia="zh-CN" w:bidi="ar-SA"/>
              </w:rPr>
            </w:pPr>
            <w:r>
              <w:rPr>
                <w:rFonts w:hint="default" w:ascii="宋体" w:hAnsi="宋体" w:eastAsia="宋体" w:cs="宋体"/>
                <w:color w:val="auto"/>
                <w:kern w:val="2"/>
                <w:sz w:val="18"/>
                <w:szCs w:val="18"/>
                <w:highlight w:val="none"/>
                <w:lang w:val="en-US" w:eastAsia="zh-CN" w:bidi="ar-SA"/>
              </w:rPr>
              <w:t>本项目要求配置</w:t>
            </w:r>
            <w:r>
              <w:rPr>
                <w:rFonts w:hint="eastAsia" w:ascii="宋体" w:hAnsi="宋体" w:cs="宋体"/>
                <w:color w:val="auto"/>
                <w:kern w:val="2"/>
                <w:sz w:val="18"/>
                <w:szCs w:val="18"/>
                <w:highlight w:val="none"/>
                <w:lang w:val="en-US" w:eastAsia="zh-CN" w:bidi="ar-SA"/>
              </w:rPr>
              <w:t>_</w:t>
            </w:r>
            <w:r>
              <w:rPr>
                <w:rFonts w:hint="default" w:ascii="宋体" w:hAnsi="宋体" w:eastAsia="宋体" w:cs="宋体"/>
                <w:color w:val="auto"/>
                <w:kern w:val="2"/>
                <w:sz w:val="18"/>
                <w:szCs w:val="18"/>
                <w:highlight w:val="none"/>
                <w:lang w:val="en-US" w:eastAsia="zh-CN" w:bidi="ar-SA"/>
              </w:rPr>
              <w:t>人，每月到岗人员基本</w:t>
            </w:r>
            <w:r>
              <w:rPr>
                <w:rFonts w:hint="eastAsia" w:ascii="宋体" w:hAnsi="宋体" w:cs="宋体"/>
                <w:color w:val="auto"/>
                <w:kern w:val="2"/>
                <w:sz w:val="18"/>
                <w:szCs w:val="18"/>
                <w:highlight w:val="none"/>
                <w:lang w:val="en-US" w:eastAsia="zh-CN" w:bidi="ar-SA"/>
              </w:rPr>
              <w:t>_</w:t>
            </w:r>
            <w:r>
              <w:rPr>
                <w:rFonts w:hint="default" w:ascii="宋体" w:hAnsi="宋体" w:eastAsia="宋体" w:cs="宋体"/>
                <w:color w:val="auto"/>
                <w:kern w:val="2"/>
                <w:sz w:val="18"/>
                <w:szCs w:val="18"/>
                <w:highlight w:val="none"/>
                <w:lang w:val="en-US" w:eastAsia="zh-CN" w:bidi="ar-SA"/>
              </w:rPr>
              <w:t>人，到岗率约</w:t>
            </w:r>
            <w:r>
              <w:rPr>
                <w:rFonts w:hint="eastAsia" w:ascii="宋体" w:hAnsi="宋体" w:cs="宋体"/>
                <w:color w:val="auto"/>
                <w:kern w:val="2"/>
                <w:sz w:val="18"/>
                <w:szCs w:val="18"/>
                <w:highlight w:val="none"/>
                <w:lang w:val="en-US" w:eastAsia="zh-CN" w:bidi="ar-SA"/>
              </w:rPr>
              <w:t>_</w:t>
            </w:r>
            <w:r>
              <w:rPr>
                <w:rFonts w:hint="default" w:ascii="宋体" w:hAnsi="宋体" w:eastAsia="宋体" w:cs="宋体"/>
                <w:color w:val="auto"/>
                <w:kern w:val="2"/>
                <w:sz w:val="18"/>
                <w:szCs w:val="18"/>
                <w:highlight w:val="none"/>
                <w:lang w:val="en-US" w:eastAsia="zh-CN" w:bidi="ar-SA"/>
              </w:rPr>
              <w:t>%，到岗率</w:t>
            </w:r>
            <w:r>
              <w:rPr>
                <w:rFonts w:hint="eastAsia" w:ascii="宋体" w:hAnsi="宋体" w:cs="宋体"/>
                <w:color w:val="auto"/>
                <w:kern w:val="2"/>
                <w:sz w:val="18"/>
                <w:szCs w:val="18"/>
                <w:highlight w:val="none"/>
                <w:lang w:val="en-US" w:eastAsia="zh-CN" w:bidi="ar-SA"/>
              </w:rPr>
              <w:t>_</w:t>
            </w:r>
            <w:r>
              <w:rPr>
                <w:rFonts w:hint="default" w:ascii="宋体" w:hAnsi="宋体" w:eastAsia="宋体" w:cs="宋体"/>
                <w:color w:val="auto"/>
                <w:kern w:val="2"/>
                <w:sz w:val="18"/>
                <w:szCs w:val="18"/>
                <w:highlight w:val="none"/>
                <w:lang w:val="en-US" w:eastAsia="zh-CN" w:bidi="ar-SA"/>
              </w:rPr>
              <w:t>100%可得满分，到岗</w:t>
            </w:r>
            <w:r>
              <w:rPr>
                <w:rFonts w:hint="eastAsia" w:ascii="宋体" w:hAnsi="宋体" w:cs="宋体"/>
                <w:color w:val="auto"/>
                <w:kern w:val="2"/>
                <w:sz w:val="18"/>
                <w:szCs w:val="18"/>
                <w:highlight w:val="none"/>
                <w:lang w:val="en-US" w:eastAsia="zh-CN" w:bidi="ar-SA"/>
              </w:rPr>
              <w:t>_</w:t>
            </w:r>
            <w:r>
              <w:rPr>
                <w:rFonts w:hint="default" w:ascii="宋体" w:hAnsi="宋体" w:eastAsia="宋体" w:cs="宋体"/>
                <w:color w:val="auto"/>
                <w:kern w:val="2"/>
                <w:sz w:val="18"/>
                <w:szCs w:val="18"/>
                <w:highlight w:val="none"/>
                <w:lang w:val="en-US" w:eastAsia="zh-CN" w:bidi="ar-SA"/>
              </w:rPr>
              <w:t>率 90%可得 9 分，依次类推。</w:t>
            </w:r>
          </w:p>
        </w:tc>
        <w:tc>
          <w:tcPr>
            <w:tcW w:w="925"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20" w:lineRule="auto"/>
              <w:ind w:firstLine="360" w:firstLineChars="200"/>
              <w:jc w:val="left"/>
              <w:textAlignment w:val="auto"/>
              <w:rPr>
                <w:rFonts w:hint="eastAsia" w:ascii="宋体" w:hAnsi="宋体" w:eastAsia="宋体" w:cs="宋体"/>
                <w:color w:val="auto"/>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20" w:lineRule="auto"/>
              <w:jc w:val="center"/>
              <w:textAlignment w:val="auto"/>
              <w:rPr>
                <w:rFonts w:hint="default" w:ascii="宋体" w:hAnsi="宋体" w:eastAsia="宋体" w:cs="宋体"/>
                <w:color w:val="auto"/>
                <w:kern w:val="2"/>
                <w:sz w:val="18"/>
                <w:szCs w:val="18"/>
                <w:highlight w:val="none"/>
                <w:lang w:val="en-US" w:eastAsia="zh-CN" w:bidi="ar-SA"/>
              </w:rPr>
            </w:pPr>
            <w:r>
              <w:rPr>
                <w:rFonts w:hint="eastAsia" w:ascii="宋体" w:hAnsi="宋体" w:cs="宋体"/>
                <w:color w:val="auto"/>
                <w:kern w:val="2"/>
                <w:sz w:val="18"/>
                <w:szCs w:val="18"/>
                <w:highlight w:val="none"/>
                <w:lang w:val="en-US" w:eastAsia="zh-CN" w:bidi="ar-SA"/>
              </w:rPr>
              <w:t>2</w:t>
            </w:r>
          </w:p>
        </w:tc>
        <w:tc>
          <w:tcPr>
            <w:tcW w:w="887"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20" w:lineRule="auto"/>
              <w:jc w:val="center"/>
              <w:textAlignment w:val="auto"/>
              <w:rPr>
                <w:rFonts w:hint="eastAsia" w:ascii="宋体" w:hAnsi="宋体" w:eastAsia="宋体" w:cs="宋体"/>
                <w:color w:val="auto"/>
                <w:kern w:val="2"/>
                <w:sz w:val="18"/>
                <w:szCs w:val="18"/>
                <w:highlight w:val="none"/>
                <w:lang w:val="en-US" w:eastAsia="zh-CN" w:bidi="ar-SA"/>
              </w:rPr>
            </w:pPr>
            <w:r>
              <w:rPr>
                <w:rFonts w:hint="default" w:ascii="宋体" w:hAnsi="宋体" w:eastAsia="宋体" w:cs="宋体"/>
                <w:color w:val="auto"/>
                <w:kern w:val="2"/>
                <w:sz w:val="18"/>
                <w:szCs w:val="18"/>
                <w:highlight w:val="none"/>
                <w:lang w:val="en-US" w:eastAsia="zh-CN" w:bidi="ar-SA"/>
              </w:rPr>
              <w:t>人员仪容仪表</w:t>
            </w:r>
          </w:p>
        </w:tc>
        <w:tc>
          <w:tcPr>
            <w:tcW w:w="588"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20" w:lineRule="auto"/>
              <w:jc w:val="center"/>
              <w:textAlignment w:val="auto"/>
              <w:rPr>
                <w:rFonts w:hint="default" w:ascii="宋体" w:hAnsi="宋体" w:eastAsia="宋体" w:cs="宋体"/>
                <w:color w:val="auto"/>
                <w:kern w:val="2"/>
                <w:sz w:val="18"/>
                <w:szCs w:val="18"/>
                <w:highlight w:val="none"/>
                <w:lang w:val="en-US" w:eastAsia="zh-CN" w:bidi="ar-SA"/>
              </w:rPr>
            </w:pPr>
            <w:r>
              <w:rPr>
                <w:rFonts w:hint="eastAsia" w:ascii="宋体" w:hAnsi="宋体" w:cs="宋体"/>
                <w:color w:val="auto"/>
                <w:kern w:val="2"/>
                <w:sz w:val="18"/>
                <w:szCs w:val="18"/>
                <w:highlight w:val="none"/>
                <w:lang w:val="en-US" w:eastAsia="zh-CN" w:bidi="ar-SA"/>
              </w:rPr>
              <w:t>5</w:t>
            </w:r>
            <w:r>
              <w:rPr>
                <w:rFonts w:hint="default" w:ascii="宋体" w:hAnsi="宋体" w:eastAsia="宋体" w:cs="宋体"/>
                <w:color w:val="auto"/>
                <w:kern w:val="2"/>
                <w:sz w:val="18"/>
                <w:szCs w:val="18"/>
                <w:highlight w:val="none"/>
                <w:lang w:val="en-US" w:eastAsia="zh-CN" w:bidi="ar-SA"/>
              </w:rPr>
              <w:t>分</w:t>
            </w:r>
          </w:p>
        </w:tc>
        <w:tc>
          <w:tcPr>
            <w:tcW w:w="6750" w:type="dxa"/>
            <w:gridSpan w:val="4"/>
            <w:vAlign w:val="center"/>
          </w:tcPr>
          <w:p>
            <w:pPr>
              <w:keepNext w:val="0"/>
              <w:keepLines w:val="0"/>
              <w:widowControl/>
              <w:suppressLineNumbers w:val="0"/>
              <w:jc w:val="both"/>
              <w:rPr>
                <w:rFonts w:hint="eastAsia" w:ascii="宋体" w:hAnsi="宋体" w:eastAsia="宋体" w:cs="宋体"/>
                <w:color w:val="auto"/>
                <w:kern w:val="2"/>
                <w:sz w:val="18"/>
                <w:szCs w:val="18"/>
                <w:highlight w:val="none"/>
                <w:lang w:val="en-US" w:eastAsia="zh-CN" w:bidi="ar-SA"/>
              </w:rPr>
            </w:pPr>
            <w:r>
              <w:rPr>
                <w:rFonts w:hint="default" w:ascii="宋体" w:hAnsi="宋体" w:eastAsia="宋体" w:cs="宋体"/>
                <w:color w:val="auto"/>
                <w:kern w:val="2"/>
                <w:sz w:val="18"/>
                <w:szCs w:val="18"/>
                <w:highlight w:val="none"/>
                <w:lang w:val="en-US" w:eastAsia="zh-CN" w:bidi="ar-SA"/>
              </w:rPr>
              <w:t>完全符合我方着装仪容要求得 5 分；出现过着装仪容不规范每次扣一分扣完为止。</w:t>
            </w:r>
          </w:p>
        </w:tc>
        <w:tc>
          <w:tcPr>
            <w:tcW w:w="925"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20" w:lineRule="auto"/>
              <w:ind w:firstLine="360" w:firstLineChars="200"/>
              <w:jc w:val="left"/>
              <w:textAlignment w:val="auto"/>
              <w:rPr>
                <w:rFonts w:hint="eastAsia" w:ascii="宋体" w:hAnsi="宋体" w:eastAsia="宋体" w:cs="宋体"/>
                <w:color w:val="auto"/>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20" w:lineRule="auto"/>
              <w:jc w:val="center"/>
              <w:textAlignment w:val="auto"/>
              <w:rPr>
                <w:rFonts w:hint="default" w:ascii="宋体" w:hAnsi="宋体" w:eastAsia="宋体" w:cs="宋体"/>
                <w:color w:val="auto"/>
                <w:kern w:val="2"/>
                <w:sz w:val="18"/>
                <w:szCs w:val="18"/>
                <w:highlight w:val="none"/>
                <w:lang w:val="en-US" w:eastAsia="zh-CN" w:bidi="ar-SA"/>
              </w:rPr>
            </w:pPr>
            <w:r>
              <w:rPr>
                <w:rFonts w:hint="eastAsia" w:ascii="宋体" w:hAnsi="宋体" w:cs="宋体"/>
                <w:color w:val="auto"/>
                <w:kern w:val="2"/>
                <w:sz w:val="18"/>
                <w:szCs w:val="18"/>
                <w:highlight w:val="none"/>
                <w:lang w:val="en-US" w:eastAsia="zh-CN" w:bidi="ar-SA"/>
              </w:rPr>
              <w:t>3</w:t>
            </w:r>
          </w:p>
        </w:tc>
        <w:tc>
          <w:tcPr>
            <w:tcW w:w="887"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20" w:lineRule="auto"/>
              <w:jc w:val="center"/>
              <w:textAlignment w:val="auto"/>
              <w:rPr>
                <w:rFonts w:hint="eastAsia" w:ascii="宋体" w:hAnsi="宋体" w:eastAsia="宋体" w:cs="宋体"/>
                <w:color w:val="auto"/>
                <w:kern w:val="2"/>
                <w:sz w:val="18"/>
                <w:szCs w:val="18"/>
                <w:highlight w:val="none"/>
                <w:lang w:val="en-US" w:eastAsia="zh-CN" w:bidi="ar-SA"/>
              </w:rPr>
            </w:pPr>
            <w:r>
              <w:rPr>
                <w:rFonts w:hint="default" w:ascii="宋体" w:hAnsi="宋体" w:eastAsia="宋体" w:cs="宋体"/>
                <w:color w:val="auto"/>
                <w:kern w:val="2"/>
                <w:sz w:val="18"/>
                <w:szCs w:val="18"/>
                <w:highlight w:val="none"/>
                <w:lang w:val="en-US" w:eastAsia="zh-CN" w:bidi="ar-SA"/>
              </w:rPr>
              <w:t>人员行为规范</w:t>
            </w:r>
          </w:p>
        </w:tc>
        <w:tc>
          <w:tcPr>
            <w:tcW w:w="588"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20" w:lineRule="auto"/>
              <w:jc w:val="center"/>
              <w:textAlignment w:val="auto"/>
              <w:rPr>
                <w:rFonts w:hint="default" w:ascii="宋体" w:hAnsi="宋体" w:eastAsia="宋体" w:cs="宋体"/>
                <w:color w:val="auto"/>
                <w:kern w:val="2"/>
                <w:sz w:val="18"/>
                <w:szCs w:val="18"/>
                <w:highlight w:val="none"/>
                <w:lang w:val="en-US" w:eastAsia="zh-CN" w:bidi="ar-SA"/>
              </w:rPr>
            </w:pPr>
            <w:r>
              <w:rPr>
                <w:rFonts w:hint="eastAsia" w:ascii="宋体" w:hAnsi="宋体" w:cs="宋体"/>
                <w:color w:val="auto"/>
                <w:kern w:val="2"/>
                <w:sz w:val="18"/>
                <w:szCs w:val="18"/>
                <w:highlight w:val="none"/>
                <w:lang w:val="en-US" w:eastAsia="zh-CN" w:bidi="ar-SA"/>
              </w:rPr>
              <w:t>5</w:t>
            </w:r>
            <w:r>
              <w:rPr>
                <w:rFonts w:hint="default" w:ascii="宋体" w:hAnsi="宋体" w:eastAsia="宋体" w:cs="宋体"/>
                <w:color w:val="auto"/>
                <w:kern w:val="2"/>
                <w:sz w:val="18"/>
                <w:szCs w:val="18"/>
                <w:highlight w:val="none"/>
                <w:lang w:val="en-US" w:eastAsia="zh-CN" w:bidi="ar-SA"/>
              </w:rPr>
              <w:t>分</w:t>
            </w:r>
          </w:p>
        </w:tc>
        <w:tc>
          <w:tcPr>
            <w:tcW w:w="6750" w:type="dxa"/>
            <w:gridSpan w:val="4"/>
            <w:vAlign w:val="center"/>
          </w:tcPr>
          <w:p>
            <w:pPr>
              <w:keepNext w:val="0"/>
              <w:keepLines w:val="0"/>
              <w:widowControl/>
              <w:suppressLineNumbers w:val="0"/>
              <w:jc w:val="both"/>
              <w:rPr>
                <w:rFonts w:hint="eastAsia" w:ascii="宋体" w:hAnsi="宋体" w:eastAsia="宋体" w:cs="宋体"/>
                <w:color w:val="auto"/>
                <w:kern w:val="2"/>
                <w:sz w:val="18"/>
                <w:szCs w:val="18"/>
                <w:highlight w:val="none"/>
                <w:lang w:val="en-US" w:eastAsia="zh-CN" w:bidi="ar-SA"/>
              </w:rPr>
            </w:pPr>
            <w:r>
              <w:rPr>
                <w:rFonts w:hint="default" w:ascii="宋体" w:hAnsi="宋体" w:eastAsia="宋体" w:cs="宋体"/>
                <w:color w:val="auto"/>
                <w:kern w:val="2"/>
                <w:sz w:val="18"/>
                <w:szCs w:val="18"/>
                <w:highlight w:val="none"/>
                <w:lang w:val="en-US" w:eastAsia="zh-CN" w:bidi="ar-SA"/>
              </w:rPr>
              <w:t>人员行为规范完全符合我方项目要求得 5 分；出现过不良行为每次扣一分扣完为止。</w:t>
            </w:r>
          </w:p>
        </w:tc>
        <w:tc>
          <w:tcPr>
            <w:tcW w:w="925"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20" w:lineRule="auto"/>
              <w:ind w:firstLine="360" w:firstLineChars="200"/>
              <w:jc w:val="left"/>
              <w:textAlignment w:val="auto"/>
              <w:rPr>
                <w:rFonts w:hint="eastAsia" w:ascii="宋体" w:hAnsi="宋体" w:eastAsia="宋体" w:cs="宋体"/>
                <w:color w:val="auto"/>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20" w:lineRule="auto"/>
              <w:jc w:val="center"/>
              <w:textAlignment w:val="auto"/>
              <w:rPr>
                <w:rFonts w:hint="default"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4</w:t>
            </w:r>
          </w:p>
        </w:tc>
        <w:tc>
          <w:tcPr>
            <w:tcW w:w="887"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20" w:lineRule="auto"/>
              <w:jc w:val="center"/>
              <w:textAlignment w:val="auto"/>
              <w:rPr>
                <w:rFonts w:hint="default" w:ascii="宋体" w:hAnsi="宋体" w:eastAsia="宋体" w:cs="宋体"/>
                <w:color w:val="auto"/>
                <w:kern w:val="2"/>
                <w:sz w:val="18"/>
                <w:szCs w:val="18"/>
                <w:highlight w:val="none"/>
                <w:lang w:val="en-US" w:eastAsia="zh-CN" w:bidi="ar-SA"/>
              </w:rPr>
            </w:pPr>
            <w:r>
              <w:rPr>
                <w:rFonts w:hint="default" w:ascii="宋体" w:hAnsi="宋体" w:eastAsia="宋体" w:cs="宋体"/>
                <w:color w:val="auto"/>
                <w:kern w:val="2"/>
                <w:sz w:val="18"/>
                <w:szCs w:val="18"/>
                <w:highlight w:val="none"/>
                <w:lang w:val="en-US" w:eastAsia="zh-CN" w:bidi="ar-SA"/>
              </w:rPr>
              <w:t>安全防护、文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20" w:lineRule="auto"/>
              <w:jc w:val="center"/>
              <w:textAlignment w:val="auto"/>
              <w:rPr>
                <w:rFonts w:hint="eastAsia" w:ascii="宋体" w:hAnsi="宋体" w:eastAsia="宋体" w:cs="宋体"/>
                <w:color w:val="auto"/>
                <w:kern w:val="2"/>
                <w:sz w:val="18"/>
                <w:szCs w:val="18"/>
                <w:highlight w:val="none"/>
                <w:lang w:val="en-US" w:eastAsia="zh-CN" w:bidi="ar-SA"/>
              </w:rPr>
            </w:pPr>
            <w:r>
              <w:rPr>
                <w:rFonts w:hint="default" w:ascii="宋体" w:hAnsi="宋体" w:eastAsia="宋体" w:cs="宋体"/>
                <w:color w:val="auto"/>
                <w:kern w:val="2"/>
                <w:sz w:val="18"/>
                <w:szCs w:val="18"/>
                <w:highlight w:val="none"/>
                <w:lang w:val="en-US" w:eastAsia="zh-CN" w:bidi="ar-SA"/>
              </w:rPr>
              <w:t>明施工</w:t>
            </w:r>
          </w:p>
        </w:tc>
        <w:tc>
          <w:tcPr>
            <w:tcW w:w="588"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20" w:lineRule="auto"/>
              <w:jc w:val="center"/>
              <w:textAlignment w:val="auto"/>
              <w:rPr>
                <w:rFonts w:hint="default"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10</w:t>
            </w:r>
            <w:r>
              <w:rPr>
                <w:rFonts w:hint="default" w:ascii="宋体" w:hAnsi="宋体" w:eastAsia="宋体" w:cs="宋体"/>
                <w:color w:val="auto"/>
                <w:kern w:val="2"/>
                <w:sz w:val="18"/>
                <w:szCs w:val="18"/>
                <w:highlight w:val="none"/>
                <w:lang w:val="en-US" w:eastAsia="zh-CN" w:bidi="ar-SA"/>
              </w:rPr>
              <w:t>分</w:t>
            </w:r>
          </w:p>
        </w:tc>
        <w:tc>
          <w:tcPr>
            <w:tcW w:w="6750" w:type="dxa"/>
            <w:gridSpan w:val="4"/>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20" w:lineRule="auto"/>
              <w:jc w:val="both"/>
              <w:textAlignment w:val="auto"/>
              <w:rPr>
                <w:rFonts w:hint="eastAsia" w:ascii="宋体" w:hAnsi="宋体" w:eastAsia="宋体" w:cs="宋体"/>
                <w:color w:val="auto"/>
                <w:kern w:val="2"/>
                <w:sz w:val="18"/>
                <w:szCs w:val="18"/>
                <w:highlight w:val="none"/>
                <w:lang w:val="en-US" w:eastAsia="zh-CN" w:bidi="ar-SA"/>
              </w:rPr>
            </w:pPr>
            <w:r>
              <w:rPr>
                <w:rFonts w:hint="default" w:ascii="宋体" w:hAnsi="宋体" w:eastAsia="宋体" w:cs="宋体"/>
                <w:color w:val="auto"/>
                <w:kern w:val="2"/>
                <w:sz w:val="18"/>
                <w:szCs w:val="18"/>
                <w:highlight w:val="none"/>
                <w:lang w:val="en-US" w:eastAsia="zh-CN" w:bidi="ar-SA"/>
              </w:rPr>
              <w:t>现场安全完全符合项目要求，未出现安全事故得 10 分；出现过安全事故或不文明施工每次扣一分扣完为止。</w:t>
            </w:r>
          </w:p>
        </w:tc>
        <w:tc>
          <w:tcPr>
            <w:tcW w:w="925"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20" w:lineRule="auto"/>
              <w:ind w:firstLine="360" w:firstLineChars="200"/>
              <w:jc w:val="left"/>
              <w:textAlignment w:val="auto"/>
              <w:rPr>
                <w:rFonts w:hint="eastAsia" w:ascii="宋体" w:hAnsi="宋体" w:eastAsia="宋体" w:cs="宋体"/>
                <w:color w:val="auto"/>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20" w:lineRule="auto"/>
              <w:jc w:val="center"/>
              <w:textAlignment w:val="auto"/>
              <w:rPr>
                <w:rFonts w:hint="default"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5</w:t>
            </w:r>
          </w:p>
        </w:tc>
        <w:tc>
          <w:tcPr>
            <w:tcW w:w="887"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20" w:lineRule="auto"/>
              <w:jc w:val="center"/>
              <w:textAlignment w:val="auto"/>
              <w:rPr>
                <w:rFonts w:hint="eastAsia" w:ascii="宋体" w:hAnsi="宋体" w:eastAsia="宋体" w:cs="宋体"/>
                <w:color w:val="auto"/>
                <w:kern w:val="2"/>
                <w:sz w:val="18"/>
                <w:szCs w:val="18"/>
                <w:highlight w:val="none"/>
                <w:lang w:val="en-US" w:eastAsia="zh-CN" w:bidi="ar-SA"/>
              </w:rPr>
            </w:pPr>
            <w:r>
              <w:rPr>
                <w:rFonts w:hint="default" w:ascii="宋体" w:hAnsi="宋体" w:eastAsia="宋体" w:cs="宋体"/>
                <w:color w:val="auto"/>
                <w:kern w:val="2"/>
                <w:sz w:val="18"/>
                <w:szCs w:val="18"/>
                <w:highlight w:val="none"/>
                <w:lang w:val="en-US" w:eastAsia="zh-CN" w:bidi="ar-SA"/>
              </w:rPr>
              <w:t>计划制定及执行</w:t>
            </w:r>
          </w:p>
        </w:tc>
        <w:tc>
          <w:tcPr>
            <w:tcW w:w="588"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20" w:lineRule="auto"/>
              <w:jc w:val="center"/>
              <w:textAlignment w:val="auto"/>
              <w:rPr>
                <w:rFonts w:hint="default"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5</w:t>
            </w:r>
            <w:r>
              <w:rPr>
                <w:rFonts w:hint="default" w:ascii="宋体" w:hAnsi="宋体" w:eastAsia="宋体" w:cs="宋体"/>
                <w:color w:val="auto"/>
                <w:kern w:val="2"/>
                <w:sz w:val="18"/>
                <w:szCs w:val="18"/>
                <w:highlight w:val="none"/>
                <w:lang w:val="en-US" w:eastAsia="zh-CN" w:bidi="ar-SA"/>
              </w:rPr>
              <w:t>分</w:t>
            </w:r>
          </w:p>
        </w:tc>
        <w:tc>
          <w:tcPr>
            <w:tcW w:w="6750" w:type="dxa"/>
            <w:gridSpan w:val="4"/>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20" w:lineRule="auto"/>
              <w:jc w:val="both"/>
              <w:textAlignment w:val="auto"/>
              <w:rPr>
                <w:rFonts w:hint="default" w:ascii="宋体" w:hAnsi="宋体" w:eastAsia="宋体" w:cs="宋体"/>
                <w:color w:val="auto"/>
                <w:kern w:val="2"/>
                <w:sz w:val="18"/>
                <w:szCs w:val="18"/>
                <w:highlight w:val="none"/>
                <w:lang w:val="en-US" w:eastAsia="zh-CN" w:bidi="ar-SA"/>
              </w:rPr>
            </w:pPr>
            <w:r>
              <w:rPr>
                <w:rFonts w:hint="default" w:ascii="宋体" w:hAnsi="宋体" w:eastAsia="宋体" w:cs="宋体"/>
                <w:color w:val="auto"/>
                <w:kern w:val="2"/>
                <w:sz w:val="18"/>
                <w:szCs w:val="18"/>
                <w:highlight w:val="none"/>
                <w:lang w:val="en-US" w:eastAsia="zh-CN" w:bidi="ar-SA"/>
              </w:rPr>
              <w:t>月度/年度计划合理、及时可得 5 分；出现过及时性及执行不足每次扣一分扣完为止；未拟定计划得 0 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20" w:lineRule="auto"/>
              <w:jc w:val="both"/>
              <w:textAlignment w:val="auto"/>
              <w:rPr>
                <w:rFonts w:hint="eastAsia" w:ascii="宋体" w:hAnsi="宋体" w:eastAsia="宋体" w:cs="宋体"/>
                <w:color w:val="auto"/>
                <w:kern w:val="2"/>
                <w:sz w:val="18"/>
                <w:szCs w:val="18"/>
                <w:highlight w:val="none"/>
                <w:lang w:val="en-US" w:eastAsia="zh-CN" w:bidi="ar-SA"/>
              </w:rPr>
            </w:pPr>
          </w:p>
        </w:tc>
        <w:tc>
          <w:tcPr>
            <w:tcW w:w="925"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20" w:lineRule="auto"/>
              <w:ind w:firstLine="360" w:firstLineChars="200"/>
              <w:jc w:val="left"/>
              <w:textAlignment w:val="auto"/>
              <w:rPr>
                <w:rFonts w:hint="eastAsia" w:ascii="宋体" w:hAnsi="宋体" w:eastAsia="宋体" w:cs="宋体"/>
                <w:color w:val="auto"/>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20" w:lineRule="auto"/>
              <w:jc w:val="center"/>
              <w:textAlignment w:val="auto"/>
              <w:rPr>
                <w:rFonts w:hint="default"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6</w:t>
            </w:r>
          </w:p>
        </w:tc>
        <w:tc>
          <w:tcPr>
            <w:tcW w:w="887"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20" w:lineRule="auto"/>
              <w:jc w:val="center"/>
              <w:textAlignment w:val="auto"/>
              <w:rPr>
                <w:rFonts w:hint="eastAsia" w:ascii="宋体" w:hAnsi="宋体" w:eastAsia="宋体" w:cs="宋体"/>
                <w:color w:val="auto"/>
                <w:kern w:val="2"/>
                <w:sz w:val="18"/>
                <w:szCs w:val="18"/>
                <w:highlight w:val="none"/>
                <w:lang w:val="en-US" w:eastAsia="zh-CN" w:bidi="ar-SA"/>
              </w:rPr>
            </w:pPr>
            <w:r>
              <w:rPr>
                <w:rFonts w:hint="default" w:ascii="宋体" w:hAnsi="宋体" w:eastAsia="宋体" w:cs="宋体"/>
                <w:color w:val="auto"/>
                <w:kern w:val="2"/>
                <w:sz w:val="18"/>
                <w:szCs w:val="18"/>
                <w:highlight w:val="none"/>
                <w:lang w:val="en-US" w:eastAsia="zh-CN" w:bidi="ar-SA"/>
              </w:rPr>
              <w:t>服务专业程度</w:t>
            </w:r>
          </w:p>
        </w:tc>
        <w:tc>
          <w:tcPr>
            <w:tcW w:w="588"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20" w:lineRule="auto"/>
              <w:jc w:val="center"/>
              <w:textAlignment w:val="auto"/>
              <w:rPr>
                <w:rFonts w:hint="default"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10</w:t>
            </w:r>
            <w:r>
              <w:rPr>
                <w:rFonts w:hint="default" w:ascii="宋体" w:hAnsi="宋体" w:eastAsia="宋体" w:cs="宋体"/>
                <w:color w:val="auto"/>
                <w:kern w:val="2"/>
                <w:sz w:val="18"/>
                <w:szCs w:val="18"/>
                <w:highlight w:val="none"/>
                <w:lang w:val="en-US" w:eastAsia="zh-CN" w:bidi="ar-SA"/>
              </w:rPr>
              <w:t>分</w:t>
            </w:r>
          </w:p>
        </w:tc>
        <w:tc>
          <w:tcPr>
            <w:tcW w:w="6750" w:type="dxa"/>
            <w:gridSpan w:val="4"/>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20" w:lineRule="auto"/>
              <w:jc w:val="both"/>
              <w:textAlignment w:val="auto"/>
              <w:rPr>
                <w:rFonts w:hint="eastAsia" w:ascii="宋体" w:hAnsi="宋体" w:eastAsia="宋体" w:cs="宋体"/>
                <w:color w:val="auto"/>
                <w:kern w:val="2"/>
                <w:sz w:val="18"/>
                <w:szCs w:val="18"/>
                <w:highlight w:val="none"/>
                <w:lang w:val="en-US" w:eastAsia="zh-CN" w:bidi="ar-SA"/>
              </w:rPr>
            </w:pPr>
            <w:r>
              <w:rPr>
                <w:rFonts w:hint="default" w:ascii="宋体" w:hAnsi="宋体" w:eastAsia="宋体" w:cs="宋体"/>
                <w:color w:val="auto"/>
                <w:kern w:val="2"/>
                <w:sz w:val="18"/>
                <w:szCs w:val="18"/>
                <w:highlight w:val="none"/>
                <w:lang w:val="en-US" w:eastAsia="zh-CN" w:bidi="ar-SA"/>
              </w:rPr>
              <w:t>管理人员专业水平完全达到我方要求、服务能力专业、人员年龄符合要求、特种作业人员完全持证上岗得 10 分；任一项专业度不达标每人扣一分扣完为止。</w:t>
            </w:r>
          </w:p>
        </w:tc>
        <w:tc>
          <w:tcPr>
            <w:tcW w:w="925"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20" w:lineRule="auto"/>
              <w:ind w:firstLine="360" w:firstLineChars="200"/>
              <w:jc w:val="left"/>
              <w:textAlignment w:val="auto"/>
              <w:rPr>
                <w:rFonts w:hint="eastAsia" w:ascii="宋体" w:hAnsi="宋体" w:eastAsia="宋体" w:cs="宋体"/>
                <w:color w:val="auto"/>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20" w:lineRule="auto"/>
              <w:jc w:val="center"/>
              <w:textAlignment w:val="auto"/>
              <w:rPr>
                <w:rFonts w:hint="default"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7</w:t>
            </w:r>
          </w:p>
        </w:tc>
        <w:tc>
          <w:tcPr>
            <w:tcW w:w="887"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20" w:lineRule="auto"/>
              <w:jc w:val="center"/>
              <w:textAlignment w:val="auto"/>
              <w:rPr>
                <w:rFonts w:hint="eastAsia" w:ascii="宋体" w:hAnsi="宋体" w:eastAsia="宋体" w:cs="宋体"/>
                <w:color w:val="auto"/>
                <w:kern w:val="2"/>
                <w:sz w:val="18"/>
                <w:szCs w:val="18"/>
                <w:highlight w:val="none"/>
                <w:lang w:val="en-US" w:eastAsia="zh-CN" w:bidi="ar-SA"/>
              </w:rPr>
            </w:pPr>
            <w:r>
              <w:rPr>
                <w:rFonts w:hint="default" w:ascii="宋体" w:hAnsi="宋体" w:eastAsia="宋体" w:cs="宋体"/>
                <w:color w:val="auto"/>
                <w:kern w:val="2"/>
                <w:sz w:val="18"/>
                <w:szCs w:val="18"/>
                <w:highlight w:val="none"/>
                <w:lang w:val="en-US" w:eastAsia="zh-CN" w:bidi="ar-SA"/>
              </w:rPr>
              <w:t>供应商工作记录</w:t>
            </w:r>
          </w:p>
        </w:tc>
        <w:tc>
          <w:tcPr>
            <w:tcW w:w="588"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20" w:lineRule="auto"/>
              <w:jc w:val="center"/>
              <w:textAlignment w:val="auto"/>
              <w:rPr>
                <w:rFonts w:hint="default"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5</w:t>
            </w:r>
            <w:r>
              <w:rPr>
                <w:rFonts w:hint="default" w:ascii="宋体" w:hAnsi="宋体" w:eastAsia="宋体" w:cs="宋体"/>
                <w:color w:val="auto"/>
                <w:kern w:val="2"/>
                <w:sz w:val="18"/>
                <w:szCs w:val="18"/>
                <w:highlight w:val="none"/>
                <w:lang w:val="en-US" w:eastAsia="zh-CN" w:bidi="ar-SA"/>
              </w:rPr>
              <w:t>分</w:t>
            </w:r>
          </w:p>
        </w:tc>
        <w:tc>
          <w:tcPr>
            <w:tcW w:w="6750" w:type="dxa"/>
            <w:gridSpan w:val="4"/>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20" w:lineRule="auto"/>
              <w:jc w:val="both"/>
              <w:textAlignment w:val="auto"/>
              <w:rPr>
                <w:rFonts w:hint="eastAsia" w:ascii="宋体" w:hAnsi="宋体" w:eastAsia="宋体" w:cs="宋体"/>
                <w:color w:val="auto"/>
                <w:kern w:val="2"/>
                <w:sz w:val="18"/>
                <w:szCs w:val="18"/>
                <w:highlight w:val="none"/>
                <w:lang w:val="en-US" w:eastAsia="zh-CN" w:bidi="ar-SA"/>
              </w:rPr>
            </w:pPr>
            <w:r>
              <w:rPr>
                <w:rFonts w:hint="default" w:ascii="宋体" w:hAnsi="宋体" w:eastAsia="宋体" w:cs="宋体"/>
                <w:color w:val="auto"/>
                <w:kern w:val="2"/>
                <w:sz w:val="18"/>
                <w:szCs w:val="18"/>
                <w:highlight w:val="none"/>
                <w:lang w:val="en-US" w:eastAsia="zh-CN" w:bidi="ar-SA"/>
              </w:rPr>
              <w:t>供应商记录缺失月份为 5 个月及以上得 0 分，缺失月份为 2-4 个月得 2 分，缺失月份为 1 个月得 4 分，未出现缺失月份得满分。</w:t>
            </w:r>
          </w:p>
        </w:tc>
        <w:tc>
          <w:tcPr>
            <w:tcW w:w="925"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20" w:lineRule="auto"/>
              <w:ind w:firstLine="360" w:firstLineChars="200"/>
              <w:jc w:val="left"/>
              <w:textAlignment w:val="auto"/>
              <w:rPr>
                <w:rFonts w:hint="eastAsia" w:ascii="宋体" w:hAnsi="宋体" w:eastAsia="宋体" w:cs="宋体"/>
                <w:color w:val="auto"/>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20" w:lineRule="auto"/>
              <w:jc w:val="center"/>
              <w:textAlignment w:val="auto"/>
              <w:rPr>
                <w:rFonts w:hint="default"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8</w:t>
            </w:r>
          </w:p>
        </w:tc>
        <w:tc>
          <w:tcPr>
            <w:tcW w:w="887"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20" w:lineRule="auto"/>
              <w:jc w:val="center"/>
              <w:textAlignment w:val="auto"/>
              <w:rPr>
                <w:rFonts w:hint="eastAsia" w:ascii="宋体" w:hAnsi="宋体" w:eastAsia="宋体" w:cs="宋体"/>
                <w:color w:val="auto"/>
                <w:kern w:val="2"/>
                <w:sz w:val="18"/>
                <w:szCs w:val="18"/>
                <w:highlight w:val="none"/>
                <w:lang w:val="en-US" w:eastAsia="zh-CN" w:bidi="ar-SA"/>
              </w:rPr>
            </w:pPr>
            <w:r>
              <w:rPr>
                <w:rFonts w:hint="default" w:ascii="宋体" w:hAnsi="宋体" w:eastAsia="宋体" w:cs="宋体"/>
                <w:color w:val="auto"/>
                <w:kern w:val="2"/>
                <w:sz w:val="18"/>
                <w:szCs w:val="18"/>
                <w:highlight w:val="none"/>
                <w:lang w:val="en-US" w:eastAsia="zh-CN" w:bidi="ar-SA"/>
              </w:rPr>
              <w:t>应急响应及时性</w:t>
            </w:r>
          </w:p>
        </w:tc>
        <w:tc>
          <w:tcPr>
            <w:tcW w:w="588"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20" w:lineRule="auto"/>
              <w:jc w:val="center"/>
              <w:textAlignment w:val="auto"/>
              <w:rPr>
                <w:rFonts w:hint="default"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10</w:t>
            </w:r>
            <w:r>
              <w:rPr>
                <w:rFonts w:hint="default" w:ascii="宋体" w:hAnsi="宋体" w:eastAsia="宋体" w:cs="宋体"/>
                <w:color w:val="auto"/>
                <w:kern w:val="2"/>
                <w:sz w:val="18"/>
                <w:szCs w:val="18"/>
                <w:highlight w:val="none"/>
                <w:lang w:val="en-US" w:eastAsia="zh-CN" w:bidi="ar-SA"/>
              </w:rPr>
              <w:t>分</w:t>
            </w:r>
          </w:p>
        </w:tc>
        <w:tc>
          <w:tcPr>
            <w:tcW w:w="6750" w:type="dxa"/>
            <w:gridSpan w:val="4"/>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20" w:lineRule="auto"/>
              <w:jc w:val="both"/>
              <w:textAlignment w:val="auto"/>
              <w:rPr>
                <w:rFonts w:hint="eastAsia" w:ascii="宋体" w:hAnsi="宋体" w:eastAsia="宋体" w:cs="宋体"/>
                <w:color w:val="auto"/>
                <w:kern w:val="2"/>
                <w:sz w:val="18"/>
                <w:szCs w:val="18"/>
                <w:highlight w:val="none"/>
                <w:lang w:val="en-US" w:eastAsia="zh-CN" w:bidi="ar-SA"/>
              </w:rPr>
            </w:pPr>
            <w:r>
              <w:rPr>
                <w:rFonts w:hint="default" w:ascii="宋体" w:hAnsi="宋体" w:eastAsia="宋体" w:cs="宋体"/>
                <w:color w:val="auto"/>
                <w:kern w:val="2"/>
                <w:sz w:val="18"/>
                <w:szCs w:val="18"/>
                <w:highlight w:val="none"/>
                <w:lang w:val="en-US" w:eastAsia="zh-CN" w:bidi="ar-SA"/>
              </w:rPr>
              <w:t>应急响应及时得 10 分；出现应急不及时性每次扣一分扣完为止。</w:t>
            </w:r>
          </w:p>
        </w:tc>
        <w:tc>
          <w:tcPr>
            <w:tcW w:w="925"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20" w:lineRule="auto"/>
              <w:ind w:firstLine="360" w:firstLineChars="200"/>
              <w:jc w:val="left"/>
              <w:textAlignment w:val="auto"/>
              <w:rPr>
                <w:rFonts w:hint="eastAsia" w:ascii="宋体" w:hAnsi="宋体" w:eastAsia="宋体" w:cs="宋体"/>
                <w:color w:val="auto"/>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20" w:lineRule="auto"/>
              <w:jc w:val="center"/>
              <w:textAlignment w:val="auto"/>
              <w:rPr>
                <w:rFonts w:hint="default"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9</w:t>
            </w:r>
          </w:p>
        </w:tc>
        <w:tc>
          <w:tcPr>
            <w:tcW w:w="887"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20" w:lineRule="auto"/>
              <w:jc w:val="center"/>
              <w:textAlignment w:val="auto"/>
              <w:rPr>
                <w:rFonts w:hint="eastAsia" w:ascii="宋体" w:hAnsi="宋体" w:eastAsia="宋体" w:cs="宋体"/>
                <w:color w:val="auto"/>
                <w:kern w:val="2"/>
                <w:sz w:val="18"/>
                <w:szCs w:val="18"/>
                <w:highlight w:val="none"/>
                <w:lang w:val="en-US" w:eastAsia="zh-CN" w:bidi="ar-SA"/>
              </w:rPr>
            </w:pPr>
            <w:r>
              <w:rPr>
                <w:rFonts w:hint="default" w:ascii="宋体" w:hAnsi="宋体" w:eastAsia="宋体" w:cs="宋体"/>
                <w:color w:val="auto"/>
                <w:kern w:val="2"/>
                <w:sz w:val="18"/>
                <w:szCs w:val="18"/>
                <w:highlight w:val="none"/>
                <w:lang w:val="en-US" w:eastAsia="zh-CN" w:bidi="ar-SA"/>
              </w:rPr>
              <w:t>服务配合度</w:t>
            </w:r>
          </w:p>
        </w:tc>
        <w:tc>
          <w:tcPr>
            <w:tcW w:w="588"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20" w:lineRule="auto"/>
              <w:jc w:val="center"/>
              <w:textAlignment w:val="auto"/>
              <w:rPr>
                <w:rFonts w:hint="default"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10</w:t>
            </w:r>
            <w:r>
              <w:rPr>
                <w:rFonts w:hint="default" w:ascii="宋体" w:hAnsi="宋体" w:eastAsia="宋体" w:cs="宋体"/>
                <w:color w:val="auto"/>
                <w:kern w:val="2"/>
                <w:sz w:val="18"/>
                <w:szCs w:val="18"/>
                <w:highlight w:val="none"/>
                <w:lang w:val="en-US" w:eastAsia="zh-CN" w:bidi="ar-SA"/>
              </w:rPr>
              <w:t>分</w:t>
            </w:r>
          </w:p>
        </w:tc>
        <w:tc>
          <w:tcPr>
            <w:tcW w:w="6750" w:type="dxa"/>
            <w:gridSpan w:val="4"/>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20" w:lineRule="auto"/>
              <w:jc w:val="both"/>
              <w:textAlignment w:val="auto"/>
              <w:rPr>
                <w:rFonts w:hint="eastAsia" w:ascii="宋体" w:hAnsi="宋体" w:eastAsia="宋体" w:cs="宋体"/>
                <w:color w:val="auto"/>
                <w:kern w:val="2"/>
                <w:sz w:val="18"/>
                <w:szCs w:val="18"/>
                <w:highlight w:val="none"/>
                <w:lang w:val="en-US" w:eastAsia="zh-CN" w:bidi="ar-SA"/>
              </w:rPr>
            </w:pPr>
            <w:r>
              <w:rPr>
                <w:rFonts w:hint="default" w:ascii="宋体" w:hAnsi="宋体" w:eastAsia="宋体" w:cs="宋体"/>
                <w:color w:val="auto"/>
                <w:kern w:val="2"/>
                <w:sz w:val="18"/>
                <w:szCs w:val="18"/>
                <w:highlight w:val="none"/>
                <w:lang w:val="en-US" w:eastAsia="zh-CN" w:bidi="ar-SA"/>
              </w:rPr>
              <w:t>可完全配合我方完成甲方要求可得 10 分；出现服务配合不及时性每次扣一分扣完为止。</w:t>
            </w:r>
          </w:p>
        </w:tc>
        <w:tc>
          <w:tcPr>
            <w:tcW w:w="925"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20" w:lineRule="auto"/>
              <w:ind w:firstLine="360" w:firstLineChars="200"/>
              <w:jc w:val="left"/>
              <w:textAlignment w:val="auto"/>
              <w:rPr>
                <w:rFonts w:hint="eastAsia" w:ascii="宋体" w:hAnsi="宋体" w:eastAsia="宋体" w:cs="宋体"/>
                <w:color w:val="auto"/>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20" w:lineRule="auto"/>
              <w:jc w:val="center"/>
              <w:textAlignment w:val="auto"/>
              <w:rPr>
                <w:rFonts w:hint="default"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10</w:t>
            </w:r>
          </w:p>
        </w:tc>
        <w:tc>
          <w:tcPr>
            <w:tcW w:w="887"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20" w:lineRule="auto"/>
              <w:jc w:val="center"/>
              <w:textAlignment w:val="auto"/>
              <w:rPr>
                <w:rFonts w:hint="eastAsia" w:ascii="宋体" w:hAnsi="宋体" w:eastAsia="宋体" w:cs="宋体"/>
                <w:color w:val="auto"/>
                <w:kern w:val="2"/>
                <w:sz w:val="18"/>
                <w:szCs w:val="18"/>
                <w:highlight w:val="none"/>
                <w:lang w:val="en-US" w:eastAsia="zh-CN" w:bidi="ar-SA"/>
              </w:rPr>
            </w:pPr>
            <w:r>
              <w:rPr>
                <w:rFonts w:hint="default" w:ascii="宋体" w:hAnsi="宋体" w:eastAsia="宋体" w:cs="宋体"/>
                <w:color w:val="auto"/>
                <w:kern w:val="2"/>
                <w:sz w:val="18"/>
                <w:szCs w:val="18"/>
                <w:highlight w:val="none"/>
                <w:lang w:val="en-US" w:eastAsia="zh-CN" w:bidi="ar-SA"/>
              </w:rPr>
              <w:t>工作完成质量</w:t>
            </w:r>
          </w:p>
        </w:tc>
        <w:tc>
          <w:tcPr>
            <w:tcW w:w="588"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20" w:lineRule="auto"/>
              <w:jc w:val="center"/>
              <w:textAlignment w:val="auto"/>
              <w:rPr>
                <w:rFonts w:hint="default"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30</w:t>
            </w:r>
            <w:r>
              <w:rPr>
                <w:rFonts w:hint="default" w:ascii="宋体" w:hAnsi="宋体" w:eastAsia="宋体" w:cs="宋体"/>
                <w:color w:val="auto"/>
                <w:kern w:val="2"/>
                <w:sz w:val="18"/>
                <w:szCs w:val="18"/>
                <w:highlight w:val="none"/>
                <w:lang w:val="en-US" w:eastAsia="zh-CN" w:bidi="ar-SA"/>
              </w:rPr>
              <w:t>分</w:t>
            </w:r>
          </w:p>
        </w:tc>
        <w:tc>
          <w:tcPr>
            <w:tcW w:w="6750" w:type="dxa"/>
            <w:gridSpan w:val="4"/>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20" w:lineRule="auto"/>
              <w:jc w:val="both"/>
              <w:textAlignment w:val="auto"/>
              <w:rPr>
                <w:rFonts w:hint="eastAsia" w:ascii="宋体" w:hAnsi="宋体" w:eastAsia="宋体" w:cs="宋体"/>
                <w:color w:val="auto"/>
                <w:kern w:val="2"/>
                <w:sz w:val="18"/>
                <w:szCs w:val="18"/>
                <w:highlight w:val="none"/>
                <w:lang w:val="en-US" w:eastAsia="zh-CN" w:bidi="ar-SA"/>
              </w:rPr>
            </w:pPr>
            <w:r>
              <w:rPr>
                <w:rFonts w:hint="default" w:ascii="宋体" w:hAnsi="宋体" w:eastAsia="宋体" w:cs="宋体"/>
                <w:color w:val="auto"/>
                <w:kern w:val="2"/>
                <w:sz w:val="18"/>
                <w:szCs w:val="18"/>
                <w:highlight w:val="none"/>
                <w:lang w:val="en-US" w:eastAsia="zh-CN" w:bidi="ar-SA"/>
              </w:rPr>
              <w:t>现场品质达标、未收到任何投诉、未收到任何违约扣款等可得 30 分；品质不达标、整体服务质量投诉等每次扣一分扣完为止。</w:t>
            </w:r>
          </w:p>
        </w:tc>
        <w:tc>
          <w:tcPr>
            <w:tcW w:w="925"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20" w:lineRule="auto"/>
              <w:ind w:firstLine="360" w:firstLineChars="200"/>
              <w:jc w:val="left"/>
              <w:textAlignment w:val="auto"/>
              <w:rPr>
                <w:rFonts w:hint="eastAsia" w:ascii="宋体" w:hAnsi="宋体" w:eastAsia="宋体" w:cs="宋体"/>
                <w:color w:val="auto"/>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8636" w:type="dxa"/>
            <w:gridSpan w:val="7"/>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20" w:lineRule="auto"/>
              <w:jc w:val="both"/>
              <w:textAlignment w:val="auto"/>
              <w:rPr>
                <w:rFonts w:hint="default" w:ascii="宋体" w:hAnsi="宋体" w:eastAsia="宋体" w:cs="宋体"/>
                <w:color w:val="auto"/>
                <w:kern w:val="2"/>
                <w:sz w:val="18"/>
                <w:szCs w:val="18"/>
                <w:highlight w:val="none"/>
                <w:lang w:val="en-US" w:eastAsia="zh-CN" w:bidi="ar-SA"/>
              </w:rPr>
            </w:pPr>
            <w:r>
              <w:rPr>
                <w:rFonts w:hint="default" w:ascii="宋体" w:hAnsi="宋体" w:eastAsia="宋体" w:cs="宋体"/>
                <w:color w:val="auto"/>
                <w:kern w:val="2"/>
                <w:sz w:val="18"/>
                <w:szCs w:val="18"/>
                <w:highlight w:val="none"/>
                <w:lang w:val="en-US" w:eastAsia="zh-CN" w:bidi="ar-SA"/>
              </w:rPr>
              <w:t>总体服务等级说明：90分</w:t>
            </w:r>
            <w:r>
              <w:rPr>
                <w:rFonts w:hint="eastAsia" w:ascii="宋体" w:hAnsi="宋体" w:cs="宋体"/>
                <w:color w:val="auto"/>
                <w:kern w:val="2"/>
                <w:sz w:val="18"/>
                <w:szCs w:val="18"/>
                <w:highlight w:val="none"/>
                <w:lang w:val="en-US" w:eastAsia="zh-CN" w:bidi="ar-SA"/>
              </w:rPr>
              <w:t>及</w:t>
            </w:r>
            <w:r>
              <w:rPr>
                <w:rFonts w:hint="default" w:ascii="宋体" w:hAnsi="宋体" w:eastAsia="宋体" w:cs="宋体"/>
                <w:color w:val="auto"/>
                <w:kern w:val="2"/>
                <w:sz w:val="18"/>
                <w:szCs w:val="18"/>
                <w:highlight w:val="none"/>
                <w:lang w:val="en-US" w:eastAsia="zh-CN" w:bidi="ar-SA"/>
              </w:rPr>
              <w:t>以上为优秀，7</w:t>
            </w:r>
            <w:r>
              <w:rPr>
                <w:rFonts w:hint="eastAsia" w:ascii="宋体" w:hAnsi="宋体" w:cs="宋体"/>
                <w:color w:val="auto"/>
                <w:kern w:val="2"/>
                <w:sz w:val="18"/>
                <w:szCs w:val="18"/>
                <w:highlight w:val="none"/>
                <w:lang w:val="en-US" w:eastAsia="zh-CN" w:bidi="ar-SA"/>
              </w:rPr>
              <w:t>5至89</w:t>
            </w:r>
            <w:r>
              <w:rPr>
                <w:rFonts w:hint="default" w:ascii="宋体" w:hAnsi="宋体" w:eastAsia="宋体" w:cs="宋体"/>
                <w:color w:val="auto"/>
                <w:kern w:val="2"/>
                <w:sz w:val="18"/>
                <w:szCs w:val="18"/>
                <w:highlight w:val="none"/>
                <w:lang w:val="en-US" w:eastAsia="zh-CN" w:bidi="ar-SA"/>
              </w:rPr>
              <w:t>分为合格，7</w:t>
            </w:r>
            <w:r>
              <w:rPr>
                <w:rFonts w:hint="eastAsia" w:ascii="宋体" w:hAnsi="宋体" w:cs="宋体"/>
                <w:color w:val="auto"/>
                <w:kern w:val="2"/>
                <w:sz w:val="18"/>
                <w:szCs w:val="18"/>
                <w:highlight w:val="none"/>
                <w:lang w:val="en-US" w:eastAsia="zh-CN" w:bidi="ar-SA"/>
              </w:rPr>
              <w:t>5</w:t>
            </w:r>
            <w:r>
              <w:rPr>
                <w:rFonts w:hint="default" w:ascii="宋体" w:hAnsi="宋体" w:eastAsia="宋体" w:cs="宋体"/>
                <w:color w:val="auto"/>
                <w:kern w:val="2"/>
                <w:sz w:val="18"/>
                <w:szCs w:val="18"/>
                <w:highlight w:val="none"/>
                <w:lang w:val="en-US" w:eastAsia="zh-CN" w:bidi="ar-SA"/>
              </w:rPr>
              <w:t>分以下不合格；扣款参考：</w:t>
            </w:r>
            <w:r>
              <w:rPr>
                <w:rFonts w:hint="eastAsia" w:ascii="宋体" w:hAnsi="宋体" w:eastAsia="宋体" w:cs="宋体"/>
                <w:color w:val="auto"/>
                <w:kern w:val="2"/>
                <w:sz w:val="18"/>
                <w:szCs w:val="18"/>
                <w:highlight w:val="none"/>
                <w:lang w:val="en-US" w:eastAsia="zh-CN" w:bidi="ar-SA"/>
              </w:rPr>
              <w:t>考核分数方式运用</w:t>
            </w:r>
            <w:r>
              <w:rPr>
                <w:rFonts w:hint="eastAsia" w:ascii="宋体" w:hAnsi="宋体" w:cs="宋体"/>
                <w:color w:val="auto"/>
                <w:kern w:val="2"/>
                <w:sz w:val="18"/>
                <w:szCs w:val="18"/>
                <w:highlight w:val="none"/>
                <w:lang w:val="en-US" w:eastAsia="zh-CN" w:bidi="ar-SA"/>
              </w:rPr>
              <w:t>，</w:t>
            </w:r>
            <w:r>
              <w:rPr>
                <w:rFonts w:hint="default" w:ascii="宋体" w:hAnsi="宋体" w:eastAsia="宋体" w:cs="宋体"/>
                <w:color w:val="auto"/>
                <w:kern w:val="2"/>
                <w:sz w:val="18"/>
                <w:szCs w:val="18"/>
                <w:highlight w:val="none"/>
                <w:lang w:val="en-US" w:eastAsia="zh-CN" w:bidi="ar-SA"/>
              </w:rPr>
              <w:t>具体以合同为准</w:t>
            </w:r>
            <w:r>
              <w:rPr>
                <w:rFonts w:hint="eastAsia" w:ascii="宋体" w:hAnsi="宋体" w:cs="宋体"/>
                <w:color w:val="auto"/>
                <w:kern w:val="2"/>
                <w:sz w:val="18"/>
                <w:szCs w:val="18"/>
                <w:highlight w:val="none"/>
                <w:lang w:val="en-US" w:eastAsia="zh-CN" w:bidi="ar-SA"/>
              </w:rPr>
              <w:t>。</w:t>
            </w:r>
            <w:r>
              <w:rPr>
                <w:rFonts w:hint="default" w:ascii="宋体" w:hAnsi="宋体" w:eastAsia="宋体" w:cs="宋体"/>
                <w:color w:val="auto"/>
                <w:kern w:val="2"/>
                <w:sz w:val="18"/>
                <w:szCs w:val="18"/>
                <w:highlight w:val="none"/>
                <w:lang w:val="en-US" w:eastAsia="zh-CN" w:bidi="ar-SA"/>
              </w:rPr>
              <w:t>供应商应签字确认评价表</w:t>
            </w:r>
            <w:r>
              <w:rPr>
                <w:rFonts w:hint="eastAsia" w:ascii="宋体" w:hAnsi="宋体" w:cs="宋体"/>
                <w:color w:val="auto"/>
                <w:kern w:val="2"/>
                <w:sz w:val="18"/>
                <w:szCs w:val="18"/>
                <w:highlight w:val="none"/>
                <w:lang w:val="en-US" w:eastAsia="zh-CN" w:bidi="ar-SA"/>
              </w:rPr>
              <w:t>，</w:t>
            </w:r>
            <w:r>
              <w:rPr>
                <w:rFonts w:hint="default" w:ascii="宋体" w:hAnsi="宋体" w:eastAsia="宋体" w:cs="宋体"/>
                <w:color w:val="auto"/>
                <w:kern w:val="2"/>
                <w:sz w:val="18"/>
                <w:szCs w:val="18"/>
                <w:highlight w:val="none"/>
                <w:lang w:val="en-US" w:eastAsia="zh-CN" w:bidi="ar-SA"/>
              </w:rPr>
              <w:t>若发生扣款，还需供应商单位盖章</w:t>
            </w:r>
            <w:r>
              <w:rPr>
                <w:rFonts w:hint="eastAsia" w:ascii="宋体" w:hAnsi="宋体" w:cs="宋体"/>
                <w:color w:val="auto"/>
                <w:kern w:val="2"/>
                <w:sz w:val="18"/>
                <w:szCs w:val="18"/>
                <w:highlight w:val="none"/>
                <w:lang w:val="en-US" w:eastAsia="zh-CN" w:bidi="ar-SA"/>
              </w:rPr>
              <w:t>。</w:t>
            </w:r>
          </w:p>
        </w:tc>
        <w:tc>
          <w:tcPr>
            <w:tcW w:w="925"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20" w:lineRule="auto"/>
              <w:ind w:firstLine="360" w:firstLineChars="200"/>
              <w:jc w:val="center"/>
              <w:textAlignment w:val="auto"/>
              <w:rPr>
                <w:rFonts w:hint="eastAsia" w:ascii="宋体" w:hAnsi="宋体" w:eastAsia="宋体" w:cs="宋体"/>
                <w:color w:val="auto"/>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2339" w:type="dxa"/>
            <w:gridSpan w:val="4"/>
            <w:vMerge w:val="restart"/>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20" w:lineRule="auto"/>
              <w:jc w:val="center"/>
              <w:textAlignment w:val="auto"/>
              <w:rPr>
                <w:rFonts w:hint="eastAsia" w:ascii="宋体" w:hAnsi="宋体" w:eastAsia="宋体" w:cs="宋体"/>
                <w:color w:val="auto"/>
                <w:kern w:val="2"/>
                <w:sz w:val="18"/>
                <w:szCs w:val="18"/>
                <w:highlight w:val="none"/>
                <w:lang w:val="en-US" w:eastAsia="zh-CN" w:bidi="ar-SA"/>
              </w:rPr>
            </w:pPr>
            <w:r>
              <w:rPr>
                <w:rFonts w:hint="default" w:ascii="宋体" w:hAnsi="宋体" w:eastAsia="宋体" w:cs="宋体"/>
                <w:color w:val="auto"/>
                <w:kern w:val="2"/>
                <w:sz w:val="18"/>
                <w:szCs w:val="18"/>
                <w:highlight w:val="none"/>
                <w:lang w:val="en-US" w:eastAsia="zh-CN" w:bidi="ar-SA"/>
              </w:rPr>
              <w:t>合同违约扣款说明</w:t>
            </w:r>
          </w:p>
        </w:tc>
        <w:tc>
          <w:tcPr>
            <w:tcW w:w="2011"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20" w:lineRule="auto"/>
              <w:jc w:val="center"/>
              <w:textAlignment w:val="auto"/>
              <w:rPr>
                <w:rFonts w:hint="default" w:ascii="宋体" w:hAnsi="宋体" w:eastAsia="宋体" w:cs="宋体"/>
                <w:color w:val="auto"/>
                <w:kern w:val="2"/>
                <w:sz w:val="18"/>
                <w:szCs w:val="18"/>
                <w:highlight w:val="none"/>
                <w:lang w:val="en-US" w:eastAsia="zh-CN" w:bidi="ar-SA"/>
              </w:rPr>
            </w:pPr>
            <w:r>
              <w:rPr>
                <w:rFonts w:hint="default" w:ascii="宋体" w:hAnsi="宋体" w:eastAsia="宋体" w:cs="宋体"/>
                <w:color w:val="auto"/>
                <w:kern w:val="2"/>
                <w:sz w:val="18"/>
                <w:szCs w:val="18"/>
                <w:highlight w:val="none"/>
                <w:lang w:val="en-US" w:eastAsia="zh-CN" w:bidi="ar-SA"/>
              </w:rPr>
              <w:t>违约事实</w:t>
            </w:r>
          </w:p>
        </w:tc>
        <w:tc>
          <w:tcPr>
            <w:tcW w:w="2825"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20" w:lineRule="auto"/>
              <w:jc w:val="center"/>
              <w:textAlignment w:val="auto"/>
              <w:rPr>
                <w:rFonts w:hint="default" w:ascii="宋体" w:hAnsi="宋体" w:eastAsia="宋体" w:cs="宋体"/>
                <w:color w:val="auto"/>
                <w:kern w:val="2"/>
                <w:sz w:val="18"/>
                <w:szCs w:val="18"/>
                <w:highlight w:val="none"/>
                <w:lang w:val="en-US" w:eastAsia="zh-CN" w:bidi="ar-SA"/>
              </w:rPr>
            </w:pPr>
            <w:r>
              <w:rPr>
                <w:rFonts w:hint="default" w:ascii="宋体" w:hAnsi="宋体" w:eastAsia="宋体" w:cs="宋体"/>
                <w:color w:val="auto"/>
                <w:kern w:val="2"/>
                <w:sz w:val="18"/>
                <w:szCs w:val="18"/>
                <w:highlight w:val="none"/>
                <w:lang w:val="en-US" w:eastAsia="zh-CN" w:bidi="ar-SA"/>
              </w:rPr>
              <w:t>合同条款</w:t>
            </w:r>
          </w:p>
        </w:tc>
        <w:tc>
          <w:tcPr>
            <w:tcW w:w="2386" w:type="dxa"/>
            <w:gridSpan w:val="2"/>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20" w:lineRule="auto"/>
              <w:jc w:val="center"/>
              <w:textAlignment w:val="auto"/>
              <w:rPr>
                <w:rFonts w:hint="eastAsia" w:ascii="宋体" w:hAnsi="宋体" w:eastAsia="宋体" w:cs="宋体"/>
                <w:color w:val="auto"/>
                <w:kern w:val="2"/>
                <w:sz w:val="18"/>
                <w:szCs w:val="18"/>
                <w:highlight w:val="none"/>
                <w:lang w:val="en-US" w:eastAsia="zh-CN" w:bidi="ar-SA"/>
              </w:rPr>
            </w:pPr>
            <w:r>
              <w:rPr>
                <w:rFonts w:hint="default" w:ascii="宋体" w:hAnsi="宋体" w:eastAsia="宋体" w:cs="宋体"/>
                <w:color w:val="auto"/>
                <w:kern w:val="2"/>
                <w:sz w:val="18"/>
                <w:szCs w:val="18"/>
                <w:highlight w:val="none"/>
                <w:lang w:val="en-US" w:eastAsia="zh-CN" w:bidi="ar-SA"/>
              </w:rPr>
              <w:t>扣款金额（元）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2339" w:type="dxa"/>
            <w:gridSpan w:val="4"/>
            <w:vMerge w:val="continue"/>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20" w:lineRule="auto"/>
              <w:jc w:val="center"/>
              <w:textAlignment w:val="auto"/>
              <w:rPr>
                <w:rFonts w:hint="eastAsia" w:ascii="宋体" w:hAnsi="宋体" w:eastAsia="宋体" w:cs="宋体"/>
                <w:color w:val="auto"/>
                <w:kern w:val="2"/>
                <w:sz w:val="18"/>
                <w:szCs w:val="18"/>
                <w:highlight w:val="none"/>
                <w:lang w:val="en-US" w:eastAsia="zh-CN" w:bidi="ar-SA"/>
              </w:rPr>
            </w:pPr>
          </w:p>
        </w:tc>
        <w:tc>
          <w:tcPr>
            <w:tcW w:w="2011"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20" w:lineRule="auto"/>
              <w:jc w:val="center"/>
              <w:textAlignment w:val="auto"/>
              <w:rPr>
                <w:rFonts w:hint="eastAsia" w:ascii="宋体" w:hAnsi="宋体" w:eastAsia="宋体" w:cs="宋体"/>
                <w:color w:val="auto"/>
                <w:kern w:val="2"/>
                <w:sz w:val="18"/>
                <w:szCs w:val="18"/>
                <w:highlight w:val="none"/>
                <w:lang w:val="en-US" w:eastAsia="zh-CN" w:bidi="ar-SA"/>
              </w:rPr>
            </w:pPr>
          </w:p>
        </w:tc>
        <w:tc>
          <w:tcPr>
            <w:tcW w:w="2825"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20" w:lineRule="auto"/>
              <w:jc w:val="center"/>
              <w:textAlignment w:val="auto"/>
              <w:rPr>
                <w:rFonts w:hint="default" w:ascii="宋体" w:hAnsi="宋体" w:eastAsia="宋体" w:cs="宋体"/>
                <w:color w:val="auto"/>
                <w:kern w:val="2"/>
                <w:sz w:val="18"/>
                <w:szCs w:val="18"/>
                <w:highlight w:val="none"/>
                <w:lang w:val="en-US" w:eastAsia="zh-CN" w:bidi="ar-SA"/>
              </w:rPr>
            </w:pPr>
          </w:p>
        </w:tc>
        <w:tc>
          <w:tcPr>
            <w:tcW w:w="2386" w:type="dxa"/>
            <w:gridSpan w:val="2"/>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20" w:lineRule="auto"/>
              <w:jc w:val="center"/>
              <w:textAlignment w:val="auto"/>
              <w:rPr>
                <w:rFonts w:hint="eastAsia" w:ascii="宋体" w:hAnsi="宋体" w:eastAsia="宋体" w:cs="宋体"/>
                <w:color w:val="auto"/>
                <w:kern w:val="2"/>
                <w:sz w:val="18"/>
                <w:szCs w:val="18"/>
                <w:highlight w:val="none"/>
                <w:lang w:val="en-US" w:eastAsia="zh-CN" w:bidi="ar-SA"/>
              </w:rPr>
            </w:pPr>
          </w:p>
        </w:tc>
      </w:tr>
    </w:tbl>
    <w:p>
      <w:pPr>
        <w:numPr>
          <w:ilvl w:val="0"/>
          <w:numId w:val="0"/>
        </w:numPr>
        <w:adjustRightInd w:val="0"/>
        <w:snapToGrid w:val="0"/>
        <w:spacing w:before="0" w:after="0" w:line="360" w:lineRule="auto"/>
        <w:outlineLvl w:val="9"/>
        <w:rPr>
          <w:rFonts w:hint="eastAsia" w:ascii="宋体" w:hAnsi="宋体" w:eastAsia="宋体" w:cs="宋体"/>
          <w:b w:val="0"/>
          <w:color w:val="auto"/>
          <w:kern w:val="2"/>
          <w:sz w:val="18"/>
          <w:szCs w:val="18"/>
          <w:highlight w:val="none"/>
          <w:lang w:val="en-US" w:eastAsia="zh-CN" w:bidi="ar-SA"/>
        </w:rPr>
      </w:pPr>
    </w:p>
    <w:p>
      <w:pPr>
        <w:numPr>
          <w:ilvl w:val="0"/>
          <w:numId w:val="0"/>
        </w:numPr>
        <w:adjustRightInd w:val="0"/>
        <w:snapToGrid w:val="0"/>
        <w:spacing w:before="0" w:after="0" w:line="360" w:lineRule="auto"/>
        <w:outlineLvl w:val="9"/>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验收：                                监管：                               审核：</w:t>
      </w:r>
    </w:p>
    <w:p>
      <w:pPr>
        <w:rPr>
          <w:rFonts w:hint="eastAsia" w:ascii="宋体" w:hAnsi="宋体" w:eastAsia="宋体" w:cs="宋体"/>
          <w:b w:val="0"/>
          <w:color w:val="auto"/>
          <w:kern w:val="2"/>
          <w:sz w:val="21"/>
          <w:szCs w:val="21"/>
          <w:highlight w:val="none"/>
          <w:lang w:val="en-US" w:eastAsia="zh-CN" w:bidi="ar-SA"/>
        </w:rPr>
      </w:pPr>
    </w:p>
    <w:p>
      <w:pPr>
        <w:rPr>
          <w:rFonts w:hint="default"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供应商签字</w:t>
      </w:r>
      <w:r>
        <w:rPr>
          <w:rFonts w:hint="eastAsia" w:ascii="宋体" w:hAnsi="宋体" w:cs="宋体"/>
          <w:b w:val="0"/>
          <w:color w:val="auto"/>
          <w:kern w:val="2"/>
          <w:sz w:val="21"/>
          <w:szCs w:val="21"/>
          <w:highlight w:val="none"/>
          <w:lang w:val="en-US" w:eastAsia="zh-CN" w:bidi="ar-SA"/>
        </w:rPr>
        <w:t>：</w:t>
      </w:r>
    </w:p>
    <w:p>
      <w:pPr>
        <w:rPr>
          <w:rFonts w:hint="default" w:ascii="宋体" w:hAnsi="宋体" w:eastAsia="宋体" w:cs="宋体"/>
          <w:color w:val="auto"/>
          <w:sz w:val="24"/>
          <w:szCs w:val="24"/>
          <w:highlight w:val="none"/>
          <w:lang w:val="en-US" w:eastAsia="zh-CN"/>
        </w:rPr>
        <w:sectPr>
          <w:headerReference r:id="rId24" w:type="default"/>
          <w:pgSz w:w="11906" w:h="16838"/>
          <w:pgMar w:top="1440" w:right="1134" w:bottom="1440" w:left="1134" w:header="851" w:footer="992" w:gutter="0"/>
          <w:pgNumType w:fmt="decimal"/>
          <w:cols w:space="425" w:num="1"/>
          <w:docGrid w:type="lines" w:linePitch="312" w:charSpace="0"/>
        </w:sectPr>
      </w:pPr>
    </w:p>
    <w:p>
      <w:pPr>
        <w:spacing w:before="80" w:line="470" w:lineRule="exact"/>
        <w:outlineLvl w:val="9"/>
        <w:rPr>
          <w:rFonts w:ascii="黑体" w:hAnsi="黑体" w:eastAsia="黑体" w:cs="黑体"/>
          <w:color w:val="auto"/>
          <w:spacing w:val="8"/>
          <w:position w:val="1"/>
          <w:sz w:val="35"/>
          <w:szCs w:val="35"/>
          <w:highlight w:val="none"/>
        </w:rPr>
      </w:pPr>
    </w:p>
    <w:p>
      <w:pPr>
        <w:spacing w:before="80" w:line="470" w:lineRule="exact"/>
        <w:ind w:left="2638"/>
        <w:outlineLvl w:val="0"/>
        <w:rPr>
          <w:rFonts w:ascii="黑体" w:hAnsi="黑体" w:eastAsia="黑体" w:cs="黑体"/>
          <w:color w:val="auto"/>
          <w:sz w:val="35"/>
          <w:szCs w:val="35"/>
          <w:highlight w:val="none"/>
        </w:rPr>
      </w:pPr>
      <w:r>
        <w:rPr>
          <w:rFonts w:ascii="黑体" w:hAnsi="黑体" w:eastAsia="黑体" w:cs="黑体"/>
          <w:color w:val="auto"/>
          <w:spacing w:val="8"/>
          <w:position w:val="1"/>
          <w:sz w:val="35"/>
          <w:szCs w:val="35"/>
          <w:highlight w:val="none"/>
        </w:rPr>
        <w:t>第六篇 响应文件格式要求</w:t>
      </w:r>
      <w:bookmarkEnd w:id="78"/>
    </w:p>
    <w:p>
      <w:pPr>
        <w:spacing w:before="46" w:line="219" w:lineRule="auto"/>
        <w:ind w:left="1644"/>
        <w:rPr>
          <w:rFonts w:ascii="宋体" w:hAnsi="宋体" w:eastAsia="宋体" w:cs="宋体"/>
          <w:color w:val="auto"/>
          <w:sz w:val="24"/>
          <w:szCs w:val="24"/>
          <w:highlight w:val="none"/>
        </w:rPr>
      </w:pPr>
      <w:r>
        <w:rPr>
          <w:rFonts w:ascii="宋体" w:hAnsi="宋体" w:eastAsia="宋体" w:cs="宋体"/>
          <w:color w:val="auto"/>
          <w:spacing w:val="-20"/>
          <w:sz w:val="24"/>
          <w:szCs w:val="24"/>
          <w:highlight w:val="none"/>
        </w:rPr>
        <w:t>（</w:t>
      </w:r>
      <w:r>
        <w:rPr>
          <w:rFonts w:ascii="宋体" w:hAnsi="宋体" w:eastAsia="宋体" w:cs="宋体"/>
          <w:color w:val="auto"/>
          <w:spacing w:val="-20"/>
          <w:sz w:val="24"/>
          <w:szCs w:val="24"/>
          <w:highlight w:val="none"/>
          <w:u w:val="single" w:color="auto"/>
        </w:rPr>
        <w:t>请响应供应商按以下顺序和格式制作响应文件并装订成册。</w:t>
      </w:r>
      <w:r>
        <w:rPr>
          <w:rFonts w:ascii="宋体" w:hAnsi="宋体" w:eastAsia="宋体" w:cs="宋体"/>
          <w:color w:val="auto"/>
          <w:spacing w:val="-20"/>
          <w:sz w:val="24"/>
          <w:szCs w:val="24"/>
          <w:highlight w:val="none"/>
        </w:rPr>
        <w:t>）</w:t>
      </w:r>
    </w:p>
    <w:p>
      <w:pPr>
        <w:pStyle w:val="7"/>
        <w:spacing w:line="264" w:lineRule="auto"/>
        <w:rPr>
          <w:color w:val="auto"/>
          <w:highlight w:val="none"/>
        </w:rPr>
      </w:pPr>
    </w:p>
    <w:p>
      <w:pPr>
        <w:pStyle w:val="7"/>
        <w:spacing w:line="264" w:lineRule="auto"/>
        <w:rPr>
          <w:color w:val="auto"/>
          <w:highlight w:val="none"/>
        </w:rPr>
      </w:pPr>
    </w:p>
    <w:p>
      <w:pPr>
        <w:pStyle w:val="7"/>
        <w:spacing w:line="265" w:lineRule="auto"/>
        <w:rPr>
          <w:color w:val="auto"/>
          <w:highlight w:val="none"/>
        </w:rPr>
      </w:pPr>
    </w:p>
    <w:p>
      <w:pPr>
        <w:pStyle w:val="7"/>
        <w:spacing w:line="265" w:lineRule="auto"/>
        <w:rPr>
          <w:color w:val="auto"/>
          <w:highlight w:val="none"/>
        </w:rPr>
      </w:pPr>
    </w:p>
    <w:p>
      <w:pPr>
        <w:pStyle w:val="7"/>
        <w:spacing w:line="265" w:lineRule="auto"/>
        <w:rPr>
          <w:color w:val="auto"/>
          <w:highlight w:val="none"/>
        </w:rPr>
      </w:pPr>
    </w:p>
    <w:p>
      <w:pPr>
        <w:spacing w:before="101" w:line="226" w:lineRule="auto"/>
        <w:rPr>
          <w:rFonts w:ascii="宋体" w:hAnsi="宋体" w:eastAsia="宋体" w:cs="宋体"/>
          <w:color w:val="auto"/>
          <w:sz w:val="31"/>
          <w:szCs w:val="31"/>
          <w:highlight w:val="none"/>
        </w:rPr>
      </w:pPr>
      <w:r>
        <w:rPr>
          <w:rFonts w:ascii="宋体" w:hAnsi="宋体" w:eastAsia="宋体" w:cs="宋体"/>
          <w:color w:val="auto"/>
          <w:spacing w:val="-18"/>
          <w:sz w:val="31"/>
          <w:szCs w:val="31"/>
          <w:highlight w:val="none"/>
        </w:rPr>
        <w:t>项目名称：</w:t>
      </w:r>
    </w:p>
    <w:p>
      <w:pPr>
        <w:pStyle w:val="7"/>
        <w:spacing w:line="242" w:lineRule="auto"/>
        <w:rPr>
          <w:color w:val="auto"/>
          <w:highlight w:val="none"/>
        </w:rPr>
      </w:pPr>
    </w:p>
    <w:p>
      <w:pPr>
        <w:pStyle w:val="7"/>
        <w:spacing w:line="242" w:lineRule="auto"/>
        <w:rPr>
          <w:color w:val="auto"/>
          <w:highlight w:val="none"/>
        </w:rPr>
      </w:pPr>
    </w:p>
    <w:p>
      <w:pPr>
        <w:pStyle w:val="7"/>
        <w:spacing w:line="242" w:lineRule="auto"/>
        <w:rPr>
          <w:color w:val="auto"/>
          <w:highlight w:val="none"/>
        </w:rPr>
      </w:pPr>
    </w:p>
    <w:p>
      <w:pPr>
        <w:pStyle w:val="7"/>
        <w:spacing w:line="242" w:lineRule="auto"/>
        <w:rPr>
          <w:color w:val="auto"/>
          <w:highlight w:val="none"/>
        </w:rPr>
      </w:pPr>
    </w:p>
    <w:p>
      <w:pPr>
        <w:pStyle w:val="7"/>
        <w:spacing w:line="242" w:lineRule="auto"/>
        <w:rPr>
          <w:color w:val="auto"/>
          <w:highlight w:val="none"/>
        </w:rPr>
      </w:pPr>
    </w:p>
    <w:p>
      <w:pPr>
        <w:pStyle w:val="7"/>
        <w:spacing w:line="242" w:lineRule="auto"/>
        <w:rPr>
          <w:color w:val="auto"/>
          <w:highlight w:val="none"/>
        </w:rPr>
      </w:pPr>
    </w:p>
    <w:p>
      <w:pPr>
        <w:pStyle w:val="7"/>
        <w:spacing w:line="243" w:lineRule="auto"/>
        <w:rPr>
          <w:color w:val="auto"/>
          <w:highlight w:val="none"/>
        </w:rPr>
      </w:pPr>
    </w:p>
    <w:p>
      <w:pPr>
        <w:pStyle w:val="7"/>
        <w:spacing w:line="243" w:lineRule="auto"/>
        <w:rPr>
          <w:color w:val="auto"/>
          <w:highlight w:val="none"/>
        </w:rPr>
      </w:pPr>
    </w:p>
    <w:p>
      <w:pPr>
        <w:pStyle w:val="7"/>
        <w:spacing w:line="243" w:lineRule="auto"/>
        <w:rPr>
          <w:color w:val="auto"/>
          <w:highlight w:val="none"/>
        </w:rPr>
      </w:pPr>
    </w:p>
    <w:p>
      <w:pPr>
        <w:spacing w:before="269" w:line="222" w:lineRule="auto"/>
        <w:ind w:left="3156"/>
        <w:rPr>
          <w:rFonts w:ascii="宋体" w:hAnsi="宋体" w:eastAsia="宋体" w:cs="宋体"/>
          <w:color w:val="auto"/>
          <w:sz w:val="83"/>
          <w:szCs w:val="83"/>
          <w:highlight w:val="none"/>
        </w:rPr>
      </w:pPr>
      <w:r>
        <w:rPr>
          <w:rFonts w:ascii="宋体" w:hAnsi="宋体" w:eastAsia="宋体" w:cs="宋体"/>
          <w:color w:val="auto"/>
          <w:spacing w:val="-30"/>
          <w:sz w:val="83"/>
          <w:szCs w:val="83"/>
          <w:highlight w:val="none"/>
        </w:rPr>
        <w:t>响应文件</w:t>
      </w:r>
    </w:p>
    <w:p>
      <w:pPr>
        <w:pStyle w:val="7"/>
        <w:spacing w:line="250" w:lineRule="auto"/>
        <w:rPr>
          <w:color w:val="auto"/>
          <w:highlight w:val="none"/>
        </w:rPr>
      </w:pPr>
    </w:p>
    <w:p>
      <w:pPr>
        <w:pStyle w:val="7"/>
        <w:spacing w:line="250" w:lineRule="auto"/>
        <w:rPr>
          <w:color w:val="auto"/>
          <w:highlight w:val="none"/>
        </w:rPr>
      </w:pPr>
    </w:p>
    <w:p>
      <w:pPr>
        <w:pStyle w:val="7"/>
        <w:spacing w:line="250" w:lineRule="auto"/>
        <w:rPr>
          <w:color w:val="auto"/>
          <w:highlight w:val="none"/>
        </w:rPr>
      </w:pPr>
    </w:p>
    <w:p>
      <w:pPr>
        <w:pStyle w:val="7"/>
        <w:spacing w:line="250" w:lineRule="auto"/>
        <w:rPr>
          <w:color w:val="auto"/>
          <w:highlight w:val="none"/>
        </w:rPr>
      </w:pPr>
    </w:p>
    <w:p>
      <w:pPr>
        <w:pStyle w:val="7"/>
        <w:spacing w:line="250" w:lineRule="auto"/>
        <w:rPr>
          <w:color w:val="auto"/>
          <w:highlight w:val="none"/>
        </w:rPr>
      </w:pPr>
    </w:p>
    <w:p>
      <w:pPr>
        <w:pStyle w:val="7"/>
        <w:spacing w:line="250" w:lineRule="auto"/>
        <w:rPr>
          <w:color w:val="auto"/>
          <w:highlight w:val="none"/>
        </w:rPr>
      </w:pPr>
    </w:p>
    <w:p>
      <w:pPr>
        <w:pStyle w:val="7"/>
        <w:spacing w:line="250" w:lineRule="auto"/>
        <w:rPr>
          <w:color w:val="auto"/>
          <w:highlight w:val="none"/>
        </w:rPr>
      </w:pPr>
    </w:p>
    <w:p>
      <w:pPr>
        <w:pStyle w:val="7"/>
        <w:spacing w:line="250" w:lineRule="auto"/>
        <w:rPr>
          <w:color w:val="auto"/>
          <w:highlight w:val="none"/>
        </w:rPr>
      </w:pPr>
    </w:p>
    <w:p>
      <w:pPr>
        <w:pStyle w:val="7"/>
        <w:spacing w:line="250" w:lineRule="auto"/>
        <w:rPr>
          <w:color w:val="auto"/>
          <w:highlight w:val="none"/>
        </w:rPr>
      </w:pPr>
    </w:p>
    <w:p>
      <w:pPr>
        <w:pStyle w:val="7"/>
        <w:spacing w:line="250" w:lineRule="auto"/>
        <w:rPr>
          <w:color w:val="auto"/>
          <w:highlight w:val="none"/>
        </w:rPr>
      </w:pPr>
    </w:p>
    <w:p>
      <w:pPr>
        <w:pStyle w:val="7"/>
        <w:spacing w:line="250" w:lineRule="auto"/>
        <w:rPr>
          <w:color w:val="auto"/>
          <w:highlight w:val="none"/>
        </w:rPr>
      </w:pPr>
    </w:p>
    <w:p>
      <w:pPr>
        <w:pStyle w:val="7"/>
        <w:spacing w:line="250" w:lineRule="auto"/>
        <w:rPr>
          <w:color w:val="auto"/>
          <w:highlight w:val="none"/>
        </w:rPr>
      </w:pPr>
    </w:p>
    <w:p>
      <w:pPr>
        <w:pStyle w:val="7"/>
        <w:spacing w:line="251" w:lineRule="auto"/>
        <w:rPr>
          <w:color w:val="auto"/>
          <w:highlight w:val="none"/>
        </w:rPr>
      </w:pPr>
    </w:p>
    <w:p>
      <w:pPr>
        <w:pStyle w:val="7"/>
        <w:spacing w:line="251" w:lineRule="auto"/>
        <w:rPr>
          <w:color w:val="auto"/>
          <w:highlight w:val="none"/>
        </w:rPr>
      </w:pPr>
    </w:p>
    <w:p>
      <w:pPr>
        <w:pStyle w:val="7"/>
        <w:spacing w:line="251" w:lineRule="auto"/>
        <w:rPr>
          <w:color w:val="auto"/>
          <w:highlight w:val="none"/>
        </w:rPr>
      </w:pPr>
    </w:p>
    <w:p>
      <w:pPr>
        <w:pStyle w:val="7"/>
        <w:spacing w:line="251" w:lineRule="auto"/>
        <w:rPr>
          <w:color w:val="auto"/>
          <w:highlight w:val="none"/>
        </w:rPr>
      </w:pPr>
    </w:p>
    <w:p>
      <w:pPr>
        <w:pStyle w:val="7"/>
        <w:spacing w:line="251" w:lineRule="auto"/>
        <w:rPr>
          <w:color w:val="auto"/>
          <w:highlight w:val="none"/>
        </w:rPr>
      </w:pPr>
    </w:p>
    <w:p>
      <w:pPr>
        <w:spacing w:before="101" w:line="225" w:lineRule="auto"/>
        <w:ind w:left="579"/>
        <w:rPr>
          <w:rFonts w:ascii="宋体" w:hAnsi="宋体" w:eastAsia="宋体" w:cs="宋体"/>
          <w:color w:val="auto"/>
          <w:sz w:val="31"/>
          <w:szCs w:val="31"/>
          <w:highlight w:val="none"/>
        </w:rPr>
      </w:pPr>
      <w:r>
        <w:rPr>
          <w:rFonts w:ascii="宋体" w:hAnsi="宋体" w:eastAsia="宋体" w:cs="宋体"/>
          <w:color w:val="auto"/>
          <w:spacing w:val="-22"/>
          <w:sz w:val="31"/>
          <w:szCs w:val="31"/>
          <w:highlight w:val="none"/>
        </w:rPr>
        <w:t>响应供应商</w:t>
      </w:r>
      <w:r>
        <w:rPr>
          <w:rFonts w:ascii="宋体" w:hAnsi="宋体" w:eastAsia="宋体" w:cs="宋体"/>
          <w:color w:val="auto"/>
          <w:spacing w:val="-46"/>
          <w:sz w:val="31"/>
          <w:szCs w:val="31"/>
          <w:highlight w:val="none"/>
        </w:rPr>
        <w:t>：</w:t>
      </w:r>
      <w:r>
        <w:rPr>
          <w:rFonts w:ascii="宋体" w:hAnsi="宋体" w:eastAsia="宋体" w:cs="宋体"/>
          <w:color w:val="auto"/>
          <w:sz w:val="31"/>
          <w:szCs w:val="31"/>
          <w:highlight w:val="none"/>
          <w:u w:val="single" w:color="auto"/>
        </w:rPr>
        <w:t xml:space="preserve">                        </w:t>
      </w:r>
      <w:r>
        <w:rPr>
          <w:rFonts w:ascii="宋体" w:hAnsi="宋体" w:eastAsia="宋体" w:cs="宋体"/>
          <w:color w:val="auto"/>
          <w:spacing w:val="-46"/>
          <w:sz w:val="31"/>
          <w:szCs w:val="31"/>
          <w:highlight w:val="none"/>
        </w:rPr>
        <w:t>（</w:t>
      </w:r>
      <w:r>
        <w:rPr>
          <w:rFonts w:ascii="宋体" w:hAnsi="宋体" w:eastAsia="宋体" w:cs="宋体"/>
          <w:color w:val="auto"/>
          <w:spacing w:val="-5"/>
          <w:sz w:val="31"/>
          <w:szCs w:val="31"/>
          <w:highlight w:val="none"/>
        </w:rPr>
        <w:t xml:space="preserve"> </w:t>
      </w:r>
      <w:r>
        <w:rPr>
          <w:rFonts w:ascii="宋体" w:hAnsi="宋体" w:eastAsia="宋体" w:cs="宋体"/>
          <w:color w:val="auto"/>
          <w:spacing w:val="-22"/>
          <w:sz w:val="31"/>
          <w:szCs w:val="31"/>
          <w:highlight w:val="none"/>
        </w:rPr>
        <w:t>盖单位公章）</w:t>
      </w:r>
    </w:p>
    <w:p>
      <w:pPr>
        <w:pStyle w:val="7"/>
        <w:spacing w:line="300" w:lineRule="auto"/>
        <w:rPr>
          <w:color w:val="auto"/>
          <w:highlight w:val="none"/>
        </w:rPr>
      </w:pPr>
    </w:p>
    <w:p>
      <w:pPr>
        <w:pStyle w:val="7"/>
        <w:spacing w:line="300" w:lineRule="auto"/>
        <w:rPr>
          <w:color w:val="auto"/>
          <w:highlight w:val="none"/>
        </w:rPr>
      </w:pPr>
    </w:p>
    <w:p>
      <w:pPr>
        <w:pStyle w:val="7"/>
        <w:spacing w:line="301" w:lineRule="auto"/>
        <w:rPr>
          <w:color w:val="auto"/>
          <w:highlight w:val="none"/>
        </w:rPr>
      </w:pPr>
    </w:p>
    <w:p>
      <w:pPr>
        <w:spacing w:before="102" w:line="225" w:lineRule="auto"/>
        <w:ind w:left="564"/>
        <w:rPr>
          <w:rFonts w:ascii="宋体" w:hAnsi="宋体" w:eastAsia="宋体" w:cs="宋体"/>
          <w:color w:val="auto"/>
          <w:sz w:val="31"/>
          <w:szCs w:val="31"/>
          <w:highlight w:val="none"/>
        </w:rPr>
      </w:pPr>
      <w:r>
        <w:rPr>
          <w:rFonts w:ascii="宋体" w:hAnsi="宋体" w:eastAsia="宋体" w:cs="宋体"/>
          <w:color w:val="auto"/>
          <w:spacing w:val="-22"/>
          <w:sz w:val="31"/>
          <w:szCs w:val="31"/>
          <w:highlight w:val="none"/>
        </w:rPr>
        <w:t>法定代表人或其委托代理人</w:t>
      </w:r>
      <w:r>
        <w:rPr>
          <w:rFonts w:ascii="宋体" w:hAnsi="宋体" w:eastAsia="宋体" w:cs="宋体"/>
          <w:color w:val="auto"/>
          <w:spacing w:val="-46"/>
          <w:sz w:val="31"/>
          <w:szCs w:val="31"/>
          <w:highlight w:val="none"/>
        </w:rPr>
        <w:t>：</w:t>
      </w:r>
      <w:r>
        <w:rPr>
          <w:rFonts w:ascii="宋体" w:hAnsi="宋体" w:eastAsia="宋体" w:cs="宋体"/>
          <w:color w:val="auto"/>
          <w:spacing w:val="5"/>
          <w:sz w:val="31"/>
          <w:szCs w:val="31"/>
          <w:highlight w:val="none"/>
          <w:u w:val="single" w:color="auto"/>
        </w:rPr>
        <w:t xml:space="preserve">                 </w:t>
      </w:r>
      <w:r>
        <w:rPr>
          <w:rFonts w:ascii="宋体" w:hAnsi="宋体" w:eastAsia="宋体" w:cs="宋体"/>
          <w:color w:val="auto"/>
          <w:spacing w:val="-46"/>
          <w:sz w:val="31"/>
          <w:szCs w:val="31"/>
          <w:highlight w:val="none"/>
        </w:rPr>
        <w:t>（</w:t>
      </w:r>
      <w:r>
        <w:rPr>
          <w:rFonts w:ascii="宋体" w:hAnsi="宋体" w:eastAsia="宋体" w:cs="宋体"/>
          <w:color w:val="auto"/>
          <w:spacing w:val="2"/>
          <w:sz w:val="31"/>
          <w:szCs w:val="31"/>
          <w:highlight w:val="none"/>
        </w:rPr>
        <w:t xml:space="preserve"> </w:t>
      </w:r>
      <w:r>
        <w:rPr>
          <w:rFonts w:ascii="宋体" w:hAnsi="宋体" w:eastAsia="宋体" w:cs="宋体"/>
          <w:color w:val="auto"/>
          <w:spacing w:val="-22"/>
          <w:sz w:val="31"/>
          <w:szCs w:val="31"/>
          <w:highlight w:val="none"/>
        </w:rPr>
        <w:t>签字）</w:t>
      </w:r>
    </w:p>
    <w:p>
      <w:pPr>
        <w:pStyle w:val="7"/>
        <w:spacing w:line="299" w:lineRule="auto"/>
        <w:rPr>
          <w:color w:val="auto"/>
          <w:highlight w:val="none"/>
        </w:rPr>
      </w:pPr>
    </w:p>
    <w:p>
      <w:pPr>
        <w:pStyle w:val="7"/>
        <w:spacing w:line="299" w:lineRule="auto"/>
        <w:rPr>
          <w:color w:val="auto"/>
          <w:highlight w:val="none"/>
        </w:rPr>
      </w:pPr>
    </w:p>
    <w:p>
      <w:pPr>
        <w:pStyle w:val="7"/>
        <w:spacing w:line="300" w:lineRule="auto"/>
        <w:rPr>
          <w:color w:val="auto"/>
          <w:highlight w:val="none"/>
        </w:rPr>
      </w:pPr>
    </w:p>
    <w:p>
      <w:pPr>
        <w:spacing w:before="101" w:line="225" w:lineRule="auto"/>
        <w:ind w:left="3545"/>
        <w:rPr>
          <w:rFonts w:ascii="宋体" w:hAnsi="宋体" w:eastAsia="宋体" w:cs="宋体"/>
          <w:color w:val="auto"/>
          <w:sz w:val="31"/>
          <w:szCs w:val="31"/>
          <w:highlight w:val="none"/>
        </w:rPr>
      </w:pPr>
      <w:r>
        <w:rPr>
          <w:rFonts w:ascii="宋体" w:hAnsi="宋体" w:eastAsia="宋体" w:cs="宋体"/>
          <w:color w:val="auto"/>
          <w:spacing w:val="-6"/>
          <w:sz w:val="31"/>
          <w:szCs w:val="31"/>
          <w:highlight w:val="none"/>
        </w:rPr>
        <w:t>年</w:t>
      </w:r>
      <w:r>
        <w:rPr>
          <w:rFonts w:ascii="宋体" w:hAnsi="宋体" w:eastAsia="宋体" w:cs="宋体"/>
          <w:color w:val="auto"/>
          <w:spacing w:val="27"/>
          <w:sz w:val="31"/>
          <w:szCs w:val="31"/>
          <w:highlight w:val="none"/>
        </w:rPr>
        <w:t xml:space="preserve">    </w:t>
      </w:r>
      <w:r>
        <w:rPr>
          <w:rFonts w:ascii="宋体" w:hAnsi="宋体" w:eastAsia="宋体" w:cs="宋体"/>
          <w:color w:val="auto"/>
          <w:spacing w:val="-6"/>
          <w:sz w:val="31"/>
          <w:szCs w:val="31"/>
          <w:highlight w:val="none"/>
        </w:rPr>
        <w:t>月</w:t>
      </w:r>
      <w:r>
        <w:rPr>
          <w:rFonts w:ascii="宋体" w:hAnsi="宋体" w:eastAsia="宋体" w:cs="宋体"/>
          <w:color w:val="auto"/>
          <w:spacing w:val="8"/>
          <w:sz w:val="31"/>
          <w:szCs w:val="31"/>
          <w:highlight w:val="none"/>
        </w:rPr>
        <w:t xml:space="preserve">    </w:t>
      </w:r>
      <w:r>
        <w:rPr>
          <w:rFonts w:ascii="宋体" w:hAnsi="宋体" w:eastAsia="宋体" w:cs="宋体"/>
          <w:color w:val="auto"/>
          <w:spacing w:val="-6"/>
          <w:sz w:val="31"/>
          <w:szCs w:val="31"/>
          <w:highlight w:val="none"/>
        </w:rPr>
        <w:t>日</w:t>
      </w:r>
    </w:p>
    <w:p>
      <w:pPr>
        <w:spacing w:line="225" w:lineRule="auto"/>
        <w:rPr>
          <w:rFonts w:ascii="宋体" w:hAnsi="宋体" w:eastAsia="宋体" w:cs="宋体"/>
          <w:color w:val="auto"/>
          <w:sz w:val="31"/>
          <w:szCs w:val="31"/>
          <w:highlight w:val="none"/>
        </w:rPr>
        <w:sectPr>
          <w:footerReference r:id="rId25" w:type="default"/>
          <w:pgSz w:w="11907" w:h="16840"/>
          <w:pgMar w:top="1041" w:right="1786" w:bottom="1221" w:left="1320" w:header="0" w:footer="853" w:gutter="0"/>
          <w:pgNumType w:fmt="decimal"/>
          <w:cols w:space="720" w:num="1"/>
        </w:sectPr>
      </w:pPr>
    </w:p>
    <w:p>
      <w:pPr>
        <w:spacing w:before="71" w:line="228" w:lineRule="auto"/>
        <w:ind w:left="4598"/>
        <w:rPr>
          <w:rFonts w:ascii="宋体" w:hAnsi="宋体" w:eastAsia="宋体" w:cs="宋体"/>
          <w:color w:val="auto"/>
          <w:sz w:val="35"/>
          <w:szCs w:val="35"/>
          <w:highlight w:val="none"/>
        </w:rPr>
      </w:pPr>
      <w:r>
        <w:rPr>
          <w:rFonts w:ascii="宋体" w:hAnsi="宋体" w:eastAsia="宋体" w:cs="宋体"/>
          <w:b/>
          <w:bCs/>
          <w:color w:val="auto"/>
          <w:spacing w:val="-41"/>
          <w:sz w:val="35"/>
          <w:szCs w:val="35"/>
          <w:highlight w:val="none"/>
        </w:rPr>
        <w:t>目</w:t>
      </w:r>
      <w:r>
        <w:rPr>
          <w:rFonts w:ascii="宋体" w:hAnsi="宋体" w:eastAsia="宋体" w:cs="宋体"/>
          <w:color w:val="auto"/>
          <w:spacing w:val="14"/>
          <w:sz w:val="35"/>
          <w:szCs w:val="35"/>
          <w:highlight w:val="none"/>
        </w:rPr>
        <w:t xml:space="preserve">  </w:t>
      </w:r>
      <w:r>
        <w:rPr>
          <w:rFonts w:ascii="宋体" w:hAnsi="宋体" w:eastAsia="宋体" w:cs="宋体"/>
          <w:b/>
          <w:bCs/>
          <w:color w:val="auto"/>
          <w:spacing w:val="-41"/>
          <w:sz w:val="35"/>
          <w:szCs w:val="35"/>
          <w:highlight w:val="none"/>
        </w:rPr>
        <w:t>录</w:t>
      </w:r>
    </w:p>
    <w:p>
      <w:pPr>
        <w:spacing w:before="53" w:line="220" w:lineRule="auto"/>
        <w:ind w:left="484"/>
        <w:outlineLvl w:val="9"/>
        <w:rPr>
          <w:rFonts w:ascii="宋体" w:hAnsi="宋体" w:eastAsia="宋体" w:cs="宋体"/>
          <w:color w:val="auto"/>
          <w:sz w:val="24"/>
          <w:szCs w:val="24"/>
          <w:highlight w:val="none"/>
        </w:rPr>
      </w:pPr>
      <w:bookmarkStart w:id="79" w:name="_Toc5055"/>
      <w:r>
        <w:rPr>
          <w:rFonts w:ascii="宋体" w:hAnsi="宋体" w:eastAsia="宋体" w:cs="宋体"/>
          <w:b/>
          <w:bCs/>
          <w:color w:val="auto"/>
          <w:spacing w:val="-4"/>
          <w:sz w:val="24"/>
          <w:szCs w:val="24"/>
          <w:highlight w:val="none"/>
        </w:rPr>
        <w:t>一、经济部分</w:t>
      </w:r>
      <w:bookmarkEnd w:id="79"/>
    </w:p>
    <w:p>
      <w:pPr>
        <w:spacing w:before="95" w:line="219" w:lineRule="auto"/>
        <w:ind w:left="492"/>
        <w:outlineLvl w:val="9"/>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（一）报价函</w:t>
      </w:r>
    </w:p>
    <w:p>
      <w:pPr>
        <w:spacing w:before="94" w:line="219" w:lineRule="auto"/>
        <w:ind w:left="492"/>
        <w:outlineLvl w:val="9"/>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（二）明细报价表</w:t>
      </w:r>
    </w:p>
    <w:p>
      <w:pPr>
        <w:spacing w:before="95" w:line="220" w:lineRule="auto"/>
        <w:ind w:left="484"/>
        <w:outlineLvl w:val="9"/>
        <w:rPr>
          <w:rFonts w:ascii="宋体" w:hAnsi="宋体" w:eastAsia="宋体" w:cs="宋体"/>
          <w:color w:val="auto"/>
          <w:sz w:val="24"/>
          <w:szCs w:val="24"/>
          <w:highlight w:val="none"/>
        </w:rPr>
      </w:pPr>
      <w:bookmarkStart w:id="80" w:name="_Toc5674"/>
      <w:r>
        <w:rPr>
          <w:rFonts w:ascii="宋体" w:hAnsi="宋体" w:eastAsia="宋体" w:cs="宋体"/>
          <w:b/>
          <w:bCs/>
          <w:color w:val="auto"/>
          <w:spacing w:val="-4"/>
          <w:sz w:val="24"/>
          <w:szCs w:val="24"/>
          <w:highlight w:val="none"/>
        </w:rPr>
        <w:t>二、技术部分</w:t>
      </w:r>
      <w:bookmarkEnd w:id="80"/>
    </w:p>
    <w:p>
      <w:pPr>
        <w:spacing w:before="95" w:line="220" w:lineRule="auto"/>
        <w:ind w:left="481"/>
        <w:outlineLvl w:val="9"/>
        <w:rPr>
          <w:rFonts w:ascii="宋体" w:hAnsi="宋体" w:eastAsia="宋体" w:cs="宋体"/>
          <w:color w:val="auto"/>
          <w:sz w:val="24"/>
          <w:szCs w:val="24"/>
          <w:highlight w:val="none"/>
        </w:rPr>
      </w:pPr>
      <w:bookmarkStart w:id="81" w:name="_Toc15408"/>
      <w:r>
        <w:rPr>
          <w:rFonts w:ascii="宋体" w:hAnsi="宋体" w:eastAsia="宋体" w:cs="宋体"/>
          <w:color w:val="auto"/>
          <w:spacing w:val="-2"/>
          <w:sz w:val="24"/>
          <w:szCs w:val="24"/>
          <w:highlight w:val="none"/>
        </w:rPr>
        <w:t>技术响应偏离表</w:t>
      </w:r>
      <w:bookmarkEnd w:id="81"/>
    </w:p>
    <w:p>
      <w:pPr>
        <w:spacing w:before="93" w:line="220" w:lineRule="auto"/>
        <w:ind w:left="480"/>
        <w:outlineLvl w:val="9"/>
        <w:rPr>
          <w:rFonts w:ascii="宋体" w:hAnsi="宋体" w:eastAsia="宋体" w:cs="宋体"/>
          <w:color w:val="auto"/>
          <w:sz w:val="24"/>
          <w:szCs w:val="24"/>
          <w:highlight w:val="none"/>
        </w:rPr>
      </w:pPr>
      <w:bookmarkStart w:id="82" w:name="_Toc23801"/>
      <w:r>
        <w:rPr>
          <w:rFonts w:ascii="宋体" w:hAnsi="宋体" w:eastAsia="宋体" w:cs="宋体"/>
          <w:b/>
          <w:bCs/>
          <w:color w:val="auto"/>
          <w:spacing w:val="-4"/>
          <w:sz w:val="24"/>
          <w:szCs w:val="24"/>
          <w:highlight w:val="none"/>
        </w:rPr>
        <w:t>三、商务部分</w:t>
      </w:r>
      <w:bookmarkEnd w:id="82"/>
    </w:p>
    <w:p>
      <w:pPr>
        <w:spacing w:before="93" w:line="220" w:lineRule="auto"/>
        <w:ind w:left="492"/>
        <w:outlineLvl w:val="9"/>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（一）商务响应偏离表</w:t>
      </w:r>
    </w:p>
    <w:p>
      <w:pPr>
        <w:spacing w:before="95" w:line="220" w:lineRule="auto"/>
        <w:ind w:left="492"/>
        <w:outlineLvl w:val="9"/>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（二）其它优惠承诺</w:t>
      </w:r>
    </w:p>
    <w:p>
      <w:pPr>
        <w:spacing w:before="94" w:line="220" w:lineRule="auto"/>
        <w:ind w:left="503"/>
        <w:outlineLvl w:val="9"/>
        <w:rPr>
          <w:rFonts w:ascii="宋体" w:hAnsi="宋体" w:eastAsia="宋体" w:cs="宋体"/>
          <w:color w:val="auto"/>
          <w:sz w:val="24"/>
          <w:szCs w:val="24"/>
          <w:highlight w:val="none"/>
        </w:rPr>
      </w:pPr>
      <w:bookmarkStart w:id="83" w:name="_Toc12797"/>
      <w:r>
        <w:rPr>
          <w:rFonts w:ascii="宋体" w:hAnsi="宋体" w:eastAsia="宋体" w:cs="宋体"/>
          <w:b/>
          <w:bCs/>
          <w:color w:val="auto"/>
          <w:spacing w:val="-6"/>
          <w:sz w:val="24"/>
          <w:szCs w:val="24"/>
          <w:highlight w:val="none"/>
        </w:rPr>
        <w:t>四、资格条件及其他</w:t>
      </w:r>
      <w:bookmarkEnd w:id="83"/>
    </w:p>
    <w:p>
      <w:pPr>
        <w:spacing w:before="141" w:line="219" w:lineRule="auto"/>
        <w:ind w:left="492"/>
        <w:outlineLvl w:val="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（一）营业执照（副本）或事业单位法人证书（副本）复印件</w:t>
      </w:r>
    </w:p>
    <w:p>
      <w:pPr>
        <w:spacing w:before="157" w:line="219" w:lineRule="auto"/>
        <w:ind w:left="492"/>
        <w:outlineLvl w:val="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（二）法定代表人身份证明书（格式）</w:t>
      </w:r>
    </w:p>
    <w:p>
      <w:pPr>
        <w:spacing w:before="155" w:line="219" w:lineRule="auto"/>
        <w:ind w:left="492"/>
        <w:outlineLvl w:val="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（三）法定代表人授权委托书（格式）</w:t>
      </w:r>
    </w:p>
    <w:p>
      <w:pPr>
        <w:spacing w:before="154" w:line="219" w:lineRule="auto"/>
        <w:ind w:left="492"/>
        <w:outlineLvl w:val="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（四）基本资格条件承诺函（格式）</w:t>
      </w:r>
    </w:p>
    <w:p>
      <w:pPr>
        <w:spacing w:before="155" w:line="279" w:lineRule="auto"/>
        <w:ind w:right="2" w:firstLine="491"/>
        <w:outlineLvl w:val="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（五）特定资格条件证书或证明文件（按询价通知书第一篇第三</w:t>
      </w:r>
      <w:r>
        <w:rPr>
          <w:rFonts w:ascii="宋体" w:hAnsi="宋体" w:eastAsia="宋体" w:cs="宋体"/>
          <w:color w:val="auto"/>
          <w:sz w:val="24"/>
          <w:szCs w:val="24"/>
          <w:highlight w:val="none"/>
        </w:rPr>
        <w:t xml:space="preserve">条第（二）项要求提 </w:t>
      </w:r>
      <w:r>
        <w:rPr>
          <w:rFonts w:ascii="宋体" w:hAnsi="宋体" w:eastAsia="宋体" w:cs="宋体"/>
          <w:color w:val="auto"/>
          <w:spacing w:val="-5"/>
          <w:sz w:val="24"/>
          <w:szCs w:val="24"/>
          <w:highlight w:val="none"/>
        </w:rPr>
        <w:t>供）</w:t>
      </w:r>
    </w:p>
    <w:p>
      <w:pPr>
        <w:spacing w:before="155" w:line="320" w:lineRule="auto"/>
        <w:ind w:firstLine="483"/>
        <w:outlineLvl w:val="9"/>
        <w:rPr>
          <w:rFonts w:ascii="宋体" w:hAnsi="宋体" w:eastAsia="宋体" w:cs="宋体"/>
          <w:color w:val="auto"/>
          <w:sz w:val="24"/>
          <w:szCs w:val="24"/>
          <w:highlight w:val="none"/>
        </w:rPr>
      </w:pPr>
      <w:r>
        <w:rPr>
          <w:rFonts w:ascii="宋体" w:hAnsi="宋体" w:eastAsia="宋体" w:cs="宋体"/>
          <w:color w:val="auto"/>
          <w:sz w:val="24"/>
          <w:szCs w:val="24"/>
          <w:highlight w:val="none"/>
        </w:rPr>
        <w:t>说明：1.供应商按“多证合一</w:t>
      </w:r>
      <w:r>
        <w:rPr>
          <w:rFonts w:ascii="宋体" w:hAnsi="宋体" w:eastAsia="宋体" w:cs="宋体"/>
          <w:color w:val="auto"/>
          <w:spacing w:val="-81"/>
          <w:sz w:val="24"/>
          <w:szCs w:val="24"/>
          <w:highlight w:val="none"/>
        </w:rPr>
        <w:t xml:space="preserve"> </w:t>
      </w:r>
      <w:r>
        <w:rPr>
          <w:rFonts w:ascii="宋体" w:hAnsi="宋体" w:eastAsia="宋体" w:cs="宋体"/>
          <w:color w:val="auto"/>
          <w:sz w:val="24"/>
          <w:szCs w:val="24"/>
          <w:highlight w:val="none"/>
        </w:rPr>
        <w:t xml:space="preserve">”登记制度办理营业执照的，以供应商所提供的法人营 </w:t>
      </w:r>
      <w:r>
        <w:rPr>
          <w:rFonts w:ascii="宋体" w:hAnsi="宋体" w:eastAsia="宋体" w:cs="宋体"/>
          <w:color w:val="auto"/>
          <w:spacing w:val="-1"/>
          <w:sz w:val="24"/>
          <w:szCs w:val="24"/>
          <w:highlight w:val="none"/>
        </w:rPr>
        <w:t>业执照（副本）复印件为准。</w:t>
      </w:r>
    </w:p>
    <w:p>
      <w:pPr>
        <w:spacing w:before="1" w:line="219" w:lineRule="auto"/>
        <w:ind w:left="484"/>
        <w:outlineLvl w:val="9"/>
        <w:rPr>
          <w:rFonts w:ascii="宋体" w:hAnsi="宋体" w:eastAsia="宋体" w:cs="宋体"/>
          <w:color w:val="auto"/>
          <w:sz w:val="24"/>
          <w:szCs w:val="24"/>
          <w:highlight w:val="none"/>
        </w:rPr>
      </w:pPr>
      <w:bookmarkStart w:id="84" w:name="_Toc32006"/>
      <w:r>
        <w:rPr>
          <w:rFonts w:ascii="宋体" w:hAnsi="宋体" w:eastAsia="宋体" w:cs="宋体"/>
          <w:b/>
          <w:bCs/>
          <w:color w:val="auto"/>
          <w:spacing w:val="-3"/>
          <w:sz w:val="24"/>
          <w:szCs w:val="24"/>
          <w:highlight w:val="none"/>
        </w:rPr>
        <w:t>五、其他应提供的资料</w:t>
      </w:r>
      <w:bookmarkEnd w:id="84"/>
    </w:p>
    <w:p>
      <w:pPr>
        <w:spacing w:before="94" w:line="221" w:lineRule="auto"/>
        <w:ind w:left="481"/>
        <w:outlineLvl w:val="9"/>
        <w:rPr>
          <w:rFonts w:ascii="宋体" w:hAnsi="宋体" w:eastAsia="宋体" w:cs="宋体"/>
          <w:color w:val="auto"/>
          <w:sz w:val="24"/>
          <w:szCs w:val="24"/>
          <w:highlight w:val="none"/>
        </w:rPr>
      </w:pPr>
      <w:bookmarkStart w:id="85" w:name="_Toc11547"/>
      <w:r>
        <w:rPr>
          <w:rFonts w:ascii="宋体" w:hAnsi="宋体" w:eastAsia="宋体" w:cs="宋体"/>
          <w:color w:val="auto"/>
          <w:spacing w:val="-2"/>
          <w:sz w:val="24"/>
          <w:szCs w:val="24"/>
          <w:highlight w:val="none"/>
        </w:rPr>
        <w:t>其他与项目有关的资料</w:t>
      </w:r>
      <w:bookmarkEnd w:id="85"/>
    </w:p>
    <w:p>
      <w:pPr>
        <w:spacing w:line="221" w:lineRule="auto"/>
        <w:rPr>
          <w:rFonts w:ascii="宋体" w:hAnsi="宋体" w:eastAsia="宋体" w:cs="宋体"/>
          <w:color w:val="auto"/>
          <w:sz w:val="24"/>
          <w:szCs w:val="24"/>
          <w:highlight w:val="none"/>
        </w:rPr>
        <w:sectPr>
          <w:footerReference r:id="rId26" w:type="default"/>
          <w:pgSz w:w="11907" w:h="16840"/>
          <w:pgMar w:top="1064" w:right="1191" w:bottom="1221" w:left="1311" w:header="0" w:footer="853" w:gutter="0"/>
          <w:pgNumType w:fmt="decimal"/>
          <w:cols w:space="720" w:num="1"/>
        </w:sectPr>
      </w:pPr>
    </w:p>
    <w:p>
      <w:pPr>
        <w:spacing w:before="53" w:line="242" w:lineRule="auto"/>
        <w:ind w:left="495"/>
        <w:outlineLvl w:val="0"/>
        <w:rPr>
          <w:rFonts w:ascii="黑体" w:hAnsi="黑体" w:eastAsia="黑体" w:cs="黑体"/>
          <w:color w:val="auto"/>
          <w:sz w:val="24"/>
          <w:szCs w:val="24"/>
          <w:highlight w:val="none"/>
        </w:rPr>
      </w:pPr>
      <w:bookmarkStart w:id="86" w:name="_Toc23291"/>
      <w:r>
        <w:rPr>
          <w:rFonts w:ascii="黑体" w:hAnsi="黑体" w:eastAsia="黑体" w:cs="黑体"/>
          <w:color w:val="auto"/>
          <w:spacing w:val="-3"/>
          <w:sz w:val="24"/>
          <w:szCs w:val="24"/>
          <w:highlight w:val="none"/>
        </w:rPr>
        <w:t>一、经济部分</w:t>
      </w:r>
      <w:bookmarkEnd w:id="86"/>
    </w:p>
    <w:p>
      <w:pPr>
        <w:spacing w:before="73" w:line="219" w:lineRule="auto"/>
        <w:ind w:left="501"/>
        <w:outlineLvl w:val="9"/>
        <w:rPr>
          <w:rFonts w:ascii="宋体" w:hAnsi="宋体" w:eastAsia="宋体" w:cs="宋体"/>
          <w:color w:val="auto"/>
          <w:sz w:val="24"/>
          <w:szCs w:val="24"/>
          <w:highlight w:val="none"/>
        </w:rPr>
      </w:pPr>
      <w:bookmarkStart w:id="87" w:name="_Toc497"/>
      <w:r>
        <w:rPr>
          <w:rFonts w:ascii="宋体" w:hAnsi="宋体" w:eastAsia="宋体" w:cs="宋体"/>
          <w:color w:val="auto"/>
          <w:spacing w:val="-4"/>
          <w:sz w:val="24"/>
          <w:szCs w:val="24"/>
          <w:highlight w:val="none"/>
        </w:rPr>
        <w:t>（一）报价函</w:t>
      </w:r>
      <w:bookmarkEnd w:id="87"/>
    </w:p>
    <w:p>
      <w:pPr>
        <w:spacing w:before="96" w:line="219" w:lineRule="auto"/>
        <w:ind w:left="3631"/>
        <w:outlineLvl w:val="9"/>
        <w:rPr>
          <w:rFonts w:ascii="宋体" w:hAnsi="宋体" w:eastAsia="宋体" w:cs="宋体"/>
          <w:color w:val="auto"/>
          <w:sz w:val="24"/>
          <w:szCs w:val="24"/>
          <w:highlight w:val="none"/>
        </w:rPr>
      </w:pPr>
      <w:bookmarkStart w:id="88" w:name="_Toc31358"/>
      <w:r>
        <w:rPr>
          <w:rFonts w:ascii="宋体" w:hAnsi="宋体" w:eastAsia="宋体" w:cs="宋体"/>
          <w:b/>
          <w:bCs/>
          <w:color w:val="auto"/>
          <w:spacing w:val="-3"/>
          <w:sz w:val="24"/>
          <w:szCs w:val="24"/>
          <w:highlight w:val="none"/>
        </w:rPr>
        <w:t>询价报价函（格式）</w:t>
      </w:r>
      <w:bookmarkEnd w:id="88"/>
    </w:p>
    <w:p>
      <w:pPr>
        <w:tabs>
          <w:tab w:val="left" w:pos="136"/>
        </w:tabs>
        <w:spacing w:before="95" w:line="219" w:lineRule="auto"/>
        <w:rPr>
          <w:rFonts w:ascii="宋体" w:hAnsi="宋体" w:eastAsia="宋体" w:cs="宋体"/>
          <w:color w:val="auto"/>
          <w:sz w:val="24"/>
          <w:szCs w:val="24"/>
          <w:highlight w:val="none"/>
        </w:rPr>
      </w:pPr>
      <w:r>
        <w:rPr>
          <w:rFonts w:ascii="宋体" w:hAnsi="宋体" w:eastAsia="宋体" w:cs="宋体"/>
          <w:color w:val="auto"/>
          <w:sz w:val="24"/>
          <w:szCs w:val="24"/>
          <w:highlight w:val="none"/>
          <w:u w:val="single" w:color="auto"/>
        </w:rPr>
        <w:tab/>
      </w:r>
      <w:r>
        <w:rPr>
          <w:rFonts w:ascii="宋体" w:hAnsi="宋体" w:eastAsia="宋体" w:cs="宋体"/>
          <w:color w:val="auto"/>
          <w:spacing w:val="-16"/>
          <w:sz w:val="24"/>
          <w:szCs w:val="24"/>
          <w:highlight w:val="none"/>
          <w:u w:val="single" w:color="auto"/>
        </w:rPr>
        <w:t>（采购</w:t>
      </w:r>
      <w:r>
        <w:rPr>
          <w:rFonts w:hint="eastAsia" w:ascii="宋体" w:hAnsi="宋体" w:eastAsia="宋体" w:cs="宋体"/>
          <w:color w:val="auto"/>
          <w:spacing w:val="-16"/>
          <w:sz w:val="24"/>
          <w:szCs w:val="24"/>
          <w:highlight w:val="none"/>
          <w:u w:val="single" w:color="auto"/>
          <w:lang w:val="en-US" w:eastAsia="zh-CN"/>
        </w:rPr>
        <w:t>人</w:t>
      </w:r>
      <w:r>
        <w:rPr>
          <w:rFonts w:ascii="宋体" w:hAnsi="宋体" w:eastAsia="宋体" w:cs="宋体"/>
          <w:color w:val="auto"/>
          <w:spacing w:val="-16"/>
          <w:sz w:val="24"/>
          <w:szCs w:val="24"/>
          <w:highlight w:val="none"/>
          <w:u w:val="single" w:color="auto"/>
        </w:rPr>
        <w:t>名称</w:t>
      </w:r>
      <w:r>
        <w:rPr>
          <w:rFonts w:ascii="宋体" w:hAnsi="宋体" w:eastAsia="宋体" w:cs="宋体"/>
          <w:color w:val="auto"/>
          <w:spacing w:val="3"/>
          <w:sz w:val="24"/>
          <w:szCs w:val="24"/>
          <w:highlight w:val="none"/>
          <w:u w:val="single" w:color="auto"/>
        </w:rPr>
        <w:t>）</w:t>
      </w:r>
      <w:r>
        <w:rPr>
          <w:rFonts w:ascii="宋体" w:hAnsi="宋体" w:eastAsia="宋体" w:cs="宋体"/>
          <w:color w:val="auto"/>
          <w:spacing w:val="3"/>
          <w:sz w:val="24"/>
          <w:szCs w:val="24"/>
          <w:highlight w:val="none"/>
        </w:rPr>
        <w:t>：</w:t>
      </w:r>
    </w:p>
    <w:p>
      <w:pPr>
        <w:spacing w:before="93" w:line="293" w:lineRule="auto"/>
        <w:ind w:left="20" w:right="81" w:firstLine="47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我方收到____________________________（询价项目名称）</w:t>
      </w:r>
      <w:r>
        <w:rPr>
          <w:rFonts w:ascii="宋体" w:hAnsi="宋体" w:eastAsia="宋体" w:cs="宋体"/>
          <w:color w:val="auto"/>
          <w:sz w:val="24"/>
          <w:szCs w:val="24"/>
          <w:highlight w:val="none"/>
        </w:rPr>
        <w:t xml:space="preserve">的询价通知书，经详细研 </w:t>
      </w:r>
      <w:r>
        <w:rPr>
          <w:rFonts w:ascii="宋体" w:hAnsi="宋体" w:eastAsia="宋体" w:cs="宋体"/>
          <w:color w:val="auto"/>
          <w:spacing w:val="-2"/>
          <w:sz w:val="24"/>
          <w:szCs w:val="24"/>
          <w:highlight w:val="none"/>
        </w:rPr>
        <w:t>究，决定参加该项目的询价。</w:t>
      </w:r>
    </w:p>
    <w:p>
      <w:pPr>
        <w:spacing w:before="2" w:line="255" w:lineRule="auto"/>
        <w:ind w:left="35" w:right="83" w:firstLine="47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1.愿意按照询价通知书中的一切要求，提供本项</w:t>
      </w:r>
      <w:r>
        <w:rPr>
          <w:rFonts w:ascii="宋体" w:hAnsi="宋体" w:eastAsia="宋体" w:cs="宋体"/>
          <w:color w:val="auto"/>
          <w:sz w:val="24"/>
          <w:szCs w:val="24"/>
          <w:highlight w:val="none"/>
        </w:rPr>
        <w:t xml:space="preserve">目的施工及技术服务，总报价为人民 </w:t>
      </w:r>
      <w:r>
        <w:rPr>
          <w:rFonts w:ascii="宋体" w:hAnsi="宋体" w:eastAsia="宋体" w:cs="宋体"/>
          <w:color w:val="auto"/>
          <w:spacing w:val="-3"/>
          <w:sz w:val="24"/>
          <w:szCs w:val="24"/>
          <w:highlight w:val="none"/>
        </w:rPr>
        <w:t>币大写：</w:t>
      </w:r>
      <w:r>
        <w:rPr>
          <w:rFonts w:ascii="宋体" w:hAnsi="宋体" w:eastAsia="宋体" w:cs="宋体"/>
          <w:color w:val="auto"/>
          <w:spacing w:val="-3"/>
          <w:sz w:val="24"/>
          <w:szCs w:val="24"/>
          <w:highlight w:val="none"/>
          <w:u w:val="single" w:color="auto"/>
        </w:rPr>
        <w:t xml:space="preserve">     </w:t>
      </w:r>
      <w:r>
        <w:rPr>
          <w:rFonts w:ascii="宋体" w:hAnsi="宋体" w:eastAsia="宋体" w:cs="宋体"/>
          <w:color w:val="auto"/>
          <w:spacing w:val="-93"/>
          <w:sz w:val="24"/>
          <w:szCs w:val="24"/>
          <w:highlight w:val="none"/>
        </w:rPr>
        <w:t xml:space="preserve"> </w:t>
      </w:r>
      <w:r>
        <w:rPr>
          <w:rFonts w:ascii="宋体" w:hAnsi="宋体" w:eastAsia="宋体" w:cs="宋体"/>
          <w:color w:val="auto"/>
          <w:spacing w:val="-3"/>
          <w:sz w:val="24"/>
          <w:szCs w:val="24"/>
          <w:highlight w:val="none"/>
        </w:rPr>
        <w:t>元整；人民币小写：</w:t>
      </w:r>
      <w:r>
        <w:rPr>
          <w:rFonts w:ascii="宋体" w:hAnsi="宋体" w:eastAsia="宋体" w:cs="宋体"/>
          <w:color w:val="auto"/>
          <w:spacing w:val="-3"/>
          <w:sz w:val="24"/>
          <w:szCs w:val="24"/>
          <w:highlight w:val="none"/>
          <w:u w:val="single" w:color="auto"/>
        </w:rPr>
        <w:t xml:space="preserve">     </w:t>
      </w:r>
      <w:r>
        <w:rPr>
          <w:rFonts w:ascii="宋体" w:hAnsi="宋体" w:eastAsia="宋体" w:cs="宋体"/>
          <w:color w:val="auto"/>
          <w:spacing w:val="-109"/>
          <w:sz w:val="24"/>
          <w:szCs w:val="24"/>
          <w:highlight w:val="none"/>
        </w:rPr>
        <w:t xml:space="preserve"> </w:t>
      </w:r>
      <w:r>
        <w:rPr>
          <w:rFonts w:ascii="宋体" w:hAnsi="宋体" w:eastAsia="宋体" w:cs="宋体"/>
          <w:color w:val="auto"/>
          <w:spacing w:val="-3"/>
          <w:sz w:val="24"/>
          <w:szCs w:val="24"/>
          <w:highlight w:val="none"/>
        </w:rPr>
        <w:t>元。</w:t>
      </w:r>
    </w:p>
    <w:p>
      <w:pPr>
        <w:spacing w:before="97" w:line="219" w:lineRule="auto"/>
        <w:ind w:left="49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2.我方现提交的响应文件为：响应文件正本</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11"/>
          <w:sz w:val="24"/>
          <w:szCs w:val="24"/>
          <w:highlight w:val="none"/>
        </w:rPr>
        <w:t xml:space="preserve"> </w:t>
      </w:r>
      <w:r>
        <w:rPr>
          <w:rFonts w:ascii="宋体" w:hAnsi="宋体" w:eastAsia="宋体" w:cs="宋体"/>
          <w:color w:val="auto"/>
          <w:spacing w:val="-1"/>
          <w:sz w:val="24"/>
          <w:szCs w:val="24"/>
          <w:highlight w:val="none"/>
        </w:rPr>
        <w:t>份，副本</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10"/>
          <w:sz w:val="24"/>
          <w:szCs w:val="24"/>
          <w:highlight w:val="none"/>
        </w:rPr>
        <w:t xml:space="preserve"> </w:t>
      </w:r>
      <w:r>
        <w:rPr>
          <w:rFonts w:ascii="宋体" w:hAnsi="宋体" w:eastAsia="宋体" w:cs="宋体"/>
          <w:color w:val="auto"/>
          <w:spacing w:val="-1"/>
          <w:sz w:val="24"/>
          <w:szCs w:val="24"/>
          <w:highlight w:val="none"/>
        </w:rPr>
        <w:t>份，电子文档</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11"/>
          <w:sz w:val="24"/>
          <w:szCs w:val="24"/>
          <w:highlight w:val="none"/>
        </w:rPr>
        <w:t xml:space="preserve"> </w:t>
      </w:r>
      <w:r>
        <w:rPr>
          <w:rFonts w:ascii="宋体" w:hAnsi="宋体" w:eastAsia="宋体" w:cs="宋体"/>
          <w:color w:val="auto"/>
          <w:spacing w:val="-2"/>
          <w:sz w:val="24"/>
          <w:szCs w:val="24"/>
          <w:highlight w:val="none"/>
        </w:rPr>
        <w:t>份。</w:t>
      </w:r>
    </w:p>
    <w:p>
      <w:pPr>
        <w:spacing w:before="93" w:line="219" w:lineRule="auto"/>
        <w:ind w:left="494"/>
        <w:outlineLvl w:val="9"/>
        <w:rPr>
          <w:rFonts w:ascii="宋体" w:hAnsi="宋体" w:eastAsia="宋体" w:cs="宋体"/>
          <w:color w:val="auto"/>
          <w:sz w:val="24"/>
          <w:szCs w:val="24"/>
          <w:highlight w:val="none"/>
        </w:rPr>
      </w:pPr>
      <w:bookmarkStart w:id="89" w:name="_Toc2812"/>
      <w:r>
        <w:rPr>
          <w:rFonts w:ascii="宋体" w:hAnsi="宋体" w:eastAsia="宋体" w:cs="宋体"/>
          <w:color w:val="auto"/>
          <w:spacing w:val="1"/>
          <w:sz w:val="24"/>
          <w:szCs w:val="24"/>
          <w:highlight w:val="none"/>
        </w:rPr>
        <w:t>3.我方承诺：本次询价的有效期为90</w:t>
      </w:r>
      <w:r>
        <w:rPr>
          <w:rFonts w:ascii="宋体" w:hAnsi="宋体" w:eastAsia="宋体" w:cs="宋体"/>
          <w:color w:val="auto"/>
          <w:spacing w:val="-36"/>
          <w:sz w:val="24"/>
          <w:szCs w:val="24"/>
          <w:highlight w:val="none"/>
        </w:rPr>
        <w:t xml:space="preserve"> </w:t>
      </w:r>
      <w:r>
        <w:rPr>
          <w:rFonts w:ascii="宋体" w:hAnsi="宋体" w:eastAsia="宋体" w:cs="宋体"/>
          <w:color w:val="auto"/>
          <w:spacing w:val="1"/>
          <w:sz w:val="24"/>
          <w:szCs w:val="24"/>
          <w:highlight w:val="none"/>
        </w:rPr>
        <w:t>天。</w:t>
      </w:r>
      <w:bookmarkEnd w:id="89"/>
    </w:p>
    <w:p>
      <w:pPr>
        <w:spacing w:before="95" w:line="219" w:lineRule="auto"/>
        <w:ind w:left="488"/>
        <w:rPr>
          <w:rFonts w:ascii="宋体" w:hAnsi="宋体" w:eastAsia="宋体" w:cs="宋体"/>
          <w:color w:val="auto"/>
          <w:sz w:val="24"/>
          <w:szCs w:val="24"/>
          <w:highlight w:val="none"/>
        </w:rPr>
      </w:pPr>
      <w:r>
        <w:rPr>
          <w:rFonts w:ascii="宋体" w:hAnsi="宋体" w:eastAsia="宋体" w:cs="宋体"/>
          <w:color w:val="auto"/>
          <w:sz w:val="24"/>
          <w:szCs w:val="24"/>
          <w:highlight w:val="none"/>
        </w:rPr>
        <w:t>4.我方完全理解和接受贵方询价通知书的一切规定和</w:t>
      </w:r>
      <w:r>
        <w:rPr>
          <w:rFonts w:ascii="宋体" w:hAnsi="宋体" w:eastAsia="宋体" w:cs="宋体"/>
          <w:color w:val="auto"/>
          <w:spacing w:val="-1"/>
          <w:sz w:val="24"/>
          <w:szCs w:val="24"/>
          <w:highlight w:val="none"/>
        </w:rPr>
        <w:t>要求及询价评审办法。</w:t>
      </w:r>
    </w:p>
    <w:p>
      <w:pPr>
        <w:spacing w:before="97" w:line="255" w:lineRule="auto"/>
        <w:ind w:left="10" w:right="95" w:firstLine="48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5.在整个询价过程中，我方若有违规行为，接受按</w:t>
      </w:r>
      <w:r>
        <w:rPr>
          <w:rFonts w:ascii="宋体" w:hAnsi="宋体" w:eastAsia="宋体" w:cs="宋体"/>
          <w:color w:val="auto"/>
          <w:sz w:val="24"/>
          <w:szCs w:val="24"/>
          <w:highlight w:val="none"/>
        </w:rPr>
        <w:t xml:space="preserve">照《中华人民共和国政府采购法》 </w:t>
      </w:r>
      <w:r>
        <w:rPr>
          <w:rFonts w:ascii="宋体" w:hAnsi="宋体" w:eastAsia="宋体" w:cs="宋体"/>
          <w:color w:val="auto"/>
          <w:spacing w:val="-1"/>
          <w:sz w:val="24"/>
          <w:szCs w:val="24"/>
          <w:highlight w:val="none"/>
        </w:rPr>
        <w:t>和《询价通知书》之规定给予惩罚。</w:t>
      </w:r>
    </w:p>
    <w:p>
      <w:pPr>
        <w:spacing w:before="97" w:line="256" w:lineRule="auto"/>
        <w:ind w:left="10" w:right="120" w:firstLine="480"/>
        <w:rPr>
          <w:rFonts w:ascii="宋体" w:hAnsi="宋体" w:eastAsia="宋体" w:cs="宋体"/>
          <w:color w:val="auto"/>
          <w:sz w:val="24"/>
          <w:szCs w:val="24"/>
          <w:highlight w:val="none"/>
        </w:rPr>
      </w:pPr>
      <w:r>
        <w:rPr>
          <w:rFonts w:ascii="宋体" w:hAnsi="宋体" w:eastAsia="宋体" w:cs="宋体"/>
          <w:color w:val="auto"/>
          <w:sz w:val="24"/>
          <w:szCs w:val="24"/>
          <w:highlight w:val="none"/>
        </w:rPr>
        <w:t>6.我方若成为成交供应商，将按照最终询价结果签订合同，并且严格履行合同义务。</w:t>
      </w:r>
      <w:r>
        <w:rPr>
          <w:rFonts w:ascii="宋体" w:hAnsi="宋体" w:eastAsia="宋体" w:cs="宋体"/>
          <w:color w:val="auto"/>
          <w:spacing w:val="1"/>
          <w:sz w:val="24"/>
          <w:szCs w:val="24"/>
          <w:highlight w:val="none"/>
        </w:rPr>
        <w:t xml:space="preserve"> </w:t>
      </w:r>
      <w:r>
        <w:rPr>
          <w:rFonts w:ascii="宋体" w:hAnsi="宋体" w:eastAsia="宋体" w:cs="宋体"/>
          <w:color w:val="auto"/>
          <w:sz w:val="24"/>
          <w:szCs w:val="24"/>
          <w:highlight w:val="none"/>
        </w:rPr>
        <w:t>本承诺函将成为合同不可分割的一部分，与</w:t>
      </w:r>
      <w:r>
        <w:rPr>
          <w:rFonts w:ascii="宋体" w:hAnsi="宋体" w:eastAsia="宋体" w:cs="宋体"/>
          <w:color w:val="auto"/>
          <w:spacing w:val="-1"/>
          <w:sz w:val="24"/>
          <w:szCs w:val="24"/>
          <w:highlight w:val="none"/>
        </w:rPr>
        <w:t>合同具有同等的法律效力。</w:t>
      </w:r>
    </w:p>
    <w:p>
      <w:pPr>
        <w:spacing w:before="94" w:line="255" w:lineRule="auto"/>
        <w:ind w:left="9" w:right="81" w:firstLine="48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7.我方同意按询价通知书规定，交纳询价通知书要求的保证金。如果我方成为成</w:t>
      </w:r>
      <w:r>
        <w:rPr>
          <w:rFonts w:ascii="宋体" w:hAnsi="宋体" w:eastAsia="宋体" w:cs="宋体"/>
          <w:color w:val="auto"/>
          <w:sz w:val="24"/>
          <w:szCs w:val="24"/>
          <w:highlight w:val="none"/>
        </w:rPr>
        <w:t>交供 应商，保证在接到成交通知书后，按照有关规定及询价通</w:t>
      </w:r>
      <w:r>
        <w:rPr>
          <w:rFonts w:ascii="宋体" w:hAnsi="宋体" w:eastAsia="宋体" w:cs="宋体"/>
          <w:color w:val="auto"/>
          <w:spacing w:val="-1"/>
          <w:sz w:val="24"/>
          <w:szCs w:val="24"/>
          <w:highlight w:val="none"/>
        </w:rPr>
        <w:t>知书要求缴纳相关费用。</w:t>
      </w:r>
    </w:p>
    <w:p>
      <w:pPr>
        <w:spacing w:before="97" w:line="219" w:lineRule="auto"/>
        <w:jc w:val="right"/>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8.我方未为询价采购项目提供整体设计、规范编制或者</w:t>
      </w:r>
      <w:r>
        <w:rPr>
          <w:rFonts w:ascii="宋体" w:hAnsi="宋体" w:eastAsia="宋体" w:cs="宋体"/>
          <w:color w:val="auto"/>
          <w:spacing w:val="-6"/>
          <w:sz w:val="24"/>
          <w:szCs w:val="24"/>
          <w:highlight w:val="none"/>
        </w:rPr>
        <w:t>项目管理、监理、检测等服务。</w:t>
      </w:r>
    </w:p>
    <w:p>
      <w:pPr>
        <w:spacing w:before="94" w:line="222" w:lineRule="auto"/>
        <w:ind w:left="581"/>
        <w:rPr>
          <w:rFonts w:ascii="宋体" w:hAnsi="宋体" w:eastAsia="宋体" w:cs="宋体"/>
          <w:color w:val="auto"/>
          <w:sz w:val="24"/>
          <w:szCs w:val="24"/>
          <w:highlight w:val="none"/>
        </w:rPr>
      </w:pPr>
      <w:r>
        <w:rPr>
          <w:rFonts w:ascii="宋体" w:hAnsi="宋体" w:eastAsia="宋体" w:cs="宋体"/>
          <w:color w:val="auto"/>
          <w:sz w:val="24"/>
          <w:szCs w:val="24"/>
          <w:highlight w:val="none"/>
        </w:rPr>
        <w:t>9.其它：</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
          <w:sz w:val="24"/>
          <w:szCs w:val="24"/>
          <w:highlight w:val="none"/>
        </w:rPr>
        <w:t xml:space="preserve"> 。</w:t>
      </w:r>
    </w:p>
    <w:p>
      <w:pPr>
        <w:pStyle w:val="7"/>
        <w:spacing w:line="251" w:lineRule="auto"/>
        <w:rPr>
          <w:color w:val="auto"/>
          <w:highlight w:val="none"/>
        </w:rPr>
      </w:pPr>
    </w:p>
    <w:p>
      <w:pPr>
        <w:pStyle w:val="7"/>
        <w:spacing w:line="251" w:lineRule="auto"/>
        <w:rPr>
          <w:color w:val="auto"/>
          <w:highlight w:val="none"/>
        </w:rPr>
      </w:pPr>
    </w:p>
    <w:p>
      <w:pPr>
        <w:pStyle w:val="7"/>
        <w:spacing w:line="251" w:lineRule="auto"/>
        <w:rPr>
          <w:color w:val="auto"/>
          <w:highlight w:val="none"/>
        </w:rPr>
      </w:pPr>
    </w:p>
    <w:p>
      <w:pPr>
        <w:pStyle w:val="7"/>
        <w:spacing w:line="251" w:lineRule="auto"/>
        <w:rPr>
          <w:color w:val="auto"/>
          <w:highlight w:val="none"/>
        </w:rPr>
      </w:pPr>
    </w:p>
    <w:p>
      <w:pPr>
        <w:pStyle w:val="7"/>
        <w:spacing w:line="252" w:lineRule="auto"/>
        <w:rPr>
          <w:color w:val="auto"/>
          <w:highlight w:val="none"/>
        </w:rPr>
      </w:pPr>
    </w:p>
    <w:p>
      <w:pPr>
        <w:pStyle w:val="7"/>
        <w:spacing w:line="252" w:lineRule="auto"/>
        <w:rPr>
          <w:color w:val="auto"/>
          <w:highlight w:val="none"/>
        </w:rPr>
      </w:pPr>
    </w:p>
    <w:p>
      <w:pPr>
        <w:pStyle w:val="7"/>
        <w:spacing w:line="252" w:lineRule="auto"/>
        <w:rPr>
          <w:color w:val="auto"/>
          <w:highlight w:val="none"/>
        </w:rPr>
      </w:pPr>
    </w:p>
    <w:p>
      <w:pPr>
        <w:pStyle w:val="7"/>
        <w:spacing w:line="252" w:lineRule="auto"/>
        <w:rPr>
          <w:color w:val="auto"/>
          <w:highlight w:val="none"/>
        </w:rPr>
      </w:pPr>
    </w:p>
    <w:p>
      <w:pPr>
        <w:spacing w:before="79" w:line="219" w:lineRule="auto"/>
        <w:ind w:left="58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供应商（公章</w:t>
      </w:r>
      <w:r>
        <w:rPr>
          <w:rFonts w:ascii="宋体" w:hAnsi="宋体" w:eastAsia="宋体" w:cs="宋体"/>
          <w:color w:val="auto"/>
          <w:sz w:val="24"/>
          <w:szCs w:val="24"/>
          <w:highlight w:val="none"/>
        </w:rPr>
        <w:t>）：</w:t>
      </w:r>
    </w:p>
    <w:p>
      <w:pPr>
        <w:spacing w:before="94" w:line="229" w:lineRule="auto"/>
        <w:ind w:left="580"/>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地址：</w:t>
      </w:r>
    </w:p>
    <w:p>
      <w:pPr>
        <w:spacing w:before="84" w:line="222" w:lineRule="auto"/>
        <w:ind w:left="58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联系人：</w:t>
      </w:r>
    </w:p>
    <w:p>
      <w:pPr>
        <w:spacing w:before="91" w:line="222" w:lineRule="auto"/>
        <w:ind w:left="608"/>
        <w:rPr>
          <w:rFonts w:ascii="宋体" w:hAnsi="宋体" w:eastAsia="宋体" w:cs="宋体"/>
          <w:color w:val="auto"/>
          <w:sz w:val="24"/>
          <w:szCs w:val="24"/>
          <w:highlight w:val="none"/>
        </w:rPr>
      </w:pPr>
      <w:r>
        <w:rPr>
          <w:rFonts w:ascii="宋体" w:hAnsi="宋体" w:eastAsia="宋体" w:cs="宋体"/>
          <w:color w:val="auto"/>
          <w:spacing w:val="-13"/>
          <w:sz w:val="24"/>
          <w:szCs w:val="24"/>
          <w:highlight w:val="none"/>
        </w:rPr>
        <w:t>电话：</w:t>
      </w:r>
    </w:p>
    <w:p>
      <w:pPr>
        <w:pStyle w:val="7"/>
        <w:spacing w:line="391" w:lineRule="auto"/>
        <w:rPr>
          <w:color w:val="auto"/>
          <w:highlight w:val="none"/>
        </w:rPr>
      </w:pPr>
    </w:p>
    <w:p>
      <w:pPr>
        <w:spacing w:before="78" w:line="220" w:lineRule="auto"/>
        <w:ind w:left="7090"/>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年</w:t>
      </w:r>
      <w:r>
        <w:rPr>
          <w:rFonts w:ascii="宋体" w:hAnsi="宋体" w:eastAsia="宋体" w:cs="宋体"/>
          <w:color w:val="auto"/>
          <w:spacing w:val="5"/>
          <w:sz w:val="24"/>
          <w:szCs w:val="24"/>
          <w:highlight w:val="none"/>
        </w:rPr>
        <w:t xml:space="preserve">   </w:t>
      </w:r>
      <w:r>
        <w:rPr>
          <w:rFonts w:ascii="宋体" w:hAnsi="宋体" w:eastAsia="宋体" w:cs="宋体"/>
          <w:color w:val="auto"/>
          <w:spacing w:val="-9"/>
          <w:sz w:val="24"/>
          <w:szCs w:val="24"/>
          <w:highlight w:val="none"/>
        </w:rPr>
        <w:t>月</w:t>
      </w:r>
      <w:r>
        <w:rPr>
          <w:rFonts w:ascii="宋体" w:hAnsi="宋体" w:eastAsia="宋体" w:cs="宋体"/>
          <w:color w:val="auto"/>
          <w:spacing w:val="17"/>
          <w:sz w:val="24"/>
          <w:szCs w:val="24"/>
          <w:highlight w:val="none"/>
        </w:rPr>
        <w:t xml:space="preserve">   </w:t>
      </w:r>
      <w:r>
        <w:rPr>
          <w:rFonts w:ascii="宋体" w:hAnsi="宋体" w:eastAsia="宋体" w:cs="宋体"/>
          <w:color w:val="auto"/>
          <w:spacing w:val="-9"/>
          <w:sz w:val="24"/>
          <w:szCs w:val="24"/>
          <w:highlight w:val="none"/>
        </w:rPr>
        <w:t>日</w:t>
      </w:r>
    </w:p>
    <w:p>
      <w:pPr>
        <w:spacing w:line="220" w:lineRule="auto"/>
        <w:rPr>
          <w:rFonts w:ascii="宋体" w:hAnsi="宋体" w:eastAsia="宋体" w:cs="宋体"/>
          <w:color w:val="auto"/>
          <w:sz w:val="24"/>
          <w:szCs w:val="24"/>
          <w:highlight w:val="none"/>
        </w:rPr>
        <w:sectPr>
          <w:footerReference r:id="rId27" w:type="default"/>
          <w:pgSz w:w="11907" w:h="16840"/>
          <w:pgMar w:top="1178" w:right="1109" w:bottom="1221" w:left="1303" w:header="0" w:footer="853" w:gutter="0"/>
          <w:pgNumType w:fmt="decimal"/>
          <w:cols w:space="720" w:num="1"/>
        </w:sectPr>
      </w:pPr>
    </w:p>
    <w:p>
      <w:pPr>
        <w:numPr>
          <w:ilvl w:val="0"/>
          <w:numId w:val="9"/>
        </w:numPr>
        <w:spacing w:before="56" w:line="222" w:lineRule="auto"/>
        <w:ind w:left="474"/>
        <w:outlineLvl w:val="9"/>
        <w:rPr>
          <w:rFonts w:ascii="宋体" w:hAnsi="宋体" w:eastAsia="宋体" w:cs="宋体"/>
          <w:color w:val="auto"/>
          <w:spacing w:val="-3"/>
          <w:sz w:val="24"/>
          <w:szCs w:val="24"/>
          <w:highlight w:val="none"/>
        </w:rPr>
      </w:pPr>
      <w:bookmarkStart w:id="90" w:name="_Toc25536"/>
      <w:r>
        <w:rPr>
          <w:rFonts w:ascii="宋体" w:hAnsi="宋体" w:eastAsia="宋体" w:cs="宋体"/>
          <w:color w:val="auto"/>
          <w:spacing w:val="-3"/>
          <w:sz w:val="24"/>
          <w:szCs w:val="24"/>
          <w:highlight w:val="none"/>
        </w:rPr>
        <w:t>明细报价表</w:t>
      </w:r>
      <w:bookmarkEnd w:id="90"/>
    </w:p>
    <w:p>
      <w:pPr>
        <w:spacing w:before="77" w:line="217" w:lineRule="auto"/>
        <w:jc w:val="center"/>
        <w:outlineLvl w:val="9"/>
        <w:rPr>
          <w:rFonts w:ascii="宋体" w:hAnsi="宋体" w:eastAsia="宋体" w:cs="宋体"/>
          <w:b/>
          <w:bCs/>
          <w:color w:val="auto"/>
          <w:spacing w:val="-1"/>
          <w:sz w:val="24"/>
          <w:szCs w:val="24"/>
          <w:highlight w:val="none"/>
        </w:rPr>
      </w:pPr>
      <w:bookmarkStart w:id="91" w:name="_Toc4270"/>
      <w:r>
        <w:rPr>
          <w:rFonts w:hint="eastAsia" w:ascii="宋体" w:hAnsi="宋体" w:eastAsia="宋体" w:cs="宋体"/>
          <w:b/>
          <w:bCs/>
          <w:color w:val="auto"/>
          <w:spacing w:val="-1"/>
          <w:sz w:val="24"/>
          <w:szCs w:val="24"/>
          <w:highlight w:val="none"/>
          <w:lang w:val="en-US" w:eastAsia="zh-CN"/>
        </w:rPr>
        <w:t>重庆理工职业学院中央空调设备系统维护保养项目</w:t>
      </w:r>
      <w:r>
        <w:rPr>
          <w:rFonts w:ascii="宋体" w:hAnsi="宋体" w:eastAsia="宋体" w:cs="宋体"/>
          <w:b/>
          <w:bCs/>
          <w:color w:val="auto"/>
          <w:spacing w:val="-1"/>
          <w:sz w:val="24"/>
          <w:szCs w:val="24"/>
          <w:highlight w:val="none"/>
        </w:rPr>
        <w:t>清单报价表</w:t>
      </w:r>
      <w:bookmarkEnd w:id="91"/>
    </w:p>
    <w:tbl>
      <w:tblPr>
        <w:tblStyle w:val="10"/>
        <w:tblpPr w:leftFromText="180" w:rightFromText="180" w:vertAnchor="text" w:horzAnchor="page" w:tblpX="1405" w:tblpY="235"/>
        <w:tblOverlap w:val="never"/>
        <w:tblW w:w="508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76"/>
        <w:gridCol w:w="1799"/>
        <w:gridCol w:w="2056"/>
        <w:gridCol w:w="1077"/>
        <w:gridCol w:w="1077"/>
        <w:gridCol w:w="846"/>
        <w:gridCol w:w="18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5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序号</w:t>
            </w:r>
          </w:p>
        </w:tc>
        <w:tc>
          <w:tcPr>
            <w:tcW w:w="924"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名称</w:t>
            </w:r>
          </w:p>
        </w:tc>
        <w:tc>
          <w:tcPr>
            <w:tcW w:w="1055"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单位</w:t>
            </w:r>
          </w:p>
        </w:tc>
        <w:tc>
          <w:tcPr>
            <w:tcW w:w="555"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数量</w:t>
            </w:r>
          </w:p>
        </w:tc>
        <w:tc>
          <w:tcPr>
            <w:tcW w:w="555"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微软雅黑" w:hAnsi="微软雅黑" w:eastAsia="微软雅黑" w:cs="微软雅黑"/>
                <w:i w:val="0"/>
                <w:iCs w:val="0"/>
                <w:color w:val="auto"/>
                <w:sz w:val="21"/>
                <w:szCs w:val="21"/>
                <w:highlight w:val="none"/>
                <w:u w:val="none"/>
                <w:lang w:val="en-US"/>
              </w:rPr>
            </w:pPr>
            <w:r>
              <w:rPr>
                <w:rFonts w:hint="eastAsia" w:ascii="微软雅黑" w:hAnsi="微软雅黑" w:eastAsia="微软雅黑" w:cs="微软雅黑"/>
                <w:i w:val="0"/>
                <w:iCs w:val="0"/>
                <w:color w:val="auto"/>
                <w:kern w:val="0"/>
                <w:sz w:val="21"/>
                <w:szCs w:val="21"/>
                <w:highlight w:val="none"/>
                <w:u w:val="none"/>
                <w:lang w:val="en-US" w:eastAsia="zh-CN" w:bidi="ar"/>
              </w:rPr>
              <w:t>单价（元）</w:t>
            </w:r>
          </w:p>
        </w:tc>
        <w:tc>
          <w:tcPr>
            <w:tcW w:w="400"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微软雅黑" w:hAnsi="微软雅黑" w:eastAsia="微软雅黑" w:cs="微软雅黑"/>
                <w:i w:val="0"/>
                <w:iCs w:val="0"/>
                <w:color w:val="auto"/>
                <w:sz w:val="21"/>
                <w:szCs w:val="21"/>
                <w:highlight w:val="none"/>
                <w:u w:val="none"/>
                <w:lang w:val="en-US"/>
              </w:rPr>
            </w:pPr>
            <w:r>
              <w:rPr>
                <w:rFonts w:hint="eastAsia" w:ascii="微软雅黑" w:hAnsi="微软雅黑" w:eastAsia="微软雅黑" w:cs="微软雅黑"/>
                <w:i w:val="0"/>
                <w:iCs w:val="0"/>
                <w:color w:val="auto"/>
                <w:kern w:val="0"/>
                <w:sz w:val="21"/>
                <w:szCs w:val="21"/>
                <w:highlight w:val="none"/>
                <w:u w:val="none"/>
                <w:lang w:val="en-US" w:eastAsia="zh-CN" w:bidi="ar"/>
              </w:rPr>
              <w:t>总价（元）</w:t>
            </w:r>
          </w:p>
        </w:tc>
        <w:tc>
          <w:tcPr>
            <w:tcW w:w="953"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55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1</w:t>
            </w:r>
          </w:p>
        </w:tc>
        <w:tc>
          <w:tcPr>
            <w:tcW w:w="924"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冷冻油</w:t>
            </w:r>
          </w:p>
        </w:tc>
        <w:tc>
          <w:tcPr>
            <w:tcW w:w="105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L</w:t>
            </w:r>
          </w:p>
        </w:tc>
        <w:tc>
          <w:tcPr>
            <w:tcW w:w="55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微软雅黑" w:hAnsi="微软雅黑" w:eastAsia="微软雅黑" w:cs="微软雅黑"/>
                <w:i w:val="0"/>
                <w:iCs w:val="0"/>
                <w:color w:val="auto"/>
                <w:kern w:val="0"/>
                <w:sz w:val="21"/>
                <w:szCs w:val="21"/>
                <w:highlight w:val="none"/>
                <w:u w:val="none"/>
                <w:lang w:val="en-US" w:eastAsia="zh-CN" w:bidi="ar"/>
              </w:rPr>
            </w:pPr>
            <w:r>
              <w:rPr>
                <w:rFonts w:hint="eastAsia" w:ascii="微软雅黑" w:hAnsi="微软雅黑" w:eastAsia="微软雅黑" w:cs="微软雅黑"/>
                <w:i w:val="0"/>
                <w:iCs w:val="0"/>
                <w:color w:val="auto"/>
                <w:kern w:val="0"/>
                <w:sz w:val="21"/>
                <w:szCs w:val="21"/>
                <w:highlight w:val="none"/>
                <w:u w:val="none"/>
                <w:lang w:val="en-US" w:eastAsia="zh-CN" w:bidi="ar"/>
              </w:rPr>
              <w:t>200</w:t>
            </w:r>
          </w:p>
        </w:tc>
        <w:tc>
          <w:tcPr>
            <w:tcW w:w="55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kern w:val="0"/>
                <w:sz w:val="21"/>
                <w:szCs w:val="21"/>
                <w:highlight w:val="none"/>
                <w:u w:val="none"/>
                <w:lang w:val="en-US" w:eastAsia="zh-CN" w:bidi="ar"/>
              </w:rPr>
            </w:pPr>
          </w:p>
        </w:tc>
        <w:tc>
          <w:tcPr>
            <w:tcW w:w="400"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微软雅黑" w:hAnsi="微软雅黑" w:eastAsia="微软雅黑" w:cs="微软雅黑"/>
                <w:i w:val="0"/>
                <w:iCs w:val="0"/>
                <w:color w:val="auto"/>
                <w:kern w:val="0"/>
                <w:sz w:val="21"/>
                <w:szCs w:val="21"/>
                <w:highlight w:val="none"/>
                <w:u w:val="none"/>
                <w:lang w:val="en-US" w:eastAsia="zh-CN" w:bidi="ar"/>
              </w:rPr>
            </w:pPr>
          </w:p>
        </w:tc>
        <w:tc>
          <w:tcPr>
            <w:tcW w:w="953"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美的、纳森原厂（单机40L）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5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2</w:t>
            </w:r>
          </w:p>
        </w:tc>
        <w:tc>
          <w:tcPr>
            <w:tcW w:w="924"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除垢剂</w:t>
            </w:r>
          </w:p>
        </w:tc>
        <w:tc>
          <w:tcPr>
            <w:tcW w:w="105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KG</w:t>
            </w:r>
          </w:p>
        </w:tc>
        <w:tc>
          <w:tcPr>
            <w:tcW w:w="55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kern w:val="0"/>
                <w:sz w:val="21"/>
                <w:szCs w:val="21"/>
                <w:highlight w:val="none"/>
                <w:u w:val="none"/>
                <w:lang w:val="en-US" w:eastAsia="zh-CN" w:bidi="ar"/>
              </w:rPr>
            </w:pPr>
            <w:r>
              <w:rPr>
                <w:rFonts w:hint="eastAsia" w:ascii="微软雅黑" w:hAnsi="微软雅黑" w:eastAsia="微软雅黑" w:cs="微软雅黑"/>
                <w:i w:val="0"/>
                <w:iCs w:val="0"/>
                <w:color w:val="auto"/>
                <w:kern w:val="0"/>
                <w:sz w:val="21"/>
                <w:szCs w:val="21"/>
                <w:highlight w:val="none"/>
                <w:u w:val="none"/>
                <w:lang w:val="en-US" w:eastAsia="zh-CN" w:bidi="ar"/>
              </w:rPr>
              <w:t>118</w:t>
            </w:r>
          </w:p>
        </w:tc>
        <w:tc>
          <w:tcPr>
            <w:tcW w:w="55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kern w:val="0"/>
                <w:sz w:val="21"/>
                <w:szCs w:val="21"/>
                <w:highlight w:val="none"/>
                <w:u w:val="none"/>
                <w:lang w:val="en-US" w:eastAsia="zh-CN" w:bidi="ar"/>
              </w:rPr>
            </w:pPr>
          </w:p>
        </w:tc>
        <w:tc>
          <w:tcPr>
            <w:tcW w:w="400"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kern w:val="0"/>
                <w:sz w:val="21"/>
                <w:szCs w:val="21"/>
                <w:highlight w:val="none"/>
                <w:u w:val="none"/>
                <w:lang w:val="en-US" w:eastAsia="zh-CN" w:bidi="ar"/>
              </w:rPr>
            </w:pPr>
          </w:p>
        </w:tc>
        <w:tc>
          <w:tcPr>
            <w:tcW w:w="953"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kern w:val="0"/>
                <w:sz w:val="21"/>
                <w:szCs w:val="21"/>
                <w:highlight w:val="none"/>
                <w:u w:val="none"/>
                <w:lang w:val="en-US" w:eastAsia="zh-CN" w:bidi="ar"/>
              </w:rPr>
            </w:pPr>
            <w:r>
              <w:rPr>
                <w:rFonts w:hint="eastAsia" w:ascii="微软雅黑" w:hAnsi="微软雅黑" w:eastAsia="微软雅黑" w:cs="微软雅黑"/>
                <w:i w:val="0"/>
                <w:iCs w:val="0"/>
                <w:color w:val="auto"/>
                <w:kern w:val="0"/>
                <w:sz w:val="21"/>
                <w:szCs w:val="21"/>
                <w:highlight w:val="none"/>
                <w:u w:val="none"/>
                <w:lang w:val="en-US" w:eastAsia="zh-CN" w:bidi="ar"/>
              </w:rPr>
              <w:t>康星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55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3</w:t>
            </w:r>
          </w:p>
        </w:tc>
        <w:tc>
          <w:tcPr>
            <w:tcW w:w="924"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阻垢剂</w:t>
            </w:r>
          </w:p>
        </w:tc>
        <w:tc>
          <w:tcPr>
            <w:tcW w:w="105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KG</w:t>
            </w:r>
          </w:p>
        </w:tc>
        <w:tc>
          <w:tcPr>
            <w:tcW w:w="55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kern w:val="0"/>
                <w:sz w:val="21"/>
                <w:szCs w:val="21"/>
                <w:highlight w:val="none"/>
                <w:u w:val="none"/>
                <w:lang w:val="en-US" w:eastAsia="zh-CN" w:bidi="ar"/>
              </w:rPr>
            </w:pPr>
            <w:r>
              <w:rPr>
                <w:rFonts w:hint="eastAsia" w:ascii="微软雅黑" w:hAnsi="微软雅黑" w:eastAsia="微软雅黑" w:cs="微软雅黑"/>
                <w:i w:val="0"/>
                <w:iCs w:val="0"/>
                <w:color w:val="auto"/>
                <w:kern w:val="0"/>
                <w:sz w:val="21"/>
                <w:szCs w:val="21"/>
                <w:highlight w:val="none"/>
                <w:u w:val="none"/>
                <w:lang w:val="en-US" w:eastAsia="zh-CN" w:bidi="ar"/>
              </w:rPr>
              <w:t>49</w:t>
            </w:r>
          </w:p>
        </w:tc>
        <w:tc>
          <w:tcPr>
            <w:tcW w:w="55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kern w:val="0"/>
                <w:sz w:val="21"/>
                <w:szCs w:val="21"/>
                <w:highlight w:val="none"/>
                <w:u w:val="none"/>
                <w:lang w:val="en-US" w:eastAsia="zh-CN" w:bidi="ar"/>
              </w:rPr>
            </w:pPr>
          </w:p>
        </w:tc>
        <w:tc>
          <w:tcPr>
            <w:tcW w:w="400"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kern w:val="0"/>
                <w:sz w:val="21"/>
                <w:szCs w:val="21"/>
                <w:highlight w:val="none"/>
                <w:u w:val="none"/>
                <w:lang w:val="en-US" w:eastAsia="zh-CN" w:bidi="ar"/>
              </w:rPr>
            </w:pPr>
          </w:p>
        </w:tc>
        <w:tc>
          <w:tcPr>
            <w:tcW w:w="953"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kern w:val="0"/>
                <w:sz w:val="21"/>
                <w:szCs w:val="21"/>
                <w:highlight w:val="none"/>
                <w:u w:val="none"/>
                <w:lang w:val="en-US" w:eastAsia="zh-CN" w:bidi="ar"/>
              </w:rPr>
            </w:pPr>
            <w:r>
              <w:rPr>
                <w:rFonts w:hint="eastAsia" w:ascii="微软雅黑" w:hAnsi="微软雅黑" w:eastAsia="微软雅黑" w:cs="微软雅黑"/>
                <w:i w:val="0"/>
                <w:iCs w:val="0"/>
                <w:color w:val="auto"/>
                <w:kern w:val="0"/>
                <w:sz w:val="21"/>
                <w:szCs w:val="21"/>
                <w:highlight w:val="none"/>
                <w:u w:val="none"/>
                <w:lang w:val="en-US" w:eastAsia="zh-CN" w:bidi="ar"/>
              </w:rPr>
              <w:t>康星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 w:hRule="atLeast"/>
        </w:trPr>
        <w:tc>
          <w:tcPr>
            <w:tcW w:w="55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4</w:t>
            </w:r>
          </w:p>
        </w:tc>
        <w:tc>
          <w:tcPr>
            <w:tcW w:w="924"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中性预膜剂</w:t>
            </w:r>
          </w:p>
        </w:tc>
        <w:tc>
          <w:tcPr>
            <w:tcW w:w="105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KG</w:t>
            </w:r>
          </w:p>
        </w:tc>
        <w:tc>
          <w:tcPr>
            <w:tcW w:w="55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kern w:val="0"/>
                <w:sz w:val="21"/>
                <w:szCs w:val="21"/>
                <w:highlight w:val="none"/>
                <w:u w:val="none"/>
                <w:lang w:val="en-US" w:eastAsia="zh-CN" w:bidi="ar"/>
              </w:rPr>
            </w:pPr>
            <w:r>
              <w:rPr>
                <w:rFonts w:hint="eastAsia" w:ascii="微软雅黑" w:hAnsi="微软雅黑" w:eastAsia="微软雅黑" w:cs="微软雅黑"/>
                <w:i w:val="0"/>
                <w:iCs w:val="0"/>
                <w:color w:val="auto"/>
                <w:kern w:val="0"/>
                <w:sz w:val="21"/>
                <w:szCs w:val="21"/>
                <w:highlight w:val="none"/>
                <w:u w:val="none"/>
                <w:lang w:val="en-US" w:eastAsia="zh-CN" w:bidi="ar"/>
              </w:rPr>
              <w:t>49</w:t>
            </w:r>
          </w:p>
        </w:tc>
        <w:tc>
          <w:tcPr>
            <w:tcW w:w="55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kern w:val="0"/>
                <w:sz w:val="21"/>
                <w:szCs w:val="21"/>
                <w:highlight w:val="none"/>
                <w:u w:val="none"/>
                <w:lang w:val="en-US" w:eastAsia="zh-CN" w:bidi="ar"/>
              </w:rPr>
            </w:pPr>
          </w:p>
        </w:tc>
        <w:tc>
          <w:tcPr>
            <w:tcW w:w="400"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kern w:val="0"/>
                <w:sz w:val="21"/>
                <w:szCs w:val="21"/>
                <w:highlight w:val="none"/>
                <w:u w:val="none"/>
                <w:lang w:val="en-US" w:eastAsia="zh-CN" w:bidi="ar"/>
              </w:rPr>
            </w:pPr>
          </w:p>
        </w:tc>
        <w:tc>
          <w:tcPr>
            <w:tcW w:w="953"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kern w:val="0"/>
                <w:sz w:val="21"/>
                <w:szCs w:val="21"/>
                <w:highlight w:val="none"/>
                <w:u w:val="none"/>
                <w:lang w:val="en-US" w:eastAsia="zh-CN" w:bidi="ar"/>
              </w:rPr>
            </w:pPr>
            <w:r>
              <w:rPr>
                <w:rFonts w:hint="eastAsia" w:ascii="微软雅黑" w:hAnsi="微软雅黑" w:eastAsia="微软雅黑" w:cs="微软雅黑"/>
                <w:i w:val="0"/>
                <w:iCs w:val="0"/>
                <w:color w:val="auto"/>
                <w:kern w:val="0"/>
                <w:sz w:val="21"/>
                <w:szCs w:val="21"/>
                <w:highlight w:val="none"/>
                <w:u w:val="none"/>
                <w:lang w:val="en-US" w:eastAsia="zh-CN" w:bidi="ar"/>
              </w:rPr>
              <w:t>康星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5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5</w:t>
            </w:r>
          </w:p>
        </w:tc>
        <w:tc>
          <w:tcPr>
            <w:tcW w:w="924"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烂泥剥离剂</w:t>
            </w:r>
          </w:p>
        </w:tc>
        <w:tc>
          <w:tcPr>
            <w:tcW w:w="105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KG</w:t>
            </w:r>
          </w:p>
        </w:tc>
        <w:tc>
          <w:tcPr>
            <w:tcW w:w="55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kern w:val="0"/>
                <w:sz w:val="21"/>
                <w:szCs w:val="21"/>
                <w:highlight w:val="none"/>
                <w:u w:val="none"/>
                <w:lang w:val="en-US" w:eastAsia="zh-CN" w:bidi="ar"/>
              </w:rPr>
            </w:pPr>
            <w:r>
              <w:rPr>
                <w:rFonts w:hint="eastAsia" w:ascii="微软雅黑" w:hAnsi="微软雅黑" w:eastAsia="微软雅黑" w:cs="微软雅黑"/>
                <w:i w:val="0"/>
                <w:iCs w:val="0"/>
                <w:color w:val="auto"/>
                <w:kern w:val="0"/>
                <w:sz w:val="21"/>
                <w:szCs w:val="21"/>
                <w:highlight w:val="none"/>
                <w:u w:val="none"/>
                <w:lang w:val="en-US" w:eastAsia="zh-CN" w:bidi="ar"/>
              </w:rPr>
              <w:t>56</w:t>
            </w:r>
          </w:p>
        </w:tc>
        <w:tc>
          <w:tcPr>
            <w:tcW w:w="55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kern w:val="0"/>
                <w:sz w:val="21"/>
                <w:szCs w:val="21"/>
                <w:highlight w:val="none"/>
                <w:u w:val="none"/>
                <w:lang w:val="en-US" w:eastAsia="zh-CN" w:bidi="ar"/>
              </w:rPr>
            </w:pPr>
          </w:p>
        </w:tc>
        <w:tc>
          <w:tcPr>
            <w:tcW w:w="400"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kern w:val="0"/>
                <w:sz w:val="21"/>
                <w:szCs w:val="21"/>
                <w:highlight w:val="none"/>
                <w:u w:val="none"/>
                <w:lang w:val="en-US" w:eastAsia="zh-CN" w:bidi="ar"/>
              </w:rPr>
            </w:pPr>
          </w:p>
        </w:tc>
        <w:tc>
          <w:tcPr>
            <w:tcW w:w="953"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kern w:val="0"/>
                <w:sz w:val="21"/>
                <w:szCs w:val="21"/>
                <w:highlight w:val="none"/>
                <w:u w:val="none"/>
                <w:lang w:val="en-US" w:eastAsia="zh-CN" w:bidi="ar"/>
              </w:rPr>
            </w:pPr>
            <w:r>
              <w:rPr>
                <w:rFonts w:hint="eastAsia" w:ascii="微软雅黑" w:hAnsi="微软雅黑" w:eastAsia="微软雅黑" w:cs="微软雅黑"/>
                <w:i w:val="0"/>
                <w:iCs w:val="0"/>
                <w:color w:val="auto"/>
                <w:kern w:val="0"/>
                <w:sz w:val="21"/>
                <w:szCs w:val="21"/>
                <w:highlight w:val="none"/>
                <w:u w:val="none"/>
                <w:lang w:val="en-US" w:eastAsia="zh-CN" w:bidi="ar"/>
              </w:rPr>
              <w:t>康星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5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6</w:t>
            </w:r>
          </w:p>
        </w:tc>
        <w:tc>
          <w:tcPr>
            <w:tcW w:w="924"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金属离子稳定剂</w:t>
            </w:r>
          </w:p>
        </w:tc>
        <w:tc>
          <w:tcPr>
            <w:tcW w:w="105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KG</w:t>
            </w:r>
          </w:p>
        </w:tc>
        <w:tc>
          <w:tcPr>
            <w:tcW w:w="55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kern w:val="0"/>
                <w:sz w:val="21"/>
                <w:szCs w:val="21"/>
                <w:highlight w:val="none"/>
                <w:u w:val="none"/>
                <w:lang w:val="en-US" w:eastAsia="zh-CN" w:bidi="ar"/>
              </w:rPr>
            </w:pPr>
            <w:r>
              <w:rPr>
                <w:rFonts w:hint="eastAsia" w:ascii="微软雅黑" w:hAnsi="微软雅黑" w:eastAsia="微软雅黑" w:cs="微软雅黑"/>
                <w:i w:val="0"/>
                <w:iCs w:val="0"/>
                <w:color w:val="auto"/>
                <w:kern w:val="0"/>
                <w:sz w:val="21"/>
                <w:szCs w:val="21"/>
                <w:highlight w:val="none"/>
                <w:u w:val="none"/>
                <w:lang w:val="en-US" w:eastAsia="zh-CN" w:bidi="ar"/>
              </w:rPr>
              <w:t>66</w:t>
            </w:r>
          </w:p>
        </w:tc>
        <w:tc>
          <w:tcPr>
            <w:tcW w:w="55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kern w:val="0"/>
                <w:sz w:val="21"/>
                <w:szCs w:val="21"/>
                <w:highlight w:val="none"/>
                <w:u w:val="none"/>
                <w:lang w:val="en-US" w:eastAsia="zh-CN" w:bidi="ar"/>
              </w:rPr>
            </w:pPr>
          </w:p>
        </w:tc>
        <w:tc>
          <w:tcPr>
            <w:tcW w:w="400"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kern w:val="0"/>
                <w:sz w:val="21"/>
                <w:szCs w:val="21"/>
                <w:highlight w:val="none"/>
                <w:u w:val="none"/>
                <w:lang w:val="en-US" w:eastAsia="zh-CN" w:bidi="ar"/>
              </w:rPr>
            </w:pPr>
          </w:p>
        </w:tc>
        <w:tc>
          <w:tcPr>
            <w:tcW w:w="953"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kern w:val="0"/>
                <w:sz w:val="21"/>
                <w:szCs w:val="21"/>
                <w:highlight w:val="none"/>
                <w:u w:val="none"/>
                <w:lang w:val="en-US" w:eastAsia="zh-CN" w:bidi="ar"/>
              </w:rPr>
            </w:pPr>
            <w:r>
              <w:rPr>
                <w:rFonts w:hint="eastAsia" w:ascii="微软雅黑" w:hAnsi="微软雅黑" w:eastAsia="微软雅黑" w:cs="微软雅黑"/>
                <w:i w:val="0"/>
                <w:iCs w:val="0"/>
                <w:color w:val="auto"/>
                <w:kern w:val="0"/>
                <w:sz w:val="21"/>
                <w:szCs w:val="21"/>
                <w:highlight w:val="none"/>
                <w:u w:val="none"/>
                <w:lang w:val="en-US" w:eastAsia="zh-CN" w:bidi="ar"/>
              </w:rPr>
              <w:t>康星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55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7</w:t>
            </w:r>
          </w:p>
        </w:tc>
        <w:tc>
          <w:tcPr>
            <w:tcW w:w="924"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干燥过滤器</w:t>
            </w:r>
          </w:p>
        </w:tc>
        <w:tc>
          <w:tcPr>
            <w:tcW w:w="105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个</w:t>
            </w:r>
          </w:p>
        </w:tc>
        <w:tc>
          <w:tcPr>
            <w:tcW w:w="55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kern w:val="0"/>
                <w:sz w:val="21"/>
                <w:szCs w:val="21"/>
                <w:highlight w:val="none"/>
                <w:u w:val="none"/>
                <w:lang w:val="en-US" w:eastAsia="zh-CN" w:bidi="ar"/>
              </w:rPr>
            </w:pPr>
            <w:r>
              <w:rPr>
                <w:rFonts w:hint="eastAsia" w:ascii="微软雅黑" w:hAnsi="微软雅黑" w:eastAsia="微软雅黑" w:cs="微软雅黑"/>
                <w:i w:val="0"/>
                <w:iCs w:val="0"/>
                <w:color w:val="auto"/>
                <w:kern w:val="0"/>
                <w:sz w:val="21"/>
                <w:szCs w:val="21"/>
                <w:highlight w:val="none"/>
                <w:u w:val="none"/>
                <w:lang w:val="en-US" w:eastAsia="zh-CN" w:bidi="ar"/>
              </w:rPr>
              <w:t>10</w:t>
            </w:r>
          </w:p>
        </w:tc>
        <w:tc>
          <w:tcPr>
            <w:tcW w:w="55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kern w:val="0"/>
                <w:sz w:val="21"/>
                <w:szCs w:val="21"/>
                <w:highlight w:val="none"/>
                <w:u w:val="none"/>
                <w:lang w:val="en-US" w:eastAsia="zh-CN" w:bidi="ar"/>
              </w:rPr>
            </w:pPr>
          </w:p>
        </w:tc>
        <w:tc>
          <w:tcPr>
            <w:tcW w:w="400"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kern w:val="0"/>
                <w:sz w:val="21"/>
                <w:szCs w:val="21"/>
                <w:highlight w:val="none"/>
                <w:u w:val="none"/>
                <w:lang w:val="en-US" w:eastAsia="zh-CN" w:bidi="ar"/>
              </w:rPr>
            </w:pPr>
          </w:p>
        </w:tc>
        <w:tc>
          <w:tcPr>
            <w:tcW w:w="953"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kern w:val="0"/>
                <w:sz w:val="21"/>
                <w:szCs w:val="21"/>
                <w:highlight w:val="none"/>
                <w:u w:val="none"/>
                <w:lang w:val="en-US" w:eastAsia="zh-CN" w:bidi="ar"/>
              </w:rPr>
            </w:pPr>
            <w:r>
              <w:rPr>
                <w:rFonts w:hint="eastAsia" w:ascii="微软雅黑" w:hAnsi="微软雅黑" w:eastAsia="微软雅黑" w:cs="微软雅黑"/>
                <w:i w:val="0"/>
                <w:iCs w:val="0"/>
                <w:color w:val="auto"/>
                <w:kern w:val="0"/>
                <w:sz w:val="21"/>
                <w:szCs w:val="21"/>
                <w:highlight w:val="none"/>
                <w:u w:val="none"/>
                <w:lang w:val="en-US" w:eastAsia="zh-CN" w:bidi="ar"/>
              </w:rPr>
              <w:t>美的、纳森原厂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55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8</w:t>
            </w:r>
          </w:p>
        </w:tc>
        <w:tc>
          <w:tcPr>
            <w:tcW w:w="924"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冷媒过滤器</w:t>
            </w:r>
          </w:p>
        </w:tc>
        <w:tc>
          <w:tcPr>
            <w:tcW w:w="105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个</w:t>
            </w:r>
          </w:p>
        </w:tc>
        <w:tc>
          <w:tcPr>
            <w:tcW w:w="55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kern w:val="0"/>
                <w:sz w:val="21"/>
                <w:szCs w:val="21"/>
                <w:highlight w:val="none"/>
                <w:u w:val="none"/>
                <w:lang w:val="en-US" w:eastAsia="zh-CN" w:bidi="ar"/>
              </w:rPr>
            </w:pPr>
            <w:r>
              <w:rPr>
                <w:rFonts w:hint="eastAsia" w:ascii="微软雅黑" w:hAnsi="微软雅黑" w:eastAsia="微软雅黑" w:cs="微软雅黑"/>
                <w:i w:val="0"/>
                <w:iCs w:val="0"/>
                <w:color w:val="auto"/>
                <w:kern w:val="0"/>
                <w:sz w:val="21"/>
                <w:szCs w:val="21"/>
                <w:highlight w:val="none"/>
                <w:u w:val="none"/>
                <w:lang w:val="en-US" w:eastAsia="zh-CN" w:bidi="ar"/>
              </w:rPr>
              <w:t>5</w:t>
            </w:r>
          </w:p>
        </w:tc>
        <w:tc>
          <w:tcPr>
            <w:tcW w:w="55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kern w:val="0"/>
                <w:sz w:val="21"/>
                <w:szCs w:val="21"/>
                <w:highlight w:val="none"/>
                <w:u w:val="none"/>
                <w:lang w:val="en-US" w:eastAsia="zh-CN" w:bidi="ar"/>
              </w:rPr>
            </w:pPr>
          </w:p>
        </w:tc>
        <w:tc>
          <w:tcPr>
            <w:tcW w:w="400"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kern w:val="0"/>
                <w:sz w:val="21"/>
                <w:szCs w:val="21"/>
                <w:highlight w:val="none"/>
                <w:u w:val="none"/>
                <w:lang w:val="en-US" w:eastAsia="zh-CN" w:bidi="ar"/>
              </w:rPr>
            </w:pPr>
          </w:p>
        </w:tc>
        <w:tc>
          <w:tcPr>
            <w:tcW w:w="953"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kern w:val="0"/>
                <w:sz w:val="21"/>
                <w:szCs w:val="21"/>
                <w:highlight w:val="none"/>
                <w:u w:val="none"/>
                <w:lang w:val="en-US" w:eastAsia="zh-CN" w:bidi="ar"/>
              </w:rPr>
            </w:pPr>
            <w:r>
              <w:rPr>
                <w:rFonts w:hint="eastAsia" w:ascii="微软雅黑" w:hAnsi="微软雅黑" w:eastAsia="微软雅黑" w:cs="微软雅黑"/>
                <w:i w:val="0"/>
                <w:iCs w:val="0"/>
                <w:color w:val="auto"/>
                <w:kern w:val="0"/>
                <w:sz w:val="21"/>
                <w:szCs w:val="21"/>
                <w:highlight w:val="none"/>
                <w:u w:val="none"/>
                <w:lang w:val="en-US" w:eastAsia="zh-CN" w:bidi="ar"/>
              </w:rPr>
              <w:t>美的、纳森原厂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5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9</w:t>
            </w:r>
          </w:p>
        </w:tc>
        <w:tc>
          <w:tcPr>
            <w:tcW w:w="924"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冷凝器化学通炮清洗人工</w:t>
            </w:r>
          </w:p>
        </w:tc>
        <w:tc>
          <w:tcPr>
            <w:tcW w:w="105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台</w:t>
            </w:r>
          </w:p>
        </w:tc>
        <w:tc>
          <w:tcPr>
            <w:tcW w:w="55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kern w:val="0"/>
                <w:sz w:val="21"/>
                <w:szCs w:val="21"/>
                <w:highlight w:val="none"/>
                <w:u w:val="none"/>
                <w:lang w:val="en-US" w:eastAsia="zh-CN" w:bidi="ar"/>
              </w:rPr>
            </w:pPr>
            <w:r>
              <w:rPr>
                <w:rFonts w:hint="eastAsia" w:ascii="微软雅黑" w:hAnsi="微软雅黑" w:eastAsia="微软雅黑" w:cs="微软雅黑"/>
                <w:i w:val="0"/>
                <w:iCs w:val="0"/>
                <w:color w:val="auto"/>
                <w:kern w:val="0"/>
                <w:sz w:val="21"/>
                <w:szCs w:val="21"/>
                <w:highlight w:val="none"/>
                <w:u w:val="none"/>
                <w:lang w:val="en-US" w:eastAsia="zh-CN" w:bidi="ar"/>
              </w:rPr>
              <w:t>5</w:t>
            </w:r>
          </w:p>
        </w:tc>
        <w:tc>
          <w:tcPr>
            <w:tcW w:w="55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kern w:val="0"/>
                <w:sz w:val="21"/>
                <w:szCs w:val="21"/>
                <w:highlight w:val="none"/>
                <w:u w:val="none"/>
                <w:lang w:val="en-US" w:eastAsia="zh-CN" w:bidi="ar"/>
              </w:rPr>
            </w:pPr>
          </w:p>
        </w:tc>
        <w:tc>
          <w:tcPr>
            <w:tcW w:w="400"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kern w:val="0"/>
                <w:sz w:val="21"/>
                <w:szCs w:val="21"/>
                <w:highlight w:val="none"/>
                <w:u w:val="none"/>
                <w:lang w:val="en-US" w:eastAsia="zh-CN" w:bidi="ar"/>
              </w:rPr>
            </w:pPr>
          </w:p>
        </w:tc>
        <w:tc>
          <w:tcPr>
            <w:tcW w:w="953"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5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10</w:t>
            </w:r>
          </w:p>
        </w:tc>
        <w:tc>
          <w:tcPr>
            <w:tcW w:w="924"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冷却水系统化学清洗人工</w:t>
            </w:r>
          </w:p>
        </w:tc>
        <w:tc>
          <w:tcPr>
            <w:tcW w:w="105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项</w:t>
            </w:r>
          </w:p>
        </w:tc>
        <w:tc>
          <w:tcPr>
            <w:tcW w:w="55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kern w:val="0"/>
                <w:sz w:val="21"/>
                <w:szCs w:val="21"/>
                <w:highlight w:val="none"/>
                <w:u w:val="none"/>
                <w:lang w:val="en-US" w:eastAsia="zh-CN" w:bidi="ar"/>
              </w:rPr>
            </w:pPr>
            <w:r>
              <w:rPr>
                <w:rFonts w:hint="eastAsia" w:ascii="微软雅黑" w:hAnsi="微软雅黑" w:eastAsia="微软雅黑" w:cs="微软雅黑"/>
                <w:i w:val="0"/>
                <w:iCs w:val="0"/>
                <w:color w:val="auto"/>
                <w:kern w:val="0"/>
                <w:sz w:val="21"/>
                <w:szCs w:val="21"/>
                <w:highlight w:val="none"/>
                <w:u w:val="none"/>
                <w:lang w:val="en-US" w:eastAsia="zh-CN" w:bidi="ar"/>
              </w:rPr>
              <w:t>5</w:t>
            </w:r>
          </w:p>
        </w:tc>
        <w:tc>
          <w:tcPr>
            <w:tcW w:w="55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kern w:val="0"/>
                <w:sz w:val="21"/>
                <w:szCs w:val="21"/>
                <w:highlight w:val="none"/>
                <w:u w:val="none"/>
                <w:lang w:val="en-US" w:eastAsia="zh-CN" w:bidi="ar"/>
              </w:rPr>
            </w:pPr>
          </w:p>
        </w:tc>
        <w:tc>
          <w:tcPr>
            <w:tcW w:w="400"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kern w:val="0"/>
                <w:sz w:val="21"/>
                <w:szCs w:val="21"/>
                <w:highlight w:val="none"/>
                <w:u w:val="none"/>
                <w:lang w:val="en-US" w:eastAsia="zh-CN" w:bidi="ar"/>
              </w:rPr>
            </w:pPr>
          </w:p>
        </w:tc>
        <w:tc>
          <w:tcPr>
            <w:tcW w:w="953"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5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11</w:t>
            </w:r>
          </w:p>
        </w:tc>
        <w:tc>
          <w:tcPr>
            <w:tcW w:w="924"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运输费</w:t>
            </w:r>
          </w:p>
        </w:tc>
        <w:tc>
          <w:tcPr>
            <w:tcW w:w="105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项</w:t>
            </w:r>
          </w:p>
        </w:tc>
        <w:tc>
          <w:tcPr>
            <w:tcW w:w="55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kern w:val="0"/>
                <w:sz w:val="21"/>
                <w:szCs w:val="21"/>
                <w:highlight w:val="none"/>
                <w:u w:val="none"/>
                <w:lang w:val="en-US" w:eastAsia="zh-CN" w:bidi="ar"/>
              </w:rPr>
            </w:pPr>
            <w:r>
              <w:rPr>
                <w:rFonts w:hint="eastAsia" w:ascii="微软雅黑" w:hAnsi="微软雅黑" w:eastAsia="微软雅黑" w:cs="微软雅黑"/>
                <w:i w:val="0"/>
                <w:iCs w:val="0"/>
                <w:color w:val="auto"/>
                <w:kern w:val="0"/>
                <w:sz w:val="21"/>
                <w:szCs w:val="21"/>
                <w:highlight w:val="none"/>
                <w:u w:val="none"/>
                <w:lang w:val="en-US" w:eastAsia="zh-CN" w:bidi="ar"/>
              </w:rPr>
              <w:t>1</w:t>
            </w:r>
          </w:p>
        </w:tc>
        <w:tc>
          <w:tcPr>
            <w:tcW w:w="55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kern w:val="0"/>
                <w:sz w:val="21"/>
                <w:szCs w:val="21"/>
                <w:highlight w:val="none"/>
                <w:u w:val="none"/>
                <w:lang w:val="en-US" w:eastAsia="zh-CN" w:bidi="ar"/>
              </w:rPr>
            </w:pPr>
          </w:p>
        </w:tc>
        <w:tc>
          <w:tcPr>
            <w:tcW w:w="400"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kern w:val="0"/>
                <w:sz w:val="21"/>
                <w:szCs w:val="21"/>
                <w:highlight w:val="none"/>
                <w:u w:val="none"/>
                <w:lang w:val="en-US" w:eastAsia="zh-CN" w:bidi="ar"/>
              </w:rPr>
            </w:pPr>
          </w:p>
        </w:tc>
        <w:tc>
          <w:tcPr>
            <w:tcW w:w="953"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5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微软雅黑" w:hAnsi="微软雅黑" w:eastAsia="微软雅黑" w:cs="微软雅黑"/>
                <w:i w:val="0"/>
                <w:iCs w:val="0"/>
                <w:color w:val="auto"/>
                <w:sz w:val="21"/>
                <w:szCs w:val="21"/>
                <w:highlight w:val="none"/>
                <w:u w:val="none"/>
                <w:lang w:val="en-US"/>
              </w:rPr>
            </w:pPr>
            <w:r>
              <w:rPr>
                <w:rFonts w:hint="eastAsia" w:ascii="微软雅黑" w:hAnsi="微软雅黑" w:eastAsia="微软雅黑" w:cs="微软雅黑"/>
                <w:i w:val="0"/>
                <w:iCs w:val="0"/>
                <w:color w:val="auto"/>
                <w:kern w:val="0"/>
                <w:sz w:val="21"/>
                <w:szCs w:val="21"/>
                <w:highlight w:val="none"/>
                <w:u w:val="none"/>
                <w:lang w:val="en-US" w:eastAsia="zh-CN" w:bidi="ar"/>
              </w:rPr>
              <w:t>12</w:t>
            </w:r>
          </w:p>
        </w:tc>
        <w:tc>
          <w:tcPr>
            <w:tcW w:w="924"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水质检测</w:t>
            </w:r>
          </w:p>
        </w:tc>
        <w:tc>
          <w:tcPr>
            <w:tcW w:w="105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项</w:t>
            </w:r>
          </w:p>
        </w:tc>
        <w:tc>
          <w:tcPr>
            <w:tcW w:w="55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kern w:val="0"/>
                <w:sz w:val="21"/>
                <w:szCs w:val="21"/>
                <w:highlight w:val="none"/>
                <w:u w:val="none"/>
                <w:lang w:val="en-US" w:eastAsia="zh-CN" w:bidi="ar"/>
              </w:rPr>
            </w:pPr>
            <w:r>
              <w:rPr>
                <w:rFonts w:hint="default" w:ascii="微软雅黑" w:hAnsi="微软雅黑" w:eastAsia="微软雅黑" w:cs="微软雅黑"/>
                <w:i w:val="0"/>
                <w:iCs w:val="0"/>
                <w:color w:val="auto"/>
                <w:kern w:val="0"/>
                <w:sz w:val="21"/>
                <w:szCs w:val="21"/>
                <w:highlight w:val="none"/>
                <w:u w:val="none"/>
                <w:lang w:val="en-US" w:eastAsia="zh-CN" w:bidi="ar"/>
              </w:rPr>
              <w:t>1</w:t>
            </w:r>
          </w:p>
        </w:tc>
        <w:tc>
          <w:tcPr>
            <w:tcW w:w="55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微软雅黑" w:hAnsi="微软雅黑" w:eastAsia="微软雅黑" w:cs="微软雅黑"/>
                <w:i w:val="0"/>
                <w:iCs w:val="0"/>
                <w:color w:val="auto"/>
                <w:kern w:val="0"/>
                <w:sz w:val="21"/>
                <w:szCs w:val="21"/>
                <w:highlight w:val="none"/>
                <w:u w:val="none"/>
                <w:lang w:val="en-US" w:eastAsia="zh-CN" w:bidi="ar"/>
              </w:rPr>
            </w:pPr>
          </w:p>
        </w:tc>
        <w:tc>
          <w:tcPr>
            <w:tcW w:w="400"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kern w:val="0"/>
                <w:sz w:val="21"/>
                <w:szCs w:val="21"/>
                <w:highlight w:val="none"/>
                <w:u w:val="none"/>
                <w:lang w:val="en-US" w:eastAsia="zh-CN" w:bidi="ar"/>
              </w:rPr>
            </w:pPr>
          </w:p>
        </w:tc>
        <w:tc>
          <w:tcPr>
            <w:tcW w:w="953"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kern w:val="0"/>
                <w:sz w:val="21"/>
                <w:szCs w:val="21"/>
                <w:highlight w:val="none"/>
                <w:u w:val="none"/>
                <w:lang w:val="en-US" w:eastAsia="zh-CN" w:bidi="ar"/>
              </w:rPr>
            </w:pPr>
            <w:r>
              <w:rPr>
                <w:rFonts w:hint="eastAsia" w:ascii="微软雅黑" w:hAnsi="微软雅黑" w:eastAsia="微软雅黑" w:cs="微软雅黑"/>
                <w:i w:val="0"/>
                <w:iCs w:val="0"/>
                <w:color w:val="auto"/>
                <w:kern w:val="0"/>
                <w:sz w:val="21"/>
                <w:szCs w:val="21"/>
                <w:highlight w:val="none"/>
                <w:u w:val="none"/>
                <w:lang w:val="en-US" w:eastAsia="zh-CN" w:bidi="ar"/>
              </w:rPr>
              <w:t>自检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5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微软雅黑" w:hAnsi="微软雅黑" w:eastAsia="微软雅黑" w:cs="微软雅黑"/>
                <w:i w:val="0"/>
                <w:iCs w:val="0"/>
                <w:color w:val="auto"/>
                <w:sz w:val="21"/>
                <w:szCs w:val="21"/>
                <w:highlight w:val="none"/>
                <w:u w:val="none"/>
                <w:lang w:val="en-US"/>
              </w:rPr>
            </w:pPr>
            <w:r>
              <w:rPr>
                <w:rFonts w:hint="eastAsia" w:ascii="微软雅黑" w:hAnsi="微软雅黑" w:eastAsia="微软雅黑" w:cs="微软雅黑"/>
                <w:i w:val="0"/>
                <w:iCs w:val="0"/>
                <w:color w:val="auto"/>
                <w:kern w:val="0"/>
                <w:sz w:val="21"/>
                <w:szCs w:val="21"/>
                <w:highlight w:val="none"/>
                <w:u w:val="none"/>
                <w:lang w:val="en-US" w:eastAsia="zh-CN" w:bidi="ar"/>
              </w:rPr>
              <w:t>13</w:t>
            </w:r>
          </w:p>
        </w:tc>
        <w:tc>
          <w:tcPr>
            <w:tcW w:w="924"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安全阀送检</w:t>
            </w:r>
          </w:p>
        </w:tc>
        <w:tc>
          <w:tcPr>
            <w:tcW w:w="105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项</w:t>
            </w:r>
          </w:p>
        </w:tc>
        <w:tc>
          <w:tcPr>
            <w:tcW w:w="55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微软雅黑" w:hAnsi="微软雅黑" w:eastAsia="微软雅黑" w:cs="微软雅黑"/>
                <w:i w:val="0"/>
                <w:iCs w:val="0"/>
                <w:color w:val="auto"/>
                <w:kern w:val="0"/>
                <w:sz w:val="21"/>
                <w:szCs w:val="21"/>
                <w:highlight w:val="none"/>
                <w:u w:val="none"/>
                <w:lang w:val="en-US" w:eastAsia="zh-CN" w:bidi="ar"/>
              </w:rPr>
            </w:pPr>
            <w:r>
              <w:rPr>
                <w:rFonts w:hint="eastAsia" w:ascii="微软雅黑" w:hAnsi="微软雅黑" w:eastAsia="微软雅黑" w:cs="微软雅黑"/>
                <w:i w:val="0"/>
                <w:iCs w:val="0"/>
                <w:color w:val="auto"/>
                <w:kern w:val="0"/>
                <w:sz w:val="21"/>
                <w:szCs w:val="21"/>
                <w:highlight w:val="none"/>
                <w:u w:val="none"/>
                <w:lang w:val="en-US" w:eastAsia="zh-CN" w:bidi="ar"/>
              </w:rPr>
              <w:t>10</w:t>
            </w:r>
          </w:p>
        </w:tc>
        <w:tc>
          <w:tcPr>
            <w:tcW w:w="55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微软雅黑" w:hAnsi="微软雅黑" w:eastAsia="微软雅黑" w:cs="微软雅黑"/>
                <w:i w:val="0"/>
                <w:iCs w:val="0"/>
                <w:color w:val="auto"/>
                <w:kern w:val="0"/>
                <w:sz w:val="21"/>
                <w:szCs w:val="21"/>
                <w:highlight w:val="none"/>
                <w:u w:val="none"/>
                <w:lang w:val="en-US" w:eastAsia="zh-CN" w:bidi="ar"/>
              </w:rPr>
            </w:pPr>
          </w:p>
        </w:tc>
        <w:tc>
          <w:tcPr>
            <w:tcW w:w="400"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微软雅黑" w:hAnsi="微软雅黑" w:eastAsia="微软雅黑" w:cs="微软雅黑"/>
                <w:i w:val="0"/>
                <w:iCs w:val="0"/>
                <w:color w:val="auto"/>
                <w:kern w:val="0"/>
                <w:sz w:val="21"/>
                <w:szCs w:val="21"/>
                <w:highlight w:val="none"/>
                <w:u w:val="none"/>
                <w:lang w:val="en-US" w:eastAsia="zh-CN" w:bidi="ar"/>
              </w:rPr>
            </w:pPr>
          </w:p>
        </w:tc>
        <w:tc>
          <w:tcPr>
            <w:tcW w:w="953"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kern w:val="0"/>
                <w:sz w:val="21"/>
                <w:szCs w:val="21"/>
                <w:highlight w:val="none"/>
                <w:u w:val="none"/>
                <w:lang w:val="en-US" w:eastAsia="zh-CN" w:bidi="ar"/>
              </w:rPr>
            </w:pPr>
            <w:r>
              <w:rPr>
                <w:rFonts w:hint="eastAsia" w:ascii="微软雅黑" w:hAnsi="微软雅黑" w:eastAsia="微软雅黑" w:cs="微软雅黑"/>
                <w:i w:val="0"/>
                <w:iCs w:val="0"/>
                <w:color w:val="auto"/>
                <w:kern w:val="0"/>
                <w:sz w:val="21"/>
                <w:szCs w:val="21"/>
                <w:highlight w:val="none"/>
                <w:u w:val="none"/>
                <w:lang w:val="en-US" w:eastAsia="zh-CN" w:bidi="ar"/>
              </w:rPr>
              <w:t>第三方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5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微软雅黑" w:hAnsi="微软雅黑" w:eastAsia="微软雅黑" w:cs="微软雅黑"/>
                <w:i w:val="0"/>
                <w:iCs w:val="0"/>
                <w:color w:val="auto"/>
                <w:sz w:val="21"/>
                <w:szCs w:val="21"/>
                <w:highlight w:val="none"/>
                <w:u w:val="none"/>
                <w:lang w:val="en-US"/>
              </w:rPr>
            </w:pPr>
            <w:r>
              <w:rPr>
                <w:rFonts w:hint="eastAsia" w:ascii="微软雅黑" w:hAnsi="微软雅黑" w:eastAsia="微软雅黑" w:cs="微软雅黑"/>
                <w:i w:val="0"/>
                <w:iCs w:val="0"/>
                <w:color w:val="auto"/>
                <w:kern w:val="0"/>
                <w:sz w:val="21"/>
                <w:szCs w:val="21"/>
                <w:highlight w:val="none"/>
                <w:u w:val="none"/>
                <w:lang w:val="en-US" w:eastAsia="zh-CN" w:bidi="ar"/>
              </w:rPr>
              <w:t>14</w:t>
            </w:r>
          </w:p>
        </w:tc>
        <w:tc>
          <w:tcPr>
            <w:tcW w:w="924"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冷却、冷冻供回水泵维修</w:t>
            </w:r>
          </w:p>
        </w:tc>
        <w:tc>
          <w:tcPr>
            <w:tcW w:w="105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台</w:t>
            </w:r>
          </w:p>
        </w:tc>
        <w:tc>
          <w:tcPr>
            <w:tcW w:w="55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微软雅黑" w:hAnsi="微软雅黑" w:eastAsia="微软雅黑" w:cs="微软雅黑"/>
                <w:i w:val="0"/>
                <w:iCs w:val="0"/>
                <w:color w:val="auto"/>
                <w:kern w:val="0"/>
                <w:sz w:val="21"/>
                <w:szCs w:val="21"/>
                <w:highlight w:val="none"/>
                <w:u w:val="none"/>
                <w:lang w:val="en-US" w:eastAsia="zh-CN" w:bidi="ar"/>
              </w:rPr>
            </w:pPr>
            <w:r>
              <w:rPr>
                <w:rFonts w:hint="default" w:ascii="微软雅黑" w:hAnsi="微软雅黑" w:eastAsia="微软雅黑" w:cs="微软雅黑"/>
                <w:i w:val="0"/>
                <w:iCs w:val="0"/>
                <w:color w:val="auto"/>
                <w:kern w:val="0"/>
                <w:sz w:val="21"/>
                <w:szCs w:val="21"/>
                <w:highlight w:val="none"/>
                <w:u w:val="none"/>
                <w:lang w:val="en-US" w:eastAsia="zh-CN" w:bidi="ar"/>
              </w:rPr>
              <w:t>1</w:t>
            </w:r>
          </w:p>
        </w:tc>
        <w:tc>
          <w:tcPr>
            <w:tcW w:w="55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微软雅黑" w:hAnsi="微软雅黑" w:eastAsia="微软雅黑" w:cs="微软雅黑"/>
                <w:i w:val="0"/>
                <w:iCs w:val="0"/>
                <w:color w:val="auto"/>
                <w:kern w:val="0"/>
                <w:sz w:val="21"/>
                <w:szCs w:val="21"/>
                <w:highlight w:val="none"/>
                <w:u w:val="none"/>
                <w:lang w:val="en-US" w:eastAsia="zh-CN" w:bidi="ar"/>
              </w:rPr>
            </w:pPr>
          </w:p>
        </w:tc>
        <w:tc>
          <w:tcPr>
            <w:tcW w:w="400"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kern w:val="0"/>
                <w:sz w:val="21"/>
                <w:szCs w:val="21"/>
                <w:highlight w:val="none"/>
                <w:u w:val="none"/>
                <w:lang w:val="en-US" w:eastAsia="zh-CN" w:bidi="ar"/>
              </w:rPr>
            </w:pPr>
          </w:p>
        </w:tc>
        <w:tc>
          <w:tcPr>
            <w:tcW w:w="953"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5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微软雅黑" w:hAnsi="微软雅黑" w:eastAsia="微软雅黑" w:cs="微软雅黑"/>
                <w:i w:val="0"/>
                <w:iCs w:val="0"/>
                <w:color w:val="auto"/>
                <w:sz w:val="21"/>
                <w:szCs w:val="21"/>
                <w:highlight w:val="none"/>
                <w:u w:val="none"/>
                <w:lang w:val="en-US"/>
              </w:rPr>
            </w:pPr>
            <w:r>
              <w:rPr>
                <w:rFonts w:hint="eastAsia" w:ascii="微软雅黑" w:hAnsi="微软雅黑" w:eastAsia="微软雅黑" w:cs="微软雅黑"/>
                <w:i w:val="0"/>
                <w:iCs w:val="0"/>
                <w:color w:val="auto"/>
                <w:kern w:val="0"/>
                <w:sz w:val="21"/>
                <w:szCs w:val="21"/>
                <w:highlight w:val="none"/>
                <w:u w:val="none"/>
                <w:lang w:val="en-US" w:eastAsia="zh-CN" w:bidi="ar"/>
              </w:rPr>
              <w:t>15</w:t>
            </w:r>
          </w:p>
        </w:tc>
        <w:tc>
          <w:tcPr>
            <w:tcW w:w="924"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暗装卧式盘管深度清洗</w:t>
            </w:r>
          </w:p>
        </w:tc>
        <w:tc>
          <w:tcPr>
            <w:tcW w:w="105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台</w:t>
            </w:r>
          </w:p>
        </w:tc>
        <w:tc>
          <w:tcPr>
            <w:tcW w:w="55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微软雅黑" w:hAnsi="微软雅黑" w:eastAsia="微软雅黑" w:cs="微软雅黑"/>
                <w:i w:val="0"/>
                <w:iCs w:val="0"/>
                <w:color w:val="auto"/>
                <w:kern w:val="0"/>
                <w:sz w:val="21"/>
                <w:szCs w:val="21"/>
                <w:highlight w:val="none"/>
                <w:u w:val="none"/>
                <w:lang w:val="en-US" w:eastAsia="zh-CN" w:bidi="ar"/>
              </w:rPr>
            </w:pPr>
            <w:r>
              <w:rPr>
                <w:rFonts w:hint="eastAsia" w:ascii="微软雅黑" w:hAnsi="微软雅黑" w:eastAsia="微软雅黑" w:cs="微软雅黑"/>
                <w:i w:val="0"/>
                <w:iCs w:val="0"/>
                <w:color w:val="auto"/>
                <w:kern w:val="0"/>
                <w:sz w:val="21"/>
                <w:szCs w:val="21"/>
                <w:highlight w:val="none"/>
                <w:u w:val="none"/>
                <w:lang w:val="en-US" w:eastAsia="zh-CN" w:bidi="ar"/>
              </w:rPr>
              <w:t>50</w:t>
            </w:r>
          </w:p>
        </w:tc>
        <w:tc>
          <w:tcPr>
            <w:tcW w:w="55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微软雅黑" w:hAnsi="微软雅黑" w:eastAsia="微软雅黑" w:cs="微软雅黑"/>
                <w:i w:val="0"/>
                <w:iCs w:val="0"/>
                <w:color w:val="auto"/>
                <w:kern w:val="0"/>
                <w:sz w:val="21"/>
                <w:szCs w:val="21"/>
                <w:highlight w:val="none"/>
                <w:u w:val="none"/>
                <w:lang w:val="en-US" w:eastAsia="zh-CN" w:bidi="ar"/>
              </w:rPr>
            </w:pPr>
          </w:p>
        </w:tc>
        <w:tc>
          <w:tcPr>
            <w:tcW w:w="400"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微软雅黑" w:hAnsi="微软雅黑" w:eastAsia="微软雅黑" w:cs="微软雅黑"/>
                <w:i w:val="0"/>
                <w:iCs w:val="0"/>
                <w:color w:val="auto"/>
                <w:kern w:val="0"/>
                <w:sz w:val="21"/>
                <w:szCs w:val="21"/>
                <w:highlight w:val="none"/>
                <w:u w:val="none"/>
                <w:lang w:val="en-US" w:eastAsia="zh-CN" w:bidi="ar"/>
              </w:rPr>
            </w:pPr>
          </w:p>
        </w:tc>
        <w:tc>
          <w:tcPr>
            <w:tcW w:w="953"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5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微软雅黑" w:hAnsi="微软雅黑" w:eastAsia="微软雅黑" w:cs="微软雅黑"/>
                <w:i w:val="0"/>
                <w:iCs w:val="0"/>
                <w:color w:val="auto"/>
                <w:kern w:val="0"/>
                <w:sz w:val="21"/>
                <w:szCs w:val="21"/>
                <w:highlight w:val="none"/>
                <w:u w:val="none"/>
                <w:lang w:val="en-US" w:eastAsia="zh-CN" w:bidi="ar"/>
              </w:rPr>
            </w:pPr>
            <w:r>
              <w:rPr>
                <w:rFonts w:hint="eastAsia" w:ascii="微软雅黑" w:hAnsi="微软雅黑" w:eastAsia="微软雅黑" w:cs="微软雅黑"/>
                <w:i w:val="0"/>
                <w:iCs w:val="0"/>
                <w:color w:val="auto"/>
                <w:kern w:val="0"/>
                <w:sz w:val="21"/>
                <w:szCs w:val="21"/>
                <w:highlight w:val="none"/>
                <w:u w:val="none"/>
                <w:lang w:val="en-US" w:eastAsia="zh-CN" w:bidi="ar"/>
              </w:rPr>
              <w:t>16</w:t>
            </w:r>
          </w:p>
        </w:tc>
        <w:tc>
          <w:tcPr>
            <w:tcW w:w="924"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kern w:val="2"/>
                <w:sz w:val="21"/>
                <w:szCs w:val="21"/>
                <w:highlight w:val="none"/>
                <w:u w:val="none"/>
                <w:lang w:val="en-US" w:eastAsia="zh-CN" w:bidi="ar-SA"/>
              </w:rPr>
            </w:pPr>
            <w:r>
              <w:rPr>
                <w:rFonts w:hint="eastAsia" w:ascii="微软雅黑" w:hAnsi="微软雅黑" w:eastAsia="微软雅黑" w:cs="微软雅黑"/>
                <w:i w:val="0"/>
                <w:iCs w:val="0"/>
                <w:color w:val="auto"/>
                <w:kern w:val="0"/>
                <w:sz w:val="21"/>
                <w:szCs w:val="21"/>
                <w:highlight w:val="none"/>
                <w:u w:val="none"/>
                <w:lang w:val="en-US" w:eastAsia="zh-CN" w:bidi="ar"/>
              </w:rPr>
              <w:t>暗装卧式盘管普通清洗</w:t>
            </w:r>
          </w:p>
        </w:tc>
        <w:tc>
          <w:tcPr>
            <w:tcW w:w="105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kern w:val="2"/>
                <w:sz w:val="21"/>
                <w:szCs w:val="21"/>
                <w:highlight w:val="none"/>
                <w:u w:val="none"/>
                <w:lang w:val="en-US" w:eastAsia="zh-CN" w:bidi="ar-SA"/>
              </w:rPr>
            </w:pPr>
            <w:r>
              <w:rPr>
                <w:rFonts w:hint="eastAsia" w:ascii="微软雅黑" w:hAnsi="微软雅黑" w:eastAsia="微软雅黑" w:cs="微软雅黑"/>
                <w:i w:val="0"/>
                <w:iCs w:val="0"/>
                <w:color w:val="auto"/>
                <w:kern w:val="0"/>
                <w:sz w:val="21"/>
                <w:szCs w:val="21"/>
                <w:highlight w:val="none"/>
                <w:u w:val="none"/>
                <w:lang w:val="en-US" w:eastAsia="zh-CN" w:bidi="ar"/>
              </w:rPr>
              <w:t>台</w:t>
            </w:r>
          </w:p>
        </w:tc>
        <w:tc>
          <w:tcPr>
            <w:tcW w:w="55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微软雅黑" w:hAnsi="微软雅黑" w:eastAsia="微软雅黑" w:cs="微软雅黑"/>
                <w:i w:val="0"/>
                <w:iCs w:val="0"/>
                <w:color w:val="auto"/>
                <w:kern w:val="0"/>
                <w:sz w:val="21"/>
                <w:szCs w:val="21"/>
                <w:highlight w:val="none"/>
                <w:u w:val="none"/>
                <w:lang w:val="en-US" w:eastAsia="zh-CN" w:bidi="ar"/>
              </w:rPr>
            </w:pPr>
            <w:r>
              <w:rPr>
                <w:rFonts w:hint="eastAsia" w:ascii="微软雅黑" w:hAnsi="微软雅黑" w:eastAsia="微软雅黑" w:cs="微软雅黑"/>
                <w:i w:val="0"/>
                <w:iCs w:val="0"/>
                <w:color w:val="auto"/>
                <w:kern w:val="0"/>
                <w:sz w:val="21"/>
                <w:szCs w:val="21"/>
                <w:highlight w:val="none"/>
                <w:u w:val="none"/>
                <w:lang w:val="en-US" w:eastAsia="zh-CN" w:bidi="ar"/>
              </w:rPr>
              <w:t>102</w:t>
            </w:r>
          </w:p>
        </w:tc>
        <w:tc>
          <w:tcPr>
            <w:tcW w:w="55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微软雅黑" w:hAnsi="微软雅黑" w:eastAsia="微软雅黑" w:cs="微软雅黑"/>
                <w:i w:val="0"/>
                <w:iCs w:val="0"/>
                <w:color w:val="auto"/>
                <w:kern w:val="0"/>
                <w:sz w:val="21"/>
                <w:szCs w:val="21"/>
                <w:highlight w:val="none"/>
                <w:u w:val="none"/>
                <w:lang w:val="en-US" w:eastAsia="zh-CN" w:bidi="ar"/>
              </w:rPr>
            </w:pPr>
          </w:p>
        </w:tc>
        <w:tc>
          <w:tcPr>
            <w:tcW w:w="400"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微软雅黑" w:hAnsi="微软雅黑" w:eastAsia="微软雅黑" w:cs="微软雅黑"/>
                <w:i w:val="0"/>
                <w:iCs w:val="0"/>
                <w:color w:val="auto"/>
                <w:kern w:val="0"/>
                <w:sz w:val="21"/>
                <w:szCs w:val="21"/>
                <w:highlight w:val="none"/>
                <w:u w:val="none"/>
                <w:lang w:val="en-US" w:eastAsia="zh-CN" w:bidi="ar"/>
              </w:rPr>
            </w:pPr>
          </w:p>
        </w:tc>
        <w:tc>
          <w:tcPr>
            <w:tcW w:w="953"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55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微软雅黑" w:hAnsi="微软雅黑" w:eastAsia="微软雅黑" w:cs="微软雅黑"/>
                <w:i w:val="0"/>
                <w:iCs w:val="0"/>
                <w:color w:val="auto"/>
                <w:sz w:val="21"/>
                <w:szCs w:val="21"/>
                <w:highlight w:val="none"/>
                <w:u w:val="none"/>
                <w:lang w:val="en-US"/>
              </w:rPr>
            </w:pPr>
            <w:r>
              <w:rPr>
                <w:rFonts w:hint="eastAsia" w:ascii="微软雅黑" w:hAnsi="微软雅黑" w:eastAsia="微软雅黑" w:cs="微软雅黑"/>
                <w:i w:val="0"/>
                <w:iCs w:val="0"/>
                <w:color w:val="auto"/>
                <w:kern w:val="0"/>
                <w:sz w:val="21"/>
                <w:szCs w:val="21"/>
                <w:highlight w:val="none"/>
                <w:u w:val="none"/>
                <w:lang w:val="en-US" w:eastAsia="zh-CN" w:bidi="ar"/>
              </w:rPr>
              <w:t>17</w:t>
            </w:r>
          </w:p>
        </w:tc>
        <w:tc>
          <w:tcPr>
            <w:tcW w:w="924"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美的水冷螺杆冷水机组程序</w:t>
            </w:r>
          </w:p>
        </w:tc>
        <w:tc>
          <w:tcPr>
            <w:tcW w:w="105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项</w:t>
            </w:r>
          </w:p>
        </w:tc>
        <w:tc>
          <w:tcPr>
            <w:tcW w:w="55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微软雅黑" w:hAnsi="微软雅黑" w:eastAsia="微软雅黑" w:cs="微软雅黑"/>
                <w:i w:val="0"/>
                <w:iCs w:val="0"/>
                <w:color w:val="auto"/>
                <w:kern w:val="0"/>
                <w:sz w:val="21"/>
                <w:szCs w:val="21"/>
                <w:highlight w:val="none"/>
                <w:u w:val="none"/>
                <w:lang w:val="en-US" w:eastAsia="zh-CN" w:bidi="ar"/>
              </w:rPr>
            </w:pPr>
            <w:r>
              <w:rPr>
                <w:rFonts w:hint="eastAsia" w:ascii="微软雅黑" w:hAnsi="微软雅黑" w:eastAsia="微软雅黑" w:cs="微软雅黑"/>
                <w:i w:val="0"/>
                <w:iCs w:val="0"/>
                <w:color w:val="auto"/>
                <w:kern w:val="0"/>
                <w:sz w:val="21"/>
                <w:szCs w:val="21"/>
                <w:highlight w:val="none"/>
                <w:u w:val="none"/>
                <w:lang w:val="en-US" w:eastAsia="zh-CN" w:bidi="ar"/>
              </w:rPr>
              <w:t>1</w:t>
            </w:r>
          </w:p>
        </w:tc>
        <w:tc>
          <w:tcPr>
            <w:tcW w:w="55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微软雅黑" w:hAnsi="微软雅黑" w:eastAsia="微软雅黑" w:cs="微软雅黑"/>
                <w:i w:val="0"/>
                <w:iCs w:val="0"/>
                <w:color w:val="auto"/>
                <w:kern w:val="0"/>
                <w:sz w:val="21"/>
                <w:szCs w:val="21"/>
                <w:highlight w:val="none"/>
                <w:u w:val="none"/>
                <w:lang w:val="en-US" w:eastAsia="zh-CN" w:bidi="ar"/>
              </w:rPr>
            </w:pPr>
          </w:p>
        </w:tc>
        <w:tc>
          <w:tcPr>
            <w:tcW w:w="400"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kern w:val="0"/>
                <w:sz w:val="21"/>
                <w:szCs w:val="21"/>
                <w:highlight w:val="none"/>
                <w:u w:val="none"/>
                <w:lang w:val="en-US" w:eastAsia="zh-CN" w:bidi="ar"/>
              </w:rPr>
            </w:pPr>
          </w:p>
        </w:tc>
        <w:tc>
          <w:tcPr>
            <w:tcW w:w="953"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9" w:hRule="atLeast"/>
        </w:trPr>
        <w:tc>
          <w:tcPr>
            <w:tcW w:w="55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微软雅黑" w:hAnsi="微软雅黑" w:eastAsia="微软雅黑" w:cs="微软雅黑"/>
                <w:i w:val="0"/>
                <w:iCs w:val="0"/>
                <w:color w:val="auto"/>
                <w:kern w:val="0"/>
                <w:sz w:val="21"/>
                <w:szCs w:val="21"/>
                <w:highlight w:val="none"/>
                <w:u w:val="none"/>
                <w:lang w:val="en-US" w:eastAsia="zh-CN" w:bidi="ar"/>
              </w:rPr>
            </w:pPr>
            <w:r>
              <w:rPr>
                <w:rFonts w:hint="eastAsia" w:ascii="微软雅黑" w:hAnsi="微软雅黑" w:eastAsia="微软雅黑" w:cs="微软雅黑"/>
                <w:i w:val="0"/>
                <w:iCs w:val="0"/>
                <w:color w:val="auto"/>
                <w:kern w:val="0"/>
                <w:sz w:val="21"/>
                <w:szCs w:val="21"/>
                <w:highlight w:val="none"/>
                <w:u w:val="none"/>
                <w:lang w:val="en-US" w:eastAsia="zh-CN" w:bidi="ar"/>
              </w:rPr>
              <w:t>18</w:t>
            </w:r>
          </w:p>
        </w:tc>
        <w:tc>
          <w:tcPr>
            <w:tcW w:w="924"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kern w:val="0"/>
                <w:sz w:val="21"/>
                <w:szCs w:val="21"/>
                <w:highlight w:val="none"/>
                <w:u w:val="none"/>
                <w:lang w:val="en-US" w:eastAsia="zh-CN" w:bidi="ar"/>
              </w:rPr>
            </w:pPr>
            <w:r>
              <w:rPr>
                <w:rFonts w:hint="eastAsia" w:ascii="微软雅黑" w:hAnsi="微软雅黑" w:eastAsia="微软雅黑" w:cs="微软雅黑"/>
                <w:i w:val="0"/>
                <w:iCs w:val="0"/>
                <w:color w:val="auto"/>
                <w:kern w:val="0"/>
                <w:sz w:val="21"/>
                <w:szCs w:val="21"/>
                <w:highlight w:val="none"/>
                <w:u w:val="none"/>
                <w:lang w:val="en-US" w:eastAsia="zh-CN" w:bidi="ar"/>
              </w:rPr>
              <w:t>中央空调水处理机组</w:t>
            </w:r>
          </w:p>
        </w:tc>
        <w:tc>
          <w:tcPr>
            <w:tcW w:w="105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微软雅黑" w:hAnsi="微软雅黑" w:eastAsia="微软雅黑" w:cs="微软雅黑"/>
                <w:i w:val="0"/>
                <w:iCs w:val="0"/>
                <w:color w:val="auto"/>
                <w:kern w:val="0"/>
                <w:sz w:val="21"/>
                <w:szCs w:val="21"/>
                <w:highlight w:val="none"/>
                <w:u w:val="none"/>
                <w:lang w:val="en-US" w:eastAsia="zh-CN" w:bidi="ar"/>
              </w:rPr>
            </w:pPr>
            <w:r>
              <w:rPr>
                <w:rFonts w:hint="eastAsia" w:ascii="微软雅黑" w:hAnsi="微软雅黑" w:eastAsia="微软雅黑" w:cs="微软雅黑"/>
                <w:i w:val="0"/>
                <w:iCs w:val="0"/>
                <w:color w:val="auto"/>
                <w:kern w:val="0"/>
                <w:sz w:val="21"/>
                <w:szCs w:val="21"/>
                <w:highlight w:val="none"/>
                <w:u w:val="none"/>
                <w:lang w:val="en-US" w:eastAsia="zh-CN" w:bidi="ar"/>
              </w:rPr>
              <w:t>套</w:t>
            </w:r>
          </w:p>
        </w:tc>
        <w:tc>
          <w:tcPr>
            <w:tcW w:w="55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微软雅黑" w:hAnsi="微软雅黑" w:eastAsia="微软雅黑" w:cs="微软雅黑"/>
                <w:i w:val="0"/>
                <w:iCs w:val="0"/>
                <w:color w:val="auto"/>
                <w:kern w:val="0"/>
                <w:sz w:val="21"/>
                <w:szCs w:val="21"/>
                <w:highlight w:val="none"/>
                <w:u w:val="none"/>
                <w:lang w:val="en-US" w:eastAsia="zh-CN" w:bidi="ar"/>
              </w:rPr>
            </w:pPr>
            <w:r>
              <w:rPr>
                <w:rFonts w:hint="eastAsia" w:ascii="微软雅黑" w:hAnsi="微软雅黑" w:eastAsia="微软雅黑" w:cs="微软雅黑"/>
                <w:i w:val="0"/>
                <w:iCs w:val="0"/>
                <w:color w:val="auto"/>
                <w:kern w:val="0"/>
                <w:sz w:val="21"/>
                <w:szCs w:val="21"/>
                <w:highlight w:val="none"/>
                <w:u w:val="none"/>
                <w:lang w:val="en-US" w:eastAsia="zh-CN" w:bidi="ar"/>
              </w:rPr>
              <w:t>2</w:t>
            </w:r>
          </w:p>
        </w:tc>
        <w:tc>
          <w:tcPr>
            <w:tcW w:w="555"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微软雅黑" w:hAnsi="微软雅黑" w:eastAsia="微软雅黑" w:cs="微软雅黑"/>
                <w:i w:val="0"/>
                <w:iCs w:val="0"/>
                <w:color w:val="auto"/>
                <w:kern w:val="0"/>
                <w:sz w:val="21"/>
                <w:szCs w:val="21"/>
                <w:highlight w:val="none"/>
                <w:u w:val="none"/>
                <w:lang w:val="en-US" w:eastAsia="zh-CN" w:bidi="ar"/>
              </w:rPr>
            </w:pPr>
          </w:p>
        </w:tc>
        <w:tc>
          <w:tcPr>
            <w:tcW w:w="400"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微软雅黑" w:hAnsi="微软雅黑" w:eastAsia="微软雅黑" w:cs="微软雅黑"/>
                <w:i w:val="0"/>
                <w:iCs w:val="0"/>
                <w:color w:val="auto"/>
                <w:kern w:val="0"/>
                <w:sz w:val="21"/>
                <w:szCs w:val="21"/>
                <w:highlight w:val="none"/>
                <w:u w:val="none"/>
                <w:lang w:val="en-US" w:eastAsia="zh-CN" w:bidi="ar"/>
              </w:rPr>
            </w:pPr>
          </w:p>
        </w:tc>
        <w:tc>
          <w:tcPr>
            <w:tcW w:w="953"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kern w:val="0"/>
                <w:sz w:val="18"/>
                <w:szCs w:val="18"/>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trPr>
        <w:tc>
          <w:tcPr>
            <w:tcW w:w="55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auto"/>
                <w:sz w:val="21"/>
                <w:szCs w:val="21"/>
                <w:highlight w:val="none"/>
                <w:u w:val="none"/>
                <w:lang w:val="en-US"/>
              </w:rPr>
            </w:pPr>
            <w:r>
              <w:rPr>
                <w:rFonts w:hint="eastAsia" w:ascii="微软雅黑" w:hAnsi="微软雅黑" w:eastAsia="微软雅黑" w:cs="微软雅黑"/>
                <w:i w:val="0"/>
                <w:iCs w:val="0"/>
                <w:color w:val="auto"/>
                <w:kern w:val="0"/>
                <w:sz w:val="21"/>
                <w:szCs w:val="21"/>
                <w:highlight w:val="none"/>
                <w:u w:val="none"/>
                <w:lang w:val="en-US" w:eastAsia="zh-CN" w:bidi="ar"/>
              </w:rPr>
              <w:t>19</w:t>
            </w:r>
          </w:p>
        </w:tc>
        <w:tc>
          <w:tcPr>
            <w:tcW w:w="92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合计</w:t>
            </w:r>
          </w:p>
        </w:tc>
        <w:tc>
          <w:tcPr>
            <w:tcW w:w="105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1"/>
                <w:szCs w:val="21"/>
                <w:highlight w:val="none"/>
                <w:u w:val="none"/>
              </w:rPr>
            </w:pPr>
            <w:r>
              <w:rPr>
                <w:rFonts w:hint="eastAsia" w:ascii="微软雅黑" w:hAnsi="微软雅黑" w:eastAsia="微软雅黑" w:cs="微软雅黑"/>
                <w:i w:val="0"/>
                <w:iCs w:val="0"/>
                <w:color w:val="auto"/>
                <w:kern w:val="0"/>
                <w:sz w:val="21"/>
                <w:szCs w:val="21"/>
                <w:highlight w:val="none"/>
                <w:u w:val="none"/>
                <w:lang w:val="en-US" w:eastAsia="zh-CN" w:bidi="ar"/>
              </w:rPr>
              <w:t>项</w:t>
            </w:r>
          </w:p>
        </w:tc>
        <w:tc>
          <w:tcPr>
            <w:tcW w:w="555" w:type="pct"/>
            <w:tcBorders>
              <w:top w:val="nil"/>
              <w:left w:val="nil"/>
              <w:bottom w:val="single" w:color="000000" w:sz="8" w:space="0"/>
              <w:right w:val="single" w:color="000000" w:sz="8" w:space="0"/>
            </w:tcBorders>
            <w:shd w:val="clear" w:color="auto" w:fill="auto"/>
            <w:vAlign w:val="center"/>
          </w:tcPr>
          <w:p>
            <w:pPr>
              <w:jc w:val="center"/>
              <w:rPr>
                <w:rFonts w:hint="default" w:ascii="Arial" w:hAnsi="Arial" w:eastAsia="宋体" w:cs="Arial"/>
                <w:i w:val="0"/>
                <w:iCs w:val="0"/>
                <w:color w:val="auto"/>
                <w:sz w:val="21"/>
                <w:szCs w:val="21"/>
                <w:highlight w:val="none"/>
                <w:u w:val="none"/>
              </w:rPr>
            </w:pPr>
          </w:p>
        </w:tc>
        <w:tc>
          <w:tcPr>
            <w:tcW w:w="555" w:type="pct"/>
            <w:tcBorders>
              <w:top w:val="nil"/>
              <w:left w:val="nil"/>
              <w:bottom w:val="single" w:color="000000" w:sz="8" w:space="0"/>
              <w:right w:val="single" w:color="000000" w:sz="8" w:space="0"/>
            </w:tcBorders>
            <w:shd w:val="clear" w:color="auto" w:fill="auto"/>
            <w:vAlign w:val="center"/>
          </w:tcPr>
          <w:p>
            <w:pPr>
              <w:jc w:val="center"/>
              <w:rPr>
                <w:rFonts w:hint="default" w:ascii="Arial" w:hAnsi="Arial" w:eastAsia="宋体" w:cs="Arial"/>
                <w:i w:val="0"/>
                <w:iCs w:val="0"/>
                <w:color w:val="auto"/>
                <w:sz w:val="21"/>
                <w:szCs w:val="21"/>
                <w:highlight w:val="none"/>
                <w:u w:val="none"/>
              </w:rPr>
            </w:pPr>
          </w:p>
        </w:tc>
        <w:tc>
          <w:tcPr>
            <w:tcW w:w="400"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微软雅黑" w:hAnsi="微软雅黑" w:eastAsia="微软雅黑" w:cs="微软雅黑"/>
                <w:i w:val="0"/>
                <w:iCs w:val="0"/>
                <w:color w:val="auto"/>
                <w:kern w:val="0"/>
                <w:sz w:val="21"/>
                <w:szCs w:val="21"/>
                <w:highlight w:val="none"/>
                <w:u w:val="none"/>
                <w:lang w:val="en-US" w:eastAsia="zh-CN" w:bidi="ar"/>
              </w:rPr>
            </w:pPr>
          </w:p>
        </w:tc>
        <w:tc>
          <w:tcPr>
            <w:tcW w:w="953" w:type="pct"/>
            <w:tcBorders>
              <w:top w:val="nil"/>
              <w:left w:val="nil"/>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微软雅黑" w:hAnsi="微软雅黑" w:eastAsia="微软雅黑" w:cs="微软雅黑"/>
                <w:i w:val="0"/>
                <w:iCs w:val="0"/>
                <w:color w:val="auto"/>
                <w:kern w:val="0"/>
                <w:sz w:val="18"/>
                <w:szCs w:val="18"/>
                <w:highlight w:val="none"/>
                <w:u w:val="none"/>
                <w:lang w:val="en-US" w:eastAsia="zh-CN" w:bidi="ar"/>
              </w:rPr>
            </w:pPr>
          </w:p>
        </w:tc>
      </w:tr>
    </w:tbl>
    <w:p>
      <w:pPr>
        <w:spacing w:before="98" w:line="219" w:lineRule="auto"/>
        <w:ind w:firstLine="240" w:firstLineChars="100"/>
        <w:rPr>
          <w:color w:val="auto"/>
          <w:highlight w:val="none"/>
        </w:rPr>
      </w:pPr>
      <w:r>
        <w:rPr>
          <w:rFonts w:ascii="宋体" w:hAnsi="宋体" w:eastAsia="宋体" w:cs="宋体"/>
          <w:color w:val="auto"/>
          <w:sz w:val="24"/>
          <w:szCs w:val="24"/>
          <w:highlight w:val="none"/>
        </w:rPr>
        <w:t xml:space="preserve">供应商：                              </w:t>
      </w:r>
      <w:r>
        <w:rPr>
          <w:rFonts w:ascii="宋体" w:hAnsi="宋体" w:eastAsia="宋体" w:cs="宋体"/>
          <w:color w:val="auto"/>
          <w:spacing w:val="-1"/>
          <w:sz w:val="24"/>
          <w:szCs w:val="24"/>
          <w:highlight w:val="none"/>
        </w:rPr>
        <w:t xml:space="preserve"> 法定代表人授权代表：</w:t>
      </w:r>
    </w:p>
    <w:p>
      <w:pPr>
        <w:spacing w:before="79" w:line="219" w:lineRule="auto"/>
        <w:ind w:left="1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（供应商公章</w:t>
      </w:r>
      <w:r>
        <w:rPr>
          <w:rFonts w:ascii="宋体" w:hAnsi="宋体" w:eastAsia="宋体" w:cs="宋体"/>
          <w:color w:val="auto"/>
          <w:spacing w:val="-17"/>
          <w:sz w:val="24"/>
          <w:szCs w:val="24"/>
          <w:highlight w:val="none"/>
        </w:rPr>
        <w:t>）</w:t>
      </w:r>
      <w:r>
        <w:rPr>
          <w:rFonts w:ascii="宋体" w:hAnsi="宋体" w:eastAsia="宋体" w:cs="宋体"/>
          <w:color w:val="auto"/>
          <w:spacing w:val="4"/>
          <w:sz w:val="24"/>
          <w:szCs w:val="24"/>
          <w:highlight w:val="none"/>
        </w:rPr>
        <w:t xml:space="preserve">                            </w:t>
      </w:r>
      <w:r>
        <w:rPr>
          <w:rFonts w:ascii="宋体" w:hAnsi="宋体" w:eastAsia="宋体" w:cs="宋体"/>
          <w:color w:val="auto"/>
          <w:spacing w:val="-17"/>
          <w:sz w:val="24"/>
          <w:szCs w:val="24"/>
          <w:highlight w:val="none"/>
        </w:rPr>
        <w:t>（</w:t>
      </w:r>
      <w:r>
        <w:rPr>
          <w:rFonts w:ascii="宋体" w:hAnsi="宋体" w:eastAsia="宋体" w:cs="宋体"/>
          <w:color w:val="auto"/>
          <w:spacing w:val="1"/>
          <w:sz w:val="24"/>
          <w:szCs w:val="24"/>
          <w:highlight w:val="none"/>
        </w:rPr>
        <w:t>签字或盖章）</w:t>
      </w:r>
    </w:p>
    <w:p>
      <w:pPr>
        <w:spacing w:before="94" w:line="220" w:lineRule="auto"/>
        <w:ind w:left="5853"/>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年</w:t>
      </w:r>
      <w:r>
        <w:rPr>
          <w:rFonts w:ascii="宋体" w:hAnsi="宋体" w:eastAsia="宋体" w:cs="宋体"/>
          <w:color w:val="auto"/>
          <w:spacing w:val="3"/>
          <w:sz w:val="24"/>
          <w:szCs w:val="24"/>
          <w:highlight w:val="none"/>
        </w:rPr>
        <w:t xml:space="preserve">     </w:t>
      </w:r>
      <w:r>
        <w:rPr>
          <w:rFonts w:ascii="宋体" w:hAnsi="宋体" w:eastAsia="宋体" w:cs="宋体"/>
          <w:color w:val="auto"/>
          <w:spacing w:val="-9"/>
          <w:sz w:val="24"/>
          <w:szCs w:val="24"/>
          <w:highlight w:val="none"/>
        </w:rPr>
        <w:t>月</w:t>
      </w:r>
      <w:r>
        <w:rPr>
          <w:rFonts w:ascii="宋体" w:hAnsi="宋体" w:eastAsia="宋体" w:cs="宋体"/>
          <w:color w:val="auto"/>
          <w:spacing w:val="10"/>
          <w:sz w:val="24"/>
          <w:szCs w:val="24"/>
          <w:highlight w:val="none"/>
        </w:rPr>
        <w:t xml:space="preserve">     </w:t>
      </w:r>
      <w:r>
        <w:rPr>
          <w:rFonts w:ascii="宋体" w:hAnsi="宋体" w:eastAsia="宋体" w:cs="宋体"/>
          <w:color w:val="auto"/>
          <w:spacing w:val="-9"/>
          <w:sz w:val="24"/>
          <w:szCs w:val="24"/>
          <w:highlight w:val="none"/>
        </w:rPr>
        <w:t>日</w:t>
      </w:r>
    </w:p>
    <w:p>
      <w:pPr>
        <w:spacing w:before="54" w:line="242" w:lineRule="auto"/>
        <w:outlineLvl w:val="0"/>
        <w:rPr>
          <w:rFonts w:ascii="黑体" w:hAnsi="黑体" w:eastAsia="黑体" w:cs="黑体"/>
          <w:color w:val="auto"/>
          <w:sz w:val="24"/>
          <w:szCs w:val="24"/>
          <w:highlight w:val="none"/>
        </w:rPr>
      </w:pPr>
      <w:bookmarkStart w:id="92" w:name="_Toc8807"/>
      <w:r>
        <w:rPr>
          <w:rFonts w:ascii="黑体" w:hAnsi="黑体" w:eastAsia="黑体" w:cs="黑体"/>
          <w:color w:val="auto"/>
          <w:spacing w:val="-3"/>
          <w:sz w:val="24"/>
          <w:szCs w:val="24"/>
          <w:highlight w:val="none"/>
        </w:rPr>
        <w:t>二、技术部分</w:t>
      </w:r>
      <w:bookmarkEnd w:id="92"/>
    </w:p>
    <w:p>
      <w:pPr>
        <w:spacing w:before="73" w:line="220" w:lineRule="auto"/>
        <w:ind w:left="3863"/>
        <w:outlineLvl w:val="9"/>
        <w:rPr>
          <w:rFonts w:ascii="宋体" w:hAnsi="宋体" w:eastAsia="宋体" w:cs="宋体"/>
          <w:color w:val="auto"/>
          <w:sz w:val="24"/>
          <w:szCs w:val="24"/>
          <w:highlight w:val="none"/>
        </w:rPr>
      </w:pPr>
      <w:bookmarkStart w:id="93" w:name="_Toc10530"/>
      <w:r>
        <w:rPr>
          <w:rFonts w:ascii="宋体" w:hAnsi="宋体" w:eastAsia="宋体" w:cs="宋体"/>
          <w:b/>
          <w:bCs/>
          <w:color w:val="auto"/>
          <w:spacing w:val="-4"/>
          <w:sz w:val="24"/>
          <w:szCs w:val="24"/>
          <w:highlight w:val="none"/>
        </w:rPr>
        <w:t>技术响应偏离表</w:t>
      </w:r>
      <w:bookmarkEnd w:id="93"/>
    </w:p>
    <w:p>
      <w:pPr>
        <w:spacing w:before="94" w:line="216" w:lineRule="auto"/>
        <w:ind w:left="364"/>
        <w:outlineLvl w:val="9"/>
        <w:rPr>
          <w:rFonts w:ascii="宋体" w:hAnsi="宋体" w:eastAsia="宋体" w:cs="宋体"/>
          <w:color w:val="auto"/>
          <w:sz w:val="24"/>
          <w:szCs w:val="24"/>
          <w:highlight w:val="none"/>
        </w:rPr>
      </w:pPr>
      <w:bookmarkStart w:id="94" w:name="_Toc4328"/>
      <w:r>
        <w:rPr>
          <w:rFonts w:ascii="宋体" w:hAnsi="宋体" w:eastAsia="宋体" w:cs="宋体"/>
          <w:color w:val="auto"/>
          <w:spacing w:val="-3"/>
          <w:sz w:val="24"/>
          <w:szCs w:val="24"/>
          <w:highlight w:val="none"/>
        </w:rPr>
        <w:t>项目名称：</w:t>
      </w:r>
      <w:bookmarkEnd w:id="94"/>
    </w:p>
    <w:tbl>
      <w:tblPr>
        <w:tblStyle w:val="15"/>
        <w:tblW w:w="9000" w:type="dxa"/>
        <w:tblInd w:w="19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6"/>
        <w:gridCol w:w="3346"/>
        <w:gridCol w:w="2757"/>
        <w:gridCol w:w="20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826" w:type="dxa"/>
            <w:vAlign w:val="top"/>
          </w:tcPr>
          <w:p>
            <w:pPr>
              <w:pStyle w:val="16"/>
              <w:spacing w:before="170" w:line="222" w:lineRule="auto"/>
              <w:ind w:left="179"/>
              <w:outlineLvl w:val="0"/>
              <w:rPr>
                <w:color w:val="auto"/>
                <w:sz w:val="24"/>
                <w:szCs w:val="24"/>
                <w:highlight w:val="none"/>
              </w:rPr>
            </w:pPr>
            <w:bookmarkStart w:id="95" w:name="_Toc5792"/>
            <w:r>
              <w:rPr>
                <w:color w:val="auto"/>
                <w:spacing w:val="-5"/>
                <w:sz w:val="24"/>
                <w:szCs w:val="24"/>
                <w:highlight w:val="none"/>
              </w:rPr>
              <w:t>序号</w:t>
            </w:r>
            <w:bookmarkEnd w:id="95"/>
          </w:p>
        </w:tc>
        <w:tc>
          <w:tcPr>
            <w:tcW w:w="3346" w:type="dxa"/>
            <w:vAlign w:val="top"/>
          </w:tcPr>
          <w:p>
            <w:pPr>
              <w:pStyle w:val="16"/>
              <w:spacing w:before="170" w:line="220" w:lineRule="auto"/>
              <w:ind w:left="963"/>
              <w:outlineLvl w:val="0"/>
              <w:rPr>
                <w:color w:val="auto"/>
                <w:sz w:val="24"/>
                <w:szCs w:val="24"/>
                <w:highlight w:val="none"/>
              </w:rPr>
            </w:pPr>
            <w:bookmarkStart w:id="96" w:name="_Toc31627"/>
            <w:r>
              <w:rPr>
                <w:color w:val="auto"/>
                <w:spacing w:val="-3"/>
                <w:sz w:val="24"/>
                <w:szCs w:val="24"/>
                <w:highlight w:val="none"/>
              </w:rPr>
              <w:t>项目技术需求</w:t>
            </w:r>
            <w:bookmarkEnd w:id="96"/>
          </w:p>
        </w:tc>
        <w:tc>
          <w:tcPr>
            <w:tcW w:w="2757" w:type="dxa"/>
            <w:vAlign w:val="top"/>
          </w:tcPr>
          <w:p>
            <w:pPr>
              <w:pStyle w:val="16"/>
              <w:spacing w:before="170" w:line="221" w:lineRule="auto"/>
              <w:ind w:left="919"/>
              <w:outlineLvl w:val="0"/>
              <w:rPr>
                <w:color w:val="auto"/>
                <w:sz w:val="24"/>
                <w:szCs w:val="24"/>
                <w:highlight w:val="none"/>
              </w:rPr>
            </w:pPr>
            <w:bookmarkStart w:id="97" w:name="_Toc8962"/>
            <w:r>
              <w:rPr>
                <w:color w:val="auto"/>
                <w:spacing w:val="-6"/>
                <w:sz w:val="24"/>
                <w:szCs w:val="24"/>
                <w:highlight w:val="none"/>
              </w:rPr>
              <w:t>响应情况</w:t>
            </w:r>
            <w:bookmarkEnd w:id="97"/>
          </w:p>
        </w:tc>
        <w:tc>
          <w:tcPr>
            <w:tcW w:w="2071" w:type="dxa"/>
            <w:vAlign w:val="top"/>
          </w:tcPr>
          <w:p>
            <w:pPr>
              <w:pStyle w:val="16"/>
              <w:spacing w:before="170" w:line="220" w:lineRule="auto"/>
              <w:ind w:left="564"/>
              <w:outlineLvl w:val="0"/>
              <w:rPr>
                <w:color w:val="auto"/>
                <w:sz w:val="24"/>
                <w:szCs w:val="24"/>
                <w:highlight w:val="none"/>
              </w:rPr>
            </w:pPr>
            <w:bookmarkStart w:id="98" w:name="_Toc16555"/>
            <w:r>
              <w:rPr>
                <w:color w:val="auto"/>
                <w:spacing w:val="-4"/>
                <w:sz w:val="24"/>
                <w:szCs w:val="24"/>
                <w:highlight w:val="none"/>
              </w:rPr>
              <w:t>差异说明</w:t>
            </w:r>
            <w:bookmarkEnd w:id="98"/>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826" w:type="dxa"/>
            <w:vAlign w:val="top"/>
          </w:tcPr>
          <w:p>
            <w:pPr>
              <w:rPr>
                <w:rFonts w:ascii="Arial"/>
                <w:color w:val="auto"/>
                <w:sz w:val="21"/>
                <w:highlight w:val="none"/>
              </w:rPr>
            </w:pPr>
          </w:p>
        </w:tc>
        <w:tc>
          <w:tcPr>
            <w:tcW w:w="3346" w:type="dxa"/>
            <w:vAlign w:val="top"/>
          </w:tcPr>
          <w:p>
            <w:pPr>
              <w:rPr>
                <w:rFonts w:ascii="Arial"/>
                <w:color w:val="auto"/>
                <w:sz w:val="21"/>
                <w:highlight w:val="none"/>
              </w:rPr>
            </w:pPr>
          </w:p>
        </w:tc>
        <w:tc>
          <w:tcPr>
            <w:tcW w:w="2757" w:type="dxa"/>
            <w:vAlign w:val="top"/>
          </w:tcPr>
          <w:p>
            <w:pPr>
              <w:rPr>
                <w:rFonts w:ascii="Arial"/>
                <w:color w:val="auto"/>
                <w:sz w:val="21"/>
                <w:highlight w:val="none"/>
              </w:rPr>
            </w:pPr>
          </w:p>
        </w:tc>
        <w:tc>
          <w:tcPr>
            <w:tcW w:w="2071"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26" w:type="dxa"/>
            <w:vAlign w:val="top"/>
          </w:tcPr>
          <w:p>
            <w:pPr>
              <w:rPr>
                <w:rFonts w:ascii="Arial"/>
                <w:color w:val="auto"/>
                <w:sz w:val="21"/>
                <w:highlight w:val="none"/>
              </w:rPr>
            </w:pPr>
          </w:p>
        </w:tc>
        <w:tc>
          <w:tcPr>
            <w:tcW w:w="3346" w:type="dxa"/>
            <w:vAlign w:val="top"/>
          </w:tcPr>
          <w:p>
            <w:pPr>
              <w:rPr>
                <w:rFonts w:ascii="Arial"/>
                <w:color w:val="auto"/>
                <w:sz w:val="21"/>
                <w:highlight w:val="none"/>
              </w:rPr>
            </w:pPr>
          </w:p>
        </w:tc>
        <w:tc>
          <w:tcPr>
            <w:tcW w:w="2757" w:type="dxa"/>
            <w:vAlign w:val="top"/>
          </w:tcPr>
          <w:p>
            <w:pPr>
              <w:rPr>
                <w:rFonts w:ascii="Arial"/>
                <w:color w:val="auto"/>
                <w:sz w:val="21"/>
                <w:highlight w:val="none"/>
              </w:rPr>
            </w:pPr>
          </w:p>
        </w:tc>
        <w:tc>
          <w:tcPr>
            <w:tcW w:w="2071"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826" w:type="dxa"/>
            <w:vAlign w:val="top"/>
          </w:tcPr>
          <w:p>
            <w:pPr>
              <w:rPr>
                <w:rFonts w:ascii="Arial"/>
                <w:color w:val="auto"/>
                <w:sz w:val="21"/>
                <w:highlight w:val="none"/>
              </w:rPr>
            </w:pPr>
          </w:p>
        </w:tc>
        <w:tc>
          <w:tcPr>
            <w:tcW w:w="3346" w:type="dxa"/>
            <w:vAlign w:val="top"/>
          </w:tcPr>
          <w:p>
            <w:pPr>
              <w:rPr>
                <w:rFonts w:ascii="Arial"/>
                <w:color w:val="auto"/>
                <w:sz w:val="21"/>
                <w:highlight w:val="none"/>
              </w:rPr>
            </w:pPr>
          </w:p>
        </w:tc>
        <w:tc>
          <w:tcPr>
            <w:tcW w:w="2757" w:type="dxa"/>
            <w:vAlign w:val="top"/>
          </w:tcPr>
          <w:p>
            <w:pPr>
              <w:rPr>
                <w:rFonts w:ascii="Arial"/>
                <w:color w:val="auto"/>
                <w:sz w:val="21"/>
                <w:highlight w:val="none"/>
              </w:rPr>
            </w:pPr>
          </w:p>
        </w:tc>
        <w:tc>
          <w:tcPr>
            <w:tcW w:w="2071"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26" w:type="dxa"/>
            <w:vAlign w:val="top"/>
          </w:tcPr>
          <w:p>
            <w:pPr>
              <w:rPr>
                <w:rFonts w:ascii="Arial"/>
                <w:color w:val="auto"/>
                <w:sz w:val="21"/>
                <w:highlight w:val="none"/>
              </w:rPr>
            </w:pPr>
          </w:p>
        </w:tc>
        <w:tc>
          <w:tcPr>
            <w:tcW w:w="3346" w:type="dxa"/>
            <w:vAlign w:val="top"/>
          </w:tcPr>
          <w:p>
            <w:pPr>
              <w:rPr>
                <w:rFonts w:ascii="Arial"/>
                <w:color w:val="auto"/>
                <w:sz w:val="21"/>
                <w:highlight w:val="none"/>
              </w:rPr>
            </w:pPr>
          </w:p>
        </w:tc>
        <w:tc>
          <w:tcPr>
            <w:tcW w:w="2757" w:type="dxa"/>
            <w:vAlign w:val="top"/>
          </w:tcPr>
          <w:p>
            <w:pPr>
              <w:rPr>
                <w:rFonts w:ascii="Arial"/>
                <w:color w:val="auto"/>
                <w:sz w:val="21"/>
                <w:highlight w:val="none"/>
              </w:rPr>
            </w:pPr>
          </w:p>
        </w:tc>
        <w:tc>
          <w:tcPr>
            <w:tcW w:w="2071"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26" w:type="dxa"/>
            <w:vAlign w:val="top"/>
          </w:tcPr>
          <w:p>
            <w:pPr>
              <w:rPr>
                <w:rFonts w:ascii="Arial"/>
                <w:color w:val="auto"/>
                <w:sz w:val="21"/>
                <w:highlight w:val="none"/>
              </w:rPr>
            </w:pPr>
          </w:p>
        </w:tc>
        <w:tc>
          <w:tcPr>
            <w:tcW w:w="3346" w:type="dxa"/>
            <w:vAlign w:val="top"/>
          </w:tcPr>
          <w:p>
            <w:pPr>
              <w:rPr>
                <w:rFonts w:ascii="Arial"/>
                <w:color w:val="auto"/>
                <w:sz w:val="21"/>
                <w:highlight w:val="none"/>
              </w:rPr>
            </w:pPr>
          </w:p>
        </w:tc>
        <w:tc>
          <w:tcPr>
            <w:tcW w:w="2757" w:type="dxa"/>
            <w:vAlign w:val="top"/>
          </w:tcPr>
          <w:p>
            <w:pPr>
              <w:rPr>
                <w:rFonts w:ascii="Arial"/>
                <w:color w:val="auto"/>
                <w:sz w:val="21"/>
                <w:highlight w:val="none"/>
              </w:rPr>
            </w:pPr>
          </w:p>
        </w:tc>
        <w:tc>
          <w:tcPr>
            <w:tcW w:w="2071"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826" w:type="dxa"/>
            <w:vAlign w:val="top"/>
          </w:tcPr>
          <w:p>
            <w:pPr>
              <w:rPr>
                <w:rFonts w:ascii="Arial"/>
                <w:color w:val="auto"/>
                <w:sz w:val="21"/>
                <w:highlight w:val="none"/>
              </w:rPr>
            </w:pPr>
          </w:p>
        </w:tc>
        <w:tc>
          <w:tcPr>
            <w:tcW w:w="3346" w:type="dxa"/>
            <w:vAlign w:val="top"/>
          </w:tcPr>
          <w:p>
            <w:pPr>
              <w:rPr>
                <w:rFonts w:ascii="Arial"/>
                <w:color w:val="auto"/>
                <w:sz w:val="21"/>
                <w:highlight w:val="none"/>
              </w:rPr>
            </w:pPr>
          </w:p>
        </w:tc>
        <w:tc>
          <w:tcPr>
            <w:tcW w:w="2757" w:type="dxa"/>
            <w:vAlign w:val="top"/>
          </w:tcPr>
          <w:p>
            <w:pPr>
              <w:rPr>
                <w:rFonts w:ascii="Arial"/>
                <w:color w:val="auto"/>
                <w:sz w:val="21"/>
                <w:highlight w:val="none"/>
              </w:rPr>
            </w:pPr>
          </w:p>
        </w:tc>
        <w:tc>
          <w:tcPr>
            <w:tcW w:w="2071"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26" w:type="dxa"/>
            <w:vAlign w:val="top"/>
          </w:tcPr>
          <w:p>
            <w:pPr>
              <w:rPr>
                <w:rFonts w:ascii="Arial"/>
                <w:color w:val="auto"/>
                <w:sz w:val="21"/>
                <w:highlight w:val="none"/>
              </w:rPr>
            </w:pPr>
          </w:p>
        </w:tc>
        <w:tc>
          <w:tcPr>
            <w:tcW w:w="3346" w:type="dxa"/>
            <w:vAlign w:val="top"/>
          </w:tcPr>
          <w:p>
            <w:pPr>
              <w:rPr>
                <w:rFonts w:ascii="Arial"/>
                <w:color w:val="auto"/>
                <w:sz w:val="21"/>
                <w:highlight w:val="none"/>
              </w:rPr>
            </w:pPr>
          </w:p>
        </w:tc>
        <w:tc>
          <w:tcPr>
            <w:tcW w:w="2757" w:type="dxa"/>
            <w:vAlign w:val="top"/>
          </w:tcPr>
          <w:p>
            <w:pPr>
              <w:rPr>
                <w:rFonts w:ascii="Arial"/>
                <w:color w:val="auto"/>
                <w:sz w:val="21"/>
                <w:highlight w:val="none"/>
              </w:rPr>
            </w:pPr>
          </w:p>
        </w:tc>
        <w:tc>
          <w:tcPr>
            <w:tcW w:w="2071"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26" w:type="dxa"/>
            <w:vAlign w:val="top"/>
          </w:tcPr>
          <w:p>
            <w:pPr>
              <w:rPr>
                <w:rFonts w:ascii="Arial"/>
                <w:color w:val="auto"/>
                <w:sz w:val="21"/>
                <w:highlight w:val="none"/>
              </w:rPr>
            </w:pPr>
          </w:p>
        </w:tc>
        <w:tc>
          <w:tcPr>
            <w:tcW w:w="3346" w:type="dxa"/>
            <w:vAlign w:val="top"/>
          </w:tcPr>
          <w:p>
            <w:pPr>
              <w:rPr>
                <w:rFonts w:ascii="Arial"/>
                <w:color w:val="auto"/>
                <w:sz w:val="21"/>
                <w:highlight w:val="none"/>
              </w:rPr>
            </w:pPr>
          </w:p>
        </w:tc>
        <w:tc>
          <w:tcPr>
            <w:tcW w:w="2757" w:type="dxa"/>
            <w:vAlign w:val="top"/>
          </w:tcPr>
          <w:p>
            <w:pPr>
              <w:rPr>
                <w:rFonts w:ascii="Arial"/>
                <w:color w:val="auto"/>
                <w:sz w:val="21"/>
                <w:highlight w:val="none"/>
              </w:rPr>
            </w:pPr>
          </w:p>
        </w:tc>
        <w:tc>
          <w:tcPr>
            <w:tcW w:w="2071"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826" w:type="dxa"/>
            <w:vAlign w:val="top"/>
          </w:tcPr>
          <w:p>
            <w:pPr>
              <w:rPr>
                <w:rFonts w:ascii="Arial"/>
                <w:color w:val="auto"/>
                <w:sz w:val="21"/>
                <w:highlight w:val="none"/>
              </w:rPr>
            </w:pPr>
          </w:p>
        </w:tc>
        <w:tc>
          <w:tcPr>
            <w:tcW w:w="3346" w:type="dxa"/>
            <w:vAlign w:val="top"/>
          </w:tcPr>
          <w:p>
            <w:pPr>
              <w:rPr>
                <w:rFonts w:ascii="Arial"/>
                <w:color w:val="auto"/>
                <w:sz w:val="21"/>
                <w:highlight w:val="none"/>
              </w:rPr>
            </w:pPr>
          </w:p>
        </w:tc>
        <w:tc>
          <w:tcPr>
            <w:tcW w:w="2757" w:type="dxa"/>
            <w:vAlign w:val="top"/>
          </w:tcPr>
          <w:p>
            <w:pPr>
              <w:rPr>
                <w:rFonts w:ascii="Arial"/>
                <w:color w:val="auto"/>
                <w:sz w:val="21"/>
                <w:highlight w:val="none"/>
              </w:rPr>
            </w:pPr>
          </w:p>
        </w:tc>
        <w:tc>
          <w:tcPr>
            <w:tcW w:w="2071"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826" w:type="dxa"/>
            <w:vAlign w:val="top"/>
          </w:tcPr>
          <w:p>
            <w:pPr>
              <w:rPr>
                <w:rFonts w:ascii="Arial"/>
                <w:color w:val="auto"/>
                <w:sz w:val="21"/>
                <w:highlight w:val="none"/>
              </w:rPr>
            </w:pPr>
          </w:p>
        </w:tc>
        <w:tc>
          <w:tcPr>
            <w:tcW w:w="3346" w:type="dxa"/>
            <w:vAlign w:val="top"/>
          </w:tcPr>
          <w:p>
            <w:pPr>
              <w:rPr>
                <w:rFonts w:ascii="Arial"/>
                <w:color w:val="auto"/>
                <w:sz w:val="21"/>
                <w:highlight w:val="none"/>
              </w:rPr>
            </w:pPr>
          </w:p>
        </w:tc>
        <w:tc>
          <w:tcPr>
            <w:tcW w:w="2757" w:type="dxa"/>
            <w:vAlign w:val="top"/>
          </w:tcPr>
          <w:p>
            <w:pPr>
              <w:rPr>
                <w:rFonts w:ascii="Arial"/>
                <w:color w:val="auto"/>
                <w:sz w:val="21"/>
                <w:highlight w:val="none"/>
              </w:rPr>
            </w:pPr>
          </w:p>
        </w:tc>
        <w:tc>
          <w:tcPr>
            <w:tcW w:w="2071" w:type="dxa"/>
            <w:vAlign w:val="top"/>
          </w:tcPr>
          <w:p>
            <w:pPr>
              <w:rPr>
                <w:rFonts w:ascii="Arial"/>
                <w:color w:val="auto"/>
                <w:sz w:val="21"/>
                <w:highlight w:val="none"/>
              </w:rPr>
            </w:pPr>
          </w:p>
        </w:tc>
      </w:tr>
    </w:tbl>
    <w:p>
      <w:pPr>
        <w:spacing w:before="98" w:line="219" w:lineRule="auto"/>
        <w:ind w:left="600"/>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供应商：                              </w:t>
      </w:r>
      <w:r>
        <w:rPr>
          <w:rFonts w:ascii="宋体" w:hAnsi="宋体" w:eastAsia="宋体" w:cs="宋体"/>
          <w:color w:val="auto"/>
          <w:spacing w:val="-1"/>
          <w:sz w:val="24"/>
          <w:szCs w:val="24"/>
          <w:highlight w:val="none"/>
        </w:rPr>
        <w:t xml:space="preserve"> 法定代表人授权代表：</w:t>
      </w:r>
    </w:p>
    <w:p>
      <w:pPr>
        <w:pStyle w:val="7"/>
        <w:spacing w:line="395" w:lineRule="auto"/>
        <w:rPr>
          <w:color w:val="auto"/>
          <w:highlight w:val="none"/>
        </w:rPr>
      </w:pPr>
    </w:p>
    <w:p>
      <w:pPr>
        <w:spacing w:before="79" w:line="219" w:lineRule="auto"/>
        <w:ind w:left="1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（供应商公章</w:t>
      </w:r>
      <w:r>
        <w:rPr>
          <w:rFonts w:ascii="宋体" w:hAnsi="宋体" w:eastAsia="宋体" w:cs="宋体"/>
          <w:color w:val="auto"/>
          <w:spacing w:val="-17"/>
          <w:sz w:val="24"/>
          <w:szCs w:val="24"/>
          <w:highlight w:val="none"/>
        </w:rPr>
        <w:t>）</w:t>
      </w:r>
      <w:r>
        <w:rPr>
          <w:rFonts w:ascii="宋体" w:hAnsi="宋体" w:eastAsia="宋体" w:cs="宋体"/>
          <w:color w:val="auto"/>
          <w:spacing w:val="4"/>
          <w:sz w:val="24"/>
          <w:szCs w:val="24"/>
          <w:highlight w:val="none"/>
        </w:rPr>
        <w:t xml:space="preserve">                            </w:t>
      </w:r>
      <w:r>
        <w:rPr>
          <w:rFonts w:ascii="宋体" w:hAnsi="宋体" w:eastAsia="宋体" w:cs="宋体"/>
          <w:color w:val="auto"/>
          <w:spacing w:val="-17"/>
          <w:sz w:val="24"/>
          <w:szCs w:val="24"/>
          <w:highlight w:val="none"/>
        </w:rPr>
        <w:t>（</w:t>
      </w:r>
      <w:r>
        <w:rPr>
          <w:rFonts w:ascii="宋体" w:hAnsi="宋体" w:eastAsia="宋体" w:cs="宋体"/>
          <w:color w:val="auto"/>
          <w:spacing w:val="1"/>
          <w:sz w:val="24"/>
          <w:szCs w:val="24"/>
          <w:highlight w:val="none"/>
        </w:rPr>
        <w:t>签字或盖章）</w:t>
      </w:r>
    </w:p>
    <w:p>
      <w:pPr>
        <w:spacing w:before="94" w:line="220" w:lineRule="auto"/>
        <w:ind w:left="5853"/>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年</w:t>
      </w:r>
      <w:r>
        <w:rPr>
          <w:rFonts w:ascii="宋体" w:hAnsi="宋体" w:eastAsia="宋体" w:cs="宋体"/>
          <w:color w:val="auto"/>
          <w:spacing w:val="3"/>
          <w:sz w:val="24"/>
          <w:szCs w:val="24"/>
          <w:highlight w:val="none"/>
        </w:rPr>
        <w:t xml:space="preserve">     </w:t>
      </w:r>
      <w:r>
        <w:rPr>
          <w:rFonts w:ascii="宋体" w:hAnsi="宋体" w:eastAsia="宋体" w:cs="宋体"/>
          <w:color w:val="auto"/>
          <w:spacing w:val="-9"/>
          <w:sz w:val="24"/>
          <w:szCs w:val="24"/>
          <w:highlight w:val="none"/>
        </w:rPr>
        <w:t>月</w:t>
      </w:r>
      <w:r>
        <w:rPr>
          <w:rFonts w:ascii="宋体" w:hAnsi="宋体" w:eastAsia="宋体" w:cs="宋体"/>
          <w:color w:val="auto"/>
          <w:spacing w:val="10"/>
          <w:sz w:val="24"/>
          <w:szCs w:val="24"/>
          <w:highlight w:val="none"/>
        </w:rPr>
        <w:t xml:space="preserve">     </w:t>
      </w:r>
      <w:r>
        <w:rPr>
          <w:rFonts w:ascii="宋体" w:hAnsi="宋体" w:eastAsia="宋体" w:cs="宋体"/>
          <w:color w:val="auto"/>
          <w:spacing w:val="-9"/>
          <w:sz w:val="24"/>
          <w:szCs w:val="24"/>
          <w:highlight w:val="none"/>
        </w:rPr>
        <w:t>日</w:t>
      </w:r>
    </w:p>
    <w:p>
      <w:pPr>
        <w:spacing w:before="96" w:line="224" w:lineRule="auto"/>
        <w:ind w:left="480"/>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注：</w:t>
      </w:r>
    </w:p>
    <w:p>
      <w:pPr>
        <w:spacing w:before="89" w:line="268" w:lineRule="auto"/>
        <w:ind w:firstLine="498"/>
        <w:rPr>
          <w:rFonts w:ascii="宋体" w:hAnsi="宋体" w:eastAsia="宋体" w:cs="宋体"/>
          <w:color w:val="auto"/>
          <w:sz w:val="24"/>
          <w:szCs w:val="24"/>
          <w:highlight w:val="none"/>
        </w:rPr>
      </w:pPr>
      <w:r>
        <w:rPr>
          <w:rFonts w:ascii="宋体" w:hAnsi="宋体" w:eastAsia="宋体" w:cs="宋体"/>
          <w:color w:val="auto"/>
          <w:sz w:val="24"/>
          <w:szCs w:val="24"/>
          <w:highlight w:val="none"/>
        </w:rPr>
        <w:t>1.本表必须按照“第三篇  询价项目</w:t>
      </w:r>
      <w:r>
        <w:rPr>
          <w:rFonts w:hint="eastAsia" w:ascii="宋体" w:hAnsi="宋体" w:eastAsia="宋体" w:cs="宋体"/>
          <w:color w:val="auto"/>
          <w:sz w:val="24"/>
          <w:szCs w:val="24"/>
          <w:highlight w:val="none"/>
          <w:lang w:val="en-US" w:eastAsia="zh-CN"/>
        </w:rPr>
        <w:t>服务</w:t>
      </w:r>
      <w:r>
        <w:rPr>
          <w:rFonts w:ascii="宋体" w:hAnsi="宋体" w:eastAsia="宋体" w:cs="宋体"/>
          <w:color w:val="auto"/>
          <w:sz w:val="24"/>
          <w:szCs w:val="24"/>
          <w:highlight w:val="none"/>
        </w:rPr>
        <w:t>需求</w:t>
      </w:r>
      <w:r>
        <w:rPr>
          <w:rFonts w:ascii="宋体" w:hAnsi="宋体" w:eastAsia="宋体" w:cs="宋体"/>
          <w:color w:val="auto"/>
          <w:spacing w:val="-86"/>
          <w:sz w:val="24"/>
          <w:szCs w:val="24"/>
          <w:highlight w:val="none"/>
        </w:rPr>
        <w:t xml:space="preserve"> </w:t>
      </w:r>
      <w:r>
        <w:rPr>
          <w:rFonts w:ascii="宋体" w:hAnsi="宋体" w:eastAsia="宋体" w:cs="宋体"/>
          <w:color w:val="auto"/>
          <w:sz w:val="24"/>
          <w:szCs w:val="24"/>
          <w:highlight w:val="none"/>
        </w:rPr>
        <w:t>”中所列内容逐</w:t>
      </w:r>
      <w:r>
        <w:rPr>
          <w:rFonts w:ascii="宋体" w:hAnsi="宋体" w:eastAsia="宋体" w:cs="宋体"/>
          <w:color w:val="auto"/>
          <w:spacing w:val="-1"/>
          <w:sz w:val="24"/>
          <w:szCs w:val="24"/>
          <w:highlight w:val="none"/>
        </w:rPr>
        <w:t>条进行比较和响应，根</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据响应情况在“差异说明</w:t>
      </w:r>
      <w:r>
        <w:rPr>
          <w:rFonts w:ascii="宋体" w:hAnsi="宋体" w:eastAsia="宋体" w:cs="宋体"/>
          <w:color w:val="auto"/>
          <w:spacing w:val="-72"/>
          <w:sz w:val="24"/>
          <w:szCs w:val="24"/>
          <w:highlight w:val="none"/>
        </w:rPr>
        <w:t xml:space="preserve"> </w:t>
      </w:r>
      <w:r>
        <w:rPr>
          <w:rFonts w:ascii="宋体" w:hAnsi="宋体" w:eastAsia="宋体" w:cs="宋体"/>
          <w:color w:val="auto"/>
          <w:spacing w:val="-1"/>
          <w:sz w:val="24"/>
          <w:szCs w:val="24"/>
          <w:highlight w:val="none"/>
        </w:rPr>
        <w:t>”项填写正偏离或负偏离及原因，完全符合的填写“无差异</w:t>
      </w:r>
      <w:r>
        <w:rPr>
          <w:rFonts w:ascii="宋体" w:hAnsi="宋体" w:eastAsia="宋体" w:cs="宋体"/>
          <w:color w:val="auto"/>
          <w:spacing w:val="-86"/>
          <w:sz w:val="24"/>
          <w:szCs w:val="24"/>
          <w:highlight w:val="none"/>
        </w:rPr>
        <w:t xml:space="preserve"> </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u w:val="single" w:color="auto"/>
        </w:rPr>
        <w:t>未按照规定要求填写的，视为无效响应。</w:t>
      </w:r>
    </w:p>
    <w:p>
      <w:pPr>
        <w:spacing w:before="93" w:line="219" w:lineRule="auto"/>
        <w:ind w:left="483"/>
        <w:outlineLvl w:val="9"/>
        <w:rPr>
          <w:rFonts w:ascii="宋体" w:hAnsi="宋体" w:eastAsia="宋体" w:cs="宋体"/>
          <w:color w:val="auto"/>
          <w:sz w:val="24"/>
          <w:szCs w:val="24"/>
          <w:highlight w:val="none"/>
        </w:rPr>
      </w:pPr>
      <w:bookmarkStart w:id="99" w:name="_Toc10100"/>
      <w:r>
        <w:rPr>
          <w:rFonts w:ascii="宋体" w:hAnsi="宋体" w:eastAsia="宋体" w:cs="宋体"/>
          <w:color w:val="auto"/>
          <w:sz w:val="24"/>
          <w:szCs w:val="24"/>
          <w:highlight w:val="none"/>
        </w:rPr>
        <w:t>2.供应商应按询价通知书的要求（如有）提供相</w:t>
      </w:r>
      <w:r>
        <w:rPr>
          <w:rFonts w:ascii="宋体" w:hAnsi="宋体" w:eastAsia="宋体" w:cs="宋体"/>
          <w:color w:val="auto"/>
          <w:spacing w:val="-1"/>
          <w:sz w:val="24"/>
          <w:szCs w:val="24"/>
          <w:highlight w:val="none"/>
        </w:rPr>
        <w:t>关技术支撑材料。（格式自定）</w:t>
      </w:r>
      <w:bookmarkEnd w:id="99"/>
    </w:p>
    <w:p>
      <w:pPr>
        <w:spacing w:before="95" w:line="219" w:lineRule="auto"/>
        <w:jc w:val="right"/>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 xml:space="preserve">3. </w:t>
      </w:r>
      <w:r>
        <w:rPr>
          <w:rFonts w:ascii="宋体" w:hAnsi="宋体" w:eastAsia="宋体" w:cs="宋体"/>
          <w:color w:val="auto"/>
          <w:spacing w:val="-4"/>
          <w:sz w:val="24"/>
          <w:szCs w:val="24"/>
          <w:highlight w:val="none"/>
          <w:u w:val="single" w:color="auto"/>
        </w:rPr>
        <w:t>供应商在“差异说明</w:t>
      </w:r>
      <w:r>
        <w:rPr>
          <w:rFonts w:ascii="宋体" w:hAnsi="宋体" w:eastAsia="宋体" w:cs="宋体"/>
          <w:color w:val="auto"/>
          <w:spacing w:val="-79"/>
          <w:sz w:val="24"/>
          <w:szCs w:val="24"/>
          <w:highlight w:val="none"/>
          <w:u w:val="single" w:color="auto"/>
        </w:rPr>
        <w:t xml:space="preserve"> </w:t>
      </w:r>
      <w:r>
        <w:rPr>
          <w:rFonts w:ascii="宋体" w:hAnsi="宋体" w:eastAsia="宋体" w:cs="宋体"/>
          <w:color w:val="auto"/>
          <w:spacing w:val="-4"/>
          <w:sz w:val="24"/>
          <w:szCs w:val="24"/>
          <w:highlight w:val="none"/>
          <w:u w:val="single" w:color="auto"/>
        </w:rPr>
        <w:t>”项填写为“正偏离</w:t>
      </w:r>
      <w:r>
        <w:rPr>
          <w:rFonts w:ascii="宋体" w:hAnsi="宋体" w:eastAsia="宋体" w:cs="宋体"/>
          <w:color w:val="auto"/>
          <w:spacing w:val="-88"/>
          <w:sz w:val="24"/>
          <w:szCs w:val="24"/>
          <w:highlight w:val="none"/>
          <w:u w:val="single" w:color="auto"/>
        </w:rPr>
        <w:t xml:space="preserve"> </w:t>
      </w:r>
      <w:r>
        <w:rPr>
          <w:rFonts w:ascii="宋体" w:hAnsi="宋体" w:eastAsia="宋体" w:cs="宋体"/>
          <w:color w:val="auto"/>
          <w:spacing w:val="-4"/>
          <w:sz w:val="24"/>
          <w:szCs w:val="24"/>
          <w:highlight w:val="none"/>
          <w:u w:val="single" w:color="auto"/>
        </w:rPr>
        <w:t>”的，必须提供相关技术支撑材料予以证</w:t>
      </w:r>
    </w:p>
    <w:p>
      <w:pPr>
        <w:spacing w:before="97" w:line="220" w:lineRule="auto"/>
        <w:ind w:left="23"/>
        <w:outlineLvl w:val="9"/>
        <w:rPr>
          <w:rFonts w:ascii="宋体" w:hAnsi="宋体" w:eastAsia="宋体" w:cs="宋体"/>
          <w:color w:val="auto"/>
          <w:sz w:val="24"/>
          <w:szCs w:val="24"/>
          <w:highlight w:val="none"/>
        </w:rPr>
      </w:pPr>
      <w:bookmarkStart w:id="100" w:name="_Toc32763"/>
      <w:r>
        <w:rPr>
          <w:rFonts w:ascii="宋体" w:hAnsi="宋体" w:eastAsia="宋体" w:cs="宋体"/>
          <w:color w:val="auto"/>
          <w:sz w:val="24"/>
          <w:szCs w:val="24"/>
          <w:highlight w:val="none"/>
          <w:u w:val="single" w:color="auto"/>
        </w:rPr>
        <w:t>明，否则不予认可。</w:t>
      </w:r>
      <w:bookmarkEnd w:id="100"/>
    </w:p>
    <w:p>
      <w:pPr>
        <w:spacing w:line="220" w:lineRule="auto"/>
        <w:rPr>
          <w:rFonts w:ascii="宋体" w:hAnsi="宋体" w:eastAsia="宋体" w:cs="宋体"/>
          <w:color w:val="auto"/>
          <w:sz w:val="24"/>
          <w:szCs w:val="24"/>
          <w:highlight w:val="none"/>
        </w:rPr>
        <w:sectPr>
          <w:footerReference r:id="rId28" w:type="default"/>
          <w:pgSz w:w="11906" w:h="16839"/>
          <w:pgMar w:top="1178" w:right="1190" w:bottom="1222" w:left="1311" w:header="0" w:footer="853" w:gutter="0"/>
          <w:pgNumType w:fmt="decimal"/>
          <w:cols w:space="720" w:num="1"/>
        </w:sectPr>
      </w:pPr>
    </w:p>
    <w:p>
      <w:pPr>
        <w:spacing w:before="53" w:line="241" w:lineRule="auto"/>
        <w:ind w:left="504"/>
        <w:outlineLvl w:val="0"/>
        <w:rPr>
          <w:rFonts w:ascii="黑体" w:hAnsi="黑体" w:eastAsia="黑体" w:cs="黑体"/>
          <w:color w:val="auto"/>
          <w:sz w:val="24"/>
          <w:szCs w:val="24"/>
          <w:highlight w:val="none"/>
        </w:rPr>
      </w:pPr>
      <w:bookmarkStart w:id="101" w:name="bookmark37"/>
      <w:bookmarkEnd w:id="101"/>
      <w:bookmarkStart w:id="102" w:name="_Toc11060"/>
      <w:r>
        <w:rPr>
          <w:rFonts w:ascii="黑体" w:hAnsi="黑体" w:eastAsia="黑体" w:cs="黑体"/>
          <w:color w:val="auto"/>
          <w:spacing w:val="-3"/>
          <w:sz w:val="24"/>
          <w:szCs w:val="24"/>
          <w:highlight w:val="none"/>
        </w:rPr>
        <w:t>三、商务部分</w:t>
      </w:r>
      <w:bookmarkEnd w:id="102"/>
    </w:p>
    <w:p>
      <w:pPr>
        <w:spacing w:before="75" w:line="220" w:lineRule="auto"/>
        <w:ind w:left="504"/>
        <w:outlineLvl w:val="9"/>
        <w:rPr>
          <w:rFonts w:ascii="宋体" w:hAnsi="宋体" w:eastAsia="宋体" w:cs="宋体"/>
          <w:color w:val="auto"/>
          <w:sz w:val="24"/>
          <w:szCs w:val="24"/>
          <w:highlight w:val="none"/>
        </w:rPr>
      </w:pPr>
      <w:bookmarkStart w:id="103" w:name="_Toc14539"/>
      <w:r>
        <w:rPr>
          <w:rFonts w:ascii="宋体" w:hAnsi="宋体" w:eastAsia="宋体" w:cs="宋体"/>
          <w:color w:val="auto"/>
          <w:spacing w:val="-3"/>
          <w:sz w:val="24"/>
          <w:szCs w:val="24"/>
          <w:highlight w:val="none"/>
        </w:rPr>
        <w:t>（一）商务响应偏离表</w:t>
      </w:r>
      <w:bookmarkEnd w:id="103"/>
    </w:p>
    <w:p>
      <w:pPr>
        <w:spacing w:before="95" w:line="220" w:lineRule="auto"/>
        <w:ind w:left="3399"/>
        <w:outlineLvl w:val="9"/>
        <w:rPr>
          <w:rFonts w:ascii="宋体" w:hAnsi="宋体" w:eastAsia="宋体" w:cs="宋体"/>
          <w:color w:val="auto"/>
          <w:sz w:val="24"/>
          <w:szCs w:val="24"/>
          <w:highlight w:val="none"/>
        </w:rPr>
      </w:pPr>
      <w:bookmarkStart w:id="104" w:name="_Toc6450"/>
      <w:r>
        <w:rPr>
          <w:rFonts w:ascii="宋体" w:hAnsi="宋体" w:eastAsia="宋体" w:cs="宋体"/>
          <w:b/>
          <w:bCs/>
          <w:color w:val="auto"/>
          <w:spacing w:val="-3"/>
          <w:sz w:val="24"/>
          <w:szCs w:val="24"/>
          <w:highlight w:val="none"/>
        </w:rPr>
        <w:t>商务响应偏离表（格式）</w:t>
      </w:r>
      <w:bookmarkEnd w:id="104"/>
    </w:p>
    <w:p>
      <w:pPr>
        <w:pStyle w:val="7"/>
        <w:spacing w:line="391" w:lineRule="auto"/>
        <w:rPr>
          <w:color w:val="auto"/>
          <w:highlight w:val="none"/>
        </w:rPr>
      </w:pPr>
    </w:p>
    <w:p>
      <w:pPr>
        <w:spacing w:before="78" w:line="217" w:lineRule="auto"/>
        <w:ind w:left="47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对于询价通知书的商务要求，如有任何偏离请如实填写下表：</w:t>
      </w:r>
    </w:p>
    <w:tbl>
      <w:tblPr>
        <w:tblStyle w:val="15"/>
        <w:tblW w:w="89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7"/>
        <w:gridCol w:w="2692"/>
        <w:gridCol w:w="2833"/>
        <w:gridCol w:w="24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2" w:hRule="atLeast"/>
        </w:trPr>
        <w:tc>
          <w:tcPr>
            <w:tcW w:w="997" w:type="dxa"/>
            <w:vAlign w:val="top"/>
          </w:tcPr>
          <w:p>
            <w:pPr>
              <w:spacing w:line="290" w:lineRule="auto"/>
              <w:rPr>
                <w:rFonts w:ascii="Arial"/>
                <w:color w:val="auto"/>
                <w:sz w:val="21"/>
                <w:highlight w:val="none"/>
              </w:rPr>
            </w:pPr>
          </w:p>
          <w:p>
            <w:pPr>
              <w:pStyle w:val="16"/>
              <w:spacing w:before="78" w:line="222" w:lineRule="auto"/>
              <w:ind w:left="264"/>
              <w:outlineLvl w:val="0"/>
              <w:rPr>
                <w:color w:val="auto"/>
                <w:sz w:val="24"/>
                <w:szCs w:val="24"/>
                <w:highlight w:val="none"/>
              </w:rPr>
            </w:pPr>
            <w:bookmarkStart w:id="105" w:name="_Toc30631"/>
            <w:r>
              <w:rPr>
                <w:color w:val="auto"/>
                <w:spacing w:val="-5"/>
                <w:sz w:val="24"/>
                <w:szCs w:val="24"/>
                <w:highlight w:val="none"/>
              </w:rPr>
              <w:t>序号</w:t>
            </w:r>
            <w:bookmarkEnd w:id="105"/>
          </w:p>
        </w:tc>
        <w:tc>
          <w:tcPr>
            <w:tcW w:w="2692" w:type="dxa"/>
            <w:vAlign w:val="top"/>
          </w:tcPr>
          <w:p>
            <w:pPr>
              <w:spacing w:line="291" w:lineRule="auto"/>
              <w:rPr>
                <w:rFonts w:ascii="Arial"/>
                <w:color w:val="auto"/>
                <w:sz w:val="21"/>
                <w:highlight w:val="none"/>
              </w:rPr>
            </w:pPr>
          </w:p>
          <w:p>
            <w:pPr>
              <w:pStyle w:val="16"/>
              <w:spacing w:before="78" w:line="220" w:lineRule="auto"/>
              <w:ind w:left="635"/>
              <w:outlineLvl w:val="0"/>
              <w:rPr>
                <w:color w:val="auto"/>
                <w:sz w:val="24"/>
                <w:szCs w:val="24"/>
                <w:highlight w:val="none"/>
              </w:rPr>
            </w:pPr>
            <w:bookmarkStart w:id="106" w:name="_Toc19390"/>
            <w:r>
              <w:rPr>
                <w:color w:val="auto"/>
                <w:spacing w:val="-3"/>
                <w:sz w:val="24"/>
                <w:szCs w:val="24"/>
                <w:highlight w:val="none"/>
              </w:rPr>
              <w:t>项目商务需求</w:t>
            </w:r>
            <w:bookmarkEnd w:id="106"/>
          </w:p>
        </w:tc>
        <w:tc>
          <w:tcPr>
            <w:tcW w:w="2833" w:type="dxa"/>
            <w:vAlign w:val="top"/>
          </w:tcPr>
          <w:p>
            <w:pPr>
              <w:spacing w:line="290" w:lineRule="auto"/>
              <w:rPr>
                <w:rFonts w:ascii="Arial"/>
                <w:color w:val="auto"/>
                <w:sz w:val="21"/>
                <w:highlight w:val="none"/>
              </w:rPr>
            </w:pPr>
          </w:p>
          <w:p>
            <w:pPr>
              <w:pStyle w:val="16"/>
              <w:spacing w:before="78" w:line="221" w:lineRule="auto"/>
              <w:ind w:left="956"/>
              <w:outlineLvl w:val="0"/>
              <w:rPr>
                <w:color w:val="auto"/>
                <w:sz w:val="24"/>
                <w:szCs w:val="24"/>
                <w:highlight w:val="none"/>
              </w:rPr>
            </w:pPr>
            <w:bookmarkStart w:id="107" w:name="_Toc30151"/>
            <w:r>
              <w:rPr>
                <w:color w:val="auto"/>
                <w:spacing w:val="-6"/>
                <w:sz w:val="24"/>
                <w:szCs w:val="24"/>
                <w:highlight w:val="none"/>
              </w:rPr>
              <w:t>响应情况</w:t>
            </w:r>
            <w:bookmarkEnd w:id="107"/>
          </w:p>
        </w:tc>
        <w:tc>
          <w:tcPr>
            <w:tcW w:w="2413" w:type="dxa"/>
            <w:vAlign w:val="top"/>
          </w:tcPr>
          <w:p>
            <w:pPr>
              <w:spacing w:line="291" w:lineRule="auto"/>
              <w:rPr>
                <w:rFonts w:ascii="Arial"/>
                <w:color w:val="auto"/>
                <w:sz w:val="21"/>
                <w:highlight w:val="none"/>
              </w:rPr>
            </w:pPr>
          </w:p>
          <w:p>
            <w:pPr>
              <w:pStyle w:val="16"/>
              <w:spacing w:before="78" w:line="220" w:lineRule="auto"/>
              <w:ind w:left="731"/>
              <w:outlineLvl w:val="0"/>
              <w:rPr>
                <w:color w:val="auto"/>
                <w:sz w:val="24"/>
                <w:szCs w:val="24"/>
                <w:highlight w:val="none"/>
              </w:rPr>
            </w:pPr>
            <w:bookmarkStart w:id="108" w:name="_Toc26284"/>
            <w:r>
              <w:rPr>
                <w:color w:val="auto"/>
                <w:spacing w:val="-3"/>
                <w:sz w:val="24"/>
                <w:szCs w:val="24"/>
                <w:highlight w:val="none"/>
              </w:rPr>
              <w:t>偏离说明</w:t>
            </w:r>
            <w:bookmarkEnd w:id="108"/>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997" w:type="dxa"/>
            <w:vAlign w:val="top"/>
          </w:tcPr>
          <w:p>
            <w:pPr>
              <w:rPr>
                <w:rFonts w:ascii="Arial"/>
                <w:color w:val="auto"/>
                <w:sz w:val="21"/>
                <w:highlight w:val="none"/>
              </w:rPr>
            </w:pPr>
          </w:p>
        </w:tc>
        <w:tc>
          <w:tcPr>
            <w:tcW w:w="2692" w:type="dxa"/>
            <w:vAlign w:val="top"/>
          </w:tcPr>
          <w:p>
            <w:pPr>
              <w:rPr>
                <w:rFonts w:ascii="Arial"/>
                <w:color w:val="auto"/>
                <w:sz w:val="21"/>
                <w:highlight w:val="none"/>
              </w:rPr>
            </w:pPr>
          </w:p>
        </w:tc>
        <w:tc>
          <w:tcPr>
            <w:tcW w:w="2833" w:type="dxa"/>
            <w:vAlign w:val="top"/>
          </w:tcPr>
          <w:p>
            <w:pPr>
              <w:rPr>
                <w:rFonts w:ascii="Arial"/>
                <w:color w:val="auto"/>
                <w:sz w:val="21"/>
                <w:highlight w:val="none"/>
              </w:rPr>
            </w:pPr>
          </w:p>
        </w:tc>
        <w:tc>
          <w:tcPr>
            <w:tcW w:w="241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997" w:type="dxa"/>
            <w:vAlign w:val="top"/>
          </w:tcPr>
          <w:p>
            <w:pPr>
              <w:rPr>
                <w:rFonts w:ascii="Arial"/>
                <w:color w:val="auto"/>
                <w:sz w:val="21"/>
                <w:highlight w:val="none"/>
              </w:rPr>
            </w:pPr>
          </w:p>
        </w:tc>
        <w:tc>
          <w:tcPr>
            <w:tcW w:w="2692" w:type="dxa"/>
            <w:vAlign w:val="top"/>
          </w:tcPr>
          <w:p>
            <w:pPr>
              <w:rPr>
                <w:rFonts w:ascii="Arial"/>
                <w:color w:val="auto"/>
                <w:sz w:val="21"/>
                <w:highlight w:val="none"/>
              </w:rPr>
            </w:pPr>
          </w:p>
        </w:tc>
        <w:tc>
          <w:tcPr>
            <w:tcW w:w="2833" w:type="dxa"/>
            <w:vAlign w:val="top"/>
          </w:tcPr>
          <w:p>
            <w:pPr>
              <w:rPr>
                <w:rFonts w:ascii="Arial"/>
                <w:color w:val="auto"/>
                <w:sz w:val="21"/>
                <w:highlight w:val="none"/>
              </w:rPr>
            </w:pPr>
          </w:p>
        </w:tc>
        <w:tc>
          <w:tcPr>
            <w:tcW w:w="241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997" w:type="dxa"/>
            <w:vAlign w:val="top"/>
          </w:tcPr>
          <w:p>
            <w:pPr>
              <w:rPr>
                <w:rFonts w:ascii="Arial"/>
                <w:color w:val="auto"/>
                <w:sz w:val="21"/>
                <w:highlight w:val="none"/>
              </w:rPr>
            </w:pPr>
          </w:p>
        </w:tc>
        <w:tc>
          <w:tcPr>
            <w:tcW w:w="2692" w:type="dxa"/>
            <w:vAlign w:val="top"/>
          </w:tcPr>
          <w:p>
            <w:pPr>
              <w:rPr>
                <w:rFonts w:ascii="Arial"/>
                <w:color w:val="auto"/>
                <w:sz w:val="21"/>
                <w:highlight w:val="none"/>
              </w:rPr>
            </w:pPr>
          </w:p>
        </w:tc>
        <w:tc>
          <w:tcPr>
            <w:tcW w:w="2833" w:type="dxa"/>
            <w:vAlign w:val="top"/>
          </w:tcPr>
          <w:p>
            <w:pPr>
              <w:rPr>
                <w:rFonts w:ascii="Arial"/>
                <w:color w:val="auto"/>
                <w:sz w:val="21"/>
                <w:highlight w:val="none"/>
              </w:rPr>
            </w:pPr>
          </w:p>
        </w:tc>
        <w:tc>
          <w:tcPr>
            <w:tcW w:w="241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997" w:type="dxa"/>
            <w:vAlign w:val="top"/>
          </w:tcPr>
          <w:p>
            <w:pPr>
              <w:rPr>
                <w:rFonts w:ascii="Arial"/>
                <w:color w:val="auto"/>
                <w:sz w:val="21"/>
                <w:highlight w:val="none"/>
              </w:rPr>
            </w:pPr>
          </w:p>
        </w:tc>
        <w:tc>
          <w:tcPr>
            <w:tcW w:w="2692" w:type="dxa"/>
            <w:vAlign w:val="top"/>
          </w:tcPr>
          <w:p>
            <w:pPr>
              <w:rPr>
                <w:rFonts w:ascii="Arial"/>
                <w:color w:val="auto"/>
                <w:sz w:val="21"/>
                <w:highlight w:val="none"/>
              </w:rPr>
            </w:pPr>
          </w:p>
        </w:tc>
        <w:tc>
          <w:tcPr>
            <w:tcW w:w="2833" w:type="dxa"/>
            <w:vAlign w:val="top"/>
          </w:tcPr>
          <w:p>
            <w:pPr>
              <w:rPr>
                <w:rFonts w:ascii="Arial"/>
                <w:color w:val="auto"/>
                <w:sz w:val="21"/>
                <w:highlight w:val="none"/>
              </w:rPr>
            </w:pPr>
          </w:p>
        </w:tc>
        <w:tc>
          <w:tcPr>
            <w:tcW w:w="241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997" w:type="dxa"/>
            <w:vAlign w:val="top"/>
          </w:tcPr>
          <w:p>
            <w:pPr>
              <w:rPr>
                <w:rFonts w:ascii="Arial"/>
                <w:color w:val="auto"/>
                <w:sz w:val="21"/>
                <w:highlight w:val="none"/>
              </w:rPr>
            </w:pPr>
          </w:p>
        </w:tc>
        <w:tc>
          <w:tcPr>
            <w:tcW w:w="2692" w:type="dxa"/>
            <w:vAlign w:val="top"/>
          </w:tcPr>
          <w:p>
            <w:pPr>
              <w:rPr>
                <w:rFonts w:ascii="Arial"/>
                <w:color w:val="auto"/>
                <w:sz w:val="21"/>
                <w:highlight w:val="none"/>
              </w:rPr>
            </w:pPr>
          </w:p>
        </w:tc>
        <w:tc>
          <w:tcPr>
            <w:tcW w:w="2833" w:type="dxa"/>
            <w:vAlign w:val="top"/>
          </w:tcPr>
          <w:p>
            <w:pPr>
              <w:rPr>
                <w:rFonts w:ascii="Arial"/>
                <w:color w:val="auto"/>
                <w:sz w:val="21"/>
                <w:highlight w:val="none"/>
              </w:rPr>
            </w:pPr>
          </w:p>
        </w:tc>
        <w:tc>
          <w:tcPr>
            <w:tcW w:w="2413"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997" w:type="dxa"/>
            <w:vAlign w:val="top"/>
          </w:tcPr>
          <w:p>
            <w:pPr>
              <w:rPr>
                <w:rFonts w:ascii="Arial"/>
                <w:color w:val="auto"/>
                <w:sz w:val="21"/>
                <w:highlight w:val="none"/>
              </w:rPr>
            </w:pPr>
          </w:p>
        </w:tc>
        <w:tc>
          <w:tcPr>
            <w:tcW w:w="2692" w:type="dxa"/>
            <w:vAlign w:val="top"/>
          </w:tcPr>
          <w:p>
            <w:pPr>
              <w:rPr>
                <w:rFonts w:ascii="Arial"/>
                <w:color w:val="auto"/>
                <w:sz w:val="21"/>
                <w:highlight w:val="none"/>
              </w:rPr>
            </w:pPr>
          </w:p>
        </w:tc>
        <w:tc>
          <w:tcPr>
            <w:tcW w:w="2833" w:type="dxa"/>
            <w:vAlign w:val="top"/>
          </w:tcPr>
          <w:p>
            <w:pPr>
              <w:rPr>
                <w:rFonts w:ascii="Arial"/>
                <w:color w:val="auto"/>
                <w:sz w:val="21"/>
                <w:highlight w:val="none"/>
              </w:rPr>
            </w:pPr>
          </w:p>
        </w:tc>
        <w:tc>
          <w:tcPr>
            <w:tcW w:w="2413" w:type="dxa"/>
            <w:vAlign w:val="top"/>
          </w:tcPr>
          <w:p>
            <w:pPr>
              <w:rPr>
                <w:rFonts w:ascii="Arial"/>
                <w:color w:val="auto"/>
                <w:sz w:val="21"/>
                <w:highlight w:val="none"/>
              </w:rPr>
            </w:pPr>
          </w:p>
        </w:tc>
      </w:tr>
    </w:tbl>
    <w:p>
      <w:pPr>
        <w:pStyle w:val="7"/>
        <w:spacing w:line="398" w:lineRule="auto"/>
        <w:rPr>
          <w:color w:val="auto"/>
          <w:highlight w:val="none"/>
        </w:rPr>
      </w:pPr>
    </w:p>
    <w:p>
      <w:pPr>
        <w:spacing w:before="79" w:line="219" w:lineRule="auto"/>
        <w:ind w:left="613"/>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供应商：                             </w:t>
      </w:r>
      <w:r>
        <w:rPr>
          <w:rFonts w:ascii="宋体" w:hAnsi="宋体" w:eastAsia="宋体" w:cs="宋体"/>
          <w:color w:val="auto"/>
          <w:spacing w:val="-1"/>
          <w:sz w:val="24"/>
          <w:szCs w:val="24"/>
          <w:highlight w:val="none"/>
        </w:rPr>
        <w:t xml:space="preserve"> 法定代表人授权代表：</w:t>
      </w:r>
    </w:p>
    <w:p>
      <w:pPr>
        <w:spacing w:before="94" w:line="219" w:lineRule="auto"/>
        <w:ind w:left="2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（供应商公章</w:t>
      </w:r>
      <w:r>
        <w:rPr>
          <w:rFonts w:ascii="宋体" w:hAnsi="宋体" w:eastAsia="宋体" w:cs="宋体"/>
          <w:color w:val="auto"/>
          <w:spacing w:val="-17"/>
          <w:sz w:val="24"/>
          <w:szCs w:val="24"/>
          <w:highlight w:val="none"/>
        </w:rPr>
        <w:t>）</w:t>
      </w:r>
      <w:r>
        <w:rPr>
          <w:rFonts w:ascii="宋体" w:hAnsi="宋体" w:eastAsia="宋体" w:cs="宋体"/>
          <w:color w:val="auto"/>
          <w:spacing w:val="4"/>
          <w:sz w:val="24"/>
          <w:szCs w:val="24"/>
          <w:highlight w:val="none"/>
        </w:rPr>
        <w:t xml:space="preserve">                          </w:t>
      </w:r>
      <w:r>
        <w:rPr>
          <w:rFonts w:ascii="宋体" w:hAnsi="宋体" w:eastAsia="宋体" w:cs="宋体"/>
          <w:color w:val="auto"/>
          <w:spacing w:val="3"/>
          <w:sz w:val="24"/>
          <w:szCs w:val="24"/>
          <w:highlight w:val="none"/>
        </w:rPr>
        <w:t xml:space="preserve">     </w:t>
      </w:r>
      <w:r>
        <w:rPr>
          <w:rFonts w:ascii="宋体" w:hAnsi="宋体" w:eastAsia="宋体" w:cs="宋体"/>
          <w:color w:val="auto"/>
          <w:spacing w:val="-17"/>
          <w:sz w:val="24"/>
          <w:szCs w:val="24"/>
          <w:highlight w:val="none"/>
        </w:rPr>
        <w:t>（</w:t>
      </w:r>
      <w:r>
        <w:rPr>
          <w:rFonts w:ascii="宋体" w:hAnsi="宋体" w:eastAsia="宋体" w:cs="宋体"/>
          <w:color w:val="auto"/>
          <w:spacing w:val="1"/>
          <w:sz w:val="24"/>
          <w:szCs w:val="24"/>
          <w:highlight w:val="none"/>
        </w:rPr>
        <w:t>签字或盖章）</w:t>
      </w:r>
    </w:p>
    <w:p>
      <w:pPr>
        <w:pStyle w:val="7"/>
        <w:spacing w:line="257" w:lineRule="auto"/>
        <w:rPr>
          <w:color w:val="auto"/>
          <w:highlight w:val="none"/>
        </w:rPr>
      </w:pPr>
    </w:p>
    <w:p>
      <w:pPr>
        <w:pStyle w:val="7"/>
        <w:spacing w:line="257" w:lineRule="auto"/>
        <w:rPr>
          <w:color w:val="auto"/>
          <w:highlight w:val="none"/>
        </w:rPr>
      </w:pPr>
    </w:p>
    <w:p>
      <w:pPr>
        <w:pStyle w:val="7"/>
        <w:spacing w:line="258" w:lineRule="auto"/>
        <w:rPr>
          <w:color w:val="auto"/>
          <w:highlight w:val="none"/>
        </w:rPr>
      </w:pPr>
    </w:p>
    <w:p>
      <w:pPr>
        <w:spacing w:before="79" w:line="220" w:lineRule="auto"/>
        <w:ind w:left="5865"/>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年</w:t>
      </w:r>
      <w:r>
        <w:rPr>
          <w:rFonts w:ascii="宋体" w:hAnsi="宋体" w:eastAsia="宋体" w:cs="宋体"/>
          <w:color w:val="auto"/>
          <w:spacing w:val="3"/>
          <w:sz w:val="24"/>
          <w:szCs w:val="24"/>
          <w:highlight w:val="none"/>
        </w:rPr>
        <w:t xml:space="preserve">     </w:t>
      </w:r>
      <w:r>
        <w:rPr>
          <w:rFonts w:ascii="宋体" w:hAnsi="宋体" w:eastAsia="宋体" w:cs="宋体"/>
          <w:color w:val="auto"/>
          <w:spacing w:val="-9"/>
          <w:sz w:val="24"/>
          <w:szCs w:val="24"/>
          <w:highlight w:val="none"/>
        </w:rPr>
        <w:t>月</w:t>
      </w:r>
      <w:r>
        <w:rPr>
          <w:rFonts w:ascii="宋体" w:hAnsi="宋体" w:eastAsia="宋体" w:cs="宋体"/>
          <w:color w:val="auto"/>
          <w:spacing w:val="10"/>
          <w:sz w:val="24"/>
          <w:szCs w:val="24"/>
          <w:highlight w:val="none"/>
        </w:rPr>
        <w:t xml:space="preserve">     </w:t>
      </w:r>
      <w:r>
        <w:rPr>
          <w:rFonts w:ascii="宋体" w:hAnsi="宋体" w:eastAsia="宋体" w:cs="宋体"/>
          <w:color w:val="auto"/>
          <w:spacing w:val="-9"/>
          <w:sz w:val="24"/>
          <w:szCs w:val="24"/>
          <w:highlight w:val="none"/>
        </w:rPr>
        <w:t>日</w:t>
      </w:r>
    </w:p>
    <w:p>
      <w:pPr>
        <w:pStyle w:val="7"/>
        <w:spacing w:line="254" w:lineRule="auto"/>
        <w:rPr>
          <w:color w:val="auto"/>
          <w:highlight w:val="none"/>
        </w:rPr>
      </w:pPr>
    </w:p>
    <w:p>
      <w:pPr>
        <w:pStyle w:val="7"/>
        <w:spacing w:line="254" w:lineRule="auto"/>
        <w:rPr>
          <w:color w:val="auto"/>
          <w:highlight w:val="none"/>
        </w:rPr>
      </w:pPr>
    </w:p>
    <w:p>
      <w:pPr>
        <w:pStyle w:val="7"/>
        <w:spacing w:line="254" w:lineRule="auto"/>
        <w:rPr>
          <w:color w:val="auto"/>
          <w:highlight w:val="none"/>
        </w:rPr>
      </w:pPr>
    </w:p>
    <w:p>
      <w:pPr>
        <w:pStyle w:val="7"/>
        <w:spacing w:line="254" w:lineRule="auto"/>
        <w:rPr>
          <w:color w:val="auto"/>
          <w:highlight w:val="none"/>
        </w:rPr>
      </w:pPr>
    </w:p>
    <w:p>
      <w:pPr>
        <w:pStyle w:val="7"/>
        <w:spacing w:line="255" w:lineRule="auto"/>
        <w:rPr>
          <w:color w:val="auto"/>
          <w:highlight w:val="none"/>
        </w:rPr>
      </w:pPr>
    </w:p>
    <w:p>
      <w:pPr>
        <w:tabs>
          <w:tab w:val="left" w:pos="9412"/>
        </w:tabs>
        <w:spacing w:before="78" w:line="294" w:lineRule="auto"/>
        <w:ind w:left="12" w:firstLine="480"/>
        <w:jc w:val="both"/>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注：本表必须按照“第四篇 询价项目商务需求</w:t>
      </w:r>
      <w:r>
        <w:rPr>
          <w:rFonts w:ascii="宋体" w:hAnsi="宋体" w:eastAsia="宋体" w:cs="宋体"/>
          <w:color w:val="auto"/>
          <w:spacing w:val="-84"/>
          <w:sz w:val="24"/>
          <w:szCs w:val="24"/>
          <w:highlight w:val="none"/>
        </w:rPr>
        <w:t xml:space="preserve"> </w:t>
      </w:r>
      <w:r>
        <w:rPr>
          <w:rFonts w:ascii="宋体" w:hAnsi="宋体" w:eastAsia="宋体" w:cs="宋体"/>
          <w:color w:val="auto"/>
          <w:spacing w:val="-3"/>
          <w:sz w:val="24"/>
          <w:szCs w:val="24"/>
          <w:highlight w:val="none"/>
        </w:rPr>
        <w:t>”中所列内容逐条进行比较和响应，根</w:t>
      </w:r>
      <w:r>
        <w:rPr>
          <w:rFonts w:ascii="宋体" w:hAnsi="宋体" w:eastAsia="宋体" w:cs="宋体"/>
          <w:color w:val="auto"/>
          <w:sz w:val="24"/>
          <w:szCs w:val="24"/>
          <w:highlight w:val="none"/>
        </w:rPr>
        <w:t xml:space="preserve"> </w:t>
      </w:r>
      <w:r>
        <w:rPr>
          <w:rFonts w:ascii="宋体" w:hAnsi="宋体" w:eastAsia="宋体" w:cs="宋体"/>
          <w:color w:val="auto"/>
          <w:spacing w:val="-5"/>
          <w:sz w:val="24"/>
          <w:szCs w:val="24"/>
          <w:highlight w:val="none"/>
        </w:rPr>
        <w:t>据响应情况在“差异说明</w:t>
      </w:r>
      <w:r>
        <w:rPr>
          <w:rFonts w:ascii="宋体" w:hAnsi="宋体" w:eastAsia="宋体" w:cs="宋体"/>
          <w:color w:val="auto"/>
          <w:spacing w:val="-73"/>
          <w:sz w:val="24"/>
          <w:szCs w:val="24"/>
          <w:highlight w:val="none"/>
        </w:rPr>
        <w:t xml:space="preserve"> </w:t>
      </w:r>
      <w:r>
        <w:rPr>
          <w:rFonts w:ascii="宋体" w:hAnsi="宋体" w:eastAsia="宋体" w:cs="宋体"/>
          <w:color w:val="auto"/>
          <w:spacing w:val="-5"/>
          <w:sz w:val="24"/>
          <w:szCs w:val="24"/>
          <w:highlight w:val="none"/>
        </w:rPr>
        <w:t>”项填写正偏离或负偏离及原因，完全符合的填写“无差异</w:t>
      </w:r>
      <w:r>
        <w:rPr>
          <w:rFonts w:ascii="宋体" w:hAnsi="宋体" w:eastAsia="宋体" w:cs="宋体"/>
          <w:color w:val="auto"/>
          <w:spacing w:val="-85"/>
          <w:sz w:val="24"/>
          <w:szCs w:val="24"/>
          <w:highlight w:val="none"/>
        </w:rPr>
        <w:t xml:space="preserve"> </w:t>
      </w:r>
      <w:r>
        <w:rPr>
          <w:rFonts w:ascii="宋体" w:hAnsi="宋体" w:eastAsia="宋体" w:cs="宋体"/>
          <w:color w:val="auto"/>
          <w:spacing w:val="-5"/>
          <w:sz w:val="24"/>
          <w:szCs w:val="24"/>
          <w:highlight w:val="none"/>
        </w:rPr>
        <w:t>”</w:t>
      </w:r>
      <w:r>
        <w:rPr>
          <w:rFonts w:ascii="宋体" w:hAnsi="宋体" w:eastAsia="宋体" w:cs="宋体"/>
          <w:color w:val="auto"/>
          <w:spacing w:val="-5"/>
          <w:sz w:val="24"/>
          <w:szCs w:val="24"/>
          <w:highlight w:val="none"/>
          <w:u w:val="single" w:color="auto"/>
        </w:rPr>
        <w:t>。</w:t>
      </w:r>
      <w:r>
        <w:rPr>
          <w:rFonts w:ascii="宋体" w:hAnsi="宋体" w:eastAsia="宋体" w:cs="宋体"/>
          <w:color w:val="auto"/>
          <w:sz w:val="24"/>
          <w:szCs w:val="24"/>
          <w:highlight w:val="none"/>
          <w:u w:val="single" w:color="auto"/>
        </w:rPr>
        <w:tab/>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u w:val="single" w:color="auto"/>
        </w:rPr>
        <w:t>未按照规定要求填写的，视为无效响应。</w:t>
      </w:r>
    </w:p>
    <w:p>
      <w:pPr>
        <w:spacing w:line="294" w:lineRule="auto"/>
        <w:rPr>
          <w:rFonts w:ascii="宋体" w:hAnsi="宋体" w:eastAsia="宋体" w:cs="宋体"/>
          <w:color w:val="auto"/>
          <w:sz w:val="24"/>
          <w:szCs w:val="24"/>
          <w:highlight w:val="none"/>
        </w:rPr>
        <w:sectPr>
          <w:footerReference r:id="rId29" w:type="default"/>
          <w:pgSz w:w="11906" w:h="16839"/>
          <w:pgMar w:top="1178" w:right="1190" w:bottom="1222" w:left="1299" w:header="0" w:footer="853" w:gutter="0"/>
          <w:pgNumType w:fmt="decimal"/>
          <w:cols w:space="720" w:num="1"/>
        </w:sectPr>
      </w:pPr>
    </w:p>
    <w:p>
      <w:pPr>
        <w:spacing w:before="48" w:line="220" w:lineRule="auto"/>
        <w:ind w:left="18"/>
        <w:outlineLvl w:val="9"/>
        <w:rPr>
          <w:rFonts w:ascii="宋体" w:hAnsi="宋体" w:eastAsia="宋体" w:cs="宋体"/>
          <w:color w:val="auto"/>
          <w:sz w:val="24"/>
          <w:szCs w:val="24"/>
          <w:highlight w:val="none"/>
        </w:rPr>
      </w:pPr>
      <w:bookmarkStart w:id="109" w:name="_Toc24875"/>
      <w:r>
        <w:rPr>
          <w:rFonts w:ascii="宋体" w:hAnsi="宋体" w:eastAsia="宋体" w:cs="宋体"/>
          <w:color w:val="auto"/>
          <w:spacing w:val="-2"/>
          <w:sz w:val="24"/>
          <w:szCs w:val="24"/>
          <w:highlight w:val="none"/>
        </w:rPr>
        <w:t>（二）其它优惠承诺（格式自定）</w:t>
      </w:r>
      <w:bookmarkEnd w:id="109"/>
    </w:p>
    <w:p>
      <w:pPr>
        <w:pStyle w:val="7"/>
        <w:spacing w:line="394" w:lineRule="auto"/>
        <w:rPr>
          <w:color w:val="auto"/>
          <w:highlight w:val="none"/>
        </w:rPr>
      </w:pPr>
    </w:p>
    <w:p>
      <w:pPr>
        <w:spacing w:before="78" w:line="224" w:lineRule="auto"/>
        <w:ind w:left="6"/>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注：</w:t>
      </w:r>
    </w:p>
    <w:p>
      <w:pPr>
        <w:spacing w:before="87" w:line="219" w:lineRule="auto"/>
        <w:ind w:left="24"/>
        <w:outlineLvl w:val="9"/>
        <w:rPr>
          <w:rFonts w:ascii="宋体" w:hAnsi="宋体" w:eastAsia="宋体" w:cs="宋体"/>
          <w:color w:val="auto"/>
          <w:sz w:val="24"/>
          <w:szCs w:val="24"/>
          <w:highlight w:val="none"/>
        </w:rPr>
      </w:pPr>
      <w:bookmarkStart w:id="110" w:name="_Toc31637"/>
      <w:r>
        <w:rPr>
          <w:rFonts w:ascii="宋体" w:hAnsi="宋体" w:eastAsia="宋体" w:cs="宋体"/>
          <w:color w:val="auto"/>
          <w:spacing w:val="-2"/>
          <w:sz w:val="24"/>
          <w:szCs w:val="24"/>
          <w:highlight w:val="none"/>
        </w:rPr>
        <w:t>1.若无其他优惠承诺，可不提供此项。</w:t>
      </w:r>
      <w:bookmarkEnd w:id="110"/>
    </w:p>
    <w:p>
      <w:pPr>
        <w:spacing w:line="219" w:lineRule="auto"/>
        <w:rPr>
          <w:rFonts w:ascii="宋体" w:hAnsi="宋体" w:eastAsia="宋体" w:cs="宋体"/>
          <w:color w:val="auto"/>
          <w:sz w:val="24"/>
          <w:szCs w:val="24"/>
          <w:highlight w:val="none"/>
        </w:rPr>
        <w:sectPr>
          <w:footerReference r:id="rId30" w:type="default"/>
          <w:pgSz w:w="11906" w:h="16839"/>
          <w:pgMar w:top="1193" w:right="1785" w:bottom="1222" w:left="1785" w:header="0" w:footer="853" w:gutter="0"/>
          <w:pgNumType w:fmt="decimal"/>
          <w:cols w:space="720" w:num="1"/>
        </w:sectPr>
      </w:pPr>
    </w:p>
    <w:p>
      <w:pPr>
        <w:spacing w:before="53" w:line="242" w:lineRule="auto"/>
        <w:ind w:left="498"/>
        <w:outlineLvl w:val="0"/>
        <w:rPr>
          <w:rFonts w:ascii="黑体" w:hAnsi="黑体" w:eastAsia="黑体" w:cs="黑体"/>
          <w:color w:val="auto"/>
          <w:sz w:val="24"/>
          <w:szCs w:val="24"/>
          <w:highlight w:val="none"/>
        </w:rPr>
      </w:pPr>
      <w:bookmarkStart w:id="111" w:name="_Toc31314"/>
      <w:r>
        <w:rPr>
          <w:rFonts w:ascii="黑体" w:hAnsi="黑体" w:eastAsia="黑体" w:cs="黑体"/>
          <w:color w:val="auto"/>
          <w:spacing w:val="-5"/>
          <w:sz w:val="24"/>
          <w:szCs w:val="24"/>
          <w:highlight w:val="none"/>
        </w:rPr>
        <w:t>四、资格文件</w:t>
      </w:r>
      <w:bookmarkEnd w:id="111"/>
    </w:p>
    <w:p>
      <w:pPr>
        <w:spacing w:before="122" w:line="219" w:lineRule="auto"/>
        <w:ind w:left="491"/>
        <w:outlineLvl w:val="9"/>
        <w:rPr>
          <w:rFonts w:ascii="宋体" w:hAnsi="宋体" w:eastAsia="宋体" w:cs="宋体"/>
          <w:color w:val="auto"/>
          <w:sz w:val="24"/>
          <w:szCs w:val="24"/>
          <w:highlight w:val="none"/>
        </w:rPr>
      </w:pPr>
      <w:bookmarkStart w:id="112" w:name="_Toc4380"/>
      <w:r>
        <w:rPr>
          <w:rFonts w:ascii="宋体" w:hAnsi="宋体" w:eastAsia="宋体" w:cs="宋体"/>
          <w:color w:val="auto"/>
          <w:spacing w:val="-1"/>
          <w:sz w:val="24"/>
          <w:szCs w:val="24"/>
          <w:highlight w:val="none"/>
        </w:rPr>
        <w:t>（一）营业执照（副本）或事业单位法人证书（副本）复印件</w:t>
      </w:r>
      <w:bookmarkEnd w:id="112"/>
    </w:p>
    <w:p>
      <w:pPr>
        <w:pStyle w:val="7"/>
        <w:spacing w:line="408" w:lineRule="auto"/>
        <w:rPr>
          <w:color w:val="auto"/>
          <w:highlight w:val="none"/>
        </w:rPr>
      </w:pPr>
    </w:p>
    <w:p>
      <w:pPr>
        <w:spacing w:before="78" w:line="293" w:lineRule="auto"/>
        <w:ind w:firstLine="57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说明：供应商按“多证合一</w:t>
      </w:r>
      <w:r>
        <w:rPr>
          <w:rFonts w:ascii="宋体" w:hAnsi="宋体" w:eastAsia="宋体" w:cs="宋体"/>
          <w:color w:val="auto"/>
          <w:spacing w:val="-88"/>
          <w:sz w:val="24"/>
          <w:szCs w:val="24"/>
          <w:highlight w:val="none"/>
        </w:rPr>
        <w:t xml:space="preserve"> </w:t>
      </w:r>
      <w:r>
        <w:rPr>
          <w:rFonts w:ascii="宋体" w:hAnsi="宋体" w:eastAsia="宋体" w:cs="宋体"/>
          <w:color w:val="auto"/>
          <w:spacing w:val="-2"/>
          <w:sz w:val="24"/>
          <w:szCs w:val="24"/>
          <w:highlight w:val="none"/>
        </w:rPr>
        <w:t>”登记制度办理营业执照的，以供</w:t>
      </w:r>
      <w:r>
        <w:rPr>
          <w:rFonts w:ascii="宋体" w:hAnsi="宋体" w:eastAsia="宋体" w:cs="宋体"/>
          <w:color w:val="auto"/>
          <w:spacing w:val="-3"/>
          <w:sz w:val="24"/>
          <w:szCs w:val="24"/>
          <w:highlight w:val="none"/>
        </w:rPr>
        <w:t>应商所提供的法人营业</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执照（副本）复印件为准。</w:t>
      </w:r>
    </w:p>
    <w:p>
      <w:pPr>
        <w:spacing w:line="293" w:lineRule="auto"/>
        <w:rPr>
          <w:rFonts w:ascii="宋体" w:hAnsi="宋体" w:eastAsia="宋体" w:cs="宋体"/>
          <w:color w:val="auto"/>
          <w:sz w:val="24"/>
          <w:szCs w:val="24"/>
          <w:highlight w:val="none"/>
        </w:rPr>
        <w:sectPr>
          <w:footerReference r:id="rId31" w:type="default"/>
          <w:pgSz w:w="11906" w:h="16839"/>
          <w:pgMar w:top="1178" w:right="1190" w:bottom="1222" w:left="1312" w:header="0" w:footer="853" w:gutter="0"/>
          <w:pgNumType w:fmt="decimal"/>
          <w:cols w:space="720" w:num="1"/>
        </w:sectPr>
      </w:pPr>
    </w:p>
    <w:p>
      <w:pPr>
        <w:spacing w:before="48" w:line="219" w:lineRule="auto"/>
        <w:ind w:left="480"/>
        <w:outlineLvl w:val="9"/>
        <w:rPr>
          <w:rFonts w:ascii="宋体" w:hAnsi="宋体" w:eastAsia="宋体" w:cs="宋体"/>
          <w:color w:val="auto"/>
          <w:sz w:val="24"/>
          <w:szCs w:val="24"/>
          <w:highlight w:val="none"/>
        </w:rPr>
      </w:pPr>
      <w:bookmarkStart w:id="113" w:name="_Toc23788"/>
      <w:r>
        <w:rPr>
          <w:rFonts w:ascii="宋体" w:hAnsi="宋体" w:eastAsia="宋体" w:cs="宋体"/>
          <w:color w:val="auto"/>
          <w:spacing w:val="-2"/>
          <w:sz w:val="24"/>
          <w:szCs w:val="24"/>
          <w:highlight w:val="none"/>
        </w:rPr>
        <w:t>（二）法定代表人身份证明书（格式）</w:t>
      </w:r>
      <w:bookmarkEnd w:id="113"/>
    </w:p>
    <w:p>
      <w:pPr>
        <w:pStyle w:val="7"/>
        <w:spacing w:line="394" w:lineRule="auto"/>
        <w:rPr>
          <w:color w:val="auto"/>
          <w:highlight w:val="none"/>
        </w:rPr>
      </w:pPr>
    </w:p>
    <w:p>
      <w:pPr>
        <w:spacing w:before="78" w:line="221" w:lineRule="auto"/>
        <w:ind w:left="563"/>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项目名称：</w:t>
      </w:r>
      <w:r>
        <w:rPr>
          <w:rFonts w:ascii="宋体" w:hAnsi="宋体" w:eastAsia="宋体" w:cs="宋体"/>
          <w:color w:val="auto"/>
          <w:sz w:val="24"/>
          <w:szCs w:val="24"/>
          <w:highlight w:val="none"/>
          <w:u w:val="single" w:color="auto"/>
        </w:rPr>
        <w:t xml:space="preserve">           </w:t>
      </w:r>
    </w:p>
    <w:p>
      <w:pPr>
        <w:pStyle w:val="7"/>
        <w:spacing w:line="391" w:lineRule="auto"/>
        <w:rPr>
          <w:color w:val="auto"/>
          <w:highlight w:val="none"/>
        </w:rPr>
      </w:pPr>
    </w:p>
    <w:p>
      <w:pPr>
        <w:spacing w:before="78" w:line="219" w:lineRule="auto"/>
        <w:ind w:left="559"/>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致</w:t>
      </w:r>
      <w:r>
        <w:rPr>
          <w:rFonts w:ascii="宋体" w:hAnsi="宋体" w:eastAsia="宋体" w:cs="宋体"/>
          <w:color w:val="auto"/>
          <w:spacing w:val="-17"/>
          <w:sz w:val="24"/>
          <w:szCs w:val="24"/>
          <w:highlight w:val="no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7"/>
          <w:sz w:val="24"/>
          <w:szCs w:val="24"/>
          <w:highlight w:val="none"/>
        </w:rPr>
        <w:t>（</w:t>
      </w:r>
      <w:r>
        <w:rPr>
          <w:rFonts w:ascii="宋体" w:hAnsi="宋体" w:eastAsia="宋体" w:cs="宋体"/>
          <w:color w:val="auto"/>
          <w:spacing w:val="6"/>
          <w:sz w:val="24"/>
          <w:szCs w:val="24"/>
          <w:highlight w:val="none"/>
        </w:rPr>
        <w:t>采购</w:t>
      </w:r>
      <w:r>
        <w:rPr>
          <w:rFonts w:hint="eastAsia" w:ascii="宋体" w:hAnsi="宋体" w:eastAsia="宋体" w:cs="宋体"/>
          <w:color w:val="auto"/>
          <w:spacing w:val="6"/>
          <w:sz w:val="24"/>
          <w:szCs w:val="24"/>
          <w:highlight w:val="none"/>
          <w:lang w:val="en-US" w:eastAsia="zh-CN"/>
        </w:rPr>
        <w:t>人</w:t>
      </w:r>
      <w:r>
        <w:rPr>
          <w:rFonts w:ascii="宋体" w:hAnsi="宋体" w:eastAsia="宋体" w:cs="宋体"/>
          <w:color w:val="auto"/>
          <w:spacing w:val="6"/>
          <w:sz w:val="24"/>
          <w:szCs w:val="24"/>
          <w:highlight w:val="none"/>
        </w:rPr>
        <w:t>名称</w:t>
      </w:r>
      <w:r>
        <w:rPr>
          <w:rFonts w:ascii="宋体" w:hAnsi="宋体" w:eastAsia="宋体" w:cs="宋体"/>
          <w:color w:val="auto"/>
          <w:spacing w:val="-17"/>
          <w:sz w:val="24"/>
          <w:szCs w:val="24"/>
          <w:highlight w:val="none"/>
        </w:rPr>
        <w:t>）：</w:t>
      </w:r>
    </w:p>
    <w:p>
      <w:pPr>
        <w:tabs>
          <w:tab w:val="left" w:pos="2505"/>
        </w:tabs>
        <w:spacing w:before="97" w:line="293" w:lineRule="auto"/>
        <w:ind w:firstLine="705"/>
        <w:rPr>
          <w:rFonts w:ascii="宋体" w:hAnsi="宋体" w:eastAsia="宋体" w:cs="宋体"/>
          <w:color w:val="auto"/>
          <w:sz w:val="24"/>
          <w:szCs w:val="24"/>
          <w:highlight w:val="none"/>
        </w:rPr>
      </w:pPr>
      <w:r>
        <w:rPr>
          <w:rFonts w:ascii="宋体" w:hAnsi="宋体" w:eastAsia="宋体" w:cs="宋体"/>
          <w:color w:val="auto"/>
          <w:sz w:val="24"/>
          <w:szCs w:val="24"/>
          <w:highlight w:val="none"/>
          <w:u w:val="single" w:color="auto"/>
        </w:rPr>
        <w:tab/>
      </w:r>
      <w:r>
        <w:rPr>
          <w:rFonts w:ascii="宋体" w:hAnsi="宋体" w:eastAsia="宋体" w:cs="宋体"/>
          <w:color w:val="auto"/>
          <w:spacing w:val="14"/>
          <w:sz w:val="24"/>
          <w:szCs w:val="24"/>
          <w:highlight w:val="none"/>
        </w:rPr>
        <w:t>（法定代表人姓名）</w:t>
      </w:r>
      <w:r>
        <w:rPr>
          <w:rFonts w:ascii="宋体" w:hAnsi="宋体" w:eastAsia="宋体" w:cs="宋体"/>
          <w:color w:val="auto"/>
          <w:spacing w:val="-48"/>
          <w:sz w:val="24"/>
          <w:szCs w:val="24"/>
          <w:highlight w:val="none"/>
        </w:rPr>
        <w:t xml:space="preserve"> </w:t>
      </w:r>
      <w:r>
        <w:rPr>
          <w:rFonts w:ascii="宋体" w:hAnsi="宋体" w:eastAsia="宋体" w:cs="宋体"/>
          <w:color w:val="auto"/>
          <w:spacing w:val="14"/>
          <w:sz w:val="24"/>
          <w:szCs w:val="24"/>
          <w:highlight w:val="none"/>
        </w:rPr>
        <w:t>在</w:t>
      </w:r>
      <w:r>
        <w:rPr>
          <w:rFonts w:ascii="宋体" w:hAnsi="宋体" w:eastAsia="宋体" w:cs="宋体"/>
          <w:color w:val="auto"/>
          <w:spacing w:val="-91"/>
          <w:sz w:val="24"/>
          <w:szCs w:val="24"/>
          <w:highlight w:val="none"/>
        </w:rPr>
        <w:t xml:space="preserve"> </w:t>
      </w:r>
      <w:r>
        <w:rPr>
          <w:rFonts w:ascii="宋体" w:hAnsi="宋体" w:eastAsia="宋体" w:cs="宋体"/>
          <w:color w:val="auto"/>
          <w:spacing w:val="14"/>
          <w:sz w:val="24"/>
          <w:szCs w:val="24"/>
          <w:highlight w:val="none"/>
          <w:u w:val="single" w:color="auto"/>
        </w:rPr>
        <w:t xml:space="preserve">                </w:t>
      </w:r>
      <w:r>
        <w:rPr>
          <w:rFonts w:ascii="宋体" w:hAnsi="宋体" w:eastAsia="宋体" w:cs="宋体"/>
          <w:color w:val="auto"/>
          <w:spacing w:val="14"/>
          <w:sz w:val="24"/>
          <w:szCs w:val="24"/>
          <w:highlight w:val="none"/>
        </w:rPr>
        <w:t>（供应商名称）</w:t>
      </w:r>
      <w:r>
        <w:rPr>
          <w:rFonts w:ascii="宋体" w:hAnsi="宋体" w:eastAsia="宋体" w:cs="宋体"/>
          <w:color w:val="auto"/>
          <w:spacing w:val="-54"/>
          <w:sz w:val="24"/>
          <w:szCs w:val="24"/>
          <w:highlight w:val="none"/>
        </w:rPr>
        <w:t xml:space="preserve"> </w:t>
      </w:r>
      <w:r>
        <w:rPr>
          <w:rFonts w:ascii="宋体" w:hAnsi="宋体" w:eastAsia="宋体" w:cs="宋体"/>
          <w:color w:val="auto"/>
          <w:spacing w:val="14"/>
          <w:sz w:val="24"/>
          <w:szCs w:val="24"/>
          <w:highlight w:val="none"/>
        </w:rPr>
        <w:t>任</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（职务名称）职务，是</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
          <w:sz w:val="24"/>
          <w:szCs w:val="24"/>
          <w:highlight w:val="none"/>
        </w:rPr>
        <w:t>（供应商名称）的法定代表人。</w:t>
      </w:r>
    </w:p>
    <w:p>
      <w:pPr>
        <w:pStyle w:val="7"/>
        <w:spacing w:line="297" w:lineRule="auto"/>
        <w:rPr>
          <w:color w:val="auto"/>
          <w:highlight w:val="none"/>
        </w:rPr>
      </w:pPr>
    </w:p>
    <w:p>
      <w:pPr>
        <w:spacing w:before="78" w:line="220" w:lineRule="auto"/>
        <w:ind w:left="55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特此证明。</w:t>
      </w:r>
    </w:p>
    <w:p>
      <w:pPr>
        <w:pStyle w:val="7"/>
        <w:spacing w:line="287" w:lineRule="auto"/>
        <w:rPr>
          <w:color w:val="auto"/>
          <w:highlight w:val="none"/>
        </w:rPr>
      </w:pPr>
    </w:p>
    <w:p>
      <w:pPr>
        <w:pStyle w:val="7"/>
        <w:spacing w:line="287" w:lineRule="auto"/>
        <w:rPr>
          <w:color w:val="auto"/>
          <w:highlight w:val="none"/>
        </w:rPr>
      </w:pPr>
    </w:p>
    <w:p>
      <w:pPr>
        <w:pStyle w:val="7"/>
        <w:spacing w:line="287" w:lineRule="auto"/>
        <w:rPr>
          <w:color w:val="auto"/>
          <w:highlight w:val="none"/>
        </w:rPr>
      </w:pPr>
    </w:p>
    <w:p>
      <w:pPr>
        <w:pStyle w:val="7"/>
        <w:spacing w:line="287" w:lineRule="auto"/>
        <w:rPr>
          <w:color w:val="auto"/>
          <w:highlight w:val="none"/>
        </w:rPr>
      </w:pPr>
    </w:p>
    <w:p>
      <w:pPr>
        <w:spacing w:before="79" w:line="219" w:lineRule="auto"/>
        <w:ind w:left="597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（供应商公章）</w:t>
      </w:r>
    </w:p>
    <w:p>
      <w:pPr>
        <w:pStyle w:val="7"/>
        <w:spacing w:line="395" w:lineRule="auto"/>
        <w:rPr>
          <w:color w:val="auto"/>
          <w:highlight w:val="none"/>
        </w:rPr>
      </w:pPr>
    </w:p>
    <w:p>
      <w:pPr>
        <w:spacing w:before="78" w:line="220" w:lineRule="auto"/>
        <w:ind w:left="5960"/>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年</w:t>
      </w:r>
      <w:r>
        <w:rPr>
          <w:rFonts w:ascii="宋体" w:hAnsi="宋体" w:eastAsia="宋体" w:cs="宋体"/>
          <w:color w:val="auto"/>
          <w:spacing w:val="5"/>
          <w:sz w:val="24"/>
          <w:szCs w:val="24"/>
          <w:highlight w:val="none"/>
        </w:rPr>
        <w:t xml:space="preserve">   </w:t>
      </w:r>
      <w:r>
        <w:rPr>
          <w:rFonts w:ascii="宋体" w:hAnsi="宋体" w:eastAsia="宋体" w:cs="宋体"/>
          <w:color w:val="auto"/>
          <w:spacing w:val="-9"/>
          <w:sz w:val="24"/>
          <w:szCs w:val="24"/>
          <w:highlight w:val="none"/>
        </w:rPr>
        <w:t>月</w:t>
      </w:r>
      <w:r>
        <w:rPr>
          <w:rFonts w:ascii="宋体" w:hAnsi="宋体" w:eastAsia="宋体" w:cs="宋体"/>
          <w:color w:val="auto"/>
          <w:spacing w:val="17"/>
          <w:sz w:val="24"/>
          <w:szCs w:val="24"/>
          <w:highlight w:val="none"/>
        </w:rPr>
        <w:t xml:space="preserve">   </w:t>
      </w:r>
      <w:r>
        <w:rPr>
          <w:rFonts w:ascii="宋体" w:hAnsi="宋体" w:eastAsia="宋体" w:cs="宋体"/>
          <w:color w:val="auto"/>
          <w:spacing w:val="-9"/>
          <w:sz w:val="24"/>
          <w:szCs w:val="24"/>
          <w:highlight w:val="none"/>
        </w:rPr>
        <w:t>日</w:t>
      </w:r>
    </w:p>
    <w:p>
      <w:pPr>
        <w:pStyle w:val="7"/>
        <w:spacing w:line="392" w:lineRule="auto"/>
        <w:rPr>
          <w:color w:val="auto"/>
          <w:highlight w:val="none"/>
        </w:rPr>
      </w:pPr>
    </w:p>
    <w:p>
      <w:pPr>
        <w:spacing w:before="79" w:line="219" w:lineRule="auto"/>
        <w:ind w:left="57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（附：法定代表人身份证正反面复印件）</w:t>
      </w:r>
    </w:p>
    <w:p>
      <w:pPr>
        <w:spacing w:line="219" w:lineRule="auto"/>
        <w:rPr>
          <w:rFonts w:ascii="宋体" w:hAnsi="宋体" w:eastAsia="宋体" w:cs="宋体"/>
          <w:color w:val="auto"/>
          <w:sz w:val="24"/>
          <w:szCs w:val="24"/>
          <w:highlight w:val="none"/>
        </w:rPr>
        <w:sectPr>
          <w:footerReference r:id="rId32" w:type="default"/>
          <w:pgSz w:w="11906" w:h="16839"/>
          <w:pgMar w:top="1193" w:right="1192" w:bottom="1222" w:left="1324" w:header="0" w:footer="853" w:gutter="0"/>
          <w:pgNumType w:fmt="decimal"/>
          <w:cols w:space="720" w:num="1"/>
          <w:titlePg/>
        </w:sectPr>
      </w:pPr>
    </w:p>
    <w:p>
      <w:pPr>
        <w:spacing w:before="48" w:line="219" w:lineRule="auto"/>
        <w:ind w:left="582"/>
        <w:outlineLvl w:val="9"/>
        <w:rPr>
          <w:rFonts w:ascii="宋体" w:hAnsi="宋体" w:eastAsia="宋体" w:cs="宋体"/>
          <w:color w:val="auto"/>
          <w:sz w:val="24"/>
          <w:szCs w:val="24"/>
          <w:highlight w:val="none"/>
        </w:rPr>
      </w:pPr>
      <w:bookmarkStart w:id="114" w:name="_Toc11617"/>
      <w:r>
        <w:rPr>
          <w:rFonts w:ascii="宋体" w:hAnsi="宋体" w:eastAsia="宋体" w:cs="宋体"/>
          <w:color w:val="auto"/>
          <w:spacing w:val="-2"/>
          <w:sz w:val="24"/>
          <w:szCs w:val="24"/>
          <w:highlight w:val="none"/>
        </w:rPr>
        <w:t>（三）法定代表人授权委托书（格式）</w:t>
      </w:r>
      <w:bookmarkEnd w:id="114"/>
    </w:p>
    <w:p>
      <w:pPr>
        <w:pStyle w:val="7"/>
        <w:spacing w:line="394" w:lineRule="auto"/>
        <w:rPr>
          <w:color w:val="auto"/>
          <w:highlight w:val="none"/>
        </w:rPr>
      </w:pPr>
    </w:p>
    <w:p>
      <w:pPr>
        <w:spacing w:before="78" w:line="221" w:lineRule="auto"/>
        <w:ind w:left="483"/>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项目名称：</w:t>
      </w:r>
      <w:r>
        <w:rPr>
          <w:rFonts w:ascii="宋体" w:hAnsi="宋体" w:eastAsia="宋体" w:cs="宋体"/>
          <w:color w:val="auto"/>
          <w:sz w:val="24"/>
          <w:szCs w:val="24"/>
          <w:highlight w:val="none"/>
          <w:u w:val="single" w:color="auto"/>
        </w:rPr>
        <w:t xml:space="preserve">            </w:t>
      </w:r>
    </w:p>
    <w:p>
      <w:pPr>
        <w:pStyle w:val="7"/>
        <w:spacing w:line="391" w:lineRule="auto"/>
        <w:rPr>
          <w:color w:val="auto"/>
          <w:highlight w:val="none"/>
        </w:rPr>
      </w:pPr>
    </w:p>
    <w:p>
      <w:pPr>
        <w:spacing w:before="78" w:line="219" w:lineRule="auto"/>
        <w:ind w:left="480"/>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致</w:t>
      </w:r>
      <w:r>
        <w:rPr>
          <w:rFonts w:ascii="宋体" w:hAnsi="宋体" w:eastAsia="宋体" w:cs="宋体"/>
          <w:color w:val="auto"/>
          <w:spacing w:val="-17"/>
          <w:sz w:val="24"/>
          <w:szCs w:val="24"/>
          <w:highlight w:val="no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7"/>
          <w:sz w:val="24"/>
          <w:szCs w:val="24"/>
          <w:highlight w:val="none"/>
        </w:rPr>
        <w:t>（</w:t>
      </w:r>
      <w:r>
        <w:rPr>
          <w:rFonts w:ascii="宋体" w:hAnsi="宋体" w:eastAsia="宋体" w:cs="宋体"/>
          <w:color w:val="auto"/>
          <w:spacing w:val="6"/>
          <w:sz w:val="24"/>
          <w:szCs w:val="24"/>
          <w:highlight w:val="none"/>
        </w:rPr>
        <w:t>采购</w:t>
      </w:r>
      <w:r>
        <w:rPr>
          <w:rFonts w:hint="eastAsia" w:ascii="宋体" w:hAnsi="宋体" w:eastAsia="宋体" w:cs="宋体"/>
          <w:color w:val="auto"/>
          <w:spacing w:val="6"/>
          <w:sz w:val="24"/>
          <w:szCs w:val="24"/>
          <w:highlight w:val="none"/>
          <w:lang w:val="en-US" w:eastAsia="zh-CN"/>
        </w:rPr>
        <w:t>人</w:t>
      </w:r>
      <w:r>
        <w:rPr>
          <w:rFonts w:ascii="宋体" w:hAnsi="宋体" w:eastAsia="宋体" w:cs="宋体"/>
          <w:color w:val="auto"/>
          <w:spacing w:val="6"/>
          <w:sz w:val="24"/>
          <w:szCs w:val="24"/>
          <w:highlight w:val="none"/>
        </w:rPr>
        <w:t>名称</w:t>
      </w:r>
      <w:r>
        <w:rPr>
          <w:rFonts w:ascii="宋体" w:hAnsi="宋体" w:eastAsia="宋体" w:cs="宋体"/>
          <w:color w:val="auto"/>
          <w:spacing w:val="-17"/>
          <w:sz w:val="24"/>
          <w:szCs w:val="24"/>
          <w:highlight w:val="none"/>
        </w:rPr>
        <w:t>）：</w:t>
      </w:r>
    </w:p>
    <w:p>
      <w:pPr>
        <w:tabs>
          <w:tab w:val="left" w:pos="1550"/>
        </w:tabs>
        <w:spacing w:before="97" w:line="292" w:lineRule="auto"/>
        <w:ind w:firstLine="470"/>
        <w:jc w:val="both"/>
        <w:rPr>
          <w:rFonts w:ascii="宋体" w:hAnsi="宋体" w:eastAsia="宋体" w:cs="宋体"/>
          <w:color w:val="auto"/>
          <w:sz w:val="24"/>
          <w:szCs w:val="24"/>
          <w:highlight w:val="none"/>
        </w:rPr>
      </w:pPr>
      <w:r>
        <w:rPr>
          <w:rFonts w:ascii="宋体" w:hAnsi="宋体" w:eastAsia="宋体" w:cs="宋体"/>
          <w:color w:val="auto"/>
          <w:sz w:val="24"/>
          <w:szCs w:val="24"/>
          <w:highlight w:val="none"/>
          <w:u w:val="single" w:color="auto"/>
        </w:rPr>
        <w:tab/>
      </w:r>
      <w:r>
        <w:rPr>
          <w:rFonts w:ascii="宋体" w:hAnsi="宋体" w:eastAsia="宋体" w:cs="宋体"/>
          <w:color w:val="auto"/>
          <w:spacing w:val="1"/>
          <w:sz w:val="24"/>
          <w:szCs w:val="24"/>
          <w:highlight w:val="none"/>
        </w:rPr>
        <w:t>（供应商法定代表人名称）是</w:t>
      </w:r>
      <w:r>
        <w:rPr>
          <w:rFonts w:ascii="宋体" w:hAnsi="宋体" w:eastAsia="宋体" w:cs="宋体"/>
          <w:color w:val="auto"/>
          <w:spacing w:val="1"/>
          <w:sz w:val="24"/>
          <w:szCs w:val="24"/>
          <w:highlight w:val="none"/>
          <w:u w:val="single" w:color="auto"/>
        </w:rPr>
        <w:t xml:space="preserve">           （供应商名称）</w:t>
      </w:r>
      <w:r>
        <w:rPr>
          <w:rFonts w:ascii="宋体" w:hAnsi="宋体" w:eastAsia="宋体" w:cs="宋体"/>
          <w:color w:val="auto"/>
          <w:spacing w:val="1"/>
          <w:sz w:val="24"/>
          <w:szCs w:val="24"/>
          <w:highlight w:val="none"/>
        </w:rPr>
        <w:t>的法定代表人，</w:t>
      </w:r>
      <w:r>
        <w:rPr>
          <w:rFonts w:ascii="宋体" w:hAnsi="宋体" w:eastAsia="宋体" w:cs="宋体"/>
          <w:color w:val="auto"/>
          <w:spacing w:val="14"/>
          <w:sz w:val="24"/>
          <w:szCs w:val="24"/>
          <w:highlight w:val="none"/>
        </w:rPr>
        <w:t xml:space="preserve"> </w:t>
      </w:r>
      <w:r>
        <w:rPr>
          <w:rFonts w:ascii="宋体" w:hAnsi="宋体" w:eastAsia="宋体" w:cs="宋体"/>
          <w:color w:val="auto"/>
          <w:spacing w:val="1"/>
          <w:sz w:val="24"/>
          <w:szCs w:val="24"/>
          <w:highlight w:val="none"/>
        </w:rPr>
        <w:t>特授权</w:t>
      </w:r>
      <w:r>
        <w:rPr>
          <w:rFonts w:ascii="宋体" w:hAnsi="宋体" w:eastAsia="宋体" w:cs="宋体"/>
          <w:color w:val="auto"/>
          <w:spacing w:val="-117"/>
          <w:sz w:val="24"/>
          <w:szCs w:val="24"/>
          <w:highlight w:val="none"/>
        </w:rPr>
        <w:t xml:space="preserve"> </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
          <w:sz w:val="24"/>
          <w:szCs w:val="24"/>
          <w:highlight w:val="none"/>
        </w:rPr>
        <w:t>（被授权人姓名及身份证号码）代表</w:t>
      </w:r>
      <w:r>
        <w:rPr>
          <w:rFonts w:ascii="宋体" w:hAnsi="宋体" w:eastAsia="宋体" w:cs="宋体"/>
          <w:color w:val="auto"/>
          <w:sz w:val="24"/>
          <w:szCs w:val="24"/>
          <w:highlight w:val="none"/>
        </w:rPr>
        <w:t xml:space="preserve">我单位全权办理上述项 </w:t>
      </w:r>
      <w:r>
        <w:rPr>
          <w:rFonts w:ascii="宋体" w:hAnsi="宋体" w:eastAsia="宋体" w:cs="宋体"/>
          <w:color w:val="auto"/>
          <w:spacing w:val="-1"/>
          <w:sz w:val="24"/>
          <w:szCs w:val="24"/>
          <w:highlight w:val="none"/>
        </w:rPr>
        <w:t>目的询价、签约等具体工作，并签署全部有关文件、协议及合同。</w:t>
      </w:r>
    </w:p>
    <w:p>
      <w:pPr>
        <w:spacing w:line="220" w:lineRule="auto"/>
        <w:ind w:left="48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我单位对被授权人的签字负全部责任。</w:t>
      </w:r>
    </w:p>
    <w:p>
      <w:pPr>
        <w:spacing w:before="93" w:line="294" w:lineRule="auto"/>
        <w:ind w:right="2" w:firstLine="47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在撤消授权的书面通知以前，本授权书一直有效。被授权人在授权书有效期内签署的</w:t>
      </w:r>
      <w:r>
        <w:rPr>
          <w:rFonts w:ascii="宋体" w:hAnsi="宋体" w:eastAsia="宋体" w:cs="宋体"/>
          <w:color w:val="auto"/>
          <w:spacing w:val="3"/>
          <w:sz w:val="24"/>
          <w:szCs w:val="24"/>
          <w:highlight w:val="none"/>
        </w:rPr>
        <w:t xml:space="preserve"> </w:t>
      </w:r>
      <w:r>
        <w:rPr>
          <w:rFonts w:ascii="宋体" w:hAnsi="宋体" w:eastAsia="宋体" w:cs="宋体"/>
          <w:color w:val="auto"/>
          <w:spacing w:val="-1"/>
          <w:sz w:val="24"/>
          <w:szCs w:val="24"/>
          <w:highlight w:val="none"/>
        </w:rPr>
        <w:t>所有文件不因授权的撤消而失效。</w:t>
      </w:r>
    </w:p>
    <w:p>
      <w:pPr>
        <w:pStyle w:val="7"/>
        <w:spacing w:line="336" w:lineRule="auto"/>
        <w:rPr>
          <w:color w:val="auto"/>
          <w:highlight w:val="none"/>
        </w:rPr>
      </w:pPr>
    </w:p>
    <w:p>
      <w:pPr>
        <w:pStyle w:val="7"/>
        <w:spacing w:line="337" w:lineRule="auto"/>
        <w:rPr>
          <w:color w:val="auto"/>
          <w:highlight w:val="none"/>
        </w:rPr>
      </w:pPr>
    </w:p>
    <w:p>
      <w:pPr>
        <w:spacing w:before="78" w:line="219" w:lineRule="auto"/>
        <w:ind w:left="57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被授权人：</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
          <w:sz w:val="24"/>
          <w:szCs w:val="24"/>
          <w:highlight w:val="none"/>
        </w:rPr>
        <w:t xml:space="preserve">   供应商法定代表人：</w:t>
      </w:r>
      <w:r>
        <w:rPr>
          <w:rFonts w:ascii="宋体" w:hAnsi="宋体" w:eastAsia="宋体" w:cs="宋体"/>
          <w:color w:val="auto"/>
          <w:spacing w:val="1"/>
          <w:sz w:val="24"/>
          <w:szCs w:val="24"/>
          <w:highlight w:val="none"/>
          <w:u w:val="single" w:color="auto"/>
        </w:rPr>
        <w:t xml:space="preserve">              </w:t>
      </w:r>
    </w:p>
    <w:p>
      <w:pPr>
        <w:spacing w:before="97" w:line="219" w:lineRule="auto"/>
        <w:ind w:left="169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（签字或盖章</w:t>
      </w:r>
      <w:r>
        <w:rPr>
          <w:rFonts w:ascii="宋体" w:hAnsi="宋体" w:eastAsia="宋体" w:cs="宋体"/>
          <w:color w:val="auto"/>
          <w:spacing w:val="-17"/>
          <w:sz w:val="24"/>
          <w:szCs w:val="24"/>
          <w:highlight w:val="none"/>
        </w:rPr>
        <w:t>）</w:t>
      </w:r>
      <w:r>
        <w:rPr>
          <w:rFonts w:ascii="宋体" w:hAnsi="宋体" w:eastAsia="宋体" w:cs="宋体"/>
          <w:color w:val="auto"/>
          <w:spacing w:val="6"/>
          <w:sz w:val="24"/>
          <w:szCs w:val="24"/>
          <w:highlight w:val="none"/>
        </w:rPr>
        <w:t xml:space="preserve">                    </w:t>
      </w:r>
      <w:r>
        <w:rPr>
          <w:rFonts w:ascii="宋体" w:hAnsi="宋体" w:eastAsia="宋体" w:cs="宋体"/>
          <w:color w:val="auto"/>
          <w:spacing w:val="-17"/>
          <w:sz w:val="24"/>
          <w:szCs w:val="24"/>
          <w:highlight w:val="none"/>
        </w:rPr>
        <w:t>（</w:t>
      </w:r>
      <w:r>
        <w:rPr>
          <w:rFonts w:ascii="宋体" w:hAnsi="宋体" w:eastAsia="宋体" w:cs="宋体"/>
          <w:color w:val="auto"/>
          <w:spacing w:val="1"/>
          <w:sz w:val="24"/>
          <w:szCs w:val="24"/>
          <w:highlight w:val="none"/>
        </w:rPr>
        <w:t>签字或盖章）</w:t>
      </w:r>
    </w:p>
    <w:p>
      <w:pPr>
        <w:pStyle w:val="7"/>
        <w:spacing w:line="257" w:lineRule="auto"/>
        <w:rPr>
          <w:color w:val="auto"/>
          <w:highlight w:val="none"/>
        </w:rPr>
      </w:pPr>
    </w:p>
    <w:p>
      <w:pPr>
        <w:pStyle w:val="7"/>
        <w:spacing w:line="257" w:lineRule="auto"/>
        <w:rPr>
          <w:color w:val="auto"/>
          <w:highlight w:val="none"/>
        </w:rPr>
      </w:pPr>
    </w:p>
    <w:p>
      <w:pPr>
        <w:pStyle w:val="7"/>
        <w:spacing w:line="258" w:lineRule="auto"/>
        <w:rPr>
          <w:color w:val="auto"/>
          <w:highlight w:val="none"/>
        </w:rPr>
      </w:pPr>
    </w:p>
    <w:p>
      <w:pPr>
        <w:spacing w:before="79" w:line="219" w:lineRule="auto"/>
        <w:ind w:left="582"/>
        <w:outlineLvl w:val="9"/>
        <w:rPr>
          <w:rFonts w:ascii="宋体" w:hAnsi="宋体" w:eastAsia="宋体" w:cs="宋体"/>
          <w:color w:val="auto"/>
          <w:sz w:val="24"/>
          <w:szCs w:val="24"/>
          <w:highlight w:val="none"/>
        </w:rPr>
      </w:pPr>
      <w:bookmarkStart w:id="115" w:name="_Toc13059"/>
      <w:r>
        <w:rPr>
          <w:rFonts w:ascii="宋体" w:hAnsi="宋体" w:eastAsia="宋体" w:cs="宋体"/>
          <w:color w:val="auto"/>
          <w:spacing w:val="-2"/>
          <w:sz w:val="24"/>
          <w:szCs w:val="24"/>
          <w:highlight w:val="none"/>
        </w:rPr>
        <w:t>（附：被授权人身份证正反面复印件）</w:t>
      </w:r>
      <w:bookmarkEnd w:id="115"/>
    </w:p>
    <w:p>
      <w:pPr>
        <w:pStyle w:val="7"/>
        <w:spacing w:line="287" w:lineRule="auto"/>
        <w:rPr>
          <w:color w:val="auto"/>
          <w:highlight w:val="none"/>
        </w:rPr>
      </w:pPr>
    </w:p>
    <w:p>
      <w:pPr>
        <w:pStyle w:val="7"/>
        <w:spacing w:line="287" w:lineRule="auto"/>
        <w:rPr>
          <w:color w:val="auto"/>
          <w:highlight w:val="none"/>
        </w:rPr>
      </w:pPr>
    </w:p>
    <w:p>
      <w:pPr>
        <w:pStyle w:val="7"/>
        <w:spacing w:line="287" w:lineRule="auto"/>
        <w:rPr>
          <w:color w:val="auto"/>
          <w:highlight w:val="none"/>
        </w:rPr>
      </w:pPr>
    </w:p>
    <w:p>
      <w:pPr>
        <w:pStyle w:val="7"/>
        <w:spacing w:line="288" w:lineRule="auto"/>
        <w:rPr>
          <w:color w:val="auto"/>
          <w:highlight w:val="none"/>
        </w:rPr>
      </w:pPr>
    </w:p>
    <w:p>
      <w:pPr>
        <w:spacing w:before="78" w:line="219" w:lineRule="auto"/>
        <w:ind w:left="7264"/>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（供应商公章）</w:t>
      </w:r>
    </w:p>
    <w:p>
      <w:pPr>
        <w:spacing w:before="94" w:line="220" w:lineRule="auto"/>
        <w:ind w:left="7733"/>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年</w:t>
      </w:r>
      <w:r>
        <w:rPr>
          <w:rFonts w:ascii="宋体" w:hAnsi="宋体" w:eastAsia="宋体" w:cs="宋体"/>
          <w:color w:val="auto"/>
          <w:spacing w:val="7"/>
          <w:sz w:val="24"/>
          <w:szCs w:val="24"/>
          <w:highlight w:val="none"/>
        </w:rPr>
        <w:t xml:space="preserve">  </w:t>
      </w:r>
      <w:r>
        <w:rPr>
          <w:rFonts w:ascii="宋体" w:hAnsi="宋体" w:eastAsia="宋体" w:cs="宋体"/>
          <w:color w:val="auto"/>
          <w:spacing w:val="-9"/>
          <w:sz w:val="24"/>
          <w:szCs w:val="24"/>
          <w:highlight w:val="none"/>
        </w:rPr>
        <w:t>月</w:t>
      </w:r>
      <w:r>
        <w:rPr>
          <w:rFonts w:ascii="宋体" w:hAnsi="宋体" w:eastAsia="宋体" w:cs="宋体"/>
          <w:color w:val="auto"/>
          <w:spacing w:val="26"/>
          <w:sz w:val="24"/>
          <w:szCs w:val="24"/>
          <w:highlight w:val="none"/>
        </w:rPr>
        <w:t xml:space="preserve">  </w:t>
      </w:r>
      <w:r>
        <w:rPr>
          <w:rFonts w:ascii="宋体" w:hAnsi="宋体" w:eastAsia="宋体" w:cs="宋体"/>
          <w:color w:val="auto"/>
          <w:spacing w:val="-9"/>
          <w:sz w:val="24"/>
          <w:szCs w:val="24"/>
          <w:highlight w:val="none"/>
        </w:rPr>
        <w:t>日</w:t>
      </w:r>
    </w:p>
    <w:p>
      <w:pPr>
        <w:spacing w:line="220" w:lineRule="auto"/>
        <w:rPr>
          <w:rFonts w:ascii="宋体" w:hAnsi="宋体" w:eastAsia="宋体" w:cs="宋体"/>
          <w:color w:val="auto"/>
          <w:sz w:val="24"/>
          <w:szCs w:val="24"/>
          <w:highlight w:val="none"/>
        </w:rPr>
        <w:sectPr>
          <w:footerReference r:id="rId33" w:type="default"/>
          <w:pgSz w:w="11906" w:h="16839"/>
          <w:pgMar w:top="1193" w:right="1190" w:bottom="1222" w:left="1312" w:header="0" w:footer="853" w:gutter="0"/>
          <w:pgNumType w:fmt="decimal"/>
          <w:cols w:space="720" w:num="1"/>
        </w:sectPr>
      </w:pPr>
    </w:p>
    <w:p>
      <w:pPr>
        <w:spacing w:before="48" w:line="219" w:lineRule="auto"/>
        <w:ind w:left="421"/>
        <w:outlineLvl w:val="9"/>
        <w:rPr>
          <w:rFonts w:ascii="宋体" w:hAnsi="宋体" w:eastAsia="宋体" w:cs="宋体"/>
          <w:color w:val="auto"/>
          <w:sz w:val="24"/>
          <w:szCs w:val="24"/>
          <w:highlight w:val="none"/>
        </w:rPr>
      </w:pPr>
      <w:bookmarkStart w:id="116" w:name="_Toc17673"/>
      <w:r>
        <w:rPr>
          <w:rFonts w:ascii="宋体" w:hAnsi="宋体" w:eastAsia="宋体" w:cs="宋体"/>
          <w:color w:val="auto"/>
          <w:spacing w:val="-2"/>
          <w:sz w:val="24"/>
          <w:szCs w:val="24"/>
          <w:highlight w:val="none"/>
        </w:rPr>
        <w:t>（四）基本资格条件承诺函</w:t>
      </w:r>
      <w:bookmarkEnd w:id="116"/>
    </w:p>
    <w:p>
      <w:pPr>
        <w:pStyle w:val="7"/>
        <w:spacing w:line="274" w:lineRule="auto"/>
        <w:rPr>
          <w:color w:val="auto"/>
          <w:highlight w:val="none"/>
        </w:rPr>
      </w:pPr>
    </w:p>
    <w:p>
      <w:pPr>
        <w:pStyle w:val="7"/>
        <w:spacing w:line="275" w:lineRule="auto"/>
        <w:rPr>
          <w:color w:val="auto"/>
          <w:highlight w:val="none"/>
        </w:rPr>
      </w:pPr>
    </w:p>
    <w:p>
      <w:pPr>
        <w:spacing w:before="78" w:line="221" w:lineRule="auto"/>
        <w:ind w:left="48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项目名称：</w:t>
      </w:r>
      <w:r>
        <w:rPr>
          <w:rFonts w:ascii="宋体" w:hAnsi="宋体" w:eastAsia="宋体" w:cs="宋体"/>
          <w:color w:val="auto"/>
          <w:sz w:val="24"/>
          <w:szCs w:val="24"/>
          <w:highlight w:val="none"/>
          <w:u w:val="single" w:color="auto"/>
        </w:rPr>
        <w:t xml:space="preserve">                  </w:t>
      </w:r>
    </w:p>
    <w:p>
      <w:pPr>
        <w:pStyle w:val="7"/>
        <w:spacing w:line="391" w:lineRule="auto"/>
        <w:rPr>
          <w:color w:val="auto"/>
          <w:highlight w:val="none"/>
        </w:rPr>
      </w:pPr>
    </w:p>
    <w:p>
      <w:pPr>
        <w:spacing w:before="78" w:line="219" w:lineRule="auto"/>
        <w:ind w:left="481"/>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致</w:t>
      </w:r>
      <w:r>
        <w:rPr>
          <w:rFonts w:ascii="宋体" w:hAnsi="宋体" w:eastAsia="宋体" w:cs="宋体"/>
          <w:color w:val="auto"/>
          <w:spacing w:val="-17"/>
          <w:sz w:val="24"/>
          <w:szCs w:val="24"/>
          <w:highlight w:val="none"/>
        </w:rPr>
        <w:t>：</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7"/>
          <w:sz w:val="24"/>
          <w:szCs w:val="24"/>
          <w:highlight w:val="none"/>
        </w:rPr>
        <w:t>（</w:t>
      </w:r>
      <w:r>
        <w:rPr>
          <w:rFonts w:ascii="宋体" w:hAnsi="宋体" w:eastAsia="宋体" w:cs="宋体"/>
          <w:color w:val="auto"/>
          <w:spacing w:val="6"/>
          <w:sz w:val="24"/>
          <w:szCs w:val="24"/>
          <w:highlight w:val="none"/>
        </w:rPr>
        <w:t>采购</w:t>
      </w:r>
      <w:r>
        <w:rPr>
          <w:rFonts w:hint="eastAsia" w:ascii="宋体" w:hAnsi="宋体" w:eastAsia="宋体" w:cs="宋体"/>
          <w:color w:val="auto"/>
          <w:spacing w:val="6"/>
          <w:sz w:val="24"/>
          <w:szCs w:val="24"/>
          <w:highlight w:val="none"/>
          <w:lang w:val="en-US" w:eastAsia="zh-CN"/>
        </w:rPr>
        <w:t>人</w:t>
      </w:r>
      <w:r>
        <w:rPr>
          <w:rFonts w:ascii="宋体" w:hAnsi="宋体" w:eastAsia="宋体" w:cs="宋体"/>
          <w:color w:val="auto"/>
          <w:spacing w:val="6"/>
          <w:sz w:val="24"/>
          <w:szCs w:val="24"/>
          <w:highlight w:val="none"/>
        </w:rPr>
        <w:t>名称</w:t>
      </w:r>
      <w:r>
        <w:rPr>
          <w:rFonts w:ascii="宋体" w:hAnsi="宋体" w:eastAsia="宋体" w:cs="宋体"/>
          <w:color w:val="auto"/>
          <w:spacing w:val="-17"/>
          <w:sz w:val="24"/>
          <w:szCs w:val="24"/>
          <w:highlight w:val="none"/>
        </w:rPr>
        <w:t>）：</w:t>
      </w:r>
    </w:p>
    <w:p>
      <w:pPr>
        <w:tabs>
          <w:tab w:val="left" w:pos="1568"/>
        </w:tabs>
        <w:spacing w:before="207" w:line="219" w:lineRule="auto"/>
        <w:ind w:left="472"/>
        <w:rPr>
          <w:rFonts w:ascii="宋体" w:hAnsi="宋体" w:eastAsia="宋体" w:cs="宋体"/>
          <w:color w:val="auto"/>
          <w:sz w:val="24"/>
          <w:szCs w:val="24"/>
          <w:highlight w:val="none"/>
        </w:rPr>
      </w:pPr>
      <w:r>
        <w:rPr>
          <w:rFonts w:ascii="宋体" w:hAnsi="宋体" w:eastAsia="宋体" w:cs="宋体"/>
          <w:color w:val="auto"/>
          <w:sz w:val="24"/>
          <w:szCs w:val="24"/>
          <w:highlight w:val="none"/>
          <w:u w:val="single" w:color="auto"/>
        </w:rPr>
        <w:tab/>
      </w:r>
      <w:r>
        <w:rPr>
          <w:rFonts w:ascii="宋体" w:hAnsi="宋体" w:eastAsia="宋体" w:cs="宋体"/>
          <w:color w:val="auto"/>
          <w:spacing w:val="-12"/>
          <w:sz w:val="24"/>
          <w:szCs w:val="24"/>
          <w:highlight w:val="none"/>
          <w:u w:val="single" w:color="auto"/>
        </w:rPr>
        <w:t>（供应商名称）</w:t>
      </w:r>
      <w:r>
        <w:rPr>
          <w:rFonts w:ascii="宋体" w:hAnsi="宋体" w:eastAsia="宋体" w:cs="宋体"/>
          <w:color w:val="auto"/>
          <w:spacing w:val="-12"/>
          <w:sz w:val="24"/>
          <w:szCs w:val="24"/>
          <w:highlight w:val="none"/>
        </w:rPr>
        <w:t>郑重承诺：</w:t>
      </w:r>
    </w:p>
    <w:p>
      <w:pPr>
        <w:spacing w:before="236" w:line="340" w:lineRule="auto"/>
        <w:ind w:firstLine="498"/>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1.我方具有良好的商业信誉和健全的财务会计制度，</w:t>
      </w:r>
      <w:r>
        <w:rPr>
          <w:rFonts w:ascii="宋体" w:hAnsi="宋体" w:eastAsia="宋体" w:cs="宋体"/>
          <w:color w:val="auto"/>
          <w:sz w:val="24"/>
          <w:szCs w:val="24"/>
          <w:highlight w:val="none"/>
        </w:rPr>
        <w:t xml:space="preserve">具有履行合同所必需的设备和专 </w:t>
      </w:r>
      <w:r>
        <w:rPr>
          <w:rFonts w:ascii="宋体" w:hAnsi="宋体" w:eastAsia="宋体" w:cs="宋体"/>
          <w:color w:val="auto"/>
          <w:spacing w:val="1"/>
          <w:sz w:val="24"/>
          <w:szCs w:val="24"/>
          <w:highlight w:val="none"/>
        </w:rPr>
        <w:t xml:space="preserve">业技术能力，具有依法缴纳税收和社会保障金的良好记录，参加本项目采购活动前三年内 </w:t>
      </w:r>
      <w:r>
        <w:rPr>
          <w:rFonts w:ascii="宋体" w:hAnsi="宋体" w:eastAsia="宋体" w:cs="宋体"/>
          <w:color w:val="auto"/>
          <w:spacing w:val="-1"/>
          <w:sz w:val="24"/>
          <w:szCs w:val="24"/>
          <w:highlight w:val="none"/>
        </w:rPr>
        <w:t>无重大违法活动记录。</w:t>
      </w:r>
    </w:p>
    <w:p>
      <w:pPr>
        <w:spacing w:before="233" w:line="340" w:lineRule="auto"/>
        <w:ind w:firstLine="48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2.我方未列入在信用中国网站（</w:t>
      </w:r>
      <w:r>
        <w:rPr>
          <w:color w:val="auto"/>
          <w:highlight w:val="none"/>
        </w:rPr>
        <w:fldChar w:fldCharType="begin"/>
      </w:r>
      <w:r>
        <w:rPr>
          <w:color w:val="auto"/>
          <w:highlight w:val="none"/>
        </w:rPr>
        <w:instrText xml:space="preserve"> HYPERLINK "https://www.creditchina.gov.cn" </w:instrText>
      </w:r>
      <w:r>
        <w:rPr>
          <w:color w:val="auto"/>
          <w:highlight w:val="none"/>
        </w:rPr>
        <w:fldChar w:fldCharType="separate"/>
      </w:r>
      <w:r>
        <w:rPr>
          <w:rFonts w:ascii="宋体" w:hAnsi="宋体" w:eastAsia="宋体" w:cs="宋体"/>
          <w:color w:val="auto"/>
          <w:sz w:val="24"/>
          <w:szCs w:val="24"/>
          <w:highlight w:val="none"/>
        </w:rPr>
        <w:t>www</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creditchina</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gov</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cn</w:t>
      </w:r>
      <w:r>
        <w:rPr>
          <w:rFonts w:ascii="宋体" w:hAnsi="宋体" w:eastAsia="宋体" w:cs="宋体"/>
          <w:color w:val="auto"/>
          <w:sz w:val="24"/>
          <w:szCs w:val="24"/>
          <w:highlight w:val="none"/>
        </w:rPr>
        <w:fldChar w:fldCharType="end"/>
      </w:r>
      <w:r>
        <w:rPr>
          <w:rFonts w:ascii="宋体" w:hAnsi="宋体" w:eastAsia="宋体" w:cs="宋体"/>
          <w:color w:val="auto"/>
          <w:spacing w:val="1"/>
          <w:sz w:val="24"/>
          <w:szCs w:val="24"/>
          <w:highlight w:val="none"/>
        </w:rPr>
        <w:t>）“失信被执行人”、“重</w:t>
      </w:r>
      <w:r>
        <w:rPr>
          <w:rFonts w:ascii="宋体" w:hAnsi="宋体" w:eastAsia="宋体" w:cs="宋体"/>
          <w:color w:val="auto"/>
          <w:spacing w:val="9"/>
          <w:sz w:val="24"/>
          <w:szCs w:val="24"/>
          <w:highlight w:val="none"/>
        </w:rPr>
        <w:t xml:space="preserve"> </w:t>
      </w:r>
      <w:r>
        <w:rPr>
          <w:rFonts w:ascii="宋体" w:hAnsi="宋体" w:eastAsia="宋体" w:cs="宋体"/>
          <w:color w:val="auto"/>
          <w:spacing w:val="-2"/>
          <w:sz w:val="24"/>
          <w:szCs w:val="24"/>
          <w:highlight w:val="none"/>
        </w:rPr>
        <w:t>大税收违法案件当事人名单”中，也未列入中国政府采购网（</w:t>
      </w:r>
      <w:r>
        <w:rPr>
          <w:color w:val="auto"/>
          <w:highlight w:val="none"/>
        </w:rPr>
        <w:fldChar w:fldCharType="begin"/>
      </w:r>
      <w:r>
        <w:rPr>
          <w:color w:val="auto"/>
          <w:highlight w:val="none"/>
        </w:rPr>
        <w:instrText xml:space="preserve"> HYPERLINK "https://www.ccgp.gov.cn" </w:instrText>
      </w:r>
      <w:r>
        <w:rPr>
          <w:color w:val="auto"/>
          <w:highlight w:val="none"/>
        </w:rPr>
        <w:fldChar w:fldCharType="separate"/>
      </w:r>
      <w:r>
        <w:rPr>
          <w:rFonts w:ascii="宋体" w:hAnsi="宋体" w:eastAsia="宋体" w:cs="宋体"/>
          <w:color w:val="auto"/>
          <w:spacing w:val="-2"/>
          <w:sz w:val="24"/>
          <w:szCs w:val="24"/>
          <w:highlight w:val="none"/>
        </w:rPr>
        <w:t>www.ccgp.gov.cn</w:t>
      </w:r>
      <w:r>
        <w:rPr>
          <w:rFonts w:ascii="宋体" w:hAnsi="宋体" w:eastAsia="宋体" w:cs="宋体"/>
          <w:color w:val="auto"/>
          <w:spacing w:val="-2"/>
          <w:sz w:val="24"/>
          <w:szCs w:val="24"/>
          <w:highlight w:val="none"/>
        </w:rPr>
        <w:fldChar w:fldCharType="end"/>
      </w:r>
      <w:r>
        <w:rPr>
          <w:rFonts w:ascii="宋体" w:hAnsi="宋体" w:eastAsia="宋体" w:cs="宋体"/>
          <w:color w:val="auto"/>
          <w:spacing w:val="-2"/>
          <w:sz w:val="24"/>
          <w:szCs w:val="24"/>
          <w:highlight w:val="none"/>
        </w:rPr>
        <w:t>）“政府采</w:t>
      </w:r>
      <w:r>
        <w:rPr>
          <w:rFonts w:ascii="宋体" w:hAnsi="宋体" w:eastAsia="宋体" w:cs="宋体"/>
          <w:color w:val="auto"/>
          <w:spacing w:val="18"/>
          <w:sz w:val="24"/>
          <w:szCs w:val="24"/>
          <w:highlight w:val="none"/>
        </w:rPr>
        <w:t xml:space="preserve"> </w:t>
      </w:r>
      <w:r>
        <w:rPr>
          <w:rFonts w:ascii="宋体" w:hAnsi="宋体" w:eastAsia="宋体" w:cs="宋体"/>
          <w:color w:val="auto"/>
          <w:spacing w:val="-3"/>
          <w:sz w:val="24"/>
          <w:szCs w:val="24"/>
          <w:highlight w:val="none"/>
        </w:rPr>
        <w:t>购严重违法失信行为记录名单</w:t>
      </w:r>
      <w:r>
        <w:rPr>
          <w:rFonts w:ascii="宋体" w:hAnsi="宋体" w:eastAsia="宋体" w:cs="宋体"/>
          <w:color w:val="auto"/>
          <w:spacing w:val="-81"/>
          <w:sz w:val="24"/>
          <w:szCs w:val="24"/>
          <w:highlight w:val="none"/>
        </w:rPr>
        <w:t xml:space="preserve"> </w:t>
      </w:r>
      <w:r>
        <w:rPr>
          <w:rFonts w:ascii="宋体" w:hAnsi="宋体" w:eastAsia="宋体" w:cs="宋体"/>
          <w:color w:val="auto"/>
          <w:spacing w:val="-3"/>
          <w:sz w:val="24"/>
          <w:szCs w:val="24"/>
          <w:highlight w:val="none"/>
        </w:rPr>
        <w:t>”中。</w:t>
      </w:r>
    </w:p>
    <w:p>
      <w:pPr>
        <w:spacing w:before="233" w:line="340" w:lineRule="auto"/>
        <w:ind w:firstLine="485"/>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3.我方在采购项目评审（评标）环节结束后，随时接受采购人的检查验证，配合提供相关证明材料，证明符合《中华人民共和国政府采购法》规定的供应商基</w:t>
      </w:r>
      <w:r>
        <w:rPr>
          <w:rFonts w:ascii="宋体" w:hAnsi="宋体" w:eastAsia="宋体" w:cs="宋体"/>
          <w:color w:val="auto"/>
          <w:spacing w:val="-2"/>
          <w:sz w:val="24"/>
          <w:szCs w:val="24"/>
          <w:highlight w:val="none"/>
        </w:rPr>
        <w:t>本资格条件。</w:t>
      </w:r>
    </w:p>
    <w:p>
      <w:pPr>
        <w:spacing w:before="236" w:line="220" w:lineRule="auto"/>
        <w:ind w:left="48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我方对以上承诺负全部法律责任。</w:t>
      </w:r>
    </w:p>
    <w:p>
      <w:pPr>
        <w:spacing w:before="234" w:line="220" w:lineRule="auto"/>
        <w:ind w:left="48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特此承诺。</w:t>
      </w:r>
    </w:p>
    <w:p>
      <w:pPr>
        <w:pStyle w:val="7"/>
        <w:spacing w:line="265" w:lineRule="auto"/>
        <w:rPr>
          <w:color w:val="auto"/>
          <w:highlight w:val="none"/>
        </w:rPr>
      </w:pPr>
    </w:p>
    <w:p>
      <w:pPr>
        <w:pStyle w:val="7"/>
        <w:spacing w:line="266" w:lineRule="auto"/>
        <w:rPr>
          <w:color w:val="auto"/>
          <w:highlight w:val="none"/>
        </w:rPr>
      </w:pPr>
    </w:p>
    <w:p>
      <w:pPr>
        <w:pStyle w:val="7"/>
        <w:spacing w:line="266" w:lineRule="auto"/>
        <w:rPr>
          <w:color w:val="auto"/>
          <w:highlight w:val="none"/>
        </w:rPr>
      </w:pPr>
    </w:p>
    <w:p>
      <w:pPr>
        <w:spacing w:before="79" w:line="219" w:lineRule="auto"/>
        <w:ind w:left="732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（供应商公章）</w:t>
      </w:r>
    </w:p>
    <w:p>
      <w:pPr>
        <w:spacing w:before="97" w:line="220" w:lineRule="auto"/>
        <w:ind w:left="7735"/>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年</w:t>
      </w:r>
      <w:r>
        <w:rPr>
          <w:rFonts w:ascii="宋体" w:hAnsi="宋体" w:eastAsia="宋体" w:cs="宋体"/>
          <w:color w:val="auto"/>
          <w:spacing w:val="7"/>
          <w:sz w:val="24"/>
          <w:szCs w:val="24"/>
          <w:highlight w:val="none"/>
        </w:rPr>
        <w:t xml:space="preserve">  </w:t>
      </w:r>
      <w:r>
        <w:rPr>
          <w:rFonts w:ascii="宋体" w:hAnsi="宋体" w:eastAsia="宋体" w:cs="宋体"/>
          <w:color w:val="auto"/>
          <w:spacing w:val="-9"/>
          <w:sz w:val="24"/>
          <w:szCs w:val="24"/>
          <w:highlight w:val="none"/>
        </w:rPr>
        <w:t>月</w:t>
      </w:r>
      <w:r>
        <w:rPr>
          <w:rFonts w:ascii="宋体" w:hAnsi="宋体" w:eastAsia="宋体" w:cs="宋体"/>
          <w:color w:val="auto"/>
          <w:spacing w:val="26"/>
          <w:sz w:val="24"/>
          <w:szCs w:val="24"/>
          <w:highlight w:val="none"/>
        </w:rPr>
        <w:t xml:space="preserve">  </w:t>
      </w:r>
      <w:r>
        <w:rPr>
          <w:rFonts w:ascii="宋体" w:hAnsi="宋体" w:eastAsia="宋体" w:cs="宋体"/>
          <w:color w:val="auto"/>
          <w:spacing w:val="-9"/>
          <w:sz w:val="24"/>
          <w:szCs w:val="24"/>
          <w:highlight w:val="none"/>
        </w:rPr>
        <w:t>日</w:t>
      </w:r>
    </w:p>
    <w:p>
      <w:pPr>
        <w:spacing w:line="220" w:lineRule="auto"/>
        <w:rPr>
          <w:rFonts w:ascii="宋体" w:hAnsi="宋体" w:eastAsia="宋体" w:cs="宋体"/>
          <w:color w:val="auto"/>
          <w:sz w:val="24"/>
          <w:szCs w:val="24"/>
          <w:highlight w:val="none"/>
        </w:rPr>
        <w:sectPr>
          <w:footerReference r:id="rId34" w:type="default"/>
          <w:pgSz w:w="11906" w:h="16839"/>
          <w:pgMar w:top="1292" w:right="1190" w:bottom="1222" w:left="1310" w:header="0" w:footer="853" w:gutter="0"/>
          <w:pgNumType w:fmt="decimal"/>
          <w:cols w:space="720" w:num="1"/>
        </w:sectPr>
      </w:pPr>
    </w:p>
    <w:p>
      <w:pPr>
        <w:spacing w:before="47" w:line="219" w:lineRule="auto"/>
        <w:jc w:val="right"/>
        <w:outlineLvl w:val="9"/>
        <w:rPr>
          <w:rFonts w:ascii="宋体" w:hAnsi="宋体" w:eastAsia="宋体" w:cs="宋体"/>
          <w:color w:val="auto"/>
          <w:sz w:val="24"/>
          <w:szCs w:val="24"/>
          <w:highlight w:val="none"/>
        </w:rPr>
      </w:pPr>
      <w:bookmarkStart w:id="117" w:name="_Toc20068"/>
      <w:r>
        <w:rPr>
          <w:rFonts w:ascii="宋体" w:hAnsi="宋体" w:eastAsia="宋体" w:cs="宋体"/>
          <w:color w:val="auto"/>
          <w:spacing w:val="-1"/>
          <w:sz w:val="24"/>
          <w:szCs w:val="24"/>
          <w:highlight w:val="none"/>
        </w:rPr>
        <w:t>（五）特定资格条件证明文件（按询价通知书第一篇第三条第（二</w:t>
      </w:r>
      <w:r>
        <w:rPr>
          <w:rFonts w:ascii="宋体" w:hAnsi="宋体" w:eastAsia="宋体" w:cs="宋体"/>
          <w:color w:val="auto"/>
          <w:spacing w:val="-2"/>
          <w:sz w:val="24"/>
          <w:szCs w:val="24"/>
          <w:highlight w:val="none"/>
        </w:rPr>
        <w:t>）项要求提供）</w:t>
      </w:r>
      <w:bookmarkEnd w:id="117"/>
    </w:p>
    <w:p>
      <w:pPr>
        <w:spacing w:line="219" w:lineRule="auto"/>
        <w:rPr>
          <w:rFonts w:ascii="宋体" w:hAnsi="宋体" w:eastAsia="宋体" w:cs="宋体"/>
          <w:color w:val="auto"/>
          <w:sz w:val="24"/>
          <w:szCs w:val="24"/>
          <w:highlight w:val="none"/>
        </w:rPr>
        <w:sectPr>
          <w:footerReference r:id="rId35" w:type="default"/>
          <w:pgSz w:w="11906" w:h="16839"/>
          <w:pgMar w:top="1292" w:right="1575" w:bottom="1222" w:left="1732" w:header="0" w:footer="853" w:gutter="0"/>
          <w:pgNumType w:fmt="decimal"/>
          <w:cols w:space="720" w:num="1"/>
        </w:sectPr>
      </w:pPr>
    </w:p>
    <w:p>
      <w:pPr>
        <w:spacing w:before="53" w:line="242" w:lineRule="auto"/>
        <w:ind w:left="9"/>
        <w:outlineLvl w:val="0"/>
        <w:rPr>
          <w:rFonts w:ascii="黑体" w:hAnsi="黑体" w:eastAsia="黑体" w:cs="黑体"/>
          <w:color w:val="auto"/>
          <w:sz w:val="24"/>
          <w:szCs w:val="24"/>
          <w:highlight w:val="none"/>
        </w:rPr>
      </w:pPr>
      <w:bookmarkStart w:id="118" w:name="_Toc15233"/>
      <w:r>
        <w:rPr>
          <w:rFonts w:ascii="黑体" w:hAnsi="黑体" w:eastAsia="黑体" w:cs="黑体"/>
          <w:color w:val="auto"/>
          <w:spacing w:val="-23"/>
          <w:sz w:val="24"/>
          <w:szCs w:val="24"/>
          <w:highlight w:val="none"/>
        </w:rPr>
        <w:t>五、其他应提供的资料</w:t>
      </w:r>
      <w:bookmarkEnd w:id="118"/>
    </w:p>
    <w:p>
      <w:pPr>
        <w:spacing w:before="74" w:line="219" w:lineRule="auto"/>
        <w:jc w:val="right"/>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其他与项目有关的资料（自附</w:t>
      </w:r>
      <w:r>
        <w:rPr>
          <w:rFonts w:ascii="宋体" w:hAnsi="宋体" w:eastAsia="宋体" w:cs="宋体"/>
          <w:color w:val="auto"/>
          <w:spacing w:val="-5"/>
          <w:sz w:val="24"/>
          <w:szCs w:val="24"/>
          <w:highlight w:val="none"/>
        </w:rPr>
        <w:t>）：</w:t>
      </w:r>
      <w:r>
        <w:rPr>
          <w:rFonts w:ascii="宋体" w:hAnsi="宋体" w:eastAsia="宋体" w:cs="宋体"/>
          <w:color w:val="auto"/>
          <w:spacing w:val="-3"/>
          <w:sz w:val="24"/>
          <w:szCs w:val="24"/>
          <w:highlight w:val="none"/>
        </w:rPr>
        <w:t>供应商总体情况介绍、其他与本项目有关的资料等。</w:t>
      </w:r>
    </w:p>
    <w:p>
      <w:pPr>
        <w:pStyle w:val="7"/>
        <w:spacing w:line="242" w:lineRule="auto"/>
        <w:rPr>
          <w:color w:val="auto"/>
          <w:highlight w:val="none"/>
        </w:rPr>
      </w:pPr>
    </w:p>
    <w:p>
      <w:pPr>
        <w:pStyle w:val="7"/>
        <w:spacing w:line="242" w:lineRule="auto"/>
        <w:rPr>
          <w:color w:val="auto"/>
          <w:highlight w:val="none"/>
        </w:rPr>
      </w:pPr>
    </w:p>
    <w:p>
      <w:pPr>
        <w:pStyle w:val="7"/>
        <w:spacing w:line="242" w:lineRule="auto"/>
        <w:rPr>
          <w:color w:val="auto"/>
          <w:highlight w:val="none"/>
        </w:rPr>
      </w:pPr>
    </w:p>
    <w:p>
      <w:pPr>
        <w:pStyle w:val="7"/>
        <w:spacing w:line="242" w:lineRule="auto"/>
        <w:rPr>
          <w:color w:val="auto"/>
          <w:highlight w:val="none"/>
        </w:rPr>
      </w:pPr>
    </w:p>
    <w:p>
      <w:pPr>
        <w:pStyle w:val="7"/>
        <w:spacing w:line="242" w:lineRule="auto"/>
        <w:rPr>
          <w:color w:val="auto"/>
          <w:highlight w:val="none"/>
        </w:rPr>
      </w:pPr>
    </w:p>
    <w:p>
      <w:pPr>
        <w:pStyle w:val="7"/>
        <w:spacing w:line="242" w:lineRule="auto"/>
        <w:rPr>
          <w:color w:val="auto"/>
          <w:highlight w:val="none"/>
        </w:rPr>
      </w:pPr>
    </w:p>
    <w:p>
      <w:pPr>
        <w:pStyle w:val="7"/>
        <w:spacing w:line="242" w:lineRule="auto"/>
        <w:rPr>
          <w:color w:val="auto"/>
          <w:highlight w:val="none"/>
        </w:rPr>
      </w:pPr>
    </w:p>
    <w:p>
      <w:pPr>
        <w:pStyle w:val="7"/>
        <w:spacing w:line="242" w:lineRule="auto"/>
        <w:rPr>
          <w:color w:val="auto"/>
          <w:highlight w:val="none"/>
        </w:rPr>
      </w:pPr>
    </w:p>
    <w:p>
      <w:pPr>
        <w:pStyle w:val="7"/>
        <w:spacing w:line="242" w:lineRule="auto"/>
        <w:rPr>
          <w:color w:val="auto"/>
          <w:highlight w:val="none"/>
        </w:rPr>
      </w:pPr>
    </w:p>
    <w:p>
      <w:pPr>
        <w:pStyle w:val="7"/>
        <w:spacing w:line="242" w:lineRule="auto"/>
        <w:rPr>
          <w:color w:val="auto"/>
          <w:highlight w:val="none"/>
        </w:rPr>
      </w:pPr>
    </w:p>
    <w:p>
      <w:pPr>
        <w:pStyle w:val="7"/>
        <w:spacing w:line="242" w:lineRule="auto"/>
        <w:rPr>
          <w:color w:val="auto"/>
          <w:highlight w:val="none"/>
        </w:rPr>
      </w:pPr>
    </w:p>
    <w:p>
      <w:pPr>
        <w:pStyle w:val="7"/>
        <w:spacing w:line="242" w:lineRule="auto"/>
        <w:rPr>
          <w:color w:val="auto"/>
          <w:highlight w:val="none"/>
        </w:rPr>
      </w:pPr>
    </w:p>
    <w:p>
      <w:pPr>
        <w:pStyle w:val="7"/>
        <w:spacing w:line="242" w:lineRule="auto"/>
        <w:rPr>
          <w:color w:val="auto"/>
          <w:highlight w:val="none"/>
        </w:rPr>
      </w:pPr>
    </w:p>
    <w:p>
      <w:pPr>
        <w:pStyle w:val="7"/>
        <w:spacing w:line="242" w:lineRule="auto"/>
        <w:rPr>
          <w:color w:val="auto"/>
          <w:highlight w:val="none"/>
        </w:rPr>
      </w:pPr>
    </w:p>
    <w:p>
      <w:pPr>
        <w:pStyle w:val="7"/>
        <w:spacing w:line="242" w:lineRule="auto"/>
        <w:rPr>
          <w:color w:val="auto"/>
          <w:highlight w:val="none"/>
        </w:rPr>
      </w:pPr>
    </w:p>
    <w:p>
      <w:pPr>
        <w:pStyle w:val="7"/>
        <w:spacing w:line="242" w:lineRule="auto"/>
        <w:rPr>
          <w:color w:val="auto"/>
          <w:highlight w:val="none"/>
        </w:rPr>
      </w:pPr>
    </w:p>
    <w:p>
      <w:pPr>
        <w:pStyle w:val="7"/>
        <w:spacing w:line="242" w:lineRule="auto"/>
        <w:rPr>
          <w:color w:val="auto"/>
          <w:highlight w:val="none"/>
        </w:rPr>
      </w:pPr>
    </w:p>
    <w:p>
      <w:pPr>
        <w:pStyle w:val="7"/>
        <w:spacing w:line="242" w:lineRule="auto"/>
        <w:rPr>
          <w:color w:val="auto"/>
          <w:highlight w:val="none"/>
        </w:rPr>
      </w:pPr>
    </w:p>
    <w:p>
      <w:pPr>
        <w:pStyle w:val="7"/>
        <w:spacing w:line="242" w:lineRule="auto"/>
        <w:rPr>
          <w:color w:val="auto"/>
          <w:highlight w:val="none"/>
        </w:rPr>
      </w:pPr>
    </w:p>
    <w:p>
      <w:pPr>
        <w:pStyle w:val="7"/>
        <w:spacing w:line="242" w:lineRule="auto"/>
        <w:rPr>
          <w:color w:val="auto"/>
          <w:highlight w:val="none"/>
        </w:rPr>
      </w:pPr>
    </w:p>
    <w:p>
      <w:pPr>
        <w:pStyle w:val="7"/>
        <w:spacing w:line="242" w:lineRule="auto"/>
        <w:rPr>
          <w:color w:val="auto"/>
          <w:highlight w:val="none"/>
        </w:rPr>
      </w:pPr>
    </w:p>
    <w:p>
      <w:pPr>
        <w:pStyle w:val="7"/>
        <w:spacing w:line="242" w:lineRule="auto"/>
        <w:rPr>
          <w:color w:val="auto"/>
          <w:highlight w:val="none"/>
        </w:rPr>
      </w:pPr>
    </w:p>
    <w:p>
      <w:pPr>
        <w:pStyle w:val="7"/>
        <w:spacing w:line="242" w:lineRule="auto"/>
        <w:rPr>
          <w:color w:val="auto"/>
          <w:highlight w:val="none"/>
        </w:rPr>
      </w:pPr>
    </w:p>
    <w:p>
      <w:pPr>
        <w:pStyle w:val="7"/>
        <w:spacing w:line="242" w:lineRule="auto"/>
        <w:rPr>
          <w:color w:val="auto"/>
          <w:highlight w:val="none"/>
        </w:rPr>
      </w:pPr>
    </w:p>
    <w:p>
      <w:pPr>
        <w:pStyle w:val="7"/>
        <w:spacing w:line="242" w:lineRule="auto"/>
        <w:rPr>
          <w:color w:val="auto"/>
          <w:highlight w:val="none"/>
        </w:rPr>
      </w:pPr>
    </w:p>
    <w:p>
      <w:pPr>
        <w:pStyle w:val="7"/>
        <w:spacing w:line="242" w:lineRule="auto"/>
        <w:rPr>
          <w:color w:val="auto"/>
          <w:highlight w:val="none"/>
        </w:rPr>
      </w:pPr>
    </w:p>
    <w:p>
      <w:pPr>
        <w:pStyle w:val="7"/>
        <w:spacing w:line="242" w:lineRule="auto"/>
        <w:rPr>
          <w:color w:val="auto"/>
          <w:highlight w:val="none"/>
        </w:rPr>
      </w:pPr>
    </w:p>
    <w:p>
      <w:pPr>
        <w:pStyle w:val="7"/>
        <w:spacing w:line="242" w:lineRule="auto"/>
        <w:rPr>
          <w:color w:val="auto"/>
          <w:highlight w:val="none"/>
        </w:rPr>
      </w:pPr>
    </w:p>
    <w:p>
      <w:pPr>
        <w:pStyle w:val="7"/>
        <w:spacing w:line="242" w:lineRule="auto"/>
        <w:rPr>
          <w:color w:val="auto"/>
          <w:highlight w:val="none"/>
        </w:rPr>
      </w:pPr>
    </w:p>
    <w:p>
      <w:pPr>
        <w:pStyle w:val="7"/>
        <w:spacing w:line="242" w:lineRule="auto"/>
        <w:rPr>
          <w:color w:val="auto"/>
          <w:highlight w:val="none"/>
        </w:rPr>
      </w:pPr>
    </w:p>
    <w:p>
      <w:pPr>
        <w:pStyle w:val="7"/>
        <w:spacing w:line="242" w:lineRule="auto"/>
        <w:rPr>
          <w:color w:val="auto"/>
          <w:highlight w:val="none"/>
        </w:rPr>
      </w:pPr>
    </w:p>
    <w:p>
      <w:pPr>
        <w:pStyle w:val="7"/>
        <w:spacing w:line="242" w:lineRule="auto"/>
        <w:rPr>
          <w:color w:val="auto"/>
          <w:highlight w:val="none"/>
        </w:rPr>
      </w:pPr>
    </w:p>
    <w:p>
      <w:pPr>
        <w:pStyle w:val="7"/>
        <w:spacing w:line="242" w:lineRule="auto"/>
        <w:rPr>
          <w:color w:val="auto"/>
          <w:highlight w:val="none"/>
        </w:rPr>
      </w:pPr>
    </w:p>
    <w:p>
      <w:pPr>
        <w:pStyle w:val="7"/>
        <w:spacing w:line="242" w:lineRule="auto"/>
        <w:rPr>
          <w:color w:val="auto"/>
          <w:highlight w:val="none"/>
        </w:rPr>
      </w:pPr>
    </w:p>
    <w:p>
      <w:pPr>
        <w:pStyle w:val="7"/>
        <w:spacing w:line="242" w:lineRule="auto"/>
        <w:rPr>
          <w:color w:val="auto"/>
          <w:highlight w:val="none"/>
        </w:rPr>
      </w:pPr>
    </w:p>
    <w:p>
      <w:pPr>
        <w:pStyle w:val="7"/>
        <w:spacing w:line="242" w:lineRule="auto"/>
        <w:rPr>
          <w:color w:val="auto"/>
          <w:highlight w:val="none"/>
        </w:rPr>
      </w:pPr>
    </w:p>
    <w:p>
      <w:pPr>
        <w:pStyle w:val="7"/>
        <w:spacing w:line="242" w:lineRule="auto"/>
        <w:rPr>
          <w:color w:val="auto"/>
          <w:highlight w:val="none"/>
        </w:rPr>
      </w:pPr>
    </w:p>
    <w:p>
      <w:pPr>
        <w:pStyle w:val="7"/>
        <w:spacing w:line="242" w:lineRule="auto"/>
        <w:rPr>
          <w:color w:val="auto"/>
          <w:highlight w:val="none"/>
        </w:rPr>
      </w:pPr>
    </w:p>
    <w:p>
      <w:pPr>
        <w:pStyle w:val="7"/>
        <w:spacing w:line="242" w:lineRule="auto"/>
        <w:rPr>
          <w:color w:val="auto"/>
          <w:highlight w:val="none"/>
        </w:rPr>
      </w:pPr>
    </w:p>
    <w:p>
      <w:pPr>
        <w:pStyle w:val="7"/>
        <w:spacing w:line="242" w:lineRule="auto"/>
        <w:rPr>
          <w:color w:val="auto"/>
          <w:highlight w:val="none"/>
        </w:rPr>
      </w:pPr>
    </w:p>
    <w:p>
      <w:pPr>
        <w:pStyle w:val="7"/>
        <w:spacing w:line="242" w:lineRule="auto"/>
        <w:rPr>
          <w:color w:val="auto"/>
          <w:highlight w:val="none"/>
        </w:rPr>
      </w:pPr>
    </w:p>
    <w:p>
      <w:pPr>
        <w:pStyle w:val="7"/>
        <w:spacing w:line="242" w:lineRule="auto"/>
        <w:rPr>
          <w:color w:val="auto"/>
          <w:highlight w:val="none"/>
        </w:rPr>
      </w:pPr>
    </w:p>
    <w:p>
      <w:pPr>
        <w:pStyle w:val="7"/>
        <w:spacing w:line="242" w:lineRule="auto"/>
        <w:rPr>
          <w:color w:val="auto"/>
          <w:highlight w:val="none"/>
        </w:rPr>
      </w:pPr>
    </w:p>
    <w:p>
      <w:pPr>
        <w:pStyle w:val="7"/>
        <w:spacing w:line="242" w:lineRule="auto"/>
        <w:rPr>
          <w:color w:val="auto"/>
          <w:highlight w:val="none"/>
        </w:rPr>
      </w:pPr>
    </w:p>
    <w:p>
      <w:pPr>
        <w:pStyle w:val="7"/>
        <w:spacing w:line="242" w:lineRule="auto"/>
        <w:rPr>
          <w:color w:val="auto"/>
          <w:highlight w:val="none"/>
        </w:rPr>
      </w:pPr>
    </w:p>
    <w:p>
      <w:pPr>
        <w:pStyle w:val="7"/>
        <w:spacing w:line="242" w:lineRule="auto"/>
        <w:rPr>
          <w:color w:val="auto"/>
          <w:highlight w:val="none"/>
        </w:rPr>
      </w:pPr>
    </w:p>
    <w:p>
      <w:pPr>
        <w:pStyle w:val="7"/>
        <w:spacing w:line="242" w:lineRule="auto"/>
        <w:rPr>
          <w:color w:val="auto"/>
          <w:highlight w:val="none"/>
        </w:rPr>
      </w:pPr>
    </w:p>
    <w:p>
      <w:pPr>
        <w:pStyle w:val="7"/>
        <w:spacing w:line="242" w:lineRule="auto"/>
        <w:rPr>
          <w:color w:val="auto"/>
          <w:highlight w:val="none"/>
        </w:rPr>
      </w:pPr>
    </w:p>
    <w:p>
      <w:pPr>
        <w:pStyle w:val="7"/>
        <w:spacing w:line="243" w:lineRule="auto"/>
        <w:rPr>
          <w:color w:val="auto"/>
          <w:highlight w:val="none"/>
        </w:rPr>
      </w:pPr>
    </w:p>
    <w:p>
      <w:pPr>
        <w:pStyle w:val="7"/>
        <w:spacing w:line="243" w:lineRule="auto"/>
        <w:rPr>
          <w:color w:val="auto"/>
          <w:highlight w:val="none"/>
        </w:rPr>
      </w:pPr>
    </w:p>
    <w:p>
      <w:pPr>
        <w:spacing w:before="78" w:line="220" w:lineRule="auto"/>
        <w:ind w:left="4004"/>
        <w:rPr>
          <w:color w:val="auto"/>
          <w:highlight w:val="none"/>
        </w:rPr>
      </w:pPr>
      <w:r>
        <w:rPr>
          <w:rFonts w:ascii="宋体" w:hAnsi="宋体" w:eastAsia="宋体" w:cs="宋体"/>
          <w:color w:val="auto"/>
          <w:spacing w:val="-6"/>
          <w:sz w:val="24"/>
          <w:szCs w:val="24"/>
          <w:highlight w:val="none"/>
        </w:rPr>
        <w:t>（结束）</w:t>
      </w:r>
      <w:bookmarkStart w:id="119" w:name="bookmark36"/>
      <w:bookmarkEnd w:id="119"/>
    </w:p>
    <w:sectPr>
      <w:footerReference r:id="rId36" w:type="default"/>
      <w:pgSz w:w="11906" w:h="16839"/>
      <w:pgMar w:top="1178" w:right="1108" w:bottom="1222" w:left="1785" w:header="0" w:footer="853"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58" w:lineRule="exact"/>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58" w:lineRule="exact"/>
      <w:ind w:left="4728"/>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58" w:lineRule="exact"/>
      <w:ind w:left="4477"/>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r>
      <w:rPr>
        <w:rFonts w:ascii="Times New Roman" w:hAnsi="Times New Roman" w:eastAsia="Times New Roman" w:cs="Times New Roman"/>
        <w:spacing w:val="-8"/>
        <w:position w:val="1"/>
        <w:sz w:val="28"/>
        <w:szCs w:val="28"/>
      </w:rPr>
      <w:t>-</w:t>
    </w:r>
    <w:r>
      <w:rPr>
        <w:rFonts w:ascii="Times New Roman" w:hAnsi="Times New Roman" w:eastAsia="Times New Roman" w:cs="Times New Roman"/>
        <w:spacing w:val="11"/>
        <w:position w:val="1"/>
        <w:sz w:val="28"/>
        <w:szCs w:val="28"/>
      </w:rPr>
      <w:t xml:space="preserve"> </w:t>
    </w:r>
    <w:r>
      <w:rPr>
        <w:rFonts w:ascii="Times New Roman" w:hAnsi="Times New Roman" w:eastAsia="Times New Roman" w:cs="Times New Roman"/>
        <w:spacing w:val="-8"/>
        <w:position w:val="1"/>
        <w:sz w:val="28"/>
        <w:szCs w:val="28"/>
      </w:rPr>
      <w:t>9</w:t>
    </w:r>
    <w:r>
      <w:rPr>
        <w:rFonts w:ascii="Times New Roman" w:hAnsi="Times New Roman" w:eastAsia="Times New Roman" w:cs="Times New Roman"/>
        <w:spacing w:val="10"/>
        <w:position w:val="1"/>
        <w:sz w:val="28"/>
        <w:szCs w:val="28"/>
      </w:rPr>
      <w:t xml:space="preserve"> </w:t>
    </w:r>
    <w:r>
      <w:rPr>
        <w:rFonts w:ascii="Times New Roman" w:hAnsi="Times New Roman" w:eastAsia="Times New Roman" w:cs="Times New Roman"/>
        <w:spacing w:val="-8"/>
        <w:position w:val="1"/>
        <w:sz w:val="28"/>
        <w:szCs w:val="28"/>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58" w:lineRule="exact"/>
      <w:ind w:left="4407"/>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r>
      <w:rPr>
        <w:rFonts w:ascii="Times New Roman" w:hAnsi="Times New Roman" w:eastAsia="Times New Roman" w:cs="Times New Roman"/>
        <w:spacing w:val="-11"/>
        <w:position w:val="1"/>
        <w:sz w:val="28"/>
        <w:szCs w:val="28"/>
      </w:rPr>
      <w:t>-</w:t>
    </w:r>
    <w:r>
      <w:rPr>
        <w:rFonts w:ascii="Times New Roman" w:hAnsi="Times New Roman" w:eastAsia="Times New Roman" w:cs="Times New Roman"/>
        <w:spacing w:val="33"/>
        <w:position w:val="1"/>
        <w:sz w:val="28"/>
        <w:szCs w:val="28"/>
      </w:rPr>
      <w:t xml:space="preserve"> </w:t>
    </w:r>
    <w:r>
      <w:rPr>
        <w:rFonts w:ascii="Times New Roman" w:hAnsi="Times New Roman" w:eastAsia="Times New Roman" w:cs="Times New Roman"/>
        <w:spacing w:val="-11"/>
        <w:position w:val="1"/>
        <w:sz w:val="28"/>
        <w:szCs w:val="28"/>
      </w:rPr>
      <w:t>10</w:t>
    </w:r>
    <w:r>
      <w:rPr>
        <w:rFonts w:ascii="Times New Roman" w:hAnsi="Times New Roman" w:eastAsia="Times New Roman" w:cs="Times New Roman"/>
        <w:spacing w:val="10"/>
        <w:position w:val="1"/>
        <w:sz w:val="28"/>
        <w:szCs w:val="28"/>
      </w:rPr>
      <w:t xml:space="preserve"> </w:t>
    </w:r>
    <w:r>
      <w:rPr>
        <w:rFonts w:ascii="Times New Roman" w:hAnsi="Times New Roman" w:eastAsia="Times New Roman" w:cs="Times New Roman"/>
        <w:spacing w:val="-11"/>
        <w:position w:val="1"/>
        <w:sz w:val="28"/>
        <w:szCs w:val="28"/>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58" w:lineRule="exact"/>
      <w:ind w:left="4408"/>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r>
      <w:rPr>
        <w:rFonts w:ascii="Times New Roman" w:hAnsi="Times New Roman" w:eastAsia="Times New Roman" w:cs="Times New Roman"/>
        <w:spacing w:val="-11"/>
        <w:position w:val="1"/>
        <w:sz w:val="28"/>
        <w:szCs w:val="28"/>
      </w:rPr>
      <w:t>-</w:t>
    </w:r>
    <w:r>
      <w:rPr>
        <w:rFonts w:ascii="Times New Roman" w:hAnsi="Times New Roman" w:eastAsia="Times New Roman" w:cs="Times New Roman"/>
        <w:spacing w:val="33"/>
        <w:position w:val="1"/>
        <w:sz w:val="28"/>
        <w:szCs w:val="28"/>
      </w:rPr>
      <w:t xml:space="preserve"> </w:t>
    </w:r>
    <w:r>
      <w:rPr>
        <w:rFonts w:ascii="Times New Roman" w:hAnsi="Times New Roman" w:eastAsia="Times New Roman" w:cs="Times New Roman"/>
        <w:spacing w:val="-11"/>
        <w:position w:val="1"/>
        <w:sz w:val="28"/>
        <w:szCs w:val="28"/>
      </w:rPr>
      <w:t>11</w:t>
    </w:r>
    <w:r>
      <w:rPr>
        <w:rFonts w:ascii="Times New Roman" w:hAnsi="Times New Roman" w:eastAsia="Times New Roman" w:cs="Times New Roman"/>
        <w:spacing w:val="10"/>
        <w:position w:val="1"/>
        <w:sz w:val="28"/>
        <w:szCs w:val="28"/>
      </w:rPr>
      <w:t xml:space="preserve"> </w:t>
    </w:r>
    <w:r>
      <w:rPr>
        <w:rFonts w:ascii="Times New Roman" w:hAnsi="Times New Roman" w:eastAsia="Times New Roman" w:cs="Times New Roman"/>
        <w:spacing w:val="-11"/>
        <w:position w:val="1"/>
        <w:sz w:val="28"/>
        <w:szCs w:val="28"/>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58" w:lineRule="exact"/>
      <w:ind w:left="4405"/>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58" w:lineRule="exact"/>
      <w:ind w:left="4397"/>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58" w:lineRule="exact"/>
      <w:ind w:left="4407"/>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58" w:lineRule="exact"/>
      <w:ind w:left="4415"/>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58" w:lineRule="exact"/>
      <w:ind w:left="4404"/>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58" w:lineRule="exact"/>
      <w:ind w:left="4417"/>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58" w:lineRule="exact"/>
      <w:ind w:left="3930"/>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58" w:lineRule="exact"/>
      <w:ind w:left="4403"/>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58" w:lineRule="exact"/>
      <w:ind w:left="4392"/>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58" w:lineRule="exact"/>
      <w:ind w:left="4403"/>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58" w:lineRule="exact"/>
      <w:ind w:left="4405"/>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58" w:lineRule="exact"/>
      <w:ind w:left="3984"/>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58" w:lineRule="exact"/>
      <w:ind w:left="3930"/>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58" w:lineRule="exact"/>
      <w:ind w:left="4476"/>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58" w:lineRule="exact"/>
      <w:ind w:left="4476"/>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r>
      <w:rPr>
        <w:rFonts w:ascii="Times New Roman" w:hAnsi="Times New Roman" w:eastAsia="Times New Roman" w:cs="Times New Roman"/>
        <w:spacing w:val="-6"/>
        <w:position w:val="1"/>
        <w:sz w:val="28"/>
        <w:szCs w:val="28"/>
      </w:rPr>
      <w:t>-</w:t>
    </w:r>
    <w:r>
      <w:rPr>
        <w:rFonts w:ascii="Times New Roman" w:hAnsi="Times New Roman" w:eastAsia="Times New Roman" w:cs="Times New Roman"/>
        <w:spacing w:val="5"/>
        <w:position w:val="1"/>
        <w:sz w:val="28"/>
        <w:szCs w:val="28"/>
      </w:rPr>
      <w:t xml:space="preserve"> </w:t>
    </w:r>
    <w:r>
      <w:rPr>
        <w:rFonts w:ascii="Times New Roman" w:hAnsi="Times New Roman" w:eastAsia="Times New Roman" w:cs="Times New Roman"/>
        <w:spacing w:val="-6"/>
        <w:position w:val="1"/>
        <w:sz w:val="28"/>
        <w:szCs w:val="28"/>
      </w:rPr>
      <w:t>4</w:t>
    </w:r>
    <w:r>
      <w:rPr>
        <w:rFonts w:ascii="Times New Roman" w:hAnsi="Times New Roman" w:eastAsia="Times New Roman" w:cs="Times New Roman"/>
        <w:spacing w:val="10"/>
        <w:position w:val="1"/>
        <w:sz w:val="28"/>
        <w:szCs w:val="28"/>
      </w:rPr>
      <w:t xml:space="preserve"> </w:t>
    </w:r>
    <w:r>
      <w:rPr>
        <w:rFonts w:ascii="Times New Roman" w:hAnsi="Times New Roman" w:eastAsia="Times New Roman" w:cs="Times New Roman"/>
        <w:spacing w:val="-6"/>
        <w:position w:val="1"/>
        <w:sz w:val="28"/>
        <w:szCs w:val="2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58" w:lineRule="exact"/>
      <w:ind w:left="4476"/>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477"/>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r>
      <w:rPr>
        <w:rFonts w:ascii="Times New Roman" w:hAnsi="Times New Roman" w:eastAsia="Times New Roman" w:cs="Times New Roman"/>
        <w:spacing w:val="-8"/>
        <w:sz w:val="28"/>
        <w:szCs w:val="28"/>
      </w:rPr>
      <w:t>-</w:t>
    </w:r>
    <w:r>
      <w:rPr>
        <w:rFonts w:ascii="Times New Roman" w:hAnsi="Times New Roman" w:eastAsia="Times New Roman" w:cs="Times New Roman"/>
        <w:spacing w:val="11"/>
        <w:sz w:val="28"/>
        <w:szCs w:val="28"/>
      </w:rPr>
      <w:t xml:space="preserve"> </w:t>
    </w:r>
    <w:r>
      <w:rPr>
        <w:rFonts w:ascii="Times New Roman" w:hAnsi="Times New Roman" w:eastAsia="Times New Roman" w:cs="Times New Roman"/>
        <w:spacing w:val="-8"/>
        <w:sz w:val="28"/>
        <w:szCs w:val="28"/>
      </w:rPr>
      <w:t>7</w:t>
    </w:r>
    <w:r>
      <w:rPr>
        <w:rFonts w:ascii="Times New Roman" w:hAnsi="Times New Roman" w:eastAsia="Times New Roman" w:cs="Times New Roman"/>
        <w:spacing w:val="10"/>
        <w:sz w:val="28"/>
        <w:szCs w:val="28"/>
      </w:rPr>
      <w:t xml:space="preserve"> </w:t>
    </w:r>
    <w:r>
      <w:rPr>
        <w:rFonts w:ascii="Times New Roman" w:hAnsi="Times New Roman" w:eastAsia="Times New Roman" w:cs="Times New Roman"/>
        <w:spacing w:val="-8"/>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both"/>
      <w:rPr>
        <w:rFonts w:hint="default"/>
        <w:b w:val="0"/>
        <w:bCs w:val="0"/>
        <w:sz w:val="30"/>
        <w:szCs w:val="30"/>
        <w:u w:val="none"/>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both"/>
      <w:rPr>
        <w:rFonts w:hint="default"/>
        <w:b w:val="0"/>
        <w:bCs w:val="0"/>
        <w:sz w:val="30"/>
        <w:szCs w:val="30"/>
        <w:u w:val="none"/>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default" w:eastAsia="宋体"/>
        <w:sz w:val="32"/>
        <w:szCs w:val="32"/>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9B9BDA"/>
    <w:multiLevelType w:val="singleLevel"/>
    <w:tmpl w:val="8F9B9BDA"/>
    <w:lvl w:ilvl="0" w:tentative="0">
      <w:start w:val="1"/>
      <w:numFmt w:val="decimal"/>
      <w:suff w:val="nothing"/>
      <w:lvlText w:val="（%1）"/>
      <w:lvlJc w:val="left"/>
    </w:lvl>
  </w:abstractNum>
  <w:abstractNum w:abstractNumId="1">
    <w:nsid w:val="9CFAF7DE"/>
    <w:multiLevelType w:val="singleLevel"/>
    <w:tmpl w:val="9CFAF7DE"/>
    <w:lvl w:ilvl="0" w:tentative="0">
      <w:start w:val="1"/>
      <w:numFmt w:val="decimal"/>
      <w:suff w:val="nothing"/>
      <w:lvlText w:val="%1）"/>
      <w:lvlJc w:val="left"/>
    </w:lvl>
  </w:abstractNum>
  <w:abstractNum w:abstractNumId="2">
    <w:nsid w:val="A8DE5FC0"/>
    <w:multiLevelType w:val="singleLevel"/>
    <w:tmpl w:val="A8DE5FC0"/>
    <w:lvl w:ilvl="0" w:tentative="0">
      <w:start w:val="5"/>
      <w:numFmt w:val="chineseCounting"/>
      <w:suff w:val="space"/>
      <w:lvlText w:val="第%1篇"/>
      <w:lvlJc w:val="left"/>
      <w:pPr>
        <w:ind w:left="630"/>
      </w:pPr>
      <w:rPr>
        <w:rFonts w:hint="eastAsia"/>
      </w:rPr>
    </w:lvl>
  </w:abstractNum>
  <w:abstractNum w:abstractNumId="3">
    <w:nsid w:val="B8F2432B"/>
    <w:multiLevelType w:val="singleLevel"/>
    <w:tmpl w:val="B8F2432B"/>
    <w:lvl w:ilvl="0" w:tentative="0">
      <w:start w:val="1"/>
      <w:numFmt w:val="decimal"/>
      <w:lvlText w:val="%1."/>
      <w:lvlJc w:val="left"/>
      <w:pPr>
        <w:tabs>
          <w:tab w:val="left" w:pos="312"/>
        </w:tabs>
      </w:pPr>
    </w:lvl>
  </w:abstractNum>
  <w:abstractNum w:abstractNumId="4">
    <w:nsid w:val="BA87E245"/>
    <w:multiLevelType w:val="singleLevel"/>
    <w:tmpl w:val="BA87E245"/>
    <w:lvl w:ilvl="0" w:tentative="0">
      <w:start w:val="3"/>
      <w:numFmt w:val="chineseCounting"/>
      <w:suff w:val="nothing"/>
      <w:lvlText w:val="%1、"/>
      <w:lvlJc w:val="left"/>
      <w:rPr>
        <w:rFonts w:hint="eastAsia"/>
      </w:rPr>
    </w:lvl>
  </w:abstractNum>
  <w:abstractNum w:abstractNumId="5">
    <w:nsid w:val="C909F512"/>
    <w:multiLevelType w:val="singleLevel"/>
    <w:tmpl w:val="C909F512"/>
    <w:lvl w:ilvl="0" w:tentative="0">
      <w:start w:val="2"/>
      <w:numFmt w:val="chineseCounting"/>
      <w:suff w:val="space"/>
      <w:lvlText w:val="第%1部分"/>
      <w:lvlJc w:val="left"/>
      <w:rPr>
        <w:rFonts w:hint="eastAsia"/>
      </w:rPr>
    </w:lvl>
  </w:abstractNum>
  <w:abstractNum w:abstractNumId="6">
    <w:nsid w:val="D48A7DA4"/>
    <w:multiLevelType w:val="singleLevel"/>
    <w:tmpl w:val="D48A7DA4"/>
    <w:lvl w:ilvl="0" w:tentative="0">
      <w:start w:val="1"/>
      <w:numFmt w:val="decimal"/>
      <w:suff w:val="nothing"/>
      <w:lvlText w:val="（%1）"/>
      <w:lvlJc w:val="left"/>
    </w:lvl>
  </w:abstractNum>
  <w:abstractNum w:abstractNumId="7">
    <w:nsid w:val="F2A58B2D"/>
    <w:multiLevelType w:val="singleLevel"/>
    <w:tmpl w:val="F2A58B2D"/>
    <w:lvl w:ilvl="0" w:tentative="0">
      <w:start w:val="1"/>
      <w:numFmt w:val="decimal"/>
      <w:suff w:val="nothing"/>
      <w:lvlText w:val="（%1）"/>
      <w:lvlJc w:val="left"/>
    </w:lvl>
  </w:abstractNum>
  <w:abstractNum w:abstractNumId="8">
    <w:nsid w:val="57A527BA"/>
    <w:multiLevelType w:val="singleLevel"/>
    <w:tmpl w:val="57A527BA"/>
    <w:lvl w:ilvl="0" w:tentative="0">
      <w:start w:val="2"/>
      <w:numFmt w:val="chineseCounting"/>
      <w:suff w:val="nothing"/>
      <w:lvlText w:val="（%1）"/>
      <w:lvlJc w:val="left"/>
      <w:rPr>
        <w:rFonts w:hint="eastAsia"/>
      </w:rPr>
    </w:lvl>
  </w:abstractNum>
  <w:num w:numId="1">
    <w:abstractNumId w:val="3"/>
  </w:num>
  <w:num w:numId="2">
    <w:abstractNumId w:val="0"/>
  </w:num>
  <w:num w:numId="3">
    <w:abstractNumId w:val="2"/>
  </w:num>
  <w:num w:numId="4">
    <w:abstractNumId w:val="5"/>
  </w:num>
  <w:num w:numId="5">
    <w:abstractNumId w:val="7"/>
  </w:num>
  <w:num w:numId="6">
    <w:abstractNumId w:val="1"/>
  </w:num>
  <w:num w:numId="7">
    <w:abstractNumId w:val="6"/>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evenAndOddHeaders w:val="1"/>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292425A"/>
    <w:rsid w:val="03651FCD"/>
    <w:rsid w:val="04936845"/>
    <w:rsid w:val="099759BF"/>
    <w:rsid w:val="0F1914A6"/>
    <w:rsid w:val="10781EA5"/>
    <w:rsid w:val="116069D4"/>
    <w:rsid w:val="120B421F"/>
    <w:rsid w:val="16132A6B"/>
    <w:rsid w:val="19355CC5"/>
    <w:rsid w:val="1A1A3838"/>
    <w:rsid w:val="1A7A6085"/>
    <w:rsid w:val="1BA71FC6"/>
    <w:rsid w:val="1D6413CA"/>
    <w:rsid w:val="213D4496"/>
    <w:rsid w:val="2556149D"/>
    <w:rsid w:val="26845B7C"/>
    <w:rsid w:val="27F51441"/>
    <w:rsid w:val="33C1667B"/>
    <w:rsid w:val="36D36DF1"/>
    <w:rsid w:val="39197DAD"/>
    <w:rsid w:val="3B4D29BA"/>
    <w:rsid w:val="3DCA2B50"/>
    <w:rsid w:val="42201C49"/>
    <w:rsid w:val="443C101C"/>
    <w:rsid w:val="4B952912"/>
    <w:rsid w:val="4BF7545C"/>
    <w:rsid w:val="4D020994"/>
    <w:rsid w:val="508A2817"/>
    <w:rsid w:val="530D7A1D"/>
    <w:rsid w:val="53454E45"/>
    <w:rsid w:val="56236B4A"/>
    <w:rsid w:val="5B3D1C65"/>
    <w:rsid w:val="5CAD6C99"/>
    <w:rsid w:val="5EF66F60"/>
    <w:rsid w:val="62AC5D0D"/>
    <w:rsid w:val="65CC2A6C"/>
    <w:rsid w:val="66A33B20"/>
    <w:rsid w:val="687C4248"/>
    <w:rsid w:val="6F081CBA"/>
    <w:rsid w:val="71920345"/>
    <w:rsid w:val="721F0769"/>
    <w:rsid w:val="74E655E4"/>
    <w:rsid w:val="78A7237F"/>
    <w:rsid w:val="7B5F52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7">
    <w:name w:val="Body Text"/>
    <w:basedOn w:val="1"/>
    <w:next w:val="1"/>
    <w:semiHidden/>
    <w:qFormat/>
    <w:uiPriority w:val="0"/>
    <w:rPr>
      <w:rFonts w:ascii="Arial" w:hAnsi="Arial" w:eastAsia="Arial" w:cs="Arial"/>
      <w:sz w:val="21"/>
      <w:szCs w:val="21"/>
      <w:lang w:val="en-US" w:eastAsia="en-US" w:bidi="ar-SA"/>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page number"/>
    <w:basedOn w:val="12"/>
    <w:qFormat/>
    <w:uiPriority w:val="0"/>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Table Text"/>
    <w:basedOn w:val="1"/>
    <w:semiHidden/>
    <w:qFormat/>
    <w:uiPriority w:val="0"/>
    <w:rPr>
      <w:rFonts w:ascii="宋体" w:hAnsi="宋体" w:eastAsia="宋体" w:cs="宋体"/>
      <w:sz w:val="20"/>
      <w:szCs w:val="20"/>
      <w:lang w:val="en-US" w:eastAsia="en-US" w:bidi="ar-SA"/>
    </w:rPr>
  </w:style>
  <w:style w:type="paragraph" w:customStyle="1" w:styleId="17">
    <w:name w:val="WPSOffice手动目录 1"/>
    <w:qFormat/>
    <w:uiPriority w:val="0"/>
    <w:pPr>
      <w:ind w:leftChars="0"/>
    </w:pPr>
    <w:rPr>
      <w:rFonts w:ascii="Arial" w:hAnsi="Arial" w:eastAsia="Arial" w:cs="Arial"/>
      <w:sz w:val="20"/>
      <w:szCs w:val="20"/>
    </w:rPr>
  </w:style>
  <w:style w:type="paragraph" w:customStyle="1" w:styleId="18">
    <w:name w:val="WPSOffice手动目录 2"/>
    <w:qFormat/>
    <w:uiPriority w:val="0"/>
    <w:pPr>
      <w:ind w:leftChars="200"/>
    </w:pPr>
    <w:rPr>
      <w:rFonts w:ascii="Arial" w:hAnsi="Arial" w:eastAsia="Arial" w:cs="Arial"/>
      <w:sz w:val="20"/>
      <w:szCs w:val="20"/>
    </w:rPr>
  </w:style>
  <w:style w:type="paragraph" w:customStyle="1" w:styleId="19">
    <w:name w:val="WPSOffice手动目录 3"/>
    <w:qFormat/>
    <w:uiPriority w:val="0"/>
    <w:pPr>
      <w:ind w:leftChars="400"/>
    </w:pPr>
    <w:rPr>
      <w:rFonts w:ascii="Arial" w:hAnsi="Arial" w:eastAsia="Arial" w:cs="Arial"/>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0" Type="http://schemas.openxmlformats.org/officeDocument/2006/relationships/fontTable" Target="fontTable.xml"/><Relationship Id="rId4" Type="http://schemas.openxmlformats.org/officeDocument/2006/relationships/endnotes" Target="endnotes.xml"/><Relationship Id="rId39" Type="http://schemas.openxmlformats.org/officeDocument/2006/relationships/numbering" Target="numbering.xml"/><Relationship Id="rId38" Type="http://schemas.openxmlformats.org/officeDocument/2006/relationships/customXml" Target="../customXml/item1.xml"/><Relationship Id="rId37" Type="http://schemas.openxmlformats.org/officeDocument/2006/relationships/theme" Target="theme/theme1.xml"/><Relationship Id="rId36" Type="http://schemas.openxmlformats.org/officeDocument/2006/relationships/footer" Target="footer29.xml"/><Relationship Id="rId35" Type="http://schemas.openxmlformats.org/officeDocument/2006/relationships/footer" Target="footer28.xml"/><Relationship Id="rId34" Type="http://schemas.openxmlformats.org/officeDocument/2006/relationships/footer" Target="footer27.xml"/><Relationship Id="rId33" Type="http://schemas.openxmlformats.org/officeDocument/2006/relationships/footer" Target="footer26.xml"/><Relationship Id="rId32" Type="http://schemas.openxmlformats.org/officeDocument/2006/relationships/footer" Target="footer25.xml"/><Relationship Id="rId31" Type="http://schemas.openxmlformats.org/officeDocument/2006/relationships/footer" Target="footer24.xml"/><Relationship Id="rId30" Type="http://schemas.openxmlformats.org/officeDocument/2006/relationships/footer" Target="footer23.xml"/><Relationship Id="rId3" Type="http://schemas.openxmlformats.org/officeDocument/2006/relationships/footnotes" Target="footnotes.xml"/><Relationship Id="rId29" Type="http://schemas.openxmlformats.org/officeDocument/2006/relationships/footer" Target="footer22.xml"/><Relationship Id="rId28" Type="http://schemas.openxmlformats.org/officeDocument/2006/relationships/footer" Target="footer21.xml"/><Relationship Id="rId27" Type="http://schemas.openxmlformats.org/officeDocument/2006/relationships/footer" Target="footer20.xml"/><Relationship Id="rId26" Type="http://schemas.openxmlformats.org/officeDocument/2006/relationships/footer" Target="footer19.xml"/><Relationship Id="rId25" Type="http://schemas.openxmlformats.org/officeDocument/2006/relationships/footer" Target="footer18.xml"/><Relationship Id="rId24" Type="http://schemas.openxmlformats.org/officeDocument/2006/relationships/header" Target="header3.xml"/><Relationship Id="rId23" Type="http://schemas.openxmlformats.org/officeDocument/2006/relationships/footer" Target="footer17.xml"/><Relationship Id="rId22" Type="http://schemas.openxmlformats.org/officeDocument/2006/relationships/header" Target="header2.xml"/><Relationship Id="rId21" Type="http://schemas.openxmlformats.org/officeDocument/2006/relationships/footer" Target="footer16.xml"/><Relationship Id="rId20"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60</Pages>
  <Words>26224</Words>
  <Characters>27128</Characters>
  <TotalTime>37</TotalTime>
  <ScaleCrop>false</ScaleCrop>
  <LinksUpToDate>false</LinksUpToDate>
  <CharactersWithSpaces>28313</CharactersWithSpaces>
  <Application>WPS Office_11.8.2.12195_F1E327BC-269C-435d-A152-05C5408002CA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2025-03-23T20:20:00Z</dcterms:created>
  <dc:creator>lz</dc:creator>
  <cp:lastModifiedBy>Administrator</cp:lastModifiedBy>
  <cp:lastPrinted>2025-04-29T05:39:00Z</cp:lastPrinted>
  <dcterms:modified xsi:type="dcterms:W3CDTF">2025-04-29T12:31:52Z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2025-03-24T11:13:41Z</vt:filetime>
  </property>
  <property fmtid="{D5CDD505-2E9C-101B-9397-08002B2CF9AE}" pid="4" name="KSOTemplateDocerSaveRecord">
    <vt:lpwstr>eyJoZGlkIjoiMTQ1MjViMTYxN2JhZGMzZmJmZDM2YTAyZDMzMjFmZjQiLCJ1c2VySWQiOiIyMzUxMzM1NTQifQ==</vt:lpwstr>
  </property>
  <property fmtid="{D5CDD505-2E9C-101B-9397-08002B2CF9AE}" pid="5" name="KSOProductBuildVer">
    <vt:lpwstr>2052-11.8.2.12195</vt:lpwstr>
  </property>
  <property fmtid="{D5CDD505-2E9C-101B-9397-08002B2CF9AE}" pid="6" name="ICV">
    <vt:lpwstr>EE4E2D58A68C475987FE496B0C6760AE</vt:lpwstr>
  </property>
</Properties>
</file>