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7B818E5">
      <w:pPr>
        <w:jc w:val="center"/>
        <w:rPr>
          <w:rFonts w:hint="eastAsia" w:ascii="宋体" w:hAnsi="宋体" w:eastAsia="宋体" w:cs="宋体"/>
        </w:rPr>
      </w:pPr>
    </w:p>
    <w:p w14:paraId="251094D8">
      <w:pPr>
        <w:jc w:val="center"/>
        <w:rPr>
          <w:rFonts w:hint="eastAsia" w:ascii="宋体" w:hAnsi="宋体" w:eastAsia="宋体" w:cs="宋体"/>
          <w:b/>
          <w:sz w:val="84"/>
          <w:szCs w:val="84"/>
        </w:rPr>
      </w:pPr>
    </w:p>
    <w:p w14:paraId="606B1491">
      <w:pPr>
        <w:jc w:val="center"/>
        <w:rPr>
          <w:rFonts w:hint="eastAsia" w:ascii="宋体" w:hAnsi="宋体" w:eastAsia="宋体" w:cs="宋体"/>
          <w:b/>
          <w:sz w:val="84"/>
          <w:szCs w:val="84"/>
        </w:rPr>
      </w:pPr>
    </w:p>
    <w:p w14:paraId="30F84094">
      <w:pPr>
        <w:jc w:val="center"/>
        <w:rPr>
          <w:rFonts w:hint="eastAsia" w:ascii="宋体" w:hAnsi="宋体" w:eastAsia="宋体" w:cs="宋体"/>
          <w:sz w:val="108"/>
          <w:szCs w:val="108"/>
        </w:rPr>
      </w:pPr>
      <w:r>
        <w:rPr>
          <w:rFonts w:hint="eastAsia" w:ascii="宋体" w:hAnsi="宋体" w:eastAsia="宋体" w:cs="宋体"/>
          <w:b/>
          <w:sz w:val="108"/>
          <w:szCs w:val="108"/>
        </w:rPr>
        <w:t>竞争性磋商文件</w:t>
      </w:r>
    </w:p>
    <w:p w14:paraId="2CF667F0">
      <w:pPr>
        <w:jc w:val="center"/>
        <w:rPr>
          <w:rFonts w:hint="eastAsia" w:ascii="宋体" w:hAnsi="宋体" w:eastAsia="宋体" w:cs="宋体"/>
          <w:sz w:val="32"/>
        </w:rPr>
      </w:pPr>
    </w:p>
    <w:p w14:paraId="2DDBCCB0">
      <w:pPr>
        <w:jc w:val="center"/>
        <w:rPr>
          <w:rFonts w:hint="eastAsia" w:ascii="宋体" w:hAnsi="宋体" w:eastAsia="宋体" w:cs="宋体"/>
          <w:sz w:val="32"/>
        </w:rPr>
      </w:pPr>
    </w:p>
    <w:p w14:paraId="6F98D66C">
      <w:pPr>
        <w:jc w:val="left"/>
        <w:rPr>
          <w:rFonts w:hint="eastAsia" w:ascii="宋体" w:hAnsi="宋体" w:eastAsia="宋体" w:cs="宋体"/>
          <w:sz w:val="32"/>
          <w:szCs w:val="32"/>
        </w:rPr>
      </w:pPr>
    </w:p>
    <w:p w14:paraId="4569F95C">
      <w:pPr>
        <w:ind w:firstLine="778" w:firstLineChars="177"/>
        <w:jc w:val="left"/>
        <w:rPr>
          <w:rFonts w:hint="default" w:ascii="宋体" w:hAnsi="宋体" w:eastAsia="宋体" w:cs="宋体"/>
          <w:sz w:val="44"/>
          <w:szCs w:val="44"/>
          <w:lang w:val="en-US" w:eastAsia="zh-CN"/>
        </w:rPr>
      </w:pPr>
      <w:r>
        <w:rPr>
          <w:rFonts w:hint="eastAsia" w:ascii="宋体" w:hAnsi="宋体" w:eastAsia="宋体" w:cs="宋体"/>
          <w:sz w:val="44"/>
          <w:szCs w:val="44"/>
        </w:rPr>
        <w:t>项 目 编 号</w:t>
      </w:r>
      <w:r>
        <w:rPr>
          <w:rFonts w:hint="eastAsia" w:ascii="宋体" w:hAnsi="宋体" w:eastAsia="宋体" w:cs="宋体"/>
          <w:color w:val="auto"/>
          <w:sz w:val="44"/>
          <w:szCs w:val="44"/>
        </w:rPr>
        <w:t>：</w:t>
      </w:r>
      <w:bookmarkStart w:id="0" w:name="OLE_LINK5"/>
      <w:bookmarkEnd w:id="0"/>
      <w:r>
        <w:rPr>
          <w:rFonts w:hint="eastAsia" w:ascii="宋体" w:hAnsi="宋体" w:cs="宋体"/>
          <w:color w:val="auto"/>
          <w:sz w:val="44"/>
          <w:szCs w:val="44"/>
          <w:lang w:val="en-US" w:eastAsia="zh-CN"/>
        </w:rPr>
        <w:t>CQCG-2025-0815</w:t>
      </w:r>
    </w:p>
    <w:p w14:paraId="1995DC56">
      <w:pPr>
        <w:ind w:firstLine="778" w:firstLineChars="177"/>
        <w:jc w:val="left"/>
        <w:rPr>
          <w:rFonts w:hint="eastAsia" w:ascii="宋体" w:hAnsi="宋体" w:eastAsia="宋体" w:cs="宋体"/>
          <w:sz w:val="44"/>
          <w:szCs w:val="44"/>
        </w:rPr>
      </w:pPr>
      <w:r>
        <w:rPr>
          <w:rFonts w:hint="eastAsia" w:ascii="宋体" w:hAnsi="宋体" w:eastAsia="宋体" w:cs="宋体"/>
          <w:sz w:val="44"/>
          <w:szCs w:val="44"/>
        </w:rPr>
        <w:t>项 目 名 称：网站监测服务</w:t>
      </w:r>
    </w:p>
    <w:p w14:paraId="3E0BD1D4">
      <w:pPr>
        <w:jc w:val="center"/>
        <w:rPr>
          <w:rFonts w:hint="eastAsia" w:ascii="宋体" w:hAnsi="宋体" w:eastAsia="宋体" w:cs="宋体"/>
          <w:sz w:val="44"/>
          <w:szCs w:val="44"/>
        </w:rPr>
      </w:pPr>
    </w:p>
    <w:p w14:paraId="1198E38B">
      <w:pPr>
        <w:jc w:val="center"/>
        <w:rPr>
          <w:rFonts w:hint="eastAsia" w:ascii="宋体" w:hAnsi="宋体" w:eastAsia="宋体" w:cs="宋体"/>
          <w:sz w:val="30"/>
          <w:szCs w:val="30"/>
        </w:rPr>
      </w:pPr>
    </w:p>
    <w:p w14:paraId="3A0EADE3">
      <w:pPr>
        <w:jc w:val="center"/>
        <w:rPr>
          <w:rFonts w:hint="eastAsia" w:ascii="宋体" w:hAnsi="宋体" w:eastAsia="宋体" w:cs="宋体"/>
          <w:sz w:val="30"/>
          <w:szCs w:val="30"/>
        </w:rPr>
      </w:pPr>
    </w:p>
    <w:p w14:paraId="358704F9">
      <w:pPr>
        <w:jc w:val="center"/>
        <w:rPr>
          <w:rFonts w:hint="eastAsia" w:ascii="宋体" w:hAnsi="宋体" w:eastAsia="宋体" w:cs="宋体"/>
          <w:sz w:val="30"/>
          <w:szCs w:val="30"/>
        </w:rPr>
      </w:pPr>
    </w:p>
    <w:p w14:paraId="1A39A95B">
      <w:pPr>
        <w:pStyle w:val="33"/>
        <w:rPr>
          <w:rFonts w:hint="eastAsia" w:ascii="宋体" w:hAnsi="宋体" w:eastAsia="宋体" w:cs="宋体"/>
          <w:sz w:val="30"/>
          <w:szCs w:val="30"/>
        </w:rPr>
      </w:pPr>
    </w:p>
    <w:p w14:paraId="119203C1">
      <w:pPr>
        <w:pStyle w:val="33"/>
        <w:rPr>
          <w:rFonts w:hint="eastAsia" w:ascii="宋体" w:hAnsi="宋体" w:eastAsia="宋体" w:cs="宋体"/>
          <w:sz w:val="30"/>
          <w:szCs w:val="30"/>
        </w:rPr>
      </w:pPr>
    </w:p>
    <w:p w14:paraId="095F7D75">
      <w:pPr>
        <w:pStyle w:val="33"/>
        <w:rPr>
          <w:rFonts w:hint="eastAsia" w:ascii="宋体" w:hAnsi="宋体" w:eastAsia="宋体" w:cs="宋体"/>
          <w:sz w:val="30"/>
          <w:szCs w:val="30"/>
        </w:rPr>
      </w:pPr>
    </w:p>
    <w:p w14:paraId="3F2361F0">
      <w:pPr>
        <w:jc w:val="center"/>
        <w:rPr>
          <w:rFonts w:hint="eastAsia" w:ascii="宋体" w:hAnsi="宋体" w:eastAsia="宋体" w:cs="宋体"/>
          <w:sz w:val="30"/>
          <w:szCs w:val="30"/>
        </w:rPr>
      </w:pPr>
    </w:p>
    <w:p w14:paraId="6AEE8DC3">
      <w:pPr>
        <w:jc w:val="center"/>
        <w:rPr>
          <w:rFonts w:hint="eastAsia" w:ascii="宋体" w:hAnsi="宋体" w:eastAsia="宋体" w:cs="宋体"/>
          <w:sz w:val="30"/>
          <w:szCs w:val="30"/>
        </w:rPr>
      </w:pPr>
    </w:p>
    <w:p w14:paraId="2DE5BB15">
      <w:pPr>
        <w:rPr>
          <w:rFonts w:hint="eastAsia" w:ascii="宋体" w:hAnsi="宋体" w:eastAsia="宋体" w:cs="宋体"/>
          <w:sz w:val="36"/>
          <w:szCs w:val="36"/>
          <w:lang w:eastAsia="zh-CN"/>
        </w:rPr>
      </w:pPr>
      <w:r>
        <w:rPr>
          <w:rFonts w:hint="eastAsia" w:ascii="宋体" w:hAnsi="宋体" w:eastAsia="宋体" w:cs="宋体"/>
          <w:sz w:val="36"/>
          <w:szCs w:val="36"/>
        </w:rPr>
        <w:t xml:space="preserve">       </w:t>
      </w:r>
      <w:r>
        <w:rPr>
          <w:rFonts w:hint="eastAsia" w:ascii="宋体" w:hAnsi="宋体" w:cs="宋体"/>
          <w:sz w:val="36"/>
          <w:szCs w:val="36"/>
          <w:lang w:val="en-US" w:eastAsia="zh-CN"/>
        </w:rPr>
        <w:t xml:space="preserve"> </w:t>
      </w:r>
      <w:r>
        <w:rPr>
          <w:rFonts w:hint="eastAsia" w:ascii="宋体" w:hAnsi="宋体" w:eastAsia="宋体" w:cs="宋体"/>
          <w:sz w:val="36"/>
          <w:szCs w:val="36"/>
        </w:rPr>
        <w:t>采   购   人：</w:t>
      </w:r>
      <w:r>
        <w:rPr>
          <w:rFonts w:hint="eastAsia" w:ascii="宋体" w:hAnsi="宋体" w:cs="宋体"/>
          <w:sz w:val="36"/>
          <w:szCs w:val="36"/>
          <w:lang w:eastAsia="zh-CN"/>
        </w:rPr>
        <w:t>重庆市农业信息中心</w:t>
      </w:r>
    </w:p>
    <w:p w14:paraId="78379C9F">
      <w:pPr>
        <w:ind w:firstLine="360" w:firstLineChars="100"/>
        <w:jc w:val="center"/>
        <w:rPr>
          <w:rFonts w:hint="eastAsia" w:ascii="宋体" w:hAnsi="宋体" w:eastAsia="宋体" w:cs="宋体"/>
          <w:sz w:val="36"/>
          <w:szCs w:val="36"/>
          <w:lang w:eastAsia="zh-CN"/>
        </w:rPr>
      </w:pPr>
      <w:r>
        <w:rPr>
          <w:rFonts w:hint="eastAsia" w:ascii="宋体" w:hAnsi="宋体" w:eastAsia="宋体" w:cs="宋体"/>
          <w:sz w:val="36"/>
          <w:szCs w:val="36"/>
        </w:rPr>
        <w:t>采购代理机构：</w:t>
      </w:r>
      <w:r>
        <w:rPr>
          <w:rFonts w:hint="eastAsia" w:ascii="宋体" w:hAnsi="宋体" w:cs="宋体"/>
          <w:sz w:val="36"/>
          <w:szCs w:val="36"/>
          <w:lang w:eastAsia="zh-CN"/>
        </w:rPr>
        <w:t>重庆采家工程管理有限公司</w:t>
      </w:r>
    </w:p>
    <w:p w14:paraId="41B9EB04">
      <w:pPr>
        <w:ind w:firstLine="320" w:firstLineChars="100"/>
        <w:jc w:val="center"/>
        <w:rPr>
          <w:rFonts w:hint="eastAsia" w:ascii="宋体" w:hAnsi="宋体" w:eastAsia="宋体" w:cs="宋体"/>
          <w:sz w:val="32"/>
          <w:szCs w:val="32"/>
        </w:rPr>
      </w:pPr>
    </w:p>
    <w:p w14:paraId="015BF74E">
      <w:pPr>
        <w:ind w:firstLine="320" w:firstLineChars="100"/>
        <w:jc w:val="center"/>
        <w:rPr>
          <w:rFonts w:hint="eastAsia" w:ascii="宋体" w:hAnsi="宋体" w:eastAsia="宋体" w:cs="宋体"/>
          <w:sz w:val="32"/>
          <w:szCs w:val="32"/>
        </w:rPr>
      </w:pPr>
    </w:p>
    <w:p w14:paraId="65922161">
      <w:pPr>
        <w:jc w:val="center"/>
        <w:rPr>
          <w:rFonts w:hint="eastAsia" w:ascii="宋体" w:hAnsi="宋体" w:eastAsia="宋体" w:cs="宋体"/>
          <w:sz w:val="36"/>
          <w:szCs w:val="36"/>
        </w:rPr>
      </w:pPr>
      <w:r>
        <w:rPr>
          <w:rFonts w:hint="eastAsia" w:ascii="宋体" w:hAnsi="宋体" w:eastAsia="宋体" w:cs="宋体"/>
          <w:sz w:val="36"/>
          <w:szCs w:val="36"/>
        </w:rPr>
        <w:t>2025年</w:t>
      </w:r>
      <w:r>
        <w:rPr>
          <w:rFonts w:hint="eastAsia" w:ascii="宋体" w:hAnsi="宋体" w:cs="宋体"/>
          <w:sz w:val="36"/>
          <w:szCs w:val="36"/>
          <w:lang w:val="en-US" w:eastAsia="zh-CN"/>
        </w:rPr>
        <w:t>8</w:t>
      </w:r>
      <w:r>
        <w:rPr>
          <w:rFonts w:hint="eastAsia" w:ascii="宋体" w:hAnsi="宋体" w:eastAsia="宋体" w:cs="宋体"/>
          <w:sz w:val="36"/>
          <w:szCs w:val="36"/>
        </w:rPr>
        <w:t>月</w:t>
      </w:r>
    </w:p>
    <w:p w14:paraId="711E2256">
      <w:pPr>
        <w:rPr>
          <w:rFonts w:hint="eastAsia" w:ascii="宋体" w:hAnsi="宋体" w:eastAsia="宋体" w:cs="宋体"/>
          <w:sz w:val="44"/>
          <w:szCs w:val="28"/>
        </w:rPr>
      </w:pPr>
      <w:r>
        <w:rPr>
          <w:rFonts w:hint="eastAsia" w:ascii="宋体" w:hAnsi="宋体" w:eastAsia="宋体" w:cs="宋体"/>
          <w:sz w:val="44"/>
          <w:szCs w:val="28"/>
        </w:rPr>
        <w:br w:type="page"/>
      </w:r>
    </w:p>
    <w:p w14:paraId="6F2C2744">
      <w:pPr>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5D67783D">
      <w:pPr>
        <w:pStyle w:val="37"/>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pPr>
      <w:r>
        <w:rPr>
          <w:rFonts w:hint="eastAsia" w:ascii="宋体" w:hAnsi="宋体" w:eastAsia="宋体" w:cs="宋体"/>
          <w:szCs w:val="28"/>
        </w:rPr>
        <w:fldChar w:fldCharType="begin"/>
      </w:r>
      <w:r>
        <w:rPr>
          <w:rFonts w:hint="eastAsia" w:ascii="宋体" w:hAnsi="宋体" w:eastAsia="宋体" w:cs="宋体"/>
          <w:szCs w:val="28"/>
        </w:rPr>
        <w:instrText xml:space="preserve"> TOC \o "1-3" \h \z </w:instrText>
      </w:r>
      <w:r>
        <w:rPr>
          <w:rFonts w:hint="eastAsia" w:ascii="宋体" w:hAnsi="宋体" w:eastAsia="宋体" w:cs="宋体"/>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_Toc10070 </w:instrText>
      </w:r>
      <w:r>
        <w:rPr>
          <w:rFonts w:hint="eastAsia" w:ascii="宋体" w:hAnsi="宋体" w:eastAsia="宋体" w:cs="宋体"/>
          <w:szCs w:val="28"/>
        </w:rPr>
        <w:fldChar w:fldCharType="separate"/>
      </w:r>
      <w:r>
        <w:rPr>
          <w:rFonts w:hint="eastAsia" w:ascii="宋体" w:hAnsi="宋体" w:eastAsia="宋体" w:cs="宋体"/>
          <w:szCs w:val="36"/>
        </w:rPr>
        <w:t>第一篇  竞争性磋商邀请书</w:t>
      </w:r>
      <w:r>
        <w:tab/>
      </w:r>
      <w:r>
        <w:fldChar w:fldCharType="begin"/>
      </w:r>
      <w:r>
        <w:instrText xml:space="preserve"> PAGEREF _Toc10070 \h </w:instrText>
      </w:r>
      <w:r>
        <w:fldChar w:fldCharType="separate"/>
      </w:r>
      <w:r>
        <w:t>- 3 -</w:t>
      </w:r>
      <w:r>
        <w:fldChar w:fldCharType="end"/>
      </w:r>
      <w:r>
        <w:rPr>
          <w:rFonts w:hint="eastAsia" w:ascii="宋体" w:hAnsi="宋体" w:eastAsia="宋体" w:cs="宋体"/>
          <w:szCs w:val="28"/>
        </w:rPr>
        <w:fldChar w:fldCharType="end"/>
      </w:r>
    </w:p>
    <w:p w14:paraId="05028E82">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_Toc9747 </w:instrText>
      </w:r>
      <w:r>
        <w:rPr>
          <w:rFonts w:hint="eastAsia" w:ascii="宋体" w:hAnsi="宋体" w:eastAsia="宋体" w:cs="宋体"/>
          <w:szCs w:val="28"/>
        </w:rPr>
        <w:fldChar w:fldCharType="separate"/>
      </w:r>
      <w:r>
        <w:rPr>
          <w:rFonts w:hint="eastAsia" w:ascii="宋体" w:hAnsi="宋体" w:eastAsia="宋体" w:cs="宋体"/>
          <w:szCs w:val="24"/>
        </w:rPr>
        <w:t>一、竞争性磋商内容</w:t>
      </w:r>
      <w:r>
        <w:tab/>
      </w:r>
      <w:r>
        <w:fldChar w:fldCharType="begin"/>
      </w:r>
      <w:r>
        <w:instrText xml:space="preserve"> PAGEREF _Toc9747 \h </w:instrText>
      </w:r>
      <w:r>
        <w:fldChar w:fldCharType="separate"/>
      </w:r>
      <w:r>
        <w:t>- 3 -</w:t>
      </w:r>
      <w:r>
        <w:fldChar w:fldCharType="end"/>
      </w:r>
      <w:r>
        <w:rPr>
          <w:rFonts w:hint="eastAsia" w:ascii="宋体" w:hAnsi="宋体" w:eastAsia="宋体" w:cs="宋体"/>
          <w:szCs w:val="28"/>
        </w:rPr>
        <w:fldChar w:fldCharType="end"/>
      </w:r>
    </w:p>
    <w:p w14:paraId="2DE10BDB">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_Toc14333 </w:instrText>
      </w:r>
      <w:r>
        <w:rPr>
          <w:rFonts w:hint="eastAsia" w:ascii="宋体" w:hAnsi="宋体" w:eastAsia="宋体" w:cs="宋体"/>
          <w:szCs w:val="28"/>
        </w:rPr>
        <w:fldChar w:fldCharType="separate"/>
      </w:r>
      <w:r>
        <w:rPr>
          <w:rFonts w:hint="eastAsia" w:ascii="宋体" w:hAnsi="宋体" w:eastAsia="宋体" w:cs="宋体"/>
          <w:szCs w:val="24"/>
        </w:rPr>
        <w:t>二、资金来源</w:t>
      </w:r>
      <w:r>
        <w:tab/>
      </w:r>
      <w:r>
        <w:fldChar w:fldCharType="begin"/>
      </w:r>
      <w:r>
        <w:instrText xml:space="preserve"> PAGEREF _Toc14333 \h </w:instrText>
      </w:r>
      <w:r>
        <w:fldChar w:fldCharType="separate"/>
      </w:r>
      <w:r>
        <w:t>- 3 -</w:t>
      </w:r>
      <w:r>
        <w:fldChar w:fldCharType="end"/>
      </w:r>
      <w:r>
        <w:rPr>
          <w:rFonts w:hint="eastAsia" w:ascii="宋体" w:hAnsi="宋体" w:eastAsia="宋体" w:cs="宋体"/>
          <w:szCs w:val="28"/>
        </w:rPr>
        <w:fldChar w:fldCharType="end"/>
      </w:r>
    </w:p>
    <w:p w14:paraId="78C20778">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_Toc1103 </w:instrText>
      </w:r>
      <w:r>
        <w:rPr>
          <w:rFonts w:hint="eastAsia" w:ascii="宋体" w:hAnsi="宋体" w:eastAsia="宋体" w:cs="宋体"/>
          <w:szCs w:val="28"/>
        </w:rPr>
        <w:fldChar w:fldCharType="separate"/>
      </w:r>
      <w:r>
        <w:rPr>
          <w:rFonts w:hint="eastAsia" w:ascii="宋体" w:hAnsi="宋体" w:eastAsia="宋体" w:cs="宋体"/>
          <w:szCs w:val="24"/>
        </w:rPr>
        <w:t>三、供应商资格条件</w:t>
      </w:r>
      <w:r>
        <w:tab/>
      </w:r>
      <w:r>
        <w:fldChar w:fldCharType="begin"/>
      </w:r>
      <w:r>
        <w:instrText xml:space="preserve"> PAGEREF _Toc1103 \h </w:instrText>
      </w:r>
      <w:r>
        <w:fldChar w:fldCharType="separate"/>
      </w:r>
      <w:r>
        <w:t>- 3 -</w:t>
      </w:r>
      <w:r>
        <w:fldChar w:fldCharType="end"/>
      </w:r>
      <w:r>
        <w:rPr>
          <w:rFonts w:hint="eastAsia" w:ascii="宋体" w:hAnsi="宋体" w:eastAsia="宋体" w:cs="宋体"/>
          <w:szCs w:val="28"/>
        </w:rPr>
        <w:fldChar w:fldCharType="end"/>
      </w:r>
    </w:p>
    <w:p w14:paraId="3CD61F49">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_Toc21467 </w:instrText>
      </w:r>
      <w:r>
        <w:rPr>
          <w:rFonts w:hint="eastAsia" w:ascii="宋体" w:hAnsi="宋体" w:eastAsia="宋体" w:cs="宋体"/>
          <w:szCs w:val="28"/>
        </w:rPr>
        <w:fldChar w:fldCharType="separate"/>
      </w:r>
      <w:r>
        <w:rPr>
          <w:rFonts w:hint="eastAsia" w:ascii="宋体" w:hAnsi="宋体" w:eastAsia="宋体" w:cs="宋体"/>
          <w:szCs w:val="24"/>
        </w:rPr>
        <w:t>四、磋商有关说明</w:t>
      </w:r>
      <w:r>
        <w:tab/>
      </w:r>
      <w:r>
        <w:fldChar w:fldCharType="begin"/>
      </w:r>
      <w:r>
        <w:instrText xml:space="preserve"> PAGEREF _Toc21467 \h </w:instrText>
      </w:r>
      <w:r>
        <w:fldChar w:fldCharType="separate"/>
      </w:r>
      <w:r>
        <w:t>- 3 -</w:t>
      </w:r>
      <w:r>
        <w:fldChar w:fldCharType="end"/>
      </w:r>
      <w:r>
        <w:rPr>
          <w:rFonts w:hint="eastAsia" w:ascii="宋体" w:hAnsi="宋体" w:eastAsia="宋体" w:cs="宋体"/>
          <w:szCs w:val="28"/>
        </w:rPr>
        <w:fldChar w:fldCharType="end"/>
      </w:r>
    </w:p>
    <w:p w14:paraId="15D16FC5">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_Toc22430 </w:instrText>
      </w:r>
      <w:r>
        <w:rPr>
          <w:rFonts w:hint="eastAsia" w:ascii="宋体" w:hAnsi="宋体" w:eastAsia="宋体" w:cs="宋体"/>
          <w:szCs w:val="28"/>
        </w:rPr>
        <w:fldChar w:fldCharType="separate"/>
      </w:r>
      <w:r>
        <w:rPr>
          <w:rFonts w:hint="eastAsia" w:ascii="宋体" w:hAnsi="宋体" w:eastAsia="宋体" w:cs="宋体"/>
          <w:szCs w:val="24"/>
        </w:rPr>
        <w:t>五、其它有关规定</w:t>
      </w:r>
      <w:r>
        <w:tab/>
      </w:r>
      <w:r>
        <w:fldChar w:fldCharType="begin"/>
      </w:r>
      <w:r>
        <w:instrText xml:space="preserve"> PAGEREF _Toc22430 \h </w:instrText>
      </w:r>
      <w:r>
        <w:fldChar w:fldCharType="separate"/>
      </w:r>
      <w:r>
        <w:t>- 4 -</w:t>
      </w:r>
      <w:r>
        <w:fldChar w:fldCharType="end"/>
      </w:r>
      <w:r>
        <w:rPr>
          <w:rFonts w:hint="eastAsia" w:ascii="宋体" w:hAnsi="宋体" w:eastAsia="宋体" w:cs="宋体"/>
          <w:szCs w:val="28"/>
        </w:rPr>
        <w:fldChar w:fldCharType="end"/>
      </w:r>
    </w:p>
    <w:p w14:paraId="31B4F1FD">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_Toc1363 </w:instrText>
      </w:r>
      <w:r>
        <w:rPr>
          <w:rFonts w:hint="eastAsia" w:ascii="宋体" w:hAnsi="宋体" w:eastAsia="宋体" w:cs="宋体"/>
          <w:szCs w:val="28"/>
        </w:rPr>
        <w:fldChar w:fldCharType="separate"/>
      </w:r>
      <w:r>
        <w:rPr>
          <w:rFonts w:hint="eastAsia" w:ascii="宋体" w:hAnsi="宋体" w:eastAsia="宋体" w:cs="宋体"/>
          <w:szCs w:val="24"/>
        </w:rPr>
        <w:t>六、采购项目需落实的政府采购政策</w:t>
      </w:r>
      <w:r>
        <w:tab/>
      </w:r>
      <w:r>
        <w:fldChar w:fldCharType="begin"/>
      </w:r>
      <w:r>
        <w:instrText xml:space="preserve"> PAGEREF _Toc1363 \h </w:instrText>
      </w:r>
      <w:r>
        <w:fldChar w:fldCharType="separate"/>
      </w:r>
      <w:r>
        <w:t>- 4 -</w:t>
      </w:r>
      <w:r>
        <w:fldChar w:fldCharType="end"/>
      </w:r>
      <w:r>
        <w:rPr>
          <w:rFonts w:hint="eastAsia" w:ascii="宋体" w:hAnsi="宋体" w:eastAsia="宋体" w:cs="宋体"/>
          <w:szCs w:val="28"/>
        </w:rPr>
        <w:fldChar w:fldCharType="end"/>
      </w:r>
    </w:p>
    <w:p w14:paraId="29BC9872">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_Toc24747 </w:instrText>
      </w:r>
      <w:r>
        <w:rPr>
          <w:rFonts w:hint="eastAsia" w:ascii="宋体" w:hAnsi="宋体" w:eastAsia="宋体" w:cs="宋体"/>
          <w:szCs w:val="28"/>
        </w:rPr>
        <w:fldChar w:fldCharType="separate"/>
      </w:r>
      <w:r>
        <w:rPr>
          <w:rFonts w:hint="eastAsia" w:ascii="宋体" w:hAnsi="宋体" w:eastAsia="宋体" w:cs="宋体"/>
          <w:szCs w:val="24"/>
        </w:rPr>
        <w:t>七、联系方式</w:t>
      </w:r>
      <w:r>
        <w:tab/>
      </w:r>
      <w:r>
        <w:fldChar w:fldCharType="begin"/>
      </w:r>
      <w:r>
        <w:instrText xml:space="preserve"> PAGEREF _Toc24747 \h </w:instrText>
      </w:r>
      <w:r>
        <w:fldChar w:fldCharType="separate"/>
      </w:r>
      <w:r>
        <w:t>- 5 -</w:t>
      </w:r>
      <w:r>
        <w:fldChar w:fldCharType="end"/>
      </w:r>
      <w:r>
        <w:rPr>
          <w:rFonts w:hint="eastAsia" w:ascii="宋体" w:hAnsi="宋体" w:eastAsia="宋体" w:cs="宋体"/>
          <w:szCs w:val="28"/>
        </w:rPr>
        <w:fldChar w:fldCharType="end"/>
      </w:r>
    </w:p>
    <w:p w14:paraId="5B215F04">
      <w:pPr>
        <w:pStyle w:val="37"/>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_Toc13033 </w:instrText>
      </w:r>
      <w:r>
        <w:rPr>
          <w:rFonts w:hint="eastAsia" w:ascii="宋体" w:hAnsi="宋体" w:eastAsia="宋体" w:cs="宋体"/>
          <w:szCs w:val="28"/>
        </w:rPr>
        <w:fldChar w:fldCharType="separate"/>
      </w:r>
      <w:r>
        <w:rPr>
          <w:rFonts w:hint="eastAsia" w:ascii="宋体" w:hAnsi="宋体" w:eastAsia="宋体" w:cs="宋体"/>
          <w:szCs w:val="36"/>
        </w:rPr>
        <w:t>第二篇  项目</w:t>
      </w:r>
      <w:r>
        <w:rPr>
          <w:rFonts w:hint="eastAsia" w:ascii="宋体" w:hAnsi="宋体" w:eastAsia="宋体" w:cs="宋体"/>
          <w:szCs w:val="36"/>
          <w:lang w:val="en-US" w:eastAsia="zh-CN"/>
        </w:rPr>
        <w:t>服务</w:t>
      </w:r>
      <w:r>
        <w:rPr>
          <w:rFonts w:hint="eastAsia" w:ascii="宋体" w:hAnsi="宋体" w:eastAsia="宋体" w:cs="宋体"/>
          <w:szCs w:val="36"/>
        </w:rPr>
        <w:t>需求</w:t>
      </w:r>
      <w:r>
        <w:tab/>
      </w:r>
      <w:r>
        <w:fldChar w:fldCharType="begin"/>
      </w:r>
      <w:r>
        <w:instrText xml:space="preserve"> PAGEREF _Toc13033 \h </w:instrText>
      </w:r>
      <w:r>
        <w:fldChar w:fldCharType="separate"/>
      </w:r>
      <w:r>
        <w:t>- 6 -</w:t>
      </w:r>
      <w:r>
        <w:fldChar w:fldCharType="end"/>
      </w:r>
      <w:r>
        <w:rPr>
          <w:rFonts w:hint="eastAsia" w:ascii="宋体" w:hAnsi="宋体" w:eastAsia="宋体" w:cs="宋体"/>
          <w:szCs w:val="28"/>
        </w:rPr>
        <w:fldChar w:fldCharType="end"/>
      </w:r>
    </w:p>
    <w:p w14:paraId="5CEBE9B4">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_Toc6733 </w:instrText>
      </w:r>
      <w:r>
        <w:rPr>
          <w:rFonts w:hint="eastAsia" w:ascii="宋体" w:hAnsi="宋体" w:eastAsia="宋体" w:cs="宋体"/>
          <w:szCs w:val="28"/>
        </w:rPr>
        <w:fldChar w:fldCharType="separate"/>
      </w:r>
      <w:r>
        <w:rPr>
          <w:rFonts w:hint="eastAsia" w:ascii="宋体" w:hAnsi="宋体" w:eastAsia="宋体" w:cs="宋体"/>
          <w:szCs w:val="24"/>
        </w:rPr>
        <w:t>一、项目一览表</w:t>
      </w:r>
      <w:r>
        <w:tab/>
      </w:r>
      <w:r>
        <w:fldChar w:fldCharType="begin"/>
      </w:r>
      <w:r>
        <w:instrText xml:space="preserve"> PAGEREF _Toc6733 \h </w:instrText>
      </w:r>
      <w:r>
        <w:fldChar w:fldCharType="separate"/>
      </w:r>
      <w:r>
        <w:t>- 6 -</w:t>
      </w:r>
      <w:r>
        <w:fldChar w:fldCharType="end"/>
      </w:r>
      <w:r>
        <w:rPr>
          <w:rFonts w:hint="eastAsia" w:ascii="宋体" w:hAnsi="宋体" w:eastAsia="宋体" w:cs="宋体"/>
          <w:szCs w:val="28"/>
        </w:rPr>
        <w:fldChar w:fldCharType="end"/>
      </w:r>
    </w:p>
    <w:p w14:paraId="6DF3D5B1">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_Toc26871 </w:instrText>
      </w:r>
      <w:r>
        <w:rPr>
          <w:rFonts w:hint="eastAsia" w:ascii="宋体" w:hAnsi="宋体" w:eastAsia="宋体" w:cs="宋体"/>
          <w:szCs w:val="28"/>
        </w:rPr>
        <w:fldChar w:fldCharType="separate"/>
      </w:r>
      <w:r>
        <w:rPr>
          <w:rFonts w:hint="eastAsia" w:ascii="宋体" w:hAnsi="宋体" w:eastAsia="宋体" w:cs="宋体"/>
          <w:szCs w:val="24"/>
          <w:highlight w:val="none"/>
        </w:rPr>
        <w:t>二、</w:t>
      </w:r>
      <w:r>
        <w:rPr>
          <w:rFonts w:hint="eastAsia" w:ascii="宋体" w:hAnsi="宋体" w:eastAsia="宋体" w:cs="宋体"/>
          <w:szCs w:val="24"/>
          <w:highlight w:val="none"/>
          <w:lang w:eastAsia="zh-CN"/>
        </w:rPr>
        <w:t>服务</w:t>
      </w:r>
      <w:r>
        <w:rPr>
          <w:rFonts w:hint="eastAsia" w:ascii="宋体" w:hAnsi="宋体" w:eastAsia="宋体" w:cs="宋体"/>
          <w:szCs w:val="24"/>
          <w:highlight w:val="none"/>
        </w:rPr>
        <w:t>内容及服务要求</w:t>
      </w:r>
      <w:r>
        <w:tab/>
      </w:r>
      <w:r>
        <w:fldChar w:fldCharType="begin"/>
      </w:r>
      <w:r>
        <w:instrText xml:space="preserve"> PAGEREF _Toc26871 \h </w:instrText>
      </w:r>
      <w:r>
        <w:fldChar w:fldCharType="separate"/>
      </w:r>
      <w:r>
        <w:t>- 6 -</w:t>
      </w:r>
      <w:r>
        <w:fldChar w:fldCharType="end"/>
      </w:r>
      <w:r>
        <w:rPr>
          <w:rFonts w:hint="eastAsia" w:ascii="宋体" w:hAnsi="宋体" w:eastAsia="宋体" w:cs="宋体"/>
          <w:szCs w:val="28"/>
        </w:rPr>
        <w:fldChar w:fldCharType="end"/>
      </w:r>
    </w:p>
    <w:p w14:paraId="2F14650A">
      <w:pPr>
        <w:pStyle w:val="37"/>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_Toc20713 </w:instrText>
      </w:r>
      <w:r>
        <w:rPr>
          <w:rFonts w:hint="eastAsia" w:ascii="宋体" w:hAnsi="宋体" w:eastAsia="宋体" w:cs="宋体"/>
          <w:szCs w:val="28"/>
        </w:rPr>
        <w:fldChar w:fldCharType="separate"/>
      </w:r>
      <w:r>
        <w:rPr>
          <w:rFonts w:hint="eastAsia" w:ascii="宋体" w:hAnsi="宋体" w:eastAsia="宋体" w:cs="宋体"/>
          <w:szCs w:val="36"/>
        </w:rPr>
        <w:t>第三篇  项目商务需求</w:t>
      </w:r>
      <w:r>
        <w:tab/>
      </w:r>
      <w:r>
        <w:fldChar w:fldCharType="begin"/>
      </w:r>
      <w:r>
        <w:instrText xml:space="preserve"> PAGEREF _Toc20713 \h </w:instrText>
      </w:r>
      <w:r>
        <w:fldChar w:fldCharType="separate"/>
      </w:r>
      <w:r>
        <w:t>- 9 -</w:t>
      </w:r>
      <w:r>
        <w:fldChar w:fldCharType="end"/>
      </w:r>
      <w:r>
        <w:rPr>
          <w:rFonts w:hint="eastAsia" w:ascii="宋体" w:hAnsi="宋体" w:eastAsia="宋体" w:cs="宋体"/>
          <w:szCs w:val="28"/>
        </w:rPr>
        <w:fldChar w:fldCharType="end"/>
      </w:r>
    </w:p>
    <w:p w14:paraId="72D993E7">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_Toc13815 </w:instrText>
      </w:r>
      <w:r>
        <w:rPr>
          <w:rFonts w:hint="eastAsia" w:ascii="宋体" w:hAnsi="宋体" w:eastAsia="宋体" w:cs="宋体"/>
          <w:szCs w:val="28"/>
        </w:rPr>
        <w:fldChar w:fldCharType="separate"/>
      </w:r>
      <w:r>
        <w:rPr>
          <w:rFonts w:hint="eastAsia" w:ascii="宋体" w:hAnsi="宋体" w:eastAsia="宋体" w:cs="宋体"/>
          <w:szCs w:val="24"/>
        </w:rPr>
        <w:t>一、服务期、地点及验收方式</w:t>
      </w:r>
      <w:r>
        <w:tab/>
      </w:r>
      <w:r>
        <w:fldChar w:fldCharType="begin"/>
      </w:r>
      <w:r>
        <w:instrText xml:space="preserve"> PAGEREF _Toc13815 \h </w:instrText>
      </w:r>
      <w:r>
        <w:fldChar w:fldCharType="separate"/>
      </w:r>
      <w:r>
        <w:t>- 9 -</w:t>
      </w:r>
      <w:r>
        <w:fldChar w:fldCharType="end"/>
      </w:r>
      <w:r>
        <w:rPr>
          <w:rFonts w:hint="eastAsia" w:ascii="宋体" w:hAnsi="宋体" w:eastAsia="宋体" w:cs="宋体"/>
          <w:szCs w:val="28"/>
        </w:rPr>
        <w:fldChar w:fldCharType="end"/>
      </w:r>
    </w:p>
    <w:p w14:paraId="343FED49">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_Toc9742 </w:instrText>
      </w:r>
      <w:r>
        <w:rPr>
          <w:rFonts w:hint="eastAsia" w:ascii="宋体" w:hAnsi="宋体" w:eastAsia="宋体" w:cs="宋体"/>
          <w:szCs w:val="28"/>
        </w:rPr>
        <w:fldChar w:fldCharType="separate"/>
      </w:r>
      <w:r>
        <w:rPr>
          <w:rFonts w:hint="eastAsia" w:ascii="宋体" w:hAnsi="宋体" w:eastAsia="宋体" w:cs="宋体"/>
          <w:szCs w:val="24"/>
        </w:rPr>
        <w:t>二、</w:t>
      </w:r>
      <w:r>
        <w:rPr>
          <w:rFonts w:hint="eastAsia" w:ascii="宋体" w:hAnsi="宋体" w:eastAsia="宋体" w:cs="宋体"/>
          <w:highlight w:val="none"/>
          <w:lang w:eastAsia="zh-CN"/>
        </w:rPr>
        <w:t>质量保证</w:t>
      </w:r>
      <w:r>
        <w:tab/>
      </w:r>
      <w:r>
        <w:fldChar w:fldCharType="begin"/>
      </w:r>
      <w:r>
        <w:instrText xml:space="preserve"> PAGEREF _Toc9742 \h </w:instrText>
      </w:r>
      <w:r>
        <w:fldChar w:fldCharType="separate"/>
      </w:r>
      <w:r>
        <w:t>- 10 -</w:t>
      </w:r>
      <w:r>
        <w:fldChar w:fldCharType="end"/>
      </w:r>
      <w:r>
        <w:rPr>
          <w:rFonts w:hint="eastAsia" w:ascii="宋体" w:hAnsi="宋体" w:eastAsia="宋体" w:cs="宋体"/>
          <w:szCs w:val="28"/>
        </w:rPr>
        <w:fldChar w:fldCharType="end"/>
      </w:r>
    </w:p>
    <w:p w14:paraId="32F6ACBB">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_Toc22069 </w:instrText>
      </w:r>
      <w:r>
        <w:rPr>
          <w:rFonts w:hint="eastAsia" w:ascii="宋体" w:hAnsi="宋体" w:eastAsia="宋体" w:cs="宋体"/>
          <w:szCs w:val="28"/>
        </w:rPr>
        <w:fldChar w:fldCharType="separate"/>
      </w:r>
      <w:r>
        <w:rPr>
          <w:rFonts w:hint="eastAsia" w:ascii="宋体" w:hAnsi="宋体" w:eastAsia="宋体" w:cs="宋体"/>
          <w:szCs w:val="24"/>
          <w:lang w:val="en-US" w:eastAsia="zh-CN"/>
        </w:rPr>
        <w:t>三</w:t>
      </w:r>
      <w:r>
        <w:rPr>
          <w:rFonts w:hint="eastAsia" w:ascii="宋体" w:hAnsi="宋体" w:eastAsia="宋体" w:cs="宋体"/>
          <w:szCs w:val="24"/>
        </w:rPr>
        <w:t>、报价要求</w:t>
      </w:r>
      <w:r>
        <w:tab/>
      </w:r>
      <w:r>
        <w:fldChar w:fldCharType="begin"/>
      </w:r>
      <w:r>
        <w:instrText xml:space="preserve"> PAGEREF _Toc22069 \h </w:instrText>
      </w:r>
      <w:r>
        <w:fldChar w:fldCharType="separate"/>
      </w:r>
      <w:r>
        <w:t>- 10 -</w:t>
      </w:r>
      <w:r>
        <w:fldChar w:fldCharType="end"/>
      </w:r>
      <w:r>
        <w:rPr>
          <w:rFonts w:hint="eastAsia" w:ascii="宋体" w:hAnsi="宋体" w:eastAsia="宋体" w:cs="宋体"/>
          <w:szCs w:val="28"/>
        </w:rPr>
        <w:fldChar w:fldCharType="end"/>
      </w:r>
    </w:p>
    <w:p w14:paraId="17011639">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_Toc27120 </w:instrText>
      </w:r>
      <w:r>
        <w:rPr>
          <w:rFonts w:hint="eastAsia" w:ascii="宋体" w:hAnsi="宋体" w:eastAsia="宋体" w:cs="宋体"/>
          <w:szCs w:val="28"/>
        </w:rPr>
        <w:fldChar w:fldCharType="separate"/>
      </w:r>
      <w:r>
        <w:rPr>
          <w:rFonts w:hint="eastAsia" w:ascii="宋体" w:hAnsi="宋体" w:eastAsia="宋体" w:cs="宋体"/>
          <w:szCs w:val="24"/>
          <w:lang w:val="en-US" w:eastAsia="zh-CN"/>
        </w:rPr>
        <w:t>四</w:t>
      </w:r>
      <w:r>
        <w:rPr>
          <w:rFonts w:hint="eastAsia" w:ascii="宋体" w:hAnsi="宋体" w:eastAsia="宋体" w:cs="宋体"/>
          <w:szCs w:val="24"/>
        </w:rPr>
        <w:t>、付款方式</w:t>
      </w:r>
      <w:r>
        <w:tab/>
      </w:r>
      <w:r>
        <w:fldChar w:fldCharType="begin"/>
      </w:r>
      <w:r>
        <w:instrText xml:space="preserve"> PAGEREF _Toc27120 \h </w:instrText>
      </w:r>
      <w:r>
        <w:fldChar w:fldCharType="separate"/>
      </w:r>
      <w:r>
        <w:t>- 10 -</w:t>
      </w:r>
      <w:r>
        <w:fldChar w:fldCharType="end"/>
      </w:r>
      <w:r>
        <w:rPr>
          <w:rFonts w:hint="eastAsia" w:ascii="宋体" w:hAnsi="宋体" w:eastAsia="宋体" w:cs="宋体"/>
          <w:szCs w:val="28"/>
        </w:rPr>
        <w:fldChar w:fldCharType="end"/>
      </w:r>
    </w:p>
    <w:p w14:paraId="47C9C0C5">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_Toc4574 </w:instrText>
      </w:r>
      <w:r>
        <w:rPr>
          <w:rFonts w:hint="eastAsia" w:ascii="宋体" w:hAnsi="宋体" w:eastAsia="宋体" w:cs="宋体"/>
          <w:szCs w:val="28"/>
        </w:rPr>
        <w:fldChar w:fldCharType="separate"/>
      </w:r>
      <w:r>
        <w:rPr>
          <w:rFonts w:hint="eastAsia" w:ascii="宋体" w:hAnsi="宋体" w:eastAsia="宋体" w:cs="宋体"/>
          <w:szCs w:val="24"/>
        </w:rPr>
        <w:t>五、知识产权</w:t>
      </w:r>
      <w:r>
        <w:tab/>
      </w:r>
      <w:r>
        <w:fldChar w:fldCharType="begin"/>
      </w:r>
      <w:r>
        <w:instrText xml:space="preserve"> PAGEREF _Toc4574 \h </w:instrText>
      </w:r>
      <w:r>
        <w:fldChar w:fldCharType="separate"/>
      </w:r>
      <w:r>
        <w:t>- 10 -</w:t>
      </w:r>
      <w:r>
        <w:fldChar w:fldCharType="end"/>
      </w:r>
      <w:r>
        <w:rPr>
          <w:rFonts w:hint="eastAsia" w:ascii="宋体" w:hAnsi="宋体" w:eastAsia="宋体" w:cs="宋体"/>
          <w:szCs w:val="28"/>
        </w:rPr>
        <w:fldChar w:fldCharType="end"/>
      </w:r>
    </w:p>
    <w:p w14:paraId="4FCE83B4">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_Toc16804 </w:instrText>
      </w:r>
      <w:r>
        <w:rPr>
          <w:rFonts w:hint="eastAsia" w:ascii="宋体" w:hAnsi="宋体" w:eastAsia="宋体" w:cs="宋体"/>
          <w:szCs w:val="28"/>
        </w:rPr>
        <w:fldChar w:fldCharType="separate"/>
      </w:r>
      <w:r>
        <w:rPr>
          <w:rFonts w:hint="eastAsia" w:ascii="宋体" w:hAnsi="宋体" w:eastAsia="宋体" w:cs="宋体"/>
          <w:szCs w:val="24"/>
        </w:rPr>
        <w:t>六、其他</w:t>
      </w:r>
      <w:r>
        <w:tab/>
      </w:r>
      <w:r>
        <w:fldChar w:fldCharType="begin"/>
      </w:r>
      <w:r>
        <w:instrText xml:space="preserve"> PAGEREF _Toc16804 \h </w:instrText>
      </w:r>
      <w:r>
        <w:fldChar w:fldCharType="separate"/>
      </w:r>
      <w:r>
        <w:t>- 11 -</w:t>
      </w:r>
      <w:r>
        <w:fldChar w:fldCharType="end"/>
      </w:r>
      <w:r>
        <w:rPr>
          <w:rFonts w:hint="eastAsia" w:ascii="宋体" w:hAnsi="宋体" w:eastAsia="宋体" w:cs="宋体"/>
          <w:szCs w:val="28"/>
        </w:rPr>
        <w:fldChar w:fldCharType="end"/>
      </w:r>
    </w:p>
    <w:p w14:paraId="2C2A8991">
      <w:pPr>
        <w:pStyle w:val="37"/>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_Toc2255 </w:instrText>
      </w:r>
      <w:r>
        <w:rPr>
          <w:rFonts w:hint="eastAsia" w:ascii="宋体" w:hAnsi="宋体" w:eastAsia="宋体" w:cs="宋体"/>
          <w:szCs w:val="28"/>
        </w:rPr>
        <w:fldChar w:fldCharType="separate"/>
      </w:r>
      <w:r>
        <w:rPr>
          <w:rFonts w:hint="eastAsia" w:ascii="宋体" w:hAnsi="宋体" w:eastAsia="宋体" w:cs="宋体"/>
          <w:szCs w:val="36"/>
        </w:rPr>
        <w:t>第四篇  评审标准、无效响应和采购终止</w:t>
      </w:r>
      <w:r>
        <w:tab/>
      </w:r>
      <w:r>
        <w:fldChar w:fldCharType="begin"/>
      </w:r>
      <w:r>
        <w:instrText xml:space="preserve"> PAGEREF _Toc2255 \h </w:instrText>
      </w:r>
      <w:r>
        <w:fldChar w:fldCharType="separate"/>
      </w:r>
      <w:r>
        <w:t>- 12 -</w:t>
      </w:r>
      <w:r>
        <w:fldChar w:fldCharType="end"/>
      </w:r>
      <w:r>
        <w:rPr>
          <w:rFonts w:hint="eastAsia" w:ascii="宋体" w:hAnsi="宋体" w:eastAsia="宋体" w:cs="宋体"/>
          <w:szCs w:val="28"/>
        </w:rPr>
        <w:fldChar w:fldCharType="end"/>
      </w:r>
    </w:p>
    <w:p w14:paraId="2EE263DF">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_Toc2123 </w:instrText>
      </w:r>
      <w:r>
        <w:rPr>
          <w:rFonts w:hint="eastAsia" w:ascii="宋体" w:hAnsi="宋体" w:eastAsia="宋体" w:cs="宋体"/>
          <w:szCs w:val="28"/>
        </w:rPr>
        <w:fldChar w:fldCharType="separate"/>
      </w:r>
      <w:r>
        <w:rPr>
          <w:rFonts w:hint="eastAsia" w:ascii="宋体" w:hAnsi="宋体" w:eastAsia="宋体" w:cs="宋体"/>
          <w:szCs w:val="24"/>
        </w:rPr>
        <w:t>一、磋商程序及方法</w:t>
      </w:r>
      <w:r>
        <w:tab/>
      </w:r>
      <w:r>
        <w:fldChar w:fldCharType="begin"/>
      </w:r>
      <w:r>
        <w:instrText xml:space="preserve"> PAGEREF _Toc2123 \h </w:instrText>
      </w:r>
      <w:r>
        <w:fldChar w:fldCharType="separate"/>
      </w:r>
      <w:r>
        <w:t>- 12 -</w:t>
      </w:r>
      <w:r>
        <w:fldChar w:fldCharType="end"/>
      </w:r>
      <w:r>
        <w:rPr>
          <w:rFonts w:hint="eastAsia" w:ascii="宋体" w:hAnsi="宋体" w:eastAsia="宋体" w:cs="宋体"/>
          <w:szCs w:val="28"/>
        </w:rPr>
        <w:fldChar w:fldCharType="end"/>
      </w:r>
    </w:p>
    <w:p w14:paraId="47B178CA">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_Toc16782 </w:instrText>
      </w:r>
      <w:r>
        <w:rPr>
          <w:rFonts w:hint="eastAsia" w:ascii="宋体" w:hAnsi="宋体" w:eastAsia="宋体" w:cs="宋体"/>
          <w:szCs w:val="28"/>
        </w:rPr>
        <w:fldChar w:fldCharType="separate"/>
      </w:r>
      <w:r>
        <w:rPr>
          <w:rFonts w:hint="eastAsia" w:ascii="宋体" w:hAnsi="宋体" w:eastAsia="宋体" w:cs="宋体"/>
          <w:szCs w:val="24"/>
        </w:rPr>
        <w:t>二、评审标准</w:t>
      </w:r>
      <w:r>
        <w:tab/>
      </w:r>
      <w:r>
        <w:fldChar w:fldCharType="begin"/>
      </w:r>
      <w:r>
        <w:instrText xml:space="preserve"> PAGEREF _Toc16782 \h </w:instrText>
      </w:r>
      <w:r>
        <w:fldChar w:fldCharType="separate"/>
      </w:r>
      <w:r>
        <w:t>- 14 -</w:t>
      </w:r>
      <w:r>
        <w:fldChar w:fldCharType="end"/>
      </w:r>
      <w:r>
        <w:rPr>
          <w:rFonts w:hint="eastAsia" w:ascii="宋体" w:hAnsi="宋体" w:eastAsia="宋体" w:cs="宋体"/>
          <w:szCs w:val="28"/>
        </w:rPr>
        <w:fldChar w:fldCharType="end"/>
      </w:r>
    </w:p>
    <w:p w14:paraId="21B4C066">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_Toc2705 </w:instrText>
      </w:r>
      <w:r>
        <w:rPr>
          <w:rFonts w:hint="eastAsia" w:ascii="宋体" w:hAnsi="宋体" w:eastAsia="宋体" w:cs="宋体"/>
          <w:szCs w:val="28"/>
        </w:rPr>
        <w:fldChar w:fldCharType="separate"/>
      </w:r>
      <w:r>
        <w:rPr>
          <w:rFonts w:hint="eastAsia" w:ascii="宋体" w:hAnsi="宋体" w:eastAsia="宋体" w:cs="宋体"/>
          <w:szCs w:val="24"/>
        </w:rPr>
        <w:t>三、无效响应</w:t>
      </w:r>
      <w:r>
        <w:tab/>
      </w:r>
      <w:r>
        <w:fldChar w:fldCharType="begin"/>
      </w:r>
      <w:r>
        <w:instrText xml:space="preserve"> PAGEREF _Toc2705 \h </w:instrText>
      </w:r>
      <w:r>
        <w:fldChar w:fldCharType="separate"/>
      </w:r>
      <w:r>
        <w:t>- 15 -</w:t>
      </w:r>
      <w:r>
        <w:fldChar w:fldCharType="end"/>
      </w:r>
      <w:r>
        <w:rPr>
          <w:rFonts w:hint="eastAsia" w:ascii="宋体" w:hAnsi="宋体" w:eastAsia="宋体" w:cs="宋体"/>
          <w:szCs w:val="28"/>
        </w:rPr>
        <w:fldChar w:fldCharType="end"/>
      </w:r>
    </w:p>
    <w:p w14:paraId="578436E4">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_Toc15696 </w:instrText>
      </w:r>
      <w:r>
        <w:rPr>
          <w:rFonts w:hint="eastAsia" w:ascii="宋体" w:hAnsi="宋体" w:eastAsia="宋体" w:cs="宋体"/>
          <w:szCs w:val="28"/>
        </w:rPr>
        <w:fldChar w:fldCharType="separate"/>
      </w:r>
      <w:r>
        <w:rPr>
          <w:rFonts w:hint="eastAsia" w:ascii="宋体" w:hAnsi="宋体" w:eastAsia="宋体" w:cs="宋体"/>
          <w:szCs w:val="24"/>
        </w:rPr>
        <w:t>四、采购终止</w:t>
      </w:r>
      <w:r>
        <w:tab/>
      </w:r>
      <w:r>
        <w:fldChar w:fldCharType="begin"/>
      </w:r>
      <w:r>
        <w:instrText xml:space="preserve"> PAGEREF _Toc15696 \h </w:instrText>
      </w:r>
      <w:r>
        <w:fldChar w:fldCharType="separate"/>
      </w:r>
      <w:r>
        <w:t>- 16 -</w:t>
      </w:r>
      <w:r>
        <w:fldChar w:fldCharType="end"/>
      </w:r>
      <w:r>
        <w:rPr>
          <w:rFonts w:hint="eastAsia" w:ascii="宋体" w:hAnsi="宋体" w:eastAsia="宋体" w:cs="宋体"/>
          <w:szCs w:val="28"/>
        </w:rPr>
        <w:fldChar w:fldCharType="end"/>
      </w:r>
    </w:p>
    <w:p w14:paraId="50A7DB29">
      <w:pPr>
        <w:pStyle w:val="37"/>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_Toc30508 </w:instrText>
      </w:r>
      <w:r>
        <w:rPr>
          <w:rFonts w:hint="eastAsia" w:ascii="宋体" w:hAnsi="宋体" w:eastAsia="宋体" w:cs="宋体"/>
          <w:szCs w:val="28"/>
        </w:rPr>
        <w:fldChar w:fldCharType="separate"/>
      </w:r>
      <w:r>
        <w:rPr>
          <w:rFonts w:hint="eastAsia" w:ascii="宋体" w:hAnsi="宋体" w:eastAsia="宋体" w:cs="宋体"/>
          <w:szCs w:val="36"/>
        </w:rPr>
        <w:t>第五篇  供应商须知</w:t>
      </w:r>
      <w:r>
        <w:tab/>
      </w:r>
      <w:r>
        <w:fldChar w:fldCharType="begin"/>
      </w:r>
      <w:r>
        <w:instrText xml:space="preserve"> PAGEREF _Toc30508 \h </w:instrText>
      </w:r>
      <w:r>
        <w:fldChar w:fldCharType="separate"/>
      </w:r>
      <w:r>
        <w:t>- 17 -</w:t>
      </w:r>
      <w:r>
        <w:fldChar w:fldCharType="end"/>
      </w:r>
      <w:r>
        <w:rPr>
          <w:rFonts w:hint="eastAsia" w:ascii="宋体" w:hAnsi="宋体" w:eastAsia="宋体" w:cs="宋体"/>
          <w:szCs w:val="28"/>
        </w:rPr>
        <w:fldChar w:fldCharType="end"/>
      </w:r>
    </w:p>
    <w:p w14:paraId="02275E49">
      <w:pPr>
        <w:pStyle w:val="29"/>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_Toc8448 </w:instrText>
      </w:r>
      <w:r>
        <w:rPr>
          <w:rFonts w:hint="eastAsia" w:ascii="宋体" w:hAnsi="宋体" w:eastAsia="宋体" w:cs="宋体"/>
          <w:szCs w:val="28"/>
        </w:rPr>
        <w:fldChar w:fldCharType="separate"/>
      </w:r>
      <w:r>
        <w:rPr>
          <w:rFonts w:hint="eastAsia" w:ascii="宋体" w:hAnsi="宋体" w:eastAsia="宋体" w:cs="宋体"/>
          <w:szCs w:val="24"/>
        </w:rPr>
        <w:t>一、磋商费用</w:t>
      </w:r>
      <w:r>
        <w:tab/>
      </w:r>
      <w:r>
        <w:fldChar w:fldCharType="begin"/>
      </w:r>
      <w:r>
        <w:instrText xml:space="preserve"> PAGEREF _Toc8448 \h </w:instrText>
      </w:r>
      <w:r>
        <w:fldChar w:fldCharType="separate"/>
      </w:r>
      <w:r>
        <w:t>- 17 -</w:t>
      </w:r>
      <w:r>
        <w:fldChar w:fldCharType="end"/>
      </w:r>
      <w:r>
        <w:rPr>
          <w:rFonts w:hint="eastAsia" w:ascii="宋体" w:hAnsi="宋体" w:eastAsia="宋体" w:cs="宋体"/>
          <w:szCs w:val="28"/>
        </w:rPr>
        <w:fldChar w:fldCharType="end"/>
      </w:r>
    </w:p>
    <w:p w14:paraId="3D7B300E">
      <w:pPr>
        <w:pStyle w:val="29"/>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_Toc29754 </w:instrText>
      </w:r>
      <w:r>
        <w:rPr>
          <w:rFonts w:hint="eastAsia" w:ascii="宋体" w:hAnsi="宋体" w:eastAsia="宋体" w:cs="宋体"/>
          <w:szCs w:val="28"/>
        </w:rPr>
        <w:fldChar w:fldCharType="separate"/>
      </w:r>
      <w:r>
        <w:rPr>
          <w:rFonts w:hint="eastAsia" w:ascii="宋体" w:hAnsi="宋体" w:eastAsia="宋体" w:cs="宋体"/>
          <w:szCs w:val="24"/>
        </w:rPr>
        <w:t>二、竞争性磋商文件</w:t>
      </w:r>
      <w:r>
        <w:tab/>
      </w:r>
      <w:r>
        <w:fldChar w:fldCharType="begin"/>
      </w:r>
      <w:r>
        <w:instrText xml:space="preserve"> PAGEREF _Toc29754 \h </w:instrText>
      </w:r>
      <w:r>
        <w:fldChar w:fldCharType="separate"/>
      </w:r>
      <w:r>
        <w:t>- 17 -</w:t>
      </w:r>
      <w:r>
        <w:fldChar w:fldCharType="end"/>
      </w:r>
      <w:r>
        <w:rPr>
          <w:rFonts w:hint="eastAsia" w:ascii="宋体" w:hAnsi="宋体" w:eastAsia="宋体" w:cs="宋体"/>
          <w:szCs w:val="28"/>
        </w:rPr>
        <w:fldChar w:fldCharType="end"/>
      </w:r>
    </w:p>
    <w:p w14:paraId="41CBD015">
      <w:pPr>
        <w:pStyle w:val="29"/>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_Toc17309 </w:instrText>
      </w:r>
      <w:r>
        <w:rPr>
          <w:rFonts w:hint="eastAsia" w:ascii="宋体" w:hAnsi="宋体" w:eastAsia="宋体" w:cs="宋体"/>
          <w:szCs w:val="28"/>
        </w:rPr>
        <w:fldChar w:fldCharType="separate"/>
      </w:r>
      <w:r>
        <w:rPr>
          <w:rFonts w:hint="eastAsia" w:ascii="宋体" w:hAnsi="宋体" w:eastAsia="宋体" w:cs="宋体"/>
          <w:szCs w:val="24"/>
        </w:rPr>
        <w:t>三、磋商要求</w:t>
      </w:r>
      <w:r>
        <w:tab/>
      </w:r>
      <w:r>
        <w:fldChar w:fldCharType="begin"/>
      </w:r>
      <w:r>
        <w:instrText xml:space="preserve"> PAGEREF _Toc17309 \h </w:instrText>
      </w:r>
      <w:r>
        <w:fldChar w:fldCharType="separate"/>
      </w:r>
      <w:r>
        <w:t>- 17 -</w:t>
      </w:r>
      <w:r>
        <w:fldChar w:fldCharType="end"/>
      </w:r>
      <w:r>
        <w:rPr>
          <w:rFonts w:hint="eastAsia" w:ascii="宋体" w:hAnsi="宋体" w:eastAsia="宋体" w:cs="宋体"/>
          <w:szCs w:val="28"/>
        </w:rPr>
        <w:fldChar w:fldCharType="end"/>
      </w:r>
    </w:p>
    <w:p w14:paraId="7B9538AD">
      <w:pPr>
        <w:pStyle w:val="29"/>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_Toc2225 </w:instrText>
      </w:r>
      <w:r>
        <w:rPr>
          <w:rFonts w:hint="eastAsia" w:ascii="宋体" w:hAnsi="宋体" w:eastAsia="宋体" w:cs="宋体"/>
          <w:szCs w:val="28"/>
        </w:rPr>
        <w:fldChar w:fldCharType="separate"/>
      </w:r>
      <w:r>
        <w:rPr>
          <w:rFonts w:hint="eastAsia" w:ascii="宋体" w:hAnsi="宋体" w:eastAsia="宋体" w:cs="宋体"/>
          <w:szCs w:val="24"/>
        </w:rPr>
        <w:t>四、成交供应商的确认和变更</w:t>
      </w:r>
      <w:r>
        <w:tab/>
      </w:r>
      <w:r>
        <w:fldChar w:fldCharType="begin"/>
      </w:r>
      <w:r>
        <w:instrText xml:space="preserve"> PAGEREF _Toc2225 \h </w:instrText>
      </w:r>
      <w:r>
        <w:fldChar w:fldCharType="separate"/>
      </w:r>
      <w:r>
        <w:t>- 18 -</w:t>
      </w:r>
      <w:r>
        <w:fldChar w:fldCharType="end"/>
      </w:r>
      <w:r>
        <w:rPr>
          <w:rFonts w:hint="eastAsia" w:ascii="宋体" w:hAnsi="宋体" w:eastAsia="宋体" w:cs="宋体"/>
          <w:szCs w:val="28"/>
        </w:rPr>
        <w:fldChar w:fldCharType="end"/>
      </w:r>
    </w:p>
    <w:p w14:paraId="6FCAE385">
      <w:pPr>
        <w:pStyle w:val="29"/>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_Toc13420 </w:instrText>
      </w:r>
      <w:r>
        <w:rPr>
          <w:rFonts w:hint="eastAsia" w:ascii="宋体" w:hAnsi="宋体" w:eastAsia="宋体" w:cs="宋体"/>
          <w:szCs w:val="28"/>
        </w:rPr>
        <w:fldChar w:fldCharType="separate"/>
      </w:r>
      <w:r>
        <w:rPr>
          <w:rFonts w:hint="eastAsia" w:ascii="宋体" w:hAnsi="宋体" w:eastAsia="宋体" w:cs="宋体"/>
          <w:szCs w:val="24"/>
        </w:rPr>
        <w:t>五、成交通知</w:t>
      </w:r>
      <w:r>
        <w:tab/>
      </w:r>
      <w:r>
        <w:fldChar w:fldCharType="begin"/>
      </w:r>
      <w:r>
        <w:instrText xml:space="preserve"> PAGEREF _Toc13420 \h </w:instrText>
      </w:r>
      <w:r>
        <w:fldChar w:fldCharType="separate"/>
      </w:r>
      <w:r>
        <w:t>- 18 -</w:t>
      </w:r>
      <w:r>
        <w:fldChar w:fldCharType="end"/>
      </w:r>
      <w:r>
        <w:rPr>
          <w:rFonts w:hint="eastAsia" w:ascii="宋体" w:hAnsi="宋体" w:eastAsia="宋体" w:cs="宋体"/>
          <w:szCs w:val="28"/>
        </w:rPr>
        <w:fldChar w:fldCharType="end"/>
      </w:r>
    </w:p>
    <w:p w14:paraId="75E96B3A">
      <w:pPr>
        <w:pStyle w:val="29"/>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_Toc16966 </w:instrText>
      </w:r>
      <w:r>
        <w:rPr>
          <w:rFonts w:hint="eastAsia" w:ascii="宋体" w:hAnsi="宋体" w:eastAsia="宋体" w:cs="宋体"/>
          <w:szCs w:val="28"/>
        </w:rPr>
        <w:fldChar w:fldCharType="separate"/>
      </w:r>
      <w:r>
        <w:rPr>
          <w:rFonts w:hint="eastAsia" w:ascii="宋体" w:hAnsi="宋体" w:eastAsia="宋体" w:cs="宋体"/>
          <w:szCs w:val="24"/>
        </w:rPr>
        <w:t>六、关于质疑和投诉</w:t>
      </w:r>
      <w:r>
        <w:tab/>
      </w:r>
      <w:r>
        <w:fldChar w:fldCharType="begin"/>
      </w:r>
      <w:r>
        <w:instrText xml:space="preserve"> PAGEREF _Toc16966 \h </w:instrText>
      </w:r>
      <w:r>
        <w:fldChar w:fldCharType="separate"/>
      </w:r>
      <w:r>
        <w:t>- 18 -</w:t>
      </w:r>
      <w:r>
        <w:fldChar w:fldCharType="end"/>
      </w:r>
      <w:r>
        <w:rPr>
          <w:rFonts w:hint="eastAsia" w:ascii="宋体" w:hAnsi="宋体" w:eastAsia="宋体" w:cs="宋体"/>
          <w:szCs w:val="28"/>
        </w:rPr>
        <w:fldChar w:fldCharType="end"/>
      </w:r>
    </w:p>
    <w:p w14:paraId="25A4DCC5">
      <w:pPr>
        <w:pStyle w:val="29"/>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_Toc8141 </w:instrText>
      </w:r>
      <w:r>
        <w:rPr>
          <w:rFonts w:hint="eastAsia" w:ascii="宋体" w:hAnsi="宋体" w:eastAsia="宋体" w:cs="宋体"/>
          <w:szCs w:val="28"/>
        </w:rPr>
        <w:fldChar w:fldCharType="separate"/>
      </w:r>
      <w:r>
        <w:rPr>
          <w:rFonts w:hint="eastAsia" w:ascii="宋体" w:hAnsi="宋体" w:eastAsia="宋体" w:cs="宋体"/>
          <w:szCs w:val="24"/>
        </w:rPr>
        <w:t>七、采购代理服务费</w:t>
      </w:r>
      <w:r>
        <w:tab/>
      </w:r>
      <w:r>
        <w:fldChar w:fldCharType="begin"/>
      </w:r>
      <w:r>
        <w:instrText xml:space="preserve"> PAGEREF _Toc8141 \h </w:instrText>
      </w:r>
      <w:r>
        <w:fldChar w:fldCharType="separate"/>
      </w:r>
      <w:r>
        <w:t>- 19 -</w:t>
      </w:r>
      <w:r>
        <w:fldChar w:fldCharType="end"/>
      </w:r>
      <w:r>
        <w:rPr>
          <w:rFonts w:hint="eastAsia" w:ascii="宋体" w:hAnsi="宋体" w:eastAsia="宋体" w:cs="宋体"/>
          <w:szCs w:val="28"/>
        </w:rPr>
        <w:fldChar w:fldCharType="end"/>
      </w:r>
    </w:p>
    <w:p w14:paraId="10105FDC">
      <w:pPr>
        <w:pStyle w:val="29"/>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_Toc871 </w:instrText>
      </w:r>
      <w:r>
        <w:rPr>
          <w:rFonts w:hint="eastAsia" w:ascii="宋体" w:hAnsi="宋体" w:eastAsia="宋体" w:cs="宋体"/>
          <w:szCs w:val="28"/>
        </w:rPr>
        <w:fldChar w:fldCharType="separate"/>
      </w:r>
      <w:r>
        <w:rPr>
          <w:rFonts w:hint="eastAsia" w:ascii="宋体" w:hAnsi="宋体" w:eastAsia="宋体" w:cs="宋体"/>
          <w:szCs w:val="24"/>
        </w:rPr>
        <w:t>八、签订合同</w:t>
      </w:r>
      <w:r>
        <w:tab/>
      </w:r>
      <w:r>
        <w:fldChar w:fldCharType="begin"/>
      </w:r>
      <w:r>
        <w:instrText xml:space="preserve"> PAGEREF _Toc871 \h </w:instrText>
      </w:r>
      <w:r>
        <w:fldChar w:fldCharType="separate"/>
      </w:r>
      <w:r>
        <w:t>- 19 -</w:t>
      </w:r>
      <w:r>
        <w:fldChar w:fldCharType="end"/>
      </w:r>
      <w:r>
        <w:rPr>
          <w:rFonts w:hint="eastAsia" w:ascii="宋体" w:hAnsi="宋体" w:eastAsia="宋体" w:cs="宋体"/>
          <w:szCs w:val="28"/>
        </w:rPr>
        <w:fldChar w:fldCharType="end"/>
      </w:r>
    </w:p>
    <w:p w14:paraId="1605BCA1">
      <w:pPr>
        <w:pStyle w:val="45"/>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_Toc28603 </w:instrText>
      </w:r>
      <w:r>
        <w:rPr>
          <w:rFonts w:hint="eastAsia" w:ascii="宋体" w:hAnsi="宋体" w:eastAsia="宋体" w:cs="宋体"/>
          <w:szCs w:val="28"/>
        </w:rPr>
        <w:fldChar w:fldCharType="separate"/>
      </w:r>
      <w:r>
        <w:rPr>
          <w:rFonts w:hint="eastAsia" w:ascii="宋体" w:hAnsi="宋体" w:eastAsia="宋体" w:cs="宋体"/>
          <w:szCs w:val="30"/>
        </w:rPr>
        <w:t>第六篇  采购合同</w:t>
      </w:r>
      <w:r>
        <w:tab/>
      </w:r>
      <w:r>
        <w:fldChar w:fldCharType="begin"/>
      </w:r>
      <w:r>
        <w:instrText xml:space="preserve"> PAGEREF _Toc28603 \h </w:instrText>
      </w:r>
      <w:r>
        <w:fldChar w:fldCharType="separate"/>
      </w:r>
      <w:r>
        <w:t>- 21 -</w:t>
      </w:r>
      <w:r>
        <w:fldChar w:fldCharType="end"/>
      </w:r>
      <w:r>
        <w:rPr>
          <w:rFonts w:hint="eastAsia" w:ascii="宋体" w:hAnsi="宋体" w:eastAsia="宋体" w:cs="宋体"/>
          <w:szCs w:val="28"/>
        </w:rPr>
        <w:fldChar w:fldCharType="end"/>
      </w:r>
    </w:p>
    <w:p w14:paraId="2B4A493C">
      <w:pPr>
        <w:pStyle w:val="37"/>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_Toc583 </w:instrText>
      </w:r>
      <w:r>
        <w:rPr>
          <w:rFonts w:hint="eastAsia" w:ascii="宋体" w:hAnsi="宋体" w:eastAsia="宋体" w:cs="宋体"/>
          <w:szCs w:val="28"/>
        </w:rPr>
        <w:fldChar w:fldCharType="separate"/>
      </w:r>
      <w:r>
        <w:rPr>
          <w:rFonts w:hint="eastAsia" w:ascii="宋体" w:hAnsi="宋体" w:eastAsia="宋体" w:cs="宋体"/>
          <w:szCs w:val="36"/>
        </w:rPr>
        <w:t>第</w:t>
      </w:r>
      <w:r>
        <w:rPr>
          <w:rFonts w:hint="eastAsia" w:ascii="宋体" w:hAnsi="宋体" w:eastAsia="宋体" w:cs="宋体"/>
          <w:szCs w:val="36"/>
          <w:lang w:val="en-US" w:eastAsia="zh-CN"/>
        </w:rPr>
        <w:t>七</w:t>
      </w:r>
      <w:r>
        <w:rPr>
          <w:rFonts w:hint="eastAsia" w:ascii="宋体" w:hAnsi="宋体" w:eastAsia="宋体" w:cs="宋体"/>
          <w:szCs w:val="36"/>
        </w:rPr>
        <w:t>篇  响应文件编制要求</w:t>
      </w:r>
      <w:r>
        <w:tab/>
      </w:r>
      <w:r>
        <w:fldChar w:fldCharType="begin"/>
      </w:r>
      <w:r>
        <w:instrText xml:space="preserve"> PAGEREF _Toc583 \h </w:instrText>
      </w:r>
      <w:r>
        <w:fldChar w:fldCharType="separate"/>
      </w:r>
      <w:r>
        <w:t>- 22 -</w:t>
      </w:r>
      <w:r>
        <w:fldChar w:fldCharType="end"/>
      </w:r>
      <w:r>
        <w:rPr>
          <w:rFonts w:hint="eastAsia" w:ascii="宋体" w:hAnsi="宋体" w:eastAsia="宋体" w:cs="宋体"/>
          <w:szCs w:val="28"/>
        </w:rPr>
        <w:fldChar w:fldCharType="end"/>
      </w:r>
    </w:p>
    <w:p w14:paraId="2A8AD5A7">
      <w:pPr>
        <w:pStyle w:val="29"/>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_Toc11578 </w:instrText>
      </w:r>
      <w:r>
        <w:rPr>
          <w:rFonts w:hint="eastAsia" w:ascii="宋体" w:hAnsi="宋体" w:eastAsia="宋体" w:cs="宋体"/>
          <w:szCs w:val="28"/>
        </w:rPr>
        <w:fldChar w:fldCharType="separate"/>
      </w:r>
      <w:r>
        <w:rPr>
          <w:rFonts w:hint="eastAsia" w:ascii="宋体" w:hAnsi="宋体" w:eastAsia="宋体" w:cs="宋体"/>
          <w:szCs w:val="24"/>
        </w:rPr>
        <w:t>一、经济部分</w:t>
      </w:r>
      <w:r>
        <w:tab/>
      </w:r>
      <w:r>
        <w:fldChar w:fldCharType="begin"/>
      </w:r>
      <w:r>
        <w:instrText xml:space="preserve"> PAGEREF _Toc11578 \h </w:instrText>
      </w:r>
      <w:r>
        <w:fldChar w:fldCharType="separate"/>
      </w:r>
      <w:r>
        <w:t>- 23 -</w:t>
      </w:r>
      <w:r>
        <w:fldChar w:fldCharType="end"/>
      </w:r>
      <w:r>
        <w:rPr>
          <w:rFonts w:hint="eastAsia" w:ascii="宋体" w:hAnsi="宋体" w:eastAsia="宋体" w:cs="宋体"/>
          <w:szCs w:val="28"/>
        </w:rPr>
        <w:fldChar w:fldCharType="end"/>
      </w:r>
    </w:p>
    <w:p w14:paraId="503DC2A6">
      <w:pPr>
        <w:pStyle w:val="29"/>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_Toc2317 </w:instrText>
      </w:r>
      <w:r>
        <w:rPr>
          <w:rFonts w:hint="eastAsia" w:ascii="宋体" w:hAnsi="宋体" w:eastAsia="宋体" w:cs="宋体"/>
          <w:szCs w:val="28"/>
        </w:rPr>
        <w:fldChar w:fldCharType="separate"/>
      </w:r>
      <w:r>
        <w:rPr>
          <w:rFonts w:hint="eastAsia" w:ascii="宋体" w:hAnsi="宋体" w:eastAsia="宋体" w:cs="宋体"/>
          <w:szCs w:val="24"/>
        </w:rPr>
        <w:t>二、服务部分</w:t>
      </w:r>
      <w:r>
        <w:tab/>
      </w:r>
      <w:r>
        <w:fldChar w:fldCharType="begin"/>
      </w:r>
      <w:r>
        <w:instrText xml:space="preserve"> PAGEREF _Toc2317 \h </w:instrText>
      </w:r>
      <w:r>
        <w:fldChar w:fldCharType="separate"/>
      </w:r>
      <w:r>
        <w:t>- 25 -</w:t>
      </w:r>
      <w:r>
        <w:fldChar w:fldCharType="end"/>
      </w:r>
      <w:r>
        <w:rPr>
          <w:rFonts w:hint="eastAsia" w:ascii="宋体" w:hAnsi="宋体" w:eastAsia="宋体" w:cs="宋体"/>
          <w:szCs w:val="28"/>
        </w:rPr>
        <w:fldChar w:fldCharType="end"/>
      </w:r>
    </w:p>
    <w:p w14:paraId="13059C74">
      <w:pPr>
        <w:pStyle w:val="29"/>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_Toc4671 </w:instrText>
      </w:r>
      <w:r>
        <w:rPr>
          <w:rFonts w:hint="eastAsia" w:ascii="宋体" w:hAnsi="宋体" w:eastAsia="宋体" w:cs="宋体"/>
          <w:szCs w:val="28"/>
        </w:rPr>
        <w:fldChar w:fldCharType="separate"/>
      </w:r>
      <w:r>
        <w:rPr>
          <w:rFonts w:hint="eastAsia" w:ascii="宋体" w:hAnsi="宋体" w:eastAsia="宋体" w:cs="宋体"/>
          <w:szCs w:val="24"/>
        </w:rPr>
        <w:t>三、商务部分</w:t>
      </w:r>
      <w:r>
        <w:tab/>
      </w:r>
      <w:r>
        <w:fldChar w:fldCharType="begin"/>
      </w:r>
      <w:r>
        <w:instrText xml:space="preserve"> PAGEREF _Toc4671 \h </w:instrText>
      </w:r>
      <w:r>
        <w:fldChar w:fldCharType="separate"/>
      </w:r>
      <w:r>
        <w:t>- 27 -</w:t>
      </w:r>
      <w:r>
        <w:fldChar w:fldCharType="end"/>
      </w:r>
      <w:r>
        <w:rPr>
          <w:rFonts w:hint="eastAsia" w:ascii="宋体" w:hAnsi="宋体" w:eastAsia="宋体" w:cs="宋体"/>
          <w:szCs w:val="28"/>
        </w:rPr>
        <w:fldChar w:fldCharType="end"/>
      </w:r>
    </w:p>
    <w:p w14:paraId="09BF2E2D">
      <w:pPr>
        <w:pStyle w:val="29"/>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_Toc18588 </w:instrText>
      </w:r>
      <w:r>
        <w:rPr>
          <w:rFonts w:hint="eastAsia" w:ascii="宋体" w:hAnsi="宋体" w:eastAsia="宋体" w:cs="宋体"/>
          <w:szCs w:val="28"/>
        </w:rPr>
        <w:fldChar w:fldCharType="separate"/>
      </w:r>
      <w:r>
        <w:rPr>
          <w:rFonts w:hint="eastAsia" w:ascii="宋体" w:hAnsi="宋体" w:eastAsia="宋体" w:cs="宋体"/>
          <w:szCs w:val="24"/>
        </w:rPr>
        <w:t>四、资格条件</w:t>
      </w:r>
      <w:r>
        <w:tab/>
      </w:r>
      <w:r>
        <w:fldChar w:fldCharType="begin"/>
      </w:r>
      <w:r>
        <w:instrText xml:space="preserve"> PAGEREF _Toc18588 \h </w:instrText>
      </w:r>
      <w:r>
        <w:fldChar w:fldCharType="separate"/>
      </w:r>
      <w:r>
        <w:t>- 29 -</w:t>
      </w:r>
      <w:r>
        <w:fldChar w:fldCharType="end"/>
      </w:r>
      <w:r>
        <w:rPr>
          <w:rFonts w:hint="eastAsia" w:ascii="宋体" w:hAnsi="宋体" w:eastAsia="宋体" w:cs="宋体"/>
          <w:szCs w:val="28"/>
        </w:rPr>
        <w:fldChar w:fldCharType="end"/>
      </w:r>
    </w:p>
    <w:p w14:paraId="5C7F8F03">
      <w:pPr>
        <w:pStyle w:val="29"/>
        <w:tabs>
          <w:tab w:val="right" w:leader="dot" w:pos="9412"/>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_Toc30680 </w:instrText>
      </w:r>
      <w:r>
        <w:rPr>
          <w:rFonts w:hint="eastAsia" w:ascii="宋体" w:hAnsi="宋体" w:eastAsia="宋体" w:cs="宋体"/>
          <w:szCs w:val="28"/>
        </w:rPr>
        <w:fldChar w:fldCharType="separate"/>
      </w:r>
      <w:r>
        <w:rPr>
          <w:rFonts w:hint="eastAsia" w:ascii="宋体" w:hAnsi="宋体" w:eastAsia="宋体" w:cs="宋体"/>
          <w:szCs w:val="24"/>
        </w:rPr>
        <w:t>五、其他资料</w:t>
      </w:r>
      <w:r>
        <w:tab/>
      </w:r>
      <w:r>
        <w:fldChar w:fldCharType="begin"/>
      </w:r>
      <w:r>
        <w:instrText xml:space="preserve"> PAGEREF _Toc30680 \h </w:instrText>
      </w:r>
      <w:r>
        <w:fldChar w:fldCharType="separate"/>
      </w:r>
      <w:r>
        <w:t>- 34 -</w:t>
      </w:r>
      <w:r>
        <w:fldChar w:fldCharType="end"/>
      </w:r>
      <w:r>
        <w:rPr>
          <w:rFonts w:hint="eastAsia" w:ascii="宋体" w:hAnsi="宋体" w:eastAsia="宋体" w:cs="宋体"/>
          <w:szCs w:val="28"/>
        </w:rPr>
        <w:fldChar w:fldCharType="end"/>
      </w:r>
    </w:p>
    <w:p w14:paraId="15A778CF">
      <w:pPr>
        <w:pStyle w:val="45"/>
        <w:keepNext w:val="0"/>
        <w:keepLines w:val="0"/>
        <w:pageBreakBefore w:val="0"/>
        <w:widowControl w:val="0"/>
        <w:tabs>
          <w:tab w:val="right" w:leader="dot" w:pos="9412"/>
        </w:tabs>
        <w:kinsoku/>
        <w:wordWrap/>
        <w:overflowPunct/>
        <w:topLinePunct w:val="0"/>
        <w:autoSpaceDE/>
        <w:autoSpaceDN/>
        <w:bidi w:val="0"/>
        <w:adjustRightInd/>
        <w:snapToGrid/>
        <w:spacing w:line="260" w:lineRule="exact"/>
        <w:textAlignment w:val="auto"/>
        <w:rPr>
          <w:rFonts w:hint="eastAsia" w:ascii="宋体" w:hAnsi="宋体" w:eastAsia="宋体" w:cs="宋体"/>
          <w:szCs w:val="28"/>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szCs w:val="28"/>
        </w:rPr>
        <w:fldChar w:fldCharType="end"/>
      </w:r>
    </w:p>
    <w:p w14:paraId="257E1D85">
      <w:pPr>
        <w:pStyle w:val="2"/>
        <w:spacing w:line="360" w:lineRule="auto"/>
        <w:jc w:val="center"/>
        <w:rPr>
          <w:rFonts w:hint="eastAsia" w:ascii="宋体" w:hAnsi="宋体" w:eastAsia="宋体" w:cs="宋体"/>
          <w:b/>
          <w:sz w:val="36"/>
          <w:szCs w:val="36"/>
        </w:rPr>
      </w:pPr>
      <w:bookmarkStart w:id="1" w:name="_Toc12789052"/>
      <w:bookmarkStart w:id="2" w:name="_Toc11641050"/>
      <w:bookmarkStart w:id="3" w:name="_Toc10070"/>
      <w:r>
        <w:rPr>
          <w:rFonts w:hint="eastAsia" w:ascii="宋体" w:hAnsi="宋体" w:eastAsia="宋体" w:cs="宋体"/>
          <w:b/>
          <w:sz w:val="36"/>
          <w:szCs w:val="36"/>
        </w:rPr>
        <w:t>第一篇  竞争性磋商邀请书</w:t>
      </w:r>
      <w:bookmarkEnd w:id="1"/>
      <w:bookmarkEnd w:id="2"/>
      <w:bookmarkEnd w:id="3"/>
    </w:p>
    <w:p w14:paraId="2CEA6BA8">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重庆采家工程管理有限公司</w:t>
      </w:r>
      <w:r>
        <w:rPr>
          <w:rFonts w:hint="eastAsia" w:ascii="宋体" w:hAnsi="宋体" w:eastAsia="宋体" w:cs="宋体"/>
          <w:sz w:val="24"/>
          <w:szCs w:val="24"/>
        </w:rPr>
        <w:t>（以下简称：采购代理机构）接受</w:t>
      </w:r>
      <w:r>
        <w:rPr>
          <w:rFonts w:hint="eastAsia" w:ascii="宋体" w:hAnsi="宋体" w:cs="宋体"/>
          <w:sz w:val="24"/>
          <w:szCs w:val="24"/>
          <w:lang w:eastAsia="zh-CN"/>
        </w:rPr>
        <w:t>重庆市农业信息中心</w:t>
      </w:r>
      <w:r>
        <w:rPr>
          <w:rFonts w:hint="eastAsia" w:ascii="宋体" w:hAnsi="宋体" w:eastAsia="宋体" w:cs="宋体"/>
          <w:sz w:val="24"/>
          <w:szCs w:val="24"/>
        </w:rPr>
        <w:t>（以下简称：采购人）的委托，对“</w:t>
      </w:r>
      <w:r>
        <w:rPr>
          <w:rFonts w:hint="eastAsia" w:ascii="宋体" w:hAnsi="宋体" w:cs="宋体"/>
          <w:sz w:val="24"/>
          <w:szCs w:val="24"/>
          <w:lang w:eastAsia="zh-CN"/>
        </w:rPr>
        <w:t>网站监测服务</w:t>
      </w:r>
      <w:r>
        <w:rPr>
          <w:rFonts w:hint="eastAsia" w:ascii="宋体" w:hAnsi="宋体" w:eastAsia="宋体" w:cs="宋体"/>
          <w:sz w:val="24"/>
          <w:szCs w:val="24"/>
        </w:rPr>
        <w:t>”项目进行竞争性磋商采购。欢迎有资格的供应商前来参与磋商。</w:t>
      </w:r>
    </w:p>
    <w:p w14:paraId="15D6166A">
      <w:pPr>
        <w:pStyle w:val="3"/>
        <w:spacing w:before="0" w:after="0" w:line="360" w:lineRule="auto"/>
        <w:rPr>
          <w:rFonts w:hint="eastAsia" w:ascii="宋体" w:hAnsi="宋体" w:eastAsia="宋体" w:cs="宋体"/>
          <w:sz w:val="24"/>
          <w:szCs w:val="24"/>
        </w:rPr>
      </w:pPr>
      <w:bookmarkStart w:id="4" w:name="_Toc317775175"/>
      <w:bookmarkStart w:id="5" w:name="_Toc313893526"/>
      <w:bookmarkStart w:id="6" w:name="_Toc9747"/>
      <w:r>
        <w:rPr>
          <w:rFonts w:hint="eastAsia" w:ascii="宋体" w:hAnsi="宋体" w:eastAsia="宋体" w:cs="宋体"/>
          <w:sz w:val="24"/>
          <w:szCs w:val="24"/>
        </w:rPr>
        <w:t>一、竞争性磋商内容</w:t>
      </w:r>
      <w:bookmarkEnd w:id="4"/>
      <w:bookmarkEnd w:id="5"/>
      <w:bookmarkEnd w:id="6"/>
    </w:p>
    <w:tbl>
      <w:tblPr>
        <w:tblStyle w:val="57"/>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gridCol w:w="1417"/>
        <w:gridCol w:w="1276"/>
        <w:gridCol w:w="2357"/>
      </w:tblGrid>
      <w:tr w14:paraId="1E82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635" w:type="dxa"/>
            <w:tcBorders>
              <w:top w:val="single" w:color="auto" w:sz="4" w:space="0"/>
              <w:left w:val="single" w:color="auto" w:sz="4" w:space="0"/>
              <w:right w:val="single" w:color="auto" w:sz="4" w:space="0"/>
            </w:tcBorders>
            <w:vAlign w:val="center"/>
          </w:tcPr>
          <w:p w14:paraId="7D35E51D">
            <w:pPr>
              <w:widowControl/>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项目名称</w:t>
            </w:r>
          </w:p>
        </w:tc>
        <w:tc>
          <w:tcPr>
            <w:tcW w:w="1417" w:type="dxa"/>
            <w:tcBorders>
              <w:top w:val="single" w:color="auto" w:sz="4" w:space="0"/>
              <w:left w:val="single" w:color="auto" w:sz="4" w:space="0"/>
              <w:right w:val="single" w:color="auto" w:sz="4" w:space="0"/>
            </w:tcBorders>
            <w:vAlign w:val="center"/>
          </w:tcPr>
          <w:p w14:paraId="6DA173D4">
            <w:pPr>
              <w:widowControl/>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最高限价</w:t>
            </w:r>
          </w:p>
          <w:p w14:paraId="02028B7B">
            <w:pPr>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（万元）</w:t>
            </w:r>
          </w:p>
        </w:tc>
        <w:tc>
          <w:tcPr>
            <w:tcW w:w="1276" w:type="dxa"/>
            <w:tcBorders>
              <w:top w:val="single" w:color="auto" w:sz="4" w:space="0"/>
              <w:left w:val="single" w:color="auto" w:sz="4" w:space="0"/>
              <w:right w:val="single" w:color="auto" w:sz="4" w:space="0"/>
            </w:tcBorders>
            <w:vAlign w:val="center"/>
          </w:tcPr>
          <w:p w14:paraId="3F978C57">
            <w:pPr>
              <w:spacing w:line="360" w:lineRule="auto"/>
              <w:jc w:val="center"/>
              <w:rPr>
                <w:rFonts w:hint="eastAsia" w:ascii="宋体" w:hAnsi="宋体" w:eastAsia="宋体" w:cs="宋体"/>
                <w:sz w:val="22"/>
                <w:szCs w:val="22"/>
              </w:rPr>
            </w:pPr>
            <w:r>
              <w:rPr>
                <w:rFonts w:hint="eastAsia" w:ascii="宋体" w:hAnsi="宋体" w:eastAsia="宋体" w:cs="宋体"/>
                <w:b/>
                <w:bCs/>
                <w:kern w:val="0"/>
                <w:sz w:val="22"/>
                <w:szCs w:val="22"/>
              </w:rPr>
              <w:t>成交数量</w:t>
            </w:r>
          </w:p>
          <w:p w14:paraId="3A303068">
            <w:pPr>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（名）</w:t>
            </w:r>
          </w:p>
        </w:tc>
        <w:tc>
          <w:tcPr>
            <w:tcW w:w="2357" w:type="dxa"/>
            <w:tcBorders>
              <w:top w:val="single" w:color="auto" w:sz="4" w:space="0"/>
              <w:left w:val="single" w:color="auto" w:sz="4" w:space="0"/>
              <w:right w:val="single" w:color="auto" w:sz="4" w:space="0"/>
            </w:tcBorders>
            <w:vAlign w:val="center"/>
          </w:tcPr>
          <w:p w14:paraId="31720E49">
            <w:pPr>
              <w:spacing w:line="360" w:lineRule="auto"/>
              <w:jc w:val="center"/>
              <w:rPr>
                <w:rFonts w:hint="eastAsia" w:ascii="宋体" w:hAnsi="宋体" w:eastAsia="宋体" w:cs="宋体"/>
                <w:bCs/>
                <w:kern w:val="0"/>
                <w:sz w:val="22"/>
                <w:szCs w:val="22"/>
              </w:rPr>
            </w:pPr>
            <w:r>
              <w:rPr>
                <w:rFonts w:hint="eastAsia" w:ascii="宋体" w:hAnsi="宋体" w:eastAsia="宋体" w:cs="宋体"/>
                <w:b/>
                <w:bCs/>
                <w:kern w:val="0"/>
                <w:sz w:val="21"/>
                <w:szCs w:val="21"/>
              </w:rPr>
              <w:t>采购标的对应的中小企业划分标准所属行业</w:t>
            </w:r>
          </w:p>
        </w:tc>
      </w:tr>
      <w:tr w14:paraId="0D58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635" w:type="dxa"/>
            <w:tcBorders>
              <w:top w:val="single" w:color="auto" w:sz="4" w:space="0"/>
              <w:left w:val="single" w:color="auto" w:sz="4" w:space="0"/>
              <w:right w:val="single" w:color="auto" w:sz="4" w:space="0"/>
            </w:tcBorders>
            <w:vAlign w:val="center"/>
          </w:tcPr>
          <w:p w14:paraId="7870AFF4">
            <w:pPr>
              <w:widowControl/>
              <w:spacing w:line="360" w:lineRule="auto"/>
              <w:jc w:val="center"/>
              <w:rPr>
                <w:rFonts w:hint="eastAsia" w:ascii="宋体" w:hAnsi="宋体" w:eastAsia="宋体" w:cs="宋体"/>
                <w:kern w:val="0"/>
                <w:sz w:val="22"/>
                <w:szCs w:val="22"/>
                <w:lang w:eastAsia="zh-CN"/>
              </w:rPr>
            </w:pPr>
            <w:bookmarkStart w:id="7" w:name="_Hlk344477914"/>
            <w:r>
              <w:rPr>
                <w:rFonts w:hint="eastAsia" w:ascii="宋体" w:hAnsi="宋体" w:cs="宋体"/>
                <w:sz w:val="24"/>
                <w:szCs w:val="24"/>
                <w:lang w:eastAsia="zh-CN"/>
              </w:rPr>
              <w:t>网站监测服务</w:t>
            </w:r>
          </w:p>
        </w:tc>
        <w:tc>
          <w:tcPr>
            <w:tcW w:w="1417" w:type="dxa"/>
            <w:tcBorders>
              <w:top w:val="single" w:color="auto" w:sz="4" w:space="0"/>
              <w:left w:val="single" w:color="auto" w:sz="4" w:space="0"/>
              <w:right w:val="single" w:color="auto" w:sz="4" w:space="0"/>
            </w:tcBorders>
            <w:vAlign w:val="center"/>
          </w:tcPr>
          <w:p w14:paraId="4D89AEF5">
            <w:pPr>
              <w:widowControl/>
              <w:spacing w:line="360" w:lineRule="auto"/>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9.7</w:t>
            </w:r>
          </w:p>
        </w:tc>
        <w:tc>
          <w:tcPr>
            <w:tcW w:w="1276" w:type="dxa"/>
            <w:tcBorders>
              <w:top w:val="single" w:color="auto" w:sz="4" w:space="0"/>
              <w:left w:val="single" w:color="auto" w:sz="4" w:space="0"/>
              <w:right w:val="single" w:color="auto" w:sz="4" w:space="0"/>
            </w:tcBorders>
            <w:vAlign w:val="center"/>
          </w:tcPr>
          <w:p w14:paraId="7F27ABFF">
            <w:pPr>
              <w:widowControl/>
              <w:spacing w:line="36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2357" w:type="dxa"/>
            <w:tcBorders>
              <w:top w:val="single" w:color="auto" w:sz="4" w:space="0"/>
              <w:left w:val="single" w:color="auto" w:sz="4" w:space="0"/>
              <w:right w:val="single" w:color="auto" w:sz="4" w:space="0"/>
            </w:tcBorders>
            <w:vAlign w:val="center"/>
          </w:tcPr>
          <w:p w14:paraId="40348A24">
            <w:pPr>
              <w:spacing w:line="360" w:lineRule="auto"/>
              <w:jc w:val="center"/>
              <w:rPr>
                <w:rFonts w:hint="eastAsia" w:ascii="宋体" w:hAnsi="宋体" w:eastAsia="宋体" w:cs="宋体"/>
                <w:bCs/>
                <w:kern w:val="0"/>
                <w:sz w:val="22"/>
                <w:szCs w:val="22"/>
              </w:rPr>
            </w:pPr>
            <w:r>
              <w:rPr>
                <w:rFonts w:hint="eastAsia" w:ascii="宋体" w:hAnsi="宋体" w:eastAsia="宋体" w:cs="宋体"/>
                <w:color w:val="auto"/>
                <w:sz w:val="21"/>
                <w:szCs w:val="21"/>
              </w:rPr>
              <w:t>其他未列明行业</w:t>
            </w:r>
          </w:p>
        </w:tc>
      </w:tr>
      <w:bookmarkEnd w:id="7"/>
    </w:tbl>
    <w:p w14:paraId="4AA93108">
      <w:pPr>
        <w:pStyle w:val="3"/>
        <w:spacing w:before="0" w:after="0" w:line="360" w:lineRule="auto"/>
        <w:rPr>
          <w:rFonts w:hint="eastAsia" w:ascii="宋体" w:hAnsi="宋体" w:eastAsia="宋体" w:cs="宋体"/>
          <w:sz w:val="24"/>
          <w:szCs w:val="24"/>
        </w:rPr>
      </w:pPr>
      <w:bookmarkStart w:id="8" w:name="_Toc14333"/>
      <w:bookmarkStart w:id="9" w:name="_Toc373860293"/>
      <w:bookmarkStart w:id="10" w:name="_Toc317775178"/>
      <w:r>
        <w:rPr>
          <w:rFonts w:hint="eastAsia" w:ascii="宋体" w:hAnsi="宋体" w:eastAsia="宋体" w:cs="宋体"/>
          <w:sz w:val="24"/>
          <w:szCs w:val="24"/>
        </w:rPr>
        <w:t>二、资金来源</w:t>
      </w:r>
      <w:bookmarkEnd w:id="8"/>
    </w:p>
    <w:p w14:paraId="335AAC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财政预算资金，预算金额为9.</w:t>
      </w:r>
      <w:r>
        <w:rPr>
          <w:rFonts w:hint="eastAsia" w:ascii="宋体" w:hAnsi="宋体" w:cs="宋体"/>
          <w:sz w:val="24"/>
          <w:szCs w:val="24"/>
          <w:lang w:val="en-US" w:eastAsia="zh-CN"/>
        </w:rPr>
        <w:t>7</w:t>
      </w:r>
      <w:r>
        <w:rPr>
          <w:rFonts w:hint="eastAsia" w:ascii="宋体" w:hAnsi="宋体" w:eastAsia="宋体" w:cs="宋体"/>
          <w:sz w:val="24"/>
          <w:szCs w:val="24"/>
        </w:rPr>
        <w:t>万元。</w:t>
      </w:r>
    </w:p>
    <w:p w14:paraId="11FAB6D7">
      <w:pPr>
        <w:pStyle w:val="3"/>
        <w:spacing w:before="0" w:after="0" w:line="360" w:lineRule="auto"/>
        <w:rPr>
          <w:rFonts w:hint="eastAsia" w:ascii="宋体" w:hAnsi="宋体" w:eastAsia="宋体" w:cs="宋体"/>
          <w:sz w:val="24"/>
          <w:szCs w:val="24"/>
        </w:rPr>
      </w:pPr>
      <w:bookmarkStart w:id="11" w:name="_Toc1103"/>
      <w:r>
        <w:rPr>
          <w:rFonts w:hint="eastAsia" w:ascii="宋体" w:hAnsi="宋体" w:eastAsia="宋体" w:cs="宋体"/>
          <w:sz w:val="24"/>
          <w:szCs w:val="24"/>
        </w:rPr>
        <w:t>三、供应商资格条件</w:t>
      </w:r>
      <w:bookmarkEnd w:id="11"/>
    </w:p>
    <w:p w14:paraId="72D032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14:paraId="1CC984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(一)基本资格条件：</w:t>
      </w:r>
    </w:p>
    <w:p w14:paraId="343052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48452F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23B9F7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51B638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76261F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7861B5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2C39B0A2">
      <w:pPr>
        <w:spacing w:line="360" w:lineRule="auto"/>
        <w:ind w:firstLine="480" w:firstLineChars="200"/>
        <w:rPr>
          <w:rFonts w:hint="eastAsia" w:ascii="宋体" w:hAnsi="宋体" w:eastAsia="宋体" w:cs="宋体"/>
        </w:rPr>
      </w:pPr>
      <w:r>
        <w:rPr>
          <w:rFonts w:hint="eastAsia" w:ascii="宋体" w:hAnsi="宋体" w:eastAsia="宋体" w:cs="宋体"/>
          <w:sz w:val="24"/>
          <w:szCs w:val="24"/>
        </w:rPr>
        <w:t>(二)特定资格条件：无。</w:t>
      </w:r>
    </w:p>
    <w:p w14:paraId="47251D77">
      <w:pPr>
        <w:pStyle w:val="3"/>
        <w:spacing w:before="0" w:after="0" w:line="360" w:lineRule="auto"/>
        <w:rPr>
          <w:rFonts w:hint="eastAsia" w:ascii="宋体" w:hAnsi="宋体" w:eastAsia="宋体" w:cs="宋体"/>
          <w:sz w:val="24"/>
          <w:szCs w:val="24"/>
        </w:rPr>
      </w:pPr>
      <w:bookmarkStart w:id="12" w:name="_Toc21467"/>
      <w:r>
        <w:rPr>
          <w:rFonts w:hint="eastAsia" w:ascii="宋体" w:hAnsi="宋体" w:eastAsia="宋体" w:cs="宋体"/>
          <w:sz w:val="24"/>
          <w:szCs w:val="24"/>
        </w:rPr>
        <w:t>四、磋商有关说明</w:t>
      </w:r>
      <w:bookmarkEnd w:id="9"/>
      <w:bookmarkEnd w:id="12"/>
    </w:p>
    <w:p w14:paraId="08042C5F">
      <w:pPr>
        <w:spacing w:line="360" w:lineRule="auto"/>
        <w:ind w:firstLine="480" w:firstLineChars="200"/>
        <w:rPr>
          <w:rFonts w:hint="eastAsia" w:ascii="宋体" w:hAnsi="宋体" w:eastAsia="宋体" w:cs="宋体"/>
          <w:sz w:val="24"/>
          <w:szCs w:val="24"/>
        </w:rPr>
      </w:pPr>
      <w:bookmarkStart w:id="13" w:name="OLE_LINK8"/>
      <w:r>
        <w:rPr>
          <w:rFonts w:hint="eastAsia" w:ascii="宋体" w:hAnsi="宋体" w:eastAsia="宋体" w:cs="宋体"/>
          <w:sz w:val="24"/>
          <w:szCs w:val="24"/>
        </w:rPr>
        <w:t>（一）凡有意参加磋商的供应商，请</w:t>
      </w:r>
      <w:r>
        <w:rPr>
          <w:rStyle w:val="61"/>
          <w:rFonts w:hint="eastAsia" w:ascii="宋体" w:hAnsi="宋体" w:eastAsia="宋体" w:cs="宋体"/>
          <w:sz w:val="24"/>
          <w:szCs w:val="24"/>
          <w:lang w:val="zh-TW" w:eastAsia="zh-TW"/>
        </w:rPr>
        <w:t>在“行采家”</w:t>
      </w:r>
      <w:r>
        <w:rPr>
          <w:rFonts w:hint="eastAsia" w:ascii="宋体" w:hAnsi="宋体" w:eastAsia="宋体" w:cs="宋体"/>
          <w:sz w:val="24"/>
          <w:szCs w:val="24"/>
        </w:rPr>
        <w:t>（http://www.gec123.com）</w:t>
      </w:r>
      <w:r>
        <w:rPr>
          <w:rStyle w:val="61"/>
          <w:rFonts w:hint="eastAsia" w:ascii="宋体" w:hAnsi="宋体" w:eastAsia="宋体" w:cs="宋体"/>
          <w:sz w:val="24"/>
          <w:szCs w:val="24"/>
          <w:lang w:val="zh-TW" w:eastAsia="zh-TW"/>
        </w:rPr>
        <w:t>网上</w:t>
      </w:r>
      <w:r>
        <w:rPr>
          <w:rFonts w:hint="eastAsia" w:ascii="宋体" w:hAnsi="宋体" w:eastAsia="宋体" w:cs="宋体"/>
          <w:sz w:val="24"/>
          <w:szCs w:val="24"/>
        </w:rPr>
        <w:t>下载本项目竞争性磋商文件以及补遗等磋商前公布的所有项目资料，无论供应商领取或下载与否，均视为已知晓所有磋商实质性要求内容。</w:t>
      </w:r>
    </w:p>
    <w:p w14:paraId="5030BF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（二）竞争性磋商公告期限：自竞争性磋商公告发布之日</w:t>
      </w:r>
      <w:r>
        <w:rPr>
          <w:rFonts w:hint="eastAsia" w:ascii="宋体" w:hAnsi="宋体" w:eastAsia="宋体" w:cs="宋体"/>
          <w:color w:val="auto"/>
          <w:sz w:val="24"/>
          <w:szCs w:val="24"/>
          <w:highlight w:val="yellow"/>
        </w:rPr>
        <w:t>（2025年</w:t>
      </w:r>
      <w:r>
        <w:rPr>
          <w:rFonts w:hint="eastAsia" w:ascii="宋体" w:hAnsi="宋体" w:cs="宋体"/>
          <w:color w:val="auto"/>
          <w:sz w:val="24"/>
          <w:szCs w:val="24"/>
          <w:highlight w:val="yellow"/>
          <w:lang w:val="en-US" w:eastAsia="zh-CN"/>
        </w:rPr>
        <w:t>8</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18</w:t>
      </w:r>
      <w:r>
        <w:rPr>
          <w:rFonts w:hint="eastAsia" w:ascii="宋体" w:hAnsi="宋体" w:eastAsia="宋体" w:cs="宋体"/>
          <w:color w:val="auto"/>
          <w:sz w:val="24"/>
          <w:szCs w:val="24"/>
          <w:highlight w:val="yellow"/>
        </w:rPr>
        <w:t>日）</w:t>
      </w:r>
      <w:r>
        <w:rPr>
          <w:rFonts w:hint="eastAsia" w:ascii="宋体" w:hAnsi="宋体" w:eastAsia="宋体" w:cs="宋体"/>
          <w:sz w:val="24"/>
          <w:szCs w:val="24"/>
        </w:rPr>
        <w:t>起五个工作日。</w:t>
      </w:r>
    </w:p>
    <w:bookmarkEnd w:id="13"/>
    <w:p w14:paraId="464C98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（三）磋商文件发售期</w:t>
      </w:r>
    </w:p>
    <w:p w14:paraId="1EB19AA0">
      <w:pPr>
        <w:spacing w:line="360" w:lineRule="auto"/>
        <w:ind w:firstLine="480" w:firstLineChars="200"/>
        <w:rPr>
          <w:rFonts w:hint="eastAsia" w:ascii="宋体" w:hAnsi="宋体" w:eastAsia="宋体" w:cs="宋体"/>
          <w:sz w:val="24"/>
          <w:szCs w:val="24"/>
        </w:rPr>
      </w:pPr>
      <w:bookmarkStart w:id="14" w:name="OLE_LINK1"/>
      <w:r>
        <w:rPr>
          <w:rFonts w:hint="eastAsia" w:ascii="宋体" w:hAnsi="宋体" w:eastAsia="宋体" w:cs="宋体"/>
          <w:sz w:val="24"/>
          <w:szCs w:val="24"/>
        </w:rPr>
        <w:t>1.报名和磋商文件发售期：</w:t>
      </w:r>
      <w:r>
        <w:rPr>
          <w:rFonts w:hint="eastAsia" w:ascii="宋体" w:hAnsi="宋体" w:eastAsia="宋体" w:cs="宋体"/>
          <w:sz w:val="24"/>
          <w:szCs w:val="24"/>
          <w:highlight w:val="yellow"/>
        </w:rPr>
        <w:t>202</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highlight w:val="yellow"/>
        </w:rPr>
        <w:t>年</w:t>
      </w:r>
      <w:r>
        <w:rPr>
          <w:rFonts w:hint="eastAsia" w:ascii="宋体" w:hAnsi="宋体" w:cs="宋体"/>
          <w:sz w:val="24"/>
          <w:szCs w:val="24"/>
          <w:highlight w:val="yellow"/>
          <w:lang w:val="en-US" w:eastAsia="zh-CN"/>
        </w:rPr>
        <w:t>8</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18</w:t>
      </w:r>
      <w:r>
        <w:rPr>
          <w:rFonts w:hint="eastAsia" w:ascii="宋体" w:hAnsi="宋体" w:eastAsia="宋体" w:cs="宋体"/>
          <w:sz w:val="24"/>
          <w:szCs w:val="24"/>
          <w:highlight w:val="yellow"/>
        </w:rPr>
        <w:t>日-202</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highlight w:val="yellow"/>
        </w:rPr>
        <w:t>年</w:t>
      </w:r>
      <w:r>
        <w:rPr>
          <w:rFonts w:hint="eastAsia" w:ascii="宋体" w:hAnsi="宋体" w:cs="宋体"/>
          <w:sz w:val="24"/>
          <w:szCs w:val="24"/>
          <w:highlight w:val="yellow"/>
          <w:lang w:val="en-US" w:eastAsia="zh-CN"/>
        </w:rPr>
        <w:t>8</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26</w:t>
      </w:r>
      <w:r>
        <w:rPr>
          <w:rFonts w:hint="eastAsia" w:ascii="宋体" w:hAnsi="宋体" w:eastAsia="宋体" w:cs="宋体"/>
          <w:sz w:val="24"/>
          <w:szCs w:val="24"/>
          <w:highlight w:val="yellow"/>
        </w:rPr>
        <w:t xml:space="preserve">日 </w:t>
      </w:r>
    </w:p>
    <w:p w14:paraId="04ADEC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2.在磋商文件发售期内，将《采购文件发售登记表》（加盖供应商公章）扫描后发送至</w:t>
      </w:r>
      <w:r>
        <w:rPr>
          <w:rFonts w:hint="eastAsia" w:ascii="仿宋" w:hAnsi="仿宋" w:eastAsia="仿宋"/>
          <w:sz w:val="24"/>
          <w:szCs w:val="24"/>
        </w:rPr>
        <w:t>214553094@qq.com</w:t>
      </w:r>
      <w:r>
        <w:rPr>
          <w:rFonts w:hint="eastAsia" w:ascii="宋体" w:hAnsi="宋体" w:eastAsia="宋体" w:cs="宋体"/>
          <w:sz w:val="24"/>
          <w:szCs w:val="24"/>
        </w:rPr>
        <w:t>（邮箱）。</w:t>
      </w:r>
    </w:p>
    <w:p w14:paraId="3DF5C693">
      <w:pPr>
        <w:spacing w:line="360" w:lineRule="auto"/>
        <w:ind w:left="476" w:leftChars="170" w:firstLine="0" w:firstLineChars="0"/>
        <w:rPr>
          <w:rFonts w:hint="eastAsia" w:ascii="宋体" w:hAnsi="宋体" w:eastAsia="宋体" w:cs="宋体"/>
          <w:sz w:val="24"/>
          <w:szCs w:val="24"/>
          <w:lang w:eastAsia="zh-CN"/>
        </w:rPr>
      </w:pPr>
      <w:r>
        <w:rPr>
          <w:rFonts w:hint="eastAsia" w:ascii="宋体" w:hAnsi="宋体" w:eastAsia="宋体" w:cs="宋体"/>
          <w:sz w:val="24"/>
          <w:szCs w:val="24"/>
        </w:rPr>
        <w:t>3.竞争性磋商文件售价为：人民币300元/份，递交响应文件时递交至代理机构。</w:t>
      </w:r>
      <w:bookmarkEnd w:id="14"/>
      <w:r>
        <w:rPr>
          <w:rFonts w:hint="eastAsia" w:ascii="宋体" w:hAnsi="宋体" w:eastAsia="宋体" w:cs="宋体"/>
          <w:sz w:val="24"/>
          <w:szCs w:val="24"/>
        </w:rPr>
        <w:t>（四）递交磋商响应文件地点：重庆市两江新区黄山大道东段186号</w:t>
      </w:r>
      <w:r>
        <w:rPr>
          <w:rFonts w:hint="eastAsia" w:ascii="宋体" w:hAnsi="宋体" w:cs="宋体"/>
          <w:sz w:val="24"/>
          <w:szCs w:val="24"/>
          <w:lang w:eastAsia="zh-CN"/>
        </w:rPr>
        <w:t>。</w:t>
      </w:r>
    </w:p>
    <w:p w14:paraId="69D4CA26">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（五）磋商响应文件递交开始时间：</w:t>
      </w:r>
      <w:r>
        <w:rPr>
          <w:rFonts w:hint="eastAsia" w:ascii="宋体" w:hAnsi="宋体" w:eastAsia="宋体" w:cs="宋体"/>
          <w:sz w:val="24"/>
          <w:szCs w:val="24"/>
          <w:highlight w:val="yellow"/>
        </w:rPr>
        <w:t>2025年</w:t>
      </w:r>
      <w:r>
        <w:rPr>
          <w:rFonts w:hint="eastAsia" w:ascii="宋体" w:hAnsi="宋体" w:cs="宋体"/>
          <w:sz w:val="24"/>
          <w:szCs w:val="24"/>
          <w:highlight w:val="yellow"/>
          <w:lang w:val="en-US" w:eastAsia="zh-CN"/>
        </w:rPr>
        <w:t>8</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29</w:t>
      </w:r>
      <w:r>
        <w:rPr>
          <w:rFonts w:hint="eastAsia" w:ascii="宋体" w:hAnsi="宋体" w:eastAsia="宋体" w:cs="宋体"/>
          <w:sz w:val="24"/>
          <w:szCs w:val="24"/>
          <w:highlight w:val="yellow"/>
        </w:rPr>
        <w:t>日北京时间14:00</w:t>
      </w:r>
      <w:bookmarkStart w:id="126" w:name="_GoBack"/>
      <w:bookmarkEnd w:id="126"/>
    </w:p>
    <w:p w14:paraId="56E8CE6D">
      <w:pPr>
        <w:spacing w:line="360" w:lineRule="auto"/>
        <w:ind w:firstLine="480" w:firstLineChars="200"/>
        <w:rPr>
          <w:rFonts w:hint="eastAsia" w:ascii="宋体" w:hAnsi="宋体" w:eastAsia="宋体" w:cs="宋体"/>
          <w:sz w:val="24"/>
          <w:szCs w:val="24"/>
          <w:highlight w:val="yellow"/>
        </w:rPr>
      </w:pPr>
      <w:bookmarkStart w:id="15" w:name="_Toc373860294"/>
      <w:r>
        <w:rPr>
          <w:rFonts w:hint="eastAsia" w:ascii="宋体" w:hAnsi="宋体" w:eastAsia="宋体" w:cs="宋体"/>
          <w:sz w:val="24"/>
          <w:szCs w:val="24"/>
        </w:rPr>
        <w:t>（六）磋商响应文件递交截止时间：</w:t>
      </w:r>
      <w:r>
        <w:rPr>
          <w:rFonts w:hint="eastAsia" w:ascii="宋体" w:hAnsi="宋体" w:eastAsia="宋体" w:cs="宋体"/>
          <w:sz w:val="24"/>
          <w:szCs w:val="24"/>
          <w:highlight w:val="yellow"/>
        </w:rPr>
        <w:t>2025年</w:t>
      </w:r>
      <w:r>
        <w:rPr>
          <w:rFonts w:hint="eastAsia" w:ascii="宋体" w:hAnsi="宋体" w:cs="宋体"/>
          <w:sz w:val="24"/>
          <w:szCs w:val="24"/>
          <w:highlight w:val="yellow"/>
          <w:lang w:val="en-US" w:eastAsia="zh-CN"/>
        </w:rPr>
        <w:t>8</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29</w:t>
      </w:r>
      <w:r>
        <w:rPr>
          <w:rFonts w:hint="eastAsia" w:ascii="宋体" w:hAnsi="宋体" w:eastAsia="宋体" w:cs="宋体"/>
          <w:sz w:val="24"/>
          <w:szCs w:val="24"/>
          <w:highlight w:val="yellow"/>
        </w:rPr>
        <w:t>日北京时间14:30</w:t>
      </w:r>
    </w:p>
    <w:p w14:paraId="2D3F4187">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（七）磋商开始时间：</w:t>
      </w:r>
      <w:r>
        <w:rPr>
          <w:rFonts w:hint="eastAsia" w:ascii="宋体" w:hAnsi="宋体" w:eastAsia="宋体" w:cs="宋体"/>
          <w:sz w:val="24"/>
          <w:szCs w:val="24"/>
          <w:highlight w:val="yellow"/>
        </w:rPr>
        <w:t>2025年</w:t>
      </w:r>
      <w:r>
        <w:rPr>
          <w:rFonts w:hint="eastAsia" w:ascii="宋体" w:hAnsi="宋体" w:cs="宋体"/>
          <w:sz w:val="24"/>
          <w:szCs w:val="24"/>
          <w:highlight w:val="yellow"/>
          <w:lang w:val="en-US" w:eastAsia="zh-CN"/>
        </w:rPr>
        <w:t>8</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29</w:t>
      </w:r>
      <w:r>
        <w:rPr>
          <w:rFonts w:hint="eastAsia" w:ascii="宋体" w:hAnsi="宋体" w:eastAsia="宋体" w:cs="宋体"/>
          <w:sz w:val="24"/>
          <w:szCs w:val="24"/>
          <w:highlight w:val="yellow"/>
        </w:rPr>
        <w:t>日北京时间14:30</w:t>
      </w:r>
    </w:p>
    <w:bookmarkEnd w:id="15"/>
    <w:p w14:paraId="46968C3A">
      <w:pPr>
        <w:pStyle w:val="3"/>
        <w:spacing w:before="0" w:after="0" w:line="360" w:lineRule="auto"/>
        <w:rPr>
          <w:rFonts w:hint="eastAsia" w:ascii="宋体" w:hAnsi="宋体" w:eastAsia="宋体" w:cs="宋体"/>
          <w:sz w:val="24"/>
          <w:szCs w:val="24"/>
        </w:rPr>
      </w:pPr>
      <w:bookmarkStart w:id="16" w:name="_Toc22430"/>
      <w:r>
        <w:rPr>
          <w:rFonts w:hint="eastAsia" w:ascii="宋体" w:hAnsi="宋体" w:eastAsia="宋体" w:cs="宋体"/>
          <w:sz w:val="24"/>
          <w:szCs w:val="24"/>
        </w:rPr>
        <w:t>五、</w:t>
      </w:r>
      <w:bookmarkEnd w:id="10"/>
      <w:r>
        <w:rPr>
          <w:rFonts w:hint="eastAsia" w:ascii="宋体" w:hAnsi="宋体" w:eastAsia="宋体" w:cs="宋体"/>
          <w:sz w:val="24"/>
          <w:szCs w:val="24"/>
        </w:rPr>
        <w:t>其它有关规定</w:t>
      </w:r>
      <w:bookmarkEnd w:id="16"/>
    </w:p>
    <w:p w14:paraId="3B00910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（一）单位负责人为同一人或者存在直接控股、管理关系的不同供应商，不得参加同一合同项下的政府采购活动，否则均为无效响应。</w:t>
      </w:r>
    </w:p>
    <w:p w14:paraId="3FE286E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（二）为采购项目提供整体设计、规范编制或者项目管理、监理、检测等服务的供应商，不得再参加该采购项目的其他采购活动，否则均为无效响应。</w:t>
      </w:r>
    </w:p>
    <w:p w14:paraId="0ED258D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（三）本项目的补遗文件（如果有）一律在“行采家”平台（http://www.gec123.com）上发布请各供应商注意下载。无论供应商下载与否，均视同供应商已知晓本项目补遗文件的内容。</w:t>
      </w:r>
    </w:p>
    <w:p w14:paraId="5F6529A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14:paraId="5527B9C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（五）磋商费用：无论磋商结果如何，供应商参与本项目磋商的所有费用均应由供应商自行承担。</w:t>
      </w:r>
    </w:p>
    <w:p w14:paraId="5F91C5B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b/>
          <w:bCs/>
          <w:sz w:val="24"/>
          <w:szCs w:val="24"/>
        </w:rPr>
        <w:t>本项目不接受联合体参与磋商，否则按无效处理。</w:t>
      </w:r>
    </w:p>
    <w:p w14:paraId="1639778A">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本项目不接受合同分包，否则按无效处理。</w:t>
      </w:r>
    </w:p>
    <w:p w14:paraId="4FD281E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八</w:t>
      </w:r>
      <w:r>
        <w:rPr>
          <w:rFonts w:hint="eastAsia" w:ascii="宋体" w:hAnsi="宋体" w:eastAsia="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F43F1BF">
      <w:pPr>
        <w:pStyle w:val="3"/>
        <w:spacing w:before="0" w:after="0" w:line="360" w:lineRule="auto"/>
        <w:rPr>
          <w:rFonts w:hint="eastAsia" w:ascii="宋体" w:hAnsi="宋体" w:eastAsia="宋体" w:cs="宋体"/>
          <w:sz w:val="24"/>
          <w:szCs w:val="24"/>
        </w:rPr>
      </w:pPr>
      <w:bookmarkStart w:id="17" w:name="_Toc509586467"/>
      <w:bookmarkStart w:id="18" w:name="_Toc1363"/>
      <w:r>
        <w:rPr>
          <w:rFonts w:hint="eastAsia" w:ascii="宋体" w:hAnsi="宋体" w:eastAsia="宋体" w:cs="宋体"/>
          <w:sz w:val="24"/>
          <w:szCs w:val="24"/>
        </w:rPr>
        <w:t>六、</w:t>
      </w:r>
      <w:bookmarkStart w:id="19" w:name="_Toc480466698"/>
      <w:bookmarkStart w:id="20" w:name="_Toc479668114"/>
      <w:r>
        <w:rPr>
          <w:rFonts w:hint="eastAsia" w:ascii="宋体" w:hAnsi="宋体" w:eastAsia="宋体" w:cs="宋体"/>
          <w:sz w:val="24"/>
          <w:szCs w:val="24"/>
        </w:rPr>
        <w:t>采购项目需落实的政府采购政策</w:t>
      </w:r>
      <w:bookmarkEnd w:id="17"/>
      <w:bookmarkEnd w:id="18"/>
      <w:bookmarkEnd w:id="19"/>
      <w:bookmarkEnd w:id="20"/>
    </w:p>
    <w:p w14:paraId="03C2D29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3407795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（二）按照&lt;财政部 工业和信息化部关于印发《政府采购促进中小企业发展暂行办法》的通知&gt;（财库〔2011〕181号）的规定，落实促进中小企业发展政策。</w:t>
      </w:r>
    </w:p>
    <w:p w14:paraId="1A2F410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（三）按照&lt;财政部、司法部关于政府采购支持监狱企业发展有关问题的通知&gt;（财库〔2014〕68号）的规定，落实支持监狱企业发展政策。</w:t>
      </w:r>
    </w:p>
    <w:p w14:paraId="218D717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（四）按照《三部门联合发布关于促进残疾人就业政府采购政策的通知》（财库〔2017〕 141号）的规定，落实支持残疾人福利性单位发展政策。</w:t>
      </w:r>
    </w:p>
    <w:p w14:paraId="4132B8B8">
      <w:pPr>
        <w:pStyle w:val="3"/>
        <w:spacing w:before="0" w:after="0" w:line="360" w:lineRule="auto"/>
        <w:rPr>
          <w:rFonts w:hint="eastAsia" w:ascii="宋体" w:hAnsi="宋体" w:eastAsia="宋体" w:cs="宋体"/>
          <w:sz w:val="24"/>
          <w:szCs w:val="24"/>
        </w:rPr>
      </w:pPr>
      <w:bookmarkStart w:id="21" w:name="_Toc24747"/>
      <w:r>
        <w:rPr>
          <w:rFonts w:hint="eastAsia" w:ascii="宋体" w:hAnsi="宋体" w:eastAsia="宋体" w:cs="宋体"/>
          <w:sz w:val="24"/>
          <w:szCs w:val="24"/>
        </w:rPr>
        <w:t>七、联系方式</w:t>
      </w:r>
      <w:bookmarkEnd w:id="21"/>
    </w:p>
    <w:p w14:paraId="4A3FF801">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szCs w:val="24"/>
        </w:rPr>
        <w:t>（一）采购人：</w:t>
      </w:r>
      <w:r>
        <w:rPr>
          <w:rFonts w:hint="eastAsia" w:ascii="宋体" w:hAnsi="宋体" w:cs="宋体"/>
          <w:sz w:val="24"/>
          <w:szCs w:val="24"/>
          <w:lang w:eastAsia="zh-CN"/>
        </w:rPr>
        <w:t>重庆市农业信息中心</w:t>
      </w:r>
    </w:p>
    <w:p w14:paraId="04D19490">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联系人：刘老师</w:t>
      </w:r>
    </w:p>
    <w:p w14:paraId="659E9FB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电  话：（023）89133616 </w:t>
      </w:r>
    </w:p>
    <w:p w14:paraId="29AE639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址：重庆市渝北区黄山大道东段 186 号</w:t>
      </w:r>
    </w:p>
    <w:p w14:paraId="1683D868">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（二）采购代理机构：</w:t>
      </w:r>
      <w:r>
        <w:rPr>
          <w:rFonts w:hint="eastAsia" w:ascii="宋体" w:hAnsi="宋体" w:eastAsia="宋体" w:cs="宋体"/>
          <w:color w:val="auto"/>
          <w:sz w:val="24"/>
          <w:szCs w:val="24"/>
          <w:lang w:eastAsia="zh-CN"/>
        </w:rPr>
        <w:t>重庆采家工程管理有限公司</w:t>
      </w:r>
    </w:p>
    <w:p w14:paraId="2B0294C3">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联系人：张老师</w:t>
      </w:r>
    </w:p>
    <w:p w14:paraId="5ED4F6B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话：023-85383639</w:t>
      </w:r>
    </w:p>
    <w:p w14:paraId="41233E99">
      <w:pPr>
        <w:snapToGrid w:val="0"/>
        <w:spacing w:line="360" w:lineRule="auto"/>
        <w:ind w:firstLine="480" w:firstLineChars="200"/>
        <w:rPr>
          <w:rFonts w:hint="eastAsia" w:ascii="宋体" w:hAnsi="宋体" w:eastAsia="宋体" w:cs="宋体"/>
          <w:color w:val="auto"/>
          <w:sz w:val="24"/>
          <w:szCs w:val="24"/>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color w:val="auto"/>
          <w:sz w:val="24"/>
          <w:szCs w:val="24"/>
        </w:rPr>
        <w:t>地  址：重庆市永川区卧龙路128号附20</w:t>
      </w:r>
    </w:p>
    <w:p w14:paraId="39075580">
      <w:pPr>
        <w:pStyle w:val="2"/>
        <w:spacing w:line="360" w:lineRule="auto"/>
        <w:jc w:val="center"/>
        <w:rPr>
          <w:rFonts w:hint="eastAsia" w:ascii="宋体" w:hAnsi="宋体" w:eastAsia="宋体" w:cs="宋体"/>
          <w:b/>
          <w:sz w:val="36"/>
          <w:szCs w:val="36"/>
        </w:rPr>
      </w:pPr>
      <w:bookmarkStart w:id="22" w:name="_Toc13033"/>
      <w:r>
        <w:rPr>
          <w:rFonts w:hint="eastAsia" w:ascii="宋体" w:hAnsi="宋体" w:eastAsia="宋体" w:cs="宋体"/>
          <w:b/>
          <w:sz w:val="36"/>
          <w:szCs w:val="36"/>
        </w:rPr>
        <w:t>第二篇  项目</w:t>
      </w:r>
      <w:r>
        <w:rPr>
          <w:rFonts w:hint="eastAsia" w:ascii="宋体" w:hAnsi="宋体" w:eastAsia="宋体" w:cs="宋体"/>
          <w:b/>
          <w:sz w:val="36"/>
          <w:szCs w:val="36"/>
          <w:lang w:val="en-US" w:eastAsia="zh-CN"/>
        </w:rPr>
        <w:t>服务</w:t>
      </w:r>
      <w:r>
        <w:rPr>
          <w:rFonts w:hint="eastAsia" w:ascii="宋体" w:hAnsi="宋体" w:eastAsia="宋体" w:cs="宋体"/>
          <w:b/>
          <w:sz w:val="36"/>
          <w:szCs w:val="36"/>
        </w:rPr>
        <w:t>需求</w:t>
      </w:r>
      <w:bookmarkEnd w:id="22"/>
    </w:p>
    <w:p w14:paraId="63CF5B56">
      <w:pPr>
        <w:pStyle w:val="3"/>
        <w:spacing w:before="0" w:after="0" w:line="360" w:lineRule="auto"/>
        <w:rPr>
          <w:rFonts w:hint="eastAsia" w:ascii="宋体" w:hAnsi="宋体" w:eastAsia="宋体" w:cs="宋体"/>
          <w:sz w:val="24"/>
          <w:szCs w:val="24"/>
        </w:rPr>
      </w:pPr>
      <w:bookmarkStart w:id="23" w:name="_Toc6733"/>
      <w:bookmarkStart w:id="24" w:name="_Toc12789058"/>
      <w:r>
        <w:rPr>
          <w:rFonts w:hint="eastAsia" w:ascii="宋体" w:hAnsi="宋体" w:eastAsia="宋体" w:cs="宋体"/>
          <w:sz w:val="24"/>
          <w:szCs w:val="24"/>
        </w:rPr>
        <w:t>一、项目一览表</w:t>
      </w:r>
      <w:bookmarkEnd w:id="23"/>
    </w:p>
    <w:tbl>
      <w:tblPr>
        <w:tblStyle w:val="5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394"/>
        <w:gridCol w:w="1559"/>
        <w:gridCol w:w="1701"/>
      </w:tblGrid>
      <w:tr w14:paraId="54FF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59" w:type="dxa"/>
            <w:vAlign w:val="center"/>
          </w:tcPr>
          <w:p w14:paraId="2EEE103C">
            <w:pPr>
              <w:jc w:val="center"/>
              <w:rPr>
                <w:rFonts w:hint="eastAsia" w:ascii="宋体" w:hAnsi="宋体" w:eastAsia="宋体" w:cs="宋体"/>
                <w:sz w:val="22"/>
                <w:szCs w:val="24"/>
              </w:rPr>
            </w:pPr>
            <w:r>
              <w:rPr>
                <w:rFonts w:hint="eastAsia" w:ascii="宋体" w:hAnsi="宋体" w:eastAsia="宋体" w:cs="宋体"/>
                <w:sz w:val="22"/>
                <w:szCs w:val="24"/>
              </w:rPr>
              <w:t>合同</w:t>
            </w:r>
          </w:p>
          <w:p w14:paraId="7A36F46F">
            <w:pPr>
              <w:jc w:val="center"/>
              <w:rPr>
                <w:rFonts w:hint="eastAsia" w:ascii="宋体" w:hAnsi="宋体" w:eastAsia="宋体" w:cs="宋体"/>
                <w:sz w:val="22"/>
                <w:szCs w:val="24"/>
              </w:rPr>
            </w:pPr>
            <w:r>
              <w:rPr>
                <w:rFonts w:hint="eastAsia" w:ascii="宋体" w:hAnsi="宋体" w:eastAsia="宋体" w:cs="宋体"/>
                <w:sz w:val="22"/>
                <w:szCs w:val="24"/>
              </w:rPr>
              <w:t>包号</w:t>
            </w:r>
          </w:p>
        </w:tc>
        <w:tc>
          <w:tcPr>
            <w:tcW w:w="4394" w:type="dxa"/>
            <w:vAlign w:val="center"/>
          </w:tcPr>
          <w:p w14:paraId="09574931">
            <w:pPr>
              <w:jc w:val="center"/>
              <w:rPr>
                <w:rFonts w:hint="eastAsia" w:ascii="宋体" w:hAnsi="宋体" w:eastAsia="宋体" w:cs="宋体"/>
                <w:sz w:val="22"/>
                <w:szCs w:val="24"/>
              </w:rPr>
            </w:pPr>
            <w:r>
              <w:rPr>
                <w:rFonts w:hint="eastAsia" w:ascii="宋体" w:hAnsi="宋体" w:eastAsia="宋体" w:cs="宋体"/>
                <w:sz w:val="22"/>
                <w:szCs w:val="24"/>
              </w:rPr>
              <w:t>项目名称</w:t>
            </w:r>
          </w:p>
        </w:tc>
        <w:tc>
          <w:tcPr>
            <w:tcW w:w="1559" w:type="dxa"/>
            <w:vAlign w:val="center"/>
          </w:tcPr>
          <w:p w14:paraId="410BD761">
            <w:pPr>
              <w:jc w:val="center"/>
              <w:rPr>
                <w:rFonts w:hint="eastAsia" w:ascii="宋体" w:hAnsi="宋体" w:eastAsia="宋体" w:cs="宋体"/>
                <w:sz w:val="22"/>
                <w:szCs w:val="24"/>
              </w:rPr>
            </w:pPr>
            <w:r>
              <w:rPr>
                <w:rFonts w:hint="eastAsia" w:ascii="宋体" w:hAnsi="宋体" w:eastAsia="宋体" w:cs="宋体"/>
                <w:sz w:val="22"/>
                <w:szCs w:val="24"/>
              </w:rPr>
              <w:t xml:space="preserve">数量 </w:t>
            </w:r>
          </w:p>
        </w:tc>
        <w:tc>
          <w:tcPr>
            <w:tcW w:w="1701" w:type="dxa"/>
            <w:vAlign w:val="center"/>
          </w:tcPr>
          <w:p w14:paraId="316161AC">
            <w:pPr>
              <w:jc w:val="center"/>
              <w:rPr>
                <w:rFonts w:hint="eastAsia" w:ascii="宋体" w:hAnsi="宋体" w:eastAsia="宋体" w:cs="宋体"/>
                <w:sz w:val="22"/>
                <w:szCs w:val="24"/>
              </w:rPr>
            </w:pPr>
            <w:r>
              <w:rPr>
                <w:rFonts w:hint="eastAsia" w:ascii="宋体" w:hAnsi="宋体" w:eastAsia="宋体" w:cs="宋体"/>
                <w:sz w:val="22"/>
                <w:szCs w:val="24"/>
              </w:rPr>
              <w:t>单位</w:t>
            </w:r>
          </w:p>
        </w:tc>
      </w:tr>
      <w:tr w14:paraId="7248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59" w:type="dxa"/>
            <w:vAlign w:val="center"/>
          </w:tcPr>
          <w:p w14:paraId="4B2539A3">
            <w:pPr>
              <w:jc w:val="center"/>
              <w:rPr>
                <w:rFonts w:hint="eastAsia" w:ascii="宋体" w:hAnsi="宋体" w:eastAsia="宋体" w:cs="宋体"/>
                <w:sz w:val="22"/>
                <w:szCs w:val="24"/>
              </w:rPr>
            </w:pPr>
            <w:r>
              <w:rPr>
                <w:rFonts w:hint="eastAsia" w:ascii="宋体" w:hAnsi="宋体" w:eastAsia="宋体" w:cs="宋体"/>
                <w:sz w:val="22"/>
                <w:szCs w:val="24"/>
              </w:rPr>
              <w:t>一</w:t>
            </w:r>
          </w:p>
        </w:tc>
        <w:tc>
          <w:tcPr>
            <w:tcW w:w="4394" w:type="dxa"/>
            <w:vAlign w:val="center"/>
          </w:tcPr>
          <w:p w14:paraId="1A995DD6">
            <w:pPr>
              <w:pStyle w:val="15"/>
              <w:spacing w:line="400" w:lineRule="exact"/>
              <w:ind w:firstLine="0"/>
              <w:jc w:val="center"/>
              <w:outlineLvl w:val="0"/>
              <w:rPr>
                <w:rFonts w:hint="eastAsia" w:ascii="宋体" w:hAnsi="宋体" w:eastAsia="宋体" w:cs="宋体"/>
                <w:sz w:val="22"/>
                <w:szCs w:val="24"/>
                <w:lang w:eastAsia="zh-CN"/>
              </w:rPr>
            </w:pPr>
            <w:r>
              <w:rPr>
                <w:rFonts w:hint="eastAsia" w:ascii="宋体" w:hAnsi="宋体" w:cs="宋体"/>
                <w:szCs w:val="24"/>
                <w:lang w:eastAsia="zh-CN"/>
              </w:rPr>
              <w:t>网站监测服务</w:t>
            </w:r>
          </w:p>
        </w:tc>
        <w:tc>
          <w:tcPr>
            <w:tcW w:w="1559" w:type="dxa"/>
            <w:vAlign w:val="center"/>
          </w:tcPr>
          <w:p w14:paraId="547D97F7">
            <w:pPr>
              <w:jc w:val="center"/>
              <w:rPr>
                <w:rFonts w:hint="eastAsia" w:ascii="宋体" w:hAnsi="宋体" w:eastAsia="宋体" w:cs="宋体"/>
                <w:sz w:val="22"/>
                <w:szCs w:val="24"/>
              </w:rPr>
            </w:pPr>
            <w:r>
              <w:rPr>
                <w:rFonts w:hint="eastAsia" w:ascii="宋体" w:hAnsi="宋体" w:eastAsia="宋体" w:cs="宋体"/>
                <w:sz w:val="22"/>
                <w:szCs w:val="24"/>
              </w:rPr>
              <w:t>1</w:t>
            </w:r>
          </w:p>
        </w:tc>
        <w:tc>
          <w:tcPr>
            <w:tcW w:w="1701" w:type="dxa"/>
            <w:vAlign w:val="center"/>
          </w:tcPr>
          <w:p w14:paraId="2A55DF28">
            <w:pPr>
              <w:pStyle w:val="15"/>
              <w:spacing w:line="400" w:lineRule="exact"/>
              <w:ind w:firstLine="0"/>
              <w:jc w:val="center"/>
              <w:outlineLvl w:val="0"/>
              <w:rPr>
                <w:rFonts w:hint="eastAsia" w:ascii="宋体" w:hAnsi="宋体" w:eastAsia="宋体" w:cs="宋体"/>
                <w:sz w:val="22"/>
                <w:szCs w:val="24"/>
              </w:rPr>
            </w:pPr>
            <w:r>
              <w:rPr>
                <w:rFonts w:hint="eastAsia" w:ascii="宋体" w:hAnsi="宋体" w:eastAsia="宋体" w:cs="宋体"/>
                <w:sz w:val="22"/>
                <w:szCs w:val="24"/>
              </w:rPr>
              <w:t>项</w:t>
            </w:r>
          </w:p>
        </w:tc>
      </w:tr>
    </w:tbl>
    <w:p w14:paraId="6E91A540">
      <w:pPr>
        <w:pStyle w:val="3"/>
        <w:spacing w:before="0" w:after="0" w:line="360" w:lineRule="auto"/>
        <w:rPr>
          <w:rFonts w:hint="eastAsia" w:ascii="宋体" w:hAnsi="宋体" w:eastAsia="宋体" w:cs="宋体"/>
          <w:color w:val="auto"/>
          <w:sz w:val="24"/>
          <w:szCs w:val="24"/>
          <w:highlight w:val="none"/>
        </w:rPr>
      </w:pPr>
      <w:bookmarkStart w:id="25" w:name="_Toc26871"/>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内容及服务要求</w:t>
      </w:r>
      <w:bookmarkEnd w:id="25"/>
    </w:p>
    <w:p w14:paraId="6E86313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内容</w:t>
      </w:r>
    </w:p>
    <w:p w14:paraId="741D2BE4">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1.监测和检查范围：重庆市农业农村委员会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http://nyncw.cq.gov.cn/</w:t>
      </w:r>
      <w:r>
        <w:rPr>
          <w:rFonts w:hint="eastAsia" w:ascii="宋体" w:hAnsi="宋体" w:cs="宋体"/>
          <w:color w:val="auto"/>
          <w:sz w:val="24"/>
          <w:szCs w:val="24"/>
          <w:highlight w:val="none"/>
          <w:lang w:val="en-US" w:eastAsia="zh-CN"/>
        </w:rPr>
        <w:t>）</w:t>
      </w:r>
    </w:p>
    <w:p w14:paraId="4A72324D">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.常态化监测和检查服务。7*24 小时对站点无法访问、网站首页可用性、链接可用性（无效链接）、首页动态类栏目基本栏目信息更新情况、涉密涉敏信息和错别字情况进行监测，按照《政府网站与政务新媒体检查指标》要求每月对政府网站进行检查。通过技术手段，每日对新增信息实施技术扫描。对在检测中发现的问题，要及时通知并协助采购人处置。</w:t>
      </w:r>
    </w:p>
    <w:p w14:paraId="5A9770EE">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.应急检测服务。对采购人提出的需要检查、撤销的内容提供应急检测，形成检测报告。采用电话、短信、邮件等方式及时提醒网站管理人员，确保其第一时间处置问题。</w:t>
      </w:r>
    </w:p>
    <w:p w14:paraId="69286CD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提供监测服务报告。按照《政府网站与政务新媒体检查指标》要求，每个月底（下称“月底”）前对每个政府网站形成一份检测服务报告，内容包括全面检测情况、错别字监测情况、错误（敏感）信息监测情况、内容更新情况、外链监测情况和加、减分情况等、当月检查常见问题及修改建议等</w:t>
      </w:r>
      <w:r>
        <w:rPr>
          <w:rFonts w:hint="eastAsia" w:ascii="宋体" w:hAnsi="宋体" w:eastAsia="宋体" w:cs="宋体"/>
          <w:color w:val="auto"/>
          <w:sz w:val="24"/>
          <w:szCs w:val="24"/>
          <w:highlight w:val="none"/>
        </w:rPr>
        <w:t>。</w:t>
      </w:r>
    </w:p>
    <w:p w14:paraId="210C5F08">
      <w:pPr>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（二）具体监测指标内容</w:t>
      </w:r>
    </w:p>
    <w:tbl>
      <w:tblPr>
        <w:tblStyle w:val="57"/>
        <w:tblW w:w="9020" w:type="dxa"/>
        <w:jc w:val="center"/>
        <w:tblLayout w:type="fixed"/>
        <w:tblCellMar>
          <w:top w:w="15" w:type="dxa"/>
          <w:left w:w="15" w:type="dxa"/>
          <w:bottom w:w="15" w:type="dxa"/>
          <w:right w:w="15" w:type="dxa"/>
        </w:tblCellMar>
      </w:tblPr>
      <w:tblGrid>
        <w:gridCol w:w="533"/>
        <w:gridCol w:w="1948"/>
        <w:gridCol w:w="6539"/>
      </w:tblGrid>
      <w:tr w14:paraId="3FFE27D1">
        <w:tblPrEx>
          <w:tblCellMar>
            <w:top w:w="15" w:type="dxa"/>
            <w:left w:w="15" w:type="dxa"/>
            <w:bottom w:w="15" w:type="dxa"/>
            <w:right w:w="15" w:type="dxa"/>
          </w:tblCellMar>
        </w:tblPrEx>
        <w:trPr>
          <w:trHeight w:val="575" w:hRule="atLeast"/>
          <w:jc w:val="center"/>
        </w:trPr>
        <w:tc>
          <w:tcPr>
            <w:tcW w:w="9020" w:type="dxa"/>
            <w:gridSpan w:val="3"/>
            <w:tcBorders>
              <w:top w:val="single" w:color="000000" w:sz="4" w:space="0"/>
              <w:left w:val="single" w:color="000000" w:sz="4" w:space="0"/>
              <w:bottom w:val="single" w:color="000000" w:sz="4" w:space="0"/>
              <w:right w:val="single" w:color="000000" w:sz="4" w:space="0"/>
            </w:tcBorders>
            <w:noWrap w:val="0"/>
            <w:vAlign w:val="center"/>
          </w:tcPr>
          <w:p w14:paraId="12DA7A42">
            <w:pPr>
              <w:widowControl/>
              <w:adjustRightInd w:val="0"/>
              <w:snapToGrid w:val="0"/>
              <w:spacing w:line="240" w:lineRule="exact"/>
              <w:textAlignment w:val="center"/>
              <w:rPr>
                <w:rFonts w:ascii="宋体" w:hAnsi="宋体" w:cs="宋体"/>
                <w:b/>
                <w:kern w:val="0"/>
                <w:szCs w:val="21"/>
                <w:highlight w:val="none"/>
              </w:rPr>
            </w:pPr>
            <w:r>
              <w:rPr>
                <w:rFonts w:hint="eastAsia" w:ascii="宋体" w:hAnsi="宋体" w:cs="宋体"/>
                <w:b/>
                <w:kern w:val="0"/>
                <w:sz w:val="24"/>
                <w:highlight w:val="none"/>
              </w:rPr>
              <w:t>网站单项否决指标检测服务内容</w:t>
            </w:r>
          </w:p>
        </w:tc>
      </w:tr>
      <w:tr w14:paraId="73C6EA98">
        <w:tblPrEx>
          <w:tblCellMar>
            <w:top w:w="15" w:type="dxa"/>
            <w:left w:w="15" w:type="dxa"/>
            <w:bottom w:w="15" w:type="dxa"/>
            <w:right w:w="15" w:type="dxa"/>
          </w:tblCellMar>
        </w:tblPrEx>
        <w:trPr>
          <w:trHeight w:val="554"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8F7138D">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7753A775">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错别字检测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55A0CD48">
            <w:pPr>
              <w:widowControl/>
              <w:adjustRightInd w:val="0"/>
              <w:snapToGrid w:val="0"/>
              <w:spacing w:line="240" w:lineRule="exact"/>
              <w:jc w:val="center"/>
              <w:textAlignment w:val="center"/>
              <w:rPr>
                <w:rFonts w:ascii="宋体" w:hAnsi="宋体" w:cs="宋体"/>
                <w:bCs/>
                <w:kern w:val="0"/>
                <w:sz w:val="24"/>
                <w:highlight w:val="none"/>
              </w:rPr>
            </w:pPr>
            <w:r>
              <w:rPr>
                <w:rFonts w:hint="eastAsia" w:ascii="宋体" w:hAnsi="宋体" w:cs="宋体"/>
                <w:bCs/>
                <w:kern w:val="0"/>
                <w:sz w:val="24"/>
                <w:highlight w:val="none"/>
              </w:rPr>
              <w:t>检测网站信息内容中存在严重错别字、政治性用语表述错误、常见文字错误、成语错误、地名错误等情况时，应立即告警。</w:t>
            </w:r>
          </w:p>
        </w:tc>
      </w:tr>
      <w:tr w14:paraId="0E4A97CA">
        <w:tblPrEx>
          <w:tblCellMar>
            <w:top w:w="15" w:type="dxa"/>
            <w:left w:w="15" w:type="dxa"/>
            <w:bottom w:w="15" w:type="dxa"/>
            <w:right w:w="15" w:type="dxa"/>
          </w:tblCellMar>
        </w:tblPrEx>
        <w:trPr>
          <w:trHeight w:val="523"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4BFE7063">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17BD8531">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领导人姓名、职务等表述错误检测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2FD5CAD9">
            <w:pPr>
              <w:widowControl/>
              <w:adjustRightInd w:val="0"/>
              <w:snapToGrid w:val="0"/>
              <w:spacing w:line="240" w:lineRule="exact"/>
              <w:jc w:val="left"/>
              <w:textAlignment w:val="center"/>
              <w:rPr>
                <w:rFonts w:ascii="宋体" w:hAnsi="宋体" w:cs="宋体"/>
                <w:bCs/>
                <w:kern w:val="0"/>
                <w:sz w:val="24"/>
                <w:highlight w:val="none"/>
              </w:rPr>
            </w:pPr>
            <w:r>
              <w:rPr>
                <w:rFonts w:hint="eastAsia" w:ascii="宋体" w:hAnsi="宋体" w:cs="宋体"/>
                <w:bCs/>
                <w:kern w:val="0"/>
                <w:sz w:val="24"/>
                <w:highlight w:val="none"/>
              </w:rPr>
              <w:t>日常监测中发现网站中提到的党和国家领导人姓名错误、党和国家重要机构名称错误、虚假或伪造内容、使用法律法规中明令禁止的词语、本单位领导人名及职务错误时，立即告警。</w:t>
            </w:r>
          </w:p>
        </w:tc>
      </w:tr>
      <w:tr w14:paraId="00BCFEAD">
        <w:tblPrEx>
          <w:tblCellMar>
            <w:top w:w="15" w:type="dxa"/>
            <w:left w:w="15" w:type="dxa"/>
            <w:bottom w:w="15" w:type="dxa"/>
            <w:right w:w="15" w:type="dxa"/>
          </w:tblCellMar>
        </w:tblPrEx>
        <w:trPr>
          <w:trHeight w:val="90"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05F826D8">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0C403069">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安全、泄密事故等严重问题监测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4B664DA8">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通过专用软件检测：1.泄露国家秘密；2.发布或链接反动、暴力、色情等内容；3.不当敏感信息或与国家政策不符信息；4.敏感人员信息定位、泄密信息定位、落马人员照片检测定位。4.因发布内容不当引发的严重负面舆情；人工核对后立即告警。</w:t>
            </w:r>
          </w:p>
        </w:tc>
      </w:tr>
      <w:tr w14:paraId="52524455">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426EE055">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4</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3D3179BE">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内容不更新监测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3191B671">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1.网站首页栏目更新状况检测。</w:t>
            </w:r>
          </w:p>
          <w:p w14:paraId="5B79B8EF">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2.基本栏目信息更新状况检测。根据国办检查的标准，每月对网站的各栏目进行更新量检测，如发现某一栏目未达到此次国办检查标准的，则进行定位。发现检查未更新的情况时，截图作为依据列入检测服务报告内。</w:t>
            </w:r>
          </w:p>
        </w:tc>
      </w:tr>
      <w:tr w14:paraId="4B3C31E6">
        <w:tblPrEx>
          <w:tblCellMar>
            <w:top w:w="15" w:type="dxa"/>
            <w:left w:w="15" w:type="dxa"/>
            <w:bottom w:w="15" w:type="dxa"/>
            <w:right w:w="15" w:type="dxa"/>
          </w:tblCellMar>
        </w:tblPrEx>
        <w:trPr>
          <w:trHeight w:val="1844"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1BCD76B1">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5</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63A8063C">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站点无法访问、链接可用性、外站链接、无效链接、暗链、伪链监测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3EEAF00F">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1.7*24小时对网站的站点无法访问情况；网站首页、各级栏目、新闻页面中的所有链接（包含pdf、doc、xlsx、txt、zip等常用格式附件）进行检测、如发现问题立即进行定位和修改。</w:t>
            </w:r>
          </w:p>
          <w:p w14:paraId="28EAB22E">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2.对网站信息中的链接地址进行检测，如果发现外链存在赌博、色情、游戏、过期域名等问题，经人工审核后立即告警。</w:t>
            </w:r>
          </w:p>
          <w:p w14:paraId="32A83A7C">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3.扫描网站无效外站链接、暗链、伪链、网站无效图片、无效的文字链接、无效的附件文件等问题进行定位和修改。</w:t>
            </w:r>
          </w:p>
        </w:tc>
      </w:tr>
      <w:tr w14:paraId="0352B4DB">
        <w:tblPrEx>
          <w:tblCellMar>
            <w:top w:w="15" w:type="dxa"/>
            <w:left w:w="15" w:type="dxa"/>
            <w:bottom w:w="15" w:type="dxa"/>
            <w:right w:w="15" w:type="dxa"/>
          </w:tblCellMar>
        </w:tblPrEx>
        <w:trPr>
          <w:trHeight w:val="758"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0DC1C889">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6</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6E6DF025">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网站被黑、篡改、页面变形等异常监测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6B0304E4">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对网站页面被挂马、内容被篡改、网页不完整、页面大量乱码、网页页面结构变形、网页开天窗等情况进行实时监测，发现问题第一时间告警。</w:t>
            </w:r>
          </w:p>
        </w:tc>
      </w:tr>
      <w:tr w14:paraId="7F14F530">
        <w:tblPrEx>
          <w:tblCellMar>
            <w:top w:w="15" w:type="dxa"/>
            <w:left w:w="15" w:type="dxa"/>
            <w:bottom w:w="15" w:type="dxa"/>
            <w:right w:w="15" w:type="dxa"/>
          </w:tblCellMar>
        </w:tblPrEx>
        <w:trPr>
          <w:trHeight w:val="803"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07D9D665">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7</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7CEAB3B0">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互动回应情况检测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5924E55B">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政务咨询类栏目、调查征集类栏目、互动访谈类栏目开设情况，未提供有效互动功能。截图作为依据列入检测服务报告。</w:t>
            </w:r>
          </w:p>
        </w:tc>
      </w:tr>
      <w:tr w14:paraId="0287F734">
        <w:tblPrEx>
          <w:tblCellMar>
            <w:top w:w="15" w:type="dxa"/>
            <w:left w:w="15" w:type="dxa"/>
            <w:bottom w:w="15" w:type="dxa"/>
            <w:right w:w="15" w:type="dxa"/>
          </w:tblCellMar>
        </w:tblPrEx>
        <w:trPr>
          <w:trHeight w:val="803"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2C7FB907">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8</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5D3E5D1F">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网站在线系统可用性检测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1CC948AC">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对网站在线申报、查询系统等各类在线系统能否正常访问进行监测，一旦发现某一在线系统不可访问、系统故障，立即告警，第一时间处置。</w:t>
            </w:r>
          </w:p>
        </w:tc>
      </w:tr>
      <w:tr w14:paraId="3CA6A934">
        <w:tblPrEx>
          <w:tblCellMar>
            <w:top w:w="15" w:type="dxa"/>
            <w:left w:w="15" w:type="dxa"/>
            <w:bottom w:w="15" w:type="dxa"/>
            <w:right w:w="15" w:type="dxa"/>
          </w:tblCellMar>
        </w:tblPrEx>
        <w:trPr>
          <w:trHeight w:val="803"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194288F">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9</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2AE5ED25">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告警及人工审核</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6C5E2A4C">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值班人员负责接收由来自诊断监测系统发来的告警信息，并根据告警信息的提示进行初步核实，如果情况属实则立即通知相关人员。告警方式主要为电话、短信、邮件等方式。协助网站技术人员对问题进行定位及修改。</w:t>
            </w:r>
          </w:p>
        </w:tc>
      </w:tr>
      <w:tr w14:paraId="00316935">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0FED4A8">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10</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5E665254">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应急检测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471ECF8C">
            <w:pPr>
              <w:widowControl/>
              <w:adjustRightInd w:val="0"/>
              <w:snapToGrid w:val="0"/>
              <w:spacing w:line="240" w:lineRule="exact"/>
              <w:jc w:val="left"/>
              <w:textAlignment w:val="center"/>
              <w:rPr>
                <w:rFonts w:hint="eastAsia" w:ascii="宋体" w:hAnsi="宋体" w:eastAsia="宋体" w:cs="宋体"/>
                <w:bCs/>
                <w:kern w:val="0"/>
                <w:sz w:val="24"/>
                <w:highlight w:val="none"/>
              </w:rPr>
            </w:pPr>
            <w:r>
              <w:rPr>
                <w:rFonts w:hint="eastAsia" w:ascii="宋体" w:hAnsi="宋体" w:eastAsia="宋体" w:cs="宋体"/>
                <w:bCs/>
                <w:kern w:val="0"/>
                <w:sz w:val="24"/>
                <w:highlight w:val="none"/>
              </w:rPr>
              <w:t>对采购人提出的需要检查、撤销的内容提供应急检测、定位服务，内容包括不限于文字、图片、音视频等，检测内容形成检查报告。</w:t>
            </w:r>
          </w:p>
        </w:tc>
      </w:tr>
      <w:tr w14:paraId="22C4BC36">
        <w:tblPrEx>
          <w:tblCellMar>
            <w:top w:w="15" w:type="dxa"/>
            <w:left w:w="15" w:type="dxa"/>
            <w:bottom w:w="15" w:type="dxa"/>
            <w:right w:w="15" w:type="dxa"/>
          </w:tblCellMar>
        </w:tblPrEx>
        <w:trPr>
          <w:trHeight w:val="477" w:hRule="atLeast"/>
          <w:jc w:val="center"/>
        </w:trPr>
        <w:tc>
          <w:tcPr>
            <w:tcW w:w="9020" w:type="dxa"/>
            <w:gridSpan w:val="3"/>
            <w:tcBorders>
              <w:top w:val="single" w:color="000000" w:sz="4" w:space="0"/>
              <w:left w:val="single" w:color="000000" w:sz="4" w:space="0"/>
              <w:bottom w:val="single" w:color="000000" w:sz="4" w:space="0"/>
              <w:right w:val="single" w:color="000000" w:sz="4" w:space="0"/>
            </w:tcBorders>
            <w:noWrap w:val="0"/>
            <w:vAlign w:val="center"/>
          </w:tcPr>
          <w:p w14:paraId="68D8BFF4">
            <w:pPr>
              <w:widowControl/>
              <w:adjustRightInd w:val="0"/>
              <w:snapToGrid w:val="0"/>
              <w:spacing w:line="240" w:lineRule="exact"/>
              <w:jc w:val="left"/>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网站扣分指标检测服务内容</w:t>
            </w:r>
          </w:p>
        </w:tc>
      </w:tr>
      <w:tr w14:paraId="210D2B14">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5A47CF47">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3FC7DA6B">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发布解读情况检测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6F2FEA37">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cs="宋体"/>
                <w:kern w:val="0"/>
                <w:sz w:val="24"/>
                <w:highlight w:val="none"/>
              </w:rPr>
              <w:t xml:space="preserve">对照《政府网站与政务新媒体检查指标》对各网站的概况信息、机构职能、领导信息、动态要闻、政策文件、政策解读、解读比例、解读关联等栏目，对其他栏目的更新情况、空白情况进行检查，每发现一处问题按照相应标准扣除对应分值。 </w:t>
            </w:r>
          </w:p>
        </w:tc>
      </w:tr>
      <w:tr w14:paraId="22D809EE">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2D035D9">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2979485B">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办事服务情况检测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3C3C7CDD">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cs="宋体"/>
                <w:kern w:val="0"/>
                <w:sz w:val="24"/>
                <w:highlight w:val="none"/>
              </w:rPr>
              <w:t>对照《政府网站与政务新媒体检查指标》对网站进行检查，根据事项公开、在线申请、办事统计、办事指南、内容准确、表格样表等方面的评分细则进行检查评分。</w:t>
            </w:r>
          </w:p>
        </w:tc>
      </w:tr>
      <w:tr w14:paraId="5CB79A67">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3AA3D3D0">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389D9B5E">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互动交流情况检测</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7F206385">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cs="宋体"/>
                <w:kern w:val="0"/>
                <w:sz w:val="24"/>
                <w:highlight w:val="none"/>
              </w:rPr>
              <w:t>对照《政府网站与政务新媒体检查指标》对各网站的互动交流类栏目的信息提交、统一登录、留言公开、办事答复等方面进行检查，每发现一处问题按照相应标准扣除对应分值。</w:t>
            </w:r>
          </w:p>
        </w:tc>
      </w:tr>
      <w:tr w14:paraId="03ED5551">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524BDC22">
            <w:pPr>
              <w:widowControl/>
              <w:adjustRightInd w:val="0"/>
              <w:snapToGrid w:val="0"/>
              <w:spacing w:line="240" w:lineRule="exact"/>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4</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0CE4F7E7">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功能设计情况</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756E7363">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cs="宋体"/>
                <w:kern w:val="0"/>
                <w:sz w:val="24"/>
                <w:highlight w:val="none"/>
              </w:rPr>
              <w:t>对照《政府网站与政务新媒体检查指标》对各网站的域名名称、网站标识、可用性、“我为政府网站找错”、站内搜索、一号登录、页面标签、兼容性、IPv6改造情况进行检查，按照评分细则检查评分，每发现一处问题按照相应标准扣除对应分值。</w:t>
            </w:r>
          </w:p>
        </w:tc>
      </w:tr>
      <w:tr w14:paraId="4095C52D">
        <w:tblPrEx>
          <w:tblCellMar>
            <w:top w:w="15" w:type="dxa"/>
            <w:left w:w="15" w:type="dxa"/>
            <w:bottom w:w="15" w:type="dxa"/>
            <w:right w:w="15" w:type="dxa"/>
          </w:tblCellMar>
        </w:tblPrEx>
        <w:trPr>
          <w:trHeight w:val="500" w:hRule="atLeast"/>
          <w:jc w:val="center"/>
        </w:trPr>
        <w:tc>
          <w:tcPr>
            <w:tcW w:w="9020" w:type="dxa"/>
            <w:gridSpan w:val="3"/>
            <w:tcBorders>
              <w:top w:val="single" w:color="000000" w:sz="4" w:space="0"/>
              <w:left w:val="single" w:color="000000" w:sz="4" w:space="0"/>
              <w:bottom w:val="single" w:color="000000" w:sz="4" w:space="0"/>
              <w:right w:val="single" w:color="000000" w:sz="4" w:space="0"/>
            </w:tcBorders>
            <w:noWrap w:val="0"/>
            <w:vAlign w:val="center"/>
          </w:tcPr>
          <w:p w14:paraId="3600CADD">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cs="宋体"/>
                <w:b/>
                <w:kern w:val="0"/>
                <w:sz w:val="24"/>
                <w:highlight w:val="none"/>
              </w:rPr>
              <w:t>网站加分指标检测服务内容</w:t>
            </w:r>
          </w:p>
        </w:tc>
      </w:tr>
      <w:tr w14:paraId="009C6ED8">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468458C2">
            <w:pPr>
              <w:widowControl/>
              <w:adjustRightInd w:val="0"/>
              <w:snapToGrid w:val="0"/>
              <w:spacing w:line="240" w:lineRule="exact"/>
              <w:jc w:val="center"/>
              <w:textAlignment w:val="center"/>
              <w:rPr>
                <w:rFonts w:ascii="宋体" w:hAnsi="宋体" w:cs="宋体"/>
                <w:bCs/>
                <w:kern w:val="0"/>
                <w:sz w:val="24"/>
                <w:highlight w:val="none"/>
              </w:rPr>
            </w:pPr>
            <w:r>
              <w:rPr>
                <w:rFonts w:hint="eastAsia" w:ascii="宋体" w:hAnsi="宋体" w:cs="宋体"/>
                <w:bCs/>
                <w:kern w:val="0"/>
                <w:sz w:val="24"/>
                <w:highlight w:val="none"/>
              </w:rPr>
              <w:t>1</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54AB6181">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信息发布情况</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78B5C868">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对照《政府网站与政务新媒体检查指标》对各网站的数据发布、解读回应情况进行检查，按照评分细则检查评分，加分情况体现在相应网站的检查报告中。</w:t>
            </w:r>
          </w:p>
        </w:tc>
      </w:tr>
      <w:tr w14:paraId="379B197F">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4F15BBA">
            <w:pPr>
              <w:widowControl/>
              <w:adjustRightInd w:val="0"/>
              <w:snapToGrid w:val="0"/>
              <w:spacing w:line="240" w:lineRule="exact"/>
              <w:jc w:val="center"/>
              <w:textAlignment w:val="center"/>
              <w:rPr>
                <w:rFonts w:ascii="宋体" w:hAnsi="宋体" w:cs="宋体"/>
                <w:bCs/>
                <w:kern w:val="0"/>
                <w:sz w:val="24"/>
                <w:highlight w:val="none"/>
              </w:rPr>
            </w:pPr>
            <w:r>
              <w:rPr>
                <w:rFonts w:hint="eastAsia" w:ascii="宋体" w:hAnsi="宋体" w:cs="宋体"/>
                <w:bCs/>
                <w:kern w:val="0"/>
                <w:sz w:val="24"/>
                <w:highlight w:val="none"/>
              </w:rPr>
              <w:t>2</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1499DB95">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办事服务情况</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48C9EB9A">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对照《政府网站与政务新媒体检查指标》对各网站的办事服务功能、服务内容、服务关联情况进行抽查，加分情况体现在相应网站检查报告中。</w:t>
            </w:r>
          </w:p>
        </w:tc>
      </w:tr>
      <w:tr w14:paraId="3BCA881C">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067584B">
            <w:pPr>
              <w:widowControl/>
              <w:adjustRightInd w:val="0"/>
              <w:snapToGrid w:val="0"/>
              <w:spacing w:line="240" w:lineRule="exact"/>
              <w:jc w:val="center"/>
              <w:textAlignment w:val="center"/>
              <w:rPr>
                <w:rFonts w:ascii="宋体" w:hAnsi="宋体" w:cs="宋体"/>
                <w:bCs/>
                <w:kern w:val="0"/>
                <w:sz w:val="24"/>
                <w:highlight w:val="none"/>
              </w:rPr>
            </w:pPr>
            <w:r>
              <w:rPr>
                <w:rFonts w:hint="eastAsia" w:ascii="宋体" w:hAnsi="宋体" w:cs="宋体"/>
                <w:bCs/>
                <w:kern w:val="0"/>
                <w:sz w:val="24"/>
                <w:highlight w:val="none"/>
              </w:rPr>
              <w:t>3</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3F54ABF4">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互动交流情况</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429E15FE">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对照《政府网站与政务新媒体检查指标》对各网站的互动交流栏目的实时互动、调查征集情况进行检查，按照评分细则检查评分，加分情况体现在相应网站的检查报告中。</w:t>
            </w:r>
          </w:p>
        </w:tc>
      </w:tr>
      <w:tr w14:paraId="3C48621D">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2839C227">
            <w:pPr>
              <w:widowControl/>
              <w:adjustRightInd w:val="0"/>
              <w:snapToGrid w:val="0"/>
              <w:spacing w:line="240" w:lineRule="exact"/>
              <w:jc w:val="center"/>
              <w:textAlignment w:val="center"/>
              <w:rPr>
                <w:rFonts w:ascii="宋体" w:hAnsi="宋体" w:cs="宋体"/>
                <w:bCs/>
                <w:kern w:val="0"/>
                <w:sz w:val="24"/>
                <w:highlight w:val="none"/>
              </w:rPr>
            </w:pPr>
            <w:r>
              <w:rPr>
                <w:rFonts w:hint="eastAsia" w:ascii="宋体" w:hAnsi="宋体" w:cs="宋体"/>
                <w:bCs/>
                <w:kern w:val="0"/>
                <w:sz w:val="24"/>
                <w:highlight w:val="none"/>
              </w:rPr>
              <w:t>4</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53B75378">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功能设计情况</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0DDF6A81">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对照《政府网站与政务新媒体检查指标》对各网站的智能搜索、用户空间功能设计情况进行检查，按照评分细则检查评分，加分情况体现在相应网站的检查报告中。</w:t>
            </w:r>
          </w:p>
        </w:tc>
      </w:tr>
      <w:tr w14:paraId="6431A965">
        <w:tblPrEx>
          <w:tblCellMar>
            <w:top w:w="15" w:type="dxa"/>
            <w:left w:w="15" w:type="dxa"/>
            <w:bottom w:w="15" w:type="dxa"/>
            <w:right w:w="15" w:type="dxa"/>
          </w:tblCellMar>
        </w:tblPrEx>
        <w:trPr>
          <w:trHeight w:val="346" w:hRule="atLeast"/>
          <w:jc w:val="center"/>
        </w:trPr>
        <w:tc>
          <w:tcPr>
            <w:tcW w:w="9020" w:type="dxa"/>
            <w:gridSpan w:val="3"/>
            <w:tcBorders>
              <w:top w:val="single" w:color="000000" w:sz="4" w:space="0"/>
              <w:left w:val="single" w:color="000000" w:sz="4" w:space="0"/>
              <w:bottom w:val="single" w:color="000000" w:sz="4" w:space="0"/>
              <w:right w:val="single" w:color="000000" w:sz="4" w:space="0"/>
            </w:tcBorders>
            <w:noWrap w:val="0"/>
            <w:vAlign w:val="center"/>
          </w:tcPr>
          <w:p w14:paraId="12D2B0C1">
            <w:pPr>
              <w:widowControl/>
              <w:adjustRightInd w:val="0"/>
              <w:snapToGrid w:val="0"/>
              <w:spacing w:line="360" w:lineRule="auto"/>
              <w:jc w:val="left"/>
              <w:textAlignment w:val="center"/>
              <w:rPr>
                <w:rFonts w:ascii="宋体" w:hAnsi="宋体" w:cs="宋体"/>
                <w:b/>
                <w:kern w:val="0"/>
                <w:sz w:val="24"/>
                <w:highlight w:val="none"/>
              </w:rPr>
            </w:pPr>
            <w:r>
              <w:rPr>
                <w:rFonts w:hint="eastAsia" w:ascii="宋体" w:hAnsi="宋体" w:eastAsia="宋体" w:cs="宋体"/>
                <w:b/>
                <w:bCs/>
                <w:kern w:val="0"/>
                <w:sz w:val="24"/>
                <w:highlight w:val="none"/>
              </w:rPr>
              <w:t>错别字词库要求</w:t>
            </w:r>
          </w:p>
        </w:tc>
      </w:tr>
      <w:tr w14:paraId="7175A3A7">
        <w:tblPrEx>
          <w:tblCellMar>
            <w:top w:w="15" w:type="dxa"/>
            <w:left w:w="15" w:type="dxa"/>
            <w:bottom w:w="15" w:type="dxa"/>
            <w:right w:w="15" w:type="dxa"/>
          </w:tblCellMar>
        </w:tblPrEx>
        <w:trPr>
          <w:trHeight w:val="892" w:hRule="atLeast"/>
          <w:jc w:val="center"/>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6F7B9320">
            <w:pPr>
              <w:widowControl/>
              <w:adjustRightInd w:val="0"/>
              <w:snapToGrid w:val="0"/>
              <w:spacing w:line="360" w:lineRule="auto"/>
              <w:jc w:val="center"/>
              <w:textAlignment w:val="center"/>
              <w:rPr>
                <w:rFonts w:hint="eastAsia" w:ascii="宋体" w:hAnsi="宋体" w:eastAsia="宋体" w:cs="宋体"/>
                <w:bCs/>
                <w:kern w:val="0"/>
                <w:sz w:val="24"/>
                <w:highlight w:val="none"/>
                <w:lang w:val="en-US" w:eastAsia="zh-CN"/>
              </w:rPr>
            </w:pPr>
            <w:r>
              <w:rPr>
                <w:rFonts w:hint="eastAsia" w:ascii="宋体" w:hAnsi="宋体" w:cs="宋体"/>
                <w:bCs/>
                <w:kern w:val="0"/>
                <w:sz w:val="24"/>
                <w:highlight w:val="none"/>
                <w:lang w:val="en-US" w:eastAsia="zh-CN"/>
              </w:rPr>
              <w:t>1</w:t>
            </w:r>
          </w:p>
        </w:tc>
        <w:tc>
          <w:tcPr>
            <w:tcW w:w="1948" w:type="dxa"/>
            <w:tcBorders>
              <w:top w:val="single" w:color="000000" w:sz="4" w:space="0"/>
              <w:left w:val="single" w:color="000000" w:sz="4" w:space="0"/>
              <w:bottom w:val="single" w:color="000000" w:sz="4" w:space="0"/>
              <w:right w:val="single" w:color="000000" w:sz="4" w:space="0"/>
            </w:tcBorders>
            <w:noWrap w:val="0"/>
            <w:vAlign w:val="center"/>
          </w:tcPr>
          <w:p w14:paraId="53728FF0">
            <w:pPr>
              <w:widowControl/>
              <w:adjustRightInd w:val="0"/>
              <w:snapToGrid w:val="0"/>
              <w:spacing w:line="360" w:lineRule="auto"/>
              <w:jc w:val="center"/>
              <w:textAlignment w:val="center"/>
              <w:rPr>
                <w:rFonts w:ascii="宋体" w:hAnsi="宋体" w:cs="宋体"/>
                <w:bCs/>
                <w:kern w:val="0"/>
                <w:sz w:val="24"/>
                <w:highlight w:val="none"/>
              </w:rPr>
            </w:pPr>
            <w:r>
              <w:rPr>
                <w:rFonts w:hint="eastAsia" w:ascii="宋体" w:hAnsi="宋体" w:cs="宋体"/>
                <w:bCs/>
                <w:kern w:val="0"/>
                <w:sz w:val="24"/>
                <w:highlight w:val="none"/>
              </w:rPr>
              <w:t>错别字词库</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2D4D0774">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必须支持或包括如下词库，并根据近几年产生的被权威机关认定的互联网新词、新句实时扩展：</w:t>
            </w:r>
          </w:p>
          <w:p w14:paraId="6825D43F">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《现代汉语词典》第5版 （商务印书馆）</w:t>
            </w:r>
          </w:p>
          <w:p w14:paraId="596B836C">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全国科学技术名词审定委员会审定的各科科技名词全书</w:t>
            </w:r>
          </w:p>
          <w:p w14:paraId="61BE54C0">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《中国人名地名大辞典》</w:t>
            </w:r>
          </w:p>
          <w:p w14:paraId="12B4F93F">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《第一批异形词整理表说明》（语文出版社）国家语委2002年3月颁布</w:t>
            </w:r>
          </w:p>
          <w:p w14:paraId="7A4A2FF9">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《辞海》1999年版  （上海辞书出版社）</w:t>
            </w:r>
          </w:p>
          <w:p w14:paraId="0379659B">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《中国成语大词典》 （上海辞书出版社）</w:t>
            </w:r>
          </w:p>
          <w:p w14:paraId="5D90B3B0">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《使用语言文字规范指南》（上海辞书出版社）</w:t>
            </w:r>
          </w:p>
          <w:p w14:paraId="2D133904">
            <w:pPr>
              <w:widowControl/>
              <w:adjustRightInd w:val="0"/>
              <w:snapToGrid w:val="0"/>
              <w:spacing w:line="240" w:lineRule="exact"/>
              <w:jc w:val="left"/>
              <w:textAlignment w:val="center"/>
              <w:rPr>
                <w:rFonts w:ascii="宋体" w:hAnsi="宋体" w:cs="宋体"/>
                <w:bCs/>
                <w:kern w:val="0"/>
                <w:sz w:val="24"/>
                <w:highlight w:val="none"/>
              </w:rPr>
            </w:pPr>
            <w:r>
              <w:rPr>
                <w:rFonts w:hint="eastAsia" w:ascii="宋体" w:hAnsi="宋体" w:eastAsia="宋体" w:cs="宋体"/>
                <w:kern w:val="0"/>
                <w:sz w:val="24"/>
                <w:highlight w:val="none"/>
              </w:rPr>
              <w:t>《外国地名译名手册》(中型本)  中国地名委员会编</w:t>
            </w:r>
          </w:p>
        </w:tc>
      </w:tr>
    </w:tbl>
    <w:p w14:paraId="08290F67">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服务要求</w:t>
      </w:r>
    </w:p>
    <w:p w14:paraId="02F21D9D">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1.供应商应针对本项目结合实际提供详细的服务方案。</w:t>
      </w:r>
    </w:p>
    <w:p w14:paraId="4DE8A08B">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具有专业的技术团队</w:t>
      </w:r>
      <w:r>
        <w:rPr>
          <w:rFonts w:hint="eastAsia" w:ascii="宋体" w:hAnsi="宋体" w:cs="宋体"/>
          <w:color w:val="auto"/>
          <w:sz w:val="24"/>
          <w:szCs w:val="24"/>
          <w:highlight w:val="none"/>
          <w:lang w:val="en-US" w:eastAsia="zh-CN"/>
        </w:rPr>
        <w:t>为</w:t>
      </w:r>
      <w:r>
        <w:rPr>
          <w:rFonts w:hint="eastAsia" w:ascii="宋体" w:hAnsi="宋体" w:eastAsia="宋体" w:cs="宋体"/>
          <w:color w:val="auto"/>
          <w:sz w:val="24"/>
          <w:szCs w:val="24"/>
          <w:highlight w:val="none"/>
          <w:lang w:eastAsia="zh-CN"/>
        </w:rPr>
        <w:t>项目</w:t>
      </w:r>
      <w:r>
        <w:rPr>
          <w:rFonts w:hint="eastAsia" w:ascii="宋体" w:hAnsi="宋体" w:cs="宋体"/>
          <w:color w:val="auto"/>
          <w:sz w:val="24"/>
          <w:szCs w:val="24"/>
          <w:highlight w:val="none"/>
          <w:lang w:eastAsia="zh-CN"/>
        </w:rPr>
        <w:t>提供服务。</w:t>
      </w:r>
    </w:p>
    <w:p w14:paraId="47D458CD">
      <w:pPr>
        <w:snapToGrid w:val="0"/>
        <w:spacing w:line="360" w:lineRule="auto"/>
        <w:ind w:firstLine="480" w:firstLineChars="200"/>
        <w:rPr>
          <w:rFonts w:hint="eastAsia" w:ascii="宋体" w:hAnsi="宋体" w:eastAsia="宋体" w:cs="宋体"/>
          <w:color w:val="FF0000"/>
          <w:sz w:val="24"/>
          <w:szCs w:val="24"/>
        </w:rPr>
      </w:pPr>
    </w:p>
    <w:p w14:paraId="6378FBFF">
      <w:pPr>
        <w:adjustRightInd w:val="0"/>
        <w:snapToGrid w:val="0"/>
        <w:spacing w:line="360" w:lineRule="auto"/>
        <w:rPr>
          <w:rFonts w:hint="eastAsia" w:ascii="宋体" w:hAnsi="宋体" w:eastAsia="宋体" w:cs="宋体"/>
          <w:color w:val="FF0000"/>
          <w:sz w:val="24"/>
          <w:szCs w:val="24"/>
        </w:rPr>
      </w:pPr>
      <w:r>
        <w:rPr>
          <w:rFonts w:hint="eastAsia" w:ascii="宋体" w:hAnsi="宋体" w:eastAsia="宋体" w:cs="宋体"/>
          <w:sz w:val="24"/>
          <w:szCs w:val="24"/>
        </w:rPr>
        <w:br w:type="page"/>
      </w:r>
    </w:p>
    <w:p w14:paraId="79F79433">
      <w:pPr>
        <w:pStyle w:val="2"/>
        <w:spacing w:line="360" w:lineRule="auto"/>
        <w:jc w:val="center"/>
        <w:rPr>
          <w:rFonts w:hint="eastAsia" w:ascii="宋体" w:hAnsi="宋体" w:eastAsia="宋体" w:cs="宋体"/>
          <w:b/>
          <w:sz w:val="36"/>
          <w:szCs w:val="36"/>
        </w:rPr>
      </w:pPr>
      <w:bookmarkStart w:id="26" w:name="_Toc20713"/>
      <w:r>
        <w:rPr>
          <w:rFonts w:hint="eastAsia" w:ascii="宋体" w:hAnsi="宋体" w:eastAsia="宋体" w:cs="宋体"/>
          <w:b/>
          <w:sz w:val="36"/>
          <w:szCs w:val="36"/>
        </w:rPr>
        <w:t>第三篇  项目商务需求</w:t>
      </w:r>
      <w:bookmarkEnd w:id="24"/>
      <w:bookmarkEnd w:id="26"/>
    </w:p>
    <w:p w14:paraId="345EFA18">
      <w:pPr>
        <w:pStyle w:val="3"/>
        <w:spacing w:before="0" w:after="0" w:line="360" w:lineRule="auto"/>
        <w:rPr>
          <w:rFonts w:hint="eastAsia" w:ascii="宋体" w:hAnsi="宋体" w:eastAsia="宋体" w:cs="宋体"/>
          <w:sz w:val="24"/>
          <w:szCs w:val="24"/>
        </w:rPr>
      </w:pPr>
      <w:bookmarkStart w:id="27" w:name="_Toc344475120"/>
      <w:bookmarkStart w:id="28" w:name="_Toc13815"/>
      <w:r>
        <w:rPr>
          <w:rFonts w:hint="eastAsia" w:ascii="宋体" w:hAnsi="宋体" w:eastAsia="宋体" w:cs="宋体"/>
          <w:sz w:val="24"/>
          <w:szCs w:val="24"/>
        </w:rPr>
        <w:t>一、服务期、地点及验收方式</w:t>
      </w:r>
      <w:bookmarkEnd w:id="27"/>
      <w:bookmarkEnd w:id="28"/>
    </w:p>
    <w:p w14:paraId="0AE80088">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w:t>
      </w:r>
      <w:r>
        <w:rPr>
          <w:rFonts w:hint="eastAsia" w:ascii="宋体" w:hAnsi="宋体" w:eastAsia="宋体" w:cs="宋体"/>
          <w:sz w:val="24"/>
          <w:szCs w:val="24"/>
        </w:rPr>
        <w:t>服务</w:t>
      </w:r>
      <w:r>
        <w:rPr>
          <w:rFonts w:hint="eastAsia" w:ascii="宋体" w:hAnsi="宋体" w:eastAsia="宋体" w:cs="宋体"/>
          <w:kern w:val="0"/>
          <w:sz w:val="24"/>
          <w:szCs w:val="24"/>
        </w:rPr>
        <w:t>期</w:t>
      </w:r>
    </w:p>
    <w:p w14:paraId="0698D1C4">
      <w:pPr>
        <w:snapToGrid w:val="0"/>
        <w:spacing w:line="360" w:lineRule="auto"/>
        <w:ind w:firstLine="600" w:firstLineChars="250"/>
        <w:rPr>
          <w:rFonts w:hint="eastAsia" w:ascii="宋体" w:hAnsi="宋体" w:eastAsia="宋体" w:cs="宋体"/>
          <w:sz w:val="24"/>
          <w:szCs w:val="24"/>
        </w:rPr>
      </w:pPr>
      <w:r>
        <w:rPr>
          <w:rFonts w:hint="eastAsia" w:ascii="宋体" w:hAnsi="宋体" w:cs="宋体"/>
          <w:sz w:val="24"/>
          <w:szCs w:val="24"/>
          <w:lang w:eastAsia="zh-CN"/>
        </w:rPr>
        <w:t>在</w:t>
      </w:r>
      <w:r>
        <w:rPr>
          <w:rFonts w:hint="eastAsia" w:ascii="宋体" w:hAnsi="宋体" w:eastAsia="宋体" w:cs="宋体"/>
          <w:sz w:val="24"/>
          <w:szCs w:val="24"/>
        </w:rPr>
        <w:t>合同签订</w:t>
      </w:r>
      <w:r>
        <w:rPr>
          <w:rFonts w:hint="eastAsia" w:ascii="宋体" w:hAnsi="宋体" w:cs="宋体"/>
          <w:sz w:val="24"/>
          <w:szCs w:val="24"/>
          <w:lang w:eastAsia="zh-CN"/>
        </w:rPr>
        <w:t>时，约定一年服务期。</w:t>
      </w:r>
    </w:p>
    <w:p w14:paraId="5BE41461">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（二）服务地点</w:t>
      </w:r>
    </w:p>
    <w:p w14:paraId="6A537640">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highlight w:val="none"/>
        </w:rPr>
        <w:t>采购人指定地点</w:t>
      </w:r>
      <w:r>
        <w:rPr>
          <w:rFonts w:hint="eastAsia" w:ascii="宋体" w:hAnsi="宋体" w:eastAsia="宋体" w:cs="宋体"/>
          <w:kern w:val="0"/>
          <w:sz w:val="24"/>
          <w:szCs w:val="24"/>
        </w:rPr>
        <w:t>。</w:t>
      </w:r>
    </w:p>
    <w:p w14:paraId="2606C6B7">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（三）验收方式</w:t>
      </w:r>
    </w:p>
    <w:p w14:paraId="347E365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highlight w:val="none"/>
          <w:lang w:val="en-US" w:eastAsia="zh-CN"/>
        </w:rPr>
        <w:t>.按照《政府网站与政务新媒体检查指标》要求，根据服务情况进行验收。</w:t>
      </w:r>
    </w:p>
    <w:p w14:paraId="29FDA32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（1）验收不合格的情况：①网站出现下面单项否决指标中的任意一种情形；②网站不存在单项否决问题，扣分指标评分结果低于</w:t>
      </w:r>
      <w:r>
        <w:rPr>
          <w:rFonts w:hint="eastAsia" w:ascii="宋体" w:hAnsi="宋体" w:cs="宋体"/>
          <w:color w:val="auto"/>
          <w:sz w:val="24"/>
          <w:szCs w:val="24"/>
          <w:highlight w:val="none"/>
          <w:lang w:val="en-US" w:eastAsia="zh-CN"/>
        </w:rPr>
        <w:t>（含）</w:t>
      </w:r>
      <w:r>
        <w:rPr>
          <w:rFonts w:hint="eastAsia" w:ascii="宋体" w:hAnsi="宋体" w:eastAsia="宋体" w:cs="宋体"/>
          <w:color w:val="auto"/>
          <w:sz w:val="24"/>
          <w:szCs w:val="24"/>
          <w:highlight w:val="none"/>
          <w:lang w:val="en-US" w:eastAsia="zh-CN"/>
        </w:rPr>
        <w:t>60分。即判定为验收不合格。供应商须退回采购人支付的一切</w:t>
      </w:r>
      <w:r>
        <w:rPr>
          <w:rFonts w:hint="eastAsia" w:ascii="宋体" w:hAnsi="宋体" w:cs="宋体"/>
          <w:color w:val="auto"/>
          <w:sz w:val="24"/>
          <w:szCs w:val="24"/>
          <w:highlight w:val="none"/>
          <w:lang w:val="en-US" w:eastAsia="zh-CN"/>
        </w:rPr>
        <w:t>费用，</w:t>
      </w:r>
      <w:r>
        <w:rPr>
          <w:rFonts w:hint="eastAsia" w:ascii="宋体" w:hAnsi="宋体" w:eastAsia="宋体" w:cs="宋体"/>
          <w:color w:val="auto"/>
          <w:sz w:val="24"/>
          <w:szCs w:val="24"/>
          <w:highlight w:val="none"/>
          <w:lang w:val="en-US" w:eastAsia="zh-CN"/>
        </w:rPr>
        <w:t>并承担相应的责任。</w:t>
      </w:r>
    </w:p>
    <w:tbl>
      <w:tblPr>
        <w:tblStyle w:val="57"/>
        <w:tblpPr w:leftFromText="180" w:rightFromText="180" w:vertAnchor="text" w:horzAnchor="page" w:tblpX="1548" w:tblpY="8"/>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6"/>
        <w:gridCol w:w="1559"/>
        <w:gridCol w:w="6136"/>
      </w:tblGrid>
      <w:tr w14:paraId="282B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rPr>
        <w:tc>
          <w:tcPr>
            <w:tcW w:w="9071" w:type="dxa"/>
            <w:gridSpan w:val="3"/>
            <w:noWrap w:val="0"/>
            <w:tcMar>
              <w:top w:w="0" w:type="dxa"/>
              <w:left w:w="108" w:type="dxa"/>
              <w:bottom w:w="0" w:type="dxa"/>
              <w:right w:w="108" w:type="dxa"/>
            </w:tcMar>
            <w:vAlign w:val="center"/>
          </w:tcPr>
          <w:p w14:paraId="362CC460">
            <w:pPr>
              <w:widowControl/>
              <w:adjustRightInd w:val="0"/>
              <w:snapToGrid w:val="0"/>
              <w:jc w:val="left"/>
              <w:rPr>
                <w:rFonts w:hint="eastAsia" w:ascii="宋体" w:hAnsi="宋体" w:cs="宋体"/>
                <w:b/>
                <w:bCs/>
                <w:kern w:val="0"/>
                <w:sz w:val="24"/>
                <w:highlight w:val="none"/>
              </w:rPr>
            </w:pPr>
            <w:r>
              <w:rPr>
                <w:rFonts w:hint="eastAsia" w:ascii="宋体" w:hAnsi="宋体" w:cs="宋体"/>
                <w:b/>
                <w:bCs/>
                <w:kern w:val="0"/>
                <w:sz w:val="24"/>
                <w:highlight w:val="none"/>
              </w:rPr>
              <w:t>单项否决</w:t>
            </w:r>
          </w:p>
        </w:tc>
      </w:tr>
      <w:tr w14:paraId="4F24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trPr>
        <w:tc>
          <w:tcPr>
            <w:tcW w:w="1376" w:type="dxa"/>
            <w:noWrap w:val="0"/>
            <w:tcMar>
              <w:top w:w="0" w:type="dxa"/>
              <w:left w:w="108" w:type="dxa"/>
              <w:bottom w:w="0" w:type="dxa"/>
              <w:right w:w="108" w:type="dxa"/>
            </w:tcMar>
            <w:vAlign w:val="center"/>
          </w:tcPr>
          <w:p w14:paraId="25194515">
            <w:pPr>
              <w:widowControl/>
              <w:adjustRightInd w:val="0"/>
              <w:snapToGrid w:val="0"/>
              <w:jc w:val="center"/>
              <w:rPr>
                <w:rFonts w:hint="eastAsia" w:ascii="宋体" w:hAnsi="宋体" w:eastAsia="宋体" w:cs="宋体"/>
                <w:kern w:val="0"/>
                <w:sz w:val="24"/>
                <w:highlight w:val="none"/>
                <w:lang w:val="en-US" w:eastAsia="zh-CN" w:bidi="ar-SA"/>
              </w:rPr>
            </w:pPr>
            <w:r>
              <w:rPr>
                <w:rFonts w:hint="eastAsia" w:ascii="宋体" w:hAnsi="宋体" w:cs="宋体"/>
                <w:b/>
                <w:bCs/>
                <w:kern w:val="0"/>
                <w:sz w:val="24"/>
                <w:highlight w:val="none"/>
              </w:rPr>
              <w:t>检查对象</w:t>
            </w:r>
          </w:p>
        </w:tc>
        <w:tc>
          <w:tcPr>
            <w:tcW w:w="1559" w:type="dxa"/>
            <w:noWrap w:val="0"/>
            <w:tcMar>
              <w:top w:w="0" w:type="dxa"/>
              <w:left w:w="108" w:type="dxa"/>
              <w:bottom w:w="0" w:type="dxa"/>
              <w:right w:w="108" w:type="dxa"/>
            </w:tcMar>
            <w:vAlign w:val="center"/>
          </w:tcPr>
          <w:p w14:paraId="267CFAED">
            <w:pPr>
              <w:widowControl/>
              <w:adjustRightInd w:val="0"/>
              <w:snapToGrid w:val="0"/>
              <w:jc w:val="center"/>
              <w:rPr>
                <w:rFonts w:hint="eastAsia" w:ascii="宋体" w:hAnsi="宋体" w:eastAsia="宋体" w:cs="宋体"/>
                <w:kern w:val="0"/>
                <w:sz w:val="24"/>
                <w:highlight w:val="none"/>
                <w:lang w:val="en-US" w:eastAsia="zh-CN" w:bidi="ar-SA"/>
              </w:rPr>
            </w:pPr>
            <w:r>
              <w:rPr>
                <w:rFonts w:hint="eastAsia" w:ascii="宋体" w:hAnsi="宋体" w:cs="宋体"/>
                <w:b/>
                <w:bCs/>
                <w:kern w:val="0"/>
                <w:sz w:val="24"/>
                <w:highlight w:val="none"/>
              </w:rPr>
              <w:t>指　标</w:t>
            </w:r>
          </w:p>
        </w:tc>
        <w:tc>
          <w:tcPr>
            <w:tcW w:w="6136" w:type="dxa"/>
            <w:noWrap w:val="0"/>
            <w:tcMar>
              <w:top w:w="0" w:type="dxa"/>
              <w:left w:w="108" w:type="dxa"/>
              <w:bottom w:w="0" w:type="dxa"/>
              <w:right w:w="108" w:type="dxa"/>
            </w:tcMar>
            <w:vAlign w:val="center"/>
          </w:tcPr>
          <w:p w14:paraId="2E280352">
            <w:pPr>
              <w:widowControl/>
              <w:adjustRightInd w:val="0"/>
              <w:snapToGrid w:val="0"/>
              <w:jc w:val="center"/>
              <w:rPr>
                <w:rFonts w:hint="eastAsia" w:ascii="宋体" w:hAnsi="宋体" w:eastAsia="宋体" w:cs="宋体"/>
                <w:kern w:val="0"/>
                <w:sz w:val="24"/>
                <w:highlight w:val="none"/>
                <w:lang w:val="en-US" w:eastAsia="zh-CN" w:bidi="ar-SA"/>
              </w:rPr>
            </w:pPr>
            <w:r>
              <w:rPr>
                <w:rFonts w:hint="eastAsia" w:ascii="宋体" w:hAnsi="宋体" w:cs="宋体"/>
                <w:b/>
                <w:bCs/>
                <w:kern w:val="0"/>
                <w:sz w:val="24"/>
                <w:highlight w:val="none"/>
              </w:rPr>
              <w:t>评分细则</w:t>
            </w:r>
          </w:p>
        </w:tc>
      </w:tr>
      <w:tr w14:paraId="494B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6" w:type="dxa"/>
            <w:vMerge w:val="restart"/>
            <w:noWrap w:val="0"/>
            <w:tcMar>
              <w:top w:w="0" w:type="dxa"/>
              <w:left w:w="108" w:type="dxa"/>
              <w:bottom w:w="0" w:type="dxa"/>
              <w:right w:w="108" w:type="dxa"/>
            </w:tcMar>
            <w:vAlign w:val="center"/>
          </w:tcPr>
          <w:p w14:paraId="08B9AD35">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政府网站</w:t>
            </w:r>
          </w:p>
        </w:tc>
        <w:tc>
          <w:tcPr>
            <w:tcW w:w="1559" w:type="dxa"/>
            <w:noWrap w:val="0"/>
            <w:tcMar>
              <w:top w:w="0" w:type="dxa"/>
              <w:left w:w="108" w:type="dxa"/>
              <w:bottom w:w="0" w:type="dxa"/>
              <w:right w:w="108" w:type="dxa"/>
            </w:tcMar>
            <w:vAlign w:val="center"/>
          </w:tcPr>
          <w:p w14:paraId="580A96BF">
            <w:pPr>
              <w:widowControl/>
              <w:adjustRightInd w:val="0"/>
              <w:snapToGrid w:val="0"/>
              <w:rPr>
                <w:rFonts w:ascii="宋体" w:hAnsi="宋体" w:cs="宋体"/>
                <w:kern w:val="0"/>
                <w:sz w:val="24"/>
                <w:highlight w:val="none"/>
              </w:rPr>
            </w:pPr>
            <w:r>
              <w:rPr>
                <w:rFonts w:hint="eastAsia" w:ascii="宋体" w:hAnsi="宋体" w:cs="宋体"/>
                <w:kern w:val="0"/>
                <w:sz w:val="24"/>
                <w:highlight w:val="none"/>
              </w:rPr>
              <w:t>安全、泄密事故等严重问题</w:t>
            </w:r>
          </w:p>
        </w:tc>
        <w:tc>
          <w:tcPr>
            <w:tcW w:w="6136" w:type="dxa"/>
            <w:noWrap w:val="0"/>
            <w:tcMar>
              <w:top w:w="0" w:type="dxa"/>
              <w:left w:w="108" w:type="dxa"/>
              <w:bottom w:w="0" w:type="dxa"/>
              <w:right w:w="108" w:type="dxa"/>
            </w:tcMar>
            <w:vAlign w:val="center"/>
          </w:tcPr>
          <w:p w14:paraId="6C33170B">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1.出现严重表述错误。</w:t>
            </w:r>
          </w:p>
          <w:p w14:paraId="6F24E1EC">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2.泄露国家秘密。</w:t>
            </w:r>
          </w:p>
          <w:p w14:paraId="390D4496">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3.发布或链接反动、暴力、色情等内容。</w:t>
            </w:r>
          </w:p>
          <w:p w14:paraId="46E28CB3">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4.对安全攻击（如页面被挂马、内容被篡改等）没有及时有效处置造成严重安全事故。</w:t>
            </w:r>
          </w:p>
          <w:p w14:paraId="216AE891">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5.存在弄虚作假行为（如伪造发稿日期等）。</w:t>
            </w:r>
          </w:p>
          <w:p w14:paraId="7D5AC910">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6.因网站建设管理工作不当引发严重负面舆情。</w:t>
            </w:r>
          </w:p>
          <w:p w14:paraId="0BCA36B0">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eastAsia="宋体" w:cs="宋体"/>
                <w:kern w:val="0"/>
                <w:sz w:val="24"/>
                <w:highlight w:val="none"/>
              </w:rPr>
              <w:t>上述情况出现任意一种，即单项否决。</w:t>
            </w:r>
          </w:p>
        </w:tc>
      </w:tr>
      <w:tr w14:paraId="6BF9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6" w:type="dxa"/>
            <w:vMerge w:val="continue"/>
            <w:noWrap w:val="0"/>
            <w:vAlign w:val="center"/>
          </w:tcPr>
          <w:p w14:paraId="69D06326">
            <w:pPr>
              <w:widowControl/>
              <w:adjustRightInd w:val="0"/>
              <w:snapToGrid w:val="0"/>
              <w:jc w:val="left"/>
              <w:rPr>
                <w:rFonts w:ascii="宋体" w:hAnsi="宋体" w:cs="宋体"/>
                <w:kern w:val="0"/>
                <w:sz w:val="24"/>
                <w:highlight w:val="none"/>
              </w:rPr>
            </w:pPr>
          </w:p>
        </w:tc>
        <w:tc>
          <w:tcPr>
            <w:tcW w:w="1559" w:type="dxa"/>
            <w:noWrap w:val="0"/>
            <w:tcMar>
              <w:top w:w="0" w:type="dxa"/>
              <w:left w:w="108" w:type="dxa"/>
              <w:bottom w:w="0" w:type="dxa"/>
              <w:right w:w="108" w:type="dxa"/>
            </w:tcMar>
            <w:vAlign w:val="center"/>
          </w:tcPr>
          <w:p w14:paraId="46DE9777">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站点无法访问</w:t>
            </w:r>
          </w:p>
        </w:tc>
        <w:tc>
          <w:tcPr>
            <w:tcW w:w="6136" w:type="dxa"/>
            <w:noWrap w:val="0"/>
            <w:tcMar>
              <w:top w:w="0" w:type="dxa"/>
              <w:left w:w="108" w:type="dxa"/>
              <w:bottom w:w="0" w:type="dxa"/>
              <w:right w:w="108" w:type="dxa"/>
            </w:tcMar>
            <w:vAlign w:val="center"/>
          </w:tcPr>
          <w:p w14:paraId="2FAB1D69">
            <w:pPr>
              <w:widowControl/>
              <w:adjustRightInd w:val="0"/>
              <w:snapToGrid w:val="0"/>
              <w:rPr>
                <w:rFonts w:ascii="宋体" w:hAnsi="宋体" w:cs="宋体"/>
                <w:kern w:val="0"/>
                <w:sz w:val="24"/>
                <w:highlight w:val="none"/>
              </w:rPr>
            </w:pPr>
            <w:r>
              <w:rPr>
                <w:rFonts w:hint="eastAsia" w:ascii="宋体" w:hAnsi="宋体" w:eastAsia="宋体" w:cs="宋体"/>
                <w:kern w:val="0"/>
                <w:sz w:val="24"/>
                <w:highlight w:val="none"/>
              </w:rPr>
              <w:t>监测1周，每天间隔性访问20次以上，超过（含）15秒网站仍打不开的次数累计占比超过（含）5%，即单项否决。</w:t>
            </w:r>
          </w:p>
        </w:tc>
      </w:tr>
      <w:tr w14:paraId="0E7A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6" w:type="dxa"/>
            <w:vMerge w:val="continue"/>
            <w:noWrap w:val="0"/>
            <w:vAlign w:val="center"/>
          </w:tcPr>
          <w:p w14:paraId="60936FB2">
            <w:pPr>
              <w:widowControl/>
              <w:adjustRightInd w:val="0"/>
              <w:snapToGrid w:val="0"/>
              <w:jc w:val="left"/>
              <w:rPr>
                <w:rFonts w:ascii="宋体" w:hAnsi="宋体" w:cs="宋体"/>
                <w:kern w:val="0"/>
                <w:sz w:val="24"/>
                <w:highlight w:val="none"/>
              </w:rPr>
            </w:pPr>
          </w:p>
        </w:tc>
        <w:tc>
          <w:tcPr>
            <w:tcW w:w="1559" w:type="dxa"/>
            <w:noWrap w:val="0"/>
            <w:tcMar>
              <w:top w:w="0" w:type="dxa"/>
              <w:left w:w="108" w:type="dxa"/>
              <w:bottom w:w="0" w:type="dxa"/>
              <w:right w:w="108" w:type="dxa"/>
            </w:tcMar>
            <w:vAlign w:val="center"/>
          </w:tcPr>
          <w:p w14:paraId="075D8CAD">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首页不更新</w:t>
            </w:r>
          </w:p>
        </w:tc>
        <w:tc>
          <w:tcPr>
            <w:tcW w:w="6136" w:type="dxa"/>
            <w:noWrap w:val="0"/>
            <w:tcMar>
              <w:top w:w="0" w:type="dxa"/>
              <w:left w:w="108" w:type="dxa"/>
              <w:bottom w:w="0" w:type="dxa"/>
              <w:right w:w="108" w:type="dxa"/>
            </w:tcMar>
            <w:vAlign w:val="center"/>
          </w:tcPr>
          <w:p w14:paraId="6DF192E5">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监测2周，首页无信息更新的，即单项否决。</w:t>
            </w:r>
          </w:p>
          <w:p w14:paraId="4890F61A">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如首页仅为网站栏目导航入口，所有二级页面无信息更新的，即单项否决。</w:t>
            </w:r>
          </w:p>
          <w:p w14:paraId="6A6D8EF8">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（注：稿件发布页未注明发布时间的视为不更新，下同。）</w:t>
            </w:r>
          </w:p>
        </w:tc>
      </w:tr>
      <w:tr w14:paraId="46E2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6" w:type="dxa"/>
            <w:vMerge w:val="continue"/>
            <w:noWrap w:val="0"/>
            <w:vAlign w:val="center"/>
          </w:tcPr>
          <w:p w14:paraId="430F2A6D">
            <w:pPr>
              <w:widowControl/>
              <w:adjustRightInd w:val="0"/>
              <w:snapToGrid w:val="0"/>
              <w:jc w:val="left"/>
              <w:rPr>
                <w:rFonts w:ascii="宋体" w:hAnsi="宋体" w:cs="宋体"/>
                <w:kern w:val="0"/>
                <w:sz w:val="24"/>
                <w:highlight w:val="none"/>
              </w:rPr>
            </w:pPr>
          </w:p>
        </w:tc>
        <w:tc>
          <w:tcPr>
            <w:tcW w:w="1559" w:type="dxa"/>
            <w:noWrap w:val="0"/>
            <w:tcMar>
              <w:top w:w="0" w:type="dxa"/>
              <w:left w:w="108" w:type="dxa"/>
              <w:bottom w:w="0" w:type="dxa"/>
              <w:right w:w="108" w:type="dxa"/>
            </w:tcMar>
            <w:vAlign w:val="center"/>
          </w:tcPr>
          <w:p w14:paraId="637BFF33">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栏目不更新</w:t>
            </w:r>
          </w:p>
        </w:tc>
        <w:tc>
          <w:tcPr>
            <w:tcW w:w="6136" w:type="dxa"/>
            <w:noWrap w:val="0"/>
            <w:tcMar>
              <w:top w:w="0" w:type="dxa"/>
              <w:left w:w="108" w:type="dxa"/>
              <w:bottom w:w="0" w:type="dxa"/>
              <w:right w:w="108" w:type="dxa"/>
            </w:tcMar>
            <w:vAlign w:val="center"/>
          </w:tcPr>
          <w:p w14:paraId="17C63AC3">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1.监测时间点前2周内的动态、要闻类栏目，以及监测时间点前6个月内的通知公告、政策文件类一级栏目，累计超过（含）5个未更新。</w:t>
            </w:r>
          </w:p>
          <w:p w14:paraId="44F195FF">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2.应更新但长期未更新的栏目数量超过（含）10个。</w:t>
            </w:r>
          </w:p>
          <w:p w14:paraId="39A2EC63">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3.空白栏目数量超过（含）5个。</w:t>
            </w:r>
          </w:p>
          <w:p w14:paraId="67ACF075">
            <w:pPr>
              <w:widowControl/>
              <w:adjustRightInd w:val="0"/>
              <w:snapToGrid w:val="0"/>
              <w:spacing w:line="240" w:lineRule="exact"/>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上述情况出现任意一种，即单项否决。</w:t>
            </w:r>
          </w:p>
        </w:tc>
      </w:tr>
      <w:tr w14:paraId="4065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6" w:type="dxa"/>
            <w:vMerge w:val="continue"/>
            <w:noWrap w:val="0"/>
            <w:vAlign w:val="center"/>
          </w:tcPr>
          <w:p w14:paraId="4395E9DE">
            <w:pPr>
              <w:widowControl/>
              <w:adjustRightInd w:val="0"/>
              <w:snapToGrid w:val="0"/>
              <w:jc w:val="left"/>
              <w:rPr>
                <w:rFonts w:ascii="宋体" w:hAnsi="宋体" w:cs="宋体"/>
                <w:kern w:val="0"/>
                <w:sz w:val="24"/>
                <w:highlight w:val="none"/>
              </w:rPr>
            </w:pPr>
          </w:p>
        </w:tc>
        <w:tc>
          <w:tcPr>
            <w:tcW w:w="1559" w:type="dxa"/>
            <w:noWrap w:val="0"/>
            <w:tcMar>
              <w:top w:w="0" w:type="dxa"/>
              <w:left w:w="108" w:type="dxa"/>
              <w:bottom w:w="0" w:type="dxa"/>
              <w:right w:w="108" w:type="dxa"/>
            </w:tcMar>
            <w:vAlign w:val="center"/>
          </w:tcPr>
          <w:p w14:paraId="300F75C4">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互动回应差</w:t>
            </w:r>
          </w:p>
        </w:tc>
        <w:tc>
          <w:tcPr>
            <w:tcW w:w="6136" w:type="dxa"/>
            <w:noWrap w:val="0"/>
            <w:tcMar>
              <w:top w:w="0" w:type="dxa"/>
              <w:left w:w="108" w:type="dxa"/>
              <w:bottom w:w="0" w:type="dxa"/>
              <w:right w:w="108" w:type="dxa"/>
            </w:tcMar>
            <w:vAlign w:val="center"/>
          </w:tcPr>
          <w:p w14:paraId="7DC91A80">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1.未提供网上有效咨询建言渠道（网上信访、纪检举报等专门渠道除外）。</w:t>
            </w:r>
          </w:p>
          <w:p w14:paraId="0ED98D82">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2.监测时间点前1年内，对网民留言应及时答复处理的政务咨询类栏目（在线访谈、调查征集、网上信访、纪检举报类栏目除外）存在超过3个月未回应有效留言的现象。</w:t>
            </w:r>
          </w:p>
          <w:p w14:paraId="377DBC5A">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eastAsia="宋体" w:cs="宋体"/>
                <w:kern w:val="0"/>
                <w:sz w:val="24"/>
                <w:highlight w:val="none"/>
              </w:rPr>
              <w:t>上述情况出现任意一种，即单项否决。</w:t>
            </w:r>
          </w:p>
        </w:tc>
      </w:tr>
      <w:tr w14:paraId="418E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76" w:type="dxa"/>
            <w:vMerge w:val="continue"/>
            <w:noWrap w:val="0"/>
            <w:vAlign w:val="center"/>
          </w:tcPr>
          <w:p w14:paraId="04456DF1">
            <w:pPr>
              <w:widowControl/>
              <w:adjustRightInd w:val="0"/>
              <w:snapToGrid w:val="0"/>
              <w:jc w:val="left"/>
              <w:rPr>
                <w:rFonts w:ascii="宋体" w:hAnsi="宋体" w:cs="宋体"/>
                <w:kern w:val="0"/>
                <w:sz w:val="24"/>
                <w:highlight w:val="none"/>
              </w:rPr>
            </w:pPr>
          </w:p>
        </w:tc>
        <w:tc>
          <w:tcPr>
            <w:tcW w:w="1559" w:type="dxa"/>
            <w:noWrap w:val="0"/>
            <w:tcMar>
              <w:top w:w="0" w:type="dxa"/>
              <w:left w:w="108" w:type="dxa"/>
              <w:bottom w:w="0" w:type="dxa"/>
              <w:right w:w="108" w:type="dxa"/>
            </w:tcMar>
            <w:vAlign w:val="center"/>
          </w:tcPr>
          <w:p w14:paraId="26C95A79">
            <w:pPr>
              <w:widowControl/>
              <w:adjustRightInd w:val="0"/>
              <w:snapToGrid w:val="0"/>
              <w:jc w:val="center"/>
              <w:rPr>
                <w:rFonts w:ascii="宋体" w:hAnsi="宋体" w:cs="宋体"/>
                <w:kern w:val="0"/>
                <w:sz w:val="24"/>
                <w:highlight w:val="none"/>
              </w:rPr>
            </w:pPr>
            <w:r>
              <w:rPr>
                <w:rFonts w:hint="eastAsia" w:ascii="宋体" w:hAnsi="宋体" w:cs="宋体"/>
                <w:kern w:val="0"/>
                <w:sz w:val="24"/>
                <w:highlight w:val="none"/>
              </w:rPr>
              <w:t>服务不实用</w:t>
            </w:r>
          </w:p>
        </w:tc>
        <w:tc>
          <w:tcPr>
            <w:tcW w:w="6136" w:type="dxa"/>
            <w:noWrap w:val="0"/>
            <w:tcMar>
              <w:top w:w="0" w:type="dxa"/>
              <w:left w:w="108" w:type="dxa"/>
              <w:bottom w:w="0" w:type="dxa"/>
              <w:right w:w="108" w:type="dxa"/>
            </w:tcMar>
            <w:vAlign w:val="center"/>
          </w:tcPr>
          <w:p w14:paraId="5104EACA">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1.未提供办事服务。</w:t>
            </w:r>
          </w:p>
          <w:p w14:paraId="575474F6">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2.办事指南重点要素类别（包括事项名称、设定依据、申请条件、办理材料、办理地点、办理机构、收费标准、办理时间、联系电话、办理流程）缺失4类及以上的事项数量超过（含）5个。</w:t>
            </w:r>
          </w:p>
          <w:p w14:paraId="29936997">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3.事项总数不足5个的，每个事项办事指南重点要素类别（包括事项名称、设定依据、申请条件、办理材料、办理地点、办理机构、收费标准、办理时间、联系电话、办理流程）均缺失4类及以上。</w:t>
            </w:r>
          </w:p>
          <w:p w14:paraId="323E77CF">
            <w:pPr>
              <w:widowControl/>
              <w:adjustRightInd w:val="0"/>
              <w:snapToGrid w:val="0"/>
              <w:spacing w:line="240" w:lineRule="exact"/>
              <w:jc w:val="left"/>
              <w:textAlignment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上述情况出现任意一种，即单项否决。</w:t>
            </w:r>
          </w:p>
          <w:p w14:paraId="4A869018">
            <w:pPr>
              <w:widowControl/>
              <w:adjustRightInd w:val="0"/>
              <w:snapToGrid w:val="0"/>
              <w:spacing w:line="240" w:lineRule="exact"/>
              <w:jc w:val="left"/>
              <w:textAlignment w:val="center"/>
              <w:rPr>
                <w:rFonts w:ascii="宋体" w:hAnsi="宋体" w:cs="宋体"/>
                <w:kern w:val="0"/>
                <w:sz w:val="24"/>
                <w:highlight w:val="none"/>
              </w:rPr>
            </w:pPr>
            <w:r>
              <w:rPr>
                <w:rFonts w:hint="eastAsia" w:ascii="宋体" w:hAnsi="宋体" w:eastAsia="宋体" w:cs="宋体"/>
                <w:kern w:val="0"/>
                <w:sz w:val="24"/>
                <w:highlight w:val="none"/>
              </w:rPr>
              <w:t>（注：对没有对外服务职能的部门，不检查其网站该项指标。）</w:t>
            </w:r>
          </w:p>
        </w:tc>
      </w:tr>
    </w:tbl>
    <w:p w14:paraId="653AAF51">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（2）验收合格情况：不存在单项否决问题且扣分指标评分结果高于</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分。</w:t>
      </w:r>
    </w:p>
    <w:p w14:paraId="389677C8">
      <w:pPr>
        <w:pStyle w:val="3"/>
        <w:spacing w:before="0" w:after="0" w:line="360" w:lineRule="auto"/>
        <w:rPr>
          <w:rFonts w:hint="eastAsia" w:ascii="宋体" w:hAnsi="宋体" w:eastAsia="宋体" w:cs="宋体"/>
          <w:b/>
          <w:color w:val="000000"/>
          <w:sz w:val="24"/>
          <w:highlight w:val="none"/>
          <w:lang w:eastAsia="zh-CN"/>
        </w:rPr>
      </w:pPr>
      <w:bookmarkStart w:id="29" w:name="_Toc9742"/>
      <w:bookmarkStart w:id="30" w:name="_Toc344475121"/>
      <w:r>
        <w:rPr>
          <w:rFonts w:hint="eastAsia" w:ascii="宋体" w:hAnsi="宋体" w:eastAsia="宋体" w:cs="宋体"/>
          <w:sz w:val="24"/>
          <w:szCs w:val="24"/>
        </w:rPr>
        <w:t>二、</w:t>
      </w:r>
      <w:r>
        <w:rPr>
          <w:rFonts w:hint="eastAsia" w:ascii="宋体" w:hAnsi="宋体" w:eastAsia="宋体" w:cs="宋体"/>
          <w:b/>
          <w:color w:val="000000"/>
          <w:sz w:val="24"/>
          <w:highlight w:val="none"/>
          <w:lang w:eastAsia="zh-CN"/>
        </w:rPr>
        <w:t>质量保证</w:t>
      </w:r>
      <w:bookmarkEnd w:id="29"/>
    </w:p>
    <w:p w14:paraId="301417A7">
      <w:pPr>
        <w:snapToGrid w:val="0"/>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lang w:eastAsia="zh-CN"/>
        </w:rPr>
        <w:t>（一）成交供应商实施项目全过程接受采购人监督和管理，在实施过程中，采购人监管整个项目实施情况，供应商需如实向采购人汇报项目进展情况并听取采纳采购人意见。</w:t>
      </w:r>
    </w:p>
    <w:p w14:paraId="1D045308">
      <w:pPr>
        <w:snapToGrid w:val="0"/>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lang w:eastAsia="zh-CN"/>
        </w:rPr>
        <w:t>（二）实施过程中凡是涉及内容发布的需经采购人审核确认，同时发布内容需真实有效，符合国家相关法律法规，否则产生的一切法律责任、经济责任由成交供应商承担，并赔偿给采购人造成的损失。</w:t>
      </w:r>
    </w:p>
    <w:p w14:paraId="0D08C386">
      <w:pPr>
        <w:snapToGrid w:val="0"/>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lang w:eastAsia="zh-CN"/>
        </w:rPr>
        <w:t>（三）电话响应</w:t>
      </w:r>
    </w:p>
    <w:p w14:paraId="011CD95E">
      <w:pPr>
        <w:snapToGrid w:val="0"/>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lang w:eastAsia="zh-CN"/>
        </w:rPr>
        <w:t>项目负责人、具体实施人员应该7*24电话响应。</w:t>
      </w:r>
    </w:p>
    <w:p w14:paraId="05C32114">
      <w:pPr>
        <w:snapToGrid w:val="0"/>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lang w:eastAsia="zh-CN"/>
        </w:rPr>
        <w:t>（四）现场响应</w:t>
      </w:r>
    </w:p>
    <w:p w14:paraId="262477D2">
      <w:pPr>
        <w:snapToGrid w:val="0"/>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lang w:eastAsia="zh-CN"/>
        </w:rPr>
        <w:t>采购人随时要求供应商1人长期驻场。</w:t>
      </w:r>
    </w:p>
    <w:p w14:paraId="0F842AD2">
      <w:pPr>
        <w:snapToGrid w:val="0"/>
        <w:spacing w:line="360" w:lineRule="auto"/>
        <w:ind w:firstLine="540"/>
        <w:rPr>
          <w:rFonts w:hint="eastAsia" w:ascii="宋体" w:hAnsi="宋体" w:eastAsia="宋体" w:cs="宋体"/>
          <w:sz w:val="24"/>
          <w:szCs w:val="24"/>
          <w:lang w:eastAsia="zh-CN"/>
        </w:rPr>
      </w:pPr>
      <w:r>
        <w:rPr>
          <w:rFonts w:hint="eastAsia" w:ascii="宋体" w:hAnsi="宋体" w:eastAsia="宋体" w:cs="宋体"/>
          <w:sz w:val="24"/>
          <w:szCs w:val="24"/>
          <w:lang w:eastAsia="zh-CN"/>
        </w:rPr>
        <w:t>（五）技术升级</w:t>
      </w:r>
    </w:p>
    <w:p w14:paraId="622C163E">
      <w:pPr>
        <w:snapToGrid w:val="0"/>
        <w:spacing w:line="360" w:lineRule="auto"/>
        <w:ind w:firstLine="540"/>
        <w:rPr>
          <w:rFonts w:hint="eastAsia" w:ascii="宋体" w:hAnsi="宋体" w:eastAsia="宋体" w:cs="宋体"/>
          <w:sz w:val="24"/>
          <w:szCs w:val="24"/>
        </w:rPr>
      </w:pPr>
      <w:r>
        <w:rPr>
          <w:rFonts w:hint="eastAsia" w:ascii="宋体" w:hAnsi="宋体" w:eastAsia="宋体" w:cs="宋体"/>
          <w:sz w:val="24"/>
          <w:szCs w:val="24"/>
          <w:lang w:eastAsia="zh-CN"/>
        </w:rPr>
        <w:t>在服务期内，如果成交供应商的产品技术升级，供应商应及时通知采购人，如采购人有相应要求，经成交供应商确认可对平台进行升级或改造。采购人超出本协议内容范围的升级或改造，可与平台开发商另行商定。</w:t>
      </w:r>
    </w:p>
    <w:p w14:paraId="296C7EAB">
      <w:pPr>
        <w:pStyle w:val="3"/>
        <w:spacing w:before="0" w:after="0" w:line="360" w:lineRule="auto"/>
        <w:rPr>
          <w:rFonts w:hint="eastAsia" w:ascii="宋体" w:hAnsi="宋体" w:eastAsia="宋体" w:cs="宋体"/>
          <w:sz w:val="24"/>
          <w:szCs w:val="24"/>
        </w:rPr>
      </w:pPr>
      <w:bookmarkStart w:id="31" w:name="_Toc22069"/>
      <w:r>
        <w:rPr>
          <w:rFonts w:hint="eastAsia" w:ascii="宋体" w:hAnsi="宋体" w:eastAsia="宋体" w:cs="宋体"/>
          <w:sz w:val="24"/>
          <w:szCs w:val="24"/>
          <w:lang w:val="en-US" w:eastAsia="zh-CN"/>
        </w:rPr>
        <w:t>三</w:t>
      </w:r>
      <w:r>
        <w:rPr>
          <w:rFonts w:hint="eastAsia" w:ascii="宋体" w:hAnsi="宋体" w:eastAsia="宋体" w:cs="宋体"/>
          <w:sz w:val="24"/>
          <w:szCs w:val="24"/>
        </w:rPr>
        <w:t>、</w:t>
      </w:r>
      <w:bookmarkEnd w:id="30"/>
      <w:r>
        <w:rPr>
          <w:rFonts w:hint="eastAsia" w:ascii="宋体" w:hAnsi="宋体" w:eastAsia="宋体" w:cs="宋体"/>
          <w:sz w:val="24"/>
          <w:szCs w:val="24"/>
        </w:rPr>
        <w:t>报价要求</w:t>
      </w:r>
      <w:bookmarkEnd w:id="31"/>
    </w:p>
    <w:p w14:paraId="669CCCD0">
      <w:pPr>
        <w:snapToGrid w:val="0"/>
        <w:spacing w:line="360" w:lineRule="auto"/>
        <w:ind w:firstLine="540"/>
        <w:rPr>
          <w:rFonts w:hint="eastAsia" w:ascii="宋体" w:hAnsi="宋体" w:eastAsia="宋体" w:cs="宋体"/>
          <w:sz w:val="24"/>
          <w:szCs w:val="24"/>
        </w:rPr>
      </w:pPr>
      <w:r>
        <w:rPr>
          <w:rFonts w:hint="eastAsia" w:ascii="宋体" w:hAnsi="宋体" w:eastAsia="宋体" w:cs="宋体"/>
          <w:sz w:val="24"/>
          <w:szCs w:val="24"/>
        </w:rPr>
        <w:t>本项目采用总价包干价，为人民币报价，包含磋商报价包括完成本项目所需的服务费、人工费及提供服务所需的设备或货物购买（制造）费、技术方案编制、验收文档、专家咨询及各种应纳的税费等一切费用。</w:t>
      </w:r>
    </w:p>
    <w:p w14:paraId="3E6E5CAD">
      <w:pPr>
        <w:snapToGrid w:val="0"/>
        <w:spacing w:line="360" w:lineRule="auto"/>
        <w:ind w:firstLine="540"/>
        <w:rPr>
          <w:rFonts w:hint="eastAsia" w:ascii="宋体" w:hAnsi="宋体" w:eastAsia="宋体" w:cs="宋体"/>
          <w:sz w:val="24"/>
          <w:szCs w:val="24"/>
        </w:rPr>
      </w:pPr>
      <w:r>
        <w:rPr>
          <w:rFonts w:hint="eastAsia" w:ascii="宋体" w:hAnsi="宋体" w:eastAsia="宋体" w:cs="宋体"/>
          <w:sz w:val="24"/>
          <w:szCs w:val="24"/>
        </w:rPr>
        <w:t>因供应商自身原因造成漏报、少报皆由其自行承担责任，采购人不再补偿。</w:t>
      </w:r>
    </w:p>
    <w:p w14:paraId="7E6E4721">
      <w:pPr>
        <w:pStyle w:val="3"/>
        <w:spacing w:before="0" w:after="0" w:line="360" w:lineRule="auto"/>
        <w:rPr>
          <w:rFonts w:hint="eastAsia" w:ascii="宋体" w:hAnsi="宋体" w:eastAsia="宋体" w:cs="宋体"/>
          <w:sz w:val="24"/>
          <w:szCs w:val="24"/>
        </w:rPr>
      </w:pPr>
      <w:bookmarkStart w:id="32" w:name="_Toc27120"/>
      <w:r>
        <w:rPr>
          <w:rFonts w:hint="eastAsia" w:ascii="宋体" w:hAnsi="宋体" w:eastAsia="宋体" w:cs="宋体"/>
          <w:sz w:val="24"/>
          <w:szCs w:val="24"/>
          <w:lang w:val="en-US" w:eastAsia="zh-CN"/>
        </w:rPr>
        <w:t>四</w:t>
      </w:r>
      <w:r>
        <w:rPr>
          <w:rFonts w:hint="eastAsia" w:ascii="宋体" w:hAnsi="宋体" w:eastAsia="宋体" w:cs="宋体"/>
          <w:sz w:val="24"/>
          <w:szCs w:val="24"/>
        </w:rPr>
        <w:t>、</w:t>
      </w:r>
      <w:bookmarkStart w:id="33" w:name="_Toc344475122"/>
      <w:r>
        <w:rPr>
          <w:rFonts w:hint="eastAsia" w:ascii="宋体" w:hAnsi="宋体" w:eastAsia="宋体" w:cs="宋体"/>
          <w:sz w:val="24"/>
          <w:szCs w:val="24"/>
        </w:rPr>
        <w:t>付款方式</w:t>
      </w:r>
      <w:bookmarkEnd w:id="32"/>
      <w:bookmarkEnd w:id="33"/>
    </w:p>
    <w:p w14:paraId="1BDAEFD1">
      <w:pPr>
        <w:snapToGrid w:val="0"/>
        <w:spacing w:line="360" w:lineRule="auto"/>
        <w:ind w:firstLine="54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合同签订后，供应商应向采购人支付合同款项10%的履约保证保金。服务期届满供应商无违约且采购人收到供应商全年运维服务工作报告验收单后无息退还。</w:t>
      </w:r>
    </w:p>
    <w:p w14:paraId="656EE8AA">
      <w:pPr>
        <w:snapToGrid w:val="0"/>
        <w:spacing w:line="360" w:lineRule="auto"/>
        <w:ind w:firstLine="54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合同签订后即支付供应商合同款项100%。</w:t>
      </w:r>
    </w:p>
    <w:p w14:paraId="62F38EA8">
      <w:pPr>
        <w:snapToGrid w:val="0"/>
        <w:spacing w:line="360" w:lineRule="auto"/>
        <w:ind w:firstLine="54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采购人向成交供应商支付费用前，成交供应商应向采购人提供合法的符合合同约定金额的增值税发票，否则采购人有权拒绝支付，由此造成的损失成交供应商自行承担。</w:t>
      </w:r>
      <w:bookmarkStart w:id="34" w:name="_Toc516588405"/>
      <w:bookmarkStart w:id="35" w:name="_Toc6772228"/>
    </w:p>
    <w:bookmarkEnd w:id="34"/>
    <w:bookmarkEnd w:id="35"/>
    <w:p w14:paraId="7DA40FB9">
      <w:pPr>
        <w:pStyle w:val="3"/>
        <w:spacing w:before="0" w:after="0" w:line="360" w:lineRule="auto"/>
        <w:rPr>
          <w:rFonts w:hint="eastAsia" w:ascii="宋体" w:hAnsi="宋体" w:eastAsia="宋体" w:cs="宋体"/>
          <w:sz w:val="24"/>
          <w:szCs w:val="24"/>
        </w:rPr>
      </w:pPr>
      <w:bookmarkStart w:id="36" w:name="_Toc4574"/>
      <w:r>
        <w:rPr>
          <w:rFonts w:hint="eastAsia" w:ascii="宋体" w:hAnsi="宋体" w:eastAsia="宋体" w:cs="宋体"/>
          <w:sz w:val="24"/>
          <w:szCs w:val="24"/>
        </w:rPr>
        <w:t>五、知识产权</w:t>
      </w:r>
      <w:bookmarkEnd w:id="36"/>
    </w:p>
    <w:p w14:paraId="5BBB66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FDD158F">
      <w:pPr>
        <w:pStyle w:val="3"/>
        <w:spacing w:before="0" w:after="0" w:line="360" w:lineRule="auto"/>
        <w:rPr>
          <w:rFonts w:hint="eastAsia" w:ascii="宋体" w:hAnsi="宋体" w:eastAsia="宋体" w:cs="宋体"/>
          <w:sz w:val="24"/>
          <w:szCs w:val="24"/>
        </w:rPr>
      </w:pPr>
      <w:bookmarkStart w:id="37" w:name="_Toc344475124"/>
      <w:bookmarkStart w:id="38" w:name="_Toc16804"/>
      <w:r>
        <w:rPr>
          <w:rFonts w:hint="eastAsia" w:ascii="宋体" w:hAnsi="宋体" w:eastAsia="宋体" w:cs="宋体"/>
          <w:sz w:val="24"/>
          <w:szCs w:val="24"/>
        </w:rPr>
        <w:t>六、</w:t>
      </w:r>
      <w:bookmarkEnd w:id="37"/>
      <w:bookmarkStart w:id="39" w:name="_Toc344475125"/>
      <w:r>
        <w:rPr>
          <w:rFonts w:hint="eastAsia" w:ascii="宋体" w:hAnsi="宋体" w:eastAsia="宋体" w:cs="宋体"/>
          <w:sz w:val="24"/>
          <w:szCs w:val="24"/>
        </w:rPr>
        <w:t>其他</w:t>
      </w:r>
      <w:bookmarkEnd w:id="38"/>
    </w:p>
    <w:bookmarkEnd w:id="39"/>
    <w:p w14:paraId="2150CCB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（一）供应商必须在响应文件中对以上条款和服务承诺明确列出，承诺内容必须达到本篇及竞争性磋商文件其他条款的要求。</w:t>
      </w:r>
    </w:p>
    <w:p w14:paraId="3BCBDF1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（二）其他未尽事宜由供需双方在采购合同中详细约定。</w:t>
      </w:r>
    </w:p>
    <w:p w14:paraId="7A1BCE6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（三）如供应商提供虚假证明材料导致成交，采购人在签订合同前发现，将如实将情况汇报给采购监管部门，在签订合同后发现，采购人有权单方面解除合同，对采购人造成的损失由成交供应商承担。</w:t>
      </w:r>
    </w:p>
    <w:p w14:paraId="306D32D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（四）在服务期内，未经采购人同意书面认可，供应商不得擅自将合同转包或分包。</w:t>
      </w:r>
    </w:p>
    <w:p w14:paraId="3C233E30">
      <w:pPr>
        <w:pStyle w:val="2"/>
        <w:spacing w:line="360" w:lineRule="auto"/>
        <w:jc w:val="center"/>
        <w:rPr>
          <w:rFonts w:hint="eastAsia" w:ascii="宋体" w:hAnsi="宋体" w:eastAsia="宋体" w:cs="宋体"/>
          <w:b/>
          <w:color w:val="auto"/>
          <w:sz w:val="36"/>
          <w:szCs w:val="30"/>
        </w:rPr>
      </w:pPr>
      <w:r>
        <w:rPr>
          <w:rFonts w:hint="eastAsia" w:ascii="宋体" w:hAnsi="宋体" w:eastAsia="宋体" w:cs="宋体"/>
          <w:b/>
          <w:sz w:val="36"/>
          <w:szCs w:val="30"/>
        </w:rPr>
        <w:br w:type="page"/>
      </w:r>
      <w:bookmarkStart w:id="40" w:name="_Toc2255"/>
      <w:r>
        <w:rPr>
          <w:rFonts w:hint="eastAsia" w:ascii="宋体" w:hAnsi="宋体" w:eastAsia="宋体" w:cs="宋体"/>
          <w:b/>
          <w:color w:val="auto"/>
          <w:sz w:val="36"/>
          <w:szCs w:val="36"/>
        </w:rPr>
        <w:t>第四篇  评审标准、无效响应和采购终止</w:t>
      </w:r>
      <w:bookmarkEnd w:id="40"/>
    </w:p>
    <w:p w14:paraId="06923F80">
      <w:pPr>
        <w:pStyle w:val="3"/>
        <w:spacing w:before="0" w:after="0" w:line="360" w:lineRule="auto"/>
        <w:rPr>
          <w:rFonts w:hint="eastAsia" w:ascii="宋体" w:hAnsi="宋体" w:eastAsia="宋体" w:cs="宋体"/>
          <w:color w:val="auto"/>
          <w:sz w:val="24"/>
          <w:szCs w:val="24"/>
        </w:rPr>
      </w:pPr>
      <w:bookmarkStart w:id="41" w:name="_Toc2123"/>
      <w:bookmarkStart w:id="42" w:name="_Toc102227313"/>
      <w:r>
        <w:rPr>
          <w:rFonts w:hint="eastAsia" w:ascii="宋体" w:hAnsi="宋体" w:eastAsia="宋体" w:cs="宋体"/>
          <w:color w:val="auto"/>
          <w:sz w:val="24"/>
          <w:szCs w:val="24"/>
        </w:rPr>
        <w:t>一、磋商程序及方法</w:t>
      </w:r>
      <w:bookmarkEnd w:id="41"/>
    </w:p>
    <w:p w14:paraId="6E7DA00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1C6ABF8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（二）磋商小组对各供应商的资格条件、响应文件的有效性、完整性和响应程度进行审查。各供应商只有在完全符合要求的前提下，才能参与正式磋商。</w:t>
      </w:r>
    </w:p>
    <w:p w14:paraId="78FB5ABF">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BBF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1B7FBF4">
            <w:pPr>
              <w:snapToGrid w:val="0"/>
              <w:jc w:val="center"/>
              <w:textAlignment w:val="baseline"/>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AAB4394">
            <w:pPr>
              <w:snapToGrid w:val="0"/>
              <w:jc w:val="center"/>
              <w:textAlignment w:val="baseline"/>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5CA06707">
            <w:pPr>
              <w:snapToGrid w:val="0"/>
              <w:jc w:val="center"/>
              <w:textAlignment w:val="baseline"/>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检查内容</w:t>
            </w:r>
          </w:p>
        </w:tc>
      </w:tr>
      <w:tr w14:paraId="4606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A19D22D">
            <w:pPr>
              <w:snapToGrid w:val="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w:t>
            </w:r>
          </w:p>
        </w:tc>
        <w:tc>
          <w:tcPr>
            <w:tcW w:w="709" w:type="dxa"/>
            <w:vMerge w:val="restart"/>
            <w:vAlign w:val="center"/>
          </w:tcPr>
          <w:p w14:paraId="506A2245">
            <w:pPr>
              <w:snapToGrid w:val="0"/>
              <w:textAlignment w:val="baseline"/>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《中华人民共和国政府采购法》第二十二条规定</w:t>
            </w:r>
          </w:p>
        </w:tc>
        <w:tc>
          <w:tcPr>
            <w:tcW w:w="3118" w:type="dxa"/>
            <w:vAlign w:val="center"/>
          </w:tcPr>
          <w:p w14:paraId="26510D5D">
            <w:pPr>
              <w:snapToGrid w:val="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tc>
        <w:tc>
          <w:tcPr>
            <w:tcW w:w="4984" w:type="dxa"/>
            <w:vAlign w:val="center"/>
          </w:tcPr>
          <w:p w14:paraId="292D7ED8">
            <w:pPr>
              <w:snapToGrid w:val="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3247F58C">
            <w:pPr>
              <w:snapToGrid w:val="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2.供应商法定代表人身份证明和法定代表人授权代表委托书。</w:t>
            </w:r>
          </w:p>
        </w:tc>
      </w:tr>
      <w:tr w14:paraId="5BE0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D65745A">
            <w:pPr>
              <w:snapToGrid w:val="0"/>
              <w:jc w:val="center"/>
              <w:textAlignment w:val="baseline"/>
              <w:rPr>
                <w:rFonts w:hint="eastAsia" w:ascii="宋体" w:hAnsi="宋体" w:eastAsia="宋体" w:cs="宋体"/>
                <w:color w:val="auto"/>
                <w:sz w:val="21"/>
                <w:szCs w:val="21"/>
              </w:rPr>
            </w:pPr>
          </w:p>
        </w:tc>
        <w:tc>
          <w:tcPr>
            <w:tcW w:w="709" w:type="dxa"/>
            <w:vMerge w:val="continue"/>
            <w:vAlign w:val="center"/>
          </w:tcPr>
          <w:p w14:paraId="3B35445C">
            <w:pPr>
              <w:snapToGrid w:val="0"/>
              <w:textAlignment w:val="baseline"/>
              <w:rPr>
                <w:rFonts w:hint="eastAsia" w:ascii="宋体" w:hAnsi="宋体" w:eastAsia="宋体" w:cs="宋体"/>
                <w:color w:val="auto"/>
                <w:sz w:val="21"/>
                <w:szCs w:val="21"/>
                <w:lang w:val="zh-CN"/>
              </w:rPr>
            </w:pPr>
          </w:p>
        </w:tc>
        <w:tc>
          <w:tcPr>
            <w:tcW w:w="3118" w:type="dxa"/>
            <w:vAlign w:val="center"/>
          </w:tcPr>
          <w:p w14:paraId="3CD5CBCE">
            <w:pPr>
              <w:snapToGrid w:val="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rPr>
              <w:t>具有良好的商业信誉和健全的财务会计制度</w:t>
            </w:r>
          </w:p>
        </w:tc>
        <w:tc>
          <w:tcPr>
            <w:tcW w:w="4984" w:type="dxa"/>
            <w:vMerge w:val="restart"/>
            <w:vAlign w:val="center"/>
          </w:tcPr>
          <w:p w14:paraId="05465B26">
            <w:pPr>
              <w:snapToGrid w:val="0"/>
              <w:textAlignment w:val="baseline"/>
              <w:rPr>
                <w:rFonts w:hint="eastAsia" w:ascii="宋体" w:hAnsi="宋体" w:eastAsia="宋体" w:cs="宋体"/>
                <w:b/>
                <w:color w:val="auto"/>
                <w:sz w:val="21"/>
                <w:szCs w:val="21"/>
              </w:rPr>
            </w:pPr>
            <w:r>
              <w:rPr>
                <w:rFonts w:hint="eastAsia" w:ascii="宋体" w:hAnsi="宋体" w:eastAsia="宋体" w:cs="宋体"/>
                <w:color w:val="auto"/>
                <w:sz w:val="21"/>
                <w:szCs w:val="21"/>
              </w:rPr>
              <w:t>供应商提供“基本资格条件承诺函”（格式详见第七篇）</w:t>
            </w:r>
          </w:p>
        </w:tc>
      </w:tr>
      <w:tr w14:paraId="37E6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10257F2">
            <w:pPr>
              <w:snapToGrid w:val="0"/>
              <w:jc w:val="center"/>
              <w:textAlignment w:val="baseline"/>
              <w:rPr>
                <w:rFonts w:hint="eastAsia" w:ascii="宋体" w:hAnsi="宋体" w:eastAsia="宋体" w:cs="宋体"/>
                <w:color w:val="auto"/>
                <w:sz w:val="21"/>
                <w:szCs w:val="21"/>
              </w:rPr>
            </w:pPr>
          </w:p>
        </w:tc>
        <w:tc>
          <w:tcPr>
            <w:tcW w:w="709" w:type="dxa"/>
            <w:vMerge w:val="continue"/>
            <w:vAlign w:val="center"/>
          </w:tcPr>
          <w:p w14:paraId="4CF9E9F4">
            <w:pPr>
              <w:snapToGrid w:val="0"/>
              <w:textAlignment w:val="baseline"/>
              <w:rPr>
                <w:rFonts w:hint="eastAsia" w:ascii="宋体" w:hAnsi="宋体" w:eastAsia="宋体" w:cs="宋体"/>
                <w:color w:val="auto"/>
                <w:sz w:val="21"/>
                <w:szCs w:val="21"/>
                <w:lang w:val="zh-CN"/>
              </w:rPr>
            </w:pPr>
          </w:p>
        </w:tc>
        <w:tc>
          <w:tcPr>
            <w:tcW w:w="3118" w:type="dxa"/>
            <w:vAlign w:val="center"/>
          </w:tcPr>
          <w:p w14:paraId="1A0DBDF8">
            <w:pPr>
              <w:snapToGrid w:val="0"/>
              <w:textAlignment w:val="baseline"/>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3.具有履行合同所必需的设备和专业技术能力</w:t>
            </w:r>
          </w:p>
        </w:tc>
        <w:tc>
          <w:tcPr>
            <w:tcW w:w="4984" w:type="dxa"/>
            <w:vMerge w:val="continue"/>
            <w:vAlign w:val="center"/>
          </w:tcPr>
          <w:p w14:paraId="47081A47">
            <w:pPr>
              <w:snapToGrid w:val="0"/>
              <w:textAlignment w:val="baseline"/>
              <w:rPr>
                <w:rFonts w:hint="eastAsia" w:ascii="宋体" w:hAnsi="宋体" w:eastAsia="宋体" w:cs="宋体"/>
                <w:color w:val="auto"/>
                <w:sz w:val="21"/>
                <w:szCs w:val="21"/>
              </w:rPr>
            </w:pPr>
          </w:p>
        </w:tc>
      </w:tr>
      <w:tr w14:paraId="784C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1326A44">
            <w:pPr>
              <w:snapToGrid w:val="0"/>
              <w:jc w:val="center"/>
              <w:textAlignment w:val="baseline"/>
              <w:rPr>
                <w:rFonts w:hint="eastAsia" w:ascii="宋体" w:hAnsi="宋体" w:eastAsia="宋体" w:cs="宋体"/>
                <w:color w:val="auto"/>
                <w:sz w:val="21"/>
                <w:szCs w:val="21"/>
              </w:rPr>
            </w:pPr>
          </w:p>
        </w:tc>
        <w:tc>
          <w:tcPr>
            <w:tcW w:w="709" w:type="dxa"/>
            <w:vMerge w:val="continue"/>
            <w:vAlign w:val="center"/>
          </w:tcPr>
          <w:p w14:paraId="46F253E9">
            <w:pPr>
              <w:snapToGrid w:val="0"/>
              <w:textAlignment w:val="baseline"/>
              <w:rPr>
                <w:rFonts w:hint="eastAsia" w:ascii="宋体" w:hAnsi="宋体" w:eastAsia="宋体" w:cs="宋体"/>
                <w:color w:val="auto"/>
                <w:sz w:val="21"/>
                <w:szCs w:val="21"/>
                <w:lang w:val="zh-CN"/>
              </w:rPr>
            </w:pPr>
          </w:p>
        </w:tc>
        <w:tc>
          <w:tcPr>
            <w:tcW w:w="3118" w:type="dxa"/>
            <w:vAlign w:val="center"/>
          </w:tcPr>
          <w:p w14:paraId="38E3B240">
            <w:pPr>
              <w:snapToGrid w:val="0"/>
              <w:textAlignment w:val="baseline"/>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4.有依法缴纳税收和社会保障金的良好记录</w:t>
            </w:r>
          </w:p>
        </w:tc>
        <w:tc>
          <w:tcPr>
            <w:tcW w:w="4984" w:type="dxa"/>
            <w:vMerge w:val="continue"/>
            <w:vAlign w:val="center"/>
          </w:tcPr>
          <w:p w14:paraId="23297169">
            <w:pPr>
              <w:snapToGrid w:val="0"/>
              <w:textAlignment w:val="baseline"/>
              <w:rPr>
                <w:rFonts w:hint="eastAsia" w:ascii="宋体" w:hAnsi="宋体" w:eastAsia="宋体" w:cs="宋体"/>
                <w:color w:val="auto"/>
                <w:sz w:val="21"/>
                <w:szCs w:val="21"/>
              </w:rPr>
            </w:pPr>
          </w:p>
        </w:tc>
      </w:tr>
      <w:tr w14:paraId="09A9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255BC2B">
            <w:pPr>
              <w:snapToGrid w:val="0"/>
              <w:jc w:val="center"/>
              <w:textAlignment w:val="baseline"/>
              <w:rPr>
                <w:rFonts w:hint="eastAsia" w:ascii="宋体" w:hAnsi="宋体" w:eastAsia="宋体" w:cs="宋体"/>
                <w:color w:val="auto"/>
                <w:sz w:val="21"/>
                <w:szCs w:val="21"/>
              </w:rPr>
            </w:pPr>
          </w:p>
        </w:tc>
        <w:tc>
          <w:tcPr>
            <w:tcW w:w="709" w:type="dxa"/>
            <w:vMerge w:val="continue"/>
            <w:vAlign w:val="center"/>
          </w:tcPr>
          <w:p w14:paraId="08ADB1E9">
            <w:pPr>
              <w:snapToGrid w:val="0"/>
              <w:textAlignment w:val="baseline"/>
              <w:rPr>
                <w:rFonts w:hint="eastAsia" w:ascii="宋体" w:hAnsi="宋体" w:eastAsia="宋体" w:cs="宋体"/>
                <w:color w:val="auto"/>
                <w:sz w:val="21"/>
                <w:szCs w:val="21"/>
                <w:lang w:val="zh-CN"/>
              </w:rPr>
            </w:pPr>
          </w:p>
        </w:tc>
        <w:tc>
          <w:tcPr>
            <w:tcW w:w="3118" w:type="dxa"/>
            <w:vAlign w:val="center"/>
          </w:tcPr>
          <w:p w14:paraId="7EAAB33D">
            <w:pPr>
              <w:snapToGrid w:val="0"/>
              <w:textAlignment w:val="baseline"/>
              <w:rPr>
                <w:rFonts w:hint="eastAsia" w:ascii="宋体" w:hAnsi="宋体" w:eastAsia="宋体" w:cs="宋体"/>
                <w:color w:val="auto"/>
                <w:sz w:val="21"/>
                <w:szCs w:val="21"/>
                <w:lang w:val="zh-CN"/>
              </w:rPr>
            </w:pPr>
            <w:r>
              <w:rPr>
                <w:rFonts w:hint="eastAsia" w:ascii="宋体" w:hAnsi="宋体" w:eastAsia="宋体" w:cs="宋体"/>
                <w:color w:val="auto"/>
                <w:sz w:val="21"/>
                <w:szCs w:val="21"/>
              </w:rPr>
              <w:t>5.三年内在经营活动中无重大违纪记录</w:t>
            </w:r>
          </w:p>
        </w:tc>
        <w:tc>
          <w:tcPr>
            <w:tcW w:w="4984" w:type="dxa"/>
            <w:vMerge w:val="continue"/>
            <w:vAlign w:val="center"/>
          </w:tcPr>
          <w:p w14:paraId="608423BD">
            <w:pPr>
              <w:snapToGrid w:val="0"/>
              <w:textAlignment w:val="baseline"/>
              <w:rPr>
                <w:rFonts w:hint="eastAsia" w:ascii="宋体" w:hAnsi="宋体" w:eastAsia="宋体" w:cs="宋体"/>
                <w:b/>
                <w:color w:val="auto"/>
                <w:sz w:val="21"/>
                <w:szCs w:val="21"/>
              </w:rPr>
            </w:pPr>
          </w:p>
        </w:tc>
      </w:tr>
      <w:tr w14:paraId="04AB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EDCC49">
            <w:pPr>
              <w:snapToGrid w:val="0"/>
              <w:jc w:val="center"/>
              <w:textAlignment w:val="baseline"/>
              <w:rPr>
                <w:rFonts w:hint="eastAsia" w:ascii="宋体" w:hAnsi="宋体" w:eastAsia="宋体" w:cs="宋体"/>
                <w:color w:val="auto"/>
                <w:sz w:val="21"/>
                <w:szCs w:val="21"/>
              </w:rPr>
            </w:pPr>
          </w:p>
        </w:tc>
        <w:tc>
          <w:tcPr>
            <w:tcW w:w="709" w:type="dxa"/>
            <w:vMerge w:val="continue"/>
            <w:vAlign w:val="center"/>
          </w:tcPr>
          <w:p w14:paraId="22BBC449">
            <w:pPr>
              <w:snapToGrid w:val="0"/>
              <w:textAlignment w:val="baseline"/>
              <w:rPr>
                <w:rFonts w:hint="eastAsia" w:ascii="宋体" w:hAnsi="宋体" w:eastAsia="宋体" w:cs="宋体"/>
                <w:color w:val="auto"/>
                <w:sz w:val="21"/>
                <w:szCs w:val="21"/>
              </w:rPr>
            </w:pPr>
          </w:p>
        </w:tc>
        <w:tc>
          <w:tcPr>
            <w:tcW w:w="3118" w:type="dxa"/>
            <w:vAlign w:val="center"/>
          </w:tcPr>
          <w:p w14:paraId="73D7ACCE">
            <w:pPr>
              <w:snapToGrid w:val="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tc>
        <w:tc>
          <w:tcPr>
            <w:tcW w:w="4984" w:type="dxa"/>
            <w:vMerge w:val="continue"/>
            <w:vAlign w:val="center"/>
          </w:tcPr>
          <w:p w14:paraId="35DF365B">
            <w:pPr>
              <w:snapToGrid w:val="0"/>
              <w:textAlignment w:val="baseline"/>
              <w:rPr>
                <w:rFonts w:hint="eastAsia" w:ascii="宋体" w:hAnsi="宋体" w:eastAsia="宋体" w:cs="宋体"/>
                <w:color w:val="auto"/>
                <w:sz w:val="21"/>
                <w:szCs w:val="21"/>
              </w:rPr>
            </w:pPr>
          </w:p>
        </w:tc>
      </w:tr>
      <w:tr w14:paraId="77C0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2EA44A01">
            <w:pPr>
              <w:snapToGrid w:val="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w:t>
            </w:r>
          </w:p>
        </w:tc>
        <w:tc>
          <w:tcPr>
            <w:tcW w:w="3827" w:type="dxa"/>
            <w:gridSpan w:val="2"/>
            <w:vAlign w:val="center"/>
          </w:tcPr>
          <w:p w14:paraId="7AD276EC">
            <w:pPr>
              <w:snapToGrid w:val="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本项目的特定资格要求</w:t>
            </w:r>
          </w:p>
        </w:tc>
        <w:tc>
          <w:tcPr>
            <w:tcW w:w="4984" w:type="dxa"/>
            <w:vAlign w:val="center"/>
          </w:tcPr>
          <w:p w14:paraId="03171D1F">
            <w:pPr>
              <w:snapToGrid w:val="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按“第一篇三、供应商资格要求（二）本项目的特定资格要求”的要求提交。</w:t>
            </w:r>
          </w:p>
        </w:tc>
      </w:tr>
    </w:tbl>
    <w:p w14:paraId="3E9841E3">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color w:val="auto"/>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w:t>
      </w:r>
      <w:r>
        <w:rPr>
          <w:rFonts w:hint="eastAsia" w:ascii="宋体" w:hAnsi="宋体" w:eastAsia="宋体" w:cs="宋体"/>
          <w:kern w:val="0"/>
          <w:sz w:val="24"/>
          <w:szCs w:val="24"/>
        </w:rPr>
        <w:t>罚中“较大数额”的认定标准，由被执行人所在的省、自治区、直辖市人民政府制定，国务院有关部门规定了较大数额标准的，从其规定。</w:t>
      </w:r>
    </w:p>
    <w:p w14:paraId="7656C82E">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D5B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9D8C7F4">
            <w:pPr>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544" w:type="dxa"/>
            <w:gridSpan w:val="2"/>
            <w:vAlign w:val="center"/>
          </w:tcPr>
          <w:p w14:paraId="609A585D">
            <w:pPr>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5409" w:type="dxa"/>
            <w:vAlign w:val="center"/>
          </w:tcPr>
          <w:p w14:paraId="11B26917">
            <w:pPr>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14:paraId="3E35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90F6FAF">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60" w:type="dxa"/>
            <w:vMerge w:val="restart"/>
            <w:vAlign w:val="center"/>
          </w:tcPr>
          <w:p w14:paraId="0494D554">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有效性审查</w:t>
            </w:r>
          </w:p>
        </w:tc>
        <w:tc>
          <w:tcPr>
            <w:tcW w:w="1984" w:type="dxa"/>
            <w:vAlign w:val="center"/>
          </w:tcPr>
          <w:p w14:paraId="6AB1C604">
            <w:pPr>
              <w:spacing w:line="360" w:lineRule="auto"/>
              <w:rPr>
                <w:rFonts w:hint="eastAsia" w:ascii="宋体" w:hAnsi="宋体" w:eastAsia="宋体" w:cs="宋体"/>
                <w:kern w:val="0"/>
                <w:sz w:val="21"/>
                <w:szCs w:val="21"/>
              </w:rPr>
            </w:pPr>
            <w:r>
              <w:rPr>
                <w:rFonts w:hint="eastAsia" w:ascii="宋体" w:hAnsi="宋体" w:eastAsia="宋体" w:cs="宋体"/>
                <w:sz w:val="21"/>
                <w:szCs w:val="21"/>
              </w:rPr>
              <w:t>响应文件签署</w:t>
            </w:r>
          </w:p>
        </w:tc>
        <w:tc>
          <w:tcPr>
            <w:tcW w:w="5409" w:type="dxa"/>
            <w:vAlign w:val="center"/>
          </w:tcPr>
          <w:p w14:paraId="03D866A4">
            <w:pPr>
              <w:spacing w:line="360" w:lineRule="auto"/>
              <w:rPr>
                <w:rFonts w:hint="eastAsia" w:ascii="宋体" w:hAnsi="宋体" w:eastAsia="宋体" w:cs="宋体"/>
                <w:kern w:val="0"/>
                <w:sz w:val="21"/>
                <w:szCs w:val="21"/>
              </w:rPr>
            </w:pPr>
            <w:r>
              <w:rPr>
                <w:rFonts w:hint="eastAsia" w:ascii="宋体" w:hAnsi="宋体" w:eastAsia="宋体" w:cs="宋体"/>
                <w:sz w:val="21"/>
                <w:szCs w:val="21"/>
              </w:rPr>
              <w:t>响应文件上法定代表人或其授权代表人的签字齐全。</w:t>
            </w:r>
          </w:p>
        </w:tc>
      </w:tr>
      <w:tr w14:paraId="1601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E6F1317">
            <w:pPr>
              <w:spacing w:line="360" w:lineRule="auto"/>
              <w:jc w:val="center"/>
              <w:rPr>
                <w:rFonts w:hint="eastAsia" w:ascii="宋体" w:hAnsi="宋体" w:eastAsia="宋体" w:cs="宋体"/>
                <w:kern w:val="0"/>
                <w:sz w:val="21"/>
                <w:szCs w:val="21"/>
              </w:rPr>
            </w:pPr>
          </w:p>
        </w:tc>
        <w:tc>
          <w:tcPr>
            <w:tcW w:w="1560" w:type="dxa"/>
            <w:vMerge w:val="continue"/>
            <w:vAlign w:val="center"/>
          </w:tcPr>
          <w:p w14:paraId="603C6F07">
            <w:pPr>
              <w:spacing w:line="360" w:lineRule="auto"/>
              <w:rPr>
                <w:rFonts w:hint="eastAsia" w:ascii="宋体" w:hAnsi="宋体" w:eastAsia="宋体" w:cs="宋体"/>
                <w:kern w:val="0"/>
                <w:sz w:val="21"/>
                <w:szCs w:val="21"/>
              </w:rPr>
            </w:pPr>
          </w:p>
        </w:tc>
        <w:tc>
          <w:tcPr>
            <w:tcW w:w="1984" w:type="dxa"/>
            <w:vAlign w:val="center"/>
          </w:tcPr>
          <w:p w14:paraId="5A92C2C5">
            <w:pPr>
              <w:spacing w:line="360" w:lineRule="auto"/>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5409" w:type="dxa"/>
            <w:vAlign w:val="center"/>
          </w:tcPr>
          <w:p w14:paraId="6BC9F8DE">
            <w:pPr>
              <w:spacing w:line="360" w:lineRule="auto"/>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法定代表人身份证明及授权委托书有效，符合竞争性磋商文件规定的格式，签字或盖章齐全。</w:t>
            </w:r>
          </w:p>
        </w:tc>
      </w:tr>
      <w:tr w14:paraId="2995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288EFE6">
            <w:pPr>
              <w:spacing w:line="360" w:lineRule="auto"/>
              <w:jc w:val="center"/>
              <w:rPr>
                <w:rFonts w:hint="eastAsia" w:ascii="宋体" w:hAnsi="宋体" w:eastAsia="宋体" w:cs="宋体"/>
                <w:kern w:val="0"/>
                <w:sz w:val="21"/>
                <w:szCs w:val="21"/>
              </w:rPr>
            </w:pPr>
          </w:p>
        </w:tc>
        <w:tc>
          <w:tcPr>
            <w:tcW w:w="1560" w:type="dxa"/>
            <w:vMerge w:val="continue"/>
            <w:vAlign w:val="center"/>
          </w:tcPr>
          <w:p w14:paraId="6C9CD306">
            <w:pPr>
              <w:spacing w:line="360" w:lineRule="auto"/>
              <w:rPr>
                <w:rFonts w:hint="eastAsia" w:ascii="宋体" w:hAnsi="宋体" w:eastAsia="宋体" w:cs="宋体"/>
                <w:kern w:val="0"/>
                <w:sz w:val="21"/>
                <w:szCs w:val="21"/>
              </w:rPr>
            </w:pPr>
          </w:p>
        </w:tc>
        <w:tc>
          <w:tcPr>
            <w:tcW w:w="1984" w:type="dxa"/>
            <w:vAlign w:val="center"/>
          </w:tcPr>
          <w:p w14:paraId="3D9D52C4">
            <w:pPr>
              <w:spacing w:line="360" w:lineRule="auto"/>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5409" w:type="dxa"/>
            <w:vAlign w:val="center"/>
          </w:tcPr>
          <w:p w14:paraId="26E17648">
            <w:pPr>
              <w:spacing w:line="360" w:lineRule="auto"/>
              <w:rPr>
                <w:rFonts w:hint="eastAsia" w:ascii="宋体" w:hAnsi="宋体" w:eastAsia="宋体" w:cs="宋体"/>
                <w:kern w:val="0"/>
                <w:sz w:val="21"/>
                <w:szCs w:val="21"/>
              </w:rPr>
            </w:pPr>
            <w:r>
              <w:rPr>
                <w:rFonts w:hint="eastAsia" w:ascii="宋体" w:hAnsi="宋体" w:eastAsia="宋体" w:cs="宋体"/>
                <w:sz w:val="21"/>
                <w:szCs w:val="21"/>
                <w:lang w:val="zh-CN"/>
              </w:rPr>
              <w:t>每个分包只能有一个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14:paraId="3285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1C1A526">
            <w:pPr>
              <w:spacing w:line="360" w:lineRule="auto"/>
              <w:jc w:val="center"/>
              <w:rPr>
                <w:rFonts w:hint="eastAsia" w:ascii="宋体" w:hAnsi="宋体" w:eastAsia="宋体" w:cs="宋体"/>
                <w:kern w:val="0"/>
                <w:sz w:val="21"/>
                <w:szCs w:val="21"/>
              </w:rPr>
            </w:pPr>
          </w:p>
        </w:tc>
        <w:tc>
          <w:tcPr>
            <w:tcW w:w="1560" w:type="dxa"/>
            <w:vMerge w:val="continue"/>
            <w:vAlign w:val="center"/>
          </w:tcPr>
          <w:p w14:paraId="3DFA8555">
            <w:pPr>
              <w:spacing w:line="360" w:lineRule="auto"/>
              <w:rPr>
                <w:rFonts w:hint="eastAsia" w:ascii="宋体" w:hAnsi="宋体" w:eastAsia="宋体" w:cs="宋体"/>
                <w:kern w:val="0"/>
                <w:sz w:val="21"/>
                <w:szCs w:val="21"/>
              </w:rPr>
            </w:pPr>
          </w:p>
        </w:tc>
        <w:tc>
          <w:tcPr>
            <w:tcW w:w="1984" w:type="dxa"/>
            <w:vAlign w:val="center"/>
          </w:tcPr>
          <w:p w14:paraId="576B16F5">
            <w:pPr>
              <w:spacing w:line="360" w:lineRule="auto"/>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5409" w:type="dxa"/>
            <w:vAlign w:val="center"/>
          </w:tcPr>
          <w:p w14:paraId="0792AD4F">
            <w:pPr>
              <w:spacing w:line="360" w:lineRule="auto"/>
              <w:rPr>
                <w:rFonts w:hint="eastAsia" w:ascii="宋体" w:hAnsi="宋体" w:eastAsia="宋体" w:cs="宋体"/>
                <w:kern w:val="0"/>
                <w:sz w:val="21"/>
                <w:szCs w:val="21"/>
              </w:rPr>
            </w:pPr>
            <w:r>
              <w:rPr>
                <w:rFonts w:hint="eastAsia" w:ascii="宋体" w:hAnsi="宋体" w:eastAsia="宋体" w:cs="宋体"/>
                <w:sz w:val="21"/>
                <w:szCs w:val="21"/>
                <w:lang w:val="zh-CN"/>
              </w:rPr>
              <w:t>只能在最高限价范围内报价，</w:t>
            </w:r>
            <w:r>
              <w:rPr>
                <w:rFonts w:hint="eastAsia" w:ascii="宋体" w:hAnsi="宋体" w:eastAsia="宋体" w:cs="宋体"/>
                <w:sz w:val="21"/>
                <w:szCs w:val="21"/>
              </w:rPr>
              <w:t>只能有一个有效报价，不得提交选择性报价。</w:t>
            </w:r>
          </w:p>
        </w:tc>
      </w:tr>
      <w:tr w14:paraId="0795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14:paraId="2CDD8475">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60" w:type="dxa"/>
            <w:vMerge w:val="restart"/>
            <w:vAlign w:val="center"/>
          </w:tcPr>
          <w:p w14:paraId="3D82E402">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完整性审查</w:t>
            </w:r>
          </w:p>
        </w:tc>
        <w:tc>
          <w:tcPr>
            <w:tcW w:w="1984" w:type="dxa"/>
            <w:vAlign w:val="center"/>
          </w:tcPr>
          <w:p w14:paraId="4F03B471">
            <w:pPr>
              <w:spacing w:line="360" w:lineRule="auto"/>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文件份数</w:t>
            </w:r>
          </w:p>
        </w:tc>
        <w:tc>
          <w:tcPr>
            <w:tcW w:w="5409" w:type="dxa"/>
            <w:vAlign w:val="center"/>
          </w:tcPr>
          <w:p w14:paraId="194B9C03">
            <w:pPr>
              <w:spacing w:line="360" w:lineRule="auto"/>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文件正、副本数量（含电子文档）符合</w:t>
            </w:r>
            <w:r>
              <w:rPr>
                <w:rFonts w:hint="eastAsia" w:ascii="宋体" w:hAnsi="宋体" w:eastAsia="宋体" w:cs="宋体"/>
                <w:sz w:val="21"/>
                <w:szCs w:val="21"/>
              </w:rPr>
              <w:t>竞争性磋商</w:t>
            </w:r>
            <w:r>
              <w:rPr>
                <w:rFonts w:hint="eastAsia" w:ascii="宋体" w:hAnsi="宋体" w:eastAsia="宋体" w:cs="宋体"/>
                <w:sz w:val="21"/>
                <w:szCs w:val="21"/>
                <w:lang w:val="zh-CN"/>
              </w:rPr>
              <w:t>文件要求。</w:t>
            </w:r>
          </w:p>
        </w:tc>
      </w:tr>
      <w:tr w14:paraId="6403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14:paraId="3F33FFE4">
            <w:pPr>
              <w:spacing w:line="360" w:lineRule="auto"/>
              <w:jc w:val="center"/>
              <w:rPr>
                <w:rFonts w:hint="eastAsia" w:ascii="宋体" w:hAnsi="宋体" w:eastAsia="宋体" w:cs="宋体"/>
                <w:kern w:val="0"/>
                <w:sz w:val="21"/>
                <w:szCs w:val="21"/>
              </w:rPr>
            </w:pPr>
          </w:p>
        </w:tc>
        <w:tc>
          <w:tcPr>
            <w:tcW w:w="1560" w:type="dxa"/>
            <w:vMerge w:val="continue"/>
            <w:vAlign w:val="center"/>
          </w:tcPr>
          <w:p w14:paraId="23F84D3A">
            <w:pPr>
              <w:spacing w:line="360" w:lineRule="auto"/>
              <w:rPr>
                <w:rFonts w:hint="eastAsia" w:ascii="宋体" w:hAnsi="宋体" w:eastAsia="宋体" w:cs="宋体"/>
                <w:kern w:val="0"/>
                <w:sz w:val="21"/>
                <w:szCs w:val="21"/>
              </w:rPr>
            </w:pPr>
          </w:p>
        </w:tc>
        <w:tc>
          <w:tcPr>
            <w:tcW w:w="1984" w:type="dxa"/>
            <w:vAlign w:val="center"/>
          </w:tcPr>
          <w:p w14:paraId="2CB24407">
            <w:pPr>
              <w:spacing w:line="360" w:lineRule="auto"/>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文件内容</w:t>
            </w:r>
          </w:p>
        </w:tc>
        <w:tc>
          <w:tcPr>
            <w:tcW w:w="5409" w:type="dxa"/>
            <w:vAlign w:val="center"/>
          </w:tcPr>
          <w:p w14:paraId="10140F09">
            <w:pPr>
              <w:spacing w:line="360" w:lineRule="auto"/>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文件内容齐全、无遗漏。</w:t>
            </w:r>
          </w:p>
        </w:tc>
      </w:tr>
      <w:tr w14:paraId="4EEB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61BD0F5">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60" w:type="dxa"/>
            <w:vMerge w:val="restart"/>
            <w:vAlign w:val="center"/>
          </w:tcPr>
          <w:p w14:paraId="44954A02">
            <w:pPr>
              <w:spacing w:line="360" w:lineRule="auto"/>
              <w:rPr>
                <w:rFonts w:hint="eastAsia" w:ascii="宋体" w:hAnsi="宋体" w:eastAsia="宋体" w:cs="宋体"/>
                <w:sz w:val="21"/>
                <w:szCs w:val="21"/>
                <w:lang w:val="zh-CN"/>
              </w:rPr>
            </w:pPr>
            <w:r>
              <w:rPr>
                <w:rFonts w:hint="eastAsia" w:ascii="宋体" w:hAnsi="宋体" w:eastAsia="宋体" w:cs="宋体"/>
                <w:kern w:val="0"/>
                <w:sz w:val="21"/>
                <w:szCs w:val="21"/>
              </w:rPr>
              <w:t>竞争性磋商文件的响应程度审查</w:t>
            </w:r>
          </w:p>
        </w:tc>
        <w:tc>
          <w:tcPr>
            <w:tcW w:w="1984" w:type="dxa"/>
            <w:vAlign w:val="center"/>
          </w:tcPr>
          <w:p w14:paraId="1E764D00">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响应文件内容</w:t>
            </w:r>
          </w:p>
        </w:tc>
        <w:tc>
          <w:tcPr>
            <w:tcW w:w="5409" w:type="dxa"/>
            <w:vAlign w:val="center"/>
          </w:tcPr>
          <w:p w14:paraId="7B00C906">
            <w:pPr>
              <w:pStyle w:val="32"/>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对竞争性磋商文件</w:t>
            </w:r>
            <w:r>
              <w:rPr>
                <w:rFonts w:hint="eastAsia" w:ascii="宋体" w:hAnsi="宋体" w:eastAsia="宋体" w:cs="宋体"/>
                <w:b/>
                <w:bCs/>
                <w:kern w:val="0"/>
                <w:sz w:val="21"/>
                <w:szCs w:val="21"/>
              </w:rPr>
              <w:t>第二、三篇</w:t>
            </w:r>
            <w:r>
              <w:rPr>
                <w:rFonts w:hint="eastAsia" w:ascii="宋体" w:hAnsi="宋体" w:eastAsia="宋体" w:cs="宋体"/>
                <w:kern w:val="0"/>
                <w:sz w:val="21"/>
                <w:szCs w:val="21"/>
              </w:rPr>
              <w:t>规定的磋商内容作出响应。</w:t>
            </w:r>
          </w:p>
        </w:tc>
      </w:tr>
      <w:tr w14:paraId="0F2E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4E1ED23">
            <w:pPr>
              <w:spacing w:line="360" w:lineRule="auto"/>
              <w:jc w:val="center"/>
              <w:rPr>
                <w:rFonts w:hint="eastAsia" w:ascii="宋体" w:hAnsi="宋体" w:eastAsia="宋体" w:cs="宋体"/>
                <w:kern w:val="0"/>
                <w:sz w:val="21"/>
                <w:szCs w:val="21"/>
              </w:rPr>
            </w:pPr>
          </w:p>
        </w:tc>
        <w:tc>
          <w:tcPr>
            <w:tcW w:w="1560" w:type="dxa"/>
            <w:vMerge w:val="continue"/>
            <w:vAlign w:val="center"/>
          </w:tcPr>
          <w:p w14:paraId="26E98620">
            <w:pPr>
              <w:spacing w:line="360" w:lineRule="auto"/>
              <w:rPr>
                <w:rFonts w:hint="eastAsia" w:ascii="宋体" w:hAnsi="宋体" w:eastAsia="宋体" w:cs="宋体"/>
                <w:sz w:val="21"/>
                <w:szCs w:val="21"/>
                <w:lang w:val="zh-CN"/>
              </w:rPr>
            </w:pPr>
          </w:p>
        </w:tc>
        <w:tc>
          <w:tcPr>
            <w:tcW w:w="1984" w:type="dxa"/>
            <w:vAlign w:val="center"/>
          </w:tcPr>
          <w:p w14:paraId="088A6644">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磋商有效期</w:t>
            </w:r>
          </w:p>
        </w:tc>
        <w:tc>
          <w:tcPr>
            <w:tcW w:w="5409" w:type="dxa"/>
            <w:vAlign w:val="center"/>
          </w:tcPr>
          <w:p w14:paraId="4470572F">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满足磋商文件</w:t>
            </w:r>
            <w:r>
              <w:rPr>
                <w:rFonts w:hint="eastAsia" w:ascii="宋体" w:hAnsi="宋体" w:eastAsia="宋体" w:cs="宋体"/>
                <w:sz w:val="21"/>
                <w:szCs w:val="21"/>
                <w:lang w:val="zh-CN"/>
              </w:rPr>
              <w:t>规定。</w:t>
            </w:r>
          </w:p>
        </w:tc>
      </w:tr>
    </w:tbl>
    <w:p w14:paraId="02E128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6E71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136A9B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（五）在磋商过程中磋商的任何一方不得向他人透露与磋商有关的技术资料、价格或其他信息。</w:t>
      </w:r>
    </w:p>
    <w:p w14:paraId="646467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AC7B0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（七）供应商在磋商时作出的所有书面承诺须由法定代表人或其授权代表签字。</w:t>
      </w:r>
    </w:p>
    <w:p w14:paraId="241854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6FEA6E5E">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（九）磋商小组采用综合评分法对提交最后报价的供应商的响应文件和最后报价（含有效书面承诺）进行综合评分。</w:t>
      </w:r>
      <w:r>
        <w:rPr>
          <w:rFonts w:hint="eastAsia" w:ascii="宋体" w:hAnsi="宋体" w:eastAsia="宋体" w:cs="宋体"/>
          <w:kern w:val="0"/>
          <w:sz w:val="24"/>
          <w:szCs w:val="24"/>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eastAsia" w:ascii="宋体" w:hAnsi="宋体" w:eastAsia="宋体" w:cs="宋体"/>
          <w:sz w:val="24"/>
          <w:szCs w:val="24"/>
        </w:rPr>
        <w:t>。</w:t>
      </w:r>
    </w:p>
    <w:p w14:paraId="303640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（十）磋商小组各成员独立对每个</w:t>
      </w:r>
      <w:r>
        <w:rPr>
          <w:rFonts w:hint="eastAsia" w:ascii="宋体" w:hAnsi="宋体" w:eastAsia="宋体" w:cs="宋体"/>
          <w:kern w:val="0"/>
          <w:sz w:val="24"/>
          <w:szCs w:val="24"/>
        </w:rPr>
        <w:t>实质性响应</w:t>
      </w:r>
      <w:r>
        <w:rPr>
          <w:rFonts w:hint="eastAsia" w:ascii="宋体" w:hAnsi="宋体" w:eastAsia="宋体" w:cs="宋体"/>
          <w:sz w:val="24"/>
          <w:szCs w:val="24"/>
        </w:rPr>
        <w:t>文件进行评价、打分，然后汇总每个供应商每项评分因素的得分，并根据综合评分情况按照评审得分由高到低顺序推荐3名及以上成交候选供应商，并编写评审报告。若供应商的评审得分相同的，按照最后报价由低到高的顺序排列推荐。评审得分且最后报价相同的，按照技术部分得分由高到低的顺序排列推荐。若所推荐的成交供应商的技术部分为0分，将失去成为成交候选供应商的资格。</w:t>
      </w:r>
    </w:p>
    <w:p w14:paraId="01F50B38">
      <w:pPr>
        <w:pStyle w:val="3"/>
        <w:spacing w:before="0" w:after="0" w:line="360" w:lineRule="auto"/>
        <w:rPr>
          <w:rFonts w:hint="eastAsia" w:ascii="宋体" w:hAnsi="宋体" w:eastAsia="宋体" w:cs="宋体"/>
          <w:color w:val="auto"/>
          <w:sz w:val="24"/>
          <w:szCs w:val="24"/>
        </w:rPr>
      </w:pPr>
      <w:bookmarkStart w:id="43" w:name="_Toc16782"/>
      <w:r>
        <w:rPr>
          <w:rFonts w:hint="eastAsia" w:ascii="宋体" w:hAnsi="宋体" w:eastAsia="宋体" w:cs="宋体"/>
          <w:color w:val="auto"/>
          <w:sz w:val="24"/>
          <w:szCs w:val="24"/>
        </w:rPr>
        <w:t>二、</w:t>
      </w:r>
      <w:bookmarkStart w:id="44" w:name="_Toc342913394"/>
      <w:bookmarkStart w:id="45" w:name="_Toc102227320"/>
      <w:r>
        <w:rPr>
          <w:rFonts w:hint="eastAsia" w:ascii="宋体" w:hAnsi="宋体" w:eastAsia="宋体" w:cs="宋体"/>
          <w:color w:val="auto"/>
          <w:sz w:val="24"/>
          <w:szCs w:val="24"/>
        </w:rPr>
        <w:t>评审标准</w:t>
      </w:r>
      <w:bookmarkEnd w:id="43"/>
    </w:p>
    <w:tbl>
      <w:tblPr>
        <w:tblStyle w:val="5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20"/>
        <w:gridCol w:w="1269"/>
        <w:gridCol w:w="4678"/>
        <w:gridCol w:w="1794"/>
      </w:tblGrid>
      <w:tr w14:paraId="5289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675" w:type="dxa"/>
            <w:vAlign w:val="center"/>
          </w:tcPr>
          <w:p w14:paraId="62E1433D">
            <w:pPr>
              <w:widowControl/>
              <w:adjustRightInd w:val="0"/>
              <w:snapToGrid w:val="0"/>
              <w:jc w:val="center"/>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序号</w:t>
            </w:r>
          </w:p>
        </w:tc>
        <w:tc>
          <w:tcPr>
            <w:tcW w:w="1320" w:type="dxa"/>
            <w:vAlign w:val="center"/>
          </w:tcPr>
          <w:p w14:paraId="29A18CF1">
            <w:pPr>
              <w:widowControl/>
              <w:adjustRightInd w:val="0"/>
              <w:snapToGrid w:val="0"/>
              <w:jc w:val="center"/>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评分因素及权值</w:t>
            </w:r>
          </w:p>
        </w:tc>
        <w:tc>
          <w:tcPr>
            <w:tcW w:w="1269" w:type="dxa"/>
            <w:vAlign w:val="center"/>
          </w:tcPr>
          <w:p w14:paraId="4BCCCAD5">
            <w:pPr>
              <w:widowControl/>
              <w:adjustRightInd w:val="0"/>
              <w:snapToGrid w:val="0"/>
              <w:jc w:val="center"/>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分值</w:t>
            </w:r>
          </w:p>
        </w:tc>
        <w:tc>
          <w:tcPr>
            <w:tcW w:w="4678" w:type="dxa"/>
            <w:vAlign w:val="center"/>
          </w:tcPr>
          <w:p w14:paraId="29918106">
            <w:pPr>
              <w:widowControl/>
              <w:adjustRightInd w:val="0"/>
              <w:snapToGrid w:val="0"/>
              <w:jc w:val="center"/>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评分标准</w:t>
            </w:r>
          </w:p>
        </w:tc>
        <w:tc>
          <w:tcPr>
            <w:tcW w:w="1794" w:type="dxa"/>
            <w:vAlign w:val="center"/>
          </w:tcPr>
          <w:p w14:paraId="01946F21">
            <w:pPr>
              <w:widowControl/>
              <w:adjustRightInd w:val="0"/>
              <w:snapToGrid w:val="0"/>
              <w:jc w:val="center"/>
              <w:rPr>
                <w:rFonts w:hint="eastAsia"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说明</w:t>
            </w:r>
          </w:p>
        </w:tc>
      </w:tr>
      <w:tr w14:paraId="37E3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trPr>
        <w:tc>
          <w:tcPr>
            <w:tcW w:w="675" w:type="dxa"/>
            <w:vAlign w:val="center"/>
          </w:tcPr>
          <w:p w14:paraId="78AF291B">
            <w:pPr>
              <w:spacing w:line="36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20" w:type="dxa"/>
            <w:vAlign w:val="center"/>
          </w:tcPr>
          <w:p w14:paraId="2EE5D6F4">
            <w:pPr>
              <w:spacing w:line="36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磋商报价</w:t>
            </w:r>
          </w:p>
          <w:p w14:paraId="2AD8F741">
            <w:pPr>
              <w:spacing w:line="36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w:t>
            </w:r>
          </w:p>
        </w:tc>
        <w:tc>
          <w:tcPr>
            <w:tcW w:w="1269" w:type="dxa"/>
            <w:vAlign w:val="center"/>
          </w:tcPr>
          <w:p w14:paraId="08F1C11D">
            <w:pPr>
              <w:spacing w:line="360" w:lineRule="auto"/>
              <w:ind w:firstLine="28"/>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w:t>
            </w:r>
          </w:p>
        </w:tc>
        <w:tc>
          <w:tcPr>
            <w:tcW w:w="4678" w:type="dxa"/>
            <w:vAlign w:val="center"/>
          </w:tcPr>
          <w:p w14:paraId="1EFF9CE6">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满足资格要求且最后报价最低的供应商的价格为磋商基准价，按照下列公式计算每个供应商的磋商报价得分。</w:t>
            </w:r>
          </w:p>
          <w:p w14:paraId="4BE7276C">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磋商报价得分=（磋商基准价/最后磋商报价）×价格权值×100</w:t>
            </w:r>
          </w:p>
        </w:tc>
        <w:tc>
          <w:tcPr>
            <w:tcW w:w="1794" w:type="dxa"/>
            <w:vAlign w:val="center"/>
          </w:tcPr>
          <w:p w14:paraId="71A12718">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对小型和微型企业产品的价格给予6%-10%的扣除，用扣除后的价格参与评审，见注。</w:t>
            </w:r>
          </w:p>
        </w:tc>
      </w:tr>
      <w:tr w14:paraId="47B4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675" w:type="dxa"/>
            <w:vMerge w:val="restart"/>
            <w:vAlign w:val="center"/>
          </w:tcPr>
          <w:p w14:paraId="14D50A00">
            <w:pPr>
              <w:spacing w:line="36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20" w:type="dxa"/>
            <w:vMerge w:val="restart"/>
            <w:vAlign w:val="center"/>
          </w:tcPr>
          <w:p w14:paraId="76574F37">
            <w:pPr>
              <w:spacing w:line="360" w:lineRule="auto"/>
              <w:ind w:firstLine="28"/>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服务</w:t>
            </w:r>
            <w:r>
              <w:rPr>
                <w:rFonts w:hint="eastAsia" w:ascii="宋体" w:hAnsi="宋体" w:eastAsia="宋体" w:cs="宋体"/>
                <w:color w:val="auto"/>
                <w:sz w:val="21"/>
                <w:szCs w:val="21"/>
              </w:rPr>
              <w:t>部分（</w:t>
            </w:r>
            <w:r>
              <w:rPr>
                <w:rFonts w:hint="eastAsia" w:ascii="宋体" w:hAnsi="宋体" w:cs="宋体"/>
                <w:color w:val="auto"/>
                <w:sz w:val="21"/>
                <w:szCs w:val="21"/>
                <w:lang w:val="en-US" w:eastAsia="zh-CN"/>
              </w:rPr>
              <w:t>80</w:t>
            </w:r>
            <w:r>
              <w:rPr>
                <w:rFonts w:hint="eastAsia" w:ascii="宋体" w:hAnsi="宋体" w:eastAsia="宋体" w:cs="宋体"/>
                <w:color w:val="auto"/>
                <w:sz w:val="21"/>
                <w:szCs w:val="21"/>
              </w:rPr>
              <w:t>%）</w:t>
            </w:r>
          </w:p>
        </w:tc>
        <w:tc>
          <w:tcPr>
            <w:tcW w:w="1269" w:type="dxa"/>
            <w:vAlign w:val="center"/>
          </w:tcPr>
          <w:p w14:paraId="316CA79F">
            <w:pPr>
              <w:spacing w:line="360" w:lineRule="exact"/>
              <w:ind w:firstLine="28"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highlight w:val="none"/>
              </w:rPr>
              <w:t>服务方案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30分</w:t>
            </w:r>
            <w:r>
              <w:rPr>
                <w:rFonts w:hint="eastAsia" w:ascii="宋体" w:hAnsi="宋体" w:eastAsia="宋体" w:cs="宋体"/>
                <w:sz w:val="21"/>
                <w:szCs w:val="21"/>
                <w:highlight w:val="none"/>
                <w:lang w:eastAsia="zh-CN"/>
              </w:rPr>
              <w:t>）</w:t>
            </w:r>
          </w:p>
        </w:tc>
        <w:tc>
          <w:tcPr>
            <w:tcW w:w="4678" w:type="dxa"/>
            <w:vAlign w:val="center"/>
          </w:tcPr>
          <w:p w14:paraId="5B29AE44">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供应商编制本项目的服务方案，包括监测目标与范围、核心监测维度与指标、技术实现、告警机制、优化建议等核心内容。</w:t>
            </w:r>
          </w:p>
          <w:p w14:paraId="39F97FC9">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方案内容不存在瑕疵，得30分；</w:t>
            </w:r>
          </w:p>
          <w:p w14:paraId="1C2DC8E0">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方案内容存在1处瑕疵，得25分；</w:t>
            </w:r>
          </w:p>
          <w:p w14:paraId="034B868A">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方案内容存在2处瑕疵，得20分；</w:t>
            </w:r>
          </w:p>
          <w:p w14:paraId="24A770F6">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方案内容存在3处瑕疵，得15分；</w:t>
            </w:r>
          </w:p>
          <w:p w14:paraId="67FB0F09">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方案内容存在4处瑕疵，得10分；</w:t>
            </w:r>
          </w:p>
          <w:p w14:paraId="3DC34DC5">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方案内容存在5处瑕疵，得5分；</w:t>
            </w:r>
          </w:p>
          <w:p w14:paraId="04D28B8B">
            <w:pPr>
              <w:widowControl/>
              <w:adjustRightInd w:val="0"/>
              <w:snapToGrid w:val="0"/>
              <w:rPr>
                <w:rFonts w:hint="eastAsia" w:ascii="宋体" w:hAnsi="宋体" w:eastAsia="宋体" w:cs="宋体"/>
                <w:color w:val="auto"/>
                <w:sz w:val="21"/>
                <w:szCs w:val="21"/>
              </w:rPr>
            </w:pPr>
            <w:r>
              <w:rPr>
                <w:rFonts w:hint="eastAsia" w:ascii="宋体" w:hAnsi="宋体" w:eastAsia="宋体" w:cs="Times New Roman"/>
                <w:color w:val="000000"/>
                <w:sz w:val="21"/>
                <w:szCs w:val="21"/>
                <w:lang w:val="en-US" w:eastAsia="zh-CN"/>
              </w:rPr>
              <w:t>方案内容存在6处及以上瑕疵或未提供得0分。</w:t>
            </w:r>
          </w:p>
        </w:tc>
        <w:tc>
          <w:tcPr>
            <w:tcW w:w="1794" w:type="dxa"/>
            <w:vMerge w:val="restart"/>
            <w:vAlign w:val="center"/>
          </w:tcPr>
          <w:p w14:paraId="1764A21C">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1.提供相应的方案，格式自拟。</w:t>
            </w:r>
          </w:p>
          <w:p w14:paraId="61A93A9C">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2.注：方案所称的瑕疵是指：</w:t>
            </w:r>
          </w:p>
          <w:p w14:paraId="52E58034">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（1）要素欠缺、仅有标题而无实质意义叙述内容、内容表述不完整、缺少关键分析点；</w:t>
            </w:r>
          </w:p>
          <w:p w14:paraId="63386568">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（2）缺乏科学合理性，存在逻辑漏洞、常识错误；</w:t>
            </w:r>
          </w:p>
          <w:p w14:paraId="4D095AF6">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（3）内容表述前后矛盾、无连贯性；</w:t>
            </w:r>
          </w:p>
          <w:p w14:paraId="5A73AFBF">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（4）方案不适用本项目特性、非专门针对本项目制定、方案相关内容不利于项目目标实现；</w:t>
            </w:r>
          </w:p>
          <w:p w14:paraId="628DF58D">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（5）方案内容中包含其他项目名称，或出现与本项目不相关的其他内容；</w:t>
            </w:r>
          </w:p>
          <w:p w14:paraId="004D8B27">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（6）内容空泛，无具体方法或内容；</w:t>
            </w:r>
          </w:p>
          <w:p w14:paraId="496F536C">
            <w:pPr>
              <w:widowControl/>
              <w:adjustRightInd w:val="0"/>
              <w:snapToGrid w:val="0"/>
              <w:rPr>
                <w:rFonts w:hint="eastAsia" w:ascii="宋体" w:hAnsi="宋体" w:eastAsia="宋体" w:cs="宋体"/>
                <w:color w:val="auto"/>
                <w:sz w:val="21"/>
                <w:szCs w:val="21"/>
              </w:rPr>
            </w:pPr>
            <w:r>
              <w:rPr>
                <w:rFonts w:hint="eastAsia" w:ascii="宋体" w:hAnsi="宋体" w:eastAsia="宋体" w:cs="Times New Roman"/>
                <w:color w:val="000000"/>
                <w:sz w:val="21"/>
                <w:szCs w:val="21"/>
              </w:rPr>
              <w:t>（7）现有条件下不可能实现的情形。</w:t>
            </w:r>
          </w:p>
        </w:tc>
      </w:tr>
      <w:tr w14:paraId="68B8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vMerge w:val="continue"/>
            <w:vAlign w:val="center"/>
          </w:tcPr>
          <w:p w14:paraId="55A845A6">
            <w:pPr>
              <w:spacing w:line="360" w:lineRule="auto"/>
              <w:ind w:firstLine="28"/>
              <w:jc w:val="center"/>
              <w:rPr>
                <w:rFonts w:hint="eastAsia" w:ascii="宋体" w:hAnsi="宋体" w:eastAsia="宋体" w:cs="宋体"/>
                <w:color w:val="auto"/>
                <w:sz w:val="21"/>
                <w:szCs w:val="21"/>
              </w:rPr>
            </w:pPr>
          </w:p>
        </w:tc>
        <w:tc>
          <w:tcPr>
            <w:tcW w:w="1320" w:type="dxa"/>
            <w:vMerge w:val="continue"/>
            <w:vAlign w:val="center"/>
          </w:tcPr>
          <w:p w14:paraId="5BBE9110">
            <w:pPr>
              <w:spacing w:line="360" w:lineRule="auto"/>
              <w:ind w:firstLine="28"/>
              <w:jc w:val="center"/>
              <w:rPr>
                <w:rFonts w:hint="eastAsia" w:ascii="宋体" w:hAnsi="宋体" w:eastAsia="宋体" w:cs="宋体"/>
                <w:color w:val="auto"/>
                <w:sz w:val="21"/>
                <w:szCs w:val="21"/>
              </w:rPr>
            </w:pPr>
          </w:p>
        </w:tc>
        <w:tc>
          <w:tcPr>
            <w:tcW w:w="1269" w:type="dxa"/>
            <w:vAlign w:val="center"/>
          </w:tcPr>
          <w:p w14:paraId="61155CEB">
            <w:pPr>
              <w:spacing w:line="360" w:lineRule="exact"/>
              <w:ind w:firstLine="28"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highlight w:val="none"/>
              </w:rPr>
              <w:t>技术能力</w:t>
            </w:r>
            <w:r>
              <w:rPr>
                <w:rFonts w:hint="eastAsia" w:ascii="宋体" w:hAnsi="宋体" w:eastAsia="宋体" w:cs="宋体"/>
                <w:sz w:val="21"/>
                <w:szCs w:val="21"/>
                <w:highlight w:val="none"/>
                <w:lang w:val="en-US" w:eastAsia="zh-CN"/>
              </w:rPr>
              <w:t>（20分）</w:t>
            </w:r>
          </w:p>
        </w:tc>
        <w:tc>
          <w:tcPr>
            <w:tcW w:w="4678" w:type="dxa"/>
            <w:vAlign w:val="center"/>
          </w:tcPr>
          <w:p w14:paraId="5C9A953E">
            <w:pPr>
              <w:widowControl/>
              <w:adjustRightInd w:val="0"/>
              <w:snapToGrid w:val="0"/>
              <w:rPr>
                <w:rFonts w:hint="eastAsia" w:ascii="宋体" w:hAnsi="宋体" w:eastAsia="宋体" w:cs="Times New Roman"/>
                <w:color w:val="000000"/>
                <w:sz w:val="21"/>
                <w:szCs w:val="21"/>
                <w:lang w:val="en-US" w:eastAsia="zh-CN"/>
              </w:rPr>
            </w:pPr>
            <w:r>
              <w:rPr>
                <w:rFonts w:hint="eastAsia" w:ascii="宋体" w:hAnsi="宋体" w:cs="宋体"/>
                <w:sz w:val="21"/>
                <w:szCs w:val="21"/>
                <w:highlight w:val="none"/>
                <w:lang w:val="en-US" w:eastAsia="zh-CN"/>
              </w:rPr>
              <w:t>供</w:t>
            </w:r>
            <w:r>
              <w:rPr>
                <w:rFonts w:hint="eastAsia" w:ascii="宋体" w:hAnsi="宋体" w:eastAsia="宋体" w:cs="Times New Roman"/>
                <w:color w:val="000000"/>
                <w:sz w:val="21"/>
                <w:szCs w:val="21"/>
                <w:lang w:val="en-US" w:eastAsia="zh-CN"/>
              </w:rPr>
              <w:t>应商提供的监测技术与工具、监测方式、核心工具、技术能力、词库检测等软件功能。</w:t>
            </w:r>
          </w:p>
          <w:p w14:paraId="3BEDE3EF">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方案内容不存在瑕疵，得</w:t>
            </w:r>
            <w:r>
              <w:rPr>
                <w:rFonts w:hint="eastAsia" w:ascii="宋体" w:hAnsi="宋体" w:eastAsia="宋体" w:cs="Times New Roman"/>
                <w:color w:val="000000"/>
                <w:sz w:val="21"/>
                <w:szCs w:val="21"/>
                <w:lang w:val="en-US" w:eastAsia="zh-CN"/>
              </w:rPr>
              <w:t>20</w:t>
            </w:r>
            <w:r>
              <w:rPr>
                <w:rFonts w:hint="eastAsia" w:ascii="宋体" w:hAnsi="宋体" w:eastAsia="宋体" w:cs="Times New Roman"/>
                <w:color w:val="000000"/>
                <w:sz w:val="21"/>
                <w:szCs w:val="21"/>
              </w:rPr>
              <w:t>分；</w:t>
            </w:r>
          </w:p>
          <w:p w14:paraId="353D8190">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方案内容存在1处瑕疵，得</w:t>
            </w:r>
            <w:r>
              <w:rPr>
                <w:rFonts w:hint="eastAsia" w:ascii="宋体" w:hAnsi="宋体" w:eastAsia="宋体" w:cs="Times New Roman"/>
                <w:color w:val="000000"/>
                <w:sz w:val="21"/>
                <w:szCs w:val="21"/>
                <w:lang w:val="en-US" w:eastAsia="zh-CN"/>
              </w:rPr>
              <w:t>15</w:t>
            </w:r>
            <w:r>
              <w:rPr>
                <w:rFonts w:hint="eastAsia" w:ascii="宋体" w:hAnsi="宋体" w:eastAsia="宋体" w:cs="Times New Roman"/>
                <w:color w:val="000000"/>
                <w:sz w:val="21"/>
                <w:szCs w:val="21"/>
              </w:rPr>
              <w:t>分；</w:t>
            </w:r>
          </w:p>
          <w:p w14:paraId="46D7E64C">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方案内容存在2处瑕疵，得</w:t>
            </w:r>
            <w:r>
              <w:rPr>
                <w:rFonts w:hint="eastAsia" w:ascii="宋体" w:hAnsi="宋体" w:eastAsia="宋体" w:cs="Times New Roman"/>
                <w:color w:val="000000"/>
                <w:sz w:val="21"/>
                <w:szCs w:val="21"/>
                <w:lang w:val="en-US" w:eastAsia="zh-CN"/>
              </w:rPr>
              <w:t>10</w:t>
            </w:r>
            <w:r>
              <w:rPr>
                <w:rFonts w:hint="eastAsia" w:ascii="宋体" w:hAnsi="宋体" w:eastAsia="宋体" w:cs="Times New Roman"/>
                <w:color w:val="000000"/>
                <w:sz w:val="21"/>
                <w:szCs w:val="21"/>
              </w:rPr>
              <w:t>分；</w:t>
            </w:r>
          </w:p>
          <w:p w14:paraId="56B68B55">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方案内容存在3处瑕疵，得</w:t>
            </w:r>
            <w:r>
              <w:rPr>
                <w:rFonts w:hint="eastAsia" w:ascii="宋体" w:hAnsi="宋体" w:eastAsia="宋体" w:cs="Times New Roman"/>
                <w:color w:val="000000"/>
                <w:sz w:val="21"/>
                <w:szCs w:val="21"/>
                <w:lang w:val="en-US" w:eastAsia="zh-CN"/>
              </w:rPr>
              <w:t>5</w:t>
            </w:r>
            <w:r>
              <w:rPr>
                <w:rFonts w:hint="eastAsia" w:ascii="宋体" w:hAnsi="宋体" w:eastAsia="宋体" w:cs="Times New Roman"/>
                <w:color w:val="000000"/>
                <w:sz w:val="21"/>
                <w:szCs w:val="21"/>
              </w:rPr>
              <w:t>分；</w:t>
            </w:r>
          </w:p>
          <w:p w14:paraId="290F3778">
            <w:pPr>
              <w:widowControl/>
              <w:adjustRightInd w:val="0"/>
              <w:snapToGrid w:val="0"/>
              <w:rPr>
                <w:rFonts w:hint="eastAsia" w:ascii="宋体" w:hAnsi="宋体" w:eastAsia="宋体" w:cs="宋体"/>
                <w:color w:val="auto"/>
                <w:sz w:val="21"/>
                <w:szCs w:val="21"/>
              </w:rPr>
            </w:pPr>
            <w:r>
              <w:rPr>
                <w:rFonts w:hint="eastAsia" w:ascii="宋体" w:hAnsi="宋体" w:eastAsia="宋体" w:cs="Times New Roman"/>
                <w:color w:val="000000"/>
                <w:sz w:val="21"/>
                <w:szCs w:val="21"/>
              </w:rPr>
              <w:t>方案内容存在4处及以上瑕疵或未提供得0分。</w:t>
            </w:r>
          </w:p>
        </w:tc>
        <w:tc>
          <w:tcPr>
            <w:tcW w:w="1794" w:type="dxa"/>
            <w:vMerge w:val="continue"/>
            <w:vAlign w:val="center"/>
          </w:tcPr>
          <w:p w14:paraId="1CA248FC">
            <w:pPr>
              <w:spacing w:line="360" w:lineRule="auto"/>
              <w:jc w:val="center"/>
              <w:rPr>
                <w:rFonts w:hint="eastAsia" w:ascii="宋体" w:hAnsi="宋体" w:eastAsia="宋体" w:cs="宋体"/>
                <w:color w:val="auto"/>
                <w:sz w:val="21"/>
                <w:szCs w:val="21"/>
              </w:rPr>
            </w:pPr>
          </w:p>
        </w:tc>
      </w:tr>
      <w:tr w14:paraId="402C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vMerge w:val="continue"/>
            <w:vAlign w:val="center"/>
          </w:tcPr>
          <w:p w14:paraId="5C09A1E0">
            <w:pPr>
              <w:spacing w:line="360" w:lineRule="auto"/>
              <w:ind w:firstLine="28"/>
              <w:jc w:val="center"/>
              <w:rPr>
                <w:rFonts w:hint="eastAsia" w:ascii="宋体" w:hAnsi="宋体" w:eastAsia="宋体" w:cs="宋体"/>
                <w:color w:val="auto"/>
                <w:sz w:val="21"/>
                <w:szCs w:val="21"/>
              </w:rPr>
            </w:pPr>
          </w:p>
        </w:tc>
        <w:tc>
          <w:tcPr>
            <w:tcW w:w="1320" w:type="dxa"/>
            <w:vMerge w:val="continue"/>
            <w:vAlign w:val="center"/>
          </w:tcPr>
          <w:p w14:paraId="3DA29371">
            <w:pPr>
              <w:spacing w:line="360" w:lineRule="auto"/>
              <w:ind w:firstLine="28"/>
              <w:jc w:val="center"/>
              <w:rPr>
                <w:rFonts w:hint="eastAsia" w:ascii="宋体" w:hAnsi="宋体" w:eastAsia="宋体" w:cs="宋体"/>
                <w:color w:val="auto"/>
                <w:sz w:val="21"/>
                <w:szCs w:val="21"/>
              </w:rPr>
            </w:pPr>
          </w:p>
        </w:tc>
        <w:tc>
          <w:tcPr>
            <w:tcW w:w="1269" w:type="dxa"/>
            <w:shd w:val="clear" w:color="auto" w:fill="auto"/>
            <w:vAlign w:val="center"/>
          </w:tcPr>
          <w:p w14:paraId="1EB7C800">
            <w:pPr>
              <w:spacing w:line="360" w:lineRule="exact"/>
              <w:ind w:firstLine="28"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highlight w:val="none"/>
              </w:rPr>
              <w:t>应急检测方案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15分</w:t>
            </w:r>
            <w:r>
              <w:rPr>
                <w:rFonts w:hint="eastAsia" w:ascii="宋体" w:hAnsi="宋体" w:eastAsia="宋体" w:cs="宋体"/>
                <w:sz w:val="21"/>
                <w:szCs w:val="21"/>
                <w:highlight w:val="none"/>
                <w:lang w:eastAsia="zh-CN"/>
              </w:rPr>
              <w:t>）</w:t>
            </w:r>
          </w:p>
        </w:tc>
        <w:tc>
          <w:tcPr>
            <w:tcW w:w="4678" w:type="dxa"/>
            <w:shd w:val="clear" w:color="auto" w:fill="auto"/>
            <w:vAlign w:val="center"/>
          </w:tcPr>
          <w:p w14:paraId="6F46C70D">
            <w:pPr>
              <w:widowControl/>
              <w:adjustRightInd w:val="0"/>
              <w:snapToGrid w:val="0"/>
              <w:rPr>
                <w:rFonts w:hint="default" w:ascii="宋体" w:hAnsi="宋体" w:eastAsia="宋体" w:cs="Times New Roman"/>
                <w:color w:val="000000"/>
                <w:sz w:val="21"/>
                <w:szCs w:val="21"/>
                <w:lang w:val="en-US" w:eastAsia="zh-CN"/>
              </w:rPr>
            </w:pPr>
            <w:r>
              <w:rPr>
                <w:rFonts w:hint="eastAsia" w:ascii="宋体" w:hAnsi="宋体" w:cs="宋体"/>
                <w:sz w:val="21"/>
                <w:szCs w:val="21"/>
                <w:highlight w:val="none"/>
                <w:lang w:val="en-US" w:eastAsia="zh-CN"/>
              </w:rPr>
              <w:t>供</w:t>
            </w:r>
            <w:r>
              <w:rPr>
                <w:rFonts w:hint="eastAsia" w:ascii="宋体" w:hAnsi="宋体" w:eastAsia="宋体" w:cs="Times New Roman"/>
                <w:color w:val="000000"/>
                <w:sz w:val="21"/>
                <w:szCs w:val="21"/>
                <w:lang w:val="en-US" w:eastAsia="zh-CN"/>
              </w:rPr>
              <w:t>应商提供应急检测方案包括：应急检测目标与启动条件、应急检测范围与优先级、应急检测方法与工具、应急检测流程、保障措施与资源准备、告警机制、报告与优化建议等</w:t>
            </w:r>
          </w:p>
          <w:p w14:paraId="593A603F">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内容不存在瑕疵，得</w:t>
            </w:r>
            <w:r>
              <w:rPr>
                <w:rFonts w:hint="eastAsia" w:ascii="宋体" w:hAnsi="宋体" w:eastAsia="宋体" w:cs="Times New Roman"/>
                <w:color w:val="000000"/>
                <w:sz w:val="21"/>
                <w:szCs w:val="21"/>
                <w:lang w:val="en-US" w:eastAsia="zh-CN"/>
              </w:rPr>
              <w:t>15</w:t>
            </w:r>
            <w:r>
              <w:rPr>
                <w:rFonts w:hint="eastAsia" w:ascii="宋体" w:hAnsi="宋体" w:eastAsia="宋体" w:cs="Times New Roman"/>
                <w:color w:val="000000"/>
                <w:sz w:val="21"/>
                <w:szCs w:val="21"/>
              </w:rPr>
              <w:t>分；</w:t>
            </w:r>
          </w:p>
          <w:p w14:paraId="563A70E7">
            <w:pPr>
              <w:widowControl/>
              <w:adjustRightInd w:val="0"/>
              <w:snapToGrid w:val="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内容存在1处瑕疵，</w:t>
            </w:r>
            <w:r>
              <w:rPr>
                <w:rFonts w:hint="eastAsia" w:ascii="宋体" w:hAnsi="宋体" w:eastAsia="宋体" w:cs="Times New Roman"/>
                <w:color w:val="000000"/>
                <w:sz w:val="21"/>
                <w:szCs w:val="21"/>
                <w:lang w:val="en-US" w:eastAsia="zh-CN"/>
              </w:rPr>
              <w:t>得10</w:t>
            </w:r>
            <w:r>
              <w:rPr>
                <w:rFonts w:hint="eastAsia" w:ascii="宋体" w:hAnsi="宋体" w:eastAsia="宋体" w:cs="Times New Roman"/>
                <w:color w:val="000000"/>
                <w:sz w:val="21"/>
                <w:szCs w:val="21"/>
              </w:rPr>
              <w:t>分</w:t>
            </w:r>
            <w:r>
              <w:rPr>
                <w:rFonts w:hint="eastAsia" w:ascii="宋体" w:hAnsi="宋体" w:eastAsia="宋体" w:cs="Times New Roman"/>
                <w:color w:val="000000"/>
                <w:sz w:val="21"/>
                <w:szCs w:val="21"/>
                <w:lang w:eastAsia="zh-CN"/>
              </w:rPr>
              <w:t>；</w:t>
            </w:r>
          </w:p>
          <w:p w14:paraId="556401B5">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内容存在2处瑕疵</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lang w:val="en-US" w:eastAsia="zh-CN"/>
              </w:rPr>
              <w:t>得5</w:t>
            </w:r>
            <w:r>
              <w:rPr>
                <w:rFonts w:hint="eastAsia" w:ascii="宋体" w:hAnsi="宋体" w:eastAsia="宋体" w:cs="Times New Roman"/>
                <w:color w:val="000000"/>
                <w:sz w:val="21"/>
                <w:szCs w:val="21"/>
              </w:rPr>
              <w:t>分；</w:t>
            </w:r>
          </w:p>
          <w:p w14:paraId="59B3CE51">
            <w:pPr>
              <w:widowControl/>
              <w:adjustRightInd w:val="0"/>
              <w:snapToGrid w:val="0"/>
              <w:rPr>
                <w:rFonts w:hint="eastAsia" w:ascii="宋体" w:hAnsi="宋体" w:eastAsia="宋体" w:cs="宋体"/>
                <w:color w:val="auto"/>
                <w:kern w:val="2"/>
                <w:sz w:val="21"/>
                <w:szCs w:val="21"/>
                <w:lang w:val="en-US" w:eastAsia="zh-CN" w:bidi="ar-SA"/>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内容存在3处及以上瑕疵或未提供得0分</w:t>
            </w:r>
            <w:r>
              <w:rPr>
                <w:rFonts w:hint="eastAsia" w:ascii="宋体" w:hAnsi="宋体" w:eastAsia="宋体" w:cs="Times New Roman"/>
                <w:color w:val="000000"/>
                <w:sz w:val="21"/>
                <w:szCs w:val="21"/>
                <w:lang w:val="en-US" w:eastAsia="zh-CN"/>
              </w:rPr>
              <w:t>。</w:t>
            </w:r>
          </w:p>
        </w:tc>
        <w:tc>
          <w:tcPr>
            <w:tcW w:w="1794" w:type="dxa"/>
            <w:vMerge w:val="continue"/>
            <w:vAlign w:val="center"/>
          </w:tcPr>
          <w:p w14:paraId="2AA51EE7">
            <w:pPr>
              <w:spacing w:line="360" w:lineRule="auto"/>
              <w:jc w:val="center"/>
              <w:rPr>
                <w:rFonts w:hint="eastAsia" w:ascii="宋体" w:hAnsi="宋体" w:eastAsia="宋体" w:cs="宋体"/>
                <w:color w:val="auto"/>
                <w:sz w:val="21"/>
                <w:szCs w:val="21"/>
              </w:rPr>
            </w:pPr>
          </w:p>
        </w:tc>
      </w:tr>
      <w:tr w14:paraId="5580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vMerge w:val="continue"/>
            <w:vAlign w:val="center"/>
          </w:tcPr>
          <w:p w14:paraId="49F1C049">
            <w:pPr>
              <w:spacing w:line="360" w:lineRule="auto"/>
              <w:ind w:firstLine="28"/>
              <w:jc w:val="center"/>
              <w:rPr>
                <w:rFonts w:hint="eastAsia" w:ascii="宋体" w:hAnsi="宋体" w:eastAsia="宋体" w:cs="宋体"/>
                <w:color w:val="auto"/>
                <w:sz w:val="21"/>
                <w:szCs w:val="21"/>
              </w:rPr>
            </w:pPr>
          </w:p>
        </w:tc>
        <w:tc>
          <w:tcPr>
            <w:tcW w:w="1320" w:type="dxa"/>
            <w:vMerge w:val="continue"/>
            <w:vAlign w:val="center"/>
          </w:tcPr>
          <w:p w14:paraId="63C1910E">
            <w:pPr>
              <w:spacing w:line="360" w:lineRule="auto"/>
              <w:ind w:firstLine="28"/>
              <w:jc w:val="center"/>
              <w:rPr>
                <w:rFonts w:hint="eastAsia" w:ascii="宋体" w:hAnsi="宋体" w:eastAsia="宋体" w:cs="宋体"/>
                <w:color w:val="auto"/>
                <w:sz w:val="21"/>
                <w:szCs w:val="21"/>
              </w:rPr>
            </w:pPr>
          </w:p>
        </w:tc>
        <w:tc>
          <w:tcPr>
            <w:tcW w:w="1269" w:type="dxa"/>
            <w:vAlign w:val="center"/>
          </w:tcPr>
          <w:p w14:paraId="6AD8EF00">
            <w:pPr>
              <w:spacing w:line="360" w:lineRule="exact"/>
              <w:ind w:firstLine="28" w:firstLineChars="0"/>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highlight w:val="none"/>
              </w:rPr>
              <w:t>保障方案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15分</w:t>
            </w:r>
            <w:r>
              <w:rPr>
                <w:rFonts w:hint="eastAsia" w:ascii="宋体" w:hAnsi="宋体" w:eastAsia="宋体" w:cs="宋体"/>
                <w:sz w:val="21"/>
                <w:szCs w:val="21"/>
                <w:highlight w:val="none"/>
                <w:lang w:eastAsia="zh-CN"/>
              </w:rPr>
              <w:t>）</w:t>
            </w:r>
          </w:p>
        </w:tc>
        <w:tc>
          <w:tcPr>
            <w:tcW w:w="4678" w:type="dxa"/>
            <w:vAlign w:val="center"/>
          </w:tcPr>
          <w:p w14:paraId="6F7C7E21">
            <w:pPr>
              <w:widowControl/>
              <w:adjustRightInd w:val="0"/>
              <w:snapToGrid w:val="0"/>
              <w:rPr>
                <w:rFonts w:hint="eastAsia" w:ascii="宋体" w:hAnsi="宋体" w:eastAsia="宋体" w:cs="Times New Roman"/>
                <w:color w:val="000000"/>
                <w:sz w:val="21"/>
                <w:szCs w:val="21"/>
              </w:rPr>
            </w:pPr>
            <w:r>
              <w:rPr>
                <w:rFonts w:hint="eastAsia" w:ascii="宋体" w:hAnsi="宋体"/>
                <w:color w:val="000000"/>
                <w:sz w:val="21"/>
                <w:szCs w:val="21"/>
              </w:rPr>
              <w:t>提供项目保障方案，包括但不限于服务保障</w:t>
            </w:r>
            <w:r>
              <w:rPr>
                <w:rFonts w:hint="eastAsia" w:ascii="宋体" w:hAnsi="宋体"/>
                <w:color w:val="000000"/>
                <w:sz w:val="21"/>
                <w:szCs w:val="21"/>
                <w:lang w:eastAsia="zh-CN"/>
              </w:rPr>
              <w:t>、</w:t>
            </w:r>
            <w:r>
              <w:rPr>
                <w:rFonts w:hint="eastAsia" w:ascii="宋体" w:hAnsi="宋体"/>
                <w:color w:val="000000"/>
                <w:sz w:val="21"/>
                <w:szCs w:val="21"/>
                <w:lang w:val="en-US" w:eastAsia="zh-CN"/>
              </w:rPr>
              <w:t>人员配置、</w:t>
            </w:r>
            <w:r>
              <w:rPr>
                <w:rFonts w:hint="eastAsia" w:ascii="宋体" w:hAnsi="宋体"/>
                <w:color w:val="000000"/>
                <w:sz w:val="21"/>
                <w:szCs w:val="21"/>
              </w:rPr>
              <w:t>进度安排计划、质量控制措施</w:t>
            </w:r>
            <w:r>
              <w:rPr>
                <w:rFonts w:hint="eastAsia" w:ascii="宋体" w:hAnsi="宋体" w:eastAsia="宋体" w:cs="Times New Roman"/>
                <w:color w:val="000000"/>
                <w:sz w:val="21"/>
                <w:szCs w:val="21"/>
              </w:rPr>
              <w:t>、售后服务等。根据供应商提供的方案的完整性、合理性、可行性和针对性进行评分。</w:t>
            </w:r>
          </w:p>
          <w:p w14:paraId="3DA62F33">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内容不存在瑕疵，得</w:t>
            </w:r>
            <w:r>
              <w:rPr>
                <w:rFonts w:hint="eastAsia" w:ascii="宋体" w:hAnsi="宋体" w:eastAsia="宋体" w:cs="Times New Roman"/>
                <w:color w:val="000000"/>
                <w:sz w:val="21"/>
                <w:szCs w:val="21"/>
                <w:lang w:val="en-US" w:eastAsia="zh-CN"/>
              </w:rPr>
              <w:t>15</w:t>
            </w:r>
            <w:r>
              <w:rPr>
                <w:rFonts w:hint="eastAsia" w:ascii="宋体" w:hAnsi="宋体" w:eastAsia="宋体" w:cs="Times New Roman"/>
                <w:color w:val="000000"/>
                <w:sz w:val="21"/>
                <w:szCs w:val="21"/>
              </w:rPr>
              <w:t>分；</w:t>
            </w:r>
          </w:p>
          <w:p w14:paraId="62249F07">
            <w:pPr>
              <w:widowControl/>
              <w:adjustRightInd w:val="0"/>
              <w:snapToGrid w:val="0"/>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内容存在1处瑕疵，</w:t>
            </w:r>
            <w:r>
              <w:rPr>
                <w:rFonts w:hint="eastAsia" w:ascii="宋体" w:hAnsi="宋体" w:eastAsia="宋体" w:cs="Times New Roman"/>
                <w:color w:val="000000"/>
                <w:sz w:val="21"/>
                <w:szCs w:val="21"/>
                <w:lang w:val="en-US" w:eastAsia="zh-CN"/>
              </w:rPr>
              <w:t>得10</w:t>
            </w:r>
            <w:r>
              <w:rPr>
                <w:rFonts w:hint="eastAsia" w:ascii="宋体" w:hAnsi="宋体" w:eastAsia="宋体" w:cs="Times New Roman"/>
                <w:color w:val="000000"/>
                <w:sz w:val="21"/>
                <w:szCs w:val="21"/>
              </w:rPr>
              <w:t>分</w:t>
            </w:r>
            <w:r>
              <w:rPr>
                <w:rFonts w:hint="eastAsia" w:ascii="宋体" w:hAnsi="宋体" w:eastAsia="宋体" w:cs="Times New Roman"/>
                <w:color w:val="000000"/>
                <w:sz w:val="21"/>
                <w:szCs w:val="21"/>
                <w:lang w:eastAsia="zh-CN"/>
              </w:rPr>
              <w:t>；</w:t>
            </w:r>
          </w:p>
          <w:p w14:paraId="636822B6">
            <w:pPr>
              <w:widowControl/>
              <w:adjustRightInd w:val="0"/>
              <w:snapToGrid w:val="0"/>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内容存在2处瑕疵</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lang w:val="en-US" w:eastAsia="zh-CN"/>
              </w:rPr>
              <w:t>得5</w:t>
            </w:r>
            <w:r>
              <w:rPr>
                <w:rFonts w:hint="eastAsia" w:ascii="宋体" w:hAnsi="宋体" w:eastAsia="宋体" w:cs="Times New Roman"/>
                <w:color w:val="000000"/>
                <w:sz w:val="21"/>
                <w:szCs w:val="21"/>
              </w:rPr>
              <w:t>分；</w:t>
            </w:r>
          </w:p>
          <w:p w14:paraId="77C657D8">
            <w:pPr>
              <w:widowControl/>
              <w:adjustRightInd w:val="0"/>
              <w:snapToGrid w:val="0"/>
              <w:rPr>
                <w:rFonts w:hint="eastAsia" w:ascii="宋体" w:hAnsi="宋体" w:eastAsia="宋体" w:cs="宋体"/>
                <w:color w:val="auto"/>
                <w:sz w:val="21"/>
                <w:szCs w:val="21"/>
              </w:rPr>
            </w:pPr>
            <w:r>
              <w:rPr>
                <w:rFonts w:hint="eastAsia" w:ascii="宋体" w:hAnsi="宋体" w:eastAsia="宋体" w:cs="Times New Roman"/>
                <w:color w:val="000000"/>
                <w:sz w:val="21"/>
                <w:szCs w:val="21"/>
                <w:lang w:val="en-US" w:eastAsia="zh-CN"/>
              </w:rPr>
              <w:t>方案</w:t>
            </w:r>
            <w:r>
              <w:rPr>
                <w:rFonts w:hint="eastAsia" w:ascii="宋体" w:hAnsi="宋体" w:eastAsia="宋体" w:cs="Times New Roman"/>
                <w:color w:val="000000"/>
                <w:sz w:val="21"/>
                <w:szCs w:val="21"/>
              </w:rPr>
              <w:t>内容存在3处及以上瑕疵或未提供得0分</w:t>
            </w:r>
            <w:r>
              <w:rPr>
                <w:rFonts w:hint="eastAsia" w:ascii="宋体" w:hAnsi="宋体" w:eastAsia="宋体" w:cs="Times New Roman"/>
                <w:color w:val="000000"/>
                <w:sz w:val="21"/>
                <w:szCs w:val="21"/>
                <w:lang w:val="en-US" w:eastAsia="zh-CN"/>
              </w:rPr>
              <w:t>。</w:t>
            </w:r>
          </w:p>
        </w:tc>
        <w:tc>
          <w:tcPr>
            <w:tcW w:w="1794" w:type="dxa"/>
            <w:vMerge w:val="continue"/>
            <w:vAlign w:val="center"/>
          </w:tcPr>
          <w:p w14:paraId="1F085711">
            <w:pPr>
              <w:spacing w:line="360" w:lineRule="auto"/>
              <w:jc w:val="center"/>
              <w:rPr>
                <w:rFonts w:hint="eastAsia" w:ascii="宋体" w:hAnsi="宋体" w:eastAsia="宋体" w:cs="宋体"/>
                <w:color w:val="auto"/>
                <w:sz w:val="21"/>
                <w:szCs w:val="21"/>
              </w:rPr>
            </w:pPr>
          </w:p>
        </w:tc>
      </w:tr>
      <w:tr w14:paraId="62EC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675" w:type="dxa"/>
            <w:vMerge w:val="restart"/>
            <w:vAlign w:val="center"/>
          </w:tcPr>
          <w:p w14:paraId="61ADC5EF">
            <w:pPr>
              <w:spacing w:line="36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20" w:type="dxa"/>
            <w:vMerge w:val="restart"/>
            <w:vAlign w:val="center"/>
          </w:tcPr>
          <w:p w14:paraId="1583D5A2">
            <w:pPr>
              <w:spacing w:line="360" w:lineRule="auto"/>
              <w:ind w:firstLine="28"/>
              <w:jc w:val="center"/>
              <w:rPr>
                <w:rFonts w:hint="eastAsia" w:ascii="宋体" w:hAnsi="宋体" w:eastAsia="宋体" w:cs="宋体"/>
                <w:color w:val="auto"/>
              </w:rPr>
            </w:pPr>
            <w:r>
              <w:rPr>
                <w:rFonts w:hint="eastAsia" w:ascii="宋体" w:hAnsi="宋体" w:eastAsia="宋体" w:cs="宋体"/>
                <w:color w:val="auto"/>
                <w:sz w:val="21"/>
                <w:szCs w:val="21"/>
              </w:rPr>
              <w:t>商务部分（</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w:t>
            </w:r>
          </w:p>
        </w:tc>
        <w:tc>
          <w:tcPr>
            <w:tcW w:w="1269" w:type="dxa"/>
            <w:vAlign w:val="center"/>
          </w:tcPr>
          <w:p w14:paraId="70D05DA8">
            <w:pPr>
              <w:spacing w:line="360" w:lineRule="exact"/>
              <w:ind w:firstLine="28"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highlight w:val="none"/>
              </w:rPr>
              <w:t>业绩</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6分</w:t>
            </w:r>
            <w:r>
              <w:rPr>
                <w:rFonts w:hint="eastAsia" w:ascii="宋体" w:hAnsi="宋体" w:eastAsia="宋体" w:cs="宋体"/>
                <w:color w:val="000000"/>
                <w:sz w:val="21"/>
                <w:szCs w:val="21"/>
                <w:highlight w:val="none"/>
                <w:lang w:eastAsia="zh-CN"/>
              </w:rPr>
              <w:t>）</w:t>
            </w:r>
          </w:p>
        </w:tc>
        <w:tc>
          <w:tcPr>
            <w:tcW w:w="4678" w:type="dxa"/>
            <w:vAlign w:val="center"/>
          </w:tcPr>
          <w:p w14:paraId="1C700357">
            <w:pPr>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供应商提供</w:t>
            </w:r>
            <w:r>
              <w:rPr>
                <w:rFonts w:hint="eastAsia" w:ascii="宋体" w:hAnsi="宋体" w:eastAsia="宋体" w:cs="宋体"/>
                <w:color w:val="000000"/>
                <w:sz w:val="21"/>
                <w:szCs w:val="21"/>
                <w:highlight w:val="none"/>
                <w:lang w:val="en-US" w:eastAsia="zh-CN"/>
              </w:rPr>
              <w:t>2022</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月1日至今类似项目业绩</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每提供1个得2分，最高得6分。</w:t>
            </w:r>
          </w:p>
          <w:p w14:paraId="3E058FD4">
            <w:pPr>
              <w:spacing w:line="360" w:lineRule="exact"/>
              <w:rPr>
                <w:rFonts w:hint="eastAsia" w:ascii="宋体" w:hAnsi="宋体" w:eastAsia="宋体" w:cs="宋体"/>
                <w:color w:val="auto"/>
                <w:sz w:val="21"/>
                <w:szCs w:val="21"/>
              </w:rPr>
            </w:pPr>
          </w:p>
        </w:tc>
        <w:tc>
          <w:tcPr>
            <w:tcW w:w="1794" w:type="dxa"/>
            <w:vAlign w:val="center"/>
          </w:tcPr>
          <w:p w14:paraId="22575955">
            <w:pPr>
              <w:spacing w:line="360" w:lineRule="exact"/>
              <w:rPr>
                <w:rFonts w:hint="eastAsia" w:ascii="宋体" w:hAnsi="宋体" w:eastAsia="宋体" w:cs="宋体"/>
                <w:color w:val="auto"/>
                <w:sz w:val="21"/>
                <w:szCs w:val="21"/>
              </w:rPr>
            </w:pPr>
            <w:r>
              <w:rPr>
                <w:rFonts w:hint="eastAsia" w:ascii="宋体" w:hAnsi="宋体" w:eastAsia="宋体" w:cs="宋体"/>
                <w:color w:val="000000"/>
                <w:sz w:val="21"/>
                <w:szCs w:val="21"/>
                <w:highlight w:val="none"/>
              </w:rPr>
              <w:t>时间以合同或中标通知书复印件为准，复印件需加盖公章</w:t>
            </w:r>
          </w:p>
        </w:tc>
      </w:tr>
      <w:tr w14:paraId="0C1F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75" w:type="dxa"/>
            <w:vMerge w:val="continue"/>
            <w:vAlign w:val="center"/>
          </w:tcPr>
          <w:p w14:paraId="057FC163">
            <w:pPr>
              <w:spacing w:line="360" w:lineRule="auto"/>
              <w:ind w:firstLine="28"/>
              <w:jc w:val="center"/>
              <w:rPr>
                <w:rFonts w:hint="eastAsia" w:ascii="宋体" w:hAnsi="宋体" w:eastAsia="宋体" w:cs="宋体"/>
                <w:color w:val="auto"/>
                <w:sz w:val="21"/>
                <w:szCs w:val="21"/>
              </w:rPr>
            </w:pPr>
          </w:p>
        </w:tc>
        <w:tc>
          <w:tcPr>
            <w:tcW w:w="1320" w:type="dxa"/>
            <w:vMerge w:val="continue"/>
            <w:vAlign w:val="center"/>
          </w:tcPr>
          <w:p w14:paraId="0FAF00AA">
            <w:pPr>
              <w:spacing w:line="360" w:lineRule="auto"/>
              <w:ind w:firstLine="28"/>
              <w:jc w:val="center"/>
              <w:rPr>
                <w:rFonts w:hint="eastAsia" w:ascii="宋体" w:hAnsi="宋体" w:eastAsia="宋体" w:cs="宋体"/>
                <w:color w:val="auto"/>
                <w:sz w:val="21"/>
                <w:szCs w:val="21"/>
              </w:rPr>
            </w:pPr>
          </w:p>
        </w:tc>
        <w:tc>
          <w:tcPr>
            <w:tcW w:w="1269" w:type="dxa"/>
            <w:vAlign w:val="center"/>
          </w:tcPr>
          <w:p w14:paraId="2867A091">
            <w:pPr>
              <w:spacing w:line="360" w:lineRule="exact"/>
              <w:ind w:firstLine="28" w:firstLineChars="0"/>
              <w:jc w:val="center"/>
              <w:rPr>
                <w:rFonts w:hint="eastAsia" w:ascii="宋体" w:hAnsi="宋体" w:eastAsia="宋体" w:cs="宋体"/>
                <w:color w:val="auto"/>
                <w:sz w:val="21"/>
                <w:szCs w:val="21"/>
              </w:rPr>
            </w:pPr>
            <w:r>
              <w:rPr>
                <w:rFonts w:hint="eastAsia" w:ascii="宋体" w:hAnsi="宋体" w:eastAsia="宋体" w:cs="宋体"/>
                <w:color w:val="000000"/>
                <w:sz w:val="21"/>
                <w:szCs w:val="21"/>
                <w:highlight w:val="none"/>
              </w:rPr>
              <w:t>计算机软件著作权证书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4分</w:t>
            </w:r>
            <w:r>
              <w:rPr>
                <w:rFonts w:hint="eastAsia" w:ascii="宋体" w:hAnsi="宋体" w:eastAsia="宋体" w:cs="宋体"/>
                <w:color w:val="000000"/>
                <w:sz w:val="21"/>
                <w:szCs w:val="21"/>
                <w:highlight w:val="none"/>
                <w:lang w:eastAsia="zh-CN"/>
              </w:rPr>
              <w:t>）</w:t>
            </w:r>
          </w:p>
        </w:tc>
        <w:tc>
          <w:tcPr>
            <w:tcW w:w="4678" w:type="dxa"/>
            <w:vAlign w:val="center"/>
          </w:tcPr>
          <w:p w14:paraId="6E0927D2">
            <w:pPr>
              <w:spacing w:line="36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投标人每提供1个具有网站监测、管理等相关软件著作权证书得2分，最高得4分。</w:t>
            </w:r>
          </w:p>
          <w:p w14:paraId="073E8D5D">
            <w:pPr>
              <w:spacing w:line="360" w:lineRule="exact"/>
              <w:rPr>
                <w:rFonts w:hint="eastAsia" w:ascii="宋体" w:hAnsi="宋体" w:eastAsia="宋体" w:cs="宋体"/>
                <w:color w:val="auto"/>
                <w:sz w:val="21"/>
                <w:szCs w:val="21"/>
              </w:rPr>
            </w:pPr>
          </w:p>
        </w:tc>
        <w:tc>
          <w:tcPr>
            <w:tcW w:w="1794" w:type="dxa"/>
            <w:vAlign w:val="center"/>
          </w:tcPr>
          <w:p w14:paraId="7661EA13">
            <w:pPr>
              <w:spacing w:line="360" w:lineRule="exact"/>
              <w:rPr>
                <w:rFonts w:hint="eastAsia" w:ascii="宋体" w:hAnsi="宋体" w:eastAsia="宋体" w:cs="宋体"/>
                <w:color w:val="auto"/>
                <w:sz w:val="21"/>
                <w:szCs w:val="21"/>
              </w:rPr>
            </w:pPr>
            <w:r>
              <w:rPr>
                <w:rFonts w:hint="eastAsia" w:ascii="宋体" w:hAnsi="宋体" w:eastAsia="宋体" w:cs="宋体"/>
                <w:color w:val="000000"/>
                <w:sz w:val="21"/>
                <w:szCs w:val="21"/>
                <w:highlight w:val="none"/>
              </w:rPr>
              <w:t>响应文件提供相关证书证明复印件，复印件需加盖公章</w:t>
            </w:r>
            <w:r>
              <w:rPr>
                <w:rFonts w:hint="eastAsia" w:ascii="宋体" w:hAnsi="宋体" w:eastAsia="宋体" w:cs="宋体"/>
                <w:color w:val="000000"/>
                <w:sz w:val="21"/>
                <w:szCs w:val="21"/>
                <w:highlight w:val="none"/>
                <w:lang w:eastAsia="zh-CN"/>
              </w:rPr>
              <w:t>。</w:t>
            </w:r>
          </w:p>
        </w:tc>
      </w:tr>
    </w:tbl>
    <w:p w14:paraId="51F90050">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注注：关于小微企业报价扣除比例说明</w:t>
      </w:r>
    </w:p>
    <w:p w14:paraId="31683941">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1.对小型企业和微型企业给予10%的扣除，以扣除后的报价参与评审。</w:t>
      </w:r>
    </w:p>
    <w:p w14:paraId="5C8CC9C3">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2.监狱企业、残疾人福利性单位属于微型企业的，应提供中小微企业声明函（详见第七篇 五、其他“中小微企业声明函”）。未提供以上资料的监狱企业、残疾人福利性单位视同小型企业。</w:t>
      </w:r>
    </w:p>
    <w:p w14:paraId="635FB8FF">
      <w:pPr>
        <w:pStyle w:val="3"/>
        <w:spacing w:before="0" w:after="0" w:line="360" w:lineRule="auto"/>
        <w:rPr>
          <w:rFonts w:hint="eastAsia" w:ascii="宋体" w:hAnsi="宋体" w:eastAsia="宋体" w:cs="宋体"/>
          <w:sz w:val="24"/>
          <w:szCs w:val="24"/>
        </w:rPr>
      </w:pPr>
      <w:bookmarkStart w:id="46" w:name="_Toc2705"/>
      <w:r>
        <w:rPr>
          <w:rFonts w:hint="eastAsia" w:ascii="宋体" w:hAnsi="宋体" w:eastAsia="宋体" w:cs="宋体"/>
          <w:sz w:val="24"/>
          <w:szCs w:val="24"/>
        </w:rPr>
        <w:t>三、无效响应</w:t>
      </w:r>
      <w:bookmarkEnd w:id="46"/>
    </w:p>
    <w:p w14:paraId="2FC6C0EF">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供应商发生以下条款情况之一者，视为响应无效，其响应文件将被拒绝：</w:t>
      </w:r>
    </w:p>
    <w:p w14:paraId="7C276448">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（一）供应商</w:t>
      </w:r>
      <w:r>
        <w:rPr>
          <w:rFonts w:hint="eastAsia" w:ascii="宋体" w:hAnsi="宋体" w:eastAsia="宋体" w:cs="宋体"/>
          <w:sz w:val="24"/>
          <w:szCs w:val="24"/>
          <w:lang w:val="en-US" w:eastAsia="zh-CN"/>
        </w:rPr>
        <w:t>未通过资格性检查</w:t>
      </w:r>
      <w:r>
        <w:rPr>
          <w:rFonts w:hint="eastAsia" w:ascii="宋体" w:hAnsi="宋体" w:eastAsia="宋体" w:cs="宋体"/>
          <w:sz w:val="24"/>
          <w:szCs w:val="24"/>
        </w:rPr>
        <w:t>或</w:t>
      </w:r>
      <w:r>
        <w:rPr>
          <w:rFonts w:hint="eastAsia" w:ascii="宋体" w:hAnsi="宋体" w:eastAsia="宋体" w:cs="宋体"/>
          <w:kern w:val="0"/>
          <w:sz w:val="24"/>
          <w:szCs w:val="24"/>
        </w:rPr>
        <w:t>符合性检查</w:t>
      </w:r>
      <w:r>
        <w:rPr>
          <w:rFonts w:hint="eastAsia" w:ascii="宋体" w:hAnsi="宋体" w:eastAsia="宋体" w:cs="宋体"/>
          <w:sz w:val="24"/>
          <w:szCs w:val="24"/>
        </w:rPr>
        <w:t>的；</w:t>
      </w:r>
    </w:p>
    <w:p w14:paraId="04B6C8EE">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（二）供应商未按磋商文件规定购买磋商文件的；</w:t>
      </w:r>
    </w:p>
    <w:p w14:paraId="36E402B7">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（三）供应商的法定代表人或其授权代表未参加磋商；</w:t>
      </w:r>
    </w:p>
    <w:p w14:paraId="06FE62B5">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（四）供应商所提交的响应文件不按第七篇“响应文件编制要求”规定签字、盖章；</w:t>
      </w:r>
    </w:p>
    <w:p w14:paraId="53C7032E">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（五）供应商的最后报价超过采购预算的；</w:t>
      </w:r>
    </w:p>
    <w:p w14:paraId="0323A6F3">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（六）法定代表人为同一个人的两个及两个以上法人，母公司、全资子公司及其控股公司，在同一分包采购中同时参与磋商；</w:t>
      </w:r>
    </w:p>
    <w:p w14:paraId="6CCB8C8C">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（七）单位负责人为同一人或者存在直接控股、管理关系的不同供应商，参加同一合同项下的政府采购活动的；</w:t>
      </w:r>
    </w:p>
    <w:p w14:paraId="2B8EB2FC">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（八）为采购项目提供整体设计、规范编制或者项目管理、监理、检测等服务的供应商，再参加该采购项目的其他采购活动；</w:t>
      </w:r>
    </w:p>
    <w:p w14:paraId="5850013E">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（九）供应商的服务期、质量保证期及磋商有效期不满足竞争性磋商文件要求的；</w:t>
      </w:r>
    </w:p>
    <w:p w14:paraId="7866C9A2">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（十）供应商响应文件内容有与国家现行法律法规相违背的内容，或附有采购人无法接受的条件。</w:t>
      </w:r>
    </w:p>
    <w:p w14:paraId="169ADCDA">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（十一）</w:t>
      </w:r>
      <w:r>
        <w:rPr>
          <w:rFonts w:hint="eastAsia" w:ascii="宋体" w:hAnsi="宋体" w:eastAsia="宋体" w:cs="宋体"/>
          <w:color w:val="000000" w:themeColor="text1"/>
          <w:sz w:val="24"/>
          <w:szCs w:val="24"/>
          <w14:textFill>
            <w14:solidFill>
              <w14:schemeClr w14:val="tx1"/>
            </w14:solidFill>
          </w14:textFill>
        </w:rPr>
        <w:t>法律、法规和竞争性磋商文件规定的其他无效情形</w:t>
      </w:r>
      <w:r>
        <w:rPr>
          <w:rFonts w:hint="eastAsia" w:ascii="宋体" w:hAnsi="宋体" w:eastAsia="宋体" w:cs="宋体"/>
          <w:sz w:val="24"/>
          <w:szCs w:val="24"/>
        </w:rPr>
        <w:t>。</w:t>
      </w:r>
    </w:p>
    <w:p w14:paraId="0C6C4139">
      <w:pPr>
        <w:pStyle w:val="3"/>
        <w:spacing w:before="0" w:after="0" w:line="360" w:lineRule="auto"/>
        <w:rPr>
          <w:rFonts w:hint="eastAsia" w:ascii="宋体" w:hAnsi="宋体" w:eastAsia="宋体" w:cs="宋体"/>
          <w:sz w:val="24"/>
          <w:szCs w:val="24"/>
        </w:rPr>
      </w:pPr>
      <w:bookmarkStart w:id="47" w:name="_Toc15696"/>
      <w:r>
        <w:rPr>
          <w:rFonts w:hint="eastAsia" w:ascii="宋体" w:hAnsi="宋体" w:eastAsia="宋体" w:cs="宋体"/>
          <w:sz w:val="24"/>
          <w:szCs w:val="24"/>
        </w:rPr>
        <w:t>四、</w:t>
      </w:r>
      <w:bookmarkEnd w:id="44"/>
      <w:bookmarkEnd w:id="45"/>
      <w:r>
        <w:rPr>
          <w:rFonts w:hint="eastAsia" w:ascii="宋体" w:hAnsi="宋体" w:eastAsia="宋体" w:cs="宋体"/>
          <w:sz w:val="24"/>
          <w:szCs w:val="24"/>
        </w:rPr>
        <w:t>采购终止</w:t>
      </w:r>
      <w:bookmarkEnd w:id="47"/>
    </w:p>
    <w:p w14:paraId="21858464">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2CAFB1A8">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14:paraId="46BF2F06">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086EEB00">
      <w:pPr>
        <w:snapToGrid w:val="0"/>
        <w:spacing w:line="360" w:lineRule="auto"/>
        <w:ind w:firstLine="465"/>
        <w:jc w:val="left"/>
        <w:rPr>
          <w:rFonts w:hint="eastAsia" w:ascii="宋体" w:hAnsi="宋体" w:eastAsia="宋体" w:cs="宋体"/>
          <w:sz w:val="24"/>
          <w:szCs w:val="24"/>
        </w:rPr>
      </w:pPr>
      <w:r>
        <w:rPr>
          <w:rFonts w:hint="eastAsia" w:ascii="宋体" w:hAnsi="宋体" w:eastAsia="宋体" w:cs="宋体"/>
          <w:sz w:val="24"/>
          <w:szCs w:val="24"/>
        </w:rPr>
        <w:t>（三）在采购过程中符合要求的供应商或者报价未超过最高限价的供应商不足3家的，但《政府采购竞争性磋商采购方式管理暂行办法》第二十一条第三款规定的情形,以及财政部财库[2015]124号文件规定的情形除外。</w:t>
      </w:r>
    </w:p>
    <w:p w14:paraId="6BE857E7">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bookmarkEnd w:id="42"/>
    <w:p w14:paraId="061FDF8D">
      <w:pPr>
        <w:pStyle w:val="2"/>
        <w:spacing w:line="360" w:lineRule="auto"/>
        <w:jc w:val="center"/>
        <w:rPr>
          <w:rFonts w:hint="eastAsia" w:ascii="宋体" w:hAnsi="宋体" w:eastAsia="宋体" w:cs="宋体"/>
          <w:b/>
          <w:sz w:val="36"/>
          <w:szCs w:val="36"/>
        </w:rPr>
      </w:pPr>
      <w:bookmarkStart w:id="48" w:name="_Toc6233"/>
      <w:bookmarkStart w:id="49" w:name="_Toc30508"/>
      <w:bookmarkStart w:id="50" w:name="_Toc507411003"/>
      <w:bookmarkStart w:id="51" w:name="_Toc512413890"/>
      <w:bookmarkStart w:id="52" w:name="_Toc12789059"/>
      <w:bookmarkStart w:id="53" w:name="_Toc11641055"/>
      <w:r>
        <w:rPr>
          <w:rFonts w:hint="eastAsia" w:ascii="宋体" w:hAnsi="宋体" w:eastAsia="宋体" w:cs="宋体"/>
          <w:b/>
          <w:sz w:val="36"/>
          <w:szCs w:val="36"/>
        </w:rPr>
        <w:t>第五篇  供应商须知</w:t>
      </w:r>
      <w:bookmarkEnd w:id="48"/>
      <w:bookmarkEnd w:id="49"/>
    </w:p>
    <w:p w14:paraId="02D5EEDB">
      <w:pPr>
        <w:pStyle w:val="4"/>
        <w:spacing w:before="0" w:after="0" w:line="440" w:lineRule="exact"/>
        <w:rPr>
          <w:rFonts w:hint="eastAsia" w:ascii="宋体" w:hAnsi="宋体" w:eastAsia="宋体" w:cs="宋体"/>
          <w:color w:val="000000"/>
          <w:sz w:val="24"/>
          <w:szCs w:val="24"/>
        </w:rPr>
      </w:pPr>
      <w:bookmarkStart w:id="54" w:name="_Toc7180"/>
      <w:bookmarkStart w:id="55" w:name="_Toc342913389"/>
      <w:bookmarkStart w:id="56" w:name="_Toc8448"/>
      <w:r>
        <w:rPr>
          <w:rFonts w:hint="eastAsia" w:ascii="宋体" w:hAnsi="宋体" w:eastAsia="宋体" w:cs="宋体"/>
          <w:color w:val="000000"/>
          <w:sz w:val="24"/>
          <w:szCs w:val="24"/>
        </w:rPr>
        <w:t>一、磋商费用</w:t>
      </w:r>
      <w:bookmarkEnd w:id="54"/>
      <w:bookmarkEnd w:id="55"/>
      <w:bookmarkEnd w:id="56"/>
    </w:p>
    <w:p w14:paraId="6F994790">
      <w:pPr>
        <w:pStyle w:val="182"/>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参与磋商的供应商应承担其编制响应文件与递交响应文件所涉及的一切费用，不论磋商结果如何，采购人和采购代理机构在任何情况下无义务也无责任承担这些费用。</w:t>
      </w:r>
    </w:p>
    <w:p w14:paraId="729CB52F">
      <w:pPr>
        <w:pStyle w:val="4"/>
        <w:tabs>
          <w:tab w:val="left" w:pos="2640"/>
        </w:tabs>
        <w:spacing w:before="0" w:after="0" w:line="400" w:lineRule="exact"/>
        <w:rPr>
          <w:rFonts w:hint="eastAsia" w:ascii="宋体" w:hAnsi="宋体" w:eastAsia="宋体" w:cs="宋体"/>
          <w:color w:val="000000"/>
          <w:sz w:val="24"/>
          <w:szCs w:val="24"/>
        </w:rPr>
      </w:pPr>
      <w:bookmarkStart w:id="57" w:name="_Toc29754"/>
      <w:bookmarkStart w:id="58" w:name="_Toc342913391"/>
      <w:bookmarkStart w:id="59" w:name="_Toc6097"/>
      <w:r>
        <w:rPr>
          <w:rFonts w:hint="eastAsia" w:ascii="宋体" w:hAnsi="宋体" w:eastAsia="宋体" w:cs="宋体"/>
          <w:color w:val="000000"/>
          <w:sz w:val="24"/>
          <w:szCs w:val="24"/>
        </w:rPr>
        <w:t>二、竞争性磋商文件</w:t>
      </w:r>
      <w:bookmarkEnd w:id="57"/>
      <w:bookmarkEnd w:id="58"/>
      <w:bookmarkEnd w:id="59"/>
    </w:p>
    <w:p w14:paraId="053FDE09">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（一）竞争性磋商文件由采购邀请书、供应商须知、采购服务需求、采购商务需求、合同草案条款、响应文件编制要求六部分组成。</w:t>
      </w:r>
    </w:p>
    <w:p w14:paraId="73564E12">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（二）采购人（或采购代理机构）所作的一切有效的书面通知、修改及补充，都是竞争性磋商文件不可分割的部分。</w:t>
      </w:r>
    </w:p>
    <w:p w14:paraId="60FEFD1E">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w:t>
      </w:r>
      <w:bookmarkStart w:id="60" w:name="_Toc318166429"/>
      <w:bookmarkStart w:id="61" w:name="_Toc318159160"/>
      <w:bookmarkStart w:id="62" w:name="_Toc318159780"/>
      <w:bookmarkStart w:id="63" w:name="_Toc318159349"/>
      <w:r>
        <w:rPr>
          <w:rFonts w:hint="eastAsia" w:ascii="宋体" w:hAnsi="宋体" w:eastAsia="宋体" w:cs="宋体"/>
          <w:color w:val="000000"/>
          <w:sz w:val="24"/>
          <w:szCs w:val="24"/>
        </w:rPr>
        <w:t>本竞争性磋商文件中，磋商小组根据与供应商进行磋商可能实质性变动的内容为竞争性磋商文件第三、四、五篇全部内容。</w:t>
      </w:r>
    </w:p>
    <w:p w14:paraId="45602802">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（四）评审的依据为竞争性磋商文件和响应文件（含有效的书面承诺）。磋商小组判断响应文件对竞争性磋商文件的响应，仅基于响应文件本身而不靠外部证据。</w:t>
      </w:r>
    </w:p>
    <w:bookmarkEnd w:id="60"/>
    <w:bookmarkEnd w:id="61"/>
    <w:bookmarkEnd w:id="62"/>
    <w:bookmarkEnd w:id="63"/>
    <w:p w14:paraId="2716CC8F">
      <w:pPr>
        <w:pStyle w:val="4"/>
        <w:spacing w:before="0" w:after="0" w:line="400" w:lineRule="exact"/>
        <w:rPr>
          <w:rFonts w:hint="eastAsia" w:ascii="宋体" w:hAnsi="宋体" w:eastAsia="宋体" w:cs="宋体"/>
          <w:color w:val="000000"/>
          <w:sz w:val="24"/>
          <w:szCs w:val="24"/>
        </w:rPr>
      </w:pPr>
      <w:bookmarkStart w:id="64" w:name="_Toc102227318"/>
      <w:bookmarkStart w:id="65" w:name="_Toc17309"/>
      <w:bookmarkStart w:id="66" w:name="_Toc18772"/>
      <w:bookmarkStart w:id="67" w:name="_Toc342913392"/>
      <w:bookmarkStart w:id="68" w:name="_Toc179714297"/>
      <w:r>
        <w:rPr>
          <w:rFonts w:hint="eastAsia" w:ascii="宋体" w:hAnsi="宋体" w:eastAsia="宋体" w:cs="宋体"/>
          <w:color w:val="000000"/>
          <w:sz w:val="24"/>
          <w:szCs w:val="24"/>
        </w:rPr>
        <w:t>三、磋商要求</w:t>
      </w:r>
      <w:bookmarkEnd w:id="64"/>
      <w:bookmarkEnd w:id="65"/>
      <w:bookmarkEnd w:id="66"/>
      <w:bookmarkEnd w:id="67"/>
      <w:bookmarkEnd w:id="68"/>
    </w:p>
    <w:p w14:paraId="7368F689">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（一）响应文件</w:t>
      </w:r>
    </w:p>
    <w:p w14:paraId="421E64F2">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1.供应商应当按照竞争性磋商文件的要求编制响应文件，并对竞争性磋商文件提出的要求和条件作出实质性响应，响应文件原则上采用软面订本，同时应编制完整的页码、目录。</w:t>
      </w:r>
    </w:p>
    <w:p w14:paraId="49088260">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2.响应文件组成</w:t>
      </w:r>
    </w:p>
    <w:p w14:paraId="1AD1E34A">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响应文件由第</w:t>
      </w: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rPr>
        <w:t>篇“响应文件编制要求”规定的部分和供应商所作的一切有效补充、修改和承诺等文件组成，供应商应按照第</w:t>
      </w: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rPr>
        <w:t>篇“响应文件编制要求”规定的目录顺序组织编写和装订，也可在基本格式基础上对表格进行扩展，未规定格式的由供应商自定格式。</w:t>
      </w:r>
    </w:p>
    <w:p w14:paraId="046FC79F">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（二）联合体</w:t>
      </w:r>
    </w:p>
    <w:p w14:paraId="5F8292B2">
      <w:pPr>
        <w:spacing w:line="40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本项目不接受以联合体形式参与磋商。</w:t>
      </w:r>
    </w:p>
    <w:p w14:paraId="64CA65D1">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（三）磋商有效期：响应文件及有关承诺文件有效期为提交响应文件截止时间起90天。</w:t>
      </w:r>
    </w:p>
    <w:p w14:paraId="6DD88381">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（四）修正错误</w:t>
      </w:r>
    </w:p>
    <w:p w14:paraId="71FE3154">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1.若供应商所递交的响应文件或最后报价中的价格出现大写金额和小写金额不一致的错误，以大写金额修正为准。</w:t>
      </w:r>
    </w:p>
    <w:p w14:paraId="45CB6618">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34886FFE">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（五）提交响应文件的份数和签署</w:t>
      </w:r>
    </w:p>
    <w:p w14:paraId="6A8482D5">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1.响应文件一式三份，其中正本一份，副本二份；副本可为正本的复印件，应与正本一致，如出现不一致情况以正本为准。</w:t>
      </w:r>
    </w:p>
    <w:p w14:paraId="65385C23">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2.在响应文件正本中，竞争性磋商文件第</w:t>
      </w: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rPr>
        <w:t>篇响应文件编制要求中规定签字、盖章的地方必须按其规定签字、盖章。</w:t>
      </w:r>
    </w:p>
    <w:p w14:paraId="7D3BA7EF">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（六）响应文件的递交</w:t>
      </w:r>
    </w:p>
    <w:p w14:paraId="158B7CFE">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 响应文件的密封</w:t>
      </w:r>
    </w:p>
    <w:p w14:paraId="018E0EE8">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1.1响应文件的正本、副本均应密封送达递交响应文件地点，应在封套上注明项目名称、供应商名称。若正本、副本分别进行密封的，还应在封套上注明“正本”、“副本”字样。</w:t>
      </w:r>
    </w:p>
    <w:p w14:paraId="7DA444F1">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1.2封套的封口处应加盖供应商公章或由法定代表人授权代表签字。</w:t>
      </w:r>
    </w:p>
    <w:p w14:paraId="0A1E4EAF">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2.如果未按上述规定进行密封，采购代理机构对响应文件误投、丢失或提前拆封不负责任。</w:t>
      </w:r>
    </w:p>
    <w:p w14:paraId="3EEB0C97">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（七）供应商参与人员</w:t>
      </w:r>
    </w:p>
    <w:p w14:paraId="00412ABF">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各个供应商应当派1-2名代表参与磋商，至少1人应为法定代表人或具有法定代表人授权委托书的授权代表。</w:t>
      </w:r>
    </w:p>
    <w:p w14:paraId="3AA3DC46">
      <w:pPr>
        <w:pStyle w:val="4"/>
        <w:spacing w:before="0" w:after="0" w:line="400" w:lineRule="exact"/>
        <w:rPr>
          <w:rFonts w:hint="eastAsia" w:ascii="宋体" w:hAnsi="宋体" w:eastAsia="宋体" w:cs="宋体"/>
          <w:color w:val="000000"/>
          <w:sz w:val="24"/>
          <w:szCs w:val="24"/>
        </w:rPr>
      </w:pPr>
      <w:bookmarkStart w:id="69" w:name="_Toc2225"/>
      <w:bookmarkStart w:id="70" w:name="_Toc23048"/>
      <w:r>
        <w:rPr>
          <w:rFonts w:hint="eastAsia" w:ascii="宋体" w:hAnsi="宋体" w:eastAsia="宋体" w:cs="宋体"/>
          <w:color w:val="000000"/>
          <w:sz w:val="24"/>
          <w:szCs w:val="24"/>
        </w:rPr>
        <w:t>四、成交供应商的确认和变更</w:t>
      </w:r>
      <w:bookmarkEnd w:id="69"/>
      <w:bookmarkEnd w:id="70"/>
    </w:p>
    <w:p w14:paraId="62B60D03">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（一）成交供应商的确认</w:t>
      </w:r>
    </w:p>
    <w:p w14:paraId="78C1AB94">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D5D6956">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（二）成交供应商的变更</w:t>
      </w:r>
    </w:p>
    <w:p w14:paraId="2D4C8AC2">
      <w:pPr>
        <w:spacing w:line="400" w:lineRule="exact"/>
        <w:ind w:firstLine="480" w:firstLineChars="200"/>
        <w:rPr>
          <w:rFonts w:hint="eastAsia" w:ascii="宋体" w:hAnsi="宋体" w:eastAsia="宋体" w:cs="宋体"/>
          <w:color w:val="000000"/>
          <w:sz w:val="24"/>
          <w:szCs w:val="24"/>
        </w:rPr>
      </w:pPr>
      <w:bookmarkStart w:id="71" w:name="_Toc102227321"/>
      <w:bookmarkStart w:id="72" w:name="_Toc342913395"/>
      <w:r>
        <w:rPr>
          <w:rFonts w:hint="eastAsia" w:ascii="宋体" w:hAnsi="宋体" w:eastAsia="宋体" w:cs="宋体"/>
          <w:color w:val="000000"/>
          <w:sz w:val="24"/>
          <w:szCs w:val="24"/>
        </w:rPr>
        <w:t>成交供应商拒绝与采购人签订合同的，采购人可以按照评标报告推荐的成交候选供应商顺序，确定排名下一位的候选人为成交供应商，也可以重新开展政府采购活动。</w:t>
      </w:r>
    </w:p>
    <w:p w14:paraId="42313837">
      <w:pPr>
        <w:pStyle w:val="4"/>
        <w:spacing w:before="0" w:after="0" w:line="400" w:lineRule="exact"/>
        <w:rPr>
          <w:rFonts w:hint="eastAsia" w:ascii="宋体" w:hAnsi="宋体" w:eastAsia="宋体" w:cs="宋体"/>
          <w:color w:val="000000"/>
          <w:sz w:val="24"/>
          <w:szCs w:val="24"/>
        </w:rPr>
      </w:pPr>
      <w:bookmarkStart w:id="73" w:name="_Toc15654"/>
      <w:bookmarkStart w:id="74" w:name="_Toc13420"/>
      <w:r>
        <w:rPr>
          <w:rFonts w:hint="eastAsia" w:ascii="宋体" w:hAnsi="宋体" w:eastAsia="宋体" w:cs="宋体"/>
          <w:color w:val="000000"/>
          <w:sz w:val="24"/>
          <w:szCs w:val="24"/>
        </w:rPr>
        <w:t>五、成交通知</w:t>
      </w:r>
      <w:bookmarkEnd w:id="71"/>
      <w:bookmarkEnd w:id="72"/>
      <w:bookmarkEnd w:id="73"/>
      <w:bookmarkEnd w:id="74"/>
    </w:p>
    <w:p w14:paraId="30064D71">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（一）成交供应商确定后，采购代理机构将“行采家”平台（http://www.gec123.com）上发布成交结果公告。</w:t>
      </w:r>
    </w:p>
    <w:p w14:paraId="5FE1A48C">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（二）结果公告发出同时，采购代理机构将以书面形式发出《成交通知书》。《成交通知书》一经发出即发生法律效力。</w:t>
      </w:r>
    </w:p>
    <w:p w14:paraId="7305AAAB">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（三）《成交通知书》将作为签订合同的依据。</w:t>
      </w:r>
    </w:p>
    <w:p w14:paraId="4E442960">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（四）如有供应商对成交结果提出质疑的，在质疑处理完毕后发出成交通知书。</w:t>
      </w:r>
    </w:p>
    <w:p w14:paraId="2B091BE2">
      <w:pPr>
        <w:pStyle w:val="4"/>
        <w:spacing w:before="0" w:after="0" w:line="400" w:lineRule="exact"/>
        <w:rPr>
          <w:rFonts w:hint="eastAsia" w:ascii="宋体" w:hAnsi="宋体" w:eastAsia="宋体" w:cs="宋体"/>
          <w:color w:val="000000"/>
          <w:sz w:val="24"/>
          <w:szCs w:val="24"/>
        </w:rPr>
      </w:pPr>
      <w:bookmarkStart w:id="75" w:name="_Toc16966"/>
      <w:bookmarkStart w:id="76" w:name="_Toc1356"/>
      <w:r>
        <w:rPr>
          <w:rFonts w:hint="eastAsia" w:ascii="宋体" w:hAnsi="宋体" w:eastAsia="宋体" w:cs="宋体"/>
          <w:color w:val="000000"/>
          <w:sz w:val="24"/>
          <w:szCs w:val="24"/>
        </w:rPr>
        <w:t>六、关于质疑和投诉</w:t>
      </w:r>
      <w:bookmarkEnd w:id="75"/>
      <w:bookmarkEnd w:id="76"/>
    </w:p>
    <w:p w14:paraId="4B82499A">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（一）质疑</w:t>
      </w:r>
    </w:p>
    <w:p w14:paraId="34647209">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供应商认为采购文件、采购过程和成交结果使自己的权益收到伤害的，可向采购人或采购代理机构以书面形式提出质疑。</w:t>
      </w:r>
    </w:p>
    <w:p w14:paraId="2ED7B4A6">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提出质疑的应当是参与所质疑项目采购活动的供应商。 </w:t>
      </w:r>
    </w:p>
    <w:p w14:paraId="1C0157F0">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1.质疑时限、内容</w:t>
      </w:r>
    </w:p>
    <w:p w14:paraId="6813282A">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供应商认为采购文件、采购过程、成交结果使自己的权益受到损害的，可以在知道或者应知其权益受到损害之日起7个工作日内，以书面形式向采购人、采购代理机构提出质疑。</w:t>
      </w:r>
    </w:p>
    <w:p w14:paraId="4E45710A">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1.2供应商提出质疑应当提交质疑函和必要的证明材料，质疑函应当包括下列内容：</w:t>
      </w:r>
    </w:p>
    <w:p w14:paraId="128B990F">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1.2.1供应商的姓名或者名称、地址、邮编、联系人及联系电话；</w:t>
      </w:r>
    </w:p>
    <w:p w14:paraId="4BA339AB">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1.2.2质疑项目的名称、项目号以及磋商项目编号；</w:t>
      </w:r>
    </w:p>
    <w:p w14:paraId="093A8127">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1.2.3具体、明确的质疑事项和与质疑事项相关的请求；</w:t>
      </w:r>
    </w:p>
    <w:p w14:paraId="1D688515">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1.2.4事实依据；</w:t>
      </w:r>
    </w:p>
    <w:p w14:paraId="73ABEDE6">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1.2.5必要的法律依据；</w:t>
      </w:r>
    </w:p>
    <w:p w14:paraId="7A2DD945">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1.2.6提出质疑的日期；</w:t>
      </w:r>
    </w:p>
    <w:p w14:paraId="5D8E1E4C">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1.2.7营业执照（或事业单位法人证书，或个体工商户营业执照或有效的自然人身份证明、组织机构代码证）复印件；</w:t>
      </w:r>
    </w:p>
    <w:p w14:paraId="7ED5D774">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1.2.8法定代表人授权委托书原件、法定代表人身份证复印件和其授权代表的身份证复印件（供应商为自然人的提供自然人身份证复印件）；</w:t>
      </w:r>
    </w:p>
    <w:p w14:paraId="439E9606">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1.3供应商为自然人的，质疑函应当由本人签字；供应商为法人或者其他组织的，质疑函应当由法定代表人、主要负责人，或者其授权代表签字或者盖章，并加盖公章。</w:t>
      </w:r>
    </w:p>
    <w:p w14:paraId="48995180">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2.质疑答复</w:t>
      </w:r>
    </w:p>
    <w:p w14:paraId="5787B927">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采购人、采购代理机构应当在收到供应商的书面质疑后七个工作日内作出答复，并以书面形式通知质疑供应商和其他有关供应商。</w:t>
      </w:r>
    </w:p>
    <w:p w14:paraId="63DF4C70">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3.其他</w:t>
      </w:r>
    </w:p>
    <w:p w14:paraId="34019A95">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3.1供应商应按照《政府采购质疑和投诉办法》（财政部令第94号）及相关法律法规要求，在法定质疑期内一次性提出针对同一采购程序环节的质疑。</w:t>
      </w:r>
    </w:p>
    <w:p w14:paraId="72F2EBB8">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3.2质疑函范本可在财政部门户网站和中国政府采购网下载。</w:t>
      </w:r>
    </w:p>
    <w:p w14:paraId="6CFDB3BD">
      <w:pPr>
        <w:pStyle w:val="4"/>
        <w:spacing w:before="0" w:after="0" w:line="400" w:lineRule="exact"/>
        <w:rPr>
          <w:rFonts w:hint="eastAsia" w:ascii="宋体" w:hAnsi="宋体" w:eastAsia="宋体" w:cs="宋体"/>
          <w:color w:val="000000"/>
          <w:sz w:val="24"/>
          <w:szCs w:val="24"/>
        </w:rPr>
      </w:pPr>
      <w:bookmarkStart w:id="77" w:name="_Toc8141"/>
      <w:r>
        <w:rPr>
          <w:rFonts w:hint="eastAsia" w:ascii="宋体" w:hAnsi="宋体" w:eastAsia="宋体" w:cs="宋体"/>
          <w:color w:val="000000"/>
          <w:sz w:val="24"/>
          <w:szCs w:val="24"/>
        </w:rPr>
        <w:t>七、采购代理服务费</w:t>
      </w:r>
      <w:bookmarkEnd w:id="50"/>
      <w:bookmarkEnd w:id="51"/>
      <w:bookmarkEnd w:id="77"/>
    </w:p>
    <w:p w14:paraId="0524DA28">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（一）供应商成交后向采购代理机构缴纳采购代理服务费（由成交供应商在领取成交</w:t>
      </w:r>
      <w:r>
        <w:rPr>
          <w:rFonts w:hint="eastAsia" w:ascii="宋体" w:hAnsi="宋体" w:eastAsia="宋体" w:cs="宋体"/>
          <w:color w:val="000000"/>
          <w:sz w:val="24"/>
          <w:szCs w:val="24"/>
        </w:rPr>
        <w:t>通知书之前一次性支付给采购代理机构），本次采购代理服务费为：</w:t>
      </w:r>
      <w:r>
        <w:rPr>
          <w:rFonts w:hint="eastAsia" w:ascii="宋体" w:hAnsi="宋体" w:cs="宋体"/>
          <w:color w:val="000000"/>
          <w:sz w:val="24"/>
          <w:szCs w:val="24"/>
          <w:lang w:val="en-US" w:eastAsia="zh-CN"/>
        </w:rPr>
        <w:t>3500元</w:t>
      </w:r>
      <w:r>
        <w:rPr>
          <w:rFonts w:hint="eastAsia" w:ascii="宋体" w:hAnsi="宋体" w:eastAsia="宋体" w:cs="宋体"/>
          <w:color w:val="000000"/>
          <w:sz w:val="24"/>
          <w:szCs w:val="24"/>
        </w:rPr>
        <w:t>。</w:t>
      </w:r>
    </w:p>
    <w:p w14:paraId="787581FB">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（二）采购代理服务费缴纳账号：</w:t>
      </w:r>
    </w:p>
    <w:p w14:paraId="7C3C79FB">
      <w:pPr>
        <w:spacing w:line="400" w:lineRule="exact"/>
        <w:ind w:firstLine="482" w:firstLineChars="200"/>
        <w:rPr>
          <w:rFonts w:hint="eastAsia" w:ascii="宋体" w:hAnsi="宋体" w:eastAsia="宋体" w:cs="宋体"/>
          <w:sz w:val="24"/>
          <w:szCs w:val="24"/>
        </w:rPr>
      </w:pPr>
      <w:bookmarkStart w:id="78" w:name="_Toc102227322"/>
      <w:bookmarkStart w:id="79" w:name="_Toc512413892"/>
      <w:bookmarkStart w:id="80" w:name="_Toc342913396"/>
      <w:r>
        <w:rPr>
          <w:rFonts w:hint="eastAsia" w:ascii="宋体" w:hAnsi="宋体" w:eastAsia="宋体" w:cs="宋体"/>
          <w:b/>
          <w:color w:val="000000"/>
          <w:sz w:val="24"/>
          <w:szCs w:val="24"/>
        </w:rPr>
        <w:t xml:space="preserve">      </w:t>
      </w:r>
      <w:bookmarkStart w:id="81" w:name="_Toc1965"/>
      <w:bookmarkStart w:id="82" w:name="_Toc31077"/>
      <w:bookmarkStart w:id="83" w:name="_Toc7818"/>
      <w:bookmarkStart w:id="84" w:name="_Toc26365"/>
      <w:bookmarkStart w:id="85" w:name="_Toc2480"/>
      <w:bookmarkStart w:id="86" w:name="_Toc29413"/>
      <w:r>
        <w:rPr>
          <w:rFonts w:hint="eastAsia" w:ascii="宋体" w:hAnsi="宋体" w:eastAsia="宋体" w:cs="宋体"/>
          <w:sz w:val="24"/>
          <w:szCs w:val="24"/>
        </w:rPr>
        <w:t>户  名：重庆采家工程管理有限公司</w:t>
      </w:r>
    </w:p>
    <w:p w14:paraId="574B6849">
      <w:pPr>
        <w:spacing w:line="400" w:lineRule="exact"/>
        <w:ind w:firstLine="1200" w:firstLineChars="500"/>
        <w:rPr>
          <w:rFonts w:hint="eastAsia" w:ascii="宋体" w:hAnsi="宋体" w:eastAsia="宋体" w:cs="宋体"/>
          <w:sz w:val="24"/>
          <w:szCs w:val="24"/>
        </w:rPr>
      </w:pPr>
      <w:r>
        <w:rPr>
          <w:rFonts w:hint="eastAsia" w:ascii="宋体" w:hAnsi="宋体" w:eastAsia="宋体" w:cs="宋体"/>
          <w:sz w:val="24"/>
          <w:szCs w:val="24"/>
        </w:rPr>
        <w:t xml:space="preserve">开户行：中国工商银行重庆永川阳光尚城支行 </w:t>
      </w:r>
    </w:p>
    <w:p w14:paraId="727452BA">
      <w:pPr>
        <w:spacing w:line="400" w:lineRule="exact"/>
        <w:ind w:firstLine="1200" w:firstLineChars="500"/>
        <w:rPr>
          <w:rFonts w:hint="eastAsia" w:ascii="宋体" w:hAnsi="宋体" w:eastAsia="宋体" w:cs="宋体"/>
          <w:b/>
          <w:color w:val="000000"/>
          <w:sz w:val="24"/>
          <w:szCs w:val="24"/>
        </w:rPr>
      </w:pPr>
      <w:r>
        <w:rPr>
          <w:rFonts w:hint="eastAsia" w:ascii="宋体" w:hAnsi="宋体" w:eastAsia="宋体" w:cs="宋体"/>
          <w:sz w:val="24"/>
          <w:szCs w:val="24"/>
        </w:rPr>
        <w:t>帐 号：3100 0917 0910 0068 958（备注项目名称+项目号）</w:t>
      </w:r>
      <w:bookmarkEnd w:id="81"/>
      <w:bookmarkEnd w:id="82"/>
      <w:bookmarkEnd w:id="83"/>
      <w:bookmarkEnd w:id="84"/>
      <w:bookmarkEnd w:id="85"/>
      <w:bookmarkEnd w:id="86"/>
    </w:p>
    <w:p w14:paraId="01ADD64C">
      <w:pPr>
        <w:pStyle w:val="4"/>
        <w:spacing w:before="0" w:after="0" w:line="400" w:lineRule="exact"/>
        <w:rPr>
          <w:rFonts w:hint="eastAsia" w:ascii="宋体" w:hAnsi="宋体" w:eastAsia="宋体" w:cs="宋体"/>
          <w:color w:val="000000"/>
          <w:sz w:val="24"/>
          <w:szCs w:val="24"/>
        </w:rPr>
      </w:pPr>
      <w:bookmarkStart w:id="87" w:name="_Toc871"/>
      <w:r>
        <w:rPr>
          <w:rFonts w:hint="eastAsia" w:ascii="宋体" w:hAnsi="宋体" w:eastAsia="宋体" w:cs="宋体"/>
          <w:color w:val="000000"/>
          <w:sz w:val="24"/>
          <w:szCs w:val="24"/>
        </w:rPr>
        <w:t>八、签订</w:t>
      </w:r>
      <w:bookmarkEnd w:id="78"/>
      <w:r>
        <w:rPr>
          <w:rFonts w:hint="eastAsia" w:ascii="宋体" w:hAnsi="宋体" w:eastAsia="宋体" w:cs="宋体"/>
          <w:color w:val="000000"/>
          <w:sz w:val="24"/>
          <w:szCs w:val="24"/>
        </w:rPr>
        <w:t>合同</w:t>
      </w:r>
      <w:bookmarkEnd w:id="79"/>
      <w:bookmarkEnd w:id="80"/>
      <w:bookmarkEnd w:id="87"/>
    </w:p>
    <w:p w14:paraId="33DC6DBE">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（一）采购人应当自成交通知书发出之日起七日内，按照竞争性磋商文件和成交供应商响应文件的约定，与成交供应商签订书面合同。所签订的合同不得对竞争性磋商文件和供应商的响应文件作实质性修改。</w:t>
      </w:r>
    </w:p>
    <w:p w14:paraId="03FC5E8D">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（二）竞争性磋商文件、供应商的响应文件及澄清文件等，均为签订政府采购合同的依据。</w:t>
      </w:r>
    </w:p>
    <w:p w14:paraId="57444DE9">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（三）合同生效条款由供需双方约定，法律、行政法规规定应当办理批准、登记等手续后生效的合同，依照其规定。</w:t>
      </w:r>
    </w:p>
    <w:p w14:paraId="4CD46852">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（四）合同原则上应按照《重庆市政府采购合同》签订，相关单位要求适用合同通用格式版本的，应按其要求另行签订其他合同。</w:t>
      </w:r>
    </w:p>
    <w:p w14:paraId="5CCACE68">
      <w:pPr>
        <w:pStyle w:val="2"/>
        <w:spacing w:line="360" w:lineRule="auto"/>
        <w:jc w:val="center"/>
        <w:rPr>
          <w:rFonts w:hint="eastAsia" w:ascii="宋体" w:hAnsi="宋体" w:eastAsia="宋体" w:cs="宋体"/>
          <w:sz w:val="24"/>
        </w:rPr>
      </w:pPr>
      <w:r>
        <w:rPr>
          <w:rFonts w:hint="eastAsia" w:ascii="宋体" w:hAnsi="宋体" w:eastAsia="宋体" w:cs="宋体"/>
          <w:b/>
          <w:sz w:val="36"/>
          <w:szCs w:val="30"/>
        </w:rPr>
        <w:br w:type="page"/>
      </w:r>
      <w:bookmarkEnd w:id="52"/>
      <w:bookmarkEnd w:id="53"/>
      <w:bookmarkStart w:id="88" w:name="_Toc148265480"/>
      <w:bookmarkStart w:id="89" w:name="_Toc303945820"/>
    </w:p>
    <w:bookmarkEnd w:id="88"/>
    <w:bookmarkEnd w:id="89"/>
    <w:p w14:paraId="7BC85460">
      <w:pPr>
        <w:pStyle w:val="3"/>
        <w:spacing w:before="0" w:after="0" w:line="360" w:lineRule="auto"/>
        <w:jc w:val="center"/>
        <w:rPr>
          <w:rFonts w:hint="eastAsia" w:ascii="宋体" w:hAnsi="宋体" w:eastAsia="宋体" w:cs="宋体"/>
          <w:b w:val="0"/>
          <w:sz w:val="36"/>
          <w:szCs w:val="30"/>
        </w:rPr>
      </w:pPr>
      <w:bookmarkStart w:id="90" w:name="_Hlt41879464"/>
      <w:bookmarkEnd w:id="90"/>
      <w:bookmarkStart w:id="91" w:name="_Toc106030904"/>
      <w:bookmarkStart w:id="92" w:name="_Toc76462348"/>
      <w:bookmarkStart w:id="93" w:name="_Toc28603"/>
      <w:bookmarkStart w:id="94" w:name="_Toc12789072"/>
      <w:bookmarkStart w:id="95" w:name="_Toc4929"/>
      <w:r>
        <w:rPr>
          <w:rFonts w:hint="eastAsia" w:ascii="宋体" w:hAnsi="宋体" w:eastAsia="宋体" w:cs="宋体"/>
          <w:b w:val="0"/>
          <w:sz w:val="36"/>
          <w:szCs w:val="30"/>
        </w:rPr>
        <w:t>第六篇  采购合同</w:t>
      </w:r>
      <w:bookmarkEnd w:id="91"/>
      <w:bookmarkEnd w:id="92"/>
      <w:bookmarkEnd w:id="93"/>
    </w:p>
    <w:p w14:paraId="62B0C4AC">
      <w:pPr>
        <w:spacing w:line="500" w:lineRule="exact"/>
        <w:jc w:val="center"/>
        <w:rPr>
          <w:rFonts w:hint="eastAsia" w:ascii="宋体" w:hAnsi="宋体" w:eastAsia="宋体" w:cs="宋体"/>
          <w:b/>
          <w:sz w:val="44"/>
        </w:rPr>
      </w:pPr>
    </w:p>
    <w:p w14:paraId="5A5FF6A2">
      <w:pPr>
        <w:spacing w:line="500" w:lineRule="exact"/>
        <w:jc w:val="center"/>
        <w:rPr>
          <w:rFonts w:hint="eastAsia" w:ascii="宋体" w:hAnsi="宋体" w:eastAsia="宋体" w:cs="宋体"/>
          <w:b/>
          <w:sz w:val="44"/>
          <w:lang w:val="en-US" w:eastAsia="zh-CN"/>
        </w:rPr>
      </w:pPr>
      <w:r>
        <w:rPr>
          <w:rFonts w:hint="eastAsia" w:ascii="宋体" w:hAnsi="宋体" w:eastAsia="宋体" w:cs="宋体"/>
          <w:b/>
          <w:sz w:val="44"/>
        </w:rPr>
        <w:t>重庆市政府采购合同</w:t>
      </w:r>
      <w:r>
        <w:rPr>
          <w:rFonts w:hint="eastAsia" w:ascii="宋体" w:hAnsi="宋体" w:eastAsia="宋体" w:cs="宋体"/>
          <w:b/>
          <w:sz w:val="44"/>
          <w:lang w:eastAsia="zh-CN"/>
        </w:rPr>
        <w:t>（</w:t>
      </w:r>
      <w:r>
        <w:rPr>
          <w:rFonts w:hint="eastAsia" w:ascii="宋体" w:hAnsi="宋体" w:eastAsia="宋体" w:cs="宋体"/>
          <w:b/>
          <w:sz w:val="44"/>
          <w:lang w:val="en-US" w:eastAsia="zh-CN"/>
        </w:rPr>
        <w:t>参考</w:t>
      </w:r>
      <w:r>
        <w:rPr>
          <w:rFonts w:hint="eastAsia" w:ascii="宋体" w:hAnsi="宋体" w:eastAsia="宋体" w:cs="宋体"/>
          <w:b/>
          <w:sz w:val="44"/>
          <w:lang w:eastAsia="zh-CN"/>
        </w:rPr>
        <w:t>）</w:t>
      </w:r>
    </w:p>
    <w:p w14:paraId="13DFC491">
      <w:pPr>
        <w:spacing w:line="500" w:lineRule="exact"/>
        <w:jc w:val="center"/>
        <w:rPr>
          <w:rFonts w:hint="eastAsia" w:ascii="宋体" w:hAnsi="宋体" w:eastAsia="宋体" w:cs="宋体"/>
        </w:rPr>
      </w:pPr>
      <w:r>
        <w:rPr>
          <w:rFonts w:hint="eastAsia" w:ascii="宋体" w:hAnsi="宋体" w:eastAsia="宋体" w:cs="宋体"/>
        </w:rPr>
        <w:t>（项目号：     ）</w:t>
      </w:r>
    </w:p>
    <w:p w14:paraId="577D3FD3">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14:paraId="233773BC">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14:paraId="4F0CC63E">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0BD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88C1C46">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磋商项目名称</w:t>
            </w:r>
          </w:p>
        </w:tc>
        <w:tc>
          <w:tcPr>
            <w:tcW w:w="984" w:type="dxa"/>
            <w:noWrap w:val="0"/>
            <w:vAlign w:val="center"/>
          </w:tcPr>
          <w:p w14:paraId="43F0A4ED">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noWrap w:val="0"/>
            <w:vAlign w:val="center"/>
          </w:tcPr>
          <w:p w14:paraId="06A1CE68">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noWrap w:val="0"/>
            <w:vAlign w:val="center"/>
          </w:tcPr>
          <w:p w14:paraId="23D57DB0">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noWrap w:val="0"/>
            <w:vAlign w:val="center"/>
          </w:tcPr>
          <w:p w14:paraId="13DD4923">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服务时间</w:t>
            </w:r>
          </w:p>
        </w:tc>
        <w:tc>
          <w:tcPr>
            <w:tcW w:w="1567" w:type="dxa"/>
            <w:noWrap w:val="0"/>
            <w:vAlign w:val="center"/>
          </w:tcPr>
          <w:p w14:paraId="112690B5">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服务地点</w:t>
            </w:r>
          </w:p>
        </w:tc>
      </w:tr>
      <w:tr w14:paraId="2049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54AFA7D">
            <w:pPr>
              <w:spacing w:line="240" w:lineRule="atLeast"/>
              <w:jc w:val="center"/>
              <w:rPr>
                <w:rFonts w:hint="eastAsia" w:ascii="宋体" w:hAnsi="宋体" w:eastAsia="宋体" w:cs="宋体"/>
                <w:sz w:val="21"/>
                <w:szCs w:val="21"/>
              </w:rPr>
            </w:pPr>
          </w:p>
        </w:tc>
        <w:tc>
          <w:tcPr>
            <w:tcW w:w="984" w:type="dxa"/>
            <w:noWrap w:val="0"/>
            <w:vAlign w:val="center"/>
          </w:tcPr>
          <w:p w14:paraId="7AC52DC0">
            <w:pPr>
              <w:spacing w:line="240" w:lineRule="atLeast"/>
              <w:jc w:val="center"/>
              <w:rPr>
                <w:rFonts w:hint="eastAsia" w:ascii="宋体" w:hAnsi="宋体" w:eastAsia="宋体" w:cs="宋体"/>
                <w:sz w:val="21"/>
                <w:szCs w:val="21"/>
              </w:rPr>
            </w:pPr>
          </w:p>
        </w:tc>
        <w:tc>
          <w:tcPr>
            <w:tcW w:w="1298" w:type="dxa"/>
            <w:gridSpan w:val="2"/>
            <w:noWrap w:val="0"/>
            <w:vAlign w:val="center"/>
          </w:tcPr>
          <w:p w14:paraId="3D9522C7">
            <w:pPr>
              <w:spacing w:line="240" w:lineRule="atLeast"/>
              <w:jc w:val="center"/>
              <w:rPr>
                <w:rFonts w:hint="eastAsia" w:ascii="宋体" w:hAnsi="宋体" w:eastAsia="宋体" w:cs="宋体"/>
                <w:sz w:val="21"/>
                <w:szCs w:val="21"/>
              </w:rPr>
            </w:pPr>
          </w:p>
        </w:tc>
        <w:tc>
          <w:tcPr>
            <w:tcW w:w="1134" w:type="dxa"/>
            <w:noWrap w:val="0"/>
            <w:vAlign w:val="center"/>
          </w:tcPr>
          <w:p w14:paraId="1206A911">
            <w:pPr>
              <w:spacing w:line="240" w:lineRule="atLeast"/>
              <w:jc w:val="center"/>
              <w:rPr>
                <w:rFonts w:hint="eastAsia" w:ascii="宋体" w:hAnsi="宋体" w:eastAsia="宋体" w:cs="宋体"/>
                <w:sz w:val="21"/>
                <w:szCs w:val="21"/>
              </w:rPr>
            </w:pPr>
          </w:p>
        </w:tc>
        <w:tc>
          <w:tcPr>
            <w:tcW w:w="1559" w:type="dxa"/>
            <w:noWrap w:val="0"/>
            <w:vAlign w:val="center"/>
          </w:tcPr>
          <w:p w14:paraId="56658DA7">
            <w:pPr>
              <w:spacing w:line="240" w:lineRule="atLeast"/>
              <w:jc w:val="center"/>
              <w:rPr>
                <w:rFonts w:hint="eastAsia" w:ascii="宋体" w:hAnsi="宋体" w:eastAsia="宋体" w:cs="宋体"/>
                <w:sz w:val="21"/>
                <w:szCs w:val="21"/>
              </w:rPr>
            </w:pPr>
          </w:p>
        </w:tc>
        <w:tc>
          <w:tcPr>
            <w:tcW w:w="1567" w:type="dxa"/>
            <w:noWrap w:val="0"/>
            <w:vAlign w:val="center"/>
          </w:tcPr>
          <w:p w14:paraId="4A5111B5">
            <w:pPr>
              <w:spacing w:line="240" w:lineRule="atLeast"/>
              <w:jc w:val="center"/>
              <w:rPr>
                <w:rFonts w:hint="eastAsia" w:ascii="宋体" w:hAnsi="宋体" w:eastAsia="宋体" w:cs="宋体"/>
                <w:sz w:val="21"/>
                <w:szCs w:val="21"/>
              </w:rPr>
            </w:pPr>
          </w:p>
        </w:tc>
      </w:tr>
      <w:tr w14:paraId="2325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35B7878D">
            <w:pPr>
              <w:spacing w:line="240" w:lineRule="atLeast"/>
              <w:jc w:val="center"/>
              <w:rPr>
                <w:rFonts w:hint="eastAsia" w:ascii="宋体" w:hAnsi="宋体" w:eastAsia="宋体" w:cs="宋体"/>
                <w:sz w:val="21"/>
                <w:szCs w:val="21"/>
              </w:rPr>
            </w:pPr>
          </w:p>
        </w:tc>
        <w:tc>
          <w:tcPr>
            <w:tcW w:w="984" w:type="dxa"/>
            <w:noWrap w:val="0"/>
            <w:vAlign w:val="center"/>
          </w:tcPr>
          <w:p w14:paraId="4F945B8D">
            <w:pPr>
              <w:spacing w:line="240" w:lineRule="atLeast"/>
              <w:jc w:val="center"/>
              <w:rPr>
                <w:rFonts w:hint="eastAsia" w:ascii="宋体" w:hAnsi="宋体" w:eastAsia="宋体" w:cs="宋体"/>
                <w:sz w:val="21"/>
                <w:szCs w:val="21"/>
              </w:rPr>
            </w:pPr>
          </w:p>
        </w:tc>
        <w:tc>
          <w:tcPr>
            <w:tcW w:w="1298" w:type="dxa"/>
            <w:gridSpan w:val="2"/>
            <w:noWrap w:val="0"/>
            <w:vAlign w:val="center"/>
          </w:tcPr>
          <w:p w14:paraId="0D667A05">
            <w:pPr>
              <w:spacing w:line="240" w:lineRule="atLeast"/>
              <w:jc w:val="center"/>
              <w:rPr>
                <w:rFonts w:hint="eastAsia" w:ascii="宋体" w:hAnsi="宋体" w:eastAsia="宋体" w:cs="宋体"/>
                <w:sz w:val="21"/>
                <w:szCs w:val="21"/>
              </w:rPr>
            </w:pPr>
          </w:p>
        </w:tc>
        <w:tc>
          <w:tcPr>
            <w:tcW w:w="1134" w:type="dxa"/>
            <w:noWrap w:val="0"/>
            <w:vAlign w:val="center"/>
          </w:tcPr>
          <w:p w14:paraId="42394A6A">
            <w:pPr>
              <w:spacing w:line="240" w:lineRule="atLeast"/>
              <w:jc w:val="center"/>
              <w:rPr>
                <w:rFonts w:hint="eastAsia" w:ascii="宋体" w:hAnsi="宋体" w:eastAsia="宋体" w:cs="宋体"/>
                <w:sz w:val="21"/>
                <w:szCs w:val="21"/>
              </w:rPr>
            </w:pPr>
          </w:p>
        </w:tc>
        <w:tc>
          <w:tcPr>
            <w:tcW w:w="1559" w:type="dxa"/>
            <w:noWrap w:val="0"/>
            <w:vAlign w:val="center"/>
          </w:tcPr>
          <w:p w14:paraId="7E5AD3F7">
            <w:pPr>
              <w:spacing w:line="240" w:lineRule="atLeast"/>
              <w:jc w:val="center"/>
              <w:rPr>
                <w:rFonts w:hint="eastAsia" w:ascii="宋体" w:hAnsi="宋体" w:eastAsia="宋体" w:cs="宋体"/>
                <w:sz w:val="21"/>
                <w:szCs w:val="21"/>
              </w:rPr>
            </w:pPr>
          </w:p>
        </w:tc>
        <w:tc>
          <w:tcPr>
            <w:tcW w:w="1567" w:type="dxa"/>
            <w:noWrap w:val="0"/>
            <w:vAlign w:val="center"/>
          </w:tcPr>
          <w:p w14:paraId="0DB64548">
            <w:pPr>
              <w:spacing w:line="240" w:lineRule="atLeast"/>
              <w:jc w:val="center"/>
              <w:rPr>
                <w:rFonts w:hint="eastAsia" w:ascii="宋体" w:hAnsi="宋体" w:eastAsia="宋体" w:cs="宋体"/>
                <w:sz w:val="21"/>
                <w:szCs w:val="21"/>
              </w:rPr>
            </w:pPr>
          </w:p>
        </w:tc>
      </w:tr>
      <w:tr w14:paraId="6A1C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354BC105">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合计人民币（小写）：</w:t>
            </w:r>
          </w:p>
        </w:tc>
      </w:tr>
      <w:tr w14:paraId="263E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2216548">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合计人民币（大写）：</w:t>
            </w:r>
          </w:p>
        </w:tc>
      </w:tr>
      <w:tr w14:paraId="4683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7B96AEEE">
            <w:pPr>
              <w:spacing w:line="240" w:lineRule="atLeast"/>
              <w:rPr>
                <w:rFonts w:hint="eastAsia" w:ascii="宋体" w:hAnsi="宋体" w:eastAsia="宋体" w:cs="宋体"/>
                <w:sz w:val="21"/>
                <w:szCs w:val="21"/>
              </w:rPr>
            </w:pPr>
            <w:r>
              <w:rPr>
                <w:rFonts w:hint="eastAsia" w:ascii="宋体" w:hAnsi="宋体" w:eastAsia="宋体" w:cs="宋体"/>
                <w:sz w:val="21"/>
                <w:szCs w:val="21"/>
              </w:rPr>
              <w:t>一、服务要求</w:t>
            </w:r>
          </w:p>
        </w:tc>
      </w:tr>
      <w:tr w14:paraId="42B0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4C81991D">
            <w:pPr>
              <w:spacing w:line="240" w:lineRule="atLeast"/>
              <w:rPr>
                <w:rFonts w:hint="eastAsia" w:ascii="宋体" w:hAnsi="宋体" w:eastAsia="宋体" w:cs="宋体"/>
                <w:sz w:val="21"/>
                <w:szCs w:val="21"/>
              </w:rPr>
            </w:pPr>
            <w:r>
              <w:rPr>
                <w:rFonts w:hint="eastAsia" w:ascii="宋体" w:hAnsi="宋体" w:eastAsia="宋体" w:cs="宋体"/>
                <w:sz w:val="21"/>
                <w:szCs w:val="21"/>
              </w:rPr>
              <w:t>二、考核方式</w:t>
            </w:r>
          </w:p>
        </w:tc>
      </w:tr>
      <w:tr w14:paraId="265A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1661CBD4">
            <w:pPr>
              <w:spacing w:line="240" w:lineRule="atLeast"/>
              <w:rPr>
                <w:rFonts w:hint="eastAsia" w:ascii="宋体" w:hAnsi="宋体" w:eastAsia="宋体" w:cs="宋体"/>
                <w:sz w:val="21"/>
                <w:szCs w:val="21"/>
              </w:rPr>
            </w:pPr>
            <w:r>
              <w:rPr>
                <w:rFonts w:hint="eastAsia" w:ascii="宋体" w:hAnsi="宋体" w:eastAsia="宋体" w:cs="宋体"/>
                <w:sz w:val="21"/>
                <w:szCs w:val="21"/>
              </w:rPr>
              <w:t>三、付款方式：</w:t>
            </w:r>
          </w:p>
          <w:p w14:paraId="76149439">
            <w:pPr>
              <w:rPr>
                <w:rFonts w:hint="eastAsia" w:ascii="宋体" w:hAnsi="宋体" w:eastAsia="宋体" w:cs="宋体"/>
              </w:rPr>
            </w:pPr>
          </w:p>
        </w:tc>
      </w:tr>
      <w:tr w14:paraId="5C1E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4D5046C3">
            <w:pPr>
              <w:rPr>
                <w:rFonts w:hint="eastAsia" w:ascii="宋体" w:hAnsi="宋体" w:eastAsia="宋体" w:cs="宋体"/>
                <w:sz w:val="21"/>
                <w:szCs w:val="21"/>
              </w:rPr>
            </w:pPr>
            <w:r>
              <w:rPr>
                <w:rFonts w:hint="eastAsia" w:ascii="宋体" w:hAnsi="宋体" w:eastAsia="宋体" w:cs="宋体"/>
                <w:sz w:val="21"/>
                <w:szCs w:val="21"/>
              </w:rPr>
              <w:t>X、履约保证金：</w:t>
            </w:r>
          </w:p>
        </w:tc>
      </w:tr>
      <w:tr w14:paraId="0E89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04B7705">
            <w:pPr>
              <w:spacing w:line="240" w:lineRule="atLeast"/>
              <w:rPr>
                <w:rFonts w:hint="eastAsia" w:ascii="宋体" w:hAnsi="宋体" w:eastAsia="宋体" w:cs="宋体"/>
                <w:sz w:val="21"/>
                <w:szCs w:val="21"/>
              </w:rPr>
            </w:pPr>
            <w:r>
              <w:rPr>
                <w:rFonts w:hint="eastAsia" w:ascii="宋体" w:hAnsi="宋体" w:eastAsia="宋体" w:cs="宋体"/>
                <w:sz w:val="21"/>
                <w:szCs w:val="21"/>
              </w:rPr>
              <w:t>四、违约责任：</w:t>
            </w:r>
          </w:p>
          <w:p w14:paraId="3DC7396A">
            <w:pPr>
              <w:spacing w:line="240" w:lineRule="atLeast"/>
              <w:rPr>
                <w:rFonts w:hint="eastAsia" w:ascii="宋体" w:hAnsi="宋体" w:eastAsia="宋体" w:cs="宋体"/>
                <w:sz w:val="21"/>
                <w:szCs w:val="21"/>
              </w:rPr>
            </w:pPr>
            <w:r>
              <w:rPr>
                <w:rFonts w:hint="eastAsia" w:ascii="宋体" w:hAnsi="宋体" w:eastAsia="宋体" w:cs="宋体"/>
                <w:sz w:val="21"/>
                <w:szCs w:val="21"/>
              </w:rPr>
              <w:t>按《中华人民共和国民法典》、《中华人民共和国政府采购法》执行，或按双方约定。</w:t>
            </w:r>
          </w:p>
        </w:tc>
      </w:tr>
      <w:tr w14:paraId="185D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15050BE">
            <w:pPr>
              <w:spacing w:line="240" w:lineRule="atLeast"/>
              <w:rPr>
                <w:rFonts w:hint="eastAsia" w:ascii="宋体" w:hAnsi="宋体" w:eastAsia="宋体" w:cs="宋体"/>
                <w:sz w:val="21"/>
                <w:szCs w:val="21"/>
              </w:rPr>
            </w:pPr>
            <w:r>
              <w:rPr>
                <w:rFonts w:hint="eastAsia" w:ascii="宋体" w:hAnsi="宋体" w:eastAsia="宋体" w:cs="宋体"/>
                <w:sz w:val="21"/>
                <w:szCs w:val="21"/>
              </w:rPr>
              <w:t>五、其他约定事项：</w:t>
            </w:r>
          </w:p>
          <w:p w14:paraId="0FAFA5B2">
            <w:pPr>
              <w:spacing w:line="240" w:lineRule="atLeast"/>
              <w:rPr>
                <w:rFonts w:hint="eastAsia" w:ascii="宋体" w:hAnsi="宋体" w:eastAsia="宋体" w:cs="宋体"/>
                <w:sz w:val="21"/>
                <w:szCs w:val="21"/>
              </w:rPr>
            </w:pPr>
            <w:r>
              <w:rPr>
                <w:rFonts w:hint="eastAsia" w:ascii="宋体" w:hAnsi="宋体" w:eastAsia="宋体" w:cs="宋体"/>
                <w:sz w:val="21"/>
                <w:szCs w:val="21"/>
              </w:rPr>
              <w:t>1.采购文件及其澄清文件、响应文件和承诺是本合同不可分割的部分。</w:t>
            </w:r>
          </w:p>
          <w:p w14:paraId="488043A0">
            <w:pPr>
              <w:spacing w:line="240" w:lineRule="atLeast"/>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2.本合同如发生争议由双方协商解决，协商不成向需方所在人民法院提请诉讼。</w:t>
            </w:r>
          </w:p>
          <w:p w14:paraId="0739EE65">
            <w:pPr>
              <w:spacing w:line="240" w:lineRule="atLeast"/>
              <w:rPr>
                <w:rFonts w:hint="eastAsia" w:ascii="宋体" w:hAnsi="宋体" w:eastAsia="宋体" w:cs="宋体"/>
                <w:sz w:val="21"/>
                <w:szCs w:val="21"/>
              </w:rPr>
            </w:pPr>
            <w:r>
              <w:rPr>
                <w:rFonts w:hint="eastAsia" w:ascii="宋体" w:hAnsi="宋体" w:eastAsia="宋体" w:cs="宋体"/>
                <w:sz w:val="21"/>
                <w:szCs w:val="21"/>
              </w:rPr>
              <w:t>3.本合同一式__份， 需方__份，供方__份，具同等法律效力。</w:t>
            </w:r>
          </w:p>
          <w:p w14:paraId="7EECF2EA">
            <w:pPr>
              <w:spacing w:line="240" w:lineRule="atLeast"/>
              <w:rPr>
                <w:rFonts w:hint="eastAsia" w:ascii="宋体" w:hAnsi="宋体" w:eastAsia="宋体" w:cs="宋体"/>
                <w:sz w:val="21"/>
                <w:szCs w:val="21"/>
              </w:rPr>
            </w:pPr>
            <w:r>
              <w:rPr>
                <w:rFonts w:hint="eastAsia" w:ascii="宋体" w:hAnsi="宋体" w:eastAsia="宋体" w:cs="宋体"/>
                <w:sz w:val="21"/>
                <w:szCs w:val="21"/>
              </w:rPr>
              <w:t>4.其他：</w:t>
            </w:r>
          </w:p>
        </w:tc>
      </w:tr>
      <w:tr w14:paraId="0F00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AA2777D">
            <w:pPr>
              <w:spacing w:line="240" w:lineRule="atLeast"/>
              <w:rPr>
                <w:rFonts w:hint="eastAsia" w:ascii="宋体" w:hAnsi="宋体" w:eastAsia="宋体" w:cs="宋体"/>
                <w:sz w:val="21"/>
                <w:szCs w:val="21"/>
              </w:rPr>
            </w:pPr>
            <w:r>
              <w:rPr>
                <w:rFonts w:hint="eastAsia" w:ascii="宋体" w:hAnsi="宋体" w:eastAsia="宋体" w:cs="宋体"/>
                <w:sz w:val="21"/>
                <w:szCs w:val="21"/>
              </w:rPr>
              <w:t>需方：</w:t>
            </w:r>
          </w:p>
          <w:p w14:paraId="024C8DF7">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04DFA670">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14:paraId="6F222BC7">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tc>
        <w:tc>
          <w:tcPr>
            <w:tcW w:w="4984" w:type="dxa"/>
            <w:gridSpan w:val="5"/>
            <w:noWrap w:val="0"/>
            <w:vAlign w:val="top"/>
          </w:tcPr>
          <w:p w14:paraId="13053820">
            <w:pPr>
              <w:spacing w:line="240" w:lineRule="atLeast"/>
              <w:rPr>
                <w:rFonts w:hint="eastAsia" w:ascii="宋体" w:hAnsi="宋体" w:eastAsia="宋体" w:cs="宋体"/>
                <w:sz w:val="21"/>
                <w:szCs w:val="21"/>
              </w:rPr>
            </w:pPr>
            <w:r>
              <w:rPr>
                <w:rFonts w:hint="eastAsia" w:ascii="宋体" w:hAnsi="宋体" w:eastAsia="宋体" w:cs="宋体"/>
                <w:sz w:val="21"/>
                <w:szCs w:val="21"/>
              </w:rPr>
              <w:t>供方：</w:t>
            </w:r>
          </w:p>
          <w:p w14:paraId="1A2BF6C1">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522AE486">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14:paraId="2E7ABD3D">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14:paraId="10BF6F1D">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14:paraId="601CC530">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14:paraId="0EC8C3A9">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p w14:paraId="7008660C">
            <w:pPr>
              <w:widowControl/>
              <w:spacing w:line="240" w:lineRule="atLeast"/>
              <w:jc w:val="lef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14:paraId="79D6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08DFEB5">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14:paraId="42ED8A98">
            <w:pPr>
              <w:spacing w:line="240" w:lineRule="atLeast"/>
              <w:rPr>
                <w:rFonts w:hint="eastAsia" w:ascii="宋体" w:hAnsi="宋体" w:eastAsia="宋体" w:cs="宋体"/>
                <w:sz w:val="21"/>
                <w:szCs w:val="21"/>
              </w:rPr>
            </w:pPr>
          </w:p>
          <w:p w14:paraId="1C7310E7">
            <w:pPr>
              <w:spacing w:line="240" w:lineRule="atLeast"/>
              <w:rPr>
                <w:rFonts w:hint="eastAsia" w:ascii="宋体" w:hAnsi="宋体" w:eastAsia="宋体" w:cs="宋体"/>
                <w:sz w:val="21"/>
                <w:szCs w:val="21"/>
              </w:rPr>
            </w:pPr>
          </w:p>
        </w:tc>
      </w:tr>
    </w:tbl>
    <w:p w14:paraId="1087564D">
      <w:pPr>
        <w:rPr>
          <w:rFonts w:hint="eastAsia" w:ascii="宋体" w:hAnsi="宋体" w:eastAsia="宋体" w:cs="宋体"/>
          <w:sz w:val="24"/>
        </w:rPr>
      </w:pPr>
      <w:r>
        <w:rPr>
          <w:rFonts w:hint="eastAsia" w:ascii="宋体" w:hAnsi="宋体" w:eastAsia="宋体" w:cs="宋体"/>
          <w:sz w:val="24"/>
        </w:rPr>
        <w:t>签约时间：           年   月   日      签约地点：</w:t>
      </w:r>
    </w:p>
    <w:p w14:paraId="7070130A">
      <w:pPr>
        <w:tabs>
          <w:tab w:val="left" w:pos="9000"/>
        </w:tabs>
        <w:spacing w:line="276" w:lineRule="auto"/>
        <w:jc w:val="center"/>
        <w:rPr>
          <w:rFonts w:hint="eastAsia" w:ascii="宋体" w:hAnsi="宋体" w:eastAsia="宋体" w:cs="宋体"/>
          <w:sz w:val="21"/>
          <w:szCs w:val="21"/>
        </w:rPr>
        <w:sectPr>
          <w:footerReference r:id="rId5" w:type="default"/>
          <w:footerReference r:id="rId6" w:type="even"/>
          <w:pgSz w:w="11907" w:h="16840"/>
          <w:pgMar w:top="1134" w:right="1191" w:bottom="1134" w:left="1304" w:header="964" w:footer="992" w:gutter="0"/>
          <w:pgNumType w:fmt="numberInDash"/>
          <w:cols w:space="720" w:num="1"/>
          <w:docGrid w:linePitch="312" w:charSpace="0"/>
        </w:sectPr>
      </w:pPr>
    </w:p>
    <w:p w14:paraId="65D79EF5">
      <w:pPr>
        <w:pStyle w:val="2"/>
        <w:spacing w:line="360" w:lineRule="auto"/>
        <w:jc w:val="center"/>
        <w:rPr>
          <w:rFonts w:hint="eastAsia" w:ascii="宋体" w:hAnsi="宋体" w:eastAsia="宋体" w:cs="宋体"/>
          <w:b/>
          <w:sz w:val="36"/>
          <w:szCs w:val="36"/>
        </w:rPr>
      </w:pPr>
      <w:bookmarkStart w:id="96" w:name="_Toc583"/>
      <w:r>
        <w:rPr>
          <w:rFonts w:hint="eastAsia" w:ascii="宋体" w:hAnsi="宋体" w:eastAsia="宋体" w:cs="宋体"/>
          <w:b/>
          <w:sz w:val="36"/>
          <w:szCs w:val="36"/>
        </w:rPr>
        <w:t>第</w:t>
      </w:r>
      <w:r>
        <w:rPr>
          <w:rFonts w:hint="eastAsia" w:ascii="宋体" w:hAnsi="宋体" w:eastAsia="宋体" w:cs="宋体"/>
          <w:b/>
          <w:sz w:val="36"/>
          <w:szCs w:val="36"/>
          <w:lang w:val="en-US" w:eastAsia="zh-CN"/>
        </w:rPr>
        <w:t>七</w:t>
      </w:r>
      <w:r>
        <w:rPr>
          <w:rFonts w:hint="eastAsia" w:ascii="宋体" w:hAnsi="宋体" w:eastAsia="宋体" w:cs="宋体"/>
          <w:b/>
          <w:sz w:val="36"/>
          <w:szCs w:val="36"/>
        </w:rPr>
        <w:t xml:space="preserve">篇  </w:t>
      </w:r>
      <w:bookmarkEnd w:id="94"/>
      <w:r>
        <w:rPr>
          <w:rFonts w:hint="eastAsia" w:ascii="宋体" w:hAnsi="宋体" w:eastAsia="宋体" w:cs="宋体"/>
          <w:b/>
          <w:sz w:val="36"/>
          <w:szCs w:val="36"/>
        </w:rPr>
        <w:t>响应文件编制要求</w:t>
      </w:r>
      <w:bookmarkEnd w:id="95"/>
      <w:bookmarkEnd w:id="96"/>
    </w:p>
    <w:p w14:paraId="782A53DD">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一、经济部分</w:t>
      </w:r>
    </w:p>
    <w:p w14:paraId="269A93D4">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（一）竞争性磋商报价函</w:t>
      </w:r>
    </w:p>
    <w:p w14:paraId="0DFA17ED">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（二）明细报价表</w:t>
      </w:r>
    </w:p>
    <w:p w14:paraId="280D9DDE">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二、服务部分</w:t>
      </w:r>
    </w:p>
    <w:p w14:paraId="7E454489">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（一）服务方案</w:t>
      </w:r>
    </w:p>
    <w:p w14:paraId="1B87B4EC">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（二）项目实施方案</w:t>
      </w:r>
    </w:p>
    <w:p w14:paraId="0DFA4193">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（三）服务响应偏离表</w:t>
      </w:r>
    </w:p>
    <w:p w14:paraId="36C7F1A5">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三、商务部分</w:t>
      </w:r>
    </w:p>
    <w:p w14:paraId="3AF29ADD">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（一）商务响应偏离表</w:t>
      </w:r>
    </w:p>
    <w:p w14:paraId="541D90A1">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（二）其它优惠服务承诺</w:t>
      </w:r>
    </w:p>
    <w:p w14:paraId="7B8E54D2">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四、资格条件及其他</w:t>
      </w:r>
    </w:p>
    <w:p w14:paraId="4CA3BBF7">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（一）法人营业执照（副本）或事业单位法人证书（副本）或个体工商户营业执照或有效的自然人身份证明或社会团体法人登记证书复印件</w:t>
      </w:r>
    </w:p>
    <w:p w14:paraId="3F8CB6EF">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（二）法定代表人身份证明书（格式）</w:t>
      </w:r>
    </w:p>
    <w:p w14:paraId="1CB4CBF2">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（三）法定代表人授权委托书（格式）</w:t>
      </w:r>
    </w:p>
    <w:p w14:paraId="2F02B496">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（四）基本资格条件承诺函（格式）</w:t>
      </w:r>
    </w:p>
    <w:p w14:paraId="2608A2CE">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（五）特定资格条件证书或证明文件</w:t>
      </w:r>
    </w:p>
    <w:p w14:paraId="1BFCBFBC">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五、其他资料</w:t>
      </w:r>
    </w:p>
    <w:p w14:paraId="5A4645F1">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（一）中小企业声明函、监狱企业证明文件、残疾人福利性单位声明函</w:t>
      </w:r>
    </w:p>
    <w:p w14:paraId="4BDF197D">
      <w:pPr>
        <w:spacing w:line="440" w:lineRule="exact"/>
        <w:ind w:firstLine="480" w:firstLineChars="200"/>
        <w:rPr>
          <w:rFonts w:hint="eastAsia" w:ascii="宋体" w:hAnsi="宋体" w:eastAsia="宋体" w:cs="宋体"/>
          <w:color w:val="000000"/>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000000"/>
          <w:sz w:val="24"/>
          <w:szCs w:val="24"/>
        </w:rPr>
        <w:t>（二）其他与项目有关的资料</w:t>
      </w:r>
    </w:p>
    <w:p w14:paraId="2790384F">
      <w:pPr>
        <w:pStyle w:val="4"/>
        <w:spacing w:before="0" w:after="0" w:line="360" w:lineRule="auto"/>
        <w:rPr>
          <w:rFonts w:hint="eastAsia" w:ascii="宋体" w:hAnsi="宋体" w:eastAsia="宋体" w:cs="宋体"/>
          <w:color w:val="000000"/>
          <w:sz w:val="24"/>
          <w:szCs w:val="24"/>
        </w:rPr>
      </w:pPr>
      <w:bookmarkStart w:id="97" w:name="_Toc313888360"/>
      <w:bookmarkStart w:id="98" w:name="_Toc342913419"/>
      <w:bookmarkStart w:id="99" w:name="_Toc12144"/>
      <w:bookmarkStart w:id="100" w:name="_Toc11578"/>
      <w:bookmarkStart w:id="101" w:name="_Toc313008356"/>
      <w:bookmarkStart w:id="102" w:name="_Toc12789073"/>
      <w:bookmarkStart w:id="103" w:name="_Toc283382454"/>
      <w:r>
        <w:rPr>
          <w:rFonts w:hint="eastAsia" w:ascii="宋体" w:hAnsi="宋体" w:eastAsia="宋体" w:cs="宋体"/>
          <w:color w:val="000000"/>
          <w:sz w:val="24"/>
          <w:szCs w:val="24"/>
        </w:rPr>
        <w:t>一、经济部分</w:t>
      </w:r>
      <w:bookmarkEnd w:id="97"/>
      <w:bookmarkEnd w:id="98"/>
      <w:bookmarkEnd w:id="99"/>
      <w:bookmarkEnd w:id="100"/>
      <w:bookmarkEnd w:id="101"/>
    </w:p>
    <w:bookmarkEnd w:id="102"/>
    <w:bookmarkEnd w:id="103"/>
    <w:p w14:paraId="30957A0D">
      <w:pPr>
        <w:tabs>
          <w:tab w:val="left" w:pos="6300"/>
        </w:tabs>
        <w:snapToGrid w:val="0"/>
        <w:spacing w:line="312"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（一）竞争性磋商报价函</w:t>
      </w:r>
    </w:p>
    <w:p w14:paraId="09F6D6DD">
      <w:pPr>
        <w:tabs>
          <w:tab w:val="left" w:pos="6300"/>
        </w:tabs>
        <w:snapToGrid w:val="0"/>
        <w:spacing w:line="312" w:lineRule="auto"/>
        <w:ind w:firstLine="482" w:firstLineChars="20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竞争性磋商报价函</w:t>
      </w:r>
    </w:p>
    <w:p w14:paraId="6142D457">
      <w:pPr>
        <w:tabs>
          <w:tab w:val="left" w:pos="6300"/>
        </w:tabs>
        <w:snapToGrid w:val="0"/>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（采购代理机构名称）</w:t>
      </w:r>
      <w:r>
        <w:rPr>
          <w:rFonts w:hint="eastAsia" w:ascii="宋体" w:hAnsi="宋体" w:eastAsia="宋体" w:cs="宋体"/>
          <w:color w:val="000000"/>
          <w:sz w:val="24"/>
          <w:szCs w:val="24"/>
        </w:rPr>
        <w:t>：</w:t>
      </w:r>
    </w:p>
    <w:p w14:paraId="28715B7A">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我方收到____________________________（项目名称）及_____________（项目号）的竞争性磋商文件，经详细研究，决定参加该项目的磋商。</w:t>
      </w:r>
    </w:p>
    <w:p w14:paraId="3BB0A798">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1.愿意按照竞争性磋商文件中的一切要求，提供本项目的技术服务，初始报价为人民币大写：元整；人民币小写：元。以我公司最后报价为准。</w:t>
      </w:r>
    </w:p>
    <w:p w14:paraId="1DFB1743">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2.我方现提交的响应文件为：响应文件正本</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份，副本</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份。</w:t>
      </w:r>
    </w:p>
    <w:p w14:paraId="6729B615">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3.我方承诺：本次磋商的有效期为90天。</w:t>
      </w:r>
    </w:p>
    <w:p w14:paraId="4ADADE5F">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4.我方完全理解和接受贵方竞争性磋商文件的一切规定和要求及评审办法。</w:t>
      </w:r>
    </w:p>
    <w:p w14:paraId="2D5F7203">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5.在整个竞争性磋商过程中，我方若有违规行为，接受按照《中华人民共和国政府采购法》及其实施条例等规定给予惩罚。</w:t>
      </w:r>
    </w:p>
    <w:p w14:paraId="1BC9A08B">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6.我方若成为成交供应商，将按照最终磋商结果签订合同，并且严格履行合同义务。本承诺函将成为合同不可分割的一部分，与合同具有同等的法律效力。</w:t>
      </w:r>
    </w:p>
    <w:p w14:paraId="40AD7EF3">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7.我方理解，最低报价不是成交的唯一条件。</w:t>
      </w:r>
    </w:p>
    <w:p w14:paraId="2CF4979F">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8.我方同意按竞争性磋商文件规定，交纳竞争性磋商文件要求的磋商保证金。如果我方成为成交供应商，保证在接到成交通知书后，向采购代理机构交纳竞争性磋商文件规定的采购代理服务费。</w:t>
      </w:r>
    </w:p>
    <w:p w14:paraId="21FC5B66">
      <w:pPr>
        <w:tabs>
          <w:tab w:val="left" w:pos="6300"/>
        </w:tabs>
        <w:snapToGrid w:val="0"/>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9.我方未为采购项目提供整体设计、规范编制或者项目管理、监理、检测等服务。</w:t>
      </w:r>
    </w:p>
    <w:p w14:paraId="1C089F75">
      <w:pPr>
        <w:tabs>
          <w:tab w:val="left" w:pos="6300"/>
        </w:tabs>
        <w:snapToGrid w:val="0"/>
        <w:spacing w:line="312" w:lineRule="auto"/>
        <w:ind w:firstLine="570"/>
        <w:rPr>
          <w:rFonts w:hint="eastAsia" w:ascii="宋体" w:hAnsi="宋体" w:eastAsia="宋体" w:cs="宋体"/>
          <w:color w:val="000000"/>
          <w:sz w:val="24"/>
          <w:szCs w:val="24"/>
        </w:rPr>
      </w:pPr>
    </w:p>
    <w:p w14:paraId="74631C52">
      <w:pPr>
        <w:tabs>
          <w:tab w:val="left" w:pos="6300"/>
        </w:tabs>
        <w:snapToGrid w:val="0"/>
        <w:spacing w:line="312" w:lineRule="auto"/>
        <w:ind w:firstLine="570"/>
        <w:rPr>
          <w:rFonts w:hint="eastAsia" w:ascii="宋体" w:hAnsi="宋体" w:eastAsia="宋体" w:cs="宋体"/>
          <w:color w:val="000000"/>
          <w:sz w:val="24"/>
          <w:szCs w:val="24"/>
        </w:rPr>
      </w:pPr>
    </w:p>
    <w:p w14:paraId="761ABF90">
      <w:pPr>
        <w:tabs>
          <w:tab w:val="left" w:pos="6300"/>
        </w:tabs>
        <w:snapToGrid w:val="0"/>
        <w:spacing w:line="312" w:lineRule="auto"/>
        <w:ind w:firstLine="570"/>
        <w:rPr>
          <w:rFonts w:hint="eastAsia" w:ascii="宋体" w:hAnsi="宋体" w:eastAsia="宋体" w:cs="宋体"/>
          <w:color w:val="000000"/>
          <w:sz w:val="24"/>
          <w:szCs w:val="24"/>
        </w:rPr>
      </w:pPr>
    </w:p>
    <w:p w14:paraId="22FF57F2">
      <w:pPr>
        <w:tabs>
          <w:tab w:val="left" w:pos="6300"/>
        </w:tabs>
        <w:snapToGrid w:val="0"/>
        <w:spacing w:line="312" w:lineRule="auto"/>
        <w:ind w:firstLine="570"/>
        <w:rPr>
          <w:rFonts w:hint="eastAsia" w:ascii="宋体" w:hAnsi="宋体" w:eastAsia="宋体" w:cs="宋体"/>
          <w:color w:val="000000"/>
          <w:sz w:val="24"/>
          <w:szCs w:val="24"/>
        </w:rPr>
      </w:pPr>
    </w:p>
    <w:p w14:paraId="3DFFC5A8">
      <w:pPr>
        <w:tabs>
          <w:tab w:val="left" w:pos="6300"/>
        </w:tabs>
        <w:snapToGrid w:val="0"/>
        <w:spacing w:line="312" w:lineRule="auto"/>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供应商（公章）：</w:t>
      </w:r>
    </w:p>
    <w:p w14:paraId="03E0100D">
      <w:pPr>
        <w:snapToGrid w:val="0"/>
        <w:spacing w:line="312" w:lineRule="auto"/>
        <w:ind w:firstLine="480" w:firstLineChars="200"/>
        <w:rPr>
          <w:rFonts w:hint="eastAsia" w:ascii="宋体" w:hAnsi="宋体" w:eastAsia="宋体" w:cs="宋体"/>
          <w:color w:val="000000"/>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000000"/>
          <w:sz w:val="24"/>
          <w:szCs w:val="24"/>
        </w:rPr>
        <w:t xml:space="preserve">                                                  年   月   日</w:t>
      </w:r>
    </w:p>
    <w:p w14:paraId="18907C21">
      <w:pPr>
        <w:tabs>
          <w:tab w:val="left" w:pos="2895"/>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（二）明细报价表</w:t>
      </w:r>
    </w:p>
    <w:p w14:paraId="18AAD3AC">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明细报价表</w:t>
      </w:r>
    </w:p>
    <w:p w14:paraId="2D0CD9E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项目编号：</w:t>
      </w:r>
    </w:p>
    <w:p w14:paraId="20FB4E44">
      <w:pP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4A53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45DA4530">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695" w:type="dxa"/>
            <w:vAlign w:val="center"/>
          </w:tcPr>
          <w:p w14:paraId="6E4360AB">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名称</w:t>
            </w:r>
          </w:p>
        </w:tc>
        <w:tc>
          <w:tcPr>
            <w:tcW w:w="3404" w:type="dxa"/>
            <w:vAlign w:val="center"/>
          </w:tcPr>
          <w:p w14:paraId="467FBE98">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相关信息</w:t>
            </w:r>
          </w:p>
        </w:tc>
        <w:tc>
          <w:tcPr>
            <w:tcW w:w="1344" w:type="dxa"/>
            <w:vAlign w:val="center"/>
          </w:tcPr>
          <w:p w14:paraId="26F975B5">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1344" w:type="dxa"/>
            <w:vAlign w:val="center"/>
          </w:tcPr>
          <w:p w14:paraId="3306BFAB">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单价</w:t>
            </w:r>
          </w:p>
        </w:tc>
        <w:tc>
          <w:tcPr>
            <w:tcW w:w="1344" w:type="dxa"/>
            <w:vAlign w:val="center"/>
          </w:tcPr>
          <w:p w14:paraId="3B7C5573">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合计</w:t>
            </w:r>
          </w:p>
        </w:tc>
      </w:tr>
      <w:tr w14:paraId="48C9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C933D17">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695" w:type="dxa"/>
            <w:vAlign w:val="center"/>
          </w:tcPr>
          <w:p w14:paraId="1ADA91C9">
            <w:pPr>
              <w:jc w:val="center"/>
              <w:rPr>
                <w:rFonts w:hint="eastAsia" w:ascii="宋体" w:hAnsi="宋体" w:eastAsia="宋体" w:cs="宋体"/>
                <w:color w:val="000000"/>
                <w:sz w:val="24"/>
                <w:szCs w:val="24"/>
              </w:rPr>
            </w:pPr>
          </w:p>
        </w:tc>
        <w:tc>
          <w:tcPr>
            <w:tcW w:w="3404" w:type="dxa"/>
          </w:tcPr>
          <w:p w14:paraId="65CAE83B">
            <w:pPr>
              <w:jc w:val="center"/>
              <w:rPr>
                <w:rFonts w:hint="eastAsia" w:ascii="宋体" w:hAnsi="宋体" w:eastAsia="宋体" w:cs="宋体"/>
                <w:color w:val="000000"/>
                <w:sz w:val="24"/>
                <w:szCs w:val="24"/>
              </w:rPr>
            </w:pPr>
          </w:p>
        </w:tc>
        <w:tc>
          <w:tcPr>
            <w:tcW w:w="1344" w:type="dxa"/>
            <w:vAlign w:val="center"/>
          </w:tcPr>
          <w:p w14:paraId="1B5A762F">
            <w:pPr>
              <w:jc w:val="center"/>
              <w:rPr>
                <w:rFonts w:hint="eastAsia" w:ascii="宋体" w:hAnsi="宋体" w:eastAsia="宋体" w:cs="宋体"/>
                <w:color w:val="000000"/>
                <w:sz w:val="24"/>
                <w:szCs w:val="24"/>
              </w:rPr>
            </w:pPr>
          </w:p>
        </w:tc>
        <w:tc>
          <w:tcPr>
            <w:tcW w:w="1344" w:type="dxa"/>
          </w:tcPr>
          <w:p w14:paraId="09AD9B54">
            <w:pPr>
              <w:jc w:val="center"/>
              <w:rPr>
                <w:rFonts w:hint="eastAsia" w:ascii="宋体" w:hAnsi="宋体" w:eastAsia="宋体" w:cs="宋体"/>
                <w:color w:val="000000"/>
                <w:sz w:val="24"/>
                <w:szCs w:val="24"/>
              </w:rPr>
            </w:pPr>
          </w:p>
        </w:tc>
        <w:tc>
          <w:tcPr>
            <w:tcW w:w="1344" w:type="dxa"/>
          </w:tcPr>
          <w:p w14:paraId="2AF88A82">
            <w:pPr>
              <w:jc w:val="center"/>
              <w:rPr>
                <w:rFonts w:hint="eastAsia" w:ascii="宋体" w:hAnsi="宋体" w:eastAsia="宋体" w:cs="宋体"/>
                <w:color w:val="000000"/>
                <w:sz w:val="24"/>
                <w:szCs w:val="24"/>
              </w:rPr>
            </w:pPr>
          </w:p>
        </w:tc>
      </w:tr>
      <w:tr w14:paraId="247B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9BD9973">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695" w:type="dxa"/>
            <w:vAlign w:val="center"/>
          </w:tcPr>
          <w:p w14:paraId="58545B1D">
            <w:pPr>
              <w:jc w:val="center"/>
              <w:rPr>
                <w:rFonts w:hint="eastAsia" w:ascii="宋体" w:hAnsi="宋体" w:eastAsia="宋体" w:cs="宋体"/>
                <w:color w:val="000000"/>
                <w:sz w:val="24"/>
                <w:szCs w:val="24"/>
              </w:rPr>
            </w:pPr>
          </w:p>
        </w:tc>
        <w:tc>
          <w:tcPr>
            <w:tcW w:w="3404" w:type="dxa"/>
          </w:tcPr>
          <w:p w14:paraId="672BA417">
            <w:pPr>
              <w:jc w:val="center"/>
              <w:rPr>
                <w:rFonts w:hint="eastAsia" w:ascii="宋体" w:hAnsi="宋体" w:eastAsia="宋体" w:cs="宋体"/>
                <w:color w:val="000000"/>
                <w:sz w:val="24"/>
                <w:szCs w:val="24"/>
              </w:rPr>
            </w:pPr>
          </w:p>
        </w:tc>
        <w:tc>
          <w:tcPr>
            <w:tcW w:w="1344" w:type="dxa"/>
            <w:vAlign w:val="center"/>
          </w:tcPr>
          <w:p w14:paraId="02399F68">
            <w:pPr>
              <w:jc w:val="center"/>
              <w:rPr>
                <w:rFonts w:hint="eastAsia" w:ascii="宋体" w:hAnsi="宋体" w:eastAsia="宋体" w:cs="宋体"/>
                <w:color w:val="000000"/>
                <w:sz w:val="24"/>
                <w:szCs w:val="24"/>
              </w:rPr>
            </w:pPr>
          </w:p>
        </w:tc>
        <w:tc>
          <w:tcPr>
            <w:tcW w:w="1344" w:type="dxa"/>
          </w:tcPr>
          <w:p w14:paraId="00F5368F">
            <w:pPr>
              <w:jc w:val="center"/>
              <w:rPr>
                <w:rFonts w:hint="eastAsia" w:ascii="宋体" w:hAnsi="宋体" w:eastAsia="宋体" w:cs="宋体"/>
                <w:color w:val="000000"/>
                <w:sz w:val="24"/>
                <w:szCs w:val="24"/>
              </w:rPr>
            </w:pPr>
          </w:p>
        </w:tc>
        <w:tc>
          <w:tcPr>
            <w:tcW w:w="1344" w:type="dxa"/>
          </w:tcPr>
          <w:p w14:paraId="656E70A0">
            <w:pPr>
              <w:jc w:val="center"/>
              <w:rPr>
                <w:rFonts w:hint="eastAsia" w:ascii="宋体" w:hAnsi="宋体" w:eastAsia="宋体" w:cs="宋体"/>
                <w:color w:val="000000"/>
                <w:sz w:val="24"/>
                <w:szCs w:val="24"/>
              </w:rPr>
            </w:pPr>
          </w:p>
        </w:tc>
      </w:tr>
      <w:tr w14:paraId="0EE0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2A0693C">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695" w:type="dxa"/>
            <w:vAlign w:val="center"/>
          </w:tcPr>
          <w:p w14:paraId="0D7E702E">
            <w:pPr>
              <w:jc w:val="center"/>
              <w:rPr>
                <w:rFonts w:hint="eastAsia" w:ascii="宋体" w:hAnsi="宋体" w:eastAsia="宋体" w:cs="宋体"/>
                <w:color w:val="000000"/>
                <w:sz w:val="24"/>
                <w:szCs w:val="24"/>
              </w:rPr>
            </w:pPr>
          </w:p>
        </w:tc>
        <w:tc>
          <w:tcPr>
            <w:tcW w:w="3404" w:type="dxa"/>
          </w:tcPr>
          <w:p w14:paraId="1A2D49D1">
            <w:pPr>
              <w:jc w:val="center"/>
              <w:rPr>
                <w:rFonts w:hint="eastAsia" w:ascii="宋体" w:hAnsi="宋体" w:eastAsia="宋体" w:cs="宋体"/>
                <w:color w:val="000000"/>
                <w:sz w:val="24"/>
                <w:szCs w:val="24"/>
              </w:rPr>
            </w:pPr>
          </w:p>
        </w:tc>
        <w:tc>
          <w:tcPr>
            <w:tcW w:w="1344" w:type="dxa"/>
            <w:vAlign w:val="center"/>
          </w:tcPr>
          <w:p w14:paraId="3F4E2240">
            <w:pPr>
              <w:jc w:val="center"/>
              <w:rPr>
                <w:rFonts w:hint="eastAsia" w:ascii="宋体" w:hAnsi="宋体" w:eastAsia="宋体" w:cs="宋体"/>
                <w:color w:val="000000"/>
                <w:sz w:val="24"/>
                <w:szCs w:val="24"/>
              </w:rPr>
            </w:pPr>
          </w:p>
        </w:tc>
        <w:tc>
          <w:tcPr>
            <w:tcW w:w="1344" w:type="dxa"/>
          </w:tcPr>
          <w:p w14:paraId="626E8B98">
            <w:pPr>
              <w:jc w:val="center"/>
              <w:rPr>
                <w:rFonts w:hint="eastAsia" w:ascii="宋体" w:hAnsi="宋体" w:eastAsia="宋体" w:cs="宋体"/>
                <w:color w:val="000000"/>
                <w:sz w:val="24"/>
                <w:szCs w:val="24"/>
              </w:rPr>
            </w:pPr>
          </w:p>
        </w:tc>
        <w:tc>
          <w:tcPr>
            <w:tcW w:w="1344" w:type="dxa"/>
          </w:tcPr>
          <w:p w14:paraId="372727E0">
            <w:pPr>
              <w:jc w:val="center"/>
              <w:rPr>
                <w:rFonts w:hint="eastAsia" w:ascii="宋体" w:hAnsi="宋体" w:eastAsia="宋体" w:cs="宋体"/>
                <w:color w:val="000000"/>
                <w:sz w:val="24"/>
                <w:szCs w:val="24"/>
              </w:rPr>
            </w:pPr>
          </w:p>
        </w:tc>
      </w:tr>
      <w:tr w14:paraId="631A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6EAF8F6">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695" w:type="dxa"/>
            <w:vAlign w:val="center"/>
          </w:tcPr>
          <w:p w14:paraId="58FD1A51">
            <w:pPr>
              <w:jc w:val="center"/>
              <w:rPr>
                <w:rFonts w:hint="eastAsia" w:ascii="宋体" w:hAnsi="宋体" w:eastAsia="宋体" w:cs="宋体"/>
                <w:color w:val="000000"/>
                <w:sz w:val="24"/>
                <w:szCs w:val="24"/>
              </w:rPr>
            </w:pPr>
          </w:p>
        </w:tc>
        <w:tc>
          <w:tcPr>
            <w:tcW w:w="3404" w:type="dxa"/>
          </w:tcPr>
          <w:p w14:paraId="1ADD2FE9">
            <w:pPr>
              <w:jc w:val="center"/>
              <w:rPr>
                <w:rFonts w:hint="eastAsia" w:ascii="宋体" w:hAnsi="宋体" w:eastAsia="宋体" w:cs="宋体"/>
                <w:color w:val="000000"/>
                <w:sz w:val="24"/>
                <w:szCs w:val="24"/>
              </w:rPr>
            </w:pPr>
          </w:p>
        </w:tc>
        <w:tc>
          <w:tcPr>
            <w:tcW w:w="1344" w:type="dxa"/>
            <w:vAlign w:val="center"/>
          </w:tcPr>
          <w:p w14:paraId="61821A4F">
            <w:pPr>
              <w:jc w:val="center"/>
              <w:rPr>
                <w:rFonts w:hint="eastAsia" w:ascii="宋体" w:hAnsi="宋体" w:eastAsia="宋体" w:cs="宋体"/>
                <w:color w:val="000000"/>
                <w:sz w:val="24"/>
                <w:szCs w:val="24"/>
              </w:rPr>
            </w:pPr>
          </w:p>
        </w:tc>
        <w:tc>
          <w:tcPr>
            <w:tcW w:w="1344" w:type="dxa"/>
          </w:tcPr>
          <w:p w14:paraId="372B8CA4">
            <w:pPr>
              <w:jc w:val="center"/>
              <w:rPr>
                <w:rFonts w:hint="eastAsia" w:ascii="宋体" w:hAnsi="宋体" w:eastAsia="宋体" w:cs="宋体"/>
                <w:color w:val="000000"/>
                <w:sz w:val="24"/>
                <w:szCs w:val="24"/>
              </w:rPr>
            </w:pPr>
          </w:p>
        </w:tc>
        <w:tc>
          <w:tcPr>
            <w:tcW w:w="1344" w:type="dxa"/>
          </w:tcPr>
          <w:p w14:paraId="33A7350F">
            <w:pPr>
              <w:jc w:val="center"/>
              <w:rPr>
                <w:rFonts w:hint="eastAsia" w:ascii="宋体" w:hAnsi="宋体" w:eastAsia="宋体" w:cs="宋体"/>
                <w:color w:val="000000"/>
                <w:sz w:val="24"/>
                <w:szCs w:val="24"/>
              </w:rPr>
            </w:pPr>
          </w:p>
        </w:tc>
      </w:tr>
      <w:tr w14:paraId="5EB4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242FAD3">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695" w:type="dxa"/>
            <w:vAlign w:val="center"/>
          </w:tcPr>
          <w:p w14:paraId="0D4621BA">
            <w:pPr>
              <w:jc w:val="center"/>
              <w:rPr>
                <w:rFonts w:hint="eastAsia" w:ascii="宋体" w:hAnsi="宋体" w:eastAsia="宋体" w:cs="宋体"/>
                <w:color w:val="000000"/>
                <w:sz w:val="24"/>
                <w:szCs w:val="24"/>
              </w:rPr>
            </w:pPr>
          </w:p>
        </w:tc>
        <w:tc>
          <w:tcPr>
            <w:tcW w:w="3404" w:type="dxa"/>
          </w:tcPr>
          <w:p w14:paraId="7C8BC483">
            <w:pPr>
              <w:jc w:val="center"/>
              <w:rPr>
                <w:rFonts w:hint="eastAsia" w:ascii="宋体" w:hAnsi="宋体" w:eastAsia="宋体" w:cs="宋体"/>
                <w:color w:val="000000"/>
                <w:sz w:val="24"/>
                <w:szCs w:val="24"/>
              </w:rPr>
            </w:pPr>
          </w:p>
        </w:tc>
        <w:tc>
          <w:tcPr>
            <w:tcW w:w="1344" w:type="dxa"/>
            <w:vAlign w:val="center"/>
          </w:tcPr>
          <w:p w14:paraId="408EF000">
            <w:pPr>
              <w:jc w:val="center"/>
              <w:rPr>
                <w:rFonts w:hint="eastAsia" w:ascii="宋体" w:hAnsi="宋体" w:eastAsia="宋体" w:cs="宋体"/>
                <w:color w:val="000000"/>
                <w:sz w:val="24"/>
                <w:szCs w:val="24"/>
              </w:rPr>
            </w:pPr>
          </w:p>
        </w:tc>
        <w:tc>
          <w:tcPr>
            <w:tcW w:w="1344" w:type="dxa"/>
          </w:tcPr>
          <w:p w14:paraId="25F8D1AD">
            <w:pPr>
              <w:jc w:val="center"/>
              <w:rPr>
                <w:rFonts w:hint="eastAsia" w:ascii="宋体" w:hAnsi="宋体" w:eastAsia="宋体" w:cs="宋体"/>
                <w:color w:val="000000"/>
                <w:sz w:val="24"/>
                <w:szCs w:val="24"/>
              </w:rPr>
            </w:pPr>
          </w:p>
        </w:tc>
        <w:tc>
          <w:tcPr>
            <w:tcW w:w="1344" w:type="dxa"/>
          </w:tcPr>
          <w:p w14:paraId="350D0CD5">
            <w:pPr>
              <w:jc w:val="center"/>
              <w:rPr>
                <w:rFonts w:hint="eastAsia" w:ascii="宋体" w:hAnsi="宋体" w:eastAsia="宋体" w:cs="宋体"/>
                <w:color w:val="000000"/>
                <w:sz w:val="24"/>
                <w:szCs w:val="24"/>
              </w:rPr>
            </w:pPr>
          </w:p>
        </w:tc>
      </w:tr>
      <w:tr w14:paraId="4F58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81CAC17">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695" w:type="dxa"/>
            <w:vAlign w:val="center"/>
          </w:tcPr>
          <w:p w14:paraId="34CF9458">
            <w:pPr>
              <w:jc w:val="center"/>
              <w:rPr>
                <w:rFonts w:hint="eastAsia" w:ascii="宋体" w:hAnsi="宋体" w:eastAsia="宋体" w:cs="宋体"/>
                <w:color w:val="000000"/>
                <w:sz w:val="24"/>
                <w:szCs w:val="24"/>
              </w:rPr>
            </w:pPr>
          </w:p>
        </w:tc>
        <w:tc>
          <w:tcPr>
            <w:tcW w:w="3404" w:type="dxa"/>
          </w:tcPr>
          <w:p w14:paraId="53182188">
            <w:pPr>
              <w:jc w:val="center"/>
              <w:rPr>
                <w:rFonts w:hint="eastAsia" w:ascii="宋体" w:hAnsi="宋体" w:eastAsia="宋体" w:cs="宋体"/>
                <w:color w:val="000000"/>
                <w:sz w:val="24"/>
                <w:szCs w:val="24"/>
              </w:rPr>
            </w:pPr>
          </w:p>
        </w:tc>
        <w:tc>
          <w:tcPr>
            <w:tcW w:w="1344" w:type="dxa"/>
            <w:vAlign w:val="center"/>
          </w:tcPr>
          <w:p w14:paraId="7FB9EAD9">
            <w:pPr>
              <w:jc w:val="center"/>
              <w:rPr>
                <w:rFonts w:hint="eastAsia" w:ascii="宋体" w:hAnsi="宋体" w:eastAsia="宋体" w:cs="宋体"/>
                <w:color w:val="000000"/>
                <w:sz w:val="24"/>
                <w:szCs w:val="24"/>
              </w:rPr>
            </w:pPr>
          </w:p>
        </w:tc>
        <w:tc>
          <w:tcPr>
            <w:tcW w:w="1344" w:type="dxa"/>
          </w:tcPr>
          <w:p w14:paraId="62A03E90">
            <w:pPr>
              <w:jc w:val="center"/>
              <w:rPr>
                <w:rFonts w:hint="eastAsia" w:ascii="宋体" w:hAnsi="宋体" w:eastAsia="宋体" w:cs="宋体"/>
                <w:color w:val="000000"/>
                <w:sz w:val="24"/>
                <w:szCs w:val="24"/>
              </w:rPr>
            </w:pPr>
          </w:p>
        </w:tc>
        <w:tc>
          <w:tcPr>
            <w:tcW w:w="1344" w:type="dxa"/>
          </w:tcPr>
          <w:p w14:paraId="64C2DAE2">
            <w:pPr>
              <w:jc w:val="center"/>
              <w:rPr>
                <w:rFonts w:hint="eastAsia" w:ascii="宋体" w:hAnsi="宋体" w:eastAsia="宋体" w:cs="宋体"/>
                <w:color w:val="000000"/>
                <w:sz w:val="24"/>
                <w:szCs w:val="24"/>
              </w:rPr>
            </w:pPr>
          </w:p>
        </w:tc>
      </w:tr>
      <w:tr w14:paraId="1C3E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39D2A9D">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695" w:type="dxa"/>
            <w:vAlign w:val="center"/>
          </w:tcPr>
          <w:p w14:paraId="05D7AF16">
            <w:pPr>
              <w:jc w:val="center"/>
              <w:rPr>
                <w:rFonts w:hint="eastAsia" w:ascii="宋体" w:hAnsi="宋体" w:eastAsia="宋体" w:cs="宋体"/>
                <w:color w:val="000000"/>
                <w:sz w:val="24"/>
                <w:szCs w:val="24"/>
              </w:rPr>
            </w:pPr>
          </w:p>
        </w:tc>
        <w:tc>
          <w:tcPr>
            <w:tcW w:w="3404" w:type="dxa"/>
          </w:tcPr>
          <w:p w14:paraId="07B23D4A">
            <w:pPr>
              <w:jc w:val="center"/>
              <w:rPr>
                <w:rFonts w:hint="eastAsia" w:ascii="宋体" w:hAnsi="宋体" w:eastAsia="宋体" w:cs="宋体"/>
                <w:color w:val="000000"/>
                <w:sz w:val="24"/>
                <w:szCs w:val="24"/>
              </w:rPr>
            </w:pPr>
          </w:p>
        </w:tc>
        <w:tc>
          <w:tcPr>
            <w:tcW w:w="1344" w:type="dxa"/>
            <w:vAlign w:val="center"/>
          </w:tcPr>
          <w:p w14:paraId="7FEB1231">
            <w:pPr>
              <w:jc w:val="center"/>
              <w:rPr>
                <w:rFonts w:hint="eastAsia" w:ascii="宋体" w:hAnsi="宋体" w:eastAsia="宋体" w:cs="宋体"/>
                <w:color w:val="000000"/>
                <w:sz w:val="24"/>
                <w:szCs w:val="24"/>
              </w:rPr>
            </w:pPr>
          </w:p>
        </w:tc>
        <w:tc>
          <w:tcPr>
            <w:tcW w:w="1344" w:type="dxa"/>
          </w:tcPr>
          <w:p w14:paraId="0BDF88E4">
            <w:pPr>
              <w:jc w:val="center"/>
              <w:rPr>
                <w:rFonts w:hint="eastAsia" w:ascii="宋体" w:hAnsi="宋体" w:eastAsia="宋体" w:cs="宋体"/>
                <w:color w:val="000000"/>
                <w:sz w:val="24"/>
                <w:szCs w:val="24"/>
              </w:rPr>
            </w:pPr>
          </w:p>
        </w:tc>
        <w:tc>
          <w:tcPr>
            <w:tcW w:w="1344" w:type="dxa"/>
          </w:tcPr>
          <w:p w14:paraId="766E2D06">
            <w:pPr>
              <w:jc w:val="center"/>
              <w:rPr>
                <w:rFonts w:hint="eastAsia" w:ascii="宋体" w:hAnsi="宋体" w:eastAsia="宋体" w:cs="宋体"/>
                <w:color w:val="000000"/>
                <w:sz w:val="24"/>
                <w:szCs w:val="24"/>
              </w:rPr>
            </w:pPr>
          </w:p>
        </w:tc>
      </w:tr>
      <w:tr w14:paraId="16EE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195B812">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695" w:type="dxa"/>
            <w:vAlign w:val="center"/>
          </w:tcPr>
          <w:p w14:paraId="5A9DA6B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人工费</w:t>
            </w:r>
          </w:p>
        </w:tc>
        <w:tc>
          <w:tcPr>
            <w:tcW w:w="3404" w:type="dxa"/>
          </w:tcPr>
          <w:p w14:paraId="189ABF29">
            <w:pPr>
              <w:jc w:val="center"/>
              <w:rPr>
                <w:rFonts w:hint="eastAsia" w:ascii="宋体" w:hAnsi="宋体" w:eastAsia="宋体" w:cs="宋体"/>
                <w:color w:val="000000"/>
                <w:sz w:val="24"/>
                <w:szCs w:val="24"/>
              </w:rPr>
            </w:pPr>
          </w:p>
        </w:tc>
        <w:tc>
          <w:tcPr>
            <w:tcW w:w="1344" w:type="dxa"/>
            <w:vAlign w:val="center"/>
          </w:tcPr>
          <w:p w14:paraId="2266D97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344" w:type="dxa"/>
          </w:tcPr>
          <w:p w14:paraId="79B6AA31">
            <w:pPr>
              <w:jc w:val="center"/>
              <w:rPr>
                <w:rFonts w:hint="eastAsia" w:ascii="宋体" w:hAnsi="宋体" w:eastAsia="宋体" w:cs="宋体"/>
                <w:color w:val="000000"/>
                <w:sz w:val="24"/>
                <w:szCs w:val="24"/>
              </w:rPr>
            </w:pPr>
          </w:p>
        </w:tc>
        <w:tc>
          <w:tcPr>
            <w:tcW w:w="1344" w:type="dxa"/>
          </w:tcPr>
          <w:p w14:paraId="6B2B6083">
            <w:pPr>
              <w:jc w:val="center"/>
              <w:rPr>
                <w:rFonts w:hint="eastAsia" w:ascii="宋体" w:hAnsi="宋体" w:eastAsia="宋体" w:cs="宋体"/>
                <w:color w:val="000000"/>
                <w:sz w:val="24"/>
                <w:szCs w:val="24"/>
              </w:rPr>
            </w:pPr>
          </w:p>
        </w:tc>
      </w:tr>
      <w:tr w14:paraId="2A79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768E770">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695" w:type="dxa"/>
            <w:vAlign w:val="center"/>
          </w:tcPr>
          <w:p w14:paraId="7FFD3B8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运输费</w:t>
            </w:r>
          </w:p>
        </w:tc>
        <w:tc>
          <w:tcPr>
            <w:tcW w:w="3404" w:type="dxa"/>
          </w:tcPr>
          <w:p w14:paraId="593A39F0">
            <w:pPr>
              <w:jc w:val="center"/>
              <w:rPr>
                <w:rFonts w:hint="eastAsia" w:ascii="宋体" w:hAnsi="宋体" w:eastAsia="宋体" w:cs="宋体"/>
                <w:color w:val="000000"/>
                <w:sz w:val="24"/>
                <w:szCs w:val="24"/>
              </w:rPr>
            </w:pPr>
          </w:p>
        </w:tc>
        <w:tc>
          <w:tcPr>
            <w:tcW w:w="1344" w:type="dxa"/>
            <w:vAlign w:val="center"/>
          </w:tcPr>
          <w:p w14:paraId="441D8A2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344" w:type="dxa"/>
          </w:tcPr>
          <w:p w14:paraId="62B73AC7">
            <w:pPr>
              <w:jc w:val="center"/>
              <w:rPr>
                <w:rFonts w:hint="eastAsia" w:ascii="宋体" w:hAnsi="宋体" w:eastAsia="宋体" w:cs="宋体"/>
                <w:color w:val="000000"/>
                <w:sz w:val="24"/>
                <w:szCs w:val="24"/>
              </w:rPr>
            </w:pPr>
          </w:p>
        </w:tc>
        <w:tc>
          <w:tcPr>
            <w:tcW w:w="1344" w:type="dxa"/>
          </w:tcPr>
          <w:p w14:paraId="020C8F26">
            <w:pPr>
              <w:jc w:val="center"/>
              <w:rPr>
                <w:rFonts w:hint="eastAsia" w:ascii="宋体" w:hAnsi="宋体" w:eastAsia="宋体" w:cs="宋体"/>
                <w:color w:val="000000"/>
                <w:sz w:val="24"/>
                <w:szCs w:val="24"/>
              </w:rPr>
            </w:pPr>
          </w:p>
        </w:tc>
      </w:tr>
      <w:tr w14:paraId="6E04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31E61DD">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695" w:type="dxa"/>
            <w:vAlign w:val="center"/>
          </w:tcPr>
          <w:p w14:paraId="6A1BF7E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其他费用</w:t>
            </w:r>
          </w:p>
        </w:tc>
        <w:tc>
          <w:tcPr>
            <w:tcW w:w="3404" w:type="dxa"/>
          </w:tcPr>
          <w:p w14:paraId="750C8373">
            <w:pPr>
              <w:jc w:val="center"/>
              <w:rPr>
                <w:rFonts w:hint="eastAsia" w:ascii="宋体" w:hAnsi="宋体" w:eastAsia="宋体" w:cs="宋体"/>
                <w:color w:val="000000"/>
                <w:sz w:val="24"/>
                <w:szCs w:val="24"/>
              </w:rPr>
            </w:pPr>
          </w:p>
        </w:tc>
        <w:tc>
          <w:tcPr>
            <w:tcW w:w="1344" w:type="dxa"/>
            <w:vAlign w:val="center"/>
          </w:tcPr>
          <w:p w14:paraId="13FC0DE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344" w:type="dxa"/>
          </w:tcPr>
          <w:p w14:paraId="11A3C792">
            <w:pPr>
              <w:jc w:val="center"/>
              <w:rPr>
                <w:rFonts w:hint="eastAsia" w:ascii="宋体" w:hAnsi="宋体" w:eastAsia="宋体" w:cs="宋体"/>
                <w:color w:val="000000"/>
                <w:sz w:val="24"/>
                <w:szCs w:val="24"/>
              </w:rPr>
            </w:pPr>
          </w:p>
        </w:tc>
        <w:tc>
          <w:tcPr>
            <w:tcW w:w="1344" w:type="dxa"/>
          </w:tcPr>
          <w:p w14:paraId="054B6A99">
            <w:pPr>
              <w:jc w:val="center"/>
              <w:rPr>
                <w:rFonts w:hint="eastAsia" w:ascii="宋体" w:hAnsi="宋体" w:eastAsia="宋体" w:cs="宋体"/>
                <w:color w:val="000000"/>
                <w:sz w:val="24"/>
                <w:szCs w:val="24"/>
              </w:rPr>
            </w:pPr>
          </w:p>
        </w:tc>
      </w:tr>
      <w:tr w14:paraId="057A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6A6368E">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695" w:type="dxa"/>
            <w:vAlign w:val="center"/>
          </w:tcPr>
          <w:p w14:paraId="1614A0F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3404" w:type="dxa"/>
          </w:tcPr>
          <w:p w14:paraId="03DC6214">
            <w:pPr>
              <w:jc w:val="center"/>
              <w:rPr>
                <w:rFonts w:hint="eastAsia" w:ascii="宋体" w:hAnsi="宋体" w:eastAsia="宋体" w:cs="宋体"/>
                <w:color w:val="000000"/>
                <w:sz w:val="24"/>
                <w:szCs w:val="24"/>
              </w:rPr>
            </w:pPr>
          </w:p>
        </w:tc>
        <w:tc>
          <w:tcPr>
            <w:tcW w:w="1344" w:type="dxa"/>
            <w:vAlign w:val="center"/>
          </w:tcPr>
          <w:p w14:paraId="2912380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344" w:type="dxa"/>
          </w:tcPr>
          <w:p w14:paraId="5B7079FD">
            <w:pPr>
              <w:jc w:val="center"/>
              <w:rPr>
                <w:rFonts w:hint="eastAsia" w:ascii="宋体" w:hAnsi="宋体" w:eastAsia="宋体" w:cs="宋体"/>
                <w:color w:val="000000"/>
                <w:sz w:val="24"/>
                <w:szCs w:val="24"/>
              </w:rPr>
            </w:pPr>
          </w:p>
        </w:tc>
        <w:tc>
          <w:tcPr>
            <w:tcW w:w="1344" w:type="dxa"/>
          </w:tcPr>
          <w:p w14:paraId="4670221F">
            <w:pPr>
              <w:jc w:val="center"/>
              <w:rPr>
                <w:rFonts w:hint="eastAsia" w:ascii="宋体" w:hAnsi="宋体" w:eastAsia="宋体" w:cs="宋体"/>
                <w:color w:val="000000"/>
                <w:sz w:val="24"/>
                <w:szCs w:val="24"/>
              </w:rPr>
            </w:pPr>
          </w:p>
        </w:tc>
      </w:tr>
      <w:tr w14:paraId="5C58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BE43AF8">
            <w:pPr>
              <w:pStyle w:val="23"/>
              <w:spacing w:line="240" w:lineRule="atLeast"/>
              <w:ind w:left="3920"/>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695" w:type="dxa"/>
            <w:vAlign w:val="center"/>
          </w:tcPr>
          <w:p w14:paraId="5CCCAEF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总计</w:t>
            </w:r>
          </w:p>
        </w:tc>
        <w:tc>
          <w:tcPr>
            <w:tcW w:w="7436" w:type="dxa"/>
            <w:gridSpan w:val="4"/>
          </w:tcPr>
          <w:p w14:paraId="72886D20">
            <w:pPr>
              <w:rPr>
                <w:rFonts w:hint="eastAsia" w:ascii="宋体" w:hAnsi="宋体" w:eastAsia="宋体" w:cs="宋体"/>
                <w:color w:val="000000"/>
                <w:sz w:val="24"/>
                <w:szCs w:val="24"/>
              </w:rPr>
            </w:pPr>
          </w:p>
        </w:tc>
      </w:tr>
    </w:tbl>
    <w:p w14:paraId="09BB3034">
      <w:pPr>
        <w:snapToGrid w:val="0"/>
        <w:spacing w:line="500" w:lineRule="exact"/>
        <w:ind w:firstLine="480" w:firstLineChars="200"/>
        <w:rPr>
          <w:rFonts w:hint="eastAsia" w:ascii="宋体" w:hAnsi="宋体" w:eastAsia="宋体" w:cs="宋体"/>
          <w:color w:val="000000"/>
          <w:sz w:val="24"/>
          <w:szCs w:val="24"/>
        </w:rPr>
      </w:pPr>
    </w:p>
    <w:p w14:paraId="5BE034FB">
      <w:pPr>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注：1.请供应商完整填写本表。</w:t>
      </w:r>
    </w:p>
    <w:p w14:paraId="567F23AD">
      <w:pPr>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2.该表可扩展</w:t>
      </w:r>
      <w:bookmarkStart w:id="104" w:name="OLE_LINK2"/>
      <w:r>
        <w:rPr>
          <w:rFonts w:hint="eastAsia" w:ascii="宋体" w:hAnsi="宋体" w:eastAsia="宋体" w:cs="宋体"/>
          <w:color w:val="000000"/>
          <w:sz w:val="24"/>
          <w:szCs w:val="24"/>
        </w:rPr>
        <w:t>，并逐页签字或盖章。</w:t>
      </w:r>
      <w:bookmarkEnd w:id="104"/>
    </w:p>
    <w:p w14:paraId="0FA152BC">
      <w:pPr>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3.该表可根据项目实际情况调整。</w:t>
      </w:r>
    </w:p>
    <w:p w14:paraId="290893BA">
      <w:pPr>
        <w:pStyle w:val="37"/>
        <w:spacing w:line="360" w:lineRule="auto"/>
        <w:rPr>
          <w:rFonts w:hint="eastAsia" w:ascii="宋体" w:hAnsi="宋体" w:eastAsia="宋体" w:cs="宋体"/>
          <w:color w:val="000000"/>
          <w:sz w:val="24"/>
          <w:szCs w:val="24"/>
        </w:rPr>
      </w:pPr>
    </w:p>
    <w:p w14:paraId="11F6B439">
      <w:pPr>
        <w:pStyle w:val="37"/>
        <w:spacing w:line="360" w:lineRule="auto"/>
        <w:rPr>
          <w:rFonts w:hint="eastAsia" w:ascii="宋体" w:hAnsi="宋体" w:eastAsia="宋体" w:cs="宋体"/>
          <w:color w:val="000000"/>
          <w:sz w:val="24"/>
          <w:szCs w:val="24"/>
        </w:rPr>
      </w:pPr>
    </w:p>
    <w:p w14:paraId="71892F66">
      <w:pPr>
        <w:rPr>
          <w:rFonts w:hint="eastAsia" w:ascii="宋体" w:hAnsi="宋体" w:eastAsia="宋体" w:cs="宋体"/>
          <w:color w:val="000000"/>
          <w:sz w:val="24"/>
          <w:szCs w:val="24"/>
        </w:rPr>
      </w:pPr>
    </w:p>
    <w:p w14:paraId="7D006E33">
      <w:pPr>
        <w:rPr>
          <w:rFonts w:hint="eastAsia" w:ascii="宋体" w:hAnsi="宋体" w:eastAsia="宋体" w:cs="宋体"/>
          <w:color w:val="000000"/>
          <w:sz w:val="24"/>
          <w:szCs w:val="24"/>
        </w:rPr>
      </w:pPr>
    </w:p>
    <w:p w14:paraId="0DDACAE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供应商名称（公章）：</w:t>
      </w:r>
    </w:p>
    <w:p w14:paraId="78940243">
      <w:pPr>
        <w:spacing w:line="360" w:lineRule="auto"/>
        <w:ind w:right="480" w:firstLine="6480" w:firstLineChars="2700"/>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14:paraId="26672BC2">
      <w:pPr>
        <w:snapToGrid w:val="0"/>
        <w:spacing w:line="360" w:lineRule="auto"/>
        <w:ind w:firstLine="480" w:firstLineChars="200"/>
        <w:rPr>
          <w:rFonts w:hint="eastAsia" w:ascii="宋体" w:hAnsi="宋体" w:eastAsia="宋体" w:cs="宋体"/>
          <w:color w:val="000000"/>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93A44F4">
      <w:pPr>
        <w:pStyle w:val="4"/>
        <w:spacing w:before="0" w:after="0" w:line="360" w:lineRule="auto"/>
        <w:rPr>
          <w:rFonts w:hint="eastAsia" w:ascii="宋体" w:hAnsi="宋体" w:eastAsia="宋体" w:cs="宋体"/>
          <w:color w:val="000000"/>
          <w:sz w:val="24"/>
          <w:szCs w:val="24"/>
        </w:rPr>
      </w:pPr>
      <w:bookmarkStart w:id="105" w:name="_Toc342913420"/>
      <w:bookmarkStart w:id="106" w:name="_Toc2317"/>
      <w:bookmarkStart w:id="107" w:name="_Toc313008357"/>
      <w:bookmarkStart w:id="108" w:name="_Toc27452"/>
      <w:bookmarkStart w:id="109" w:name="_Toc313888361"/>
      <w:r>
        <w:rPr>
          <w:rFonts w:hint="eastAsia" w:ascii="宋体" w:hAnsi="宋体" w:eastAsia="宋体" w:cs="宋体"/>
          <w:color w:val="000000"/>
          <w:sz w:val="24"/>
          <w:szCs w:val="24"/>
        </w:rPr>
        <w:t>二、服务部分</w:t>
      </w:r>
      <w:bookmarkEnd w:id="105"/>
      <w:bookmarkEnd w:id="106"/>
      <w:bookmarkEnd w:id="107"/>
      <w:bookmarkEnd w:id="108"/>
      <w:bookmarkEnd w:id="109"/>
    </w:p>
    <w:p w14:paraId="57A43926">
      <w:pPr>
        <w:snapToGrid w:val="0"/>
        <w:spacing w:line="360" w:lineRule="auto"/>
        <w:jc w:val="center"/>
        <w:rPr>
          <w:rFonts w:hint="eastAsia" w:ascii="宋体" w:hAnsi="宋体" w:eastAsia="宋体" w:cs="宋体"/>
          <w:color w:val="000000"/>
          <w:sz w:val="24"/>
          <w:szCs w:val="24"/>
        </w:rPr>
      </w:pPr>
    </w:p>
    <w:p w14:paraId="2F1639E3">
      <w:pPr>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（一）服务方案（格式自定）</w:t>
      </w:r>
    </w:p>
    <w:p w14:paraId="50667471">
      <w:pPr>
        <w:spacing w:line="44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（二）项目实施方案（格式自定）</w:t>
      </w:r>
    </w:p>
    <w:p w14:paraId="0C1F91A8">
      <w:pPr>
        <w:pStyle w:val="33"/>
        <w:rPr>
          <w:rFonts w:hint="eastAsia" w:ascii="宋体" w:hAnsi="宋体" w:eastAsia="宋体" w:cs="宋体"/>
        </w:rPr>
      </w:pPr>
    </w:p>
    <w:p w14:paraId="44BD87F3">
      <w:pPr>
        <w:tabs>
          <w:tab w:val="left" w:pos="6300"/>
        </w:tabs>
        <w:snapToGrid w:val="0"/>
        <w:spacing w:line="50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（三）服务响应偏离表</w:t>
      </w:r>
    </w:p>
    <w:p w14:paraId="39BCE8CD">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项目编号：</w:t>
      </w:r>
    </w:p>
    <w:p w14:paraId="64252A96">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81D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2052E68">
            <w:pPr>
              <w:tabs>
                <w:tab w:val="left" w:pos="6300"/>
              </w:tabs>
              <w:snapToGrid w:val="0"/>
              <w:spacing w:line="500" w:lineRule="exact"/>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658" w:type="dxa"/>
            <w:vAlign w:val="center"/>
          </w:tcPr>
          <w:p w14:paraId="11C831DC">
            <w:pPr>
              <w:tabs>
                <w:tab w:val="left" w:pos="6300"/>
              </w:tabs>
              <w:snapToGrid w:val="0"/>
              <w:spacing w:line="500" w:lineRule="exact"/>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采购需求</w:t>
            </w:r>
          </w:p>
        </w:tc>
        <w:tc>
          <w:tcPr>
            <w:tcW w:w="2759" w:type="dxa"/>
            <w:vAlign w:val="center"/>
          </w:tcPr>
          <w:p w14:paraId="599574EE">
            <w:pPr>
              <w:tabs>
                <w:tab w:val="left" w:pos="6300"/>
              </w:tabs>
              <w:snapToGrid w:val="0"/>
              <w:spacing w:line="500" w:lineRule="exact"/>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响应情况</w:t>
            </w:r>
          </w:p>
        </w:tc>
        <w:tc>
          <w:tcPr>
            <w:tcW w:w="2067" w:type="dxa"/>
            <w:vAlign w:val="center"/>
          </w:tcPr>
          <w:p w14:paraId="5CD183DB">
            <w:pPr>
              <w:tabs>
                <w:tab w:val="left" w:pos="6300"/>
              </w:tabs>
              <w:snapToGrid w:val="0"/>
              <w:spacing w:line="500" w:lineRule="exact"/>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差异说明</w:t>
            </w:r>
          </w:p>
        </w:tc>
      </w:tr>
      <w:tr w14:paraId="347B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103395A">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1CDDD584">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1AB2E975">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57ECB082">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2F18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DDDEADC">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412421E8">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0D0FF4D7">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1F2D93A1">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442F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8B5A7D">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08FF85B3">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1195C2CD">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354B38B9">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4A59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1E6E03C">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28044CA1">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16D3E524">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078776B7">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0F6D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6CC4D6">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56987C3A">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37288577">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23310C60">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3139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61EA466">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28A4E3F0">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1DA8CD58">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4B5E15E8">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5FBC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F04F9A3">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206D8EB6">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15697D8C">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42AC8CC0">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0000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05460E">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080FC0D2">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0E0366A1">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648A6EC8">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0394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74BEC9F">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50DA7452">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31C44DA4">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150EABA0">
            <w:pPr>
              <w:tabs>
                <w:tab w:val="left" w:pos="6300"/>
              </w:tabs>
              <w:snapToGrid w:val="0"/>
              <w:spacing w:line="500" w:lineRule="exact"/>
              <w:jc w:val="center"/>
              <w:outlineLvl w:val="0"/>
              <w:rPr>
                <w:rFonts w:hint="eastAsia" w:ascii="宋体" w:hAnsi="宋体" w:eastAsia="宋体" w:cs="宋体"/>
                <w:color w:val="000000"/>
                <w:sz w:val="24"/>
                <w:szCs w:val="24"/>
              </w:rPr>
            </w:pPr>
          </w:p>
        </w:tc>
      </w:tr>
      <w:tr w14:paraId="0DDB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F15FC25">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658" w:type="dxa"/>
            <w:vAlign w:val="center"/>
          </w:tcPr>
          <w:p w14:paraId="2A6E1F5E">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759" w:type="dxa"/>
            <w:vAlign w:val="center"/>
          </w:tcPr>
          <w:p w14:paraId="5E6ACCAA">
            <w:pPr>
              <w:tabs>
                <w:tab w:val="left" w:pos="6300"/>
              </w:tabs>
              <w:snapToGrid w:val="0"/>
              <w:spacing w:line="500" w:lineRule="exact"/>
              <w:jc w:val="center"/>
              <w:outlineLvl w:val="0"/>
              <w:rPr>
                <w:rFonts w:hint="eastAsia" w:ascii="宋体" w:hAnsi="宋体" w:eastAsia="宋体" w:cs="宋体"/>
                <w:color w:val="000000"/>
                <w:sz w:val="24"/>
                <w:szCs w:val="24"/>
              </w:rPr>
            </w:pPr>
          </w:p>
        </w:tc>
        <w:tc>
          <w:tcPr>
            <w:tcW w:w="2067" w:type="dxa"/>
            <w:vAlign w:val="center"/>
          </w:tcPr>
          <w:p w14:paraId="389706BA">
            <w:pPr>
              <w:tabs>
                <w:tab w:val="left" w:pos="6300"/>
              </w:tabs>
              <w:snapToGrid w:val="0"/>
              <w:spacing w:line="500" w:lineRule="exact"/>
              <w:jc w:val="center"/>
              <w:outlineLvl w:val="0"/>
              <w:rPr>
                <w:rFonts w:hint="eastAsia" w:ascii="宋体" w:hAnsi="宋体" w:eastAsia="宋体" w:cs="宋体"/>
                <w:color w:val="000000"/>
                <w:sz w:val="24"/>
                <w:szCs w:val="24"/>
              </w:rPr>
            </w:pPr>
          </w:p>
        </w:tc>
      </w:tr>
    </w:tbl>
    <w:p w14:paraId="67C922BD">
      <w:pPr>
        <w:spacing w:line="500" w:lineRule="exact"/>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供应商：                                      法人授权代表：</w:t>
      </w:r>
    </w:p>
    <w:p w14:paraId="59EFF7EC">
      <w:pPr>
        <w:spacing w:line="500" w:lineRule="exact"/>
        <w:rPr>
          <w:rFonts w:hint="eastAsia" w:ascii="宋体" w:hAnsi="宋体" w:eastAsia="宋体" w:cs="宋体"/>
          <w:color w:val="000000"/>
          <w:sz w:val="24"/>
          <w:szCs w:val="24"/>
        </w:rPr>
      </w:pPr>
    </w:p>
    <w:p w14:paraId="6A663E3B">
      <w:pPr>
        <w:spacing w:line="50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（供应商公章）                               （签字或盖章）</w:t>
      </w:r>
    </w:p>
    <w:p w14:paraId="3D39ED16">
      <w:pPr>
        <w:tabs>
          <w:tab w:val="left" w:pos="6300"/>
        </w:tabs>
        <w:snapToGrid w:val="0"/>
        <w:spacing w:line="50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p w14:paraId="1F4EF70E">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w:t>
      </w:r>
    </w:p>
    <w:p w14:paraId="3867DAD2">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1.本表即为对本项目“第二篇  项目服务需求”中所列技术要求进行比较和响应；</w:t>
      </w:r>
    </w:p>
    <w:p w14:paraId="2F04F989">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2.该表必须按照竞争性磋商要求逐条如实填写，根据响应情况在“差异说明”项填写正偏离或负偏离及原因，完全符合的填写“无差异”；</w:t>
      </w:r>
    </w:p>
    <w:p w14:paraId="4E69116A">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3.该表可扩展，并逐页签字或盖章；</w:t>
      </w:r>
    </w:p>
    <w:p w14:paraId="15AEFB4D">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4.可附相关技术支撑材料。（格式自定）</w:t>
      </w:r>
    </w:p>
    <w:p w14:paraId="09955A1C">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5.若“响应情况”栏中仅填写“无偏离”或“有偏离”等内容而未作实质性参数描述，该供应商将失去成为成交供应商的资格，仅保留其合格供应商的身份。</w:t>
      </w:r>
    </w:p>
    <w:p w14:paraId="07EFCE07">
      <w:pPr>
        <w:pStyle w:val="4"/>
        <w:spacing w:before="0" w:after="0" w:line="360" w:lineRule="auto"/>
        <w:rPr>
          <w:rFonts w:hint="eastAsia" w:ascii="宋体" w:hAnsi="宋体" w:eastAsia="宋体" w:cs="宋体"/>
          <w:color w:val="000000"/>
          <w:sz w:val="24"/>
          <w:szCs w:val="24"/>
        </w:rPr>
      </w:pPr>
      <w:r>
        <w:rPr>
          <w:rFonts w:hint="eastAsia" w:ascii="宋体" w:hAnsi="宋体" w:eastAsia="宋体" w:cs="宋体"/>
          <w:b w:val="0"/>
          <w:color w:val="000000"/>
          <w:sz w:val="24"/>
          <w:szCs w:val="24"/>
        </w:rPr>
        <w:br w:type="page"/>
      </w:r>
      <w:bookmarkStart w:id="110" w:name="_Toc4671"/>
      <w:bookmarkStart w:id="111" w:name="_Toc342913421"/>
      <w:bookmarkStart w:id="112" w:name="_Toc313888362"/>
      <w:bookmarkStart w:id="113" w:name="_Toc6271"/>
      <w:bookmarkStart w:id="114" w:name="_Toc313008358"/>
      <w:r>
        <w:rPr>
          <w:rFonts w:hint="eastAsia" w:ascii="宋体" w:hAnsi="宋体" w:eastAsia="宋体" w:cs="宋体"/>
          <w:color w:val="000000"/>
          <w:sz w:val="24"/>
          <w:szCs w:val="24"/>
        </w:rPr>
        <w:t>三、商务部分</w:t>
      </w:r>
      <w:bookmarkEnd w:id="110"/>
      <w:bookmarkEnd w:id="111"/>
      <w:bookmarkEnd w:id="112"/>
      <w:bookmarkEnd w:id="113"/>
      <w:bookmarkEnd w:id="114"/>
    </w:p>
    <w:p w14:paraId="263B64EA">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w:t>
      </w:r>
      <w:bookmarkStart w:id="115" w:name="_Toc283382459"/>
      <w:r>
        <w:rPr>
          <w:rFonts w:hint="eastAsia" w:ascii="宋体" w:hAnsi="宋体" w:eastAsia="宋体" w:cs="宋体"/>
          <w:color w:val="000000"/>
          <w:sz w:val="24"/>
          <w:szCs w:val="24"/>
        </w:rPr>
        <w:t>商务响应偏离表</w:t>
      </w:r>
    </w:p>
    <w:p w14:paraId="2CC19E76">
      <w:pPr>
        <w:snapToGrid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商务响应偏离表（本表可自行设计格式）</w:t>
      </w:r>
    </w:p>
    <w:p w14:paraId="09DF43A4">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对于竞争性磋商文件的商务要求，如有任何偏离请如实填写下表：</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A90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1DC4F73">
            <w:pPr>
              <w:tabs>
                <w:tab w:val="left" w:pos="6300"/>
              </w:tabs>
              <w:snapToGrid w:val="0"/>
              <w:spacing w:line="360" w:lineRule="auto"/>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179" w:type="dxa"/>
            <w:vAlign w:val="center"/>
          </w:tcPr>
          <w:p w14:paraId="65A1058C">
            <w:pPr>
              <w:tabs>
                <w:tab w:val="left" w:pos="6300"/>
              </w:tabs>
              <w:snapToGrid w:val="0"/>
              <w:spacing w:line="360" w:lineRule="auto"/>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磋商项目需求</w:t>
            </w:r>
          </w:p>
        </w:tc>
        <w:tc>
          <w:tcPr>
            <w:tcW w:w="2434" w:type="dxa"/>
            <w:vAlign w:val="center"/>
          </w:tcPr>
          <w:p w14:paraId="29957BBD">
            <w:pPr>
              <w:tabs>
                <w:tab w:val="left" w:pos="6300"/>
              </w:tabs>
              <w:snapToGrid w:val="0"/>
              <w:spacing w:line="360" w:lineRule="auto"/>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响应情况</w:t>
            </w:r>
          </w:p>
        </w:tc>
        <w:tc>
          <w:tcPr>
            <w:tcW w:w="2355" w:type="dxa"/>
            <w:vAlign w:val="center"/>
          </w:tcPr>
          <w:p w14:paraId="2103F733">
            <w:pPr>
              <w:tabs>
                <w:tab w:val="left" w:pos="6300"/>
              </w:tabs>
              <w:snapToGrid w:val="0"/>
              <w:spacing w:line="360" w:lineRule="auto"/>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偏离说明</w:t>
            </w:r>
          </w:p>
        </w:tc>
      </w:tr>
      <w:tr w14:paraId="72F9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B3CB9FE">
            <w:pPr>
              <w:tabs>
                <w:tab w:val="left" w:pos="6300"/>
              </w:tabs>
              <w:snapToGrid w:val="0"/>
              <w:spacing w:line="360" w:lineRule="auto"/>
              <w:jc w:val="center"/>
              <w:outlineLvl w:val="0"/>
              <w:rPr>
                <w:rFonts w:hint="eastAsia" w:ascii="宋体" w:hAnsi="宋体" w:eastAsia="宋体" w:cs="宋体"/>
                <w:color w:val="000000"/>
                <w:sz w:val="24"/>
                <w:szCs w:val="24"/>
              </w:rPr>
            </w:pPr>
          </w:p>
        </w:tc>
        <w:tc>
          <w:tcPr>
            <w:tcW w:w="3179" w:type="dxa"/>
            <w:vAlign w:val="center"/>
          </w:tcPr>
          <w:p w14:paraId="5F2B8B87">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434" w:type="dxa"/>
            <w:vAlign w:val="center"/>
          </w:tcPr>
          <w:p w14:paraId="7A7F0E9A">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355" w:type="dxa"/>
            <w:vAlign w:val="center"/>
          </w:tcPr>
          <w:p w14:paraId="0140F1C9">
            <w:pPr>
              <w:tabs>
                <w:tab w:val="left" w:pos="6300"/>
              </w:tabs>
              <w:snapToGrid w:val="0"/>
              <w:spacing w:line="360" w:lineRule="auto"/>
              <w:jc w:val="center"/>
              <w:outlineLvl w:val="0"/>
              <w:rPr>
                <w:rFonts w:hint="eastAsia" w:ascii="宋体" w:hAnsi="宋体" w:eastAsia="宋体" w:cs="宋体"/>
                <w:color w:val="000000"/>
                <w:sz w:val="24"/>
                <w:szCs w:val="24"/>
              </w:rPr>
            </w:pPr>
          </w:p>
        </w:tc>
      </w:tr>
      <w:tr w14:paraId="7397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E535E6">
            <w:pPr>
              <w:tabs>
                <w:tab w:val="left" w:pos="6300"/>
              </w:tabs>
              <w:snapToGrid w:val="0"/>
              <w:spacing w:line="360" w:lineRule="auto"/>
              <w:jc w:val="center"/>
              <w:outlineLvl w:val="0"/>
              <w:rPr>
                <w:rFonts w:hint="eastAsia" w:ascii="宋体" w:hAnsi="宋体" w:eastAsia="宋体" w:cs="宋体"/>
                <w:color w:val="000000"/>
                <w:sz w:val="24"/>
                <w:szCs w:val="24"/>
              </w:rPr>
            </w:pPr>
          </w:p>
        </w:tc>
        <w:tc>
          <w:tcPr>
            <w:tcW w:w="3179" w:type="dxa"/>
            <w:vAlign w:val="center"/>
          </w:tcPr>
          <w:p w14:paraId="00D0C0FA">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434" w:type="dxa"/>
            <w:vAlign w:val="center"/>
          </w:tcPr>
          <w:p w14:paraId="57E445B3">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355" w:type="dxa"/>
            <w:vAlign w:val="center"/>
          </w:tcPr>
          <w:p w14:paraId="1EC9D71E">
            <w:pPr>
              <w:tabs>
                <w:tab w:val="left" w:pos="6300"/>
              </w:tabs>
              <w:snapToGrid w:val="0"/>
              <w:spacing w:line="360" w:lineRule="auto"/>
              <w:jc w:val="center"/>
              <w:outlineLvl w:val="0"/>
              <w:rPr>
                <w:rFonts w:hint="eastAsia" w:ascii="宋体" w:hAnsi="宋体" w:eastAsia="宋体" w:cs="宋体"/>
                <w:color w:val="000000"/>
                <w:sz w:val="24"/>
                <w:szCs w:val="24"/>
              </w:rPr>
            </w:pPr>
          </w:p>
        </w:tc>
      </w:tr>
      <w:tr w14:paraId="7613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A1E286A">
            <w:pPr>
              <w:tabs>
                <w:tab w:val="left" w:pos="6300"/>
              </w:tabs>
              <w:snapToGrid w:val="0"/>
              <w:spacing w:line="360" w:lineRule="auto"/>
              <w:jc w:val="center"/>
              <w:outlineLvl w:val="0"/>
              <w:rPr>
                <w:rFonts w:hint="eastAsia" w:ascii="宋体" w:hAnsi="宋体" w:eastAsia="宋体" w:cs="宋体"/>
                <w:color w:val="000000"/>
                <w:sz w:val="24"/>
                <w:szCs w:val="24"/>
              </w:rPr>
            </w:pPr>
          </w:p>
        </w:tc>
        <w:tc>
          <w:tcPr>
            <w:tcW w:w="3179" w:type="dxa"/>
            <w:vAlign w:val="center"/>
          </w:tcPr>
          <w:p w14:paraId="1B21627F">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434" w:type="dxa"/>
            <w:vAlign w:val="center"/>
          </w:tcPr>
          <w:p w14:paraId="20D09BC1">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355" w:type="dxa"/>
            <w:vAlign w:val="center"/>
          </w:tcPr>
          <w:p w14:paraId="69AE0366">
            <w:pPr>
              <w:tabs>
                <w:tab w:val="left" w:pos="6300"/>
              </w:tabs>
              <w:snapToGrid w:val="0"/>
              <w:spacing w:line="360" w:lineRule="auto"/>
              <w:jc w:val="center"/>
              <w:outlineLvl w:val="0"/>
              <w:rPr>
                <w:rFonts w:hint="eastAsia" w:ascii="宋体" w:hAnsi="宋体" w:eastAsia="宋体" w:cs="宋体"/>
                <w:color w:val="000000"/>
                <w:sz w:val="24"/>
                <w:szCs w:val="24"/>
              </w:rPr>
            </w:pPr>
          </w:p>
        </w:tc>
      </w:tr>
      <w:tr w14:paraId="1CBA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E727AC3">
            <w:pPr>
              <w:tabs>
                <w:tab w:val="left" w:pos="6300"/>
              </w:tabs>
              <w:snapToGrid w:val="0"/>
              <w:spacing w:line="360" w:lineRule="auto"/>
              <w:jc w:val="center"/>
              <w:outlineLvl w:val="0"/>
              <w:rPr>
                <w:rFonts w:hint="eastAsia" w:ascii="宋体" w:hAnsi="宋体" w:eastAsia="宋体" w:cs="宋体"/>
                <w:color w:val="000000"/>
                <w:sz w:val="24"/>
                <w:szCs w:val="24"/>
              </w:rPr>
            </w:pPr>
          </w:p>
        </w:tc>
        <w:tc>
          <w:tcPr>
            <w:tcW w:w="3179" w:type="dxa"/>
            <w:vAlign w:val="center"/>
          </w:tcPr>
          <w:p w14:paraId="39C792FC">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434" w:type="dxa"/>
            <w:vAlign w:val="center"/>
          </w:tcPr>
          <w:p w14:paraId="32AB22C2">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355" w:type="dxa"/>
            <w:vAlign w:val="center"/>
          </w:tcPr>
          <w:p w14:paraId="3EE19461">
            <w:pPr>
              <w:tabs>
                <w:tab w:val="left" w:pos="6300"/>
              </w:tabs>
              <w:snapToGrid w:val="0"/>
              <w:spacing w:line="360" w:lineRule="auto"/>
              <w:jc w:val="center"/>
              <w:outlineLvl w:val="0"/>
              <w:rPr>
                <w:rFonts w:hint="eastAsia" w:ascii="宋体" w:hAnsi="宋体" w:eastAsia="宋体" w:cs="宋体"/>
                <w:color w:val="000000"/>
                <w:sz w:val="24"/>
                <w:szCs w:val="24"/>
              </w:rPr>
            </w:pPr>
          </w:p>
        </w:tc>
      </w:tr>
      <w:tr w14:paraId="759B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4119F0">
            <w:pPr>
              <w:tabs>
                <w:tab w:val="left" w:pos="6300"/>
              </w:tabs>
              <w:snapToGrid w:val="0"/>
              <w:spacing w:line="360" w:lineRule="auto"/>
              <w:jc w:val="center"/>
              <w:outlineLvl w:val="0"/>
              <w:rPr>
                <w:rFonts w:hint="eastAsia" w:ascii="宋体" w:hAnsi="宋体" w:eastAsia="宋体" w:cs="宋体"/>
                <w:color w:val="000000"/>
                <w:sz w:val="24"/>
                <w:szCs w:val="24"/>
              </w:rPr>
            </w:pPr>
          </w:p>
        </w:tc>
        <w:tc>
          <w:tcPr>
            <w:tcW w:w="3179" w:type="dxa"/>
            <w:vAlign w:val="center"/>
          </w:tcPr>
          <w:p w14:paraId="2E0BCF5C">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434" w:type="dxa"/>
            <w:vAlign w:val="center"/>
          </w:tcPr>
          <w:p w14:paraId="64AD6996">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355" w:type="dxa"/>
            <w:vAlign w:val="center"/>
          </w:tcPr>
          <w:p w14:paraId="4136A28E">
            <w:pPr>
              <w:tabs>
                <w:tab w:val="left" w:pos="6300"/>
              </w:tabs>
              <w:snapToGrid w:val="0"/>
              <w:spacing w:line="360" w:lineRule="auto"/>
              <w:jc w:val="center"/>
              <w:outlineLvl w:val="0"/>
              <w:rPr>
                <w:rFonts w:hint="eastAsia" w:ascii="宋体" w:hAnsi="宋体" w:eastAsia="宋体" w:cs="宋体"/>
                <w:color w:val="000000"/>
                <w:sz w:val="24"/>
                <w:szCs w:val="24"/>
              </w:rPr>
            </w:pPr>
          </w:p>
        </w:tc>
      </w:tr>
      <w:tr w14:paraId="32D0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7813FA">
            <w:pPr>
              <w:tabs>
                <w:tab w:val="left" w:pos="6300"/>
              </w:tabs>
              <w:snapToGrid w:val="0"/>
              <w:spacing w:line="360" w:lineRule="auto"/>
              <w:jc w:val="center"/>
              <w:outlineLvl w:val="0"/>
              <w:rPr>
                <w:rFonts w:hint="eastAsia" w:ascii="宋体" w:hAnsi="宋体" w:eastAsia="宋体" w:cs="宋体"/>
                <w:color w:val="000000"/>
                <w:sz w:val="24"/>
                <w:szCs w:val="24"/>
              </w:rPr>
            </w:pPr>
          </w:p>
        </w:tc>
        <w:tc>
          <w:tcPr>
            <w:tcW w:w="3179" w:type="dxa"/>
            <w:vAlign w:val="center"/>
          </w:tcPr>
          <w:p w14:paraId="3FF10E57">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434" w:type="dxa"/>
            <w:vAlign w:val="center"/>
          </w:tcPr>
          <w:p w14:paraId="1CA7A16E">
            <w:pPr>
              <w:tabs>
                <w:tab w:val="left" w:pos="6300"/>
              </w:tabs>
              <w:snapToGrid w:val="0"/>
              <w:spacing w:line="360" w:lineRule="auto"/>
              <w:jc w:val="center"/>
              <w:outlineLvl w:val="0"/>
              <w:rPr>
                <w:rFonts w:hint="eastAsia" w:ascii="宋体" w:hAnsi="宋体" w:eastAsia="宋体" w:cs="宋体"/>
                <w:color w:val="000000"/>
                <w:sz w:val="24"/>
                <w:szCs w:val="24"/>
              </w:rPr>
            </w:pPr>
          </w:p>
        </w:tc>
        <w:tc>
          <w:tcPr>
            <w:tcW w:w="2355" w:type="dxa"/>
            <w:vAlign w:val="center"/>
          </w:tcPr>
          <w:p w14:paraId="3F6E205E">
            <w:pPr>
              <w:tabs>
                <w:tab w:val="left" w:pos="6300"/>
              </w:tabs>
              <w:snapToGrid w:val="0"/>
              <w:spacing w:line="360" w:lineRule="auto"/>
              <w:jc w:val="center"/>
              <w:outlineLvl w:val="0"/>
              <w:rPr>
                <w:rFonts w:hint="eastAsia" w:ascii="宋体" w:hAnsi="宋体" w:eastAsia="宋体" w:cs="宋体"/>
                <w:color w:val="000000"/>
                <w:sz w:val="24"/>
                <w:szCs w:val="24"/>
              </w:rPr>
            </w:pPr>
          </w:p>
        </w:tc>
      </w:tr>
    </w:tbl>
    <w:p w14:paraId="6F324A53">
      <w:pPr>
        <w:snapToGrid w:val="0"/>
        <w:spacing w:line="360" w:lineRule="auto"/>
        <w:ind w:firstLine="465"/>
        <w:rPr>
          <w:rFonts w:hint="eastAsia" w:ascii="宋体" w:hAnsi="宋体" w:eastAsia="宋体" w:cs="宋体"/>
          <w:color w:val="000000"/>
          <w:sz w:val="24"/>
          <w:szCs w:val="24"/>
        </w:rPr>
      </w:pPr>
    </w:p>
    <w:p w14:paraId="5415E8A4">
      <w:pPr>
        <w:spacing w:line="500" w:lineRule="exact"/>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供应商：                                      法人授权代表：</w:t>
      </w:r>
    </w:p>
    <w:p w14:paraId="5A35B952">
      <w:pPr>
        <w:spacing w:line="500" w:lineRule="exact"/>
        <w:rPr>
          <w:rFonts w:hint="eastAsia" w:ascii="宋体" w:hAnsi="宋体" w:eastAsia="宋体" w:cs="宋体"/>
          <w:color w:val="000000"/>
          <w:sz w:val="24"/>
          <w:szCs w:val="24"/>
        </w:rPr>
      </w:pPr>
    </w:p>
    <w:p w14:paraId="5F5C94B8">
      <w:pPr>
        <w:spacing w:line="50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（供应商公章）                                 （签字或盖章）</w:t>
      </w:r>
    </w:p>
    <w:p w14:paraId="66C48A53">
      <w:pPr>
        <w:tabs>
          <w:tab w:val="left" w:pos="6300"/>
        </w:tabs>
        <w:snapToGrid w:val="0"/>
        <w:spacing w:line="50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p w14:paraId="06A10362">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w:t>
      </w:r>
    </w:p>
    <w:p w14:paraId="1BCBE71F">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1.本表即为对本项目“第三篇 </w:t>
      </w: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rPr>
        <w:t>商务需求”中所列服务要求进行比较和响应；</w:t>
      </w:r>
    </w:p>
    <w:p w14:paraId="3AA5780F">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2.该表必须按照竞争性磋商要求逐条如实填写，根据响应情况在“差异说明”项填写正偏离或负偏离及原因，完全符合的填写“无差异”；</w:t>
      </w:r>
    </w:p>
    <w:p w14:paraId="63C10E6E">
      <w:pPr>
        <w:tabs>
          <w:tab w:val="left" w:pos="6300"/>
        </w:tabs>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3.该表可扩展，并逐页签字或盖章；</w:t>
      </w:r>
    </w:p>
    <w:p w14:paraId="0B6E228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（二）其它优惠承诺（格式自定）</w:t>
      </w:r>
    </w:p>
    <w:p w14:paraId="63EB8C05">
      <w:pPr>
        <w:pStyle w:val="4"/>
        <w:spacing w:before="0" w:after="0" w:line="360" w:lineRule="auto"/>
        <w:rPr>
          <w:rFonts w:hint="eastAsia" w:ascii="宋体" w:hAnsi="宋体" w:eastAsia="宋体" w:cs="宋体"/>
          <w:sz w:val="24"/>
        </w:rPr>
      </w:pPr>
      <w:r>
        <w:rPr>
          <w:rFonts w:hint="eastAsia" w:ascii="宋体" w:hAnsi="宋体" w:eastAsia="宋体" w:cs="宋体"/>
          <w:color w:val="000000"/>
          <w:sz w:val="24"/>
          <w:szCs w:val="24"/>
        </w:rPr>
        <w:br w:type="page"/>
      </w:r>
      <w:bookmarkEnd w:id="115"/>
      <w:bookmarkStart w:id="116" w:name="_Toc342913422"/>
      <w:bookmarkStart w:id="117" w:name="_Toc313008359"/>
      <w:bookmarkStart w:id="118" w:name="_Toc76462353"/>
      <w:bookmarkStart w:id="119" w:name="_Toc106030909"/>
      <w:bookmarkStart w:id="120" w:name="_Toc18588"/>
      <w:bookmarkStart w:id="121" w:name="_Toc313888363"/>
      <w:r>
        <w:rPr>
          <w:rFonts w:hint="eastAsia" w:ascii="宋体" w:hAnsi="宋体" w:eastAsia="宋体" w:cs="宋体"/>
          <w:color w:val="000000"/>
          <w:sz w:val="24"/>
          <w:szCs w:val="24"/>
        </w:rPr>
        <w:t>四、资格条件</w:t>
      </w:r>
      <w:bookmarkEnd w:id="116"/>
      <w:bookmarkEnd w:id="117"/>
      <w:bookmarkEnd w:id="118"/>
      <w:bookmarkEnd w:id="119"/>
      <w:bookmarkEnd w:id="120"/>
      <w:bookmarkEnd w:id="121"/>
    </w:p>
    <w:p w14:paraId="6929455F">
      <w:pPr>
        <w:tabs>
          <w:tab w:val="left" w:pos="6300"/>
        </w:tabs>
        <w:snapToGrid w:val="0"/>
        <w:spacing w:line="400" w:lineRule="exact"/>
        <w:ind w:firstLine="57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46BA3F9F">
      <w:pPr>
        <w:tabs>
          <w:tab w:val="left" w:pos="6300"/>
        </w:tabs>
        <w:snapToGrid w:val="0"/>
        <w:spacing w:line="400" w:lineRule="exact"/>
        <w:ind w:firstLine="570"/>
        <w:rPr>
          <w:rFonts w:hint="eastAsia" w:ascii="宋体" w:hAnsi="宋体" w:eastAsia="宋体" w:cs="宋体"/>
        </w:rPr>
      </w:pPr>
    </w:p>
    <w:p w14:paraId="2B65584A">
      <w:pPr>
        <w:tabs>
          <w:tab w:val="left" w:pos="6300"/>
        </w:tabs>
        <w:snapToGrid w:val="0"/>
        <w:spacing w:line="500" w:lineRule="exact"/>
        <w:ind w:firstLine="570"/>
        <w:rPr>
          <w:rFonts w:hint="eastAsia" w:ascii="宋体" w:hAnsi="宋体" w:eastAsia="宋体" w:cs="宋体"/>
        </w:rPr>
      </w:pPr>
    </w:p>
    <w:p w14:paraId="7A232838">
      <w:pPr>
        <w:tabs>
          <w:tab w:val="left" w:pos="6300"/>
        </w:tabs>
        <w:snapToGrid w:val="0"/>
        <w:spacing w:line="500" w:lineRule="exact"/>
        <w:ind w:firstLine="570"/>
        <w:rPr>
          <w:rFonts w:hint="eastAsia" w:ascii="宋体" w:hAnsi="宋体" w:eastAsia="宋体" w:cs="宋体"/>
        </w:rPr>
      </w:pPr>
    </w:p>
    <w:p w14:paraId="6D2557E9">
      <w:pPr>
        <w:tabs>
          <w:tab w:val="left" w:pos="6300"/>
        </w:tabs>
        <w:snapToGrid w:val="0"/>
        <w:spacing w:line="500" w:lineRule="exact"/>
        <w:ind w:firstLine="570"/>
        <w:rPr>
          <w:rFonts w:hint="eastAsia" w:ascii="宋体" w:hAnsi="宋体" w:eastAsia="宋体" w:cs="宋体"/>
        </w:rPr>
      </w:pPr>
    </w:p>
    <w:p w14:paraId="419EBF45">
      <w:pPr>
        <w:tabs>
          <w:tab w:val="left" w:pos="6300"/>
        </w:tabs>
        <w:snapToGrid w:val="0"/>
        <w:spacing w:line="500" w:lineRule="exact"/>
        <w:ind w:firstLine="570"/>
        <w:rPr>
          <w:rFonts w:hint="eastAsia" w:ascii="宋体" w:hAnsi="宋体" w:eastAsia="宋体" w:cs="宋体"/>
        </w:rPr>
      </w:pPr>
    </w:p>
    <w:p w14:paraId="0DB8BE0E">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14:paraId="6CD6A903">
      <w:pPr>
        <w:tabs>
          <w:tab w:val="left" w:pos="6300"/>
        </w:tabs>
        <w:snapToGrid w:val="0"/>
        <w:spacing w:line="500" w:lineRule="exact"/>
        <w:ind w:firstLine="570"/>
        <w:rPr>
          <w:rFonts w:hint="eastAsia" w:ascii="宋体" w:hAnsi="宋体" w:eastAsia="宋体" w:cs="宋体"/>
          <w:sz w:val="24"/>
        </w:rPr>
      </w:pPr>
    </w:p>
    <w:p w14:paraId="18BF2C6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磋商项目名称：</w:t>
      </w:r>
      <w:r>
        <w:rPr>
          <w:rFonts w:hint="eastAsia" w:ascii="宋体" w:hAnsi="宋体" w:eastAsia="宋体" w:cs="宋体"/>
          <w:sz w:val="24"/>
          <w:u w:val="single"/>
        </w:rPr>
        <w:t xml:space="preserve">                                                </w:t>
      </w:r>
    </w:p>
    <w:p w14:paraId="4BC6095C">
      <w:pPr>
        <w:tabs>
          <w:tab w:val="left" w:pos="6300"/>
        </w:tabs>
        <w:snapToGrid w:val="0"/>
        <w:spacing w:line="500" w:lineRule="exact"/>
        <w:ind w:firstLine="570"/>
        <w:rPr>
          <w:rFonts w:hint="eastAsia" w:ascii="宋体" w:hAnsi="宋体" w:eastAsia="宋体" w:cs="宋体"/>
          <w:sz w:val="24"/>
        </w:rPr>
      </w:pPr>
    </w:p>
    <w:p w14:paraId="16A80743">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0CEB1D9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性别</w:t>
      </w:r>
      <w:r>
        <w:rPr>
          <w:rFonts w:hint="eastAsia" w:ascii="宋体" w:hAnsi="宋体" w:eastAsia="宋体" w:cs="宋体"/>
          <w:color w:val="000000"/>
          <w:sz w:val="24"/>
          <w:lang w:eastAsia="zh-CN"/>
        </w:rPr>
        <w:t>）</w:t>
      </w:r>
      <w:r>
        <w:rPr>
          <w:rFonts w:hint="eastAsia" w:ascii="宋体" w:hAnsi="宋体" w:eastAsia="宋体" w:cs="宋体"/>
          <w:sz w:val="24"/>
        </w:rPr>
        <w:t>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21B739D9">
      <w:pPr>
        <w:tabs>
          <w:tab w:val="left" w:pos="6300"/>
        </w:tabs>
        <w:snapToGrid w:val="0"/>
        <w:spacing w:line="500" w:lineRule="exact"/>
        <w:ind w:firstLine="570"/>
        <w:rPr>
          <w:rFonts w:hint="eastAsia" w:ascii="宋体" w:hAnsi="宋体" w:eastAsia="宋体" w:cs="宋体"/>
          <w:sz w:val="24"/>
        </w:rPr>
      </w:pPr>
    </w:p>
    <w:p w14:paraId="3F90EC23">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14:paraId="0606ACC4">
      <w:pPr>
        <w:tabs>
          <w:tab w:val="left" w:pos="6300"/>
        </w:tabs>
        <w:snapToGrid w:val="0"/>
        <w:spacing w:line="500" w:lineRule="exact"/>
        <w:ind w:firstLine="570"/>
        <w:rPr>
          <w:rFonts w:hint="eastAsia" w:ascii="宋体" w:hAnsi="宋体" w:eastAsia="宋体" w:cs="宋体"/>
          <w:sz w:val="24"/>
        </w:rPr>
      </w:pPr>
    </w:p>
    <w:p w14:paraId="387914D9">
      <w:pPr>
        <w:tabs>
          <w:tab w:val="left" w:pos="6300"/>
        </w:tabs>
        <w:snapToGrid w:val="0"/>
        <w:spacing w:line="500" w:lineRule="exact"/>
        <w:ind w:firstLine="570"/>
        <w:rPr>
          <w:rFonts w:hint="eastAsia" w:ascii="宋体" w:hAnsi="宋体" w:eastAsia="宋体" w:cs="宋体"/>
          <w:sz w:val="24"/>
        </w:rPr>
      </w:pPr>
    </w:p>
    <w:p w14:paraId="4B74C941">
      <w:pPr>
        <w:tabs>
          <w:tab w:val="left" w:pos="6300"/>
        </w:tabs>
        <w:snapToGrid w:val="0"/>
        <w:spacing w:line="500" w:lineRule="exact"/>
        <w:ind w:firstLine="570"/>
        <w:rPr>
          <w:rFonts w:hint="eastAsia" w:ascii="宋体" w:hAnsi="宋体" w:eastAsia="宋体" w:cs="宋体"/>
          <w:sz w:val="24"/>
        </w:rPr>
      </w:pPr>
    </w:p>
    <w:p w14:paraId="7D3E43DB">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14:paraId="424E53E2">
      <w:pPr>
        <w:tabs>
          <w:tab w:val="left" w:pos="6300"/>
        </w:tabs>
        <w:snapToGrid w:val="0"/>
        <w:spacing w:line="500" w:lineRule="exact"/>
        <w:ind w:firstLine="570"/>
        <w:rPr>
          <w:rFonts w:hint="eastAsia" w:ascii="宋体" w:hAnsi="宋体" w:eastAsia="宋体" w:cs="宋体"/>
          <w:sz w:val="24"/>
        </w:rPr>
      </w:pPr>
    </w:p>
    <w:p w14:paraId="39C9136A">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34DB0192">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法定代表人电话：XXXXXXX      电子邮箱：XXXXXX@XXXXX（若授权他人办理并签署响应文件的可不填写）</w:t>
      </w:r>
    </w:p>
    <w:p w14:paraId="308F5B9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11FB7FB5">
      <w:pPr>
        <w:tabs>
          <w:tab w:val="left" w:pos="6300"/>
        </w:tabs>
        <w:snapToGrid w:val="0"/>
        <w:spacing w:line="500" w:lineRule="exact"/>
        <w:ind w:firstLine="570"/>
        <w:rPr>
          <w:rFonts w:hint="eastAsia" w:ascii="宋体" w:hAnsi="宋体" w:eastAsia="宋体" w:cs="宋体"/>
          <w:sz w:val="24"/>
        </w:rPr>
      </w:pPr>
    </w:p>
    <w:p w14:paraId="22B6511A">
      <w:pPr>
        <w:tabs>
          <w:tab w:val="left" w:pos="6300"/>
        </w:tabs>
        <w:snapToGrid w:val="0"/>
        <w:spacing w:line="500" w:lineRule="exact"/>
        <w:ind w:firstLine="570"/>
        <w:rPr>
          <w:rFonts w:hint="eastAsia" w:ascii="宋体" w:hAnsi="宋体" w:eastAsia="宋体" w:cs="宋体"/>
          <w:sz w:val="24"/>
        </w:rPr>
      </w:pPr>
    </w:p>
    <w:p w14:paraId="15341639">
      <w:pPr>
        <w:tabs>
          <w:tab w:val="left" w:pos="6300"/>
        </w:tabs>
        <w:snapToGrid w:val="0"/>
        <w:spacing w:line="500" w:lineRule="exact"/>
        <w:ind w:firstLine="570"/>
        <w:rPr>
          <w:rFonts w:hint="eastAsia" w:ascii="宋体" w:hAnsi="宋体" w:eastAsia="宋体" w:cs="宋体"/>
          <w:sz w:val="24"/>
        </w:rPr>
      </w:pPr>
    </w:p>
    <w:p w14:paraId="186CE8B6">
      <w:pPr>
        <w:tabs>
          <w:tab w:val="left" w:pos="6300"/>
        </w:tabs>
        <w:snapToGrid w:val="0"/>
        <w:spacing w:line="500" w:lineRule="exact"/>
        <w:ind w:firstLine="570"/>
        <w:rPr>
          <w:rFonts w:hint="eastAsia" w:ascii="宋体" w:hAnsi="宋体" w:eastAsia="宋体" w:cs="宋体"/>
          <w:sz w:val="24"/>
        </w:rPr>
      </w:pPr>
    </w:p>
    <w:p w14:paraId="69360F69">
      <w:pPr>
        <w:tabs>
          <w:tab w:val="left" w:pos="6300"/>
        </w:tabs>
        <w:snapToGrid w:val="0"/>
        <w:spacing w:line="500" w:lineRule="exact"/>
        <w:ind w:firstLine="570"/>
        <w:rPr>
          <w:rFonts w:hint="eastAsia" w:ascii="宋体" w:hAnsi="宋体" w:eastAsia="宋体" w:cs="宋体"/>
          <w:sz w:val="24"/>
        </w:rPr>
      </w:pPr>
    </w:p>
    <w:p w14:paraId="0EA33787">
      <w:pPr>
        <w:tabs>
          <w:tab w:val="left" w:pos="6300"/>
        </w:tabs>
        <w:snapToGrid w:val="0"/>
        <w:spacing w:line="500" w:lineRule="exact"/>
        <w:ind w:firstLine="570"/>
        <w:rPr>
          <w:rFonts w:hint="eastAsia" w:ascii="宋体" w:hAnsi="宋体" w:eastAsia="宋体" w:cs="宋体"/>
          <w:sz w:val="24"/>
        </w:rPr>
      </w:pPr>
    </w:p>
    <w:p w14:paraId="007A38FA">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14:paraId="02D49C2B">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0A7FCFB5">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磋商项目名称</w:t>
      </w:r>
      <w:r>
        <w:rPr>
          <w:rFonts w:hint="eastAsia" w:ascii="宋体" w:hAnsi="宋体" w:eastAsia="宋体" w:cs="宋体"/>
          <w:sz w:val="24"/>
        </w:rPr>
        <w:t>：</w:t>
      </w:r>
      <w:r>
        <w:rPr>
          <w:rFonts w:hint="eastAsia" w:ascii="宋体" w:hAnsi="宋体" w:eastAsia="宋体" w:cs="宋体"/>
          <w:sz w:val="24"/>
          <w:u w:val="single"/>
        </w:rPr>
        <w:t xml:space="preserve">                                                </w:t>
      </w:r>
    </w:p>
    <w:p w14:paraId="6B1D2C02">
      <w:pPr>
        <w:tabs>
          <w:tab w:val="left" w:pos="6300"/>
        </w:tabs>
        <w:snapToGrid w:val="0"/>
        <w:spacing w:line="500" w:lineRule="exact"/>
        <w:ind w:firstLine="570"/>
        <w:rPr>
          <w:rFonts w:hint="eastAsia" w:ascii="宋体" w:hAnsi="宋体" w:eastAsia="宋体" w:cs="宋体"/>
          <w:sz w:val="24"/>
        </w:rPr>
      </w:pPr>
    </w:p>
    <w:p w14:paraId="067F1F6C">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367156A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（被授权人姓名及身份证代码）代表我单位全权办理上述项目的磋商、签约等具体工作，并签署全部有关文件、协议及合同。</w:t>
      </w:r>
    </w:p>
    <w:p w14:paraId="163C3869">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w:t>
      </w:r>
      <w:r>
        <w:rPr>
          <w:rFonts w:hint="eastAsia" w:ascii="宋体" w:hAnsi="宋体" w:eastAsia="宋体" w:cs="宋体"/>
          <w:sz w:val="24"/>
          <w:szCs w:val="28"/>
        </w:rPr>
        <w:t>签署</w:t>
      </w:r>
      <w:r>
        <w:rPr>
          <w:rFonts w:hint="eastAsia" w:ascii="宋体" w:hAnsi="宋体" w:eastAsia="宋体" w:cs="宋体"/>
          <w:sz w:val="24"/>
        </w:rPr>
        <w:t>负全部责任。</w:t>
      </w:r>
    </w:p>
    <w:p w14:paraId="25ECA50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14:paraId="77E2E015">
      <w:pPr>
        <w:tabs>
          <w:tab w:val="left" w:pos="6300"/>
        </w:tabs>
        <w:snapToGrid w:val="0"/>
        <w:spacing w:line="500" w:lineRule="exact"/>
        <w:ind w:firstLine="570"/>
        <w:rPr>
          <w:rFonts w:hint="eastAsia" w:ascii="宋体" w:hAnsi="宋体" w:eastAsia="宋体" w:cs="宋体"/>
          <w:sz w:val="24"/>
        </w:rPr>
      </w:pPr>
    </w:p>
    <w:p w14:paraId="3F1994EB">
      <w:pPr>
        <w:tabs>
          <w:tab w:val="left" w:pos="6300"/>
        </w:tabs>
        <w:snapToGrid w:val="0"/>
        <w:spacing w:line="500" w:lineRule="exact"/>
        <w:ind w:firstLine="570"/>
        <w:rPr>
          <w:rFonts w:hint="eastAsia" w:ascii="宋体" w:hAnsi="宋体" w:eastAsia="宋体" w:cs="宋体"/>
          <w:sz w:val="24"/>
        </w:rPr>
      </w:pPr>
    </w:p>
    <w:p w14:paraId="4BA3CCD3">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349EBC5C">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14:paraId="3B79B2D0">
      <w:pPr>
        <w:tabs>
          <w:tab w:val="left" w:pos="6300"/>
        </w:tabs>
        <w:snapToGrid w:val="0"/>
        <w:spacing w:line="500" w:lineRule="exact"/>
        <w:ind w:firstLine="570"/>
        <w:rPr>
          <w:rFonts w:hint="eastAsia" w:ascii="宋体" w:hAnsi="宋体" w:eastAsia="宋体" w:cs="宋体"/>
          <w:sz w:val="24"/>
          <w:szCs w:val="28"/>
        </w:rPr>
      </w:pPr>
    </w:p>
    <w:p w14:paraId="5F7C2EA1">
      <w:pPr>
        <w:tabs>
          <w:tab w:val="left" w:pos="6300"/>
        </w:tabs>
        <w:snapToGrid w:val="0"/>
        <w:spacing w:line="500" w:lineRule="exact"/>
        <w:ind w:firstLine="570"/>
        <w:rPr>
          <w:rFonts w:hint="eastAsia" w:ascii="宋体" w:hAnsi="宋体" w:eastAsia="宋体" w:cs="宋体"/>
          <w:sz w:val="24"/>
        </w:rPr>
      </w:pPr>
    </w:p>
    <w:p w14:paraId="08924556">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7EBF8BD3">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580647FE">
      <w:pPr>
        <w:tabs>
          <w:tab w:val="left" w:pos="6300"/>
        </w:tabs>
        <w:snapToGrid w:val="0"/>
        <w:spacing w:line="500" w:lineRule="exact"/>
        <w:ind w:firstLine="570"/>
        <w:rPr>
          <w:rFonts w:hint="eastAsia" w:ascii="宋体" w:hAnsi="宋体" w:eastAsia="宋体" w:cs="宋体"/>
          <w:sz w:val="24"/>
        </w:rPr>
      </w:pPr>
    </w:p>
    <w:p w14:paraId="295B045D">
      <w:pPr>
        <w:tabs>
          <w:tab w:val="left" w:pos="6300"/>
        </w:tabs>
        <w:snapToGrid w:val="0"/>
        <w:spacing w:line="500" w:lineRule="exact"/>
        <w:ind w:firstLine="570"/>
        <w:rPr>
          <w:rFonts w:hint="eastAsia" w:ascii="宋体" w:hAnsi="宋体" w:eastAsia="宋体" w:cs="宋体"/>
          <w:sz w:val="24"/>
        </w:rPr>
      </w:pPr>
    </w:p>
    <w:p w14:paraId="1154405D">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29B6B773">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0D508BF2">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14:paraId="4E292519">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w:t>
      </w:r>
    </w:p>
    <w:p w14:paraId="40EED16D">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14:paraId="69590C1A">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（四）</w:t>
      </w:r>
      <w:r>
        <w:rPr>
          <w:rFonts w:hint="eastAsia" w:ascii="宋体" w:hAnsi="宋体" w:eastAsia="宋体" w:cs="宋体"/>
          <w:sz w:val="24"/>
          <w:szCs w:val="28"/>
        </w:rPr>
        <w:t>基本资格条件承诺函</w:t>
      </w:r>
    </w:p>
    <w:p w14:paraId="1C5A219B">
      <w:pPr>
        <w:tabs>
          <w:tab w:val="left" w:pos="6300"/>
        </w:tabs>
        <w:snapToGrid w:val="0"/>
        <w:spacing w:line="500" w:lineRule="exact"/>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基本资格条件承诺函</w:t>
      </w:r>
    </w:p>
    <w:p w14:paraId="73063E44">
      <w:pPr>
        <w:tabs>
          <w:tab w:val="left" w:pos="6300"/>
        </w:tabs>
        <w:snapToGrid w:val="0"/>
        <w:spacing w:line="530" w:lineRule="exact"/>
        <w:rPr>
          <w:rFonts w:hint="eastAsia" w:ascii="宋体" w:hAnsi="宋体" w:eastAsia="宋体" w:cs="宋体"/>
          <w:sz w:val="24"/>
        </w:rPr>
      </w:pPr>
    </w:p>
    <w:p w14:paraId="656A2A4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2CF91E9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（供应商名称）郑重承诺：</w:t>
      </w:r>
    </w:p>
    <w:p w14:paraId="13BB0049">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有依法缴纳税收和社会保障金的良好记录</w:t>
      </w:r>
      <w:r>
        <w:rPr>
          <w:rFonts w:hint="eastAsia" w:ascii="宋体" w:hAnsi="宋体" w:eastAsia="宋体" w:cs="宋体"/>
          <w:sz w:val="24"/>
        </w:rPr>
        <w:t>，参加本项目采购活动前三年内无重大违法活动记录。</w:t>
      </w:r>
    </w:p>
    <w:p w14:paraId="1DC53288">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14:paraId="066C1A5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3.我方在采购项目评审（评标）环节结束后，随时接受采购人、采购代理机构的检查验证，配合提供相关证明材料，证明符合《中华人民共和国政府采购法》规定的供应商基本资格条件。</w:t>
      </w:r>
    </w:p>
    <w:p w14:paraId="76886D09">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我方对以上承诺负全部法律责任。</w:t>
      </w:r>
    </w:p>
    <w:p w14:paraId="50E5706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2D615929">
      <w:pPr>
        <w:tabs>
          <w:tab w:val="left" w:pos="6300"/>
        </w:tabs>
        <w:snapToGrid w:val="0"/>
        <w:spacing w:line="500" w:lineRule="exact"/>
        <w:ind w:firstLine="480" w:firstLineChars="200"/>
        <w:rPr>
          <w:rFonts w:hint="eastAsia" w:ascii="宋体" w:hAnsi="宋体" w:eastAsia="宋体" w:cs="宋体"/>
          <w:sz w:val="24"/>
        </w:rPr>
      </w:pPr>
    </w:p>
    <w:p w14:paraId="7381CACB">
      <w:pPr>
        <w:tabs>
          <w:tab w:val="left" w:pos="6300"/>
        </w:tabs>
        <w:snapToGrid w:val="0"/>
        <w:spacing w:line="500" w:lineRule="exact"/>
        <w:ind w:firstLine="480" w:firstLineChars="200"/>
        <w:jc w:val="right"/>
        <w:rPr>
          <w:rFonts w:hint="eastAsia" w:ascii="宋体" w:hAnsi="宋体" w:eastAsia="宋体" w:cs="宋体"/>
          <w:sz w:val="24"/>
        </w:rPr>
      </w:pPr>
      <w:r>
        <w:rPr>
          <w:rFonts w:hint="eastAsia" w:ascii="宋体" w:hAnsi="宋体" w:eastAsia="宋体" w:cs="宋体"/>
          <w:sz w:val="24"/>
        </w:rPr>
        <w:t>（供应商公章）</w:t>
      </w:r>
    </w:p>
    <w:p w14:paraId="34B3FA7D">
      <w:pPr>
        <w:tabs>
          <w:tab w:val="left" w:pos="6300"/>
        </w:tabs>
        <w:snapToGrid w:val="0"/>
        <w:spacing w:line="500" w:lineRule="exact"/>
        <w:ind w:firstLine="7920" w:firstLineChars="3300"/>
        <w:rPr>
          <w:rFonts w:hint="eastAsia" w:ascii="宋体" w:hAnsi="宋体" w:eastAsia="宋体" w:cs="宋体"/>
          <w:sz w:val="24"/>
          <w:szCs w:val="24"/>
        </w:rPr>
      </w:pPr>
      <w:r>
        <w:rPr>
          <w:rFonts w:hint="eastAsia" w:ascii="宋体" w:hAnsi="宋体" w:eastAsia="宋体" w:cs="宋体"/>
          <w:sz w:val="24"/>
        </w:rPr>
        <w:t>年   月   日</w:t>
      </w:r>
    </w:p>
    <w:p w14:paraId="5F1DC669">
      <w:pPr>
        <w:snapToGrid w:val="0"/>
        <w:spacing w:line="400" w:lineRule="exact"/>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（五）特定资格条件证明文件</w:t>
      </w:r>
    </w:p>
    <w:p w14:paraId="4F943FB4">
      <w:pPr>
        <w:tabs>
          <w:tab w:val="left" w:pos="6300"/>
        </w:tabs>
        <w:snapToGrid w:val="0"/>
        <w:spacing w:line="400" w:lineRule="exact"/>
        <w:ind w:firstLine="480" w:firstLineChars="200"/>
        <w:rPr>
          <w:rFonts w:hint="eastAsia" w:ascii="宋体" w:hAnsi="宋体" w:eastAsia="宋体" w:cs="宋体"/>
          <w:sz w:val="24"/>
          <w:szCs w:val="24"/>
        </w:rPr>
      </w:pPr>
    </w:p>
    <w:p w14:paraId="1ABECA00">
      <w:pPr>
        <w:pStyle w:val="4"/>
        <w:spacing w:before="0" w:after="0" w:line="360" w:lineRule="auto"/>
        <w:rPr>
          <w:rFonts w:hint="eastAsia" w:ascii="宋体" w:hAnsi="宋体" w:eastAsia="宋体" w:cs="宋体"/>
          <w:sz w:val="24"/>
        </w:rPr>
      </w:pPr>
      <w:bookmarkStart w:id="122" w:name="_Toc14422"/>
      <w:r>
        <w:rPr>
          <w:rFonts w:hint="eastAsia" w:ascii="宋体" w:hAnsi="宋体" w:eastAsia="宋体" w:cs="宋体"/>
          <w:b w:val="0"/>
          <w:sz w:val="28"/>
        </w:rPr>
        <w:br w:type="page"/>
      </w:r>
      <w:bookmarkStart w:id="123" w:name="_Toc30680"/>
      <w:bookmarkStart w:id="124" w:name="_Toc76462354"/>
      <w:bookmarkStart w:id="125" w:name="_Toc106030910"/>
      <w:r>
        <w:rPr>
          <w:rFonts w:hint="eastAsia" w:ascii="宋体" w:hAnsi="宋体" w:eastAsia="宋体" w:cs="宋体"/>
          <w:color w:val="000000"/>
          <w:sz w:val="24"/>
          <w:szCs w:val="24"/>
        </w:rPr>
        <w:t>五、其他资料</w:t>
      </w:r>
      <w:bookmarkEnd w:id="122"/>
      <w:bookmarkEnd w:id="123"/>
      <w:bookmarkEnd w:id="124"/>
      <w:bookmarkEnd w:id="125"/>
    </w:p>
    <w:p w14:paraId="04FD1DFB">
      <w:pPr>
        <w:tabs>
          <w:tab w:val="left" w:pos="6300"/>
        </w:tabs>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（一）中小企业声明函、监狱企业证明文件、残疾人福利性单位声明函</w:t>
      </w:r>
    </w:p>
    <w:p w14:paraId="16701990">
      <w:pPr>
        <w:tabs>
          <w:tab w:val="left" w:pos="6300"/>
        </w:tabs>
        <w:snapToGrid w:val="0"/>
        <w:spacing w:line="500" w:lineRule="exact"/>
        <w:ind w:firstLine="560" w:firstLineChars="200"/>
        <w:jc w:val="center"/>
        <w:rPr>
          <w:rFonts w:hint="eastAsia" w:ascii="宋体" w:hAnsi="宋体" w:eastAsia="宋体" w:cs="宋体"/>
        </w:rPr>
      </w:pPr>
      <w:r>
        <w:rPr>
          <w:rFonts w:hint="eastAsia" w:ascii="宋体" w:hAnsi="宋体" w:eastAsia="宋体" w:cs="宋体"/>
        </w:rPr>
        <w:t>中小企业声明函</w:t>
      </w:r>
    </w:p>
    <w:p w14:paraId="1E6E163F">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本公司郑重声明，根据《政府采购促进中小企业发展管理办法》（</w:t>
      </w:r>
      <w:r>
        <w:rPr>
          <w:rFonts w:hint="eastAsia" w:ascii="宋体" w:hAnsi="宋体" w:eastAsia="宋体" w:cs="宋体"/>
          <w:sz w:val="24"/>
          <w:szCs w:val="24"/>
        </w:rPr>
        <w:t>财库〔2020〕46号</w:t>
      </w:r>
      <w:r>
        <w:rPr>
          <w:rFonts w:hint="eastAsia" w:ascii="宋体" w:hAnsi="宋体" w:eastAsia="宋体" w:cs="宋体"/>
          <w:sz w:val="24"/>
          <w:szCs w:val="28"/>
        </w:rPr>
        <w:t>）的规定，本公司参加</w:t>
      </w:r>
      <w:r>
        <w:rPr>
          <w:rFonts w:hint="eastAsia" w:ascii="宋体" w:hAnsi="宋体" w:eastAsia="宋体" w:cs="宋体"/>
          <w:i/>
          <w:sz w:val="24"/>
          <w:szCs w:val="28"/>
          <w:u w:val="single"/>
        </w:rPr>
        <w:t>（单位名称）</w:t>
      </w:r>
      <w:r>
        <w:rPr>
          <w:rFonts w:hint="eastAsia" w:ascii="宋体" w:hAnsi="宋体" w:eastAsia="宋体" w:cs="宋体"/>
          <w:sz w:val="24"/>
          <w:szCs w:val="28"/>
        </w:rPr>
        <w:t>的</w:t>
      </w:r>
      <w:r>
        <w:rPr>
          <w:rFonts w:hint="eastAsia" w:ascii="宋体" w:hAnsi="宋体" w:eastAsia="宋体" w:cs="宋体"/>
          <w:i/>
          <w:sz w:val="24"/>
          <w:szCs w:val="28"/>
          <w:u w:val="single"/>
        </w:rPr>
        <w:t>（项目名称）</w:t>
      </w:r>
      <w:r>
        <w:rPr>
          <w:rFonts w:hint="eastAsia" w:ascii="宋体" w:hAnsi="宋体" w:eastAsia="宋体" w:cs="宋体"/>
          <w:sz w:val="24"/>
          <w:szCs w:val="28"/>
        </w:rPr>
        <w:t>采购活动，服务全部由符合政策要求的中小企业承接。具体情况如下：</w:t>
      </w:r>
    </w:p>
    <w:p w14:paraId="7F55CA76">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eastAsia="宋体" w:cs="宋体"/>
          <w:i/>
          <w:sz w:val="24"/>
          <w:szCs w:val="28"/>
          <w:u w:val="single"/>
        </w:rPr>
        <w:t>（标的名称）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14:paraId="4D2209D3">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14:paraId="759F0DC6">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eastAsia="宋体" w:cs="宋体"/>
          <w:i/>
          <w:sz w:val="24"/>
          <w:szCs w:val="28"/>
          <w:u w:val="single"/>
        </w:rPr>
        <w:t xml:space="preserve"> （标的名称）</w:t>
      </w:r>
      <w:r>
        <w:rPr>
          <w:rFonts w:hint="eastAsia" w:ascii="宋体" w:hAnsi="宋体" w:eastAsia="宋体" w:cs="宋体"/>
          <w:sz w:val="24"/>
          <w:szCs w:val="28"/>
        </w:rPr>
        <w:t>，属于</w:t>
      </w:r>
      <w:r>
        <w:rPr>
          <w:rFonts w:hint="eastAsia" w:ascii="宋体" w:hAnsi="宋体" w:eastAsia="宋体" w:cs="宋体"/>
          <w:i/>
          <w:sz w:val="24"/>
          <w:szCs w:val="28"/>
          <w:u w:val="single"/>
        </w:rPr>
        <w:t>（采购文件中明确的所属行业）</w:t>
      </w:r>
      <w:r>
        <w:rPr>
          <w:rFonts w:hint="eastAsia" w:ascii="宋体" w:hAnsi="宋体" w:eastAsia="宋体" w:cs="宋体"/>
          <w:sz w:val="24"/>
          <w:szCs w:val="28"/>
        </w:rPr>
        <w:t>；承接企业为</w:t>
      </w:r>
      <w:r>
        <w:rPr>
          <w:rFonts w:hint="eastAsia" w:ascii="宋体" w:hAnsi="宋体" w:eastAsia="宋体" w:cs="宋体"/>
          <w:i/>
          <w:sz w:val="24"/>
          <w:szCs w:val="28"/>
          <w:u w:val="single"/>
        </w:rPr>
        <w:t>（企业名称）</w:t>
      </w:r>
      <w:r>
        <w:rPr>
          <w:rFonts w:hint="eastAsia" w:ascii="宋体" w:hAnsi="宋体" w:eastAsia="宋体" w:cs="宋体"/>
          <w:sz w:val="24"/>
          <w:szCs w:val="28"/>
        </w:rPr>
        <w:t>，从业人员</w:t>
      </w:r>
      <w:r>
        <w:rPr>
          <w:rFonts w:hint="eastAsia" w:ascii="宋体" w:hAnsi="宋体" w:eastAsia="宋体" w:cs="宋体"/>
          <w:sz w:val="24"/>
          <w:szCs w:val="28"/>
          <w:u w:val="single"/>
        </w:rPr>
        <w:t xml:space="preserve">      </w:t>
      </w:r>
      <w:r>
        <w:rPr>
          <w:rFonts w:hint="eastAsia" w:ascii="宋体" w:hAnsi="宋体" w:eastAsia="宋体" w:cs="宋体"/>
          <w:sz w:val="24"/>
          <w:szCs w:val="28"/>
        </w:rPr>
        <w:t>人，营业收入为</w:t>
      </w:r>
      <w:r>
        <w:rPr>
          <w:rFonts w:hint="eastAsia" w:ascii="宋体" w:hAnsi="宋体" w:eastAsia="宋体" w:cs="宋体"/>
          <w:sz w:val="24"/>
          <w:szCs w:val="28"/>
          <w:u w:val="single"/>
        </w:rPr>
        <w:t xml:space="preserve">    </w:t>
      </w:r>
      <w:r>
        <w:rPr>
          <w:rFonts w:hint="eastAsia" w:ascii="宋体" w:hAnsi="宋体" w:eastAsia="宋体" w:cs="宋体"/>
          <w:sz w:val="24"/>
          <w:szCs w:val="28"/>
        </w:rPr>
        <w:t>万元，资产总额为</w:t>
      </w:r>
      <w:r>
        <w:rPr>
          <w:rFonts w:hint="eastAsia" w:ascii="宋体" w:hAnsi="宋体" w:eastAsia="宋体" w:cs="宋体"/>
          <w:sz w:val="24"/>
          <w:szCs w:val="28"/>
          <w:u w:val="single"/>
        </w:rPr>
        <w:t xml:space="preserve">    </w:t>
      </w:r>
      <w:r>
        <w:rPr>
          <w:rFonts w:hint="eastAsia" w:ascii="宋体" w:hAnsi="宋体" w:eastAsia="宋体" w:cs="宋体"/>
          <w:sz w:val="24"/>
          <w:szCs w:val="28"/>
        </w:rPr>
        <w:t>万元，属于</w:t>
      </w:r>
      <w:r>
        <w:rPr>
          <w:rFonts w:hint="eastAsia" w:ascii="宋体" w:hAnsi="宋体" w:eastAsia="宋体" w:cs="宋体"/>
          <w:i/>
          <w:sz w:val="24"/>
          <w:szCs w:val="28"/>
          <w:u w:val="single"/>
        </w:rPr>
        <w:t>（中型企业、小型企业、微型企业）</w:t>
      </w:r>
      <w:r>
        <w:rPr>
          <w:rFonts w:hint="eastAsia" w:ascii="宋体" w:hAnsi="宋体" w:eastAsia="宋体" w:cs="宋体"/>
          <w:sz w:val="24"/>
          <w:szCs w:val="28"/>
        </w:rPr>
        <w:t>；</w:t>
      </w:r>
    </w:p>
    <w:p w14:paraId="6A3709C9">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为本标的提供的服务人员</w:t>
      </w:r>
      <w:r>
        <w:rPr>
          <w:rFonts w:hint="eastAsia" w:ascii="宋体" w:hAnsi="宋体" w:eastAsia="宋体" w:cs="宋体"/>
          <w:sz w:val="24"/>
          <w:szCs w:val="28"/>
          <w:u w:val="single"/>
        </w:rPr>
        <w:t xml:space="preserve">   </w:t>
      </w:r>
      <w:r>
        <w:rPr>
          <w:rFonts w:hint="eastAsia" w:ascii="宋体" w:hAnsi="宋体" w:eastAsia="宋体" w:cs="宋体"/>
          <w:sz w:val="24"/>
          <w:szCs w:val="28"/>
        </w:rPr>
        <w:t>人，其中与本企业签订劳动合同</w:t>
      </w:r>
      <w:r>
        <w:rPr>
          <w:rFonts w:hint="eastAsia" w:ascii="宋体" w:hAnsi="宋体" w:eastAsia="宋体" w:cs="宋体"/>
          <w:sz w:val="24"/>
          <w:szCs w:val="28"/>
          <w:u w:val="single"/>
        </w:rPr>
        <w:t xml:space="preserve">   </w:t>
      </w:r>
      <w:r>
        <w:rPr>
          <w:rFonts w:hint="eastAsia" w:ascii="宋体" w:hAnsi="宋体" w:eastAsia="宋体" w:cs="宋体"/>
          <w:sz w:val="24"/>
          <w:szCs w:val="28"/>
        </w:rPr>
        <w:t>人，其他人员</w:t>
      </w:r>
      <w:r>
        <w:rPr>
          <w:rFonts w:hint="eastAsia" w:ascii="宋体" w:hAnsi="宋体" w:eastAsia="宋体" w:cs="宋体"/>
          <w:sz w:val="24"/>
          <w:szCs w:val="28"/>
          <w:u w:val="single"/>
        </w:rPr>
        <w:t xml:space="preserve">   </w:t>
      </w:r>
      <w:r>
        <w:rPr>
          <w:rFonts w:hint="eastAsia" w:ascii="宋体" w:hAnsi="宋体" w:eastAsia="宋体" w:cs="宋体"/>
          <w:sz w:val="24"/>
          <w:szCs w:val="28"/>
        </w:rPr>
        <w:t>人。有其他人员的不符合中小企业扶持政策（适用于服务采购项目）;</w:t>
      </w:r>
    </w:p>
    <w:p w14:paraId="272B9F01">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w:t>
      </w:r>
    </w:p>
    <w:p w14:paraId="709D2D2C">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以上企业，不属于大企业的分支机构，不存在控股股东为大企业的情形，也不存在与大企业的负责人为同一人的情形。</w:t>
      </w:r>
    </w:p>
    <w:p w14:paraId="7FD14CCF">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本企业对上述声明内容的真实性负责。如有虚假，将依法承担相应责任。</w:t>
      </w:r>
    </w:p>
    <w:p w14:paraId="3E0B25DF">
      <w:pPr>
        <w:tabs>
          <w:tab w:val="left" w:pos="6300"/>
        </w:tabs>
        <w:snapToGrid w:val="0"/>
        <w:spacing w:line="5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 xml:space="preserve">                                                    </w:t>
      </w:r>
    </w:p>
    <w:p w14:paraId="3AB9B7E9">
      <w:pPr>
        <w:tabs>
          <w:tab w:val="left" w:pos="6300"/>
        </w:tabs>
        <w:snapToGrid w:val="0"/>
        <w:spacing w:line="500" w:lineRule="exact"/>
        <w:ind w:firstLine="6120" w:firstLineChars="2550"/>
        <w:rPr>
          <w:rFonts w:hint="eastAsia" w:ascii="宋体" w:hAnsi="宋体" w:eastAsia="宋体" w:cs="宋体"/>
          <w:sz w:val="24"/>
          <w:szCs w:val="28"/>
        </w:rPr>
      </w:pPr>
      <w:r>
        <w:rPr>
          <w:rFonts w:hint="eastAsia" w:ascii="宋体" w:hAnsi="宋体" w:eastAsia="宋体" w:cs="宋体"/>
          <w:sz w:val="24"/>
          <w:szCs w:val="28"/>
        </w:rPr>
        <w:t xml:space="preserve">企业名称（盖章）： </w:t>
      </w:r>
    </w:p>
    <w:p w14:paraId="6FEA0DD7">
      <w:pPr>
        <w:tabs>
          <w:tab w:val="left" w:pos="6300"/>
        </w:tabs>
        <w:snapToGrid w:val="0"/>
        <w:spacing w:line="500" w:lineRule="exact"/>
        <w:ind w:right="784" w:firstLine="6120" w:firstLineChars="2550"/>
        <w:rPr>
          <w:rFonts w:hint="eastAsia" w:ascii="宋体" w:hAnsi="宋体" w:eastAsia="宋体" w:cs="宋体"/>
          <w:sz w:val="24"/>
        </w:rPr>
      </w:pPr>
      <w:r>
        <w:rPr>
          <w:rFonts w:hint="eastAsia" w:ascii="宋体" w:hAnsi="宋体" w:eastAsia="宋体" w:cs="宋体"/>
          <w:sz w:val="24"/>
          <w:szCs w:val="28"/>
        </w:rPr>
        <w:t>日期：</w:t>
      </w:r>
    </w:p>
    <w:p w14:paraId="398D55AE">
      <w:pPr>
        <w:tabs>
          <w:tab w:val="left" w:pos="6300"/>
        </w:tabs>
        <w:snapToGrid w:val="0"/>
        <w:rPr>
          <w:rFonts w:hint="eastAsia" w:ascii="宋体" w:hAnsi="宋体" w:eastAsia="宋体" w:cs="宋体"/>
          <w:kern w:val="0"/>
          <w:sz w:val="21"/>
          <w:szCs w:val="21"/>
        </w:rPr>
      </w:pPr>
      <w:r>
        <w:rPr>
          <w:rFonts w:hint="eastAsia" w:ascii="宋体" w:hAnsi="宋体" w:eastAsia="宋体" w:cs="宋体"/>
          <w:kern w:val="0"/>
          <w:sz w:val="21"/>
          <w:szCs w:val="21"/>
        </w:rPr>
        <w:t>填写时应注意以下事项：</w:t>
      </w:r>
    </w:p>
    <w:p w14:paraId="02A7D7B8">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1.从业人员、营业收入、资产总额填报上一年度数据，无上一年度数据的新成立企业可不填报。</w:t>
      </w:r>
    </w:p>
    <w:p w14:paraId="19B3E483">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2.中小企业应当按照《中小企业划型标准规定》（工信部联企业〔2011〕300号），如实填写并提交《中小企业声明函》。</w:t>
      </w:r>
    </w:p>
    <w:p w14:paraId="77CC6330">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3.供应商填写《中小企业声明函》中所属行业时，应与采购文件第一篇“采购标的对应的中小企业划分标准所属行业”中填写的所属行业一致。</w:t>
      </w:r>
    </w:p>
    <w:p w14:paraId="2C569896">
      <w:pPr>
        <w:tabs>
          <w:tab w:val="left" w:pos="6300"/>
        </w:tabs>
        <w:snapToGrid w:val="0"/>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4.本声明函“企业名称（盖章）”处为供应商盖章。</w:t>
      </w:r>
    </w:p>
    <w:p w14:paraId="58348BCC">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注：各行业划型标准：</w:t>
      </w:r>
    </w:p>
    <w:p w14:paraId="7536CB83">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91B4115">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08BB11">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5B1C6D">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C547839">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1BF431B">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509602">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400B3A">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1352778">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9B2D7E">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2D4C6A">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8BBD5D0">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F7C732B">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CF164C">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4D6E35">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3A3B84B">
      <w:pPr>
        <w:tabs>
          <w:tab w:val="left" w:pos="6300"/>
        </w:tabs>
        <w:snapToGrid w:val="0"/>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2D91B11F">
      <w:pPr>
        <w:tabs>
          <w:tab w:val="left" w:pos="6300"/>
        </w:tabs>
        <w:snapToGrid w:val="0"/>
        <w:spacing w:line="500" w:lineRule="exact"/>
        <w:ind w:firstLine="480" w:firstLineChars="200"/>
        <w:jc w:val="center"/>
        <w:rPr>
          <w:rFonts w:hint="eastAsia" w:ascii="宋体" w:hAnsi="宋体" w:eastAsia="宋体" w:cs="宋体"/>
        </w:rPr>
      </w:pPr>
      <w:r>
        <w:rPr>
          <w:rFonts w:hint="eastAsia" w:ascii="宋体" w:hAnsi="宋体" w:eastAsia="宋体" w:cs="宋体"/>
          <w:sz w:val="24"/>
          <w:szCs w:val="24"/>
        </w:rPr>
        <w:br w:type="page"/>
      </w:r>
      <w:r>
        <w:rPr>
          <w:rFonts w:hint="eastAsia" w:ascii="宋体" w:hAnsi="宋体" w:eastAsia="宋体" w:cs="宋体"/>
        </w:rPr>
        <w:t>监狱企业证明文件</w:t>
      </w:r>
    </w:p>
    <w:p w14:paraId="5913BE7E">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以省级以上监狱管理局、戒毒管理局（含新疆生产建设兵团）出具的属于监狱企业的证明文件为准。</w:t>
      </w:r>
    </w:p>
    <w:p w14:paraId="5851D0E9">
      <w:pPr>
        <w:tabs>
          <w:tab w:val="left" w:pos="6300"/>
        </w:tabs>
        <w:snapToGrid w:val="0"/>
        <w:spacing w:line="500" w:lineRule="exact"/>
        <w:ind w:firstLine="480" w:firstLineChars="200"/>
        <w:jc w:val="center"/>
        <w:rPr>
          <w:rFonts w:hint="eastAsia" w:ascii="宋体" w:hAnsi="宋体" w:eastAsia="宋体" w:cs="宋体"/>
        </w:rPr>
      </w:pPr>
      <w:r>
        <w:rPr>
          <w:rFonts w:hint="eastAsia" w:ascii="宋体" w:hAnsi="宋体" w:eastAsia="宋体" w:cs="宋体"/>
          <w:sz w:val="24"/>
        </w:rPr>
        <w:br w:type="page"/>
      </w:r>
      <w:r>
        <w:rPr>
          <w:rFonts w:hint="eastAsia" w:ascii="宋体" w:hAnsi="宋体" w:eastAsia="宋体" w:cs="宋体"/>
        </w:rPr>
        <w:t>残疾人福利性单位声明函</w:t>
      </w:r>
    </w:p>
    <w:p w14:paraId="322017A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F4A221">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05B0AC12">
      <w:pPr>
        <w:tabs>
          <w:tab w:val="left" w:pos="6300"/>
        </w:tabs>
        <w:snapToGrid w:val="0"/>
        <w:spacing w:line="500" w:lineRule="exact"/>
        <w:ind w:firstLine="480" w:firstLineChars="200"/>
        <w:rPr>
          <w:rFonts w:hint="eastAsia" w:ascii="宋体" w:hAnsi="宋体" w:eastAsia="宋体" w:cs="宋体"/>
          <w:sz w:val="24"/>
        </w:rPr>
      </w:pPr>
    </w:p>
    <w:p w14:paraId="599F6B71">
      <w:pPr>
        <w:tabs>
          <w:tab w:val="left" w:pos="6300"/>
        </w:tabs>
        <w:snapToGrid w:val="0"/>
        <w:spacing w:line="500" w:lineRule="exact"/>
        <w:ind w:firstLine="480" w:firstLineChars="200"/>
        <w:rPr>
          <w:rFonts w:hint="eastAsia" w:ascii="宋体" w:hAnsi="宋体" w:eastAsia="宋体" w:cs="宋体"/>
          <w:sz w:val="24"/>
        </w:rPr>
      </w:pPr>
    </w:p>
    <w:p w14:paraId="01B7618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供应商名称（盖章）：</w:t>
      </w:r>
    </w:p>
    <w:p w14:paraId="31AF0A45">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日  期：</w:t>
      </w:r>
    </w:p>
    <w:p w14:paraId="54714490">
      <w:pPr>
        <w:snapToGrid w:val="0"/>
        <w:spacing w:line="440" w:lineRule="exact"/>
        <w:ind w:firstLine="480" w:firstLineChars="200"/>
        <w:rPr>
          <w:rFonts w:hint="eastAsia" w:ascii="宋体" w:hAnsi="宋体" w:eastAsia="宋体" w:cs="宋体"/>
          <w:sz w:val="24"/>
        </w:rPr>
      </w:pPr>
    </w:p>
    <w:p w14:paraId="15C0A4E8">
      <w:pPr>
        <w:snapToGrid w:val="0"/>
        <w:spacing w:line="440" w:lineRule="exact"/>
        <w:ind w:firstLine="480" w:firstLineChars="200"/>
        <w:rPr>
          <w:rFonts w:hint="eastAsia" w:ascii="宋体" w:hAnsi="宋体" w:eastAsia="宋体" w:cs="宋体"/>
          <w:sz w:val="24"/>
        </w:rPr>
      </w:pPr>
    </w:p>
    <w:p w14:paraId="5DDA032E">
      <w:pPr>
        <w:snapToGrid w:val="0"/>
        <w:spacing w:line="440" w:lineRule="exact"/>
        <w:ind w:firstLine="480" w:firstLineChars="200"/>
        <w:rPr>
          <w:rFonts w:hint="eastAsia" w:ascii="宋体" w:hAnsi="宋体" w:eastAsia="宋体" w:cs="宋体"/>
          <w:sz w:val="24"/>
        </w:rPr>
      </w:pPr>
    </w:p>
    <w:p w14:paraId="1BA39889">
      <w:pPr>
        <w:snapToGrid w:val="0"/>
        <w:spacing w:line="440" w:lineRule="exact"/>
        <w:ind w:firstLine="480" w:firstLineChars="200"/>
        <w:rPr>
          <w:rFonts w:hint="eastAsia" w:ascii="宋体" w:hAnsi="宋体" w:eastAsia="宋体" w:cs="宋体"/>
          <w:sz w:val="24"/>
        </w:rPr>
      </w:pPr>
    </w:p>
    <w:p w14:paraId="5E21D5CC">
      <w:pPr>
        <w:snapToGrid w:val="0"/>
        <w:spacing w:line="440" w:lineRule="exact"/>
        <w:ind w:firstLine="480" w:firstLineChars="200"/>
        <w:rPr>
          <w:rFonts w:hint="eastAsia" w:ascii="宋体" w:hAnsi="宋体" w:eastAsia="宋体" w:cs="宋体"/>
          <w:sz w:val="24"/>
        </w:rPr>
      </w:pPr>
    </w:p>
    <w:p w14:paraId="49B892B0">
      <w:pPr>
        <w:snapToGrid w:val="0"/>
        <w:spacing w:line="440" w:lineRule="exact"/>
        <w:ind w:firstLine="480" w:firstLineChars="200"/>
        <w:rPr>
          <w:rFonts w:hint="eastAsia" w:ascii="宋体" w:hAnsi="宋体" w:eastAsia="宋体" w:cs="宋体"/>
          <w:sz w:val="24"/>
        </w:rPr>
      </w:pPr>
    </w:p>
    <w:p w14:paraId="75F11D6E">
      <w:pPr>
        <w:snapToGrid w:val="0"/>
        <w:spacing w:line="440" w:lineRule="exact"/>
        <w:ind w:firstLine="480" w:firstLineChars="200"/>
        <w:rPr>
          <w:rFonts w:hint="eastAsia" w:ascii="宋体" w:hAnsi="宋体" w:eastAsia="宋体" w:cs="宋体"/>
          <w:sz w:val="24"/>
        </w:rPr>
      </w:pPr>
    </w:p>
    <w:p w14:paraId="30FF980E">
      <w:pPr>
        <w:snapToGrid w:val="0"/>
        <w:spacing w:line="440" w:lineRule="exact"/>
        <w:ind w:firstLine="480" w:firstLineChars="200"/>
        <w:rPr>
          <w:rFonts w:hint="eastAsia" w:ascii="宋体" w:hAnsi="宋体" w:eastAsia="宋体" w:cs="宋体"/>
          <w:sz w:val="24"/>
        </w:rPr>
      </w:pPr>
    </w:p>
    <w:p w14:paraId="69DF59DD">
      <w:pPr>
        <w:snapToGrid w:val="0"/>
        <w:spacing w:line="440" w:lineRule="exact"/>
        <w:ind w:firstLine="480" w:firstLineChars="200"/>
        <w:rPr>
          <w:rFonts w:hint="eastAsia" w:ascii="宋体" w:hAnsi="宋体" w:eastAsia="宋体" w:cs="宋体"/>
          <w:sz w:val="24"/>
        </w:rPr>
      </w:pPr>
    </w:p>
    <w:p w14:paraId="292EA67D">
      <w:pPr>
        <w:snapToGrid w:val="0"/>
        <w:spacing w:line="440" w:lineRule="exact"/>
        <w:ind w:firstLine="480" w:firstLineChars="200"/>
        <w:rPr>
          <w:rFonts w:hint="eastAsia" w:ascii="宋体" w:hAnsi="宋体" w:eastAsia="宋体" w:cs="宋体"/>
          <w:sz w:val="24"/>
        </w:rPr>
      </w:pPr>
    </w:p>
    <w:p w14:paraId="2118142F">
      <w:pPr>
        <w:snapToGrid w:val="0"/>
        <w:spacing w:line="440" w:lineRule="exact"/>
        <w:ind w:firstLine="480" w:firstLineChars="200"/>
        <w:rPr>
          <w:rFonts w:hint="eastAsia" w:ascii="宋体" w:hAnsi="宋体" w:eastAsia="宋体" w:cs="宋体"/>
          <w:sz w:val="24"/>
        </w:rPr>
      </w:pPr>
    </w:p>
    <w:p w14:paraId="3E4C2116">
      <w:pPr>
        <w:snapToGrid w:val="0"/>
        <w:spacing w:line="440" w:lineRule="exact"/>
        <w:ind w:firstLine="480" w:firstLineChars="200"/>
        <w:rPr>
          <w:rFonts w:hint="eastAsia" w:ascii="宋体" w:hAnsi="宋体" w:eastAsia="宋体" w:cs="宋体"/>
          <w:sz w:val="24"/>
        </w:rPr>
      </w:pPr>
    </w:p>
    <w:p w14:paraId="3866A04C">
      <w:pPr>
        <w:snapToGrid w:val="0"/>
        <w:spacing w:line="440" w:lineRule="exact"/>
        <w:ind w:firstLine="480" w:firstLineChars="200"/>
        <w:rPr>
          <w:rFonts w:hint="eastAsia" w:ascii="宋体" w:hAnsi="宋体" w:eastAsia="宋体" w:cs="宋体"/>
          <w:sz w:val="24"/>
        </w:rPr>
      </w:pPr>
      <w:r>
        <w:rPr>
          <w:rFonts w:hint="eastAsia" w:ascii="宋体" w:hAnsi="宋体" w:eastAsia="宋体" w:cs="宋体"/>
          <w:kern w:val="0"/>
          <w:sz w:val="24"/>
        </w:rPr>
        <w:t>若成交供应商为残疾人福利性单位的，将在结果公告时公告其《残疾人福利性单位声明函》。</w:t>
      </w:r>
    </w:p>
    <w:p w14:paraId="34A81279">
      <w:pPr>
        <w:snapToGrid w:val="0"/>
        <w:spacing w:line="440" w:lineRule="exact"/>
        <w:ind w:firstLine="480" w:firstLineChars="200"/>
        <w:rPr>
          <w:rFonts w:hint="eastAsia" w:ascii="宋体" w:hAnsi="宋体" w:eastAsia="宋体" w:cs="宋体"/>
          <w:sz w:val="24"/>
        </w:rPr>
      </w:pPr>
    </w:p>
    <w:p w14:paraId="699E5B83">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（二）其他与项目有关的资料</w:t>
      </w:r>
    </w:p>
    <w:p w14:paraId="77C4DF0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其他与项目有关的资料（自附）：供应商总体情况介绍、其他与本项目有关的资料等。</w:t>
      </w:r>
    </w:p>
    <w:p w14:paraId="7FF2DF6A">
      <w:pPr>
        <w:spacing w:line="360" w:lineRule="auto"/>
        <w:ind w:firstLine="480" w:firstLineChars="200"/>
        <w:rPr>
          <w:rFonts w:hint="eastAsia" w:ascii="宋体" w:hAnsi="宋体" w:eastAsia="宋体" w:cs="宋体"/>
          <w:sz w:val="24"/>
          <w:szCs w:val="24"/>
        </w:rPr>
      </w:pPr>
    </w:p>
    <w:p w14:paraId="32E31775">
      <w:pPr>
        <w:spacing w:line="360" w:lineRule="auto"/>
        <w:ind w:firstLine="480" w:firstLineChars="200"/>
        <w:jc w:val="center"/>
        <w:rPr>
          <w:rFonts w:hint="eastAsia" w:ascii="宋体" w:hAnsi="宋体" w:eastAsia="宋体" w:cs="宋体"/>
          <w:sz w:val="24"/>
          <w:szCs w:val="24"/>
        </w:rPr>
      </w:pPr>
    </w:p>
    <w:p w14:paraId="5320A4E4">
      <w:pPr>
        <w:spacing w:line="360" w:lineRule="auto"/>
        <w:ind w:firstLine="480" w:firstLineChars="200"/>
        <w:jc w:val="center"/>
        <w:rPr>
          <w:rFonts w:hint="eastAsia" w:ascii="宋体" w:hAnsi="宋体" w:eastAsia="宋体" w:cs="宋体"/>
          <w:sz w:val="24"/>
          <w:szCs w:val="24"/>
        </w:rPr>
      </w:pPr>
    </w:p>
    <w:p w14:paraId="7DDD9AF6">
      <w:pPr>
        <w:spacing w:line="360" w:lineRule="auto"/>
        <w:ind w:firstLine="480" w:firstLineChars="200"/>
        <w:jc w:val="center"/>
        <w:rPr>
          <w:rFonts w:hint="eastAsia" w:ascii="宋体" w:hAnsi="宋体" w:eastAsia="宋体" w:cs="宋体"/>
          <w:sz w:val="24"/>
          <w:szCs w:val="24"/>
        </w:rPr>
      </w:pPr>
    </w:p>
    <w:p w14:paraId="61D66686">
      <w:pPr>
        <w:spacing w:line="360" w:lineRule="auto"/>
        <w:ind w:firstLine="480" w:firstLineChars="200"/>
        <w:jc w:val="center"/>
        <w:rPr>
          <w:rFonts w:hint="eastAsia" w:ascii="宋体" w:hAnsi="宋体" w:eastAsia="宋体" w:cs="宋体"/>
          <w:sz w:val="24"/>
          <w:szCs w:val="24"/>
        </w:rPr>
      </w:pPr>
    </w:p>
    <w:p w14:paraId="7300A44B">
      <w:pPr>
        <w:spacing w:line="360" w:lineRule="auto"/>
        <w:ind w:firstLine="480" w:firstLineChars="200"/>
        <w:jc w:val="center"/>
        <w:rPr>
          <w:rFonts w:hint="eastAsia" w:ascii="宋体" w:hAnsi="宋体" w:eastAsia="宋体" w:cs="宋体"/>
          <w:sz w:val="24"/>
          <w:szCs w:val="24"/>
        </w:rPr>
      </w:pPr>
    </w:p>
    <w:p w14:paraId="0DC4E04D">
      <w:pPr>
        <w:spacing w:line="360" w:lineRule="auto"/>
        <w:ind w:firstLine="480" w:firstLineChars="200"/>
        <w:jc w:val="center"/>
        <w:rPr>
          <w:rFonts w:hint="eastAsia" w:ascii="宋体" w:hAnsi="宋体" w:eastAsia="宋体" w:cs="宋体"/>
          <w:sz w:val="24"/>
          <w:szCs w:val="24"/>
        </w:rPr>
      </w:pPr>
    </w:p>
    <w:p w14:paraId="40BC243A">
      <w:pPr>
        <w:spacing w:line="360" w:lineRule="auto"/>
        <w:ind w:firstLine="480" w:firstLineChars="200"/>
        <w:jc w:val="center"/>
        <w:rPr>
          <w:rFonts w:hint="eastAsia" w:ascii="宋体" w:hAnsi="宋体" w:eastAsia="宋体" w:cs="宋体"/>
          <w:sz w:val="24"/>
          <w:szCs w:val="24"/>
        </w:rPr>
      </w:pPr>
    </w:p>
    <w:p w14:paraId="4353C372">
      <w:pPr>
        <w:spacing w:line="360" w:lineRule="auto"/>
        <w:ind w:firstLine="480" w:firstLineChars="200"/>
        <w:jc w:val="center"/>
        <w:rPr>
          <w:rFonts w:hint="eastAsia" w:ascii="宋体" w:hAnsi="宋体" w:eastAsia="宋体" w:cs="宋体"/>
          <w:sz w:val="24"/>
          <w:szCs w:val="24"/>
        </w:rPr>
      </w:pPr>
    </w:p>
    <w:p w14:paraId="2315489C">
      <w:pPr>
        <w:spacing w:line="360" w:lineRule="auto"/>
        <w:ind w:firstLine="480" w:firstLineChars="200"/>
        <w:jc w:val="center"/>
        <w:rPr>
          <w:rFonts w:hint="eastAsia" w:ascii="宋体" w:hAnsi="宋体" w:eastAsia="宋体" w:cs="宋体"/>
          <w:sz w:val="24"/>
          <w:szCs w:val="24"/>
        </w:rPr>
      </w:pPr>
    </w:p>
    <w:p w14:paraId="094A708D">
      <w:pPr>
        <w:spacing w:line="360" w:lineRule="auto"/>
        <w:ind w:firstLine="480" w:firstLineChars="200"/>
        <w:jc w:val="center"/>
        <w:rPr>
          <w:rFonts w:hint="eastAsia" w:ascii="宋体" w:hAnsi="宋体" w:eastAsia="宋体" w:cs="宋体"/>
          <w:sz w:val="24"/>
          <w:szCs w:val="24"/>
        </w:rPr>
      </w:pPr>
    </w:p>
    <w:p w14:paraId="12EBE917">
      <w:pPr>
        <w:spacing w:line="360" w:lineRule="auto"/>
        <w:ind w:firstLine="480" w:firstLineChars="200"/>
        <w:jc w:val="center"/>
        <w:rPr>
          <w:rFonts w:hint="eastAsia" w:ascii="宋体" w:hAnsi="宋体" w:eastAsia="宋体" w:cs="宋体"/>
          <w:sz w:val="24"/>
          <w:szCs w:val="24"/>
        </w:rPr>
      </w:pPr>
    </w:p>
    <w:p w14:paraId="3999BFDC">
      <w:pPr>
        <w:spacing w:line="360" w:lineRule="auto"/>
        <w:ind w:firstLine="480" w:firstLineChars="200"/>
        <w:jc w:val="center"/>
        <w:rPr>
          <w:rFonts w:hint="eastAsia" w:ascii="宋体" w:hAnsi="宋体" w:eastAsia="宋体" w:cs="宋体"/>
          <w:sz w:val="24"/>
          <w:szCs w:val="24"/>
        </w:rPr>
      </w:pPr>
    </w:p>
    <w:p w14:paraId="2A9B353F">
      <w:pPr>
        <w:spacing w:line="360" w:lineRule="auto"/>
        <w:ind w:firstLine="480" w:firstLineChars="200"/>
        <w:jc w:val="center"/>
        <w:rPr>
          <w:rFonts w:hint="eastAsia" w:ascii="宋体" w:hAnsi="宋体" w:eastAsia="宋体" w:cs="宋体"/>
          <w:sz w:val="24"/>
          <w:szCs w:val="24"/>
        </w:rPr>
      </w:pPr>
    </w:p>
    <w:p w14:paraId="405291BB">
      <w:pPr>
        <w:spacing w:line="360" w:lineRule="auto"/>
        <w:ind w:firstLine="480" w:firstLineChars="200"/>
        <w:jc w:val="center"/>
        <w:rPr>
          <w:rFonts w:hint="eastAsia" w:ascii="宋体" w:hAnsi="宋体" w:eastAsia="宋体" w:cs="宋体"/>
          <w:sz w:val="24"/>
          <w:szCs w:val="24"/>
        </w:rPr>
      </w:pPr>
    </w:p>
    <w:p w14:paraId="2D4E2EAE">
      <w:pPr>
        <w:spacing w:line="360" w:lineRule="auto"/>
        <w:ind w:firstLine="480" w:firstLineChars="200"/>
        <w:jc w:val="center"/>
        <w:rPr>
          <w:rFonts w:hint="eastAsia" w:ascii="宋体" w:hAnsi="宋体" w:eastAsia="宋体" w:cs="宋体"/>
          <w:sz w:val="24"/>
          <w:szCs w:val="24"/>
        </w:rPr>
      </w:pPr>
    </w:p>
    <w:p w14:paraId="5407F9A3">
      <w:pPr>
        <w:spacing w:line="360" w:lineRule="auto"/>
        <w:ind w:firstLine="480" w:firstLineChars="200"/>
        <w:jc w:val="center"/>
        <w:outlineLvl w:val="0"/>
        <w:rPr>
          <w:rFonts w:hint="eastAsia" w:ascii="宋体" w:hAnsi="宋体" w:eastAsia="宋体" w:cs="宋体"/>
        </w:rPr>
      </w:pPr>
      <w:r>
        <w:rPr>
          <w:rFonts w:hint="eastAsia" w:ascii="宋体" w:hAnsi="宋体" w:eastAsia="宋体" w:cs="宋体"/>
          <w:sz w:val="24"/>
          <w:szCs w:val="24"/>
        </w:rPr>
        <w:t>（结束）</w:t>
      </w:r>
    </w:p>
    <w:p w14:paraId="3004FC9A">
      <w:pPr>
        <w:spacing w:line="360" w:lineRule="auto"/>
        <w:ind w:firstLine="480" w:firstLineChars="200"/>
        <w:jc w:val="center"/>
        <w:rPr>
          <w:rFonts w:hint="eastAsia" w:ascii="宋体" w:hAnsi="宋体" w:eastAsia="宋体" w:cs="宋体"/>
          <w:color w:val="000000"/>
          <w:sz w:val="24"/>
          <w:szCs w:val="24"/>
        </w:rPr>
      </w:pPr>
    </w:p>
    <w:p w14:paraId="21F1AA4C">
      <w:pPr>
        <w:pStyle w:val="2"/>
        <w:spacing w:line="360" w:lineRule="auto"/>
        <w:jc w:val="center"/>
        <w:rPr>
          <w:rFonts w:hint="eastAsia" w:ascii="宋体" w:hAnsi="宋体" w:eastAsia="宋体" w:cs="宋体"/>
        </w:rPr>
      </w:pPr>
    </w:p>
    <w:sectPr>
      <w:head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737B305A-9034-4D09-9B87-0A664E2CBDA3}"/>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昆仑楷体">
    <w:altName w:val="方正楷体_GBK"/>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方正黑体_GBK"/>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AAED1CF4-2EFF-4191-8F1F-CBC416E889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11F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4010" cy="17272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a:effectLst/>
                    </wps:spPr>
                    <wps:txbx>
                      <w:txbxContent>
                        <w:p w14:paraId="4186C614">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- 20 -</w:t>
                          </w:r>
                          <w:r>
                            <w:rPr>
                              <w:rFonts w:ascii="宋体"/>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3.6pt;width:26.3pt;mso-position-horizontal:center;mso-position-horizontal-relative:margin;mso-wrap-style:none;z-index:251659264;mso-width-relative:page;mso-height-relative:page;" filled="f" stroked="f" coordsize="21600,21600" o:gfxdata="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M8d0QAAAAMBAAAPAAAAAAAAAAEAIAAAACIAAABkcnMvZG93bnJldi54bWxQ&#10;SwECFAAUAAAACACHTuJAsVRKpv4BAAAPBAAADgAAAAAAAAABACAAAAAgAQAAZHJzL2Uyb0RvYy54&#10;bWxQSwUGAAAAAAYABgBZAQAAkAUAAAAA&#10;">
              <v:fill on="f" focussize="0,0"/>
              <v:stroke on="f"/>
              <v:imagedata o:title=""/>
              <o:lock v:ext="edit" aspectratio="f"/>
              <v:textbox inset="0mm,0mm,0mm,0mm" style="mso-fit-shape-to-text:t;">
                <w:txbxContent>
                  <w:p w14:paraId="4186C614">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- 20 -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45BFC">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- 30 -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3FBCC">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4A8C9A6F">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E1F9">
    <w:pPr>
      <w:pStyle w:val="36"/>
      <w:jc w:val="both"/>
      <w:rPr>
        <w:rFonts w:ascii="宋体" w:hAnsi="宋体"/>
        <w:sz w:val="21"/>
        <w:szCs w:val="21"/>
      </w:rPr>
    </w:pPr>
    <w:r>
      <w:rPr>
        <w:rFonts w:hint="eastAsia" w:ascii="宋体" w:hAnsi="宋体"/>
        <w:sz w:val="21"/>
        <w:szCs w:val="21"/>
        <w:lang w:eastAsia="zh-CN"/>
      </w:rPr>
      <w:t>重庆采家工程管理有限公司</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E28EE">
    <w:pPr>
      <w:pStyle w:val="36"/>
      <w:jc w:val="both"/>
      <w:rPr>
        <w:rFonts w:ascii="方正仿宋_GBK" w:eastAsia="方正仿宋_GBK"/>
        <w:sz w:val="21"/>
        <w:szCs w:val="21"/>
      </w:rPr>
    </w:pPr>
    <w:r>
      <w:rPr>
        <w:rFonts w:hint="eastAsia" w:ascii="仿宋" w:hAnsi="仿宋" w:eastAsia="仿宋"/>
        <w:sz w:val="21"/>
        <w:szCs w:val="21"/>
        <w:lang w:eastAsia="zh-CN"/>
      </w:rPr>
      <w:t>重庆采家工程管理有限公司</w:t>
    </w:r>
    <w:r>
      <w:rPr>
        <w:rFonts w:hint="eastAsia" w:ascii="仿宋" w:hAnsi="仿宋" w:eastAsia="仿宋"/>
        <w:sz w:val="21"/>
        <w:szCs w:val="21"/>
      </w:rPr>
      <w:t xml:space="preserve"> </w:t>
    </w:r>
    <w:r>
      <w:rPr>
        <w:rFonts w:hint="eastAsia" w:ascii="方正仿宋_GBK" w:eastAsia="方正仿宋_GBK"/>
        <w:sz w:val="21"/>
        <w:szCs w:val="21"/>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0ODUyZWUwNzhjMWE1YWQzOTBmYWQyZDMxMWRjZjYifQ=="/>
  </w:docVars>
  <w:rsids>
    <w:rsidRoot w:val="00172A27"/>
    <w:rsid w:val="00001402"/>
    <w:rsid w:val="000040DE"/>
    <w:rsid w:val="00004567"/>
    <w:rsid w:val="00004BBC"/>
    <w:rsid w:val="0000527B"/>
    <w:rsid w:val="0000548F"/>
    <w:rsid w:val="000075E8"/>
    <w:rsid w:val="0001080F"/>
    <w:rsid w:val="00011B4B"/>
    <w:rsid w:val="00011CAB"/>
    <w:rsid w:val="00015708"/>
    <w:rsid w:val="00016B79"/>
    <w:rsid w:val="00017816"/>
    <w:rsid w:val="000178D4"/>
    <w:rsid w:val="00020041"/>
    <w:rsid w:val="000209C7"/>
    <w:rsid w:val="0003632F"/>
    <w:rsid w:val="0004019C"/>
    <w:rsid w:val="00042A0A"/>
    <w:rsid w:val="00043576"/>
    <w:rsid w:val="00043B16"/>
    <w:rsid w:val="0004789B"/>
    <w:rsid w:val="000519F5"/>
    <w:rsid w:val="0005298B"/>
    <w:rsid w:val="00053D93"/>
    <w:rsid w:val="0005417C"/>
    <w:rsid w:val="000576E1"/>
    <w:rsid w:val="00061891"/>
    <w:rsid w:val="00063981"/>
    <w:rsid w:val="00065031"/>
    <w:rsid w:val="00070129"/>
    <w:rsid w:val="00071126"/>
    <w:rsid w:val="00072949"/>
    <w:rsid w:val="00072F2A"/>
    <w:rsid w:val="000740AF"/>
    <w:rsid w:val="00075CB2"/>
    <w:rsid w:val="00075DAF"/>
    <w:rsid w:val="000776A2"/>
    <w:rsid w:val="000811E5"/>
    <w:rsid w:val="00082A5C"/>
    <w:rsid w:val="00087A35"/>
    <w:rsid w:val="00087B71"/>
    <w:rsid w:val="0009071D"/>
    <w:rsid w:val="00090C5A"/>
    <w:rsid w:val="00090D77"/>
    <w:rsid w:val="00090EEE"/>
    <w:rsid w:val="0009185E"/>
    <w:rsid w:val="00091B1C"/>
    <w:rsid w:val="00091C2C"/>
    <w:rsid w:val="000942A2"/>
    <w:rsid w:val="000944B4"/>
    <w:rsid w:val="00095EF1"/>
    <w:rsid w:val="00096390"/>
    <w:rsid w:val="00097F33"/>
    <w:rsid w:val="000A1337"/>
    <w:rsid w:val="000A164E"/>
    <w:rsid w:val="000A40CD"/>
    <w:rsid w:val="000A6B85"/>
    <w:rsid w:val="000A7A1B"/>
    <w:rsid w:val="000A7B8C"/>
    <w:rsid w:val="000B42F4"/>
    <w:rsid w:val="000B474D"/>
    <w:rsid w:val="000B51B9"/>
    <w:rsid w:val="000B6A96"/>
    <w:rsid w:val="000B7377"/>
    <w:rsid w:val="000B7EB9"/>
    <w:rsid w:val="000B7F54"/>
    <w:rsid w:val="000C0E67"/>
    <w:rsid w:val="000C24C5"/>
    <w:rsid w:val="000C3F41"/>
    <w:rsid w:val="000C42F5"/>
    <w:rsid w:val="000C5BF2"/>
    <w:rsid w:val="000C6A03"/>
    <w:rsid w:val="000D032D"/>
    <w:rsid w:val="000D0864"/>
    <w:rsid w:val="000D1093"/>
    <w:rsid w:val="000D769B"/>
    <w:rsid w:val="000D7F82"/>
    <w:rsid w:val="000E01C9"/>
    <w:rsid w:val="000E15F9"/>
    <w:rsid w:val="000E2122"/>
    <w:rsid w:val="000E3259"/>
    <w:rsid w:val="000E65D9"/>
    <w:rsid w:val="000F3081"/>
    <w:rsid w:val="000F3B4E"/>
    <w:rsid w:val="000F49E0"/>
    <w:rsid w:val="000F689A"/>
    <w:rsid w:val="000F7DBF"/>
    <w:rsid w:val="0010014A"/>
    <w:rsid w:val="00100639"/>
    <w:rsid w:val="00100C7D"/>
    <w:rsid w:val="00100E2E"/>
    <w:rsid w:val="001012F1"/>
    <w:rsid w:val="00101A7B"/>
    <w:rsid w:val="00101AA9"/>
    <w:rsid w:val="00102EE1"/>
    <w:rsid w:val="00103290"/>
    <w:rsid w:val="00103E22"/>
    <w:rsid w:val="0010476E"/>
    <w:rsid w:val="00105D5A"/>
    <w:rsid w:val="00106DFB"/>
    <w:rsid w:val="0010723F"/>
    <w:rsid w:val="0010750E"/>
    <w:rsid w:val="001106A5"/>
    <w:rsid w:val="001135FE"/>
    <w:rsid w:val="00114E5F"/>
    <w:rsid w:val="00115155"/>
    <w:rsid w:val="00116856"/>
    <w:rsid w:val="00116FFC"/>
    <w:rsid w:val="00117EF6"/>
    <w:rsid w:val="00120259"/>
    <w:rsid w:val="00120EA7"/>
    <w:rsid w:val="001217E7"/>
    <w:rsid w:val="00126589"/>
    <w:rsid w:val="001266BF"/>
    <w:rsid w:val="001273A4"/>
    <w:rsid w:val="00131001"/>
    <w:rsid w:val="0013198E"/>
    <w:rsid w:val="00133D16"/>
    <w:rsid w:val="00134D29"/>
    <w:rsid w:val="00135FDB"/>
    <w:rsid w:val="00137522"/>
    <w:rsid w:val="00137709"/>
    <w:rsid w:val="00140646"/>
    <w:rsid w:val="00140FAC"/>
    <w:rsid w:val="00141195"/>
    <w:rsid w:val="00143279"/>
    <w:rsid w:val="00144004"/>
    <w:rsid w:val="001454CD"/>
    <w:rsid w:val="001477AA"/>
    <w:rsid w:val="00147EBB"/>
    <w:rsid w:val="00147FB4"/>
    <w:rsid w:val="0015011C"/>
    <w:rsid w:val="001503E5"/>
    <w:rsid w:val="00150429"/>
    <w:rsid w:val="00151690"/>
    <w:rsid w:val="0015371E"/>
    <w:rsid w:val="00153E3A"/>
    <w:rsid w:val="001542BA"/>
    <w:rsid w:val="001554D5"/>
    <w:rsid w:val="00156421"/>
    <w:rsid w:val="001569BF"/>
    <w:rsid w:val="00156C77"/>
    <w:rsid w:val="001572BD"/>
    <w:rsid w:val="00157549"/>
    <w:rsid w:val="001576E3"/>
    <w:rsid w:val="00160265"/>
    <w:rsid w:val="001618A7"/>
    <w:rsid w:val="00165F63"/>
    <w:rsid w:val="00166C93"/>
    <w:rsid w:val="00171B70"/>
    <w:rsid w:val="00172335"/>
    <w:rsid w:val="00172A27"/>
    <w:rsid w:val="00172FEE"/>
    <w:rsid w:val="00177150"/>
    <w:rsid w:val="0017778D"/>
    <w:rsid w:val="00177975"/>
    <w:rsid w:val="001779F6"/>
    <w:rsid w:val="00177EB7"/>
    <w:rsid w:val="001800E7"/>
    <w:rsid w:val="00180ACB"/>
    <w:rsid w:val="001832E3"/>
    <w:rsid w:val="00186623"/>
    <w:rsid w:val="001879FD"/>
    <w:rsid w:val="00192A46"/>
    <w:rsid w:val="0019570C"/>
    <w:rsid w:val="00196A96"/>
    <w:rsid w:val="001A2B2B"/>
    <w:rsid w:val="001A2DFA"/>
    <w:rsid w:val="001A5574"/>
    <w:rsid w:val="001A57AF"/>
    <w:rsid w:val="001A6DCC"/>
    <w:rsid w:val="001A7513"/>
    <w:rsid w:val="001A7857"/>
    <w:rsid w:val="001B02A9"/>
    <w:rsid w:val="001B117B"/>
    <w:rsid w:val="001B1B72"/>
    <w:rsid w:val="001B1D6F"/>
    <w:rsid w:val="001B3DBD"/>
    <w:rsid w:val="001B4377"/>
    <w:rsid w:val="001B4A75"/>
    <w:rsid w:val="001C0424"/>
    <w:rsid w:val="001C3DC4"/>
    <w:rsid w:val="001C5BA1"/>
    <w:rsid w:val="001C656C"/>
    <w:rsid w:val="001C726B"/>
    <w:rsid w:val="001D0F37"/>
    <w:rsid w:val="001D15E5"/>
    <w:rsid w:val="001D2321"/>
    <w:rsid w:val="001D2DCD"/>
    <w:rsid w:val="001D31D4"/>
    <w:rsid w:val="001D4716"/>
    <w:rsid w:val="001D4744"/>
    <w:rsid w:val="001D4875"/>
    <w:rsid w:val="001D5055"/>
    <w:rsid w:val="001D630C"/>
    <w:rsid w:val="001D7AFF"/>
    <w:rsid w:val="001E03CE"/>
    <w:rsid w:val="001E09A3"/>
    <w:rsid w:val="001E104D"/>
    <w:rsid w:val="001E109C"/>
    <w:rsid w:val="001E201B"/>
    <w:rsid w:val="001E2208"/>
    <w:rsid w:val="001E22D3"/>
    <w:rsid w:val="001E4AB5"/>
    <w:rsid w:val="001E5CAC"/>
    <w:rsid w:val="001E5CD3"/>
    <w:rsid w:val="001E6588"/>
    <w:rsid w:val="001E725F"/>
    <w:rsid w:val="001E740A"/>
    <w:rsid w:val="001E77DF"/>
    <w:rsid w:val="001F0AD7"/>
    <w:rsid w:val="001F1AF7"/>
    <w:rsid w:val="001F259C"/>
    <w:rsid w:val="001F4964"/>
    <w:rsid w:val="001F5137"/>
    <w:rsid w:val="001F56E3"/>
    <w:rsid w:val="001F7063"/>
    <w:rsid w:val="001F760E"/>
    <w:rsid w:val="001F7EC4"/>
    <w:rsid w:val="002017DE"/>
    <w:rsid w:val="00201BD6"/>
    <w:rsid w:val="00202B04"/>
    <w:rsid w:val="00204884"/>
    <w:rsid w:val="00204936"/>
    <w:rsid w:val="00206B2C"/>
    <w:rsid w:val="002100EE"/>
    <w:rsid w:val="00210279"/>
    <w:rsid w:val="00210AAC"/>
    <w:rsid w:val="00212F49"/>
    <w:rsid w:val="002136BA"/>
    <w:rsid w:val="00215161"/>
    <w:rsid w:val="0021704D"/>
    <w:rsid w:val="002172C0"/>
    <w:rsid w:val="00220294"/>
    <w:rsid w:val="0022040C"/>
    <w:rsid w:val="00222097"/>
    <w:rsid w:val="0022216B"/>
    <w:rsid w:val="00223548"/>
    <w:rsid w:val="00225077"/>
    <w:rsid w:val="0022525C"/>
    <w:rsid w:val="002271D8"/>
    <w:rsid w:val="00227C77"/>
    <w:rsid w:val="00227D63"/>
    <w:rsid w:val="002303FF"/>
    <w:rsid w:val="0023074B"/>
    <w:rsid w:val="00230787"/>
    <w:rsid w:val="00230A0E"/>
    <w:rsid w:val="00231A5B"/>
    <w:rsid w:val="002348E0"/>
    <w:rsid w:val="00234F09"/>
    <w:rsid w:val="00235272"/>
    <w:rsid w:val="0023692A"/>
    <w:rsid w:val="00241734"/>
    <w:rsid w:val="00243DFC"/>
    <w:rsid w:val="00244122"/>
    <w:rsid w:val="00247EBF"/>
    <w:rsid w:val="00250E69"/>
    <w:rsid w:val="00251927"/>
    <w:rsid w:val="0025368F"/>
    <w:rsid w:val="00253C24"/>
    <w:rsid w:val="00255A29"/>
    <w:rsid w:val="002573F8"/>
    <w:rsid w:val="00261629"/>
    <w:rsid w:val="002621E9"/>
    <w:rsid w:val="00264246"/>
    <w:rsid w:val="002643C1"/>
    <w:rsid w:val="00264429"/>
    <w:rsid w:val="00264FF3"/>
    <w:rsid w:val="00265203"/>
    <w:rsid w:val="002670E2"/>
    <w:rsid w:val="00267B8D"/>
    <w:rsid w:val="00267C19"/>
    <w:rsid w:val="00271D47"/>
    <w:rsid w:val="002721EA"/>
    <w:rsid w:val="00272429"/>
    <w:rsid w:val="00272C22"/>
    <w:rsid w:val="00273020"/>
    <w:rsid w:val="00273A6E"/>
    <w:rsid w:val="002766B1"/>
    <w:rsid w:val="00276BB8"/>
    <w:rsid w:val="00280E8A"/>
    <w:rsid w:val="002820FB"/>
    <w:rsid w:val="002850C8"/>
    <w:rsid w:val="00285164"/>
    <w:rsid w:val="002852E3"/>
    <w:rsid w:val="00287133"/>
    <w:rsid w:val="0028719F"/>
    <w:rsid w:val="002911F1"/>
    <w:rsid w:val="00293085"/>
    <w:rsid w:val="00293E11"/>
    <w:rsid w:val="002A4956"/>
    <w:rsid w:val="002A6710"/>
    <w:rsid w:val="002A676B"/>
    <w:rsid w:val="002A6C51"/>
    <w:rsid w:val="002B0B7E"/>
    <w:rsid w:val="002B1B88"/>
    <w:rsid w:val="002B30E6"/>
    <w:rsid w:val="002B6EB3"/>
    <w:rsid w:val="002B7904"/>
    <w:rsid w:val="002C0AAE"/>
    <w:rsid w:val="002C2507"/>
    <w:rsid w:val="002C2E6E"/>
    <w:rsid w:val="002C45CE"/>
    <w:rsid w:val="002C4751"/>
    <w:rsid w:val="002D07B4"/>
    <w:rsid w:val="002D0A51"/>
    <w:rsid w:val="002D0A9D"/>
    <w:rsid w:val="002D30D8"/>
    <w:rsid w:val="002D3A9C"/>
    <w:rsid w:val="002D5993"/>
    <w:rsid w:val="002D683E"/>
    <w:rsid w:val="002D7725"/>
    <w:rsid w:val="002E6F8D"/>
    <w:rsid w:val="002F1AF5"/>
    <w:rsid w:val="002F30F5"/>
    <w:rsid w:val="002F3137"/>
    <w:rsid w:val="002F3DE3"/>
    <w:rsid w:val="002F423C"/>
    <w:rsid w:val="002F48D1"/>
    <w:rsid w:val="002F48F9"/>
    <w:rsid w:val="002F632E"/>
    <w:rsid w:val="002F7A4A"/>
    <w:rsid w:val="002F7BFF"/>
    <w:rsid w:val="00301428"/>
    <w:rsid w:val="003021B8"/>
    <w:rsid w:val="00302845"/>
    <w:rsid w:val="00303897"/>
    <w:rsid w:val="003063EA"/>
    <w:rsid w:val="00306F02"/>
    <w:rsid w:val="00306FFA"/>
    <w:rsid w:val="0030723C"/>
    <w:rsid w:val="00307D8F"/>
    <w:rsid w:val="00307FF1"/>
    <w:rsid w:val="00310AF9"/>
    <w:rsid w:val="00312C54"/>
    <w:rsid w:val="00313570"/>
    <w:rsid w:val="0031465E"/>
    <w:rsid w:val="00314FB9"/>
    <w:rsid w:val="00315742"/>
    <w:rsid w:val="003163B3"/>
    <w:rsid w:val="00316BB4"/>
    <w:rsid w:val="00320441"/>
    <w:rsid w:val="00320C81"/>
    <w:rsid w:val="00322A7A"/>
    <w:rsid w:val="00325F6D"/>
    <w:rsid w:val="00327F7A"/>
    <w:rsid w:val="00330756"/>
    <w:rsid w:val="00335623"/>
    <w:rsid w:val="00336EE2"/>
    <w:rsid w:val="00341626"/>
    <w:rsid w:val="00341DEB"/>
    <w:rsid w:val="00342BB9"/>
    <w:rsid w:val="003434CB"/>
    <w:rsid w:val="003456AF"/>
    <w:rsid w:val="00346A3D"/>
    <w:rsid w:val="003471B4"/>
    <w:rsid w:val="00347744"/>
    <w:rsid w:val="003507EB"/>
    <w:rsid w:val="00350C20"/>
    <w:rsid w:val="0035394E"/>
    <w:rsid w:val="00353CF8"/>
    <w:rsid w:val="003548FA"/>
    <w:rsid w:val="0035580F"/>
    <w:rsid w:val="00355A74"/>
    <w:rsid w:val="00357F29"/>
    <w:rsid w:val="00361427"/>
    <w:rsid w:val="0036458B"/>
    <w:rsid w:val="00364610"/>
    <w:rsid w:val="00364EF7"/>
    <w:rsid w:val="003668B1"/>
    <w:rsid w:val="0037137B"/>
    <w:rsid w:val="00371D2F"/>
    <w:rsid w:val="00373345"/>
    <w:rsid w:val="00375439"/>
    <w:rsid w:val="00375768"/>
    <w:rsid w:val="00377528"/>
    <w:rsid w:val="0038033A"/>
    <w:rsid w:val="0038412F"/>
    <w:rsid w:val="00384161"/>
    <w:rsid w:val="00387610"/>
    <w:rsid w:val="00390B6D"/>
    <w:rsid w:val="003918DA"/>
    <w:rsid w:val="003919DA"/>
    <w:rsid w:val="003924CB"/>
    <w:rsid w:val="00393EC7"/>
    <w:rsid w:val="0039430C"/>
    <w:rsid w:val="00395C2F"/>
    <w:rsid w:val="00395CE2"/>
    <w:rsid w:val="003964A3"/>
    <w:rsid w:val="003973D3"/>
    <w:rsid w:val="003A0892"/>
    <w:rsid w:val="003A2703"/>
    <w:rsid w:val="003A3C9D"/>
    <w:rsid w:val="003A3FB6"/>
    <w:rsid w:val="003A449E"/>
    <w:rsid w:val="003A71F3"/>
    <w:rsid w:val="003B05FB"/>
    <w:rsid w:val="003B0631"/>
    <w:rsid w:val="003B1648"/>
    <w:rsid w:val="003B19F5"/>
    <w:rsid w:val="003B3D41"/>
    <w:rsid w:val="003B3DF0"/>
    <w:rsid w:val="003B5BD1"/>
    <w:rsid w:val="003B66AB"/>
    <w:rsid w:val="003C1A03"/>
    <w:rsid w:val="003C48EA"/>
    <w:rsid w:val="003C4B53"/>
    <w:rsid w:val="003C5566"/>
    <w:rsid w:val="003C6BD8"/>
    <w:rsid w:val="003C7E5A"/>
    <w:rsid w:val="003D0E0A"/>
    <w:rsid w:val="003D125B"/>
    <w:rsid w:val="003D1564"/>
    <w:rsid w:val="003D3B22"/>
    <w:rsid w:val="003D5564"/>
    <w:rsid w:val="003E0CC4"/>
    <w:rsid w:val="003E1566"/>
    <w:rsid w:val="003E1EE5"/>
    <w:rsid w:val="003E311C"/>
    <w:rsid w:val="003E328D"/>
    <w:rsid w:val="003E376A"/>
    <w:rsid w:val="003E5EC8"/>
    <w:rsid w:val="003E67A6"/>
    <w:rsid w:val="003F0213"/>
    <w:rsid w:val="003F077C"/>
    <w:rsid w:val="003F4136"/>
    <w:rsid w:val="003F50CD"/>
    <w:rsid w:val="003F72AD"/>
    <w:rsid w:val="003F7C14"/>
    <w:rsid w:val="00401C37"/>
    <w:rsid w:val="00402834"/>
    <w:rsid w:val="00402B32"/>
    <w:rsid w:val="00403617"/>
    <w:rsid w:val="004068A3"/>
    <w:rsid w:val="0041003B"/>
    <w:rsid w:val="00410C93"/>
    <w:rsid w:val="00411B4A"/>
    <w:rsid w:val="0041220C"/>
    <w:rsid w:val="00412241"/>
    <w:rsid w:val="004128B1"/>
    <w:rsid w:val="00412FA5"/>
    <w:rsid w:val="00413029"/>
    <w:rsid w:val="00413B67"/>
    <w:rsid w:val="00414732"/>
    <w:rsid w:val="00416323"/>
    <w:rsid w:val="00417E99"/>
    <w:rsid w:val="00420063"/>
    <w:rsid w:val="0042097E"/>
    <w:rsid w:val="00420A96"/>
    <w:rsid w:val="00421331"/>
    <w:rsid w:val="00421839"/>
    <w:rsid w:val="00421C98"/>
    <w:rsid w:val="00424546"/>
    <w:rsid w:val="004254FF"/>
    <w:rsid w:val="004276EB"/>
    <w:rsid w:val="00427935"/>
    <w:rsid w:val="00427D27"/>
    <w:rsid w:val="00430D9A"/>
    <w:rsid w:val="0043167C"/>
    <w:rsid w:val="00434863"/>
    <w:rsid w:val="00436C7A"/>
    <w:rsid w:val="00441108"/>
    <w:rsid w:val="00441F7A"/>
    <w:rsid w:val="004421F2"/>
    <w:rsid w:val="00442E71"/>
    <w:rsid w:val="00442FE9"/>
    <w:rsid w:val="0044602E"/>
    <w:rsid w:val="00446373"/>
    <w:rsid w:val="0044695E"/>
    <w:rsid w:val="004525D8"/>
    <w:rsid w:val="00457587"/>
    <w:rsid w:val="00460146"/>
    <w:rsid w:val="004608BC"/>
    <w:rsid w:val="00460DBE"/>
    <w:rsid w:val="00461B7F"/>
    <w:rsid w:val="00462878"/>
    <w:rsid w:val="00462F9F"/>
    <w:rsid w:val="00464545"/>
    <w:rsid w:val="00464E96"/>
    <w:rsid w:val="00465B7A"/>
    <w:rsid w:val="00466082"/>
    <w:rsid w:val="00467AB3"/>
    <w:rsid w:val="00470B8E"/>
    <w:rsid w:val="00471DEB"/>
    <w:rsid w:val="00472285"/>
    <w:rsid w:val="00472AA2"/>
    <w:rsid w:val="00472D6D"/>
    <w:rsid w:val="0047375E"/>
    <w:rsid w:val="00474DEB"/>
    <w:rsid w:val="0047550D"/>
    <w:rsid w:val="00476B6D"/>
    <w:rsid w:val="004774E8"/>
    <w:rsid w:val="00482EC1"/>
    <w:rsid w:val="00491A35"/>
    <w:rsid w:val="00492BEA"/>
    <w:rsid w:val="00492DDE"/>
    <w:rsid w:val="004953EC"/>
    <w:rsid w:val="00495813"/>
    <w:rsid w:val="00496A5E"/>
    <w:rsid w:val="004A09CD"/>
    <w:rsid w:val="004A0D29"/>
    <w:rsid w:val="004A0DE1"/>
    <w:rsid w:val="004A12E0"/>
    <w:rsid w:val="004A2009"/>
    <w:rsid w:val="004A2251"/>
    <w:rsid w:val="004A2410"/>
    <w:rsid w:val="004A27AC"/>
    <w:rsid w:val="004A32B1"/>
    <w:rsid w:val="004A4B54"/>
    <w:rsid w:val="004A6089"/>
    <w:rsid w:val="004A7401"/>
    <w:rsid w:val="004A7B2B"/>
    <w:rsid w:val="004B12E0"/>
    <w:rsid w:val="004B176E"/>
    <w:rsid w:val="004B40AA"/>
    <w:rsid w:val="004C026E"/>
    <w:rsid w:val="004C03CC"/>
    <w:rsid w:val="004C112C"/>
    <w:rsid w:val="004C1DD0"/>
    <w:rsid w:val="004C28FF"/>
    <w:rsid w:val="004C4C68"/>
    <w:rsid w:val="004C4E33"/>
    <w:rsid w:val="004C64E4"/>
    <w:rsid w:val="004C6D5A"/>
    <w:rsid w:val="004C7FD5"/>
    <w:rsid w:val="004D4CF5"/>
    <w:rsid w:val="004D5173"/>
    <w:rsid w:val="004E156F"/>
    <w:rsid w:val="004E55DB"/>
    <w:rsid w:val="004E6FEA"/>
    <w:rsid w:val="004E71A8"/>
    <w:rsid w:val="004E7646"/>
    <w:rsid w:val="004E7F1A"/>
    <w:rsid w:val="004F161C"/>
    <w:rsid w:val="004F2013"/>
    <w:rsid w:val="004F32E8"/>
    <w:rsid w:val="004F48C5"/>
    <w:rsid w:val="004F4F7F"/>
    <w:rsid w:val="004F695F"/>
    <w:rsid w:val="00500E80"/>
    <w:rsid w:val="0050107B"/>
    <w:rsid w:val="00502B2F"/>
    <w:rsid w:val="00504F46"/>
    <w:rsid w:val="00505927"/>
    <w:rsid w:val="0050630E"/>
    <w:rsid w:val="00507B62"/>
    <w:rsid w:val="00511E0C"/>
    <w:rsid w:val="005126DD"/>
    <w:rsid w:val="00512D00"/>
    <w:rsid w:val="00514179"/>
    <w:rsid w:val="00514E1B"/>
    <w:rsid w:val="0051555D"/>
    <w:rsid w:val="00515629"/>
    <w:rsid w:val="005159E7"/>
    <w:rsid w:val="00516927"/>
    <w:rsid w:val="005200B9"/>
    <w:rsid w:val="00520130"/>
    <w:rsid w:val="0052135A"/>
    <w:rsid w:val="00522410"/>
    <w:rsid w:val="00522511"/>
    <w:rsid w:val="005245A3"/>
    <w:rsid w:val="005246B4"/>
    <w:rsid w:val="00524E1B"/>
    <w:rsid w:val="00530583"/>
    <w:rsid w:val="00535002"/>
    <w:rsid w:val="005371B2"/>
    <w:rsid w:val="00537A8D"/>
    <w:rsid w:val="0054143C"/>
    <w:rsid w:val="00541B26"/>
    <w:rsid w:val="00542AF7"/>
    <w:rsid w:val="00544BEA"/>
    <w:rsid w:val="00544DCE"/>
    <w:rsid w:val="005460D5"/>
    <w:rsid w:val="0054645B"/>
    <w:rsid w:val="005464FC"/>
    <w:rsid w:val="0054729E"/>
    <w:rsid w:val="00551686"/>
    <w:rsid w:val="00553B20"/>
    <w:rsid w:val="00556654"/>
    <w:rsid w:val="00556837"/>
    <w:rsid w:val="00556953"/>
    <w:rsid w:val="00556B47"/>
    <w:rsid w:val="00557558"/>
    <w:rsid w:val="00557801"/>
    <w:rsid w:val="00561DA5"/>
    <w:rsid w:val="00562572"/>
    <w:rsid w:val="00563972"/>
    <w:rsid w:val="00565B5B"/>
    <w:rsid w:val="00566105"/>
    <w:rsid w:val="00566A85"/>
    <w:rsid w:val="00570CC2"/>
    <w:rsid w:val="00571442"/>
    <w:rsid w:val="00572E57"/>
    <w:rsid w:val="00573AE3"/>
    <w:rsid w:val="0057664F"/>
    <w:rsid w:val="00577BC6"/>
    <w:rsid w:val="00580E69"/>
    <w:rsid w:val="0058217B"/>
    <w:rsid w:val="00583CF4"/>
    <w:rsid w:val="005865A7"/>
    <w:rsid w:val="00586747"/>
    <w:rsid w:val="00586ABA"/>
    <w:rsid w:val="00586B31"/>
    <w:rsid w:val="005902D9"/>
    <w:rsid w:val="00594717"/>
    <w:rsid w:val="00594D26"/>
    <w:rsid w:val="00595953"/>
    <w:rsid w:val="00596975"/>
    <w:rsid w:val="00596AB7"/>
    <w:rsid w:val="005A07BD"/>
    <w:rsid w:val="005A1EA7"/>
    <w:rsid w:val="005A493F"/>
    <w:rsid w:val="005A4F8E"/>
    <w:rsid w:val="005A5FAF"/>
    <w:rsid w:val="005A6086"/>
    <w:rsid w:val="005A7A80"/>
    <w:rsid w:val="005B0724"/>
    <w:rsid w:val="005B1BD0"/>
    <w:rsid w:val="005B1E46"/>
    <w:rsid w:val="005B4015"/>
    <w:rsid w:val="005B7F7D"/>
    <w:rsid w:val="005C0225"/>
    <w:rsid w:val="005C1B86"/>
    <w:rsid w:val="005C3037"/>
    <w:rsid w:val="005C3798"/>
    <w:rsid w:val="005C42AC"/>
    <w:rsid w:val="005C4F84"/>
    <w:rsid w:val="005C53FC"/>
    <w:rsid w:val="005C55A6"/>
    <w:rsid w:val="005C76E9"/>
    <w:rsid w:val="005C7D84"/>
    <w:rsid w:val="005D32BC"/>
    <w:rsid w:val="005D37D0"/>
    <w:rsid w:val="005D40BD"/>
    <w:rsid w:val="005D5C40"/>
    <w:rsid w:val="005D5D60"/>
    <w:rsid w:val="005D703E"/>
    <w:rsid w:val="005E0208"/>
    <w:rsid w:val="005E2C79"/>
    <w:rsid w:val="005E3DE6"/>
    <w:rsid w:val="005E40D8"/>
    <w:rsid w:val="005E5525"/>
    <w:rsid w:val="005E55A7"/>
    <w:rsid w:val="005E7061"/>
    <w:rsid w:val="005E7215"/>
    <w:rsid w:val="005E7252"/>
    <w:rsid w:val="005F0EBC"/>
    <w:rsid w:val="005F47F6"/>
    <w:rsid w:val="005F59B7"/>
    <w:rsid w:val="005F63E7"/>
    <w:rsid w:val="00600F4A"/>
    <w:rsid w:val="00601E82"/>
    <w:rsid w:val="006022E8"/>
    <w:rsid w:val="00603157"/>
    <w:rsid w:val="00604B41"/>
    <w:rsid w:val="00604B4E"/>
    <w:rsid w:val="00606DF6"/>
    <w:rsid w:val="0061190C"/>
    <w:rsid w:val="00612136"/>
    <w:rsid w:val="00612220"/>
    <w:rsid w:val="00613410"/>
    <w:rsid w:val="00614C04"/>
    <w:rsid w:val="006171EC"/>
    <w:rsid w:val="0061738E"/>
    <w:rsid w:val="00617986"/>
    <w:rsid w:val="00620D29"/>
    <w:rsid w:val="006220F4"/>
    <w:rsid w:val="00622AA9"/>
    <w:rsid w:val="00623720"/>
    <w:rsid w:val="006242EC"/>
    <w:rsid w:val="0062578B"/>
    <w:rsid w:val="0062592E"/>
    <w:rsid w:val="00625D1E"/>
    <w:rsid w:val="0062751C"/>
    <w:rsid w:val="00627DDB"/>
    <w:rsid w:val="0063309D"/>
    <w:rsid w:val="006331C2"/>
    <w:rsid w:val="00637D4C"/>
    <w:rsid w:val="00642315"/>
    <w:rsid w:val="00642F74"/>
    <w:rsid w:val="006437AB"/>
    <w:rsid w:val="00643C16"/>
    <w:rsid w:val="00644951"/>
    <w:rsid w:val="0064583B"/>
    <w:rsid w:val="006470FC"/>
    <w:rsid w:val="0065168A"/>
    <w:rsid w:val="00652BBC"/>
    <w:rsid w:val="00654A48"/>
    <w:rsid w:val="0065651B"/>
    <w:rsid w:val="00656C42"/>
    <w:rsid w:val="00656C66"/>
    <w:rsid w:val="006578BF"/>
    <w:rsid w:val="006605E7"/>
    <w:rsid w:val="00661778"/>
    <w:rsid w:val="00661B6B"/>
    <w:rsid w:val="006623D7"/>
    <w:rsid w:val="0066363A"/>
    <w:rsid w:val="00664607"/>
    <w:rsid w:val="006654E9"/>
    <w:rsid w:val="006672A3"/>
    <w:rsid w:val="006674A8"/>
    <w:rsid w:val="00667FD2"/>
    <w:rsid w:val="00670089"/>
    <w:rsid w:val="00673093"/>
    <w:rsid w:val="006760BE"/>
    <w:rsid w:val="00677469"/>
    <w:rsid w:val="00677CD6"/>
    <w:rsid w:val="00680AE4"/>
    <w:rsid w:val="006810A0"/>
    <w:rsid w:val="00681411"/>
    <w:rsid w:val="00681A07"/>
    <w:rsid w:val="00682A6A"/>
    <w:rsid w:val="0068389A"/>
    <w:rsid w:val="00684B76"/>
    <w:rsid w:val="00684E51"/>
    <w:rsid w:val="00684FE6"/>
    <w:rsid w:val="00686506"/>
    <w:rsid w:val="00690DA0"/>
    <w:rsid w:val="00692710"/>
    <w:rsid w:val="006930F5"/>
    <w:rsid w:val="006932AC"/>
    <w:rsid w:val="00693D65"/>
    <w:rsid w:val="00694C79"/>
    <w:rsid w:val="006960D7"/>
    <w:rsid w:val="00696F3B"/>
    <w:rsid w:val="00697279"/>
    <w:rsid w:val="0069727D"/>
    <w:rsid w:val="006977EB"/>
    <w:rsid w:val="00697AE6"/>
    <w:rsid w:val="006A0FA4"/>
    <w:rsid w:val="006A100B"/>
    <w:rsid w:val="006A12E9"/>
    <w:rsid w:val="006A143A"/>
    <w:rsid w:val="006A2784"/>
    <w:rsid w:val="006A3285"/>
    <w:rsid w:val="006A3378"/>
    <w:rsid w:val="006A5479"/>
    <w:rsid w:val="006B0B19"/>
    <w:rsid w:val="006B12C5"/>
    <w:rsid w:val="006B2FBE"/>
    <w:rsid w:val="006B354A"/>
    <w:rsid w:val="006B4465"/>
    <w:rsid w:val="006B582C"/>
    <w:rsid w:val="006B5D05"/>
    <w:rsid w:val="006B72DE"/>
    <w:rsid w:val="006B78E4"/>
    <w:rsid w:val="006C1E5D"/>
    <w:rsid w:val="006C229C"/>
    <w:rsid w:val="006C2E3A"/>
    <w:rsid w:val="006C4C65"/>
    <w:rsid w:val="006C5FC1"/>
    <w:rsid w:val="006C6299"/>
    <w:rsid w:val="006D2E5E"/>
    <w:rsid w:val="006D44E1"/>
    <w:rsid w:val="006D54E6"/>
    <w:rsid w:val="006D65F7"/>
    <w:rsid w:val="006E0053"/>
    <w:rsid w:val="006E019C"/>
    <w:rsid w:val="006E0A09"/>
    <w:rsid w:val="006E0E97"/>
    <w:rsid w:val="006E0EC2"/>
    <w:rsid w:val="006E21FA"/>
    <w:rsid w:val="006E3D4C"/>
    <w:rsid w:val="006E3D5F"/>
    <w:rsid w:val="006E42DE"/>
    <w:rsid w:val="006E4910"/>
    <w:rsid w:val="006E562B"/>
    <w:rsid w:val="006E6C11"/>
    <w:rsid w:val="006E76FC"/>
    <w:rsid w:val="006F0032"/>
    <w:rsid w:val="006F0A41"/>
    <w:rsid w:val="006F0FB7"/>
    <w:rsid w:val="006F15C7"/>
    <w:rsid w:val="006F27BE"/>
    <w:rsid w:val="006F30E6"/>
    <w:rsid w:val="006F3E48"/>
    <w:rsid w:val="006F411A"/>
    <w:rsid w:val="006F4235"/>
    <w:rsid w:val="006F59C8"/>
    <w:rsid w:val="006F5E06"/>
    <w:rsid w:val="006F6896"/>
    <w:rsid w:val="006F6A10"/>
    <w:rsid w:val="006F7534"/>
    <w:rsid w:val="006F792B"/>
    <w:rsid w:val="006F7DCF"/>
    <w:rsid w:val="00701AE7"/>
    <w:rsid w:val="00702BC4"/>
    <w:rsid w:val="00704521"/>
    <w:rsid w:val="007046EB"/>
    <w:rsid w:val="00704E5D"/>
    <w:rsid w:val="00705739"/>
    <w:rsid w:val="0071306E"/>
    <w:rsid w:val="00715FB5"/>
    <w:rsid w:val="0071609A"/>
    <w:rsid w:val="007171A6"/>
    <w:rsid w:val="007174AD"/>
    <w:rsid w:val="0071799D"/>
    <w:rsid w:val="00720CF0"/>
    <w:rsid w:val="00724735"/>
    <w:rsid w:val="0072522E"/>
    <w:rsid w:val="00725AF7"/>
    <w:rsid w:val="00725E68"/>
    <w:rsid w:val="00726088"/>
    <w:rsid w:val="00727AF6"/>
    <w:rsid w:val="007307F6"/>
    <w:rsid w:val="00730A0E"/>
    <w:rsid w:val="00730B6A"/>
    <w:rsid w:val="00731F22"/>
    <w:rsid w:val="00732371"/>
    <w:rsid w:val="00732A4A"/>
    <w:rsid w:val="007334EC"/>
    <w:rsid w:val="007350C4"/>
    <w:rsid w:val="00736D88"/>
    <w:rsid w:val="00736DD2"/>
    <w:rsid w:val="00737A25"/>
    <w:rsid w:val="00737AB8"/>
    <w:rsid w:val="0074007B"/>
    <w:rsid w:val="00743E21"/>
    <w:rsid w:val="00743F18"/>
    <w:rsid w:val="0074608A"/>
    <w:rsid w:val="0074681C"/>
    <w:rsid w:val="00746EC2"/>
    <w:rsid w:val="007477DE"/>
    <w:rsid w:val="00751B5F"/>
    <w:rsid w:val="0075305F"/>
    <w:rsid w:val="00754608"/>
    <w:rsid w:val="0075581A"/>
    <w:rsid w:val="00761EC2"/>
    <w:rsid w:val="00764158"/>
    <w:rsid w:val="007654E2"/>
    <w:rsid w:val="0076555E"/>
    <w:rsid w:val="00765F4B"/>
    <w:rsid w:val="0076647D"/>
    <w:rsid w:val="0076666E"/>
    <w:rsid w:val="007670B1"/>
    <w:rsid w:val="00770B3E"/>
    <w:rsid w:val="00771D8D"/>
    <w:rsid w:val="00771E46"/>
    <w:rsid w:val="00772ACA"/>
    <w:rsid w:val="00777BF9"/>
    <w:rsid w:val="007805B3"/>
    <w:rsid w:val="007810EA"/>
    <w:rsid w:val="00781523"/>
    <w:rsid w:val="00781AB0"/>
    <w:rsid w:val="00782FEC"/>
    <w:rsid w:val="007847C2"/>
    <w:rsid w:val="00785BF8"/>
    <w:rsid w:val="00785CFB"/>
    <w:rsid w:val="00786EFE"/>
    <w:rsid w:val="00791EC4"/>
    <w:rsid w:val="00793250"/>
    <w:rsid w:val="00794302"/>
    <w:rsid w:val="007946CA"/>
    <w:rsid w:val="007959AC"/>
    <w:rsid w:val="00797920"/>
    <w:rsid w:val="007A0883"/>
    <w:rsid w:val="007A20E0"/>
    <w:rsid w:val="007A24F9"/>
    <w:rsid w:val="007A27B9"/>
    <w:rsid w:val="007A65F9"/>
    <w:rsid w:val="007B1696"/>
    <w:rsid w:val="007B201F"/>
    <w:rsid w:val="007B2204"/>
    <w:rsid w:val="007B2E7A"/>
    <w:rsid w:val="007B3C8D"/>
    <w:rsid w:val="007B4B60"/>
    <w:rsid w:val="007B58C2"/>
    <w:rsid w:val="007B69C4"/>
    <w:rsid w:val="007B7A38"/>
    <w:rsid w:val="007C203E"/>
    <w:rsid w:val="007C2502"/>
    <w:rsid w:val="007C3F57"/>
    <w:rsid w:val="007C4691"/>
    <w:rsid w:val="007C4793"/>
    <w:rsid w:val="007C7E4E"/>
    <w:rsid w:val="007D1061"/>
    <w:rsid w:val="007D4202"/>
    <w:rsid w:val="007D5C47"/>
    <w:rsid w:val="007D5F09"/>
    <w:rsid w:val="007D649A"/>
    <w:rsid w:val="007D7E65"/>
    <w:rsid w:val="007E0580"/>
    <w:rsid w:val="007E0A76"/>
    <w:rsid w:val="007E19E0"/>
    <w:rsid w:val="007E1B0C"/>
    <w:rsid w:val="007E39A0"/>
    <w:rsid w:val="007E46F4"/>
    <w:rsid w:val="007E4FF5"/>
    <w:rsid w:val="007E6344"/>
    <w:rsid w:val="007F0862"/>
    <w:rsid w:val="007F14F8"/>
    <w:rsid w:val="007F1F76"/>
    <w:rsid w:val="007F2837"/>
    <w:rsid w:val="007F4F1E"/>
    <w:rsid w:val="00800085"/>
    <w:rsid w:val="00800734"/>
    <w:rsid w:val="0080093D"/>
    <w:rsid w:val="00802117"/>
    <w:rsid w:val="0080372E"/>
    <w:rsid w:val="008041D4"/>
    <w:rsid w:val="008050F1"/>
    <w:rsid w:val="0080579B"/>
    <w:rsid w:val="00805933"/>
    <w:rsid w:val="00807DFB"/>
    <w:rsid w:val="00810721"/>
    <w:rsid w:val="0081156A"/>
    <w:rsid w:val="00811877"/>
    <w:rsid w:val="00811D97"/>
    <w:rsid w:val="008128AF"/>
    <w:rsid w:val="00812A73"/>
    <w:rsid w:val="00815F30"/>
    <w:rsid w:val="00821353"/>
    <w:rsid w:val="0082153C"/>
    <w:rsid w:val="008232D4"/>
    <w:rsid w:val="00825A48"/>
    <w:rsid w:val="00826DB4"/>
    <w:rsid w:val="00827398"/>
    <w:rsid w:val="00827916"/>
    <w:rsid w:val="00827D28"/>
    <w:rsid w:val="00830BE3"/>
    <w:rsid w:val="00832DEF"/>
    <w:rsid w:val="0083380E"/>
    <w:rsid w:val="008352AB"/>
    <w:rsid w:val="008404E1"/>
    <w:rsid w:val="0084131B"/>
    <w:rsid w:val="00842974"/>
    <w:rsid w:val="00842C1B"/>
    <w:rsid w:val="00845109"/>
    <w:rsid w:val="008455E6"/>
    <w:rsid w:val="00850D3B"/>
    <w:rsid w:val="008514A7"/>
    <w:rsid w:val="00851EF4"/>
    <w:rsid w:val="00852634"/>
    <w:rsid w:val="00853669"/>
    <w:rsid w:val="00854095"/>
    <w:rsid w:val="0085550A"/>
    <w:rsid w:val="00855EEF"/>
    <w:rsid w:val="0085609D"/>
    <w:rsid w:val="00860553"/>
    <w:rsid w:val="008616EF"/>
    <w:rsid w:val="0086192D"/>
    <w:rsid w:val="00863C25"/>
    <w:rsid w:val="008641B7"/>
    <w:rsid w:val="008648DA"/>
    <w:rsid w:val="00864ADE"/>
    <w:rsid w:val="00864DC1"/>
    <w:rsid w:val="008705BC"/>
    <w:rsid w:val="00872F7A"/>
    <w:rsid w:val="00873357"/>
    <w:rsid w:val="00873783"/>
    <w:rsid w:val="00873BB9"/>
    <w:rsid w:val="00875A42"/>
    <w:rsid w:val="00875B1A"/>
    <w:rsid w:val="00876460"/>
    <w:rsid w:val="00880445"/>
    <w:rsid w:val="008817AF"/>
    <w:rsid w:val="00881ACF"/>
    <w:rsid w:val="008839A3"/>
    <w:rsid w:val="0088400C"/>
    <w:rsid w:val="008857CC"/>
    <w:rsid w:val="0089007A"/>
    <w:rsid w:val="008904A8"/>
    <w:rsid w:val="00892BB0"/>
    <w:rsid w:val="00893A04"/>
    <w:rsid w:val="00893C64"/>
    <w:rsid w:val="00894843"/>
    <w:rsid w:val="008A47E2"/>
    <w:rsid w:val="008A581E"/>
    <w:rsid w:val="008A703A"/>
    <w:rsid w:val="008A776A"/>
    <w:rsid w:val="008B48A3"/>
    <w:rsid w:val="008B649A"/>
    <w:rsid w:val="008B6EA4"/>
    <w:rsid w:val="008C0E7A"/>
    <w:rsid w:val="008C2D60"/>
    <w:rsid w:val="008C4987"/>
    <w:rsid w:val="008C510F"/>
    <w:rsid w:val="008C697A"/>
    <w:rsid w:val="008C6AB8"/>
    <w:rsid w:val="008C6BDC"/>
    <w:rsid w:val="008C77E3"/>
    <w:rsid w:val="008D1BFD"/>
    <w:rsid w:val="008D25D7"/>
    <w:rsid w:val="008D63EC"/>
    <w:rsid w:val="008D7D77"/>
    <w:rsid w:val="008E1231"/>
    <w:rsid w:val="008E1633"/>
    <w:rsid w:val="008E379E"/>
    <w:rsid w:val="008E4EC7"/>
    <w:rsid w:val="008E66B8"/>
    <w:rsid w:val="008E6FA3"/>
    <w:rsid w:val="008F1988"/>
    <w:rsid w:val="008F2B00"/>
    <w:rsid w:val="008F2C51"/>
    <w:rsid w:val="008F2CBA"/>
    <w:rsid w:val="008F4F2C"/>
    <w:rsid w:val="008F6252"/>
    <w:rsid w:val="008F7FAA"/>
    <w:rsid w:val="009023F3"/>
    <w:rsid w:val="00902A22"/>
    <w:rsid w:val="00903540"/>
    <w:rsid w:val="0090383C"/>
    <w:rsid w:val="009039A8"/>
    <w:rsid w:val="00904A72"/>
    <w:rsid w:val="00904B2A"/>
    <w:rsid w:val="00905AA2"/>
    <w:rsid w:val="00905F77"/>
    <w:rsid w:val="00910547"/>
    <w:rsid w:val="009106B7"/>
    <w:rsid w:val="00912132"/>
    <w:rsid w:val="00912374"/>
    <w:rsid w:val="00915390"/>
    <w:rsid w:val="009169F7"/>
    <w:rsid w:val="009211CD"/>
    <w:rsid w:val="0092151D"/>
    <w:rsid w:val="00922FAD"/>
    <w:rsid w:val="00923051"/>
    <w:rsid w:val="00924F0A"/>
    <w:rsid w:val="00925525"/>
    <w:rsid w:val="0092708B"/>
    <w:rsid w:val="0093049D"/>
    <w:rsid w:val="009316E1"/>
    <w:rsid w:val="00934677"/>
    <w:rsid w:val="00934AFC"/>
    <w:rsid w:val="00937713"/>
    <w:rsid w:val="00937AD2"/>
    <w:rsid w:val="00937EAC"/>
    <w:rsid w:val="00941BC4"/>
    <w:rsid w:val="00944CC5"/>
    <w:rsid w:val="0094759E"/>
    <w:rsid w:val="00950469"/>
    <w:rsid w:val="0095125B"/>
    <w:rsid w:val="009533C0"/>
    <w:rsid w:val="009535C6"/>
    <w:rsid w:val="00953E8B"/>
    <w:rsid w:val="00954D12"/>
    <w:rsid w:val="00956EEA"/>
    <w:rsid w:val="00956F33"/>
    <w:rsid w:val="00957862"/>
    <w:rsid w:val="00957C90"/>
    <w:rsid w:val="0096035A"/>
    <w:rsid w:val="00960D72"/>
    <w:rsid w:val="0096160A"/>
    <w:rsid w:val="00962F12"/>
    <w:rsid w:val="0096419F"/>
    <w:rsid w:val="00966820"/>
    <w:rsid w:val="00966C42"/>
    <w:rsid w:val="009702E8"/>
    <w:rsid w:val="00970731"/>
    <w:rsid w:val="00971E57"/>
    <w:rsid w:val="00972205"/>
    <w:rsid w:val="009723CF"/>
    <w:rsid w:val="0097298D"/>
    <w:rsid w:val="00972F84"/>
    <w:rsid w:val="0097388B"/>
    <w:rsid w:val="009738E9"/>
    <w:rsid w:val="00974B82"/>
    <w:rsid w:val="009771A9"/>
    <w:rsid w:val="00977FE0"/>
    <w:rsid w:val="00980037"/>
    <w:rsid w:val="00983661"/>
    <w:rsid w:val="00983B43"/>
    <w:rsid w:val="00991B37"/>
    <w:rsid w:val="00991BB1"/>
    <w:rsid w:val="00993858"/>
    <w:rsid w:val="00993934"/>
    <w:rsid w:val="00993C8A"/>
    <w:rsid w:val="00993CA0"/>
    <w:rsid w:val="0099449D"/>
    <w:rsid w:val="00994912"/>
    <w:rsid w:val="00996DD5"/>
    <w:rsid w:val="009A0AB1"/>
    <w:rsid w:val="009A0C0B"/>
    <w:rsid w:val="009A1D82"/>
    <w:rsid w:val="009A46BB"/>
    <w:rsid w:val="009A4A26"/>
    <w:rsid w:val="009A4BB5"/>
    <w:rsid w:val="009A4CF6"/>
    <w:rsid w:val="009A744B"/>
    <w:rsid w:val="009B0FA4"/>
    <w:rsid w:val="009B30F1"/>
    <w:rsid w:val="009B3DCE"/>
    <w:rsid w:val="009B4AEB"/>
    <w:rsid w:val="009B6096"/>
    <w:rsid w:val="009B7C5D"/>
    <w:rsid w:val="009B7E4E"/>
    <w:rsid w:val="009C0436"/>
    <w:rsid w:val="009C15E8"/>
    <w:rsid w:val="009C1D90"/>
    <w:rsid w:val="009C21A2"/>
    <w:rsid w:val="009C3034"/>
    <w:rsid w:val="009C306C"/>
    <w:rsid w:val="009C4409"/>
    <w:rsid w:val="009C460F"/>
    <w:rsid w:val="009C4843"/>
    <w:rsid w:val="009C5B53"/>
    <w:rsid w:val="009C5FD1"/>
    <w:rsid w:val="009C70BC"/>
    <w:rsid w:val="009C7278"/>
    <w:rsid w:val="009D1875"/>
    <w:rsid w:val="009D1B3A"/>
    <w:rsid w:val="009D1B3F"/>
    <w:rsid w:val="009D1BFE"/>
    <w:rsid w:val="009D3151"/>
    <w:rsid w:val="009D3162"/>
    <w:rsid w:val="009D3181"/>
    <w:rsid w:val="009D431F"/>
    <w:rsid w:val="009E14DF"/>
    <w:rsid w:val="009E22D7"/>
    <w:rsid w:val="009E2FCE"/>
    <w:rsid w:val="009E348B"/>
    <w:rsid w:val="009E4FFB"/>
    <w:rsid w:val="009E695D"/>
    <w:rsid w:val="009E6D6A"/>
    <w:rsid w:val="009E732B"/>
    <w:rsid w:val="009E737D"/>
    <w:rsid w:val="009F08ED"/>
    <w:rsid w:val="009F1851"/>
    <w:rsid w:val="009F2C6B"/>
    <w:rsid w:val="009F4340"/>
    <w:rsid w:val="009F442B"/>
    <w:rsid w:val="009F4C1B"/>
    <w:rsid w:val="009F4ED7"/>
    <w:rsid w:val="009F5B17"/>
    <w:rsid w:val="009F6326"/>
    <w:rsid w:val="009F773B"/>
    <w:rsid w:val="00A00D9A"/>
    <w:rsid w:val="00A016C9"/>
    <w:rsid w:val="00A024EF"/>
    <w:rsid w:val="00A035DE"/>
    <w:rsid w:val="00A03977"/>
    <w:rsid w:val="00A0615B"/>
    <w:rsid w:val="00A064D9"/>
    <w:rsid w:val="00A06E4D"/>
    <w:rsid w:val="00A1030B"/>
    <w:rsid w:val="00A108DF"/>
    <w:rsid w:val="00A112AE"/>
    <w:rsid w:val="00A13EA2"/>
    <w:rsid w:val="00A147DF"/>
    <w:rsid w:val="00A210E1"/>
    <w:rsid w:val="00A235C1"/>
    <w:rsid w:val="00A26FF7"/>
    <w:rsid w:val="00A270D7"/>
    <w:rsid w:val="00A313AC"/>
    <w:rsid w:val="00A32224"/>
    <w:rsid w:val="00A341CA"/>
    <w:rsid w:val="00A36AE2"/>
    <w:rsid w:val="00A372D2"/>
    <w:rsid w:val="00A37383"/>
    <w:rsid w:val="00A37940"/>
    <w:rsid w:val="00A4306D"/>
    <w:rsid w:val="00A445DC"/>
    <w:rsid w:val="00A44BEA"/>
    <w:rsid w:val="00A46930"/>
    <w:rsid w:val="00A47655"/>
    <w:rsid w:val="00A50E30"/>
    <w:rsid w:val="00A512B5"/>
    <w:rsid w:val="00A5235B"/>
    <w:rsid w:val="00A52D1B"/>
    <w:rsid w:val="00A537AC"/>
    <w:rsid w:val="00A53ECB"/>
    <w:rsid w:val="00A542FE"/>
    <w:rsid w:val="00A54FD2"/>
    <w:rsid w:val="00A569E8"/>
    <w:rsid w:val="00A57F3B"/>
    <w:rsid w:val="00A6522B"/>
    <w:rsid w:val="00A65927"/>
    <w:rsid w:val="00A66A73"/>
    <w:rsid w:val="00A66B71"/>
    <w:rsid w:val="00A66C3D"/>
    <w:rsid w:val="00A679EE"/>
    <w:rsid w:val="00A67A1A"/>
    <w:rsid w:val="00A67A44"/>
    <w:rsid w:val="00A7118A"/>
    <w:rsid w:val="00A711C6"/>
    <w:rsid w:val="00A75A98"/>
    <w:rsid w:val="00A81327"/>
    <w:rsid w:val="00A82D60"/>
    <w:rsid w:val="00A83385"/>
    <w:rsid w:val="00A84863"/>
    <w:rsid w:val="00A852EE"/>
    <w:rsid w:val="00A862FA"/>
    <w:rsid w:val="00A863A5"/>
    <w:rsid w:val="00A86B74"/>
    <w:rsid w:val="00A90A92"/>
    <w:rsid w:val="00A91453"/>
    <w:rsid w:val="00A919B5"/>
    <w:rsid w:val="00A92180"/>
    <w:rsid w:val="00A937B8"/>
    <w:rsid w:val="00A9582F"/>
    <w:rsid w:val="00A95D95"/>
    <w:rsid w:val="00A95E1F"/>
    <w:rsid w:val="00A9758B"/>
    <w:rsid w:val="00A977EC"/>
    <w:rsid w:val="00A97A09"/>
    <w:rsid w:val="00AA03B0"/>
    <w:rsid w:val="00AA0533"/>
    <w:rsid w:val="00AA0AB7"/>
    <w:rsid w:val="00AA3FD1"/>
    <w:rsid w:val="00AB11B3"/>
    <w:rsid w:val="00AB2665"/>
    <w:rsid w:val="00AB2F41"/>
    <w:rsid w:val="00AB5A10"/>
    <w:rsid w:val="00AB5ED3"/>
    <w:rsid w:val="00AB60D2"/>
    <w:rsid w:val="00AB6B0C"/>
    <w:rsid w:val="00AB70CD"/>
    <w:rsid w:val="00AB7419"/>
    <w:rsid w:val="00AC2CDA"/>
    <w:rsid w:val="00AC30FD"/>
    <w:rsid w:val="00AC3CBC"/>
    <w:rsid w:val="00AC4833"/>
    <w:rsid w:val="00AC4898"/>
    <w:rsid w:val="00AC48B3"/>
    <w:rsid w:val="00AC48E0"/>
    <w:rsid w:val="00AC5121"/>
    <w:rsid w:val="00AC7AC9"/>
    <w:rsid w:val="00AD03EF"/>
    <w:rsid w:val="00AD1C48"/>
    <w:rsid w:val="00AD4D46"/>
    <w:rsid w:val="00AD4E8E"/>
    <w:rsid w:val="00AE1920"/>
    <w:rsid w:val="00AE1AFA"/>
    <w:rsid w:val="00AE2112"/>
    <w:rsid w:val="00AE32FB"/>
    <w:rsid w:val="00AE5586"/>
    <w:rsid w:val="00AE6113"/>
    <w:rsid w:val="00AF01B3"/>
    <w:rsid w:val="00AF02C2"/>
    <w:rsid w:val="00AF074F"/>
    <w:rsid w:val="00AF088F"/>
    <w:rsid w:val="00AF0F13"/>
    <w:rsid w:val="00AF31FF"/>
    <w:rsid w:val="00AF38C5"/>
    <w:rsid w:val="00AF4C39"/>
    <w:rsid w:val="00AF552C"/>
    <w:rsid w:val="00AF5F38"/>
    <w:rsid w:val="00AF7992"/>
    <w:rsid w:val="00B00AB3"/>
    <w:rsid w:val="00B0278C"/>
    <w:rsid w:val="00B02976"/>
    <w:rsid w:val="00B02B37"/>
    <w:rsid w:val="00B039D0"/>
    <w:rsid w:val="00B03AD1"/>
    <w:rsid w:val="00B044CE"/>
    <w:rsid w:val="00B046E6"/>
    <w:rsid w:val="00B05DF3"/>
    <w:rsid w:val="00B069F7"/>
    <w:rsid w:val="00B0776E"/>
    <w:rsid w:val="00B07EDB"/>
    <w:rsid w:val="00B10333"/>
    <w:rsid w:val="00B103CE"/>
    <w:rsid w:val="00B103E0"/>
    <w:rsid w:val="00B10FF5"/>
    <w:rsid w:val="00B14C52"/>
    <w:rsid w:val="00B16462"/>
    <w:rsid w:val="00B17214"/>
    <w:rsid w:val="00B200AA"/>
    <w:rsid w:val="00B20D4B"/>
    <w:rsid w:val="00B22B51"/>
    <w:rsid w:val="00B235EB"/>
    <w:rsid w:val="00B24B51"/>
    <w:rsid w:val="00B253FE"/>
    <w:rsid w:val="00B30645"/>
    <w:rsid w:val="00B31CA2"/>
    <w:rsid w:val="00B31F35"/>
    <w:rsid w:val="00B3401D"/>
    <w:rsid w:val="00B357C8"/>
    <w:rsid w:val="00B363BA"/>
    <w:rsid w:val="00B43CEE"/>
    <w:rsid w:val="00B46656"/>
    <w:rsid w:val="00B47010"/>
    <w:rsid w:val="00B47518"/>
    <w:rsid w:val="00B478C3"/>
    <w:rsid w:val="00B51629"/>
    <w:rsid w:val="00B51F8F"/>
    <w:rsid w:val="00B52300"/>
    <w:rsid w:val="00B52715"/>
    <w:rsid w:val="00B56C57"/>
    <w:rsid w:val="00B5713D"/>
    <w:rsid w:val="00B608AB"/>
    <w:rsid w:val="00B60E06"/>
    <w:rsid w:val="00B61070"/>
    <w:rsid w:val="00B61348"/>
    <w:rsid w:val="00B6263F"/>
    <w:rsid w:val="00B64DAB"/>
    <w:rsid w:val="00B663C3"/>
    <w:rsid w:val="00B66BF6"/>
    <w:rsid w:val="00B67114"/>
    <w:rsid w:val="00B674FE"/>
    <w:rsid w:val="00B70750"/>
    <w:rsid w:val="00B7089F"/>
    <w:rsid w:val="00B70FBE"/>
    <w:rsid w:val="00B717E7"/>
    <w:rsid w:val="00B71AD5"/>
    <w:rsid w:val="00B73636"/>
    <w:rsid w:val="00B74A65"/>
    <w:rsid w:val="00B75449"/>
    <w:rsid w:val="00B75CDD"/>
    <w:rsid w:val="00B8136B"/>
    <w:rsid w:val="00B815AF"/>
    <w:rsid w:val="00B81773"/>
    <w:rsid w:val="00B8244E"/>
    <w:rsid w:val="00B82770"/>
    <w:rsid w:val="00B84043"/>
    <w:rsid w:val="00B865E6"/>
    <w:rsid w:val="00B875C9"/>
    <w:rsid w:val="00B87A27"/>
    <w:rsid w:val="00B9198D"/>
    <w:rsid w:val="00B91B1F"/>
    <w:rsid w:val="00B95662"/>
    <w:rsid w:val="00B97EE5"/>
    <w:rsid w:val="00BA2294"/>
    <w:rsid w:val="00BA3B81"/>
    <w:rsid w:val="00BA4418"/>
    <w:rsid w:val="00BA527C"/>
    <w:rsid w:val="00BA5324"/>
    <w:rsid w:val="00BA7829"/>
    <w:rsid w:val="00BB0237"/>
    <w:rsid w:val="00BB0338"/>
    <w:rsid w:val="00BB07FD"/>
    <w:rsid w:val="00BB16EF"/>
    <w:rsid w:val="00BB1BCD"/>
    <w:rsid w:val="00BB2C5B"/>
    <w:rsid w:val="00BB3AE0"/>
    <w:rsid w:val="00BB7494"/>
    <w:rsid w:val="00BC2311"/>
    <w:rsid w:val="00BC2390"/>
    <w:rsid w:val="00BC5133"/>
    <w:rsid w:val="00BC5467"/>
    <w:rsid w:val="00BC5D59"/>
    <w:rsid w:val="00BC65FD"/>
    <w:rsid w:val="00BC7017"/>
    <w:rsid w:val="00BD3AF0"/>
    <w:rsid w:val="00BD3F45"/>
    <w:rsid w:val="00BD5155"/>
    <w:rsid w:val="00BD5249"/>
    <w:rsid w:val="00BD6368"/>
    <w:rsid w:val="00BE07A9"/>
    <w:rsid w:val="00BE114A"/>
    <w:rsid w:val="00BE195E"/>
    <w:rsid w:val="00BE3438"/>
    <w:rsid w:val="00BE52A9"/>
    <w:rsid w:val="00BE5BB5"/>
    <w:rsid w:val="00BE6B07"/>
    <w:rsid w:val="00BE72EE"/>
    <w:rsid w:val="00BF08BA"/>
    <w:rsid w:val="00BF2CF6"/>
    <w:rsid w:val="00BF352A"/>
    <w:rsid w:val="00BF46A7"/>
    <w:rsid w:val="00BF5230"/>
    <w:rsid w:val="00BF678C"/>
    <w:rsid w:val="00C02FBF"/>
    <w:rsid w:val="00C03F28"/>
    <w:rsid w:val="00C054B1"/>
    <w:rsid w:val="00C06049"/>
    <w:rsid w:val="00C06DC1"/>
    <w:rsid w:val="00C1090C"/>
    <w:rsid w:val="00C11FB2"/>
    <w:rsid w:val="00C16FD2"/>
    <w:rsid w:val="00C1724F"/>
    <w:rsid w:val="00C17510"/>
    <w:rsid w:val="00C206F2"/>
    <w:rsid w:val="00C20832"/>
    <w:rsid w:val="00C21542"/>
    <w:rsid w:val="00C2265D"/>
    <w:rsid w:val="00C231AC"/>
    <w:rsid w:val="00C23DFC"/>
    <w:rsid w:val="00C240C8"/>
    <w:rsid w:val="00C2490B"/>
    <w:rsid w:val="00C2539E"/>
    <w:rsid w:val="00C2573E"/>
    <w:rsid w:val="00C25E01"/>
    <w:rsid w:val="00C26513"/>
    <w:rsid w:val="00C328C9"/>
    <w:rsid w:val="00C34130"/>
    <w:rsid w:val="00C35591"/>
    <w:rsid w:val="00C360B2"/>
    <w:rsid w:val="00C36E38"/>
    <w:rsid w:val="00C37F72"/>
    <w:rsid w:val="00C420C1"/>
    <w:rsid w:val="00C42791"/>
    <w:rsid w:val="00C45963"/>
    <w:rsid w:val="00C468F7"/>
    <w:rsid w:val="00C472B8"/>
    <w:rsid w:val="00C5098B"/>
    <w:rsid w:val="00C53124"/>
    <w:rsid w:val="00C53B2E"/>
    <w:rsid w:val="00C547C5"/>
    <w:rsid w:val="00C56467"/>
    <w:rsid w:val="00C60299"/>
    <w:rsid w:val="00C61257"/>
    <w:rsid w:val="00C6159C"/>
    <w:rsid w:val="00C6160A"/>
    <w:rsid w:val="00C62AAC"/>
    <w:rsid w:val="00C62EEC"/>
    <w:rsid w:val="00C6353A"/>
    <w:rsid w:val="00C638FE"/>
    <w:rsid w:val="00C64ED9"/>
    <w:rsid w:val="00C65711"/>
    <w:rsid w:val="00C665B0"/>
    <w:rsid w:val="00C70213"/>
    <w:rsid w:val="00C704D5"/>
    <w:rsid w:val="00C71363"/>
    <w:rsid w:val="00C7165A"/>
    <w:rsid w:val="00C737CA"/>
    <w:rsid w:val="00C73E7E"/>
    <w:rsid w:val="00C73EA7"/>
    <w:rsid w:val="00C76BCA"/>
    <w:rsid w:val="00C76ECD"/>
    <w:rsid w:val="00C77982"/>
    <w:rsid w:val="00C8103A"/>
    <w:rsid w:val="00C82FED"/>
    <w:rsid w:val="00C83707"/>
    <w:rsid w:val="00C83D56"/>
    <w:rsid w:val="00C84E04"/>
    <w:rsid w:val="00C90840"/>
    <w:rsid w:val="00C90A4F"/>
    <w:rsid w:val="00C910BE"/>
    <w:rsid w:val="00C91840"/>
    <w:rsid w:val="00C922BE"/>
    <w:rsid w:val="00C922DF"/>
    <w:rsid w:val="00C934FA"/>
    <w:rsid w:val="00C93652"/>
    <w:rsid w:val="00C946D5"/>
    <w:rsid w:val="00C96C0B"/>
    <w:rsid w:val="00C976D7"/>
    <w:rsid w:val="00C977D3"/>
    <w:rsid w:val="00C97D57"/>
    <w:rsid w:val="00CA24AE"/>
    <w:rsid w:val="00CA32C4"/>
    <w:rsid w:val="00CA4EAC"/>
    <w:rsid w:val="00CA5844"/>
    <w:rsid w:val="00CA7415"/>
    <w:rsid w:val="00CA7B16"/>
    <w:rsid w:val="00CA7F7A"/>
    <w:rsid w:val="00CB1BC8"/>
    <w:rsid w:val="00CB1D78"/>
    <w:rsid w:val="00CB265C"/>
    <w:rsid w:val="00CB3502"/>
    <w:rsid w:val="00CB3D22"/>
    <w:rsid w:val="00CB4540"/>
    <w:rsid w:val="00CB7A07"/>
    <w:rsid w:val="00CC030E"/>
    <w:rsid w:val="00CC274F"/>
    <w:rsid w:val="00CC55C0"/>
    <w:rsid w:val="00CC59BB"/>
    <w:rsid w:val="00CC5F5F"/>
    <w:rsid w:val="00CC601E"/>
    <w:rsid w:val="00CC720B"/>
    <w:rsid w:val="00CC72FF"/>
    <w:rsid w:val="00CD0BA4"/>
    <w:rsid w:val="00CD2518"/>
    <w:rsid w:val="00CD43D8"/>
    <w:rsid w:val="00CD4F4D"/>
    <w:rsid w:val="00CD5E0C"/>
    <w:rsid w:val="00CD5F1B"/>
    <w:rsid w:val="00CD62D5"/>
    <w:rsid w:val="00CD635D"/>
    <w:rsid w:val="00CD7CED"/>
    <w:rsid w:val="00CD7D5B"/>
    <w:rsid w:val="00CE030B"/>
    <w:rsid w:val="00CE04C7"/>
    <w:rsid w:val="00CE5D87"/>
    <w:rsid w:val="00CF156B"/>
    <w:rsid w:val="00CF15EF"/>
    <w:rsid w:val="00CF1E02"/>
    <w:rsid w:val="00CF597A"/>
    <w:rsid w:val="00CF6D82"/>
    <w:rsid w:val="00CF6DBB"/>
    <w:rsid w:val="00CF70DA"/>
    <w:rsid w:val="00CF735D"/>
    <w:rsid w:val="00D010B0"/>
    <w:rsid w:val="00D05BAA"/>
    <w:rsid w:val="00D06D8F"/>
    <w:rsid w:val="00D0773C"/>
    <w:rsid w:val="00D1073F"/>
    <w:rsid w:val="00D12295"/>
    <w:rsid w:val="00D122F0"/>
    <w:rsid w:val="00D12D04"/>
    <w:rsid w:val="00D13B7A"/>
    <w:rsid w:val="00D15825"/>
    <w:rsid w:val="00D17638"/>
    <w:rsid w:val="00D22C4B"/>
    <w:rsid w:val="00D230C7"/>
    <w:rsid w:val="00D23E7D"/>
    <w:rsid w:val="00D2405F"/>
    <w:rsid w:val="00D249B2"/>
    <w:rsid w:val="00D24D4C"/>
    <w:rsid w:val="00D25977"/>
    <w:rsid w:val="00D2693C"/>
    <w:rsid w:val="00D305E9"/>
    <w:rsid w:val="00D309EC"/>
    <w:rsid w:val="00D30C7F"/>
    <w:rsid w:val="00D31CD5"/>
    <w:rsid w:val="00D325BC"/>
    <w:rsid w:val="00D33F3D"/>
    <w:rsid w:val="00D35126"/>
    <w:rsid w:val="00D35DE0"/>
    <w:rsid w:val="00D362DF"/>
    <w:rsid w:val="00D37766"/>
    <w:rsid w:val="00D41BA9"/>
    <w:rsid w:val="00D441D9"/>
    <w:rsid w:val="00D4460B"/>
    <w:rsid w:val="00D44D90"/>
    <w:rsid w:val="00D45B14"/>
    <w:rsid w:val="00D46362"/>
    <w:rsid w:val="00D52376"/>
    <w:rsid w:val="00D531AD"/>
    <w:rsid w:val="00D54FD7"/>
    <w:rsid w:val="00D56887"/>
    <w:rsid w:val="00D5706C"/>
    <w:rsid w:val="00D5724B"/>
    <w:rsid w:val="00D5791B"/>
    <w:rsid w:val="00D612C2"/>
    <w:rsid w:val="00D62919"/>
    <w:rsid w:val="00D62DD2"/>
    <w:rsid w:val="00D6330F"/>
    <w:rsid w:val="00D745E0"/>
    <w:rsid w:val="00D75D14"/>
    <w:rsid w:val="00D76AA3"/>
    <w:rsid w:val="00D777D3"/>
    <w:rsid w:val="00D80604"/>
    <w:rsid w:val="00D80A64"/>
    <w:rsid w:val="00D81DC8"/>
    <w:rsid w:val="00D81E72"/>
    <w:rsid w:val="00D84AC2"/>
    <w:rsid w:val="00D93FE9"/>
    <w:rsid w:val="00D94263"/>
    <w:rsid w:val="00D94760"/>
    <w:rsid w:val="00D94ECF"/>
    <w:rsid w:val="00D97063"/>
    <w:rsid w:val="00D97EFE"/>
    <w:rsid w:val="00DA086B"/>
    <w:rsid w:val="00DA114F"/>
    <w:rsid w:val="00DA1D7A"/>
    <w:rsid w:val="00DA23ED"/>
    <w:rsid w:val="00DA5423"/>
    <w:rsid w:val="00DA6834"/>
    <w:rsid w:val="00DA6AC4"/>
    <w:rsid w:val="00DA6F64"/>
    <w:rsid w:val="00DA7A23"/>
    <w:rsid w:val="00DA7E05"/>
    <w:rsid w:val="00DB1C9F"/>
    <w:rsid w:val="00DB23E0"/>
    <w:rsid w:val="00DB4794"/>
    <w:rsid w:val="00DB5B15"/>
    <w:rsid w:val="00DB5C3E"/>
    <w:rsid w:val="00DB6116"/>
    <w:rsid w:val="00DB628E"/>
    <w:rsid w:val="00DB7CB2"/>
    <w:rsid w:val="00DC1D5A"/>
    <w:rsid w:val="00DC2647"/>
    <w:rsid w:val="00DC3321"/>
    <w:rsid w:val="00DC3E5F"/>
    <w:rsid w:val="00DC51A8"/>
    <w:rsid w:val="00DC588F"/>
    <w:rsid w:val="00DC7076"/>
    <w:rsid w:val="00DC744F"/>
    <w:rsid w:val="00DC7882"/>
    <w:rsid w:val="00DC79B2"/>
    <w:rsid w:val="00DD55BC"/>
    <w:rsid w:val="00DD5891"/>
    <w:rsid w:val="00DD5D56"/>
    <w:rsid w:val="00DE02ED"/>
    <w:rsid w:val="00DE0A2D"/>
    <w:rsid w:val="00DE0EBE"/>
    <w:rsid w:val="00DE1E39"/>
    <w:rsid w:val="00DE5D02"/>
    <w:rsid w:val="00DE647B"/>
    <w:rsid w:val="00DE6F2E"/>
    <w:rsid w:val="00DF08EC"/>
    <w:rsid w:val="00DF1819"/>
    <w:rsid w:val="00DF30C2"/>
    <w:rsid w:val="00DF3A5E"/>
    <w:rsid w:val="00DF47D6"/>
    <w:rsid w:val="00DF4CC1"/>
    <w:rsid w:val="00DF5425"/>
    <w:rsid w:val="00DF59D1"/>
    <w:rsid w:val="00DF6E47"/>
    <w:rsid w:val="00DF782C"/>
    <w:rsid w:val="00DF7B8A"/>
    <w:rsid w:val="00E02B57"/>
    <w:rsid w:val="00E030A0"/>
    <w:rsid w:val="00E0425A"/>
    <w:rsid w:val="00E046FE"/>
    <w:rsid w:val="00E05B5A"/>
    <w:rsid w:val="00E075A1"/>
    <w:rsid w:val="00E076B4"/>
    <w:rsid w:val="00E10491"/>
    <w:rsid w:val="00E10F52"/>
    <w:rsid w:val="00E124E3"/>
    <w:rsid w:val="00E1475C"/>
    <w:rsid w:val="00E14812"/>
    <w:rsid w:val="00E15989"/>
    <w:rsid w:val="00E15DDE"/>
    <w:rsid w:val="00E16916"/>
    <w:rsid w:val="00E20118"/>
    <w:rsid w:val="00E20AFA"/>
    <w:rsid w:val="00E213E8"/>
    <w:rsid w:val="00E231E7"/>
    <w:rsid w:val="00E2339E"/>
    <w:rsid w:val="00E26ABD"/>
    <w:rsid w:val="00E26ED1"/>
    <w:rsid w:val="00E3245B"/>
    <w:rsid w:val="00E32DCD"/>
    <w:rsid w:val="00E362D2"/>
    <w:rsid w:val="00E3707B"/>
    <w:rsid w:val="00E3711C"/>
    <w:rsid w:val="00E37D21"/>
    <w:rsid w:val="00E40150"/>
    <w:rsid w:val="00E405F7"/>
    <w:rsid w:val="00E41D42"/>
    <w:rsid w:val="00E43061"/>
    <w:rsid w:val="00E4353D"/>
    <w:rsid w:val="00E43D6C"/>
    <w:rsid w:val="00E448AD"/>
    <w:rsid w:val="00E45D64"/>
    <w:rsid w:val="00E5062F"/>
    <w:rsid w:val="00E50685"/>
    <w:rsid w:val="00E50914"/>
    <w:rsid w:val="00E51F8C"/>
    <w:rsid w:val="00E52342"/>
    <w:rsid w:val="00E553EF"/>
    <w:rsid w:val="00E5563F"/>
    <w:rsid w:val="00E56DB0"/>
    <w:rsid w:val="00E57F6B"/>
    <w:rsid w:val="00E606A8"/>
    <w:rsid w:val="00E61103"/>
    <w:rsid w:val="00E6334E"/>
    <w:rsid w:val="00E6379D"/>
    <w:rsid w:val="00E701E3"/>
    <w:rsid w:val="00E7342C"/>
    <w:rsid w:val="00E7616D"/>
    <w:rsid w:val="00E76363"/>
    <w:rsid w:val="00E80C7A"/>
    <w:rsid w:val="00E81364"/>
    <w:rsid w:val="00E82557"/>
    <w:rsid w:val="00E83C0C"/>
    <w:rsid w:val="00E84618"/>
    <w:rsid w:val="00E85136"/>
    <w:rsid w:val="00E85B55"/>
    <w:rsid w:val="00E86853"/>
    <w:rsid w:val="00E873F7"/>
    <w:rsid w:val="00E87D93"/>
    <w:rsid w:val="00E90F9B"/>
    <w:rsid w:val="00E91D81"/>
    <w:rsid w:val="00E92BC2"/>
    <w:rsid w:val="00E937C5"/>
    <w:rsid w:val="00E95650"/>
    <w:rsid w:val="00E9646A"/>
    <w:rsid w:val="00EA010E"/>
    <w:rsid w:val="00EA05E3"/>
    <w:rsid w:val="00EA640C"/>
    <w:rsid w:val="00EB1A82"/>
    <w:rsid w:val="00EB1E33"/>
    <w:rsid w:val="00EB20E1"/>
    <w:rsid w:val="00EB2C4F"/>
    <w:rsid w:val="00EB2E1B"/>
    <w:rsid w:val="00EB3420"/>
    <w:rsid w:val="00EB57E2"/>
    <w:rsid w:val="00EB5FCB"/>
    <w:rsid w:val="00EB6C8B"/>
    <w:rsid w:val="00EB6F09"/>
    <w:rsid w:val="00EB7A84"/>
    <w:rsid w:val="00EB7EE7"/>
    <w:rsid w:val="00EC0881"/>
    <w:rsid w:val="00EC2B44"/>
    <w:rsid w:val="00EC2FFE"/>
    <w:rsid w:val="00EC3F58"/>
    <w:rsid w:val="00EC48C3"/>
    <w:rsid w:val="00EC5D17"/>
    <w:rsid w:val="00ED02A1"/>
    <w:rsid w:val="00ED1C1B"/>
    <w:rsid w:val="00ED45CC"/>
    <w:rsid w:val="00ED5265"/>
    <w:rsid w:val="00ED542B"/>
    <w:rsid w:val="00ED6279"/>
    <w:rsid w:val="00ED722E"/>
    <w:rsid w:val="00EE0184"/>
    <w:rsid w:val="00EE110F"/>
    <w:rsid w:val="00EE7F03"/>
    <w:rsid w:val="00EF1853"/>
    <w:rsid w:val="00EF4149"/>
    <w:rsid w:val="00EF5635"/>
    <w:rsid w:val="00EF56A7"/>
    <w:rsid w:val="00F01331"/>
    <w:rsid w:val="00F02947"/>
    <w:rsid w:val="00F041BA"/>
    <w:rsid w:val="00F06D39"/>
    <w:rsid w:val="00F0746F"/>
    <w:rsid w:val="00F07DB5"/>
    <w:rsid w:val="00F10966"/>
    <w:rsid w:val="00F10EF1"/>
    <w:rsid w:val="00F119DA"/>
    <w:rsid w:val="00F12EEE"/>
    <w:rsid w:val="00F1348E"/>
    <w:rsid w:val="00F13B72"/>
    <w:rsid w:val="00F1489E"/>
    <w:rsid w:val="00F15D02"/>
    <w:rsid w:val="00F16313"/>
    <w:rsid w:val="00F17452"/>
    <w:rsid w:val="00F20FF1"/>
    <w:rsid w:val="00F24E68"/>
    <w:rsid w:val="00F2696E"/>
    <w:rsid w:val="00F275CC"/>
    <w:rsid w:val="00F276C2"/>
    <w:rsid w:val="00F30919"/>
    <w:rsid w:val="00F30DE1"/>
    <w:rsid w:val="00F30E4C"/>
    <w:rsid w:val="00F31128"/>
    <w:rsid w:val="00F3122A"/>
    <w:rsid w:val="00F321FE"/>
    <w:rsid w:val="00F3316A"/>
    <w:rsid w:val="00F35457"/>
    <w:rsid w:val="00F3595B"/>
    <w:rsid w:val="00F36D58"/>
    <w:rsid w:val="00F37070"/>
    <w:rsid w:val="00F37AC6"/>
    <w:rsid w:val="00F37FE6"/>
    <w:rsid w:val="00F408A3"/>
    <w:rsid w:val="00F426A6"/>
    <w:rsid w:val="00F429FD"/>
    <w:rsid w:val="00F43710"/>
    <w:rsid w:val="00F4389C"/>
    <w:rsid w:val="00F44C83"/>
    <w:rsid w:val="00F4623C"/>
    <w:rsid w:val="00F46AC8"/>
    <w:rsid w:val="00F46E44"/>
    <w:rsid w:val="00F51EBC"/>
    <w:rsid w:val="00F53C72"/>
    <w:rsid w:val="00F5607F"/>
    <w:rsid w:val="00F56399"/>
    <w:rsid w:val="00F6718A"/>
    <w:rsid w:val="00F71BC4"/>
    <w:rsid w:val="00F728E8"/>
    <w:rsid w:val="00F73370"/>
    <w:rsid w:val="00F74CB1"/>
    <w:rsid w:val="00F75FC5"/>
    <w:rsid w:val="00F7750A"/>
    <w:rsid w:val="00F80006"/>
    <w:rsid w:val="00F80084"/>
    <w:rsid w:val="00F8278B"/>
    <w:rsid w:val="00F8290C"/>
    <w:rsid w:val="00F82DEB"/>
    <w:rsid w:val="00F91078"/>
    <w:rsid w:val="00F937C8"/>
    <w:rsid w:val="00F93C99"/>
    <w:rsid w:val="00F95676"/>
    <w:rsid w:val="00F97B35"/>
    <w:rsid w:val="00F97C92"/>
    <w:rsid w:val="00FA0030"/>
    <w:rsid w:val="00FA115D"/>
    <w:rsid w:val="00FA1237"/>
    <w:rsid w:val="00FA3F80"/>
    <w:rsid w:val="00FA5585"/>
    <w:rsid w:val="00FA5C8C"/>
    <w:rsid w:val="00FA69F9"/>
    <w:rsid w:val="00FB17E2"/>
    <w:rsid w:val="00FB1B2D"/>
    <w:rsid w:val="00FB28A6"/>
    <w:rsid w:val="00FB3B09"/>
    <w:rsid w:val="00FB446C"/>
    <w:rsid w:val="00FB5356"/>
    <w:rsid w:val="00FB7E38"/>
    <w:rsid w:val="00FC13BA"/>
    <w:rsid w:val="00FC17BA"/>
    <w:rsid w:val="00FC2499"/>
    <w:rsid w:val="00FC4F8D"/>
    <w:rsid w:val="00FC5022"/>
    <w:rsid w:val="00FC5CB1"/>
    <w:rsid w:val="00FC70E4"/>
    <w:rsid w:val="00FC78C4"/>
    <w:rsid w:val="00FD159B"/>
    <w:rsid w:val="00FD2470"/>
    <w:rsid w:val="00FD24A2"/>
    <w:rsid w:val="00FD3845"/>
    <w:rsid w:val="00FD4A17"/>
    <w:rsid w:val="00FD5823"/>
    <w:rsid w:val="00FD6321"/>
    <w:rsid w:val="00FD7C55"/>
    <w:rsid w:val="00FD7D02"/>
    <w:rsid w:val="00FE004E"/>
    <w:rsid w:val="00FE0310"/>
    <w:rsid w:val="00FE14D9"/>
    <w:rsid w:val="00FE1C27"/>
    <w:rsid w:val="00FE25BC"/>
    <w:rsid w:val="00FE3A3A"/>
    <w:rsid w:val="00FE4445"/>
    <w:rsid w:val="00FE4E1A"/>
    <w:rsid w:val="00FE5C31"/>
    <w:rsid w:val="00FE7815"/>
    <w:rsid w:val="00FF01B8"/>
    <w:rsid w:val="00FF1B0E"/>
    <w:rsid w:val="00FF37C6"/>
    <w:rsid w:val="00FF5E5C"/>
    <w:rsid w:val="00FF6988"/>
    <w:rsid w:val="00FF748B"/>
    <w:rsid w:val="01BC2913"/>
    <w:rsid w:val="01FE23AB"/>
    <w:rsid w:val="025C1016"/>
    <w:rsid w:val="030433C3"/>
    <w:rsid w:val="03A31381"/>
    <w:rsid w:val="04577DB2"/>
    <w:rsid w:val="04AB5F04"/>
    <w:rsid w:val="04CC26D4"/>
    <w:rsid w:val="04D72BD5"/>
    <w:rsid w:val="04D95620"/>
    <w:rsid w:val="0545226D"/>
    <w:rsid w:val="054B3D3B"/>
    <w:rsid w:val="05A33E2C"/>
    <w:rsid w:val="067D3568"/>
    <w:rsid w:val="06995200"/>
    <w:rsid w:val="06A305A3"/>
    <w:rsid w:val="06C336EA"/>
    <w:rsid w:val="07014EB4"/>
    <w:rsid w:val="07255D3F"/>
    <w:rsid w:val="07C344FB"/>
    <w:rsid w:val="08080A93"/>
    <w:rsid w:val="08171E6E"/>
    <w:rsid w:val="08401A6D"/>
    <w:rsid w:val="0A4B612B"/>
    <w:rsid w:val="0A5B1BB3"/>
    <w:rsid w:val="0ACC3647"/>
    <w:rsid w:val="0AE373D1"/>
    <w:rsid w:val="0B816CC1"/>
    <w:rsid w:val="0B944AD1"/>
    <w:rsid w:val="0BCC11C3"/>
    <w:rsid w:val="0CBE2864"/>
    <w:rsid w:val="0D944E61"/>
    <w:rsid w:val="0DE17D54"/>
    <w:rsid w:val="0E2E0512"/>
    <w:rsid w:val="0E512F55"/>
    <w:rsid w:val="0E9923D1"/>
    <w:rsid w:val="0F0E18EA"/>
    <w:rsid w:val="0F5A38DB"/>
    <w:rsid w:val="0FB07972"/>
    <w:rsid w:val="0FBB4BC5"/>
    <w:rsid w:val="104E4F6D"/>
    <w:rsid w:val="108B40A6"/>
    <w:rsid w:val="10CC22D6"/>
    <w:rsid w:val="10E66230"/>
    <w:rsid w:val="117B0D8C"/>
    <w:rsid w:val="124D6282"/>
    <w:rsid w:val="12C9796E"/>
    <w:rsid w:val="12E1211E"/>
    <w:rsid w:val="13644426"/>
    <w:rsid w:val="1399374C"/>
    <w:rsid w:val="143040B0"/>
    <w:rsid w:val="144A4DD8"/>
    <w:rsid w:val="146855F8"/>
    <w:rsid w:val="147A5E14"/>
    <w:rsid w:val="148A205D"/>
    <w:rsid w:val="149C0A85"/>
    <w:rsid w:val="14EB4279"/>
    <w:rsid w:val="15570834"/>
    <w:rsid w:val="15657C60"/>
    <w:rsid w:val="15E83673"/>
    <w:rsid w:val="15F23FF8"/>
    <w:rsid w:val="165638CD"/>
    <w:rsid w:val="174D0BC7"/>
    <w:rsid w:val="17742506"/>
    <w:rsid w:val="17D22AFE"/>
    <w:rsid w:val="182C4B8E"/>
    <w:rsid w:val="183948F0"/>
    <w:rsid w:val="1870300E"/>
    <w:rsid w:val="18ED7A84"/>
    <w:rsid w:val="19555274"/>
    <w:rsid w:val="1A773A35"/>
    <w:rsid w:val="1A942BF3"/>
    <w:rsid w:val="1AA9696A"/>
    <w:rsid w:val="1AAA30B1"/>
    <w:rsid w:val="1ABB74EF"/>
    <w:rsid w:val="1B895CB7"/>
    <w:rsid w:val="1C0D0D89"/>
    <w:rsid w:val="1C413C34"/>
    <w:rsid w:val="1CD251EC"/>
    <w:rsid w:val="1DFD6C1C"/>
    <w:rsid w:val="1E290FDA"/>
    <w:rsid w:val="1E664A8D"/>
    <w:rsid w:val="1EE505B2"/>
    <w:rsid w:val="1EFF7731"/>
    <w:rsid w:val="1F880F5C"/>
    <w:rsid w:val="1F8A0D81"/>
    <w:rsid w:val="1FCB1059"/>
    <w:rsid w:val="2014217A"/>
    <w:rsid w:val="202D76F6"/>
    <w:rsid w:val="206D50B0"/>
    <w:rsid w:val="20AE0E45"/>
    <w:rsid w:val="210916E2"/>
    <w:rsid w:val="21703D3E"/>
    <w:rsid w:val="23C141AC"/>
    <w:rsid w:val="2408149B"/>
    <w:rsid w:val="2427729D"/>
    <w:rsid w:val="24AC484F"/>
    <w:rsid w:val="24BA5EA6"/>
    <w:rsid w:val="258A2BAA"/>
    <w:rsid w:val="2680719B"/>
    <w:rsid w:val="269D76CE"/>
    <w:rsid w:val="26A201A6"/>
    <w:rsid w:val="26C863CA"/>
    <w:rsid w:val="26E2748C"/>
    <w:rsid w:val="273E668C"/>
    <w:rsid w:val="29143B49"/>
    <w:rsid w:val="295D055F"/>
    <w:rsid w:val="29B87432"/>
    <w:rsid w:val="29CC4423"/>
    <w:rsid w:val="29D9123E"/>
    <w:rsid w:val="29F510CA"/>
    <w:rsid w:val="2A912778"/>
    <w:rsid w:val="2AD417E1"/>
    <w:rsid w:val="2BB10633"/>
    <w:rsid w:val="2BCC033D"/>
    <w:rsid w:val="2C452F6B"/>
    <w:rsid w:val="2C5A3F68"/>
    <w:rsid w:val="2C6E34AA"/>
    <w:rsid w:val="2D4778E3"/>
    <w:rsid w:val="2D7C1CBC"/>
    <w:rsid w:val="2DF57BB6"/>
    <w:rsid w:val="2E975000"/>
    <w:rsid w:val="2EDB3DBE"/>
    <w:rsid w:val="2F575B54"/>
    <w:rsid w:val="2F6208C5"/>
    <w:rsid w:val="2F814D8E"/>
    <w:rsid w:val="2FD53B8B"/>
    <w:rsid w:val="30102A86"/>
    <w:rsid w:val="30890C03"/>
    <w:rsid w:val="31210BB1"/>
    <w:rsid w:val="312D613E"/>
    <w:rsid w:val="31C7024A"/>
    <w:rsid w:val="3316699A"/>
    <w:rsid w:val="33974397"/>
    <w:rsid w:val="33A03C23"/>
    <w:rsid w:val="33F65C7F"/>
    <w:rsid w:val="34501A96"/>
    <w:rsid w:val="348E47AF"/>
    <w:rsid w:val="34F34F5A"/>
    <w:rsid w:val="35157BFE"/>
    <w:rsid w:val="3574629E"/>
    <w:rsid w:val="35AE4CE8"/>
    <w:rsid w:val="360253E4"/>
    <w:rsid w:val="361B61E5"/>
    <w:rsid w:val="373D5B21"/>
    <w:rsid w:val="37DE3C9F"/>
    <w:rsid w:val="38B332FE"/>
    <w:rsid w:val="38D37FF9"/>
    <w:rsid w:val="39FA28E7"/>
    <w:rsid w:val="3B59761E"/>
    <w:rsid w:val="3B5D5890"/>
    <w:rsid w:val="3B6603D4"/>
    <w:rsid w:val="3C020626"/>
    <w:rsid w:val="3C2E4DF6"/>
    <w:rsid w:val="3C353DFE"/>
    <w:rsid w:val="3C6109FB"/>
    <w:rsid w:val="3D3B3666"/>
    <w:rsid w:val="3E1B72F3"/>
    <w:rsid w:val="3F31024E"/>
    <w:rsid w:val="3F327E5F"/>
    <w:rsid w:val="3FAC4683"/>
    <w:rsid w:val="3FDF3B97"/>
    <w:rsid w:val="402B75DA"/>
    <w:rsid w:val="407D1F65"/>
    <w:rsid w:val="409475F1"/>
    <w:rsid w:val="41424DE6"/>
    <w:rsid w:val="41B2000D"/>
    <w:rsid w:val="421B7739"/>
    <w:rsid w:val="4281050D"/>
    <w:rsid w:val="432E7C5A"/>
    <w:rsid w:val="43512671"/>
    <w:rsid w:val="438B14CF"/>
    <w:rsid w:val="438D20D6"/>
    <w:rsid w:val="43A42177"/>
    <w:rsid w:val="43CC2383"/>
    <w:rsid w:val="440271F1"/>
    <w:rsid w:val="44BC6C69"/>
    <w:rsid w:val="44DE6372"/>
    <w:rsid w:val="44F42526"/>
    <w:rsid w:val="45067A1F"/>
    <w:rsid w:val="451C00D4"/>
    <w:rsid w:val="45E918A0"/>
    <w:rsid w:val="47FF56FC"/>
    <w:rsid w:val="48055B7B"/>
    <w:rsid w:val="482C010F"/>
    <w:rsid w:val="488525A5"/>
    <w:rsid w:val="49184B37"/>
    <w:rsid w:val="49531994"/>
    <w:rsid w:val="496549D0"/>
    <w:rsid w:val="49E1317B"/>
    <w:rsid w:val="49E50EBD"/>
    <w:rsid w:val="4AF43553"/>
    <w:rsid w:val="4C0B6D51"/>
    <w:rsid w:val="4F532425"/>
    <w:rsid w:val="4F7E6067"/>
    <w:rsid w:val="4F8B7E8C"/>
    <w:rsid w:val="4FC3550E"/>
    <w:rsid w:val="501F75A8"/>
    <w:rsid w:val="5060304C"/>
    <w:rsid w:val="50F14EFD"/>
    <w:rsid w:val="516A3A56"/>
    <w:rsid w:val="51F2145C"/>
    <w:rsid w:val="52AB2578"/>
    <w:rsid w:val="52D92ACB"/>
    <w:rsid w:val="52F50D0C"/>
    <w:rsid w:val="53230CC4"/>
    <w:rsid w:val="53761B3F"/>
    <w:rsid w:val="53DD6349"/>
    <w:rsid w:val="5409343E"/>
    <w:rsid w:val="54625C1C"/>
    <w:rsid w:val="54796880"/>
    <w:rsid w:val="55901161"/>
    <w:rsid w:val="55DD6EED"/>
    <w:rsid w:val="55DE6F89"/>
    <w:rsid w:val="561D378D"/>
    <w:rsid w:val="569A20BF"/>
    <w:rsid w:val="569A2FA8"/>
    <w:rsid w:val="56CA5F38"/>
    <w:rsid w:val="56E46B61"/>
    <w:rsid w:val="574478C4"/>
    <w:rsid w:val="57EA4479"/>
    <w:rsid w:val="583A08CE"/>
    <w:rsid w:val="58E367A2"/>
    <w:rsid w:val="592C6192"/>
    <w:rsid w:val="59812B34"/>
    <w:rsid w:val="59CB7604"/>
    <w:rsid w:val="59D800F7"/>
    <w:rsid w:val="59E65F92"/>
    <w:rsid w:val="5A902E50"/>
    <w:rsid w:val="5A935CB0"/>
    <w:rsid w:val="5A9E79D1"/>
    <w:rsid w:val="5AD821E7"/>
    <w:rsid w:val="5B9D100F"/>
    <w:rsid w:val="5BA06984"/>
    <w:rsid w:val="5BB3158D"/>
    <w:rsid w:val="5C89089B"/>
    <w:rsid w:val="5D301FF8"/>
    <w:rsid w:val="5DA87DE0"/>
    <w:rsid w:val="5DFF6FCA"/>
    <w:rsid w:val="5E2006A3"/>
    <w:rsid w:val="5E8F7135"/>
    <w:rsid w:val="5EAB17D0"/>
    <w:rsid w:val="5ED1191F"/>
    <w:rsid w:val="5EDB3AE8"/>
    <w:rsid w:val="5F043E47"/>
    <w:rsid w:val="5F45026B"/>
    <w:rsid w:val="5F6570EC"/>
    <w:rsid w:val="5F844F80"/>
    <w:rsid w:val="5FD75B4E"/>
    <w:rsid w:val="608B7488"/>
    <w:rsid w:val="60A779AC"/>
    <w:rsid w:val="616B0ECC"/>
    <w:rsid w:val="616C1E9E"/>
    <w:rsid w:val="61FE65B2"/>
    <w:rsid w:val="62FC13D9"/>
    <w:rsid w:val="63487DB8"/>
    <w:rsid w:val="634F2112"/>
    <w:rsid w:val="63A12003"/>
    <w:rsid w:val="63B63177"/>
    <w:rsid w:val="63B81D50"/>
    <w:rsid w:val="63DD0C22"/>
    <w:rsid w:val="64492D3C"/>
    <w:rsid w:val="64895150"/>
    <w:rsid w:val="658114EF"/>
    <w:rsid w:val="6588018A"/>
    <w:rsid w:val="66415EAD"/>
    <w:rsid w:val="66DD4F88"/>
    <w:rsid w:val="66EC3434"/>
    <w:rsid w:val="66F06D5A"/>
    <w:rsid w:val="67223416"/>
    <w:rsid w:val="678E458A"/>
    <w:rsid w:val="679F6B67"/>
    <w:rsid w:val="68097C0C"/>
    <w:rsid w:val="682E6E04"/>
    <w:rsid w:val="68FE3A00"/>
    <w:rsid w:val="691B4597"/>
    <w:rsid w:val="69217A0A"/>
    <w:rsid w:val="69451FD0"/>
    <w:rsid w:val="695979F4"/>
    <w:rsid w:val="69AC0CD1"/>
    <w:rsid w:val="69E77ACA"/>
    <w:rsid w:val="6A641533"/>
    <w:rsid w:val="6ABB327C"/>
    <w:rsid w:val="6B0429C9"/>
    <w:rsid w:val="6BFFC75D"/>
    <w:rsid w:val="6D2B1CCA"/>
    <w:rsid w:val="6DFC469F"/>
    <w:rsid w:val="6E2163F8"/>
    <w:rsid w:val="6E5978B6"/>
    <w:rsid w:val="6E5A2E3C"/>
    <w:rsid w:val="6EEA2BEE"/>
    <w:rsid w:val="6EFB03A3"/>
    <w:rsid w:val="6F0B0624"/>
    <w:rsid w:val="6F134902"/>
    <w:rsid w:val="6F22240F"/>
    <w:rsid w:val="6FE969BF"/>
    <w:rsid w:val="703D3D4D"/>
    <w:rsid w:val="704C4F43"/>
    <w:rsid w:val="705D072A"/>
    <w:rsid w:val="70726AB6"/>
    <w:rsid w:val="715B3343"/>
    <w:rsid w:val="71942090"/>
    <w:rsid w:val="72042EFA"/>
    <w:rsid w:val="72600FF6"/>
    <w:rsid w:val="729B7ABC"/>
    <w:rsid w:val="72AFA73E"/>
    <w:rsid w:val="72D77F51"/>
    <w:rsid w:val="73260519"/>
    <w:rsid w:val="73685F3F"/>
    <w:rsid w:val="737D067E"/>
    <w:rsid w:val="73F751F4"/>
    <w:rsid w:val="74981861"/>
    <w:rsid w:val="751E4B70"/>
    <w:rsid w:val="7578372E"/>
    <w:rsid w:val="758B57DE"/>
    <w:rsid w:val="759F475B"/>
    <w:rsid w:val="76257DC8"/>
    <w:rsid w:val="763624F3"/>
    <w:rsid w:val="76494B4E"/>
    <w:rsid w:val="76D22E22"/>
    <w:rsid w:val="77253DF8"/>
    <w:rsid w:val="77BC3AF4"/>
    <w:rsid w:val="78E44E0E"/>
    <w:rsid w:val="799E2BA1"/>
    <w:rsid w:val="7A6D757F"/>
    <w:rsid w:val="7A84359A"/>
    <w:rsid w:val="7B3702E1"/>
    <w:rsid w:val="7B6F5901"/>
    <w:rsid w:val="7B936FF2"/>
    <w:rsid w:val="7B9E1655"/>
    <w:rsid w:val="7BBB0AC3"/>
    <w:rsid w:val="7C584880"/>
    <w:rsid w:val="7CC96FDB"/>
    <w:rsid w:val="7CE40485"/>
    <w:rsid w:val="7CFB7C50"/>
    <w:rsid w:val="7D2208E0"/>
    <w:rsid w:val="7D9B26AB"/>
    <w:rsid w:val="7E53467F"/>
    <w:rsid w:val="7E67570A"/>
    <w:rsid w:val="7E684056"/>
    <w:rsid w:val="7E720822"/>
    <w:rsid w:val="7F065B88"/>
    <w:rsid w:val="7F3E5068"/>
    <w:rsid w:val="7F5F2372"/>
    <w:rsid w:val="7FBA7E62"/>
    <w:rsid w:val="ABCD355A"/>
    <w:rsid w:val="B7F7C457"/>
    <w:rsid w:val="D7EBE1A3"/>
    <w:rsid w:val="EFF9D024"/>
    <w:rsid w:val="FDFFDBFF"/>
    <w:rsid w:val="FEFF3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15"/>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108"/>
    <w:qFormat/>
    <w:uiPriority w:val="9"/>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99"/>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rPr>
      <w:rFonts w:eastAsia="方正黑体_GBK"/>
      <w:sz w:val="21"/>
    </w:r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105"/>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8"/>
    <w:qFormat/>
    <w:uiPriority w:val="0"/>
  </w:style>
  <w:style w:type="paragraph" w:styleId="33">
    <w:name w:val="Body Text Indent 2"/>
    <w:basedOn w:val="1"/>
    <w:link w:val="117"/>
    <w:qFormat/>
    <w:uiPriority w:val="0"/>
    <w:pPr>
      <w:snapToGrid w:val="0"/>
      <w:spacing w:line="560" w:lineRule="atLeast"/>
      <w:ind w:firstLine="540"/>
    </w:pPr>
  </w:style>
  <w:style w:type="paragraph" w:styleId="34">
    <w:name w:val="Balloon Text"/>
    <w:basedOn w:val="1"/>
    <w:link w:val="90"/>
    <w:qFormat/>
    <w:uiPriority w:val="99"/>
    <w:rPr>
      <w:sz w:val="18"/>
    </w:rPr>
  </w:style>
  <w:style w:type="paragraph" w:styleId="35">
    <w:name w:val="footer"/>
    <w:basedOn w:val="1"/>
    <w:link w:val="67"/>
    <w:qFormat/>
    <w:uiPriority w:val="0"/>
    <w:pPr>
      <w:tabs>
        <w:tab w:val="center" w:pos="4153"/>
        <w:tab w:val="right" w:pos="8306"/>
      </w:tabs>
      <w:snapToGrid w:val="0"/>
      <w:jc w:val="left"/>
    </w:pPr>
    <w:rPr>
      <w:sz w:val="18"/>
    </w:rPr>
  </w:style>
  <w:style w:type="paragraph" w:styleId="36">
    <w:name w:val="header"/>
    <w:basedOn w:val="1"/>
    <w:link w:val="112"/>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16"/>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81"/>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104"/>
    <w:qFormat/>
    <w:uiPriority w:val="0"/>
    <w:pPr>
      <w:spacing w:after="120" w:line="240" w:lineRule="auto"/>
      <w:ind w:left="420" w:leftChars="200" w:firstLine="420" w:firstLineChars="200"/>
    </w:pPr>
  </w:style>
  <w:style w:type="table" w:styleId="58">
    <w:name w:val="Table Grid"/>
    <w:basedOn w:val="57"/>
    <w:qFormat/>
    <w:uiPriority w:val="59"/>
    <w:rPr>
      <w:rFonts w:ascii="等线" w:hAnsi="等线" w:eastAsia="等线"/>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99"/>
    <w:rPr>
      <w:sz w:val="21"/>
      <w:szCs w:val="21"/>
    </w:rPr>
  </w:style>
  <w:style w:type="character" w:styleId="66">
    <w:name w:val="footnote reference"/>
    <w:qFormat/>
    <w:uiPriority w:val="0"/>
    <w:rPr>
      <w:position w:val="6"/>
      <w:sz w:val="14"/>
      <w:vertAlign w:val="superscript"/>
    </w:rPr>
  </w:style>
  <w:style w:type="character" w:customStyle="1" w:styleId="67">
    <w:name w:val="页脚 字符"/>
    <w:link w:val="35"/>
    <w:qFormat/>
    <w:uiPriority w:val="0"/>
    <w:rPr>
      <w:kern w:val="2"/>
      <w:sz w:val="18"/>
    </w:rPr>
  </w:style>
  <w:style w:type="character" w:customStyle="1" w:styleId="68">
    <w:name w:val="title_emph1"/>
    <w:qFormat/>
    <w:uiPriority w:val="0"/>
    <w:rPr>
      <w:rFonts w:hint="default" w:ascii="Arial" w:hAnsi="Arial"/>
      <w:b/>
      <w:sz w:val="20"/>
    </w:rPr>
  </w:style>
  <w:style w:type="character" w:customStyle="1" w:styleId="69">
    <w:name w:val="H2 Char"/>
    <w:qFormat/>
    <w:uiPriority w:val="0"/>
    <w:rPr>
      <w:rFonts w:ascii="Arial" w:hAnsi="Arial" w:eastAsia="宋体"/>
      <w:kern w:val="2"/>
      <w:sz w:val="28"/>
      <w:lang w:val="en-US" w:eastAsia="zh-CN"/>
    </w:rPr>
  </w:style>
  <w:style w:type="character" w:customStyle="1" w:styleId="70">
    <w:name w:val="正文文本缩进 字符"/>
    <w:semiHidden/>
    <w:qFormat/>
    <w:uiPriority w:val="0"/>
    <w:rPr>
      <w:rFonts w:ascii="楷体_GB2312" w:hAnsi="Times New Roman" w:eastAsia="楷体_GB2312" w:cs="Times New Roman"/>
      <w:bCs/>
      <w:sz w:val="32"/>
      <w:szCs w:val="32"/>
    </w:rPr>
  </w:style>
  <w:style w:type="character" w:customStyle="1" w:styleId="71">
    <w:name w:val="批注文字 字符"/>
    <w:semiHidden/>
    <w:qFormat/>
    <w:uiPriority w:val="99"/>
    <w:rPr>
      <w:rFonts w:ascii="Times New Roman" w:hAnsi="Times New Roman" w:eastAsia="仿宋_GB2312" w:cs="Times New Roman"/>
      <w:kern w:val="2"/>
      <w:sz w:val="30"/>
      <w:szCs w:val="24"/>
    </w:rPr>
  </w:style>
  <w:style w:type="character" w:customStyle="1" w:styleId="72">
    <w:name w:val="Char Char7"/>
    <w:qFormat/>
    <w:uiPriority w:val="0"/>
    <w:rPr>
      <w:rFonts w:ascii="宋体" w:hAnsi="宋体" w:eastAsia="宋体"/>
      <w:kern w:val="2"/>
      <w:sz w:val="28"/>
    </w:rPr>
  </w:style>
  <w:style w:type="character" w:customStyle="1" w:styleId="73">
    <w:name w:val="标书正文:  0.74 厘米 Char1"/>
    <w:qFormat/>
    <w:uiPriority w:val="0"/>
    <w:rPr>
      <w:rFonts w:eastAsia="宋体"/>
      <w:kern w:val="2"/>
      <w:sz w:val="24"/>
      <w:lang w:val="en-US" w:eastAsia="zh-CN"/>
    </w:rPr>
  </w:style>
  <w:style w:type="character" w:customStyle="1" w:styleId="74">
    <w:name w:val="批注框文本 字符"/>
    <w:semiHidden/>
    <w:qFormat/>
    <w:uiPriority w:val="99"/>
    <w:rPr>
      <w:rFonts w:ascii="Times New Roman" w:hAnsi="Times New Roman" w:eastAsia="仿宋_GB2312" w:cs="Times New Roman"/>
      <w:sz w:val="18"/>
      <w:szCs w:val="18"/>
    </w:rPr>
  </w:style>
  <w:style w:type="character" w:customStyle="1" w:styleId="75">
    <w:name w:val="Table Text Char1 Char"/>
    <w:qFormat/>
    <w:uiPriority w:val="0"/>
    <w:rPr>
      <w:rFonts w:ascii="Arial" w:hAnsi="Arial"/>
      <w:kern w:val="2"/>
      <w:sz w:val="18"/>
      <w:lang w:val="en-US" w:eastAsia="zh-CN" w:bidi="ar-SA"/>
    </w:rPr>
  </w:style>
  <w:style w:type="character" w:customStyle="1" w:styleId="76">
    <w:name w:val="Char Char2"/>
    <w:qFormat/>
    <w:uiPriority w:val="0"/>
    <w:rPr>
      <w:rFonts w:eastAsia="宋体"/>
      <w:kern w:val="2"/>
      <w:sz w:val="18"/>
      <w:lang w:val="en-US" w:eastAsia="zh-CN"/>
    </w:rPr>
  </w:style>
  <w:style w:type="character" w:customStyle="1" w:styleId="77">
    <w:name w:val="top-det1"/>
    <w:qFormat/>
    <w:uiPriority w:val="0"/>
    <w:rPr>
      <w:b/>
      <w:color w:val="000000"/>
    </w:rPr>
  </w:style>
  <w:style w:type="character" w:customStyle="1" w:styleId="78">
    <w:name w:val="纯文本 字符"/>
    <w:link w:val="30"/>
    <w:qFormat/>
    <w:uiPriority w:val="0"/>
    <w:rPr>
      <w:rFonts w:ascii="宋体" w:hAnsi="Courier New"/>
      <w:kern w:val="2"/>
      <w:sz w:val="21"/>
    </w:rPr>
  </w:style>
  <w:style w:type="character" w:customStyle="1" w:styleId="79">
    <w:name w:val="Table Text Char"/>
    <w:link w:val="80"/>
    <w:qFormat/>
    <w:uiPriority w:val="0"/>
    <w:rPr>
      <w:rFonts w:ascii="Arial" w:hAnsi="Arial"/>
      <w:kern w:val="2"/>
      <w:sz w:val="18"/>
      <w:lang w:val="en-US" w:eastAsia="zh-CN" w:bidi="ar-SA"/>
    </w:rPr>
  </w:style>
  <w:style w:type="paragraph" w:customStyle="1" w:styleId="80">
    <w:name w:val="Table Text"/>
    <w:link w:val="79"/>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批注主题 字符1"/>
    <w:basedOn w:val="82"/>
    <w:link w:val="54"/>
    <w:qFormat/>
    <w:uiPriority w:val="0"/>
    <w:rPr>
      <w:sz w:val="24"/>
    </w:rPr>
  </w:style>
  <w:style w:type="character" w:customStyle="1" w:styleId="82">
    <w:name w:val="批注文字 字符1"/>
    <w:link w:val="19"/>
    <w:qFormat/>
    <w:uiPriority w:val="0"/>
    <w:rPr>
      <w:sz w:val="24"/>
    </w:rPr>
  </w:style>
  <w:style w:type="character" w:customStyle="1" w:styleId="83">
    <w:name w:val="正文 + 三号 Char"/>
    <w:qFormat/>
    <w:uiPriority w:val="0"/>
    <w:rPr>
      <w:rFonts w:eastAsia="宋体"/>
      <w:kern w:val="2"/>
      <w:sz w:val="21"/>
      <w:lang w:val="en-US" w:eastAsia="zh-CN"/>
    </w:rPr>
  </w:style>
  <w:style w:type="character" w:customStyle="1" w:styleId="84">
    <w:name w:val="日期 字符"/>
    <w:qFormat/>
    <w:uiPriority w:val="0"/>
    <w:rPr>
      <w:kern w:val="2"/>
      <w:sz w:val="28"/>
    </w:rPr>
  </w:style>
  <w:style w:type="character" w:customStyle="1" w:styleId="85">
    <w:name w:val="Char Char3"/>
    <w:qFormat/>
    <w:uiPriority w:val="0"/>
    <w:rPr>
      <w:rFonts w:eastAsia="宋体"/>
      <w:kern w:val="2"/>
      <w:sz w:val="18"/>
      <w:lang w:val="en-US" w:eastAsia="zh-CN"/>
    </w:rPr>
  </w:style>
  <w:style w:type="character" w:customStyle="1" w:styleId="86">
    <w:name w:val="Table Text Char Char Char Char"/>
    <w:link w:val="87"/>
    <w:qFormat/>
    <w:uiPriority w:val="0"/>
    <w:rPr>
      <w:rFonts w:ascii="Arial" w:hAnsi="Arial"/>
      <w:kern w:val="2"/>
      <w:sz w:val="18"/>
      <w:lang w:val="en-US" w:eastAsia="zh-CN" w:bidi="ar-SA"/>
    </w:rPr>
  </w:style>
  <w:style w:type="paragraph" w:customStyle="1" w:styleId="87">
    <w:name w:val="Table Text Char Char Char"/>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日期 字符1"/>
    <w:link w:val="32"/>
    <w:qFormat/>
    <w:uiPriority w:val="0"/>
    <w:rPr>
      <w:kern w:val="2"/>
      <w:sz w:val="28"/>
    </w:rPr>
  </w:style>
  <w:style w:type="character" w:customStyle="1" w:styleId="89">
    <w:name w:val="font1"/>
    <w:qFormat/>
    <w:uiPriority w:val="0"/>
    <w:rPr>
      <w:color w:val="000000"/>
      <w:sz w:val="18"/>
    </w:rPr>
  </w:style>
  <w:style w:type="character" w:customStyle="1" w:styleId="90">
    <w:name w:val="批注框文本 字符1"/>
    <w:link w:val="34"/>
    <w:qFormat/>
    <w:uiPriority w:val="99"/>
    <w:rPr>
      <w:kern w:val="2"/>
      <w:sz w:val="18"/>
    </w:rPr>
  </w:style>
  <w:style w:type="character" w:customStyle="1" w:styleId="91">
    <w:name w:val="v151"/>
    <w:qFormat/>
    <w:uiPriority w:val="0"/>
    <w:rPr>
      <w:sz w:val="18"/>
    </w:rPr>
  </w:style>
  <w:style w:type="character" w:customStyle="1" w:styleId="92">
    <w:name w:val="Char Char11"/>
    <w:qFormat/>
    <w:uiPriority w:val="0"/>
    <w:rPr>
      <w:rFonts w:ascii="宋体"/>
      <w:kern w:val="2"/>
      <w:sz w:val="28"/>
    </w:rPr>
  </w:style>
  <w:style w:type="character" w:customStyle="1" w:styleId="93">
    <w:name w:val="标题 2 字符"/>
    <w:qFormat/>
    <w:uiPriority w:val="0"/>
    <w:rPr>
      <w:rFonts w:ascii="Arial" w:hAnsi="Arial" w:eastAsia="黑体"/>
      <w:b/>
      <w:kern w:val="2"/>
      <w:sz w:val="32"/>
    </w:rPr>
  </w:style>
  <w:style w:type="character" w:customStyle="1" w:styleId="94">
    <w:name w:val="标题 3 字符"/>
    <w:qFormat/>
    <w:uiPriority w:val="0"/>
    <w:rPr>
      <w:b/>
      <w:kern w:val="2"/>
      <w:sz w:val="32"/>
    </w:rPr>
  </w:style>
  <w:style w:type="character" w:customStyle="1" w:styleId="95">
    <w:name w:val="crowed11"/>
    <w:qFormat/>
    <w:uiPriority w:val="0"/>
    <w:rPr>
      <w:rFonts w:hint="default"/>
      <w:sz w:val="24"/>
    </w:rPr>
  </w:style>
  <w:style w:type="character" w:customStyle="1" w:styleId="96">
    <w:name w:val="标题 5 字符"/>
    <w:semiHidden/>
    <w:qFormat/>
    <w:uiPriority w:val="9"/>
    <w:rPr>
      <w:rFonts w:ascii="Times New Roman" w:hAnsi="Times New Roman" w:eastAsia="仿宋_GB2312" w:cs="Times New Roman"/>
      <w:b/>
      <w:bCs/>
      <w:sz w:val="28"/>
      <w:szCs w:val="28"/>
    </w:rPr>
  </w:style>
  <w:style w:type="character" w:customStyle="1" w:styleId="97">
    <w:name w:val="Table Heading Char Char"/>
    <w:qFormat/>
    <w:uiPriority w:val="0"/>
    <w:rPr>
      <w:rFonts w:ascii="Arial" w:hAnsi="Arial" w:eastAsia="黑体"/>
      <w:kern w:val="2"/>
      <w:sz w:val="18"/>
      <w:lang w:val="en-US" w:eastAsia="zh-CN"/>
    </w:rPr>
  </w:style>
  <w:style w:type="character" w:customStyle="1" w:styleId="98">
    <w:name w:val="标题 2 字符1"/>
    <w:link w:val="3"/>
    <w:qFormat/>
    <w:uiPriority w:val="0"/>
    <w:rPr>
      <w:rFonts w:ascii="Arial" w:hAnsi="Arial" w:eastAsia="黑体"/>
      <w:b/>
      <w:kern w:val="2"/>
      <w:sz w:val="32"/>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6"/>
    <w:qFormat/>
    <w:uiPriority w:val="0"/>
    <w:rPr>
      <w:rFonts w:ascii="仿宋_GB2312" w:eastAsia="仿宋_GB2312"/>
      <w:kern w:val="2"/>
      <w:sz w:val="32"/>
    </w:rPr>
  </w:style>
  <w:style w:type="character" w:customStyle="1" w:styleId="101">
    <w:name w:val="文字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Char Char"/>
    <w:qFormat/>
    <w:uiPriority w:val="0"/>
    <w:rPr>
      <w:rFonts w:ascii="宋体" w:hAnsi="宋体" w:eastAsia="宋体"/>
      <w:kern w:val="2"/>
      <w:sz w:val="24"/>
      <w:lang w:val="en-US" w:eastAsia="zh-CN" w:bidi="ar-SA"/>
    </w:rPr>
  </w:style>
  <w:style w:type="character" w:customStyle="1" w:styleId="104">
    <w:name w:val="正文文本首行缩进 2 字符"/>
    <w:basedOn w:val="105"/>
    <w:link w:val="56"/>
    <w:qFormat/>
    <w:uiPriority w:val="0"/>
    <w:rPr>
      <w:kern w:val="2"/>
      <w:sz w:val="44"/>
    </w:rPr>
  </w:style>
  <w:style w:type="character" w:customStyle="1" w:styleId="105">
    <w:name w:val="正文文本缩进 字符1"/>
    <w:link w:val="23"/>
    <w:qFormat/>
    <w:uiPriority w:val="0"/>
    <w:rPr>
      <w:kern w:val="2"/>
      <w:sz w:val="44"/>
    </w:rPr>
  </w:style>
  <w:style w:type="character" w:customStyle="1" w:styleId="106">
    <w:name w:val="无间隔 Char"/>
    <w:link w:val="107"/>
    <w:qFormat/>
    <w:locked/>
    <w:uiPriority w:val="99"/>
    <w:rPr>
      <w:rFonts w:ascii="Calibri" w:hAnsi="Calibri"/>
      <w:kern w:val="2"/>
      <w:sz w:val="21"/>
      <w:szCs w:val="22"/>
      <w:lang w:val="en-US" w:eastAsia="zh-CN" w:bidi="ar-SA"/>
    </w:rPr>
  </w:style>
  <w:style w:type="paragraph" w:customStyle="1" w:styleId="107">
    <w:name w:val="无间隔1"/>
    <w:link w:val="106"/>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08">
    <w:name w:val="标题 5 字符1"/>
    <w:link w:val="6"/>
    <w:qFormat/>
    <w:uiPriority w:val="9"/>
    <w:rPr>
      <w:b/>
      <w:kern w:val="2"/>
      <w:sz w:val="28"/>
    </w:rPr>
  </w:style>
  <w:style w:type="character" w:customStyle="1" w:styleId="109">
    <w:name w:val="页眉 字符"/>
    <w:semiHidden/>
    <w:qFormat/>
    <w:uiPriority w:val="99"/>
    <w:rPr>
      <w:rFonts w:ascii="Times New Roman" w:hAnsi="Times New Roman" w:eastAsia="仿宋_GB2312" w:cs="Times New Roman"/>
      <w:sz w:val="18"/>
      <w:szCs w:val="18"/>
    </w:rPr>
  </w:style>
  <w:style w:type="character" w:customStyle="1" w:styleId="110">
    <w:name w:val="Char Char4"/>
    <w:qFormat/>
    <w:uiPriority w:val="0"/>
    <w:rPr>
      <w:rFonts w:eastAsia="宋体"/>
      <w:b/>
      <w:kern w:val="2"/>
      <w:sz w:val="21"/>
      <w:lang w:val="en-US" w:eastAsia="zh-CN"/>
    </w:rPr>
  </w:style>
  <w:style w:type="character" w:customStyle="1" w:styleId="111">
    <w:name w:val="样式 宋体"/>
    <w:qFormat/>
    <w:uiPriority w:val="0"/>
    <w:rPr>
      <w:rFonts w:ascii="宋体" w:hAnsi="宋体" w:eastAsia="宋体"/>
      <w:sz w:val="28"/>
    </w:rPr>
  </w:style>
  <w:style w:type="character" w:customStyle="1" w:styleId="112">
    <w:name w:val="页眉 字符1"/>
    <w:link w:val="36"/>
    <w:qFormat/>
    <w:uiPriority w:val="99"/>
    <w:rPr>
      <w:kern w:val="2"/>
      <w:sz w:val="18"/>
    </w:rPr>
  </w:style>
  <w:style w:type="character" w:customStyle="1" w:styleId="113">
    <w:name w:val="content-white1"/>
    <w:qFormat/>
    <w:uiPriority w:val="0"/>
    <w:rPr>
      <w:color w:val="auto"/>
      <w:sz w:val="18"/>
      <w:u w:val="none"/>
    </w:rPr>
  </w:style>
  <w:style w:type="character" w:customStyle="1" w:styleId="114">
    <w:name w:val="批注主题 字符"/>
    <w:semiHidden/>
    <w:qFormat/>
    <w:uiPriority w:val="99"/>
    <w:rPr>
      <w:rFonts w:ascii="Times New Roman" w:hAnsi="Times New Roman" w:eastAsia="仿宋_GB2312" w:cs="Times New Roman"/>
      <w:b/>
      <w:bCs/>
      <w:kern w:val="2"/>
      <w:sz w:val="30"/>
      <w:szCs w:val="24"/>
    </w:rPr>
  </w:style>
  <w:style w:type="character" w:customStyle="1" w:styleId="115">
    <w:name w:val="标题 3 字符1"/>
    <w:link w:val="4"/>
    <w:qFormat/>
    <w:uiPriority w:val="0"/>
    <w:rPr>
      <w:rFonts w:eastAsia="宋体"/>
      <w:b/>
      <w:kern w:val="2"/>
      <w:sz w:val="32"/>
      <w:lang w:val="en-US" w:eastAsia="zh-CN"/>
    </w:rPr>
  </w:style>
  <w:style w:type="character" w:customStyle="1" w:styleId="116">
    <w:name w:val="脚注文本 字符"/>
    <w:link w:val="40"/>
    <w:qFormat/>
    <w:uiPriority w:val="0"/>
    <w:rPr>
      <w:kern w:val="2"/>
      <w:sz w:val="18"/>
    </w:rPr>
  </w:style>
  <w:style w:type="character" w:customStyle="1" w:styleId="117">
    <w:name w:val="正文文本缩进 2 字符"/>
    <w:link w:val="33"/>
    <w:qFormat/>
    <w:uiPriority w:val="0"/>
    <w:rPr>
      <w:kern w:val="2"/>
      <w:sz w:val="28"/>
    </w:rPr>
  </w:style>
  <w:style w:type="character" w:customStyle="1" w:styleId="118">
    <w:name w:val="未命名11"/>
    <w:qFormat/>
    <w:uiPriority w:val="0"/>
    <w:rPr>
      <w:color w:val="77FFFF"/>
      <w:sz w:val="24"/>
    </w:rPr>
  </w:style>
  <w:style w:type="character" w:customStyle="1" w:styleId="119">
    <w:name w:val="小 Char"/>
    <w:qFormat/>
    <w:uiPriority w:val="0"/>
    <w:rPr>
      <w:rFonts w:ascii="宋体" w:hAnsi="Courier New" w:eastAsia="宋体"/>
      <w:kern w:val="2"/>
      <w:sz w:val="21"/>
      <w:lang w:val="en-US" w:eastAsia="zh-CN" w:bidi="ar-SA"/>
    </w:rPr>
  </w:style>
  <w:style w:type="paragraph" w:customStyle="1" w:styleId="120">
    <w:name w:val="Char Char Char Char Char Char Char Char Char Char Char Char Char Char Char Char"/>
    <w:basedOn w:val="1"/>
    <w:qFormat/>
    <w:uiPriority w:val="0"/>
    <w:pPr>
      <w:tabs>
        <w:tab w:val="left" w:pos="360"/>
      </w:tabs>
    </w:pPr>
    <w:rPr>
      <w:sz w:val="24"/>
    </w:rPr>
  </w:style>
  <w:style w:type="paragraph" w:customStyle="1" w:styleId="12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2">
    <w:name w:val="1.正文"/>
    <w:basedOn w:val="1"/>
    <w:qFormat/>
    <w:uiPriority w:val="0"/>
    <w:pPr>
      <w:spacing w:line="360" w:lineRule="auto"/>
      <w:ind w:left="540" w:leftChars="225" w:firstLine="540" w:firstLineChars="225"/>
    </w:pPr>
    <w:rPr>
      <w:sz w:val="24"/>
    </w:rPr>
  </w:style>
  <w:style w:type="paragraph" w:customStyle="1" w:styleId="123">
    <w:name w:val="表头文本"/>
    <w:qFormat/>
    <w:uiPriority w:val="0"/>
    <w:pPr>
      <w:jc w:val="center"/>
    </w:pPr>
    <w:rPr>
      <w:rFonts w:ascii="Arial" w:hAnsi="Arial" w:eastAsia="宋体" w:cs="Times New Roman"/>
      <w:b/>
      <w:sz w:val="21"/>
      <w:lang w:val="en-US" w:eastAsia="zh-CN" w:bidi="ar-SA"/>
    </w:rPr>
  </w:style>
  <w:style w:type="paragraph" w:customStyle="1" w:styleId="124">
    <w:name w:val="00"/>
    <w:basedOn w:val="1"/>
    <w:qFormat/>
    <w:uiPriority w:val="0"/>
    <w:pPr>
      <w:autoSpaceDE w:val="0"/>
      <w:autoSpaceDN w:val="0"/>
      <w:adjustRightInd w:val="0"/>
      <w:jc w:val="left"/>
    </w:pPr>
    <w:rPr>
      <w:rFonts w:ascii="黑体" w:eastAsia="黑体"/>
      <w:b/>
      <w:kern w:val="0"/>
      <w:sz w:val="20"/>
    </w:rPr>
  </w:style>
  <w:style w:type="paragraph" w:customStyle="1" w:styleId="125">
    <w:name w:val="图例"/>
    <w:basedOn w:val="1"/>
    <w:qFormat/>
    <w:uiPriority w:val="0"/>
    <w:pPr>
      <w:spacing w:before="120" w:after="120" w:line="360" w:lineRule="auto"/>
      <w:jc w:val="center"/>
    </w:pPr>
    <w:rPr>
      <w:rFonts w:eastAsia="仿宋_GB2312"/>
      <w:b/>
      <w:sz w:val="24"/>
    </w:rPr>
  </w:style>
  <w:style w:type="paragraph" w:customStyle="1" w:styleId="126">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7">
    <w:name w:val="列表项目"/>
    <w:basedOn w:val="1"/>
    <w:qFormat/>
    <w:uiPriority w:val="0"/>
    <w:pPr>
      <w:tabs>
        <w:tab w:val="left" w:pos="420"/>
      </w:tabs>
      <w:spacing w:line="288" w:lineRule="auto"/>
      <w:ind w:left="840" w:leftChars="200" w:hanging="420" w:hangingChars="200"/>
    </w:pPr>
    <w:rPr>
      <w:sz w:val="21"/>
    </w:rPr>
  </w:style>
  <w:style w:type="paragraph" w:customStyle="1" w:styleId="128">
    <w:name w:val="Char Char 字元 字元 字元 Char Char Char Char"/>
    <w:basedOn w:val="1"/>
    <w:qFormat/>
    <w:uiPriority w:val="0"/>
    <w:pPr>
      <w:adjustRightInd w:val="0"/>
      <w:spacing w:line="360" w:lineRule="auto"/>
    </w:pPr>
    <w:rPr>
      <w:kern w:val="0"/>
      <w:sz w:val="24"/>
    </w:rPr>
  </w:style>
  <w:style w:type="paragraph" w:customStyle="1" w:styleId="12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0">
    <w:name w:val="Title - Date"/>
    <w:basedOn w:val="53"/>
    <w:next w:val="1"/>
    <w:qFormat/>
    <w:uiPriority w:val="0"/>
    <w:pPr>
      <w:spacing w:before="240" w:after="720"/>
    </w:pPr>
    <w:rPr>
      <w:sz w:val="28"/>
    </w:rPr>
  </w:style>
  <w:style w:type="paragraph" w:customStyle="1" w:styleId="131">
    <w:name w:val="文章正文"/>
    <w:basedOn w:val="1"/>
    <w:qFormat/>
    <w:uiPriority w:val="0"/>
    <w:pPr>
      <w:ind w:firstLine="560" w:firstLineChars="200"/>
    </w:pPr>
    <w:rPr>
      <w:rFonts w:ascii="仿宋_GB2312" w:hAnsi="宋体" w:eastAsia="仿宋_GB2312"/>
      <w:color w:val="000000"/>
    </w:rPr>
  </w:style>
  <w:style w:type="paragraph" w:customStyle="1" w:styleId="132">
    <w:name w:val="彩色列表 - 强调文字颜色 11"/>
    <w:basedOn w:val="1"/>
    <w:qFormat/>
    <w:uiPriority w:val="99"/>
    <w:pPr>
      <w:ind w:firstLine="420" w:firstLineChars="200"/>
    </w:pPr>
    <w:rPr>
      <w:rFonts w:eastAsia="仿宋_GB2312"/>
      <w:sz w:val="30"/>
      <w:szCs w:val="24"/>
    </w:rPr>
  </w:style>
  <w:style w:type="paragraph" w:customStyle="1" w:styleId="13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36">
    <w:name w:val="样式1"/>
    <w:basedOn w:val="5"/>
    <w:qFormat/>
    <w:uiPriority w:val="0"/>
    <w:pPr>
      <w:tabs>
        <w:tab w:val="left" w:pos="720"/>
      </w:tabs>
      <w:spacing w:before="500" w:after="260" w:line="560" w:lineRule="atLeast"/>
      <w:ind w:left="420" w:hanging="420"/>
    </w:pPr>
  </w:style>
  <w:style w:type="paragraph" w:customStyle="1" w:styleId="137">
    <w:name w:val="表格文本"/>
    <w:qFormat/>
    <w:uiPriority w:val="0"/>
    <w:pPr>
      <w:tabs>
        <w:tab w:val="decimal" w:pos="0"/>
      </w:tabs>
    </w:pPr>
    <w:rPr>
      <w:rFonts w:ascii="Arial" w:hAnsi="Arial" w:eastAsia="宋体" w:cs="Times New Roman"/>
      <w:sz w:val="21"/>
      <w:lang w:val="en-US" w:eastAsia="zh-CN" w:bidi="ar-SA"/>
    </w:rPr>
  </w:style>
  <w:style w:type="paragraph" w:customStyle="1" w:styleId="138">
    <w:name w:val="Char Char Char"/>
    <w:basedOn w:val="1"/>
    <w:qFormat/>
    <w:uiPriority w:val="0"/>
    <w:rPr>
      <w:rFonts w:ascii="Tahoma" w:hAnsi="Tahoma"/>
      <w:sz w:val="24"/>
    </w:rPr>
  </w:style>
  <w:style w:type="paragraph" w:customStyle="1" w:styleId="139">
    <w:name w:val="Char Char Char Char Char Char Char"/>
    <w:basedOn w:val="17"/>
    <w:qFormat/>
    <w:uiPriority w:val="0"/>
    <w:rPr>
      <w:rFonts w:ascii="宋体" w:hAnsi="Tahoma"/>
    </w:rPr>
  </w:style>
  <w:style w:type="paragraph" w:customStyle="1" w:styleId="140">
    <w:name w:val="Char Char1 Char"/>
    <w:basedOn w:val="1"/>
    <w:qFormat/>
    <w:uiPriority w:val="0"/>
    <w:rPr>
      <w:rFonts w:ascii="Tahoma" w:hAnsi="Tahoma"/>
      <w:sz w:val="24"/>
      <w:szCs w:val="24"/>
    </w:rPr>
  </w:style>
  <w:style w:type="paragraph" w:customStyle="1" w:styleId="141">
    <w:name w:val="二级列表"/>
    <w:basedOn w:val="142"/>
    <w:next w:val="142"/>
    <w:qFormat/>
    <w:uiPriority w:val="0"/>
    <w:pPr>
      <w:tabs>
        <w:tab w:val="left" w:pos="2120"/>
      </w:tabs>
      <w:ind w:firstLine="0" w:firstLineChars="0"/>
    </w:pPr>
    <w:rPr>
      <w:b/>
    </w:rPr>
  </w:style>
  <w:style w:type="paragraph" w:customStyle="1" w:styleId="142">
    <w:name w:val="段落正文"/>
    <w:basedOn w:val="1"/>
    <w:qFormat/>
    <w:uiPriority w:val="0"/>
    <w:pPr>
      <w:spacing w:beforeLines="50" w:line="360" w:lineRule="auto"/>
      <w:ind w:firstLine="200" w:firstLineChars="200"/>
    </w:pPr>
    <w:rPr>
      <w:spacing w:val="2"/>
      <w:sz w:val="24"/>
    </w:rPr>
  </w:style>
  <w:style w:type="paragraph" w:customStyle="1" w:styleId="143">
    <w:name w:val="样式 样式 首行缩进:  2 字符 + 首行缩进:  2 字符"/>
    <w:basedOn w:val="1"/>
    <w:qFormat/>
    <w:uiPriority w:val="0"/>
    <w:pPr>
      <w:spacing w:line="360" w:lineRule="auto"/>
      <w:ind w:firstLine="480" w:firstLineChars="200"/>
    </w:pPr>
    <w:rPr>
      <w:sz w:val="24"/>
    </w:rPr>
  </w:style>
  <w:style w:type="paragraph" w:customStyle="1" w:styleId="144">
    <w:name w:val="彩色底纹 - 强调文字颜色 11"/>
    <w:qFormat/>
    <w:uiPriority w:val="99"/>
    <w:rPr>
      <w:rFonts w:ascii="Times New Roman" w:hAnsi="Times New Roman" w:eastAsia="仿宋_GB2312" w:cs="Times New Roman"/>
      <w:kern w:val="2"/>
      <w:sz w:val="30"/>
      <w:szCs w:val="24"/>
      <w:lang w:val="en-US" w:eastAsia="zh-CN" w:bidi="ar-SA"/>
    </w:rPr>
  </w:style>
  <w:style w:type="paragraph" w:customStyle="1" w:styleId="145">
    <w:name w:val="Char Char Char Char Char"/>
    <w:basedOn w:val="1"/>
    <w:qFormat/>
    <w:uiPriority w:val="0"/>
    <w:pPr>
      <w:tabs>
        <w:tab w:val="left" w:pos="425"/>
      </w:tabs>
      <w:ind w:left="1620" w:hanging="360"/>
    </w:pPr>
    <w:rPr>
      <w:rFonts w:ascii="Tahoma" w:hAnsi="Tahoma"/>
      <w:sz w:val="24"/>
    </w:rPr>
  </w:style>
  <w:style w:type="paragraph" w:customStyle="1" w:styleId="146">
    <w:name w:val="浅色网格 - 强调文字颜色 31"/>
    <w:basedOn w:val="1"/>
    <w:qFormat/>
    <w:uiPriority w:val="34"/>
    <w:pPr>
      <w:ind w:firstLine="420" w:firstLineChars="200"/>
    </w:pPr>
    <w:rPr>
      <w:sz w:val="21"/>
      <w:szCs w:val="24"/>
    </w:rPr>
  </w:style>
  <w:style w:type="paragraph" w:customStyle="1" w:styleId="147">
    <w:name w:val="默认段落字体 Para Char Char Char Char Char Char Char Char Char1 Char Char Char Char"/>
    <w:basedOn w:val="1"/>
    <w:qFormat/>
    <w:uiPriority w:val="0"/>
    <w:rPr>
      <w:rFonts w:ascii="Tahoma" w:hAnsi="Tahoma"/>
      <w:sz w:val="24"/>
    </w:rPr>
  </w:style>
  <w:style w:type="paragraph" w:customStyle="1" w:styleId="148">
    <w:name w:val="可研正文"/>
    <w:basedOn w:val="22"/>
    <w:qFormat/>
    <w:uiPriority w:val="0"/>
    <w:pPr>
      <w:adjustRightInd w:val="0"/>
      <w:snapToGrid w:val="0"/>
      <w:spacing w:line="440" w:lineRule="exact"/>
      <w:ind w:firstLine="567"/>
    </w:pPr>
    <w:rPr>
      <w:sz w:val="28"/>
    </w:rPr>
  </w:style>
  <w:style w:type="paragraph" w:customStyle="1" w:styleId="14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0">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51">
    <w:name w:val="正文文本 21"/>
    <w:basedOn w:val="1"/>
    <w:qFormat/>
    <w:uiPriority w:val="0"/>
    <w:pPr>
      <w:adjustRightInd w:val="0"/>
      <w:spacing w:before="120" w:line="360" w:lineRule="auto"/>
      <w:ind w:firstLine="480"/>
      <w:textAlignment w:val="baseline"/>
    </w:pPr>
    <w:rPr>
      <w:sz w:val="24"/>
    </w:rPr>
  </w:style>
  <w:style w:type="paragraph" w:customStyle="1" w:styleId="15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5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5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5">
    <w:name w:val="Table Contents"/>
    <w:basedOn w:val="22"/>
    <w:qFormat/>
    <w:uiPriority w:val="0"/>
    <w:pPr>
      <w:suppressAutoHyphens/>
      <w:jc w:val="left"/>
    </w:pPr>
    <w:rPr>
      <w:rFonts w:ascii="Times New Roman" w:eastAsia="Times New Roman"/>
      <w:kern w:val="0"/>
      <w:sz w:val="24"/>
    </w:rPr>
  </w:style>
  <w:style w:type="paragraph" w:customStyle="1" w:styleId="156">
    <w:name w:val="正文1"/>
    <w:basedOn w:val="1"/>
    <w:qFormat/>
    <w:uiPriority w:val="0"/>
    <w:pPr>
      <w:spacing w:line="300" w:lineRule="auto"/>
      <w:ind w:firstLine="200" w:firstLineChars="200"/>
    </w:pPr>
    <w:rPr>
      <w:sz w:val="24"/>
    </w:rPr>
  </w:style>
  <w:style w:type="paragraph" w:customStyle="1" w:styleId="157">
    <w:name w:val="首行缩进"/>
    <w:basedOn w:val="1"/>
    <w:qFormat/>
    <w:uiPriority w:val="0"/>
    <w:pPr>
      <w:tabs>
        <w:tab w:val="left" w:pos="540"/>
      </w:tabs>
      <w:spacing w:line="360" w:lineRule="auto"/>
      <w:ind w:left="540"/>
    </w:pPr>
    <w:rPr>
      <w:rFonts w:eastAsia="仿宋_GB2312"/>
    </w:rPr>
  </w:style>
  <w:style w:type="paragraph" w:customStyle="1" w:styleId="158">
    <w:name w:val="Style Heading 3h3Heading 3 - oldLevel 3 HeadH3level_3PIM 3se..."/>
    <w:basedOn w:val="4"/>
    <w:qFormat/>
    <w:uiPriority w:val="0"/>
    <w:pPr>
      <w:tabs>
        <w:tab w:val="left" w:pos="709"/>
        <w:tab w:val="left" w:pos="1620"/>
      </w:tabs>
      <w:ind w:left="1620" w:hanging="360"/>
    </w:pPr>
  </w:style>
  <w:style w:type="paragraph" w:customStyle="1" w:styleId="15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4">
    <w:name w:val="标题无"/>
    <w:basedOn w:val="1"/>
    <w:qFormat/>
    <w:uiPriority w:val="0"/>
    <w:pPr>
      <w:spacing w:line="360" w:lineRule="auto"/>
    </w:pPr>
    <w:rPr>
      <w:sz w:val="24"/>
    </w:rPr>
  </w:style>
  <w:style w:type="paragraph" w:customStyle="1" w:styleId="165">
    <w:name w:val="正文表格"/>
    <w:basedOn w:val="1"/>
    <w:qFormat/>
    <w:uiPriority w:val="0"/>
    <w:pPr>
      <w:adjustRightInd w:val="0"/>
      <w:spacing w:before="40" w:after="40"/>
    </w:pPr>
    <w:rPr>
      <w:sz w:val="24"/>
    </w:rPr>
  </w:style>
  <w:style w:type="paragraph" w:customStyle="1" w:styleId="166">
    <w:name w:val="Char1"/>
    <w:basedOn w:val="1"/>
    <w:qFormat/>
    <w:uiPriority w:val="0"/>
    <w:rPr>
      <w:sz w:val="21"/>
    </w:rPr>
  </w:style>
  <w:style w:type="paragraph" w:customStyle="1" w:styleId="167">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没有缩进（为图形使用）"/>
    <w:basedOn w:val="1"/>
    <w:qFormat/>
    <w:uiPriority w:val="0"/>
    <w:pPr>
      <w:spacing w:before="120" w:after="120" w:line="360" w:lineRule="auto"/>
    </w:pPr>
    <w:rPr>
      <w:sz w:val="24"/>
    </w:rPr>
  </w:style>
  <w:style w:type="paragraph" w:customStyle="1" w:styleId="170">
    <w:name w:val="内容标题"/>
    <w:basedOn w:val="17"/>
    <w:qFormat/>
    <w:uiPriority w:val="0"/>
    <w:rPr>
      <w:rFonts w:ascii="Tahoma" w:hAnsi="Tahoma"/>
      <w:sz w:val="24"/>
    </w:rPr>
  </w:style>
  <w:style w:type="paragraph" w:customStyle="1" w:styleId="17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3">
    <w:name w:val="附录3"/>
    <w:basedOn w:val="1"/>
    <w:next w:val="1"/>
    <w:qFormat/>
    <w:uiPriority w:val="0"/>
    <w:pPr>
      <w:tabs>
        <w:tab w:val="left" w:pos="851"/>
      </w:tabs>
      <w:ind w:left="425" w:hanging="425"/>
      <w:outlineLvl w:val="2"/>
    </w:pPr>
    <w:rPr>
      <w:rFonts w:eastAsia="黑体"/>
      <w:b/>
      <w:sz w:val="32"/>
    </w:rPr>
  </w:style>
  <w:style w:type="paragraph" w:customStyle="1" w:styleId="174">
    <w:name w:val="样式 首行缩进:  0.74 厘米"/>
    <w:basedOn w:val="1"/>
    <w:qFormat/>
    <w:uiPriority w:val="0"/>
    <w:pPr>
      <w:spacing w:line="360" w:lineRule="auto"/>
      <w:ind w:firstLine="420"/>
    </w:pPr>
    <w:rPr>
      <w:sz w:val="24"/>
    </w:rPr>
  </w:style>
  <w:style w:type="paragraph" w:customStyle="1" w:styleId="17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7">
    <w:name w:val="样式 正文缩进正文（首行缩进两字）表正文正文非缩进特点标题4段1 + 首行缩进:  2 字符"/>
    <w:basedOn w:val="15"/>
    <w:qFormat/>
    <w:uiPriority w:val="0"/>
    <w:pPr>
      <w:ind w:firstLine="480" w:firstLineChars="200"/>
    </w:pPr>
  </w:style>
  <w:style w:type="paragraph" w:customStyle="1" w:styleId="178">
    <w:name w:val="样式4"/>
    <w:basedOn w:val="5"/>
    <w:qFormat/>
    <w:uiPriority w:val="0"/>
    <w:pPr>
      <w:adjustRightInd w:val="0"/>
      <w:snapToGrid w:val="0"/>
    </w:pPr>
  </w:style>
  <w:style w:type="paragraph" w:customStyle="1" w:styleId="179">
    <w:name w:val="关键词"/>
    <w:basedOn w:val="1"/>
    <w:next w:val="1"/>
    <w:qFormat/>
    <w:uiPriority w:val="0"/>
    <w:pPr>
      <w:spacing w:line="360" w:lineRule="auto"/>
    </w:pPr>
    <w:rPr>
      <w:rFonts w:eastAsia="黑体"/>
      <w:sz w:val="20"/>
    </w:rPr>
  </w:style>
  <w:style w:type="paragraph" w:customStyle="1" w:styleId="18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82">
    <w:name w:val="1"/>
    <w:basedOn w:val="1"/>
    <w:next w:val="30"/>
    <w:qFormat/>
    <w:uiPriority w:val="0"/>
    <w:rPr>
      <w:rFonts w:ascii="宋体" w:hAnsi="Courier New"/>
      <w:sz w:val="21"/>
    </w:rPr>
  </w:style>
  <w:style w:type="paragraph" w:customStyle="1" w:styleId="183">
    <w:name w:val="表文字"/>
    <w:qFormat/>
    <w:uiPriority w:val="0"/>
    <w:rPr>
      <w:rFonts w:ascii="宋体" w:hAnsi="Times New Roman" w:eastAsia="宋体" w:cs="Times New Roman"/>
      <w:kern w:val="2"/>
      <w:lang w:val="en-US" w:eastAsia="zh-CN" w:bidi="ar-SA"/>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图片文字"/>
    <w:basedOn w:val="1"/>
    <w:qFormat/>
    <w:uiPriority w:val="0"/>
    <w:pPr>
      <w:spacing w:line="240" w:lineRule="atLeast"/>
      <w:jc w:val="center"/>
    </w:pPr>
    <w:rPr>
      <w:sz w:val="21"/>
    </w:rPr>
  </w:style>
  <w:style w:type="paragraph" w:customStyle="1" w:styleId="186">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8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8">
    <w:name w:val="Char1 Char Char Char"/>
    <w:basedOn w:val="1"/>
    <w:qFormat/>
    <w:uiPriority w:val="0"/>
    <w:rPr>
      <w:rFonts w:ascii="Tahoma" w:hAnsi="Tahoma"/>
      <w:sz w:val="24"/>
    </w:rPr>
  </w:style>
  <w:style w:type="paragraph" w:customStyle="1" w:styleId="18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0">
    <w:name w:val="Char"/>
    <w:basedOn w:val="1"/>
    <w:qFormat/>
    <w:uiPriority w:val="0"/>
    <w:pPr>
      <w:spacing w:line="240" w:lineRule="atLeast"/>
      <w:ind w:left="420" w:firstLine="420"/>
    </w:pPr>
    <w:rPr>
      <w:kern w:val="0"/>
      <w:sz w:val="21"/>
    </w:rPr>
  </w:style>
  <w:style w:type="paragraph" w:customStyle="1" w:styleId="19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9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首行缩进 1"/>
    <w:basedOn w:val="1"/>
    <w:qFormat/>
    <w:uiPriority w:val="0"/>
    <w:pPr>
      <w:spacing w:after="120" w:line="360" w:lineRule="auto"/>
      <w:ind w:firstLine="200" w:firstLineChars="200"/>
    </w:pPr>
    <w:rPr>
      <w:sz w:val="24"/>
    </w:rPr>
  </w:style>
  <w:style w:type="paragraph" w:customStyle="1" w:styleId="19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5">
    <w:name w:val="Char Char Char1 Char Char Char1 Char Char Char Char"/>
    <w:basedOn w:val="1"/>
    <w:semiHidden/>
    <w:qFormat/>
    <w:uiPriority w:val="0"/>
    <w:rPr>
      <w:sz w:val="21"/>
      <w:szCs w:val="24"/>
    </w:rPr>
  </w:style>
  <w:style w:type="paragraph" w:customStyle="1" w:styleId="196">
    <w:name w:val="表格内文字"/>
    <w:basedOn w:val="30"/>
    <w:qFormat/>
    <w:uiPriority w:val="0"/>
    <w:pPr>
      <w:adjustRightInd w:val="0"/>
    </w:pPr>
    <w:rPr>
      <w:color w:val="000000"/>
      <w:lang w:val="en-GB"/>
    </w:rPr>
  </w:style>
  <w:style w:type="paragraph" w:customStyle="1" w:styleId="197">
    <w:name w:val="文本1"/>
    <w:basedOn w:val="1"/>
    <w:qFormat/>
    <w:uiPriority w:val="0"/>
    <w:pPr>
      <w:adjustRightInd w:val="0"/>
      <w:spacing w:line="312" w:lineRule="atLeast"/>
      <w:jc w:val="center"/>
      <w:textAlignment w:val="baseline"/>
    </w:pPr>
    <w:rPr>
      <w:kern w:val="0"/>
      <w:sz w:val="18"/>
    </w:rPr>
  </w:style>
  <w:style w:type="paragraph" w:customStyle="1" w:styleId="198">
    <w:name w:val="样式 行距: 1.5 倍行距1"/>
    <w:basedOn w:val="1"/>
    <w:qFormat/>
    <w:uiPriority w:val="0"/>
    <w:pPr>
      <w:snapToGrid w:val="0"/>
    </w:pPr>
    <w:rPr>
      <w:sz w:val="21"/>
    </w:rPr>
  </w:style>
  <w:style w:type="paragraph" w:customStyle="1" w:styleId="199">
    <w:name w:val="Char Char Char Char Char Char Char1"/>
    <w:basedOn w:val="1"/>
    <w:qFormat/>
    <w:uiPriority w:val="0"/>
    <w:rPr>
      <w:rFonts w:ascii="Tahoma" w:hAnsi="Tahoma"/>
      <w:sz w:val="24"/>
    </w:rPr>
  </w:style>
  <w:style w:type="paragraph" w:customStyle="1" w:styleId="200">
    <w:name w:val="图片标注格式"/>
    <w:next w:val="1"/>
    <w:qFormat/>
    <w:uiPriority w:val="0"/>
    <w:pPr>
      <w:spacing w:line="400" w:lineRule="exact"/>
      <w:jc w:val="center"/>
    </w:pPr>
    <w:rPr>
      <w:rFonts w:ascii="Times New Roman" w:hAnsi="Times New Roman" w:eastAsia="宋体" w:cs="Times New Roman"/>
      <w:kern w:val="2"/>
      <w:sz w:val="21"/>
      <w:szCs w:val="21"/>
      <w:lang w:val="en-US" w:eastAsia="zh-CN" w:bidi="ar-SA"/>
    </w:rPr>
  </w:style>
  <w:style w:type="paragraph" w:customStyle="1" w:styleId="20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02">
    <w:name w:val="正文（首行不缩进）"/>
    <w:basedOn w:val="1"/>
    <w:qFormat/>
    <w:uiPriority w:val="0"/>
    <w:pPr>
      <w:autoSpaceDE w:val="0"/>
      <w:autoSpaceDN w:val="0"/>
      <w:adjustRightInd w:val="0"/>
      <w:spacing w:line="360" w:lineRule="auto"/>
      <w:jc w:val="left"/>
    </w:pPr>
    <w:rPr>
      <w:kern w:val="0"/>
      <w:sz w:val="21"/>
    </w:rPr>
  </w:style>
  <w:style w:type="paragraph" w:customStyle="1" w:styleId="203">
    <w:name w:val="简单回函地址"/>
    <w:basedOn w:val="1"/>
    <w:qFormat/>
    <w:uiPriority w:val="0"/>
    <w:pPr>
      <w:adjustRightInd w:val="0"/>
      <w:snapToGrid w:val="0"/>
      <w:spacing w:line="360" w:lineRule="auto"/>
    </w:pPr>
    <w:rPr>
      <w:sz w:val="24"/>
    </w:rPr>
  </w:style>
  <w:style w:type="paragraph" w:customStyle="1" w:styleId="20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6">
    <w:name w:val="修订1"/>
    <w:semiHidden/>
    <w:qFormat/>
    <w:uiPriority w:val="99"/>
    <w:rPr>
      <w:rFonts w:ascii="Times New Roman" w:hAnsi="Times New Roman" w:eastAsia="仿宋_GB2312" w:cs="Times New Roman"/>
      <w:kern w:val="2"/>
      <w:sz w:val="30"/>
      <w:szCs w:val="24"/>
      <w:lang w:val="en-US" w:eastAsia="zh-CN" w:bidi="ar-SA"/>
    </w:rPr>
  </w:style>
  <w:style w:type="paragraph" w:customStyle="1" w:styleId="20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9">
    <w:name w:val="中等深浅列表 2 - 强调文字颜色 21"/>
    <w:qFormat/>
    <w:uiPriority w:val="0"/>
    <w:rPr>
      <w:rFonts w:ascii="Times New Roman" w:hAnsi="Times New Roman" w:eastAsia="宋体" w:cs="Times New Roman"/>
      <w:kern w:val="2"/>
      <w:sz w:val="21"/>
      <w:lang w:val="en-US" w:eastAsia="zh-CN" w:bidi="ar-SA"/>
    </w:rPr>
  </w:style>
  <w:style w:type="paragraph" w:customStyle="1" w:styleId="210">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IN Feature"/>
    <w:next w:val="13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2">
    <w:name w:val="摘要"/>
    <w:basedOn w:val="1"/>
    <w:next w:val="3"/>
    <w:qFormat/>
    <w:uiPriority w:val="0"/>
    <w:pPr>
      <w:spacing w:line="360" w:lineRule="auto"/>
    </w:pPr>
    <w:rPr>
      <w:rFonts w:eastAsia="黑体"/>
      <w:sz w:val="20"/>
    </w:rPr>
  </w:style>
  <w:style w:type="paragraph" w:customStyle="1" w:styleId="213">
    <w:name w:val="文本框样式1"/>
    <w:basedOn w:val="1"/>
    <w:qFormat/>
    <w:uiPriority w:val="0"/>
    <w:pPr>
      <w:adjustRightInd w:val="0"/>
      <w:snapToGrid w:val="0"/>
      <w:spacing w:before="60" w:line="180" w:lineRule="exact"/>
      <w:jc w:val="center"/>
    </w:pPr>
    <w:rPr>
      <w:sz w:val="21"/>
    </w:rPr>
  </w:style>
  <w:style w:type="paragraph" w:customStyle="1" w:styleId="214">
    <w:name w:val="Note"/>
    <w:basedOn w:val="1"/>
    <w:qFormat/>
    <w:uiPriority w:val="0"/>
    <w:pPr>
      <w:pBdr>
        <w:top w:val="single" w:color="auto" w:sz="12" w:space="3"/>
        <w:bottom w:val="single" w:color="auto" w:sz="12" w:space="3"/>
      </w:pBdr>
      <w:spacing w:line="360" w:lineRule="auto"/>
    </w:pPr>
    <w:rPr>
      <w:sz w:val="24"/>
    </w:rPr>
  </w:style>
  <w:style w:type="paragraph" w:customStyle="1" w:styleId="21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_Style 25"/>
    <w:basedOn w:val="1"/>
    <w:qFormat/>
    <w:uiPriority w:val="0"/>
    <w:pPr>
      <w:spacing w:line="360" w:lineRule="auto"/>
      <w:ind w:firstLine="200" w:firstLineChars="200"/>
    </w:pPr>
    <w:rPr>
      <w:rFonts w:ascii="宋体" w:hAnsi="宋体" w:cs="宋体"/>
      <w:sz w:val="24"/>
      <w:szCs w:val="24"/>
    </w:rPr>
  </w:style>
  <w:style w:type="paragraph" w:customStyle="1" w:styleId="217">
    <w:name w:val="编号正文"/>
    <w:basedOn w:val="184"/>
    <w:qFormat/>
    <w:uiPriority w:val="0"/>
    <w:pPr>
      <w:snapToGrid/>
      <w:spacing w:line="360" w:lineRule="auto"/>
      <w:ind w:left="1407" w:hanging="1047"/>
      <w:jc w:val="left"/>
    </w:pPr>
    <w:rPr>
      <w:rFonts w:eastAsia="仿宋_GB2312"/>
    </w:rPr>
  </w:style>
  <w:style w:type="paragraph" w:customStyle="1" w:styleId="21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9">
    <w:name w:val="正文字缩2字"/>
    <w:basedOn w:val="1"/>
    <w:qFormat/>
    <w:uiPriority w:val="0"/>
    <w:pPr>
      <w:spacing w:before="60" w:after="60" w:line="360" w:lineRule="auto"/>
      <w:ind w:left="200" w:leftChars="200" w:firstLine="200" w:firstLineChars="200"/>
    </w:pPr>
    <w:rPr>
      <w:sz w:val="24"/>
    </w:rPr>
  </w:style>
  <w:style w:type="paragraph" w:customStyle="1" w:styleId="220">
    <w:name w:val="二级条标题"/>
    <w:basedOn w:val="221"/>
    <w:next w:val="222"/>
    <w:qFormat/>
    <w:uiPriority w:val="0"/>
    <w:pPr>
      <w:ind w:left="840"/>
      <w:outlineLvl w:val="3"/>
    </w:pPr>
  </w:style>
  <w:style w:type="paragraph" w:customStyle="1" w:styleId="221">
    <w:name w:val="一级条标题"/>
    <w:basedOn w:val="161"/>
    <w:next w:val="222"/>
    <w:qFormat/>
    <w:uiPriority w:val="0"/>
    <w:pPr>
      <w:spacing w:beforeLines="0" w:afterLines="0"/>
      <w:ind w:left="525"/>
      <w:outlineLvl w:val="2"/>
    </w:pPr>
    <w:rPr>
      <w:sz w:val="21"/>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Char Char14 Char Char"/>
    <w:basedOn w:val="1"/>
    <w:qFormat/>
    <w:uiPriority w:val="0"/>
    <w:rPr>
      <w:sz w:val="21"/>
      <w:szCs w:val="24"/>
    </w:rPr>
  </w:style>
  <w:style w:type="paragraph" w:customStyle="1" w:styleId="22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25">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2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Char2 Char Char Char Char Char Char"/>
    <w:basedOn w:val="1"/>
    <w:qFormat/>
    <w:uiPriority w:val="0"/>
    <w:rPr>
      <w:rFonts w:ascii="仿宋_GB2312"/>
      <w:b/>
      <w:sz w:val="30"/>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23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3">
    <w:name w:val="样式 宋体 五号 行距: 单倍行距"/>
    <w:basedOn w:val="1"/>
    <w:qFormat/>
    <w:uiPriority w:val="0"/>
    <w:pPr>
      <w:adjustRightInd w:val="0"/>
      <w:jc w:val="left"/>
    </w:pPr>
    <w:rPr>
      <w:rFonts w:ascii="宋体" w:hAnsi="宋体"/>
      <w:kern w:val="0"/>
      <w:sz w:val="21"/>
    </w:rPr>
  </w:style>
  <w:style w:type="paragraph" w:customStyle="1" w:styleId="234">
    <w:name w:val="正文文本缩进 21"/>
    <w:basedOn w:val="1"/>
    <w:qFormat/>
    <w:uiPriority w:val="0"/>
    <w:pPr>
      <w:adjustRightInd w:val="0"/>
      <w:spacing w:before="120"/>
      <w:ind w:firstLine="420"/>
      <w:textAlignment w:val="baseline"/>
    </w:pPr>
    <w:rPr>
      <w:sz w:val="24"/>
    </w:rPr>
  </w:style>
  <w:style w:type="paragraph" w:customStyle="1" w:styleId="23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8">
    <w:name w:val="标准正文"/>
    <w:basedOn w:val="23"/>
    <w:qFormat/>
    <w:uiPriority w:val="0"/>
    <w:pPr>
      <w:spacing w:before="60" w:after="60" w:line="360" w:lineRule="auto"/>
      <w:ind w:left="0" w:firstLine="482"/>
    </w:pPr>
    <w:rPr>
      <w:rFonts w:ascii="Arial" w:hAnsi="Arial"/>
      <w:sz w:val="24"/>
    </w:rPr>
  </w:style>
  <w:style w:type="paragraph" w:customStyle="1" w:styleId="23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4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1">
    <w:name w:val="表头样式"/>
    <w:basedOn w:val="1"/>
    <w:qFormat/>
    <w:uiPriority w:val="0"/>
    <w:pPr>
      <w:autoSpaceDE w:val="0"/>
      <w:autoSpaceDN w:val="0"/>
      <w:adjustRightInd w:val="0"/>
      <w:spacing w:line="360" w:lineRule="auto"/>
      <w:jc w:val="left"/>
    </w:pPr>
    <w:rPr>
      <w:b/>
      <w:kern w:val="0"/>
      <w:sz w:val="21"/>
    </w:rPr>
  </w:style>
  <w:style w:type="paragraph" w:customStyle="1" w:styleId="242">
    <w:name w:val="正文 + 三号"/>
    <w:basedOn w:val="1"/>
    <w:qFormat/>
    <w:uiPriority w:val="0"/>
    <w:rPr>
      <w:sz w:val="21"/>
    </w:rPr>
  </w:style>
  <w:style w:type="paragraph" w:customStyle="1" w:styleId="243">
    <w:name w:val="Char2"/>
    <w:basedOn w:val="1"/>
    <w:qFormat/>
    <w:uiPriority w:val="0"/>
    <w:pPr>
      <w:spacing w:line="240" w:lineRule="atLeast"/>
      <w:ind w:left="420" w:firstLine="420"/>
    </w:pPr>
    <w:rPr>
      <w:kern w:val="0"/>
      <w:sz w:val="21"/>
    </w:rPr>
  </w:style>
  <w:style w:type="paragraph" w:customStyle="1" w:styleId="244">
    <w:name w:val="af"/>
    <w:basedOn w:val="1"/>
    <w:qFormat/>
    <w:uiPriority w:val="0"/>
    <w:pPr>
      <w:widowControl/>
      <w:spacing w:line="300" w:lineRule="atLeast"/>
      <w:jc w:val="left"/>
    </w:pPr>
    <w:rPr>
      <w:rFonts w:ascii="宋体" w:hAnsi="宋体"/>
      <w:kern w:val="0"/>
      <w:sz w:val="18"/>
    </w:rPr>
  </w:style>
  <w:style w:type="paragraph" w:customStyle="1" w:styleId="24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4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7">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49">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50">
    <w:name w:val="正文4"/>
    <w:basedOn w:val="1"/>
    <w:qFormat/>
    <w:uiPriority w:val="0"/>
    <w:pPr>
      <w:tabs>
        <w:tab w:val="left" w:pos="1275"/>
      </w:tabs>
      <w:spacing w:before="60" w:after="60" w:line="360" w:lineRule="auto"/>
      <w:ind w:left="820" w:leftChars="400" w:hanging="705"/>
    </w:pPr>
    <w:rPr>
      <w:sz w:val="24"/>
    </w:rPr>
  </w:style>
  <w:style w:type="paragraph" w:customStyle="1" w:styleId="25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5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5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标书正文:  0.74 厘米"/>
    <w:basedOn w:val="1"/>
    <w:qFormat/>
    <w:uiPriority w:val="0"/>
    <w:pPr>
      <w:snapToGrid w:val="0"/>
      <w:spacing w:line="360" w:lineRule="auto"/>
      <w:ind w:firstLine="420"/>
    </w:pPr>
    <w:rPr>
      <w:sz w:val="24"/>
    </w:rPr>
  </w:style>
  <w:style w:type="paragraph" w:customStyle="1" w:styleId="255">
    <w:name w:val="Char1 Char Char Char1"/>
    <w:basedOn w:val="1"/>
    <w:qFormat/>
    <w:uiPriority w:val="0"/>
    <w:rPr>
      <w:rFonts w:ascii="Tahoma" w:hAnsi="Tahoma"/>
      <w:sz w:val="30"/>
    </w:rPr>
  </w:style>
  <w:style w:type="paragraph" w:customStyle="1" w:styleId="256">
    <w:name w:val="Title - Revision"/>
    <w:basedOn w:val="53"/>
    <w:qFormat/>
    <w:uiPriority w:val="0"/>
    <w:pPr>
      <w:spacing w:before="720"/>
    </w:pPr>
  </w:style>
  <w:style w:type="paragraph" w:customStyle="1" w:styleId="25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58">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character" w:customStyle="1" w:styleId="259">
    <w:name w:val="标题 3 Char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38</Pages>
  <Words>5592</Words>
  <Characters>5882</Characters>
  <Lines>153</Lines>
  <Paragraphs>43</Paragraphs>
  <TotalTime>1</TotalTime>
  <ScaleCrop>false</ScaleCrop>
  <LinksUpToDate>false</LinksUpToDate>
  <CharactersWithSpaces>6070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2025-05-20T10:03:00Z</dcterms:created>
  <dc:creator>qxt</dc:creator>
  <cp:lastModifiedBy>^_^</cp:lastModifiedBy>
  <cp:lastPrinted>2019-12-23T15:07:00Z</cp:lastPrinted>
  <dcterms:modified xsi:type="dcterms:W3CDTF">2025-08-18T10:31:14Z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B13A0E245A4FC4F4081B76689FE759C8</vt:lpwstr>
  </property>
  <property fmtid="{D5CDD505-2E9C-101B-9397-08002B2CF9AE}" pid="4" name="KSOTemplateDocerSaveRecord">
    <vt:lpwstr>eyJoZGlkIjoiYTIxYThmNGFjOTczMGU3NzE3YTU0MjQyYmUwMjBkOWYiLCJ1c2VySWQiOiI4MDI2ODYwNzMifQ==</vt:lpwstr>
  </property>
</Properties>
</file>