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88BD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highlight w:val="none"/>
        </w:rPr>
        <w:t>竞争性比选公告</w:t>
      </w:r>
    </w:p>
    <w:p w14:paraId="36A1C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2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</w:pPr>
    </w:p>
    <w:p w14:paraId="4834E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20" w:firstLineChars="200"/>
        <w:textAlignment w:val="auto"/>
        <w:rPr>
          <w:rFonts w:hint="eastAsia" w:ascii="方正仿宋_GBK" w:hAnsi="方正仿宋_GBK" w:eastAsia="方正仿宋_GBK" w:cs="方正仿宋_GBK"/>
          <w:b/>
          <w:color w:val="auto"/>
          <w:sz w:val="21"/>
          <w:szCs w:val="21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本比选项目</w:t>
      </w:r>
      <w:r>
        <w:rPr>
          <w:rFonts w:hint="eastAsia" w:ascii="方正仿宋_GBK" w:hAnsi="方正仿宋_GBK" w:eastAsia="方正仿宋_GBK" w:cs="方正仿宋_GBK"/>
          <w:bCs/>
          <w:color w:val="auto"/>
          <w:sz w:val="21"/>
          <w:szCs w:val="21"/>
          <w:highlight w:val="none"/>
          <w:u w:val="single"/>
          <w:lang w:eastAsia="zh-CN"/>
        </w:rPr>
        <w:t>加工研发配送中心建设项目（科创中心）电梯采购及安装工程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已批准建设，项目比选人为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u w:val="single"/>
          <w:lang w:eastAsia="zh-CN"/>
        </w:rPr>
        <w:t>重庆龙裕城乡建设开发有限公司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，资金来源为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u w:val="single"/>
          <w:lang w:val="en-US" w:eastAsia="zh-CN"/>
        </w:rPr>
        <w:t>业主自筹资金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，现对该项目进行竞争性比选。</w:t>
      </w:r>
    </w:p>
    <w:p w14:paraId="221B7B0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482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color w:val="auto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color w:val="auto"/>
          <w:szCs w:val="24"/>
          <w:highlight w:val="none"/>
        </w:rPr>
        <w:t>一、项目概况与比选范围</w:t>
      </w:r>
    </w:p>
    <w:p w14:paraId="3F22A58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2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（一）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val="en-US" w:eastAsia="zh-CN"/>
        </w:rPr>
        <w:t>项目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名称：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eastAsia="zh-CN"/>
        </w:rPr>
        <w:t>加工研发配送中心建设项目（科创中心）电梯采购及安装工程。</w:t>
      </w:r>
    </w:p>
    <w:p w14:paraId="27D64AA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2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（二）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val="en-US" w:eastAsia="zh-CN"/>
        </w:rPr>
        <w:t>项目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地点：重庆市铜梁区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val="en-US" w:eastAsia="zh-CN"/>
        </w:rPr>
        <w:t>。</w:t>
      </w:r>
    </w:p>
    <w:p w14:paraId="2F7E6A8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2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（三）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val="en-US" w:eastAsia="zh-CN"/>
        </w:rPr>
        <w:t>项目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概况：包含5台电梯采购、安装及相关配套工程等。具体内容详见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val="en-US" w:eastAsia="zh-CN"/>
        </w:rPr>
        <w:t>技术需求及项目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清单。</w:t>
      </w:r>
    </w:p>
    <w:p w14:paraId="231689A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2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（四）比选范围：具体详见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val="en-US" w:eastAsia="zh-CN"/>
        </w:rPr>
        <w:t>技术需求及项目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清单。</w:t>
      </w:r>
    </w:p>
    <w:p w14:paraId="7E1AD89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2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（五）工期：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u w:val="single"/>
          <w:lang w:val="en-US" w:eastAsia="zh-CN"/>
        </w:rPr>
        <w:t>60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日历天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val="en-US" w:eastAsia="zh-CN"/>
        </w:rPr>
        <w:t>从项目合同签订之日起开始计算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。</w:t>
      </w:r>
    </w:p>
    <w:p w14:paraId="645E212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82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color w:val="auto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color w:val="auto"/>
          <w:szCs w:val="24"/>
          <w:highlight w:val="none"/>
        </w:rPr>
        <w:t>二、竞选人资格</w:t>
      </w:r>
    </w:p>
    <w:p w14:paraId="6A03CAD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22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1"/>
          <w:szCs w:val="21"/>
          <w:highlight w:val="none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1"/>
          <w:szCs w:val="21"/>
          <w:highlight w:val="none"/>
          <w:lang w:val="en-US" w:eastAsia="zh-CN"/>
        </w:rPr>
        <w:t>基本资格条件：</w:t>
      </w:r>
    </w:p>
    <w:p w14:paraId="0A548FD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2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 xml:space="preserve">）具有独立承担民事责任的能力； </w:t>
      </w:r>
    </w:p>
    <w:p w14:paraId="0285F81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2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 xml:space="preserve">）具有良好的商业信誉和健全的财务会计制度； </w:t>
      </w:r>
    </w:p>
    <w:p w14:paraId="721048D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2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 xml:space="preserve">）具有履行合同所必需的设备和专业技术能力； </w:t>
      </w:r>
    </w:p>
    <w:p w14:paraId="1A6C4E57">
      <w:pPr>
        <w:pStyle w:val="6"/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2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eastAsia="zh-CN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 xml:space="preserve">）有依法缴纳税收和社会保障资金的良好记录； </w:t>
      </w:r>
    </w:p>
    <w:p w14:paraId="770F1CF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2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 xml:space="preserve">）参加本项目招投标活动前三年内，在经营活动中没有重大违法记录； </w:t>
      </w:r>
    </w:p>
    <w:p w14:paraId="1F60A06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2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）法律、行政法规规定的其他条件。</w:t>
      </w:r>
    </w:p>
    <w:p w14:paraId="4A3FF58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22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1"/>
          <w:szCs w:val="21"/>
          <w:highlight w:val="none"/>
          <w:lang w:val="en-US" w:eastAsia="zh-CN"/>
        </w:rPr>
        <w:t>（二）特定资格条件：</w:t>
      </w:r>
    </w:p>
    <w:p w14:paraId="360E3B3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2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（1）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val="en-US" w:eastAsia="zh-CN"/>
        </w:rPr>
        <w:t>竞选人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须为在中华人民共和国境内工商登记注册的电梯制造商或代理商，电梯制造厂家只能授权一家代理商参与投标；代理商只能选择一个电梯品牌参与投标；同一品牌电梯制造厂家与代理商不能同时参与本项目投标。</w:t>
      </w:r>
    </w:p>
    <w:p w14:paraId="1FA3509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2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（2）电梯制造商</w:t>
      </w:r>
    </w:p>
    <w:p w14:paraId="64ED7F0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2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具有《中华人民共和国特种设备制造许可证》（电梯）（曳引驱动乘客电梯）B级及以上资质和《中华人民共和国特种设备安装改造维修（或修理）许可证》（乘客电梯的安装及维修（或修理））B级及以上资质或《中华人民共和国特种设备生产许可证》，具体许可项目如下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eastAsia="zh-CN"/>
        </w:rPr>
        <w:t>：</w:t>
      </w:r>
    </w:p>
    <w:tbl>
      <w:tblPr>
        <w:tblStyle w:val="7"/>
        <w:tblW w:w="9720" w:type="dxa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5"/>
        <w:gridCol w:w="4875"/>
      </w:tblGrid>
      <w:tr w14:paraId="1B4DA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5" w:type="dxa"/>
            <w:noWrap w:val="0"/>
            <w:vAlign w:val="center"/>
          </w:tcPr>
          <w:p w14:paraId="31E11F4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firstLine="42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</w:rPr>
              <w:t>许可项目</w:t>
            </w:r>
          </w:p>
        </w:tc>
        <w:tc>
          <w:tcPr>
            <w:tcW w:w="4875" w:type="dxa"/>
            <w:noWrap w:val="0"/>
            <w:vAlign w:val="center"/>
          </w:tcPr>
          <w:p w14:paraId="6D6B778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firstLine="42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</w:rPr>
              <w:t>许可子项目</w:t>
            </w:r>
          </w:p>
        </w:tc>
      </w:tr>
      <w:tr w14:paraId="7D918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5" w:type="dxa"/>
            <w:noWrap w:val="0"/>
            <w:vAlign w:val="center"/>
          </w:tcPr>
          <w:p w14:paraId="78FC804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firstLine="42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</w:rPr>
              <w:t>电梯制造(含安装、修理、改造)</w:t>
            </w:r>
          </w:p>
        </w:tc>
        <w:tc>
          <w:tcPr>
            <w:tcW w:w="4875" w:type="dxa"/>
            <w:noWrap w:val="0"/>
            <w:vAlign w:val="center"/>
          </w:tcPr>
          <w:p w14:paraId="64E4176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firstLine="42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</w:rPr>
              <w:t>曳引驱动乘客电梯(含消防员电梯)</w:t>
            </w:r>
          </w:p>
        </w:tc>
      </w:tr>
    </w:tbl>
    <w:p w14:paraId="1357D3C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2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（3）电梯经销商（代理商）</w:t>
      </w:r>
    </w:p>
    <w:p w14:paraId="7A00EF4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2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1、具备所投产品的制造商对本项目所投产品的销售授权书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eastAsia="zh-CN"/>
        </w:rPr>
        <w:t>；</w:t>
      </w:r>
    </w:p>
    <w:p w14:paraId="29AA521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2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2、所代理品牌的制造商须符合上述对电梯设备制造商的资格要求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eastAsia="zh-CN"/>
        </w:rPr>
        <w:t>；</w:t>
      </w:r>
    </w:p>
    <w:p w14:paraId="2BA5B90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2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3、具有①、②两项要求中的任意一项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eastAsia="zh-CN"/>
        </w:rPr>
        <w:t>：</w:t>
      </w:r>
    </w:p>
    <w:p w14:paraId="4BF46A5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2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①具有市场监督管理部门颁发的且在有效期内的《中华人民共和国特种设备生产许可证》，具体许可项目如下:</w:t>
      </w:r>
    </w:p>
    <w:tbl>
      <w:tblPr>
        <w:tblStyle w:val="7"/>
        <w:tblW w:w="9720" w:type="dxa"/>
        <w:tblInd w:w="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5"/>
        <w:gridCol w:w="4875"/>
      </w:tblGrid>
      <w:tr w14:paraId="57721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5" w:type="dxa"/>
            <w:noWrap w:val="0"/>
            <w:vAlign w:val="center"/>
          </w:tcPr>
          <w:p w14:paraId="685AE37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firstLine="42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</w:rPr>
              <w:t>许可项目</w:t>
            </w:r>
          </w:p>
        </w:tc>
        <w:tc>
          <w:tcPr>
            <w:tcW w:w="4875" w:type="dxa"/>
            <w:noWrap w:val="0"/>
            <w:vAlign w:val="center"/>
          </w:tcPr>
          <w:p w14:paraId="426FAD7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firstLine="42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</w:rPr>
              <w:t>许可子项目</w:t>
            </w:r>
          </w:p>
        </w:tc>
      </w:tr>
      <w:tr w14:paraId="29A1D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5" w:type="dxa"/>
            <w:noWrap w:val="0"/>
            <w:vAlign w:val="center"/>
          </w:tcPr>
          <w:p w14:paraId="532AAAB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firstLine="42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</w:rPr>
              <w:t>电梯安装(含修理)</w:t>
            </w:r>
          </w:p>
        </w:tc>
        <w:tc>
          <w:tcPr>
            <w:tcW w:w="4875" w:type="dxa"/>
            <w:noWrap w:val="0"/>
            <w:vAlign w:val="center"/>
          </w:tcPr>
          <w:p w14:paraId="19E674F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firstLine="42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</w:rPr>
              <w:t>曳引驱动乘客电梯(含消防员电梯)</w:t>
            </w:r>
          </w:p>
        </w:tc>
      </w:tr>
    </w:tbl>
    <w:p w14:paraId="319AEAC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2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②具有原质量技术监督部门颁发的有效期内的《中华人民共和国特种设备安装改造维修（或修理）许可证》（乘客电梯的安装及维修（或修理））B级及以上资质。</w:t>
      </w:r>
    </w:p>
    <w:p w14:paraId="6A9F3E6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2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）供应商单位及其现任法定代表人/主要负责人参加本次采购活动前3年内无行贿犯罪记录。</w:t>
      </w:r>
    </w:p>
    <w:p w14:paraId="1BAECB7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2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）本项目不允许联合体参与采购活动。</w:t>
      </w:r>
    </w:p>
    <w:p w14:paraId="4CAAD7B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82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color w:val="auto"/>
          <w:szCs w:val="24"/>
          <w:highlight w:val="none"/>
        </w:rPr>
        <w:t>三、比选文件的获取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 xml:space="preserve"> </w:t>
      </w:r>
    </w:p>
    <w:p w14:paraId="0CBDD1A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2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val="en-US" w:eastAsia="zh-CN"/>
        </w:rPr>
        <w:t>（一）竞选人应通过“行采家”平台（https://www.gec123.com）进行注册，成为行采家平台供应商。</w:t>
      </w:r>
    </w:p>
    <w:p w14:paraId="03ABC65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2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本项目于202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日起在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val="en-US" w:eastAsia="zh-CN"/>
        </w:rPr>
        <w:t>“行采家”平台（https://www.gec123.com）进行公告，凡有意参与的竞选人请于2025年6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日至202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日（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val="en-US" w:eastAsia="zh-CN"/>
        </w:rPr>
        <w:t>工作日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9：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0—1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0）持单位营业执照（复印件加盖公章）、介绍信（或授权委托书）在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eastAsia="zh-CN"/>
        </w:rPr>
        <w:t>重庆一懿工程咨询有限公司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购买比选文件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val="en-US" w:eastAsia="zh-CN"/>
        </w:rPr>
        <w:t>等相关资料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val="en-US" w:eastAsia="zh-CN"/>
        </w:rPr>
        <w:t>未在规定时间内购买文件的竞选人，其竞选文件将不予受理。</w:t>
      </w:r>
    </w:p>
    <w:p w14:paraId="1A28721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2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比选文件费：500/份（售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eastAsia="zh-CN"/>
        </w:rPr>
        <w:t>后不退）。</w:t>
      </w:r>
    </w:p>
    <w:p w14:paraId="116F2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82" w:firstLineChars="200"/>
        <w:textAlignment w:val="auto"/>
        <w:rPr>
          <w:rFonts w:hint="eastAsia" w:ascii="方正仿宋_GBK" w:hAnsi="方正仿宋_GBK" w:eastAsia="方正仿宋_GBK" w:cs="方正仿宋_GBK"/>
          <w:b/>
          <w:color w:val="auto"/>
          <w:kern w:val="0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color w:val="auto"/>
          <w:kern w:val="0"/>
          <w:sz w:val="24"/>
          <w:szCs w:val="24"/>
          <w:highlight w:val="none"/>
        </w:rPr>
        <w:t xml:space="preserve">四、时间安排及地点 </w:t>
      </w:r>
    </w:p>
    <w:p w14:paraId="769AE7B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2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（一）竞选人在获取到竞争性比选文件等资料后，应仔细检查竞争性比选文件的所有内容，如有疑问等应在北京时间202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日1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:00时前以书面形式递交至代理公司。竞选人未在规定时间内提出质疑，视为竞选人已全面确认竞争性比选文件内容。</w:t>
      </w:r>
    </w:p>
    <w:p w14:paraId="5CBA993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2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（二）202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日17时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0分（北京时间）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val="en-US" w:eastAsia="zh-CN"/>
        </w:rPr>
        <w:t>前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，代理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val="en-US" w:eastAsia="zh-CN"/>
        </w:rPr>
        <w:t>机构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将在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val="en-US" w:eastAsia="zh-CN"/>
        </w:rPr>
        <w:t>“行采家”平台（https://www.gec123.com）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网上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eastAsia="zh-CN"/>
        </w:rPr>
        <w:t>发布答疑或补遗（如果有）。</w:t>
      </w:r>
    </w:p>
    <w:p w14:paraId="67D885A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42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（三）竞选文件递交时间：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u w:val="single"/>
        </w:rPr>
        <w:t>202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u w:val="single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u w:val="single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日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u w:val="single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时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u w:val="single"/>
          <w:lang w:val="en-US" w:eastAsia="zh-CN"/>
        </w:rPr>
        <w:t>00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分-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u w:val="single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u w:val="singl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时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u w:val="single"/>
        </w:rPr>
        <w:t>0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分。</w:t>
      </w:r>
    </w:p>
    <w:p w14:paraId="24B3FB6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42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（四）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eastAsia="zh-CN"/>
        </w:rPr>
        <w:t>开标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时间：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u w:val="single"/>
        </w:rPr>
        <w:t>202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u w:val="single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u w:val="single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日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u w:val="single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时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u w:val="single"/>
        </w:rPr>
        <w:t>0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分。</w:t>
      </w:r>
      <w:bookmarkStart w:id="0" w:name="_GoBack"/>
      <w:bookmarkEnd w:id="0"/>
    </w:p>
    <w:p w14:paraId="35F31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2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（五）竞选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val="en-US" w:eastAsia="zh-CN"/>
        </w:rPr>
        <w:t>文件递交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和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eastAsia="zh-CN"/>
        </w:rPr>
        <w:t>开标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地点：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eastAsia="zh-CN"/>
        </w:rPr>
        <w:t>重庆龙裕城乡建设开发有限公司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val="en-US" w:eastAsia="zh-CN"/>
        </w:rPr>
        <w:t>会议室（重庆市铜梁区南城街道翠英村6组27号）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。</w:t>
      </w:r>
    </w:p>
    <w:p w14:paraId="2924D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82" w:firstLineChars="200"/>
        <w:textAlignment w:val="auto"/>
        <w:rPr>
          <w:rFonts w:hint="eastAsia" w:ascii="方正仿宋_GBK" w:hAnsi="方正仿宋_GBK" w:eastAsia="方正仿宋_GBK" w:cs="方正仿宋_GBK"/>
          <w:b/>
          <w:color w:val="auto"/>
          <w:kern w:val="0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color w:val="auto"/>
          <w:kern w:val="0"/>
          <w:sz w:val="24"/>
          <w:szCs w:val="24"/>
          <w:highlight w:val="none"/>
        </w:rPr>
        <w:t>五、发布公告的媒介</w:t>
      </w:r>
    </w:p>
    <w:p w14:paraId="530E29C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42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本次比选公告在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val="en-US" w:eastAsia="zh-CN"/>
        </w:rPr>
        <w:t>“行采家”平台（https://www.gec123.com）网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上发布。</w:t>
      </w:r>
    </w:p>
    <w:p w14:paraId="7742F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82" w:firstLineChars="200"/>
        <w:textAlignment w:val="auto"/>
        <w:rPr>
          <w:rFonts w:hint="eastAsia" w:ascii="方正仿宋_GBK" w:hAnsi="方正仿宋_GBK" w:eastAsia="方正仿宋_GBK" w:cs="方正仿宋_GBK"/>
          <w:b/>
          <w:color w:val="auto"/>
          <w:kern w:val="0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color w:val="auto"/>
          <w:kern w:val="0"/>
          <w:sz w:val="24"/>
          <w:szCs w:val="24"/>
          <w:highlight w:val="none"/>
        </w:rPr>
        <w:t>六、联系方式</w:t>
      </w:r>
    </w:p>
    <w:p w14:paraId="1CB2A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20" w:firstLineChars="200"/>
        <w:textAlignment w:val="auto"/>
        <w:rPr>
          <w:rFonts w:hint="default" w:ascii="方正仿宋_GBK" w:hAnsi="方正仿宋_GBK" w:eastAsia="方正仿宋_GBK" w:cs="方正仿宋_GBK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1"/>
          <w:szCs w:val="21"/>
          <w:highlight w:val="none"/>
        </w:rPr>
        <w:t>比选人：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1"/>
          <w:szCs w:val="21"/>
          <w:highlight w:val="none"/>
          <w:lang w:val="en-US" w:eastAsia="zh-CN"/>
        </w:rPr>
        <w:t>重庆龙裕城乡建设开发有限公司</w:t>
      </w:r>
    </w:p>
    <w:p w14:paraId="06A35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20" w:firstLineChars="200"/>
        <w:textAlignment w:val="auto"/>
        <w:rPr>
          <w:rFonts w:hint="default" w:ascii="方正仿宋_GBK" w:hAnsi="方正仿宋_GBK" w:eastAsia="方正仿宋_GBK" w:cs="方正仿宋_GBK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1"/>
          <w:szCs w:val="21"/>
          <w:highlight w:val="none"/>
        </w:rPr>
        <w:t>地址：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val="en-US" w:eastAsia="zh-CN"/>
        </w:rPr>
        <w:t>重庆市铜梁区南城街道翠英村6组27号</w:t>
      </w:r>
    </w:p>
    <w:p w14:paraId="2B0A4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20" w:firstLineChars="200"/>
        <w:textAlignment w:val="auto"/>
        <w:rPr>
          <w:rFonts w:hint="default" w:ascii="方正仿宋_GBK" w:hAnsi="方正仿宋_GBK" w:eastAsia="方正仿宋_GBK" w:cs="方正仿宋_GBK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1"/>
          <w:szCs w:val="21"/>
          <w:highlight w:val="none"/>
        </w:rPr>
        <w:t>联系人：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1"/>
          <w:szCs w:val="21"/>
          <w:highlight w:val="none"/>
          <w:lang w:val="en-US" w:eastAsia="zh-CN"/>
        </w:rPr>
        <w:t>郑老师</w:t>
      </w:r>
    </w:p>
    <w:p w14:paraId="64480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20" w:firstLineChars="200"/>
        <w:textAlignment w:val="auto"/>
        <w:rPr>
          <w:rFonts w:hint="default" w:ascii="方正仿宋_GBK" w:hAnsi="方正仿宋_GBK" w:eastAsia="方正仿宋_GBK" w:cs="方正仿宋_GBK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1"/>
          <w:szCs w:val="21"/>
          <w:highlight w:val="none"/>
        </w:rPr>
        <w:t>电话：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1"/>
          <w:szCs w:val="21"/>
          <w:highlight w:val="none"/>
          <w:lang w:val="en-US" w:eastAsia="zh-CN"/>
        </w:rPr>
        <w:t>15102382114</w:t>
      </w:r>
    </w:p>
    <w:p w14:paraId="1D86C22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highlight w:val="none"/>
        </w:rPr>
      </w:pPr>
    </w:p>
    <w:p w14:paraId="7A0EB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2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1"/>
          <w:szCs w:val="21"/>
          <w:highlight w:val="none"/>
        </w:rPr>
        <w:t>比选代理机构：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1"/>
          <w:szCs w:val="21"/>
          <w:highlight w:val="none"/>
          <w:lang w:eastAsia="zh-CN"/>
        </w:rPr>
        <w:t>重庆一懿工程咨询有限公司</w:t>
      </w:r>
    </w:p>
    <w:p w14:paraId="5F0C4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2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地址：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1"/>
          <w:szCs w:val="21"/>
          <w:highlight w:val="none"/>
          <w:lang w:eastAsia="zh-CN"/>
        </w:rPr>
        <w:t>重庆市铜梁区亲水湾九号楼-1-1</w:t>
      </w:r>
    </w:p>
    <w:p w14:paraId="421B6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2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联系人：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val="en-US" w:eastAsia="zh-CN"/>
        </w:rPr>
        <w:t>李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 xml:space="preserve">老师    </w:t>
      </w:r>
    </w:p>
    <w:p w14:paraId="443A6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20" w:firstLineChars="200"/>
        <w:jc w:val="left"/>
        <w:textAlignment w:val="auto"/>
        <w:rPr>
          <w:rFonts w:hint="default" w:ascii="方正仿宋_GBK" w:hAnsi="方正仿宋_GBK" w:eastAsia="方正仿宋_GBK" w:cs="方正仿宋_GBK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  <w:t>电话：18</w:t>
      </w: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lang w:val="en-US" w:eastAsia="zh-CN"/>
        </w:rPr>
        <w:t>108371268</w:t>
      </w:r>
    </w:p>
    <w:p w14:paraId="6E244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20" w:firstLineChars="200"/>
        <w:jc w:val="right"/>
        <w:textAlignment w:val="auto"/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</w:rPr>
      </w:pPr>
    </w:p>
    <w:p w14:paraId="7ACF5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20" w:firstLineChars="200"/>
        <w:jc w:val="right"/>
        <w:textAlignment w:val="auto"/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1"/>
          <w:szCs w:val="21"/>
          <w:highlight w:val="none"/>
          <w:lang w:val="en-US" w:eastAsia="zh-CN"/>
        </w:rPr>
        <w:t>2025年6月11日</w:t>
      </w:r>
    </w:p>
    <w:sectPr>
      <w:footerReference r:id="rId3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ˎ̥">
    <w:altName w:val="Courier New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E7BD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1DA7A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1DA7A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926BF"/>
    <w:rsid w:val="13F926BF"/>
    <w:rsid w:val="2A663C07"/>
    <w:rsid w:val="2EBC6814"/>
    <w:rsid w:val="31A31BD8"/>
    <w:rsid w:val="4C416153"/>
    <w:rsid w:val="5AF92A96"/>
    <w:rsid w:val="6E310F92"/>
    <w:rsid w:val="6EA33270"/>
    <w:rsid w:val="7DC6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8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0"/>
    <w:pPr>
      <w:spacing w:line="520" w:lineRule="exact"/>
      <w:ind w:firstLine="640" w:firstLineChars="200"/>
    </w:pPr>
  </w:style>
  <w:style w:type="paragraph" w:styleId="3">
    <w:name w:val="Body Text"/>
    <w:basedOn w:val="1"/>
    <w:next w:val="1"/>
    <w:uiPriority w:val="0"/>
    <w:pPr>
      <w:spacing w:after="120"/>
    </w:pPr>
    <w:rPr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page number"/>
    <w:qFormat/>
    <w:uiPriority w:val="0"/>
    <w:rPr>
      <w:rFonts w:ascii="ˎ̥" w:hAnsi="ˎ̥" w:cs="宋体"/>
      <w:kern w:val="0"/>
      <w:sz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1625</Words>
  <Characters>1785</Characters>
  <Lines>0</Lines>
  <Paragraphs>0</Paragraphs>
  <TotalTime>9</TotalTime>
  <ScaleCrop>false</ScaleCrop>
  <LinksUpToDate>false</LinksUpToDate>
  <CharactersWithSpaces>1796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2025-06-11T10:36:00Z</dcterms:created>
  <dc:creator>罗菊</dc:creator>
  <cp:lastModifiedBy>罗菊</cp:lastModifiedBy>
  <dcterms:modified xsi:type="dcterms:W3CDTF">2025-06-11T10:59:47Z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E9ABBD0E00024591B02A635779DCDE51_11</vt:lpwstr>
  </property>
  <property fmtid="{D5CDD505-2E9C-101B-9397-08002B2CF9AE}" pid="4" name="KSOTemplateDocerSaveRecord">
    <vt:lpwstr>eyJoZGlkIjoiOWNkZjJmNjhlMGM3NjcwYWQ1NTMzZGNhMjFkNDUxNzQifQ==</vt:lpwstr>
  </property>
</Properties>
</file>