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CF26C">
      <w:pPr>
        <w:spacing w:line="600" w:lineRule="exact"/>
        <w:jc w:val="left"/>
        <w:outlineLvl w:val="0"/>
        <w:rPr>
          <w:rFonts w:ascii="宋体" w:hAnsi="宋体" w:cs="宋体"/>
          <w:color w:val="auto"/>
          <w:highlight w:val="none"/>
        </w:rPr>
      </w:pPr>
    </w:p>
    <w:p w14:paraId="09B784E2">
      <w:pPr>
        <w:spacing w:line="1600" w:lineRule="exact"/>
        <w:jc w:val="center"/>
        <w:outlineLvl w:val="0"/>
        <w:rPr>
          <w:rFonts w:ascii="宋体" w:hAnsi="宋体" w:cs="宋体"/>
          <w:color w:val="auto"/>
          <w:sz w:val="130"/>
          <w:szCs w:val="130"/>
          <w:highlight w:val="none"/>
        </w:rPr>
      </w:pPr>
    </w:p>
    <w:p w14:paraId="237251D7">
      <w:pPr>
        <w:jc w:val="center"/>
        <w:outlineLvl w:val="0"/>
        <w:rPr>
          <w:rFonts w:ascii="宋体" w:hAnsi="宋体" w:cs="宋体"/>
          <w:color w:val="auto"/>
          <w:spacing w:val="80"/>
          <w:sz w:val="112"/>
          <w:szCs w:val="112"/>
          <w:highlight w:val="none"/>
        </w:rPr>
      </w:pPr>
      <w:bookmarkStart w:id="0" w:name="_Toc28822"/>
      <w:bookmarkStart w:id="1" w:name="_Toc25410"/>
      <w:r>
        <w:rPr>
          <w:rFonts w:hint="eastAsia" w:ascii="宋体" w:hAnsi="宋体" w:cs="宋体"/>
          <w:color w:val="auto"/>
          <w:spacing w:val="80"/>
          <w:sz w:val="112"/>
          <w:szCs w:val="112"/>
          <w:highlight w:val="none"/>
          <w:lang w:eastAsia="zh-CN"/>
        </w:rPr>
        <w:t>竞争性磋商</w:t>
      </w:r>
      <w:r>
        <w:rPr>
          <w:rFonts w:hint="eastAsia" w:ascii="宋体" w:hAnsi="宋体" w:cs="宋体"/>
          <w:color w:val="auto"/>
          <w:spacing w:val="80"/>
          <w:sz w:val="112"/>
          <w:szCs w:val="112"/>
          <w:highlight w:val="none"/>
        </w:rPr>
        <w:t>文件</w:t>
      </w:r>
      <w:bookmarkEnd w:id="0"/>
      <w:bookmarkEnd w:id="1"/>
    </w:p>
    <w:p w14:paraId="56FAAB85">
      <w:pPr>
        <w:snapToGrid w:val="0"/>
        <w:jc w:val="center"/>
        <w:rPr>
          <w:rFonts w:ascii="仿宋" w:hAnsi="仿宋" w:eastAsia="仿宋" w:cs="仿宋"/>
          <w:color w:val="auto"/>
          <w:sz w:val="52"/>
          <w:szCs w:val="52"/>
          <w:highlight w:val="none"/>
        </w:rPr>
      </w:pPr>
    </w:p>
    <w:p w14:paraId="7C6B9B92">
      <w:pPr>
        <w:snapToGrid w:val="0"/>
        <w:jc w:val="center"/>
        <w:rPr>
          <w:rFonts w:ascii="仿宋" w:hAnsi="仿宋" w:eastAsia="仿宋" w:cs="仿宋"/>
          <w:color w:val="auto"/>
          <w:sz w:val="52"/>
          <w:szCs w:val="52"/>
          <w:highlight w:val="none"/>
        </w:rPr>
      </w:pPr>
    </w:p>
    <w:p w14:paraId="2BDB6EFB">
      <w:pPr>
        <w:snapToGrid w:val="0"/>
        <w:jc w:val="center"/>
        <w:rPr>
          <w:rFonts w:ascii="宋体" w:hAnsi="宋体" w:cs="宋体"/>
          <w:color w:val="auto"/>
          <w:sz w:val="52"/>
          <w:szCs w:val="52"/>
          <w:highlight w:val="none"/>
        </w:rPr>
      </w:pPr>
      <w:r>
        <w:rPr>
          <w:rFonts w:hint="eastAsia" w:ascii="宋体" w:hAnsi="宋体" w:cs="宋体"/>
          <w:color w:val="auto"/>
          <w:sz w:val="52"/>
          <w:szCs w:val="52"/>
          <w:highlight w:val="none"/>
        </w:rPr>
        <w:t>（综合评分）</w:t>
      </w:r>
    </w:p>
    <w:p w14:paraId="11B0097E">
      <w:pPr>
        <w:pStyle w:val="9"/>
        <w:spacing w:line="500" w:lineRule="exact"/>
        <w:ind w:left="0"/>
        <w:jc w:val="left"/>
        <w:rPr>
          <w:rFonts w:ascii="宋体" w:hAnsi="宋体" w:cs="宋体"/>
          <w:color w:val="auto"/>
          <w:sz w:val="32"/>
          <w:highlight w:val="none"/>
        </w:rPr>
      </w:pPr>
    </w:p>
    <w:p w14:paraId="3A4F8473">
      <w:pPr>
        <w:pStyle w:val="9"/>
        <w:spacing w:line="500" w:lineRule="exact"/>
        <w:ind w:left="0"/>
        <w:jc w:val="center"/>
        <w:rPr>
          <w:rFonts w:ascii="宋体" w:hAnsi="宋体" w:cs="宋体"/>
          <w:color w:val="auto"/>
          <w:sz w:val="32"/>
          <w:highlight w:val="none"/>
        </w:rPr>
      </w:pPr>
    </w:p>
    <w:p w14:paraId="4F4922EE">
      <w:pPr>
        <w:spacing w:line="500" w:lineRule="exact"/>
        <w:ind w:firstLine="2340" w:firstLineChars="650"/>
        <w:jc w:val="left"/>
        <w:outlineLvl w:val="0"/>
        <w:rPr>
          <w:rFonts w:ascii="宋体" w:hAnsi="宋体" w:cs="宋体"/>
          <w:color w:val="auto"/>
          <w:sz w:val="36"/>
          <w:szCs w:val="36"/>
          <w:highlight w:val="none"/>
        </w:rPr>
      </w:pPr>
    </w:p>
    <w:p w14:paraId="08B8D6A4">
      <w:pPr>
        <w:spacing w:line="500" w:lineRule="exact"/>
        <w:jc w:val="center"/>
        <w:outlineLvl w:val="0"/>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rPr>
        <w:t>项目名称：</w:t>
      </w:r>
      <w:r>
        <w:rPr>
          <w:rFonts w:hint="eastAsia" w:ascii="宋体" w:hAnsi="宋体" w:cs="宋体"/>
          <w:b/>
          <w:bCs/>
          <w:color w:val="auto"/>
          <w:sz w:val="36"/>
          <w:szCs w:val="36"/>
          <w:highlight w:val="none"/>
          <w:u w:val="single"/>
          <w:lang w:eastAsia="zh-CN"/>
        </w:rPr>
        <w:t>2025年一般工业固废污泥处置项目</w:t>
      </w:r>
    </w:p>
    <w:p w14:paraId="1B163A4C">
      <w:pPr>
        <w:pStyle w:val="9"/>
        <w:spacing w:line="500" w:lineRule="exact"/>
        <w:ind w:left="0"/>
        <w:rPr>
          <w:rFonts w:ascii="宋体" w:hAnsi="宋体" w:cs="宋体"/>
          <w:color w:val="auto"/>
          <w:sz w:val="32"/>
          <w:highlight w:val="none"/>
        </w:rPr>
      </w:pPr>
    </w:p>
    <w:p w14:paraId="4D979B80">
      <w:pPr>
        <w:spacing w:line="500" w:lineRule="exact"/>
        <w:jc w:val="center"/>
        <w:rPr>
          <w:rFonts w:ascii="宋体" w:hAnsi="宋体" w:cs="宋体"/>
          <w:color w:val="auto"/>
          <w:sz w:val="36"/>
          <w:szCs w:val="36"/>
          <w:highlight w:val="none"/>
        </w:rPr>
      </w:pPr>
    </w:p>
    <w:p w14:paraId="6D344627">
      <w:pPr>
        <w:pStyle w:val="8"/>
        <w:rPr>
          <w:rFonts w:ascii="宋体" w:hAnsi="宋体" w:eastAsia="宋体" w:cs="宋体"/>
          <w:color w:val="auto"/>
          <w:highlight w:val="none"/>
        </w:rPr>
      </w:pPr>
    </w:p>
    <w:p w14:paraId="24853F02">
      <w:pPr>
        <w:spacing w:line="500" w:lineRule="exact"/>
        <w:jc w:val="center"/>
        <w:rPr>
          <w:rFonts w:ascii="宋体" w:hAnsi="宋体" w:cs="宋体"/>
          <w:color w:val="auto"/>
          <w:sz w:val="36"/>
          <w:szCs w:val="36"/>
          <w:highlight w:val="none"/>
        </w:rPr>
      </w:pPr>
    </w:p>
    <w:p w14:paraId="4A930661">
      <w:pPr>
        <w:spacing w:line="500" w:lineRule="exact"/>
        <w:jc w:val="center"/>
        <w:outlineLvl w:val="0"/>
        <w:rPr>
          <w:rFonts w:ascii="宋体" w:hAnsi="宋体" w:cs="宋体"/>
          <w:color w:val="auto"/>
          <w:sz w:val="36"/>
          <w:szCs w:val="36"/>
          <w:highlight w:val="none"/>
        </w:rPr>
      </w:pPr>
      <w:r>
        <w:rPr>
          <w:rFonts w:hint="eastAsia" w:ascii="宋体" w:hAnsi="宋体" w:cs="宋体"/>
          <w:color w:val="auto"/>
          <w:sz w:val="36"/>
          <w:szCs w:val="36"/>
          <w:highlight w:val="none"/>
        </w:rPr>
        <w:t>采购人：凯发新泉高阳污水处理（重庆）有限公司</w:t>
      </w:r>
    </w:p>
    <w:p w14:paraId="7C98410D">
      <w:pPr>
        <w:spacing w:line="500" w:lineRule="exact"/>
        <w:jc w:val="center"/>
        <w:outlineLvl w:val="0"/>
        <w:rPr>
          <w:rFonts w:ascii="宋体" w:hAnsi="宋体" w:cs="宋体"/>
          <w:color w:val="auto"/>
          <w:sz w:val="36"/>
          <w:szCs w:val="36"/>
          <w:highlight w:val="none"/>
        </w:rPr>
      </w:pPr>
      <w:r>
        <w:rPr>
          <w:rFonts w:hint="eastAsia" w:ascii="宋体" w:hAnsi="宋体" w:cs="宋体"/>
          <w:color w:val="auto"/>
          <w:sz w:val="36"/>
          <w:szCs w:val="36"/>
          <w:highlight w:val="none"/>
        </w:rPr>
        <w:t xml:space="preserve">            </w:t>
      </w:r>
    </w:p>
    <w:p w14:paraId="2888CACC">
      <w:pPr>
        <w:spacing w:line="500" w:lineRule="exact"/>
        <w:jc w:val="center"/>
        <w:outlineLvl w:val="0"/>
        <w:rPr>
          <w:rFonts w:ascii="宋体" w:hAnsi="宋体" w:cs="宋体"/>
          <w:color w:val="auto"/>
          <w:sz w:val="36"/>
          <w:szCs w:val="36"/>
          <w:highlight w:val="none"/>
        </w:rPr>
      </w:pPr>
      <w:r>
        <w:rPr>
          <w:rFonts w:hint="eastAsia" w:ascii="宋体" w:hAnsi="宋体" w:cs="宋体"/>
          <w:color w:val="auto"/>
          <w:sz w:val="36"/>
          <w:szCs w:val="36"/>
          <w:highlight w:val="none"/>
        </w:rPr>
        <w:t>采购代理机构：柴盛科技（重庆）有限公司</w:t>
      </w:r>
    </w:p>
    <w:p w14:paraId="0D449006">
      <w:pPr>
        <w:snapToGrid w:val="0"/>
        <w:spacing w:line="500" w:lineRule="exact"/>
        <w:jc w:val="center"/>
        <w:rPr>
          <w:rFonts w:ascii="宋体" w:hAnsi="宋体" w:cs="宋体"/>
          <w:color w:val="auto"/>
          <w:sz w:val="36"/>
          <w:szCs w:val="36"/>
          <w:highlight w:val="none"/>
        </w:rPr>
      </w:pPr>
    </w:p>
    <w:p w14:paraId="6AC98E5A">
      <w:pPr>
        <w:snapToGrid w:val="0"/>
        <w:spacing w:line="500" w:lineRule="exact"/>
        <w:jc w:val="center"/>
        <w:rPr>
          <w:rFonts w:ascii="宋体" w:hAnsi="宋体" w:cs="宋体"/>
          <w:color w:val="auto"/>
          <w:sz w:val="36"/>
          <w:szCs w:val="36"/>
          <w:highlight w:val="none"/>
        </w:rPr>
      </w:pPr>
      <w:r>
        <w:rPr>
          <w:rFonts w:hint="eastAsia" w:ascii="宋体" w:hAnsi="宋体" w:cs="宋体"/>
          <w:color w:val="auto"/>
          <w:sz w:val="36"/>
          <w:szCs w:val="36"/>
          <w:highlight w:val="none"/>
        </w:rPr>
        <w:t>二0二五年</w:t>
      </w:r>
      <w:r>
        <w:rPr>
          <w:rFonts w:hint="eastAsia" w:ascii="宋体" w:hAnsi="宋体" w:cs="宋体"/>
          <w:color w:val="auto"/>
          <w:sz w:val="36"/>
          <w:szCs w:val="36"/>
          <w:highlight w:val="none"/>
          <w:lang w:val="en-US" w:eastAsia="zh-CN"/>
        </w:rPr>
        <w:t>八</w:t>
      </w:r>
      <w:r>
        <w:rPr>
          <w:rFonts w:hint="eastAsia" w:ascii="宋体" w:hAnsi="宋体" w:cs="宋体"/>
          <w:color w:val="auto"/>
          <w:sz w:val="36"/>
          <w:szCs w:val="36"/>
          <w:highlight w:val="none"/>
        </w:rPr>
        <w:t>月</w:t>
      </w:r>
    </w:p>
    <w:p w14:paraId="1A63A8BF">
      <w:pPr>
        <w:snapToGrid w:val="0"/>
        <w:spacing w:line="500" w:lineRule="exact"/>
        <w:rPr>
          <w:rFonts w:ascii="宋体" w:hAnsi="宋体" w:cs="宋体"/>
          <w:color w:val="auto"/>
          <w:sz w:val="44"/>
          <w:highlight w:val="none"/>
        </w:rPr>
        <w:sectPr>
          <w:headerReference r:id="rId4" w:type="first"/>
          <w:footerReference r:id="rId5" w:type="default"/>
          <w:headerReference r:id="rId3" w:type="even"/>
          <w:footerReference r:id="rId6" w:type="even"/>
          <w:pgSz w:w="11907" w:h="16840"/>
          <w:pgMar w:top="1134" w:right="1191" w:bottom="1134" w:left="1304" w:header="964" w:footer="992" w:gutter="0"/>
          <w:pgNumType w:start="1"/>
          <w:cols w:space="720" w:num="1"/>
          <w:titlePg/>
          <w:docGrid w:linePitch="312" w:charSpace="0"/>
        </w:sectPr>
      </w:pPr>
    </w:p>
    <w:p w14:paraId="1C36992A">
      <w:pPr>
        <w:snapToGrid w:val="0"/>
        <w:spacing w:line="500" w:lineRule="exact"/>
        <w:jc w:val="center"/>
        <w:rPr>
          <w:rFonts w:ascii="宋体" w:hAnsi="宋体" w:cs="宋体"/>
          <w:color w:val="auto"/>
          <w:sz w:val="44"/>
          <w:highlight w:val="none"/>
        </w:rPr>
      </w:pPr>
      <w:r>
        <w:rPr>
          <w:rFonts w:hint="eastAsia" w:ascii="宋体" w:hAnsi="宋体" w:cs="宋体"/>
          <w:color w:val="auto"/>
          <w:sz w:val="44"/>
          <w:highlight w:val="none"/>
        </w:rPr>
        <w:t>目  录</w:t>
      </w:r>
    </w:p>
    <w:p w14:paraId="7A447CAF">
      <w:pPr>
        <w:pStyle w:val="15"/>
        <w:tabs>
          <w:tab w:val="right" w:leader="dot" w:pos="9412"/>
          <w:tab w:val="clear" w:pos="1260"/>
          <w:tab w:val="clear" w:pos="1685"/>
          <w:tab w:val="clear" w:pos="8400"/>
        </w:tabs>
        <w:rPr>
          <w:color w:val="auto"/>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TOC \o "1-2" \h \z </w:instrText>
      </w:r>
      <w:r>
        <w:rPr>
          <w:rFonts w:hint="eastAsia" w:ascii="宋体" w:hAnsi="宋体" w:cs="宋体"/>
          <w:color w:val="auto"/>
          <w:sz w:val="21"/>
          <w:szCs w:val="21"/>
          <w:highlight w:val="none"/>
        </w:rPr>
        <w:fldChar w:fldCharType="separate"/>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_Toc26534 </w:instrText>
      </w:r>
      <w:r>
        <w:rPr>
          <w:rFonts w:hint="eastAsia" w:ascii="宋体" w:hAnsi="宋体" w:cs="宋体"/>
          <w:color w:val="auto"/>
          <w:szCs w:val="21"/>
          <w:highlight w:val="none"/>
        </w:rPr>
        <w:fldChar w:fldCharType="separate"/>
      </w:r>
      <w:r>
        <w:rPr>
          <w:rFonts w:hint="eastAsia" w:ascii="宋体" w:hAnsi="宋体" w:eastAsia="宋体" w:cs="宋体"/>
          <w:color w:val="auto"/>
          <w:highlight w:val="none"/>
        </w:rPr>
        <w:t xml:space="preserve">第一篇 </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邀请书</w:t>
      </w:r>
      <w:r>
        <w:rPr>
          <w:color w:val="auto"/>
          <w:highlight w:val="none"/>
        </w:rPr>
        <w:tab/>
      </w:r>
      <w:r>
        <w:rPr>
          <w:color w:val="auto"/>
          <w:highlight w:val="none"/>
        </w:rPr>
        <w:fldChar w:fldCharType="begin"/>
      </w:r>
      <w:r>
        <w:rPr>
          <w:color w:val="auto"/>
          <w:highlight w:val="none"/>
        </w:rPr>
        <w:instrText xml:space="preserve"> PAGEREF _Toc26534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cs="宋体"/>
          <w:color w:val="auto"/>
          <w:szCs w:val="21"/>
          <w:highlight w:val="none"/>
        </w:rPr>
        <w:fldChar w:fldCharType="end"/>
      </w:r>
    </w:p>
    <w:p w14:paraId="17145A59">
      <w:pPr>
        <w:pStyle w:val="16"/>
        <w:tabs>
          <w:tab w:val="right" w:leader="dot" w:pos="9412"/>
          <w:tab w:val="clear" w:pos="8400"/>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_Toc6913 </w:instrText>
      </w:r>
      <w:r>
        <w:rPr>
          <w:rFonts w:hint="eastAsia" w:ascii="宋体" w:hAnsi="宋体" w:cs="宋体"/>
          <w:color w:val="auto"/>
          <w:szCs w:val="21"/>
          <w:highlight w:val="none"/>
        </w:rPr>
        <w:fldChar w:fldCharType="separate"/>
      </w:r>
      <w:r>
        <w:rPr>
          <w:rFonts w:hint="eastAsia" w:cs="宋体"/>
          <w:color w:val="auto"/>
          <w:highlight w:val="none"/>
        </w:rPr>
        <w:t>一、招标项目内容</w:t>
      </w:r>
      <w:r>
        <w:rPr>
          <w:color w:val="auto"/>
          <w:highlight w:val="none"/>
        </w:rPr>
        <w:tab/>
      </w:r>
      <w:r>
        <w:rPr>
          <w:color w:val="auto"/>
          <w:highlight w:val="none"/>
        </w:rPr>
        <w:fldChar w:fldCharType="begin"/>
      </w:r>
      <w:r>
        <w:rPr>
          <w:color w:val="auto"/>
          <w:highlight w:val="none"/>
        </w:rPr>
        <w:instrText xml:space="preserve"> PAGEREF _Toc6913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cs="宋体"/>
          <w:color w:val="auto"/>
          <w:szCs w:val="21"/>
          <w:highlight w:val="none"/>
        </w:rPr>
        <w:fldChar w:fldCharType="end"/>
      </w:r>
    </w:p>
    <w:p w14:paraId="20F37C36">
      <w:pPr>
        <w:pStyle w:val="16"/>
        <w:tabs>
          <w:tab w:val="right" w:leader="dot" w:pos="9412"/>
          <w:tab w:val="clear" w:pos="8400"/>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_Toc26904 </w:instrText>
      </w:r>
      <w:r>
        <w:rPr>
          <w:rFonts w:hint="eastAsia" w:ascii="宋体" w:hAnsi="宋体" w:cs="宋体"/>
          <w:color w:val="auto"/>
          <w:szCs w:val="21"/>
          <w:highlight w:val="none"/>
        </w:rPr>
        <w:fldChar w:fldCharType="separate"/>
      </w:r>
      <w:r>
        <w:rPr>
          <w:rFonts w:hint="eastAsia" w:cs="宋体"/>
          <w:color w:val="auto"/>
          <w:highlight w:val="none"/>
        </w:rPr>
        <w:t>二、资金来源</w:t>
      </w:r>
      <w:r>
        <w:rPr>
          <w:color w:val="auto"/>
          <w:highlight w:val="none"/>
        </w:rPr>
        <w:tab/>
      </w:r>
      <w:r>
        <w:rPr>
          <w:color w:val="auto"/>
          <w:highlight w:val="none"/>
        </w:rPr>
        <w:fldChar w:fldCharType="begin"/>
      </w:r>
      <w:r>
        <w:rPr>
          <w:color w:val="auto"/>
          <w:highlight w:val="none"/>
        </w:rPr>
        <w:instrText xml:space="preserve"> PAGEREF _Toc26904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cs="宋体"/>
          <w:color w:val="auto"/>
          <w:szCs w:val="21"/>
          <w:highlight w:val="none"/>
        </w:rPr>
        <w:fldChar w:fldCharType="end"/>
      </w:r>
    </w:p>
    <w:p w14:paraId="5CA34BE8">
      <w:pPr>
        <w:pStyle w:val="16"/>
        <w:tabs>
          <w:tab w:val="right" w:leader="dot" w:pos="9412"/>
          <w:tab w:val="clear" w:pos="8400"/>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_Toc11471 </w:instrText>
      </w:r>
      <w:r>
        <w:rPr>
          <w:rFonts w:hint="eastAsia" w:ascii="宋体" w:hAnsi="宋体" w:cs="宋体"/>
          <w:color w:val="auto"/>
          <w:szCs w:val="21"/>
          <w:highlight w:val="none"/>
        </w:rPr>
        <w:fldChar w:fldCharType="separate"/>
      </w:r>
      <w:r>
        <w:rPr>
          <w:rFonts w:hint="eastAsia" w:cs="宋体"/>
          <w:color w:val="auto"/>
          <w:highlight w:val="none"/>
        </w:rPr>
        <w:t>三、</w:t>
      </w:r>
      <w:r>
        <w:rPr>
          <w:rFonts w:hint="eastAsia" w:cs="宋体"/>
          <w:color w:val="auto"/>
          <w:highlight w:val="none"/>
          <w:lang w:eastAsia="zh-CN"/>
        </w:rPr>
        <w:t>供应商</w:t>
      </w:r>
      <w:r>
        <w:rPr>
          <w:rFonts w:hint="eastAsia" w:cs="宋体"/>
          <w:color w:val="auto"/>
          <w:highlight w:val="none"/>
        </w:rPr>
        <w:t>资格要求</w:t>
      </w:r>
      <w:r>
        <w:rPr>
          <w:color w:val="auto"/>
          <w:highlight w:val="none"/>
        </w:rPr>
        <w:tab/>
      </w:r>
      <w:r>
        <w:rPr>
          <w:color w:val="auto"/>
          <w:highlight w:val="none"/>
        </w:rPr>
        <w:fldChar w:fldCharType="begin"/>
      </w:r>
      <w:r>
        <w:rPr>
          <w:color w:val="auto"/>
          <w:highlight w:val="none"/>
        </w:rPr>
        <w:instrText xml:space="preserve"> PAGEREF _Toc11471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cs="宋体"/>
          <w:color w:val="auto"/>
          <w:szCs w:val="21"/>
          <w:highlight w:val="none"/>
        </w:rPr>
        <w:fldChar w:fldCharType="end"/>
      </w:r>
    </w:p>
    <w:p w14:paraId="5B28D174">
      <w:pPr>
        <w:pStyle w:val="16"/>
        <w:tabs>
          <w:tab w:val="right" w:leader="dot" w:pos="9412"/>
          <w:tab w:val="clear" w:pos="8400"/>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_Toc25702 </w:instrText>
      </w:r>
      <w:r>
        <w:rPr>
          <w:rFonts w:hint="eastAsia" w:ascii="宋体" w:hAnsi="宋体" w:cs="宋体"/>
          <w:color w:val="auto"/>
          <w:szCs w:val="21"/>
          <w:highlight w:val="none"/>
        </w:rPr>
        <w:fldChar w:fldCharType="separate"/>
      </w:r>
      <w:r>
        <w:rPr>
          <w:rFonts w:hint="eastAsia" w:cs="宋体"/>
          <w:color w:val="auto"/>
          <w:highlight w:val="none"/>
        </w:rPr>
        <w:t>四、投标、开标有关说明</w:t>
      </w:r>
      <w:r>
        <w:rPr>
          <w:color w:val="auto"/>
          <w:highlight w:val="none"/>
        </w:rPr>
        <w:tab/>
      </w:r>
      <w:r>
        <w:rPr>
          <w:color w:val="auto"/>
          <w:highlight w:val="none"/>
        </w:rPr>
        <w:fldChar w:fldCharType="begin"/>
      </w:r>
      <w:r>
        <w:rPr>
          <w:color w:val="auto"/>
          <w:highlight w:val="none"/>
        </w:rPr>
        <w:instrText xml:space="preserve"> PAGEREF _Toc25702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cs="宋体"/>
          <w:color w:val="auto"/>
          <w:szCs w:val="21"/>
          <w:highlight w:val="none"/>
        </w:rPr>
        <w:fldChar w:fldCharType="end"/>
      </w:r>
    </w:p>
    <w:p w14:paraId="29CADE31">
      <w:pPr>
        <w:pStyle w:val="16"/>
        <w:tabs>
          <w:tab w:val="right" w:leader="dot" w:pos="9412"/>
          <w:tab w:val="clear" w:pos="8400"/>
        </w:tabs>
        <w:rPr>
          <w:color w:val="auto"/>
          <w:highlight w:val="none"/>
        </w:rPr>
      </w:pPr>
      <w:r>
        <w:rPr>
          <w:rFonts w:hint="eastAsia" w:cs="宋体"/>
          <w:b/>
          <w:color w:val="auto"/>
          <w:sz w:val="24"/>
          <w:highlight w:val="none"/>
        </w:rPr>
        <w:t>※</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_Toc20313 </w:instrText>
      </w:r>
      <w:r>
        <w:rPr>
          <w:rFonts w:hint="eastAsia" w:ascii="宋体" w:hAnsi="宋体" w:cs="宋体"/>
          <w:color w:val="auto"/>
          <w:szCs w:val="21"/>
          <w:highlight w:val="none"/>
        </w:rPr>
        <w:fldChar w:fldCharType="separate"/>
      </w:r>
      <w:r>
        <w:rPr>
          <w:rFonts w:hint="eastAsia" w:cs="宋体"/>
          <w:color w:val="auto"/>
          <w:highlight w:val="none"/>
        </w:rPr>
        <w:t>五、</w:t>
      </w:r>
      <w:r>
        <w:rPr>
          <w:rFonts w:hint="eastAsia" w:cs="宋体"/>
          <w:color w:val="auto"/>
          <w:highlight w:val="none"/>
          <w:lang w:val="en-US" w:eastAsia="zh-CN"/>
        </w:rPr>
        <w:t>磋商</w:t>
      </w:r>
      <w:r>
        <w:rPr>
          <w:rFonts w:hint="eastAsia" w:cs="宋体"/>
          <w:color w:val="auto"/>
          <w:highlight w:val="none"/>
        </w:rPr>
        <w:t>保证金</w:t>
      </w:r>
      <w:r>
        <w:rPr>
          <w:color w:val="auto"/>
          <w:highlight w:val="none"/>
        </w:rPr>
        <w:tab/>
      </w:r>
      <w:r>
        <w:rPr>
          <w:color w:val="auto"/>
          <w:highlight w:val="none"/>
        </w:rPr>
        <w:fldChar w:fldCharType="begin"/>
      </w:r>
      <w:r>
        <w:rPr>
          <w:color w:val="auto"/>
          <w:highlight w:val="none"/>
        </w:rPr>
        <w:instrText xml:space="preserve"> PAGEREF _Toc20313 \h </w:instrText>
      </w:r>
      <w:r>
        <w:rPr>
          <w:color w:val="auto"/>
          <w:highlight w:val="none"/>
        </w:rPr>
        <w:fldChar w:fldCharType="separate"/>
      </w:r>
      <w:r>
        <w:rPr>
          <w:color w:val="auto"/>
          <w:highlight w:val="none"/>
        </w:rPr>
        <w:t>- 5 -</w:t>
      </w:r>
      <w:r>
        <w:rPr>
          <w:color w:val="auto"/>
          <w:highlight w:val="none"/>
        </w:rPr>
        <w:fldChar w:fldCharType="end"/>
      </w:r>
      <w:r>
        <w:rPr>
          <w:rFonts w:hint="eastAsia" w:ascii="宋体" w:hAnsi="宋体" w:cs="宋体"/>
          <w:color w:val="auto"/>
          <w:szCs w:val="21"/>
          <w:highlight w:val="none"/>
        </w:rPr>
        <w:fldChar w:fldCharType="end"/>
      </w:r>
    </w:p>
    <w:p w14:paraId="4154F080">
      <w:pPr>
        <w:pStyle w:val="16"/>
        <w:tabs>
          <w:tab w:val="right" w:leader="dot" w:pos="9412"/>
          <w:tab w:val="clear" w:pos="8400"/>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_Toc19339 </w:instrText>
      </w:r>
      <w:r>
        <w:rPr>
          <w:rFonts w:hint="eastAsia" w:ascii="宋体" w:hAnsi="宋体" w:cs="宋体"/>
          <w:color w:val="auto"/>
          <w:szCs w:val="21"/>
          <w:highlight w:val="none"/>
        </w:rPr>
        <w:fldChar w:fldCharType="separate"/>
      </w:r>
      <w:r>
        <w:rPr>
          <w:rFonts w:hint="eastAsia" w:cs="宋体"/>
          <w:color w:val="auto"/>
          <w:highlight w:val="none"/>
        </w:rPr>
        <w:t>六、</w:t>
      </w:r>
      <w:r>
        <w:rPr>
          <w:rFonts w:hint="eastAsia" w:cs="宋体"/>
          <w:color w:val="auto"/>
          <w:highlight w:val="none"/>
          <w:lang w:val="en-US" w:eastAsia="zh-CN"/>
        </w:rPr>
        <w:t>磋商</w:t>
      </w:r>
      <w:r>
        <w:rPr>
          <w:rFonts w:hint="eastAsia" w:cs="宋体"/>
          <w:color w:val="auto"/>
          <w:highlight w:val="none"/>
        </w:rPr>
        <w:t>有关规定</w:t>
      </w:r>
      <w:r>
        <w:rPr>
          <w:color w:val="auto"/>
          <w:highlight w:val="none"/>
        </w:rPr>
        <w:tab/>
      </w:r>
      <w:r>
        <w:rPr>
          <w:color w:val="auto"/>
          <w:highlight w:val="none"/>
        </w:rPr>
        <w:fldChar w:fldCharType="begin"/>
      </w:r>
      <w:r>
        <w:rPr>
          <w:color w:val="auto"/>
          <w:highlight w:val="none"/>
        </w:rPr>
        <w:instrText xml:space="preserve"> PAGEREF _Toc19339 \h </w:instrText>
      </w:r>
      <w:r>
        <w:rPr>
          <w:color w:val="auto"/>
          <w:highlight w:val="none"/>
        </w:rPr>
        <w:fldChar w:fldCharType="separate"/>
      </w:r>
      <w:r>
        <w:rPr>
          <w:color w:val="auto"/>
          <w:highlight w:val="none"/>
        </w:rPr>
        <w:t>- 5 -</w:t>
      </w:r>
      <w:r>
        <w:rPr>
          <w:color w:val="auto"/>
          <w:highlight w:val="none"/>
        </w:rPr>
        <w:fldChar w:fldCharType="end"/>
      </w:r>
      <w:r>
        <w:rPr>
          <w:rFonts w:hint="eastAsia" w:ascii="宋体" w:hAnsi="宋体" w:cs="宋体"/>
          <w:color w:val="auto"/>
          <w:szCs w:val="21"/>
          <w:highlight w:val="none"/>
        </w:rPr>
        <w:fldChar w:fldCharType="end"/>
      </w:r>
    </w:p>
    <w:p w14:paraId="25A1994A">
      <w:pPr>
        <w:pStyle w:val="16"/>
        <w:tabs>
          <w:tab w:val="right" w:leader="dot" w:pos="9412"/>
          <w:tab w:val="clear" w:pos="8400"/>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_Toc2370 </w:instrText>
      </w:r>
      <w:r>
        <w:rPr>
          <w:rFonts w:hint="eastAsia" w:ascii="宋体" w:hAnsi="宋体" w:cs="宋体"/>
          <w:color w:val="auto"/>
          <w:szCs w:val="21"/>
          <w:highlight w:val="none"/>
        </w:rPr>
        <w:fldChar w:fldCharType="separate"/>
      </w:r>
      <w:r>
        <w:rPr>
          <w:rFonts w:hint="eastAsia" w:cs="宋体"/>
          <w:color w:val="auto"/>
          <w:highlight w:val="none"/>
        </w:rPr>
        <w:t>七、联系方式</w:t>
      </w:r>
      <w:r>
        <w:rPr>
          <w:color w:val="auto"/>
          <w:highlight w:val="none"/>
        </w:rPr>
        <w:tab/>
      </w:r>
      <w:r>
        <w:rPr>
          <w:color w:val="auto"/>
          <w:highlight w:val="none"/>
        </w:rPr>
        <w:fldChar w:fldCharType="begin"/>
      </w:r>
      <w:r>
        <w:rPr>
          <w:color w:val="auto"/>
          <w:highlight w:val="none"/>
        </w:rPr>
        <w:instrText xml:space="preserve"> PAGEREF _Toc2370 \h </w:instrText>
      </w:r>
      <w:r>
        <w:rPr>
          <w:color w:val="auto"/>
          <w:highlight w:val="none"/>
        </w:rPr>
        <w:fldChar w:fldCharType="separate"/>
      </w:r>
      <w:r>
        <w:rPr>
          <w:color w:val="auto"/>
          <w:highlight w:val="none"/>
        </w:rPr>
        <w:t>- 6 -</w:t>
      </w:r>
      <w:r>
        <w:rPr>
          <w:color w:val="auto"/>
          <w:highlight w:val="none"/>
        </w:rPr>
        <w:fldChar w:fldCharType="end"/>
      </w:r>
      <w:r>
        <w:rPr>
          <w:rFonts w:hint="eastAsia" w:ascii="宋体" w:hAnsi="宋体" w:cs="宋体"/>
          <w:color w:val="auto"/>
          <w:szCs w:val="21"/>
          <w:highlight w:val="none"/>
        </w:rPr>
        <w:fldChar w:fldCharType="end"/>
      </w:r>
    </w:p>
    <w:p w14:paraId="7661F187">
      <w:pPr>
        <w:pStyle w:val="16"/>
        <w:tabs>
          <w:tab w:val="right" w:leader="dot" w:pos="9412"/>
          <w:tab w:val="clear" w:pos="8400"/>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_Toc15589 </w:instrText>
      </w:r>
      <w:r>
        <w:rPr>
          <w:rFonts w:hint="eastAsia" w:ascii="宋体" w:hAnsi="宋体" w:cs="宋体"/>
          <w:color w:val="auto"/>
          <w:szCs w:val="21"/>
          <w:highlight w:val="none"/>
        </w:rPr>
        <w:fldChar w:fldCharType="separate"/>
      </w:r>
      <w:r>
        <w:rPr>
          <w:rFonts w:hint="eastAsia" w:cs="宋体"/>
          <w:color w:val="auto"/>
          <w:highlight w:val="none"/>
        </w:rPr>
        <w:t>八、项目现场踏勘</w:t>
      </w:r>
      <w:r>
        <w:rPr>
          <w:color w:val="auto"/>
          <w:highlight w:val="none"/>
        </w:rPr>
        <w:tab/>
      </w:r>
      <w:r>
        <w:rPr>
          <w:color w:val="auto"/>
          <w:highlight w:val="none"/>
        </w:rPr>
        <w:fldChar w:fldCharType="begin"/>
      </w:r>
      <w:r>
        <w:rPr>
          <w:color w:val="auto"/>
          <w:highlight w:val="none"/>
        </w:rPr>
        <w:instrText xml:space="preserve"> PAGEREF _Toc15589 \h </w:instrText>
      </w:r>
      <w:r>
        <w:rPr>
          <w:color w:val="auto"/>
          <w:highlight w:val="none"/>
        </w:rPr>
        <w:fldChar w:fldCharType="separate"/>
      </w:r>
      <w:r>
        <w:rPr>
          <w:color w:val="auto"/>
          <w:highlight w:val="none"/>
        </w:rPr>
        <w:t>- 6 -</w:t>
      </w:r>
      <w:r>
        <w:rPr>
          <w:color w:val="auto"/>
          <w:highlight w:val="none"/>
        </w:rPr>
        <w:fldChar w:fldCharType="end"/>
      </w:r>
      <w:r>
        <w:rPr>
          <w:rFonts w:hint="eastAsia" w:ascii="宋体" w:hAnsi="宋体" w:cs="宋体"/>
          <w:color w:val="auto"/>
          <w:szCs w:val="21"/>
          <w:highlight w:val="none"/>
        </w:rPr>
        <w:fldChar w:fldCharType="end"/>
      </w:r>
    </w:p>
    <w:p w14:paraId="3395FB2E">
      <w:pPr>
        <w:pStyle w:val="15"/>
        <w:tabs>
          <w:tab w:val="right" w:leader="dot" w:pos="9412"/>
          <w:tab w:val="clear" w:pos="1260"/>
          <w:tab w:val="clear" w:pos="1685"/>
          <w:tab w:val="clear" w:pos="8400"/>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_Toc4243 </w:instrText>
      </w:r>
      <w:r>
        <w:rPr>
          <w:rFonts w:hint="eastAsia" w:ascii="宋体" w:hAnsi="宋体" w:cs="宋体"/>
          <w:color w:val="auto"/>
          <w:szCs w:val="21"/>
          <w:highlight w:val="none"/>
        </w:rPr>
        <w:fldChar w:fldCharType="separate"/>
      </w:r>
      <w:r>
        <w:rPr>
          <w:rFonts w:hint="eastAsia" w:ascii="宋体" w:hAnsi="宋体" w:eastAsia="宋体" w:cs="宋体"/>
          <w:color w:val="auto"/>
          <w:highlight w:val="none"/>
        </w:rPr>
        <w:t>第二篇 项目服务需求</w:t>
      </w:r>
      <w:r>
        <w:rPr>
          <w:color w:val="auto"/>
          <w:highlight w:val="none"/>
        </w:rPr>
        <w:tab/>
      </w:r>
      <w:r>
        <w:rPr>
          <w:color w:val="auto"/>
          <w:highlight w:val="none"/>
        </w:rPr>
        <w:fldChar w:fldCharType="begin"/>
      </w:r>
      <w:r>
        <w:rPr>
          <w:color w:val="auto"/>
          <w:highlight w:val="none"/>
        </w:rPr>
        <w:instrText xml:space="preserve"> PAGEREF _Toc4243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cs="宋体"/>
          <w:color w:val="auto"/>
          <w:szCs w:val="21"/>
          <w:highlight w:val="none"/>
        </w:rPr>
        <w:fldChar w:fldCharType="end"/>
      </w:r>
    </w:p>
    <w:p w14:paraId="4E3794CF">
      <w:pPr>
        <w:pStyle w:val="16"/>
        <w:tabs>
          <w:tab w:val="right" w:leader="dot" w:pos="9412"/>
          <w:tab w:val="clear" w:pos="8400"/>
        </w:tabs>
        <w:rPr>
          <w:color w:val="auto"/>
          <w:highlight w:val="none"/>
        </w:rPr>
      </w:pPr>
      <w:r>
        <w:rPr>
          <w:rFonts w:hint="eastAsia" w:cs="宋体"/>
          <w:b/>
          <w:color w:val="auto"/>
          <w:sz w:val="24"/>
          <w:highlight w:val="none"/>
        </w:rPr>
        <w:t>※</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_Toc27381 </w:instrText>
      </w:r>
      <w:r>
        <w:rPr>
          <w:rFonts w:hint="eastAsia" w:ascii="宋体" w:hAnsi="宋体" w:cs="宋体"/>
          <w:color w:val="auto"/>
          <w:szCs w:val="21"/>
          <w:highlight w:val="none"/>
        </w:rPr>
        <w:fldChar w:fldCharType="separate"/>
      </w:r>
      <w:r>
        <w:rPr>
          <w:rFonts w:hint="eastAsia" w:cs="宋体"/>
          <w:color w:val="auto"/>
          <w:highlight w:val="none"/>
        </w:rPr>
        <w:t>一、招标项目服务需求一览表</w:t>
      </w:r>
      <w:r>
        <w:rPr>
          <w:color w:val="auto"/>
          <w:highlight w:val="none"/>
        </w:rPr>
        <w:tab/>
      </w:r>
      <w:r>
        <w:rPr>
          <w:color w:val="auto"/>
          <w:highlight w:val="none"/>
        </w:rPr>
        <w:fldChar w:fldCharType="begin"/>
      </w:r>
      <w:r>
        <w:rPr>
          <w:color w:val="auto"/>
          <w:highlight w:val="none"/>
        </w:rPr>
        <w:instrText xml:space="preserve"> PAGEREF _Toc27381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cs="宋体"/>
          <w:color w:val="auto"/>
          <w:szCs w:val="21"/>
          <w:highlight w:val="none"/>
        </w:rPr>
        <w:fldChar w:fldCharType="end"/>
      </w:r>
    </w:p>
    <w:p w14:paraId="3B520D0D">
      <w:pPr>
        <w:pStyle w:val="16"/>
        <w:tabs>
          <w:tab w:val="right" w:leader="dot" w:pos="9412"/>
          <w:tab w:val="clear" w:pos="8400"/>
        </w:tabs>
        <w:rPr>
          <w:color w:val="auto"/>
          <w:highlight w:val="none"/>
        </w:rPr>
      </w:pPr>
      <w:r>
        <w:rPr>
          <w:rFonts w:hint="eastAsia" w:cs="宋体"/>
          <w:b/>
          <w:color w:val="auto"/>
          <w:sz w:val="24"/>
          <w:highlight w:val="none"/>
        </w:rPr>
        <w:t>※</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_Toc14332 </w:instrText>
      </w:r>
      <w:r>
        <w:rPr>
          <w:rFonts w:hint="eastAsia" w:ascii="宋体" w:hAnsi="宋体" w:cs="宋体"/>
          <w:color w:val="auto"/>
          <w:szCs w:val="21"/>
          <w:highlight w:val="none"/>
        </w:rPr>
        <w:fldChar w:fldCharType="separate"/>
      </w:r>
      <w:r>
        <w:rPr>
          <w:rFonts w:hint="eastAsia" w:cs="宋体"/>
          <w:color w:val="auto"/>
          <w:highlight w:val="none"/>
        </w:rPr>
        <w:t>二、招标项目服务需求</w:t>
      </w:r>
      <w:r>
        <w:rPr>
          <w:color w:val="auto"/>
          <w:highlight w:val="none"/>
        </w:rPr>
        <w:tab/>
      </w:r>
      <w:r>
        <w:rPr>
          <w:color w:val="auto"/>
          <w:highlight w:val="none"/>
        </w:rPr>
        <w:fldChar w:fldCharType="begin"/>
      </w:r>
      <w:r>
        <w:rPr>
          <w:color w:val="auto"/>
          <w:highlight w:val="none"/>
        </w:rPr>
        <w:instrText xml:space="preserve"> PAGEREF _Toc14332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cs="宋体"/>
          <w:color w:val="auto"/>
          <w:szCs w:val="21"/>
          <w:highlight w:val="none"/>
        </w:rPr>
        <w:fldChar w:fldCharType="end"/>
      </w:r>
    </w:p>
    <w:p w14:paraId="1B9538C3">
      <w:pPr>
        <w:pStyle w:val="15"/>
        <w:tabs>
          <w:tab w:val="right" w:leader="dot" w:pos="9412"/>
          <w:tab w:val="clear" w:pos="1260"/>
          <w:tab w:val="clear" w:pos="1685"/>
          <w:tab w:val="clear" w:pos="8400"/>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_Toc26390 </w:instrText>
      </w:r>
      <w:r>
        <w:rPr>
          <w:rFonts w:hint="eastAsia" w:ascii="宋体" w:hAnsi="宋体" w:cs="宋体"/>
          <w:color w:val="auto"/>
          <w:szCs w:val="21"/>
          <w:highlight w:val="none"/>
        </w:rPr>
        <w:fldChar w:fldCharType="separate"/>
      </w:r>
      <w:r>
        <w:rPr>
          <w:rFonts w:hint="eastAsia" w:ascii="宋体" w:hAnsi="宋体" w:eastAsia="宋体" w:cs="宋体"/>
          <w:color w:val="auto"/>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_Toc26390 \h </w:instrText>
      </w:r>
      <w:r>
        <w:rPr>
          <w:color w:val="auto"/>
          <w:highlight w:val="none"/>
        </w:rPr>
        <w:fldChar w:fldCharType="separate"/>
      </w:r>
      <w:r>
        <w:rPr>
          <w:color w:val="auto"/>
          <w:highlight w:val="none"/>
        </w:rPr>
        <w:t>- 9 -</w:t>
      </w:r>
      <w:r>
        <w:rPr>
          <w:color w:val="auto"/>
          <w:highlight w:val="none"/>
        </w:rPr>
        <w:fldChar w:fldCharType="end"/>
      </w:r>
      <w:r>
        <w:rPr>
          <w:rFonts w:hint="eastAsia" w:ascii="宋体" w:hAnsi="宋体" w:cs="宋体"/>
          <w:color w:val="auto"/>
          <w:szCs w:val="21"/>
          <w:highlight w:val="none"/>
        </w:rPr>
        <w:fldChar w:fldCharType="end"/>
      </w:r>
    </w:p>
    <w:p w14:paraId="383A758E">
      <w:pPr>
        <w:pStyle w:val="16"/>
        <w:tabs>
          <w:tab w:val="right" w:leader="dot" w:pos="9412"/>
          <w:tab w:val="clear" w:pos="8400"/>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_Toc22313 </w:instrText>
      </w:r>
      <w:r>
        <w:rPr>
          <w:rFonts w:hint="eastAsia" w:ascii="宋体" w:hAnsi="宋体" w:cs="宋体"/>
          <w:color w:val="auto"/>
          <w:szCs w:val="21"/>
          <w:highlight w:val="none"/>
        </w:rPr>
        <w:fldChar w:fldCharType="separate"/>
      </w:r>
      <w:r>
        <w:rPr>
          <w:rFonts w:hint="eastAsia" w:cs="宋体"/>
          <w:color w:val="auto"/>
          <w:szCs w:val="24"/>
          <w:highlight w:val="none"/>
        </w:rPr>
        <w:t>一、服务期、服务地点及考核方式</w:t>
      </w:r>
      <w:r>
        <w:rPr>
          <w:color w:val="auto"/>
          <w:highlight w:val="none"/>
        </w:rPr>
        <w:tab/>
      </w:r>
      <w:r>
        <w:rPr>
          <w:color w:val="auto"/>
          <w:highlight w:val="none"/>
        </w:rPr>
        <w:fldChar w:fldCharType="begin"/>
      </w:r>
      <w:r>
        <w:rPr>
          <w:color w:val="auto"/>
          <w:highlight w:val="none"/>
        </w:rPr>
        <w:instrText xml:space="preserve"> PAGEREF _Toc22313 \h </w:instrText>
      </w:r>
      <w:r>
        <w:rPr>
          <w:color w:val="auto"/>
          <w:highlight w:val="none"/>
        </w:rPr>
        <w:fldChar w:fldCharType="separate"/>
      </w:r>
      <w:r>
        <w:rPr>
          <w:color w:val="auto"/>
          <w:highlight w:val="none"/>
        </w:rPr>
        <w:t>- 9 -</w:t>
      </w:r>
      <w:r>
        <w:rPr>
          <w:color w:val="auto"/>
          <w:highlight w:val="none"/>
        </w:rPr>
        <w:fldChar w:fldCharType="end"/>
      </w:r>
      <w:r>
        <w:rPr>
          <w:rFonts w:hint="eastAsia" w:ascii="宋体" w:hAnsi="宋体" w:cs="宋体"/>
          <w:color w:val="auto"/>
          <w:szCs w:val="21"/>
          <w:highlight w:val="none"/>
        </w:rPr>
        <w:fldChar w:fldCharType="end"/>
      </w:r>
    </w:p>
    <w:p w14:paraId="539F9772">
      <w:pPr>
        <w:pStyle w:val="16"/>
        <w:tabs>
          <w:tab w:val="right" w:leader="dot" w:pos="9412"/>
          <w:tab w:val="clear" w:pos="8400"/>
        </w:tabs>
        <w:rPr>
          <w:color w:val="auto"/>
          <w:highlight w:val="none"/>
        </w:rPr>
      </w:pPr>
      <w:r>
        <w:rPr>
          <w:rFonts w:hint="eastAsia" w:cs="宋体"/>
          <w:b/>
          <w:color w:val="auto"/>
          <w:sz w:val="24"/>
          <w:szCs w:val="24"/>
          <w:highlight w:val="none"/>
        </w:rPr>
        <w:t>※</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_Toc3834 </w:instrText>
      </w:r>
      <w:r>
        <w:rPr>
          <w:rFonts w:hint="eastAsia" w:ascii="宋体" w:hAnsi="宋体" w:cs="宋体"/>
          <w:color w:val="auto"/>
          <w:szCs w:val="21"/>
          <w:highlight w:val="none"/>
        </w:rPr>
        <w:fldChar w:fldCharType="separate"/>
      </w:r>
      <w:r>
        <w:rPr>
          <w:rFonts w:hint="eastAsia" w:cs="宋体"/>
          <w:color w:val="auto"/>
          <w:szCs w:val="24"/>
          <w:highlight w:val="none"/>
        </w:rPr>
        <w:t>二、报价要求</w:t>
      </w:r>
      <w:r>
        <w:rPr>
          <w:color w:val="auto"/>
          <w:highlight w:val="none"/>
        </w:rPr>
        <w:tab/>
      </w:r>
      <w:r>
        <w:rPr>
          <w:color w:val="auto"/>
          <w:highlight w:val="none"/>
        </w:rPr>
        <w:fldChar w:fldCharType="begin"/>
      </w:r>
      <w:r>
        <w:rPr>
          <w:color w:val="auto"/>
          <w:highlight w:val="none"/>
        </w:rPr>
        <w:instrText xml:space="preserve"> PAGEREF _Toc3834 \h </w:instrText>
      </w:r>
      <w:r>
        <w:rPr>
          <w:color w:val="auto"/>
          <w:highlight w:val="none"/>
        </w:rPr>
        <w:fldChar w:fldCharType="separate"/>
      </w:r>
      <w:r>
        <w:rPr>
          <w:color w:val="auto"/>
          <w:highlight w:val="none"/>
        </w:rPr>
        <w:t>- 9 -</w:t>
      </w:r>
      <w:r>
        <w:rPr>
          <w:color w:val="auto"/>
          <w:highlight w:val="none"/>
        </w:rPr>
        <w:fldChar w:fldCharType="end"/>
      </w:r>
      <w:r>
        <w:rPr>
          <w:rFonts w:hint="eastAsia" w:ascii="宋体" w:hAnsi="宋体" w:cs="宋体"/>
          <w:color w:val="auto"/>
          <w:szCs w:val="21"/>
          <w:highlight w:val="none"/>
        </w:rPr>
        <w:fldChar w:fldCharType="end"/>
      </w:r>
    </w:p>
    <w:p w14:paraId="77AA9BB9">
      <w:pPr>
        <w:pStyle w:val="16"/>
        <w:tabs>
          <w:tab w:val="right" w:leader="dot" w:pos="9412"/>
          <w:tab w:val="clear" w:pos="8400"/>
        </w:tabs>
        <w:rPr>
          <w:color w:val="auto"/>
          <w:highlight w:val="none"/>
        </w:rPr>
      </w:pPr>
      <w:r>
        <w:rPr>
          <w:rFonts w:hint="eastAsia" w:cs="宋体"/>
          <w:b/>
          <w:color w:val="auto"/>
          <w:sz w:val="24"/>
          <w:szCs w:val="24"/>
          <w:highlight w:val="none"/>
        </w:rPr>
        <w:t>※</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_Toc3805 </w:instrText>
      </w:r>
      <w:r>
        <w:rPr>
          <w:rFonts w:hint="eastAsia" w:ascii="宋体" w:hAnsi="宋体" w:cs="宋体"/>
          <w:color w:val="auto"/>
          <w:szCs w:val="21"/>
          <w:highlight w:val="none"/>
        </w:rPr>
        <w:fldChar w:fldCharType="separate"/>
      </w:r>
      <w:r>
        <w:rPr>
          <w:rFonts w:hint="eastAsia" w:cs="宋体"/>
          <w:color w:val="auto"/>
          <w:szCs w:val="24"/>
          <w:highlight w:val="none"/>
        </w:rPr>
        <w:t>三、付款方式</w:t>
      </w:r>
      <w:r>
        <w:rPr>
          <w:color w:val="auto"/>
          <w:highlight w:val="none"/>
        </w:rPr>
        <w:tab/>
      </w:r>
      <w:r>
        <w:rPr>
          <w:color w:val="auto"/>
          <w:highlight w:val="none"/>
        </w:rPr>
        <w:fldChar w:fldCharType="begin"/>
      </w:r>
      <w:r>
        <w:rPr>
          <w:color w:val="auto"/>
          <w:highlight w:val="none"/>
        </w:rPr>
        <w:instrText xml:space="preserve"> PAGEREF _Toc3805 \h </w:instrText>
      </w:r>
      <w:r>
        <w:rPr>
          <w:color w:val="auto"/>
          <w:highlight w:val="none"/>
        </w:rPr>
        <w:fldChar w:fldCharType="separate"/>
      </w:r>
      <w:r>
        <w:rPr>
          <w:color w:val="auto"/>
          <w:highlight w:val="none"/>
        </w:rPr>
        <w:t>- 9 -</w:t>
      </w:r>
      <w:r>
        <w:rPr>
          <w:color w:val="auto"/>
          <w:highlight w:val="none"/>
        </w:rPr>
        <w:fldChar w:fldCharType="end"/>
      </w:r>
      <w:r>
        <w:rPr>
          <w:rFonts w:hint="eastAsia" w:ascii="宋体" w:hAnsi="宋体" w:cs="宋体"/>
          <w:color w:val="auto"/>
          <w:szCs w:val="21"/>
          <w:highlight w:val="none"/>
        </w:rPr>
        <w:fldChar w:fldCharType="end"/>
      </w:r>
    </w:p>
    <w:p w14:paraId="13D6C64B">
      <w:pPr>
        <w:pStyle w:val="16"/>
        <w:tabs>
          <w:tab w:val="right" w:leader="dot" w:pos="9412"/>
          <w:tab w:val="clear" w:pos="8400"/>
        </w:tabs>
        <w:rPr>
          <w:color w:val="auto"/>
          <w:highlight w:val="none"/>
        </w:rPr>
      </w:pPr>
      <w:r>
        <w:rPr>
          <w:rFonts w:hint="eastAsia" w:cs="宋体"/>
          <w:b/>
          <w:color w:val="auto"/>
          <w:sz w:val="24"/>
          <w:szCs w:val="24"/>
          <w:highlight w:val="none"/>
        </w:rPr>
        <w:t>※</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_Toc6886 </w:instrText>
      </w:r>
      <w:r>
        <w:rPr>
          <w:rFonts w:hint="eastAsia" w:ascii="宋体" w:hAnsi="宋体" w:cs="宋体"/>
          <w:color w:val="auto"/>
          <w:szCs w:val="21"/>
          <w:highlight w:val="none"/>
        </w:rPr>
        <w:fldChar w:fldCharType="separate"/>
      </w:r>
      <w:r>
        <w:rPr>
          <w:rFonts w:hint="eastAsia" w:cs="宋体"/>
          <w:color w:val="auto"/>
          <w:szCs w:val="24"/>
          <w:highlight w:val="none"/>
        </w:rPr>
        <w:t>四、质量保障、售后服务要求</w:t>
      </w:r>
      <w:r>
        <w:rPr>
          <w:color w:val="auto"/>
          <w:highlight w:val="none"/>
        </w:rPr>
        <w:tab/>
      </w:r>
      <w:r>
        <w:rPr>
          <w:color w:val="auto"/>
          <w:highlight w:val="none"/>
        </w:rPr>
        <w:fldChar w:fldCharType="begin"/>
      </w:r>
      <w:r>
        <w:rPr>
          <w:color w:val="auto"/>
          <w:highlight w:val="none"/>
        </w:rPr>
        <w:instrText xml:space="preserve"> PAGEREF _Toc6886 \h </w:instrText>
      </w:r>
      <w:r>
        <w:rPr>
          <w:color w:val="auto"/>
          <w:highlight w:val="none"/>
        </w:rPr>
        <w:fldChar w:fldCharType="separate"/>
      </w:r>
      <w:r>
        <w:rPr>
          <w:color w:val="auto"/>
          <w:highlight w:val="none"/>
        </w:rPr>
        <w:t>- 9 -</w:t>
      </w:r>
      <w:r>
        <w:rPr>
          <w:color w:val="auto"/>
          <w:highlight w:val="none"/>
        </w:rPr>
        <w:fldChar w:fldCharType="end"/>
      </w:r>
      <w:r>
        <w:rPr>
          <w:rFonts w:hint="eastAsia" w:ascii="宋体" w:hAnsi="宋体" w:cs="宋体"/>
          <w:color w:val="auto"/>
          <w:szCs w:val="21"/>
          <w:highlight w:val="none"/>
        </w:rPr>
        <w:fldChar w:fldCharType="end"/>
      </w:r>
    </w:p>
    <w:p w14:paraId="3A945BFB">
      <w:pPr>
        <w:pStyle w:val="16"/>
        <w:tabs>
          <w:tab w:val="right" w:leader="dot" w:pos="9412"/>
          <w:tab w:val="clear" w:pos="8400"/>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_Toc3748 </w:instrText>
      </w:r>
      <w:r>
        <w:rPr>
          <w:rFonts w:hint="eastAsia" w:ascii="宋体" w:hAnsi="宋体" w:cs="宋体"/>
          <w:color w:val="auto"/>
          <w:szCs w:val="21"/>
          <w:highlight w:val="none"/>
        </w:rPr>
        <w:fldChar w:fldCharType="separate"/>
      </w:r>
      <w:r>
        <w:rPr>
          <w:rFonts w:hint="eastAsia" w:cs="宋体"/>
          <w:color w:val="auto"/>
          <w:kern w:val="0"/>
          <w:szCs w:val="24"/>
          <w:highlight w:val="none"/>
        </w:rPr>
        <w:t>五、服务质量考核管理</w:t>
      </w:r>
      <w:r>
        <w:rPr>
          <w:color w:val="auto"/>
          <w:highlight w:val="none"/>
        </w:rPr>
        <w:tab/>
      </w:r>
      <w:r>
        <w:rPr>
          <w:color w:val="auto"/>
          <w:highlight w:val="none"/>
        </w:rPr>
        <w:fldChar w:fldCharType="begin"/>
      </w:r>
      <w:r>
        <w:rPr>
          <w:color w:val="auto"/>
          <w:highlight w:val="none"/>
        </w:rPr>
        <w:instrText xml:space="preserve"> PAGEREF _Toc3748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cs="宋体"/>
          <w:color w:val="auto"/>
          <w:szCs w:val="21"/>
          <w:highlight w:val="none"/>
        </w:rPr>
        <w:fldChar w:fldCharType="end"/>
      </w:r>
    </w:p>
    <w:p w14:paraId="68CCADF1">
      <w:pPr>
        <w:pStyle w:val="16"/>
        <w:tabs>
          <w:tab w:val="right" w:leader="dot" w:pos="9412"/>
          <w:tab w:val="clear" w:pos="8400"/>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_Toc31499 </w:instrText>
      </w:r>
      <w:r>
        <w:rPr>
          <w:rFonts w:hint="eastAsia" w:ascii="宋体" w:hAnsi="宋体" w:cs="宋体"/>
          <w:color w:val="auto"/>
          <w:szCs w:val="21"/>
          <w:highlight w:val="none"/>
        </w:rPr>
        <w:fldChar w:fldCharType="separate"/>
      </w:r>
      <w:r>
        <w:rPr>
          <w:rFonts w:hint="eastAsia" w:cs="宋体"/>
          <w:color w:val="auto"/>
          <w:szCs w:val="24"/>
          <w:highlight w:val="none"/>
        </w:rPr>
        <w:t>六、项目服务承诺</w:t>
      </w:r>
      <w:r>
        <w:rPr>
          <w:color w:val="auto"/>
          <w:highlight w:val="none"/>
        </w:rPr>
        <w:tab/>
      </w:r>
      <w:r>
        <w:rPr>
          <w:color w:val="auto"/>
          <w:highlight w:val="none"/>
        </w:rPr>
        <w:fldChar w:fldCharType="begin"/>
      </w:r>
      <w:r>
        <w:rPr>
          <w:color w:val="auto"/>
          <w:highlight w:val="none"/>
        </w:rPr>
        <w:instrText xml:space="preserve"> PAGEREF _Toc31499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cs="宋体"/>
          <w:color w:val="auto"/>
          <w:szCs w:val="21"/>
          <w:highlight w:val="none"/>
        </w:rPr>
        <w:fldChar w:fldCharType="end"/>
      </w:r>
    </w:p>
    <w:p w14:paraId="452640DD">
      <w:pPr>
        <w:pStyle w:val="16"/>
        <w:tabs>
          <w:tab w:val="right" w:leader="dot" w:pos="9412"/>
          <w:tab w:val="clear" w:pos="8400"/>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_Toc29025 </w:instrText>
      </w:r>
      <w:r>
        <w:rPr>
          <w:rFonts w:hint="eastAsia" w:ascii="宋体" w:hAnsi="宋体" w:cs="宋体"/>
          <w:color w:val="auto"/>
          <w:szCs w:val="21"/>
          <w:highlight w:val="none"/>
        </w:rPr>
        <w:fldChar w:fldCharType="separate"/>
      </w:r>
      <w:r>
        <w:rPr>
          <w:rFonts w:hint="eastAsia" w:cs="宋体"/>
          <w:color w:val="auto"/>
          <w:szCs w:val="24"/>
          <w:highlight w:val="none"/>
        </w:rPr>
        <w:t>七、其他商务要求内容及说明</w:t>
      </w:r>
      <w:r>
        <w:rPr>
          <w:color w:val="auto"/>
          <w:highlight w:val="none"/>
        </w:rPr>
        <w:tab/>
      </w:r>
      <w:r>
        <w:rPr>
          <w:color w:val="auto"/>
          <w:highlight w:val="none"/>
        </w:rPr>
        <w:fldChar w:fldCharType="begin"/>
      </w:r>
      <w:r>
        <w:rPr>
          <w:color w:val="auto"/>
          <w:highlight w:val="none"/>
        </w:rPr>
        <w:instrText xml:space="preserve"> PAGEREF _Toc29025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cs="宋体"/>
          <w:color w:val="auto"/>
          <w:szCs w:val="21"/>
          <w:highlight w:val="none"/>
        </w:rPr>
        <w:fldChar w:fldCharType="end"/>
      </w:r>
    </w:p>
    <w:p w14:paraId="21862AD5">
      <w:pPr>
        <w:pStyle w:val="15"/>
        <w:tabs>
          <w:tab w:val="right" w:leader="dot" w:pos="9412"/>
          <w:tab w:val="clear" w:pos="1260"/>
          <w:tab w:val="clear" w:pos="1685"/>
          <w:tab w:val="clear" w:pos="8400"/>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_Toc25711 </w:instrText>
      </w:r>
      <w:r>
        <w:rPr>
          <w:rFonts w:hint="eastAsia" w:ascii="宋体" w:hAnsi="宋体" w:cs="宋体"/>
          <w:color w:val="auto"/>
          <w:szCs w:val="21"/>
          <w:highlight w:val="none"/>
        </w:rPr>
        <w:fldChar w:fldCharType="separate"/>
      </w:r>
      <w:r>
        <w:rPr>
          <w:rFonts w:hint="eastAsia" w:ascii="宋体" w:hAnsi="宋体" w:eastAsia="宋体" w:cs="宋体"/>
          <w:color w:val="auto"/>
          <w:highlight w:val="none"/>
        </w:rPr>
        <w:t>第四篇  磋商程序及方法、评审标准、无效响应和采购终止</w:t>
      </w:r>
      <w:r>
        <w:rPr>
          <w:color w:val="auto"/>
          <w:highlight w:val="none"/>
        </w:rPr>
        <w:tab/>
      </w:r>
      <w:r>
        <w:rPr>
          <w:color w:val="auto"/>
          <w:highlight w:val="none"/>
        </w:rPr>
        <w:fldChar w:fldCharType="begin"/>
      </w:r>
      <w:r>
        <w:rPr>
          <w:color w:val="auto"/>
          <w:highlight w:val="none"/>
        </w:rPr>
        <w:instrText xml:space="preserve"> PAGEREF _Toc25711 \h </w:instrText>
      </w:r>
      <w:r>
        <w:rPr>
          <w:color w:val="auto"/>
          <w:highlight w:val="none"/>
        </w:rPr>
        <w:fldChar w:fldCharType="separate"/>
      </w:r>
      <w:r>
        <w:rPr>
          <w:color w:val="auto"/>
          <w:highlight w:val="none"/>
        </w:rPr>
        <w:t>- 11 -</w:t>
      </w:r>
      <w:r>
        <w:rPr>
          <w:color w:val="auto"/>
          <w:highlight w:val="none"/>
        </w:rPr>
        <w:fldChar w:fldCharType="end"/>
      </w:r>
      <w:r>
        <w:rPr>
          <w:rFonts w:hint="eastAsia" w:ascii="宋体" w:hAnsi="宋体" w:cs="宋体"/>
          <w:color w:val="auto"/>
          <w:szCs w:val="21"/>
          <w:highlight w:val="none"/>
        </w:rPr>
        <w:fldChar w:fldCharType="end"/>
      </w:r>
    </w:p>
    <w:p w14:paraId="1B116328">
      <w:pPr>
        <w:pStyle w:val="16"/>
        <w:tabs>
          <w:tab w:val="right" w:leader="dot" w:pos="9412"/>
          <w:tab w:val="clear" w:pos="8400"/>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_Toc12036 </w:instrText>
      </w:r>
      <w:r>
        <w:rPr>
          <w:rFonts w:hint="eastAsia" w:ascii="宋体" w:hAnsi="宋体" w:cs="宋体"/>
          <w:color w:val="auto"/>
          <w:szCs w:val="21"/>
          <w:highlight w:val="none"/>
        </w:rPr>
        <w:fldChar w:fldCharType="separate"/>
      </w:r>
      <w:r>
        <w:rPr>
          <w:rFonts w:hint="eastAsia" w:ascii="宋体" w:hAnsi="宋体" w:eastAsia="宋体" w:cs="宋体"/>
          <w:bCs/>
          <w:color w:val="auto"/>
          <w:highlight w:val="none"/>
        </w:rPr>
        <w:t>一、磋商程序及方法</w:t>
      </w:r>
      <w:r>
        <w:rPr>
          <w:color w:val="auto"/>
          <w:highlight w:val="none"/>
        </w:rPr>
        <w:tab/>
      </w:r>
      <w:r>
        <w:rPr>
          <w:color w:val="auto"/>
          <w:highlight w:val="none"/>
        </w:rPr>
        <w:fldChar w:fldCharType="begin"/>
      </w:r>
      <w:r>
        <w:rPr>
          <w:color w:val="auto"/>
          <w:highlight w:val="none"/>
        </w:rPr>
        <w:instrText xml:space="preserve"> PAGEREF _Toc12036 \h </w:instrText>
      </w:r>
      <w:r>
        <w:rPr>
          <w:color w:val="auto"/>
          <w:highlight w:val="none"/>
        </w:rPr>
        <w:fldChar w:fldCharType="separate"/>
      </w:r>
      <w:r>
        <w:rPr>
          <w:color w:val="auto"/>
          <w:highlight w:val="none"/>
        </w:rPr>
        <w:t>- 11 -</w:t>
      </w:r>
      <w:r>
        <w:rPr>
          <w:color w:val="auto"/>
          <w:highlight w:val="none"/>
        </w:rPr>
        <w:fldChar w:fldCharType="end"/>
      </w:r>
      <w:r>
        <w:rPr>
          <w:rFonts w:hint="eastAsia" w:ascii="宋体" w:hAnsi="宋体" w:cs="宋体"/>
          <w:color w:val="auto"/>
          <w:szCs w:val="21"/>
          <w:highlight w:val="none"/>
        </w:rPr>
        <w:fldChar w:fldCharType="end"/>
      </w:r>
    </w:p>
    <w:p w14:paraId="545C258D">
      <w:pPr>
        <w:pStyle w:val="16"/>
        <w:tabs>
          <w:tab w:val="right" w:leader="dot" w:pos="9412"/>
          <w:tab w:val="clear" w:pos="8400"/>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_Toc12858 </w:instrText>
      </w:r>
      <w:r>
        <w:rPr>
          <w:rFonts w:hint="eastAsia" w:ascii="宋体" w:hAnsi="宋体" w:cs="宋体"/>
          <w:color w:val="auto"/>
          <w:szCs w:val="21"/>
          <w:highlight w:val="none"/>
        </w:rPr>
        <w:fldChar w:fldCharType="separate"/>
      </w:r>
      <w:r>
        <w:rPr>
          <w:rFonts w:hint="eastAsia" w:cs="宋体"/>
          <w:color w:val="auto"/>
          <w:szCs w:val="24"/>
          <w:highlight w:val="none"/>
        </w:rPr>
        <w:t>二、评标方法</w:t>
      </w:r>
      <w:r>
        <w:rPr>
          <w:color w:val="auto"/>
          <w:highlight w:val="none"/>
        </w:rPr>
        <w:tab/>
      </w:r>
      <w:r>
        <w:rPr>
          <w:color w:val="auto"/>
          <w:highlight w:val="none"/>
        </w:rPr>
        <w:fldChar w:fldCharType="begin"/>
      </w:r>
      <w:r>
        <w:rPr>
          <w:color w:val="auto"/>
          <w:highlight w:val="none"/>
        </w:rPr>
        <w:instrText xml:space="preserve"> PAGEREF _Toc12858 \h </w:instrText>
      </w:r>
      <w:r>
        <w:rPr>
          <w:color w:val="auto"/>
          <w:highlight w:val="none"/>
        </w:rPr>
        <w:fldChar w:fldCharType="separate"/>
      </w:r>
      <w:r>
        <w:rPr>
          <w:color w:val="auto"/>
          <w:highlight w:val="none"/>
        </w:rPr>
        <w:t>- 12 -</w:t>
      </w:r>
      <w:r>
        <w:rPr>
          <w:color w:val="auto"/>
          <w:highlight w:val="none"/>
        </w:rPr>
        <w:fldChar w:fldCharType="end"/>
      </w:r>
      <w:r>
        <w:rPr>
          <w:rFonts w:hint="eastAsia" w:ascii="宋体" w:hAnsi="宋体" w:cs="宋体"/>
          <w:color w:val="auto"/>
          <w:szCs w:val="21"/>
          <w:highlight w:val="none"/>
        </w:rPr>
        <w:fldChar w:fldCharType="end"/>
      </w:r>
    </w:p>
    <w:p w14:paraId="7486D6CC">
      <w:pPr>
        <w:pStyle w:val="16"/>
        <w:tabs>
          <w:tab w:val="right" w:leader="dot" w:pos="9412"/>
          <w:tab w:val="clear" w:pos="8400"/>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_Toc21798 </w:instrText>
      </w:r>
      <w:r>
        <w:rPr>
          <w:rFonts w:hint="eastAsia" w:ascii="宋体" w:hAnsi="宋体" w:cs="宋体"/>
          <w:color w:val="auto"/>
          <w:szCs w:val="21"/>
          <w:highlight w:val="none"/>
        </w:rPr>
        <w:fldChar w:fldCharType="separate"/>
      </w:r>
      <w:r>
        <w:rPr>
          <w:rFonts w:hint="eastAsia" w:cs="宋体"/>
          <w:color w:val="auto"/>
          <w:szCs w:val="24"/>
          <w:highlight w:val="none"/>
        </w:rPr>
        <w:t>三、评标标准</w:t>
      </w:r>
      <w:r>
        <w:rPr>
          <w:color w:val="auto"/>
          <w:highlight w:val="none"/>
        </w:rPr>
        <w:tab/>
      </w:r>
      <w:r>
        <w:rPr>
          <w:color w:val="auto"/>
          <w:highlight w:val="none"/>
        </w:rPr>
        <w:fldChar w:fldCharType="begin"/>
      </w:r>
      <w:r>
        <w:rPr>
          <w:color w:val="auto"/>
          <w:highlight w:val="none"/>
        </w:rPr>
        <w:instrText xml:space="preserve"> PAGEREF _Toc21798 \h </w:instrText>
      </w:r>
      <w:r>
        <w:rPr>
          <w:color w:val="auto"/>
          <w:highlight w:val="none"/>
        </w:rPr>
        <w:fldChar w:fldCharType="separate"/>
      </w:r>
      <w:r>
        <w:rPr>
          <w:color w:val="auto"/>
          <w:highlight w:val="none"/>
        </w:rPr>
        <w:t>- 13 -</w:t>
      </w:r>
      <w:r>
        <w:rPr>
          <w:color w:val="auto"/>
          <w:highlight w:val="none"/>
        </w:rPr>
        <w:fldChar w:fldCharType="end"/>
      </w:r>
      <w:r>
        <w:rPr>
          <w:rFonts w:hint="eastAsia" w:ascii="宋体" w:hAnsi="宋体" w:cs="宋体"/>
          <w:color w:val="auto"/>
          <w:szCs w:val="21"/>
          <w:highlight w:val="none"/>
        </w:rPr>
        <w:fldChar w:fldCharType="end"/>
      </w:r>
    </w:p>
    <w:p w14:paraId="52E9E438">
      <w:pPr>
        <w:pStyle w:val="16"/>
        <w:tabs>
          <w:tab w:val="right" w:leader="dot" w:pos="9412"/>
          <w:tab w:val="clear" w:pos="8400"/>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_Toc9838 </w:instrText>
      </w:r>
      <w:r>
        <w:rPr>
          <w:rFonts w:hint="eastAsia" w:ascii="宋体" w:hAnsi="宋体" w:cs="宋体"/>
          <w:color w:val="auto"/>
          <w:szCs w:val="21"/>
          <w:highlight w:val="none"/>
        </w:rPr>
        <w:fldChar w:fldCharType="separate"/>
      </w:r>
      <w:r>
        <w:rPr>
          <w:rFonts w:hint="eastAsia" w:cs="宋体"/>
          <w:color w:val="auto"/>
          <w:szCs w:val="24"/>
          <w:highlight w:val="none"/>
        </w:rPr>
        <w:t>四、无效投标条款</w:t>
      </w:r>
      <w:r>
        <w:rPr>
          <w:color w:val="auto"/>
          <w:highlight w:val="none"/>
        </w:rPr>
        <w:tab/>
      </w:r>
      <w:r>
        <w:rPr>
          <w:color w:val="auto"/>
          <w:highlight w:val="none"/>
        </w:rPr>
        <w:fldChar w:fldCharType="begin"/>
      </w:r>
      <w:r>
        <w:rPr>
          <w:color w:val="auto"/>
          <w:highlight w:val="none"/>
        </w:rPr>
        <w:instrText xml:space="preserve"> PAGEREF _Toc9838 \h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cs="宋体"/>
          <w:color w:val="auto"/>
          <w:szCs w:val="21"/>
          <w:highlight w:val="none"/>
        </w:rPr>
        <w:fldChar w:fldCharType="end"/>
      </w:r>
    </w:p>
    <w:p w14:paraId="06D4A069">
      <w:pPr>
        <w:pStyle w:val="16"/>
        <w:tabs>
          <w:tab w:val="right" w:leader="dot" w:pos="9412"/>
          <w:tab w:val="clear" w:pos="8400"/>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_Toc1378 </w:instrText>
      </w:r>
      <w:r>
        <w:rPr>
          <w:rFonts w:hint="eastAsia" w:ascii="宋体" w:hAnsi="宋体" w:cs="宋体"/>
          <w:color w:val="auto"/>
          <w:szCs w:val="21"/>
          <w:highlight w:val="none"/>
        </w:rPr>
        <w:fldChar w:fldCharType="separate"/>
      </w:r>
      <w:r>
        <w:rPr>
          <w:rFonts w:hint="eastAsia" w:cs="宋体"/>
          <w:color w:val="auto"/>
          <w:szCs w:val="24"/>
          <w:highlight w:val="none"/>
        </w:rPr>
        <w:t>五、废标条款</w:t>
      </w:r>
      <w:r>
        <w:rPr>
          <w:color w:val="auto"/>
          <w:highlight w:val="none"/>
        </w:rPr>
        <w:tab/>
      </w:r>
      <w:r>
        <w:rPr>
          <w:color w:val="auto"/>
          <w:highlight w:val="none"/>
        </w:rPr>
        <w:fldChar w:fldCharType="begin"/>
      </w:r>
      <w:r>
        <w:rPr>
          <w:color w:val="auto"/>
          <w:highlight w:val="none"/>
        </w:rPr>
        <w:instrText xml:space="preserve"> PAGEREF _Toc1378 \h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cs="宋体"/>
          <w:color w:val="auto"/>
          <w:szCs w:val="21"/>
          <w:highlight w:val="none"/>
        </w:rPr>
        <w:fldChar w:fldCharType="end"/>
      </w:r>
    </w:p>
    <w:p w14:paraId="3066D103">
      <w:pPr>
        <w:pStyle w:val="15"/>
        <w:tabs>
          <w:tab w:val="right" w:leader="dot" w:pos="9412"/>
          <w:tab w:val="clear" w:pos="1260"/>
          <w:tab w:val="clear" w:pos="1685"/>
          <w:tab w:val="clear" w:pos="8400"/>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_Toc11596 </w:instrText>
      </w:r>
      <w:r>
        <w:rPr>
          <w:rFonts w:hint="eastAsia" w:ascii="宋体" w:hAnsi="宋体" w:cs="宋体"/>
          <w:color w:val="auto"/>
          <w:szCs w:val="21"/>
          <w:highlight w:val="none"/>
        </w:rPr>
        <w:fldChar w:fldCharType="separate"/>
      </w:r>
      <w:r>
        <w:rPr>
          <w:rFonts w:hint="eastAsia" w:ascii="宋体" w:hAnsi="宋体" w:eastAsia="宋体" w:cs="宋体"/>
          <w:color w:val="auto"/>
          <w:highlight w:val="none"/>
        </w:rPr>
        <w:t xml:space="preserve">第五篇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w:t>
      </w:r>
      <w:r>
        <w:rPr>
          <w:color w:val="auto"/>
          <w:highlight w:val="none"/>
        </w:rPr>
        <w:tab/>
      </w:r>
      <w:r>
        <w:rPr>
          <w:color w:val="auto"/>
          <w:highlight w:val="none"/>
        </w:rPr>
        <w:fldChar w:fldCharType="begin"/>
      </w:r>
      <w:r>
        <w:rPr>
          <w:color w:val="auto"/>
          <w:highlight w:val="none"/>
        </w:rPr>
        <w:instrText xml:space="preserve"> PAGEREF _Toc11596 \h </w:instrText>
      </w:r>
      <w:r>
        <w:rPr>
          <w:color w:val="auto"/>
          <w:highlight w:val="none"/>
        </w:rPr>
        <w:fldChar w:fldCharType="separate"/>
      </w:r>
      <w:r>
        <w:rPr>
          <w:color w:val="auto"/>
          <w:highlight w:val="none"/>
        </w:rPr>
        <w:t>- 16 -</w:t>
      </w:r>
      <w:r>
        <w:rPr>
          <w:color w:val="auto"/>
          <w:highlight w:val="none"/>
        </w:rPr>
        <w:fldChar w:fldCharType="end"/>
      </w:r>
      <w:r>
        <w:rPr>
          <w:rFonts w:hint="eastAsia" w:ascii="宋体" w:hAnsi="宋体" w:cs="宋体"/>
          <w:color w:val="auto"/>
          <w:szCs w:val="21"/>
          <w:highlight w:val="none"/>
        </w:rPr>
        <w:fldChar w:fldCharType="end"/>
      </w:r>
    </w:p>
    <w:p w14:paraId="64C82028">
      <w:pPr>
        <w:pStyle w:val="16"/>
        <w:tabs>
          <w:tab w:val="right" w:leader="dot" w:pos="9412"/>
          <w:tab w:val="clear" w:pos="8400"/>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_Toc28584 </w:instrText>
      </w:r>
      <w:r>
        <w:rPr>
          <w:rFonts w:hint="eastAsia" w:ascii="宋体" w:hAnsi="宋体" w:cs="宋体"/>
          <w:color w:val="auto"/>
          <w:szCs w:val="21"/>
          <w:highlight w:val="none"/>
        </w:rPr>
        <w:fldChar w:fldCharType="separate"/>
      </w:r>
      <w:r>
        <w:rPr>
          <w:rFonts w:hint="eastAsia" w:cs="宋体"/>
          <w:color w:val="auto"/>
          <w:highlight w:val="none"/>
        </w:rPr>
        <w:t>一、</w:t>
      </w:r>
      <w:r>
        <w:rPr>
          <w:rFonts w:hint="eastAsia" w:cs="宋体"/>
          <w:color w:val="auto"/>
          <w:highlight w:val="none"/>
          <w:lang w:eastAsia="zh-CN"/>
        </w:rPr>
        <w:t>供应商</w:t>
      </w:r>
      <w:r>
        <w:rPr>
          <w:color w:val="auto"/>
          <w:highlight w:val="none"/>
        </w:rPr>
        <w:tab/>
      </w:r>
      <w:r>
        <w:rPr>
          <w:color w:val="auto"/>
          <w:highlight w:val="none"/>
        </w:rPr>
        <w:fldChar w:fldCharType="begin"/>
      </w:r>
      <w:r>
        <w:rPr>
          <w:color w:val="auto"/>
          <w:highlight w:val="none"/>
        </w:rPr>
        <w:instrText xml:space="preserve"> PAGEREF _Toc28584 \h </w:instrText>
      </w:r>
      <w:r>
        <w:rPr>
          <w:color w:val="auto"/>
          <w:highlight w:val="none"/>
        </w:rPr>
        <w:fldChar w:fldCharType="separate"/>
      </w:r>
      <w:r>
        <w:rPr>
          <w:color w:val="auto"/>
          <w:highlight w:val="none"/>
        </w:rPr>
        <w:t>- 16 -</w:t>
      </w:r>
      <w:r>
        <w:rPr>
          <w:color w:val="auto"/>
          <w:highlight w:val="none"/>
        </w:rPr>
        <w:fldChar w:fldCharType="end"/>
      </w:r>
      <w:r>
        <w:rPr>
          <w:rFonts w:hint="eastAsia" w:ascii="宋体" w:hAnsi="宋体" w:cs="宋体"/>
          <w:color w:val="auto"/>
          <w:szCs w:val="21"/>
          <w:highlight w:val="none"/>
        </w:rPr>
        <w:fldChar w:fldCharType="end"/>
      </w:r>
    </w:p>
    <w:p w14:paraId="07A40C54">
      <w:pPr>
        <w:pStyle w:val="16"/>
        <w:tabs>
          <w:tab w:val="right" w:leader="dot" w:pos="9412"/>
          <w:tab w:val="clear" w:pos="8400"/>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_Toc8439 </w:instrText>
      </w:r>
      <w:r>
        <w:rPr>
          <w:rFonts w:hint="eastAsia" w:ascii="宋体" w:hAnsi="宋体" w:cs="宋体"/>
          <w:color w:val="auto"/>
          <w:szCs w:val="21"/>
          <w:highlight w:val="none"/>
        </w:rPr>
        <w:fldChar w:fldCharType="separate"/>
      </w:r>
      <w:r>
        <w:rPr>
          <w:rFonts w:hint="eastAsia" w:cs="宋体"/>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_Toc8439 \h </w:instrText>
      </w:r>
      <w:r>
        <w:rPr>
          <w:color w:val="auto"/>
          <w:highlight w:val="none"/>
        </w:rPr>
        <w:fldChar w:fldCharType="separate"/>
      </w:r>
      <w:r>
        <w:rPr>
          <w:color w:val="auto"/>
          <w:highlight w:val="none"/>
        </w:rPr>
        <w:t>- 16 -</w:t>
      </w:r>
      <w:r>
        <w:rPr>
          <w:color w:val="auto"/>
          <w:highlight w:val="none"/>
        </w:rPr>
        <w:fldChar w:fldCharType="end"/>
      </w:r>
      <w:r>
        <w:rPr>
          <w:rFonts w:hint="eastAsia" w:ascii="宋体" w:hAnsi="宋体" w:cs="宋体"/>
          <w:color w:val="auto"/>
          <w:szCs w:val="21"/>
          <w:highlight w:val="none"/>
        </w:rPr>
        <w:fldChar w:fldCharType="end"/>
      </w:r>
    </w:p>
    <w:p w14:paraId="5EEF6A21">
      <w:pPr>
        <w:pStyle w:val="16"/>
        <w:tabs>
          <w:tab w:val="right" w:leader="dot" w:pos="9412"/>
          <w:tab w:val="clear" w:pos="8400"/>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_Toc28628 </w:instrText>
      </w:r>
      <w:r>
        <w:rPr>
          <w:rFonts w:hint="eastAsia" w:ascii="宋体" w:hAnsi="宋体" w:cs="宋体"/>
          <w:color w:val="auto"/>
          <w:szCs w:val="21"/>
          <w:highlight w:val="none"/>
        </w:rPr>
        <w:fldChar w:fldCharType="separate"/>
      </w:r>
      <w:r>
        <w:rPr>
          <w:rFonts w:hint="eastAsia" w:cs="宋体"/>
          <w:color w:val="auto"/>
          <w:highlight w:val="none"/>
        </w:rPr>
        <w:t>三、</w:t>
      </w:r>
      <w:r>
        <w:rPr>
          <w:rFonts w:hint="eastAsia" w:cs="宋体"/>
          <w:color w:val="auto"/>
          <w:highlight w:val="none"/>
          <w:lang w:eastAsia="zh-CN"/>
        </w:rPr>
        <w:t>响应文件</w:t>
      </w:r>
      <w:r>
        <w:rPr>
          <w:color w:val="auto"/>
          <w:highlight w:val="none"/>
        </w:rPr>
        <w:tab/>
      </w:r>
      <w:r>
        <w:rPr>
          <w:color w:val="auto"/>
          <w:highlight w:val="none"/>
        </w:rPr>
        <w:fldChar w:fldCharType="begin"/>
      </w:r>
      <w:r>
        <w:rPr>
          <w:color w:val="auto"/>
          <w:highlight w:val="none"/>
        </w:rPr>
        <w:instrText xml:space="preserve"> PAGEREF _Toc28628 \h </w:instrText>
      </w:r>
      <w:r>
        <w:rPr>
          <w:color w:val="auto"/>
          <w:highlight w:val="none"/>
        </w:rPr>
        <w:fldChar w:fldCharType="separate"/>
      </w:r>
      <w:r>
        <w:rPr>
          <w:color w:val="auto"/>
          <w:highlight w:val="none"/>
        </w:rPr>
        <w:t>- 16 -</w:t>
      </w:r>
      <w:r>
        <w:rPr>
          <w:color w:val="auto"/>
          <w:highlight w:val="none"/>
        </w:rPr>
        <w:fldChar w:fldCharType="end"/>
      </w:r>
      <w:r>
        <w:rPr>
          <w:rFonts w:hint="eastAsia" w:ascii="宋体" w:hAnsi="宋体" w:cs="宋体"/>
          <w:color w:val="auto"/>
          <w:szCs w:val="21"/>
          <w:highlight w:val="none"/>
        </w:rPr>
        <w:fldChar w:fldCharType="end"/>
      </w:r>
    </w:p>
    <w:p w14:paraId="2A305061">
      <w:pPr>
        <w:pStyle w:val="16"/>
        <w:tabs>
          <w:tab w:val="right" w:leader="dot" w:pos="9412"/>
          <w:tab w:val="clear" w:pos="8400"/>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_Toc14096 </w:instrText>
      </w:r>
      <w:r>
        <w:rPr>
          <w:rFonts w:hint="eastAsia" w:ascii="宋体" w:hAnsi="宋体" w:cs="宋体"/>
          <w:color w:val="auto"/>
          <w:szCs w:val="21"/>
          <w:highlight w:val="none"/>
        </w:rPr>
        <w:fldChar w:fldCharType="separate"/>
      </w:r>
      <w:r>
        <w:rPr>
          <w:rFonts w:hint="eastAsia" w:cs="宋体"/>
          <w:color w:val="auto"/>
          <w:highlight w:val="none"/>
        </w:rPr>
        <w:t>四、开标</w:t>
      </w:r>
      <w:r>
        <w:rPr>
          <w:color w:val="auto"/>
          <w:highlight w:val="none"/>
        </w:rPr>
        <w:tab/>
      </w:r>
      <w:r>
        <w:rPr>
          <w:color w:val="auto"/>
          <w:highlight w:val="none"/>
        </w:rPr>
        <w:fldChar w:fldCharType="begin"/>
      </w:r>
      <w:r>
        <w:rPr>
          <w:color w:val="auto"/>
          <w:highlight w:val="none"/>
        </w:rPr>
        <w:instrText xml:space="preserve"> PAGEREF _Toc14096 \h </w:instrText>
      </w:r>
      <w:r>
        <w:rPr>
          <w:color w:val="auto"/>
          <w:highlight w:val="none"/>
        </w:rPr>
        <w:fldChar w:fldCharType="separate"/>
      </w:r>
      <w:r>
        <w:rPr>
          <w:color w:val="auto"/>
          <w:highlight w:val="none"/>
        </w:rPr>
        <w:t>- 18 -</w:t>
      </w:r>
      <w:r>
        <w:rPr>
          <w:color w:val="auto"/>
          <w:highlight w:val="none"/>
        </w:rPr>
        <w:fldChar w:fldCharType="end"/>
      </w:r>
      <w:r>
        <w:rPr>
          <w:rFonts w:hint="eastAsia" w:ascii="宋体" w:hAnsi="宋体" w:cs="宋体"/>
          <w:color w:val="auto"/>
          <w:szCs w:val="21"/>
          <w:highlight w:val="none"/>
        </w:rPr>
        <w:fldChar w:fldCharType="end"/>
      </w:r>
    </w:p>
    <w:p w14:paraId="2FF4DD0B">
      <w:pPr>
        <w:pStyle w:val="16"/>
        <w:tabs>
          <w:tab w:val="right" w:leader="dot" w:pos="9412"/>
          <w:tab w:val="clear" w:pos="8400"/>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_Toc29007 </w:instrText>
      </w:r>
      <w:r>
        <w:rPr>
          <w:rFonts w:hint="eastAsia" w:ascii="宋体" w:hAnsi="宋体" w:cs="宋体"/>
          <w:color w:val="auto"/>
          <w:szCs w:val="21"/>
          <w:highlight w:val="none"/>
        </w:rPr>
        <w:fldChar w:fldCharType="separate"/>
      </w:r>
      <w:r>
        <w:rPr>
          <w:rFonts w:hint="eastAsia" w:cs="宋体"/>
          <w:color w:val="auto"/>
          <w:highlight w:val="none"/>
        </w:rPr>
        <w:t>五、评标</w:t>
      </w:r>
      <w:r>
        <w:rPr>
          <w:color w:val="auto"/>
          <w:highlight w:val="none"/>
        </w:rPr>
        <w:tab/>
      </w:r>
      <w:r>
        <w:rPr>
          <w:color w:val="auto"/>
          <w:highlight w:val="none"/>
        </w:rPr>
        <w:fldChar w:fldCharType="begin"/>
      </w:r>
      <w:r>
        <w:rPr>
          <w:color w:val="auto"/>
          <w:highlight w:val="none"/>
        </w:rPr>
        <w:instrText xml:space="preserve"> PAGEREF _Toc29007 \h </w:instrText>
      </w:r>
      <w:r>
        <w:rPr>
          <w:color w:val="auto"/>
          <w:highlight w:val="none"/>
        </w:rPr>
        <w:fldChar w:fldCharType="separate"/>
      </w:r>
      <w:r>
        <w:rPr>
          <w:color w:val="auto"/>
          <w:highlight w:val="none"/>
        </w:rPr>
        <w:t>- 18 -</w:t>
      </w:r>
      <w:r>
        <w:rPr>
          <w:color w:val="auto"/>
          <w:highlight w:val="none"/>
        </w:rPr>
        <w:fldChar w:fldCharType="end"/>
      </w:r>
      <w:r>
        <w:rPr>
          <w:rFonts w:hint="eastAsia" w:ascii="宋体" w:hAnsi="宋体" w:cs="宋体"/>
          <w:color w:val="auto"/>
          <w:szCs w:val="21"/>
          <w:highlight w:val="none"/>
        </w:rPr>
        <w:fldChar w:fldCharType="end"/>
      </w:r>
    </w:p>
    <w:p w14:paraId="6313CF3E">
      <w:pPr>
        <w:pStyle w:val="16"/>
        <w:tabs>
          <w:tab w:val="right" w:leader="dot" w:pos="9412"/>
          <w:tab w:val="clear" w:pos="8400"/>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_Toc20583 </w:instrText>
      </w:r>
      <w:r>
        <w:rPr>
          <w:rFonts w:hint="eastAsia" w:ascii="宋体" w:hAnsi="宋体" w:cs="宋体"/>
          <w:color w:val="auto"/>
          <w:szCs w:val="21"/>
          <w:highlight w:val="none"/>
        </w:rPr>
        <w:fldChar w:fldCharType="separate"/>
      </w:r>
      <w:r>
        <w:rPr>
          <w:rFonts w:hint="eastAsia" w:cs="宋体"/>
          <w:color w:val="auto"/>
          <w:highlight w:val="none"/>
        </w:rPr>
        <w:t>六、定标</w:t>
      </w:r>
      <w:r>
        <w:rPr>
          <w:color w:val="auto"/>
          <w:highlight w:val="none"/>
        </w:rPr>
        <w:tab/>
      </w:r>
      <w:r>
        <w:rPr>
          <w:color w:val="auto"/>
          <w:highlight w:val="none"/>
        </w:rPr>
        <w:fldChar w:fldCharType="begin"/>
      </w:r>
      <w:r>
        <w:rPr>
          <w:color w:val="auto"/>
          <w:highlight w:val="none"/>
        </w:rPr>
        <w:instrText xml:space="preserve"> PAGEREF _Toc20583 \h </w:instrText>
      </w:r>
      <w:r>
        <w:rPr>
          <w:color w:val="auto"/>
          <w:highlight w:val="none"/>
        </w:rPr>
        <w:fldChar w:fldCharType="separate"/>
      </w:r>
      <w:r>
        <w:rPr>
          <w:color w:val="auto"/>
          <w:highlight w:val="none"/>
        </w:rPr>
        <w:t>- 18 -</w:t>
      </w:r>
      <w:r>
        <w:rPr>
          <w:color w:val="auto"/>
          <w:highlight w:val="none"/>
        </w:rPr>
        <w:fldChar w:fldCharType="end"/>
      </w:r>
      <w:r>
        <w:rPr>
          <w:rFonts w:hint="eastAsia" w:ascii="宋体" w:hAnsi="宋体" w:cs="宋体"/>
          <w:color w:val="auto"/>
          <w:szCs w:val="21"/>
          <w:highlight w:val="none"/>
        </w:rPr>
        <w:fldChar w:fldCharType="end"/>
      </w:r>
    </w:p>
    <w:p w14:paraId="56A299FC">
      <w:pPr>
        <w:pStyle w:val="16"/>
        <w:tabs>
          <w:tab w:val="right" w:leader="dot" w:pos="9412"/>
          <w:tab w:val="clear" w:pos="8400"/>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_Toc4241 </w:instrText>
      </w:r>
      <w:r>
        <w:rPr>
          <w:rFonts w:hint="eastAsia" w:ascii="宋体" w:hAnsi="宋体" w:cs="宋体"/>
          <w:color w:val="auto"/>
          <w:szCs w:val="21"/>
          <w:highlight w:val="none"/>
        </w:rPr>
        <w:fldChar w:fldCharType="separate"/>
      </w:r>
      <w:r>
        <w:rPr>
          <w:rFonts w:hint="eastAsia" w:cs="宋体"/>
          <w:color w:val="auto"/>
          <w:highlight w:val="none"/>
        </w:rPr>
        <w:t>七、中标</w:t>
      </w:r>
      <w:r>
        <w:rPr>
          <w:color w:val="auto"/>
          <w:highlight w:val="none"/>
        </w:rPr>
        <w:tab/>
      </w:r>
      <w:r>
        <w:rPr>
          <w:color w:val="auto"/>
          <w:highlight w:val="none"/>
        </w:rPr>
        <w:fldChar w:fldCharType="begin"/>
      </w:r>
      <w:r>
        <w:rPr>
          <w:color w:val="auto"/>
          <w:highlight w:val="none"/>
        </w:rPr>
        <w:instrText xml:space="preserve"> PAGEREF _Toc4241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cs="宋体"/>
          <w:color w:val="auto"/>
          <w:szCs w:val="21"/>
          <w:highlight w:val="none"/>
        </w:rPr>
        <w:fldChar w:fldCharType="end"/>
      </w:r>
    </w:p>
    <w:p w14:paraId="48454F23">
      <w:pPr>
        <w:pStyle w:val="16"/>
        <w:tabs>
          <w:tab w:val="right" w:leader="dot" w:pos="9412"/>
          <w:tab w:val="clear" w:pos="8400"/>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_Toc25328 </w:instrText>
      </w:r>
      <w:r>
        <w:rPr>
          <w:rFonts w:hint="eastAsia" w:ascii="宋体" w:hAnsi="宋体" w:cs="宋体"/>
          <w:color w:val="auto"/>
          <w:szCs w:val="21"/>
          <w:highlight w:val="none"/>
        </w:rPr>
        <w:fldChar w:fldCharType="separate"/>
      </w:r>
      <w:r>
        <w:rPr>
          <w:rFonts w:hint="eastAsia" w:cs="宋体"/>
          <w:color w:val="auto"/>
          <w:highlight w:val="none"/>
        </w:rPr>
        <w:t>八、询问、质疑和投诉</w:t>
      </w:r>
      <w:r>
        <w:rPr>
          <w:color w:val="auto"/>
          <w:highlight w:val="none"/>
        </w:rPr>
        <w:tab/>
      </w:r>
      <w:r>
        <w:rPr>
          <w:color w:val="auto"/>
          <w:highlight w:val="none"/>
        </w:rPr>
        <w:fldChar w:fldCharType="begin"/>
      </w:r>
      <w:r>
        <w:rPr>
          <w:color w:val="auto"/>
          <w:highlight w:val="none"/>
        </w:rPr>
        <w:instrText xml:space="preserve"> PAGEREF _Toc25328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cs="宋体"/>
          <w:color w:val="auto"/>
          <w:szCs w:val="21"/>
          <w:highlight w:val="none"/>
        </w:rPr>
        <w:fldChar w:fldCharType="end"/>
      </w:r>
    </w:p>
    <w:p w14:paraId="0BCC7440">
      <w:pPr>
        <w:pStyle w:val="16"/>
        <w:tabs>
          <w:tab w:val="right" w:leader="dot" w:pos="9412"/>
          <w:tab w:val="clear" w:pos="8400"/>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_Toc29101 </w:instrText>
      </w:r>
      <w:r>
        <w:rPr>
          <w:rFonts w:hint="eastAsia" w:ascii="宋体" w:hAnsi="宋体" w:cs="宋体"/>
          <w:color w:val="auto"/>
          <w:szCs w:val="21"/>
          <w:highlight w:val="none"/>
        </w:rPr>
        <w:fldChar w:fldCharType="separate"/>
      </w:r>
      <w:r>
        <w:rPr>
          <w:rFonts w:hint="eastAsia" w:cs="宋体"/>
          <w:color w:val="auto"/>
          <w:highlight w:val="none"/>
        </w:rPr>
        <w:t>九、采购代理服务费</w:t>
      </w:r>
      <w:r>
        <w:rPr>
          <w:color w:val="auto"/>
          <w:highlight w:val="none"/>
        </w:rPr>
        <w:tab/>
      </w:r>
      <w:r>
        <w:rPr>
          <w:color w:val="auto"/>
          <w:highlight w:val="none"/>
        </w:rPr>
        <w:fldChar w:fldCharType="begin"/>
      </w:r>
      <w:r>
        <w:rPr>
          <w:color w:val="auto"/>
          <w:highlight w:val="none"/>
        </w:rPr>
        <w:instrText xml:space="preserve"> PAGEREF _Toc29101 \h </w:instrText>
      </w:r>
      <w:r>
        <w:rPr>
          <w:color w:val="auto"/>
          <w:highlight w:val="none"/>
        </w:rPr>
        <w:fldChar w:fldCharType="separate"/>
      </w:r>
      <w:r>
        <w:rPr>
          <w:color w:val="auto"/>
          <w:highlight w:val="none"/>
        </w:rPr>
        <w:t>- 20 -</w:t>
      </w:r>
      <w:r>
        <w:rPr>
          <w:color w:val="auto"/>
          <w:highlight w:val="none"/>
        </w:rPr>
        <w:fldChar w:fldCharType="end"/>
      </w:r>
      <w:r>
        <w:rPr>
          <w:rFonts w:hint="eastAsia" w:ascii="宋体" w:hAnsi="宋体" w:cs="宋体"/>
          <w:color w:val="auto"/>
          <w:szCs w:val="21"/>
          <w:highlight w:val="none"/>
        </w:rPr>
        <w:fldChar w:fldCharType="end"/>
      </w:r>
    </w:p>
    <w:p w14:paraId="078136AC">
      <w:pPr>
        <w:pStyle w:val="16"/>
        <w:tabs>
          <w:tab w:val="right" w:leader="dot" w:pos="9412"/>
          <w:tab w:val="clear" w:pos="8400"/>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_Toc14491 </w:instrText>
      </w:r>
      <w:r>
        <w:rPr>
          <w:rFonts w:hint="eastAsia" w:ascii="宋体" w:hAnsi="宋体" w:cs="宋体"/>
          <w:color w:val="auto"/>
          <w:szCs w:val="21"/>
          <w:highlight w:val="none"/>
        </w:rPr>
        <w:fldChar w:fldCharType="separate"/>
      </w:r>
      <w:r>
        <w:rPr>
          <w:rFonts w:hint="eastAsia" w:cs="宋体"/>
          <w:color w:val="auto"/>
          <w:highlight w:val="none"/>
        </w:rPr>
        <w:t>十、签订合同</w:t>
      </w:r>
      <w:r>
        <w:rPr>
          <w:color w:val="auto"/>
          <w:highlight w:val="none"/>
        </w:rPr>
        <w:tab/>
      </w:r>
      <w:r>
        <w:rPr>
          <w:color w:val="auto"/>
          <w:highlight w:val="none"/>
        </w:rPr>
        <w:fldChar w:fldCharType="begin"/>
      </w:r>
      <w:r>
        <w:rPr>
          <w:color w:val="auto"/>
          <w:highlight w:val="none"/>
        </w:rPr>
        <w:instrText xml:space="preserve"> PAGEREF _Toc14491 \h </w:instrText>
      </w:r>
      <w:r>
        <w:rPr>
          <w:color w:val="auto"/>
          <w:highlight w:val="none"/>
        </w:rPr>
        <w:fldChar w:fldCharType="separate"/>
      </w:r>
      <w:r>
        <w:rPr>
          <w:color w:val="auto"/>
          <w:highlight w:val="none"/>
        </w:rPr>
        <w:t>- 20 -</w:t>
      </w:r>
      <w:r>
        <w:rPr>
          <w:color w:val="auto"/>
          <w:highlight w:val="none"/>
        </w:rPr>
        <w:fldChar w:fldCharType="end"/>
      </w:r>
      <w:r>
        <w:rPr>
          <w:rFonts w:hint="eastAsia" w:ascii="宋体" w:hAnsi="宋体" w:cs="宋体"/>
          <w:color w:val="auto"/>
          <w:szCs w:val="21"/>
          <w:highlight w:val="none"/>
        </w:rPr>
        <w:fldChar w:fldCharType="end"/>
      </w:r>
    </w:p>
    <w:p w14:paraId="46221569">
      <w:pPr>
        <w:pStyle w:val="15"/>
        <w:tabs>
          <w:tab w:val="right" w:leader="dot" w:pos="9412"/>
          <w:tab w:val="clear" w:pos="1260"/>
          <w:tab w:val="clear" w:pos="1685"/>
          <w:tab w:val="clear" w:pos="8400"/>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_Toc15446 </w:instrText>
      </w:r>
      <w:r>
        <w:rPr>
          <w:rFonts w:hint="eastAsia" w:ascii="宋体" w:hAnsi="宋体" w:cs="宋体"/>
          <w:color w:val="auto"/>
          <w:szCs w:val="21"/>
          <w:highlight w:val="none"/>
        </w:rPr>
        <w:fldChar w:fldCharType="separate"/>
      </w:r>
      <w:r>
        <w:rPr>
          <w:rFonts w:hint="eastAsia" w:ascii="宋体" w:hAnsi="宋体" w:eastAsia="宋体" w:cs="宋体"/>
          <w:color w:val="auto"/>
          <w:highlight w:val="none"/>
        </w:rPr>
        <w:t>第六篇  合同主要条款和格式合同（样本）</w:t>
      </w:r>
      <w:r>
        <w:rPr>
          <w:color w:val="auto"/>
          <w:highlight w:val="none"/>
        </w:rPr>
        <w:tab/>
      </w:r>
      <w:r>
        <w:rPr>
          <w:color w:val="auto"/>
          <w:highlight w:val="none"/>
        </w:rPr>
        <w:fldChar w:fldCharType="begin"/>
      </w:r>
      <w:r>
        <w:rPr>
          <w:color w:val="auto"/>
          <w:highlight w:val="none"/>
        </w:rPr>
        <w:instrText xml:space="preserve"> PAGEREF _Toc15446 \h </w:instrText>
      </w:r>
      <w:r>
        <w:rPr>
          <w:color w:val="auto"/>
          <w:highlight w:val="none"/>
        </w:rPr>
        <w:fldChar w:fldCharType="separate"/>
      </w:r>
      <w:r>
        <w:rPr>
          <w:color w:val="auto"/>
          <w:highlight w:val="none"/>
        </w:rPr>
        <w:t>- 21 -</w:t>
      </w:r>
      <w:r>
        <w:rPr>
          <w:color w:val="auto"/>
          <w:highlight w:val="none"/>
        </w:rPr>
        <w:fldChar w:fldCharType="end"/>
      </w:r>
      <w:r>
        <w:rPr>
          <w:rFonts w:hint="eastAsia" w:ascii="宋体" w:hAnsi="宋体" w:cs="宋体"/>
          <w:color w:val="auto"/>
          <w:szCs w:val="21"/>
          <w:highlight w:val="none"/>
        </w:rPr>
        <w:fldChar w:fldCharType="end"/>
      </w:r>
    </w:p>
    <w:p w14:paraId="7C0294C3">
      <w:pPr>
        <w:pStyle w:val="15"/>
        <w:tabs>
          <w:tab w:val="right" w:leader="dot" w:pos="9412"/>
          <w:tab w:val="clear" w:pos="1260"/>
          <w:tab w:val="clear" w:pos="1685"/>
          <w:tab w:val="clear" w:pos="8400"/>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_Toc20934 </w:instrText>
      </w:r>
      <w:r>
        <w:rPr>
          <w:rFonts w:hint="eastAsia" w:ascii="宋体" w:hAnsi="宋体" w:cs="宋体"/>
          <w:color w:val="auto"/>
          <w:szCs w:val="21"/>
          <w:highlight w:val="none"/>
        </w:rPr>
        <w:fldChar w:fldCharType="separate"/>
      </w:r>
      <w:r>
        <w:rPr>
          <w:rFonts w:hint="eastAsia" w:ascii="宋体" w:hAnsi="宋体" w:eastAsia="宋体" w:cs="宋体"/>
          <w:color w:val="auto"/>
          <w:highlight w:val="none"/>
        </w:rPr>
        <w:t xml:space="preserve">第七篇  </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格式</w:t>
      </w:r>
      <w:r>
        <w:rPr>
          <w:color w:val="auto"/>
          <w:highlight w:val="none"/>
        </w:rPr>
        <w:tab/>
      </w:r>
      <w:r>
        <w:rPr>
          <w:color w:val="auto"/>
          <w:highlight w:val="none"/>
        </w:rPr>
        <w:fldChar w:fldCharType="begin"/>
      </w:r>
      <w:r>
        <w:rPr>
          <w:color w:val="auto"/>
          <w:highlight w:val="none"/>
        </w:rPr>
        <w:instrText xml:space="preserve"> PAGEREF _Toc20934 \h </w:instrText>
      </w:r>
      <w:r>
        <w:rPr>
          <w:color w:val="auto"/>
          <w:highlight w:val="none"/>
        </w:rPr>
        <w:fldChar w:fldCharType="separate"/>
      </w:r>
      <w:r>
        <w:rPr>
          <w:color w:val="auto"/>
          <w:highlight w:val="none"/>
        </w:rPr>
        <w:t>- 23 -</w:t>
      </w:r>
      <w:r>
        <w:rPr>
          <w:color w:val="auto"/>
          <w:highlight w:val="none"/>
        </w:rPr>
        <w:fldChar w:fldCharType="end"/>
      </w:r>
      <w:r>
        <w:rPr>
          <w:rFonts w:hint="eastAsia" w:ascii="宋体" w:hAnsi="宋体" w:cs="宋体"/>
          <w:color w:val="auto"/>
          <w:szCs w:val="21"/>
          <w:highlight w:val="none"/>
        </w:rPr>
        <w:fldChar w:fldCharType="end"/>
      </w:r>
    </w:p>
    <w:p w14:paraId="41D1F773">
      <w:pPr>
        <w:pStyle w:val="16"/>
        <w:tabs>
          <w:tab w:val="right" w:leader="dot" w:pos="9412"/>
          <w:tab w:val="clear" w:pos="8400"/>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_Toc28928 </w:instrText>
      </w:r>
      <w:r>
        <w:rPr>
          <w:rFonts w:hint="eastAsia" w:ascii="宋体" w:hAnsi="宋体" w:cs="宋体"/>
          <w:color w:val="auto"/>
          <w:szCs w:val="21"/>
          <w:highlight w:val="none"/>
        </w:rPr>
        <w:fldChar w:fldCharType="separate"/>
      </w:r>
      <w:r>
        <w:rPr>
          <w:rFonts w:hint="eastAsia" w:cs="宋体"/>
          <w:color w:val="auto"/>
          <w:szCs w:val="28"/>
          <w:highlight w:val="none"/>
        </w:rPr>
        <w:t>一、经济文件</w:t>
      </w:r>
      <w:r>
        <w:rPr>
          <w:color w:val="auto"/>
          <w:highlight w:val="none"/>
        </w:rPr>
        <w:tab/>
      </w:r>
      <w:r>
        <w:rPr>
          <w:color w:val="auto"/>
          <w:highlight w:val="none"/>
        </w:rPr>
        <w:fldChar w:fldCharType="begin"/>
      </w:r>
      <w:r>
        <w:rPr>
          <w:color w:val="auto"/>
          <w:highlight w:val="none"/>
        </w:rPr>
        <w:instrText xml:space="preserve"> PAGEREF _Toc28928 \h </w:instrText>
      </w:r>
      <w:r>
        <w:rPr>
          <w:color w:val="auto"/>
          <w:highlight w:val="none"/>
        </w:rPr>
        <w:fldChar w:fldCharType="separate"/>
      </w:r>
      <w:r>
        <w:rPr>
          <w:color w:val="auto"/>
          <w:highlight w:val="none"/>
        </w:rPr>
        <w:t>- 24 -</w:t>
      </w:r>
      <w:r>
        <w:rPr>
          <w:color w:val="auto"/>
          <w:highlight w:val="none"/>
        </w:rPr>
        <w:fldChar w:fldCharType="end"/>
      </w:r>
      <w:r>
        <w:rPr>
          <w:rFonts w:hint="eastAsia" w:ascii="宋体" w:hAnsi="宋体" w:cs="宋体"/>
          <w:color w:val="auto"/>
          <w:szCs w:val="21"/>
          <w:highlight w:val="none"/>
        </w:rPr>
        <w:fldChar w:fldCharType="end"/>
      </w:r>
    </w:p>
    <w:p w14:paraId="46B05AB3">
      <w:pPr>
        <w:pStyle w:val="16"/>
        <w:tabs>
          <w:tab w:val="right" w:leader="dot" w:pos="9412"/>
          <w:tab w:val="clear" w:pos="8400"/>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_Toc28767 </w:instrText>
      </w:r>
      <w:r>
        <w:rPr>
          <w:rFonts w:hint="eastAsia" w:ascii="宋体" w:hAnsi="宋体" w:cs="宋体"/>
          <w:color w:val="auto"/>
          <w:szCs w:val="21"/>
          <w:highlight w:val="none"/>
        </w:rPr>
        <w:fldChar w:fldCharType="separate"/>
      </w:r>
      <w:r>
        <w:rPr>
          <w:rFonts w:hint="eastAsia" w:cs="宋体"/>
          <w:color w:val="auto"/>
          <w:szCs w:val="28"/>
          <w:highlight w:val="none"/>
        </w:rPr>
        <w:t>二、服务内容及需求文件</w:t>
      </w:r>
      <w:r>
        <w:rPr>
          <w:color w:val="auto"/>
          <w:highlight w:val="none"/>
        </w:rPr>
        <w:tab/>
      </w:r>
      <w:r>
        <w:rPr>
          <w:color w:val="auto"/>
          <w:highlight w:val="none"/>
        </w:rPr>
        <w:fldChar w:fldCharType="begin"/>
      </w:r>
      <w:r>
        <w:rPr>
          <w:color w:val="auto"/>
          <w:highlight w:val="none"/>
        </w:rPr>
        <w:instrText xml:space="preserve"> PAGEREF _Toc28767 \h </w:instrText>
      </w:r>
      <w:r>
        <w:rPr>
          <w:color w:val="auto"/>
          <w:highlight w:val="none"/>
        </w:rPr>
        <w:fldChar w:fldCharType="separate"/>
      </w:r>
      <w:r>
        <w:rPr>
          <w:color w:val="auto"/>
          <w:highlight w:val="none"/>
        </w:rPr>
        <w:t>- 26 -</w:t>
      </w:r>
      <w:r>
        <w:rPr>
          <w:color w:val="auto"/>
          <w:highlight w:val="none"/>
        </w:rPr>
        <w:fldChar w:fldCharType="end"/>
      </w:r>
      <w:r>
        <w:rPr>
          <w:rFonts w:hint="eastAsia" w:ascii="宋体" w:hAnsi="宋体" w:cs="宋体"/>
          <w:color w:val="auto"/>
          <w:szCs w:val="21"/>
          <w:highlight w:val="none"/>
        </w:rPr>
        <w:fldChar w:fldCharType="end"/>
      </w:r>
    </w:p>
    <w:p w14:paraId="71055C0A">
      <w:pPr>
        <w:pStyle w:val="16"/>
        <w:tabs>
          <w:tab w:val="right" w:leader="dot" w:pos="9412"/>
          <w:tab w:val="clear" w:pos="8400"/>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_Toc10248 </w:instrText>
      </w:r>
      <w:r>
        <w:rPr>
          <w:rFonts w:hint="eastAsia" w:ascii="宋体" w:hAnsi="宋体" w:cs="宋体"/>
          <w:color w:val="auto"/>
          <w:szCs w:val="21"/>
          <w:highlight w:val="none"/>
        </w:rPr>
        <w:fldChar w:fldCharType="separate"/>
      </w:r>
      <w:r>
        <w:rPr>
          <w:rFonts w:hint="eastAsia" w:cs="宋体"/>
          <w:color w:val="auto"/>
          <w:szCs w:val="28"/>
          <w:highlight w:val="none"/>
        </w:rPr>
        <w:t>三、商务文件</w:t>
      </w:r>
      <w:r>
        <w:rPr>
          <w:color w:val="auto"/>
          <w:highlight w:val="none"/>
        </w:rPr>
        <w:tab/>
      </w:r>
      <w:r>
        <w:rPr>
          <w:color w:val="auto"/>
          <w:highlight w:val="none"/>
        </w:rPr>
        <w:fldChar w:fldCharType="begin"/>
      </w:r>
      <w:r>
        <w:rPr>
          <w:color w:val="auto"/>
          <w:highlight w:val="none"/>
        </w:rPr>
        <w:instrText xml:space="preserve"> PAGEREF _Toc10248 \h </w:instrText>
      </w:r>
      <w:r>
        <w:rPr>
          <w:color w:val="auto"/>
          <w:highlight w:val="none"/>
        </w:rPr>
        <w:fldChar w:fldCharType="separate"/>
      </w:r>
      <w:r>
        <w:rPr>
          <w:color w:val="auto"/>
          <w:highlight w:val="none"/>
        </w:rPr>
        <w:t>- 28 -</w:t>
      </w:r>
      <w:r>
        <w:rPr>
          <w:color w:val="auto"/>
          <w:highlight w:val="none"/>
        </w:rPr>
        <w:fldChar w:fldCharType="end"/>
      </w:r>
      <w:r>
        <w:rPr>
          <w:rFonts w:hint="eastAsia" w:ascii="宋体" w:hAnsi="宋体" w:cs="宋体"/>
          <w:color w:val="auto"/>
          <w:szCs w:val="21"/>
          <w:highlight w:val="none"/>
        </w:rPr>
        <w:fldChar w:fldCharType="end"/>
      </w:r>
    </w:p>
    <w:p w14:paraId="2DB495D7">
      <w:pPr>
        <w:pStyle w:val="16"/>
        <w:tabs>
          <w:tab w:val="right" w:leader="dot" w:pos="9412"/>
          <w:tab w:val="clear" w:pos="8400"/>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_Toc14577 </w:instrText>
      </w:r>
      <w:r>
        <w:rPr>
          <w:rFonts w:hint="eastAsia" w:ascii="宋体" w:hAnsi="宋体" w:cs="宋体"/>
          <w:color w:val="auto"/>
          <w:szCs w:val="21"/>
          <w:highlight w:val="none"/>
        </w:rPr>
        <w:fldChar w:fldCharType="separate"/>
      </w:r>
      <w:r>
        <w:rPr>
          <w:rFonts w:hint="eastAsia" w:cs="宋体"/>
          <w:color w:val="auto"/>
          <w:szCs w:val="28"/>
          <w:highlight w:val="none"/>
        </w:rPr>
        <w:t>四、其他</w:t>
      </w:r>
      <w:r>
        <w:rPr>
          <w:color w:val="auto"/>
          <w:highlight w:val="none"/>
        </w:rPr>
        <w:tab/>
      </w:r>
      <w:r>
        <w:rPr>
          <w:color w:val="auto"/>
          <w:highlight w:val="none"/>
        </w:rPr>
        <w:fldChar w:fldCharType="begin"/>
      </w:r>
      <w:r>
        <w:rPr>
          <w:color w:val="auto"/>
          <w:highlight w:val="none"/>
        </w:rPr>
        <w:instrText xml:space="preserve"> PAGEREF _Toc14577 \h </w:instrText>
      </w:r>
      <w:r>
        <w:rPr>
          <w:color w:val="auto"/>
          <w:highlight w:val="none"/>
        </w:rPr>
        <w:fldChar w:fldCharType="separate"/>
      </w:r>
      <w:r>
        <w:rPr>
          <w:color w:val="auto"/>
          <w:highlight w:val="none"/>
        </w:rPr>
        <w:t>- 31 -</w:t>
      </w:r>
      <w:r>
        <w:rPr>
          <w:color w:val="auto"/>
          <w:highlight w:val="none"/>
        </w:rPr>
        <w:fldChar w:fldCharType="end"/>
      </w:r>
      <w:r>
        <w:rPr>
          <w:rFonts w:hint="eastAsia" w:ascii="宋体" w:hAnsi="宋体" w:cs="宋体"/>
          <w:color w:val="auto"/>
          <w:szCs w:val="21"/>
          <w:highlight w:val="none"/>
        </w:rPr>
        <w:fldChar w:fldCharType="end"/>
      </w:r>
    </w:p>
    <w:p w14:paraId="0B212F38">
      <w:pPr>
        <w:pStyle w:val="16"/>
        <w:tabs>
          <w:tab w:val="right" w:leader="dot" w:pos="9412"/>
          <w:tab w:val="clear" w:pos="8400"/>
        </w:tabs>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_Toc4863 </w:instrText>
      </w:r>
      <w:r>
        <w:rPr>
          <w:rFonts w:hint="eastAsia" w:ascii="宋体" w:hAnsi="宋体" w:cs="宋体"/>
          <w:color w:val="auto"/>
          <w:szCs w:val="21"/>
          <w:highlight w:val="none"/>
        </w:rPr>
        <w:fldChar w:fldCharType="separate"/>
      </w:r>
      <w:r>
        <w:rPr>
          <w:rFonts w:hint="eastAsia" w:cs="宋体"/>
          <w:color w:val="auto"/>
          <w:szCs w:val="28"/>
          <w:highlight w:val="none"/>
        </w:rPr>
        <w:t>五、资格文件</w:t>
      </w:r>
      <w:r>
        <w:rPr>
          <w:color w:val="auto"/>
          <w:highlight w:val="none"/>
        </w:rPr>
        <w:tab/>
      </w:r>
      <w:r>
        <w:rPr>
          <w:color w:val="auto"/>
          <w:highlight w:val="none"/>
        </w:rPr>
        <w:fldChar w:fldCharType="begin"/>
      </w:r>
      <w:r>
        <w:rPr>
          <w:color w:val="auto"/>
          <w:highlight w:val="none"/>
        </w:rPr>
        <w:instrText xml:space="preserve"> PAGEREF _Toc4863 \h </w:instrText>
      </w:r>
      <w:r>
        <w:rPr>
          <w:color w:val="auto"/>
          <w:highlight w:val="none"/>
        </w:rPr>
        <w:fldChar w:fldCharType="separate"/>
      </w:r>
      <w:r>
        <w:rPr>
          <w:color w:val="auto"/>
          <w:highlight w:val="none"/>
        </w:rPr>
        <w:t>- 32 -</w:t>
      </w:r>
      <w:r>
        <w:rPr>
          <w:color w:val="auto"/>
          <w:highlight w:val="none"/>
        </w:rPr>
        <w:fldChar w:fldCharType="end"/>
      </w:r>
      <w:r>
        <w:rPr>
          <w:rFonts w:hint="eastAsia" w:ascii="宋体" w:hAnsi="宋体" w:cs="宋体"/>
          <w:color w:val="auto"/>
          <w:szCs w:val="21"/>
          <w:highlight w:val="none"/>
        </w:rPr>
        <w:fldChar w:fldCharType="end"/>
      </w:r>
    </w:p>
    <w:p w14:paraId="7524A32E">
      <w:pPr>
        <w:pStyle w:val="15"/>
        <w:spacing w:line="480" w:lineRule="auto"/>
        <w:ind w:firstLine="0" w:firstLineChars="0"/>
        <w:rPr>
          <w:rFonts w:ascii="宋体" w:hAnsi="宋体" w:cs="宋体"/>
          <w:color w:val="auto"/>
          <w:sz w:val="32"/>
          <w:highlight w:val="none"/>
        </w:rPr>
        <w:sectPr>
          <w:footerReference r:id="rId7" w:type="default"/>
          <w:pgSz w:w="11907" w:h="16840"/>
          <w:pgMar w:top="1134" w:right="1191" w:bottom="1134" w:left="1304" w:header="964" w:footer="992" w:gutter="0"/>
          <w:pgNumType w:fmt="numberInDash" w:start="1"/>
          <w:cols w:space="720" w:num="1"/>
          <w:docGrid w:linePitch="312" w:charSpace="0"/>
        </w:sectPr>
      </w:pPr>
      <w:r>
        <w:rPr>
          <w:rFonts w:hint="eastAsia" w:ascii="宋体" w:hAnsi="宋体" w:cs="宋体"/>
          <w:color w:val="auto"/>
          <w:szCs w:val="21"/>
          <w:highlight w:val="none"/>
        </w:rPr>
        <w:fldChar w:fldCharType="end"/>
      </w:r>
    </w:p>
    <w:p w14:paraId="022C9D81">
      <w:pPr>
        <w:pStyle w:val="3"/>
        <w:spacing w:beforeLines="0" w:afterLines="0" w:line="360" w:lineRule="auto"/>
        <w:rPr>
          <w:rFonts w:ascii="宋体" w:hAnsi="宋体" w:eastAsia="宋体" w:cs="宋体"/>
          <w:b/>
          <w:color w:val="auto"/>
          <w:highlight w:val="none"/>
        </w:rPr>
      </w:pPr>
      <w:bookmarkStart w:id="2" w:name="_Toc21693"/>
      <w:bookmarkStart w:id="3" w:name="_Toc4502"/>
      <w:bookmarkStart w:id="4" w:name="_Toc6967"/>
      <w:bookmarkStart w:id="5" w:name="_Toc2977"/>
      <w:bookmarkStart w:id="6" w:name="_Toc14366"/>
      <w:bookmarkStart w:id="7" w:name="_Toc25832"/>
      <w:bookmarkStart w:id="8" w:name="_Toc5896"/>
      <w:bookmarkStart w:id="9" w:name="_Toc21631"/>
      <w:bookmarkStart w:id="10" w:name="_Toc21468"/>
      <w:bookmarkStart w:id="11" w:name="_Toc1386"/>
      <w:bookmarkStart w:id="12" w:name="_Toc5284"/>
      <w:bookmarkStart w:id="13" w:name="_Toc19468"/>
      <w:bookmarkStart w:id="14" w:name="_Toc31300"/>
      <w:bookmarkStart w:id="15" w:name="_Toc26534"/>
      <w:bookmarkStart w:id="16" w:name="_Toc16178"/>
      <w:bookmarkStart w:id="17" w:name="_Toc75793495"/>
      <w:r>
        <w:rPr>
          <w:rFonts w:hint="eastAsia" w:ascii="宋体" w:hAnsi="宋体" w:eastAsia="宋体" w:cs="宋体"/>
          <w:b/>
          <w:color w:val="auto"/>
          <w:highlight w:val="none"/>
        </w:rPr>
        <w:t xml:space="preserve">第一篇 </w:t>
      </w:r>
      <w:r>
        <w:rPr>
          <w:rFonts w:hint="eastAsia" w:ascii="宋体" w:hAnsi="宋体" w:eastAsia="宋体" w:cs="宋体"/>
          <w:b/>
          <w:color w:val="auto"/>
          <w:highlight w:val="none"/>
          <w:lang w:val="en-US" w:eastAsia="zh-CN"/>
        </w:rPr>
        <w:t>采购</w:t>
      </w:r>
      <w:r>
        <w:rPr>
          <w:rFonts w:hint="eastAsia" w:ascii="宋体" w:hAnsi="宋体" w:eastAsia="宋体" w:cs="宋体"/>
          <w:b/>
          <w:color w:val="auto"/>
          <w:highlight w:val="none"/>
        </w:rPr>
        <w:t>邀请书</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4E7A3B75">
      <w:pPr>
        <w:spacing w:line="500" w:lineRule="exact"/>
        <w:ind w:firstLine="480" w:firstLineChars="200"/>
        <w:jc w:val="left"/>
        <w:outlineLvl w:val="0"/>
        <w:rPr>
          <w:rFonts w:ascii="宋体" w:hAnsi="宋体" w:cs="宋体"/>
          <w:color w:val="auto"/>
          <w:sz w:val="24"/>
          <w:szCs w:val="24"/>
          <w:highlight w:val="none"/>
        </w:rPr>
      </w:pPr>
      <w:r>
        <w:rPr>
          <w:rFonts w:hint="eastAsia" w:ascii="宋体" w:hAnsi="宋体" w:cs="宋体"/>
          <w:color w:val="auto"/>
          <w:sz w:val="24"/>
          <w:szCs w:val="24"/>
          <w:highlight w:val="none"/>
          <w:u w:val="single"/>
        </w:rPr>
        <w:t>柴盛科技（重庆）有限公司</w:t>
      </w:r>
      <w:r>
        <w:rPr>
          <w:rFonts w:hint="eastAsia" w:ascii="宋体" w:hAnsi="宋体" w:cs="宋体"/>
          <w:color w:val="auto"/>
          <w:sz w:val="24"/>
          <w:szCs w:val="24"/>
          <w:highlight w:val="none"/>
        </w:rPr>
        <w:t>（以下简称：采购代理机构）受</w:t>
      </w:r>
      <w:r>
        <w:rPr>
          <w:rFonts w:hint="eastAsia" w:ascii="宋体" w:hAnsi="宋体" w:cs="宋体"/>
          <w:color w:val="auto"/>
          <w:sz w:val="24"/>
          <w:szCs w:val="24"/>
          <w:highlight w:val="none"/>
          <w:u w:val="single"/>
        </w:rPr>
        <w:t>凯发新泉高阳污水处理（重庆）有限公司</w:t>
      </w:r>
      <w:r>
        <w:rPr>
          <w:rFonts w:hint="eastAsia" w:ascii="宋体" w:hAnsi="宋体" w:cs="宋体"/>
          <w:color w:val="auto"/>
          <w:sz w:val="24"/>
          <w:szCs w:val="24"/>
          <w:highlight w:val="none"/>
        </w:rPr>
        <w:t>（以下简称：采购人）的委托，对</w:t>
      </w:r>
      <w:r>
        <w:rPr>
          <w:rFonts w:hint="eastAsia" w:ascii="宋体" w:hAnsi="宋体" w:cs="宋体"/>
          <w:color w:val="auto"/>
          <w:sz w:val="24"/>
          <w:szCs w:val="24"/>
          <w:highlight w:val="none"/>
          <w:u w:val="single"/>
          <w:lang w:eastAsia="zh-CN"/>
        </w:rPr>
        <w:t>2025年一般工业固废污泥处置项目</w:t>
      </w:r>
      <w:r>
        <w:rPr>
          <w:rFonts w:hint="eastAsia" w:ascii="宋体" w:hAnsi="宋体" w:cs="宋体"/>
          <w:color w:val="auto"/>
          <w:sz w:val="24"/>
          <w:szCs w:val="24"/>
          <w:highlight w:val="none"/>
        </w:rPr>
        <w:t>进行竞争性磋商采购，欢迎有资格的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参加</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w:t>
      </w:r>
    </w:p>
    <w:p w14:paraId="05FBCE27">
      <w:pPr>
        <w:pStyle w:val="4"/>
        <w:spacing w:line="400" w:lineRule="exact"/>
        <w:ind w:firstLine="482" w:firstLineChars="200"/>
        <w:rPr>
          <w:rFonts w:cs="宋体"/>
          <w:b/>
          <w:color w:val="auto"/>
          <w:sz w:val="24"/>
          <w:highlight w:val="none"/>
        </w:rPr>
      </w:pPr>
      <w:bookmarkStart w:id="18" w:name="_Toc9774"/>
      <w:bookmarkStart w:id="19" w:name="_Toc75793496"/>
      <w:bookmarkStart w:id="20" w:name="_Toc6913"/>
      <w:bookmarkStart w:id="21" w:name="_Toc8806"/>
      <w:bookmarkStart w:id="22" w:name="_Toc11858"/>
      <w:bookmarkStart w:id="23" w:name="_Toc27035"/>
      <w:bookmarkStart w:id="24" w:name="_Toc9233"/>
      <w:bookmarkStart w:id="25" w:name="_Toc19082"/>
      <w:bookmarkStart w:id="26" w:name="_Toc106030372"/>
      <w:bookmarkStart w:id="27" w:name="_Toc16810"/>
      <w:bookmarkStart w:id="28" w:name="_Toc19219"/>
      <w:bookmarkStart w:id="29" w:name="_Toc14081"/>
      <w:bookmarkStart w:id="30" w:name="_Toc19648"/>
      <w:bookmarkStart w:id="31" w:name="_Toc10092"/>
      <w:bookmarkStart w:id="32" w:name="_Toc2284"/>
      <w:bookmarkStart w:id="33" w:name="_Toc398"/>
      <w:bookmarkStart w:id="34" w:name="_Toc25391"/>
      <w:r>
        <w:rPr>
          <w:rFonts w:hint="eastAsia" w:cs="宋体"/>
          <w:b/>
          <w:color w:val="auto"/>
          <w:sz w:val="24"/>
          <w:highlight w:val="none"/>
        </w:rPr>
        <w:t>一、招标项目内容</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bl>
      <w:tblPr>
        <w:tblStyle w:val="2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157"/>
        <w:gridCol w:w="1087"/>
        <w:gridCol w:w="916"/>
        <w:gridCol w:w="3577"/>
        <w:gridCol w:w="2391"/>
      </w:tblGrid>
      <w:tr w14:paraId="3854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008" w:type="dxa"/>
            <w:noWrap/>
            <w:vAlign w:val="center"/>
          </w:tcPr>
          <w:p w14:paraId="05915530">
            <w:pPr>
              <w:pStyle w:val="9"/>
              <w:spacing w:line="240" w:lineRule="auto"/>
              <w:ind w:left="0"/>
              <w:jc w:val="center"/>
              <w:outlineLvl w:val="0"/>
              <w:rPr>
                <w:rFonts w:ascii="宋体" w:hAnsi="宋体" w:cs="宋体"/>
                <w:b/>
                <w:color w:val="auto"/>
                <w:sz w:val="22"/>
                <w:szCs w:val="22"/>
                <w:highlight w:val="none"/>
              </w:rPr>
            </w:pPr>
            <w:r>
              <w:rPr>
                <w:rFonts w:hint="eastAsia" w:ascii="宋体" w:hAnsi="宋体" w:cs="宋体"/>
                <w:b/>
                <w:color w:val="auto"/>
                <w:sz w:val="22"/>
                <w:szCs w:val="22"/>
                <w:highlight w:val="none"/>
              </w:rPr>
              <w:t>名称</w:t>
            </w:r>
          </w:p>
        </w:tc>
        <w:tc>
          <w:tcPr>
            <w:tcW w:w="1157" w:type="dxa"/>
            <w:noWrap/>
            <w:vAlign w:val="center"/>
          </w:tcPr>
          <w:p w14:paraId="65E7B651">
            <w:pPr>
              <w:pStyle w:val="9"/>
              <w:spacing w:line="240" w:lineRule="auto"/>
              <w:ind w:left="0"/>
              <w:jc w:val="center"/>
              <w:outlineLvl w:val="0"/>
              <w:rPr>
                <w:rFonts w:ascii="宋体" w:hAnsi="宋体" w:cs="宋体"/>
                <w:b/>
                <w:color w:val="auto"/>
                <w:sz w:val="22"/>
                <w:szCs w:val="22"/>
                <w:highlight w:val="none"/>
              </w:rPr>
            </w:pPr>
            <w:r>
              <w:rPr>
                <w:rFonts w:hint="eastAsia" w:ascii="宋体" w:hAnsi="宋体" w:cs="宋体"/>
                <w:b/>
                <w:color w:val="auto"/>
                <w:sz w:val="22"/>
                <w:szCs w:val="22"/>
                <w:highlight w:val="none"/>
              </w:rPr>
              <w:t>最高综合单价限价</w:t>
            </w:r>
          </w:p>
          <w:p w14:paraId="4A3AD0E0">
            <w:pPr>
              <w:pStyle w:val="9"/>
              <w:spacing w:line="240" w:lineRule="auto"/>
              <w:ind w:left="0"/>
              <w:jc w:val="center"/>
              <w:outlineLvl w:val="0"/>
              <w:rPr>
                <w:rFonts w:ascii="宋体" w:hAnsi="宋体" w:cs="宋体"/>
                <w:b/>
                <w:color w:val="auto"/>
                <w:sz w:val="22"/>
                <w:szCs w:val="22"/>
                <w:highlight w:val="none"/>
              </w:rPr>
            </w:pPr>
            <w:r>
              <w:rPr>
                <w:rFonts w:hint="eastAsia" w:ascii="宋体" w:hAnsi="宋体" w:cs="宋体"/>
                <w:b/>
                <w:color w:val="auto"/>
                <w:sz w:val="22"/>
                <w:szCs w:val="22"/>
                <w:highlight w:val="none"/>
              </w:rPr>
              <w:t>（元/吨）</w:t>
            </w:r>
          </w:p>
        </w:tc>
        <w:tc>
          <w:tcPr>
            <w:tcW w:w="1087" w:type="dxa"/>
            <w:noWrap/>
            <w:vAlign w:val="center"/>
          </w:tcPr>
          <w:p w14:paraId="6D9431D9">
            <w:pPr>
              <w:pStyle w:val="9"/>
              <w:spacing w:line="240" w:lineRule="auto"/>
              <w:ind w:left="0"/>
              <w:jc w:val="center"/>
              <w:outlineLvl w:val="0"/>
              <w:rPr>
                <w:rFonts w:ascii="宋体" w:hAnsi="宋体" w:cs="宋体"/>
                <w:b/>
                <w:color w:val="auto"/>
                <w:sz w:val="22"/>
                <w:szCs w:val="22"/>
                <w:highlight w:val="none"/>
              </w:rPr>
            </w:pPr>
            <w:r>
              <w:rPr>
                <w:rFonts w:hint="eastAsia" w:ascii="宋体" w:hAnsi="宋体" w:cs="宋体"/>
                <w:b/>
                <w:color w:val="auto"/>
                <w:sz w:val="22"/>
                <w:szCs w:val="22"/>
                <w:highlight w:val="none"/>
                <w:lang w:val="en-US" w:eastAsia="zh-CN"/>
              </w:rPr>
              <w:t>磋商</w:t>
            </w:r>
            <w:r>
              <w:rPr>
                <w:rFonts w:hint="eastAsia" w:ascii="宋体" w:hAnsi="宋体" w:cs="宋体"/>
                <w:b/>
                <w:color w:val="auto"/>
                <w:sz w:val="22"/>
                <w:szCs w:val="22"/>
                <w:highlight w:val="none"/>
              </w:rPr>
              <w:t>保证金</w:t>
            </w:r>
          </w:p>
          <w:p w14:paraId="28ADCE85">
            <w:pPr>
              <w:pStyle w:val="9"/>
              <w:spacing w:line="240" w:lineRule="auto"/>
              <w:ind w:left="0"/>
              <w:jc w:val="center"/>
              <w:outlineLvl w:val="0"/>
              <w:rPr>
                <w:rFonts w:ascii="宋体" w:hAnsi="宋体" w:cs="宋体"/>
                <w:b/>
                <w:color w:val="auto"/>
                <w:sz w:val="22"/>
                <w:szCs w:val="22"/>
                <w:highlight w:val="none"/>
              </w:rPr>
            </w:pPr>
            <w:r>
              <w:rPr>
                <w:rFonts w:hint="eastAsia" w:ascii="宋体" w:hAnsi="宋体" w:cs="宋体"/>
                <w:b/>
                <w:color w:val="auto"/>
                <w:sz w:val="22"/>
                <w:szCs w:val="22"/>
                <w:highlight w:val="none"/>
              </w:rPr>
              <w:t>（万元）</w:t>
            </w:r>
          </w:p>
        </w:tc>
        <w:tc>
          <w:tcPr>
            <w:tcW w:w="916" w:type="dxa"/>
            <w:noWrap/>
            <w:vAlign w:val="center"/>
          </w:tcPr>
          <w:p w14:paraId="0B6F448A">
            <w:pPr>
              <w:pStyle w:val="9"/>
              <w:spacing w:line="240" w:lineRule="auto"/>
              <w:ind w:left="0"/>
              <w:jc w:val="center"/>
              <w:outlineLvl w:val="0"/>
              <w:rPr>
                <w:rFonts w:ascii="宋体" w:hAnsi="宋体" w:cs="宋体"/>
                <w:b/>
                <w:color w:val="auto"/>
                <w:sz w:val="22"/>
                <w:szCs w:val="22"/>
                <w:highlight w:val="none"/>
              </w:rPr>
            </w:pPr>
            <w:r>
              <w:rPr>
                <w:rFonts w:hint="eastAsia" w:ascii="宋体" w:hAnsi="宋体" w:cs="宋体"/>
                <w:b/>
                <w:color w:val="auto"/>
                <w:sz w:val="22"/>
                <w:szCs w:val="22"/>
                <w:highlight w:val="none"/>
              </w:rPr>
              <w:t>中标人数量（名）</w:t>
            </w:r>
          </w:p>
        </w:tc>
        <w:tc>
          <w:tcPr>
            <w:tcW w:w="3577" w:type="dxa"/>
            <w:noWrap/>
            <w:vAlign w:val="center"/>
          </w:tcPr>
          <w:p w14:paraId="40429A39">
            <w:pPr>
              <w:pStyle w:val="9"/>
              <w:spacing w:line="400" w:lineRule="exact"/>
              <w:ind w:left="0"/>
              <w:jc w:val="center"/>
              <w:outlineLvl w:val="0"/>
              <w:rPr>
                <w:rFonts w:ascii="宋体" w:hAnsi="宋体" w:cs="宋体"/>
                <w:b/>
                <w:bCs/>
                <w:color w:val="auto"/>
                <w:kern w:val="0"/>
                <w:sz w:val="22"/>
                <w:szCs w:val="22"/>
                <w:highlight w:val="none"/>
              </w:rPr>
            </w:pPr>
            <w:r>
              <w:rPr>
                <w:rFonts w:hint="eastAsia" w:ascii="宋体" w:hAnsi="宋体" w:cs="宋体"/>
                <w:b/>
                <w:color w:val="auto"/>
                <w:sz w:val="22"/>
                <w:szCs w:val="22"/>
                <w:highlight w:val="none"/>
              </w:rPr>
              <w:t>备注</w:t>
            </w:r>
          </w:p>
        </w:tc>
        <w:tc>
          <w:tcPr>
            <w:tcW w:w="2391" w:type="dxa"/>
            <w:noWrap/>
            <w:vAlign w:val="center"/>
          </w:tcPr>
          <w:p w14:paraId="6975792D">
            <w:pPr>
              <w:pStyle w:val="9"/>
              <w:spacing w:line="400" w:lineRule="exact"/>
              <w:ind w:left="0"/>
              <w:jc w:val="center"/>
              <w:outlineLvl w:val="0"/>
              <w:rPr>
                <w:rFonts w:hint="eastAsia" w:ascii="宋体" w:hAnsi="宋体" w:cs="宋体"/>
                <w:b/>
                <w:color w:val="auto"/>
                <w:sz w:val="22"/>
                <w:szCs w:val="22"/>
                <w:highlight w:val="none"/>
              </w:rPr>
            </w:pPr>
            <w:r>
              <w:rPr>
                <w:rFonts w:hint="eastAsia" w:ascii="宋体" w:hAnsi="宋体" w:cs="宋体"/>
                <w:b/>
                <w:color w:val="auto"/>
                <w:sz w:val="22"/>
                <w:szCs w:val="22"/>
                <w:highlight w:val="none"/>
              </w:rPr>
              <w:t>采购标的对应的中小企业划分标准所属行业</w:t>
            </w:r>
          </w:p>
        </w:tc>
      </w:tr>
      <w:tr w14:paraId="5485E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08" w:type="dxa"/>
            <w:noWrap/>
            <w:vAlign w:val="center"/>
          </w:tcPr>
          <w:p w14:paraId="2F6F3CEA">
            <w:pPr>
              <w:pStyle w:val="6"/>
              <w:spacing w:line="240" w:lineRule="auto"/>
              <w:ind w:firstLine="0"/>
              <w:outlineLvl w:val="0"/>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eastAsia="zh-CN"/>
              </w:rPr>
              <w:t>2025年一般工业固废污泥处置项目</w:t>
            </w:r>
          </w:p>
        </w:tc>
        <w:tc>
          <w:tcPr>
            <w:tcW w:w="1157" w:type="dxa"/>
            <w:noWrap/>
            <w:vAlign w:val="center"/>
          </w:tcPr>
          <w:p w14:paraId="1EBF6F8D">
            <w:pPr>
              <w:pStyle w:val="6"/>
              <w:spacing w:line="240" w:lineRule="auto"/>
              <w:ind w:firstLine="0"/>
              <w:jc w:val="center"/>
              <w:outlineLvl w:val="0"/>
              <w:rPr>
                <w:rFonts w:ascii="宋体" w:hAnsi="宋体" w:cs="宋体"/>
                <w:b/>
                <w:color w:val="auto"/>
                <w:sz w:val="22"/>
                <w:szCs w:val="22"/>
                <w:highlight w:val="none"/>
              </w:rPr>
            </w:pPr>
            <w:r>
              <w:rPr>
                <w:rFonts w:hint="eastAsia" w:ascii="宋体" w:hAnsi="宋体" w:cs="宋体"/>
                <w:b/>
                <w:color w:val="auto"/>
                <w:sz w:val="22"/>
                <w:szCs w:val="22"/>
                <w:highlight w:val="none"/>
              </w:rPr>
              <w:t>315</w:t>
            </w:r>
          </w:p>
        </w:tc>
        <w:tc>
          <w:tcPr>
            <w:tcW w:w="1087" w:type="dxa"/>
            <w:noWrap/>
            <w:vAlign w:val="center"/>
          </w:tcPr>
          <w:p w14:paraId="3535AEC6">
            <w:pPr>
              <w:pStyle w:val="6"/>
              <w:spacing w:line="240" w:lineRule="auto"/>
              <w:ind w:firstLine="0"/>
              <w:jc w:val="center"/>
              <w:outlineLvl w:val="0"/>
              <w:rPr>
                <w:rFonts w:ascii="宋体" w:hAnsi="宋体" w:cs="宋体"/>
                <w:b/>
                <w:color w:val="auto"/>
                <w:sz w:val="22"/>
                <w:szCs w:val="22"/>
                <w:highlight w:val="none"/>
              </w:rPr>
            </w:pPr>
            <w:r>
              <w:rPr>
                <w:rFonts w:hint="eastAsia" w:ascii="宋体" w:hAnsi="宋体" w:cs="宋体"/>
                <w:b/>
                <w:color w:val="auto"/>
                <w:sz w:val="22"/>
                <w:szCs w:val="22"/>
                <w:highlight w:val="none"/>
              </w:rPr>
              <w:t>1</w:t>
            </w:r>
          </w:p>
        </w:tc>
        <w:tc>
          <w:tcPr>
            <w:tcW w:w="916" w:type="dxa"/>
            <w:noWrap/>
            <w:vAlign w:val="center"/>
          </w:tcPr>
          <w:p w14:paraId="56A8CA43">
            <w:pPr>
              <w:pStyle w:val="6"/>
              <w:spacing w:line="240" w:lineRule="auto"/>
              <w:ind w:firstLine="0"/>
              <w:jc w:val="center"/>
              <w:outlineLvl w:val="0"/>
              <w:rPr>
                <w:rFonts w:ascii="宋体" w:hAnsi="宋体" w:cs="宋体"/>
                <w:b/>
                <w:color w:val="auto"/>
                <w:sz w:val="22"/>
                <w:szCs w:val="22"/>
                <w:highlight w:val="none"/>
              </w:rPr>
            </w:pPr>
            <w:r>
              <w:rPr>
                <w:rFonts w:hint="eastAsia" w:ascii="宋体" w:hAnsi="宋体" w:cs="宋体"/>
                <w:b/>
                <w:color w:val="auto"/>
                <w:sz w:val="22"/>
                <w:szCs w:val="22"/>
                <w:highlight w:val="none"/>
              </w:rPr>
              <w:t>1</w:t>
            </w:r>
          </w:p>
        </w:tc>
        <w:tc>
          <w:tcPr>
            <w:tcW w:w="3577" w:type="dxa"/>
            <w:noWrap/>
            <w:vAlign w:val="center"/>
          </w:tcPr>
          <w:p w14:paraId="78DDB0FC">
            <w:pPr>
              <w:pStyle w:val="6"/>
              <w:spacing w:line="400" w:lineRule="exact"/>
              <w:ind w:firstLine="9"/>
              <w:jc w:val="center"/>
              <w:outlineLvl w:val="0"/>
              <w:rPr>
                <w:rFonts w:ascii="宋体" w:hAnsi="宋体" w:cs="宋体"/>
                <w:b/>
                <w:color w:val="auto"/>
                <w:sz w:val="22"/>
                <w:szCs w:val="22"/>
                <w:highlight w:val="none"/>
              </w:rPr>
            </w:pPr>
            <w:r>
              <w:rPr>
                <w:rFonts w:hint="eastAsia" w:ascii="宋体" w:hAnsi="宋体" w:cs="宋体"/>
                <w:b/>
                <w:color w:val="auto"/>
                <w:sz w:val="22"/>
                <w:szCs w:val="22"/>
                <w:highlight w:val="none"/>
              </w:rPr>
              <w:t>服务期：1年；处置量暂定10000吨，实际结算价以合同有效期内最终处置量乘以采购成交单价为准。</w:t>
            </w:r>
          </w:p>
        </w:tc>
        <w:tc>
          <w:tcPr>
            <w:tcW w:w="2391" w:type="dxa"/>
            <w:noWrap/>
            <w:vAlign w:val="center"/>
          </w:tcPr>
          <w:p w14:paraId="02AA94B8">
            <w:pPr>
              <w:pStyle w:val="6"/>
              <w:spacing w:line="400" w:lineRule="exact"/>
              <w:ind w:firstLine="9"/>
              <w:jc w:val="center"/>
              <w:outlineLvl w:val="0"/>
              <w:rPr>
                <w:rFonts w:hint="eastAsia" w:ascii="宋体" w:hAnsi="宋体" w:cs="宋体"/>
                <w:b/>
                <w:color w:val="auto"/>
                <w:sz w:val="22"/>
                <w:szCs w:val="22"/>
                <w:highlight w:val="none"/>
              </w:rPr>
            </w:pPr>
            <w:r>
              <w:rPr>
                <w:rFonts w:hint="eastAsia" w:ascii="宋体" w:hAnsi="宋体" w:cs="宋体"/>
                <w:b/>
                <w:color w:val="auto"/>
                <w:sz w:val="22"/>
                <w:szCs w:val="22"/>
                <w:highlight w:val="none"/>
              </w:rPr>
              <w:t>其他未列明行业</w:t>
            </w:r>
          </w:p>
        </w:tc>
      </w:tr>
    </w:tbl>
    <w:p w14:paraId="2DCD1103">
      <w:pPr>
        <w:pStyle w:val="4"/>
        <w:spacing w:line="400" w:lineRule="exact"/>
        <w:ind w:firstLine="482" w:firstLineChars="200"/>
        <w:rPr>
          <w:rFonts w:cs="宋体"/>
          <w:b/>
          <w:color w:val="auto"/>
          <w:sz w:val="24"/>
          <w:highlight w:val="none"/>
        </w:rPr>
      </w:pPr>
      <w:bookmarkStart w:id="35" w:name="_Toc856"/>
      <w:bookmarkStart w:id="36" w:name="_Toc26540"/>
      <w:bookmarkStart w:id="37" w:name="_Toc26284"/>
      <w:bookmarkStart w:id="38" w:name="_Toc7121"/>
      <w:bookmarkStart w:id="39" w:name="_Toc26507"/>
      <w:bookmarkStart w:id="40" w:name="_Toc12298"/>
      <w:bookmarkStart w:id="41" w:name="_Toc75793497"/>
      <w:bookmarkStart w:id="42" w:name="_Toc9736"/>
      <w:bookmarkStart w:id="43" w:name="_Toc31180"/>
      <w:bookmarkStart w:id="44" w:name="_Toc22327"/>
      <w:bookmarkStart w:id="45" w:name="_Toc26904"/>
      <w:bookmarkStart w:id="46" w:name="_Toc15664"/>
      <w:bookmarkStart w:id="47" w:name="_Toc22549"/>
      <w:bookmarkStart w:id="48" w:name="_Toc106030373"/>
      <w:bookmarkStart w:id="49" w:name="_Toc29240"/>
      <w:bookmarkStart w:id="50" w:name="_Toc15272"/>
      <w:bookmarkStart w:id="51" w:name="_Toc31390"/>
      <w:r>
        <w:rPr>
          <w:rFonts w:hint="eastAsia" w:cs="宋体"/>
          <w:b/>
          <w:color w:val="auto"/>
          <w:sz w:val="24"/>
          <w:highlight w:val="none"/>
        </w:rPr>
        <w:t>二、资金来源</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3C556A1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自筹资金。</w:t>
      </w:r>
    </w:p>
    <w:p w14:paraId="7DE27423">
      <w:pPr>
        <w:pStyle w:val="4"/>
        <w:spacing w:line="400" w:lineRule="exact"/>
        <w:ind w:firstLine="482" w:firstLineChars="200"/>
        <w:rPr>
          <w:rFonts w:cs="宋体"/>
          <w:b/>
          <w:color w:val="auto"/>
          <w:sz w:val="24"/>
          <w:highlight w:val="none"/>
        </w:rPr>
      </w:pPr>
      <w:bookmarkStart w:id="52" w:name="_Toc29468"/>
      <w:bookmarkStart w:id="53" w:name="_Toc4504"/>
      <w:bookmarkStart w:id="54" w:name="_Toc23472"/>
      <w:bookmarkStart w:id="55" w:name="_Toc21668"/>
      <w:bookmarkStart w:id="56" w:name="_Toc2256"/>
      <w:bookmarkStart w:id="57" w:name="_Toc75793498"/>
      <w:bookmarkStart w:id="58" w:name="_Toc21210"/>
      <w:bookmarkStart w:id="59" w:name="_Toc20698"/>
      <w:bookmarkStart w:id="60" w:name="_Toc7983"/>
      <w:bookmarkStart w:id="61" w:name="_Toc28070"/>
      <w:bookmarkStart w:id="62" w:name="_Toc11835"/>
      <w:bookmarkStart w:id="63" w:name="_Toc11471"/>
      <w:bookmarkStart w:id="64" w:name="_Toc20925"/>
      <w:bookmarkStart w:id="65" w:name="_Toc106030374"/>
      <w:bookmarkStart w:id="66" w:name="_Toc4356"/>
      <w:bookmarkStart w:id="67" w:name="_Toc12813"/>
      <w:bookmarkStart w:id="68" w:name="_Toc682"/>
      <w:r>
        <w:rPr>
          <w:rFonts w:hint="eastAsia" w:cs="宋体"/>
          <w:b/>
          <w:color w:val="auto"/>
          <w:sz w:val="24"/>
          <w:highlight w:val="none"/>
        </w:rPr>
        <w:t>三、</w:t>
      </w:r>
      <w:r>
        <w:rPr>
          <w:rFonts w:hint="eastAsia" w:cs="宋体"/>
          <w:b/>
          <w:color w:val="auto"/>
          <w:sz w:val="24"/>
          <w:highlight w:val="none"/>
          <w:lang w:eastAsia="zh-CN"/>
        </w:rPr>
        <w:t>供应商</w:t>
      </w:r>
      <w:r>
        <w:rPr>
          <w:rFonts w:hint="eastAsia" w:cs="宋体"/>
          <w:b/>
          <w:color w:val="auto"/>
          <w:sz w:val="24"/>
          <w:highlight w:val="none"/>
        </w:rPr>
        <w:t>资格要求</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78F66A8D">
      <w:pPr>
        <w:spacing w:line="400" w:lineRule="exact"/>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供应商是指向采购人提供服务或者货物的法人、其他组织或者自然人。</w:t>
      </w:r>
      <w:bookmarkStart w:id="69" w:name="_Toc21558_WPSOffice_Level2"/>
      <w:bookmarkStart w:id="70" w:name="_Toc31918"/>
    </w:p>
    <w:p w14:paraId="21910FD3">
      <w:pPr>
        <w:spacing w:line="400" w:lineRule="exact"/>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(一)基本条件</w:t>
      </w:r>
      <w:bookmarkEnd w:id="69"/>
      <w:bookmarkEnd w:id="70"/>
    </w:p>
    <w:p w14:paraId="60517C57">
      <w:pPr>
        <w:spacing w:line="400" w:lineRule="exact"/>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1.具有独立承担民事责任的能力；</w:t>
      </w:r>
    </w:p>
    <w:p w14:paraId="7D4A32AE">
      <w:pPr>
        <w:spacing w:line="400" w:lineRule="exact"/>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2.具有良好的商业信誉和健全的财务会计制度；</w:t>
      </w:r>
    </w:p>
    <w:p w14:paraId="6BFDCD54">
      <w:pPr>
        <w:spacing w:line="400" w:lineRule="exact"/>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3.具有履行合同所必需的设备和专业技术能力；</w:t>
      </w:r>
    </w:p>
    <w:p w14:paraId="7623A625">
      <w:pPr>
        <w:spacing w:line="400" w:lineRule="exact"/>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4.有依法缴纳税收和社会保障资金的良好记录；</w:t>
      </w:r>
    </w:p>
    <w:p w14:paraId="1F1DCE9D">
      <w:pPr>
        <w:spacing w:line="400" w:lineRule="exact"/>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5.参加采购活动前三年内，在经营活动中没有重大违法记录；</w:t>
      </w:r>
    </w:p>
    <w:p w14:paraId="382EDA57">
      <w:pPr>
        <w:spacing w:line="400" w:lineRule="exact"/>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6.法律、行政法规规定的其他条件。</w:t>
      </w:r>
    </w:p>
    <w:p w14:paraId="5EEED1DC">
      <w:pPr>
        <w:spacing w:line="400" w:lineRule="exact"/>
        <w:ind w:firstLine="480" w:firstLineChars="200"/>
        <w:rPr>
          <w:rFonts w:ascii="宋体" w:hAnsi="宋体" w:cs="宋体"/>
          <w:color w:val="auto"/>
          <w:sz w:val="24"/>
          <w:szCs w:val="24"/>
          <w:highlight w:val="none"/>
          <w:lang w:val="zh-CN"/>
        </w:rPr>
      </w:pPr>
      <w:bookmarkStart w:id="71" w:name="_Toc29541"/>
      <w:bookmarkStart w:id="72" w:name="_Toc24452_WPSOffice_Level2"/>
      <w:r>
        <w:rPr>
          <w:rFonts w:hint="eastAsia" w:ascii="宋体" w:hAnsi="宋体" w:cs="宋体"/>
          <w:color w:val="auto"/>
          <w:sz w:val="24"/>
          <w:szCs w:val="24"/>
          <w:highlight w:val="none"/>
          <w:lang w:val="zh-CN"/>
        </w:rPr>
        <w:t>（二）特定资格条件</w:t>
      </w:r>
      <w:bookmarkEnd w:id="71"/>
      <w:bookmarkEnd w:id="72"/>
    </w:p>
    <w:p w14:paraId="4D103ECC">
      <w:pPr>
        <w:spacing w:line="400" w:lineRule="exact"/>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（1）终端处置机构需具备处置本项目固体废物（剩余污泥）的能力。</w:t>
      </w:r>
    </w:p>
    <w:p w14:paraId="28F64B27">
      <w:pPr>
        <w:spacing w:line="40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（2）承接本项目业务的第三方机构，至少提供二家及以上与处置本项目固体废物（剩余污泥）能力的终端处置机构签订的处置合同。</w:t>
      </w:r>
    </w:p>
    <w:p w14:paraId="6523B473">
      <w:pPr>
        <w:spacing w:line="400" w:lineRule="exact"/>
        <w:ind w:firstLine="482" w:firstLineChars="200"/>
        <w:jc w:val="left"/>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rPr>
        <w:t>（3）</w:t>
      </w:r>
      <w:r>
        <w:rPr>
          <w:rFonts w:hint="eastAsia" w:cs="宋体"/>
          <w:b/>
          <w:color w:val="auto"/>
          <w:sz w:val="24"/>
          <w:highlight w:val="none"/>
        </w:rPr>
        <w:t>※</w:t>
      </w:r>
      <w:r>
        <w:rPr>
          <w:rFonts w:hint="eastAsia" w:ascii="宋体" w:hAnsi="宋体" w:cs="宋体"/>
          <w:b/>
          <w:bCs/>
          <w:color w:val="auto"/>
          <w:sz w:val="24"/>
          <w:szCs w:val="24"/>
          <w:highlight w:val="none"/>
        </w:rPr>
        <w:t>实施本项目的终端处置场所应具备环评或地方环保部门相关许可文件，并已通过验收。</w:t>
      </w:r>
      <w:r>
        <w:rPr>
          <w:rFonts w:hint="eastAsia" w:ascii="宋体" w:hAnsi="宋体" w:cs="宋体"/>
          <w:b/>
          <w:bCs/>
          <w:color w:val="auto"/>
          <w:sz w:val="24"/>
          <w:szCs w:val="24"/>
          <w:highlight w:val="none"/>
          <w:lang w:val="en-US" w:eastAsia="zh-CN"/>
        </w:rPr>
        <w:t>后续中标人在与业主签订合同时需在双方合同中明确“由投标文件中提供的验收通过意见的终端处置场所处置本项目固废”。</w:t>
      </w:r>
    </w:p>
    <w:p w14:paraId="265E332E">
      <w:pPr>
        <w:spacing w:line="400" w:lineRule="exact"/>
        <w:ind w:firstLine="482" w:firstLineChars="200"/>
        <w:jc w:val="left"/>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rPr>
        <w:t>（4）运输车辆</w:t>
      </w:r>
      <w:r>
        <w:rPr>
          <w:rFonts w:hint="eastAsia" w:ascii="宋体" w:hAnsi="宋体" w:cs="宋体"/>
          <w:b/>
          <w:bCs/>
          <w:color w:val="auto"/>
          <w:sz w:val="24"/>
          <w:szCs w:val="24"/>
          <w:highlight w:val="none"/>
          <w:lang w:val="en-US" w:eastAsia="zh-CN"/>
        </w:rPr>
        <w:t>采用</w:t>
      </w:r>
      <w:r>
        <w:rPr>
          <w:rFonts w:hint="eastAsia" w:ascii="宋体" w:hAnsi="宋体" w:cs="宋体"/>
          <w:b/>
          <w:bCs/>
          <w:color w:val="auto"/>
          <w:sz w:val="24"/>
          <w:szCs w:val="24"/>
          <w:highlight w:val="none"/>
        </w:rPr>
        <w:t>四桥车及以下吨位车辆</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提供相应车辆证明文件。</w:t>
      </w:r>
    </w:p>
    <w:p w14:paraId="68E963A6">
      <w:pPr>
        <w:pStyle w:val="4"/>
        <w:spacing w:line="400" w:lineRule="exact"/>
        <w:ind w:firstLine="482" w:firstLineChars="200"/>
        <w:rPr>
          <w:rFonts w:cs="宋体"/>
          <w:b/>
          <w:color w:val="auto"/>
          <w:sz w:val="24"/>
          <w:highlight w:val="none"/>
        </w:rPr>
      </w:pPr>
      <w:bookmarkStart w:id="73" w:name="_Toc24618"/>
      <w:bookmarkStart w:id="74" w:name="_Toc11987"/>
      <w:bookmarkStart w:id="75" w:name="_Toc28188"/>
      <w:bookmarkStart w:id="76" w:name="_Toc75793499"/>
      <w:bookmarkStart w:id="77" w:name="_Toc106030375"/>
      <w:bookmarkStart w:id="78" w:name="_Toc22464"/>
      <w:bookmarkStart w:id="79" w:name="_Toc11276"/>
      <w:bookmarkStart w:id="80" w:name="_Toc13076"/>
      <w:bookmarkStart w:id="81" w:name="_Toc27442"/>
      <w:bookmarkStart w:id="82" w:name="_Toc15980"/>
      <w:bookmarkStart w:id="83" w:name="_Toc25702"/>
      <w:bookmarkStart w:id="84" w:name="_Toc8255"/>
      <w:bookmarkStart w:id="85" w:name="_Toc12680"/>
      <w:bookmarkStart w:id="86" w:name="_Toc1132"/>
      <w:bookmarkStart w:id="87" w:name="_Toc5414"/>
      <w:bookmarkStart w:id="88" w:name="_Toc9335"/>
      <w:bookmarkStart w:id="89" w:name="_Toc27732"/>
      <w:r>
        <w:rPr>
          <w:rFonts w:hint="eastAsia" w:cs="宋体"/>
          <w:b/>
          <w:color w:val="auto"/>
          <w:sz w:val="24"/>
          <w:highlight w:val="none"/>
        </w:rPr>
        <w:t>四、投标、开标有关说明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3A7ADC3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应通过在“行采家”平台（http://www.gec123.com）网上）登记加入“行采家采购供应商库”。</w:t>
      </w:r>
    </w:p>
    <w:p w14:paraId="51E3B2D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（二）凡有意参加磋商的供应商，请到采购代理机构领取或在“行采家”平台（http://www.gec123.com）网上下载本项目招标文件以及澄清等开标前公布的所有项目资料，无论</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领取或下载与否，均视为已知晓所有招标内容。</w:t>
      </w:r>
    </w:p>
    <w:p w14:paraId="129ECD2A">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（三）招标文件公告期限：自采购公告发布之日起五个工作日。</w:t>
      </w:r>
    </w:p>
    <w:p w14:paraId="5E90ED6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（四）招标文件提供期限</w:t>
      </w:r>
    </w:p>
    <w:p w14:paraId="17A158F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1.招标文件提供期限：2025年0</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19</w:t>
      </w:r>
      <w:r>
        <w:rPr>
          <w:rFonts w:hint="eastAsia" w:ascii="宋体" w:hAnsi="宋体" w:cs="宋体"/>
          <w:color w:val="auto"/>
          <w:sz w:val="24"/>
          <w:szCs w:val="24"/>
          <w:highlight w:val="none"/>
        </w:rPr>
        <w:t>日至2025年0</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cs="宋体"/>
          <w:color w:val="auto"/>
          <w:sz w:val="24"/>
          <w:szCs w:val="24"/>
          <w:highlight w:val="none"/>
        </w:rPr>
        <w:t>日。</w:t>
      </w:r>
    </w:p>
    <w:p w14:paraId="3EB71AE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2.报名方式：</w:t>
      </w:r>
    </w:p>
    <w:p w14:paraId="6A79A7B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2.1现场报名方式：在招标文件提供期内，</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到采购代理机构（重庆市渝北区红锦大道61号2栋8-3）递交《</w:t>
      </w:r>
      <w:r>
        <w:rPr>
          <w:rFonts w:hint="eastAsia" w:ascii="宋体" w:hAnsi="宋体" w:cs="宋体"/>
          <w:color w:val="auto"/>
          <w:sz w:val="24"/>
          <w:szCs w:val="24"/>
          <w:highlight w:val="none"/>
          <w:lang w:val="en-US" w:eastAsia="zh-CN"/>
        </w:rPr>
        <w:t>比选</w:t>
      </w:r>
      <w:r>
        <w:rPr>
          <w:rFonts w:hint="eastAsia" w:ascii="宋体" w:hAnsi="宋体" w:cs="宋体"/>
          <w:color w:val="auto"/>
          <w:sz w:val="24"/>
          <w:szCs w:val="24"/>
          <w:highlight w:val="none"/>
        </w:rPr>
        <w:t>文件发售登记表》（加盖供应商公章）进行报名。</w:t>
      </w:r>
    </w:p>
    <w:p w14:paraId="219AC2E6">
      <w:pPr>
        <w:spacing w:line="288"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2.2非现场报名方式：在招标文件提供期内，供应商将《</w:t>
      </w:r>
      <w:r>
        <w:rPr>
          <w:rFonts w:hint="eastAsia" w:ascii="宋体" w:hAnsi="宋体" w:cs="宋体"/>
          <w:color w:val="auto"/>
          <w:sz w:val="24"/>
          <w:szCs w:val="24"/>
          <w:highlight w:val="none"/>
          <w:lang w:val="en-US" w:eastAsia="zh-CN"/>
        </w:rPr>
        <w:t>比选</w:t>
      </w:r>
      <w:r>
        <w:rPr>
          <w:rFonts w:hint="eastAsia" w:ascii="宋体" w:hAnsi="宋体" w:cs="宋体"/>
          <w:color w:val="auto"/>
          <w:sz w:val="24"/>
          <w:szCs w:val="24"/>
          <w:highlight w:val="none"/>
        </w:rPr>
        <w:t>文件发售登记表》（加盖供应商公章）扫描发送至997186867@qq.com邮箱进行报名。</w:t>
      </w:r>
    </w:p>
    <w:p w14:paraId="5E9805F1">
      <w:pPr>
        <w:spacing w:line="288" w:lineRule="auto"/>
        <w:ind w:firstLine="482" w:firstLineChars="200"/>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3</w:t>
      </w:r>
      <w:r>
        <w:rPr>
          <w:rFonts w:hint="eastAsia" w:ascii="宋体" w:hAnsi="宋体" w:cs="宋体"/>
          <w:color w:val="auto"/>
          <w:sz w:val="24"/>
          <w:szCs w:val="24"/>
          <w:highlight w:val="none"/>
          <w:lang w:val="en-US" w:eastAsia="zh-CN"/>
        </w:rPr>
        <w:t>.报名截止时间为2025年8月21日北京时间18:00。</w:t>
      </w:r>
    </w:p>
    <w:p w14:paraId="18E54099">
      <w:pPr>
        <w:spacing w:line="288"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招标文件售价：人民币</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00元/份（售后不退）。供应商法人或授权代表人扫发售登记表中收款二维码支付比选文件费；在招标文件提供期限内购买了招标文件的供应商，其响应文件才被接收。</w:t>
      </w:r>
    </w:p>
    <w:p w14:paraId="0A9318EA">
      <w:pPr>
        <w:spacing w:line="288"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供应商须满足以下三种要件，其</w:t>
      </w:r>
      <w:r>
        <w:rPr>
          <w:rFonts w:hint="eastAsia" w:ascii="宋体" w:hAnsi="宋体" w:cs="宋体"/>
          <w:b/>
          <w:bCs/>
          <w:color w:val="auto"/>
          <w:sz w:val="24"/>
          <w:szCs w:val="24"/>
          <w:highlight w:val="none"/>
          <w:lang w:eastAsia="zh-CN"/>
        </w:rPr>
        <w:t>响应文件</w:t>
      </w:r>
      <w:r>
        <w:rPr>
          <w:rFonts w:hint="eastAsia" w:ascii="宋体" w:hAnsi="宋体" w:cs="宋体"/>
          <w:b/>
          <w:bCs/>
          <w:color w:val="auto"/>
          <w:sz w:val="24"/>
          <w:szCs w:val="24"/>
          <w:highlight w:val="none"/>
        </w:rPr>
        <w:t>才被接受：</w:t>
      </w:r>
    </w:p>
    <w:p w14:paraId="5D429077">
      <w:pPr>
        <w:spacing w:line="288"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1．在竞争性</w:t>
      </w:r>
      <w:r>
        <w:rPr>
          <w:rFonts w:hint="eastAsia" w:ascii="宋体" w:hAnsi="宋体" w:cs="宋体"/>
          <w:b/>
          <w:bCs/>
          <w:color w:val="auto"/>
          <w:sz w:val="24"/>
          <w:szCs w:val="24"/>
          <w:highlight w:val="none"/>
          <w:lang w:val="en-US" w:eastAsia="zh-CN"/>
        </w:rPr>
        <w:t>磋商</w:t>
      </w:r>
      <w:r>
        <w:rPr>
          <w:rFonts w:hint="eastAsia" w:ascii="宋体" w:hAnsi="宋体" w:cs="宋体"/>
          <w:b/>
          <w:bCs/>
          <w:color w:val="auto"/>
          <w:sz w:val="24"/>
          <w:szCs w:val="24"/>
          <w:highlight w:val="none"/>
        </w:rPr>
        <w:t>文件发售期内</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现场和邮箱报名</w:t>
      </w:r>
      <w:r>
        <w:rPr>
          <w:rFonts w:hint="eastAsia" w:ascii="宋体" w:hAnsi="宋体" w:cs="宋体"/>
          <w:b/>
          <w:bCs/>
          <w:color w:val="auto"/>
          <w:sz w:val="24"/>
          <w:szCs w:val="24"/>
          <w:highlight w:val="none"/>
        </w:rPr>
        <w:t>均递交了报名文件</w:t>
      </w:r>
      <w:r>
        <w:rPr>
          <w:rFonts w:hint="eastAsia" w:ascii="宋体" w:hAnsi="宋体" w:cs="宋体"/>
          <w:b/>
          <w:bCs/>
          <w:color w:val="auto"/>
          <w:sz w:val="24"/>
          <w:szCs w:val="24"/>
          <w:highlight w:val="none"/>
          <w:lang w:eastAsia="zh-CN"/>
        </w:rPr>
        <w:t>；</w:t>
      </w:r>
    </w:p>
    <w:p w14:paraId="5A849314">
      <w:pPr>
        <w:spacing w:line="288"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rPr>
        <w:t>2．按时递交了</w:t>
      </w:r>
      <w:r>
        <w:rPr>
          <w:rFonts w:hint="eastAsia" w:ascii="宋体" w:hAnsi="宋体" w:cs="宋体"/>
          <w:b/>
          <w:bCs/>
          <w:color w:val="auto"/>
          <w:sz w:val="24"/>
          <w:szCs w:val="24"/>
          <w:highlight w:val="none"/>
          <w:lang w:eastAsia="zh-CN"/>
        </w:rPr>
        <w:t>响应文件（</w:t>
      </w:r>
      <w:r>
        <w:rPr>
          <w:rFonts w:hint="eastAsia" w:ascii="宋体" w:hAnsi="宋体" w:cs="宋体"/>
          <w:b/>
          <w:bCs/>
          <w:color w:val="auto"/>
          <w:sz w:val="24"/>
          <w:szCs w:val="24"/>
          <w:highlight w:val="none"/>
          <w:lang w:val="en-US" w:eastAsia="zh-CN"/>
        </w:rPr>
        <w:t>纸质和线上均递交</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w:t>
      </w:r>
    </w:p>
    <w:p w14:paraId="24516B16">
      <w:pPr>
        <w:spacing w:line="288"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3．缴纳了招标文件购买费。</w:t>
      </w:r>
    </w:p>
    <w:p w14:paraId="6AD78D7F">
      <w:pPr>
        <w:pStyle w:val="8"/>
        <w:spacing w:line="288"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（五）线上报价</w:t>
      </w:r>
    </w:p>
    <w:p w14:paraId="50F7BFB4">
      <w:pPr>
        <w:pStyle w:val="8"/>
        <w:spacing w:line="288" w:lineRule="auto"/>
        <w:ind w:firstLine="720" w:firstLineChars="3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1.线上报价时间：2025年08月22日北京时间09:00时起至2025年08月22日11：30时止。</w:t>
      </w:r>
    </w:p>
    <w:p w14:paraId="036266E9">
      <w:pPr>
        <w:pStyle w:val="8"/>
        <w:spacing w:line="288" w:lineRule="auto"/>
        <w:ind w:firstLine="720" w:firstLineChars="3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2.线上报价要求：按本项目规定的时间在“行采家（https://www.gec123.com）”进行网上报价，并在规定的时间内上传响应文件电子文档。未在规定时间内报价和上传响应文件电子文档的供应商不具备竞标资格。</w:t>
      </w:r>
    </w:p>
    <w:p w14:paraId="4C2243ED">
      <w:pPr>
        <w:pStyle w:val="8"/>
        <w:spacing w:line="288" w:lineRule="auto"/>
        <w:ind w:firstLine="720" w:firstLineChars="3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1F701C7C">
      <w:pPr>
        <w:pStyle w:val="8"/>
        <w:spacing w:line="288" w:lineRule="auto"/>
        <w:ind w:firstLine="720" w:firstLineChars="3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1.供应商线上报名、报价时须上传加盖公章后的完整有效的响应文件电子档一份（响应文件需签字盖章后扫描成一个PDF格式文件上传）。</w:t>
      </w:r>
    </w:p>
    <w:p w14:paraId="4971EDFB">
      <w:pPr>
        <w:pStyle w:val="8"/>
        <w:spacing w:line="288" w:lineRule="auto"/>
        <w:ind w:firstLine="720" w:firstLineChars="3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2.供应商上传的响应文件应按照“第七篇  </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格式”要求制作，规定签字、盖章的地方必须按规定签字、盖章，并扫描成PDF格式电子文档，未按要求制作响应文件的作无效标处理。</w:t>
      </w:r>
    </w:p>
    <w:p w14:paraId="611DAB40">
      <w:pPr>
        <w:pStyle w:val="8"/>
        <w:spacing w:line="288" w:lineRule="auto"/>
        <w:ind w:firstLine="723" w:firstLineChars="30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（六）线下递交</w:t>
      </w:r>
      <w:r>
        <w:rPr>
          <w:rFonts w:hint="eastAsia" w:ascii="宋体" w:hAnsi="宋体" w:eastAsia="宋体" w:cs="宋体"/>
          <w:color w:val="auto"/>
          <w:sz w:val="24"/>
          <w:szCs w:val="24"/>
          <w:highlight w:val="none"/>
        </w:rPr>
        <w:t>：密封后的纸质响应文件一份,作为评审及留档材料</w:t>
      </w:r>
      <w:r>
        <w:rPr>
          <w:rFonts w:hint="eastAsia" w:ascii="宋体" w:hAnsi="宋体" w:eastAsia="宋体" w:cs="宋体"/>
          <w:color w:val="auto"/>
          <w:sz w:val="24"/>
          <w:szCs w:val="24"/>
          <w:highlight w:val="none"/>
          <w:lang w:eastAsia="zh-CN"/>
        </w:rPr>
        <w:t>。</w:t>
      </w:r>
    </w:p>
    <w:p w14:paraId="2072C057">
      <w:pPr>
        <w:pStyle w:val="8"/>
        <w:spacing w:line="288" w:lineRule="auto"/>
        <w:ind w:firstLine="720" w:firstLineChars="3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1.递交地点:重庆市渝北区龙溪街道红锦大道61号2栋8-3。</w:t>
      </w:r>
    </w:p>
    <w:p w14:paraId="34B0F231">
      <w:pPr>
        <w:pStyle w:val="8"/>
        <w:spacing w:line="288" w:lineRule="auto"/>
        <w:ind w:firstLine="720" w:firstLineChars="3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2.递交方式:现场递交或邮寄递交或闪送递交均可，须密封完整。</w:t>
      </w:r>
    </w:p>
    <w:p w14:paraId="28B9E964">
      <w:pPr>
        <w:pStyle w:val="8"/>
        <w:spacing w:line="288" w:lineRule="auto"/>
        <w:ind w:firstLine="720" w:firstLineChars="3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3.注意：</w:t>
      </w:r>
      <w:r>
        <w:rPr>
          <w:rFonts w:hint="eastAsia" w:ascii="宋体" w:hAnsi="宋体" w:eastAsia="宋体" w:cs="宋体"/>
          <w:b/>
          <w:bCs/>
          <w:color w:val="auto"/>
          <w:sz w:val="24"/>
          <w:szCs w:val="24"/>
          <w:highlight w:val="none"/>
        </w:rPr>
        <w:t>线上</w:t>
      </w:r>
      <w:r>
        <w:rPr>
          <w:rFonts w:hint="eastAsia" w:ascii="宋体" w:hAnsi="宋体" w:eastAsia="宋体" w:cs="宋体"/>
          <w:b/>
          <w:bCs/>
          <w:color w:val="auto"/>
          <w:sz w:val="24"/>
          <w:szCs w:val="24"/>
          <w:highlight w:val="none"/>
          <w:lang w:eastAsia="zh-CN"/>
        </w:rPr>
        <w:t>响应文件</w:t>
      </w:r>
      <w:r>
        <w:rPr>
          <w:rFonts w:hint="eastAsia" w:ascii="宋体" w:hAnsi="宋体" w:eastAsia="宋体" w:cs="宋体"/>
          <w:b/>
          <w:bCs/>
          <w:color w:val="auto"/>
          <w:sz w:val="24"/>
          <w:szCs w:val="24"/>
          <w:highlight w:val="none"/>
        </w:rPr>
        <w:t>与线下纸质文件不一致的，以线</w:t>
      </w:r>
      <w:r>
        <w:rPr>
          <w:rFonts w:hint="eastAsia" w:ascii="宋体" w:hAnsi="宋体" w:eastAsia="宋体" w:cs="宋体"/>
          <w:b/>
          <w:bCs/>
          <w:color w:val="auto"/>
          <w:sz w:val="24"/>
          <w:szCs w:val="24"/>
          <w:highlight w:val="none"/>
          <w:lang w:val="en-US" w:eastAsia="zh-CN"/>
        </w:rPr>
        <w:t>上响应文件</w:t>
      </w:r>
      <w:r>
        <w:rPr>
          <w:rFonts w:hint="eastAsia" w:ascii="宋体" w:hAnsi="宋体" w:eastAsia="宋体" w:cs="宋体"/>
          <w:b/>
          <w:bCs/>
          <w:color w:val="auto"/>
          <w:sz w:val="24"/>
          <w:szCs w:val="24"/>
          <w:highlight w:val="none"/>
        </w:rPr>
        <w:t>为准。</w:t>
      </w:r>
    </w:p>
    <w:p w14:paraId="63E17441">
      <w:pPr>
        <w:pStyle w:val="8"/>
        <w:spacing w:line="288" w:lineRule="auto"/>
        <w:ind w:firstLine="720" w:firstLineChars="3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4.线下响应文件递交开始时间：2025年08月22日北京时间09:00。  </w:t>
      </w:r>
    </w:p>
    <w:p w14:paraId="02DBDDFF">
      <w:pPr>
        <w:pStyle w:val="8"/>
        <w:spacing w:line="288" w:lineRule="auto"/>
        <w:ind w:firstLine="720" w:firstLineChars="3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5.线下响应文件递交截止时间：2025年08月22日北京时间11:30。</w:t>
      </w:r>
    </w:p>
    <w:p w14:paraId="650587BF">
      <w:pPr>
        <w:pStyle w:val="8"/>
        <w:spacing w:line="288" w:lineRule="auto"/>
        <w:ind w:firstLine="720" w:firstLineChars="300"/>
        <w:rPr>
          <w:rFonts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6.评审时间：2025年08月22日北京时间15:30。</w:t>
      </w:r>
      <w:r>
        <w:rPr>
          <w:rFonts w:hint="eastAsia" w:ascii="宋体" w:hAnsi="宋体" w:eastAsia="宋体" w:cs="宋体"/>
          <w:color w:val="auto"/>
          <w:sz w:val="24"/>
          <w:szCs w:val="24"/>
          <w:highlight w:val="none"/>
        </w:rPr>
        <w:t xml:space="preserve">  </w:t>
      </w:r>
    </w:p>
    <w:p w14:paraId="0E645A6C">
      <w:pPr>
        <w:pStyle w:val="8"/>
        <w:spacing w:line="288" w:lineRule="auto"/>
        <w:ind w:firstLine="720" w:firstLineChars="300"/>
        <w:rPr>
          <w:rFonts w:ascii="宋体" w:hAnsi="宋体" w:cs="宋体"/>
          <w:color w:val="auto"/>
          <w:sz w:val="24"/>
          <w:szCs w:val="24"/>
          <w:highlight w:val="none"/>
        </w:rPr>
      </w:pPr>
      <w:r>
        <w:rPr>
          <w:rFonts w:hint="eastAsia" w:ascii="宋体" w:hAnsi="宋体" w:eastAsia="宋体" w:cs="宋体"/>
          <w:color w:val="auto"/>
          <w:sz w:val="24"/>
          <w:szCs w:val="24"/>
          <w:highlight w:val="none"/>
        </w:rPr>
        <w:t>7.评审地点：采购代理机构评标室（重庆市渝北区龙溪街道红锦大道61号2栋8-3）。</w:t>
      </w:r>
    </w:p>
    <w:p w14:paraId="601D267D">
      <w:pPr>
        <w:pStyle w:val="4"/>
        <w:spacing w:line="400" w:lineRule="exact"/>
        <w:ind w:firstLine="482" w:firstLineChars="200"/>
        <w:rPr>
          <w:rFonts w:cs="宋体"/>
          <w:b/>
          <w:color w:val="auto"/>
          <w:sz w:val="24"/>
          <w:highlight w:val="none"/>
        </w:rPr>
      </w:pPr>
      <w:bookmarkStart w:id="90" w:name="_Toc24604"/>
      <w:bookmarkStart w:id="91" w:name="_Toc12663"/>
      <w:bookmarkStart w:id="92" w:name="_Toc9290"/>
      <w:bookmarkStart w:id="93" w:name="_Toc23960"/>
      <w:bookmarkStart w:id="94" w:name="_Toc106030376"/>
      <w:bookmarkStart w:id="95" w:name="_Toc7836"/>
      <w:bookmarkStart w:id="96" w:name="_Toc12090"/>
      <w:bookmarkStart w:id="97" w:name="_Toc524"/>
      <w:bookmarkStart w:id="98" w:name="_Toc75793500"/>
      <w:bookmarkStart w:id="99" w:name="_Toc30895"/>
      <w:bookmarkStart w:id="100" w:name="_Toc11844"/>
      <w:bookmarkStart w:id="101" w:name="_Toc3476"/>
      <w:bookmarkStart w:id="102" w:name="_Toc20313"/>
      <w:bookmarkStart w:id="103" w:name="_Toc22111"/>
      <w:bookmarkStart w:id="104" w:name="_Toc25854"/>
      <w:bookmarkStart w:id="105" w:name="_Toc15717"/>
      <w:bookmarkStart w:id="106" w:name="_Toc18100"/>
      <w:r>
        <w:rPr>
          <w:rFonts w:hint="eastAsia" w:cs="宋体"/>
          <w:b/>
          <w:color w:val="auto"/>
          <w:sz w:val="24"/>
          <w:highlight w:val="none"/>
        </w:rPr>
        <w:t>※五、</w:t>
      </w:r>
      <w:r>
        <w:rPr>
          <w:rFonts w:hint="eastAsia" w:cs="宋体"/>
          <w:b/>
          <w:color w:val="auto"/>
          <w:sz w:val="24"/>
          <w:highlight w:val="none"/>
          <w:lang w:val="en-US" w:eastAsia="zh-CN"/>
        </w:rPr>
        <w:t>磋商</w:t>
      </w:r>
      <w:r>
        <w:rPr>
          <w:rFonts w:hint="eastAsia" w:cs="宋体"/>
          <w:b/>
          <w:color w:val="auto"/>
          <w:sz w:val="24"/>
          <w:highlight w:val="none"/>
        </w:rPr>
        <w:t>保证金</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1061ABF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（一）磋商保证金递交</w:t>
      </w:r>
    </w:p>
    <w:p w14:paraId="5F727C6E">
      <w:pPr>
        <w:spacing w:line="40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1.磋商保证金应以银行转账、金融机构或担保机构出具的纸质保函等形式提交。</w:t>
      </w:r>
    </w:p>
    <w:p w14:paraId="5A90FD8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2.</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须按本项目规定的磋商保证金金额和递交方式进行缴纳。</w:t>
      </w:r>
    </w:p>
    <w:p w14:paraId="3EC08DD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（二）银行转账保证金递交账户</w:t>
      </w:r>
    </w:p>
    <w:p w14:paraId="270695D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供应商银行转账递交</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保证金须从其公司基本账户将</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保证金汇至以下账户，</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保证金的到账截止时间2025年 0</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 xml:space="preserve">月 </w:t>
      </w: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rPr>
        <w:t xml:space="preserve"> 日北京时间</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rPr>
        <w:t>：00。</w:t>
      </w:r>
    </w:p>
    <w:p w14:paraId="7786D69F">
      <w:pPr>
        <w:spacing w:line="40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保证金</w:t>
      </w:r>
      <w:r>
        <w:rPr>
          <w:rFonts w:hint="eastAsia" w:ascii="宋体" w:hAnsi="宋体" w:cs="宋体"/>
          <w:b/>
          <w:bCs/>
          <w:color w:val="auto"/>
          <w:sz w:val="24"/>
          <w:szCs w:val="24"/>
          <w:highlight w:val="none"/>
          <w:lang w:val="en-US" w:eastAsia="zh-CN"/>
        </w:rPr>
        <w:t>递交</w:t>
      </w:r>
      <w:r>
        <w:rPr>
          <w:rFonts w:hint="eastAsia" w:ascii="宋体" w:hAnsi="宋体" w:cs="宋体"/>
          <w:b/>
          <w:bCs/>
          <w:color w:val="auto"/>
          <w:sz w:val="24"/>
          <w:szCs w:val="24"/>
          <w:highlight w:val="none"/>
        </w:rPr>
        <w:t>账户：</w:t>
      </w:r>
    </w:p>
    <w:p w14:paraId="40EE7034">
      <w:pPr>
        <w:spacing w:line="40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开户名称：凯发新泉高阳污水处理（重庆）有限公司</w:t>
      </w:r>
    </w:p>
    <w:p w14:paraId="7894CD2A">
      <w:pPr>
        <w:spacing w:line="40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开户银行：中国银行重庆中什字支行</w:t>
      </w:r>
    </w:p>
    <w:p w14:paraId="3446F033">
      <w:pPr>
        <w:spacing w:line="400" w:lineRule="atLeas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账号：1130 1599 9997</w:t>
      </w:r>
    </w:p>
    <w:p w14:paraId="7B15A8E7">
      <w:pPr>
        <w:spacing w:line="400" w:lineRule="atLeas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注：</w:t>
      </w:r>
      <w:r>
        <w:rPr>
          <w:rFonts w:hint="eastAsia" w:ascii="宋体" w:hAnsi="宋体" w:cs="宋体"/>
          <w:b/>
          <w:bCs/>
          <w:color w:val="auto"/>
          <w:sz w:val="24"/>
          <w:szCs w:val="24"/>
          <w:highlight w:val="none"/>
          <w:lang w:val="en-US" w:eastAsia="zh-CN"/>
        </w:rPr>
        <w:t>供应商</w:t>
      </w:r>
      <w:r>
        <w:rPr>
          <w:rFonts w:hint="eastAsia" w:ascii="宋体" w:hAnsi="宋体" w:cs="宋体"/>
          <w:b/>
          <w:bCs/>
          <w:color w:val="auto"/>
          <w:sz w:val="24"/>
          <w:szCs w:val="24"/>
          <w:highlight w:val="none"/>
        </w:rPr>
        <w:t>在付款凭证备注栏中注明是“</w:t>
      </w:r>
      <w:r>
        <w:rPr>
          <w:rFonts w:hint="eastAsia" w:ascii="宋体" w:hAnsi="宋体" w:cs="宋体"/>
          <w:b/>
          <w:bCs/>
          <w:color w:val="auto"/>
          <w:sz w:val="24"/>
          <w:szCs w:val="24"/>
          <w:highlight w:val="none"/>
          <w:lang w:eastAsia="zh-CN"/>
        </w:rPr>
        <w:t>2025年一般工业固废污泥处置项目磋商保证金</w:t>
      </w:r>
      <w:r>
        <w:rPr>
          <w:rFonts w:hint="eastAsia" w:ascii="宋体" w:hAnsi="宋体" w:cs="宋体"/>
          <w:b/>
          <w:bCs/>
          <w:color w:val="auto"/>
          <w:sz w:val="24"/>
          <w:szCs w:val="24"/>
          <w:highlight w:val="none"/>
        </w:rPr>
        <w:t>”。</w:t>
      </w:r>
    </w:p>
    <w:p w14:paraId="0680205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1.各</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在银行转账（电汇）时，须充分考虑银行转账（电汇）的时间差风险，如同城转账、异地转账或汇款、跨行转账或电汇的时间要求。</w:t>
      </w:r>
    </w:p>
    <w:p w14:paraId="597E113C">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在递交</w:t>
      </w:r>
      <w:r>
        <w:rPr>
          <w:rFonts w:hint="eastAsia" w:ascii="宋体" w:hAnsi="宋体" w:cs="宋体"/>
          <w:color w:val="auto"/>
          <w:sz w:val="24"/>
          <w:szCs w:val="24"/>
          <w:highlight w:val="none"/>
          <w:lang w:eastAsia="zh-CN"/>
        </w:rPr>
        <w:t>磋商保证金</w:t>
      </w:r>
      <w:r>
        <w:rPr>
          <w:rFonts w:hint="eastAsia" w:ascii="宋体" w:hAnsi="宋体" w:cs="宋体"/>
          <w:color w:val="auto"/>
          <w:sz w:val="24"/>
          <w:szCs w:val="24"/>
          <w:highlight w:val="none"/>
        </w:rPr>
        <w:t>时，到款账户为上述指定的</w:t>
      </w:r>
      <w:r>
        <w:rPr>
          <w:rFonts w:hint="eastAsia" w:ascii="宋体" w:hAnsi="宋体" w:cs="宋体"/>
          <w:color w:val="auto"/>
          <w:sz w:val="24"/>
          <w:szCs w:val="24"/>
          <w:highlight w:val="none"/>
          <w:lang w:eastAsia="zh-CN"/>
        </w:rPr>
        <w:t>磋商保证金</w:t>
      </w:r>
      <w:r>
        <w:rPr>
          <w:rFonts w:hint="eastAsia" w:ascii="宋体" w:hAnsi="宋体" w:cs="宋体"/>
          <w:color w:val="auto"/>
          <w:sz w:val="24"/>
          <w:szCs w:val="24"/>
          <w:highlight w:val="none"/>
        </w:rPr>
        <w:t>专用账户，来款账户必须为本公司账户。</w:t>
      </w:r>
    </w:p>
    <w:p w14:paraId="14B59B1F">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磋商保证金</w:t>
      </w:r>
      <w:r>
        <w:rPr>
          <w:rFonts w:hint="eastAsia" w:ascii="宋体" w:hAnsi="宋体" w:cs="宋体"/>
          <w:color w:val="auto"/>
          <w:sz w:val="24"/>
          <w:szCs w:val="24"/>
          <w:highlight w:val="none"/>
        </w:rPr>
        <w:t>证明材料</w:t>
      </w:r>
    </w:p>
    <w:p w14:paraId="37C22F4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1.银行转账方式递交</w:t>
      </w:r>
      <w:r>
        <w:rPr>
          <w:rFonts w:hint="eastAsia" w:ascii="宋体" w:hAnsi="宋体" w:cs="宋体"/>
          <w:color w:val="auto"/>
          <w:sz w:val="24"/>
          <w:szCs w:val="24"/>
          <w:highlight w:val="none"/>
          <w:lang w:eastAsia="zh-CN"/>
        </w:rPr>
        <w:t>磋商保证金</w:t>
      </w:r>
      <w:r>
        <w:rPr>
          <w:rFonts w:hint="eastAsia" w:ascii="宋体" w:hAnsi="宋体" w:cs="宋体"/>
          <w:color w:val="auto"/>
          <w:sz w:val="24"/>
          <w:szCs w:val="24"/>
          <w:highlight w:val="none"/>
        </w:rPr>
        <w:t>的，开标前各投标</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必须现场递交手持件【手持件包括</w:t>
      </w:r>
      <w:r>
        <w:rPr>
          <w:rFonts w:hint="eastAsia" w:ascii="宋体" w:hAnsi="宋体" w:cs="宋体"/>
          <w:color w:val="auto"/>
          <w:sz w:val="24"/>
          <w:szCs w:val="24"/>
          <w:highlight w:val="none"/>
          <w:lang w:eastAsia="zh-CN"/>
        </w:rPr>
        <w:t>磋商保证金</w:t>
      </w:r>
      <w:r>
        <w:rPr>
          <w:rFonts w:hint="eastAsia" w:ascii="宋体" w:hAnsi="宋体" w:cs="宋体"/>
          <w:color w:val="auto"/>
          <w:sz w:val="24"/>
          <w:szCs w:val="24"/>
          <w:highlight w:val="none"/>
        </w:rPr>
        <w:t>付款单或存款账户信息（原件备查），且付款单位必须与投标单位一致】。</w:t>
      </w:r>
    </w:p>
    <w:p w14:paraId="0AEF8EF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2.保函方式递交</w:t>
      </w:r>
      <w:r>
        <w:rPr>
          <w:rFonts w:hint="eastAsia" w:ascii="宋体" w:hAnsi="宋体" w:cs="宋体"/>
          <w:color w:val="auto"/>
          <w:sz w:val="24"/>
          <w:szCs w:val="24"/>
          <w:highlight w:val="none"/>
          <w:lang w:eastAsia="zh-CN"/>
        </w:rPr>
        <w:t>磋商保证金</w:t>
      </w:r>
      <w:r>
        <w:rPr>
          <w:rFonts w:hint="eastAsia" w:ascii="宋体" w:hAnsi="宋体" w:cs="宋体"/>
          <w:color w:val="auto"/>
          <w:sz w:val="24"/>
          <w:szCs w:val="24"/>
          <w:highlight w:val="none"/>
        </w:rPr>
        <w:t>的，开标前各投标</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必须现场递交手持件【手持件包括保函复印件并加盖投标</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单位鲜章（原件备查）】，投标保函应至少体现如下内容：①担保项目必须为本项目；②受益人必须为本项目采购人；③保函担保金额必须满足本项目要求；④保函生效时间必须在投标截止时间前，有效期限必须至少包含整个投标有效期；⑤保函须不可撤销且见索即付。</w:t>
      </w:r>
    </w:p>
    <w:p w14:paraId="247DC30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未按上述要求递交</w:t>
      </w:r>
      <w:r>
        <w:rPr>
          <w:rFonts w:hint="eastAsia" w:ascii="宋体" w:hAnsi="宋体" w:cs="宋体"/>
          <w:color w:val="auto"/>
          <w:sz w:val="24"/>
          <w:szCs w:val="24"/>
          <w:highlight w:val="none"/>
          <w:lang w:eastAsia="zh-CN"/>
        </w:rPr>
        <w:t>磋商保证金</w:t>
      </w:r>
      <w:r>
        <w:rPr>
          <w:rFonts w:hint="eastAsia" w:ascii="宋体" w:hAnsi="宋体" w:cs="宋体"/>
          <w:color w:val="auto"/>
          <w:sz w:val="24"/>
          <w:szCs w:val="24"/>
          <w:highlight w:val="none"/>
        </w:rPr>
        <w:t>证明材料的作为无效投标。</w:t>
      </w:r>
    </w:p>
    <w:p w14:paraId="76C8963A">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（四）保证金退还方式</w:t>
      </w:r>
    </w:p>
    <w:p w14:paraId="5ED45FFB">
      <w:pPr>
        <w:spacing w:line="400" w:lineRule="exact"/>
        <w:ind w:firstLine="480" w:firstLineChars="200"/>
        <w:rPr>
          <w:rFonts w:ascii="宋体" w:hAnsi="宋体" w:cs="宋体"/>
          <w:color w:val="auto"/>
          <w:sz w:val="24"/>
          <w:szCs w:val="24"/>
          <w:highlight w:val="none"/>
        </w:rPr>
      </w:pPr>
      <w:bookmarkStart w:id="107" w:name="_Toc66348538"/>
      <w:bookmarkStart w:id="108" w:name="_Toc6278"/>
      <w:bookmarkStart w:id="109" w:name="_Toc9142"/>
      <w:r>
        <w:rPr>
          <w:rFonts w:hint="eastAsia" w:ascii="宋体" w:hAnsi="宋体" w:cs="宋体"/>
          <w:color w:val="auto"/>
          <w:sz w:val="24"/>
          <w:szCs w:val="24"/>
          <w:highlight w:val="none"/>
        </w:rPr>
        <w:t>1.未中投标</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的保证金，采取银行转账方式递交的，在中标通知书发放后，由采购人在五个工作日内按来款渠道直接退还（法律法规规定的不予退还的情形除外)。</w:t>
      </w:r>
    </w:p>
    <w:p w14:paraId="153D1E49">
      <w:pPr>
        <w:spacing w:line="400" w:lineRule="exact"/>
        <w:ind w:firstLine="480" w:firstLineChars="200"/>
        <w:rPr>
          <w:rFonts w:ascii="宋体" w:hAnsi="宋体" w:cs="宋体"/>
          <w:color w:val="auto"/>
          <w:sz w:val="24"/>
          <w:szCs w:val="24"/>
          <w:highlight w:val="none"/>
        </w:rPr>
      </w:pPr>
      <w:bookmarkStart w:id="110" w:name="_Toc30495"/>
      <w:r>
        <w:rPr>
          <w:rFonts w:hint="eastAsia" w:ascii="宋体" w:hAnsi="宋体" w:cs="宋体"/>
          <w:color w:val="auto"/>
          <w:sz w:val="24"/>
          <w:szCs w:val="24"/>
          <w:highlight w:val="none"/>
        </w:rPr>
        <w:t>2.中标人的保证金，采取银行转账方式递交的，在中标人与采购人签订合同后，由采购人</w:t>
      </w:r>
      <w:r>
        <w:rPr>
          <w:rFonts w:hint="eastAsia" w:ascii="宋体" w:hAnsi="宋体" w:cs="宋体"/>
          <w:color w:val="auto"/>
          <w:sz w:val="24"/>
          <w:highlight w:val="none"/>
        </w:rPr>
        <w:t>在</w:t>
      </w:r>
      <w:r>
        <w:rPr>
          <w:rFonts w:hint="eastAsia" w:ascii="宋体" w:hAnsi="宋体" w:cs="宋体"/>
          <w:color w:val="auto"/>
          <w:sz w:val="24"/>
          <w:szCs w:val="24"/>
          <w:highlight w:val="none"/>
        </w:rPr>
        <w:t>五个工作日内按资金来款渠道直接退还（法律法规规定的不予退还的情形除外)。</w:t>
      </w:r>
      <w:bookmarkEnd w:id="110"/>
    </w:p>
    <w:p w14:paraId="615C5CEE">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3.流标项目的保证金由采购代理机构</w:t>
      </w:r>
      <w:r>
        <w:rPr>
          <w:rFonts w:hint="eastAsia" w:ascii="宋体" w:hAnsi="宋体" w:cs="宋体"/>
          <w:color w:val="auto"/>
          <w:sz w:val="24"/>
          <w:highlight w:val="none"/>
        </w:rPr>
        <w:t>在</w:t>
      </w:r>
      <w:r>
        <w:rPr>
          <w:rFonts w:hint="eastAsia" w:ascii="宋体" w:hAnsi="宋体" w:cs="宋体"/>
          <w:color w:val="auto"/>
          <w:sz w:val="24"/>
          <w:szCs w:val="24"/>
          <w:highlight w:val="none"/>
        </w:rPr>
        <w:t>五个工作日内按资金来款渠道直接退还。</w:t>
      </w:r>
      <w:bookmarkEnd w:id="107"/>
      <w:bookmarkEnd w:id="108"/>
      <w:bookmarkEnd w:id="109"/>
    </w:p>
    <w:p w14:paraId="35BE6665">
      <w:pPr>
        <w:pStyle w:val="4"/>
        <w:spacing w:line="400" w:lineRule="exact"/>
        <w:ind w:firstLine="482" w:firstLineChars="200"/>
        <w:rPr>
          <w:rFonts w:cs="宋体"/>
          <w:b/>
          <w:color w:val="auto"/>
          <w:sz w:val="24"/>
          <w:highlight w:val="none"/>
        </w:rPr>
      </w:pPr>
      <w:bookmarkStart w:id="111" w:name="_Toc10747"/>
      <w:bookmarkStart w:id="112" w:name="_Toc13460"/>
      <w:bookmarkStart w:id="113" w:name="_Toc4869"/>
      <w:bookmarkStart w:id="114" w:name="_Toc21799"/>
      <w:bookmarkStart w:id="115" w:name="_Toc3810"/>
      <w:bookmarkStart w:id="116" w:name="_Toc1373"/>
      <w:bookmarkStart w:id="117" w:name="_Toc30916"/>
      <w:bookmarkStart w:id="118" w:name="_Toc16322"/>
      <w:bookmarkStart w:id="119" w:name="_Toc29169"/>
      <w:bookmarkStart w:id="120" w:name="_Toc75793502"/>
      <w:bookmarkStart w:id="121" w:name="_Toc9931"/>
      <w:bookmarkStart w:id="122" w:name="_Toc106030378"/>
      <w:bookmarkStart w:id="123" w:name="_Toc22428"/>
      <w:bookmarkStart w:id="124" w:name="_Toc13146"/>
      <w:bookmarkStart w:id="125" w:name="_Toc19339"/>
      <w:bookmarkStart w:id="126" w:name="_Toc18921"/>
      <w:bookmarkStart w:id="127" w:name="_Toc19755"/>
      <w:r>
        <w:rPr>
          <w:rFonts w:hint="eastAsia" w:cs="宋体"/>
          <w:b/>
          <w:color w:val="auto"/>
          <w:sz w:val="24"/>
          <w:highlight w:val="none"/>
        </w:rPr>
        <w:t>六、</w:t>
      </w:r>
      <w:r>
        <w:rPr>
          <w:rFonts w:hint="eastAsia" w:cs="宋体"/>
          <w:b/>
          <w:color w:val="auto"/>
          <w:sz w:val="24"/>
          <w:highlight w:val="none"/>
          <w:lang w:val="en-US" w:eastAsia="zh-CN"/>
        </w:rPr>
        <w:t>磋商</w:t>
      </w:r>
      <w:r>
        <w:rPr>
          <w:rFonts w:hint="eastAsia" w:cs="宋体"/>
          <w:b/>
          <w:color w:val="auto"/>
          <w:sz w:val="24"/>
          <w:highlight w:val="none"/>
        </w:rPr>
        <w:t>有关规定</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35A6DE66">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（一）单位负责人为同一人或者存在直接控股、管理关系的不同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，不得参加同一合同项（包）下的采购活动。</w:t>
      </w:r>
    </w:p>
    <w:p w14:paraId="01E6D301">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（二）为采购项目提供整体设计、规范编制或者项目管理、监理、检测等服务的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，不得再参加该采购项目的其他采购活动。</w:t>
      </w:r>
    </w:p>
    <w:p w14:paraId="56319EF9">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（三）本项目若有澄清文件一律在“行采家”平台（http://www.gec123.com）上发布，请各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注意下载或到采购代理机构领取；无论</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下载或领取与否，均视同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已知晓本项目澄清文件的内容。</w:t>
      </w:r>
    </w:p>
    <w:p w14:paraId="1B50D3D8">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（四）超过投标截止时间递交的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，恕不接收。</w:t>
      </w:r>
    </w:p>
    <w:p w14:paraId="31D9464D">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费用：无论投标结果如何，</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参与本项目</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的所有费用均应由</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自行承担。</w:t>
      </w:r>
    </w:p>
    <w:p w14:paraId="1A9C73A5">
      <w:pPr>
        <w:snapToGrid w:val="0"/>
        <w:spacing w:line="40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（六）本项目不接受联合体参与投标。</w:t>
      </w:r>
    </w:p>
    <w:p w14:paraId="3F0CB8AE">
      <w:pPr>
        <w:snapToGrid w:val="0"/>
        <w:spacing w:line="400" w:lineRule="exact"/>
        <w:ind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（七）本项目不接受合同分包。</w:t>
      </w:r>
    </w:p>
    <w:p w14:paraId="388FECA8">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w:t>
      </w:r>
      <w:bookmarkStart w:id="128" w:name="OLE_LINK1"/>
      <w:bookmarkStart w:id="129" w:name="OLE_LINK2"/>
      <w:r>
        <w:rPr>
          <w:rFonts w:hint="eastAsia" w:ascii="宋体" w:hAnsi="宋体" w:cs="宋体"/>
          <w:color w:val="auto"/>
          <w:sz w:val="24"/>
          <w:szCs w:val="24"/>
          <w:highlight w:val="none"/>
        </w:rPr>
        <w:t>按照《财政部关于在政府采购活动中查询及使用信用记录有关问题的通知》财库〔2016〕125号，</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列入失信被执行人、重大税收违法案件当事人名单、政府采购严重违法失信行为记录名单及其他不符合《中华人民共和国政府采购法》第二十二条规定条件的</w:t>
      </w:r>
      <w:bookmarkEnd w:id="128"/>
      <w:bookmarkEnd w:id="129"/>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，将拒绝其参与采购活动。</w:t>
      </w:r>
    </w:p>
    <w:p w14:paraId="4A7E8DE6">
      <w:pPr>
        <w:pStyle w:val="4"/>
        <w:spacing w:line="400" w:lineRule="exact"/>
        <w:ind w:firstLine="482" w:firstLineChars="200"/>
        <w:rPr>
          <w:rFonts w:cs="宋体"/>
          <w:b/>
          <w:color w:val="auto"/>
          <w:sz w:val="24"/>
          <w:highlight w:val="none"/>
        </w:rPr>
      </w:pPr>
      <w:bookmarkStart w:id="130" w:name="_Toc106030379"/>
      <w:bookmarkStart w:id="131" w:name="_Toc26782"/>
      <w:bookmarkStart w:id="132" w:name="_Toc9632"/>
      <w:bookmarkStart w:id="133" w:name="_Toc2370"/>
      <w:bookmarkStart w:id="134" w:name="_Toc67"/>
      <w:bookmarkStart w:id="135" w:name="_Toc19676"/>
      <w:bookmarkStart w:id="136" w:name="_Toc12717"/>
      <w:bookmarkStart w:id="137" w:name="_Toc30488"/>
      <w:bookmarkStart w:id="138" w:name="_Toc20452"/>
      <w:bookmarkStart w:id="139" w:name="_Toc15522"/>
      <w:bookmarkStart w:id="140" w:name="_Toc13885"/>
      <w:bookmarkStart w:id="141" w:name="_Toc29351"/>
      <w:bookmarkStart w:id="142" w:name="_Toc11494"/>
      <w:bookmarkStart w:id="143" w:name="_Toc28772"/>
      <w:bookmarkStart w:id="144" w:name="_Toc5228"/>
      <w:bookmarkStart w:id="145" w:name="_Toc24181"/>
      <w:bookmarkStart w:id="146" w:name="_Toc75793503"/>
      <w:r>
        <w:rPr>
          <w:rFonts w:hint="eastAsia" w:cs="宋体"/>
          <w:b/>
          <w:color w:val="auto"/>
          <w:sz w:val="24"/>
          <w:highlight w:val="none"/>
        </w:rPr>
        <w:t>七、联系方式</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11FBF9B5">
      <w:pPr>
        <w:snapToGrid w:val="0"/>
        <w:spacing w:line="4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（一）采购人：凯发新泉高阳污水处理（重庆）有限公司</w:t>
      </w:r>
    </w:p>
    <w:p w14:paraId="3C4EFB50">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联系人： 刘老师</w:t>
      </w:r>
    </w:p>
    <w:p w14:paraId="7DBA4689">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  话：（023）42717696</w:t>
      </w:r>
    </w:p>
    <w:p w14:paraId="48582B5A">
      <w:pPr>
        <w:snapToGrid w:val="0"/>
        <w:spacing w:line="4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地  址：重庆市合川工业园区内</w:t>
      </w:r>
    </w:p>
    <w:p w14:paraId="19BDE673">
      <w:pPr>
        <w:pStyle w:val="3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（二）采购代理机构：柴盛科技（重庆）有限公司</w:t>
      </w:r>
    </w:p>
    <w:p w14:paraId="7AA0D388">
      <w:pPr>
        <w:pStyle w:val="3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联系人：胡老师               </w:t>
      </w:r>
    </w:p>
    <w:p w14:paraId="4A5BDB84">
      <w:pPr>
        <w:pStyle w:val="3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电话：18680746800</w:t>
      </w:r>
    </w:p>
    <w:p w14:paraId="63B71DFC">
      <w:pPr>
        <w:pStyle w:val="3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‬‬地址：重庆市渝北区龙溪街道红锦大道61号2栋8-3</w:t>
      </w:r>
    </w:p>
    <w:p w14:paraId="5738B629">
      <w:pPr>
        <w:pStyle w:val="4"/>
        <w:spacing w:line="400" w:lineRule="exact"/>
        <w:ind w:firstLine="482" w:firstLineChars="200"/>
        <w:rPr>
          <w:rFonts w:cs="宋体"/>
          <w:b/>
          <w:color w:val="auto"/>
          <w:sz w:val="24"/>
          <w:highlight w:val="none"/>
        </w:rPr>
      </w:pPr>
      <w:bookmarkStart w:id="147" w:name="_Toc15589"/>
      <w:bookmarkStart w:id="148" w:name="_Toc75805172"/>
      <w:r>
        <w:rPr>
          <w:rFonts w:hint="eastAsia" w:cs="宋体"/>
          <w:b/>
          <w:color w:val="auto"/>
          <w:sz w:val="24"/>
          <w:highlight w:val="none"/>
        </w:rPr>
        <w:t>八、项目现场踏勘</w:t>
      </w:r>
      <w:bookmarkEnd w:id="147"/>
      <w:bookmarkEnd w:id="148"/>
    </w:p>
    <w:p w14:paraId="09026C4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人不组织现场踏勘，由各供应商自行到现场进行踏勘了解实际情况，无论供应商是否踏勘过现场，均视为在响应截止时间之前踏勘过现场且对本项目潜在的风险和义务已完全了解，并已充分考虑了本项目可能面临的不确定因素可能导致的风险，成交供应商不得以不完全了解现场情况为借口而提出延长服务期限或提出额外赔偿等要求。踏勘产生的费用和风险等均由供应商自行承担。</w:t>
      </w:r>
    </w:p>
    <w:p w14:paraId="4B80AA11">
      <w:pPr>
        <w:spacing w:line="240" w:lineRule="auto"/>
        <w:jc w:val="center"/>
        <w:rPr>
          <w:rFonts w:hint="eastAsia" w:ascii="宋体" w:hAnsi="宋体" w:eastAsia="宋体" w:cs="宋体"/>
          <w:b/>
          <w:bCs/>
          <w:color w:val="auto"/>
          <w:sz w:val="40"/>
          <w:szCs w:val="40"/>
          <w:highlight w:val="none"/>
          <w:lang w:val="en-US" w:eastAsia="zh-CN"/>
        </w:rPr>
      </w:pPr>
    </w:p>
    <w:p w14:paraId="1585817E">
      <w:pPr>
        <w:pStyle w:val="2"/>
        <w:rPr>
          <w:rFonts w:hint="eastAsia" w:ascii="宋体" w:hAnsi="宋体" w:eastAsia="宋体" w:cs="宋体"/>
          <w:b/>
          <w:bCs/>
          <w:color w:val="auto"/>
          <w:sz w:val="40"/>
          <w:szCs w:val="40"/>
          <w:highlight w:val="none"/>
          <w:lang w:val="en-US" w:eastAsia="zh-CN"/>
        </w:rPr>
      </w:pPr>
    </w:p>
    <w:p w14:paraId="130C47F8">
      <w:pPr>
        <w:rPr>
          <w:rFonts w:hint="eastAsia" w:ascii="宋体" w:hAnsi="宋体" w:cs="宋体"/>
          <w:b/>
          <w:bCs/>
          <w:color w:val="auto"/>
          <w:sz w:val="40"/>
          <w:szCs w:val="40"/>
          <w:highlight w:val="none"/>
          <w:lang w:val="en-US" w:eastAsia="zh-CN"/>
        </w:rPr>
      </w:pPr>
    </w:p>
    <w:p w14:paraId="6CF91D71">
      <w:pPr>
        <w:pStyle w:val="2"/>
        <w:rPr>
          <w:rFonts w:hint="eastAsia"/>
          <w:color w:val="auto"/>
          <w:highlight w:val="none"/>
          <w:lang w:val="en-US" w:eastAsia="zh-CN"/>
        </w:rPr>
      </w:pPr>
    </w:p>
    <w:p w14:paraId="754356C2">
      <w:pPr>
        <w:spacing w:line="240" w:lineRule="auto"/>
        <w:jc w:val="center"/>
        <w:rPr>
          <w:rFonts w:hint="eastAsia" w:ascii="宋体" w:hAnsi="宋体" w:eastAsia="宋体" w:cs="宋体"/>
          <w:b/>
          <w:bCs/>
          <w:color w:val="auto"/>
          <w:sz w:val="44"/>
          <w:szCs w:val="44"/>
          <w:highlight w:val="none"/>
        </w:rPr>
      </w:pPr>
      <w:r>
        <w:rPr>
          <w:rFonts w:hint="eastAsia" w:ascii="宋体" w:hAnsi="宋体" w:cs="宋体"/>
          <w:b/>
          <w:bCs/>
          <w:color w:val="auto"/>
          <w:sz w:val="40"/>
          <w:szCs w:val="40"/>
          <w:highlight w:val="none"/>
          <w:lang w:val="en-US" w:eastAsia="zh-CN"/>
        </w:rPr>
        <w:t>磋商</w:t>
      </w:r>
      <w:r>
        <w:rPr>
          <w:rFonts w:hint="eastAsia" w:ascii="宋体" w:hAnsi="宋体" w:eastAsia="宋体" w:cs="宋体"/>
          <w:b/>
          <w:bCs/>
          <w:color w:val="auto"/>
          <w:sz w:val="40"/>
          <w:szCs w:val="40"/>
          <w:highlight w:val="none"/>
        </w:rPr>
        <w:t>文件</w:t>
      </w:r>
      <w:r>
        <w:rPr>
          <w:rFonts w:hint="eastAsia" w:ascii="宋体" w:hAnsi="宋体" w:eastAsia="宋体" w:cs="宋体"/>
          <w:b/>
          <w:bCs/>
          <w:color w:val="auto"/>
          <w:sz w:val="40"/>
          <w:szCs w:val="40"/>
          <w:highlight w:val="none"/>
          <w:lang w:val="en-US" w:eastAsia="zh-CN"/>
        </w:rPr>
        <w:t>发售</w:t>
      </w:r>
      <w:r>
        <w:rPr>
          <w:rFonts w:hint="eastAsia" w:ascii="宋体" w:hAnsi="宋体" w:eastAsia="宋体" w:cs="宋体"/>
          <w:b/>
          <w:bCs/>
          <w:color w:val="auto"/>
          <w:sz w:val="40"/>
          <w:szCs w:val="40"/>
          <w:highlight w:val="none"/>
        </w:rPr>
        <w:t>登记表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6"/>
        <w:gridCol w:w="7445"/>
      </w:tblGrid>
      <w:tr w14:paraId="18EBC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6" w:hRule="atLeast"/>
        </w:trPr>
        <w:tc>
          <w:tcPr>
            <w:tcW w:w="2426" w:type="dxa"/>
            <w:noWrap w:val="0"/>
            <w:vAlign w:val="center"/>
          </w:tcPr>
          <w:p w14:paraId="3E3DD96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445" w:type="dxa"/>
            <w:noWrap w:val="0"/>
            <w:vAlign w:val="center"/>
          </w:tcPr>
          <w:p w14:paraId="5164591C">
            <w:pPr>
              <w:jc w:val="center"/>
              <w:rPr>
                <w:rFonts w:hint="eastAsia" w:ascii="宋体" w:hAnsi="宋体" w:eastAsia="宋体" w:cs="宋体"/>
                <w:color w:val="auto"/>
                <w:sz w:val="24"/>
                <w:szCs w:val="24"/>
                <w:highlight w:val="none"/>
                <w:lang w:val="en-US" w:eastAsia="zh-CN"/>
              </w:rPr>
            </w:pPr>
            <w:r>
              <w:rPr>
                <w:rFonts w:hint="eastAsia" w:ascii="宋体" w:hAnsi="宋体" w:cs="宋体"/>
                <w:b/>
                <w:color w:val="auto"/>
                <w:szCs w:val="24"/>
                <w:highlight w:val="none"/>
                <w:lang w:eastAsia="zh-CN"/>
              </w:rPr>
              <w:t>2025年一般工业固废污泥处置项目</w:t>
            </w:r>
          </w:p>
        </w:tc>
      </w:tr>
      <w:tr w14:paraId="349DF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2426" w:type="dxa"/>
            <w:noWrap w:val="0"/>
            <w:vAlign w:val="center"/>
          </w:tcPr>
          <w:p w14:paraId="6A48092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竞标人</w:t>
            </w:r>
            <w:r>
              <w:rPr>
                <w:rFonts w:hint="eastAsia" w:ascii="宋体" w:hAnsi="宋体" w:eastAsia="宋体" w:cs="宋体"/>
                <w:color w:val="auto"/>
                <w:sz w:val="24"/>
                <w:szCs w:val="24"/>
                <w:highlight w:val="none"/>
              </w:rPr>
              <w:t>名称</w:t>
            </w:r>
          </w:p>
        </w:tc>
        <w:tc>
          <w:tcPr>
            <w:tcW w:w="7445" w:type="dxa"/>
            <w:noWrap w:val="0"/>
            <w:vAlign w:val="center"/>
          </w:tcPr>
          <w:p w14:paraId="46E47EE8">
            <w:pPr>
              <w:jc w:val="center"/>
              <w:rPr>
                <w:rFonts w:hint="eastAsia" w:ascii="宋体" w:hAnsi="宋体" w:eastAsia="宋体" w:cs="宋体"/>
                <w:color w:val="auto"/>
                <w:szCs w:val="28"/>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tc>
      </w:tr>
      <w:tr w14:paraId="5797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426" w:type="dxa"/>
            <w:noWrap w:val="0"/>
            <w:vAlign w:val="center"/>
          </w:tcPr>
          <w:p w14:paraId="51019BC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7445" w:type="dxa"/>
            <w:noWrap w:val="0"/>
            <w:vAlign w:val="center"/>
          </w:tcPr>
          <w:p w14:paraId="4BD93EAD">
            <w:pPr>
              <w:jc w:val="center"/>
              <w:rPr>
                <w:rFonts w:hint="eastAsia" w:ascii="宋体" w:hAnsi="宋体" w:eastAsia="宋体" w:cs="宋体"/>
                <w:color w:val="auto"/>
                <w:szCs w:val="28"/>
                <w:highlight w:val="none"/>
              </w:rPr>
            </w:pPr>
          </w:p>
        </w:tc>
      </w:tr>
      <w:tr w14:paraId="5310C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426" w:type="dxa"/>
            <w:noWrap w:val="0"/>
            <w:vAlign w:val="center"/>
          </w:tcPr>
          <w:p w14:paraId="6B03699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tc>
        <w:tc>
          <w:tcPr>
            <w:tcW w:w="7445" w:type="dxa"/>
            <w:noWrap w:val="0"/>
            <w:vAlign w:val="center"/>
          </w:tcPr>
          <w:p w14:paraId="13EC6FC3">
            <w:pPr>
              <w:jc w:val="center"/>
              <w:rPr>
                <w:rFonts w:hint="eastAsia" w:ascii="宋体" w:hAnsi="宋体" w:eastAsia="宋体" w:cs="宋体"/>
                <w:color w:val="auto"/>
                <w:szCs w:val="28"/>
                <w:highlight w:val="none"/>
              </w:rPr>
            </w:pPr>
          </w:p>
        </w:tc>
      </w:tr>
      <w:tr w14:paraId="13C5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26" w:type="dxa"/>
            <w:noWrap w:val="0"/>
            <w:vAlign w:val="center"/>
          </w:tcPr>
          <w:p w14:paraId="4C4D4D0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办公电话</w:t>
            </w:r>
          </w:p>
        </w:tc>
        <w:tc>
          <w:tcPr>
            <w:tcW w:w="7445" w:type="dxa"/>
            <w:noWrap w:val="0"/>
            <w:vAlign w:val="center"/>
          </w:tcPr>
          <w:p w14:paraId="2EF38381">
            <w:pPr>
              <w:jc w:val="center"/>
              <w:rPr>
                <w:rFonts w:hint="eastAsia" w:ascii="宋体" w:hAnsi="宋体" w:eastAsia="宋体" w:cs="宋体"/>
                <w:color w:val="auto"/>
                <w:szCs w:val="28"/>
                <w:highlight w:val="none"/>
              </w:rPr>
            </w:pPr>
          </w:p>
        </w:tc>
      </w:tr>
      <w:tr w14:paraId="32644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426" w:type="dxa"/>
            <w:noWrap w:val="0"/>
            <w:vAlign w:val="center"/>
          </w:tcPr>
          <w:p w14:paraId="3580075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7445" w:type="dxa"/>
            <w:noWrap w:val="0"/>
            <w:vAlign w:val="center"/>
          </w:tcPr>
          <w:p w14:paraId="77F8AD2F">
            <w:pPr>
              <w:jc w:val="center"/>
              <w:rPr>
                <w:rFonts w:hint="eastAsia" w:ascii="宋体" w:hAnsi="宋体" w:eastAsia="宋体" w:cs="宋体"/>
                <w:color w:val="auto"/>
                <w:szCs w:val="28"/>
                <w:highlight w:val="none"/>
              </w:rPr>
            </w:pPr>
          </w:p>
        </w:tc>
      </w:tr>
      <w:tr w14:paraId="4239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426" w:type="dxa"/>
            <w:noWrap w:val="0"/>
            <w:vAlign w:val="center"/>
          </w:tcPr>
          <w:p w14:paraId="3429610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E-mail</w:t>
            </w:r>
          </w:p>
        </w:tc>
        <w:tc>
          <w:tcPr>
            <w:tcW w:w="7445" w:type="dxa"/>
            <w:noWrap w:val="0"/>
            <w:vAlign w:val="center"/>
          </w:tcPr>
          <w:p w14:paraId="6C2BAF49">
            <w:pPr>
              <w:jc w:val="center"/>
              <w:rPr>
                <w:rFonts w:hint="eastAsia" w:ascii="宋体" w:hAnsi="宋体" w:eastAsia="宋体" w:cs="宋体"/>
                <w:color w:val="auto"/>
                <w:szCs w:val="28"/>
                <w:highlight w:val="none"/>
              </w:rPr>
            </w:pPr>
          </w:p>
        </w:tc>
      </w:tr>
      <w:tr w14:paraId="528C8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426" w:type="dxa"/>
            <w:noWrap w:val="0"/>
            <w:vAlign w:val="center"/>
          </w:tcPr>
          <w:p w14:paraId="101C95A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7445" w:type="dxa"/>
            <w:noWrap w:val="0"/>
            <w:vAlign w:val="center"/>
          </w:tcPr>
          <w:p w14:paraId="64303E4E">
            <w:pPr>
              <w:jc w:val="center"/>
              <w:rPr>
                <w:rFonts w:hint="eastAsia" w:ascii="宋体" w:hAnsi="宋体" w:eastAsia="宋体" w:cs="宋体"/>
                <w:color w:val="auto"/>
                <w:szCs w:val="28"/>
                <w:highlight w:val="none"/>
              </w:rPr>
            </w:pPr>
          </w:p>
        </w:tc>
      </w:tr>
      <w:tr w14:paraId="39AD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426" w:type="dxa"/>
            <w:noWrap w:val="0"/>
            <w:vAlign w:val="center"/>
          </w:tcPr>
          <w:p w14:paraId="2970791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报名时间</w:t>
            </w:r>
          </w:p>
        </w:tc>
        <w:tc>
          <w:tcPr>
            <w:tcW w:w="7445" w:type="dxa"/>
            <w:noWrap w:val="0"/>
            <w:vAlign w:val="center"/>
          </w:tcPr>
          <w:p w14:paraId="62A075A0">
            <w:pPr>
              <w:jc w:val="center"/>
              <w:rPr>
                <w:rFonts w:hint="eastAsia" w:ascii="宋体" w:hAnsi="宋体" w:eastAsia="宋体" w:cs="宋体"/>
                <w:color w:val="auto"/>
                <w:szCs w:val="28"/>
                <w:highlight w:val="none"/>
              </w:rPr>
            </w:pPr>
            <w:r>
              <w:rPr>
                <w:rFonts w:hint="eastAsia" w:ascii="宋体" w:hAnsi="宋体" w:eastAsia="宋体" w:cs="宋体"/>
                <w:color w:val="auto"/>
                <w:sz w:val="24"/>
                <w:szCs w:val="24"/>
                <w:highlight w:val="none"/>
              </w:rPr>
              <w:t>年     月      日</w:t>
            </w:r>
          </w:p>
        </w:tc>
      </w:tr>
      <w:tr w14:paraId="3D3C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5" w:hRule="atLeast"/>
        </w:trPr>
        <w:tc>
          <w:tcPr>
            <w:tcW w:w="9871" w:type="dxa"/>
            <w:gridSpan w:val="2"/>
            <w:noWrap w:val="0"/>
            <w:vAlign w:val="center"/>
          </w:tcPr>
          <w:p w14:paraId="0395F95E">
            <w:pPr>
              <w:jc w:val="left"/>
              <w:rPr>
                <w:rFonts w:hint="default" w:ascii="宋体" w:hAnsi="宋体" w:eastAsia="宋体" w:cs="宋体"/>
                <w:b/>
                <w:bCs/>
                <w:color w:val="auto"/>
                <w:sz w:val="20"/>
                <w:highlight w:val="none"/>
                <w:lang w:val="en-US"/>
              </w:rPr>
            </w:pPr>
            <w:r>
              <w:rPr>
                <w:rFonts w:hint="eastAsia" w:ascii="宋体" w:hAnsi="宋体" w:eastAsia="宋体" w:cs="宋体"/>
                <w:b/>
                <w:bCs/>
                <w:color w:val="auto"/>
                <w:sz w:val="20"/>
                <w:highlight w:val="none"/>
                <w:lang w:val="en-US" w:eastAsia="zh-CN"/>
              </w:rPr>
              <w:t>竞标人（法人或授权代表）</w:t>
            </w:r>
            <w:r>
              <w:rPr>
                <w:rFonts w:hint="eastAsia" w:ascii="宋体" w:hAnsi="宋体" w:eastAsia="宋体" w:cs="宋体"/>
                <w:b/>
                <w:bCs/>
                <w:color w:val="auto"/>
                <w:sz w:val="20"/>
                <w:highlight w:val="none"/>
              </w:rPr>
              <w:t>扫以下收款码支付</w:t>
            </w:r>
            <w:r>
              <w:rPr>
                <w:rFonts w:hint="eastAsia" w:ascii="宋体" w:hAnsi="宋体" w:eastAsia="宋体" w:cs="宋体"/>
                <w:b/>
                <w:bCs/>
                <w:color w:val="auto"/>
                <w:sz w:val="20"/>
                <w:highlight w:val="none"/>
                <w:lang w:val="en-US" w:eastAsia="zh-CN"/>
              </w:rPr>
              <w:t>比选文件费（即标书费）</w:t>
            </w:r>
            <w:r>
              <w:rPr>
                <w:rFonts w:hint="eastAsia" w:ascii="宋体" w:hAnsi="宋体" w:eastAsia="宋体" w:cs="宋体"/>
                <w:b/>
                <w:bCs/>
                <w:color w:val="auto"/>
                <w:sz w:val="20"/>
                <w:highlight w:val="none"/>
              </w:rPr>
              <w:t>，支付时须备注：单位名称（可简写）</w:t>
            </w:r>
            <w:r>
              <w:rPr>
                <w:rFonts w:hint="eastAsia" w:ascii="宋体" w:hAnsi="宋体" w:eastAsia="宋体" w:cs="宋体"/>
                <w:b/>
                <w:bCs/>
                <w:color w:val="auto"/>
                <w:sz w:val="20"/>
                <w:highlight w:val="none"/>
                <w:lang w:val="en-US" w:eastAsia="zh-CN"/>
              </w:rPr>
              <w:t>+</w:t>
            </w:r>
            <w:r>
              <w:rPr>
                <w:rFonts w:hint="eastAsia" w:ascii="宋体" w:hAnsi="宋体" w:cs="宋体"/>
                <w:b/>
                <w:bCs/>
                <w:color w:val="auto"/>
                <w:sz w:val="20"/>
                <w:highlight w:val="none"/>
                <w:lang w:val="en-US" w:eastAsia="zh-CN"/>
              </w:rPr>
              <w:t>2025年一般工业固废污泥处置项目</w:t>
            </w:r>
          </w:p>
          <w:p w14:paraId="72F0E73E">
            <w:pPr>
              <w:pStyle w:val="17"/>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drawing>
                <wp:inline distT="0" distB="0" distL="114300" distR="114300">
                  <wp:extent cx="2477770" cy="3377565"/>
                  <wp:effectExtent l="0" t="0" r="17780" b="13335"/>
                  <wp:docPr id="1" name="图片 1" descr="778e051baf7db1965f462133e57a87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78e051baf7db1965f462133e57a870f"/>
                          <pic:cNvPicPr>
                            <a:picLocks noChangeAspect="1"/>
                          </pic:cNvPicPr>
                        </pic:nvPicPr>
                        <pic:blipFill>
                          <a:blip r:embed="rId12"/>
                          <a:stretch>
                            <a:fillRect/>
                          </a:stretch>
                        </pic:blipFill>
                        <pic:spPr>
                          <a:xfrm>
                            <a:off x="0" y="0"/>
                            <a:ext cx="2477770" cy="3377565"/>
                          </a:xfrm>
                          <a:prstGeom prst="rect">
                            <a:avLst/>
                          </a:prstGeom>
                        </pic:spPr>
                      </pic:pic>
                    </a:graphicData>
                  </a:graphic>
                </wp:inline>
              </w:drawing>
            </w:r>
          </w:p>
        </w:tc>
      </w:tr>
    </w:tbl>
    <w:p w14:paraId="77504D81">
      <w:pPr>
        <w:spacing w:line="420" w:lineRule="exact"/>
        <w:ind w:firstLine="480" w:firstLineChars="200"/>
        <w:rPr>
          <w:rStyle w:val="28"/>
          <w:rFonts w:ascii="宋体" w:hAnsi="宋体" w:cs="宋体"/>
          <w:color w:val="auto"/>
          <w:sz w:val="24"/>
          <w:szCs w:val="24"/>
          <w:highlight w:val="none"/>
        </w:rPr>
      </w:pPr>
    </w:p>
    <w:p w14:paraId="46BA5F34">
      <w:pPr>
        <w:pStyle w:val="3"/>
        <w:spacing w:beforeLines="0" w:afterLines="0" w:line="360" w:lineRule="auto"/>
        <w:rPr>
          <w:rFonts w:ascii="宋体" w:hAnsi="宋体" w:eastAsia="宋体" w:cs="宋体"/>
          <w:b/>
          <w:color w:val="auto"/>
          <w:highlight w:val="none"/>
        </w:rPr>
      </w:pPr>
      <w:bookmarkStart w:id="149" w:name="_Toc8649"/>
      <w:bookmarkStart w:id="150" w:name="_Toc1625"/>
      <w:bookmarkStart w:id="151" w:name="_Toc19886"/>
      <w:bookmarkStart w:id="152" w:name="_Toc32686"/>
      <w:bookmarkStart w:id="153" w:name="_Toc12959"/>
      <w:bookmarkStart w:id="154" w:name="_Toc2422"/>
      <w:bookmarkStart w:id="155" w:name="_Toc23143"/>
      <w:bookmarkStart w:id="156" w:name="_Toc11017"/>
      <w:bookmarkStart w:id="157" w:name="_Toc26176"/>
      <w:bookmarkStart w:id="158" w:name="_Toc25639"/>
      <w:bookmarkStart w:id="159" w:name="_Toc2070"/>
      <w:bookmarkStart w:id="160" w:name="_Toc1492"/>
      <w:bookmarkStart w:id="161" w:name="_Toc5461"/>
      <w:bookmarkStart w:id="162" w:name="_Toc725"/>
      <w:bookmarkStart w:id="163" w:name="_Toc75793504"/>
      <w:bookmarkStart w:id="164" w:name="_Toc4243"/>
      <w:r>
        <w:rPr>
          <w:rFonts w:hint="eastAsia" w:ascii="宋体" w:hAnsi="宋体" w:eastAsia="宋体" w:cs="宋体"/>
          <w:b/>
          <w:color w:val="auto"/>
          <w:highlight w:val="none"/>
        </w:rPr>
        <w:t xml:space="preserve">第二篇 </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Pr>
          <w:rFonts w:hint="eastAsia" w:ascii="宋体" w:hAnsi="宋体" w:eastAsia="宋体" w:cs="宋体"/>
          <w:b/>
          <w:color w:val="auto"/>
          <w:highlight w:val="none"/>
        </w:rPr>
        <w:t>项目服务需求</w:t>
      </w:r>
      <w:bookmarkEnd w:id="164"/>
    </w:p>
    <w:p w14:paraId="18AFE428">
      <w:pPr>
        <w:pStyle w:val="4"/>
        <w:spacing w:line="400" w:lineRule="exact"/>
        <w:ind w:firstLine="482" w:firstLineChars="200"/>
        <w:rPr>
          <w:rFonts w:cs="宋体"/>
          <w:b/>
          <w:color w:val="auto"/>
          <w:sz w:val="24"/>
          <w:highlight w:val="none"/>
        </w:rPr>
      </w:pPr>
      <w:r>
        <w:rPr>
          <w:rFonts w:hint="eastAsia" w:cs="宋体"/>
          <w:b/>
          <w:color w:val="auto"/>
          <w:sz w:val="24"/>
          <w:highlight w:val="none"/>
        </w:rPr>
        <w:t>“※”标注的服务（质量）需求为符合性审查中的实质性要求，若不满足按无效投标处理。</w:t>
      </w:r>
    </w:p>
    <w:p w14:paraId="46D52B11">
      <w:pPr>
        <w:pStyle w:val="4"/>
        <w:spacing w:line="500" w:lineRule="exact"/>
        <w:rPr>
          <w:rFonts w:cs="宋体"/>
          <w:b/>
          <w:color w:val="auto"/>
          <w:sz w:val="24"/>
          <w:highlight w:val="none"/>
        </w:rPr>
      </w:pPr>
      <w:bookmarkStart w:id="165" w:name="_Toc27381"/>
      <w:bookmarkStart w:id="166" w:name="_Toc75805174"/>
      <w:bookmarkStart w:id="167" w:name="_Toc12568"/>
      <w:bookmarkStart w:id="168" w:name="_Toc75793506"/>
      <w:bookmarkStart w:id="169" w:name="_Toc28205"/>
      <w:bookmarkStart w:id="170" w:name="_Toc26453"/>
      <w:bookmarkStart w:id="171" w:name="_Toc10143"/>
      <w:bookmarkStart w:id="172" w:name="_Toc15696"/>
      <w:bookmarkStart w:id="173" w:name="_Toc18903"/>
      <w:bookmarkStart w:id="174" w:name="_Toc21817"/>
      <w:bookmarkStart w:id="175" w:name="_Toc23975"/>
      <w:bookmarkStart w:id="176" w:name="_Toc18800"/>
      <w:bookmarkStart w:id="177" w:name="_Toc7792"/>
      <w:bookmarkStart w:id="178" w:name="_Toc27067"/>
      <w:bookmarkStart w:id="179" w:name="_Toc5751"/>
      <w:bookmarkStart w:id="180" w:name="_Toc32262"/>
      <w:bookmarkStart w:id="181" w:name="_Toc695"/>
      <w:bookmarkStart w:id="182" w:name="_Toc106030382"/>
      <w:r>
        <w:rPr>
          <w:rFonts w:hint="eastAsia" w:cs="宋体"/>
          <w:b/>
          <w:color w:val="auto"/>
          <w:sz w:val="24"/>
          <w:highlight w:val="none"/>
        </w:rPr>
        <w:t>※一、招标项目服务需求一览表</w:t>
      </w:r>
      <w:bookmarkEnd w:id="165"/>
      <w:bookmarkEnd w:id="166"/>
    </w:p>
    <w:tbl>
      <w:tblPr>
        <w:tblStyle w:val="20"/>
        <w:tblW w:w="5000" w:type="pct"/>
        <w:tblInd w:w="0" w:type="dxa"/>
        <w:tblLayout w:type="autofit"/>
        <w:tblCellMar>
          <w:top w:w="0" w:type="dxa"/>
          <w:left w:w="108" w:type="dxa"/>
          <w:bottom w:w="0" w:type="dxa"/>
          <w:right w:w="108" w:type="dxa"/>
        </w:tblCellMar>
      </w:tblPr>
      <w:tblGrid>
        <w:gridCol w:w="837"/>
        <w:gridCol w:w="3551"/>
        <w:gridCol w:w="2650"/>
        <w:gridCol w:w="2590"/>
      </w:tblGrid>
      <w:tr w14:paraId="58EC20F5">
        <w:tblPrEx>
          <w:tblCellMar>
            <w:top w:w="0" w:type="dxa"/>
            <w:left w:w="108" w:type="dxa"/>
            <w:bottom w:w="0" w:type="dxa"/>
            <w:right w:w="108" w:type="dxa"/>
          </w:tblCellMar>
        </w:tblPrEx>
        <w:trPr>
          <w:trHeight w:val="558" w:hRule="atLeast"/>
        </w:trPr>
        <w:tc>
          <w:tcPr>
            <w:tcW w:w="435" w:type="pct"/>
            <w:vMerge w:val="restart"/>
            <w:tcBorders>
              <w:top w:val="single" w:color="auto" w:sz="4" w:space="0"/>
              <w:left w:val="single" w:color="auto" w:sz="4" w:space="0"/>
              <w:bottom w:val="single" w:color="auto" w:sz="4" w:space="0"/>
              <w:right w:val="single" w:color="auto" w:sz="4" w:space="0"/>
            </w:tcBorders>
            <w:noWrap/>
            <w:vAlign w:val="center"/>
          </w:tcPr>
          <w:p w14:paraId="57155586">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1844" w:type="pct"/>
            <w:vMerge w:val="restart"/>
            <w:tcBorders>
              <w:top w:val="single" w:color="auto" w:sz="4" w:space="0"/>
              <w:left w:val="single" w:color="auto" w:sz="4" w:space="0"/>
              <w:bottom w:val="single" w:color="auto" w:sz="4" w:space="0"/>
              <w:right w:val="single" w:color="auto" w:sz="4" w:space="0"/>
            </w:tcBorders>
            <w:noWrap/>
            <w:vAlign w:val="center"/>
          </w:tcPr>
          <w:p w14:paraId="0BFC6229">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项目名称</w:t>
            </w:r>
          </w:p>
          <w:p w14:paraId="50E84357">
            <w:pPr>
              <w:widowControl/>
              <w:jc w:val="center"/>
              <w:rPr>
                <w:rFonts w:ascii="宋体" w:hAnsi="宋体" w:cs="宋体"/>
                <w:b/>
                <w:bCs/>
                <w:color w:val="auto"/>
                <w:kern w:val="0"/>
                <w:sz w:val="24"/>
                <w:szCs w:val="24"/>
                <w:highlight w:val="none"/>
              </w:rPr>
            </w:pPr>
          </w:p>
        </w:tc>
        <w:tc>
          <w:tcPr>
            <w:tcW w:w="1376" w:type="pct"/>
            <w:vMerge w:val="restart"/>
            <w:tcBorders>
              <w:top w:val="single" w:color="auto" w:sz="4" w:space="0"/>
              <w:left w:val="single" w:color="auto" w:sz="4" w:space="0"/>
              <w:bottom w:val="single" w:color="auto" w:sz="4" w:space="0"/>
              <w:right w:val="single" w:color="auto" w:sz="4" w:space="0"/>
            </w:tcBorders>
            <w:vAlign w:val="center"/>
          </w:tcPr>
          <w:p w14:paraId="0A2E4516">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项目内容</w:t>
            </w:r>
          </w:p>
          <w:p w14:paraId="51AC0586">
            <w:pPr>
              <w:widowControl/>
              <w:jc w:val="center"/>
              <w:rPr>
                <w:rFonts w:ascii="宋体" w:hAnsi="宋体" w:cs="宋体"/>
                <w:b/>
                <w:bCs/>
                <w:color w:val="auto"/>
                <w:kern w:val="0"/>
                <w:sz w:val="24"/>
                <w:szCs w:val="24"/>
                <w:highlight w:val="none"/>
              </w:rPr>
            </w:pPr>
          </w:p>
        </w:tc>
        <w:tc>
          <w:tcPr>
            <w:tcW w:w="1345" w:type="pct"/>
            <w:vMerge w:val="restart"/>
            <w:tcBorders>
              <w:top w:val="single" w:color="auto" w:sz="4" w:space="0"/>
              <w:left w:val="single" w:color="auto" w:sz="4" w:space="0"/>
              <w:bottom w:val="single" w:color="000000" w:sz="4" w:space="0"/>
              <w:right w:val="single" w:color="auto" w:sz="4" w:space="0"/>
            </w:tcBorders>
            <w:noWrap/>
            <w:vAlign w:val="center"/>
          </w:tcPr>
          <w:p w14:paraId="091F721D">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数量</w:t>
            </w:r>
          </w:p>
        </w:tc>
      </w:tr>
      <w:tr w14:paraId="5C84BD2B">
        <w:tblPrEx>
          <w:tblCellMar>
            <w:top w:w="0" w:type="dxa"/>
            <w:left w:w="108" w:type="dxa"/>
            <w:bottom w:w="0" w:type="dxa"/>
            <w:right w:w="108" w:type="dxa"/>
          </w:tblCellMar>
        </w:tblPrEx>
        <w:trPr>
          <w:trHeight w:val="559" w:hRule="atLeast"/>
        </w:trPr>
        <w:tc>
          <w:tcPr>
            <w:tcW w:w="435" w:type="pct"/>
            <w:vMerge w:val="continue"/>
            <w:tcBorders>
              <w:top w:val="single" w:color="auto" w:sz="4" w:space="0"/>
              <w:left w:val="single" w:color="auto" w:sz="4" w:space="0"/>
              <w:bottom w:val="single" w:color="auto" w:sz="4" w:space="0"/>
              <w:right w:val="single" w:color="auto" w:sz="4" w:space="0"/>
            </w:tcBorders>
            <w:vAlign w:val="center"/>
          </w:tcPr>
          <w:p w14:paraId="69788010">
            <w:pPr>
              <w:widowControl/>
              <w:jc w:val="left"/>
              <w:rPr>
                <w:rFonts w:ascii="宋体" w:hAnsi="宋体" w:cs="宋体"/>
                <w:b/>
                <w:bCs/>
                <w:color w:val="auto"/>
                <w:kern w:val="0"/>
                <w:sz w:val="24"/>
                <w:szCs w:val="24"/>
                <w:highlight w:val="none"/>
              </w:rPr>
            </w:pPr>
          </w:p>
        </w:tc>
        <w:tc>
          <w:tcPr>
            <w:tcW w:w="1844" w:type="pct"/>
            <w:vMerge w:val="continue"/>
            <w:tcBorders>
              <w:top w:val="single" w:color="auto" w:sz="4" w:space="0"/>
              <w:left w:val="single" w:color="auto" w:sz="4" w:space="0"/>
              <w:bottom w:val="single" w:color="auto" w:sz="4" w:space="0"/>
              <w:right w:val="single" w:color="auto" w:sz="4" w:space="0"/>
            </w:tcBorders>
            <w:vAlign w:val="center"/>
          </w:tcPr>
          <w:p w14:paraId="5053699E">
            <w:pPr>
              <w:widowControl/>
              <w:jc w:val="left"/>
              <w:rPr>
                <w:rFonts w:ascii="宋体" w:hAnsi="宋体" w:cs="宋体"/>
                <w:b/>
                <w:bCs/>
                <w:color w:val="auto"/>
                <w:kern w:val="0"/>
                <w:sz w:val="24"/>
                <w:szCs w:val="24"/>
                <w:highlight w:val="none"/>
              </w:rPr>
            </w:pPr>
          </w:p>
        </w:tc>
        <w:tc>
          <w:tcPr>
            <w:tcW w:w="1376" w:type="pct"/>
            <w:vMerge w:val="continue"/>
            <w:tcBorders>
              <w:top w:val="single" w:color="auto" w:sz="4" w:space="0"/>
              <w:left w:val="single" w:color="auto" w:sz="4" w:space="0"/>
              <w:bottom w:val="single" w:color="auto" w:sz="4" w:space="0"/>
              <w:right w:val="single" w:color="auto" w:sz="4" w:space="0"/>
            </w:tcBorders>
            <w:vAlign w:val="center"/>
          </w:tcPr>
          <w:p w14:paraId="23AA982B">
            <w:pPr>
              <w:widowControl/>
              <w:jc w:val="left"/>
              <w:rPr>
                <w:rFonts w:ascii="宋体" w:hAnsi="宋体" w:cs="宋体"/>
                <w:b/>
                <w:bCs/>
                <w:color w:val="auto"/>
                <w:kern w:val="0"/>
                <w:sz w:val="24"/>
                <w:szCs w:val="24"/>
                <w:highlight w:val="none"/>
              </w:rPr>
            </w:pPr>
          </w:p>
        </w:tc>
        <w:tc>
          <w:tcPr>
            <w:tcW w:w="1345" w:type="pct"/>
            <w:vMerge w:val="continue"/>
            <w:tcBorders>
              <w:top w:val="single" w:color="auto" w:sz="4" w:space="0"/>
              <w:left w:val="single" w:color="auto" w:sz="4" w:space="0"/>
              <w:bottom w:val="single" w:color="000000" w:sz="4" w:space="0"/>
              <w:right w:val="single" w:color="auto" w:sz="4" w:space="0"/>
            </w:tcBorders>
            <w:vAlign w:val="center"/>
          </w:tcPr>
          <w:p w14:paraId="49A4448F">
            <w:pPr>
              <w:widowControl/>
              <w:jc w:val="left"/>
              <w:rPr>
                <w:rFonts w:ascii="宋体" w:hAnsi="宋体" w:cs="宋体"/>
                <w:b/>
                <w:bCs/>
                <w:color w:val="auto"/>
                <w:kern w:val="0"/>
                <w:sz w:val="24"/>
                <w:szCs w:val="24"/>
                <w:highlight w:val="none"/>
              </w:rPr>
            </w:pPr>
          </w:p>
        </w:tc>
      </w:tr>
      <w:tr w14:paraId="7597DEB5">
        <w:tblPrEx>
          <w:tblCellMar>
            <w:top w:w="0" w:type="dxa"/>
            <w:left w:w="108" w:type="dxa"/>
            <w:bottom w:w="0" w:type="dxa"/>
            <w:right w:w="108" w:type="dxa"/>
          </w:tblCellMar>
        </w:tblPrEx>
        <w:trPr>
          <w:trHeight w:val="645" w:hRule="atLeast"/>
        </w:trPr>
        <w:tc>
          <w:tcPr>
            <w:tcW w:w="435" w:type="pct"/>
            <w:tcBorders>
              <w:top w:val="nil"/>
              <w:left w:val="single" w:color="auto" w:sz="4" w:space="0"/>
              <w:bottom w:val="single" w:color="auto" w:sz="4" w:space="0"/>
              <w:right w:val="single" w:color="auto" w:sz="4" w:space="0"/>
            </w:tcBorders>
            <w:noWrap/>
            <w:vAlign w:val="center"/>
          </w:tcPr>
          <w:p w14:paraId="272A37E3">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w:t>
            </w:r>
          </w:p>
        </w:tc>
        <w:tc>
          <w:tcPr>
            <w:tcW w:w="1844" w:type="pct"/>
            <w:tcBorders>
              <w:top w:val="nil"/>
              <w:left w:val="nil"/>
              <w:bottom w:val="single" w:color="auto" w:sz="4" w:space="0"/>
              <w:right w:val="single" w:color="auto" w:sz="4" w:space="0"/>
            </w:tcBorders>
            <w:noWrap/>
            <w:vAlign w:val="center"/>
          </w:tcPr>
          <w:p w14:paraId="0169D26F">
            <w:pPr>
              <w:widowControl/>
              <w:jc w:val="center"/>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sz w:val="21"/>
                <w:szCs w:val="28"/>
                <w:highlight w:val="none"/>
                <w:lang w:eastAsia="zh-CN"/>
              </w:rPr>
              <w:t>2025年一般工业固废污泥处置项目</w:t>
            </w:r>
          </w:p>
        </w:tc>
        <w:tc>
          <w:tcPr>
            <w:tcW w:w="1376" w:type="pct"/>
            <w:tcBorders>
              <w:top w:val="nil"/>
              <w:left w:val="nil"/>
              <w:bottom w:val="single" w:color="auto" w:sz="4" w:space="0"/>
              <w:right w:val="single" w:color="auto" w:sz="4" w:space="0"/>
            </w:tcBorders>
            <w:vAlign w:val="center"/>
          </w:tcPr>
          <w:p w14:paraId="1CA5D52E">
            <w:pPr>
              <w:widowControl/>
              <w:jc w:val="center"/>
              <w:rPr>
                <w:rFonts w:ascii="宋体" w:hAnsi="宋体" w:cs="宋体"/>
                <w:b/>
                <w:bCs/>
                <w:color w:val="auto"/>
                <w:kern w:val="0"/>
                <w:sz w:val="24"/>
                <w:szCs w:val="24"/>
                <w:highlight w:val="none"/>
              </w:rPr>
            </w:pPr>
            <w:r>
              <w:rPr>
                <w:rFonts w:hint="eastAsia" w:ascii="宋体" w:hAnsi="宋体" w:cs="宋体"/>
                <w:b/>
                <w:bCs/>
                <w:color w:val="auto"/>
                <w:sz w:val="21"/>
                <w:szCs w:val="28"/>
                <w:highlight w:val="none"/>
              </w:rPr>
              <w:t>一般工业固废污泥处置</w:t>
            </w:r>
          </w:p>
        </w:tc>
        <w:tc>
          <w:tcPr>
            <w:tcW w:w="1345" w:type="pct"/>
            <w:tcBorders>
              <w:top w:val="nil"/>
              <w:left w:val="nil"/>
              <w:bottom w:val="single" w:color="auto" w:sz="4" w:space="0"/>
              <w:right w:val="single" w:color="auto" w:sz="4" w:space="0"/>
            </w:tcBorders>
            <w:noWrap/>
            <w:vAlign w:val="center"/>
          </w:tcPr>
          <w:p w14:paraId="0A9D1A9E">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10000吨（暂定）</w:t>
            </w:r>
          </w:p>
        </w:tc>
      </w:tr>
    </w:tbl>
    <w:p w14:paraId="2CFDA5B1">
      <w:pPr>
        <w:pStyle w:val="4"/>
        <w:spacing w:line="500" w:lineRule="exact"/>
        <w:rPr>
          <w:rFonts w:cs="宋体"/>
          <w:b/>
          <w:color w:val="auto"/>
          <w:sz w:val="24"/>
          <w:highlight w:val="none"/>
        </w:rPr>
      </w:pPr>
      <w:bookmarkStart w:id="183" w:name="_Toc14332"/>
      <w:bookmarkStart w:id="184" w:name="_Toc75805175"/>
      <w:r>
        <w:rPr>
          <w:rFonts w:hint="eastAsia" w:cs="宋体"/>
          <w:b/>
          <w:color w:val="auto"/>
          <w:sz w:val="24"/>
          <w:highlight w:val="none"/>
        </w:rPr>
        <w:t>※二、招标项目服务需求</w:t>
      </w:r>
      <w:bookmarkEnd w:id="183"/>
      <w:bookmarkEnd w:id="184"/>
    </w:p>
    <w:p w14:paraId="0F0DA94F">
      <w:pPr>
        <w:snapToGri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1、采购人装货地点运输车辆长度高度受限</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采购人不组织现场踏勘，由各供应商自行到现场进行踏勘了解实际情况，无论供应商是否踏勘过现场，均视为在响应截止时间之前踏勘过现场且对本项目潜在的风险和义务已完全了解，并已充分考虑了本项目可能面临的不确定因素可能导致的风险</w:t>
      </w:r>
      <w:r>
        <w:rPr>
          <w:rFonts w:hint="eastAsia" w:ascii="宋体" w:hAnsi="宋体" w:cs="宋体"/>
          <w:color w:val="auto"/>
          <w:sz w:val="24"/>
          <w:szCs w:val="24"/>
          <w:highlight w:val="none"/>
          <w:lang w:eastAsia="zh-CN"/>
        </w:rPr>
        <w:t>。</w:t>
      </w:r>
    </w:p>
    <w:p w14:paraId="5B8DFF05">
      <w:pPr>
        <w:pStyle w:val="8"/>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2、本厂污泥含水80%，运输车辆需达到防渗漏。</w:t>
      </w:r>
    </w:p>
    <w:p w14:paraId="64F8E773">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3、根据合川环保局对固废处置要求；需每车提供联单。</w:t>
      </w:r>
    </w:p>
    <w:p w14:paraId="346DBCF8">
      <w:pPr>
        <w:rPr>
          <w:rFonts w:ascii="宋体" w:hAnsi="宋体" w:cs="宋体"/>
          <w:color w:val="auto"/>
          <w:highlight w:val="none"/>
        </w:rPr>
      </w:pPr>
    </w:p>
    <w:p w14:paraId="0EF6CB5A">
      <w:pPr>
        <w:pStyle w:val="4"/>
        <w:spacing w:line="400" w:lineRule="exact"/>
        <w:rPr>
          <w:rFonts w:cs="宋体"/>
          <w:b/>
          <w:color w:val="auto"/>
          <w:sz w:val="24"/>
          <w:highlight w:val="none"/>
        </w:rPr>
      </w:pPr>
    </w:p>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14:paraId="1C1FC27D">
      <w:pPr>
        <w:rPr>
          <w:rFonts w:ascii="宋体" w:hAnsi="宋体" w:cs="宋体"/>
          <w:color w:val="auto"/>
          <w:highlight w:val="none"/>
        </w:rPr>
      </w:pPr>
    </w:p>
    <w:p w14:paraId="5A3E5E0A">
      <w:pPr>
        <w:pStyle w:val="8"/>
        <w:rPr>
          <w:rFonts w:ascii="宋体" w:hAnsi="宋体" w:eastAsia="宋体" w:cs="宋体"/>
          <w:color w:val="auto"/>
          <w:highlight w:val="none"/>
        </w:rPr>
      </w:pPr>
    </w:p>
    <w:p w14:paraId="6C7615B4">
      <w:pPr>
        <w:rPr>
          <w:rFonts w:ascii="宋体" w:hAnsi="宋体" w:cs="宋体"/>
          <w:color w:val="auto"/>
          <w:highlight w:val="none"/>
        </w:rPr>
      </w:pPr>
    </w:p>
    <w:p w14:paraId="58AAF20C">
      <w:pPr>
        <w:pStyle w:val="8"/>
        <w:rPr>
          <w:rFonts w:ascii="宋体" w:hAnsi="宋体" w:eastAsia="宋体" w:cs="宋体"/>
          <w:color w:val="auto"/>
          <w:highlight w:val="none"/>
        </w:rPr>
      </w:pPr>
    </w:p>
    <w:p w14:paraId="1576CCE6">
      <w:pPr>
        <w:rPr>
          <w:rFonts w:ascii="宋体" w:hAnsi="宋体" w:cs="宋体"/>
          <w:color w:val="auto"/>
          <w:highlight w:val="none"/>
        </w:rPr>
      </w:pPr>
    </w:p>
    <w:p w14:paraId="6BDA6DB5">
      <w:pPr>
        <w:pStyle w:val="8"/>
        <w:rPr>
          <w:rFonts w:ascii="宋体" w:hAnsi="宋体" w:eastAsia="宋体" w:cs="宋体"/>
          <w:color w:val="auto"/>
          <w:highlight w:val="none"/>
        </w:rPr>
      </w:pPr>
    </w:p>
    <w:p w14:paraId="00CF3D82">
      <w:pPr>
        <w:rPr>
          <w:rFonts w:ascii="宋体" w:hAnsi="宋体" w:cs="宋体"/>
          <w:color w:val="auto"/>
          <w:highlight w:val="none"/>
        </w:rPr>
      </w:pPr>
    </w:p>
    <w:p w14:paraId="0C9FF195">
      <w:pPr>
        <w:pStyle w:val="32"/>
        <w:rPr>
          <w:rFonts w:ascii="宋体" w:hAnsi="宋体" w:cs="宋体"/>
          <w:color w:val="auto"/>
          <w:highlight w:val="none"/>
        </w:rPr>
      </w:pPr>
    </w:p>
    <w:p w14:paraId="521C261F">
      <w:pPr>
        <w:rPr>
          <w:rFonts w:ascii="宋体" w:hAnsi="宋体" w:cs="宋体"/>
          <w:color w:val="auto"/>
          <w:highlight w:val="none"/>
        </w:rPr>
      </w:pPr>
    </w:p>
    <w:p w14:paraId="7FF9270D">
      <w:pPr>
        <w:pStyle w:val="32"/>
        <w:rPr>
          <w:rFonts w:ascii="宋体" w:hAnsi="宋体" w:cs="宋体"/>
          <w:color w:val="auto"/>
          <w:highlight w:val="none"/>
        </w:rPr>
      </w:pPr>
    </w:p>
    <w:p w14:paraId="02EFB6EF">
      <w:pPr>
        <w:rPr>
          <w:rFonts w:ascii="宋体" w:hAnsi="宋体" w:cs="宋体"/>
          <w:color w:val="auto"/>
          <w:highlight w:val="none"/>
        </w:rPr>
      </w:pPr>
    </w:p>
    <w:p w14:paraId="6700D967">
      <w:pPr>
        <w:pStyle w:val="32"/>
        <w:rPr>
          <w:rFonts w:ascii="宋体" w:hAnsi="宋体" w:cs="宋体"/>
          <w:color w:val="auto"/>
          <w:highlight w:val="none"/>
        </w:rPr>
      </w:pPr>
    </w:p>
    <w:p w14:paraId="6A665D4F">
      <w:pPr>
        <w:rPr>
          <w:rFonts w:ascii="宋体" w:hAnsi="宋体" w:cs="宋体"/>
          <w:color w:val="auto"/>
          <w:highlight w:val="none"/>
        </w:rPr>
      </w:pPr>
    </w:p>
    <w:p w14:paraId="710385EB">
      <w:pPr>
        <w:pStyle w:val="32"/>
        <w:rPr>
          <w:rFonts w:ascii="宋体" w:hAnsi="宋体" w:cs="宋体"/>
          <w:color w:val="auto"/>
          <w:highlight w:val="none"/>
        </w:rPr>
      </w:pPr>
    </w:p>
    <w:p w14:paraId="33178C9B">
      <w:pPr>
        <w:pStyle w:val="32"/>
        <w:rPr>
          <w:rFonts w:ascii="宋体" w:hAnsi="宋体" w:cs="宋体"/>
          <w:color w:val="auto"/>
          <w:highlight w:val="none"/>
        </w:rPr>
      </w:pPr>
    </w:p>
    <w:p w14:paraId="4E8816C6">
      <w:pPr>
        <w:pStyle w:val="3"/>
        <w:spacing w:beforeLines="0" w:afterLines="0" w:line="360" w:lineRule="auto"/>
        <w:rPr>
          <w:rFonts w:ascii="宋体" w:hAnsi="宋体" w:eastAsia="宋体" w:cs="宋体"/>
          <w:b/>
          <w:color w:val="auto"/>
          <w:highlight w:val="none"/>
        </w:rPr>
      </w:pPr>
      <w:bookmarkStart w:id="185" w:name="_Toc20842"/>
      <w:bookmarkStart w:id="186" w:name="_Toc13990"/>
      <w:bookmarkStart w:id="187" w:name="_Toc2095"/>
      <w:bookmarkStart w:id="188" w:name="_Toc19536"/>
      <w:bookmarkStart w:id="189" w:name="_Toc28164"/>
      <w:bookmarkStart w:id="190" w:name="_Toc31584"/>
      <w:bookmarkStart w:id="191" w:name="_Toc15467"/>
      <w:bookmarkStart w:id="192" w:name="_Toc18187"/>
      <w:bookmarkStart w:id="193" w:name="_Toc21557"/>
      <w:bookmarkStart w:id="194" w:name="_Toc9326"/>
      <w:bookmarkStart w:id="195" w:name="_Toc1363"/>
      <w:bookmarkStart w:id="196" w:name="_Toc9920"/>
      <w:bookmarkStart w:id="197" w:name="_Toc26363"/>
      <w:bookmarkStart w:id="198" w:name="_Toc75793508"/>
      <w:bookmarkStart w:id="199" w:name="_Toc8633"/>
      <w:bookmarkStart w:id="200" w:name="_Toc26390"/>
      <w:r>
        <w:rPr>
          <w:rFonts w:hint="eastAsia" w:ascii="宋体" w:hAnsi="宋体" w:eastAsia="宋体" w:cs="宋体"/>
          <w:b/>
          <w:color w:val="auto"/>
          <w:highlight w:val="none"/>
        </w:rPr>
        <w:t xml:space="preserve">第三篇  </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Pr>
          <w:rFonts w:hint="eastAsia" w:ascii="宋体" w:hAnsi="宋体" w:eastAsia="宋体" w:cs="宋体"/>
          <w:b/>
          <w:color w:val="auto"/>
          <w:highlight w:val="none"/>
        </w:rPr>
        <w:t>项目商务需求</w:t>
      </w:r>
      <w:bookmarkEnd w:id="200"/>
    </w:p>
    <w:p w14:paraId="23F40E9F">
      <w:pPr>
        <w:pStyle w:val="4"/>
        <w:spacing w:line="500" w:lineRule="exact"/>
        <w:ind w:firstLine="482" w:firstLineChars="200"/>
        <w:rPr>
          <w:rFonts w:hint="eastAsia" w:cs="宋体"/>
          <w:b/>
          <w:color w:val="auto"/>
          <w:sz w:val="24"/>
          <w:szCs w:val="24"/>
          <w:highlight w:val="none"/>
        </w:rPr>
      </w:pPr>
      <w:bookmarkStart w:id="201" w:name="_Toc22313"/>
      <w:bookmarkStart w:id="202" w:name="_Toc75805177"/>
      <w:bookmarkStart w:id="203" w:name="_Toc32453"/>
      <w:r>
        <w:rPr>
          <w:rFonts w:hint="eastAsia" w:cs="宋体"/>
          <w:b/>
          <w:color w:val="auto"/>
          <w:sz w:val="24"/>
          <w:szCs w:val="24"/>
          <w:highlight w:val="none"/>
        </w:rPr>
        <w:t>“※”标注的商务要求为符合性审查中的实质性要求，若不满足按无效投标处理。</w:t>
      </w:r>
    </w:p>
    <w:p w14:paraId="5812D228">
      <w:pPr>
        <w:pStyle w:val="4"/>
        <w:spacing w:line="500" w:lineRule="exact"/>
        <w:ind w:firstLine="482" w:firstLineChars="200"/>
        <w:rPr>
          <w:rFonts w:cs="宋体"/>
          <w:b/>
          <w:color w:val="auto"/>
          <w:sz w:val="24"/>
          <w:szCs w:val="24"/>
          <w:highlight w:val="none"/>
        </w:rPr>
      </w:pPr>
      <w:r>
        <w:rPr>
          <w:rFonts w:hint="eastAsia" w:cs="宋体"/>
          <w:b/>
          <w:color w:val="auto"/>
          <w:sz w:val="24"/>
          <w:szCs w:val="24"/>
          <w:highlight w:val="none"/>
        </w:rPr>
        <w:t>一、服务期、服务地点及考核方式</w:t>
      </w:r>
      <w:bookmarkEnd w:id="201"/>
      <w:bookmarkEnd w:id="202"/>
    </w:p>
    <w:p w14:paraId="7767AA12">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（一）服务期</w:t>
      </w:r>
    </w:p>
    <w:p w14:paraId="1313B397">
      <w:pPr>
        <w:snapToGrid w:val="0"/>
        <w:spacing w:line="500" w:lineRule="exact"/>
        <w:ind w:firstLine="539"/>
        <w:rPr>
          <w:rFonts w:ascii="宋体" w:hAnsi="宋体" w:cs="宋体"/>
          <w:color w:val="auto"/>
          <w:sz w:val="24"/>
          <w:szCs w:val="24"/>
          <w:highlight w:val="none"/>
        </w:rPr>
      </w:pPr>
      <w:r>
        <w:rPr>
          <w:rFonts w:hint="eastAsia" w:cs="宋体"/>
          <w:b/>
          <w:color w:val="auto"/>
          <w:sz w:val="24"/>
          <w:szCs w:val="24"/>
          <w:highlight w:val="none"/>
        </w:rPr>
        <w:t>※</w:t>
      </w:r>
      <w:r>
        <w:rPr>
          <w:rFonts w:hint="eastAsia" w:ascii="宋体" w:hAnsi="宋体" w:cs="宋体"/>
          <w:color w:val="auto"/>
          <w:sz w:val="24"/>
          <w:szCs w:val="24"/>
          <w:highlight w:val="none"/>
        </w:rPr>
        <w:t>服务期：合同签订后一年。</w:t>
      </w:r>
    </w:p>
    <w:p w14:paraId="4793D26D">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（二）服务地点</w:t>
      </w:r>
    </w:p>
    <w:p w14:paraId="61F5F5B1">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服务地点：</w:t>
      </w:r>
      <w:r>
        <w:rPr>
          <w:rFonts w:hint="eastAsia" w:ascii="宋体" w:hAnsi="宋体" w:cs="宋体"/>
          <w:color w:val="auto"/>
          <w:sz w:val="24"/>
          <w:szCs w:val="24"/>
          <w:highlight w:val="none"/>
        </w:rPr>
        <w:t>采购人指定地点</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重庆市合川工业园区内</w:t>
      </w:r>
    </w:p>
    <w:p w14:paraId="3D1B6ECD">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（三）验收方式</w:t>
      </w:r>
    </w:p>
    <w:p w14:paraId="7E4DEF6A">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验收方式：采购人审核验收。</w:t>
      </w:r>
    </w:p>
    <w:p w14:paraId="37959949">
      <w:pPr>
        <w:pStyle w:val="4"/>
        <w:spacing w:line="500" w:lineRule="exact"/>
        <w:ind w:firstLine="482" w:firstLineChars="200"/>
        <w:rPr>
          <w:rFonts w:cs="宋体"/>
          <w:b/>
          <w:color w:val="auto"/>
          <w:sz w:val="24"/>
          <w:szCs w:val="24"/>
          <w:highlight w:val="none"/>
        </w:rPr>
      </w:pPr>
      <w:bookmarkStart w:id="204" w:name="_Toc75805178"/>
      <w:bookmarkStart w:id="205" w:name="_Toc3834"/>
      <w:bookmarkStart w:id="206" w:name="_Toc267320050"/>
      <w:r>
        <w:rPr>
          <w:rFonts w:hint="eastAsia" w:cs="宋体"/>
          <w:b/>
          <w:color w:val="auto"/>
          <w:sz w:val="24"/>
          <w:szCs w:val="24"/>
          <w:highlight w:val="none"/>
        </w:rPr>
        <w:t>※二、报价要求</w:t>
      </w:r>
      <w:bookmarkEnd w:id="204"/>
      <w:bookmarkEnd w:id="205"/>
    </w:p>
    <w:bookmarkEnd w:id="206"/>
    <w:p w14:paraId="059D49F3">
      <w:pPr>
        <w:snapToGrid w:val="0"/>
        <w:spacing w:line="400" w:lineRule="exact"/>
        <w:ind w:firstLine="480" w:firstLineChars="200"/>
        <w:rPr>
          <w:rFonts w:ascii="宋体" w:hAnsi="宋体" w:cs="宋体"/>
          <w:color w:val="auto"/>
          <w:kern w:val="0"/>
          <w:sz w:val="24"/>
          <w:szCs w:val="24"/>
          <w:highlight w:val="none"/>
        </w:rPr>
      </w:pPr>
      <w:bookmarkStart w:id="207" w:name="_Toc267320051"/>
      <w:r>
        <w:rPr>
          <w:rFonts w:hint="eastAsia" w:ascii="宋体" w:hAnsi="宋体" w:cs="宋体"/>
          <w:color w:val="auto"/>
          <w:kern w:val="0"/>
          <w:sz w:val="24"/>
          <w:szCs w:val="24"/>
          <w:highlight w:val="none"/>
        </w:rPr>
        <w:t>（一）本次报价须以人民币报价，供应商需严格按照采购项目要求进行报价，报价为供应商对采购文件所确定的全部工作内容包干价，应报包括但不限于以下费用：运输费、处置费、设备费、材料费、测试化验加工费、燃料动力费、差旅费、会议费、国际合作与交流费、出版/文献/信息传播/知识产权事务费、劳务费、专家咨询费、管理费及合理利润、规费、税金等。采购人除此以外不支付其它费用。因成交供应商自身原因造成漏报、少报皆由其自行承担责任，采购人不再补偿。</w:t>
      </w:r>
    </w:p>
    <w:p w14:paraId="199E4833">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（二）供应商应按照采购文件第二篇规定的项目内容、标准和要求，结合重庆市相关收费标准和市场价格水平，科学合理地制定响应报价，不得以恶意低价竞争。</w:t>
      </w:r>
    </w:p>
    <w:p w14:paraId="4FCB9AD3">
      <w:pPr>
        <w:pStyle w:val="4"/>
        <w:spacing w:line="400" w:lineRule="exact"/>
        <w:ind w:firstLine="482" w:firstLineChars="200"/>
        <w:rPr>
          <w:rFonts w:cs="宋体"/>
          <w:b/>
          <w:color w:val="auto"/>
          <w:sz w:val="24"/>
          <w:szCs w:val="24"/>
          <w:highlight w:val="none"/>
        </w:rPr>
      </w:pPr>
      <w:bookmarkStart w:id="208" w:name="_Toc3805"/>
      <w:bookmarkStart w:id="209" w:name="_Toc75805179"/>
      <w:r>
        <w:rPr>
          <w:rFonts w:hint="eastAsia" w:cs="宋体"/>
          <w:b/>
          <w:color w:val="auto"/>
          <w:sz w:val="24"/>
          <w:szCs w:val="24"/>
          <w:highlight w:val="none"/>
        </w:rPr>
        <w:t>※三、付款方式</w:t>
      </w:r>
      <w:bookmarkEnd w:id="207"/>
      <w:bookmarkEnd w:id="208"/>
      <w:bookmarkEnd w:id="209"/>
    </w:p>
    <w:p w14:paraId="4FD9AE28">
      <w:pPr>
        <w:snapToGrid w:val="0"/>
        <w:spacing w:line="400" w:lineRule="exact"/>
        <w:ind w:firstLine="540"/>
        <w:rPr>
          <w:rFonts w:hint="eastAsia" w:ascii="宋体" w:hAnsi="宋体" w:cs="宋体"/>
          <w:color w:val="auto"/>
          <w:kern w:val="0"/>
          <w:sz w:val="24"/>
          <w:szCs w:val="24"/>
          <w:highlight w:val="none"/>
        </w:rPr>
      </w:pPr>
      <w:bookmarkStart w:id="210" w:name="_Toc267320054"/>
      <w:r>
        <w:rPr>
          <w:rFonts w:hint="eastAsia" w:ascii="宋体" w:hAnsi="宋体" w:cs="宋体"/>
          <w:color w:val="auto"/>
          <w:kern w:val="0"/>
          <w:sz w:val="24"/>
          <w:szCs w:val="24"/>
          <w:highlight w:val="none"/>
        </w:rPr>
        <w:t>合同签订后，成交供应商按采购人的通知要求，按批处置；支付方式为：</w:t>
      </w:r>
    </w:p>
    <w:p w14:paraId="7E220842">
      <w:pPr>
        <w:snapToGrid w:val="0"/>
        <w:spacing w:line="400" w:lineRule="exact"/>
        <w:ind w:firstLine="54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（1）合同执行半年（完成转运及运输）后，半年内无发生任何环保风险及违法行为，则通过验收次月拨款，后续按月支付污泥处理费（以实际过磅量为准）按实结算；</w:t>
      </w:r>
    </w:p>
    <w:p w14:paraId="4BB23066">
      <w:pPr>
        <w:snapToGrid w:val="0"/>
        <w:spacing w:line="400" w:lineRule="exact"/>
        <w:ind w:firstLine="540"/>
        <w:rPr>
          <w:rFonts w:ascii="宋体" w:hAnsi="宋体" w:cs="宋体"/>
          <w:color w:val="auto"/>
          <w:kern w:val="0"/>
          <w:sz w:val="24"/>
          <w:szCs w:val="24"/>
          <w:highlight w:val="none"/>
        </w:rPr>
      </w:pPr>
      <w:r>
        <w:rPr>
          <w:rFonts w:hint="eastAsia" w:ascii="宋体" w:hAnsi="宋体" w:cs="宋体"/>
          <w:color w:val="auto"/>
          <w:kern w:val="0"/>
          <w:sz w:val="24"/>
          <w:szCs w:val="24"/>
          <w:highlight w:val="none"/>
        </w:rPr>
        <w:t>（2）采购人每期付款前，成交供应商应向采购人开具等额有效的增值税专用发票，采购人收到发票后予以付款。因发票问题而导致无法正常付款的，责任由成交供应商自己承担。</w:t>
      </w:r>
    </w:p>
    <w:p w14:paraId="3A190B9E">
      <w:pPr>
        <w:pStyle w:val="4"/>
        <w:spacing w:line="400" w:lineRule="exact"/>
        <w:ind w:firstLine="482" w:firstLineChars="200"/>
        <w:rPr>
          <w:rFonts w:cs="宋体"/>
          <w:b/>
          <w:color w:val="auto"/>
          <w:sz w:val="24"/>
          <w:szCs w:val="24"/>
          <w:highlight w:val="none"/>
        </w:rPr>
      </w:pPr>
      <w:bookmarkStart w:id="211" w:name="_Toc75805180"/>
      <w:bookmarkStart w:id="212" w:name="_Toc6886"/>
      <w:r>
        <w:rPr>
          <w:rFonts w:hint="eastAsia" w:cs="宋体"/>
          <w:b/>
          <w:color w:val="auto"/>
          <w:sz w:val="24"/>
          <w:szCs w:val="24"/>
          <w:highlight w:val="none"/>
        </w:rPr>
        <w:t>※四、</w:t>
      </w:r>
      <w:bookmarkEnd w:id="210"/>
      <w:r>
        <w:rPr>
          <w:rFonts w:hint="eastAsia" w:cs="宋体"/>
          <w:b/>
          <w:color w:val="auto"/>
          <w:sz w:val="24"/>
          <w:szCs w:val="24"/>
          <w:highlight w:val="none"/>
        </w:rPr>
        <w:t>质量保障、售后服务要求</w:t>
      </w:r>
      <w:bookmarkEnd w:id="211"/>
      <w:bookmarkEnd w:id="212"/>
    </w:p>
    <w:p w14:paraId="587CA890">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（一）质量总体要求：符合国家标准，符合环保节能要求，质量指标必须符合国家技术质量监督机构及有关管理部门和行业的规定和标准。</w:t>
      </w:r>
    </w:p>
    <w:p w14:paraId="18B4B563">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（二）质保期</w:t>
      </w:r>
    </w:p>
    <w:p w14:paraId="160812CC">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（三）售后服务要求</w:t>
      </w:r>
    </w:p>
    <w:p w14:paraId="22E828E7">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在服务质保期内应当为采购人提供以下技术支持服务：</w:t>
      </w:r>
    </w:p>
    <w:p w14:paraId="1A0D150C">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1.质量保证期内服务要求</w:t>
      </w:r>
    </w:p>
    <w:p w14:paraId="44F1EAF1">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1.1电话咨询</w:t>
      </w:r>
    </w:p>
    <w:p w14:paraId="5744F824">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中标人应当为用户提供技术援助电话，解答用户在使用中遇到的问题，及时为用户提出解决问题的建议。</w:t>
      </w:r>
    </w:p>
    <w:p w14:paraId="7815A309">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1.2现场响应</w:t>
      </w:r>
    </w:p>
    <w:p w14:paraId="1501926D">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用户遇到使用及技术问题，电话咨询不能解决的，中标人应在24小时内采取相应响应措施；无法在4小时内解决的，应在48小时内派出专业人员进行技术支持。</w:t>
      </w:r>
    </w:p>
    <w:p w14:paraId="6D5610C2">
      <w:pPr>
        <w:pStyle w:val="4"/>
        <w:spacing w:line="500" w:lineRule="exact"/>
        <w:ind w:firstLine="482" w:firstLineChars="200"/>
        <w:rPr>
          <w:rFonts w:cs="宋体"/>
          <w:b/>
          <w:color w:val="auto"/>
          <w:kern w:val="0"/>
          <w:sz w:val="24"/>
          <w:szCs w:val="24"/>
          <w:highlight w:val="none"/>
        </w:rPr>
      </w:pPr>
      <w:bookmarkStart w:id="213" w:name="_Toc3748"/>
      <w:bookmarkStart w:id="214" w:name="_Toc75805181"/>
      <w:bookmarkStart w:id="215" w:name="_Toc54091927"/>
      <w:r>
        <w:rPr>
          <w:rFonts w:hint="eastAsia" w:cs="宋体"/>
          <w:b/>
          <w:color w:val="auto"/>
          <w:kern w:val="0"/>
          <w:sz w:val="24"/>
          <w:szCs w:val="24"/>
          <w:highlight w:val="none"/>
        </w:rPr>
        <w:t>五、服务质量考核管理</w:t>
      </w:r>
      <w:bookmarkEnd w:id="213"/>
      <w:bookmarkEnd w:id="214"/>
      <w:bookmarkEnd w:id="215"/>
      <w:r>
        <w:rPr>
          <w:rFonts w:hint="eastAsia" w:cs="宋体"/>
          <w:b/>
          <w:color w:val="auto"/>
          <w:kern w:val="0"/>
          <w:sz w:val="24"/>
          <w:szCs w:val="24"/>
          <w:highlight w:val="none"/>
        </w:rPr>
        <w:t xml:space="preserve"> </w:t>
      </w:r>
    </w:p>
    <w:p w14:paraId="10DF588A">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中标人在服务期限内由采购人按照采购单位相关考核细则及处罚条款、上级部门环保检查要求等进行考核管理，</w:t>
      </w:r>
      <w:r>
        <w:rPr>
          <w:rFonts w:hint="eastAsia" w:ascii="宋体" w:hAnsi="宋体" w:cs="宋体"/>
          <w:color w:val="auto"/>
          <w:sz w:val="24"/>
          <w:szCs w:val="24"/>
          <w:highlight w:val="none"/>
        </w:rPr>
        <w:t>因中标人原因造成的环保超标或其它原因的处罚和一切损失，由中标人承担，并扣罚当月处置费用500元/吨。</w:t>
      </w:r>
    </w:p>
    <w:p w14:paraId="3B49668B">
      <w:pPr>
        <w:pStyle w:val="4"/>
        <w:spacing w:line="400" w:lineRule="exact"/>
        <w:ind w:firstLine="482" w:firstLineChars="200"/>
        <w:rPr>
          <w:rFonts w:cs="宋体"/>
          <w:b/>
          <w:color w:val="auto"/>
          <w:sz w:val="24"/>
          <w:szCs w:val="24"/>
          <w:highlight w:val="none"/>
        </w:rPr>
      </w:pPr>
      <w:bookmarkStart w:id="216" w:name="_Toc31499"/>
      <w:bookmarkStart w:id="217" w:name="_Toc75805182"/>
      <w:bookmarkStart w:id="218" w:name="_Toc54091928"/>
      <w:r>
        <w:rPr>
          <w:rFonts w:hint="eastAsia" w:cs="宋体"/>
          <w:b/>
          <w:color w:val="auto"/>
          <w:sz w:val="24"/>
          <w:szCs w:val="24"/>
          <w:highlight w:val="none"/>
        </w:rPr>
        <w:t>六、项目服务承诺</w:t>
      </w:r>
      <w:bookmarkEnd w:id="216"/>
      <w:bookmarkEnd w:id="217"/>
      <w:bookmarkEnd w:id="218"/>
    </w:p>
    <w:p w14:paraId="2C444512">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（一）中标人承诺服务期内严格执行招标文件要求的各项服务管理办法、规定以及响应承诺服务条件；</w:t>
      </w:r>
    </w:p>
    <w:p w14:paraId="7DE83F8D">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（二）中标人承诺执行国家《劳动法》颁布的各项条款及规定，不得擅自解除员工劳动合同，确保服务质量的稳定性；</w:t>
      </w:r>
    </w:p>
    <w:p w14:paraId="5941D2B8">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（三）中标人服务期内，本项目所有服务内容不得外包、转让或以其他形式变更招标服务主体；出现重大经营、变更事件应提前30个日历日告知采购人；</w:t>
      </w:r>
    </w:p>
    <w:p w14:paraId="31674626">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（四）服务期内，因中标人经营管理不善引起的安全责任事故及履约服务中的经济责任由中标人承担；</w:t>
      </w:r>
    </w:p>
    <w:p w14:paraId="3FFDDA07">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（五）中标人服务期内不得擅自（变相）降低（响应承诺）标准、服务质量；</w:t>
      </w:r>
    </w:p>
    <w:p w14:paraId="28DDEACE">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（六）中标人服务期内承诺必须严格执行国家政策法规；</w:t>
      </w:r>
    </w:p>
    <w:p w14:paraId="6ACF024C">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（七）服务期内中标人如出现管理质量问题或受合理投诉，采购人有权视情况对其违规行为进行要求整改、扣除当月服务费用并由中标人承担一切损失和责任。</w:t>
      </w:r>
    </w:p>
    <w:p w14:paraId="1DF3AB1B">
      <w:pPr>
        <w:snapToGrid w:val="0"/>
        <w:spacing w:line="400" w:lineRule="exact"/>
        <w:ind w:firstLine="480" w:firstLineChars="200"/>
        <w:rPr>
          <w:rFonts w:ascii="宋体" w:hAnsi="宋体" w:cs="宋体"/>
          <w:color w:val="auto"/>
          <w:highlight w:val="none"/>
        </w:rPr>
      </w:pPr>
      <w:r>
        <w:rPr>
          <w:rFonts w:hint="eastAsia" w:ascii="宋体" w:hAnsi="宋体" w:cs="宋体"/>
          <w:color w:val="auto"/>
          <w:kern w:val="0"/>
          <w:sz w:val="24"/>
          <w:szCs w:val="24"/>
          <w:highlight w:val="none"/>
        </w:rPr>
        <w:t>（八）服务期内，中标人各级人员严格服从采购人相关部门的管理，对于不服从管理的采购人有权无条件要求更换人员。</w:t>
      </w:r>
    </w:p>
    <w:p w14:paraId="0D84A7E7">
      <w:pPr>
        <w:pStyle w:val="4"/>
        <w:spacing w:line="400" w:lineRule="exact"/>
        <w:ind w:firstLine="482" w:firstLineChars="200"/>
        <w:rPr>
          <w:rFonts w:cs="宋体"/>
          <w:b/>
          <w:color w:val="auto"/>
          <w:sz w:val="24"/>
          <w:szCs w:val="24"/>
          <w:highlight w:val="none"/>
        </w:rPr>
      </w:pPr>
      <w:bookmarkStart w:id="219" w:name="_Toc29025"/>
      <w:bookmarkStart w:id="220" w:name="_Toc75805183"/>
      <w:bookmarkStart w:id="221" w:name="_Toc54091929"/>
      <w:r>
        <w:rPr>
          <w:rFonts w:hint="eastAsia" w:cs="宋体"/>
          <w:b/>
          <w:color w:val="auto"/>
          <w:sz w:val="24"/>
          <w:szCs w:val="24"/>
          <w:highlight w:val="none"/>
        </w:rPr>
        <w:t>七、其他商务要求内容及说明</w:t>
      </w:r>
      <w:bookmarkEnd w:id="219"/>
      <w:bookmarkEnd w:id="220"/>
      <w:bookmarkEnd w:id="221"/>
    </w:p>
    <w:p w14:paraId="116D5DB2">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（一）中标人须严格按照标准化的操作程序、完善的培训体系和质量控制体系完成本项目，以保证整个项目安全、高效、有序和有计划地运转。</w:t>
      </w:r>
    </w:p>
    <w:p w14:paraId="66D5DFCD">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二）中标人自行负责其招聘员工的一切工资、福利；如发生工伤、疾病乃至死亡的一切责任及费用由中标人全部负责；中标人应严格遵守国家有关的法律、法规及行业标准。因中标人违反《劳动法》等法律法规而造成医院的连带责任和损失全部由中标人承担。 </w:t>
      </w:r>
    </w:p>
    <w:p w14:paraId="5EBDDAB7">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（三）全部服务人员的工作时间应严格按国家有关法律、法规要求的标准执行，因工作原因产生的加班（含节假日加班）应由中标人严格按国家有关法律、法规要求的标准给付员工加班薪资。</w:t>
      </w:r>
    </w:p>
    <w:p w14:paraId="112AE0F4">
      <w:pPr>
        <w:spacing w:line="360" w:lineRule="auto"/>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rPr>
        <w:t>（四）中标人必须购买公共责任险和员工意外保险，在工作时间内所发生的工伤等意外事故如高空坠落、机具伤害、触电、有毒有害药品、气体中毒等一切安全事故，采购人均不承担任何经济责任和法律责任</w:t>
      </w:r>
      <w:r>
        <w:rPr>
          <w:rFonts w:hint="eastAsia" w:ascii="宋体" w:hAnsi="宋体" w:cs="宋体"/>
          <w:color w:val="auto"/>
          <w:sz w:val="24"/>
          <w:szCs w:val="24"/>
          <w:highlight w:val="none"/>
        </w:rPr>
        <w:t>。</w:t>
      </w:r>
    </w:p>
    <w:p w14:paraId="7EB24232">
      <w:pPr>
        <w:pStyle w:val="3"/>
        <w:spacing w:beforeLines="0" w:afterLines="0" w:line="240" w:lineRule="auto"/>
        <w:rPr>
          <w:rFonts w:ascii="宋体" w:hAnsi="宋体" w:eastAsia="宋体" w:cs="宋体"/>
          <w:b/>
          <w:color w:val="auto"/>
          <w:highlight w:val="none"/>
        </w:rPr>
      </w:pPr>
      <w:bookmarkStart w:id="222" w:name="_Toc2487"/>
      <w:bookmarkStart w:id="223" w:name="_Toc25903"/>
      <w:bookmarkStart w:id="224" w:name="_Toc2406"/>
      <w:bookmarkStart w:id="225" w:name="_Toc15693"/>
      <w:bookmarkStart w:id="226" w:name="_Toc30067"/>
      <w:bookmarkStart w:id="227" w:name="_Toc75793517"/>
      <w:bookmarkStart w:id="228" w:name="_Toc25911"/>
      <w:bookmarkStart w:id="229" w:name="_Toc22763"/>
      <w:bookmarkStart w:id="230" w:name="_Toc25165"/>
      <w:bookmarkStart w:id="231" w:name="_Toc23377"/>
      <w:bookmarkStart w:id="232" w:name="_Toc8133"/>
      <w:bookmarkStart w:id="233" w:name="_Toc11875"/>
      <w:bookmarkStart w:id="234" w:name="_Toc24966"/>
      <w:bookmarkStart w:id="235" w:name="_Toc3339"/>
      <w:bookmarkStart w:id="236" w:name="_Toc25711"/>
      <w:r>
        <w:rPr>
          <w:rFonts w:hint="eastAsia" w:ascii="宋体" w:hAnsi="宋体" w:eastAsia="宋体" w:cs="宋体"/>
          <w:b/>
          <w:color w:val="auto"/>
          <w:highlight w:val="none"/>
        </w:rPr>
        <w:t xml:space="preserve">第四篇  </w:t>
      </w:r>
      <w:bookmarkEnd w:id="203"/>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rFonts w:hint="eastAsia" w:ascii="宋体" w:hAnsi="宋体" w:eastAsia="宋体" w:cs="宋体"/>
          <w:b/>
          <w:color w:val="auto"/>
          <w:highlight w:val="none"/>
        </w:rPr>
        <w:t>磋商程序及方法、评审标准、无效响应和采购终止</w:t>
      </w:r>
      <w:bookmarkEnd w:id="236"/>
    </w:p>
    <w:p w14:paraId="2B3607E2">
      <w:pPr>
        <w:pStyle w:val="4"/>
        <w:adjustRightInd w:val="0"/>
        <w:snapToGrid w:val="0"/>
        <w:spacing w:before="0" w:after="0" w:line="400" w:lineRule="exact"/>
        <w:ind w:firstLine="482" w:firstLineChars="200"/>
        <w:rPr>
          <w:rFonts w:hint="eastAsia" w:ascii="宋体" w:hAnsi="宋体" w:eastAsia="宋体" w:cs="宋体"/>
          <w:b/>
          <w:bCs/>
          <w:color w:val="auto"/>
          <w:sz w:val="24"/>
          <w:highlight w:val="none"/>
        </w:rPr>
      </w:pPr>
      <w:bookmarkStart w:id="237" w:name="_Toc12036"/>
      <w:bookmarkStart w:id="238" w:name="_Toc106030888"/>
      <w:bookmarkStart w:id="239" w:name="_Toc76462333"/>
      <w:r>
        <w:rPr>
          <w:rFonts w:hint="eastAsia" w:ascii="宋体" w:hAnsi="宋体" w:eastAsia="宋体" w:cs="宋体"/>
          <w:b/>
          <w:bCs/>
          <w:color w:val="auto"/>
          <w:sz w:val="24"/>
          <w:highlight w:val="none"/>
        </w:rPr>
        <w:t>一、磋商程序及方法</w:t>
      </w:r>
      <w:bookmarkEnd w:id="237"/>
      <w:bookmarkEnd w:id="238"/>
      <w:bookmarkEnd w:id="239"/>
    </w:p>
    <w:p w14:paraId="4C34D08D">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（一）磋商按竞争性磋商文件规定的时间和地点进行，由本项目依法组建的竞争性磋商小组（以下简称磋商小组）</w:t>
      </w:r>
      <w:r>
        <w:rPr>
          <w:rFonts w:hint="eastAsia" w:ascii="宋体" w:hAnsi="宋体" w:cs="宋体"/>
          <w:color w:val="auto"/>
          <w:sz w:val="24"/>
          <w:szCs w:val="24"/>
          <w:highlight w:val="none"/>
          <w:lang w:val="en-US" w:eastAsia="zh-CN"/>
        </w:rPr>
        <w:t>进行。</w:t>
      </w:r>
    </w:p>
    <w:p w14:paraId="2B3517D5">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（二）磋商小组对各供应商的资格条件、响应文件的有效性、完整性和响应程度进行审查。各供应商只有在完全符合要求的前提下，才能参与正式磋商。</w:t>
      </w:r>
    </w:p>
    <w:p w14:paraId="38B59A4E">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1.</w:t>
      </w:r>
      <w:r>
        <w:rPr>
          <w:rFonts w:hint="eastAsia" w:ascii="宋体" w:hAnsi="宋体" w:cs="宋体"/>
          <w:color w:val="auto"/>
          <w:kern w:val="0"/>
          <w:sz w:val="24"/>
          <w:szCs w:val="24"/>
          <w:highlight w:val="none"/>
        </w:rPr>
        <w:t>资格性审查。依据法律法规和竞争性磋商文件的规定，对响应文件中的资格证明、等进行审查，以确定供应商是否具备磋商资格。资格性审查资料表如下：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827"/>
        <w:gridCol w:w="4984"/>
      </w:tblGrid>
      <w:tr w14:paraId="0518E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4DCBE5CD">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827" w:type="dxa"/>
            <w:noWrap/>
            <w:vAlign w:val="center"/>
          </w:tcPr>
          <w:p w14:paraId="7E2061EB">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检查因素</w:t>
            </w:r>
          </w:p>
        </w:tc>
        <w:tc>
          <w:tcPr>
            <w:tcW w:w="4984" w:type="dxa"/>
            <w:noWrap/>
            <w:vAlign w:val="center"/>
          </w:tcPr>
          <w:p w14:paraId="79455E64">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检查内容</w:t>
            </w:r>
          </w:p>
        </w:tc>
      </w:tr>
      <w:tr w14:paraId="10C7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ign w:val="center"/>
          </w:tcPr>
          <w:p w14:paraId="6B02B4B4">
            <w:pPr>
              <w:jc w:val="center"/>
              <w:rPr>
                <w:rFonts w:ascii="宋体" w:hAnsi="宋体" w:cs="宋体"/>
                <w:color w:val="auto"/>
                <w:sz w:val="21"/>
                <w:szCs w:val="21"/>
                <w:highlight w:val="none"/>
              </w:rPr>
            </w:pPr>
            <w:r>
              <w:rPr>
                <w:rFonts w:hint="eastAsia" w:ascii="宋体" w:hAnsi="宋体" w:cs="宋体"/>
                <w:color w:val="auto"/>
                <w:sz w:val="21"/>
                <w:szCs w:val="21"/>
                <w:highlight w:val="none"/>
              </w:rPr>
              <w:t>（一）</w:t>
            </w:r>
          </w:p>
        </w:tc>
        <w:tc>
          <w:tcPr>
            <w:tcW w:w="3827" w:type="dxa"/>
            <w:noWrap/>
            <w:vAlign w:val="center"/>
          </w:tcPr>
          <w:p w14:paraId="3B60C61C">
            <w:pPr>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tc>
        <w:tc>
          <w:tcPr>
            <w:tcW w:w="4984" w:type="dxa"/>
            <w:noWrap/>
            <w:vAlign w:val="center"/>
          </w:tcPr>
          <w:p w14:paraId="1855DF1D">
            <w:pPr>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 xml:space="preserve">法人营业执照（副本）或事业单位法人证书（副本）或个体工商户营业执照或有效的自然人身份证明或社会团体法人登记证书（提供复印件）。 </w:t>
            </w:r>
          </w:p>
          <w:p w14:paraId="56535B03">
            <w:pPr>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法定代表人身份证明和法定代表人授权代表委托书。</w:t>
            </w:r>
          </w:p>
        </w:tc>
      </w:tr>
      <w:tr w14:paraId="1B46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0E23D49D">
            <w:pPr>
              <w:jc w:val="center"/>
              <w:rPr>
                <w:rFonts w:ascii="宋体" w:hAnsi="宋体" w:cs="宋体"/>
                <w:color w:val="auto"/>
                <w:sz w:val="21"/>
                <w:szCs w:val="21"/>
                <w:highlight w:val="none"/>
              </w:rPr>
            </w:pPr>
          </w:p>
        </w:tc>
        <w:tc>
          <w:tcPr>
            <w:tcW w:w="3827" w:type="dxa"/>
            <w:noWrap/>
            <w:vAlign w:val="center"/>
          </w:tcPr>
          <w:p w14:paraId="646A138A">
            <w:pPr>
              <w:rPr>
                <w:rFonts w:ascii="宋体" w:hAnsi="宋体" w:cs="宋体"/>
                <w:color w:val="auto"/>
                <w:sz w:val="21"/>
                <w:szCs w:val="21"/>
                <w:highlight w:val="none"/>
              </w:rPr>
            </w:pP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具有良好的商业信誉和健全的财务会计制度</w:t>
            </w:r>
          </w:p>
        </w:tc>
        <w:tc>
          <w:tcPr>
            <w:tcW w:w="4984" w:type="dxa"/>
            <w:vMerge w:val="restart"/>
            <w:noWrap/>
            <w:vAlign w:val="center"/>
          </w:tcPr>
          <w:p w14:paraId="15F7E9E5">
            <w:pPr>
              <w:rPr>
                <w:rFonts w:ascii="宋体" w:hAnsi="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提供“基本资格条件承诺函”（格式详见第七篇）</w:t>
            </w:r>
          </w:p>
          <w:p w14:paraId="0F03916D">
            <w:pPr>
              <w:rPr>
                <w:rFonts w:ascii="宋体" w:hAnsi="宋体" w:cs="宋体"/>
                <w:b/>
                <w:color w:val="auto"/>
                <w:sz w:val="21"/>
                <w:szCs w:val="21"/>
                <w:highlight w:val="none"/>
              </w:rPr>
            </w:pPr>
          </w:p>
        </w:tc>
      </w:tr>
      <w:tr w14:paraId="71BE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0211676A">
            <w:pPr>
              <w:jc w:val="center"/>
              <w:rPr>
                <w:rFonts w:ascii="宋体" w:hAnsi="宋体" w:cs="宋体"/>
                <w:color w:val="auto"/>
                <w:sz w:val="21"/>
                <w:szCs w:val="21"/>
                <w:highlight w:val="none"/>
              </w:rPr>
            </w:pPr>
          </w:p>
        </w:tc>
        <w:tc>
          <w:tcPr>
            <w:tcW w:w="3827" w:type="dxa"/>
            <w:noWrap/>
            <w:vAlign w:val="center"/>
          </w:tcPr>
          <w:p w14:paraId="72112089">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3.具有履行合同所必需的设备和专业技术能力</w:t>
            </w:r>
          </w:p>
        </w:tc>
        <w:tc>
          <w:tcPr>
            <w:tcW w:w="4984" w:type="dxa"/>
            <w:vMerge w:val="continue"/>
            <w:noWrap/>
            <w:vAlign w:val="center"/>
          </w:tcPr>
          <w:p w14:paraId="111541BD">
            <w:pPr>
              <w:rPr>
                <w:rFonts w:ascii="宋体" w:hAnsi="宋体" w:cs="宋体"/>
                <w:color w:val="auto"/>
                <w:sz w:val="21"/>
                <w:szCs w:val="21"/>
                <w:highlight w:val="none"/>
              </w:rPr>
            </w:pPr>
          </w:p>
        </w:tc>
      </w:tr>
      <w:tr w14:paraId="298F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3F635438">
            <w:pPr>
              <w:jc w:val="center"/>
              <w:rPr>
                <w:rFonts w:ascii="宋体" w:hAnsi="宋体" w:cs="宋体"/>
                <w:color w:val="auto"/>
                <w:sz w:val="21"/>
                <w:szCs w:val="21"/>
                <w:highlight w:val="none"/>
              </w:rPr>
            </w:pPr>
          </w:p>
        </w:tc>
        <w:tc>
          <w:tcPr>
            <w:tcW w:w="3827" w:type="dxa"/>
            <w:noWrap/>
            <w:vAlign w:val="center"/>
          </w:tcPr>
          <w:p w14:paraId="4D730458">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4.有依法缴纳税收和社会保障金的良好记录</w:t>
            </w:r>
          </w:p>
        </w:tc>
        <w:tc>
          <w:tcPr>
            <w:tcW w:w="4984" w:type="dxa"/>
            <w:vMerge w:val="continue"/>
            <w:noWrap/>
            <w:vAlign w:val="center"/>
          </w:tcPr>
          <w:p w14:paraId="457E5703">
            <w:pPr>
              <w:rPr>
                <w:rFonts w:ascii="宋体" w:hAnsi="宋体" w:cs="宋体"/>
                <w:color w:val="auto"/>
                <w:sz w:val="21"/>
                <w:szCs w:val="21"/>
                <w:highlight w:val="none"/>
              </w:rPr>
            </w:pPr>
          </w:p>
        </w:tc>
      </w:tr>
      <w:tr w14:paraId="299F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07E1FAE6">
            <w:pPr>
              <w:jc w:val="center"/>
              <w:rPr>
                <w:rFonts w:ascii="宋体" w:hAnsi="宋体" w:cs="宋体"/>
                <w:color w:val="auto"/>
                <w:sz w:val="21"/>
                <w:szCs w:val="21"/>
                <w:highlight w:val="none"/>
              </w:rPr>
            </w:pPr>
          </w:p>
        </w:tc>
        <w:tc>
          <w:tcPr>
            <w:tcW w:w="3827" w:type="dxa"/>
            <w:noWrap/>
            <w:vAlign w:val="center"/>
          </w:tcPr>
          <w:p w14:paraId="3A710640">
            <w:pPr>
              <w:rPr>
                <w:rFonts w:ascii="宋体" w:hAnsi="宋体" w:cs="宋体"/>
                <w:color w:val="auto"/>
                <w:sz w:val="21"/>
                <w:szCs w:val="21"/>
                <w:highlight w:val="none"/>
                <w:lang w:val="zh-CN"/>
              </w:rPr>
            </w:pPr>
            <w:r>
              <w:rPr>
                <w:rFonts w:hint="eastAsia" w:ascii="宋体" w:hAnsi="宋体" w:cs="宋体"/>
                <w:color w:val="auto"/>
                <w:sz w:val="21"/>
                <w:szCs w:val="21"/>
                <w:highlight w:val="none"/>
              </w:rPr>
              <w:t>5.参加采购活动前三年内，在经营活动中没有重大违法记录（注</w:t>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EQ \o\ac(○,</w:instrText>
            </w:r>
            <w:r>
              <w:rPr>
                <w:rFonts w:hint="eastAsia" w:ascii="宋体" w:hAnsi="宋体" w:cs="宋体"/>
                <w:color w:val="auto"/>
                <w:position w:val="2"/>
                <w:sz w:val="14"/>
                <w:szCs w:val="21"/>
                <w:highlight w:val="none"/>
              </w:rPr>
              <w:instrText xml:space="preserve">1</w:instrText>
            </w:r>
            <w:r>
              <w:rPr>
                <w:rFonts w:hint="eastAsia" w:ascii="宋体" w:hAnsi="宋体" w:cs="宋体"/>
                <w:color w:val="auto"/>
                <w:sz w:val="21"/>
                <w:szCs w:val="21"/>
                <w:highlight w:val="none"/>
              </w:rPr>
              <w:instrText xml:space="preserve">)</w:instrTex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w:t>
            </w:r>
          </w:p>
        </w:tc>
        <w:tc>
          <w:tcPr>
            <w:tcW w:w="4984" w:type="dxa"/>
            <w:vMerge w:val="continue"/>
            <w:noWrap/>
            <w:vAlign w:val="center"/>
          </w:tcPr>
          <w:p w14:paraId="4DB7D8E2">
            <w:pPr>
              <w:rPr>
                <w:rFonts w:ascii="宋体" w:hAnsi="宋体" w:cs="宋体"/>
                <w:b/>
                <w:color w:val="auto"/>
                <w:sz w:val="21"/>
                <w:szCs w:val="21"/>
                <w:highlight w:val="none"/>
              </w:rPr>
            </w:pPr>
          </w:p>
        </w:tc>
      </w:tr>
      <w:tr w14:paraId="58E94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ign w:val="center"/>
          </w:tcPr>
          <w:p w14:paraId="202C2AE7">
            <w:pPr>
              <w:jc w:val="center"/>
              <w:rPr>
                <w:rFonts w:ascii="宋体" w:hAnsi="宋体" w:cs="宋体"/>
                <w:color w:val="auto"/>
                <w:sz w:val="21"/>
                <w:szCs w:val="21"/>
                <w:highlight w:val="none"/>
              </w:rPr>
            </w:pPr>
          </w:p>
        </w:tc>
        <w:tc>
          <w:tcPr>
            <w:tcW w:w="3827" w:type="dxa"/>
            <w:noWrap/>
            <w:vAlign w:val="center"/>
          </w:tcPr>
          <w:p w14:paraId="6E459488">
            <w:pPr>
              <w:rPr>
                <w:rFonts w:ascii="宋体" w:hAnsi="宋体" w:cs="宋体"/>
                <w:color w:val="auto"/>
                <w:sz w:val="21"/>
                <w:szCs w:val="21"/>
                <w:highlight w:val="none"/>
              </w:rPr>
            </w:pPr>
            <w:r>
              <w:rPr>
                <w:rFonts w:hint="eastAsia" w:ascii="宋体" w:hAnsi="宋体" w:cs="宋体"/>
                <w:color w:val="auto"/>
                <w:sz w:val="21"/>
                <w:szCs w:val="21"/>
                <w:highlight w:val="none"/>
              </w:rPr>
              <w:t>6.法律、行政法规规定的其他条件</w:t>
            </w:r>
          </w:p>
        </w:tc>
        <w:tc>
          <w:tcPr>
            <w:tcW w:w="4984" w:type="dxa"/>
            <w:noWrap/>
            <w:vAlign w:val="center"/>
          </w:tcPr>
          <w:p w14:paraId="5404F564">
            <w:pPr>
              <w:rPr>
                <w:rFonts w:ascii="宋体" w:hAnsi="宋体" w:cs="宋体"/>
                <w:color w:val="auto"/>
                <w:sz w:val="21"/>
                <w:szCs w:val="21"/>
                <w:highlight w:val="none"/>
              </w:rPr>
            </w:pPr>
          </w:p>
        </w:tc>
      </w:tr>
      <w:tr w14:paraId="7BE7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ign w:val="center"/>
          </w:tcPr>
          <w:p w14:paraId="18F54599">
            <w:pPr>
              <w:jc w:val="center"/>
              <w:rPr>
                <w:rFonts w:ascii="宋体" w:hAnsi="宋体" w:cs="宋体"/>
                <w:color w:val="auto"/>
                <w:sz w:val="21"/>
                <w:szCs w:val="21"/>
                <w:highlight w:val="none"/>
              </w:rPr>
            </w:pPr>
          </w:p>
        </w:tc>
        <w:tc>
          <w:tcPr>
            <w:tcW w:w="3827" w:type="dxa"/>
            <w:noWrap/>
            <w:vAlign w:val="center"/>
          </w:tcPr>
          <w:p w14:paraId="5DE08178">
            <w:pPr>
              <w:rPr>
                <w:rFonts w:ascii="宋体" w:hAnsi="宋体" w:cs="宋体"/>
                <w:color w:val="auto"/>
                <w:sz w:val="21"/>
                <w:szCs w:val="21"/>
                <w:highlight w:val="none"/>
              </w:rPr>
            </w:pPr>
            <w:r>
              <w:rPr>
                <w:rFonts w:hint="eastAsia" w:ascii="宋体" w:hAnsi="宋体" w:cs="宋体"/>
                <w:color w:val="auto"/>
                <w:sz w:val="21"/>
                <w:szCs w:val="21"/>
                <w:highlight w:val="none"/>
              </w:rPr>
              <w:t>7.本项目的特定资格要求</w:t>
            </w:r>
          </w:p>
        </w:tc>
        <w:tc>
          <w:tcPr>
            <w:tcW w:w="4984" w:type="dxa"/>
            <w:noWrap/>
            <w:vAlign w:val="center"/>
          </w:tcPr>
          <w:p w14:paraId="4540034C">
            <w:pPr>
              <w:rPr>
                <w:rFonts w:ascii="宋体" w:hAnsi="宋体" w:cs="宋体"/>
                <w:color w:val="auto"/>
                <w:sz w:val="21"/>
                <w:szCs w:val="21"/>
                <w:highlight w:val="none"/>
              </w:rPr>
            </w:pPr>
            <w:r>
              <w:rPr>
                <w:rFonts w:hint="eastAsia" w:ascii="宋体" w:hAnsi="宋体" w:cs="宋体"/>
                <w:color w:val="auto"/>
                <w:sz w:val="21"/>
                <w:szCs w:val="21"/>
                <w:highlight w:val="none"/>
              </w:rPr>
              <w:t>按第一篇“三、</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资格要求（二）本项目的特定资格要求”的要求提交（如果有）。</w:t>
            </w:r>
          </w:p>
        </w:tc>
      </w:tr>
      <w:tr w14:paraId="35FA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noWrap/>
            <w:vAlign w:val="center"/>
          </w:tcPr>
          <w:p w14:paraId="7E01C25D">
            <w:pPr>
              <w:jc w:val="center"/>
              <w:rPr>
                <w:rFonts w:ascii="宋体" w:hAnsi="宋体" w:cs="宋体"/>
                <w:color w:val="auto"/>
                <w:sz w:val="21"/>
                <w:szCs w:val="21"/>
                <w:highlight w:val="none"/>
              </w:rPr>
            </w:pPr>
            <w:r>
              <w:rPr>
                <w:rFonts w:hint="eastAsia" w:ascii="宋体" w:hAnsi="宋体" w:cs="宋体"/>
                <w:color w:val="auto"/>
                <w:sz w:val="21"/>
                <w:szCs w:val="21"/>
                <w:highlight w:val="none"/>
              </w:rPr>
              <w:t>（二）</w:t>
            </w:r>
          </w:p>
        </w:tc>
        <w:tc>
          <w:tcPr>
            <w:tcW w:w="3827" w:type="dxa"/>
            <w:noWrap/>
            <w:vAlign w:val="center"/>
          </w:tcPr>
          <w:p w14:paraId="4F2380A9">
            <w:pP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cs="宋体"/>
                <w:color w:val="auto"/>
                <w:sz w:val="21"/>
                <w:szCs w:val="21"/>
                <w:highlight w:val="none"/>
              </w:rPr>
              <w:t>保证金</w:t>
            </w:r>
          </w:p>
        </w:tc>
        <w:tc>
          <w:tcPr>
            <w:tcW w:w="4984" w:type="dxa"/>
            <w:noWrap/>
            <w:vAlign w:val="center"/>
          </w:tcPr>
          <w:p w14:paraId="20FC49C0">
            <w:pPr>
              <w:rPr>
                <w:rFonts w:ascii="宋体" w:hAnsi="宋体" w:cs="宋体"/>
                <w:color w:val="auto"/>
                <w:sz w:val="21"/>
                <w:szCs w:val="21"/>
                <w:highlight w:val="none"/>
              </w:rPr>
            </w:pPr>
            <w:r>
              <w:rPr>
                <w:rFonts w:hint="eastAsia" w:ascii="宋体" w:hAnsi="宋体" w:cs="宋体"/>
                <w:color w:val="auto"/>
                <w:sz w:val="21"/>
                <w:szCs w:val="21"/>
                <w:highlight w:val="none"/>
              </w:rPr>
              <w:t>按照招标文件要求足额交纳所投包的</w:t>
            </w:r>
            <w:r>
              <w:rPr>
                <w:rFonts w:hint="eastAsia" w:ascii="宋体" w:hAnsi="宋体" w:cs="宋体"/>
                <w:color w:val="auto"/>
                <w:sz w:val="21"/>
                <w:szCs w:val="21"/>
                <w:highlight w:val="none"/>
                <w:lang w:val="en-US" w:eastAsia="zh-CN"/>
              </w:rPr>
              <w:t>磋商</w:t>
            </w:r>
            <w:r>
              <w:rPr>
                <w:rFonts w:hint="eastAsia" w:ascii="宋体" w:hAnsi="宋体" w:cs="宋体"/>
                <w:color w:val="auto"/>
                <w:sz w:val="21"/>
                <w:szCs w:val="21"/>
                <w:highlight w:val="none"/>
              </w:rPr>
              <w:t>保证金。</w:t>
            </w:r>
          </w:p>
        </w:tc>
      </w:tr>
    </w:tbl>
    <w:p w14:paraId="5093467E">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14:paraId="618E8D68">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fldChar w:fldCharType="begin"/>
      </w:r>
      <w:r>
        <w:rPr>
          <w:rFonts w:hint="eastAsia" w:ascii="宋体" w:hAnsi="宋体" w:cs="宋体"/>
          <w:color w:val="auto"/>
          <w:kern w:val="0"/>
          <w:sz w:val="24"/>
          <w:szCs w:val="24"/>
          <w:highlight w:val="none"/>
        </w:rPr>
        <w:instrText xml:space="preserve"> eq \o\ac(○,</w:instrText>
      </w:r>
      <w:r>
        <w:rPr>
          <w:rFonts w:hint="eastAsia" w:ascii="宋体" w:hAnsi="宋体" w:cs="宋体"/>
          <w:color w:val="auto"/>
          <w:kern w:val="0"/>
          <w:position w:val="3"/>
          <w:sz w:val="16"/>
          <w:szCs w:val="24"/>
          <w:highlight w:val="none"/>
        </w:rPr>
        <w:instrText xml:space="preserve">1</w:instrText>
      </w:r>
      <w:r>
        <w:rPr>
          <w:rFonts w:hint="eastAsia" w:ascii="宋体" w:hAnsi="宋体" w:cs="宋体"/>
          <w:color w:val="auto"/>
          <w:kern w:val="0"/>
          <w:sz w:val="24"/>
          <w:szCs w:val="24"/>
          <w:highlight w:val="none"/>
        </w:rPr>
        <w:instrText xml:space="preserve">)</w:instrText>
      </w:r>
      <w:r>
        <w:rPr>
          <w:rFonts w:hint="eastAsia" w:ascii="宋体" w:hAnsi="宋体" w:cs="宋体"/>
          <w:color w:val="auto"/>
          <w:kern w:val="0"/>
          <w:sz w:val="24"/>
          <w:szCs w:val="24"/>
          <w:highlight w:val="none"/>
        </w:rPr>
        <w:fldChar w:fldCharType="end"/>
      </w:r>
      <w:r>
        <w:rPr>
          <w:rFonts w:hint="eastAsia" w:ascii="宋体" w:hAnsi="宋体" w:cs="宋体"/>
          <w:color w:val="auto"/>
          <w:kern w:val="0"/>
          <w:sz w:val="24"/>
          <w:szCs w:val="24"/>
          <w:highlight w:val="none"/>
        </w:rPr>
        <w:t>根据《中华人民共和国政府采购法实施条例》第十九条“参加采购活动前三年内，在经营活动中没有重大违法记录”中“重大违法记录”，是指</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可于投标截止日期前通过 “信用中国”网站(www.creditchina.gov.cn)、"中国政府采购网"(www.ccgp.gov.cn)等渠道查询信用记录。</w:t>
      </w:r>
    </w:p>
    <w:p w14:paraId="5FF6E102">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b/>
          <w:color w:val="auto"/>
          <w:kern w:val="0"/>
          <w:sz w:val="24"/>
          <w:szCs w:val="24"/>
          <w:highlight w:val="none"/>
        </w:rPr>
        <w:t>二</w:t>
      </w:r>
      <w:r>
        <w:rPr>
          <w:rFonts w:hint="eastAsia" w:ascii="宋体" w:hAnsi="宋体" w:cs="宋体"/>
          <w:color w:val="auto"/>
          <w:kern w:val="0"/>
          <w:sz w:val="24"/>
          <w:szCs w:val="24"/>
          <w:highlight w:val="none"/>
        </w:rPr>
        <w:t>）符合性审查</w:t>
      </w:r>
    </w:p>
    <w:p w14:paraId="1C017AA3">
      <w:pPr>
        <w:snapToGrid w:val="0"/>
        <w:spacing w:line="40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依据竞争性磋商文件的规定，从响应文件的有效性、完整性和对竞争性磋商文件的响应程度进行审查，以确定是否对竞争性磋商文件的实质性要求作出响应。符合性审查资料表如下</w:t>
      </w:r>
      <w:r>
        <w:rPr>
          <w:rFonts w:hint="eastAsia" w:ascii="宋体" w:hAnsi="宋体" w:cs="宋体"/>
          <w:color w:val="auto"/>
          <w:kern w:val="0"/>
          <w:sz w:val="24"/>
          <w:szCs w:val="24"/>
          <w:highlight w:val="none"/>
          <w:lang w:eastAsia="zh-CN"/>
        </w:rPr>
        <w:t>：</w:t>
      </w:r>
    </w:p>
    <w:tbl>
      <w:tblPr>
        <w:tblStyle w:val="20"/>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557"/>
        <w:gridCol w:w="5836"/>
      </w:tblGrid>
      <w:tr w14:paraId="7131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ign w:val="center"/>
          </w:tcPr>
          <w:p w14:paraId="78119D01">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3119" w:type="dxa"/>
            <w:gridSpan w:val="2"/>
            <w:noWrap/>
            <w:vAlign w:val="center"/>
          </w:tcPr>
          <w:p w14:paraId="48703E47">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评审因素</w:t>
            </w:r>
          </w:p>
        </w:tc>
        <w:tc>
          <w:tcPr>
            <w:tcW w:w="5836" w:type="dxa"/>
            <w:noWrap/>
            <w:vAlign w:val="center"/>
          </w:tcPr>
          <w:p w14:paraId="08AD6DE8">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评审标准</w:t>
            </w:r>
          </w:p>
        </w:tc>
      </w:tr>
      <w:tr w14:paraId="64DFA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noWrap/>
            <w:vAlign w:val="center"/>
          </w:tcPr>
          <w:p w14:paraId="1F49CBCA">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562" w:type="dxa"/>
            <w:vMerge w:val="restart"/>
            <w:noWrap/>
            <w:vAlign w:val="center"/>
          </w:tcPr>
          <w:p w14:paraId="652B18DB">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有效性审查</w:t>
            </w:r>
          </w:p>
        </w:tc>
        <w:tc>
          <w:tcPr>
            <w:tcW w:w="1557" w:type="dxa"/>
            <w:noWrap/>
            <w:vAlign w:val="center"/>
          </w:tcPr>
          <w:p w14:paraId="152A6EA7">
            <w:pPr>
              <w:rPr>
                <w:rFonts w:ascii="宋体" w:hAnsi="宋体" w:cs="宋体"/>
                <w:color w:val="auto"/>
                <w:kern w:val="0"/>
                <w:sz w:val="24"/>
                <w:szCs w:val="24"/>
                <w:highlight w:val="none"/>
              </w:rPr>
            </w:pP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rPr>
              <w:t>文件签署或盖章</w:t>
            </w:r>
          </w:p>
        </w:tc>
        <w:tc>
          <w:tcPr>
            <w:tcW w:w="5836" w:type="dxa"/>
            <w:noWrap/>
            <w:vAlign w:val="center"/>
          </w:tcPr>
          <w:p w14:paraId="1D5EB569">
            <w:pPr>
              <w:rPr>
                <w:rFonts w:ascii="宋体" w:hAnsi="宋体" w:cs="宋体"/>
                <w:color w:val="auto"/>
                <w:kern w:val="0"/>
                <w:sz w:val="24"/>
                <w:szCs w:val="24"/>
                <w:highlight w:val="none"/>
              </w:rPr>
            </w:pP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rPr>
              <w:t>文件上法定代表人（或其授权代表）或自然人（</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为自然人）的签署或盖章齐全。</w:t>
            </w:r>
          </w:p>
        </w:tc>
      </w:tr>
      <w:tr w14:paraId="51CD6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ign w:val="center"/>
          </w:tcPr>
          <w:p w14:paraId="07CA3723">
            <w:pPr>
              <w:jc w:val="center"/>
              <w:rPr>
                <w:rFonts w:ascii="宋体" w:hAnsi="宋体" w:cs="宋体"/>
                <w:color w:val="auto"/>
                <w:kern w:val="0"/>
                <w:sz w:val="24"/>
                <w:szCs w:val="24"/>
                <w:highlight w:val="none"/>
              </w:rPr>
            </w:pPr>
          </w:p>
        </w:tc>
        <w:tc>
          <w:tcPr>
            <w:tcW w:w="1562" w:type="dxa"/>
            <w:vMerge w:val="continue"/>
            <w:noWrap/>
            <w:vAlign w:val="center"/>
          </w:tcPr>
          <w:p w14:paraId="44B3EA7F">
            <w:pPr>
              <w:rPr>
                <w:rFonts w:ascii="宋体" w:hAnsi="宋体" w:cs="宋体"/>
                <w:color w:val="auto"/>
                <w:kern w:val="0"/>
                <w:sz w:val="24"/>
                <w:szCs w:val="24"/>
                <w:highlight w:val="none"/>
              </w:rPr>
            </w:pPr>
          </w:p>
        </w:tc>
        <w:tc>
          <w:tcPr>
            <w:tcW w:w="1557" w:type="dxa"/>
            <w:noWrap/>
            <w:vAlign w:val="center"/>
          </w:tcPr>
          <w:p w14:paraId="09CD26FB">
            <w:pPr>
              <w:rPr>
                <w:rFonts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lang w:val="zh-CN"/>
              </w:rPr>
              <w:t>方案</w:t>
            </w:r>
          </w:p>
        </w:tc>
        <w:tc>
          <w:tcPr>
            <w:tcW w:w="5836" w:type="dxa"/>
            <w:noWrap/>
            <w:vAlign w:val="center"/>
          </w:tcPr>
          <w:p w14:paraId="28317007">
            <w:pPr>
              <w:rPr>
                <w:rFonts w:ascii="宋体" w:hAnsi="宋体" w:cs="宋体"/>
                <w:color w:val="auto"/>
                <w:kern w:val="0"/>
                <w:sz w:val="24"/>
                <w:szCs w:val="24"/>
                <w:highlight w:val="none"/>
              </w:rPr>
            </w:pPr>
            <w:r>
              <w:rPr>
                <w:rFonts w:hint="eastAsia" w:ascii="宋体" w:hAnsi="宋体" w:cs="宋体"/>
                <w:color w:val="auto"/>
                <w:sz w:val="24"/>
                <w:szCs w:val="24"/>
                <w:highlight w:val="none"/>
                <w:lang w:val="zh-CN"/>
              </w:rPr>
              <w:t>每个包只能有一个方案投标。</w:t>
            </w:r>
          </w:p>
        </w:tc>
      </w:tr>
      <w:tr w14:paraId="5327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ign w:val="center"/>
          </w:tcPr>
          <w:p w14:paraId="4AC83ED6">
            <w:pPr>
              <w:jc w:val="center"/>
              <w:rPr>
                <w:rFonts w:ascii="宋体" w:hAnsi="宋体" w:cs="宋体"/>
                <w:color w:val="auto"/>
                <w:kern w:val="0"/>
                <w:sz w:val="24"/>
                <w:szCs w:val="24"/>
                <w:highlight w:val="none"/>
              </w:rPr>
            </w:pPr>
          </w:p>
        </w:tc>
        <w:tc>
          <w:tcPr>
            <w:tcW w:w="1562" w:type="dxa"/>
            <w:vMerge w:val="continue"/>
            <w:noWrap/>
            <w:vAlign w:val="center"/>
          </w:tcPr>
          <w:p w14:paraId="07137C83">
            <w:pPr>
              <w:rPr>
                <w:rFonts w:ascii="宋体" w:hAnsi="宋体" w:cs="宋体"/>
                <w:color w:val="auto"/>
                <w:kern w:val="0"/>
                <w:sz w:val="24"/>
                <w:szCs w:val="24"/>
                <w:highlight w:val="none"/>
              </w:rPr>
            </w:pPr>
          </w:p>
        </w:tc>
        <w:tc>
          <w:tcPr>
            <w:tcW w:w="1557" w:type="dxa"/>
            <w:noWrap/>
            <w:vAlign w:val="center"/>
          </w:tcPr>
          <w:p w14:paraId="4CD5E744">
            <w:pPr>
              <w:rPr>
                <w:rFonts w:ascii="宋体" w:hAnsi="宋体" w:cs="宋体"/>
                <w:color w:val="auto"/>
                <w:sz w:val="24"/>
                <w:szCs w:val="24"/>
                <w:highlight w:val="none"/>
                <w:lang w:val="zh-CN"/>
              </w:rPr>
            </w:pPr>
            <w:r>
              <w:rPr>
                <w:rFonts w:hint="eastAsia" w:ascii="宋体" w:hAnsi="宋体" w:cs="宋体"/>
                <w:color w:val="auto"/>
                <w:sz w:val="24"/>
                <w:szCs w:val="24"/>
                <w:highlight w:val="none"/>
              </w:rPr>
              <w:t>报价唯一</w:t>
            </w:r>
          </w:p>
        </w:tc>
        <w:tc>
          <w:tcPr>
            <w:tcW w:w="5836" w:type="dxa"/>
            <w:noWrap/>
            <w:vAlign w:val="center"/>
          </w:tcPr>
          <w:p w14:paraId="52D603F6">
            <w:pPr>
              <w:rPr>
                <w:rFonts w:ascii="宋体" w:hAnsi="宋体" w:cs="宋体"/>
                <w:color w:val="auto"/>
                <w:kern w:val="0"/>
                <w:sz w:val="24"/>
                <w:szCs w:val="24"/>
                <w:highlight w:val="none"/>
              </w:rPr>
            </w:pPr>
            <w:r>
              <w:rPr>
                <w:rFonts w:hint="eastAsia" w:ascii="宋体" w:hAnsi="宋体" w:cs="宋体"/>
                <w:color w:val="auto"/>
                <w:sz w:val="24"/>
                <w:szCs w:val="24"/>
                <w:highlight w:val="none"/>
                <w:lang w:val="zh-CN"/>
              </w:rPr>
              <w:t>只能在预算金额和最高限价内报价，</w:t>
            </w:r>
            <w:r>
              <w:rPr>
                <w:rFonts w:hint="eastAsia" w:ascii="宋体" w:hAnsi="宋体" w:cs="宋体"/>
                <w:color w:val="auto"/>
                <w:sz w:val="24"/>
                <w:szCs w:val="24"/>
                <w:highlight w:val="none"/>
              </w:rPr>
              <w:t>只能有一个有效报价，不得提交选择性报价。</w:t>
            </w:r>
          </w:p>
        </w:tc>
      </w:tr>
      <w:tr w14:paraId="24375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noWrap/>
            <w:vAlign w:val="center"/>
          </w:tcPr>
          <w:p w14:paraId="59B0FA4B">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562" w:type="dxa"/>
            <w:noWrap/>
            <w:vAlign w:val="center"/>
          </w:tcPr>
          <w:p w14:paraId="57A2ABC4">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完整性审查</w:t>
            </w:r>
          </w:p>
        </w:tc>
        <w:tc>
          <w:tcPr>
            <w:tcW w:w="1557" w:type="dxa"/>
            <w:noWrap/>
            <w:vAlign w:val="center"/>
          </w:tcPr>
          <w:p w14:paraId="17E13886">
            <w:pPr>
              <w:rPr>
                <w:rFonts w:ascii="宋体" w:hAnsi="宋体" w:cs="宋体"/>
                <w:color w:val="auto"/>
                <w:kern w:val="0"/>
                <w:sz w:val="24"/>
                <w:szCs w:val="24"/>
                <w:highlight w:val="none"/>
              </w:rPr>
            </w:pP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lang w:val="zh-CN"/>
              </w:rPr>
              <w:t>文件份数</w:t>
            </w:r>
          </w:p>
        </w:tc>
        <w:tc>
          <w:tcPr>
            <w:tcW w:w="5836" w:type="dxa"/>
            <w:noWrap/>
            <w:vAlign w:val="center"/>
          </w:tcPr>
          <w:p w14:paraId="32C359D8">
            <w:pPr>
              <w:rPr>
                <w:rFonts w:ascii="宋体" w:hAnsi="宋体" w:cs="宋体"/>
                <w:color w:val="auto"/>
                <w:kern w:val="0"/>
                <w:sz w:val="24"/>
                <w:szCs w:val="24"/>
                <w:highlight w:val="none"/>
              </w:rPr>
            </w:pP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lang w:val="zh-CN"/>
              </w:rPr>
              <w:t>文件正</w:t>
            </w:r>
            <w:r>
              <w:rPr>
                <w:rFonts w:hint="eastAsia" w:ascii="宋体" w:hAnsi="宋体" w:cs="宋体"/>
                <w:color w:val="auto"/>
                <w:sz w:val="24"/>
                <w:szCs w:val="24"/>
                <w:highlight w:val="none"/>
                <w:lang w:val="en-US" w:eastAsia="zh-CN"/>
              </w:rPr>
              <w:t>本</w:t>
            </w:r>
            <w:r>
              <w:rPr>
                <w:rFonts w:hint="eastAsia" w:ascii="宋体" w:hAnsi="宋体" w:cs="宋体"/>
                <w:color w:val="auto"/>
                <w:sz w:val="24"/>
                <w:szCs w:val="24"/>
                <w:highlight w:val="none"/>
                <w:lang w:val="zh-CN"/>
              </w:rPr>
              <w:t>、副本、</w:t>
            </w:r>
            <w:r>
              <w:rPr>
                <w:rFonts w:hint="eastAsia" w:ascii="宋体" w:hAnsi="宋体" w:cs="宋体"/>
                <w:color w:val="auto"/>
                <w:sz w:val="24"/>
                <w:szCs w:val="24"/>
                <w:highlight w:val="none"/>
                <w:lang w:val="en-US" w:eastAsia="zh-CN"/>
              </w:rPr>
              <w:t>U盘</w:t>
            </w:r>
            <w:r>
              <w:rPr>
                <w:rFonts w:hint="eastAsia" w:ascii="宋体" w:hAnsi="宋体" w:cs="宋体"/>
                <w:color w:val="auto"/>
                <w:sz w:val="24"/>
                <w:szCs w:val="24"/>
                <w:highlight w:val="none"/>
                <w:lang w:val="zh-CN"/>
              </w:rPr>
              <w:t>数量符合招标文件要求。</w:t>
            </w:r>
          </w:p>
        </w:tc>
      </w:tr>
      <w:tr w14:paraId="5B1CB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noWrap/>
            <w:vAlign w:val="center"/>
          </w:tcPr>
          <w:p w14:paraId="79394C82">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562" w:type="dxa"/>
            <w:noWrap/>
            <w:vAlign w:val="center"/>
          </w:tcPr>
          <w:p w14:paraId="0918F7B7">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技术部分</w:t>
            </w:r>
          </w:p>
        </w:tc>
        <w:tc>
          <w:tcPr>
            <w:tcW w:w="1557" w:type="dxa"/>
            <w:noWrap/>
            <w:vAlign w:val="center"/>
          </w:tcPr>
          <w:p w14:paraId="0649DD19">
            <w:pPr>
              <w:rPr>
                <w:rFonts w:ascii="宋体" w:hAnsi="宋体" w:cs="宋体"/>
                <w:color w:val="auto"/>
                <w:kern w:val="0"/>
                <w:sz w:val="24"/>
                <w:szCs w:val="24"/>
                <w:highlight w:val="none"/>
              </w:rPr>
            </w:pPr>
            <w:r>
              <w:rPr>
                <w:rFonts w:hint="eastAsia" w:ascii="宋体" w:hAnsi="宋体" w:cs="宋体"/>
                <w:color w:val="auto"/>
                <w:sz w:val="24"/>
                <w:szCs w:val="24"/>
                <w:highlight w:val="none"/>
                <w:lang w:val="en-US" w:eastAsia="zh-CN"/>
              </w:rPr>
              <w:t>响应</w:t>
            </w:r>
            <w:r>
              <w:rPr>
                <w:rFonts w:hint="eastAsia" w:ascii="宋体" w:hAnsi="宋体" w:cs="宋体"/>
                <w:color w:val="auto"/>
                <w:kern w:val="0"/>
                <w:sz w:val="24"/>
                <w:szCs w:val="24"/>
                <w:highlight w:val="none"/>
              </w:rPr>
              <w:t>文件内容</w:t>
            </w:r>
          </w:p>
        </w:tc>
        <w:tc>
          <w:tcPr>
            <w:tcW w:w="5836" w:type="dxa"/>
            <w:noWrap/>
            <w:vAlign w:val="center"/>
          </w:tcPr>
          <w:p w14:paraId="79208C28">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本招标文件第二篇全部内容。</w:t>
            </w:r>
          </w:p>
        </w:tc>
      </w:tr>
      <w:tr w14:paraId="3B85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noWrap/>
            <w:vAlign w:val="center"/>
          </w:tcPr>
          <w:p w14:paraId="1D10DBCC">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1562" w:type="dxa"/>
            <w:noWrap/>
            <w:vAlign w:val="center"/>
          </w:tcPr>
          <w:p w14:paraId="1B3FE12E">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商务部分</w:t>
            </w:r>
          </w:p>
        </w:tc>
        <w:tc>
          <w:tcPr>
            <w:tcW w:w="1557" w:type="dxa"/>
            <w:noWrap/>
            <w:vAlign w:val="center"/>
          </w:tcPr>
          <w:p w14:paraId="6B6CB810">
            <w:pPr>
              <w:rPr>
                <w:rFonts w:ascii="宋体" w:hAnsi="宋体" w:cs="宋体"/>
                <w:color w:val="auto"/>
                <w:kern w:val="0"/>
                <w:sz w:val="24"/>
                <w:szCs w:val="24"/>
                <w:highlight w:val="none"/>
              </w:rPr>
            </w:pPr>
            <w:r>
              <w:rPr>
                <w:rFonts w:hint="eastAsia" w:ascii="宋体" w:hAnsi="宋体" w:cs="宋体"/>
                <w:color w:val="auto"/>
                <w:sz w:val="24"/>
                <w:szCs w:val="24"/>
                <w:highlight w:val="none"/>
                <w:lang w:val="en-US" w:eastAsia="zh-CN"/>
              </w:rPr>
              <w:t>响应</w:t>
            </w:r>
            <w:r>
              <w:rPr>
                <w:rFonts w:hint="eastAsia" w:ascii="宋体" w:hAnsi="宋体" w:cs="宋体"/>
                <w:color w:val="auto"/>
                <w:kern w:val="0"/>
                <w:sz w:val="24"/>
                <w:szCs w:val="24"/>
                <w:highlight w:val="none"/>
              </w:rPr>
              <w:t>文件内容</w:t>
            </w:r>
          </w:p>
        </w:tc>
        <w:tc>
          <w:tcPr>
            <w:tcW w:w="5836" w:type="dxa"/>
            <w:noWrap/>
            <w:vAlign w:val="center"/>
          </w:tcPr>
          <w:p w14:paraId="2AF3F0B4">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本招标文件第三篇全部内容。</w:t>
            </w:r>
          </w:p>
        </w:tc>
      </w:tr>
      <w:tr w14:paraId="0B3C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noWrap/>
            <w:vAlign w:val="center"/>
          </w:tcPr>
          <w:p w14:paraId="7708526D">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1562" w:type="dxa"/>
            <w:noWrap/>
            <w:vAlign w:val="center"/>
          </w:tcPr>
          <w:p w14:paraId="167E6BAA">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投标有效期</w:t>
            </w:r>
          </w:p>
        </w:tc>
        <w:tc>
          <w:tcPr>
            <w:tcW w:w="1557" w:type="dxa"/>
            <w:noWrap/>
            <w:vAlign w:val="center"/>
          </w:tcPr>
          <w:p w14:paraId="7827F06B">
            <w:pPr>
              <w:rPr>
                <w:rFonts w:ascii="宋体" w:hAnsi="宋体" w:cs="宋体"/>
                <w:color w:val="auto"/>
                <w:kern w:val="0"/>
                <w:sz w:val="24"/>
                <w:szCs w:val="24"/>
                <w:highlight w:val="none"/>
              </w:rPr>
            </w:pPr>
            <w:r>
              <w:rPr>
                <w:rFonts w:hint="eastAsia" w:ascii="宋体" w:hAnsi="宋体" w:cs="宋体"/>
                <w:color w:val="auto"/>
                <w:sz w:val="24"/>
                <w:szCs w:val="24"/>
                <w:highlight w:val="none"/>
                <w:lang w:val="en-US" w:eastAsia="zh-CN"/>
              </w:rPr>
              <w:t>响应</w:t>
            </w:r>
            <w:r>
              <w:rPr>
                <w:rFonts w:hint="eastAsia" w:ascii="宋体" w:hAnsi="宋体" w:cs="宋体"/>
                <w:color w:val="auto"/>
                <w:kern w:val="0"/>
                <w:sz w:val="24"/>
                <w:szCs w:val="24"/>
                <w:highlight w:val="none"/>
              </w:rPr>
              <w:t>文件内容</w:t>
            </w:r>
          </w:p>
        </w:tc>
        <w:tc>
          <w:tcPr>
            <w:tcW w:w="5836" w:type="dxa"/>
            <w:noWrap/>
            <w:vAlign w:val="center"/>
          </w:tcPr>
          <w:p w14:paraId="0A0A8198">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投标有效期为投标截止时间起90天。</w:t>
            </w:r>
          </w:p>
        </w:tc>
      </w:tr>
    </w:tbl>
    <w:p w14:paraId="1356B73E">
      <w:pPr>
        <w:pStyle w:val="4"/>
        <w:spacing w:line="400" w:lineRule="exact"/>
        <w:ind w:firstLine="482" w:firstLineChars="200"/>
        <w:rPr>
          <w:rFonts w:cs="宋体"/>
          <w:b/>
          <w:color w:val="auto"/>
          <w:sz w:val="24"/>
          <w:szCs w:val="24"/>
          <w:highlight w:val="none"/>
        </w:rPr>
      </w:pPr>
      <w:bookmarkStart w:id="240" w:name="_Toc20171"/>
      <w:bookmarkStart w:id="241" w:name="_Toc28549"/>
      <w:bookmarkStart w:id="242" w:name="_Toc21650"/>
      <w:bookmarkStart w:id="243" w:name="_Toc27633"/>
      <w:bookmarkStart w:id="244" w:name="_Toc75793519"/>
      <w:bookmarkStart w:id="245" w:name="_Toc106030395"/>
      <w:bookmarkStart w:id="246" w:name="_Toc30011"/>
      <w:bookmarkStart w:id="247" w:name="_Toc25341"/>
      <w:bookmarkStart w:id="248" w:name="_Toc29140"/>
      <w:bookmarkStart w:id="249" w:name="_Toc31997"/>
      <w:bookmarkStart w:id="250" w:name="_Toc9094"/>
      <w:bookmarkStart w:id="251" w:name="_Toc26796"/>
      <w:bookmarkStart w:id="252" w:name="_Toc30717"/>
      <w:bookmarkStart w:id="253" w:name="_Toc12858"/>
      <w:bookmarkStart w:id="254" w:name="_Toc5620"/>
      <w:bookmarkStart w:id="255" w:name="_Toc14824"/>
      <w:bookmarkStart w:id="256" w:name="_Toc27015"/>
      <w:r>
        <w:rPr>
          <w:rFonts w:hint="eastAsia" w:cs="宋体"/>
          <w:b/>
          <w:color w:val="auto"/>
          <w:sz w:val="24"/>
          <w:szCs w:val="24"/>
          <w:highlight w:val="none"/>
        </w:rPr>
        <w:t>二、评标方法</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26675719">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本项目采用综合评分法进行评标。</w:t>
      </w:r>
    </w:p>
    <w:p w14:paraId="434DCF98">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综合评分法，是指</w:t>
      </w:r>
      <w:r>
        <w:rPr>
          <w:rFonts w:hint="eastAsia" w:ascii="宋体" w:hAnsi="宋体" w:cs="宋体"/>
          <w:color w:val="auto"/>
          <w:kern w:val="0"/>
          <w:sz w:val="24"/>
          <w:szCs w:val="24"/>
          <w:highlight w:val="none"/>
          <w:lang w:val="en-US" w:eastAsia="zh-CN"/>
        </w:rPr>
        <w:t>响应</w:t>
      </w:r>
      <w:r>
        <w:rPr>
          <w:rFonts w:hint="eastAsia" w:ascii="宋体" w:hAnsi="宋体" w:cs="宋体"/>
          <w:color w:val="auto"/>
          <w:kern w:val="0"/>
          <w:sz w:val="24"/>
          <w:szCs w:val="24"/>
          <w:highlight w:val="none"/>
        </w:rPr>
        <w:t>文件满足招标文件全部实质性要求且按照评审因素的量化指标评审得分最高的</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为中标候选人的评标方法。</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总得分为价格、商务、服务（技术）等评定因素分别按照相应权重值计算分项得分后相加，满分为100分。</w:t>
      </w:r>
    </w:p>
    <w:p w14:paraId="6D2BF741">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澄清有关问题。对</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rPr>
        <w:t>文件中含义不明确、同类问题表述不一致或者有明显文字和计算错误的内容，评标委员会可以书面形式（应当由评标委员会成员签字）要求</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作出必要澄清、说明或者纠正。</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的澄清、说明或者补正应当采用书面形式，由其法定代表人（或其授权代表）或自然人（</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为自然人）签字，其澄清的内容不得超出</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的范围或者改变</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的实质性内容。</w:t>
      </w:r>
    </w:p>
    <w:p w14:paraId="35E32B5A">
      <w:pPr>
        <w:snapToGrid w:val="0"/>
        <w:spacing w:line="400" w:lineRule="exact"/>
        <w:ind w:firstLine="482" w:firstLineChars="200"/>
        <w:outlineLvl w:val="2"/>
        <w:rPr>
          <w:rFonts w:ascii="宋体" w:hAnsi="宋体" w:cs="宋体"/>
          <w:b/>
          <w:color w:val="auto"/>
          <w:sz w:val="24"/>
          <w:szCs w:val="24"/>
          <w:highlight w:val="none"/>
        </w:rPr>
      </w:pPr>
      <w:r>
        <w:rPr>
          <w:rFonts w:hint="eastAsia" w:ascii="宋体" w:hAnsi="宋体" w:cs="宋体"/>
          <w:b/>
          <w:color w:val="auto"/>
          <w:sz w:val="24"/>
          <w:szCs w:val="24"/>
          <w:highlight w:val="none"/>
        </w:rPr>
        <w:t>综合评分法：</w:t>
      </w:r>
    </w:p>
    <w:p w14:paraId="7064493A">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（一）比较与评价。按招标文件中规定的评标方法和标准，对资格审查和符合性审查合格的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进行商务和技术评估。</w:t>
      </w:r>
    </w:p>
    <w:p w14:paraId="106852ED">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评标委员会各成员独立对每个有效</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（通过资格审查、符合性审查的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进行评价、打分，然后由评标委员会对各成员打分情况进行核查及复核，个别成员对同一</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同一评分项的打分偏离较大的，应对</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进行再次核对，确属打分有误的，应及时进行修正。</w:t>
      </w:r>
    </w:p>
    <w:p w14:paraId="08EAC098">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复核后，评标委员会汇总每个</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每项评分因素的得分。</w:t>
      </w:r>
    </w:p>
    <w:p w14:paraId="49325222">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（二）推荐中标候选人名单。</w:t>
      </w:r>
    </w:p>
    <w:p w14:paraId="26378792">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按评审后得分由高到低的排列顺序推荐综合得分排名前三的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为本包（项目）中标候选人，排名第一的为第一中标候选人。得分相同的，按投标报价由低到高顺序排列。得分且投标报价相同的并列。</w:t>
      </w:r>
    </w:p>
    <w:p w14:paraId="1239D1E9">
      <w:pPr>
        <w:pStyle w:val="4"/>
        <w:spacing w:line="400" w:lineRule="exact"/>
        <w:ind w:firstLine="482" w:firstLineChars="200"/>
        <w:rPr>
          <w:rFonts w:cs="宋体"/>
          <w:b/>
          <w:color w:val="auto"/>
          <w:sz w:val="24"/>
          <w:szCs w:val="24"/>
          <w:highlight w:val="none"/>
        </w:rPr>
      </w:pPr>
      <w:bookmarkStart w:id="257" w:name="_Toc17116"/>
      <w:bookmarkStart w:id="258" w:name="_Toc21798"/>
      <w:bookmarkStart w:id="259" w:name="_Toc6342"/>
      <w:bookmarkStart w:id="260" w:name="_Toc106030396"/>
      <w:bookmarkStart w:id="261" w:name="_Toc20354"/>
      <w:bookmarkStart w:id="262" w:name="_Toc20699"/>
      <w:bookmarkStart w:id="263" w:name="_Toc15716"/>
      <w:bookmarkStart w:id="264" w:name="_Toc20800"/>
      <w:bookmarkStart w:id="265" w:name="_Toc5799"/>
      <w:bookmarkStart w:id="266" w:name="_Toc19924"/>
      <w:bookmarkStart w:id="267" w:name="_Toc20875"/>
      <w:bookmarkStart w:id="268" w:name="_Toc267320057"/>
      <w:bookmarkStart w:id="269" w:name="_Toc1055"/>
      <w:bookmarkStart w:id="270" w:name="_Toc17311"/>
      <w:bookmarkStart w:id="271" w:name="_Toc22772"/>
      <w:bookmarkStart w:id="272" w:name="_Toc25814"/>
      <w:bookmarkStart w:id="273" w:name="_Toc4511"/>
      <w:bookmarkStart w:id="274" w:name="_Toc75793520"/>
      <w:r>
        <w:rPr>
          <w:rFonts w:hint="eastAsia" w:cs="宋体"/>
          <w:b/>
          <w:color w:val="auto"/>
          <w:sz w:val="24"/>
          <w:szCs w:val="24"/>
          <w:highlight w:val="none"/>
        </w:rPr>
        <w:t>三、评标标准</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307E7316">
      <w:pPr>
        <w:snapToGrid w:val="0"/>
        <w:spacing w:line="40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一</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评审因素</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192"/>
        <w:gridCol w:w="1215"/>
        <w:gridCol w:w="714"/>
        <w:gridCol w:w="3926"/>
        <w:gridCol w:w="1761"/>
      </w:tblGrid>
      <w:tr w14:paraId="5D1C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58ADC901">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1250" w:type="pct"/>
            <w:gridSpan w:val="2"/>
            <w:vAlign w:val="center"/>
          </w:tcPr>
          <w:p w14:paraId="319578AB">
            <w:pPr>
              <w:widowControl/>
              <w:jc w:val="center"/>
              <w:rPr>
                <w:rFonts w:ascii="宋体" w:hAnsi="宋体" w:cs="宋体"/>
                <w:color w:val="auto"/>
                <w:kern w:val="0"/>
                <w:sz w:val="24"/>
                <w:szCs w:val="24"/>
                <w:highlight w:val="none"/>
                <w:lang w:eastAsia="en-US"/>
              </w:rPr>
            </w:pPr>
            <w:r>
              <w:rPr>
                <w:rFonts w:hint="eastAsia" w:ascii="宋体" w:hAnsi="宋体" w:cs="宋体"/>
                <w:color w:val="auto"/>
                <w:kern w:val="0"/>
                <w:sz w:val="24"/>
                <w:szCs w:val="24"/>
                <w:highlight w:val="none"/>
                <w:lang w:eastAsia="en-US"/>
              </w:rPr>
              <w:t>评分因素</w:t>
            </w:r>
          </w:p>
          <w:p w14:paraId="3DDC6EC5">
            <w:pPr>
              <w:jc w:val="center"/>
              <w:rPr>
                <w:rFonts w:ascii="宋体" w:hAnsi="宋体" w:cs="宋体"/>
                <w:color w:val="auto"/>
                <w:sz w:val="24"/>
                <w:szCs w:val="24"/>
                <w:highlight w:val="none"/>
              </w:rPr>
            </w:pPr>
            <w:r>
              <w:rPr>
                <w:rFonts w:hint="eastAsia" w:ascii="宋体" w:hAnsi="宋体" w:cs="宋体"/>
                <w:color w:val="auto"/>
                <w:kern w:val="0"/>
                <w:sz w:val="24"/>
                <w:szCs w:val="24"/>
                <w:highlight w:val="none"/>
                <w:lang w:eastAsia="en-US"/>
              </w:rPr>
              <w:t>及权重</w:t>
            </w:r>
          </w:p>
        </w:tc>
        <w:tc>
          <w:tcPr>
            <w:tcW w:w="371" w:type="pct"/>
            <w:vAlign w:val="center"/>
          </w:tcPr>
          <w:p w14:paraId="0AA57E38">
            <w:pPr>
              <w:jc w:val="center"/>
              <w:rPr>
                <w:rFonts w:ascii="宋体" w:hAnsi="宋体" w:cs="宋体"/>
                <w:color w:val="auto"/>
                <w:sz w:val="24"/>
                <w:szCs w:val="24"/>
                <w:highlight w:val="none"/>
              </w:rPr>
            </w:pPr>
            <w:r>
              <w:rPr>
                <w:rFonts w:hint="eastAsia" w:ascii="宋体" w:hAnsi="宋体" w:cs="宋体"/>
                <w:color w:val="auto"/>
                <w:kern w:val="0"/>
                <w:sz w:val="24"/>
                <w:szCs w:val="24"/>
                <w:highlight w:val="none"/>
                <w:lang w:eastAsia="en-US"/>
              </w:rPr>
              <w:t>分值</w:t>
            </w:r>
          </w:p>
        </w:tc>
        <w:tc>
          <w:tcPr>
            <w:tcW w:w="2039" w:type="pct"/>
            <w:vAlign w:val="center"/>
          </w:tcPr>
          <w:p w14:paraId="78BD2FDA">
            <w:pPr>
              <w:jc w:val="center"/>
              <w:rPr>
                <w:rFonts w:ascii="宋体" w:hAnsi="宋体" w:cs="宋体"/>
                <w:color w:val="auto"/>
                <w:sz w:val="24"/>
                <w:szCs w:val="24"/>
                <w:highlight w:val="none"/>
              </w:rPr>
            </w:pPr>
            <w:r>
              <w:rPr>
                <w:rFonts w:hint="eastAsia" w:ascii="宋体" w:hAnsi="宋体" w:cs="宋体"/>
                <w:color w:val="auto"/>
                <w:kern w:val="0"/>
                <w:sz w:val="24"/>
                <w:szCs w:val="24"/>
                <w:highlight w:val="none"/>
                <w:lang w:eastAsia="en-US"/>
              </w:rPr>
              <w:t>评分标准</w:t>
            </w:r>
          </w:p>
        </w:tc>
        <w:tc>
          <w:tcPr>
            <w:tcW w:w="911" w:type="pct"/>
            <w:vAlign w:val="center"/>
          </w:tcPr>
          <w:p w14:paraId="298E712F">
            <w:pPr>
              <w:jc w:val="center"/>
              <w:rPr>
                <w:rFonts w:ascii="宋体" w:hAnsi="宋体" w:cs="宋体"/>
                <w:color w:val="auto"/>
                <w:sz w:val="24"/>
                <w:szCs w:val="24"/>
                <w:highlight w:val="none"/>
              </w:rPr>
            </w:pPr>
            <w:r>
              <w:rPr>
                <w:rFonts w:hint="eastAsia" w:ascii="宋体" w:hAnsi="宋体" w:cs="宋体"/>
                <w:color w:val="auto"/>
                <w:kern w:val="0"/>
                <w:sz w:val="24"/>
                <w:szCs w:val="24"/>
                <w:highlight w:val="none"/>
                <w:lang w:eastAsia="en-US"/>
              </w:rPr>
              <w:t>说明</w:t>
            </w:r>
          </w:p>
        </w:tc>
      </w:tr>
      <w:tr w14:paraId="4D80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1AD2CF84">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250" w:type="pct"/>
            <w:gridSpan w:val="2"/>
            <w:vAlign w:val="center"/>
          </w:tcPr>
          <w:p w14:paraId="1D029E0E">
            <w:pPr>
              <w:jc w:val="center"/>
              <w:rPr>
                <w:rFonts w:ascii="宋体" w:hAnsi="宋体" w:cs="宋体"/>
                <w:color w:val="auto"/>
                <w:sz w:val="24"/>
                <w:szCs w:val="24"/>
                <w:highlight w:val="none"/>
              </w:rPr>
            </w:pPr>
            <w:r>
              <w:rPr>
                <w:rFonts w:hint="eastAsia" w:ascii="宋体" w:hAnsi="宋体" w:cs="宋体"/>
                <w:color w:val="auto"/>
                <w:kern w:val="0"/>
                <w:sz w:val="24"/>
                <w:szCs w:val="24"/>
                <w:highlight w:val="none"/>
                <w:lang w:eastAsia="en-US"/>
              </w:rPr>
              <w:t>投标报价（</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0</w:t>
            </w:r>
            <w:r>
              <w:rPr>
                <w:rFonts w:hint="eastAsia" w:ascii="宋体" w:hAnsi="宋体" w:cs="宋体"/>
                <w:color w:val="auto"/>
                <w:kern w:val="0"/>
                <w:sz w:val="24"/>
                <w:szCs w:val="24"/>
                <w:highlight w:val="none"/>
                <w:lang w:eastAsia="en-US"/>
              </w:rPr>
              <w:t>%）</w:t>
            </w:r>
          </w:p>
        </w:tc>
        <w:tc>
          <w:tcPr>
            <w:tcW w:w="371" w:type="pct"/>
            <w:vAlign w:val="center"/>
          </w:tcPr>
          <w:p w14:paraId="0BF7735E">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0</w:t>
            </w:r>
          </w:p>
        </w:tc>
        <w:tc>
          <w:tcPr>
            <w:tcW w:w="2039" w:type="pct"/>
            <w:vAlign w:val="center"/>
          </w:tcPr>
          <w:p w14:paraId="55490539">
            <w:pPr>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所有通过</w:t>
            </w:r>
            <w:r>
              <w:rPr>
                <w:rFonts w:hint="eastAsia" w:ascii="宋体" w:hAnsi="宋体" w:cs="宋体"/>
                <w:color w:val="auto"/>
                <w:sz w:val="24"/>
                <w:szCs w:val="24"/>
                <w:highlight w:val="none"/>
                <w:lang w:val="en-US" w:eastAsia="zh-CN"/>
              </w:rPr>
              <w:t>资格</w:t>
            </w:r>
            <w:r>
              <w:rPr>
                <w:rFonts w:hint="eastAsia" w:ascii="宋体" w:hAnsi="宋体" w:cs="宋体"/>
                <w:color w:val="auto"/>
                <w:sz w:val="24"/>
                <w:szCs w:val="24"/>
                <w:highlight w:val="none"/>
              </w:rPr>
              <w:t>评审</w:t>
            </w:r>
            <w:r>
              <w:rPr>
                <w:rFonts w:hint="eastAsia" w:ascii="宋体" w:hAnsi="宋体" w:cs="宋体"/>
                <w:color w:val="auto"/>
                <w:sz w:val="24"/>
                <w:szCs w:val="24"/>
                <w:highlight w:val="none"/>
                <w:lang w:val="en-US" w:eastAsia="zh-CN"/>
              </w:rPr>
              <w:t>和符合性评审的</w:t>
            </w:r>
            <w:r>
              <w:rPr>
                <w:rFonts w:hint="eastAsia" w:ascii="宋体" w:hAnsi="宋体" w:cs="宋体"/>
                <w:color w:val="auto"/>
                <w:sz w:val="24"/>
                <w:szCs w:val="24"/>
                <w:highlight w:val="none"/>
              </w:rPr>
              <w:t>合格的竞标人的竞标总报价中去掉六分之一（不能整除的按小数点前整数取整，不足六家报价则不去掉）的最低价和相同家数的最高价后的算术平均值。</w:t>
            </w:r>
          </w:p>
          <w:p w14:paraId="2948ACCD">
            <w:pPr>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以上计算取小数点后两位，第三位四舍五入。在评标基准价计算完成后（除计算错误外），在后续的评审中不得再对其做出调整。</w:t>
            </w:r>
          </w:p>
          <w:p w14:paraId="3D7811F5">
            <w:pPr>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竞标总报价的偏差率计算公式</w:t>
            </w:r>
            <w:r>
              <w:rPr>
                <w:rFonts w:hint="eastAsia" w:ascii="宋体" w:hAnsi="宋体" w:cs="宋体"/>
                <w:color w:val="auto"/>
                <w:sz w:val="24"/>
                <w:szCs w:val="24"/>
                <w:highlight w:val="none"/>
                <w:lang w:eastAsia="zh-CN"/>
              </w:rPr>
              <w:t>：</w:t>
            </w:r>
          </w:p>
          <w:p w14:paraId="439E30E6">
            <w:pPr>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偏差率=100％×（竞标人报价一评标基准价）／评标基准价</w:t>
            </w:r>
          </w:p>
          <w:p w14:paraId="10BDBEC7">
            <w:pPr>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偏差率计算保留小数点后两位，小数点后第三位“四舍五入”。</w:t>
            </w:r>
          </w:p>
          <w:p w14:paraId="23B6CA19">
            <w:pPr>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1.3</w:t>
            </w:r>
            <w:r>
              <w:rPr>
                <w:rFonts w:hint="eastAsia" w:ascii="宋体" w:hAnsi="宋体" w:cs="宋体"/>
                <w:color w:val="auto"/>
                <w:sz w:val="24"/>
                <w:szCs w:val="24"/>
                <w:highlight w:val="none"/>
              </w:rPr>
              <w:t>竞标总报价按本表规定分值的满分</w:t>
            </w:r>
            <w:r>
              <w:rPr>
                <w:rFonts w:hint="eastAsia" w:ascii="宋体" w:hAnsi="宋体" w:cs="宋体"/>
                <w:color w:val="auto"/>
                <w:sz w:val="24"/>
                <w:szCs w:val="24"/>
                <w:highlight w:val="none"/>
                <w:lang w:val="en-US" w:eastAsia="zh-CN"/>
              </w:rPr>
              <w:t>50</w:t>
            </w:r>
            <w:r>
              <w:rPr>
                <w:rFonts w:hint="eastAsia" w:ascii="宋体" w:hAnsi="宋体" w:cs="宋体"/>
                <w:color w:val="auto"/>
                <w:sz w:val="24"/>
                <w:szCs w:val="24"/>
                <w:highlight w:val="none"/>
              </w:rPr>
              <w:t>分。在此基础上，竞标总报价与评标准基价相比，每增加1%扣</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分，每减少1%扣</w:t>
            </w:r>
            <w:r>
              <w:rPr>
                <w:rFonts w:hint="eastAsia" w:ascii="宋体" w:hAnsi="宋体" w:cs="宋体"/>
                <w:color w:val="auto"/>
                <w:sz w:val="24"/>
                <w:szCs w:val="24"/>
                <w:highlight w:val="none"/>
                <w:lang w:val="en-US" w:eastAsia="zh-CN"/>
              </w:rPr>
              <w:t>0.5</w:t>
            </w:r>
            <w:r>
              <w:rPr>
                <w:rFonts w:hint="eastAsia" w:ascii="宋体" w:hAnsi="宋体" w:cs="宋体"/>
                <w:color w:val="auto"/>
                <w:sz w:val="24"/>
                <w:szCs w:val="24"/>
                <w:highlight w:val="none"/>
              </w:rPr>
              <w:t>分，扣完为止。</w:t>
            </w:r>
          </w:p>
          <w:p w14:paraId="4246003D">
            <w:pPr>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按插入法计算得分。</w:t>
            </w:r>
          </w:p>
          <w:p w14:paraId="24E55146">
            <w:pPr>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以上计算取小数点后两位，第三位四舍五入。</w:t>
            </w:r>
          </w:p>
        </w:tc>
        <w:tc>
          <w:tcPr>
            <w:tcW w:w="911" w:type="pct"/>
            <w:vAlign w:val="center"/>
          </w:tcPr>
          <w:p w14:paraId="48556263">
            <w:pPr>
              <w:rPr>
                <w:rFonts w:ascii="宋体" w:hAnsi="宋体" w:cs="宋体"/>
                <w:color w:val="auto"/>
                <w:sz w:val="24"/>
                <w:szCs w:val="24"/>
                <w:highlight w:val="none"/>
              </w:rPr>
            </w:pPr>
          </w:p>
        </w:tc>
      </w:tr>
      <w:tr w14:paraId="29EFA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vAlign w:val="center"/>
          </w:tcPr>
          <w:p w14:paraId="005DF932">
            <w:pPr>
              <w:rPr>
                <w:rFonts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的应答应满足招标文件“第二篇 项目服务要求”，有一条不满足的，服务部分得分为0分。</w:t>
            </w:r>
          </w:p>
        </w:tc>
      </w:tr>
      <w:tr w14:paraId="2D44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8" w:hRule="atLeast"/>
        </w:trPr>
        <w:tc>
          <w:tcPr>
            <w:tcW w:w="426" w:type="pct"/>
            <w:vMerge w:val="restart"/>
            <w:vAlign w:val="center"/>
          </w:tcPr>
          <w:p w14:paraId="5CC3D760">
            <w:pPr>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619" w:type="pct"/>
            <w:vMerge w:val="restart"/>
            <w:vAlign w:val="center"/>
          </w:tcPr>
          <w:p w14:paraId="31BAA0A7">
            <w:pPr>
              <w:jc w:val="center"/>
              <w:rPr>
                <w:rFonts w:ascii="宋体" w:hAnsi="宋体" w:cs="宋体"/>
                <w:color w:val="auto"/>
                <w:sz w:val="24"/>
                <w:szCs w:val="24"/>
                <w:highlight w:val="none"/>
              </w:rPr>
            </w:pPr>
            <w:r>
              <w:rPr>
                <w:rFonts w:hint="eastAsia" w:ascii="宋体" w:hAnsi="宋体" w:cs="宋体"/>
                <w:color w:val="auto"/>
                <w:sz w:val="24"/>
                <w:szCs w:val="24"/>
                <w:highlight w:val="none"/>
              </w:rPr>
              <w:t>服务部分</w:t>
            </w:r>
            <w:r>
              <w:rPr>
                <w:rFonts w:hint="eastAsia" w:ascii="宋体" w:hAnsi="宋体" w:cs="宋体"/>
                <w:color w:val="auto"/>
                <w:kern w:val="0"/>
                <w:sz w:val="24"/>
                <w:szCs w:val="24"/>
                <w:highlight w:val="none"/>
                <w:lang w:eastAsia="en-US"/>
              </w:rPr>
              <w:t>（</w:t>
            </w:r>
            <w:r>
              <w:rPr>
                <w:rFonts w:hint="eastAsia" w:ascii="宋体" w:hAnsi="宋体" w:cs="宋体"/>
                <w:color w:val="auto"/>
                <w:kern w:val="0"/>
                <w:sz w:val="24"/>
                <w:szCs w:val="24"/>
                <w:highlight w:val="none"/>
                <w:lang w:val="en-US" w:eastAsia="zh-CN"/>
              </w:rPr>
              <w:t>32</w:t>
            </w:r>
            <w:r>
              <w:rPr>
                <w:rFonts w:hint="eastAsia" w:ascii="宋体" w:hAnsi="宋体" w:cs="宋体"/>
                <w:color w:val="auto"/>
                <w:kern w:val="0"/>
                <w:sz w:val="24"/>
                <w:szCs w:val="24"/>
                <w:highlight w:val="none"/>
                <w:lang w:eastAsia="en-US"/>
              </w:rPr>
              <w:t>%</w:t>
            </w:r>
            <w:r>
              <w:rPr>
                <w:rFonts w:hint="eastAsia" w:ascii="宋体" w:hAnsi="宋体" w:cs="宋体"/>
                <w:color w:val="auto"/>
                <w:kern w:val="0"/>
                <w:sz w:val="24"/>
                <w:szCs w:val="24"/>
                <w:highlight w:val="none"/>
              </w:rPr>
              <w:t>）</w:t>
            </w:r>
          </w:p>
        </w:tc>
        <w:tc>
          <w:tcPr>
            <w:tcW w:w="630" w:type="pct"/>
            <w:vAlign w:val="center"/>
          </w:tcPr>
          <w:p w14:paraId="26D2BF41">
            <w:pPr>
              <w:jc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污泥运输方案</w:t>
            </w:r>
            <w:r>
              <w:rPr>
                <w:rFonts w:hint="eastAsia" w:ascii="宋体" w:hAnsi="宋体" w:cs="宋体"/>
                <w:color w:val="auto"/>
                <w:sz w:val="24"/>
                <w:szCs w:val="24"/>
                <w:highlight w:val="none"/>
                <w:lang w:val="en-US" w:eastAsia="zh-CN"/>
              </w:rPr>
              <w:t>（10分）</w:t>
            </w:r>
          </w:p>
        </w:tc>
        <w:tc>
          <w:tcPr>
            <w:tcW w:w="371" w:type="pct"/>
            <w:shd w:val="clear" w:color="auto" w:fill="auto"/>
            <w:vAlign w:val="center"/>
          </w:tcPr>
          <w:p w14:paraId="7F61BC82">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2039" w:type="pct"/>
            <w:shd w:val="clear" w:color="auto" w:fill="auto"/>
            <w:vAlign w:val="center"/>
          </w:tcPr>
          <w:p w14:paraId="7AA3C34E">
            <w:pPr>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提供污泥运输方案，包括但不限于排班计划、</w:t>
            </w:r>
            <w:r>
              <w:rPr>
                <w:rFonts w:hint="eastAsia" w:ascii="宋体" w:hAnsi="宋体" w:cs="宋体"/>
                <w:color w:val="auto"/>
                <w:sz w:val="24"/>
                <w:szCs w:val="24"/>
                <w:highlight w:val="none"/>
                <w:lang w:val="en-US" w:eastAsia="zh-CN"/>
              </w:rPr>
              <w:t>组织管理、人员配备</w:t>
            </w:r>
            <w:r>
              <w:rPr>
                <w:rFonts w:hint="eastAsia" w:ascii="宋体" w:hAnsi="宋体" w:cs="宋体"/>
                <w:color w:val="auto"/>
                <w:sz w:val="24"/>
                <w:szCs w:val="24"/>
                <w:highlight w:val="none"/>
              </w:rPr>
              <w:t>、项目实施保障措施。根据方案的完整性、合理性及可操作性评分。</w:t>
            </w:r>
          </w:p>
          <w:p w14:paraId="043E405A">
            <w:pPr>
              <w:ind w:firstLine="480" w:firstLineChars="200"/>
              <w:rPr>
                <w:rFonts w:hint="default" w:ascii="Calibri" w:hAnsi="Calibri" w:eastAsia="宋体" w:cs="Times New Roman"/>
                <w:color w:val="auto"/>
                <w:kern w:val="2"/>
                <w:sz w:val="21"/>
                <w:szCs w:val="21"/>
                <w:highlight w:val="none"/>
                <w:lang w:val="en-US" w:eastAsia="zh-CN" w:bidi="ar-SA"/>
              </w:rPr>
            </w:pPr>
            <w:r>
              <w:rPr>
                <w:rFonts w:hint="eastAsia" w:ascii="宋体" w:hAnsi="宋体" w:cs="宋体"/>
                <w:color w:val="auto"/>
                <w:sz w:val="24"/>
                <w:szCs w:val="24"/>
                <w:highlight w:val="none"/>
              </w:rPr>
              <w:t>方案包含上述所有要素，且对各要素均有描述，在此基础上，</w:t>
            </w:r>
            <w:r>
              <w:rPr>
                <w:rFonts w:hint="eastAsia" w:ascii="宋体" w:hAnsi="宋体" w:cs="宋体"/>
                <w:color w:val="auto"/>
                <w:sz w:val="24"/>
                <w:szCs w:val="24"/>
                <w:highlight w:val="none"/>
                <w:lang w:val="en-US" w:eastAsia="zh-CN"/>
              </w:rPr>
              <w:t>方案</w:t>
            </w:r>
            <w:r>
              <w:rPr>
                <w:rFonts w:hint="eastAsia" w:ascii="宋体" w:hAnsi="宋体" w:cs="宋体"/>
                <w:color w:val="auto"/>
                <w:sz w:val="24"/>
                <w:szCs w:val="24"/>
                <w:highlight w:val="none"/>
              </w:rPr>
              <w:t>全面、完整、详实得</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分，较为全面、完整、详实得</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分，基本全面、完整、详实得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分，不够全面、完整、详实得</w:t>
            </w:r>
            <w:r>
              <w:rPr>
                <w:rFonts w:hint="eastAsia" w:ascii="宋体" w:hAnsi="宋体" w:cs="宋体"/>
                <w:color w:val="auto"/>
                <w:sz w:val="24"/>
                <w:szCs w:val="24"/>
                <w:highlight w:val="none"/>
                <w:lang w:val="en-US" w:eastAsia="zh-CN"/>
              </w:rPr>
              <w:t>3分</w:t>
            </w:r>
            <w:r>
              <w:rPr>
                <w:rFonts w:hint="eastAsia" w:ascii="宋体" w:hAnsi="宋体" w:cs="宋体"/>
                <w:color w:val="auto"/>
                <w:sz w:val="24"/>
                <w:szCs w:val="24"/>
                <w:highlight w:val="none"/>
              </w:rPr>
              <w:t>，未</w:t>
            </w:r>
            <w:r>
              <w:rPr>
                <w:rFonts w:hint="eastAsia" w:ascii="宋体" w:hAnsi="宋体" w:cs="宋体"/>
                <w:color w:val="auto"/>
                <w:sz w:val="24"/>
                <w:szCs w:val="24"/>
                <w:highlight w:val="none"/>
                <w:lang w:val="en-US" w:eastAsia="zh-CN"/>
              </w:rPr>
              <w:t>表述</w:t>
            </w:r>
            <w:r>
              <w:rPr>
                <w:rFonts w:hint="eastAsia" w:ascii="宋体" w:hAnsi="宋体" w:cs="宋体"/>
                <w:color w:val="auto"/>
                <w:sz w:val="24"/>
                <w:szCs w:val="24"/>
                <w:highlight w:val="none"/>
              </w:rPr>
              <w:t>不得分。</w:t>
            </w:r>
          </w:p>
        </w:tc>
        <w:tc>
          <w:tcPr>
            <w:tcW w:w="911" w:type="pct"/>
            <w:vAlign w:val="center"/>
          </w:tcPr>
          <w:p w14:paraId="6F804F94">
            <w:pPr>
              <w:jc w:val="center"/>
              <w:rPr>
                <w:rFonts w:ascii="宋体" w:hAnsi="宋体" w:cs="宋体"/>
                <w:color w:val="auto"/>
                <w:sz w:val="24"/>
                <w:szCs w:val="24"/>
                <w:highlight w:val="none"/>
              </w:rPr>
            </w:pPr>
          </w:p>
        </w:tc>
      </w:tr>
      <w:tr w14:paraId="058E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8" w:hRule="atLeast"/>
        </w:trPr>
        <w:tc>
          <w:tcPr>
            <w:tcW w:w="426" w:type="pct"/>
            <w:vMerge w:val="continue"/>
            <w:vAlign w:val="center"/>
          </w:tcPr>
          <w:p w14:paraId="4D8C6E2D">
            <w:pPr>
              <w:jc w:val="center"/>
              <w:rPr>
                <w:rFonts w:hint="eastAsia" w:ascii="宋体" w:hAnsi="宋体" w:cs="宋体"/>
                <w:color w:val="auto"/>
                <w:sz w:val="24"/>
                <w:szCs w:val="24"/>
                <w:highlight w:val="none"/>
              </w:rPr>
            </w:pPr>
          </w:p>
        </w:tc>
        <w:tc>
          <w:tcPr>
            <w:tcW w:w="619" w:type="pct"/>
            <w:vMerge w:val="continue"/>
            <w:vAlign w:val="center"/>
          </w:tcPr>
          <w:p w14:paraId="764B7C96">
            <w:pPr>
              <w:jc w:val="center"/>
              <w:rPr>
                <w:rFonts w:hint="eastAsia" w:ascii="宋体" w:hAnsi="宋体" w:cs="宋体"/>
                <w:color w:val="auto"/>
                <w:sz w:val="24"/>
                <w:szCs w:val="24"/>
                <w:highlight w:val="none"/>
              </w:rPr>
            </w:pPr>
          </w:p>
        </w:tc>
        <w:tc>
          <w:tcPr>
            <w:tcW w:w="630" w:type="pct"/>
            <w:shd w:val="clear" w:color="auto" w:fill="auto"/>
            <w:vAlign w:val="center"/>
          </w:tcPr>
          <w:p w14:paraId="024FEA27">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污泥处置方案（</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w:t>
            </w:r>
          </w:p>
        </w:tc>
        <w:tc>
          <w:tcPr>
            <w:tcW w:w="371" w:type="pct"/>
            <w:shd w:val="clear" w:color="auto" w:fill="auto"/>
            <w:vAlign w:val="center"/>
          </w:tcPr>
          <w:p w14:paraId="116DF0EB">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15</w:t>
            </w:r>
          </w:p>
        </w:tc>
        <w:tc>
          <w:tcPr>
            <w:tcW w:w="2039" w:type="pct"/>
            <w:shd w:val="clear" w:color="auto" w:fill="auto"/>
            <w:vAlign w:val="center"/>
          </w:tcPr>
          <w:p w14:paraId="370E4016">
            <w:pPr>
              <w:widowControl/>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根据第二篇需求对本项目的重点、难点技术环节及内容提出先进合理成熟的方案，方案须具有较强的可操作性，切实可行。</w:t>
            </w:r>
          </w:p>
          <w:p w14:paraId="54A59EEE">
            <w:pPr>
              <w:widowControl/>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为污泥处置终端单位的，并出具详细、具体、可行方案的可得</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分；</w:t>
            </w:r>
          </w:p>
          <w:p w14:paraId="4C8875B3">
            <w:pPr>
              <w:widowControl/>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为第三方代理单位的，方案详实、具体、可行得</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分，</w:t>
            </w:r>
          </w:p>
          <w:p w14:paraId="14344B3E">
            <w:pPr>
              <w:widowControl/>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方案较详实、具体、可行得</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分，</w:t>
            </w:r>
          </w:p>
          <w:p w14:paraId="0620E658">
            <w:pPr>
              <w:widowControl/>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方案不够详实、具体、但具有一定可行性得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p w14:paraId="2CB2FD68">
            <w:pPr>
              <w:widowControl/>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方案不具可行性、简单马虎或未提供方案得0分。</w:t>
            </w:r>
          </w:p>
          <w:p w14:paraId="01DFA88D">
            <w:pPr>
              <w:widowControl/>
              <w:ind w:firstLine="480" w:firstLineChars="200"/>
              <w:jc w:val="left"/>
              <w:rPr>
                <w:rFonts w:hint="eastAsia"/>
                <w:color w:val="auto"/>
                <w:highlight w:val="none"/>
                <w:lang w:val="en-US" w:eastAsia="zh-CN"/>
              </w:rPr>
            </w:pPr>
            <w:r>
              <w:rPr>
                <w:rFonts w:hint="eastAsia" w:ascii="宋体" w:hAnsi="宋体" w:cs="宋体"/>
                <w:color w:val="auto"/>
                <w:sz w:val="24"/>
                <w:szCs w:val="24"/>
                <w:highlight w:val="none"/>
                <w:lang w:val="en-US" w:eastAsia="zh-CN"/>
              </w:rPr>
              <w:t>另外每提供一个国有终端处置单位合作得1.5分，最多得3分。</w:t>
            </w:r>
          </w:p>
        </w:tc>
        <w:tc>
          <w:tcPr>
            <w:tcW w:w="911" w:type="pct"/>
            <w:vAlign w:val="center"/>
          </w:tcPr>
          <w:p w14:paraId="4DB108BC">
            <w:pPr>
              <w:jc w:val="center"/>
              <w:rPr>
                <w:rFonts w:ascii="宋体" w:hAnsi="宋体" w:cs="宋体"/>
                <w:color w:val="auto"/>
                <w:sz w:val="24"/>
                <w:szCs w:val="24"/>
                <w:highlight w:val="none"/>
              </w:rPr>
            </w:pPr>
          </w:p>
        </w:tc>
      </w:tr>
      <w:tr w14:paraId="6D1D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8" w:hRule="atLeast"/>
        </w:trPr>
        <w:tc>
          <w:tcPr>
            <w:tcW w:w="426" w:type="pct"/>
            <w:vMerge w:val="continue"/>
            <w:vAlign w:val="center"/>
          </w:tcPr>
          <w:p w14:paraId="158C10BB">
            <w:pPr>
              <w:jc w:val="center"/>
              <w:rPr>
                <w:rFonts w:hint="eastAsia" w:ascii="宋体" w:hAnsi="宋体" w:cs="宋体"/>
                <w:color w:val="auto"/>
                <w:sz w:val="24"/>
                <w:szCs w:val="24"/>
                <w:highlight w:val="none"/>
              </w:rPr>
            </w:pPr>
          </w:p>
        </w:tc>
        <w:tc>
          <w:tcPr>
            <w:tcW w:w="619" w:type="pct"/>
            <w:vMerge w:val="continue"/>
            <w:vAlign w:val="center"/>
          </w:tcPr>
          <w:p w14:paraId="312B51CD">
            <w:pPr>
              <w:jc w:val="center"/>
              <w:rPr>
                <w:rFonts w:hint="eastAsia" w:ascii="宋体" w:hAnsi="宋体" w:cs="宋体"/>
                <w:color w:val="auto"/>
                <w:sz w:val="24"/>
                <w:szCs w:val="24"/>
                <w:highlight w:val="none"/>
              </w:rPr>
            </w:pPr>
          </w:p>
        </w:tc>
        <w:tc>
          <w:tcPr>
            <w:tcW w:w="630" w:type="pct"/>
            <w:vAlign w:val="center"/>
          </w:tcPr>
          <w:p w14:paraId="5BFF91BA">
            <w:pPr>
              <w:widowControl/>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安全保障措施（7分）</w:t>
            </w:r>
          </w:p>
        </w:tc>
        <w:tc>
          <w:tcPr>
            <w:tcW w:w="371" w:type="pct"/>
            <w:shd w:val="clear" w:color="auto" w:fill="auto"/>
            <w:vAlign w:val="center"/>
          </w:tcPr>
          <w:p w14:paraId="30C4DA00">
            <w:pPr>
              <w:widowControl/>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2039" w:type="pct"/>
            <w:shd w:val="clear" w:color="auto" w:fill="auto"/>
            <w:vAlign w:val="center"/>
          </w:tcPr>
          <w:p w14:paraId="4C7E8863">
            <w:pPr>
              <w:widowControl/>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根据本项目的服务需求</w:t>
            </w:r>
            <w:r>
              <w:rPr>
                <w:rFonts w:hint="eastAsia" w:ascii="宋体" w:hAnsi="宋体" w:cs="宋体"/>
                <w:color w:val="auto"/>
                <w:sz w:val="24"/>
                <w:szCs w:val="24"/>
                <w:highlight w:val="none"/>
                <w:lang w:val="zh-CN"/>
              </w:rPr>
              <w:t>并结合本项目实际情况，</w:t>
            </w:r>
            <w:r>
              <w:rPr>
                <w:rFonts w:hint="eastAsia" w:ascii="宋体" w:hAnsi="宋体" w:cs="宋体"/>
                <w:color w:val="auto"/>
                <w:sz w:val="24"/>
                <w:szCs w:val="24"/>
                <w:highlight w:val="none"/>
              </w:rPr>
              <w:t>针对本项目</w:t>
            </w:r>
            <w:r>
              <w:rPr>
                <w:rFonts w:hint="eastAsia" w:ascii="宋体" w:hAnsi="宋体" w:cs="宋体"/>
                <w:color w:val="auto"/>
                <w:sz w:val="24"/>
                <w:szCs w:val="24"/>
                <w:highlight w:val="none"/>
                <w:lang w:val="en-US" w:eastAsia="zh-CN"/>
              </w:rPr>
              <w:t>制定</w:t>
            </w:r>
            <w:r>
              <w:rPr>
                <w:rFonts w:hint="eastAsia" w:ascii="宋体" w:hAnsi="宋体" w:cs="宋体"/>
                <w:color w:val="auto"/>
                <w:sz w:val="24"/>
                <w:szCs w:val="24"/>
                <w:highlight w:val="none"/>
              </w:rPr>
              <w:t>安全保障设施，安全文明作业措施</w:t>
            </w:r>
            <w:r>
              <w:rPr>
                <w:rFonts w:hint="eastAsia" w:ascii="宋体" w:hAnsi="宋体" w:cs="宋体"/>
                <w:color w:val="auto"/>
                <w:sz w:val="24"/>
                <w:szCs w:val="24"/>
                <w:highlight w:val="none"/>
                <w:lang w:eastAsia="zh-CN"/>
              </w:rPr>
              <w:t>、人员配置</w:t>
            </w:r>
            <w:r>
              <w:rPr>
                <w:rFonts w:hint="eastAsia" w:ascii="宋体" w:hAnsi="宋体" w:cs="宋体"/>
                <w:color w:val="auto"/>
                <w:sz w:val="24"/>
                <w:szCs w:val="24"/>
                <w:highlight w:val="none"/>
                <w:lang w:val="en-US" w:eastAsia="zh-CN"/>
              </w:rPr>
              <w:t>等</w:t>
            </w:r>
            <w:r>
              <w:rPr>
                <w:rFonts w:hint="eastAsia" w:ascii="宋体" w:hAnsi="宋体" w:cs="宋体"/>
                <w:color w:val="auto"/>
                <w:sz w:val="24"/>
                <w:szCs w:val="24"/>
                <w:highlight w:val="none"/>
                <w:lang w:eastAsia="zh-CN"/>
              </w:rPr>
              <w:t>。</w:t>
            </w:r>
          </w:p>
          <w:p w14:paraId="465DFCFF">
            <w:pPr>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方案包含上述所有要素，且对各要素均有描述，在此基础上，</w:t>
            </w:r>
            <w:r>
              <w:rPr>
                <w:rFonts w:hint="eastAsia" w:ascii="宋体" w:hAnsi="宋体" w:cs="宋体"/>
                <w:color w:val="auto"/>
                <w:sz w:val="24"/>
                <w:szCs w:val="24"/>
                <w:highlight w:val="none"/>
                <w:lang w:val="en-US" w:eastAsia="zh-CN"/>
              </w:rPr>
              <w:t>方案</w:t>
            </w:r>
            <w:r>
              <w:rPr>
                <w:rFonts w:hint="eastAsia" w:ascii="宋体" w:hAnsi="宋体" w:cs="宋体"/>
                <w:color w:val="auto"/>
                <w:sz w:val="24"/>
                <w:szCs w:val="24"/>
                <w:highlight w:val="none"/>
              </w:rPr>
              <w:t>全面、完整、详实得</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分，较为全面、完整、详实得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分，基本全面、完整、详实得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分，不够全面、完整、详实得</w:t>
            </w:r>
            <w:r>
              <w:rPr>
                <w:rFonts w:hint="eastAsia" w:ascii="宋体" w:hAnsi="宋体" w:cs="宋体"/>
                <w:color w:val="auto"/>
                <w:sz w:val="24"/>
                <w:szCs w:val="24"/>
                <w:highlight w:val="none"/>
                <w:lang w:val="en-US" w:eastAsia="zh-CN"/>
              </w:rPr>
              <w:t>1分</w:t>
            </w:r>
            <w:r>
              <w:rPr>
                <w:rFonts w:hint="eastAsia" w:ascii="宋体" w:hAnsi="宋体" w:cs="宋体"/>
                <w:color w:val="auto"/>
                <w:sz w:val="24"/>
                <w:szCs w:val="24"/>
                <w:highlight w:val="none"/>
              </w:rPr>
              <w:t>，未</w:t>
            </w:r>
            <w:r>
              <w:rPr>
                <w:rFonts w:hint="eastAsia" w:ascii="宋体" w:hAnsi="宋体" w:cs="宋体"/>
                <w:color w:val="auto"/>
                <w:sz w:val="24"/>
                <w:szCs w:val="24"/>
                <w:highlight w:val="none"/>
                <w:lang w:val="en-US" w:eastAsia="zh-CN"/>
              </w:rPr>
              <w:t>表述</w:t>
            </w:r>
            <w:r>
              <w:rPr>
                <w:rFonts w:hint="eastAsia" w:ascii="宋体" w:hAnsi="宋体" w:cs="宋体"/>
                <w:color w:val="auto"/>
                <w:sz w:val="24"/>
                <w:szCs w:val="24"/>
                <w:highlight w:val="none"/>
              </w:rPr>
              <w:t>不得分。</w:t>
            </w:r>
          </w:p>
        </w:tc>
        <w:tc>
          <w:tcPr>
            <w:tcW w:w="911" w:type="pct"/>
            <w:vAlign w:val="center"/>
          </w:tcPr>
          <w:p w14:paraId="78E2AB23">
            <w:pPr>
              <w:ind w:firstLine="480" w:firstLineChars="200"/>
              <w:rPr>
                <w:rFonts w:ascii="宋体" w:hAnsi="宋体" w:cs="宋体"/>
                <w:color w:val="auto"/>
                <w:sz w:val="24"/>
                <w:szCs w:val="24"/>
                <w:highlight w:val="none"/>
              </w:rPr>
            </w:pPr>
          </w:p>
        </w:tc>
      </w:tr>
      <w:tr w14:paraId="4FA8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000" w:type="pct"/>
            <w:gridSpan w:val="6"/>
            <w:vAlign w:val="center"/>
          </w:tcPr>
          <w:p w14:paraId="1D5063DE">
            <w:pPr>
              <w:jc w:val="left"/>
              <w:rPr>
                <w:rFonts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的应答应满足招标文件“第三篇 项目商务要求”，有一条不满足的，商务部分得分为0分，不再进入商务部分的评审。</w:t>
            </w:r>
          </w:p>
        </w:tc>
      </w:tr>
      <w:tr w14:paraId="5913B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426" w:type="pct"/>
            <w:vMerge w:val="restart"/>
            <w:vAlign w:val="center"/>
          </w:tcPr>
          <w:p w14:paraId="67961047">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19" w:type="pct"/>
            <w:vMerge w:val="restart"/>
            <w:vAlign w:val="center"/>
          </w:tcPr>
          <w:p w14:paraId="4A9788B0">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商务</w:t>
            </w:r>
            <w:r>
              <w:rPr>
                <w:rFonts w:hint="eastAsia" w:ascii="宋体" w:hAnsi="宋体" w:cs="宋体"/>
                <w:color w:val="auto"/>
                <w:sz w:val="24"/>
                <w:szCs w:val="24"/>
                <w:highlight w:val="none"/>
              </w:rPr>
              <w:t>部分</w:t>
            </w:r>
            <w:r>
              <w:rPr>
                <w:rFonts w:hint="eastAsia" w:ascii="宋体" w:hAnsi="宋体" w:cs="宋体"/>
                <w:color w:val="auto"/>
                <w:kern w:val="0"/>
                <w:sz w:val="24"/>
                <w:szCs w:val="24"/>
                <w:highlight w:val="none"/>
                <w:lang w:eastAsia="en-US"/>
              </w:rPr>
              <w:t>（</w:t>
            </w:r>
            <w:r>
              <w:rPr>
                <w:rFonts w:hint="eastAsia" w:ascii="宋体" w:hAnsi="宋体" w:cs="宋体"/>
                <w:color w:val="auto"/>
                <w:kern w:val="0"/>
                <w:sz w:val="24"/>
                <w:szCs w:val="24"/>
                <w:highlight w:val="none"/>
                <w:lang w:val="en-US" w:eastAsia="zh-CN"/>
              </w:rPr>
              <w:t>18</w:t>
            </w:r>
            <w:r>
              <w:rPr>
                <w:rFonts w:hint="eastAsia" w:ascii="宋体" w:hAnsi="宋体" w:cs="宋体"/>
                <w:color w:val="auto"/>
                <w:kern w:val="0"/>
                <w:sz w:val="24"/>
                <w:szCs w:val="24"/>
                <w:highlight w:val="none"/>
                <w:lang w:eastAsia="en-US"/>
              </w:rPr>
              <w:t>%</w:t>
            </w:r>
            <w:r>
              <w:rPr>
                <w:rFonts w:hint="eastAsia" w:ascii="宋体" w:hAnsi="宋体" w:cs="宋体"/>
                <w:color w:val="auto"/>
                <w:kern w:val="0"/>
                <w:sz w:val="24"/>
                <w:szCs w:val="24"/>
                <w:highlight w:val="none"/>
              </w:rPr>
              <w:t>）</w:t>
            </w:r>
          </w:p>
        </w:tc>
        <w:tc>
          <w:tcPr>
            <w:tcW w:w="630" w:type="pct"/>
            <w:shd w:val="clear" w:color="auto" w:fill="auto"/>
            <w:vAlign w:val="center"/>
          </w:tcPr>
          <w:p w14:paraId="1B96B9BA">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业绩（</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w:t>
            </w:r>
          </w:p>
        </w:tc>
        <w:tc>
          <w:tcPr>
            <w:tcW w:w="371" w:type="pct"/>
            <w:shd w:val="clear" w:color="auto" w:fill="auto"/>
            <w:vAlign w:val="center"/>
          </w:tcPr>
          <w:p w14:paraId="1C99F7CF">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12</w:t>
            </w:r>
          </w:p>
        </w:tc>
        <w:tc>
          <w:tcPr>
            <w:tcW w:w="2039" w:type="pct"/>
            <w:shd w:val="clear" w:color="auto" w:fill="auto"/>
            <w:vAlign w:val="center"/>
          </w:tcPr>
          <w:p w14:paraId="56F36F7E">
            <w:pPr>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每提供一个一般工业固废污泥处置合同得4分，最多得12分。</w:t>
            </w:r>
          </w:p>
        </w:tc>
        <w:tc>
          <w:tcPr>
            <w:tcW w:w="911" w:type="pct"/>
            <w:shd w:val="clear" w:color="auto" w:fill="auto"/>
            <w:vAlign w:val="center"/>
          </w:tcPr>
          <w:p w14:paraId="607CF8EB">
            <w:pP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提供合同复印件并加盖</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鲜章。</w:t>
            </w:r>
          </w:p>
        </w:tc>
      </w:tr>
      <w:tr w14:paraId="0571B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426" w:type="pct"/>
            <w:vMerge w:val="continue"/>
            <w:vAlign w:val="center"/>
          </w:tcPr>
          <w:p w14:paraId="27254C00">
            <w:pPr>
              <w:jc w:val="center"/>
              <w:rPr>
                <w:rFonts w:hint="eastAsia" w:ascii="宋体" w:hAnsi="宋体" w:cs="宋体"/>
                <w:color w:val="auto"/>
                <w:sz w:val="24"/>
                <w:szCs w:val="24"/>
                <w:highlight w:val="none"/>
              </w:rPr>
            </w:pPr>
          </w:p>
        </w:tc>
        <w:tc>
          <w:tcPr>
            <w:tcW w:w="619" w:type="pct"/>
            <w:vMerge w:val="continue"/>
            <w:vAlign w:val="center"/>
          </w:tcPr>
          <w:p w14:paraId="486EF892">
            <w:pPr>
              <w:jc w:val="center"/>
              <w:rPr>
                <w:rFonts w:hint="eastAsia" w:ascii="宋体" w:hAnsi="宋体" w:cs="宋体"/>
                <w:color w:val="auto"/>
                <w:sz w:val="24"/>
                <w:szCs w:val="24"/>
                <w:highlight w:val="none"/>
              </w:rPr>
            </w:pPr>
          </w:p>
        </w:tc>
        <w:tc>
          <w:tcPr>
            <w:tcW w:w="630" w:type="pct"/>
            <w:shd w:val="clear" w:color="auto" w:fill="auto"/>
            <w:vAlign w:val="center"/>
          </w:tcPr>
          <w:p w14:paraId="00AF428C">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人员/车辆优势</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w:t>
            </w:r>
          </w:p>
        </w:tc>
        <w:tc>
          <w:tcPr>
            <w:tcW w:w="371" w:type="pct"/>
            <w:shd w:val="clear" w:color="auto" w:fill="auto"/>
            <w:vAlign w:val="center"/>
          </w:tcPr>
          <w:p w14:paraId="496323F0">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p>
        </w:tc>
        <w:tc>
          <w:tcPr>
            <w:tcW w:w="2039" w:type="pct"/>
            <w:shd w:val="clear" w:color="auto" w:fill="auto"/>
            <w:vAlign w:val="center"/>
          </w:tcPr>
          <w:p w14:paraId="7DA009E6">
            <w:pPr>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每提供一个本单位的道路运输从业人员资格证书得2分，提供本公司以外的得1分，最多得4分。</w:t>
            </w:r>
          </w:p>
          <w:p w14:paraId="4D342DB0">
            <w:pPr>
              <w:ind w:firstLine="480" w:firstLineChars="200"/>
              <w:rPr>
                <w:rFonts w:hint="default"/>
                <w:color w:val="auto"/>
                <w:highlight w:val="none"/>
                <w:lang w:val="en-US" w:eastAsia="zh-CN"/>
              </w:rPr>
            </w:pPr>
            <w:r>
              <w:rPr>
                <w:rFonts w:hint="eastAsia" w:ascii="宋体" w:hAnsi="宋体" w:cs="宋体"/>
                <w:b w:val="0"/>
                <w:bCs w:val="0"/>
                <w:color w:val="auto"/>
                <w:sz w:val="24"/>
                <w:szCs w:val="24"/>
                <w:highlight w:val="none"/>
              </w:rPr>
              <w:t>每提供一本本单位所有的四桥车车辆行驶证得1分，提供本公司以外的得0.5分</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最多得2分。</w:t>
            </w:r>
          </w:p>
        </w:tc>
        <w:tc>
          <w:tcPr>
            <w:tcW w:w="911" w:type="pct"/>
            <w:shd w:val="clear" w:color="auto" w:fill="auto"/>
            <w:vAlign w:val="center"/>
          </w:tcPr>
          <w:p w14:paraId="73D598C1">
            <w:pP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提供劳动合同、资格证书复印件并加盖供应商鲜章。</w:t>
            </w:r>
          </w:p>
        </w:tc>
      </w:tr>
    </w:tbl>
    <w:p w14:paraId="59CA148D">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说明：评标委员会认为</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的报价明显低于其他通过符合性审查</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的报价，有可能影响服务质量或者不能诚信履约的，应当要求其在评标现场合理的时间内提供书面说明，必要时提交相关证明材料；</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不能证明其报价合理性的，评标委员会应当将其作为无效投标处理。</w:t>
      </w:r>
    </w:p>
    <w:p w14:paraId="37D6B3FF">
      <w:pPr>
        <w:pStyle w:val="4"/>
        <w:spacing w:line="400" w:lineRule="exact"/>
        <w:ind w:firstLine="482" w:firstLineChars="200"/>
        <w:rPr>
          <w:rFonts w:cs="宋体"/>
          <w:b/>
          <w:color w:val="auto"/>
          <w:sz w:val="24"/>
          <w:szCs w:val="24"/>
          <w:highlight w:val="none"/>
        </w:rPr>
      </w:pPr>
      <w:bookmarkStart w:id="275" w:name="_Toc75793521"/>
      <w:bookmarkStart w:id="276" w:name="_Toc4045"/>
      <w:bookmarkStart w:id="277" w:name="_Toc22167"/>
      <w:bookmarkStart w:id="278" w:name="_Toc30659"/>
      <w:bookmarkStart w:id="279" w:name="_Toc15200"/>
      <w:bookmarkStart w:id="280" w:name="_Toc10923"/>
      <w:bookmarkStart w:id="281" w:name="_Toc106030397"/>
      <w:bookmarkStart w:id="282" w:name="_Toc13232"/>
      <w:bookmarkStart w:id="283" w:name="_Toc17065"/>
      <w:bookmarkStart w:id="284" w:name="_Toc26747"/>
      <w:bookmarkStart w:id="285" w:name="_Toc29586"/>
      <w:bookmarkStart w:id="286" w:name="_Toc9838"/>
      <w:bookmarkStart w:id="287" w:name="_Toc20423"/>
      <w:bookmarkStart w:id="288" w:name="_Toc27926"/>
      <w:bookmarkStart w:id="289" w:name="_Toc18716"/>
      <w:bookmarkStart w:id="290" w:name="_Toc5010"/>
      <w:bookmarkStart w:id="291" w:name="_Toc13045"/>
      <w:r>
        <w:rPr>
          <w:rFonts w:hint="eastAsia" w:cs="宋体"/>
          <w:b/>
          <w:color w:val="auto"/>
          <w:sz w:val="24"/>
          <w:szCs w:val="24"/>
          <w:highlight w:val="none"/>
        </w:rPr>
        <w:t>四、无效投标条款</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09AC0D10">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或其</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出现下列情况之一者，应为无效投标：</w:t>
      </w:r>
    </w:p>
    <w:p w14:paraId="7466884B">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（一）未按照招标文件的规定提交</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保证金的；</w:t>
      </w:r>
    </w:p>
    <w:p w14:paraId="4C170C58">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未按招标文件要求签署、盖章的；</w:t>
      </w:r>
    </w:p>
    <w:p w14:paraId="5DE0603C">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（三）不具备招标文件中规定的资格要求的；</w:t>
      </w:r>
    </w:p>
    <w:p w14:paraId="1999D303">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（四）报价超过招标文件中规定的预算金额或者最高限价的；</w:t>
      </w:r>
    </w:p>
    <w:p w14:paraId="32858CCA">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含有采购人不能接受的附加条件的；</w:t>
      </w:r>
    </w:p>
    <w:p w14:paraId="1FB654A5">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串通投标的；</w:t>
      </w:r>
    </w:p>
    <w:p w14:paraId="6B3D2D47">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（七）法律、法规和招标文件规定的其他无效情形。</w:t>
      </w:r>
    </w:p>
    <w:p w14:paraId="616B453D">
      <w:pPr>
        <w:pStyle w:val="4"/>
        <w:spacing w:line="400" w:lineRule="exact"/>
        <w:ind w:firstLine="482" w:firstLineChars="200"/>
        <w:rPr>
          <w:rFonts w:cs="宋体"/>
          <w:b/>
          <w:color w:val="auto"/>
          <w:sz w:val="24"/>
          <w:szCs w:val="24"/>
          <w:highlight w:val="none"/>
        </w:rPr>
      </w:pPr>
      <w:bookmarkStart w:id="292" w:name="_Toc25549"/>
      <w:bookmarkStart w:id="293" w:name="_Toc25960"/>
      <w:bookmarkStart w:id="294" w:name="_Toc6204"/>
      <w:bookmarkStart w:id="295" w:name="_Toc20005"/>
      <w:bookmarkStart w:id="296" w:name="_Toc6956"/>
      <w:bookmarkStart w:id="297" w:name="_Toc30605"/>
      <w:bookmarkStart w:id="298" w:name="_Toc6719"/>
      <w:bookmarkStart w:id="299" w:name="_Toc23533"/>
      <w:bookmarkStart w:id="300" w:name="_Toc1378"/>
      <w:bookmarkStart w:id="301" w:name="_Toc27133"/>
      <w:bookmarkStart w:id="302" w:name="_Toc106030398"/>
      <w:bookmarkStart w:id="303" w:name="_Toc7802"/>
      <w:bookmarkStart w:id="304" w:name="_Toc21946"/>
      <w:bookmarkStart w:id="305" w:name="_Toc14355"/>
      <w:bookmarkStart w:id="306" w:name="_Toc11293"/>
      <w:bookmarkStart w:id="307" w:name="_Toc75793522"/>
      <w:bookmarkStart w:id="308" w:name="_Toc4422"/>
      <w:r>
        <w:rPr>
          <w:rFonts w:hint="eastAsia" w:cs="宋体"/>
          <w:b/>
          <w:color w:val="auto"/>
          <w:sz w:val="24"/>
          <w:szCs w:val="24"/>
          <w:highlight w:val="none"/>
        </w:rPr>
        <w:t>五、废标条款</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5E226100">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在招标采购中，出现下列情形之一的，应予废标：</w:t>
      </w:r>
    </w:p>
    <w:p w14:paraId="3174711D">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（一）符合专业条件的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或者对招标文件作实质响应的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不足三家的；</w:t>
      </w:r>
    </w:p>
    <w:p w14:paraId="2A025381">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的报价均超过了采购预算，采购人不能支付的；</w:t>
      </w:r>
    </w:p>
    <w:p w14:paraId="673E519A">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（三）出现影响采购公正的违法、违规行为的；</w:t>
      </w:r>
    </w:p>
    <w:p w14:paraId="7DBFCF8C">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（四）因重大变故，采购任务取消的。</w:t>
      </w:r>
    </w:p>
    <w:p w14:paraId="4E35F031">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废标后，除采购任务取消情形外，应当重新组织采购。</w:t>
      </w:r>
    </w:p>
    <w:p w14:paraId="34B00CC5">
      <w:pPr>
        <w:pStyle w:val="3"/>
        <w:spacing w:beforeLines="0" w:afterLines="0" w:line="360" w:lineRule="auto"/>
        <w:rPr>
          <w:rFonts w:ascii="宋体" w:hAnsi="宋体" w:eastAsia="宋体" w:cs="宋体"/>
          <w:b/>
          <w:color w:val="auto"/>
          <w:highlight w:val="none"/>
        </w:rPr>
      </w:pPr>
      <w:r>
        <w:rPr>
          <w:rFonts w:hint="eastAsia" w:ascii="宋体" w:hAnsi="宋体" w:eastAsia="宋体" w:cs="宋体"/>
          <w:color w:val="auto"/>
          <w:sz w:val="28"/>
          <w:highlight w:val="none"/>
        </w:rPr>
        <w:br w:type="page"/>
      </w:r>
      <w:bookmarkStart w:id="309" w:name="_Toc25962"/>
      <w:bookmarkStart w:id="310" w:name="_Toc5106"/>
      <w:bookmarkStart w:id="311" w:name="_Toc29546"/>
      <w:bookmarkStart w:id="312" w:name="_Toc13159"/>
      <w:bookmarkStart w:id="313" w:name="_Toc22256"/>
      <w:bookmarkStart w:id="314" w:name="_Toc21720"/>
      <w:bookmarkStart w:id="315" w:name="_Toc19831"/>
      <w:bookmarkStart w:id="316" w:name="_Toc18502"/>
      <w:bookmarkStart w:id="317" w:name="_Toc21000"/>
      <w:bookmarkStart w:id="318" w:name="_Toc12533"/>
      <w:bookmarkStart w:id="319" w:name="_Toc22201"/>
      <w:bookmarkStart w:id="320" w:name="_Toc4735"/>
      <w:bookmarkStart w:id="321" w:name="_Toc75793523"/>
      <w:bookmarkStart w:id="322" w:name="_Toc25755"/>
      <w:bookmarkStart w:id="323" w:name="_Toc1982"/>
      <w:bookmarkStart w:id="324" w:name="_Toc11596"/>
      <w:r>
        <w:rPr>
          <w:rFonts w:hint="eastAsia" w:ascii="宋体" w:hAnsi="宋体" w:eastAsia="宋体" w:cs="宋体"/>
          <w:b/>
          <w:color w:val="auto"/>
          <w:highlight w:val="none"/>
        </w:rPr>
        <w:t xml:space="preserve">第五篇  </w:t>
      </w:r>
      <w:r>
        <w:rPr>
          <w:rFonts w:hint="eastAsia" w:ascii="宋体" w:hAnsi="宋体" w:eastAsia="宋体" w:cs="宋体"/>
          <w:b/>
          <w:color w:val="auto"/>
          <w:highlight w:val="none"/>
          <w:lang w:eastAsia="zh-CN"/>
        </w:rPr>
        <w:t>供应商</w:t>
      </w:r>
      <w:r>
        <w:rPr>
          <w:rFonts w:hint="eastAsia" w:ascii="宋体" w:hAnsi="宋体" w:eastAsia="宋体" w:cs="宋体"/>
          <w:b/>
          <w:color w:val="auto"/>
          <w:highlight w:val="none"/>
        </w:rPr>
        <w:t>须知</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10B805B1">
      <w:pPr>
        <w:pStyle w:val="4"/>
        <w:spacing w:line="400" w:lineRule="exact"/>
        <w:ind w:firstLine="482" w:firstLineChars="200"/>
        <w:rPr>
          <w:rFonts w:hint="eastAsia" w:eastAsia="宋体" w:cs="宋体"/>
          <w:b/>
          <w:color w:val="auto"/>
          <w:sz w:val="24"/>
          <w:highlight w:val="none"/>
          <w:lang w:eastAsia="zh-CN"/>
        </w:rPr>
      </w:pPr>
      <w:bookmarkStart w:id="325" w:name="_Toc18929"/>
      <w:bookmarkStart w:id="326" w:name="_Toc3327"/>
      <w:bookmarkStart w:id="327" w:name="_Toc422"/>
      <w:bookmarkStart w:id="328" w:name="_Toc75793524"/>
      <w:bookmarkStart w:id="329" w:name="_Toc15432"/>
      <w:bookmarkStart w:id="330" w:name="_Toc20020"/>
      <w:bookmarkStart w:id="331" w:name="_Toc10325"/>
      <w:bookmarkStart w:id="332" w:name="_Toc12955"/>
      <w:bookmarkStart w:id="333" w:name="_Toc1327"/>
      <w:bookmarkStart w:id="334" w:name="_Toc106030400"/>
      <w:bookmarkStart w:id="335" w:name="_Toc27405"/>
      <w:bookmarkStart w:id="336" w:name="_Toc11996"/>
      <w:bookmarkStart w:id="337" w:name="_Toc2439"/>
      <w:bookmarkStart w:id="338" w:name="_Toc10657"/>
      <w:bookmarkStart w:id="339" w:name="_Toc13197"/>
      <w:bookmarkStart w:id="340" w:name="_Toc3330"/>
      <w:bookmarkStart w:id="341" w:name="_Toc28584"/>
      <w:r>
        <w:rPr>
          <w:rFonts w:hint="eastAsia" w:cs="宋体"/>
          <w:b/>
          <w:color w:val="auto"/>
          <w:sz w:val="24"/>
          <w:highlight w:val="none"/>
        </w:rPr>
        <w:t>一、</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Pr>
          <w:rFonts w:hint="eastAsia" w:cs="宋体"/>
          <w:b/>
          <w:color w:val="auto"/>
          <w:sz w:val="24"/>
          <w:highlight w:val="none"/>
          <w:lang w:eastAsia="zh-CN"/>
        </w:rPr>
        <w:t>供应商</w:t>
      </w:r>
      <w:bookmarkEnd w:id="341"/>
    </w:p>
    <w:p w14:paraId="395EB9E6">
      <w:pPr>
        <w:snapToGrid w:val="0"/>
        <w:spacing w:line="400" w:lineRule="exact"/>
        <w:ind w:firstLine="480" w:firstLineChars="200"/>
        <w:outlineLvl w:val="2"/>
        <w:rPr>
          <w:rFonts w:hint="eastAsia" w:ascii="宋体" w:hAnsi="宋体" w:eastAsia="宋体" w:cs="宋体"/>
          <w:color w:val="auto"/>
          <w:sz w:val="24"/>
          <w:highlight w:val="none"/>
          <w:lang w:eastAsia="zh-CN"/>
        </w:rPr>
      </w:pPr>
      <w:r>
        <w:rPr>
          <w:rFonts w:hint="eastAsia" w:ascii="宋体" w:hAnsi="宋体" w:cs="宋体"/>
          <w:color w:val="auto"/>
          <w:sz w:val="24"/>
          <w:highlight w:val="none"/>
        </w:rPr>
        <w:t>（一）</w:t>
      </w:r>
      <w:r>
        <w:rPr>
          <w:rFonts w:hint="eastAsia" w:ascii="宋体" w:hAnsi="宋体" w:cs="宋体"/>
          <w:color w:val="auto"/>
          <w:sz w:val="24"/>
          <w:highlight w:val="none"/>
          <w:lang w:eastAsia="zh-CN"/>
        </w:rPr>
        <w:t>供应商</w:t>
      </w:r>
    </w:p>
    <w:p w14:paraId="119FC14E">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是指响应招标、参加投标竞争的法人、其他组织或者自然人。</w:t>
      </w:r>
    </w:p>
    <w:p w14:paraId="6E5E478D">
      <w:pPr>
        <w:snapToGrid w:val="0"/>
        <w:spacing w:line="400" w:lineRule="exact"/>
        <w:ind w:firstLine="480" w:firstLineChars="200"/>
        <w:outlineLvl w:val="2"/>
        <w:rPr>
          <w:rFonts w:ascii="宋体" w:hAnsi="宋体" w:cs="宋体"/>
          <w:color w:val="auto"/>
          <w:sz w:val="24"/>
          <w:highlight w:val="none"/>
        </w:rPr>
      </w:pPr>
      <w:r>
        <w:rPr>
          <w:rFonts w:hint="eastAsia" w:ascii="宋体" w:hAnsi="宋体" w:cs="宋体"/>
          <w:color w:val="auto"/>
          <w:sz w:val="24"/>
          <w:highlight w:val="none"/>
        </w:rPr>
        <w:t>（二）合格</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条件</w:t>
      </w:r>
    </w:p>
    <w:p w14:paraId="7FA024AC">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合格</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应完全符合招标文件第一篇中规定的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资格条件，并对招标文件作出实质性响应。</w:t>
      </w:r>
    </w:p>
    <w:p w14:paraId="23070530">
      <w:pPr>
        <w:snapToGrid w:val="0"/>
        <w:spacing w:line="400" w:lineRule="exact"/>
        <w:ind w:firstLine="480" w:firstLineChars="200"/>
        <w:outlineLvl w:val="2"/>
        <w:rPr>
          <w:rFonts w:ascii="宋体" w:hAnsi="宋体" w:cs="宋体"/>
          <w:color w:val="auto"/>
          <w:sz w:val="24"/>
          <w:szCs w:val="28"/>
          <w:highlight w:val="none"/>
        </w:rPr>
      </w:pPr>
      <w:r>
        <w:rPr>
          <w:rFonts w:hint="eastAsia" w:ascii="宋体" w:hAnsi="宋体" w:cs="宋体"/>
          <w:color w:val="auto"/>
          <w:sz w:val="24"/>
          <w:szCs w:val="28"/>
          <w:highlight w:val="none"/>
        </w:rPr>
        <w:t>（三）</w:t>
      </w:r>
      <w:r>
        <w:rPr>
          <w:rFonts w:hint="eastAsia" w:ascii="宋体" w:hAnsi="宋体" w:cs="宋体"/>
          <w:color w:val="auto"/>
          <w:sz w:val="24"/>
          <w:szCs w:val="28"/>
          <w:highlight w:val="none"/>
          <w:lang w:eastAsia="zh-CN"/>
        </w:rPr>
        <w:t>供应商</w:t>
      </w:r>
      <w:r>
        <w:rPr>
          <w:rFonts w:hint="eastAsia" w:ascii="宋体" w:hAnsi="宋体" w:cs="宋体"/>
          <w:color w:val="auto"/>
          <w:sz w:val="24"/>
          <w:szCs w:val="28"/>
          <w:highlight w:val="none"/>
        </w:rPr>
        <w:t>的风险</w:t>
      </w:r>
    </w:p>
    <w:p w14:paraId="6EE750A5">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没有按照招标文件要求提供全部资料，或者</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没有对招标文件在各方面作出实质性响应，可能导致投标被拒绝或评定为无效投标。</w:t>
      </w:r>
    </w:p>
    <w:p w14:paraId="53CD549F">
      <w:pPr>
        <w:snapToGrid w:val="0"/>
        <w:spacing w:line="400" w:lineRule="exact"/>
        <w:ind w:firstLine="480" w:firstLineChars="200"/>
        <w:outlineLvl w:val="2"/>
        <w:rPr>
          <w:rFonts w:ascii="宋体" w:hAnsi="宋体" w:cs="宋体"/>
          <w:color w:val="auto"/>
          <w:sz w:val="24"/>
          <w:highlight w:val="none"/>
        </w:rPr>
      </w:pPr>
      <w:r>
        <w:rPr>
          <w:rFonts w:hint="eastAsia" w:ascii="宋体" w:hAnsi="宋体" w:cs="宋体"/>
          <w:color w:val="auto"/>
          <w:sz w:val="24"/>
          <w:highlight w:val="none"/>
        </w:rPr>
        <w:t>（四）法律责任</w:t>
      </w:r>
    </w:p>
    <w:p w14:paraId="75FBE17A">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违反《中华人民共和国政府采购法》、《中华人民共和国政府采购实施条例》等相关规定，将按规定追究</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法律责任。</w:t>
      </w:r>
    </w:p>
    <w:p w14:paraId="313889FE">
      <w:pPr>
        <w:pStyle w:val="4"/>
        <w:spacing w:line="400" w:lineRule="exact"/>
        <w:ind w:firstLine="482" w:firstLineChars="200"/>
        <w:rPr>
          <w:rFonts w:cs="宋体"/>
          <w:b/>
          <w:color w:val="auto"/>
          <w:sz w:val="24"/>
          <w:highlight w:val="none"/>
        </w:rPr>
      </w:pPr>
      <w:bookmarkStart w:id="342" w:name="_Toc1815"/>
      <w:bookmarkStart w:id="343" w:name="_Toc11909"/>
      <w:bookmarkStart w:id="344" w:name="_Toc15849"/>
      <w:bookmarkStart w:id="345" w:name="_Toc13133"/>
      <w:bookmarkStart w:id="346" w:name="_Toc26074"/>
      <w:bookmarkStart w:id="347" w:name="_Toc75793525"/>
      <w:bookmarkStart w:id="348" w:name="_Toc12347"/>
      <w:bookmarkStart w:id="349" w:name="_Toc17367"/>
      <w:bookmarkStart w:id="350" w:name="_Toc2692"/>
      <w:bookmarkStart w:id="351" w:name="_Toc22254"/>
      <w:bookmarkStart w:id="352" w:name="_Toc15037"/>
      <w:bookmarkStart w:id="353" w:name="_Toc167"/>
      <w:bookmarkStart w:id="354" w:name="_Toc8439"/>
      <w:bookmarkStart w:id="355" w:name="_Toc106030401"/>
      <w:bookmarkStart w:id="356" w:name="_Toc4836"/>
      <w:bookmarkStart w:id="357" w:name="_Toc26158"/>
      <w:bookmarkStart w:id="358" w:name="_Toc15851"/>
      <w:r>
        <w:rPr>
          <w:rFonts w:hint="eastAsia" w:cs="宋体"/>
          <w:b/>
          <w:color w:val="auto"/>
          <w:sz w:val="24"/>
          <w:highlight w:val="none"/>
        </w:rPr>
        <w:t>二、招标文件</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1EC07422">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招标文件是</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编制</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的依据，是评标委员会评判依据和标准。招标文件也是采购人与中标人签订合同的基础。</w:t>
      </w:r>
    </w:p>
    <w:p w14:paraId="3DF67AC8">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（一）招标文件由投标邀请书；项目技术（服务）需求；商务条款；</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须知；评标方法、评标标准、无效投标条款和废标条款；合同主要条款、合同范本；</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格式等七部分组成。</w:t>
      </w:r>
    </w:p>
    <w:p w14:paraId="11003A1A">
      <w:pPr>
        <w:snapToGrid w:val="0"/>
        <w:spacing w:line="400" w:lineRule="exact"/>
        <w:ind w:firstLine="480"/>
        <w:rPr>
          <w:rFonts w:ascii="宋体" w:hAnsi="宋体" w:cs="宋体"/>
          <w:color w:val="auto"/>
          <w:sz w:val="24"/>
          <w:highlight w:val="none"/>
        </w:rPr>
      </w:pPr>
      <w:r>
        <w:rPr>
          <w:rFonts w:hint="eastAsia" w:ascii="宋体" w:hAnsi="宋体" w:cs="宋体"/>
          <w:color w:val="auto"/>
          <w:sz w:val="24"/>
          <w:szCs w:val="28"/>
          <w:highlight w:val="none"/>
        </w:rPr>
        <w:t>（二）</w:t>
      </w:r>
      <w:r>
        <w:rPr>
          <w:rFonts w:hint="eastAsia" w:ascii="宋体" w:hAnsi="宋体" w:cs="宋体"/>
          <w:color w:val="auto"/>
          <w:sz w:val="24"/>
          <w:highlight w:val="none"/>
        </w:rPr>
        <w:t>采购代理机构对招标文件所作的一切有效的书面通知、修改及补充，都是招标文件不可分割的部分。</w:t>
      </w:r>
    </w:p>
    <w:p w14:paraId="473860FA">
      <w:pPr>
        <w:snapToGrid w:val="0"/>
        <w:spacing w:line="400" w:lineRule="exact"/>
        <w:ind w:firstLine="480"/>
        <w:rPr>
          <w:rFonts w:ascii="宋体" w:hAnsi="宋体" w:cs="宋体"/>
          <w:color w:val="auto"/>
          <w:sz w:val="24"/>
          <w:highlight w:val="none"/>
        </w:rPr>
      </w:pPr>
      <w:r>
        <w:rPr>
          <w:rFonts w:hint="eastAsia" w:ascii="宋体" w:hAnsi="宋体" w:cs="宋体"/>
          <w:color w:val="auto"/>
          <w:sz w:val="24"/>
          <w:highlight w:val="none"/>
        </w:rPr>
        <w:t>（三）</w:t>
      </w:r>
      <w:r>
        <w:rPr>
          <w:rFonts w:hint="eastAsia" w:ascii="宋体" w:hAnsi="宋体" w:cs="宋体"/>
          <w:color w:val="auto"/>
          <w:sz w:val="24"/>
          <w:szCs w:val="24"/>
          <w:highlight w:val="none"/>
        </w:rPr>
        <w:t>本项目的招标文件、澄清文件（如果有）一律在“行采家”平台（http://www.gec123.com）上发布，请各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注意下载或到采购代理机构处领取；无论</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下载或领取与否，均视同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已知晓本项目招标文件、澄清文件的内容。</w:t>
      </w:r>
    </w:p>
    <w:p w14:paraId="4E35F556">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（四）采购代理机构对已发出的招标文件需要进行澄清或修改的，应以书面形式或公告形式通知所有招标文件收受人。该澄清或者修改的内容为招标文件的组成部分。</w:t>
      </w:r>
    </w:p>
    <w:p w14:paraId="7CE27622">
      <w:pPr>
        <w:pStyle w:val="4"/>
        <w:spacing w:line="400" w:lineRule="exact"/>
        <w:ind w:firstLine="482" w:firstLineChars="200"/>
        <w:rPr>
          <w:rFonts w:hint="eastAsia" w:eastAsia="宋体" w:cs="宋体"/>
          <w:b/>
          <w:color w:val="auto"/>
          <w:sz w:val="24"/>
          <w:highlight w:val="none"/>
          <w:lang w:eastAsia="zh-CN"/>
        </w:rPr>
      </w:pPr>
      <w:bookmarkStart w:id="359" w:name="_Toc15881"/>
      <w:bookmarkStart w:id="360" w:name="_Toc75793526"/>
      <w:bookmarkStart w:id="361" w:name="_Toc29709"/>
      <w:bookmarkStart w:id="362" w:name="_Toc15470"/>
      <w:bookmarkStart w:id="363" w:name="_Toc28353"/>
      <w:bookmarkStart w:id="364" w:name="_Toc2716"/>
      <w:bookmarkStart w:id="365" w:name="_Toc3303"/>
      <w:bookmarkStart w:id="366" w:name="_Toc13738"/>
      <w:bookmarkStart w:id="367" w:name="_Toc27321"/>
      <w:bookmarkStart w:id="368" w:name="_Toc106030402"/>
      <w:bookmarkStart w:id="369" w:name="_Toc27176"/>
      <w:bookmarkStart w:id="370" w:name="_Toc14835"/>
      <w:bookmarkStart w:id="371" w:name="_Toc32133"/>
      <w:bookmarkStart w:id="372" w:name="_Toc28745"/>
      <w:bookmarkStart w:id="373" w:name="_Toc23192"/>
      <w:bookmarkStart w:id="374" w:name="_Toc29417"/>
      <w:bookmarkStart w:id="375" w:name="_Toc28628"/>
      <w:r>
        <w:rPr>
          <w:rFonts w:hint="eastAsia" w:cs="宋体"/>
          <w:b/>
          <w:color w:val="auto"/>
          <w:sz w:val="24"/>
          <w:highlight w:val="none"/>
        </w:rPr>
        <w:t>三、</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Pr>
          <w:rFonts w:hint="eastAsia" w:cs="宋体"/>
          <w:b/>
          <w:color w:val="auto"/>
          <w:sz w:val="24"/>
          <w:highlight w:val="none"/>
          <w:lang w:eastAsia="zh-CN"/>
        </w:rPr>
        <w:t>响应文件</w:t>
      </w:r>
      <w:bookmarkEnd w:id="375"/>
    </w:p>
    <w:p w14:paraId="7D11FEC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应当按照招标文件的要求编制</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，并对招标文件提出的要求和条件作出实质性响应，</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原则上采用软面订本，同时应编制完整的页码、目录。</w:t>
      </w:r>
    </w:p>
    <w:p w14:paraId="7FB1AFA8">
      <w:pPr>
        <w:spacing w:line="400" w:lineRule="exact"/>
        <w:ind w:firstLine="480" w:firstLineChars="200"/>
        <w:outlineLvl w:val="2"/>
        <w:rPr>
          <w:rFonts w:ascii="宋体" w:hAnsi="宋体" w:cs="宋体"/>
          <w:color w:val="auto"/>
          <w:sz w:val="24"/>
          <w:highlight w:val="none"/>
        </w:rPr>
      </w:pPr>
      <w:r>
        <w:rPr>
          <w:rFonts w:hint="eastAsia" w:ascii="宋体" w:hAnsi="宋体" w:cs="宋体"/>
          <w:color w:val="auto"/>
          <w:sz w:val="24"/>
          <w:highlight w:val="none"/>
        </w:rPr>
        <w:t>（一）</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组成</w:t>
      </w:r>
    </w:p>
    <w:p w14:paraId="5935ACE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由第七篇“</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格式”规定的部分和</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所作的一切有效补充、修改和承诺等文件组成，</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应按照第七篇“</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格式”规定的目录顺序组织编写和装订，否则有可能影响评委对</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的评审。</w:t>
      </w:r>
    </w:p>
    <w:p w14:paraId="78BD07B7">
      <w:pPr>
        <w:spacing w:line="400" w:lineRule="exact"/>
        <w:ind w:firstLine="480" w:firstLineChars="200"/>
        <w:outlineLvl w:val="2"/>
        <w:rPr>
          <w:rFonts w:ascii="宋体" w:hAnsi="宋体" w:cs="宋体"/>
          <w:color w:val="auto"/>
          <w:sz w:val="24"/>
          <w:highlight w:val="none"/>
        </w:rPr>
      </w:pPr>
      <w:r>
        <w:rPr>
          <w:rFonts w:hint="eastAsia" w:ascii="宋体" w:hAnsi="宋体" w:cs="宋体"/>
          <w:color w:val="auto"/>
          <w:sz w:val="24"/>
          <w:highlight w:val="none"/>
        </w:rPr>
        <w:t>（二）联合投标</w:t>
      </w:r>
    </w:p>
    <w:p w14:paraId="18262848">
      <w:pPr>
        <w:spacing w:line="400" w:lineRule="exact"/>
        <w:ind w:firstLine="480" w:firstLineChars="200"/>
        <w:outlineLvl w:val="2"/>
        <w:rPr>
          <w:rFonts w:ascii="宋体" w:hAnsi="宋体" w:cs="宋体"/>
          <w:color w:val="auto"/>
          <w:sz w:val="24"/>
          <w:highlight w:val="none"/>
        </w:rPr>
      </w:pPr>
      <w:r>
        <w:rPr>
          <w:rFonts w:hint="eastAsia" w:ascii="宋体" w:hAnsi="宋体" w:cs="宋体"/>
          <w:color w:val="auto"/>
          <w:sz w:val="24"/>
          <w:highlight w:val="none"/>
        </w:rPr>
        <w:t>本项目不接受联合体投标。</w:t>
      </w:r>
    </w:p>
    <w:p w14:paraId="42227B00">
      <w:pPr>
        <w:spacing w:line="400" w:lineRule="exact"/>
        <w:ind w:firstLine="480" w:firstLineChars="200"/>
        <w:outlineLvl w:val="2"/>
        <w:rPr>
          <w:rFonts w:ascii="宋体" w:hAnsi="宋体" w:cs="宋体"/>
          <w:color w:val="auto"/>
          <w:sz w:val="24"/>
          <w:highlight w:val="none"/>
        </w:rPr>
      </w:pPr>
      <w:r>
        <w:rPr>
          <w:rFonts w:hint="eastAsia" w:ascii="宋体" w:hAnsi="宋体" w:cs="宋体"/>
          <w:color w:val="auto"/>
          <w:sz w:val="24"/>
          <w:highlight w:val="none"/>
        </w:rPr>
        <w:t>（三）投标有效期</w:t>
      </w:r>
    </w:p>
    <w:p w14:paraId="624B5D4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投标有效期为投标截止时间起90天。</w:t>
      </w:r>
    </w:p>
    <w:p w14:paraId="2535D156">
      <w:pPr>
        <w:spacing w:line="400" w:lineRule="exact"/>
        <w:ind w:firstLine="480" w:firstLineChars="200"/>
        <w:outlineLvl w:val="2"/>
        <w:rPr>
          <w:rFonts w:hint="eastAsia" w:ascii="宋体" w:hAnsi="宋体" w:eastAsia="宋体" w:cs="宋体"/>
          <w:color w:val="auto"/>
          <w:sz w:val="24"/>
          <w:highlight w:val="none"/>
          <w:lang w:eastAsia="zh-CN"/>
        </w:rPr>
      </w:pPr>
      <w:r>
        <w:rPr>
          <w:rFonts w:hint="eastAsia" w:ascii="宋体" w:hAnsi="宋体" w:cs="宋体"/>
          <w:color w:val="auto"/>
          <w:sz w:val="24"/>
          <w:highlight w:val="none"/>
        </w:rPr>
        <w:t>（四）</w:t>
      </w:r>
      <w:r>
        <w:rPr>
          <w:rFonts w:hint="eastAsia" w:ascii="宋体" w:hAnsi="宋体" w:cs="宋体"/>
          <w:color w:val="auto"/>
          <w:sz w:val="24"/>
          <w:highlight w:val="none"/>
          <w:lang w:eastAsia="zh-CN"/>
        </w:rPr>
        <w:t>磋商保证金</w:t>
      </w:r>
    </w:p>
    <w:p w14:paraId="0E519B92">
      <w:pPr>
        <w:tabs>
          <w:tab w:val="left" w:pos="0"/>
        </w:tabs>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应在投标截止时间前，按招标文件第一篇规定交纳</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保证金。</w:t>
      </w:r>
    </w:p>
    <w:p w14:paraId="539285BC">
      <w:pPr>
        <w:tabs>
          <w:tab w:val="left" w:pos="0"/>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磋商保证金</w:t>
      </w:r>
      <w:r>
        <w:rPr>
          <w:rFonts w:hint="eastAsia" w:ascii="宋体" w:hAnsi="宋体" w:cs="宋体"/>
          <w:color w:val="auto"/>
          <w:sz w:val="24"/>
          <w:highlight w:val="none"/>
        </w:rPr>
        <w:t>为投标的有效约束条件。</w:t>
      </w:r>
    </w:p>
    <w:p w14:paraId="4934A189">
      <w:pPr>
        <w:tabs>
          <w:tab w:val="left" w:pos="0"/>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磋商保证金</w:t>
      </w:r>
      <w:r>
        <w:rPr>
          <w:rFonts w:hint="eastAsia" w:ascii="宋体" w:hAnsi="宋体" w:cs="宋体"/>
          <w:color w:val="auto"/>
          <w:sz w:val="24"/>
          <w:highlight w:val="none"/>
        </w:rPr>
        <w:t>的有效期限在投标有效期过后三十天继续有效。</w:t>
      </w:r>
    </w:p>
    <w:p w14:paraId="59B8F779">
      <w:pPr>
        <w:tabs>
          <w:tab w:val="left" w:pos="0"/>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eastAsia="zh-CN"/>
        </w:rPr>
        <w:t>磋商保证金</w:t>
      </w:r>
      <w:r>
        <w:rPr>
          <w:rFonts w:hint="eastAsia" w:ascii="宋体" w:hAnsi="宋体" w:cs="宋体"/>
          <w:color w:val="auto"/>
          <w:sz w:val="24"/>
          <w:highlight w:val="none"/>
        </w:rPr>
        <w:t>币种应与投标报价币种相同。</w:t>
      </w:r>
    </w:p>
    <w:p w14:paraId="061B2CB7">
      <w:pPr>
        <w:tabs>
          <w:tab w:val="left" w:pos="0"/>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5.采购代理机构在《中标通知书》发出后五个工作日内退还未中标人的</w:t>
      </w:r>
      <w:r>
        <w:rPr>
          <w:rFonts w:hint="eastAsia" w:ascii="宋体" w:hAnsi="宋体" w:cs="宋体"/>
          <w:color w:val="auto"/>
          <w:sz w:val="24"/>
          <w:highlight w:val="none"/>
          <w:lang w:eastAsia="zh-CN"/>
        </w:rPr>
        <w:t>磋商保证金</w:t>
      </w:r>
      <w:r>
        <w:rPr>
          <w:rFonts w:hint="eastAsia" w:ascii="宋体" w:hAnsi="宋体" w:cs="宋体"/>
          <w:color w:val="auto"/>
          <w:sz w:val="24"/>
          <w:highlight w:val="none"/>
        </w:rPr>
        <w:t>；在采购合同签订后五个工作日退还中标人的</w:t>
      </w:r>
      <w:r>
        <w:rPr>
          <w:rFonts w:hint="eastAsia" w:ascii="宋体" w:hAnsi="宋体" w:cs="宋体"/>
          <w:color w:val="auto"/>
          <w:sz w:val="24"/>
          <w:highlight w:val="none"/>
          <w:lang w:eastAsia="zh-CN"/>
        </w:rPr>
        <w:t>磋商保证金</w:t>
      </w:r>
      <w:r>
        <w:rPr>
          <w:rFonts w:hint="eastAsia" w:ascii="宋体" w:hAnsi="宋体" w:cs="宋体"/>
          <w:color w:val="auto"/>
          <w:sz w:val="24"/>
          <w:highlight w:val="none"/>
        </w:rPr>
        <w:t>。</w:t>
      </w:r>
    </w:p>
    <w:p w14:paraId="3846322E">
      <w:pPr>
        <w:tabs>
          <w:tab w:val="left" w:pos="0"/>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有下列情形之一的，采购人或者采购代理机构可以不退还</w:t>
      </w:r>
      <w:r>
        <w:rPr>
          <w:rFonts w:hint="eastAsia" w:ascii="宋体" w:hAnsi="宋体" w:cs="宋体"/>
          <w:color w:val="auto"/>
          <w:sz w:val="24"/>
          <w:highlight w:val="none"/>
          <w:lang w:eastAsia="zh-CN"/>
        </w:rPr>
        <w:t>磋商保证金</w:t>
      </w:r>
      <w:r>
        <w:rPr>
          <w:rFonts w:hint="eastAsia" w:ascii="宋体" w:hAnsi="宋体" w:cs="宋体"/>
          <w:color w:val="auto"/>
          <w:sz w:val="24"/>
          <w:highlight w:val="none"/>
        </w:rPr>
        <w:t>：</w:t>
      </w:r>
    </w:p>
    <w:p w14:paraId="6F265B6D">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6.1</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在投标有效期撤回</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w:t>
      </w:r>
    </w:p>
    <w:p w14:paraId="0F25CB16">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6.2</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未按规定提交履约保证金的；</w:t>
      </w:r>
    </w:p>
    <w:p w14:paraId="2EC30EFF">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6.3</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在投标过程中弄虚作假，提供虚假材料的；</w:t>
      </w:r>
    </w:p>
    <w:p w14:paraId="1CA0A171">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6.4中标人无正当理由不与采购人签订合同的；</w:t>
      </w:r>
    </w:p>
    <w:p w14:paraId="422B52A8">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6.5中标人将中标项目转让给他人或者在</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中未说明且未经采购人同意，将中标项目分包给他人的；</w:t>
      </w:r>
    </w:p>
    <w:p w14:paraId="6D3D174F">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6.6中标人拒绝履行合同义务的；</w:t>
      </w:r>
    </w:p>
    <w:p w14:paraId="656A8F52">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6.7其他严重扰乱招投标程序的。</w:t>
      </w:r>
    </w:p>
    <w:p w14:paraId="36D40263">
      <w:pPr>
        <w:snapToGrid w:val="0"/>
        <w:spacing w:line="400" w:lineRule="exact"/>
        <w:ind w:firstLine="470" w:firstLineChars="196"/>
        <w:jc w:val="left"/>
        <w:outlineLvl w:val="2"/>
        <w:rPr>
          <w:rFonts w:ascii="宋体" w:hAnsi="宋体" w:cs="宋体"/>
          <w:bCs/>
          <w:color w:val="auto"/>
          <w:sz w:val="24"/>
          <w:highlight w:val="none"/>
        </w:rPr>
      </w:pPr>
      <w:r>
        <w:rPr>
          <w:rFonts w:hint="eastAsia" w:ascii="宋体" w:hAnsi="宋体" w:cs="宋体"/>
          <w:bCs/>
          <w:color w:val="auto"/>
          <w:sz w:val="24"/>
          <w:highlight w:val="none"/>
        </w:rPr>
        <w:t>（五）</w:t>
      </w:r>
      <w:r>
        <w:rPr>
          <w:rFonts w:hint="eastAsia" w:ascii="宋体" w:hAnsi="宋体" w:cs="宋体"/>
          <w:bCs/>
          <w:color w:val="auto"/>
          <w:sz w:val="24"/>
          <w:highlight w:val="none"/>
          <w:lang w:eastAsia="zh-CN"/>
        </w:rPr>
        <w:t>响应文件</w:t>
      </w:r>
      <w:r>
        <w:rPr>
          <w:rFonts w:hint="eastAsia" w:ascii="宋体" w:hAnsi="宋体" w:cs="宋体"/>
          <w:bCs/>
          <w:color w:val="auto"/>
          <w:sz w:val="24"/>
          <w:highlight w:val="none"/>
        </w:rPr>
        <w:t>的份数和签署</w:t>
      </w:r>
    </w:p>
    <w:p w14:paraId="219CC7EB">
      <w:pPr>
        <w:tabs>
          <w:tab w:val="left" w:pos="0"/>
        </w:tabs>
        <w:spacing w:line="40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响应</w:t>
      </w:r>
      <w:r>
        <w:rPr>
          <w:rFonts w:hint="eastAsia" w:ascii="宋体" w:hAnsi="宋体" w:cs="宋体"/>
          <w:b/>
          <w:bCs/>
          <w:color w:val="auto"/>
          <w:sz w:val="24"/>
          <w:highlight w:val="none"/>
        </w:rPr>
        <w:t>文件一式</w:t>
      </w: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份，其中正本一份，副本一份</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U盘一份</w:t>
      </w:r>
      <w:r>
        <w:rPr>
          <w:rFonts w:hint="eastAsia" w:ascii="宋体" w:hAnsi="宋体" w:cs="宋体"/>
          <w:color w:val="auto"/>
          <w:sz w:val="24"/>
          <w:highlight w:val="none"/>
        </w:rPr>
        <w:t>。每套</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须在封面清楚地标明“正本”、“副本”，副本应为正本的完整复印件，线上</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与线下纸质文件不一致的，以线上</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为准。</w:t>
      </w:r>
    </w:p>
    <w:p w14:paraId="5F97A6C0">
      <w:pPr>
        <w:tabs>
          <w:tab w:val="left" w:pos="0"/>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2.在</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正本中，招标文件第七篇</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格式中规定签署、盖章的地方必须按其规定签署、盖章。</w:t>
      </w:r>
    </w:p>
    <w:p w14:paraId="67FD7A56">
      <w:pPr>
        <w:tabs>
          <w:tab w:val="left" w:pos="0"/>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3.若</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对</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的错处作必要修改，则应在修改处加盖</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公章或由</w:t>
      </w:r>
      <w:r>
        <w:rPr>
          <w:rFonts w:hint="eastAsia" w:ascii="宋体" w:hAnsi="宋体" w:cs="宋体"/>
          <w:color w:val="auto"/>
          <w:sz w:val="24"/>
          <w:szCs w:val="28"/>
          <w:highlight w:val="none"/>
        </w:rPr>
        <w:t>法定代表人（或其授权代表）或自然人（</w:t>
      </w:r>
      <w:r>
        <w:rPr>
          <w:rFonts w:hint="eastAsia" w:ascii="宋体" w:hAnsi="宋体" w:cs="宋体"/>
          <w:color w:val="auto"/>
          <w:sz w:val="24"/>
          <w:szCs w:val="28"/>
          <w:highlight w:val="none"/>
          <w:lang w:eastAsia="zh-CN"/>
        </w:rPr>
        <w:t>供应商</w:t>
      </w:r>
      <w:r>
        <w:rPr>
          <w:rFonts w:hint="eastAsia" w:ascii="宋体" w:hAnsi="宋体" w:cs="宋体"/>
          <w:color w:val="auto"/>
          <w:sz w:val="24"/>
          <w:szCs w:val="28"/>
          <w:highlight w:val="none"/>
        </w:rPr>
        <w:t>为自然人）</w:t>
      </w:r>
      <w:r>
        <w:rPr>
          <w:rFonts w:hint="eastAsia" w:ascii="宋体" w:hAnsi="宋体" w:cs="宋体"/>
          <w:color w:val="auto"/>
          <w:sz w:val="24"/>
          <w:highlight w:val="none"/>
        </w:rPr>
        <w:t>签署确认。</w:t>
      </w:r>
    </w:p>
    <w:p w14:paraId="39B9BC9B">
      <w:pPr>
        <w:snapToGrid w:val="0"/>
        <w:spacing w:line="400" w:lineRule="exact"/>
        <w:ind w:firstLine="470" w:firstLineChars="196"/>
        <w:jc w:val="left"/>
        <w:rPr>
          <w:rFonts w:ascii="宋体" w:hAnsi="宋体" w:cs="宋体"/>
          <w:bCs/>
          <w:color w:val="auto"/>
          <w:sz w:val="24"/>
          <w:highlight w:val="none"/>
        </w:rPr>
      </w:pPr>
      <w:r>
        <w:rPr>
          <w:rFonts w:hint="eastAsia" w:ascii="宋体" w:hAnsi="宋体" w:cs="宋体"/>
          <w:color w:val="auto"/>
          <w:sz w:val="24"/>
          <w:highlight w:val="none"/>
        </w:rPr>
        <w:t>4.电报、电话、传真形式的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概不接受。</w:t>
      </w:r>
    </w:p>
    <w:p w14:paraId="3231EEC7">
      <w:pPr>
        <w:snapToGrid w:val="0"/>
        <w:spacing w:line="400" w:lineRule="exact"/>
        <w:ind w:firstLine="470" w:firstLineChars="196"/>
        <w:jc w:val="left"/>
        <w:outlineLvl w:val="2"/>
        <w:rPr>
          <w:rFonts w:ascii="宋体" w:hAnsi="宋体" w:cs="宋体"/>
          <w:bCs/>
          <w:color w:val="auto"/>
          <w:sz w:val="24"/>
          <w:highlight w:val="none"/>
        </w:rPr>
      </w:pPr>
      <w:r>
        <w:rPr>
          <w:rFonts w:hint="eastAsia" w:ascii="宋体" w:hAnsi="宋体" w:cs="宋体"/>
          <w:bCs/>
          <w:color w:val="auto"/>
          <w:sz w:val="24"/>
          <w:highlight w:val="none"/>
        </w:rPr>
        <w:t>（六）</w:t>
      </w:r>
      <w:r>
        <w:rPr>
          <w:rFonts w:hint="eastAsia" w:ascii="宋体" w:hAnsi="宋体" w:cs="宋体"/>
          <w:bCs/>
          <w:color w:val="auto"/>
          <w:sz w:val="24"/>
          <w:highlight w:val="none"/>
          <w:lang w:val="en-US" w:eastAsia="zh-CN"/>
        </w:rPr>
        <w:t>投标</w:t>
      </w:r>
      <w:r>
        <w:rPr>
          <w:rFonts w:hint="eastAsia" w:ascii="宋体" w:hAnsi="宋体" w:cs="宋体"/>
          <w:bCs/>
          <w:color w:val="auto"/>
          <w:sz w:val="24"/>
          <w:highlight w:val="none"/>
        </w:rPr>
        <w:t>报价</w:t>
      </w:r>
    </w:p>
    <w:p w14:paraId="1B7DB812">
      <w:pPr>
        <w:snapToGrid w:val="0"/>
        <w:spacing w:line="400" w:lineRule="exact"/>
        <w:ind w:firstLine="470" w:firstLineChars="196"/>
        <w:jc w:val="left"/>
        <w:rPr>
          <w:rFonts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应严格按照“</w:t>
      </w:r>
      <w:r>
        <w:rPr>
          <w:rFonts w:hint="eastAsia" w:ascii="宋体" w:hAnsi="宋体" w:cs="宋体"/>
          <w:bCs/>
          <w:color w:val="auto"/>
          <w:sz w:val="24"/>
          <w:highlight w:val="none"/>
          <w:lang w:eastAsia="zh-CN"/>
        </w:rPr>
        <w:t>响应文件</w:t>
      </w:r>
      <w:r>
        <w:rPr>
          <w:rFonts w:hint="eastAsia" w:ascii="宋体" w:hAnsi="宋体" w:cs="宋体"/>
          <w:bCs/>
          <w:color w:val="auto"/>
          <w:sz w:val="24"/>
          <w:highlight w:val="none"/>
        </w:rPr>
        <w:t>格式”中“开标一览表”和“分项报价明细表”</w:t>
      </w:r>
      <w:r>
        <w:rPr>
          <w:rFonts w:hint="eastAsia" w:ascii="宋体" w:hAnsi="宋体" w:cs="宋体"/>
          <w:color w:val="auto"/>
          <w:sz w:val="24"/>
          <w:highlight w:val="none"/>
        </w:rPr>
        <w:t>的格式填写报价。</w:t>
      </w:r>
    </w:p>
    <w:p w14:paraId="06FDB16F">
      <w:pPr>
        <w:snapToGrid w:val="0"/>
        <w:spacing w:line="400" w:lineRule="exact"/>
        <w:ind w:left="3" w:leftChars="1"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各个供应商应当派1名代表参与磋商，</w:t>
      </w:r>
      <w:r>
        <w:rPr>
          <w:rFonts w:hint="eastAsia" w:ascii="宋体" w:hAnsi="宋体" w:cs="宋体"/>
          <w:color w:val="auto"/>
          <w:sz w:val="24"/>
          <w:highlight w:val="none"/>
          <w:lang w:val="en-US" w:eastAsia="zh-CN"/>
        </w:rPr>
        <w:t>进行二次报价；评审小组将以各供应商最后报价为基准进行评审。</w:t>
      </w:r>
    </w:p>
    <w:p w14:paraId="5C028822">
      <w:pPr>
        <w:pStyle w:val="10"/>
        <w:spacing w:line="400" w:lineRule="exact"/>
        <w:ind w:firstLine="480" w:firstLineChars="200"/>
        <w:outlineLvl w:val="2"/>
        <w:rPr>
          <w:rFonts w:hAnsi="宋体" w:cs="宋体"/>
          <w:color w:val="auto"/>
          <w:sz w:val="24"/>
          <w:highlight w:val="none"/>
        </w:rPr>
      </w:pPr>
      <w:r>
        <w:rPr>
          <w:rFonts w:hint="eastAsia" w:hAnsi="宋体" w:cs="宋体"/>
          <w:color w:val="auto"/>
          <w:sz w:val="24"/>
          <w:highlight w:val="none"/>
        </w:rPr>
        <w:t>（七）修正错误</w:t>
      </w:r>
    </w:p>
    <w:p w14:paraId="3B888E4F">
      <w:pPr>
        <w:pStyle w:val="10"/>
        <w:spacing w:line="400" w:lineRule="exact"/>
        <w:ind w:firstLine="480" w:firstLineChars="200"/>
        <w:rPr>
          <w:rFonts w:hAnsi="宋体" w:cs="宋体"/>
          <w:color w:val="auto"/>
          <w:sz w:val="24"/>
          <w:highlight w:val="none"/>
        </w:rPr>
      </w:pPr>
      <w:r>
        <w:rPr>
          <w:rFonts w:hint="eastAsia" w:hAnsi="宋体" w:cs="宋体"/>
          <w:color w:val="auto"/>
          <w:sz w:val="24"/>
          <w:highlight w:val="none"/>
        </w:rPr>
        <w:t>若</w:t>
      </w:r>
      <w:r>
        <w:rPr>
          <w:rFonts w:hint="eastAsia" w:hAnsi="宋体" w:cs="宋体"/>
          <w:color w:val="auto"/>
          <w:sz w:val="24"/>
          <w:highlight w:val="none"/>
          <w:lang w:eastAsia="zh-CN"/>
        </w:rPr>
        <w:t>响应文件</w:t>
      </w:r>
      <w:r>
        <w:rPr>
          <w:rFonts w:hint="eastAsia" w:hAnsi="宋体" w:cs="宋体"/>
          <w:color w:val="auto"/>
          <w:sz w:val="24"/>
          <w:highlight w:val="none"/>
        </w:rPr>
        <w:t>出现计算或表达上的错误，修正错误的原则如下：</w:t>
      </w:r>
    </w:p>
    <w:p w14:paraId="35F467F4">
      <w:pPr>
        <w:pStyle w:val="10"/>
        <w:spacing w:line="400" w:lineRule="exact"/>
        <w:ind w:firstLine="480" w:firstLineChars="200"/>
        <w:rPr>
          <w:rFonts w:hAnsi="宋体" w:cs="宋体"/>
          <w:color w:val="auto"/>
          <w:sz w:val="24"/>
          <w:highlight w:val="none"/>
        </w:rPr>
      </w:pPr>
      <w:r>
        <w:rPr>
          <w:rFonts w:hint="eastAsia" w:hAnsi="宋体" w:cs="宋体"/>
          <w:color w:val="auto"/>
          <w:sz w:val="24"/>
          <w:highlight w:val="none"/>
        </w:rPr>
        <w:t>1.</w:t>
      </w:r>
      <w:r>
        <w:rPr>
          <w:rFonts w:hint="eastAsia" w:hAnsi="宋体" w:cs="宋体"/>
          <w:color w:val="auto"/>
          <w:sz w:val="24"/>
          <w:highlight w:val="none"/>
          <w:lang w:eastAsia="zh-CN"/>
        </w:rPr>
        <w:t>响应文件</w:t>
      </w:r>
      <w:r>
        <w:rPr>
          <w:rFonts w:hint="eastAsia" w:hAnsi="宋体" w:cs="宋体"/>
          <w:color w:val="auto"/>
          <w:sz w:val="24"/>
          <w:highlight w:val="none"/>
        </w:rPr>
        <w:t>中开标一览表（报价表）内容与</w:t>
      </w:r>
      <w:r>
        <w:rPr>
          <w:rFonts w:hint="eastAsia" w:hAnsi="宋体" w:cs="宋体"/>
          <w:color w:val="auto"/>
          <w:sz w:val="24"/>
          <w:highlight w:val="none"/>
          <w:lang w:eastAsia="zh-CN"/>
        </w:rPr>
        <w:t>响应文件</w:t>
      </w:r>
      <w:r>
        <w:rPr>
          <w:rFonts w:hint="eastAsia" w:hAnsi="宋体" w:cs="宋体"/>
          <w:color w:val="auto"/>
          <w:sz w:val="24"/>
          <w:highlight w:val="none"/>
        </w:rPr>
        <w:t>中相应内容不一致的，以开标一览表（报价表）为准；</w:t>
      </w:r>
    </w:p>
    <w:p w14:paraId="01620FD9">
      <w:pPr>
        <w:pStyle w:val="10"/>
        <w:spacing w:line="400" w:lineRule="exact"/>
        <w:ind w:firstLine="480" w:firstLineChars="200"/>
        <w:rPr>
          <w:rFonts w:hAnsi="宋体" w:cs="宋体"/>
          <w:color w:val="auto"/>
          <w:sz w:val="24"/>
          <w:highlight w:val="none"/>
        </w:rPr>
      </w:pPr>
      <w:r>
        <w:rPr>
          <w:rFonts w:hint="eastAsia" w:hAnsi="宋体" w:cs="宋体"/>
          <w:color w:val="auto"/>
          <w:sz w:val="24"/>
          <w:highlight w:val="none"/>
        </w:rPr>
        <w:t>2.大写金额和小写金额不一致的，以大写金额为准；</w:t>
      </w:r>
    </w:p>
    <w:p w14:paraId="5C848C02">
      <w:pPr>
        <w:pStyle w:val="10"/>
        <w:spacing w:line="400" w:lineRule="exact"/>
        <w:ind w:firstLine="480" w:firstLineChars="200"/>
        <w:rPr>
          <w:rFonts w:hAnsi="宋体" w:cs="宋体"/>
          <w:color w:val="auto"/>
          <w:sz w:val="24"/>
          <w:highlight w:val="none"/>
        </w:rPr>
      </w:pPr>
      <w:r>
        <w:rPr>
          <w:rFonts w:hint="eastAsia" w:hAnsi="宋体" w:cs="宋体"/>
          <w:color w:val="auto"/>
          <w:sz w:val="24"/>
          <w:highlight w:val="none"/>
        </w:rPr>
        <w:t>3.单价金额小数点或者百分比有明显错位的，以开标一览表的总价为准，并修改单价；</w:t>
      </w:r>
    </w:p>
    <w:p w14:paraId="62D1BE05">
      <w:pPr>
        <w:pStyle w:val="10"/>
        <w:spacing w:line="400" w:lineRule="exact"/>
        <w:ind w:firstLine="480" w:firstLineChars="200"/>
        <w:rPr>
          <w:rFonts w:hAnsi="宋体" w:cs="宋体"/>
          <w:color w:val="auto"/>
          <w:sz w:val="24"/>
          <w:highlight w:val="none"/>
        </w:rPr>
      </w:pPr>
      <w:r>
        <w:rPr>
          <w:rFonts w:hint="eastAsia" w:hAnsi="宋体" w:cs="宋体"/>
          <w:color w:val="auto"/>
          <w:sz w:val="24"/>
          <w:highlight w:val="none"/>
        </w:rPr>
        <w:t>4.总价金额与按单价汇总金额不一致的，以单价金额计算结果为准。</w:t>
      </w:r>
    </w:p>
    <w:p w14:paraId="4CA4D70B">
      <w:pPr>
        <w:pStyle w:val="10"/>
        <w:spacing w:line="400" w:lineRule="exact"/>
        <w:ind w:firstLine="480" w:firstLineChars="200"/>
        <w:rPr>
          <w:rFonts w:hAnsi="宋体" w:cs="宋体"/>
          <w:color w:val="auto"/>
          <w:sz w:val="24"/>
          <w:highlight w:val="none"/>
        </w:rPr>
      </w:pPr>
      <w:r>
        <w:rPr>
          <w:rFonts w:hint="eastAsia" w:hAnsi="宋体" w:cs="宋体"/>
          <w:color w:val="auto"/>
          <w:sz w:val="24"/>
          <w:highlight w:val="none"/>
        </w:rPr>
        <w:t>评标委员会按上述修正错误的原则及方法调整或修正</w:t>
      </w:r>
      <w:r>
        <w:rPr>
          <w:rFonts w:hint="eastAsia" w:hAnsi="宋体" w:cs="宋体"/>
          <w:color w:val="auto"/>
          <w:sz w:val="24"/>
          <w:highlight w:val="none"/>
          <w:lang w:eastAsia="zh-CN"/>
        </w:rPr>
        <w:t>供应商</w:t>
      </w:r>
      <w:r>
        <w:rPr>
          <w:rFonts w:hint="eastAsia" w:hAnsi="宋体" w:cs="宋体"/>
          <w:color w:val="auto"/>
          <w:sz w:val="24"/>
          <w:highlight w:val="none"/>
        </w:rPr>
        <w:t>投标报价，若同时出现两种以上不一致的，按照前款规定的顺序修正，</w:t>
      </w:r>
      <w:r>
        <w:rPr>
          <w:rFonts w:hint="eastAsia" w:hAnsi="宋体" w:cs="宋体"/>
          <w:color w:val="auto"/>
          <w:sz w:val="24"/>
          <w:highlight w:val="none"/>
          <w:lang w:eastAsia="zh-CN"/>
        </w:rPr>
        <w:t>供应商</w:t>
      </w:r>
      <w:r>
        <w:rPr>
          <w:rFonts w:hint="eastAsia" w:hAnsi="宋体" w:cs="宋体"/>
          <w:color w:val="auto"/>
          <w:sz w:val="24"/>
          <w:highlight w:val="none"/>
        </w:rPr>
        <w:t>同意并签字确认后，调整后的投标报价对</w:t>
      </w:r>
      <w:r>
        <w:rPr>
          <w:rFonts w:hint="eastAsia" w:hAnsi="宋体" w:cs="宋体"/>
          <w:color w:val="auto"/>
          <w:sz w:val="24"/>
          <w:highlight w:val="none"/>
          <w:lang w:eastAsia="zh-CN"/>
        </w:rPr>
        <w:t>供应商</w:t>
      </w:r>
      <w:r>
        <w:rPr>
          <w:rFonts w:hint="eastAsia" w:hAnsi="宋体" w:cs="宋体"/>
          <w:color w:val="auto"/>
          <w:sz w:val="24"/>
          <w:highlight w:val="none"/>
        </w:rPr>
        <w:t>具有约束作用。如果</w:t>
      </w:r>
      <w:r>
        <w:rPr>
          <w:rFonts w:hint="eastAsia" w:hAnsi="宋体" w:cs="宋体"/>
          <w:color w:val="auto"/>
          <w:sz w:val="24"/>
          <w:highlight w:val="none"/>
          <w:lang w:eastAsia="zh-CN"/>
        </w:rPr>
        <w:t>供应商</w:t>
      </w:r>
      <w:r>
        <w:rPr>
          <w:rFonts w:hint="eastAsia" w:hAnsi="宋体" w:cs="宋体"/>
          <w:color w:val="auto"/>
          <w:sz w:val="24"/>
          <w:highlight w:val="none"/>
        </w:rPr>
        <w:t>不接受修正后的报价，则其投标将作为无效投标处理。</w:t>
      </w:r>
    </w:p>
    <w:p w14:paraId="65F6ED6F">
      <w:pPr>
        <w:pStyle w:val="10"/>
        <w:spacing w:line="400" w:lineRule="exact"/>
        <w:ind w:firstLine="480" w:firstLineChars="200"/>
        <w:outlineLvl w:val="2"/>
        <w:rPr>
          <w:rFonts w:hAnsi="宋体" w:cs="宋体"/>
          <w:color w:val="auto"/>
          <w:sz w:val="24"/>
          <w:highlight w:val="none"/>
        </w:rPr>
      </w:pPr>
      <w:r>
        <w:rPr>
          <w:rFonts w:hint="eastAsia" w:hAnsi="宋体" w:cs="宋体"/>
          <w:color w:val="auto"/>
          <w:sz w:val="24"/>
          <w:highlight w:val="none"/>
        </w:rPr>
        <w:t>（八）</w:t>
      </w:r>
      <w:r>
        <w:rPr>
          <w:rFonts w:hint="eastAsia" w:hAnsi="宋体" w:cs="宋体"/>
          <w:color w:val="auto"/>
          <w:sz w:val="24"/>
          <w:highlight w:val="none"/>
          <w:lang w:eastAsia="zh-CN"/>
        </w:rPr>
        <w:t>响应文件</w:t>
      </w:r>
      <w:r>
        <w:rPr>
          <w:rFonts w:hint="eastAsia" w:hAnsi="宋体" w:cs="宋体"/>
          <w:color w:val="auto"/>
          <w:sz w:val="24"/>
          <w:highlight w:val="none"/>
        </w:rPr>
        <w:t>的递交</w:t>
      </w:r>
    </w:p>
    <w:p w14:paraId="41389E09">
      <w:pPr>
        <w:pStyle w:val="10"/>
        <w:spacing w:line="400" w:lineRule="exact"/>
        <w:ind w:firstLine="480" w:firstLineChars="200"/>
        <w:rPr>
          <w:rFonts w:hAnsi="宋体" w:cs="宋体"/>
          <w:color w:val="auto"/>
          <w:sz w:val="24"/>
          <w:highlight w:val="none"/>
        </w:rPr>
      </w:pPr>
      <w:r>
        <w:rPr>
          <w:rFonts w:hint="eastAsia" w:hAnsi="宋体" w:cs="宋体"/>
          <w:color w:val="auto"/>
          <w:sz w:val="24"/>
          <w:highlight w:val="none"/>
          <w:lang w:eastAsia="zh-CN"/>
        </w:rPr>
        <w:t>响应文件</w:t>
      </w:r>
      <w:r>
        <w:rPr>
          <w:rFonts w:hint="eastAsia" w:hAnsi="宋体" w:cs="宋体"/>
          <w:color w:val="auto"/>
          <w:sz w:val="24"/>
          <w:highlight w:val="none"/>
        </w:rPr>
        <w:t>的正本、副本</w:t>
      </w:r>
      <w:r>
        <w:rPr>
          <w:rFonts w:hint="eastAsia" w:hAnsi="宋体" w:cs="宋体"/>
          <w:color w:val="auto"/>
          <w:sz w:val="24"/>
          <w:highlight w:val="none"/>
          <w:lang w:eastAsia="zh-CN"/>
        </w:rPr>
        <w:t>、</w:t>
      </w:r>
      <w:r>
        <w:rPr>
          <w:rFonts w:hint="eastAsia" w:hAnsi="宋体" w:cs="宋体"/>
          <w:color w:val="auto"/>
          <w:sz w:val="24"/>
          <w:highlight w:val="none"/>
          <w:lang w:val="en-US" w:eastAsia="zh-CN"/>
        </w:rPr>
        <w:t>U盘文件</w:t>
      </w:r>
      <w:r>
        <w:rPr>
          <w:rFonts w:hint="eastAsia" w:hAnsi="宋体" w:cs="宋体"/>
          <w:color w:val="auto"/>
          <w:sz w:val="24"/>
          <w:highlight w:val="none"/>
        </w:rPr>
        <w:t>均应密封送达投标地点，应在封套上注明项目名称、</w:t>
      </w:r>
      <w:r>
        <w:rPr>
          <w:rFonts w:hint="eastAsia" w:hAnsi="宋体" w:cs="宋体"/>
          <w:color w:val="auto"/>
          <w:sz w:val="24"/>
          <w:highlight w:val="none"/>
          <w:lang w:eastAsia="zh-CN"/>
        </w:rPr>
        <w:t>供应商</w:t>
      </w:r>
      <w:r>
        <w:rPr>
          <w:rFonts w:hint="eastAsia" w:hAnsi="宋体" w:cs="宋体"/>
          <w:color w:val="auto"/>
          <w:sz w:val="24"/>
          <w:highlight w:val="none"/>
        </w:rPr>
        <w:t>名称。若正本、副本</w:t>
      </w:r>
      <w:r>
        <w:rPr>
          <w:rFonts w:hint="eastAsia" w:hAnsi="宋体" w:cs="宋体"/>
          <w:color w:val="auto"/>
          <w:sz w:val="24"/>
          <w:highlight w:val="none"/>
          <w:lang w:eastAsia="zh-CN"/>
        </w:rPr>
        <w:t>、</w:t>
      </w:r>
      <w:r>
        <w:rPr>
          <w:rFonts w:hint="eastAsia" w:hAnsi="宋体" w:cs="宋体"/>
          <w:color w:val="auto"/>
          <w:sz w:val="24"/>
          <w:highlight w:val="none"/>
          <w:lang w:val="en-US" w:eastAsia="zh-CN"/>
        </w:rPr>
        <w:t>U盘文件</w:t>
      </w:r>
      <w:r>
        <w:rPr>
          <w:rFonts w:hint="eastAsia" w:hAnsi="宋体" w:cs="宋体"/>
          <w:color w:val="auto"/>
          <w:sz w:val="24"/>
          <w:highlight w:val="none"/>
        </w:rPr>
        <w:t>分别进行密封的，还应在封套上注明“正本”、“副本”、</w:t>
      </w:r>
      <w:r>
        <w:rPr>
          <w:rFonts w:hint="eastAsia" w:hAnsi="宋体" w:cs="宋体"/>
          <w:color w:val="auto"/>
          <w:sz w:val="24"/>
          <w:highlight w:val="none"/>
          <w:lang w:eastAsia="zh-CN"/>
        </w:rPr>
        <w:t>“</w:t>
      </w:r>
      <w:r>
        <w:rPr>
          <w:rFonts w:hint="eastAsia" w:hAnsi="宋体" w:cs="宋体"/>
          <w:color w:val="auto"/>
          <w:sz w:val="24"/>
          <w:highlight w:val="none"/>
          <w:lang w:val="en-US" w:eastAsia="zh-CN"/>
        </w:rPr>
        <w:t>U盘文件</w:t>
      </w:r>
      <w:r>
        <w:rPr>
          <w:rFonts w:hint="eastAsia" w:hAnsi="宋体" w:cs="宋体"/>
          <w:color w:val="auto"/>
          <w:sz w:val="24"/>
          <w:highlight w:val="none"/>
          <w:lang w:eastAsia="zh-CN"/>
        </w:rPr>
        <w:t>”</w:t>
      </w:r>
      <w:r>
        <w:rPr>
          <w:rFonts w:hint="eastAsia" w:hAnsi="宋体" w:cs="宋体"/>
          <w:color w:val="auto"/>
          <w:sz w:val="24"/>
          <w:highlight w:val="none"/>
        </w:rPr>
        <w:t>字样。</w:t>
      </w:r>
    </w:p>
    <w:p w14:paraId="469CB11D">
      <w:pPr>
        <w:pStyle w:val="4"/>
        <w:spacing w:line="400" w:lineRule="exact"/>
        <w:ind w:firstLine="482" w:firstLineChars="200"/>
        <w:rPr>
          <w:rFonts w:cs="宋体"/>
          <w:b/>
          <w:color w:val="auto"/>
          <w:sz w:val="24"/>
          <w:highlight w:val="none"/>
        </w:rPr>
      </w:pPr>
      <w:bookmarkStart w:id="376" w:name="_Toc2517"/>
      <w:bookmarkStart w:id="377" w:name="_Toc12661"/>
      <w:bookmarkStart w:id="378" w:name="_Toc22407"/>
      <w:bookmarkStart w:id="379" w:name="_Toc17836"/>
      <w:bookmarkStart w:id="380" w:name="_Toc29335"/>
      <w:bookmarkStart w:id="381" w:name="_Toc4765"/>
      <w:bookmarkStart w:id="382" w:name="_Toc2597"/>
      <w:bookmarkStart w:id="383" w:name="_Toc13756"/>
      <w:bookmarkStart w:id="384" w:name="_Toc23080"/>
      <w:bookmarkStart w:id="385" w:name="_Toc14096"/>
      <w:bookmarkStart w:id="386" w:name="_Toc26616"/>
      <w:bookmarkStart w:id="387" w:name="_Toc1820"/>
      <w:bookmarkStart w:id="388" w:name="_Toc17096"/>
      <w:bookmarkStart w:id="389" w:name="_Toc106030403"/>
      <w:bookmarkStart w:id="390" w:name="_Toc75793527"/>
      <w:bookmarkStart w:id="391" w:name="_Toc12657"/>
      <w:bookmarkStart w:id="392" w:name="_Toc13013"/>
      <w:r>
        <w:rPr>
          <w:rFonts w:hint="eastAsia" w:cs="宋体"/>
          <w:b/>
          <w:color w:val="auto"/>
          <w:sz w:val="24"/>
          <w:highlight w:val="none"/>
        </w:rPr>
        <w:t>四、开标</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26E8167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（一）开标应当在招标文件中“投标邀请书”确定的时间和地点公开进行。</w:t>
      </w:r>
    </w:p>
    <w:p w14:paraId="162C217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（二）采购代理机构可视采购具体情况，延长投标截止时间和开标时间，并将变更时间书面通知所有招标文件收受人。</w:t>
      </w:r>
    </w:p>
    <w:p w14:paraId="45709B6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（三）开标由采购人或采购代理机构主持，邀请</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和有关监督部门代表参加,有关监督部门可视情况派员现场监督。</w:t>
      </w:r>
    </w:p>
    <w:p w14:paraId="4912CDE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（四）开标时，由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或者其推选的代表检查</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的密封情况；经确认无误后，由采购人或者采购代理机构工作人员当众拆封，宣布</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名称、投标价格和《开标一览表》规定的需要宣布的其他内容。</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不足三家的，不得开标。</w:t>
      </w:r>
    </w:p>
    <w:p w14:paraId="1BF41401">
      <w:pPr>
        <w:pStyle w:val="10"/>
        <w:spacing w:line="400" w:lineRule="exact"/>
        <w:ind w:firstLine="480" w:firstLineChars="200"/>
        <w:rPr>
          <w:rFonts w:hAnsi="宋体" w:cs="宋体"/>
          <w:color w:val="auto"/>
          <w:sz w:val="24"/>
          <w:highlight w:val="none"/>
        </w:rPr>
      </w:pPr>
      <w:r>
        <w:rPr>
          <w:rFonts w:hint="eastAsia" w:hAnsi="宋体" w:cs="宋体"/>
          <w:color w:val="auto"/>
          <w:sz w:val="24"/>
          <w:highlight w:val="none"/>
        </w:rPr>
        <w:t>（五）</w:t>
      </w:r>
      <w:r>
        <w:rPr>
          <w:rFonts w:hint="eastAsia" w:hAnsi="宋体" w:cs="宋体"/>
          <w:color w:val="auto"/>
          <w:sz w:val="24"/>
          <w:highlight w:val="none"/>
          <w:lang w:eastAsia="zh-CN"/>
        </w:rPr>
        <w:t>供应商</w:t>
      </w:r>
      <w:r>
        <w:rPr>
          <w:rFonts w:hint="eastAsia" w:hAnsi="宋体" w:cs="宋体"/>
          <w:color w:val="auto"/>
          <w:sz w:val="24"/>
          <w:highlight w:val="none"/>
        </w:rPr>
        <w:t>未参加开标的，视同认可开标结果。</w:t>
      </w:r>
    </w:p>
    <w:p w14:paraId="5E0B854B">
      <w:pPr>
        <w:pStyle w:val="4"/>
        <w:spacing w:line="400" w:lineRule="exact"/>
        <w:ind w:firstLine="482" w:firstLineChars="200"/>
        <w:rPr>
          <w:rFonts w:cs="宋体"/>
          <w:b/>
          <w:color w:val="auto"/>
          <w:sz w:val="24"/>
          <w:highlight w:val="none"/>
        </w:rPr>
      </w:pPr>
      <w:bookmarkStart w:id="393" w:name="_Toc26506"/>
      <w:bookmarkStart w:id="394" w:name="_Toc24485"/>
      <w:bookmarkStart w:id="395" w:name="_Toc29007"/>
      <w:bookmarkStart w:id="396" w:name="_Toc13976"/>
      <w:bookmarkStart w:id="397" w:name="_Toc5409"/>
      <w:bookmarkStart w:id="398" w:name="_Toc179"/>
      <w:bookmarkStart w:id="399" w:name="_Toc20739"/>
      <w:bookmarkStart w:id="400" w:name="_Toc9134"/>
      <w:bookmarkStart w:id="401" w:name="_Toc8319"/>
      <w:bookmarkStart w:id="402" w:name="_Toc15031"/>
      <w:bookmarkStart w:id="403" w:name="_Toc106030404"/>
      <w:bookmarkStart w:id="404" w:name="_Toc12882"/>
      <w:bookmarkStart w:id="405" w:name="_Toc8659"/>
      <w:bookmarkStart w:id="406" w:name="_Toc868"/>
      <w:bookmarkStart w:id="407" w:name="_Toc25586"/>
      <w:bookmarkStart w:id="408" w:name="_Toc75793528"/>
      <w:bookmarkStart w:id="409" w:name="_Toc17837"/>
      <w:r>
        <w:rPr>
          <w:rFonts w:hint="eastAsia" w:cs="宋体"/>
          <w:b/>
          <w:color w:val="auto"/>
          <w:sz w:val="24"/>
          <w:highlight w:val="none"/>
        </w:rPr>
        <w:t>五、评标</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784903D5">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见第四篇“评标”内容。</w:t>
      </w:r>
    </w:p>
    <w:p w14:paraId="33773D4C">
      <w:pPr>
        <w:pStyle w:val="4"/>
        <w:spacing w:line="400" w:lineRule="exact"/>
        <w:ind w:firstLine="482" w:firstLineChars="200"/>
        <w:rPr>
          <w:rFonts w:cs="宋体"/>
          <w:b/>
          <w:color w:val="auto"/>
          <w:sz w:val="24"/>
          <w:highlight w:val="none"/>
        </w:rPr>
      </w:pPr>
      <w:bookmarkStart w:id="410" w:name="_Toc29605"/>
      <w:bookmarkStart w:id="411" w:name="_Toc22130"/>
      <w:bookmarkStart w:id="412" w:name="_Toc18575"/>
      <w:bookmarkStart w:id="413" w:name="_Toc27276"/>
      <w:bookmarkStart w:id="414" w:name="_Toc5090"/>
      <w:bookmarkStart w:id="415" w:name="_Toc4062"/>
      <w:bookmarkStart w:id="416" w:name="_Toc14504"/>
      <w:bookmarkStart w:id="417" w:name="_Toc29714"/>
      <w:bookmarkStart w:id="418" w:name="_Toc19170"/>
      <w:bookmarkStart w:id="419" w:name="_Toc20583"/>
      <w:bookmarkStart w:id="420" w:name="_Toc6174"/>
      <w:bookmarkStart w:id="421" w:name="_Toc106030405"/>
      <w:bookmarkStart w:id="422" w:name="_Toc4529"/>
      <w:bookmarkStart w:id="423" w:name="_Toc75793529"/>
      <w:bookmarkStart w:id="424" w:name="_Toc26593"/>
      <w:bookmarkStart w:id="425" w:name="_Toc32002"/>
      <w:bookmarkStart w:id="426" w:name="_Toc9516"/>
      <w:r>
        <w:rPr>
          <w:rFonts w:hint="eastAsia" w:cs="宋体"/>
          <w:b/>
          <w:color w:val="auto"/>
          <w:sz w:val="24"/>
          <w:highlight w:val="none"/>
        </w:rPr>
        <w:t>六、定标</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185AE2AF">
      <w:pPr>
        <w:snapToGrid w:val="0"/>
        <w:spacing w:line="400" w:lineRule="exact"/>
        <w:ind w:firstLine="480" w:firstLineChars="200"/>
        <w:outlineLvl w:val="2"/>
        <w:rPr>
          <w:rFonts w:ascii="宋体" w:hAnsi="宋体" w:cs="宋体"/>
          <w:color w:val="auto"/>
          <w:sz w:val="24"/>
          <w:highlight w:val="none"/>
        </w:rPr>
      </w:pPr>
      <w:r>
        <w:rPr>
          <w:rFonts w:hint="eastAsia" w:ascii="宋体" w:hAnsi="宋体" w:cs="宋体"/>
          <w:color w:val="auto"/>
          <w:sz w:val="24"/>
          <w:highlight w:val="none"/>
        </w:rPr>
        <w:t>（一）定标原则</w:t>
      </w:r>
    </w:p>
    <w:p w14:paraId="579B77E5">
      <w:pPr>
        <w:snapToGrid w:val="0"/>
        <w:spacing w:line="40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评标委员会按照</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最后得分由高到低的顺序，向招标人推荐出1-3名中标候选人。</w:t>
      </w:r>
    </w:p>
    <w:p w14:paraId="481FD022">
      <w:pPr>
        <w:pStyle w:val="10"/>
        <w:spacing w:line="400" w:lineRule="exact"/>
        <w:ind w:firstLine="480" w:firstLineChars="200"/>
        <w:outlineLvl w:val="2"/>
        <w:rPr>
          <w:rFonts w:hAnsi="宋体" w:cs="宋体"/>
          <w:color w:val="auto"/>
          <w:sz w:val="24"/>
          <w:highlight w:val="none"/>
        </w:rPr>
      </w:pPr>
      <w:r>
        <w:rPr>
          <w:rFonts w:hint="eastAsia" w:hAnsi="宋体" w:cs="宋体"/>
          <w:color w:val="auto"/>
          <w:sz w:val="24"/>
          <w:highlight w:val="none"/>
        </w:rPr>
        <w:t>（二）定标程序</w:t>
      </w:r>
    </w:p>
    <w:p w14:paraId="43DB0ABB">
      <w:pPr>
        <w:pStyle w:val="10"/>
        <w:spacing w:line="400" w:lineRule="exact"/>
        <w:ind w:firstLine="480" w:firstLineChars="200"/>
        <w:rPr>
          <w:rFonts w:hAnsi="宋体" w:cs="宋体"/>
          <w:color w:val="auto"/>
          <w:sz w:val="24"/>
          <w:highlight w:val="none"/>
        </w:rPr>
      </w:pPr>
      <w:r>
        <w:rPr>
          <w:rFonts w:hint="eastAsia" w:hAnsi="宋体" w:cs="宋体"/>
          <w:color w:val="auto"/>
          <w:sz w:val="24"/>
          <w:highlight w:val="none"/>
        </w:rPr>
        <w:t>1.采购代理机构应当在评标结束后2个工作日内将评标报告送采购人。</w:t>
      </w:r>
    </w:p>
    <w:p w14:paraId="5459ECC2">
      <w:pPr>
        <w:pStyle w:val="10"/>
        <w:spacing w:line="400" w:lineRule="exact"/>
        <w:ind w:firstLine="480" w:firstLineChars="200"/>
        <w:rPr>
          <w:rFonts w:hAnsi="宋体" w:cs="宋体"/>
          <w:color w:val="auto"/>
          <w:sz w:val="24"/>
          <w:highlight w:val="none"/>
        </w:rPr>
      </w:pPr>
      <w:r>
        <w:rPr>
          <w:rFonts w:hint="eastAsia" w:hAnsi="宋体" w:cs="宋体"/>
          <w:color w:val="auto"/>
          <w:sz w:val="24"/>
          <w:highlight w:val="none"/>
        </w:rPr>
        <w:t>2.采购人应当自收到评标报告之日起5个工作日内确定中标人。</w:t>
      </w:r>
    </w:p>
    <w:p w14:paraId="265C6D1A">
      <w:pPr>
        <w:pStyle w:val="10"/>
        <w:spacing w:line="400" w:lineRule="exact"/>
        <w:ind w:firstLine="480" w:firstLineChars="200"/>
        <w:rPr>
          <w:rFonts w:hAnsi="宋体" w:cs="宋体"/>
          <w:color w:val="auto"/>
          <w:sz w:val="24"/>
          <w:highlight w:val="none"/>
        </w:rPr>
      </w:pPr>
      <w:r>
        <w:rPr>
          <w:rFonts w:hint="eastAsia" w:hAnsi="宋体" w:cs="宋体"/>
          <w:color w:val="auto"/>
          <w:sz w:val="24"/>
          <w:highlight w:val="none"/>
        </w:rPr>
        <w:t>3.采购人或者采购代理机构应当自中标人确定之日起2个工作日内，在</w:t>
      </w:r>
      <w:r>
        <w:rPr>
          <w:rFonts w:hint="eastAsia" w:hAnsi="宋体" w:cs="宋体"/>
          <w:color w:val="auto"/>
          <w:sz w:val="24"/>
          <w:szCs w:val="24"/>
          <w:highlight w:val="none"/>
        </w:rPr>
        <w:t>“行采家”平台（http://www.gec123.com）</w:t>
      </w:r>
      <w:r>
        <w:rPr>
          <w:rFonts w:hint="eastAsia" w:hAnsi="宋体" w:cs="宋体"/>
          <w:color w:val="auto"/>
          <w:sz w:val="24"/>
          <w:highlight w:val="none"/>
        </w:rPr>
        <w:t>网上公告中标结果。中标公告期限为1个工作日。</w:t>
      </w:r>
    </w:p>
    <w:p w14:paraId="3208B16F">
      <w:pPr>
        <w:pStyle w:val="10"/>
        <w:spacing w:line="400" w:lineRule="exact"/>
        <w:ind w:firstLine="480" w:firstLineChars="200"/>
        <w:rPr>
          <w:rFonts w:hAnsi="宋体" w:cs="宋体"/>
          <w:color w:val="auto"/>
          <w:sz w:val="24"/>
          <w:highlight w:val="none"/>
        </w:rPr>
      </w:pPr>
      <w:r>
        <w:rPr>
          <w:rFonts w:hint="eastAsia" w:hAnsi="宋体" w:cs="宋体"/>
          <w:color w:val="auto"/>
          <w:sz w:val="24"/>
          <w:highlight w:val="none"/>
        </w:rPr>
        <w:t>4.中标人变更</w:t>
      </w:r>
    </w:p>
    <w:p w14:paraId="4FA0684E">
      <w:pPr>
        <w:pStyle w:val="10"/>
        <w:spacing w:line="400" w:lineRule="exact"/>
        <w:ind w:firstLine="480" w:firstLineChars="200"/>
        <w:rPr>
          <w:rFonts w:hAnsi="宋体" w:cs="宋体"/>
          <w:color w:val="auto"/>
          <w:sz w:val="24"/>
          <w:highlight w:val="none"/>
        </w:rPr>
      </w:pPr>
      <w:r>
        <w:rPr>
          <w:rFonts w:hint="eastAsia" w:hAnsi="宋体" w:cs="宋体"/>
          <w:color w:val="auto"/>
          <w:sz w:val="24"/>
          <w:highlight w:val="none"/>
        </w:rPr>
        <w:t>中标人拒绝与采购人签订合同的，采购人可以按照评标报告推荐的中标候选人顺序，确定排名下一位的候选人为中标人，也可以重新开展政府采购活动。</w:t>
      </w:r>
    </w:p>
    <w:p w14:paraId="2E7C6500">
      <w:pPr>
        <w:pStyle w:val="4"/>
        <w:spacing w:line="400" w:lineRule="exact"/>
        <w:ind w:firstLine="482" w:firstLineChars="200"/>
        <w:rPr>
          <w:rFonts w:cs="宋体"/>
          <w:b/>
          <w:color w:val="auto"/>
          <w:sz w:val="24"/>
          <w:highlight w:val="none"/>
        </w:rPr>
      </w:pPr>
      <w:bookmarkStart w:id="427" w:name="_Toc31365"/>
      <w:bookmarkStart w:id="428" w:name="_Toc27221"/>
      <w:bookmarkStart w:id="429" w:name="_Toc15206"/>
      <w:bookmarkStart w:id="430" w:name="_Toc13010"/>
      <w:bookmarkStart w:id="431" w:name="_Toc4241"/>
      <w:bookmarkStart w:id="432" w:name="_Toc8542"/>
      <w:bookmarkStart w:id="433" w:name="_Toc5060"/>
      <w:bookmarkStart w:id="434" w:name="_Toc29924"/>
      <w:bookmarkStart w:id="435" w:name="_Toc13250"/>
      <w:bookmarkStart w:id="436" w:name="_Toc1114"/>
      <w:bookmarkStart w:id="437" w:name="_Toc30482"/>
      <w:bookmarkStart w:id="438" w:name="_Toc2458"/>
      <w:bookmarkStart w:id="439" w:name="_Toc15468"/>
      <w:bookmarkStart w:id="440" w:name="_Toc13043"/>
      <w:bookmarkStart w:id="441" w:name="_Toc75793530"/>
      <w:bookmarkStart w:id="442" w:name="_Toc106030406"/>
      <w:bookmarkStart w:id="443" w:name="_Toc12034"/>
      <w:r>
        <w:rPr>
          <w:rFonts w:hint="eastAsia" w:cs="宋体"/>
          <w:b/>
          <w:color w:val="auto"/>
          <w:sz w:val="24"/>
          <w:highlight w:val="none"/>
        </w:rPr>
        <w:t>七、中标</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4CDAB622">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（一）采购人依法确定中标人后，采购代理机构以书面形式发出中标通知书。</w:t>
      </w:r>
    </w:p>
    <w:p w14:paraId="62709BE4">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（二）中标通知书发出后，采购人改变中标结果，或者中标人放弃中标，应当承担相应的法律责任。</w:t>
      </w:r>
    </w:p>
    <w:p w14:paraId="3DB09FD5">
      <w:pPr>
        <w:pStyle w:val="4"/>
        <w:spacing w:line="400" w:lineRule="exact"/>
        <w:ind w:firstLine="482" w:firstLineChars="200"/>
        <w:rPr>
          <w:rFonts w:cs="宋体"/>
          <w:b/>
          <w:color w:val="auto"/>
          <w:sz w:val="24"/>
          <w:highlight w:val="none"/>
        </w:rPr>
      </w:pPr>
      <w:bookmarkStart w:id="444" w:name="_Toc902"/>
      <w:bookmarkStart w:id="445" w:name="_Toc4157"/>
      <w:bookmarkStart w:id="446" w:name="_Toc27770"/>
      <w:bookmarkStart w:id="447" w:name="_Toc106030407"/>
      <w:bookmarkStart w:id="448" w:name="_Toc14518"/>
      <w:bookmarkStart w:id="449" w:name="_Toc32509"/>
      <w:bookmarkStart w:id="450" w:name="_Toc9499"/>
      <w:bookmarkStart w:id="451" w:name="_Toc23031"/>
      <w:bookmarkStart w:id="452" w:name="_Toc2537"/>
      <w:bookmarkStart w:id="453" w:name="_Toc10950"/>
      <w:bookmarkStart w:id="454" w:name="_Toc16406"/>
      <w:bookmarkStart w:id="455" w:name="_Toc17845"/>
      <w:bookmarkStart w:id="456" w:name="_Toc32707"/>
      <w:bookmarkStart w:id="457" w:name="_Toc6815"/>
      <w:bookmarkStart w:id="458" w:name="_Toc26806"/>
      <w:bookmarkStart w:id="459" w:name="_Toc25328"/>
      <w:bookmarkStart w:id="460" w:name="_Toc75793531"/>
      <w:r>
        <w:rPr>
          <w:rFonts w:hint="eastAsia" w:cs="宋体"/>
          <w:b/>
          <w:color w:val="auto"/>
          <w:sz w:val="24"/>
          <w:highlight w:val="none"/>
        </w:rPr>
        <w:t>八、询问、质疑和投诉</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5611D8EE">
      <w:pPr>
        <w:spacing w:line="400" w:lineRule="exact"/>
        <w:ind w:right="12" w:firstLine="480"/>
        <w:outlineLvl w:val="2"/>
        <w:rPr>
          <w:rFonts w:ascii="宋体" w:hAnsi="宋体" w:cs="宋体"/>
          <w:color w:val="auto"/>
          <w:sz w:val="24"/>
          <w:highlight w:val="none"/>
        </w:rPr>
      </w:pPr>
      <w:r>
        <w:rPr>
          <w:rFonts w:hint="eastAsia" w:ascii="宋体" w:hAnsi="宋体" w:cs="宋体"/>
          <w:color w:val="auto"/>
          <w:sz w:val="24"/>
          <w:highlight w:val="none"/>
        </w:rPr>
        <w:t>（一）询问</w:t>
      </w:r>
    </w:p>
    <w:p w14:paraId="246A3A87">
      <w:pPr>
        <w:spacing w:line="400" w:lineRule="exact"/>
        <w:ind w:right="12" w:firstLine="480"/>
        <w:rPr>
          <w:rFonts w:ascii="宋体" w:hAnsi="宋体" w:cs="宋体"/>
          <w:color w:val="auto"/>
          <w:sz w:val="24"/>
          <w:highlight w:val="none"/>
        </w:rPr>
      </w:pPr>
      <w:r>
        <w:rPr>
          <w:rFonts w:hint="eastAsia" w:ascii="宋体" w:hAnsi="宋体" w:cs="宋体"/>
          <w:color w:val="auto"/>
          <w:sz w:val="24"/>
          <w:highlight w:val="none"/>
        </w:rPr>
        <w:t>采购人或者采购代理机构应当在3个工作日内对</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依法提出的询问作出答复。</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询问可以是口头或书面形式。</w:t>
      </w:r>
    </w:p>
    <w:p w14:paraId="0FD06943">
      <w:pPr>
        <w:snapToGrid w:val="0"/>
        <w:spacing w:line="400" w:lineRule="exact"/>
        <w:ind w:firstLine="480" w:firstLineChars="200"/>
        <w:outlineLvl w:val="2"/>
        <w:rPr>
          <w:rFonts w:ascii="宋体" w:hAnsi="宋体" w:cs="宋体"/>
          <w:color w:val="auto"/>
          <w:sz w:val="24"/>
          <w:highlight w:val="none"/>
        </w:rPr>
      </w:pPr>
      <w:r>
        <w:rPr>
          <w:rFonts w:hint="eastAsia" w:ascii="宋体" w:hAnsi="宋体" w:cs="宋体"/>
          <w:color w:val="auto"/>
          <w:sz w:val="24"/>
          <w:highlight w:val="none"/>
        </w:rPr>
        <w:t>（二）质疑</w:t>
      </w:r>
    </w:p>
    <w:p w14:paraId="32185773">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认为采购文件、采购过程和中标结果使自己的权益受到伤害的，可向采购人或采购代理机构以书面形式提出质疑。</w:t>
      </w:r>
    </w:p>
    <w:p w14:paraId="34298960">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提出质疑的应当是参与所质疑项目采购活动的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 </w:t>
      </w:r>
    </w:p>
    <w:p w14:paraId="51A6FC33">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1.质疑时限、内容</w:t>
      </w:r>
    </w:p>
    <w:p w14:paraId="188715CB">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对招标文件提出质疑的，应在依法获取招标文件之日或者招标文件公告期限届满之日起七个工作日内提出。</w:t>
      </w:r>
    </w:p>
    <w:p w14:paraId="2A5F71AB">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1.2 </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对采购过程提出质疑的，应在各采购程序环节结束之日起七个工作日内提出。</w:t>
      </w:r>
    </w:p>
    <w:p w14:paraId="50BC6964">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对中标结果提出质疑的，应当在中标结果公告期限届满之日起七个工作日内提出。</w:t>
      </w:r>
    </w:p>
    <w:p w14:paraId="2A1F360C">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提出质疑应当提交质疑函和必要的证明材料，质疑函应当包括下列内容：</w:t>
      </w:r>
    </w:p>
    <w:p w14:paraId="5A06D11A">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1.4.1供应商的姓名或者名称、地址、邮编、联系人及联系电话；</w:t>
      </w:r>
    </w:p>
    <w:p w14:paraId="37558370">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1.4.2质疑项目的名称以及采购执行编号；</w:t>
      </w:r>
    </w:p>
    <w:p w14:paraId="0794D35A">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1.4.3具体、明确的质疑事项和与质疑事项相关的请求；</w:t>
      </w:r>
    </w:p>
    <w:p w14:paraId="33CE25C9">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1.4.4事实依据；</w:t>
      </w:r>
    </w:p>
    <w:p w14:paraId="2EEF050D">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1.4.5必要的法律依据；</w:t>
      </w:r>
    </w:p>
    <w:p w14:paraId="20C74E7B">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1.4.6提出质疑的日期；</w:t>
      </w:r>
    </w:p>
    <w:p w14:paraId="366484D8">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1.4.7营业执照（或事业单位法人证书，或个体工商户营业执照或有效的自然人身份证明）复印件；</w:t>
      </w:r>
    </w:p>
    <w:p w14:paraId="25E6E100">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1.4.8法定代表人授权委托书原件、法定代表人身份证复印件和其授权代表的身份证复印件（供应商为自然人的提供自然人身份证复印件）；</w:t>
      </w:r>
    </w:p>
    <w:p w14:paraId="004A0CC3">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1.5供应商为自然人的，质疑函应当由本人签字；供应商为法人或者其他组织的，质疑函应当由法定代表人、主要负责人，或者其授权代表签字或者盖章，并加盖公章。</w:t>
      </w:r>
    </w:p>
    <w:p w14:paraId="2FE1CD90">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2.质疑答复</w:t>
      </w:r>
    </w:p>
    <w:p w14:paraId="52DF0732">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采购人、采购代理机构应当在收到</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的书面质疑后七个工作日内作出答复，并以书面形式通知质疑</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和其他有关</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14:paraId="5FC9E680">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3.其他</w:t>
      </w:r>
    </w:p>
    <w:p w14:paraId="7FCF069B">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应按照《政府采购质疑和投诉办法》（财政部令第94号）及相关法律法规要求，在法定质疑期内一次性提出针对同一采购程序环节的质疑。</w:t>
      </w:r>
    </w:p>
    <w:p w14:paraId="698925BA">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3.2质疑函范本可在财政部门户网站和中国政府采购网下载。</w:t>
      </w:r>
    </w:p>
    <w:p w14:paraId="646D53A4">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4.质疑联系方式详见第一篇“联系方式”。</w:t>
      </w:r>
    </w:p>
    <w:p w14:paraId="4BB2FA9A">
      <w:pPr>
        <w:pStyle w:val="4"/>
        <w:spacing w:line="400" w:lineRule="exact"/>
        <w:ind w:firstLine="482" w:firstLineChars="200"/>
        <w:rPr>
          <w:rFonts w:cs="宋体"/>
          <w:b/>
          <w:color w:val="auto"/>
          <w:sz w:val="24"/>
          <w:highlight w:val="none"/>
        </w:rPr>
      </w:pPr>
      <w:bookmarkStart w:id="461" w:name="_Toc6890"/>
      <w:bookmarkStart w:id="462" w:name="_Toc106030408"/>
      <w:bookmarkStart w:id="463" w:name="_Toc75793532"/>
      <w:bookmarkStart w:id="464" w:name="_Toc6066"/>
      <w:bookmarkStart w:id="465" w:name="_Toc12779"/>
      <w:bookmarkStart w:id="466" w:name="_Toc21973"/>
      <w:bookmarkStart w:id="467" w:name="_Toc4606"/>
      <w:bookmarkStart w:id="468" w:name="_Toc28235"/>
      <w:bookmarkStart w:id="469" w:name="_Toc418"/>
      <w:bookmarkStart w:id="470" w:name="_Toc22508"/>
      <w:bookmarkStart w:id="471" w:name="_Toc5437"/>
      <w:bookmarkStart w:id="472" w:name="_Toc12684"/>
      <w:bookmarkStart w:id="473" w:name="_Toc27957"/>
      <w:bookmarkStart w:id="474" w:name="_Toc29101"/>
      <w:bookmarkStart w:id="475" w:name="_Toc32457"/>
      <w:bookmarkStart w:id="476" w:name="_Toc8407"/>
      <w:bookmarkStart w:id="477" w:name="_Toc9466"/>
      <w:r>
        <w:rPr>
          <w:rFonts w:hint="eastAsia" w:cs="宋体"/>
          <w:b/>
          <w:color w:val="auto"/>
          <w:sz w:val="24"/>
          <w:highlight w:val="none"/>
        </w:rPr>
        <w:t>九、采购代理服务费</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054628E1">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1.供应商成交后向采购代理机构缴纳采购代理服务费，本项目代理服务费为</w:t>
      </w:r>
      <w:r>
        <w:rPr>
          <w:rFonts w:hint="eastAsia" w:ascii="宋体" w:hAnsi="宋体" w:cs="宋体"/>
          <w:color w:val="auto"/>
          <w:sz w:val="24"/>
          <w:highlight w:val="none"/>
          <w:lang w:val="en-US" w:eastAsia="zh-CN"/>
        </w:rPr>
        <w:t>1250</w:t>
      </w:r>
      <w:r>
        <w:rPr>
          <w:rFonts w:hint="eastAsia" w:ascii="宋体" w:hAnsi="宋体" w:cs="宋体"/>
          <w:color w:val="auto"/>
          <w:sz w:val="24"/>
          <w:highlight w:val="none"/>
        </w:rPr>
        <w:t>0.00元（大写：</w:t>
      </w:r>
      <w:r>
        <w:rPr>
          <w:rFonts w:hint="eastAsia" w:ascii="宋体" w:hAnsi="宋体" w:cs="宋体"/>
          <w:color w:val="auto"/>
          <w:sz w:val="24"/>
          <w:highlight w:val="none"/>
          <w:lang w:val="en-US" w:eastAsia="zh-CN"/>
        </w:rPr>
        <w:t>壹万贰仟伍佰</w:t>
      </w:r>
      <w:r>
        <w:rPr>
          <w:rFonts w:hint="eastAsia" w:ascii="宋体" w:hAnsi="宋体" w:cs="宋体"/>
          <w:color w:val="auto"/>
          <w:sz w:val="24"/>
          <w:highlight w:val="none"/>
        </w:rPr>
        <w:t>元整）服务费以转账或现金形式支付。</w:t>
      </w:r>
    </w:p>
    <w:p w14:paraId="6C46E36B">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采购代理服务费缴纳账户信息： </w:t>
      </w:r>
    </w:p>
    <w:p w14:paraId="56D8EAAB">
      <w:pPr>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开户名称：柴盛科技（重庆）有限公司</w:t>
      </w:r>
    </w:p>
    <w:p w14:paraId="277CD06E">
      <w:pPr>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开户银行：中国民生银行股份有限公司重庆沙坪坝支行</w:t>
      </w:r>
    </w:p>
    <w:p w14:paraId="2532F6EF">
      <w:pPr>
        <w:spacing w:line="400" w:lineRule="exact"/>
        <w:ind w:firstLine="480" w:firstLineChars="200"/>
        <w:rPr>
          <w:rFonts w:ascii="宋体" w:hAnsi="宋体" w:cs="宋体"/>
          <w:color w:val="auto"/>
          <w:highlight w:val="none"/>
        </w:rPr>
      </w:pPr>
      <w:r>
        <w:rPr>
          <w:rFonts w:hint="eastAsia" w:ascii="宋体" w:hAnsi="宋体" w:cs="宋体"/>
          <w:bCs/>
          <w:color w:val="auto"/>
          <w:sz w:val="24"/>
          <w:szCs w:val="24"/>
          <w:highlight w:val="none"/>
        </w:rPr>
        <w:t>账号：171340530</w:t>
      </w:r>
    </w:p>
    <w:p w14:paraId="370EFA0D">
      <w:pPr>
        <w:pStyle w:val="4"/>
        <w:spacing w:line="400" w:lineRule="exact"/>
        <w:ind w:firstLine="482" w:firstLineChars="200"/>
        <w:rPr>
          <w:rFonts w:cs="宋体"/>
          <w:b/>
          <w:color w:val="auto"/>
          <w:sz w:val="24"/>
          <w:highlight w:val="none"/>
        </w:rPr>
      </w:pPr>
      <w:bookmarkStart w:id="478" w:name="_Toc23988"/>
      <w:bookmarkStart w:id="479" w:name="_Toc18724"/>
      <w:bookmarkStart w:id="480" w:name="_Toc9444"/>
      <w:bookmarkStart w:id="481" w:name="_Toc25630"/>
      <w:bookmarkStart w:id="482" w:name="_Toc8954"/>
      <w:bookmarkStart w:id="483" w:name="_Toc9036"/>
      <w:bookmarkStart w:id="484" w:name="_Toc17066"/>
      <w:bookmarkStart w:id="485" w:name="_Toc19828"/>
      <w:bookmarkStart w:id="486" w:name="_Toc14491"/>
      <w:bookmarkStart w:id="487" w:name="_Toc106030410"/>
      <w:bookmarkStart w:id="488" w:name="_Toc26946"/>
      <w:bookmarkStart w:id="489" w:name="_Toc25158"/>
      <w:bookmarkStart w:id="490" w:name="_Toc30396"/>
      <w:bookmarkStart w:id="491" w:name="_Toc20263"/>
      <w:bookmarkStart w:id="492" w:name="_Toc10797"/>
      <w:bookmarkStart w:id="493" w:name="_Toc1312"/>
      <w:bookmarkStart w:id="494" w:name="_Toc75793534"/>
      <w:r>
        <w:rPr>
          <w:rFonts w:hint="eastAsia" w:cs="宋体"/>
          <w:b/>
          <w:color w:val="auto"/>
          <w:sz w:val="24"/>
          <w:highlight w:val="none"/>
        </w:rPr>
        <w:t>十、签订合同</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7E5D899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（一）采购人原则上应在中标通知书发出之日起二十日内和中标人签订采购合同，无正当理由不得拒绝或拖延合同签订。所签订的合同不得对招标文件和中标人</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作实质性修改。</w:t>
      </w:r>
      <w:r>
        <w:rPr>
          <w:rFonts w:hint="eastAsia" w:ascii="宋体" w:hAnsi="宋体" w:cs="宋体"/>
          <w:color w:val="auto"/>
          <w:kern w:val="0"/>
          <w:sz w:val="24"/>
          <w:szCs w:val="24"/>
          <w:highlight w:val="none"/>
        </w:rPr>
        <w:t>其他未尽事宜由采购人和中标人在采购合同中详细约定。</w:t>
      </w:r>
    </w:p>
    <w:p w14:paraId="18C9A8B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（二）招标文件、中标人的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及澄清文件等，均为签订采购合同的依据。</w:t>
      </w:r>
    </w:p>
    <w:p w14:paraId="6F9606B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（三）合同生效条款由供需双方约定，法律、行政法规规定应当办理批准、登记等手续后生效的合同，依照其规定。</w:t>
      </w:r>
    </w:p>
    <w:p w14:paraId="28FCC2C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（四）合同原则上应按照《采购合同》签订，相关单位要求适用合同通用格式版本的，应按其要求另行签订其他合同。</w:t>
      </w:r>
    </w:p>
    <w:p w14:paraId="43BBC8A7">
      <w:pPr>
        <w:pStyle w:val="3"/>
        <w:spacing w:beforeLines="0" w:afterLines="0" w:line="360" w:lineRule="auto"/>
        <w:rPr>
          <w:rFonts w:ascii="宋体" w:hAnsi="宋体" w:eastAsia="宋体" w:cs="宋体"/>
          <w:b/>
          <w:color w:val="auto"/>
          <w:highlight w:val="none"/>
        </w:rPr>
      </w:pPr>
      <w:r>
        <w:rPr>
          <w:rFonts w:hint="eastAsia" w:ascii="宋体" w:hAnsi="宋体" w:eastAsia="宋体" w:cs="宋体"/>
          <w:color w:val="auto"/>
          <w:highlight w:val="none"/>
        </w:rPr>
        <w:br w:type="page"/>
      </w:r>
      <w:bookmarkStart w:id="495" w:name="_Toc9831"/>
      <w:bookmarkStart w:id="496" w:name="_Toc13696"/>
      <w:bookmarkStart w:id="497" w:name="_Toc28592"/>
      <w:bookmarkStart w:id="498" w:name="_Toc4454"/>
      <w:bookmarkStart w:id="499" w:name="_Toc21870"/>
      <w:bookmarkStart w:id="500" w:name="_Toc15446"/>
      <w:bookmarkStart w:id="501" w:name="_Toc7598"/>
      <w:bookmarkStart w:id="502" w:name="_Toc128"/>
      <w:bookmarkStart w:id="503" w:name="_Toc3344"/>
      <w:bookmarkStart w:id="504" w:name="_Toc9505"/>
      <w:bookmarkStart w:id="505" w:name="_Toc12210"/>
      <w:bookmarkStart w:id="506" w:name="_Toc75793536"/>
      <w:bookmarkStart w:id="507" w:name="_Toc5880"/>
      <w:bookmarkStart w:id="508" w:name="_Toc5544"/>
      <w:bookmarkStart w:id="509" w:name="_Toc19939"/>
      <w:bookmarkStart w:id="510" w:name="_Toc17885"/>
      <w:r>
        <w:rPr>
          <w:rFonts w:hint="eastAsia" w:ascii="宋体" w:hAnsi="宋体" w:eastAsia="宋体" w:cs="宋体"/>
          <w:b/>
          <w:color w:val="auto"/>
          <w:highlight w:val="none"/>
        </w:rPr>
        <w:t>第六篇  合同主要条款和格式合同（样本）</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2DDB4D24">
      <w:pPr>
        <w:jc w:val="center"/>
        <w:rPr>
          <w:b/>
          <w:bCs/>
          <w:color w:val="auto"/>
          <w:sz w:val="44"/>
          <w:szCs w:val="44"/>
          <w:highlight w:val="none"/>
        </w:rPr>
      </w:pPr>
      <w:r>
        <w:rPr>
          <w:rFonts w:hint="eastAsia"/>
          <w:b/>
          <w:bCs/>
          <w:color w:val="auto"/>
          <w:sz w:val="44"/>
          <w:szCs w:val="44"/>
          <w:highlight w:val="none"/>
        </w:rPr>
        <w:t>一般工业固废（污泥）处置协议</w:t>
      </w:r>
    </w:p>
    <w:p w14:paraId="17C59E8C">
      <w:pPr>
        <w:keepNext w:val="0"/>
        <w:keepLines w:val="0"/>
        <w:pageBreakBefore w:val="0"/>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color w:val="auto"/>
          <w:sz w:val="24"/>
          <w:szCs w:val="24"/>
          <w:highlight w:val="none"/>
        </w:rPr>
        <w:t>转出方</w:t>
      </w:r>
      <w:r>
        <w:rPr>
          <w:rFonts w:hint="eastAsia"/>
          <w:color w:val="auto"/>
          <w:sz w:val="24"/>
          <w:szCs w:val="24"/>
          <w:highlight w:val="none"/>
          <w:lang w:eastAsia="zh-CN"/>
        </w:rPr>
        <w:t>（</w:t>
      </w:r>
      <w:r>
        <w:rPr>
          <w:rFonts w:hint="eastAsia"/>
          <w:color w:val="auto"/>
          <w:sz w:val="24"/>
          <w:szCs w:val="24"/>
          <w:highlight w:val="none"/>
          <w:lang w:val="en-US" w:eastAsia="zh-CN"/>
        </w:rPr>
        <w:t>甲方</w:t>
      </w:r>
      <w:r>
        <w:rPr>
          <w:rFonts w:hint="eastAsia"/>
          <w:color w:val="auto"/>
          <w:sz w:val="24"/>
          <w:szCs w:val="24"/>
          <w:highlight w:val="none"/>
          <w:lang w:eastAsia="zh-CN"/>
        </w:rPr>
        <w:t>）</w:t>
      </w:r>
      <w:r>
        <w:rPr>
          <w:rFonts w:hint="eastAsia"/>
          <w:color w:val="auto"/>
          <w:sz w:val="24"/>
          <w:szCs w:val="24"/>
          <w:highlight w:val="none"/>
        </w:rPr>
        <w:t>：凯发新泉高阳污水处理（重庆）有限公司</w:t>
      </w:r>
    </w:p>
    <w:p w14:paraId="2B997F53">
      <w:pPr>
        <w:keepNext w:val="0"/>
        <w:keepLines w:val="0"/>
        <w:pageBreakBefore w:val="0"/>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color w:val="auto"/>
          <w:sz w:val="24"/>
          <w:szCs w:val="24"/>
          <w:highlight w:val="none"/>
        </w:rPr>
        <w:t>接受方</w:t>
      </w:r>
      <w:r>
        <w:rPr>
          <w:rFonts w:hint="eastAsia"/>
          <w:color w:val="auto"/>
          <w:sz w:val="24"/>
          <w:szCs w:val="24"/>
          <w:highlight w:val="none"/>
          <w:lang w:eastAsia="zh-CN"/>
        </w:rPr>
        <w:t>（</w:t>
      </w:r>
      <w:r>
        <w:rPr>
          <w:rFonts w:hint="eastAsia"/>
          <w:color w:val="auto"/>
          <w:sz w:val="24"/>
          <w:szCs w:val="24"/>
          <w:highlight w:val="none"/>
          <w:lang w:val="en-US" w:eastAsia="zh-CN"/>
        </w:rPr>
        <w:t>乙方</w:t>
      </w:r>
      <w:r>
        <w:rPr>
          <w:rFonts w:hint="eastAsia"/>
          <w:color w:val="auto"/>
          <w:sz w:val="24"/>
          <w:szCs w:val="24"/>
          <w:highlight w:val="none"/>
          <w:lang w:eastAsia="zh-CN"/>
        </w:rPr>
        <w:t>）</w:t>
      </w:r>
      <w:r>
        <w:rPr>
          <w:rFonts w:hint="eastAsia"/>
          <w:color w:val="auto"/>
          <w:sz w:val="24"/>
          <w:szCs w:val="24"/>
          <w:highlight w:val="none"/>
        </w:rPr>
        <w:t>：</w:t>
      </w:r>
    </w:p>
    <w:p w14:paraId="1B7AC3A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凯发新泉高阳污水处理（重庆）有限公司，因生产原因产生的一般工业固废（污泥）(不含有毒有害物质），经   ----（接受方）取样确定，可以用于水泥窑焚烧</w:t>
      </w:r>
      <w:r>
        <w:rPr>
          <w:rFonts w:hint="eastAsia"/>
          <w:color w:val="auto"/>
          <w:sz w:val="24"/>
          <w:szCs w:val="24"/>
          <w:highlight w:val="none"/>
          <w:lang w:val="en-US" w:eastAsia="zh-CN"/>
        </w:rPr>
        <w:t>或填埋</w:t>
      </w:r>
      <w:r>
        <w:rPr>
          <w:rFonts w:hint="eastAsia"/>
          <w:color w:val="auto"/>
          <w:sz w:val="24"/>
          <w:szCs w:val="24"/>
          <w:highlight w:val="none"/>
        </w:rPr>
        <w:t>处置，经双方友好协商，就转出接受处置该污泥 ，达成如下协议。</w:t>
      </w:r>
    </w:p>
    <w:p w14:paraId="3B4C5788">
      <w:pPr>
        <w:keepNext w:val="0"/>
        <w:keepLines w:val="0"/>
        <w:pageBreakBefore w:val="0"/>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color w:val="auto"/>
          <w:sz w:val="24"/>
          <w:szCs w:val="24"/>
          <w:highlight w:val="none"/>
        </w:rPr>
        <w:t>一.转出方</w:t>
      </w:r>
    </w:p>
    <w:p w14:paraId="3B650DD3">
      <w:pPr>
        <w:keepNext w:val="0"/>
        <w:keepLines w:val="0"/>
        <w:pageBreakBefore w:val="0"/>
        <w:kinsoku/>
        <w:wordWrap/>
        <w:overflowPunct/>
        <w:topLinePunct w:val="0"/>
        <w:autoSpaceDE/>
        <w:autoSpaceDN/>
        <w:bidi w:val="0"/>
        <w:adjustRightInd/>
        <w:snapToGrid/>
        <w:spacing w:line="360" w:lineRule="auto"/>
        <w:ind w:left="435"/>
        <w:textAlignment w:val="auto"/>
        <w:rPr>
          <w:color w:val="auto"/>
          <w:sz w:val="24"/>
          <w:szCs w:val="24"/>
          <w:highlight w:val="none"/>
        </w:rPr>
      </w:pPr>
      <w:r>
        <w:rPr>
          <w:rFonts w:hint="eastAsia"/>
          <w:color w:val="auto"/>
          <w:sz w:val="24"/>
          <w:szCs w:val="24"/>
          <w:highlight w:val="none"/>
        </w:rPr>
        <w:t>1.确保该污泥不含有毒有害物质，提供该污泥检查鉴定报告</w:t>
      </w:r>
    </w:p>
    <w:p w14:paraId="745E5B8C">
      <w:pPr>
        <w:keepNext w:val="0"/>
        <w:keepLines w:val="0"/>
        <w:pageBreakBefore w:val="0"/>
        <w:kinsoku/>
        <w:wordWrap/>
        <w:overflowPunct/>
        <w:topLinePunct w:val="0"/>
        <w:autoSpaceDE/>
        <w:autoSpaceDN/>
        <w:bidi w:val="0"/>
        <w:adjustRightInd/>
        <w:snapToGrid/>
        <w:spacing w:line="360" w:lineRule="auto"/>
        <w:ind w:left="435"/>
        <w:textAlignment w:val="auto"/>
        <w:rPr>
          <w:color w:val="auto"/>
          <w:sz w:val="24"/>
          <w:szCs w:val="24"/>
          <w:highlight w:val="none"/>
        </w:rPr>
      </w:pPr>
      <w:r>
        <w:rPr>
          <w:rFonts w:hint="eastAsia"/>
          <w:color w:val="auto"/>
          <w:sz w:val="24"/>
          <w:szCs w:val="24"/>
          <w:highlight w:val="none"/>
        </w:rPr>
        <w:t>2.及时支付处置费</w:t>
      </w:r>
    </w:p>
    <w:p w14:paraId="482B2DAB">
      <w:pPr>
        <w:keepNext w:val="0"/>
        <w:keepLines w:val="0"/>
        <w:pageBreakBefore w:val="0"/>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color w:val="auto"/>
          <w:sz w:val="24"/>
          <w:szCs w:val="24"/>
          <w:highlight w:val="none"/>
        </w:rPr>
        <w:t>二．接受方</w:t>
      </w:r>
    </w:p>
    <w:p w14:paraId="625A9920">
      <w:pPr>
        <w:keepNext w:val="0"/>
        <w:keepLines w:val="0"/>
        <w:pageBreakBefore w:val="0"/>
        <w:kinsoku/>
        <w:wordWrap/>
        <w:overflowPunct/>
        <w:topLinePunct w:val="0"/>
        <w:autoSpaceDE/>
        <w:autoSpaceDN/>
        <w:bidi w:val="0"/>
        <w:adjustRightInd/>
        <w:snapToGrid/>
        <w:spacing w:line="360" w:lineRule="auto"/>
        <w:ind w:firstLine="435"/>
        <w:textAlignment w:val="auto"/>
        <w:rPr>
          <w:color w:val="auto"/>
          <w:sz w:val="24"/>
          <w:szCs w:val="24"/>
          <w:highlight w:val="none"/>
        </w:rPr>
      </w:pPr>
      <w:r>
        <w:rPr>
          <w:rFonts w:hint="eastAsia"/>
          <w:color w:val="auto"/>
          <w:sz w:val="24"/>
          <w:szCs w:val="24"/>
          <w:highlight w:val="none"/>
        </w:rPr>
        <w:t>1.确保该污泥只用于合规处置，不得转移它处倾倒，否则由此产生的经济法律责任，由接受方承担。</w:t>
      </w:r>
    </w:p>
    <w:p w14:paraId="0130F009">
      <w:pPr>
        <w:keepNext w:val="0"/>
        <w:keepLines w:val="0"/>
        <w:pageBreakBefore w:val="0"/>
        <w:kinsoku/>
        <w:wordWrap/>
        <w:overflowPunct/>
        <w:topLinePunct w:val="0"/>
        <w:autoSpaceDE/>
        <w:autoSpaceDN/>
        <w:bidi w:val="0"/>
        <w:adjustRightInd/>
        <w:snapToGrid/>
        <w:spacing w:line="360" w:lineRule="auto"/>
        <w:ind w:firstLine="435"/>
        <w:textAlignment w:val="auto"/>
        <w:rPr>
          <w:rFonts w:hint="eastAsia" w:eastAsia="宋体"/>
          <w:color w:val="auto"/>
          <w:sz w:val="24"/>
          <w:szCs w:val="24"/>
          <w:highlight w:val="none"/>
          <w:lang w:eastAsia="zh-CN"/>
        </w:rPr>
      </w:pPr>
      <w:r>
        <w:rPr>
          <w:rFonts w:hint="eastAsia"/>
          <w:color w:val="auto"/>
          <w:sz w:val="24"/>
          <w:szCs w:val="24"/>
          <w:highlight w:val="none"/>
        </w:rPr>
        <w:t>2. 一般工业固废（污泥）运输；转出方处装车到接受方处卸车</w:t>
      </w:r>
      <w:r>
        <w:rPr>
          <w:rFonts w:hint="eastAsia"/>
          <w:color w:val="auto"/>
          <w:sz w:val="24"/>
          <w:szCs w:val="24"/>
          <w:highlight w:val="none"/>
          <w:lang w:eastAsia="zh-CN"/>
        </w:rPr>
        <w:t>。</w:t>
      </w:r>
    </w:p>
    <w:p w14:paraId="17E8E20E">
      <w:pPr>
        <w:keepNext w:val="0"/>
        <w:keepLines w:val="0"/>
        <w:pageBreakBefore w:val="0"/>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color w:val="auto"/>
          <w:sz w:val="24"/>
          <w:szCs w:val="24"/>
          <w:highlight w:val="none"/>
        </w:rPr>
        <w:t>三．结算</w:t>
      </w:r>
    </w:p>
    <w:p w14:paraId="6C9E1871">
      <w:pPr>
        <w:keepNext w:val="0"/>
        <w:keepLines w:val="0"/>
        <w:pageBreakBefore w:val="0"/>
        <w:kinsoku/>
        <w:wordWrap/>
        <w:overflowPunct/>
        <w:topLinePunct w:val="0"/>
        <w:autoSpaceDE/>
        <w:autoSpaceDN/>
        <w:bidi w:val="0"/>
        <w:adjustRightInd/>
        <w:snapToGrid/>
        <w:spacing w:line="360" w:lineRule="auto"/>
        <w:ind w:firstLine="435"/>
        <w:textAlignment w:val="auto"/>
        <w:rPr>
          <w:color w:val="auto"/>
          <w:sz w:val="24"/>
          <w:szCs w:val="24"/>
          <w:highlight w:val="none"/>
        </w:rPr>
      </w:pPr>
      <w:r>
        <w:rPr>
          <w:rFonts w:hint="eastAsia"/>
          <w:color w:val="auto"/>
          <w:sz w:val="24"/>
          <w:szCs w:val="24"/>
          <w:highlight w:val="none"/>
        </w:rPr>
        <w:t>1.处置费用：转出方支付给接受方处置费用，按照</w:t>
      </w:r>
      <w:r>
        <w:rPr>
          <w:rFonts w:hint="eastAsia"/>
          <w:color w:val="auto"/>
          <w:sz w:val="24"/>
          <w:szCs w:val="24"/>
          <w:highlight w:val="none"/>
          <w:u w:val="single"/>
        </w:rPr>
        <w:t xml:space="preserve">  </w:t>
      </w:r>
      <w:r>
        <w:rPr>
          <w:rFonts w:hint="eastAsia"/>
          <w:color w:val="auto"/>
          <w:sz w:val="24"/>
          <w:szCs w:val="24"/>
          <w:highlight w:val="none"/>
        </w:rPr>
        <w:t>元/吨含税价实量结算（含运输费），以转出方过磅单数量为准。</w:t>
      </w:r>
    </w:p>
    <w:p w14:paraId="5DBEC6B4">
      <w:pPr>
        <w:keepNext w:val="0"/>
        <w:keepLines w:val="0"/>
        <w:pageBreakBefore w:val="0"/>
        <w:kinsoku/>
        <w:wordWrap/>
        <w:overflowPunct/>
        <w:topLinePunct w:val="0"/>
        <w:autoSpaceDE/>
        <w:autoSpaceDN/>
        <w:bidi w:val="0"/>
        <w:adjustRightInd/>
        <w:snapToGrid/>
        <w:spacing w:line="360" w:lineRule="auto"/>
        <w:ind w:firstLine="435"/>
        <w:textAlignment w:val="auto"/>
        <w:rPr>
          <w:rFonts w:hint="eastAsia"/>
          <w:color w:val="auto"/>
          <w:sz w:val="24"/>
          <w:szCs w:val="24"/>
          <w:highlight w:val="none"/>
        </w:rPr>
      </w:pPr>
      <w:r>
        <w:rPr>
          <w:rFonts w:hint="eastAsia"/>
          <w:color w:val="auto"/>
          <w:sz w:val="24"/>
          <w:szCs w:val="24"/>
          <w:highlight w:val="none"/>
        </w:rPr>
        <w:t>2.付款方式：</w:t>
      </w:r>
    </w:p>
    <w:p w14:paraId="1E8BBC35">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合同签订后，成交供应商按采购人的通知要求，按批处置；支付方式为：</w:t>
      </w:r>
    </w:p>
    <w:p w14:paraId="6FB5182F">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（1）合同执行半年（完成转运及运输）后，半年内无发生任何环保风险及违法行为，则通过验收次月拨款，后续按月支付污泥处理费（以实际过磅量为准）按实结算；</w:t>
      </w:r>
    </w:p>
    <w:p w14:paraId="09BAD20D">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（2）采购人每期付款前，成交供应商应向采购人开具等额有效的增值税专用发票，采购人收到发票后予以付款。因发票问题而导致无法正常付款的，责任由成交供应商自己承担。</w:t>
      </w:r>
    </w:p>
    <w:p w14:paraId="42653A04">
      <w:pPr>
        <w:keepNext w:val="0"/>
        <w:keepLines w:val="0"/>
        <w:pageBreakBefore w:val="0"/>
        <w:kinsoku/>
        <w:wordWrap/>
        <w:overflowPunct/>
        <w:topLinePunct w:val="0"/>
        <w:autoSpaceDE/>
        <w:autoSpaceDN/>
        <w:bidi w:val="0"/>
        <w:adjustRightInd/>
        <w:snapToGrid/>
        <w:spacing w:line="360" w:lineRule="auto"/>
        <w:textAlignment w:val="auto"/>
        <w:rPr>
          <w:rFonts w:hint="default" w:eastAsia="宋体"/>
          <w:color w:val="auto"/>
          <w:sz w:val="24"/>
          <w:szCs w:val="24"/>
          <w:highlight w:val="none"/>
          <w:lang w:val="en-US" w:eastAsia="zh-CN"/>
        </w:rPr>
      </w:pPr>
      <w:r>
        <w:rPr>
          <w:rFonts w:hint="eastAsia"/>
          <w:color w:val="auto"/>
          <w:sz w:val="24"/>
          <w:szCs w:val="24"/>
          <w:highlight w:val="none"/>
          <w:lang w:val="en-US" w:eastAsia="zh-CN"/>
        </w:rPr>
        <w:t>四</w:t>
      </w:r>
      <w:r>
        <w:rPr>
          <w:rFonts w:hint="eastAsia"/>
          <w:color w:val="auto"/>
          <w:sz w:val="24"/>
          <w:szCs w:val="24"/>
          <w:highlight w:val="none"/>
        </w:rPr>
        <w:t>．</w:t>
      </w:r>
      <w:r>
        <w:rPr>
          <w:rFonts w:hint="eastAsia"/>
          <w:color w:val="auto"/>
          <w:sz w:val="24"/>
          <w:szCs w:val="24"/>
          <w:highlight w:val="none"/>
          <w:lang w:val="en-US" w:eastAsia="zh-CN"/>
        </w:rPr>
        <w:t>双方权利与义务</w:t>
      </w:r>
    </w:p>
    <w:p w14:paraId="718B19FA">
      <w:pPr>
        <w:keepNext w:val="0"/>
        <w:keepLines w:val="0"/>
        <w:pageBreakBefore w:val="0"/>
        <w:kinsoku/>
        <w:wordWrap/>
        <w:overflowPunct/>
        <w:topLinePunct w:val="0"/>
        <w:autoSpaceDE/>
        <w:autoSpaceDN/>
        <w:bidi w:val="0"/>
        <w:adjustRightInd/>
        <w:snapToGrid/>
        <w:spacing w:line="360" w:lineRule="auto"/>
        <w:ind w:firstLine="435"/>
        <w:textAlignment w:val="auto"/>
        <w:rPr>
          <w:rFonts w:hint="default" w:eastAsia="宋体"/>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一</w:t>
      </w:r>
      <w:r>
        <w:rPr>
          <w:rFonts w:hint="eastAsia"/>
          <w:color w:val="auto"/>
          <w:sz w:val="24"/>
          <w:szCs w:val="24"/>
          <w:highlight w:val="none"/>
          <w:lang w:eastAsia="zh-CN"/>
        </w:rPr>
        <w:t>）</w:t>
      </w:r>
      <w:r>
        <w:rPr>
          <w:rFonts w:hint="eastAsia"/>
          <w:color w:val="auto"/>
          <w:sz w:val="24"/>
          <w:szCs w:val="24"/>
          <w:highlight w:val="none"/>
          <w:lang w:val="en-US" w:eastAsia="zh-CN"/>
        </w:rPr>
        <w:t>甲方权力与义务</w:t>
      </w:r>
    </w:p>
    <w:p w14:paraId="337726BF">
      <w:pPr>
        <w:keepNext w:val="0"/>
        <w:keepLines w:val="0"/>
        <w:pageBreakBefore w:val="0"/>
        <w:kinsoku/>
        <w:wordWrap/>
        <w:overflowPunct/>
        <w:topLinePunct w:val="0"/>
        <w:autoSpaceDE/>
        <w:autoSpaceDN/>
        <w:bidi w:val="0"/>
        <w:adjustRightInd/>
        <w:snapToGrid/>
        <w:spacing w:line="360" w:lineRule="auto"/>
        <w:ind w:firstLine="435"/>
        <w:textAlignment w:val="auto"/>
        <w:rPr>
          <w:rFonts w:hint="eastAsia"/>
          <w:color w:val="auto"/>
          <w:sz w:val="24"/>
          <w:szCs w:val="24"/>
          <w:highlight w:val="none"/>
        </w:rPr>
      </w:pPr>
      <w:r>
        <w:rPr>
          <w:rFonts w:hint="eastAsia"/>
          <w:color w:val="auto"/>
          <w:sz w:val="24"/>
          <w:szCs w:val="24"/>
          <w:highlight w:val="none"/>
        </w:rPr>
        <w:t>1、甲方有权要求乙方按照合同约定运输处置污泥，并对其履约行为进行监督。</w:t>
      </w:r>
    </w:p>
    <w:p w14:paraId="424498D3">
      <w:pPr>
        <w:keepNext w:val="0"/>
        <w:keepLines w:val="0"/>
        <w:pageBreakBefore w:val="0"/>
        <w:kinsoku/>
        <w:wordWrap/>
        <w:overflowPunct/>
        <w:topLinePunct w:val="0"/>
        <w:autoSpaceDE/>
        <w:autoSpaceDN/>
        <w:bidi w:val="0"/>
        <w:adjustRightInd/>
        <w:snapToGrid/>
        <w:spacing w:line="360" w:lineRule="auto"/>
        <w:ind w:firstLine="435"/>
        <w:textAlignment w:val="auto"/>
        <w:rPr>
          <w:rFonts w:hint="eastAsia"/>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w:t>
      </w:r>
      <w:r>
        <w:rPr>
          <w:rFonts w:hint="eastAsia"/>
          <w:color w:val="auto"/>
          <w:sz w:val="24"/>
          <w:szCs w:val="24"/>
          <w:highlight w:val="none"/>
          <w:lang w:val="en-US" w:eastAsia="zh-CN"/>
        </w:rPr>
        <w:t>合同期内，在乙方无违约的前提下，</w:t>
      </w:r>
      <w:r>
        <w:rPr>
          <w:rFonts w:hint="eastAsia"/>
          <w:color w:val="auto"/>
          <w:sz w:val="24"/>
          <w:szCs w:val="24"/>
          <w:highlight w:val="none"/>
        </w:rPr>
        <w:t>甲方须</w:t>
      </w:r>
      <w:r>
        <w:rPr>
          <w:rFonts w:hint="eastAsia"/>
          <w:color w:val="auto"/>
          <w:sz w:val="24"/>
          <w:szCs w:val="24"/>
          <w:highlight w:val="none"/>
          <w:lang w:val="en-US" w:eastAsia="zh-CN"/>
        </w:rPr>
        <w:t>按时足额</w:t>
      </w:r>
      <w:r>
        <w:rPr>
          <w:rFonts w:hint="eastAsia"/>
          <w:color w:val="auto"/>
          <w:sz w:val="24"/>
          <w:szCs w:val="24"/>
          <w:highlight w:val="none"/>
        </w:rPr>
        <w:t>向乙方支付污泥处置费。</w:t>
      </w:r>
    </w:p>
    <w:p w14:paraId="18D8AF6B">
      <w:pPr>
        <w:pStyle w:val="2"/>
        <w:keepNext w:val="0"/>
        <w:keepLines w:val="0"/>
        <w:pageBreakBefore w:val="0"/>
        <w:kinsoku/>
        <w:wordWrap/>
        <w:overflowPunct/>
        <w:topLinePunct w:val="0"/>
        <w:autoSpaceDE/>
        <w:autoSpaceDN/>
        <w:bidi w:val="0"/>
        <w:adjustRightInd/>
        <w:snapToGrid/>
        <w:spacing w:after="0" w:line="360" w:lineRule="auto"/>
        <w:jc w:val="left"/>
        <w:textAlignment w:val="auto"/>
        <w:rPr>
          <w:rFonts w:hint="eastAsia" w:eastAsia="宋体"/>
          <w:b w:val="0"/>
          <w:bCs/>
          <w:color w:val="auto"/>
          <w:sz w:val="24"/>
          <w:szCs w:val="24"/>
          <w:highlight w:val="none"/>
          <w:lang w:eastAsia="zh-CN"/>
        </w:rPr>
      </w:pPr>
      <w:r>
        <w:rPr>
          <w:rFonts w:hint="eastAsia"/>
          <w:b w:val="0"/>
          <w:bCs/>
          <w:color w:val="auto"/>
          <w:sz w:val="24"/>
          <w:szCs w:val="24"/>
          <w:highlight w:val="none"/>
          <w:lang w:val="en-US" w:eastAsia="zh-CN"/>
        </w:rPr>
        <w:t xml:space="preserve">    3、</w:t>
      </w:r>
      <w:r>
        <w:rPr>
          <w:rFonts w:hint="eastAsia"/>
          <w:b w:val="0"/>
          <w:bCs/>
          <w:color w:val="auto"/>
          <w:sz w:val="24"/>
          <w:szCs w:val="24"/>
          <w:highlight w:val="none"/>
        </w:rPr>
        <w:t>甲方或甲方委派的代表有权监督检查承认履行合同情况(含服务内容和质量)，对</w:t>
      </w:r>
      <w:r>
        <w:rPr>
          <w:rFonts w:hint="eastAsia"/>
          <w:b w:val="0"/>
          <w:bCs/>
          <w:color w:val="auto"/>
          <w:sz w:val="24"/>
          <w:szCs w:val="24"/>
          <w:highlight w:val="none"/>
          <w:lang w:val="en-US" w:eastAsia="zh-CN"/>
        </w:rPr>
        <w:t>检</w:t>
      </w:r>
      <w:r>
        <w:rPr>
          <w:rFonts w:hint="eastAsia"/>
          <w:b w:val="0"/>
          <w:bCs/>
          <w:color w:val="auto"/>
          <w:sz w:val="24"/>
          <w:szCs w:val="24"/>
          <w:highlight w:val="none"/>
        </w:rPr>
        <w:t>查中发现的问题有权要求之方立即整改，并按合同约定和甲方的管理制度和</w:t>
      </w:r>
      <w:r>
        <w:rPr>
          <w:rFonts w:hint="eastAsia"/>
          <w:b w:val="0"/>
          <w:bCs/>
          <w:color w:val="auto"/>
          <w:sz w:val="24"/>
          <w:szCs w:val="24"/>
          <w:highlight w:val="none"/>
          <w:lang w:val="en-US" w:eastAsia="zh-CN"/>
        </w:rPr>
        <w:t>扣</w:t>
      </w:r>
      <w:r>
        <w:rPr>
          <w:rFonts w:hint="eastAsia"/>
          <w:b w:val="0"/>
          <w:bCs/>
          <w:color w:val="auto"/>
          <w:sz w:val="24"/>
          <w:szCs w:val="24"/>
          <w:highlight w:val="none"/>
        </w:rPr>
        <w:t>减处置费</w:t>
      </w:r>
      <w:r>
        <w:rPr>
          <w:rFonts w:hint="eastAsia"/>
          <w:b w:val="0"/>
          <w:bCs/>
          <w:color w:val="auto"/>
          <w:sz w:val="24"/>
          <w:szCs w:val="24"/>
          <w:highlight w:val="none"/>
          <w:lang w:eastAsia="zh-CN"/>
        </w:rPr>
        <w:t>。</w:t>
      </w:r>
    </w:p>
    <w:p w14:paraId="5498BEEE">
      <w:pPr>
        <w:pStyle w:val="2"/>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b w:val="0"/>
          <w:bCs/>
          <w:color w:val="auto"/>
          <w:sz w:val="24"/>
          <w:szCs w:val="24"/>
          <w:highlight w:val="none"/>
        </w:rPr>
      </w:pPr>
      <w:r>
        <w:rPr>
          <w:rFonts w:hint="eastAsia"/>
          <w:b w:val="0"/>
          <w:bCs/>
          <w:color w:val="auto"/>
          <w:sz w:val="24"/>
          <w:szCs w:val="24"/>
          <w:highlight w:val="none"/>
          <w:lang w:val="en-US" w:eastAsia="zh-CN"/>
        </w:rPr>
        <w:t>4、</w:t>
      </w:r>
      <w:r>
        <w:rPr>
          <w:rFonts w:hint="eastAsia"/>
          <w:b w:val="0"/>
          <w:bCs/>
          <w:color w:val="auto"/>
          <w:sz w:val="24"/>
          <w:szCs w:val="24"/>
          <w:highlight w:val="none"/>
        </w:rPr>
        <w:t>甲方应积极协助乙方实施涉及的相关工作。</w:t>
      </w:r>
    </w:p>
    <w:p w14:paraId="0435C170">
      <w:pPr>
        <w:pStyle w:val="2"/>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eastAsia="宋体"/>
          <w:b w:val="0"/>
          <w:bCs/>
          <w:color w:val="auto"/>
          <w:sz w:val="24"/>
          <w:szCs w:val="24"/>
          <w:highlight w:val="none"/>
          <w:lang w:val="en-US" w:eastAsia="zh-CN"/>
        </w:rPr>
      </w:pPr>
      <w:r>
        <w:rPr>
          <w:rFonts w:hint="eastAsia"/>
          <w:b w:val="0"/>
          <w:bCs/>
          <w:color w:val="auto"/>
          <w:sz w:val="24"/>
          <w:szCs w:val="24"/>
          <w:highlight w:val="none"/>
          <w:lang w:eastAsia="zh-CN"/>
        </w:rPr>
        <w:t>（</w:t>
      </w:r>
      <w:r>
        <w:rPr>
          <w:rFonts w:hint="eastAsia"/>
          <w:b w:val="0"/>
          <w:bCs/>
          <w:color w:val="auto"/>
          <w:sz w:val="24"/>
          <w:szCs w:val="24"/>
          <w:highlight w:val="none"/>
          <w:lang w:val="en-US" w:eastAsia="zh-CN"/>
        </w:rPr>
        <w:t>二</w:t>
      </w:r>
      <w:r>
        <w:rPr>
          <w:rFonts w:hint="eastAsia"/>
          <w:b w:val="0"/>
          <w:bCs/>
          <w:color w:val="auto"/>
          <w:sz w:val="24"/>
          <w:szCs w:val="24"/>
          <w:highlight w:val="none"/>
          <w:lang w:eastAsia="zh-CN"/>
        </w:rPr>
        <w:t>）</w:t>
      </w:r>
      <w:r>
        <w:rPr>
          <w:rFonts w:hint="eastAsia"/>
          <w:b w:val="0"/>
          <w:bCs/>
          <w:color w:val="auto"/>
          <w:sz w:val="24"/>
          <w:szCs w:val="24"/>
          <w:highlight w:val="none"/>
          <w:lang w:val="en-US" w:eastAsia="zh-CN"/>
        </w:rPr>
        <w:t>乙方权力与义务</w:t>
      </w:r>
    </w:p>
    <w:p w14:paraId="77DB7B6F">
      <w:pPr>
        <w:keepNext w:val="0"/>
        <w:keepLines w:val="0"/>
        <w:pageBreakBefore w:val="0"/>
        <w:kinsoku/>
        <w:wordWrap/>
        <w:overflowPunct/>
        <w:topLinePunct w:val="0"/>
        <w:autoSpaceDE/>
        <w:autoSpaceDN/>
        <w:bidi w:val="0"/>
        <w:adjustRightInd/>
        <w:snapToGrid/>
        <w:spacing w:line="360" w:lineRule="auto"/>
        <w:ind w:firstLine="435"/>
        <w:textAlignment w:val="auto"/>
        <w:rPr>
          <w:rFonts w:hint="eastAsia"/>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、乙方在运输和处置污泥时应当遵守国家相关的法律规定，资源化利用污泥，严格按照国家和重庆市有关环保标准进行无害化处置，不对环境产生二次污染并承担处置和利用污泥过程中的一切安全和环保责任。</w:t>
      </w:r>
    </w:p>
    <w:p w14:paraId="73B18F3F">
      <w:pPr>
        <w:keepNext w:val="0"/>
        <w:keepLines w:val="0"/>
        <w:pageBreakBefore w:val="0"/>
        <w:kinsoku/>
        <w:wordWrap/>
        <w:overflowPunct/>
        <w:topLinePunct w:val="0"/>
        <w:autoSpaceDE/>
        <w:autoSpaceDN/>
        <w:bidi w:val="0"/>
        <w:adjustRightInd/>
        <w:snapToGrid/>
        <w:spacing w:line="360" w:lineRule="auto"/>
        <w:ind w:firstLine="435"/>
        <w:textAlignment w:val="auto"/>
        <w:rPr>
          <w:rFonts w:hint="eastAsia"/>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、乙方和交由的处置方必须具有国家政府相关部门颁发的污泥处置相关资质并提供相应的资质文件(原件或复印件)，并确保资质在合同期间的有效性。</w:t>
      </w:r>
    </w:p>
    <w:p w14:paraId="5197911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rPr>
        <w:t>、乙方有权对甲方一般固体废物的种类构成、来源及合法合规性进行监督。</w:t>
      </w:r>
    </w:p>
    <w:p w14:paraId="6618991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4、如遇乙方特殊情况或甲方提供的一般固体废物质量不符合要求，导致乙方的第三方协同处置单位生产异常或“三废”排放超标的，乙方应及时通知甲方采取措施，若甲方不予整改，乙方有权暂停或提前终止接收处置甲方的一般固体废物，若因甲方原因引起的，乙方保留甲方由此给乙方造成所有损失的索赔权利。</w:t>
      </w:r>
    </w:p>
    <w:p w14:paraId="041ACEFE">
      <w:pPr>
        <w:pStyle w:val="2"/>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b w:val="0"/>
          <w:bCs/>
          <w:color w:val="auto"/>
          <w:sz w:val="24"/>
          <w:szCs w:val="24"/>
          <w:highlight w:val="none"/>
          <w:lang w:val="en-US" w:eastAsia="zh-CN"/>
        </w:rPr>
      </w:pPr>
      <w:r>
        <w:rPr>
          <w:rFonts w:hint="eastAsia"/>
          <w:b w:val="0"/>
          <w:bCs/>
          <w:color w:val="auto"/>
          <w:sz w:val="24"/>
          <w:szCs w:val="24"/>
          <w:highlight w:val="none"/>
          <w:lang w:val="en-US" w:eastAsia="zh-CN"/>
        </w:rPr>
        <w:t>5、乙方有权按照合同约定获得处置费用。</w:t>
      </w:r>
    </w:p>
    <w:p w14:paraId="2E6134A2">
      <w:pPr>
        <w:pStyle w:val="2"/>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b w:val="0"/>
          <w:bCs/>
          <w:color w:val="auto"/>
          <w:sz w:val="24"/>
          <w:szCs w:val="24"/>
          <w:highlight w:val="none"/>
          <w:lang w:val="en-US" w:eastAsia="zh-CN"/>
        </w:rPr>
      </w:pPr>
      <w:r>
        <w:rPr>
          <w:rFonts w:hint="eastAsia"/>
          <w:b w:val="0"/>
          <w:bCs/>
          <w:color w:val="auto"/>
          <w:sz w:val="24"/>
          <w:szCs w:val="24"/>
          <w:highlight w:val="none"/>
          <w:lang w:val="en-US" w:eastAsia="zh-CN"/>
        </w:rPr>
        <w:t>6、乙方有权对甲方的监督检查提出异议，但需提供相关书面证据。</w:t>
      </w:r>
    </w:p>
    <w:p w14:paraId="110C1707">
      <w:pPr>
        <w:pStyle w:val="2"/>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b w:val="0"/>
          <w:bCs/>
          <w:color w:val="auto"/>
          <w:sz w:val="24"/>
          <w:szCs w:val="24"/>
          <w:highlight w:val="none"/>
          <w:lang w:val="en-US" w:eastAsia="zh-CN"/>
        </w:rPr>
      </w:pPr>
      <w:r>
        <w:rPr>
          <w:rFonts w:hint="eastAsia"/>
          <w:b w:val="0"/>
          <w:bCs/>
          <w:color w:val="auto"/>
          <w:sz w:val="24"/>
          <w:szCs w:val="24"/>
          <w:highlight w:val="none"/>
          <w:lang w:val="en-US" w:eastAsia="zh-CN"/>
        </w:rPr>
        <w:t>7、乙方应在接到甲方污泥处置要求7天内按照合同约定开展服务工作，全面和保质保量完成合同约定的服务内容。</w:t>
      </w:r>
    </w:p>
    <w:p w14:paraId="7B9669E3">
      <w:pPr>
        <w:pStyle w:val="2"/>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eastAsia="宋体"/>
          <w:b w:val="0"/>
          <w:bCs/>
          <w:color w:val="auto"/>
          <w:sz w:val="24"/>
          <w:szCs w:val="24"/>
          <w:highlight w:val="none"/>
          <w:lang w:val="en-US" w:eastAsia="zh-CN"/>
        </w:rPr>
      </w:pPr>
      <w:r>
        <w:rPr>
          <w:rFonts w:hint="eastAsia"/>
          <w:b w:val="0"/>
          <w:bCs/>
          <w:color w:val="auto"/>
          <w:sz w:val="24"/>
          <w:szCs w:val="24"/>
          <w:highlight w:val="none"/>
          <w:lang w:val="en-US" w:eastAsia="zh-CN"/>
        </w:rPr>
        <w:t>五</w:t>
      </w:r>
      <w:r>
        <w:rPr>
          <w:rFonts w:hint="eastAsia"/>
          <w:b w:val="0"/>
          <w:bCs/>
          <w:color w:val="auto"/>
          <w:sz w:val="24"/>
          <w:szCs w:val="24"/>
          <w:highlight w:val="none"/>
        </w:rPr>
        <w:t>．</w:t>
      </w:r>
      <w:r>
        <w:rPr>
          <w:rFonts w:hint="eastAsia"/>
          <w:b w:val="0"/>
          <w:bCs/>
          <w:color w:val="auto"/>
          <w:sz w:val="24"/>
          <w:szCs w:val="24"/>
          <w:highlight w:val="none"/>
          <w:lang w:val="en-US" w:eastAsia="zh-CN"/>
        </w:rPr>
        <w:t>安全管理</w:t>
      </w:r>
    </w:p>
    <w:p w14:paraId="3B27228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rPr>
        <w:t>一</w:t>
      </w:r>
      <w:r>
        <w:rPr>
          <w:rFonts w:hint="eastAsia"/>
          <w:color w:val="auto"/>
          <w:sz w:val="24"/>
          <w:szCs w:val="24"/>
          <w:highlight w:val="none"/>
          <w:lang w:eastAsia="zh-CN"/>
        </w:rPr>
        <w:t>）</w:t>
      </w:r>
      <w:r>
        <w:rPr>
          <w:rFonts w:hint="eastAsia"/>
          <w:color w:val="auto"/>
          <w:sz w:val="24"/>
          <w:szCs w:val="24"/>
          <w:highlight w:val="none"/>
        </w:rPr>
        <w:t>、甲方的责任</w:t>
      </w:r>
    </w:p>
    <w:p w14:paraId="124F2B5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1.对乙方进入甲方作业区域的运输车辆和人员进行安全环保提醒。</w:t>
      </w:r>
    </w:p>
    <w:p w14:paraId="379BA92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2.甲方生产现场应做到干净整洁，不对乙方进入甲方作业区域的运输车辆行驶造成安全隐患。</w:t>
      </w:r>
    </w:p>
    <w:p w14:paraId="4DBAF6B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3.配备乙方运输车辆在甲方作业区域卸车必要的安全防护措施</w:t>
      </w:r>
      <w:r>
        <w:rPr>
          <w:rFonts w:hint="eastAsia"/>
          <w:color w:val="auto"/>
          <w:sz w:val="24"/>
          <w:szCs w:val="24"/>
          <w:highlight w:val="none"/>
          <w:lang w:eastAsia="zh-CN"/>
        </w:rPr>
        <w:t>，</w:t>
      </w:r>
      <w:r>
        <w:rPr>
          <w:rFonts w:hint="eastAsia"/>
          <w:color w:val="auto"/>
          <w:sz w:val="24"/>
          <w:szCs w:val="24"/>
          <w:highlight w:val="none"/>
          <w:lang w:val="en-US" w:eastAsia="zh-CN"/>
        </w:rPr>
        <w:t>并有专人负责</w:t>
      </w:r>
      <w:r>
        <w:rPr>
          <w:rFonts w:hint="eastAsia"/>
          <w:color w:val="auto"/>
          <w:sz w:val="24"/>
          <w:szCs w:val="24"/>
          <w:highlight w:val="none"/>
        </w:rPr>
        <w:t>地锚挂钩操作。</w:t>
      </w:r>
    </w:p>
    <w:p w14:paraId="58425C2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二</w:t>
      </w:r>
      <w:r>
        <w:rPr>
          <w:rFonts w:hint="eastAsia"/>
          <w:color w:val="auto"/>
          <w:sz w:val="24"/>
          <w:szCs w:val="24"/>
          <w:highlight w:val="none"/>
        </w:rPr>
        <w:t>）、</w:t>
      </w:r>
      <w:r>
        <w:rPr>
          <w:rFonts w:hint="eastAsia"/>
          <w:color w:val="auto"/>
          <w:sz w:val="24"/>
          <w:szCs w:val="24"/>
          <w:highlight w:val="none"/>
          <w:lang w:val="en-US" w:eastAsia="zh-CN"/>
        </w:rPr>
        <w:t>乙</w:t>
      </w:r>
      <w:r>
        <w:rPr>
          <w:rFonts w:hint="eastAsia"/>
          <w:color w:val="auto"/>
          <w:sz w:val="24"/>
          <w:szCs w:val="24"/>
          <w:highlight w:val="none"/>
        </w:rPr>
        <w:t>方的责任</w:t>
      </w:r>
    </w:p>
    <w:p w14:paraId="297EEDB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1、乙方进入甲方作业区域的车辆、人员必须接受甲方的安全环保管理监督。</w:t>
      </w:r>
    </w:p>
    <w:p w14:paraId="3830D0B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2、乙方人员及车辆未经许可不得进入非运输工作所需的区域。</w:t>
      </w:r>
    </w:p>
    <w:p w14:paraId="537947C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3、乙方人员要爱护甲方的设备设施，损坏的设备设施必须负责修复或赔偿。</w:t>
      </w:r>
    </w:p>
    <w:p w14:paraId="4B56A88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4、乙方的车辆和人员具备相应的资质和资格，车况正常，灯光、制动齐全可靠无渗油现象。</w:t>
      </w:r>
    </w:p>
    <w:p w14:paraId="3AE65BC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5、乙方的车辆在甲方作业区域内行驶速度不得超过5Kmh，通过路口、弯道或人行通道时减速慢行，车辆不乱停乱放，作业区域内禁鸣喇叭，服从现场管理人员的指挥。</w:t>
      </w:r>
    </w:p>
    <w:p w14:paraId="2FF9178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6、在甲方的接收大厅内倒车时驾驶员要仔细观察，确保安全。</w:t>
      </w:r>
    </w:p>
    <w:p w14:paraId="527786B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7、乙方作业人员严禁在垃圾接收大厅吸烟。</w:t>
      </w:r>
    </w:p>
    <w:p w14:paraId="2EB4164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eastAsia="宋体"/>
          <w:color w:val="auto"/>
          <w:sz w:val="24"/>
          <w:szCs w:val="24"/>
          <w:highlight w:val="none"/>
          <w:lang w:eastAsia="zh-CN"/>
        </w:rPr>
      </w:pPr>
      <w:r>
        <w:rPr>
          <w:rFonts w:hint="eastAsia"/>
          <w:color w:val="auto"/>
          <w:sz w:val="24"/>
          <w:szCs w:val="24"/>
          <w:highlight w:val="none"/>
        </w:rPr>
        <w:t>8、乙方进入甲方作业区域车辆、人员应采取安全措施，防止安全事故的发生</w:t>
      </w:r>
      <w:r>
        <w:rPr>
          <w:rFonts w:hint="eastAsia"/>
          <w:color w:val="auto"/>
          <w:sz w:val="24"/>
          <w:szCs w:val="24"/>
          <w:highlight w:val="none"/>
          <w:lang w:eastAsia="zh-CN"/>
        </w:rPr>
        <w:t>。</w:t>
      </w:r>
    </w:p>
    <w:p w14:paraId="0500D31B">
      <w:pPr>
        <w:keepNext w:val="0"/>
        <w:keepLines w:val="0"/>
        <w:pageBreakBefore w:val="0"/>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color w:val="auto"/>
          <w:sz w:val="24"/>
          <w:szCs w:val="24"/>
          <w:highlight w:val="none"/>
          <w:lang w:val="en-US" w:eastAsia="zh-CN"/>
        </w:rPr>
        <w:t>六</w:t>
      </w:r>
      <w:r>
        <w:rPr>
          <w:rFonts w:hint="eastAsia"/>
          <w:color w:val="auto"/>
          <w:sz w:val="24"/>
          <w:szCs w:val="24"/>
          <w:highlight w:val="none"/>
        </w:rPr>
        <w:t>．争议解决</w:t>
      </w:r>
    </w:p>
    <w:p w14:paraId="079B7BC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在协议履行过程中双方发生争议，应友好协商解决，协商不成，双方同意向重庆仲裁委员会申请仲裁。</w:t>
      </w:r>
    </w:p>
    <w:p w14:paraId="2334AD73">
      <w:pPr>
        <w:keepNext w:val="0"/>
        <w:keepLines w:val="0"/>
        <w:pageBreakBefore w:val="0"/>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color w:val="auto"/>
          <w:sz w:val="24"/>
          <w:szCs w:val="24"/>
          <w:highlight w:val="none"/>
          <w:lang w:val="en-US" w:eastAsia="zh-CN"/>
        </w:rPr>
        <w:t>七</w:t>
      </w:r>
      <w:r>
        <w:rPr>
          <w:rFonts w:hint="eastAsia"/>
          <w:color w:val="auto"/>
          <w:sz w:val="24"/>
          <w:szCs w:val="24"/>
          <w:highlight w:val="none"/>
        </w:rPr>
        <w:t xml:space="preserve"> .未尽事宜，双方及时协商</w:t>
      </w:r>
    </w:p>
    <w:p w14:paraId="3071B3C6">
      <w:pPr>
        <w:keepNext w:val="0"/>
        <w:keepLines w:val="0"/>
        <w:pageBreakBefore w:val="0"/>
        <w:kinsoku/>
        <w:wordWrap/>
        <w:overflowPunct/>
        <w:topLinePunct w:val="0"/>
        <w:autoSpaceDE/>
        <w:autoSpaceDN/>
        <w:bidi w:val="0"/>
        <w:adjustRightInd/>
        <w:snapToGrid/>
        <w:spacing w:line="360" w:lineRule="auto"/>
        <w:textAlignment w:val="auto"/>
        <w:rPr>
          <w:rFonts w:hint="eastAsia" w:eastAsia="宋体"/>
          <w:color w:val="auto"/>
          <w:sz w:val="24"/>
          <w:szCs w:val="24"/>
          <w:highlight w:val="none"/>
          <w:lang w:eastAsia="zh-CN"/>
        </w:rPr>
      </w:pPr>
      <w:r>
        <w:rPr>
          <w:rFonts w:hint="eastAsia"/>
          <w:color w:val="auto"/>
          <w:sz w:val="24"/>
          <w:szCs w:val="24"/>
          <w:highlight w:val="none"/>
          <w:lang w:val="en-US" w:eastAsia="zh-CN"/>
        </w:rPr>
        <w:t>八</w:t>
      </w:r>
      <w:r>
        <w:rPr>
          <w:rFonts w:hint="eastAsia"/>
          <w:color w:val="auto"/>
          <w:sz w:val="24"/>
          <w:szCs w:val="24"/>
          <w:highlight w:val="none"/>
        </w:rPr>
        <w:t>.协议有效期</w:t>
      </w:r>
      <w:r>
        <w:rPr>
          <w:rFonts w:hint="eastAsia"/>
          <w:color w:val="auto"/>
          <w:sz w:val="24"/>
          <w:szCs w:val="24"/>
          <w:highlight w:val="none"/>
          <w:lang w:eastAsia="zh-CN"/>
        </w:rPr>
        <w:t>：</w:t>
      </w:r>
    </w:p>
    <w:p w14:paraId="0DF392A8">
      <w:pPr>
        <w:keepNext w:val="0"/>
        <w:keepLines w:val="0"/>
        <w:pageBreakBefore w:val="0"/>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color w:val="auto"/>
          <w:sz w:val="24"/>
          <w:szCs w:val="24"/>
          <w:highlight w:val="none"/>
          <w:lang w:val="en-US" w:eastAsia="zh-CN"/>
        </w:rPr>
        <w:t>九</w:t>
      </w:r>
      <w:r>
        <w:rPr>
          <w:rFonts w:hint="eastAsia"/>
          <w:color w:val="auto"/>
          <w:sz w:val="24"/>
          <w:szCs w:val="24"/>
          <w:highlight w:val="none"/>
        </w:rPr>
        <w:t>.本协议一式两份，签字双方各一份，具有同等法律效力。</w:t>
      </w:r>
    </w:p>
    <w:p w14:paraId="4E28EFFD">
      <w:pPr>
        <w:keepNext w:val="0"/>
        <w:keepLines w:val="0"/>
        <w:pageBreakBefore w:val="0"/>
        <w:kinsoku/>
        <w:wordWrap/>
        <w:overflowPunct/>
        <w:topLinePunct w:val="0"/>
        <w:autoSpaceDE/>
        <w:autoSpaceDN/>
        <w:bidi w:val="0"/>
        <w:adjustRightInd/>
        <w:snapToGrid/>
        <w:spacing w:line="360" w:lineRule="auto"/>
        <w:textAlignment w:val="auto"/>
        <w:rPr>
          <w:color w:val="auto"/>
          <w:sz w:val="24"/>
          <w:szCs w:val="24"/>
          <w:highlight w:val="none"/>
        </w:rPr>
      </w:pPr>
    </w:p>
    <w:p w14:paraId="58F3C80E">
      <w:pPr>
        <w:keepNext w:val="0"/>
        <w:keepLines w:val="0"/>
        <w:pageBreakBefore w:val="0"/>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color w:val="auto"/>
          <w:sz w:val="24"/>
          <w:szCs w:val="24"/>
          <w:highlight w:val="none"/>
        </w:rPr>
        <w:t>转出方：凯发新泉高阳污水处理（重庆）有限公司</w:t>
      </w:r>
    </w:p>
    <w:p w14:paraId="03BA45BF">
      <w:pPr>
        <w:keepNext w:val="0"/>
        <w:keepLines w:val="0"/>
        <w:pageBreakBefore w:val="0"/>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color w:val="auto"/>
          <w:sz w:val="24"/>
          <w:szCs w:val="24"/>
          <w:highlight w:val="none"/>
        </w:rPr>
        <w:t>代理人（签字）</w:t>
      </w:r>
    </w:p>
    <w:p w14:paraId="1972CB01">
      <w:pPr>
        <w:keepNext w:val="0"/>
        <w:keepLines w:val="0"/>
        <w:pageBreakBefore w:val="0"/>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color w:val="auto"/>
          <w:sz w:val="24"/>
          <w:szCs w:val="24"/>
          <w:highlight w:val="none"/>
        </w:rPr>
        <w:t>年   月   日</w:t>
      </w:r>
    </w:p>
    <w:p w14:paraId="4FEB30FC">
      <w:pPr>
        <w:keepNext w:val="0"/>
        <w:keepLines w:val="0"/>
        <w:pageBreakBefore w:val="0"/>
        <w:kinsoku/>
        <w:wordWrap/>
        <w:overflowPunct/>
        <w:topLinePunct w:val="0"/>
        <w:autoSpaceDE/>
        <w:autoSpaceDN/>
        <w:bidi w:val="0"/>
        <w:adjustRightInd/>
        <w:snapToGrid/>
        <w:spacing w:line="360" w:lineRule="auto"/>
        <w:textAlignment w:val="auto"/>
        <w:rPr>
          <w:color w:val="auto"/>
          <w:sz w:val="24"/>
          <w:szCs w:val="24"/>
          <w:highlight w:val="none"/>
        </w:rPr>
      </w:pPr>
    </w:p>
    <w:p w14:paraId="35FEB41E">
      <w:pPr>
        <w:keepNext w:val="0"/>
        <w:keepLines w:val="0"/>
        <w:pageBreakBefore w:val="0"/>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color w:val="auto"/>
          <w:sz w:val="24"/>
          <w:szCs w:val="24"/>
          <w:highlight w:val="none"/>
        </w:rPr>
        <w:t>接受方：</w:t>
      </w:r>
    </w:p>
    <w:p w14:paraId="5DE5837E">
      <w:pPr>
        <w:keepNext w:val="0"/>
        <w:keepLines w:val="0"/>
        <w:pageBreakBefore w:val="0"/>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color w:val="auto"/>
          <w:sz w:val="24"/>
          <w:szCs w:val="24"/>
          <w:highlight w:val="none"/>
        </w:rPr>
        <w:t xml:space="preserve">代理人（签字）                  </w:t>
      </w:r>
    </w:p>
    <w:p w14:paraId="2CE69822">
      <w:pPr>
        <w:keepNext w:val="0"/>
        <w:keepLines w:val="0"/>
        <w:pageBreakBefore w:val="0"/>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color w:val="auto"/>
          <w:sz w:val="24"/>
          <w:szCs w:val="24"/>
          <w:highlight w:val="none"/>
        </w:rPr>
        <w:t xml:space="preserve">年   月   日 </w:t>
      </w:r>
    </w:p>
    <w:p w14:paraId="5FB7C910">
      <w:pPr>
        <w:keepNext w:val="0"/>
        <w:keepLines w:val="0"/>
        <w:pageBreakBefore w:val="0"/>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color w:val="auto"/>
          <w:sz w:val="24"/>
          <w:szCs w:val="24"/>
          <w:highlight w:val="none"/>
        </w:rPr>
        <w:t xml:space="preserve">                   </w:t>
      </w:r>
    </w:p>
    <w:p w14:paraId="21345ED2">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sz w:val="21"/>
          <w:szCs w:val="21"/>
          <w:highlight w:val="none"/>
        </w:rPr>
        <w:sectPr>
          <w:footerReference r:id="rId8" w:type="default"/>
          <w:footerReference r:id="rId9" w:type="even"/>
          <w:type w:val="nextColumn"/>
          <w:pgSz w:w="11907" w:h="16840"/>
          <w:pgMar w:top="1134" w:right="1191" w:bottom="1134" w:left="1304" w:header="964" w:footer="992" w:gutter="0"/>
          <w:pgNumType w:fmt="numberInDash"/>
          <w:cols w:space="720" w:num="1"/>
          <w:docGrid w:linePitch="312" w:charSpace="0"/>
        </w:sectPr>
      </w:pPr>
      <w:r>
        <w:rPr>
          <w:rFonts w:hint="eastAsia"/>
          <w:b/>
          <w:bCs/>
          <w:color w:val="auto"/>
          <w:sz w:val="24"/>
          <w:szCs w:val="24"/>
          <w:highlight w:val="none"/>
        </w:rPr>
        <w:t>注：合同格式成交后据实调整</w:t>
      </w:r>
    </w:p>
    <w:p w14:paraId="60476D3D">
      <w:pPr>
        <w:pStyle w:val="3"/>
        <w:spacing w:beforeLines="0" w:afterLines="0" w:line="360" w:lineRule="auto"/>
        <w:rPr>
          <w:rFonts w:ascii="宋体" w:hAnsi="宋体" w:eastAsia="宋体" w:cs="宋体"/>
          <w:b/>
          <w:color w:val="auto"/>
          <w:highlight w:val="none"/>
        </w:rPr>
      </w:pPr>
      <w:bookmarkStart w:id="511" w:name="_Toc75793539"/>
      <w:bookmarkStart w:id="512" w:name="_Toc31517"/>
      <w:bookmarkStart w:id="513" w:name="_Toc22748"/>
      <w:bookmarkStart w:id="514" w:name="_Toc6992"/>
      <w:bookmarkStart w:id="515" w:name="_Toc8132"/>
      <w:bookmarkStart w:id="516" w:name="_Toc20934"/>
      <w:bookmarkStart w:id="517" w:name="_Toc8818"/>
      <w:bookmarkStart w:id="518" w:name="_Toc14325"/>
      <w:bookmarkStart w:id="519" w:name="_Toc12863"/>
      <w:bookmarkStart w:id="520" w:name="_Toc25727"/>
      <w:bookmarkStart w:id="521" w:name="_Toc16203"/>
      <w:bookmarkStart w:id="522" w:name="_Toc19519"/>
      <w:bookmarkStart w:id="523" w:name="_Toc14019"/>
      <w:bookmarkStart w:id="524" w:name="_Toc12202"/>
      <w:bookmarkStart w:id="525" w:name="_Toc9843"/>
      <w:bookmarkStart w:id="526" w:name="_Toc8114"/>
      <w:r>
        <w:rPr>
          <w:rFonts w:hint="eastAsia" w:ascii="宋体" w:hAnsi="宋体" w:eastAsia="宋体" w:cs="宋体"/>
          <w:b/>
          <w:color w:val="auto"/>
          <w:highlight w:val="none"/>
        </w:rPr>
        <w:t xml:space="preserve">第七篇  </w:t>
      </w:r>
      <w:r>
        <w:rPr>
          <w:rFonts w:hint="eastAsia" w:ascii="宋体" w:hAnsi="宋体" w:eastAsia="宋体" w:cs="宋体"/>
          <w:b/>
          <w:color w:val="auto"/>
          <w:highlight w:val="none"/>
          <w:lang w:eastAsia="zh-CN"/>
        </w:rPr>
        <w:t>响应文件</w:t>
      </w:r>
      <w:r>
        <w:rPr>
          <w:rFonts w:hint="eastAsia" w:ascii="宋体" w:hAnsi="宋体" w:eastAsia="宋体" w:cs="宋体"/>
          <w:b/>
          <w:color w:val="auto"/>
          <w:highlight w:val="none"/>
        </w:rPr>
        <w:t>格式</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4C71FEF5">
      <w:pPr>
        <w:snapToGrid w:val="0"/>
        <w:spacing w:line="40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一、经济文件</w:t>
      </w:r>
    </w:p>
    <w:p w14:paraId="164060C5">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（一）开标一览表</w:t>
      </w:r>
    </w:p>
    <w:p w14:paraId="228489A4">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（二）分项报价明细表</w:t>
      </w:r>
    </w:p>
    <w:p w14:paraId="374CADCA">
      <w:pPr>
        <w:snapToGrid w:val="0"/>
        <w:spacing w:line="40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二、服务内容及需求文件</w:t>
      </w:r>
    </w:p>
    <w:p w14:paraId="21FC06CA">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8"/>
          <w:highlight w:val="none"/>
        </w:rPr>
        <w:t>服务内容及需求条款差异表</w:t>
      </w:r>
    </w:p>
    <w:p w14:paraId="32A2B755">
      <w:pPr>
        <w:tabs>
          <w:tab w:val="left" w:pos="6300"/>
        </w:tabs>
        <w:snapToGrid w:val="0"/>
        <w:spacing w:line="500" w:lineRule="exact"/>
        <w:ind w:firstLine="480" w:firstLineChars="200"/>
        <w:rPr>
          <w:rFonts w:ascii="宋体" w:hAnsi="宋体" w:cs="宋体"/>
          <w:color w:val="auto"/>
          <w:highlight w:val="none"/>
        </w:rPr>
      </w:pPr>
      <w:r>
        <w:rPr>
          <w:rFonts w:hint="eastAsia" w:ascii="宋体" w:hAnsi="宋体" w:cs="宋体"/>
          <w:color w:val="auto"/>
          <w:sz w:val="24"/>
          <w:highlight w:val="none"/>
        </w:rPr>
        <w:t>（二）其他资料（格式自定）</w:t>
      </w:r>
    </w:p>
    <w:p w14:paraId="78ABC143">
      <w:pPr>
        <w:snapToGrid w:val="0"/>
        <w:spacing w:line="40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三、商务文件</w:t>
      </w:r>
    </w:p>
    <w:p w14:paraId="7E453E80">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（一）投标函（格式）</w:t>
      </w:r>
    </w:p>
    <w:p w14:paraId="7E0784F5">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（二）商务条款差异表</w:t>
      </w:r>
    </w:p>
    <w:p w14:paraId="50152E80">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（三）其他商务资料</w:t>
      </w:r>
    </w:p>
    <w:p w14:paraId="43C4F640">
      <w:pPr>
        <w:tabs>
          <w:tab w:val="left" w:pos="1764"/>
        </w:tabs>
        <w:snapToGrid w:val="0"/>
        <w:spacing w:line="40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四、其他</w:t>
      </w:r>
    </w:p>
    <w:p w14:paraId="2D0EB552">
      <w:pPr>
        <w:tabs>
          <w:tab w:val="left" w:pos="6300"/>
        </w:tabs>
        <w:snapToGrid w:val="0"/>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其他与项目有关的资料（自附）</w:t>
      </w:r>
    </w:p>
    <w:p w14:paraId="69B7DF37">
      <w:pPr>
        <w:snapToGrid w:val="0"/>
        <w:spacing w:line="40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五、资格文件</w:t>
      </w:r>
    </w:p>
    <w:p w14:paraId="27EB0F5F">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37BBBC4A">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14:paraId="259FA6F8">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14:paraId="483C187C">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（四）基本资格条件承诺函（格式）</w:t>
      </w:r>
    </w:p>
    <w:p w14:paraId="43A71CD7">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（五）特定资格条件证书或证明文件</w:t>
      </w:r>
    </w:p>
    <w:p w14:paraId="483BE57E">
      <w:pPr>
        <w:snapToGrid w:val="0"/>
        <w:spacing w:line="400" w:lineRule="exact"/>
        <w:ind w:firstLine="480" w:firstLineChars="200"/>
        <w:rPr>
          <w:rFonts w:ascii="宋体" w:hAnsi="宋体" w:cs="宋体"/>
          <w:color w:val="auto"/>
          <w:sz w:val="24"/>
          <w:szCs w:val="24"/>
          <w:highlight w:val="none"/>
        </w:rPr>
      </w:pPr>
      <w:bookmarkStart w:id="606" w:name="_GoBack"/>
      <w:bookmarkEnd w:id="606"/>
    </w:p>
    <w:p w14:paraId="62637551">
      <w:pPr>
        <w:pStyle w:val="4"/>
        <w:pageBreakBefore/>
        <w:spacing w:line="500" w:lineRule="exact"/>
        <w:ind w:firstLine="562" w:firstLineChars="200"/>
        <w:rPr>
          <w:rFonts w:cs="宋体"/>
          <w:b/>
          <w:color w:val="auto"/>
          <w:szCs w:val="28"/>
          <w:highlight w:val="none"/>
        </w:rPr>
      </w:pPr>
      <w:bookmarkStart w:id="527" w:name="_Toc29821"/>
      <w:bookmarkStart w:id="528" w:name="_Toc14552"/>
      <w:bookmarkStart w:id="529" w:name="_Toc10124"/>
      <w:bookmarkStart w:id="530" w:name="_Toc21561"/>
      <w:bookmarkStart w:id="531" w:name="_Toc27612"/>
      <w:bookmarkStart w:id="532" w:name="_Toc25659"/>
      <w:bookmarkStart w:id="533" w:name="_Toc23361"/>
      <w:bookmarkStart w:id="534" w:name="_Toc28928"/>
      <w:bookmarkStart w:id="535" w:name="_Toc18349"/>
      <w:bookmarkStart w:id="536" w:name="_Toc13547"/>
      <w:bookmarkStart w:id="537" w:name="_Toc429584884"/>
      <w:bookmarkStart w:id="538" w:name="_Toc15893"/>
      <w:bookmarkStart w:id="539" w:name="_Toc75793540"/>
      <w:bookmarkStart w:id="540" w:name="_Toc27943"/>
      <w:bookmarkStart w:id="541" w:name="_Toc31828"/>
      <w:bookmarkStart w:id="542" w:name="_Toc106030417"/>
      <w:bookmarkStart w:id="543" w:name="_Toc14568"/>
      <w:bookmarkStart w:id="544" w:name="_Toc31914"/>
      <w:r>
        <w:rPr>
          <w:rFonts w:hint="eastAsia" w:cs="宋体"/>
          <w:b/>
          <w:color w:val="auto"/>
          <w:szCs w:val="28"/>
          <w:highlight w:val="none"/>
        </w:rPr>
        <w:t>一、经济文件</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370644CF">
      <w:pPr>
        <w:snapToGrid w:val="0"/>
        <w:spacing w:line="500" w:lineRule="exact"/>
        <w:jc w:val="center"/>
        <w:rPr>
          <w:rFonts w:ascii="宋体" w:hAnsi="宋体" w:cs="宋体"/>
          <w:color w:val="auto"/>
          <w:szCs w:val="36"/>
          <w:highlight w:val="none"/>
        </w:rPr>
      </w:pPr>
      <w:r>
        <w:rPr>
          <w:rFonts w:hint="eastAsia" w:ascii="宋体" w:hAnsi="宋体" w:cs="宋体"/>
          <w:color w:val="auto"/>
          <w:szCs w:val="36"/>
          <w:highlight w:val="none"/>
        </w:rPr>
        <w:t>（一）开标一览表</w:t>
      </w:r>
    </w:p>
    <w:p w14:paraId="6033659F">
      <w:pPr>
        <w:spacing w:line="500" w:lineRule="exact"/>
        <w:ind w:firstLine="240" w:firstLineChars="1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招标项目名称：</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835"/>
        <w:gridCol w:w="1559"/>
        <w:gridCol w:w="2999"/>
      </w:tblGrid>
      <w:tr w14:paraId="0B36E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235" w:type="dxa"/>
            <w:noWrap w:val="0"/>
            <w:vAlign w:val="center"/>
          </w:tcPr>
          <w:p w14:paraId="463AF0EA">
            <w:pPr>
              <w:spacing w:line="500" w:lineRule="exact"/>
              <w:jc w:val="center"/>
              <w:rPr>
                <w:rFonts w:ascii="方正仿宋_GBK" w:hAnsi="宋体" w:eastAsia="方正仿宋_GBK"/>
                <w:color w:val="auto"/>
                <w:sz w:val="21"/>
                <w:szCs w:val="28"/>
                <w:highlight w:val="none"/>
              </w:rPr>
            </w:pPr>
            <w:r>
              <w:rPr>
                <w:rFonts w:hint="eastAsia" w:ascii="方正仿宋_GBK" w:hAnsi="宋体" w:eastAsia="方正仿宋_GBK"/>
                <w:color w:val="auto"/>
                <w:sz w:val="21"/>
                <w:szCs w:val="28"/>
                <w:highlight w:val="none"/>
                <w:lang w:eastAsia="zh-CN"/>
              </w:rPr>
              <w:t>供应商</w:t>
            </w:r>
            <w:r>
              <w:rPr>
                <w:rFonts w:hint="eastAsia" w:ascii="方正仿宋_GBK" w:hAnsi="宋体" w:eastAsia="方正仿宋_GBK"/>
                <w:color w:val="auto"/>
                <w:sz w:val="21"/>
                <w:szCs w:val="28"/>
                <w:highlight w:val="none"/>
              </w:rPr>
              <w:t>名称</w:t>
            </w:r>
          </w:p>
        </w:tc>
        <w:tc>
          <w:tcPr>
            <w:tcW w:w="7393" w:type="dxa"/>
            <w:gridSpan w:val="3"/>
            <w:noWrap w:val="0"/>
            <w:vAlign w:val="center"/>
          </w:tcPr>
          <w:p w14:paraId="4C98E41F">
            <w:pPr>
              <w:spacing w:line="500" w:lineRule="exact"/>
              <w:jc w:val="center"/>
              <w:rPr>
                <w:rFonts w:ascii="方正仿宋_GBK" w:hAnsi="宋体" w:eastAsia="方正仿宋_GBK"/>
                <w:color w:val="auto"/>
                <w:sz w:val="21"/>
                <w:szCs w:val="28"/>
                <w:highlight w:val="none"/>
              </w:rPr>
            </w:pPr>
          </w:p>
        </w:tc>
      </w:tr>
      <w:tr w14:paraId="2B970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2235" w:type="dxa"/>
            <w:noWrap w:val="0"/>
            <w:vAlign w:val="center"/>
          </w:tcPr>
          <w:p w14:paraId="4C6697FB">
            <w:pPr>
              <w:spacing w:line="500" w:lineRule="exact"/>
              <w:jc w:val="center"/>
              <w:rPr>
                <w:rFonts w:ascii="方正仿宋_GBK" w:hAnsi="宋体" w:eastAsia="方正仿宋_GBK"/>
                <w:color w:val="auto"/>
                <w:sz w:val="21"/>
                <w:szCs w:val="28"/>
                <w:highlight w:val="none"/>
              </w:rPr>
            </w:pPr>
            <w:r>
              <w:rPr>
                <w:rFonts w:hint="eastAsia" w:ascii="方正仿宋_GBK" w:eastAsia="方正仿宋_GBK"/>
                <w:color w:val="auto"/>
                <w:sz w:val="21"/>
                <w:szCs w:val="21"/>
                <w:highlight w:val="none"/>
              </w:rPr>
              <w:t>项目名称</w:t>
            </w:r>
          </w:p>
        </w:tc>
        <w:tc>
          <w:tcPr>
            <w:tcW w:w="2835" w:type="dxa"/>
            <w:noWrap w:val="0"/>
            <w:vAlign w:val="center"/>
          </w:tcPr>
          <w:p w14:paraId="63B34B33">
            <w:pPr>
              <w:spacing w:line="500" w:lineRule="exact"/>
              <w:jc w:val="center"/>
              <w:rPr>
                <w:rFonts w:ascii="方正仿宋_GBK" w:hAnsi="宋体" w:eastAsia="方正仿宋_GBK"/>
                <w:color w:val="auto"/>
                <w:sz w:val="21"/>
                <w:szCs w:val="28"/>
                <w:highlight w:val="none"/>
              </w:rPr>
            </w:pPr>
            <w:r>
              <w:rPr>
                <w:rFonts w:hint="eastAsia" w:ascii="方正仿宋_GBK" w:hAnsi="宋体" w:eastAsia="方正仿宋_GBK"/>
                <w:color w:val="auto"/>
                <w:sz w:val="21"/>
                <w:szCs w:val="28"/>
                <w:highlight w:val="none"/>
              </w:rPr>
              <w:t>项目内容</w:t>
            </w:r>
          </w:p>
        </w:tc>
        <w:tc>
          <w:tcPr>
            <w:tcW w:w="1559" w:type="dxa"/>
            <w:noWrap w:val="0"/>
            <w:vAlign w:val="center"/>
          </w:tcPr>
          <w:p w14:paraId="4D2D46AE">
            <w:pPr>
              <w:spacing w:line="500" w:lineRule="exact"/>
              <w:jc w:val="center"/>
              <w:rPr>
                <w:rFonts w:ascii="方正仿宋_GBK" w:hAnsi="宋体" w:eastAsia="方正仿宋_GBK"/>
                <w:color w:val="auto"/>
                <w:sz w:val="21"/>
                <w:szCs w:val="28"/>
                <w:highlight w:val="none"/>
              </w:rPr>
            </w:pPr>
            <w:r>
              <w:rPr>
                <w:rFonts w:hint="eastAsia" w:ascii="方正仿宋_GBK" w:hAnsi="宋体" w:eastAsia="方正仿宋_GBK"/>
                <w:color w:val="auto"/>
                <w:sz w:val="21"/>
                <w:szCs w:val="28"/>
                <w:highlight w:val="none"/>
              </w:rPr>
              <w:t>数量</w:t>
            </w:r>
          </w:p>
        </w:tc>
        <w:tc>
          <w:tcPr>
            <w:tcW w:w="2999" w:type="dxa"/>
            <w:noWrap w:val="0"/>
            <w:vAlign w:val="center"/>
          </w:tcPr>
          <w:p w14:paraId="6DD7E621">
            <w:pPr>
              <w:spacing w:line="500" w:lineRule="exact"/>
              <w:jc w:val="center"/>
              <w:rPr>
                <w:rFonts w:ascii="方正仿宋_GBK" w:hAnsi="宋体" w:eastAsia="方正仿宋_GBK"/>
                <w:color w:val="auto"/>
                <w:sz w:val="21"/>
                <w:szCs w:val="28"/>
                <w:highlight w:val="none"/>
              </w:rPr>
            </w:pPr>
            <w:r>
              <w:rPr>
                <w:rFonts w:hint="eastAsia" w:ascii="方正仿宋_GBK" w:hAnsi="宋体" w:eastAsia="方正仿宋_GBK"/>
                <w:color w:val="auto"/>
                <w:sz w:val="21"/>
                <w:szCs w:val="28"/>
                <w:highlight w:val="none"/>
              </w:rPr>
              <w:t>备注</w:t>
            </w:r>
          </w:p>
        </w:tc>
      </w:tr>
      <w:tr w14:paraId="376C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trPr>
        <w:tc>
          <w:tcPr>
            <w:tcW w:w="2235" w:type="dxa"/>
            <w:noWrap w:val="0"/>
            <w:vAlign w:val="center"/>
          </w:tcPr>
          <w:p w14:paraId="397AE870">
            <w:pPr>
              <w:spacing w:line="500" w:lineRule="exact"/>
              <w:jc w:val="center"/>
              <w:rPr>
                <w:rFonts w:hint="eastAsia" w:ascii="方正仿宋_GBK" w:hAnsi="宋体" w:eastAsia="方正仿宋_GBK"/>
                <w:color w:val="auto"/>
                <w:sz w:val="21"/>
                <w:szCs w:val="28"/>
                <w:highlight w:val="none"/>
                <w:lang w:eastAsia="zh-CN"/>
              </w:rPr>
            </w:pPr>
            <w:r>
              <w:rPr>
                <w:rFonts w:hint="eastAsia" w:ascii="方正仿宋_GBK" w:hAnsi="宋体" w:eastAsia="方正仿宋_GBK"/>
                <w:color w:val="auto"/>
                <w:sz w:val="21"/>
                <w:szCs w:val="28"/>
                <w:highlight w:val="none"/>
                <w:lang w:eastAsia="zh-CN"/>
              </w:rPr>
              <w:t>2025年一般工业固废污泥处置项目</w:t>
            </w:r>
          </w:p>
        </w:tc>
        <w:tc>
          <w:tcPr>
            <w:tcW w:w="2835" w:type="dxa"/>
            <w:noWrap w:val="0"/>
            <w:vAlign w:val="center"/>
          </w:tcPr>
          <w:p w14:paraId="61B4B27A">
            <w:pPr>
              <w:pStyle w:val="6"/>
              <w:spacing w:line="240" w:lineRule="atLeast"/>
              <w:ind w:firstLine="0"/>
              <w:outlineLvl w:val="0"/>
              <w:rPr>
                <w:rFonts w:ascii="方正仿宋_GBK" w:hAnsi="宋体" w:eastAsia="方正仿宋_GBK"/>
                <w:color w:val="auto"/>
                <w:sz w:val="21"/>
                <w:szCs w:val="28"/>
                <w:highlight w:val="none"/>
              </w:rPr>
            </w:pPr>
            <w:r>
              <w:rPr>
                <w:rFonts w:hint="eastAsia" w:ascii="方正仿宋_GBK" w:hAnsi="宋体" w:eastAsia="方正仿宋_GBK"/>
                <w:color w:val="auto"/>
                <w:sz w:val="21"/>
                <w:szCs w:val="28"/>
                <w:highlight w:val="none"/>
              </w:rPr>
              <w:t>一般工业固废污泥处置项目</w:t>
            </w:r>
          </w:p>
        </w:tc>
        <w:tc>
          <w:tcPr>
            <w:tcW w:w="1559" w:type="dxa"/>
            <w:noWrap w:val="0"/>
            <w:vAlign w:val="center"/>
          </w:tcPr>
          <w:p w14:paraId="62B8AEA3">
            <w:pPr>
              <w:spacing w:line="500" w:lineRule="exact"/>
              <w:jc w:val="center"/>
              <w:rPr>
                <w:rFonts w:ascii="方正仿宋_GBK" w:hAnsi="宋体" w:eastAsia="方正仿宋_GBK"/>
                <w:color w:val="auto"/>
                <w:sz w:val="21"/>
                <w:szCs w:val="28"/>
                <w:highlight w:val="none"/>
              </w:rPr>
            </w:pPr>
            <w:r>
              <w:rPr>
                <w:rFonts w:hint="eastAsia" w:ascii="方正仿宋_GBK" w:hAnsi="宋体" w:eastAsia="方正仿宋_GBK"/>
                <w:color w:val="auto"/>
                <w:sz w:val="21"/>
                <w:szCs w:val="28"/>
                <w:highlight w:val="none"/>
              </w:rPr>
              <w:t>10000吨</w:t>
            </w:r>
          </w:p>
          <w:p w14:paraId="43C2E3C8">
            <w:pPr>
              <w:spacing w:line="500" w:lineRule="exact"/>
              <w:jc w:val="center"/>
              <w:rPr>
                <w:rFonts w:ascii="方正仿宋_GBK" w:hAnsi="宋体" w:eastAsia="方正仿宋_GBK"/>
                <w:color w:val="auto"/>
                <w:sz w:val="21"/>
                <w:szCs w:val="28"/>
                <w:highlight w:val="none"/>
              </w:rPr>
            </w:pPr>
            <w:r>
              <w:rPr>
                <w:rFonts w:hint="eastAsia" w:ascii="方正仿宋_GBK" w:hAnsi="宋体" w:eastAsia="方正仿宋_GBK"/>
                <w:color w:val="auto"/>
                <w:sz w:val="21"/>
                <w:szCs w:val="28"/>
                <w:highlight w:val="none"/>
              </w:rPr>
              <w:t>（暂定）</w:t>
            </w:r>
          </w:p>
        </w:tc>
        <w:tc>
          <w:tcPr>
            <w:tcW w:w="2999" w:type="dxa"/>
            <w:noWrap w:val="0"/>
            <w:vAlign w:val="top"/>
          </w:tcPr>
          <w:p w14:paraId="46FE8565">
            <w:pPr>
              <w:spacing w:line="500" w:lineRule="exact"/>
              <w:rPr>
                <w:rFonts w:ascii="方正仿宋_GBK" w:hAnsi="宋体" w:eastAsia="方正仿宋_GBK"/>
                <w:color w:val="auto"/>
                <w:sz w:val="21"/>
                <w:szCs w:val="28"/>
                <w:highlight w:val="none"/>
              </w:rPr>
            </w:pPr>
            <w:r>
              <w:rPr>
                <w:rFonts w:hint="eastAsia" w:ascii="方正仿宋_GBK" w:hAnsi="宋体" w:eastAsia="方正仿宋_GBK"/>
                <w:color w:val="auto"/>
                <w:sz w:val="21"/>
                <w:szCs w:val="21"/>
                <w:highlight w:val="none"/>
              </w:rPr>
              <w:t>服务期：</w:t>
            </w:r>
            <w:r>
              <w:rPr>
                <w:rFonts w:ascii="方正仿宋_GBK" w:hAnsi="宋体" w:eastAsia="方正仿宋_GBK"/>
                <w:color w:val="auto"/>
                <w:sz w:val="21"/>
                <w:szCs w:val="21"/>
                <w:highlight w:val="none"/>
              </w:rPr>
              <w:t>1</w:t>
            </w:r>
            <w:r>
              <w:rPr>
                <w:rFonts w:hint="eastAsia" w:ascii="方正仿宋_GBK" w:hAnsi="宋体" w:eastAsia="方正仿宋_GBK"/>
                <w:color w:val="auto"/>
                <w:sz w:val="21"/>
                <w:szCs w:val="21"/>
                <w:highlight w:val="none"/>
              </w:rPr>
              <w:t>年；处置量暂定10000吨，</w:t>
            </w:r>
            <w:r>
              <w:rPr>
                <w:rFonts w:hint="eastAsia" w:ascii="方正仿宋_GBK" w:hAnsi="宋体" w:eastAsia="方正仿宋_GBK" w:cs="宋体"/>
                <w:color w:val="auto"/>
                <w:kern w:val="0"/>
                <w:sz w:val="21"/>
                <w:szCs w:val="21"/>
                <w:highlight w:val="none"/>
              </w:rPr>
              <w:t>实际结算价以合同有效期内最终处置量乘以采购成交单价为准。</w:t>
            </w:r>
          </w:p>
        </w:tc>
      </w:tr>
      <w:tr w14:paraId="4170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4"/>
            <w:tcBorders>
              <w:bottom w:val="single" w:color="auto" w:sz="4" w:space="0"/>
            </w:tcBorders>
            <w:noWrap w:val="0"/>
            <w:vAlign w:val="center"/>
          </w:tcPr>
          <w:p w14:paraId="7680E6AB">
            <w:pPr>
              <w:spacing w:line="560" w:lineRule="exact"/>
              <w:rPr>
                <w:rFonts w:hint="default" w:ascii="方正仿宋_GBK" w:hAnsi="宋体" w:eastAsia="方正仿宋_GBK"/>
                <w:color w:val="auto"/>
                <w:sz w:val="21"/>
                <w:szCs w:val="28"/>
                <w:highlight w:val="none"/>
                <w:u w:val="single"/>
                <w:lang w:val="en-US" w:eastAsia="zh-CN"/>
              </w:rPr>
            </w:pPr>
            <w:r>
              <w:rPr>
                <w:rFonts w:hint="eastAsia" w:ascii="方正仿宋_GBK" w:hAnsi="宋体" w:eastAsia="方正仿宋_GBK"/>
                <w:color w:val="auto"/>
                <w:sz w:val="21"/>
                <w:szCs w:val="28"/>
                <w:highlight w:val="none"/>
              </w:rPr>
              <w:t>投标报价（小写）：</w:t>
            </w:r>
            <w:r>
              <w:rPr>
                <w:rFonts w:hint="eastAsia" w:ascii="方正仿宋_GBK" w:hAnsi="宋体" w:eastAsia="方正仿宋_GBK"/>
                <w:color w:val="auto"/>
                <w:sz w:val="21"/>
                <w:szCs w:val="28"/>
                <w:highlight w:val="none"/>
                <w:lang w:val="en-US" w:eastAsia="zh-CN"/>
              </w:rPr>
              <w:t>不含税价：</w:t>
            </w:r>
            <w:r>
              <w:rPr>
                <w:rFonts w:hint="eastAsia" w:ascii="方正仿宋_GBK" w:hAnsi="宋体" w:eastAsia="方正仿宋_GBK"/>
                <w:color w:val="auto"/>
                <w:sz w:val="21"/>
                <w:szCs w:val="28"/>
                <w:highlight w:val="none"/>
                <w:u w:val="single"/>
              </w:rPr>
              <w:t xml:space="preserve">     </w:t>
            </w:r>
            <w:r>
              <w:rPr>
                <w:rFonts w:hint="eastAsia" w:ascii="方正仿宋_GBK" w:hAnsi="宋体" w:eastAsia="方正仿宋_GBK"/>
                <w:color w:val="auto"/>
                <w:sz w:val="21"/>
                <w:szCs w:val="28"/>
                <w:highlight w:val="none"/>
                <w:u w:val="single"/>
                <w:lang w:val="en-US" w:eastAsia="zh-CN"/>
              </w:rPr>
              <w:t xml:space="preserve">  </w:t>
            </w:r>
            <w:r>
              <w:rPr>
                <w:rFonts w:hint="eastAsia" w:ascii="方正仿宋_GBK" w:hAnsi="宋体" w:eastAsia="方正仿宋_GBK"/>
                <w:color w:val="auto"/>
                <w:sz w:val="21"/>
                <w:szCs w:val="28"/>
                <w:highlight w:val="none"/>
                <w:u w:val="single"/>
              </w:rPr>
              <w:t xml:space="preserve"> </w:t>
            </w:r>
            <w:r>
              <w:rPr>
                <w:rFonts w:hint="eastAsia" w:ascii="方正仿宋_GBK" w:hAnsi="宋体" w:eastAsia="方正仿宋_GBK"/>
                <w:color w:val="auto"/>
                <w:sz w:val="21"/>
                <w:szCs w:val="28"/>
                <w:highlight w:val="none"/>
              </w:rPr>
              <w:t>元/吨</w:t>
            </w:r>
            <w:r>
              <w:rPr>
                <w:rFonts w:hint="eastAsia" w:ascii="方正仿宋_GBK" w:hAnsi="宋体" w:eastAsia="方正仿宋_GBK"/>
                <w:color w:val="auto"/>
                <w:sz w:val="21"/>
                <w:szCs w:val="28"/>
                <w:highlight w:val="none"/>
                <w:lang w:eastAsia="zh-CN"/>
              </w:rPr>
              <w:t>，</w:t>
            </w:r>
            <w:r>
              <w:rPr>
                <w:rFonts w:hint="eastAsia" w:ascii="方正仿宋_GBK" w:hAnsi="宋体" w:eastAsia="方正仿宋_GBK"/>
                <w:color w:val="auto"/>
                <w:sz w:val="21"/>
                <w:szCs w:val="28"/>
                <w:highlight w:val="none"/>
                <w:lang w:val="en-US" w:eastAsia="zh-CN"/>
              </w:rPr>
              <w:t>税率</w:t>
            </w:r>
            <w:r>
              <w:rPr>
                <w:rFonts w:hint="eastAsia" w:ascii="方正仿宋_GBK" w:hAnsi="宋体" w:eastAsia="方正仿宋_GBK"/>
                <w:color w:val="auto"/>
                <w:sz w:val="21"/>
                <w:szCs w:val="28"/>
                <w:highlight w:val="none"/>
                <w:u w:val="single"/>
                <w:lang w:val="en-US" w:eastAsia="zh-CN"/>
              </w:rPr>
              <w:t xml:space="preserve">      </w:t>
            </w:r>
            <w:r>
              <w:rPr>
                <w:rFonts w:hint="eastAsia" w:ascii="方正仿宋_GBK" w:hAnsi="宋体" w:eastAsia="方正仿宋_GBK"/>
                <w:color w:val="auto"/>
                <w:sz w:val="21"/>
                <w:szCs w:val="28"/>
                <w:highlight w:val="none"/>
                <w:u w:val="none"/>
                <w:lang w:val="en-US" w:eastAsia="zh-CN"/>
              </w:rPr>
              <w:t>%，税金</w:t>
            </w:r>
            <w:r>
              <w:rPr>
                <w:rFonts w:hint="eastAsia" w:ascii="方正仿宋_GBK" w:hAnsi="宋体" w:eastAsia="方正仿宋_GBK"/>
                <w:color w:val="auto"/>
                <w:sz w:val="21"/>
                <w:szCs w:val="28"/>
                <w:highlight w:val="none"/>
                <w:u w:val="single"/>
                <w:lang w:val="en-US" w:eastAsia="zh-CN"/>
              </w:rPr>
              <w:t xml:space="preserve">       </w:t>
            </w:r>
            <w:r>
              <w:rPr>
                <w:rFonts w:hint="eastAsia" w:ascii="方正仿宋_GBK" w:hAnsi="宋体" w:eastAsia="方正仿宋_GBK"/>
                <w:color w:val="auto"/>
                <w:sz w:val="21"/>
                <w:szCs w:val="28"/>
                <w:highlight w:val="none"/>
                <w:u w:val="none"/>
                <w:lang w:val="en-US" w:eastAsia="zh-CN"/>
              </w:rPr>
              <w:t xml:space="preserve">元，含税价 </w:t>
            </w:r>
            <w:r>
              <w:rPr>
                <w:rFonts w:hint="eastAsia" w:ascii="方正仿宋_GBK" w:hAnsi="宋体" w:eastAsia="方正仿宋_GBK"/>
                <w:color w:val="auto"/>
                <w:sz w:val="21"/>
                <w:szCs w:val="28"/>
                <w:highlight w:val="none"/>
                <w:u w:val="single"/>
                <w:lang w:val="en-US" w:eastAsia="zh-CN"/>
              </w:rPr>
              <w:t xml:space="preserve">       </w:t>
            </w:r>
            <w:r>
              <w:rPr>
                <w:rFonts w:hint="eastAsia" w:ascii="方正仿宋_GBK" w:hAnsi="宋体" w:eastAsia="方正仿宋_GBK"/>
                <w:color w:val="auto"/>
                <w:sz w:val="21"/>
                <w:szCs w:val="28"/>
                <w:highlight w:val="none"/>
                <w:u w:val="none"/>
                <w:lang w:val="en-US" w:eastAsia="zh-CN"/>
              </w:rPr>
              <w:t>元/吨。</w:t>
            </w:r>
          </w:p>
        </w:tc>
      </w:tr>
      <w:tr w14:paraId="1467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4"/>
            <w:tcBorders>
              <w:bottom w:val="single" w:color="auto" w:sz="4" w:space="0"/>
            </w:tcBorders>
            <w:noWrap w:val="0"/>
            <w:vAlign w:val="center"/>
          </w:tcPr>
          <w:p w14:paraId="726406BF">
            <w:pPr>
              <w:spacing w:line="560" w:lineRule="exact"/>
              <w:rPr>
                <w:rFonts w:ascii="方正仿宋_GBK" w:hAnsi="宋体" w:eastAsia="方正仿宋_GBK"/>
                <w:color w:val="auto"/>
                <w:sz w:val="21"/>
                <w:szCs w:val="28"/>
                <w:highlight w:val="none"/>
              </w:rPr>
            </w:pPr>
            <w:r>
              <w:rPr>
                <w:rFonts w:hint="eastAsia" w:ascii="方正仿宋_GBK" w:hAnsi="宋体" w:eastAsia="方正仿宋_GBK"/>
                <w:color w:val="auto"/>
                <w:sz w:val="21"/>
                <w:szCs w:val="28"/>
                <w:highlight w:val="none"/>
              </w:rPr>
              <w:t>投标报价（大写）：</w:t>
            </w:r>
            <w:r>
              <w:rPr>
                <w:rFonts w:hint="eastAsia" w:ascii="方正仿宋_GBK" w:hAnsi="宋体" w:eastAsia="方正仿宋_GBK"/>
                <w:color w:val="auto"/>
                <w:sz w:val="21"/>
                <w:szCs w:val="28"/>
                <w:highlight w:val="none"/>
                <w:lang w:val="en-US" w:eastAsia="zh-CN"/>
              </w:rPr>
              <w:t>不含税价：</w:t>
            </w:r>
            <w:r>
              <w:rPr>
                <w:rFonts w:hint="eastAsia" w:ascii="方正仿宋_GBK" w:hAnsi="宋体" w:eastAsia="方正仿宋_GBK"/>
                <w:color w:val="auto"/>
                <w:sz w:val="21"/>
                <w:szCs w:val="28"/>
                <w:highlight w:val="none"/>
                <w:u w:val="single"/>
              </w:rPr>
              <w:t xml:space="preserve">    </w:t>
            </w:r>
            <w:r>
              <w:rPr>
                <w:rFonts w:hint="eastAsia" w:ascii="方正仿宋_GBK" w:hAnsi="宋体" w:eastAsia="方正仿宋_GBK"/>
                <w:color w:val="auto"/>
                <w:sz w:val="21"/>
                <w:szCs w:val="28"/>
                <w:highlight w:val="none"/>
                <w:u w:val="single"/>
                <w:lang w:val="en-US" w:eastAsia="zh-CN"/>
              </w:rPr>
              <w:t xml:space="preserve">          </w:t>
            </w:r>
            <w:r>
              <w:rPr>
                <w:rFonts w:hint="eastAsia" w:ascii="方正仿宋_GBK" w:hAnsi="宋体" w:eastAsia="方正仿宋_GBK"/>
                <w:color w:val="auto"/>
                <w:sz w:val="21"/>
                <w:szCs w:val="28"/>
                <w:highlight w:val="none"/>
                <w:u w:val="single"/>
              </w:rPr>
              <w:t xml:space="preserve">  </w:t>
            </w:r>
            <w:r>
              <w:rPr>
                <w:rFonts w:hint="eastAsia" w:ascii="方正仿宋_GBK" w:hAnsi="宋体" w:eastAsia="方正仿宋_GBK"/>
                <w:color w:val="auto"/>
                <w:sz w:val="21"/>
                <w:szCs w:val="28"/>
                <w:highlight w:val="none"/>
              </w:rPr>
              <w:t>元/吨</w:t>
            </w:r>
            <w:r>
              <w:rPr>
                <w:rFonts w:hint="eastAsia" w:ascii="方正仿宋_GBK" w:hAnsi="宋体" w:eastAsia="方正仿宋_GBK"/>
                <w:color w:val="auto"/>
                <w:sz w:val="21"/>
                <w:szCs w:val="28"/>
                <w:highlight w:val="none"/>
                <w:lang w:eastAsia="zh-CN"/>
              </w:rPr>
              <w:t>，</w:t>
            </w:r>
            <w:r>
              <w:rPr>
                <w:rFonts w:hint="eastAsia" w:ascii="方正仿宋_GBK" w:hAnsi="宋体" w:eastAsia="方正仿宋_GBK"/>
                <w:color w:val="auto"/>
                <w:sz w:val="21"/>
                <w:szCs w:val="28"/>
                <w:highlight w:val="none"/>
                <w:lang w:val="en-US" w:eastAsia="zh-CN"/>
              </w:rPr>
              <w:t>税率</w:t>
            </w:r>
            <w:r>
              <w:rPr>
                <w:rFonts w:hint="eastAsia" w:ascii="方正仿宋_GBK" w:hAnsi="宋体" w:eastAsia="方正仿宋_GBK"/>
                <w:color w:val="auto"/>
                <w:sz w:val="21"/>
                <w:szCs w:val="28"/>
                <w:highlight w:val="none"/>
                <w:u w:val="single"/>
                <w:lang w:val="en-US" w:eastAsia="zh-CN"/>
              </w:rPr>
              <w:t xml:space="preserve"> 百分之       </w:t>
            </w:r>
            <w:r>
              <w:rPr>
                <w:rFonts w:hint="eastAsia" w:ascii="方正仿宋_GBK" w:hAnsi="宋体" w:eastAsia="方正仿宋_GBK"/>
                <w:color w:val="auto"/>
                <w:sz w:val="21"/>
                <w:szCs w:val="28"/>
                <w:highlight w:val="none"/>
                <w:u w:val="none"/>
                <w:lang w:val="en-US" w:eastAsia="zh-CN"/>
              </w:rPr>
              <w:t>，税金</w:t>
            </w:r>
            <w:r>
              <w:rPr>
                <w:rFonts w:hint="eastAsia" w:ascii="方正仿宋_GBK" w:hAnsi="宋体" w:eastAsia="方正仿宋_GBK"/>
                <w:color w:val="auto"/>
                <w:sz w:val="21"/>
                <w:szCs w:val="28"/>
                <w:highlight w:val="none"/>
                <w:u w:val="single"/>
                <w:lang w:val="en-US" w:eastAsia="zh-CN"/>
              </w:rPr>
              <w:t xml:space="preserve">           </w:t>
            </w:r>
            <w:r>
              <w:rPr>
                <w:rFonts w:hint="eastAsia" w:ascii="方正仿宋_GBK" w:hAnsi="宋体" w:eastAsia="方正仿宋_GBK"/>
                <w:color w:val="auto"/>
                <w:sz w:val="21"/>
                <w:szCs w:val="28"/>
                <w:highlight w:val="none"/>
                <w:u w:val="none"/>
                <w:lang w:val="en-US" w:eastAsia="zh-CN"/>
              </w:rPr>
              <w:t xml:space="preserve">元，含税价 </w:t>
            </w:r>
            <w:r>
              <w:rPr>
                <w:rFonts w:hint="eastAsia" w:ascii="方正仿宋_GBK" w:hAnsi="宋体" w:eastAsia="方正仿宋_GBK"/>
                <w:color w:val="auto"/>
                <w:sz w:val="21"/>
                <w:szCs w:val="28"/>
                <w:highlight w:val="none"/>
                <w:u w:val="single"/>
                <w:lang w:val="en-US" w:eastAsia="zh-CN"/>
              </w:rPr>
              <w:t xml:space="preserve">               </w:t>
            </w:r>
            <w:r>
              <w:rPr>
                <w:rFonts w:hint="eastAsia" w:ascii="方正仿宋_GBK" w:hAnsi="宋体" w:eastAsia="方正仿宋_GBK"/>
                <w:color w:val="auto"/>
                <w:sz w:val="21"/>
                <w:szCs w:val="28"/>
                <w:highlight w:val="none"/>
                <w:u w:val="none"/>
                <w:lang w:val="en-US" w:eastAsia="zh-CN"/>
              </w:rPr>
              <w:t>元/吨。</w:t>
            </w:r>
            <w:r>
              <w:rPr>
                <w:rFonts w:hint="eastAsia" w:ascii="方正仿宋_GBK" w:hAnsi="宋体" w:eastAsia="方正仿宋_GBK"/>
                <w:color w:val="auto"/>
                <w:sz w:val="21"/>
                <w:szCs w:val="28"/>
                <w:highlight w:val="none"/>
              </w:rPr>
              <w:t xml:space="preserve">   </w:t>
            </w:r>
          </w:p>
        </w:tc>
      </w:tr>
      <w:tr w14:paraId="362D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4"/>
            <w:noWrap w:val="0"/>
            <w:vAlign w:val="center"/>
          </w:tcPr>
          <w:p w14:paraId="7E166339">
            <w:pPr>
              <w:pStyle w:val="11"/>
              <w:spacing w:line="500" w:lineRule="exact"/>
              <w:rPr>
                <w:rFonts w:hint="default" w:ascii="方正仿宋_GBK" w:hAnsi="宋体" w:eastAsia="方正仿宋_GBK"/>
                <w:color w:val="auto"/>
                <w:sz w:val="21"/>
                <w:szCs w:val="28"/>
                <w:highlight w:val="none"/>
                <w:lang w:val="en-US" w:eastAsia="zh-CN"/>
              </w:rPr>
            </w:pPr>
            <w:r>
              <w:rPr>
                <w:rFonts w:hint="eastAsia" w:ascii="方正仿宋_GBK" w:hAnsi="仿宋" w:eastAsia="方正仿宋_GBK"/>
                <w:color w:val="auto"/>
                <w:sz w:val="21"/>
                <w:szCs w:val="28"/>
                <w:highlight w:val="none"/>
              </w:rPr>
              <w:t>备注：</w:t>
            </w:r>
            <w:r>
              <w:rPr>
                <w:rFonts w:hint="eastAsia" w:ascii="方正仿宋_GBK" w:hAnsi="仿宋" w:eastAsia="方正仿宋_GBK"/>
                <w:color w:val="auto"/>
                <w:sz w:val="21"/>
                <w:szCs w:val="28"/>
                <w:highlight w:val="none"/>
                <w:lang w:val="en-US" w:eastAsia="zh-CN"/>
              </w:rPr>
              <w:t>含税价=不含税价+</w:t>
            </w:r>
            <w:r>
              <w:rPr>
                <w:rFonts w:hint="eastAsia" w:ascii="方正仿宋_GBK" w:hAnsi="宋体" w:eastAsia="方正仿宋_GBK"/>
                <w:color w:val="auto"/>
                <w:sz w:val="21"/>
                <w:szCs w:val="28"/>
                <w:highlight w:val="none"/>
                <w:lang w:val="en-US" w:eastAsia="zh-CN"/>
              </w:rPr>
              <w:t>税金，保留两位小数，如报价为100元，填写即报价为100.00元。</w:t>
            </w:r>
          </w:p>
        </w:tc>
      </w:tr>
    </w:tbl>
    <w:p w14:paraId="1B9B8215">
      <w:pPr>
        <w:rPr>
          <w:rFonts w:ascii="宋体" w:hAnsi="宋体" w:cs="宋体"/>
          <w:color w:val="auto"/>
          <w:highlight w:val="none"/>
        </w:rPr>
      </w:pPr>
    </w:p>
    <w:p w14:paraId="1464402D">
      <w:pPr>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lang w:eastAsia="zh-CN"/>
        </w:rPr>
        <w:t>供应商</w:t>
      </w:r>
      <w:r>
        <w:rPr>
          <w:rFonts w:hint="eastAsia" w:ascii="宋体" w:hAnsi="宋体" w:cs="宋体"/>
          <w:color w:val="auto"/>
          <w:sz w:val="24"/>
          <w:szCs w:val="28"/>
          <w:highlight w:val="none"/>
        </w:rPr>
        <w:t>：                    法定代表人（或法定代表人授权代表）或自然人：</w:t>
      </w:r>
    </w:p>
    <w:p w14:paraId="0B33FA9B">
      <w:pPr>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rPr>
        <w:t xml:space="preserve">  （</w:t>
      </w:r>
      <w:r>
        <w:rPr>
          <w:rFonts w:hint="eastAsia" w:ascii="宋体" w:hAnsi="宋体" w:cs="宋体"/>
          <w:color w:val="auto"/>
          <w:sz w:val="24"/>
          <w:szCs w:val="28"/>
          <w:highlight w:val="none"/>
          <w:lang w:eastAsia="zh-CN"/>
        </w:rPr>
        <w:t>供应商</w:t>
      </w:r>
      <w:r>
        <w:rPr>
          <w:rFonts w:hint="eastAsia" w:ascii="宋体" w:hAnsi="宋体" w:cs="宋体"/>
          <w:color w:val="auto"/>
          <w:sz w:val="24"/>
          <w:szCs w:val="28"/>
          <w:highlight w:val="none"/>
        </w:rPr>
        <w:t>公章）                               （签署或盖章）</w:t>
      </w:r>
    </w:p>
    <w:p w14:paraId="39EAE1AC">
      <w:pPr>
        <w:spacing w:line="500" w:lineRule="exact"/>
        <w:rPr>
          <w:rFonts w:ascii="宋体" w:hAnsi="宋体" w:cs="宋体"/>
          <w:color w:val="auto"/>
          <w:sz w:val="24"/>
          <w:szCs w:val="28"/>
          <w:highlight w:val="none"/>
        </w:rPr>
      </w:pPr>
    </w:p>
    <w:p w14:paraId="1A7B6478">
      <w:pPr>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rPr>
        <w:t xml:space="preserve">                                            年     月     日</w:t>
      </w:r>
    </w:p>
    <w:p w14:paraId="7EA6948D">
      <w:pPr>
        <w:snapToGrid w:val="0"/>
        <w:spacing w:line="500" w:lineRule="exact"/>
        <w:ind w:firstLine="480" w:firstLineChars="200"/>
        <w:rPr>
          <w:rFonts w:ascii="宋体" w:hAnsi="宋体" w:cs="宋体"/>
          <w:color w:val="auto"/>
          <w:sz w:val="24"/>
          <w:szCs w:val="28"/>
          <w:highlight w:val="none"/>
        </w:rPr>
      </w:pPr>
    </w:p>
    <w:p w14:paraId="60B655C3">
      <w:pPr>
        <w:snapToGrid w:val="0"/>
        <w:spacing w:line="500" w:lineRule="exact"/>
        <w:ind w:firstLine="480" w:firstLineChars="200"/>
        <w:rPr>
          <w:rFonts w:ascii="宋体" w:hAnsi="宋体" w:cs="宋体"/>
          <w:color w:val="auto"/>
          <w:sz w:val="24"/>
          <w:szCs w:val="28"/>
          <w:highlight w:val="none"/>
        </w:rPr>
      </w:pPr>
    </w:p>
    <w:p w14:paraId="4A2CAAE2">
      <w:pPr>
        <w:snapToGrid w:val="0"/>
        <w:spacing w:line="500" w:lineRule="exact"/>
        <w:ind w:firstLine="480" w:firstLineChars="200"/>
        <w:rPr>
          <w:rFonts w:ascii="宋体" w:hAnsi="宋体" w:cs="宋体"/>
          <w:color w:val="auto"/>
          <w:sz w:val="24"/>
          <w:szCs w:val="28"/>
          <w:highlight w:val="none"/>
        </w:rPr>
      </w:pPr>
    </w:p>
    <w:p w14:paraId="4430E26F">
      <w:pPr>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说明：</w:t>
      </w:r>
    </w:p>
    <w:p w14:paraId="22F92812">
      <w:pPr>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1.开标一览表按格式填列；</w:t>
      </w:r>
    </w:p>
    <w:p w14:paraId="4EC4FF08">
      <w:pPr>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2.开标一览表在开标大会上当众宣读，务必填写清楚，准确无误；</w:t>
      </w:r>
    </w:p>
    <w:p w14:paraId="30C02A4C">
      <w:pPr>
        <w:spacing w:line="500" w:lineRule="exact"/>
        <w:ind w:firstLine="280" w:firstLineChars="100"/>
        <w:rPr>
          <w:rFonts w:hint="eastAsia" w:ascii="方正仿宋_GBK" w:hAnsi="宋体" w:eastAsia="方正仿宋_GBK"/>
          <w:color w:val="auto"/>
          <w:sz w:val="24"/>
          <w:szCs w:val="28"/>
          <w:highlight w:val="none"/>
        </w:rPr>
      </w:pPr>
      <w:r>
        <w:rPr>
          <w:rFonts w:hint="eastAsia" w:ascii="宋体" w:hAnsi="宋体" w:cs="宋体"/>
          <w:color w:val="auto"/>
          <w:szCs w:val="28"/>
          <w:highlight w:val="none"/>
        </w:rPr>
        <w:br w:type="page"/>
      </w:r>
      <w:r>
        <w:rPr>
          <w:rFonts w:hint="eastAsia" w:ascii="方正仿宋_GBK" w:hAnsi="宋体" w:eastAsia="方正仿宋_GBK"/>
          <w:color w:val="auto"/>
          <w:sz w:val="24"/>
          <w:szCs w:val="28"/>
          <w:highlight w:val="none"/>
        </w:rPr>
        <w:t>（二）分项报价明细表</w:t>
      </w:r>
    </w:p>
    <w:p w14:paraId="4ECE34A9">
      <w:pPr>
        <w:spacing w:line="500" w:lineRule="exact"/>
        <w:ind w:firstLine="240" w:firstLineChars="100"/>
        <w:rPr>
          <w:rFonts w:ascii="宋体" w:hAnsi="宋体" w:cs="宋体"/>
          <w:color w:val="auto"/>
          <w:sz w:val="24"/>
          <w:szCs w:val="28"/>
          <w:highlight w:val="none"/>
        </w:rPr>
      </w:pPr>
      <w:r>
        <w:rPr>
          <w:rFonts w:hint="eastAsia" w:ascii="方正仿宋_GBK" w:hAnsi="宋体" w:eastAsia="方正仿宋_GBK"/>
          <w:color w:val="auto"/>
          <w:sz w:val="24"/>
          <w:szCs w:val="28"/>
          <w:highlight w:val="none"/>
        </w:rPr>
        <w:t xml:space="preserve">招标项目名称： </w:t>
      </w:r>
      <w:r>
        <w:rPr>
          <w:rFonts w:hint="eastAsia" w:ascii="宋体" w:hAnsi="宋体" w:cs="宋体"/>
          <w:color w:val="auto"/>
          <w:sz w:val="24"/>
          <w:szCs w:val="28"/>
          <w:highlight w:val="none"/>
        </w:rPr>
        <w:t xml:space="preserve">  </w:t>
      </w:r>
    </w:p>
    <w:tbl>
      <w:tblPr>
        <w:tblStyle w:val="20"/>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187F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0"/>
            <w:vAlign w:val="center"/>
          </w:tcPr>
          <w:p w14:paraId="149B50BC">
            <w:pPr>
              <w:spacing w:line="500" w:lineRule="exac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序号</w:t>
            </w:r>
          </w:p>
        </w:tc>
        <w:tc>
          <w:tcPr>
            <w:tcW w:w="1557" w:type="dxa"/>
            <w:noWrap w:val="0"/>
            <w:vAlign w:val="center"/>
          </w:tcPr>
          <w:p w14:paraId="46DEF005">
            <w:pPr>
              <w:spacing w:line="500" w:lineRule="exac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名称</w:t>
            </w:r>
          </w:p>
        </w:tc>
        <w:tc>
          <w:tcPr>
            <w:tcW w:w="3127" w:type="dxa"/>
            <w:noWrap w:val="0"/>
            <w:vAlign w:val="center"/>
          </w:tcPr>
          <w:p w14:paraId="4E1F3CB8">
            <w:pPr>
              <w:spacing w:line="500" w:lineRule="exac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相关信息</w:t>
            </w:r>
          </w:p>
        </w:tc>
        <w:tc>
          <w:tcPr>
            <w:tcW w:w="1235" w:type="dxa"/>
            <w:noWrap w:val="0"/>
            <w:vAlign w:val="center"/>
          </w:tcPr>
          <w:p w14:paraId="0A318F3E">
            <w:pPr>
              <w:spacing w:line="500" w:lineRule="exac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数量</w:t>
            </w:r>
          </w:p>
        </w:tc>
        <w:tc>
          <w:tcPr>
            <w:tcW w:w="1235" w:type="dxa"/>
            <w:noWrap w:val="0"/>
            <w:vAlign w:val="center"/>
          </w:tcPr>
          <w:p w14:paraId="55D9E090">
            <w:pPr>
              <w:spacing w:line="500" w:lineRule="exac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单价</w:t>
            </w:r>
          </w:p>
        </w:tc>
        <w:tc>
          <w:tcPr>
            <w:tcW w:w="1235" w:type="dxa"/>
            <w:noWrap w:val="0"/>
            <w:vAlign w:val="center"/>
          </w:tcPr>
          <w:p w14:paraId="29F04F1E">
            <w:pPr>
              <w:spacing w:line="500" w:lineRule="exac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合计</w:t>
            </w:r>
          </w:p>
        </w:tc>
      </w:tr>
      <w:tr w14:paraId="0A19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939" w:type="dxa"/>
            <w:noWrap w:val="0"/>
            <w:vAlign w:val="center"/>
          </w:tcPr>
          <w:p w14:paraId="4EAC57D7">
            <w:pPr>
              <w:spacing w:line="500" w:lineRule="exac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1</w:t>
            </w:r>
          </w:p>
        </w:tc>
        <w:tc>
          <w:tcPr>
            <w:tcW w:w="1557" w:type="dxa"/>
            <w:noWrap w:val="0"/>
            <w:vAlign w:val="center"/>
          </w:tcPr>
          <w:p w14:paraId="38E47CF6">
            <w:pPr>
              <w:spacing w:line="500" w:lineRule="exact"/>
              <w:jc w:val="center"/>
              <w:rPr>
                <w:rFonts w:hint="eastAsia" w:ascii="方正仿宋_GBK" w:eastAsia="方正仿宋_GBK"/>
                <w:color w:val="auto"/>
                <w:sz w:val="21"/>
                <w:szCs w:val="21"/>
                <w:highlight w:val="none"/>
              </w:rPr>
            </w:pPr>
          </w:p>
        </w:tc>
        <w:tc>
          <w:tcPr>
            <w:tcW w:w="3127" w:type="dxa"/>
            <w:noWrap w:val="0"/>
            <w:vAlign w:val="top"/>
          </w:tcPr>
          <w:p w14:paraId="742F8682">
            <w:pPr>
              <w:spacing w:line="500" w:lineRule="exact"/>
              <w:jc w:val="center"/>
              <w:rPr>
                <w:rFonts w:hint="eastAsia" w:ascii="方正仿宋_GBK" w:eastAsia="方正仿宋_GBK"/>
                <w:color w:val="auto"/>
                <w:sz w:val="21"/>
                <w:szCs w:val="21"/>
                <w:highlight w:val="none"/>
              </w:rPr>
            </w:pPr>
          </w:p>
        </w:tc>
        <w:tc>
          <w:tcPr>
            <w:tcW w:w="1235" w:type="dxa"/>
            <w:noWrap w:val="0"/>
            <w:vAlign w:val="center"/>
          </w:tcPr>
          <w:p w14:paraId="25D8FE28">
            <w:pPr>
              <w:spacing w:line="500" w:lineRule="exact"/>
              <w:jc w:val="center"/>
              <w:rPr>
                <w:rFonts w:hint="eastAsia" w:ascii="方正仿宋_GBK" w:eastAsia="方正仿宋_GBK"/>
                <w:color w:val="auto"/>
                <w:sz w:val="21"/>
                <w:szCs w:val="21"/>
                <w:highlight w:val="none"/>
              </w:rPr>
            </w:pPr>
          </w:p>
        </w:tc>
        <w:tc>
          <w:tcPr>
            <w:tcW w:w="1235" w:type="dxa"/>
            <w:noWrap w:val="0"/>
            <w:vAlign w:val="top"/>
          </w:tcPr>
          <w:p w14:paraId="6E5F1381">
            <w:pPr>
              <w:spacing w:line="500" w:lineRule="exact"/>
              <w:jc w:val="center"/>
              <w:rPr>
                <w:rFonts w:hint="eastAsia" w:ascii="方正仿宋_GBK" w:eastAsia="方正仿宋_GBK"/>
                <w:color w:val="auto"/>
                <w:sz w:val="21"/>
                <w:szCs w:val="21"/>
                <w:highlight w:val="none"/>
              </w:rPr>
            </w:pPr>
          </w:p>
        </w:tc>
        <w:tc>
          <w:tcPr>
            <w:tcW w:w="1235" w:type="dxa"/>
            <w:noWrap w:val="0"/>
            <w:vAlign w:val="top"/>
          </w:tcPr>
          <w:p w14:paraId="2D48D528">
            <w:pPr>
              <w:spacing w:line="500" w:lineRule="exact"/>
              <w:jc w:val="center"/>
              <w:rPr>
                <w:rFonts w:hint="eastAsia" w:ascii="方正仿宋_GBK" w:eastAsia="方正仿宋_GBK"/>
                <w:color w:val="auto"/>
                <w:sz w:val="21"/>
                <w:szCs w:val="21"/>
                <w:highlight w:val="none"/>
              </w:rPr>
            </w:pPr>
          </w:p>
        </w:tc>
      </w:tr>
      <w:tr w14:paraId="6656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939" w:type="dxa"/>
            <w:noWrap w:val="0"/>
            <w:vAlign w:val="center"/>
          </w:tcPr>
          <w:p w14:paraId="1BD56D02">
            <w:pPr>
              <w:spacing w:line="500" w:lineRule="exac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2</w:t>
            </w:r>
          </w:p>
        </w:tc>
        <w:tc>
          <w:tcPr>
            <w:tcW w:w="1557" w:type="dxa"/>
            <w:noWrap w:val="0"/>
            <w:vAlign w:val="center"/>
          </w:tcPr>
          <w:p w14:paraId="26320818">
            <w:pPr>
              <w:spacing w:line="500" w:lineRule="exact"/>
              <w:jc w:val="center"/>
              <w:rPr>
                <w:rFonts w:hint="eastAsia" w:ascii="方正仿宋_GBK" w:eastAsia="方正仿宋_GBK"/>
                <w:color w:val="auto"/>
                <w:sz w:val="21"/>
                <w:szCs w:val="21"/>
                <w:highlight w:val="none"/>
              </w:rPr>
            </w:pPr>
          </w:p>
        </w:tc>
        <w:tc>
          <w:tcPr>
            <w:tcW w:w="3127" w:type="dxa"/>
            <w:noWrap w:val="0"/>
            <w:vAlign w:val="top"/>
          </w:tcPr>
          <w:p w14:paraId="4CC70D6E">
            <w:pPr>
              <w:spacing w:line="500" w:lineRule="exact"/>
              <w:jc w:val="center"/>
              <w:rPr>
                <w:rFonts w:hint="eastAsia" w:ascii="方正仿宋_GBK" w:eastAsia="方正仿宋_GBK"/>
                <w:color w:val="auto"/>
                <w:sz w:val="21"/>
                <w:szCs w:val="21"/>
                <w:highlight w:val="none"/>
              </w:rPr>
            </w:pPr>
          </w:p>
        </w:tc>
        <w:tc>
          <w:tcPr>
            <w:tcW w:w="1235" w:type="dxa"/>
            <w:noWrap w:val="0"/>
            <w:vAlign w:val="center"/>
          </w:tcPr>
          <w:p w14:paraId="407CC2EA">
            <w:pPr>
              <w:spacing w:line="500" w:lineRule="exact"/>
              <w:jc w:val="center"/>
              <w:rPr>
                <w:rFonts w:hint="eastAsia" w:ascii="方正仿宋_GBK" w:eastAsia="方正仿宋_GBK"/>
                <w:color w:val="auto"/>
                <w:sz w:val="21"/>
                <w:szCs w:val="21"/>
                <w:highlight w:val="none"/>
              </w:rPr>
            </w:pPr>
          </w:p>
        </w:tc>
        <w:tc>
          <w:tcPr>
            <w:tcW w:w="1235" w:type="dxa"/>
            <w:noWrap w:val="0"/>
            <w:vAlign w:val="top"/>
          </w:tcPr>
          <w:p w14:paraId="1F51357E">
            <w:pPr>
              <w:spacing w:line="500" w:lineRule="exact"/>
              <w:jc w:val="center"/>
              <w:rPr>
                <w:rFonts w:hint="eastAsia" w:ascii="方正仿宋_GBK" w:eastAsia="方正仿宋_GBK"/>
                <w:color w:val="auto"/>
                <w:sz w:val="21"/>
                <w:szCs w:val="21"/>
                <w:highlight w:val="none"/>
              </w:rPr>
            </w:pPr>
          </w:p>
        </w:tc>
        <w:tc>
          <w:tcPr>
            <w:tcW w:w="1235" w:type="dxa"/>
            <w:noWrap w:val="0"/>
            <w:vAlign w:val="top"/>
          </w:tcPr>
          <w:p w14:paraId="1509556B">
            <w:pPr>
              <w:spacing w:line="500" w:lineRule="exact"/>
              <w:jc w:val="center"/>
              <w:rPr>
                <w:rFonts w:hint="eastAsia" w:ascii="方正仿宋_GBK" w:eastAsia="方正仿宋_GBK"/>
                <w:color w:val="auto"/>
                <w:sz w:val="21"/>
                <w:szCs w:val="21"/>
                <w:highlight w:val="none"/>
              </w:rPr>
            </w:pPr>
          </w:p>
        </w:tc>
      </w:tr>
      <w:tr w14:paraId="56ADF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939" w:type="dxa"/>
            <w:noWrap w:val="0"/>
            <w:vAlign w:val="center"/>
          </w:tcPr>
          <w:p w14:paraId="735E858B">
            <w:pPr>
              <w:spacing w:line="500" w:lineRule="exac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3</w:t>
            </w:r>
          </w:p>
        </w:tc>
        <w:tc>
          <w:tcPr>
            <w:tcW w:w="1557" w:type="dxa"/>
            <w:noWrap w:val="0"/>
            <w:vAlign w:val="center"/>
          </w:tcPr>
          <w:p w14:paraId="7902228B">
            <w:pPr>
              <w:spacing w:line="500" w:lineRule="exact"/>
              <w:jc w:val="center"/>
              <w:rPr>
                <w:rFonts w:hint="eastAsia" w:ascii="方正仿宋_GBK" w:eastAsia="方正仿宋_GBK"/>
                <w:color w:val="auto"/>
                <w:sz w:val="21"/>
                <w:szCs w:val="21"/>
                <w:highlight w:val="none"/>
              </w:rPr>
            </w:pPr>
          </w:p>
        </w:tc>
        <w:tc>
          <w:tcPr>
            <w:tcW w:w="3127" w:type="dxa"/>
            <w:noWrap w:val="0"/>
            <w:vAlign w:val="top"/>
          </w:tcPr>
          <w:p w14:paraId="09AF6FD4">
            <w:pPr>
              <w:spacing w:line="500" w:lineRule="exact"/>
              <w:jc w:val="center"/>
              <w:rPr>
                <w:rFonts w:hint="eastAsia" w:ascii="方正仿宋_GBK" w:eastAsia="方正仿宋_GBK"/>
                <w:color w:val="auto"/>
                <w:sz w:val="21"/>
                <w:szCs w:val="21"/>
                <w:highlight w:val="none"/>
              </w:rPr>
            </w:pPr>
          </w:p>
        </w:tc>
        <w:tc>
          <w:tcPr>
            <w:tcW w:w="1235" w:type="dxa"/>
            <w:noWrap w:val="0"/>
            <w:vAlign w:val="center"/>
          </w:tcPr>
          <w:p w14:paraId="282E6024">
            <w:pPr>
              <w:spacing w:line="500" w:lineRule="exact"/>
              <w:jc w:val="center"/>
              <w:rPr>
                <w:rFonts w:hint="eastAsia" w:ascii="方正仿宋_GBK" w:eastAsia="方正仿宋_GBK"/>
                <w:color w:val="auto"/>
                <w:sz w:val="21"/>
                <w:szCs w:val="21"/>
                <w:highlight w:val="none"/>
              </w:rPr>
            </w:pPr>
          </w:p>
        </w:tc>
        <w:tc>
          <w:tcPr>
            <w:tcW w:w="1235" w:type="dxa"/>
            <w:noWrap w:val="0"/>
            <w:vAlign w:val="top"/>
          </w:tcPr>
          <w:p w14:paraId="37FE2A73">
            <w:pPr>
              <w:spacing w:line="500" w:lineRule="exact"/>
              <w:jc w:val="center"/>
              <w:rPr>
                <w:rFonts w:hint="eastAsia" w:ascii="方正仿宋_GBK" w:eastAsia="方正仿宋_GBK"/>
                <w:color w:val="auto"/>
                <w:sz w:val="21"/>
                <w:szCs w:val="21"/>
                <w:highlight w:val="none"/>
              </w:rPr>
            </w:pPr>
          </w:p>
        </w:tc>
        <w:tc>
          <w:tcPr>
            <w:tcW w:w="1235" w:type="dxa"/>
            <w:noWrap w:val="0"/>
            <w:vAlign w:val="top"/>
          </w:tcPr>
          <w:p w14:paraId="5D71E407">
            <w:pPr>
              <w:spacing w:line="500" w:lineRule="exact"/>
              <w:jc w:val="center"/>
              <w:rPr>
                <w:rFonts w:hint="eastAsia" w:ascii="方正仿宋_GBK" w:eastAsia="方正仿宋_GBK"/>
                <w:color w:val="auto"/>
                <w:sz w:val="21"/>
                <w:szCs w:val="21"/>
                <w:highlight w:val="none"/>
              </w:rPr>
            </w:pPr>
          </w:p>
        </w:tc>
      </w:tr>
      <w:tr w14:paraId="5A73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939" w:type="dxa"/>
            <w:noWrap w:val="0"/>
            <w:vAlign w:val="center"/>
          </w:tcPr>
          <w:p w14:paraId="0F957BCF">
            <w:pPr>
              <w:spacing w:line="500" w:lineRule="exac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4</w:t>
            </w:r>
          </w:p>
        </w:tc>
        <w:tc>
          <w:tcPr>
            <w:tcW w:w="1557" w:type="dxa"/>
            <w:noWrap w:val="0"/>
            <w:vAlign w:val="center"/>
          </w:tcPr>
          <w:p w14:paraId="511CF40A">
            <w:pPr>
              <w:spacing w:line="500" w:lineRule="exact"/>
              <w:jc w:val="center"/>
              <w:rPr>
                <w:rFonts w:hint="eastAsia" w:ascii="方正仿宋_GBK" w:eastAsia="方正仿宋_GBK"/>
                <w:color w:val="auto"/>
                <w:sz w:val="21"/>
                <w:szCs w:val="21"/>
                <w:highlight w:val="none"/>
              </w:rPr>
            </w:pPr>
          </w:p>
        </w:tc>
        <w:tc>
          <w:tcPr>
            <w:tcW w:w="3127" w:type="dxa"/>
            <w:noWrap w:val="0"/>
            <w:vAlign w:val="top"/>
          </w:tcPr>
          <w:p w14:paraId="7AD0800C">
            <w:pPr>
              <w:spacing w:line="500" w:lineRule="exact"/>
              <w:jc w:val="center"/>
              <w:rPr>
                <w:rFonts w:hint="eastAsia" w:ascii="方正仿宋_GBK" w:eastAsia="方正仿宋_GBK"/>
                <w:color w:val="auto"/>
                <w:sz w:val="21"/>
                <w:szCs w:val="21"/>
                <w:highlight w:val="none"/>
              </w:rPr>
            </w:pPr>
          </w:p>
        </w:tc>
        <w:tc>
          <w:tcPr>
            <w:tcW w:w="1235" w:type="dxa"/>
            <w:noWrap w:val="0"/>
            <w:vAlign w:val="center"/>
          </w:tcPr>
          <w:p w14:paraId="29D1DF71">
            <w:pPr>
              <w:spacing w:line="500" w:lineRule="exact"/>
              <w:jc w:val="center"/>
              <w:rPr>
                <w:rFonts w:hint="eastAsia" w:ascii="方正仿宋_GBK" w:eastAsia="方正仿宋_GBK"/>
                <w:color w:val="auto"/>
                <w:sz w:val="21"/>
                <w:szCs w:val="21"/>
                <w:highlight w:val="none"/>
              </w:rPr>
            </w:pPr>
          </w:p>
        </w:tc>
        <w:tc>
          <w:tcPr>
            <w:tcW w:w="1235" w:type="dxa"/>
            <w:noWrap w:val="0"/>
            <w:vAlign w:val="top"/>
          </w:tcPr>
          <w:p w14:paraId="2944EC31">
            <w:pPr>
              <w:spacing w:line="500" w:lineRule="exact"/>
              <w:jc w:val="center"/>
              <w:rPr>
                <w:rFonts w:hint="eastAsia" w:ascii="方正仿宋_GBK" w:eastAsia="方正仿宋_GBK"/>
                <w:color w:val="auto"/>
                <w:sz w:val="21"/>
                <w:szCs w:val="21"/>
                <w:highlight w:val="none"/>
              </w:rPr>
            </w:pPr>
          </w:p>
        </w:tc>
        <w:tc>
          <w:tcPr>
            <w:tcW w:w="1235" w:type="dxa"/>
            <w:noWrap w:val="0"/>
            <w:vAlign w:val="top"/>
          </w:tcPr>
          <w:p w14:paraId="7BE84A7C">
            <w:pPr>
              <w:spacing w:line="500" w:lineRule="exact"/>
              <w:jc w:val="center"/>
              <w:rPr>
                <w:rFonts w:hint="eastAsia" w:ascii="方正仿宋_GBK" w:eastAsia="方正仿宋_GBK"/>
                <w:color w:val="auto"/>
                <w:sz w:val="21"/>
                <w:szCs w:val="21"/>
                <w:highlight w:val="none"/>
              </w:rPr>
            </w:pPr>
          </w:p>
        </w:tc>
      </w:tr>
      <w:tr w14:paraId="6F68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939" w:type="dxa"/>
            <w:noWrap w:val="0"/>
            <w:vAlign w:val="center"/>
          </w:tcPr>
          <w:p w14:paraId="3A2A0A93">
            <w:pPr>
              <w:spacing w:line="500" w:lineRule="exac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5</w:t>
            </w:r>
          </w:p>
        </w:tc>
        <w:tc>
          <w:tcPr>
            <w:tcW w:w="1557" w:type="dxa"/>
            <w:noWrap w:val="0"/>
            <w:vAlign w:val="center"/>
          </w:tcPr>
          <w:p w14:paraId="63910C3A">
            <w:pPr>
              <w:spacing w:line="500" w:lineRule="exact"/>
              <w:jc w:val="center"/>
              <w:rPr>
                <w:rFonts w:hint="eastAsia" w:ascii="方正仿宋_GBK" w:eastAsia="方正仿宋_GBK"/>
                <w:color w:val="auto"/>
                <w:sz w:val="21"/>
                <w:szCs w:val="21"/>
                <w:highlight w:val="none"/>
              </w:rPr>
            </w:pPr>
          </w:p>
        </w:tc>
        <w:tc>
          <w:tcPr>
            <w:tcW w:w="3127" w:type="dxa"/>
            <w:noWrap w:val="0"/>
            <w:vAlign w:val="top"/>
          </w:tcPr>
          <w:p w14:paraId="3DA582D3">
            <w:pPr>
              <w:spacing w:line="500" w:lineRule="exact"/>
              <w:jc w:val="center"/>
              <w:rPr>
                <w:rFonts w:hint="eastAsia" w:ascii="方正仿宋_GBK" w:eastAsia="方正仿宋_GBK"/>
                <w:color w:val="auto"/>
                <w:sz w:val="21"/>
                <w:szCs w:val="21"/>
                <w:highlight w:val="none"/>
              </w:rPr>
            </w:pPr>
          </w:p>
        </w:tc>
        <w:tc>
          <w:tcPr>
            <w:tcW w:w="1235" w:type="dxa"/>
            <w:noWrap w:val="0"/>
            <w:vAlign w:val="center"/>
          </w:tcPr>
          <w:p w14:paraId="3930CC10">
            <w:pPr>
              <w:spacing w:line="500" w:lineRule="exact"/>
              <w:jc w:val="center"/>
              <w:rPr>
                <w:rFonts w:hint="eastAsia" w:ascii="方正仿宋_GBK" w:eastAsia="方正仿宋_GBK"/>
                <w:color w:val="auto"/>
                <w:sz w:val="21"/>
                <w:szCs w:val="21"/>
                <w:highlight w:val="none"/>
              </w:rPr>
            </w:pPr>
          </w:p>
        </w:tc>
        <w:tc>
          <w:tcPr>
            <w:tcW w:w="1235" w:type="dxa"/>
            <w:noWrap w:val="0"/>
            <w:vAlign w:val="top"/>
          </w:tcPr>
          <w:p w14:paraId="3A831815">
            <w:pPr>
              <w:spacing w:line="500" w:lineRule="exact"/>
              <w:jc w:val="center"/>
              <w:rPr>
                <w:rFonts w:hint="eastAsia" w:ascii="方正仿宋_GBK" w:eastAsia="方正仿宋_GBK"/>
                <w:color w:val="auto"/>
                <w:sz w:val="21"/>
                <w:szCs w:val="21"/>
                <w:highlight w:val="none"/>
              </w:rPr>
            </w:pPr>
          </w:p>
        </w:tc>
        <w:tc>
          <w:tcPr>
            <w:tcW w:w="1235" w:type="dxa"/>
            <w:noWrap w:val="0"/>
            <w:vAlign w:val="top"/>
          </w:tcPr>
          <w:p w14:paraId="26245B56">
            <w:pPr>
              <w:spacing w:line="500" w:lineRule="exact"/>
              <w:jc w:val="center"/>
              <w:rPr>
                <w:rFonts w:hint="eastAsia" w:ascii="方正仿宋_GBK" w:eastAsia="方正仿宋_GBK"/>
                <w:color w:val="auto"/>
                <w:sz w:val="21"/>
                <w:szCs w:val="21"/>
                <w:highlight w:val="none"/>
              </w:rPr>
            </w:pPr>
          </w:p>
        </w:tc>
      </w:tr>
      <w:tr w14:paraId="06C9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939" w:type="dxa"/>
            <w:noWrap w:val="0"/>
            <w:vAlign w:val="center"/>
          </w:tcPr>
          <w:p w14:paraId="32005899">
            <w:pPr>
              <w:spacing w:line="500" w:lineRule="exact"/>
              <w:jc w:val="center"/>
              <w:rPr>
                <w:rFonts w:hint="eastAsia" w:ascii="方正仿宋_GBK" w:eastAsia="方正仿宋_GBK"/>
                <w:color w:val="auto"/>
                <w:sz w:val="21"/>
                <w:szCs w:val="21"/>
                <w:highlight w:val="none"/>
                <w:lang w:eastAsia="zh-CN"/>
              </w:rPr>
            </w:pPr>
            <w:r>
              <w:rPr>
                <w:rFonts w:hint="eastAsia" w:ascii="方正仿宋_GBK" w:eastAsia="方正仿宋_GBK"/>
                <w:color w:val="auto"/>
                <w:sz w:val="21"/>
                <w:szCs w:val="21"/>
                <w:highlight w:val="none"/>
                <w:lang w:val="en-US" w:eastAsia="zh-CN"/>
              </w:rPr>
              <w:t>6</w:t>
            </w:r>
          </w:p>
        </w:tc>
        <w:tc>
          <w:tcPr>
            <w:tcW w:w="1557" w:type="dxa"/>
            <w:noWrap w:val="0"/>
            <w:vAlign w:val="center"/>
          </w:tcPr>
          <w:p w14:paraId="131DE257">
            <w:pPr>
              <w:spacing w:line="500" w:lineRule="exac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人工费</w:t>
            </w:r>
          </w:p>
        </w:tc>
        <w:tc>
          <w:tcPr>
            <w:tcW w:w="3127" w:type="dxa"/>
            <w:noWrap w:val="0"/>
            <w:vAlign w:val="top"/>
          </w:tcPr>
          <w:p w14:paraId="775EF918">
            <w:pPr>
              <w:spacing w:line="500" w:lineRule="exact"/>
              <w:jc w:val="center"/>
              <w:rPr>
                <w:rFonts w:hint="eastAsia" w:ascii="方正仿宋_GBK" w:eastAsia="方正仿宋_GBK"/>
                <w:color w:val="auto"/>
                <w:sz w:val="21"/>
                <w:szCs w:val="21"/>
                <w:highlight w:val="none"/>
              </w:rPr>
            </w:pPr>
          </w:p>
        </w:tc>
        <w:tc>
          <w:tcPr>
            <w:tcW w:w="1235" w:type="dxa"/>
            <w:noWrap w:val="0"/>
            <w:vAlign w:val="center"/>
          </w:tcPr>
          <w:p w14:paraId="28914AFD">
            <w:pPr>
              <w:spacing w:line="500" w:lineRule="exac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w:t>
            </w:r>
          </w:p>
        </w:tc>
        <w:tc>
          <w:tcPr>
            <w:tcW w:w="1235" w:type="dxa"/>
            <w:noWrap w:val="0"/>
            <w:vAlign w:val="top"/>
          </w:tcPr>
          <w:p w14:paraId="5FB3C2F9">
            <w:pPr>
              <w:spacing w:line="500" w:lineRule="exact"/>
              <w:jc w:val="center"/>
              <w:rPr>
                <w:rFonts w:hint="eastAsia" w:ascii="方正仿宋_GBK" w:eastAsia="方正仿宋_GBK"/>
                <w:color w:val="auto"/>
                <w:sz w:val="21"/>
                <w:szCs w:val="21"/>
                <w:highlight w:val="none"/>
              </w:rPr>
            </w:pPr>
          </w:p>
        </w:tc>
        <w:tc>
          <w:tcPr>
            <w:tcW w:w="1235" w:type="dxa"/>
            <w:noWrap w:val="0"/>
            <w:vAlign w:val="top"/>
          </w:tcPr>
          <w:p w14:paraId="545D6C5D">
            <w:pPr>
              <w:spacing w:line="500" w:lineRule="exact"/>
              <w:jc w:val="center"/>
              <w:rPr>
                <w:rFonts w:hint="eastAsia" w:ascii="方正仿宋_GBK" w:eastAsia="方正仿宋_GBK"/>
                <w:color w:val="auto"/>
                <w:sz w:val="21"/>
                <w:szCs w:val="21"/>
                <w:highlight w:val="none"/>
              </w:rPr>
            </w:pPr>
          </w:p>
        </w:tc>
      </w:tr>
      <w:tr w14:paraId="7681E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939" w:type="dxa"/>
            <w:noWrap w:val="0"/>
            <w:vAlign w:val="center"/>
          </w:tcPr>
          <w:p w14:paraId="37387189">
            <w:pPr>
              <w:spacing w:line="500" w:lineRule="exact"/>
              <w:jc w:val="center"/>
              <w:rPr>
                <w:rFonts w:hint="eastAsia" w:ascii="方正仿宋_GBK" w:eastAsia="方正仿宋_GBK"/>
                <w:color w:val="auto"/>
                <w:sz w:val="21"/>
                <w:szCs w:val="21"/>
                <w:highlight w:val="none"/>
                <w:lang w:eastAsia="zh-CN"/>
              </w:rPr>
            </w:pPr>
            <w:r>
              <w:rPr>
                <w:rFonts w:hint="eastAsia" w:ascii="方正仿宋_GBK" w:eastAsia="方正仿宋_GBK"/>
                <w:color w:val="auto"/>
                <w:sz w:val="21"/>
                <w:szCs w:val="21"/>
                <w:highlight w:val="none"/>
                <w:lang w:val="en-US" w:eastAsia="zh-CN"/>
              </w:rPr>
              <w:t>7</w:t>
            </w:r>
          </w:p>
        </w:tc>
        <w:tc>
          <w:tcPr>
            <w:tcW w:w="1557" w:type="dxa"/>
            <w:noWrap w:val="0"/>
            <w:vAlign w:val="center"/>
          </w:tcPr>
          <w:p w14:paraId="28036392">
            <w:pPr>
              <w:spacing w:line="500" w:lineRule="exac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运输费</w:t>
            </w:r>
          </w:p>
        </w:tc>
        <w:tc>
          <w:tcPr>
            <w:tcW w:w="3127" w:type="dxa"/>
            <w:noWrap w:val="0"/>
            <w:vAlign w:val="top"/>
          </w:tcPr>
          <w:p w14:paraId="20D47F9E">
            <w:pPr>
              <w:spacing w:line="500" w:lineRule="exact"/>
              <w:jc w:val="center"/>
              <w:rPr>
                <w:rFonts w:hint="eastAsia" w:ascii="方正仿宋_GBK" w:eastAsia="方正仿宋_GBK"/>
                <w:color w:val="auto"/>
                <w:sz w:val="21"/>
                <w:szCs w:val="21"/>
                <w:highlight w:val="none"/>
              </w:rPr>
            </w:pPr>
          </w:p>
        </w:tc>
        <w:tc>
          <w:tcPr>
            <w:tcW w:w="1235" w:type="dxa"/>
            <w:noWrap w:val="0"/>
            <w:vAlign w:val="center"/>
          </w:tcPr>
          <w:p w14:paraId="2E538D86">
            <w:pPr>
              <w:spacing w:line="500" w:lineRule="exac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w:t>
            </w:r>
          </w:p>
        </w:tc>
        <w:tc>
          <w:tcPr>
            <w:tcW w:w="1235" w:type="dxa"/>
            <w:noWrap w:val="0"/>
            <w:vAlign w:val="top"/>
          </w:tcPr>
          <w:p w14:paraId="399197C7">
            <w:pPr>
              <w:spacing w:line="500" w:lineRule="exact"/>
              <w:jc w:val="center"/>
              <w:rPr>
                <w:rFonts w:hint="eastAsia" w:ascii="方正仿宋_GBK" w:eastAsia="方正仿宋_GBK"/>
                <w:color w:val="auto"/>
                <w:sz w:val="21"/>
                <w:szCs w:val="21"/>
                <w:highlight w:val="none"/>
              </w:rPr>
            </w:pPr>
          </w:p>
        </w:tc>
        <w:tc>
          <w:tcPr>
            <w:tcW w:w="1235" w:type="dxa"/>
            <w:noWrap w:val="0"/>
            <w:vAlign w:val="top"/>
          </w:tcPr>
          <w:p w14:paraId="71705329">
            <w:pPr>
              <w:spacing w:line="500" w:lineRule="exact"/>
              <w:jc w:val="center"/>
              <w:rPr>
                <w:rFonts w:hint="eastAsia" w:ascii="方正仿宋_GBK" w:eastAsia="方正仿宋_GBK"/>
                <w:color w:val="auto"/>
                <w:sz w:val="21"/>
                <w:szCs w:val="21"/>
                <w:highlight w:val="none"/>
              </w:rPr>
            </w:pPr>
          </w:p>
        </w:tc>
      </w:tr>
      <w:tr w14:paraId="6AF4D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939" w:type="dxa"/>
            <w:noWrap w:val="0"/>
            <w:vAlign w:val="center"/>
          </w:tcPr>
          <w:p w14:paraId="66807902">
            <w:pPr>
              <w:spacing w:line="500" w:lineRule="exact"/>
              <w:jc w:val="center"/>
              <w:rPr>
                <w:rFonts w:hint="eastAsia" w:ascii="方正仿宋_GBK" w:eastAsia="方正仿宋_GBK"/>
                <w:color w:val="auto"/>
                <w:sz w:val="21"/>
                <w:szCs w:val="21"/>
                <w:highlight w:val="none"/>
                <w:lang w:eastAsia="zh-CN"/>
              </w:rPr>
            </w:pPr>
            <w:r>
              <w:rPr>
                <w:rFonts w:hint="eastAsia" w:ascii="方正仿宋_GBK" w:eastAsia="方正仿宋_GBK"/>
                <w:color w:val="auto"/>
                <w:sz w:val="21"/>
                <w:szCs w:val="21"/>
                <w:highlight w:val="none"/>
                <w:lang w:val="en-US" w:eastAsia="zh-CN"/>
              </w:rPr>
              <w:t>8</w:t>
            </w:r>
          </w:p>
        </w:tc>
        <w:tc>
          <w:tcPr>
            <w:tcW w:w="1557" w:type="dxa"/>
            <w:noWrap w:val="0"/>
            <w:vAlign w:val="center"/>
          </w:tcPr>
          <w:p w14:paraId="783995FE">
            <w:pPr>
              <w:spacing w:line="500" w:lineRule="exac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其他费用</w:t>
            </w:r>
          </w:p>
        </w:tc>
        <w:tc>
          <w:tcPr>
            <w:tcW w:w="3127" w:type="dxa"/>
            <w:noWrap w:val="0"/>
            <w:vAlign w:val="top"/>
          </w:tcPr>
          <w:p w14:paraId="5468A055">
            <w:pPr>
              <w:spacing w:line="500" w:lineRule="exact"/>
              <w:jc w:val="center"/>
              <w:rPr>
                <w:rFonts w:hint="eastAsia" w:ascii="方正仿宋_GBK" w:eastAsia="方正仿宋_GBK"/>
                <w:color w:val="auto"/>
                <w:sz w:val="21"/>
                <w:szCs w:val="21"/>
                <w:highlight w:val="none"/>
              </w:rPr>
            </w:pPr>
          </w:p>
        </w:tc>
        <w:tc>
          <w:tcPr>
            <w:tcW w:w="1235" w:type="dxa"/>
            <w:noWrap w:val="0"/>
            <w:vAlign w:val="center"/>
          </w:tcPr>
          <w:p w14:paraId="26CD0B4B">
            <w:pPr>
              <w:spacing w:line="500" w:lineRule="exac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w:t>
            </w:r>
          </w:p>
        </w:tc>
        <w:tc>
          <w:tcPr>
            <w:tcW w:w="1235" w:type="dxa"/>
            <w:noWrap w:val="0"/>
            <w:vAlign w:val="top"/>
          </w:tcPr>
          <w:p w14:paraId="36533871">
            <w:pPr>
              <w:spacing w:line="500" w:lineRule="exact"/>
              <w:jc w:val="center"/>
              <w:rPr>
                <w:rFonts w:hint="eastAsia" w:ascii="方正仿宋_GBK" w:eastAsia="方正仿宋_GBK"/>
                <w:color w:val="auto"/>
                <w:sz w:val="21"/>
                <w:szCs w:val="21"/>
                <w:highlight w:val="none"/>
              </w:rPr>
            </w:pPr>
          </w:p>
        </w:tc>
        <w:tc>
          <w:tcPr>
            <w:tcW w:w="1235" w:type="dxa"/>
            <w:noWrap w:val="0"/>
            <w:vAlign w:val="top"/>
          </w:tcPr>
          <w:p w14:paraId="6C7401D2">
            <w:pPr>
              <w:spacing w:line="500" w:lineRule="exact"/>
              <w:jc w:val="center"/>
              <w:rPr>
                <w:rFonts w:hint="eastAsia" w:ascii="方正仿宋_GBK" w:eastAsia="方正仿宋_GBK"/>
                <w:color w:val="auto"/>
                <w:sz w:val="21"/>
                <w:szCs w:val="21"/>
                <w:highlight w:val="none"/>
              </w:rPr>
            </w:pPr>
          </w:p>
        </w:tc>
      </w:tr>
      <w:tr w14:paraId="7CDF4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939" w:type="dxa"/>
            <w:noWrap w:val="0"/>
            <w:vAlign w:val="center"/>
          </w:tcPr>
          <w:p w14:paraId="30491CAC">
            <w:pPr>
              <w:spacing w:line="500" w:lineRule="exact"/>
              <w:jc w:val="center"/>
              <w:rPr>
                <w:rFonts w:hint="eastAsia" w:ascii="方正仿宋_GBK" w:eastAsia="方正仿宋_GBK"/>
                <w:color w:val="auto"/>
                <w:sz w:val="21"/>
                <w:szCs w:val="21"/>
                <w:highlight w:val="none"/>
                <w:lang w:eastAsia="zh-CN"/>
              </w:rPr>
            </w:pPr>
            <w:r>
              <w:rPr>
                <w:rFonts w:hint="eastAsia" w:ascii="方正仿宋_GBK" w:eastAsia="方正仿宋_GBK"/>
                <w:color w:val="auto"/>
                <w:sz w:val="21"/>
                <w:szCs w:val="21"/>
                <w:highlight w:val="none"/>
                <w:lang w:val="en-US" w:eastAsia="zh-CN"/>
              </w:rPr>
              <w:t>9</w:t>
            </w:r>
          </w:p>
        </w:tc>
        <w:tc>
          <w:tcPr>
            <w:tcW w:w="1557" w:type="dxa"/>
            <w:noWrap w:val="0"/>
            <w:vAlign w:val="center"/>
          </w:tcPr>
          <w:p w14:paraId="4E52BA8B">
            <w:pPr>
              <w:spacing w:line="500" w:lineRule="exac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w:t>
            </w:r>
          </w:p>
        </w:tc>
        <w:tc>
          <w:tcPr>
            <w:tcW w:w="3127" w:type="dxa"/>
            <w:noWrap w:val="0"/>
            <w:vAlign w:val="top"/>
          </w:tcPr>
          <w:p w14:paraId="6551288C">
            <w:pPr>
              <w:spacing w:line="500" w:lineRule="exact"/>
              <w:jc w:val="center"/>
              <w:rPr>
                <w:rFonts w:hint="eastAsia" w:ascii="方正仿宋_GBK" w:eastAsia="方正仿宋_GBK"/>
                <w:color w:val="auto"/>
                <w:sz w:val="21"/>
                <w:szCs w:val="21"/>
                <w:highlight w:val="none"/>
              </w:rPr>
            </w:pPr>
          </w:p>
        </w:tc>
        <w:tc>
          <w:tcPr>
            <w:tcW w:w="1235" w:type="dxa"/>
            <w:noWrap w:val="0"/>
            <w:vAlign w:val="center"/>
          </w:tcPr>
          <w:p w14:paraId="1E248F5C">
            <w:pPr>
              <w:spacing w:line="500" w:lineRule="exac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w:t>
            </w:r>
          </w:p>
        </w:tc>
        <w:tc>
          <w:tcPr>
            <w:tcW w:w="1235" w:type="dxa"/>
            <w:noWrap w:val="0"/>
            <w:vAlign w:val="top"/>
          </w:tcPr>
          <w:p w14:paraId="4F580BA0">
            <w:pPr>
              <w:spacing w:line="500" w:lineRule="exact"/>
              <w:jc w:val="center"/>
              <w:rPr>
                <w:rFonts w:hint="eastAsia" w:ascii="方正仿宋_GBK" w:eastAsia="方正仿宋_GBK"/>
                <w:color w:val="auto"/>
                <w:sz w:val="21"/>
                <w:szCs w:val="21"/>
                <w:highlight w:val="none"/>
              </w:rPr>
            </w:pPr>
          </w:p>
        </w:tc>
        <w:tc>
          <w:tcPr>
            <w:tcW w:w="1235" w:type="dxa"/>
            <w:noWrap w:val="0"/>
            <w:vAlign w:val="top"/>
          </w:tcPr>
          <w:p w14:paraId="5DCE91E8">
            <w:pPr>
              <w:spacing w:line="500" w:lineRule="exact"/>
              <w:jc w:val="center"/>
              <w:rPr>
                <w:rFonts w:hint="eastAsia" w:ascii="方正仿宋_GBK" w:eastAsia="方正仿宋_GBK"/>
                <w:color w:val="auto"/>
                <w:sz w:val="21"/>
                <w:szCs w:val="21"/>
                <w:highlight w:val="none"/>
              </w:rPr>
            </w:pPr>
          </w:p>
        </w:tc>
      </w:tr>
      <w:tr w14:paraId="1E2D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939" w:type="dxa"/>
            <w:noWrap w:val="0"/>
            <w:vAlign w:val="center"/>
          </w:tcPr>
          <w:p w14:paraId="14983F41">
            <w:pPr>
              <w:spacing w:line="500" w:lineRule="exact"/>
              <w:jc w:val="center"/>
              <w:rPr>
                <w:rFonts w:hint="default" w:ascii="方正仿宋_GBK" w:eastAsia="方正仿宋_GBK"/>
                <w:color w:val="auto"/>
                <w:sz w:val="21"/>
                <w:szCs w:val="21"/>
                <w:highlight w:val="none"/>
                <w:lang w:val="en-US" w:eastAsia="zh-CN"/>
              </w:rPr>
            </w:pPr>
            <w:r>
              <w:rPr>
                <w:rFonts w:hint="eastAsia" w:ascii="方正仿宋_GBK" w:eastAsia="方正仿宋_GBK"/>
                <w:color w:val="auto"/>
                <w:sz w:val="21"/>
                <w:szCs w:val="21"/>
                <w:highlight w:val="none"/>
                <w:lang w:val="en-US" w:eastAsia="zh-CN"/>
              </w:rPr>
              <w:t>10</w:t>
            </w:r>
          </w:p>
        </w:tc>
        <w:tc>
          <w:tcPr>
            <w:tcW w:w="1557" w:type="dxa"/>
            <w:noWrap w:val="0"/>
            <w:vAlign w:val="center"/>
          </w:tcPr>
          <w:p w14:paraId="13DB31B7">
            <w:pPr>
              <w:spacing w:line="500" w:lineRule="exac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总计</w:t>
            </w:r>
          </w:p>
        </w:tc>
        <w:tc>
          <w:tcPr>
            <w:tcW w:w="6832" w:type="dxa"/>
            <w:gridSpan w:val="4"/>
            <w:noWrap w:val="0"/>
            <w:vAlign w:val="top"/>
          </w:tcPr>
          <w:p w14:paraId="026E63D3">
            <w:pPr>
              <w:spacing w:line="500" w:lineRule="exact"/>
              <w:jc w:val="center"/>
              <w:rPr>
                <w:rFonts w:hint="eastAsia" w:ascii="方正仿宋_GBK" w:eastAsia="方正仿宋_GBK"/>
                <w:color w:val="auto"/>
                <w:sz w:val="21"/>
                <w:szCs w:val="21"/>
                <w:highlight w:val="none"/>
              </w:rPr>
            </w:pPr>
          </w:p>
        </w:tc>
      </w:tr>
    </w:tbl>
    <w:p w14:paraId="3A3B54E2">
      <w:pPr>
        <w:snapToGrid w:val="0"/>
        <w:spacing w:line="360" w:lineRule="auto"/>
        <w:ind w:firstLine="420" w:firstLineChars="200"/>
        <w:rPr>
          <w:rFonts w:hint="default" w:ascii="方正仿宋_GBK" w:hAnsi="宋体" w:eastAsia="方正仿宋_GBK" w:cs="Times New Roman"/>
          <w:color w:val="auto"/>
          <w:kern w:val="2"/>
          <w:sz w:val="21"/>
          <w:szCs w:val="28"/>
          <w:highlight w:val="none"/>
          <w:lang w:val="en-US" w:eastAsia="zh-CN" w:bidi="ar-SA"/>
        </w:rPr>
      </w:pPr>
      <w:r>
        <w:rPr>
          <w:rFonts w:hint="eastAsia" w:ascii="方正仿宋_GBK" w:hAnsi="宋体" w:eastAsia="方正仿宋_GBK" w:cs="Times New Roman"/>
          <w:color w:val="auto"/>
          <w:kern w:val="2"/>
          <w:sz w:val="21"/>
          <w:szCs w:val="28"/>
          <w:highlight w:val="none"/>
          <w:lang w:val="en-US" w:eastAsia="zh-CN" w:bidi="ar-SA"/>
        </w:rPr>
        <w:t>注：可自行修改格式</w:t>
      </w:r>
    </w:p>
    <w:p w14:paraId="5F02F9D7">
      <w:pPr>
        <w:snapToGrid w:val="0"/>
        <w:spacing w:line="400" w:lineRule="exact"/>
        <w:rPr>
          <w:rFonts w:hint="eastAsia" w:ascii="宋体" w:hAnsi="宋体" w:cs="宋体"/>
          <w:color w:val="auto"/>
          <w:sz w:val="24"/>
          <w:szCs w:val="28"/>
          <w:highlight w:val="none"/>
        </w:rPr>
      </w:pPr>
      <w:r>
        <w:rPr>
          <w:rFonts w:hint="eastAsia" w:ascii="宋体" w:hAnsi="宋体" w:cs="宋体"/>
          <w:color w:val="auto"/>
          <w:sz w:val="24"/>
          <w:szCs w:val="28"/>
          <w:highlight w:val="none"/>
        </w:rPr>
        <w:t xml:space="preserve">     </w:t>
      </w:r>
    </w:p>
    <w:p w14:paraId="12405B70">
      <w:pPr>
        <w:snapToGrid w:val="0"/>
        <w:spacing w:line="400" w:lineRule="exact"/>
        <w:rPr>
          <w:rFonts w:hint="eastAsia" w:ascii="宋体" w:hAnsi="宋体" w:cs="宋体"/>
          <w:color w:val="auto"/>
          <w:sz w:val="24"/>
          <w:szCs w:val="28"/>
          <w:highlight w:val="none"/>
        </w:rPr>
      </w:pPr>
    </w:p>
    <w:p w14:paraId="381F3DFF">
      <w:pPr>
        <w:snapToGrid w:val="0"/>
        <w:spacing w:line="400" w:lineRule="exact"/>
        <w:rPr>
          <w:rFonts w:hint="eastAsia" w:ascii="宋体" w:hAnsi="宋体" w:cs="宋体"/>
          <w:color w:val="auto"/>
          <w:sz w:val="24"/>
          <w:szCs w:val="28"/>
          <w:highlight w:val="none"/>
        </w:rPr>
      </w:pPr>
    </w:p>
    <w:p w14:paraId="14056DAD">
      <w:pPr>
        <w:snapToGrid w:val="0"/>
        <w:spacing w:line="4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lang w:eastAsia="zh-CN"/>
        </w:rPr>
        <w:t>供应商</w:t>
      </w:r>
      <w:r>
        <w:rPr>
          <w:rFonts w:hint="eastAsia" w:ascii="宋体" w:hAnsi="宋体" w:cs="宋体"/>
          <w:color w:val="auto"/>
          <w:sz w:val="24"/>
          <w:szCs w:val="28"/>
          <w:highlight w:val="none"/>
        </w:rPr>
        <w:t>：               法定代表人（或法定代表人授权代表）或自然人：</w:t>
      </w:r>
    </w:p>
    <w:p w14:paraId="5E8A47CE">
      <w:pPr>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rPr>
        <w:t xml:space="preserve">  （</w:t>
      </w:r>
      <w:r>
        <w:rPr>
          <w:rFonts w:hint="eastAsia" w:ascii="宋体" w:hAnsi="宋体" w:cs="宋体"/>
          <w:color w:val="auto"/>
          <w:sz w:val="24"/>
          <w:szCs w:val="28"/>
          <w:highlight w:val="none"/>
          <w:lang w:eastAsia="zh-CN"/>
        </w:rPr>
        <w:t>供应商</w:t>
      </w:r>
      <w:r>
        <w:rPr>
          <w:rFonts w:hint="eastAsia" w:ascii="宋体" w:hAnsi="宋体" w:cs="宋体"/>
          <w:color w:val="auto"/>
          <w:sz w:val="24"/>
          <w:szCs w:val="28"/>
          <w:highlight w:val="none"/>
        </w:rPr>
        <w:t>公章）                               （签署或盖章）</w:t>
      </w:r>
    </w:p>
    <w:p w14:paraId="54AF6A46">
      <w:pPr>
        <w:spacing w:line="500" w:lineRule="exact"/>
        <w:rPr>
          <w:rFonts w:ascii="宋体" w:hAnsi="宋体" w:cs="宋体"/>
          <w:color w:val="auto"/>
          <w:sz w:val="24"/>
          <w:szCs w:val="28"/>
          <w:highlight w:val="none"/>
        </w:rPr>
      </w:pPr>
    </w:p>
    <w:p w14:paraId="6070CA03">
      <w:pPr>
        <w:spacing w:line="500" w:lineRule="exact"/>
        <w:rPr>
          <w:rFonts w:ascii="宋体" w:hAnsi="宋体" w:cs="宋体"/>
          <w:color w:val="auto"/>
          <w:sz w:val="24"/>
          <w:szCs w:val="28"/>
          <w:highlight w:val="none"/>
        </w:rPr>
      </w:pPr>
    </w:p>
    <w:p w14:paraId="21637AE1">
      <w:pPr>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 xml:space="preserve">                                            年     月     日</w:t>
      </w:r>
    </w:p>
    <w:p w14:paraId="0BE3A038">
      <w:pPr>
        <w:snapToGrid w:val="0"/>
        <w:spacing w:line="500" w:lineRule="exact"/>
        <w:ind w:firstLine="480" w:firstLineChars="200"/>
        <w:rPr>
          <w:rFonts w:hint="eastAsia" w:ascii="黑体" w:hAnsi="黑体" w:eastAsia="黑体" w:cs="黑体"/>
          <w:bCs/>
          <w:color w:val="auto"/>
          <w:kern w:val="2"/>
          <w:sz w:val="24"/>
          <w:szCs w:val="24"/>
          <w:highlight w:val="none"/>
          <w:lang w:val="en-US" w:eastAsia="zh-CN" w:bidi="ar-SA"/>
        </w:rPr>
      </w:pPr>
      <w:r>
        <w:rPr>
          <w:rFonts w:hint="eastAsia" w:ascii="黑体" w:hAnsi="黑体" w:eastAsia="黑体" w:cs="黑体"/>
          <w:bCs/>
          <w:color w:val="auto"/>
          <w:kern w:val="2"/>
          <w:sz w:val="24"/>
          <w:szCs w:val="24"/>
          <w:highlight w:val="none"/>
          <w:lang w:val="en-US" w:eastAsia="zh-CN" w:bidi="ar-SA"/>
        </w:rPr>
        <w:t>注：</w:t>
      </w:r>
    </w:p>
    <w:p w14:paraId="35E50862">
      <w:pPr>
        <w:snapToGrid w:val="0"/>
        <w:spacing w:line="500" w:lineRule="exact"/>
        <w:ind w:firstLine="480" w:firstLineChars="200"/>
        <w:rPr>
          <w:rFonts w:hint="eastAsia" w:ascii="黑体" w:hAnsi="黑体" w:eastAsia="黑体" w:cs="黑体"/>
          <w:bCs/>
          <w:color w:val="auto"/>
          <w:kern w:val="2"/>
          <w:sz w:val="24"/>
          <w:szCs w:val="24"/>
          <w:highlight w:val="none"/>
          <w:lang w:val="en-US" w:eastAsia="zh-CN" w:bidi="ar-SA"/>
        </w:rPr>
      </w:pPr>
      <w:r>
        <w:rPr>
          <w:rFonts w:hint="eastAsia" w:ascii="黑体" w:hAnsi="黑体" w:eastAsia="黑体" w:cs="黑体"/>
          <w:bCs/>
          <w:color w:val="auto"/>
          <w:kern w:val="2"/>
          <w:sz w:val="24"/>
          <w:szCs w:val="24"/>
          <w:highlight w:val="none"/>
          <w:lang w:val="en-US" w:eastAsia="zh-CN" w:bidi="ar-SA"/>
        </w:rPr>
        <w:t>1.请供应商完整填写本表；</w:t>
      </w:r>
    </w:p>
    <w:p w14:paraId="1CE3FE6A">
      <w:pPr>
        <w:snapToGrid w:val="0"/>
        <w:spacing w:line="500" w:lineRule="exact"/>
        <w:ind w:firstLine="480" w:firstLineChars="200"/>
        <w:rPr>
          <w:rFonts w:hint="eastAsia" w:ascii="黑体" w:hAnsi="黑体" w:eastAsia="黑体" w:cs="黑体"/>
          <w:bCs/>
          <w:color w:val="auto"/>
          <w:kern w:val="2"/>
          <w:sz w:val="24"/>
          <w:szCs w:val="24"/>
          <w:highlight w:val="none"/>
          <w:lang w:val="en-US" w:eastAsia="zh-CN" w:bidi="ar-SA"/>
        </w:rPr>
      </w:pPr>
      <w:r>
        <w:rPr>
          <w:rFonts w:hint="eastAsia" w:ascii="黑体" w:hAnsi="黑体" w:eastAsia="黑体" w:cs="黑体"/>
          <w:bCs/>
          <w:color w:val="auto"/>
          <w:kern w:val="2"/>
          <w:sz w:val="24"/>
          <w:szCs w:val="24"/>
          <w:highlight w:val="none"/>
          <w:lang w:val="en-US" w:eastAsia="zh-CN" w:bidi="ar-SA"/>
        </w:rPr>
        <w:t>2.该表可扩展。</w:t>
      </w:r>
    </w:p>
    <w:p w14:paraId="0373B039">
      <w:pPr>
        <w:snapToGrid w:val="0"/>
        <w:spacing w:line="500" w:lineRule="exact"/>
        <w:ind w:firstLine="480" w:firstLineChars="200"/>
        <w:rPr>
          <w:rFonts w:ascii="宋体" w:hAnsi="宋体" w:cs="宋体"/>
          <w:color w:val="auto"/>
          <w:sz w:val="24"/>
          <w:szCs w:val="28"/>
          <w:highlight w:val="none"/>
        </w:rPr>
      </w:pPr>
    </w:p>
    <w:p w14:paraId="46B44467">
      <w:pPr>
        <w:pStyle w:val="4"/>
        <w:pageBreakBefore/>
        <w:spacing w:line="500" w:lineRule="exact"/>
        <w:ind w:firstLine="562" w:firstLineChars="200"/>
        <w:rPr>
          <w:rFonts w:cs="宋体"/>
          <w:b/>
          <w:color w:val="auto"/>
          <w:szCs w:val="28"/>
          <w:highlight w:val="none"/>
        </w:rPr>
      </w:pPr>
      <w:bookmarkStart w:id="545" w:name="_Toc21779"/>
      <w:bookmarkStart w:id="546" w:name="_Toc106030418"/>
      <w:bookmarkStart w:id="547" w:name="_Toc3224"/>
      <w:bookmarkStart w:id="548" w:name="_Toc15891"/>
      <w:bookmarkStart w:id="549" w:name="_Toc28767"/>
      <w:bookmarkStart w:id="550" w:name="_Toc23774"/>
      <w:bookmarkStart w:id="551" w:name="_Toc15573"/>
      <w:bookmarkStart w:id="552" w:name="_Toc26723"/>
      <w:bookmarkStart w:id="553" w:name="_Toc31344"/>
      <w:bookmarkStart w:id="554" w:name="_Toc29441"/>
      <w:bookmarkStart w:id="555" w:name="_Toc14980"/>
      <w:bookmarkStart w:id="556" w:name="_Toc21203"/>
      <w:bookmarkStart w:id="557" w:name="_Toc11188"/>
      <w:bookmarkStart w:id="558" w:name="_Toc1842"/>
      <w:bookmarkStart w:id="559" w:name="_Toc2784"/>
      <w:bookmarkStart w:id="560" w:name="_Toc3836"/>
      <w:bookmarkStart w:id="561" w:name="_Toc7244"/>
      <w:bookmarkStart w:id="562" w:name="_Toc5166"/>
      <w:bookmarkStart w:id="563" w:name="_Toc493178790"/>
      <w:bookmarkStart w:id="564" w:name="_Toc2386"/>
      <w:bookmarkStart w:id="565" w:name="_Toc13820"/>
      <w:bookmarkStart w:id="566" w:name="_Toc75793541"/>
      <w:r>
        <w:rPr>
          <w:rFonts w:hint="eastAsia" w:cs="宋体"/>
          <w:b/>
          <w:color w:val="auto"/>
          <w:szCs w:val="28"/>
          <w:highlight w:val="none"/>
        </w:rPr>
        <w:t>二、服务内容及需求文件</w:t>
      </w:r>
      <w:bookmarkEnd w:id="545"/>
      <w:bookmarkEnd w:id="546"/>
      <w:bookmarkEnd w:id="547"/>
      <w:bookmarkEnd w:id="548"/>
      <w:bookmarkEnd w:id="549"/>
      <w:bookmarkEnd w:id="550"/>
      <w:bookmarkEnd w:id="551"/>
    </w:p>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14:paraId="5CDAAA11">
      <w:pPr>
        <w:snapToGrid w:val="0"/>
        <w:spacing w:line="400" w:lineRule="exact"/>
        <w:rPr>
          <w:rFonts w:ascii="宋体" w:hAnsi="宋体" w:cs="宋体"/>
          <w:color w:val="auto"/>
          <w:sz w:val="24"/>
          <w:szCs w:val="28"/>
          <w:highlight w:val="none"/>
        </w:rPr>
      </w:pPr>
    </w:p>
    <w:p w14:paraId="144C3E0A">
      <w:pPr>
        <w:snapToGrid w:val="0"/>
        <w:spacing w:line="4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（一）服务条款差异表</w:t>
      </w:r>
    </w:p>
    <w:p w14:paraId="7D82CD37">
      <w:pPr>
        <w:snapToGrid w:val="0"/>
        <w:spacing w:line="4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招标项目名称：</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7D32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noWrap/>
            <w:vAlign w:val="center"/>
          </w:tcPr>
          <w:p w14:paraId="2A701D45">
            <w:pPr>
              <w:tabs>
                <w:tab w:val="left" w:pos="6300"/>
              </w:tabs>
              <w:snapToGrid w:val="0"/>
              <w:spacing w:line="500" w:lineRule="exact"/>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542" w:type="pct"/>
            <w:noWrap/>
            <w:vAlign w:val="center"/>
          </w:tcPr>
          <w:p w14:paraId="7A77B0CE">
            <w:pPr>
              <w:tabs>
                <w:tab w:val="left" w:pos="6300"/>
              </w:tabs>
              <w:snapToGrid w:val="0"/>
              <w:spacing w:line="500" w:lineRule="exact"/>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招标要求</w:t>
            </w:r>
          </w:p>
        </w:tc>
        <w:tc>
          <w:tcPr>
            <w:tcW w:w="1600" w:type="pct"/>
            <w:noWrap/>
            <w:vAlign w:val="center"/>
          </w:tcPr>
          <w:p w14:paraId="2038BBE4">
            <w:pPr>
              <w:tabs>
                <w:tab w:val="left" w:pos="6300"/>
              </w:tabs>
              <w:snapToGrid w:val="0"/>
              <w:spacing w:line="500" w:lineRule="exact"/>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投标应答</w:t>
            </w:r>
          </w:p>
        </w:tc>
        <w:tc>
          <w:tcPr>
            <w:tcW w:w="1199" w:type="pct"/>
            <w:noWrap/>
            <w:vAlign w:val="center"/>
          </w:tcPr>
          <w:p w14:paraId="49922A5D">
            <w:pPr>
              <w:tabs>
                <w:tab w:val="left" w:pos="6300"/>
              </w:tabs>
              <w:snapToGrid w:val="0"/>
              <w:spacing w:line="500" w:lineRule="exact"/>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差异说明</w:t>
            </w:r>
          </w:p>
        </w:tc>
      </w:tr>
      <w:tr w14:paraId="55B2B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ign w:val="center"/>
          </w:tcPr>
          <w:p w14:paraId="00D21E31">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noWrap/>
            <w:vAlign w:val="center"/>
          </w:tcPr>
          <w:p w14:paraId="61FEC1BB">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noWrap/>
            <w:vAlign w:val="center"/>
          </w:tcPr>
          <w:p w14:paraId="431DBAED">
            <w:pPr>
              <w:tabs>
                <w:tab w:val="left" w:pos="6300"/>
              </w:tabs>
              <w:snapToGrid w:val="0"/>
              <w:spacing w:line="500" w:lineRule="exact"/>
              <w:outlineLvl w:val="0"/>
              <w:rPr>
                <w:rFonts w:ascii="宋体" w:hAnsi="宋体" w:cs="宋体"/>
                <w:color w:val="auto"/>
                <w:sz w:val="21"/>
                <w:szCs w:val="21"/>
                <w:highlight w:val="none"/>
              </w:rPr>
            </w:pPr>
          </w:p>
        </w:tc>
        <w:tc>
          <w:tcPr>
            <w:tcW w:w="1199" w:type="pct"/>
            <w:noWrap/>
            <w:vAlign w:val="center"/>
          </w:tcPr>
          <w:p w14:paraId="6B58F99E">
            <w:pPr>
              <w:tabs>
                <w:tab w:val="left" w:pos="6300"/>
              </w:tabs>
              <w:snapToGrid w:val="0"/>
              <w:spacing w:line="500" w:lineRule="exact"/>
              <w:jc w:val="center"/>
              <w:outlineLvl w:val="0"/>
              <w:rPr>
                <w:rFonts w:ascii="宋体" w:hAnsi="宋体" w:cs="宋体"/>
                <w:color w:val="auto"/>
                <w:sz w:val="21"/>
                <w:szCs w:val="21"/>
                <w:highlight w:val="none"/>
              </w:rPr>
            </w:pPr>
          </w:p>
        </w:tc>
      </w:tr>
      <w:tr w14:paraId="181F1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ign w:val="center"/>
          </w:tcPr>
          <w:p w14:paraId="54A838E7">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noWrap/>
            <w:vAlign w:val="center"/>
          </w:tcPr>
          <w:p w14:paraId="019A4C99">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noWrap/>
            <w:vAlign w:val="center"/>
          </w:tcPr>
          <w:p w14:paraId="793BF766">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noWrap/>
            <w:vAlign w:val="center"/>
          </w:tcPr>
          <w:p w14:paraId="5211FA53">
            <w:pPr>
              <w:tabs>
                <w:tab w:val="left" w:pos="6300"/>
              </w:tabs>
              <w:snapToGrid w:val="0"/>
              <w:spacing w:line="500" w:lineRule="exact"/>
              <w:jc w:val="center"/>
              <w:outlineLvl w:val="0"/>
              <w:rPr>
                <w:rFonts w:ascii="宋体" w:hAnsi="宋体" w:cs="宋体"/>
                <w:color w:val="auto"/>
                <w:sz w:val="21"/>
                <w:szCs w:val="21"/>
                <w:highlight w:val="none"/>
              </w:rPr>
            </w:pPr>
          </w:p>
        </w:tc>
      </w:tr>
      <w:tr w14:paraId="0F9FA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ign w:val="center"/>
          </w:tcPr>
          <w:p w14:paraId="1F6A17D8">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noWrap/>
            <w:vAlign w:val="center"/>
          </w:tcPr>
          <w:p w14:paraId="7981F722">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noWrap/>
            <w:vAlign w:val="center"/>
          </w:tcPr>
          <w:p w14:paraId="4274A03D">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noWrap/>
            <w:vAlign w:val="center"/>
          </w:tcPr>
          <w:p w14:paraId="2E57F003">
            <w:pPr>
              <w:tabs>
                <w:tab w:val="left" w:pos="6300"/>
              </w:tabs>
              <w:snapToGrid w:val="0"/>
              <w:spacing w:line="500" w:lineRule="exact"/>
              <w:jc w:val="center"/>
              <w:outlineLvl w:val="0"/>
              <w:rPr>
                <w:rFonts w:ascii="宋体" w:hAnsi="宋体" w:cs="宋体"/>
                <w:color w:val="auto"/>
                <w:sz w:val="21"/>
                <w:szCs w:val="21"/>
                <w:highlight w:val="none"/>
              </w:rPr>
            </w:pPr>
          </w:p>
        </w:tc>
      </w:tr>
      <w:tr w14:paraId="0C98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ign w:val="center"/>
          </w:tcPr>
          <w:p w14:paraId="66C779D9">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noWrap/>
            <w:vAlign w:val="center"/>
          </w:tcPr>
          <w:p w14:paraId="2B944FBA">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noWrap/>
            <w:vAlign w:val="center"/>
          </w:tcPr>
          <w:p w14:paraId="33100208">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noWrap/>
            <w:vAlign w:val="center"/>
          </w:tcPr>
          <w:p w14:paraId="453B7ED7">
            <w:pPr>
              <w:tabs>
                <w:tab w:val="left" w:pos="6300"/>
              </w:tabs>
              <w:snapToGrid w:val="0"/>
              <w:spacing w:line="500" w:lineRule="exact"/>
              <w:jc w:val="center"/>
              <w:outlineLvl w:val="0"/>
              <w:rPr>
                <w:rFonts w:ascii="宋体" w:hAnsi="宋体" w:cs="宋体"/>
                <w:color w:val="auto"/>
                <w:sz w:val="21"/>
                <w:szCs w:val="21"/>
                <w:highlight w:val="none"/>
              </w:rPr>
            </w:pPr>
          </w:p>
        </w:tc>
      </w:tr>
      <w:tr w14:paraId="68371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ign w:val="center"/>
          </w:tcPr>
          <w:p w14:paraId="01389DD1">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noWrap/>
            <w:vAlign w:val="center"/>
          </w:tcPr>
          <w:p w14:paraId="03FDCE88">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noWrap/>
            <w:vAlign w:val="center"/>
          </w:tcPr>
          <w:p w14:paraId="3D883E56">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noWrap/>
            <w:vAlign w:val="center"/>
          </w:tcPr>
          <w:p w14:paraId="216D1B66">
            <w:pPr>
              <w:tabs>
                <w:tab w:val="left" w:pos="6300"/>
              </w:tabs>
              <w:snapToGrid w:val="0"/>
              <w:spacing w:line="500" w:lineRule="exact"/>
              <w:jc w:val="center"/>
              <w:outlineLvl w:val="0"/>
              <w:rPr>
                <w:rFonts w:ascii="宋体" w:hAnsi="宋体" w:cs="宋体"/>
                <w:color w:val="auto"/>
                <w:sz w:val="21"/>
                <w:szCs w:val="21"/>
                <w:highlight w:val="none"/>
              </w:rPr>
            </w:pPr>
          </w:p>
        </w:tc>
      </w:tr>
      <w:tr w14:paraId="426CB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ign w:val="center"/>
          </w:tcPr>
          <w:p w14:paraId="274A77EE">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noWrap/>
            <w:vAlign w:val="center"/>
          </w:tcPr>
          <w:p w14:paraId="39123C3B">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noWrap/>
            <w:vAlign w:val="center"/>
          </w:tcPr>
          <w:p w14:paraId="7BCF5F73">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noWrap/>
            <w:vAlign w:val="center"/>
          </w:tcPr>
          <w:p w14:paraId="2B28C916">
            <w:pPr>
              <w:tabs>
                <w:tab w:val="left" w:pos="6300"/>
              </w:tabs>
              <w:snapToGrid w:val="0"/>
              <w:spacing w:line="500" w:lineRule="exact"/>
              <w:jc w:val="center"/>
              <w:outlineLvl w:val="0"/>
              <w:rPr>
                <w:rFonts w:ascii="宋体" w:hAnsi="宋体" w:cs="宋体"/>
                <w:color w:val="auto"/>
                <w:sz w:val="21"/>
                <w:szCs w:val="21"/>
                <w:highlight w:val="none"/>
              </w:rPr>
            </w:pPr>
          </w:p>
        </w:tc>
      </w:tr>
      <w:tr w14:paraId="4DDF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ign w:val="center"/>
          </w:tcPr>
          <w:p w14:paraId="6E37E49E">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noWrap/>
            <w:vAlign w:val="center"/>
          </w:tcPr>
          <w:p w14:paraId="75AC36B3">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noWrap/>
            <w:vAlign w:val="center"/>
          </w:tcPr>
          <w:p w14:paraId="297D3D5E">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noWrap/>
            <w:vAlign w:val="center"/>
          </w:tcPr>
          <w:p w14:paraId="4F4FB948">
            <w:pPr>
              <w:tabs>
                <w:tab w:val="left" w:pos="6300"/>
              </w:tabs>
              <w:snapToGrid w:val="0"/>
              <w:spacing w:line="500" w:lineRule="exact"/>
              <w:jc w:val="center"/>
              <w:outlineLvl w:val="0"/>
              <w:rPr>
                <w:rFonts w:ascii="宋体" w:hAnsi="宋体" w:cs="宋体"/>
                <w:color w:val="auto"/>
                <w:sz w:val="21"/>
                <w:szCs w:val="21"/>
                <w:highlight w:val="none"/>
              </w:rPr>
            </w:pPr>
          </w:p>
        </w:tc>
      </w:tr>
      <w:tr w14:paraId="700E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ign w:val="center"/>
          </w:tcPr>
          <w:p w14:paraId="07B9B05A">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noWrap/>
            <w:vAlign w:val="center"/>
          </w:tcPr>
          <w:p w14:paraId="2EA2856C">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noWrap/>
            <w:vAlign w:val="center"/>
          </w:tcPr>
          <w:p w14:paraId="7F3577F3">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noWrap/>
            <w:vAlign w:val="center"/>
          </w:tcPr>
          <w:p w14:paraId="63F7E28C">
            <w:pPr>
              <w:tabs>
                <w:tab w:val="left" w:pos="6300"/>
              </w:tabs>
              <w:snapToGrid w:val="0"/>
              <w:spacing w:line="500" w:lineRule="exact"/>
              <w:jc w:val="center"/>
              <w:outlineLvl w:val="0"/>
              <w:rPr>
                <w:rFonts w:ascii="宋体" w:hAnsi="宋体" w:cs="宋体"/>
                <w:color w:val="auto"/>
                <w:sz w:val="21"/>
                <w:szCs w:val="21"/>
                <w:highlight w:val="none"/>
              </w:rPr>
            </w:pPr>
          </w:p>
        </w:tc>
      </w:tr>
      <w:tr w14:paraId="41FD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ign w:val="center"/>
          </w:tcPr>
          <w:p w14:paraId="792127F3">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noWrap/>
            <w:vAlign w:val="center"/>
          </w:tcPr>
          <w:p w14:paraId="1F486BDF">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noWrap/>
            <w:vAlign w:val="center"/>
          </w:tcPr>
          <w:p w14:paraId="1642A0FB">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noWrap/>
            <w:vAlign w:val="center"/>
          </w:tcPr>
          <w:p w14:paraId="1437CDFD">
            <w:pPr>
              <w:tabs>
                <w:tab w:val="left" w:pos="6300"/>
              </w:tabs>
              <w:snapToGrid w:val="0"/>
              <w:spacing w:line="500" w:lineRule="exact"/>
              <w:jc w:val="center"/>
              <w:outlineLvl w:val="0"/>
              <w:rPr>
                <w:rFonts w:ascii="宋体" w:hAnsi="宋体" w:cs="宋体"/>
                <w:color w:val="auto"/>
                <w:sz w:val="21"/>
                <w:szCs w:val="21"/>
                <w:highlight w:val="none"/>
              </w:rPr>
            </w:pPr>
          </w:p>
        </w:tc>
      </w:tr>
      <w:tr w14:paraId="338A8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ign w:val="center"/>
          </w:tcPr>
          <w:p w14:paraId="6CA88C29">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noWrap/>
            <w:vAlign w:val="center"/>
          </w:tcPr>
          <w:p w14:paraId="5196CC6C">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noWrap/>
            <w:vAlign w:val="center"/>
          </w:tcPr>
          <w:p w14:paraId="6F1940F2">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noWrap/>
            <w:vAlign w:val="center"/>
          </w:tcPr>
          <w:p w14:paraId="2DB4A7ED">
            <w:pPr>
              <w:tabs>
                <w:tab w:val="left" w:pos="6300"/>
              </w:tabs>
              <w:snapToGrid w:val="0"/>
              <w:spacing w:line="500" w:lineRule="exact"/>
              <w:jc w:val="center"/>
              <w:outlineLvl w:val="0"/>
              <w:rPr>
                <w:rFonts w:ascii="宋体" w:hAnsi="宋体" w:cs="宋体"/>
                <w:color w:val="auto"/>
                <w:sz w:val="21"/>
                <w:szCs w:val="21"/>
                <w:highlight w:val="none"/>
              </w:rPr>
            </w:pPr>
          </w:p>
        </w:tc>
      </w:tr>
    </w:tbl>
    <w:p w14:paraId="11E53326">
      <w:pP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lang w:eastAsia="zh-CN"/>
        </w:rPr>
        <w:t>供应商</w:t>
      </w:r>
      <w:r>
        <w:rPr>
          <w:rFonts w:hint="eastAsia" w:ascii="宋体" w:hAnsi="宋体" w:cs="宋体"/>
          <w:color w:val="auto"/>
          <w:sz w:val="24"/>
          <w:szCs w:val="28"/>
          <w:highlight w:val="none"/>
        </w:rPr>
        <w:t>：                      法定代表人（或法定代表人授权代表）或自然人：</w:t>
      </w:r>
    </w:p>
    <w:p w14:paraId="4F74F938">
      <w:pPr>
        <w:spacing w:line="500" w:lineRule="exact"/>
        <w:rPr>
          <w:rFonts w:ascii="宋体" w:hAnsi="宋体" w:cs="宋体"/>
          <w:color w:val="auto"/>
          <w:sz w:val="24"/>
          <w:szCs w:val="28"/>
          <w:highlight w:val="none"/>
        </w:rPr>
      </w:pPr>
    </w:p>
    <w:p w14:paraId="56102274">
      <w:pPr>
        <w:spacing w:line="500" w:lineRule="exact"/>
        <w:ind w:firstLine="720" w:firstLineChars="300"/>
        <w:rPr>
          <w:rFonts w:ascii="宋体" w:hAnsi="宋体" w:cs="宋体"/>
          <w:color w:val="auto"/>
          <w:sz w:val="24"/>
          <w:szCs w:val="28"/>
          <w:highlight w:val="none"/>
        </w:rPr>
      </w:pPr>
      <w:r>
        <w:rPr>
          <w:rFonts w:hint="eastAsia" w:ascii="宋体" w:hAnsi="宋体" w:cs="宋体"/>
          <w:color w:val="auto"/>
          <w:sz w:val="24"/>
          <w:szCs w:val="28"/>
          <w:highlight w:val="none"/>
        </w:rPr>
        <w:t>（</w:t>
      </w:r>
      <w:r>
        <w:rPr>
          <w:rFonts w:hint="eastAsia" w:ascii="宋体" w:hAnsi="宋体" w:cs="宋体"/>
          <w:color w:val="auto"/>
          <w:sz w:val="24"/>
          <w:szCs w:val="28"/>
          <w:highlight w:val="none"/>
          <w:lang w:eastAsia="zh-CN"/>
        </w:rPr>
        <w:t>供应商</w:t>
      </w:r>
      <w:r>
        <w:rPr>
          <w:rFonts w:hint="eastAsia" w:ascii="宋体" w:hAnsi="宋体" w:cs="宋体"/>
          <w:color w:val="auto"/>
          <w:sz w:val="24"/>
          <w:szCs w:val="28"/>
          <w:highlight w:val="none"/>
        </w:rPr>
        <w:t>公章）                               （签署或盖章）</w:t>
      </w:r>
    </w:p>
    <w:p w14:paraId="3187D5D0">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14:paraId="1F1D54AD">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注：</w:t>
      </w:r>
    </w:p>
    <w:p w14:paraId="0AF570A7">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1.本表即为对本项目“第二篇  项目服务需求”中所列条款进行比较和响应，应逐条如实填写，“投标应答”中必须列出具体数值或内容。如</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未应答或只注明“符合”、“满足”等类似无具体内容的表述，将视为不满足招标文件要求；</w:t>
      </w:r>
    </w:p>
    <w:p w14:paraId="674966F2">
      <w:pPr>
        <w:tabs>
          <w:tab w:val="left" w:pos="6300"/>
        </w:tabs>
        <w:snapToGrid w:val="0"/>
        <w:spacing w:line="500" w:lineRule="exact"/>
        <w:ind w:firstLine="570"/>
        <w:rPr>
          <w:rFonts w:ascii="宋体" w:hAnsi="宋体" w:cs="宋体"/>
          <w:color w:val="auto"/>
          <w:sz w:val="24"/>
          <w:szCs w:val="28"/>
          <w:highlight w:val="none"/>
        </w:rPr>
      </w:pPr>
      <w:r>
        <w:rPr>
          <w:rFonts w:hint="eastAsia" w:ascii="宋体" w:hAnsi="宋体" w:cs="宋体"/>
          <w:color w:val="auto"/>
          <w:sz w:val="24"/>
          <w:highlight w:val="none"/>
        </w:rPr>
        <w:t>2.本表可扩展。</w:t>
      </w:r>
    </w:p>
    <w:p w14:paraId="038AA7F9">
      <w:pPr>
        <w:tabs>
          <w:tab w:val="left" w:pos="6300"/>
        </w:tabs>
        <w:snapToGrid w:val="0"/>
        <w:spacing w:line="500" w:lineRule="exact"/>
        <w:ind w:firstLine="570"/>
        <w:rPr>
          <w:rFonts w:ascii="宋体" w:hAnsi="宋体" w:cs="宋体"/>
          <w:color w:val="auto"/>
          <w:sz w:val="24"/>
          <w:szCs w:val="28"/>
          <w:highlight w:val="none"/>
        </w:rPr>
      </w:pPr>
    </w:p>
    <w:p w14:paraId="7E950F79">
      <w:pPr>
        <w:tabs>
          <w:tab w:val="left" w:pos="6300"/>
        </w:tabs>
        <w:snapToGrid w:val="0"/>
        <w:spacing w:line="500" w:lineRule="exact"/>
        <w:ind w:firstLine="570"/>
        <w:rPr>
          <w:rFonts w:ascii="宋体" w:hAnsi="宋体" w:cs="宋体"/>
          <w:color w:val="auto"/>
          <w:sz w:val="24"/>
          <w:highlight w:val="none"/>
        </w:rPr>
      </w:pPr>
    </w:p>
    <w:p w14:paraId="0E0C8B8C">
      <w:pPr>
        <w:tabs>
          <w:tab w:val="left" w:pos="6300"/>
        </w:tabs>
        <w:snapToGrid w:val="0"/>
        <w:spacing w:line="500" w:lineRule="exact"/>
        <w:ind w:firstLine="570"/>
        <w:rPr>
          <w:rFonts w:ascii="宋体" w:hAnsi="宋体" w:cs="宋体"/>
          <w:color w:val="auto"/>
          <w:sz w:val="24"/>
          <w:highlight w:val="none"/>
        </w:rPr>
      </w:pPr>
    </w:p>
    <w:p w14:paraId="140A3828">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（二）其他资料（格式自定）</w:t>
      </w:r>
    </w:p>
    <w:p w14:paraId="0B7F4D30">
      <w:pPr>
        <w:snapToGrid w:val="0"/>
        <w:spacing w:before="120" w:beforeLines="50" w:line="500" w:lineRule="exact"/>
        <w:ind w:firstLine="1205" w:firstLineChars="400"/>
        <w:rPr>
          <w:rFonts w:ascii="宋体" w:hAnsi="宋体" w:cs="宋体"/>
          <w:b/>
          <w:color w:val="auto"/>
          <w:sz w:val="30"/>
          <w:szCs w:val="30"/>
          <w:highlight w:val="none"/>
        </w:rPr>
      </w:pPr>
    </w:p>
    <w:p w14:paraId="224033EC">
      <w:pPr>
        <w:snapToGrid w:val="0"/>
        <w:spacing w:before="120" w:beforeLines="50" w:line="500" w:lineRule="exact"/>
        <w:ind w:firstLine="1205" w:firstLineChars="400"/>
        <w:rPr>
          <w:rFonts w:ascii="宋体" w:hAnsi="宋体" w:cs="宋体"/>
          <w:b/>
          <w:color w:val="auto"/>
          <w:sz w:val="30"/>
          <w:szCs w:val="30"/>
          <w:highlight w:val="none"/>
        </w:rPr>
      </w:pPr>
    </w:p>
    <w:p w14:paraId="5A49542E">
      <w:pPr>
        <w:snapToGrid w:val="0"/>
        <w:spacing w:before="120" w:beforeLines="50" w:line="500" w:lineRule="exact"/>
        <w:ind w:firstLine="1205" w:firstLineChars="400"/>
        <w:rPr>
          <w:rFonts w:ascii="宋体" w:hAnsi="宋体" w:cs="宋体"/>
          <w:b/>
          <w:color w:val="auto"/>
          <w:sz w:val="30"/>
          <w:szCs w:val="30"/>
          <w:highlight w:val="none"/>
        </w:rPr>
      </w:pPr>
    </w:p>
    <w:p w14:paraId="22A09A80">
      <w:pPr>
        <w:snapToGrid w:val="0"/>
        <w:spacing w:before="120" w:beforeLines="50" w:line="500" w:lineRule="exact"/>
        <w:ind w:firstLine="1205" w:firstLineChars="400"/>
        <w:rPr>
          <w:rFonts w:ascii="宋体" w:hAnsi="宋体" w:cs="宋体"/>
          <w:b/>
          <w:color w:val="auto"/>
          <w:sz w:val="30"/>
          <w:szCs w:val="30"/>
          <w:highlight w:val="none"/>
        </w:rPr>
      </w:pPr>
    </w:p>
    <w:p w14:paraId="708125CE">
      <w:pPr>
        <w:snapToGrid w:val="0"/>
        <w:spacing w:before="120" w:beforeLines="50" w:line="500" w:lineRule="exact"/>
        <w:ind w:firstLine="1205" w:firstLineChars="400"/>
        <w:rPr>
          <w:rFonts w:ascii="宋体" w:hAnsi="宋体" w:cs="宋体"/>
          <w:b/>
          <w:color w:val="auto"/>
          <w:sz w:val="30"/>
          <w:szCs w:val="30"/>
          <w:highlight w:val="none"/>
        </w:rPr>
      </w:pPr>
    </w:p>
    <w:p w14:paraId="7C361FF0">
      <w:pPr>
        <w:snapToGrid w:val="0"/>
        <w:spacing w:before="120" w:beforeLines="50" w:line="500" w:lineRule="exact"/>
        <w:ind w:firstLine="1205" w:firstLineChars="400"/>
        <w:rPr>
          <w:rFonts w:ascii="宋体" w:hAnsi="宋体" w:cs="宋体"/>
          <w:b/>
          <w:color w:val="auto"/>
          <w:sz w:val="30"/>
          <w:szCs w:val="30"/>
          <w:highlight w:val="none"/>
        </w:rPr>
      </w:pPr>
    </w:p>
    <w:p w14:paraId="60B661C0">
      <w:pPr>
        <w:snapToGrid w:val="0"/>
        <w:spacing w:before="120" w:beforeLines="50" w:line="500" w:lineRule="exact"/>
        <w:ind w:firstLine="1205" w:firstLineChars="400"/>
        <w:rPr>
          <w:rFonts w:ascii="宋体" w:hAnsi="宋体" w:cs="宋体"/>
          <w:b/>
          <w:color w:val="auto"/>
          <w:sz w:val="30"/>
          <w:szCs w:val="30"/>
          <w:highlight w:val="none"/>
        </w:rPr>
      </w:pPr>
    </w:p>
    <w:p w14:paraId="02CDE4F7">
      <w:pPr>
        <w:snapToGrid w:val="0"/>
        <w:spacing w:before="120" w:beforeLines="50" w:line="500" w:lineRule="exact"/>
        <w:ind w:firstLine="1205" w:firstLineChars="400"/>
        <w:rPr>
          <w:rFonts w:ascii="宋体" w:hAnsi="宋体" w:cs="宋体"/>
          <w:b/>
          <w:color w:val="auto"/>
          <w:sz w:val="30"/>
          <w:szCs w:val="30"/>
          <w:highlight w:val="none"/>
        </w:rPr>
      </w:pPr>
    </w:p>
    <w:p w14:paraId="1A4DB85C">
      <w:pPr>
        <w:snapToGrid w:val="0"/>
        <w:spacing w:before="120" w:beforeLines="50" w:line="500" w:lineRule="exact"/>
        <w:ind w:firstLine="1205" w:firstLineChars="400"/>
        <w:rPr>
          <w:rFonts w:ascii="宋体" w:hAnsi="宋体" w:cs="宋体"/>
          <w:b/>
          <w:color w:val="auto"/>
          <w:sz w:val="30"/>
          <w:szCs w:val="30"/>
          <w:highlight w:val="none"/>
        </w:rPr>
      </w:pPr>
    </w:p>
    <w:p w14:paraId="1590B7D7">
      <w:pPr>
        <w:snapToGrid w:val="0"/>
        <w:spacing w:before="120" w:beforeLines="50" w:line="500" w:lineRule="exact"/>
        <w:ind w:firstLine="1205" w:firstLineChars="400"/>
        <w:rPr>
          <w:rFonts w:ascii="宋体" w:hAnsi="宋体" w:cs="宋体"/>
          <w:b/>
          <w:color w:val="auto"/>
          <w:sz w:val="30"/>
          <w:szCs w:val="30"/>
          <w:highlight w:val="none"/>
        </w:rPr>
      </w:pPr>
    </w:p>
    <w:p w14:paraId="24FD6A56">
      <w:pPr>
        <w:snapToGrid w:val="0"/>
        <w:spacing w:before="120" w:beforeLines="50" w:line="500" w:lineRule="exact"/>
        <w:ind w:firstLine="1205" w:firstLineChars="400"/>
        <w:rPr>
          <w:rFonts w:ascii="宋体" w:hAnsi="宋体" w:cs="宋体"/>
          <w:b/>
          <w:color w:val="auto"/>
          <w:sz w:val="30"/>
          <w:szCs w:val="30"/>
          <w:highlight w:val="none"/>
        </w:rPr>
      </w:pPr>
    </w:p>
    <w:p w14:paraId="40955ECE">
      <w:pPr>
        <w:snapToGrid w:val="0"/>
        <w:spacing w:before="120" w:beforeLines="50" w:line="500" w:lineRule="exact"/>
        <w:ind w:firstLine="1205" w:firstLineChars="400"/>
        <w:rPr>
          <w:rFonts w:ascii="宋体" w:hAnsi="宋体" w:cs="宋体"/>
          <w:b/>
          <w:color w:val="auto"/>
          <w:sz w:val="30"/>
          <w:szCs w:val="30"/>
          <w:highlight w:val="none"/>
        </w:rPr>
      </w:pPr>
    </w:p>
    <w:p w14:paraId="2233A6BC">
      <w:pPr>
        <w:snapToGrid w:val="0"/>
        <w:spacing w:before="120" w:beforeLines="50" w:line="500" w:lineRule="exact"/>
        <w:ind w:firstLine="1205" w:firstLineChars="400"/>
        <w:rPr>
          <w:rFonts w:ascii="宋体" w:hAnsi="宋体" w:cs="宋体"/>
          <w:b/>
          <w:color w:val="auto"/>
          <w:sz w:val="30"/>
          <w:szCs w:val="30"/>
          <w:highlight w:val="none"/>
        </w:rPr>
      </w:pPr>
    </w:p>
    <w:p w14:paraId="0264633A">
      <w:pPr>
        <w:snapToGrid w:val="0"/>
        <w:spacing w:before="120" w:beforeLines="50" w:line="500" w:lineRule="exact"/>
        <w:ind w:firstLine="1205" w:firstLineChars="400"/>
        <w:rPr>
          <w:rFonts w:ascii="宋体" w:hAnsi="宋体" w:cs="宋体"/>
          <w:b/>
          <w:color w:val="auto"/>
          <w:sz w:val="30"/>
          <w:szCs w:val="30"/>
          <w:highlight w:val="none"/>
        </w:rPr>
      </w:pPr>
    </w:p>
    <w:p w14:paraId="79AB7ED2">
      <w:pPr>
        <w:snapToGrid w:val="0"/>
        <w:spacing w:before="120" w:beforeLines="50" w:line="500" w:lineRule="exact"/>
        <w:ind w:firstLine="1205" w:firstLineChars="400"/>
        <w:rPr>
          <w:rFonts w:ascii="宋体" w:hAnsi="宋体" w:cs="宋体"/>
          <w:b/>
          <w:color w:val="auto"/>
          <w:sz w:val="30"/>
          <w:szCs w:val="30"/>
          <w:highlight w:val="none"/>
        </w:rPr>
      </w:pPr>
    </w:p>
    <w:p w14:paraId="75E553EF">
      <w:pPr>
        <w:snapToGrid w:val="0"/>
        <w:spacing w:before="120" w:beforeLines="50" w:line="500" w:lineRule="exact"/>
        <w:ind w:firstLine="1205" w:firstLineChars="400"/>
        <w:rPr>
          <w:rFonts w:ascii="宋体" w:hAnsi="宋体" w:cs="宋体"/>
          <w:b/>
          <w:color w:val="auto"/>
          <w:sz w:val="30"/>
          <w:szCs w:val="30"/>
          <w:highlight w:val="none"/>
        </w:rPr>
      </w:pPr>
    </w:p>
    <w:p w14:paraId="2FC27EEF">
      <w:pPr>
        <w:snapToGrid w:val="0"/>
        <w:spacing w:before="120" w:beforeLines="50" w:line="500" w:lineRule="exact"/>
        <w:ind w:firstLine="1205" w:firstLineChars="400"/>
        <w:rPr>
          <w:rFonts w:ascii="宋体" w:hAnsi="宋体" w:cs="宋体"/>
          <w:b/>
          <w:color w:val="auto"/>
          <w:sz w:val="30"/>
          <w:szCs w:val="30"/>
          <w:highlight w:val="none"/>
        </w:rPr>
      </w:pPr>
    </w:p>
    <w:p w14:paraId="7AD22929">
      <w:pPr>
        <w:pStyle w:val="25"/>
        <w:ind w:firstLine="560"/>
        <w:rPr>
          <w:rFonts w:ascii="宋体" w:hAnsi="宋体" w:cs="宋体"/>
          <w:color w:val="auto"/>
          <w:highlight w:val="none"/>
        </w:rPr>
      </w:pPr>
    </w:p>
    <w:p w14:paraId="32165CD6">
      <w:pPr>
        <w:snapToGrid w:val="0"/>
        <w:spacing w:before="120" w:beforeLines="50" w:line="500" w:lineRule="exact"/>
        <w:ind w:firstLine="1205" w:firstLineChars="400"/>
        <w:rPr>
          <w:rFonts w:ascii="宋体" w:hAnsi="宋体" w:cs="宋体"/>
          <w:b/>
          <w:color w:val="auto"/>
          <w:sz w:val="30"/>
          <w:szCs w:val="30"/>
          <w:highlight w:val="none"/>
        </w:rPr>
      </w:pPr>
    </w:p>
    <w:p w14:paraId="26344ED1">
      <w:pPr>
        <w:pStyle w:val="8"/>
        <w:rPr>
          <w:rFonts w:ascii="宋体" w:hAnsi="宋体" w:eastAsia="宋体" w:cs="宋体"/>
          <w:b/>
          <w:color w:val="auto"/>
          <w:sz w:val="30"/>
          <w:szCs w:val="30"/>
          <w:highlight w:val="none"/>
        </w:rPr>
      </w:pPr>
    </w:p>
    <w:p w14:paraId="17D6BED5">
      <w:pPr>
        <w:rPr>
          <w:rFonts w:ascii="宋体" w:hAnsi="宋体" w:cs="宋体"/>
          <w:b/>
          <w:color w:val="auto"/>
          <w:sz w:val="30"/>
          <w:szCs w:val="30"/>
          <w:highlight w:val="none"/>
        </w:rPr>
      </w:pPr>
    </w:p>
    <w:p w14:paraId="73A00955">
      <w:pPr>
        <w:pStyle w:val="8"/>
        <w:rPr>
          <w:rFonts w:ascii="宋体" w:hAnsi="宋体" w:eastAsia="宋体" w:cs="宋体"/>
          <w:b/>
          <w:color w:val="auto"/>
          <w:sz w:val="30"/>
          <w:szCs w:val="30"/>
          <w:highlight w:val="none"/>
        </w:rPr>
      </w:pPr>
    </w:p>
    <w:p w14:paraId="0868ABA0">
      <w:pPr>
        <w:pStyle w:val="8"/>
        <w:rPr>
          <w:rFonts w:ascii="宋体" w:hAnsi="宋体" w:eastAsia="宋体" w:cs="宋体"/>
          <w:b/>
          <w:color w:val="auto"/>
          <w:sz w:val="30"/>
          <w:szCs w:val="30"/>
          <w:highlight w:val="none"/>
        </w:rPr>
      </w:pPr>
    </w:p>
    <w:p w14:paraId="22EB1CCF">
      <w:pPr>
        <w:rPr>
          <w:rFonts w:ascii="宋体" w:hAnsi="宋体" w:cs="宋体"/>
          <w:b/>
          <w:color w:val="auto"/>
          <w:sz w:val="30"/>
          <w:szCs w:val="30"/>
          <w:highlight w:val="none"/>
        </w:rPr>
      </w:pPr>
    </w:p>
    <w:p w14:paraId="456663C6">
      <w:pPr>
        <w:pStyle w:val="4"/>
        <w:pageBreakBefore/>
        <w:spacing w:line="500" w:lineRule="exact"/>
        <w:ind w:firstLine="562" w:firstLineChars="200"/>
        <w:rPr>
          <w:rFonts w:hint="eastAsia" w:cs="宋体"/>
          <w:b/>
          <w:color w:val="auto"/>
          <w:szCs w:val="28"/>
          <w:highlight w:val="none"/>
        </w:rPr>
      </w:pPr>
      <w:bookmarkStart w:id="567" w:name="_Toc10248"/>
      <w:r>
        <w:rPr>
          <w:rFonts w:hint="eastAsia" w:cs="宋体"/>
          <w:b/>
          <w:color w:val="auto"/>
          <w:szCs w:val="28"/>
          <w:highlight w:val="none"/>
        </w:rPr>
        <w:t>三、商务文件</w:t>
      </w:r>
      <w:bookmarkEnd w:id="567"/>
    </w:p>
    <w:p w14:paraId="7967699B">
      <w:pPr>
        <w:snapToGrid w:val="0"/>
        <w:spacing w:line="400" w:lineRule="exact"/>
        <w:ind w:firstLine="560" w:firstLineChars="200"/>
        <w:jc w:val="center"/>
        <w:rPr>
          <w:rFonts w:hint="eastAsia" w:ascii="宋体" w:hAnsi="宋体" w:cs="宋体"/>
          <w:color w:val="auto"/>
          <w:szCs w:val="28"/>
          <w:highlight w:val="none"/>
        </w:rPr>
      </w:pPr>
      <w:r>
        <w:rPr>
          <w:rFonts w:hint="eastAsia" w:ascii="宋体" w:hAnsi="宋体" w:cs="宋体"/>
          <w:color w:val="auto"/>
          <w:szCs w:val="28"/>
          <w:highlight w:val="none"/>
          <w:lang w:eastAsia="zh-CN"/>
        </w:rPr>
        <w:t>（</w:t>
      </w:r>
      <w:r>
        <w:rPr>
          <w:rFonts w:hint="eastAsia" w:ascii="宋体" w:hAnsi="宋体" w:cs="宋体"/>
          <w:color w:val="auto"/>
          <w:szCs w:val="28"/>
          <w:highlight w:val="none"/>
          <w:lang w:val="en-US" w:eastAsia="zh-CN"/>
        </w:rPr>
        <w:t>一</w:t>
      </w:r>
      <w:r>
        <w:rPr>
          <w:rFonts w:hint="eastAsia" w:ascii="宋体" w:hAnsi="宋体" w:cs="宋体"/>
          <w:color w:val="auto"/>
          <w:szCs w:val="28"/>
          <w:highlight w:val="none"/>
          <w:lang w:eastAsia="zh-CN"/>
        </w:rPr>
        <w:t>）</w:t>
      </w:r>
      <w:r>
        <w:rPr>
          <w:rFonts w:hint="eastAsia" w:ascii="宋体" w:hAnsi="宋体" w:cs="宋体"/>
          <w:color w:val="auto"/>
          <w:szCs w:val="28"/>
          <w:highlight w:val="none"/>
        </w:rPr>
        <w:t>竞争性磋商报价函</w:t>
      </w:r>
    </w:p>
    <w:p w14:paraId="1FE67E16">
      <w:pPr>
        <w:snapToGrid w:val="0"/>
        <w:spacing w:line="400" w:lineRule="exact"/>
        <w:ind w:firstLine="480" w:firstLineChars="200"/>
        <w:rPr>
          <w:rFonts w:hint="eastAsia" w:ascii="宋体" w:hAnsi="宋体" w:cs="宋体"/>
          <w:color w:val="auto"/>
          <w:sz w:val="24"/>
          <w:szCs w:val="24"/>
          <w:highlight w:val="none"/>
        </w:rPr>
      </w:pPr>
    </w:p>
    <w:p w14:paraId="6C773424">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（采购单位名称）：</w:t>
      </w:r>
    </w:p>
    <w:p w14:paraId="6FB8ECA3">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我方收到____________________________（项目名称）的竞争性磋商文件，经详细研究，决定参加该项目的磋商。</w:t>
      </w:r>
    </w:p>
    <w:p w14:paraId="247E07B2">
      <w:pPr>
        <w:numPr>
          <w:ilvl w:val="0"/>
          <w:numId w:val="3"/>
        </w:numPr>
        <w:snapToGrid w:val="0"/>
        <w:spacing w:line="400" w:lineRule="exact"/>
        <w:ind w:firstLine="480" w:firstLineChars="200"/>
        <w:rPr>
          <w:rFonts w:hint="eastAsia" w:ascii="宋体" w:hAnsi="宋体" w:cs="宋体"/>
          <w:b/>
          <w:bCs/>
          <w:color w:val="auto"/>
          <w:sz w:val="24"/>
          <w:szCs w:val="24"/>
          <w:highlight w:val="none"/>
          <w:lang w:val="en-US" w:eastAsia="zh-CN"/>
        </w:rPr>
      </w:pPr>
      <w:r>
        <w:rPr>
          <w:rFonts w:hint="eastAsia" w:ascii="宋体" w:hAnsi="宋体" w:cs="宋体"/>
          <w:color w:val="auto"/>
          <w:sz w:val="24"/>
          <w:szCs w:val="24"/>
          <w:highlight w:val="none"/>
        </w:rPr>
        <w:t>愿意按照竞争性磋商文件中的一切要求，提供本项目的技术服务，初始报价为</w:t>
      </w:r>
      <w:r>
        <w:rPr>
          <w:rFonts w:hint="eastAsia" w:ascii="宋体" w:hAnsi="宋体" w:cs="宋体"/>
          <w:color w:val="auto"/>
          <w:sz w:val="24"/>
          <w:szCs w:val="24"/>
          <w:highlight w:val="none"/>
          <w:lang w:val="en-US" w:eastAsia="zh-CN"/>
        </w:rPr>
        <w:t>人民币</w:t>
      </w:r>
      <w:r>
        <w:rPr>
          <w:rFonts w:hint="eastAsia" w:ascii="宋体" w:hAnsi="宋体" w:cs="宋体"/>
          <w:color w:val="auto"/>
          <w:sz w:val="24"/>
          <w:szCs w:val="24"/>
          <w:highlight w:val="none"/>
          <w:lang w:eastAsia="zh-CN"/>
        </w:rPr>
        <w:t>：</w:t>
      </w:r>
      <w:r>
        <w:rPr>
          <w:rFonts w:hint="eastAsia" w:ascii="宋体" w:hAnsi="宋体" w:cs="宋体"/>
          <w:b/>
          <w:bCs/>
          <w:color w:val="auto"/>
          <w:sz w:val="24"/>
          <w:szCs w:val="24"/>
          <w:highlight w:val="none"/>
          <w:lang w:val="en-US" w:eastAsia="zh-CN"/>
        </w:rPr>
        <w:t>不含税价</w:t>
      </w:r>
      <w:r>
        <w:rPr>
          <w:rFonts w:hint="eastAsia" w:ascii="宋体" w:hAnsi="宋体" w:cs="宋体"/>
          <w:b/>
          <w:bCs/>
          <w:color w:val="auto"/>
          <w:sz w:val="24"/>
          <w:szCs w:val="24"/>
          <w:highlight w:val="none"/>
        </w:rPr>
        <w:t>大写：</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元整</w:t>
      </w:r>
      <w:r>
        <w:rPr>
          <w:rFonts w:hint="eastAsia" w:ascii="宋体" w:hAnsi="宋体" w:cs="宋体"/>
          <w:b/>
          <w:bCs/>
          <w:color w:val="auto"/>
          <w:sz w:val="24"/>
          <w:szCs w:val="24"/>
          <w:highlight w:val="none"/>
          <w:lang w:val="en-US" w:eastAsia="zh-CN"/>
        </w:rPr>
        <w:t>/吨</w:t>
      </w:r>
      <w:r>
        <w:rPr>
          <w:rFonts w:hint="eastAsia" w:ascii="宋体" w:hAnsi="宋体" w:cs="宋体"/>
          <w:b/>
          <w:bCs/>
          <w:color w:val="auto"/>
          <w:sz w:val="24"/>
          <w:szCs w:val="24"/>
          <w:highlight w:val="none"/>
        </w:rPr>
        <w:t>；小写</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元</w:t>
      </w:r>
      <w:r>
        <w:rPr>
          <w:rFonts w:hint="eastAsia" w:ascii="宋体" w:hAnsi="宋体" w:cs="宋体"/>
          <w:b/>
          <w:bCs/>
          <w:color w:val="auto"/>
          <w:sz w:val="24"/>
          <w:szCs w:val="24"/>
          <w:highlight w:val="none"/>
          <w:lang w:val="en-US" w:eastAsia="zh-CN"/>
        </w:rPr>
        <w:t>/吨；</w:t>
      </w:r>
    </w:p>
    <w:p w14:paraId="0CC28983">
      <w:pPr>
        <w:numPr>
          <w:ilvl w:val="0"/>
          <w:numId w:val="0"/>
        </w:numPr>
        <w:snapToGrid w:val="0"/>
        <w:spacing w:line="40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税率</w:t>
      </w: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none"/>
          <w:lang w:val="en-US" w:eastAsia="zh-CN"/>
        </w:rPr>
        <w:t>%</w:t>
      </w:r>
      <w:r>
        <w:rPr>
          <w:rFonts w:hint="eastAsia" w:ascii="宋体" w:hAnsi="宋体" w:cs="宋体"/>
          <w:b/>
          <w:bCs/>
          <w:color w:val="auto"/>
          <w:sz w:val="24"/>
          <w:szCs w:val="24"/>
          <w:highlight w:val="none"/>
        </w:rPr>
        <w:t>、税</w:t>
      </w:r>
      <w:r>
        <w:rPr>
          <w:rFonts w:hint="eastAsia" w:ascii="宋体" w:hAnsi="宋体" w:cs="宋体"/>
          <w:b/>
          <w:bCs/>
          <w:color w:val="auto"/>
          <w:sz w:val="24"/>
          <w:szCs w:val="24"/>
          <w:highlight w:val="none"/>
          <w:lang w:val="en-US" w:eastAsia="zh-CN"/>
        </w:rPr>
        <w:t>金</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none"/>
          <w:lang w:val="en-US" w:eastAsia="zh-CN"/>
        </w:rPr>
        <w:t>元；</w:t>
      </w:r>
    </w:p>
    <w:p w14:paraId="19168727">
      <w:pPr>
        <w:numPr>
          <w:ilvl w:val="0"/>
          <w:numId w:val="0"/>
        </w:numPr>
        <w:snapToGrid w:val="0"/>
        <w:spacing w:line="40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含税价</w:t>
      </w:r>
      <w:r>
        <w:rPr>
          <w:rFonts w:hint="eastAsia" w:ascii="宋体" w:hAnsi="宋体" w:cs="宋体"/>
          <w:b/>
          <w:bCs/>
          <w:color w:val="auto"/>
          <w:sz w:val="24"/>
          <w:szCs w:val="24"/>
          <w:highlight w:val="none"/>
          <w:lang w:val="en-US" w:eastAsia="zh-CN"/>
        </w:rPr>
        <w:t>大写</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元整</w:t>
      </w:r>
      <w:r>
        <w:rPr>
          <w:rFonts w:hint="eastAsia" w:ascii="宋体" w:hAnsi="宋体" w:cs="宋体"/>
          <w:b/>
          <w:bCs/>
          <w:color w:val="auto"/>
          <w:sz w:val="24"/>
          <w:szCs w:val="24"/>
          <w:highlight w:val="none"/>
          <w:lang w:val="en-US" w:eastAsia="zh-CN"/>
        </w:rPr>
        <w:t>/吨</w:t>
      </w:r>
      <w:r>
        <w:rPr>
          <w:rFonts w:hint="eastAsia" w:ascii="宋体" w:hAnsi="宋体" w:cs="宋体"/>
          <w:b/>
          <w:bCs/>
          <w:color w:val="auto"/>
          <w:sz w:val="24"/>
          <w:szCs w:val="24"/>
          <w:highlight w:val="none"/>
        </w:rPr>
        <w:t>；小写</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元</w:t>
      </w:r>
      <w:r>
        <w:rPr>
          <w:rFonts w:hint="eastAsia" w:ascii="宋体" w:hAnsi="宋体" w:cs="宋体"/>
          <w:b/>
          <w:bCs/>
          <w:color w:val="auto"/>
          <w:sz w:val="24"/>
          <w:szCs w:val="24"/>
          <w:highlight w:val="none"/>
          <w:lang w:val="en-US" w:eastAsia="zh-CN"/>
        </w:rPr>
        <w:t>/吨。</w:t>
      </w:r>
    </w:p>
    <w:p w14:paraId="72F78C77">
      <w:pPr>
        <w:numPr>
          <w:ilvl w:val="0"/>
          <w:numId w:val="0"/>
        </w:numPr>
        <w:snapToGrid w:val="0"/>
        <w:spacing w:line="40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以我公司最后报价为准。</w:t>
      </w:r>
    </w:p>
    <w:p w14:paraId="726713B8">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2、我方现提交的响应文件为：响应文件正本   份，副本   份，电子文档   份。</w:t>
      </w:r>
    </w:p>
    <w:p w14:paraId="6FD9F8DB">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3、我方承诺：本次磋商的有效期为90天。</w:t>
      </w:r>
    </w:p>
    <w:p w14:paraId="2F15B30A">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4、我方完全理解和接受贵方竞争性磋商文件的一切规定和要求及评审办法。</w:t>
      </w:r>
    </w:p>
    <w:p w14:paraId="007EB5EA">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5、在整个竞争性磋商过程中，我方若有违规行为，接受按照《中华人民共和国政府采购法》及其实施条例等规定给予惩罚。</w:t>
      </w:r>
    </w:p>
    <w:p w14:paraId="569A2756">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14:paraId="79231C90">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7、我方理解，最低报价不是成交的唯一条件。</w:t>
      </w:r>
    </w:p>
    <w:p w14:paraId="3BAFEE95">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8、我方同意按竞争性磋商文件规定，交纳竞争性磋商文件要求的磋商保证金。</w:t>
      </w:r>
    </w:p>
    <w:p w14:paraId="3F1C14BB">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9、我方未为采购项目提供整体设计、规范编制或者项目管理、监理、检测等服务。</w:t>
      </w:r>
    </w:p>
    <w:p w14:paraId="204D7541">
      <w:pPr>
        <w:snapToGrid w:val="0"/>
        <w:spacing w:line="400" w:lineRule="exact"/>
        <w:ind w:firstLine="480" w:firstLineChars="200"/>
        <w:rPr>
          <w:rFonts w:hint="eastAsia" w:ascii="宋体" w:hAnsi="宋体" w:cs="宋体"/>
          <w:color w:val="auto"/>
          <w:sz w:val="24"/>
          <w:szCs w:val="24"/>
          <w:highlight w:val="none"/>
        </w:rPr>
      </w:pPr>
    </w:p>
    <w:p w14:paraId="2FEBD245">
      <w:pPr>
        <w:snapToGrid w:val="0"/>
        <w:spacing w:line="400" w:lineRule="exact"/>
        <w:ind w:firstLine="480" w:firstLineChars="200"/>
        <w:rPr>
          <w:rFonts w:hint="eastAsia" w:ascii="宋体" w:hAnsi="宋体" w:cs="宋体"/>
          <w:color w:val="auto"/>
          <w:sz w:val="24"/>
          <w:szCs w:val="24"/>
          <w:highlight w:val="none"/>
        </w:rPr>
      </w:pPr>
    </w:p>
    <w:p w14:paraId="3EE74FF0">
      <w:pPr>
        <w:snapToGrid w:val="0"/>
        <w:spacing w:line="400" w:lineRule="exact"/>
        <w:ind w:firstLine="480" w:firstLineChars="200"/>
        <w:rPr>
          <w:rFonts w:hint="eastAsia" w:ascii="宋体" w:hAnsi="宋体" w:cs="宋体"/>
          <w:color w:val="auto"/>
          <w:sz w:val="24"/>
          <w:szCs w:val="24"/>
          <w:highlight w:val="none"/>
        </w:rPr>
      </w:pPr>
    </w:p>
    <w:p w14:paraId="10B617D7">
      <w:pPr>
        <w:snapToGrid w:val="0"/>
        <w:spacing w:line="400" w:lineRule="exact"/>
        <w:ind w:firstLine="480" w:firstLineChars="200"/>
        <w:rPr>
          <w:rFonts w:hint="eastAsia" w:ascii="宋体" w:hAnsi="宋体" w:cs="宋体"/>
          <w:color w:val="auto"/>
          <w:sz w:val="24"/>
          <w:szCs w:val="24"/>
          <w:highlight w:val="none"/>
        </w:rPr>
      </w:pPr>
    </w:p>
    <w:p w14:paraId="4B328BC5">
      <w:pPr>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供应商（公章）：</w:t>
      </w:r>
    </w:p>
    <w:p w14:paraId="10E70074">
      <w:pPr>
        <w:snapToGrid w:val="0"/>
        <w:spacing w:line="400" w:lineRule="exact"/>
        <w:ind w:firstLine="480" w:firstLineChars="200"/>
        <w:rPr>
          <w:rFonts w:ascii="宋体" w:hAnsi="宋体" w:cs="宋体"/>
          <w:color w:val="auto"/>
          <w:sz w:val="24"/>
          <w:szCs w:val="28"/>
          <w:highlight w:val="none"/>
        </w:rPr>
      </w:pPr>
      <w:r>
        <w:rPr>
          <w:rFonts w:hint="eastAsia" w:ascii="宋体" w:hAnsi="宋体" w:cs="宋体"/>
          <w:color w:val="auto"/>
          <w:sz w:val="24"/>
          <w:szCs w:val="24"/>
          <w:highlight w:val="none"/>
        </w:rPr>
        <w:t xml:space="preserve">                                                  年   月   日</w:t>
      </w:r>
      <w:r>
        <w:rPr>
          <w:rFonts w:hint="eastAsia" w:ascii="宋体" w:hAnsi="宋体" w:cs="宋体"/>
          <w:color w:val="auto"/>
          <w:szCs w:val="44"/>
          <w:highlight w:val="none"/>
        </w:rPr>
        <w:br w:type="page"/>
      </w:r>
      <w:r>
        <w:rPr>
          <w:rFonts w:hint="eastAsia" w:ascii="宋体" w:hAnsi="宋体" w:cs="宋体"/>
          <w:color w:val="auto"/>
          <w:sz w:val="24"/>
          <w:szCs w:val="28"/>
          <w:highlight w:val="none"/>
        </w:rPr>
        <w:t>（二）商务条款差异表</w:t>
      </w:r>
    </w:p>
    <w:p w14:paraId="739261C4">
      <w:pPr>
        <w:snapToGrid w:val="0"/>
        <w:spacing w:line="4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招标项目名称：</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52240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noWrap/>
            <w:vAlign w:val="center"/>
          </w:tcPr>
          <w:p w14:paraId="66258505">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1542" w:type="pct"/>
            <w:noWrap/>
            <w:vAlign w:val="center"/>
          </w:tcPr>
          <w:p w14:paraId="41D0FFEE">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招标商务要求</w:t>
            </w:r>
          </w:p>
        </w:tc>
        <w:tc>
          <w:tcPr>
            <w:tcW w:w="1600" w:type="pct"/>
            <w:noWrap/>
            <w:vAlign w:val="center"/>
          </w:tcPr>
          <w:p w14:paraId="524CEB8E">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投标商务应答</w:t>
            </w:r>
          </w:p>
        </w:tc>
        <w:tc>
          <w:tcPr>
            <w:tcW w:w="1199" w:type="pct"/>
            <w:noWrap/>
            <w:vAlign w:val="center"/>
          </w:tcPr>
          <w:p w14:paraId="65F4F0DC">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差异说明</w:t>
            </w:r>
          </w:p>
        </w:tc>
      </w:tr>
      <w:tr w14:paraId="583DC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ign w:val="center"/>
          </w:tcPr>
          <w:p w14:paraId="17B8ED09">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noWrap/>
            <w:vAlign w:val="center"/>
          </w:tcPr>
          <w:p w14:paraId="30DE32C1">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noWrap/>
            <w:vAlign w:val="center"/>
          </w:tcPr>
          <w:p w14:paraId="63D801DC">
            <w:pPr>
              <w:tabs>
                <w:tab w:val="left" w:pos="6300"/>
              </w:tabs>
              <w:snapToGrid w:val="0"/>
              <w:spacing w:line="500" w:lineRule="exact"/>
              <w:outlineLvl w:val="0"/>
              <w:rPr>
                <w:rFonts w:ascii="宋体" w:hAnsi="宋体" w:cs="宋体"/>
                <w:color w:val="auto"/>
                <w:sz w:val="21"/>
                <w:szCs w:val="21"/>
                <w:highlight w:val="none"/>
              </w:rPr>
            </w:pPr>
          </w:p>
        </w:tc>
        <w:tc>
          <w:tcPr>
            <w:tcW w:w="1199" w:type="pct"/>
            <w:noWrap/>
            <w:vAlign w:val="center"/>
          </w:tcPr>
          <w:p w14:paraId="40A4D80F">
            <w:pPr>
              <w:tabs>
                <w:tab w:val="left" w:pos="6300"/>
              </w:tabs>
              <w:snapToGrid w:val="0"/>
              <w:spacing w:line="500" w:lineRule="exact"/>
              <w:jc w:val="center"/>
              <w:outlineLvl w:val="0"/>
              <w:rPr>
                <w:rFonts w:ascii="宋体" w:hAnsi="宋体" w:cs="宋体"/>
                <w:color w:val="auto"/>
                <w:sz w:val="21"/>
                <w:szCs w:val="21"/>
                <w:highlight w:val="none"/>
              </w:rPr>
            </w:pPr>
          </w:p>
        </w:tc>
      </w:tr>
      <w:tr w14:paraId="5392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ign w:val="center"/>
          </w:tcPr>
          <w:p w14:paraId="1DA11519">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noWrap/>
            <w:vAlign w:val="center"/>
          </w:tcPr>
          <w:p w14:paraId="0C1CA7FB">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noWrap/>
            <w:vAlign w:val="center"/>
          </w:tcPr>
          <w:p w14:paraId="2FF55195">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noWrap/>
            <w:vAlign w:val="center"/>
          </w:tcPr>
          <w:p w14:paraId="62775E1C">
            <w:pPr>
              <w:tabs>
                <w:tab w:val="left" w:pos="6300"/>
              </w:tabs>
              <w:snapToGrid w:val="0"/>
              <w:spacing w:line="500" w:lineRule="exact"/>
              <w:jc w:val="center"/>
              <w:outlineLvl w:val="0"/>
              <w:rPr>
                <w:rFonts w:ascii="宋体" w:hAnsi="宋体" w:cs="宋体"/>
                <w:color w:val="auto"/>
                <w:sz w:val="21"/>
                <w:szCs w:val="21"/>
                <w:highlight w:val="none"/>
              </w:rPr>
            </w:pPr>
          </w:p>
        </w:tc>
      </w:tr>
      <w:tr w14:paraId="7955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ign w:val="center"/>
          </w:tcPr>
          <w:p w14:paraId="0DBBA548">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noWrap/>
            <w:vAlign w:val="center"/>
          </w:tcPr>
          <w:p w14:paraId="515814BE">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noWrap/>
            <w:vAlign w:val="center"/>
          </w:tcPr>
          <w:p w14:paraId="388B24EB">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noWrap/>
            <w:vAlign w:val="center"/>
          </w:tcPr>
          <w:p w14:paraId="03C5C5C8">
            <w:pPr>
              <w:tabs>
                <w:tab w:val="left" w:pos="6300"/>
              </w:tabs>
              <w:snapToGrid w:val="0"/>
              <w:spacing w:line="500" w:lineRule="exact"/>
              <w:jc w:val="center"/>
              <w:outlineLvl w:val="0"/>
              <w:rPr>
                <w:rFonts w:ascii="宋体" w:hAnsi="宋体" w:cs="宋体"/>
                <w:color w:val="auto"/>
                <w:sz w:val="21"/>
                <w:szCs w:val="21"/>
                <w:highlight w:val="none"/>
              </w:rPr>
            </w:pPr>
          </w:p>
        </w:tc>
      </w:tr>
      <w:tr w14:paraId="44F8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ign w:val="center"/>
          </w:tcPr>
          <w:p w14:paraId="4D12E406">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noWrap/>
            <w:vAlign w:val="center"/>
          </w:tcPr>
          <w:p w14:paraId="07CE250B">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noWrap/>
            <w:vAlign w:val="center"/>
          </w:tcPr>
          <w:p w14:paraId="4058A4F0">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noWrap/>
            <w:vAlign w:val="center"/>
          </w:tcPr>
          <w:p w14:paraId="5F184D6E">
            <w:pPr>
              <w:tabs>
                <w:tab w:val="left" w:pos="6300"/>
              </w:tabs>
              <w:snapToGrid w:val="0"/>
              <w:spacing w:line="500" w:lineRule="exact"/>
              <w:jc w:val="center"/>
              <w:outlineLvl w:val="0"/>
              <w:rPr>
                <w:rFonts w:ascii="宋体" w:hAnsi="宋体" w:cs="宋体"/>
                <w:color w:val="auto"/>
                <w:sz w:val="21"/>
                <w:szCs w:val="21"/>
                <w:highlight w:val="none"/>
              </w:rPr>
            </w:pPr>
          </w:p>
        </w:tc>
      </w:tr>
      <w:tr w14:paraId="743E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ign w:val="center"/>
          </w:tcPr>
          <w:p w14:paraId="6277F349">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noWrap/>
            <w:vAlign w:val="center"/>
          </w:tcPr>
          <w:p w14:paraId="48D9151A">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noWrap/>
            <w:vAlign w:val="center"/>
          </w:tcPr>
          <w:p w14:paraId="4C403B9F">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noWrap/>
            <w:vAlign w:val="center"/>
          </w:tcPr>
          <w:p w14:paraId="4D26EF09">
            <w:pPr>
              <w:tabs>
                <w:tab w:val="left" w:pos="6300"/>
              </w:tabs>
              <w:snapToGrid w:val="0"/>
              <w:spacing w:line="500" w:lineRule="exact"/>
              <w:jc w:val="center"/>
              <w:outlineLvl w:val="0"/>
              <w:rPr>
                <w:rFonts w:ascii="宋体" w:hAnsi="宋体" w:cs="宋体"/>
                <w:color w:val="auto"/>
                <w:sz w:val="21"/>
                <w:szCs w:val="21"/>
                <w:highlight w:val="none"/>
              </w:rPr>
            </w:pPr>
          </w:p>
        </w:tc>
      </w:tr>
      <w:tr w14:paraId="3CD5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ign w:val="center"/>
          </w:tcPr>
          <w:p w14:paraId="204629C1">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noWrap/>
            <w:vAlign w:val="center"/>
          </w:tcPr>
          <w:p w14:paraId="527CB62A">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noWrap/>
            <w:vAlign w:val="center"/>
          </w:tcPr>
          <w:p w14:paraId="6BB962B2">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noWrap/>
            <w:vAlign w:val="center"/>
          </w:tcPr>
          <w:p w14:paraId="7EC9142C">
            <w:pPr>
              <w:tabs>
                <w:tab w:val="left" w:pos="6300"/>
              </w:tabs>
              <w:snapToGrid w:val="0"/>
              <w:spacing w:line="500" w:lineRule="exact"/>
              <w:jc w:val="center"/>
              <w:outlineLvl w:val="0"/>
              <w:rPr>
                <w:rFonts w:ascii="宋体" w:hAnsi="宋体" w:cs="宋体"/>
                <w:color w:val="auto"/>
                <w:sz w:val="21"/>
                <w:szCs w:val="21"/>
                <w:highlight w:val="none"/>
              </w:rPr>
            </w:pPr>
          </w:p>
        </w:tc>
      </w:tr>
      <w:tr w14:paraId="34C4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ign w:val="center"/>
          </w:tcPr>
          <w:p w14:paraId="4FABEF74">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noWrap/>
            <w:vAlign w:val="center"/>
          </w:tcPr>
          <w:p w14:paraId="4AC1D7AA">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noWrap/>
            <w:vAlign w:val="center"/>
          </w:tcPr>
          <w:p w14:paraId="36E56783">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noWrap/>
            <w:vAlign w:val="center"/>
          </w:tcPr>
          <w:p w14:paraId="35F655AE">
            <w:pPr>
              <w:tabs>
                <w:tab w:val="left" w:pos="6300"/>
              </w:tabs>
              <w:snapToGrid w:val="0"/>
              <w:spacing w:line="500" w:lineRule="exact"/>
              <w:jc w:val="center"/>
              <w:outlineLvl w:val="0"/>
              <w:rPr>
                <w:rFonts w:ascii="宋体" w:hAnsi="宋体" w:cs="宋体"/>
                <w:color w:val="auto"/>
                <w:sz w:val="21"/>
                <w:szCs w:val="21"/>
                <w:highlight w:val="none"/>
              </w:rPr>
            </w:pPr>
          </w:p>
        </w:tc>
      </w:tr>
      <w:tr w14:paraId="70B8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ign w:val="center"/>
          </w:tcPr>
          <w:p w14:paraId="0B5AEE52">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noWrap/>
            <w:vAlign w:val="center"/>
          </w:tcPr>
          <w:p w14:paraId="0ABF2FB7">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noWrap/>
            <w:vAlign w:val="center"/>
          </w:tcPr>
          <w:p w14:paraId="26C12569">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noWrap/>
            <w:vAlign w:val="center"/>
          </w:tcPr>
          <w:p w14:paraId="628C3433">
            <w:pPr>
              <w:tabs>
                <w:tab w:val="left" w:pos="6300"/>
              </w:tabs>
              <w:snapToGrid w:val="0"/>
              <w:spacing w:line="500" w:lineRule="exact"/>
              <w:jc w:val="center"/>
              <w:outlineLvl w:val="0"/>
              <w:rPr>
                <w:rFonts w:ascii="宋体" w:hAnsi="宋体" w:cs="宋体"/>
                <w:color w:val="auto"/>
                <w:sz w:val="21"/>
                <w:szCs w:val="21"/>
                <w:highlight w:val="none"/>
              </w:rPr>
            </w:pPr>
          </w:p>
        </w:tc>
      </w:tr>
      <w:tr w14:paraId="07A8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ign w:val="center"/>
          </w:tcPr>
          <w:p w14:paraId="1D022765">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noWrap/>
            <w:vAlign w:val="center"/>
          </w:tcPr>
          <w:p w14:paraId="17BE62B5">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noWrap/>
            <w:vAlign w:val="center"/>
          </w:tcPr>
          <w:p w14:paraId="0BDE348D">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noWrap/>
            <w:vAlign w:val="center"/>
          </w:tcPr>
          <w:p w14:paraId="3554FAF9">
            <w:pPr>
              <w:tabs>
                <w:tab w:val="left" w:pos="6300"/>
              </w:tabs>
              <w:snapToGrid w:val="0"/>
              <w:spacing w:line="500" w:lineRule="exact"/>
              <w:jc w:val="center"/>
              <w:outlineLvl w:val="0"/>
              <w:rPr>
                <w:rFonts w:ascii="宋体" w:hAnsi="宋体" w:cs="宋体"/>
                <w:color w:val="auto"/>
                <w:sz w:val="21"/>
                <w:szCs w:val="21"/>
                <w:highlight w:val="none"/>
              </w:rPr>
            </w:pPr>
          </w:p>
        </w:tc>
      </w:tr>
      <w:tr w14:paraId="3044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ign w:val="center"/>
          </w:tcPr>
          <w:p w14:paraId="5D261069">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noWrap/>
            <w:vAlign w:val="center"/>
          </w:tcPr>
          <w:p w14:paraId="5939E188">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noWrap/>
            <w:vAlign w:val="center"/>
          </w:tcPr>
          <w:p w14:paraId="429018C7">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noWrap/>
            <w:vAlign w:val="center"/>
          </w:tcPr>
          <w:p w14:paraId="54E81727">
            <w:pPr>
              <w:tabs>
                <w:tab w:val="left" w:pos="6300"/>
              </w:tabs>
              <w:snapToGrid w:val="0"/>
              <w:spacing w:line="500" w:lineRule="exact"/>
              <w:jc w:val="center"/>
              <w:outlineLvl w:val="0"/>
              <w:rPr>
                <w:rFonts w:ascii="宋体" w:hAnsi="宋体" w:cs="宋体"/>
                <w:color w:val="auto"/>
                <w:sz w:val="21"/>
                <w:szCs w:val="21"/>
                <w:highlight w:val="none"/>
              </w:rPr>
            </w:pPr>
          </w:p>
        </w:tc>
      </w:tr>
      <w:tr w14:paraId="05B2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ign w:val="center"/>
          </w:tcPr>
          <w:p w14:paraId="48E64200">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noWrap/>
            <w:vAlign w:val="center"/>
          </w:tcPr>
          <w:p w14:paraId="1EED2F86">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noWrap/>
            <w:vAlign w:val="center"/>
          </w:tcPr>
          <w:p w14:paraId="60C21D2A">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noWrap/>
            <w:vAlign w:val="center"/>
          </w:tcPr>
          <w:p w14:paraId="587C2110">
            <w:pPr>
              <w:tabs>
                <w:tab w:val="left" w:pos="6300"/>
              </w:tabs>
              <w:snapToGrid w:val="0"/>
              <w:spacing w:line="500" w:lineRule="exact"/>
              <w:jc w:val="center"/>
              <w:outlineLvl w:val="0"/>
              <w:rPr>
                <w:rFonts w:ascii="宋体" w:hAnsi="宋体" w:cs="宋体"/>
                <w:color w:val="auto"/>
                <w:sz w:val="21"/>
                <w:szCs w:val="21"/>
                <w:highlight w:val="none"/>
              </w:rPr>
            </w:pPr>
          </w:p>
        </w:tc>
      </w:tr>
      <w:tr w14:paraId="09B21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ign w:val="center"/>
          </w:tcPr>
          <w:p w14:paraId="53055415">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noWrap/>
            <w:vAlign w:val="center"/>
          </w:tcPr>
          <w:p w14:paraId="3213038C">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noWrap/>
            <w:vAlign w:val="center"/>
          </w:tcPr>
          <w:p w14:paraId="23FDDD82">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noWrap/>
            <w:vAlign w:val="center"/>
          </w:tcPr>
          <w:p w14:paraId="1A627A23">
            <w:pPr>
              <w:tabs>
                <w:tab w:val="left" w:pos="6300"/>
              </w:tabs>
              <w:snapToGrid w:val="0"/>
              <w:spacing w:line="500" w:lineRule="exact"/>
              <w:jc w:val="center"/>
              <w:outlineLvl w:val="0"/>
              <w:rPr>
                <w:rFonts w:ascii="宋体" w:hAnsi="宋体" w:cs="宋体"/>
                <w:color w:val="auto"/>
                <w:sz w:val="21"/>
                <w:szCs w:val="21"/>
                <w:highlight w:val="none"/>
              </w:rPr>
            </w:pPr>
          </w:p>
        </w:tc>
      </w:tr>
      <w:tr w14:paraId="4D1D8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ign w:val="center"/>
          </w:tcPr>
          <w:p w14:paraId="7EC52668">
            <w:pPr>
              <w:tabs>
                <w:tab w:val="left" w:pos="6300"/>
              </w:tabs>
              <w:snapToGrid w:val="0"/>
              <w:spacing w:line="500" w:lineRule="exact"/>
              <w:jc w:val="center"/>
              <w:outlineLvl w:val="0"/>
              <w:rPr>
                <w:rFonts w:ascii="宋体" w:hAnsi="宋体" w:cs="宋体"/>
                <w:color w:val="auto"/>
                <w:sz w:val="21"/>
                <w:szCs w:val="21"/>
                <w:highlight w:val="none"/>
              </w:rPr>
            </w:pPr>
          </w:p>
        </w:tc>
        <w:tc>
          <w:tcPr>
            <w:tcW w:w="1542" w:type="pct"/>
            <w:noWrap/>
            <w:vAlign w:val="center"/>
          </w:tcPr>
          <w:p w14:paraId="447D91DF">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noWrap/>
            <w:vAlign w:val="center"/>
          </w:tcPr>
          <w:p w14:paraId="055A167E">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noWrap/>
            <w:vAlign w:val="center"/>
          </w:tcPr>
          <w:p w14:paraId="0EA06F7C">
            <w:pPr>
              <w:tabs>
                <w:tab w:val="left" w:pos="6300"/>
              </w:tabs>
              <w:snapToGrid w:val="0"/>
              <w:spacing w:line="500" w:lineRule="exact"/>
              <w:jc w:val="center"/>
              <w:outlineLvl w:val="0"/>
              <w:rPr>
                <w:rFonts w:ascii="宋体" w:hAnsi="宋体" w:cs="宋体"/>
                <w:color w:val="auto"/>
                <w:sz w:val="21"/>
                <w:szCs w:val="21"/>
                <w:highlight w:val="none"/>
              </w:rPr>
            </w:pPr>
          </w:p>
        </w:tc>
      </w:tr>
    </w:tbl>
    <w:p w14:paraId="0339C2D0">
      <w:pPr>
        <w:spacing w:line="500" w:lineRule="exact"/>
        <w:ind w:firstLine="600" w:firstLineChars="250"/>
        <w:rPr>
          <w:rFonts w:ascii="宋体" w:hAnsi="宋体" w:cs="宋体"/>
          <w:color w:val="auto"/>
          <w:sz w:val="24"/>
          <w:szCs w:val="28"/>
          <w:highlight w:val="none"/>
        </w:rPr>
      </w:pPr>
    </w:p>
    <w:p w14:paraId="754932A0">
      <w:pP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lang w:eastAsia="zh-CN"/>
        </w:rPr>
        <w:t>供应商</w:t>
      </w:r>
      <w:r>
        <w:rPr>
          <w:rFonts w:hint="eastAsia" w:ascii="宋体" w:hAnsi="宋体" w:cs="宋体"/>
          <w:color w:val="auto"/>
          <w:sz w:val="24"/>
          <w:szCs w:val="28"/>
          <w:highlight w:val="none"/>
        </w:rPr>
        <w:t>：                     法定代表人（或法定代表人授权代表）或自然人：</w:t>
      </w:r>
    </w:p>
    <w:p w14:paraId="63BDE946">
      <w:pPr>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rPr>
        <w:t xml:space="preserve">    （</w:t>
      </w:r>
      <w:r>
        <w:rPr>
          <w:rFonts w:hint="eastAsia" w:ascii="宋体" w:hAnsi="宋体" w:cs="宋体"/>
          <w:color w:val="auto"/>
          <w:sz w:val="24"/>
          <w:szCs w:val="28"/>
          <w:highlight w:val="none"/>
          <w:lang w:eastAsia="zh-CN"/>
        </w:rPr>
        <w:t>供应商</w:t>
      </w:r>
      <w:r>
        <w:rPr>
          <w:rFonts w:hint="eastAsia" w:ascii="宋体" w:hAnsi="宋体" w:cs="宋体"/>
          <w:color w:val="auto"/>
          <w:sz w:val="24"/>
          <w:szCs w:val="28"/>
          <w:highlight w:val="none"/>
        </w:rPr>
        <w:t>公章）                               （签署或盖章）</w:t>
      </w:r>
    </w:p>
    <w:p w14:paraId="2122C866">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14:paraId="4F3B931A">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注：</w:t>
      </w:r>
    </w:p>
    <w:p w14:paraId="7E256C2A">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1.本表即为对本项目“第三篇 项目商务需求”中所列条款进行比较和响应，应逐条如实填写，“投标商务应答”中必须列出具体数值或内容。如</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未应答或只注明“符合”、“满足”等类似无具体内容的表述，将视为不满足招标文件要求；</w:t>
      </w:r>
    </w:p>
    <w:p w14:paraId="31194E8E">
      <w:pPr>
        <w:tabs>
          <w:tab w:val="left" w:pos="6300"/>
        </w:tabs>
        <w:snapToGrid w:val="0"/>
        <w:spacing w:line="500" w:lineRule="exact"/>
        <w:ind w:firstLine="570"/>
        <w:rPr>
          <w:rFonts w:ascii="宋体" w:hAnsi="宋体" w:cs="宋体"/>
          <w:b/>
          <w:color w:val="auto"/>
          <w:szCs w:val="28"/>
          <w:highlight w:val="none"/>
        </w:rPr>
      </w:pPr>
      <w:r>
        <w:rPr>
          <w:rFonts w:hint="eastAsia" w:ascii="宋体" w:hAnsi="宋体" w:cs="宋体"/>
          <w:color w:val="auto"/>
          <w:sz w:val="24"/>
          <w:highlight w:val="none"/>
        </w:rPr>
        <w:t>2.本表可扩展。</w:t>
      </w:r>
    </w:p>
    <w:p w14:paraId="792164A7">
      <w:pPr>
        <w:tabs>
          <w:tab w:val="left" w:pos="6300"/>
        </w:tabs>
        <w:snapToGrid w:val="0"/>
        <w:spacing w:line="500" w:lineRule="exact"/>
        <w:ind w:firstLine="570"/>
        <w:rPr>
          <w:rFonts w:ascii="宋体" w:hAnsi="宋体" w:cs="宋体"/>
          <w:color w:val="auto"/>
          <w:sz w:val="24"/>
          <w:szCs w:val="24"/>
          <w:highlight w:val="none"/>
        </w:rPr>
      </w:pPr>
    </w:p>
    <w:p w14:paraId="5999F36E">
      <w:pPr>
        <w:snapToGrid w:val="0"/>
        <w:spacing w:line="400" w:lineRule="exact"/>
        <w:rPr>
          <w:rFonts w:ascii="宋体" w:hAnsi="宋体" w:cs="宋体"/>
          <w:color w:val="auto"/>
          <w:sz w:val="24"/>
          <w:szCs w:val="28"/>
          <w:highlight w:val="none"/>
        </w:rPr>
      </w:pPr>
      <w:r>
        <w:rPr>
          <w:rFonts w:hint="eastAsia" w:ascii="宋体" w:hAnsi="宋体" w:cs="宋体"/>
          <w:color w:val="auto"/>
          <w:sz w:val="24"/>
          <w:szCs w:val="28"/>
          <w:highlight w:val="none"/>
        </w:rPr>
        <w:t>（三）其他商务资料</w:t>
      </w:r>
    </w:p>
    <w:p w14:paraId="12EF2FC2">
      <w:pPr>
        <w:snapToGrid w:val="0"/>
        <w:spacing w:line="400" w:lineRule="exact"/>
        <w:ind w:firstLine="480" w:firstLineChars="200"/>
        <w:rPr>
          <w:rFonts w:ascii="宋体" w:hAnsi="宋体" w:cs="宋体"/>
          <w:color w:val="auto"/>
          <w:sz w:val="24"/>
          <w:szCs w:val="28"/>
          <w:highlight w:val="none"/>
        </w:rPr>
      </w:pPr>
    </w:p>
    <w:p w14:paraId="4A4DC245">
      <w:pPr>
        <w:tabs>
          <w:tab w:val="left" w:pos="6300"/>
        </w:tabs>
        <w:snapToGrid w:val="0"/>
        <w:spacing w:line="500" w:lineRule="exact"/>
        <w:ind w:firstLine="560"/>
        <w:rPr>
          <w:rFonts w:ascii="宋体" w:hAnsi="宋体" w:cs="宋体"/>
          <w:color w:val="auto"/>
          <w:szCs w:val="28"/>
          <w:highlight w:val="none"/>
        </w:rPr>
      </w:pPr>
    </w:p>
    <w:p w14:paraId="4018F6CB">
      <w:pPr>
        <w:pStyle w:val="4"/>
        <w:pageBreakBefore/>
        <w:spacing w:line="500" w:lineRule="exact"/>
        <w:ind w:firstLine="562" w:firstLineChars="200"/>
        <w:rPr>
          <w:rFonts w:cs="宋体"/>
          <w:b/>
          <w:color w:val="auto"/>
          <w:szCs w:val="28"/>
          <w:highlight w:val="none"/>
        </w:rPr>
      </w:pPr>
      <w:bookmarkStart w:id="568" w:name="_Toc14577"/>
      <w:bookmarkStart w:id="569" w:name="_Toc29543"/>
      <w:bookmarkStart w:id="570" w:name="_Toc75793543"/>
      <w:bookmarkStart w:id="571" w:name="_Toc5854"/>
      <w:bookmarkStart w:id="572" w:name="_Toc6978"/>
      <w:bookmarkStart w:id="573" w:name="_Toc30376"/>
      <w:bookmarkStart w:id="574" w:name="_Toc27849"/>
      <w:bookmarkStart w:id="575" w:name="_Toc2395"/>
      <w:bookmarkStart w:id="576" w:name="_Toc3199"/>
      <w:bookmarkStart w:id="577" w:name="_Toc19687"/>
      <w:bookmarkStart w:id="578" w:name="_Toc7042"/>
      <w:bookmarkStart w:id="579" w:name="_Toc23915"/>
      <w:bookmarkStart w:id="580" w:name="_Toc11165"/>
      <w:bookmarkStart w:id="581" w:name="_Toc29932"/>
      <w:bookmarkStart w:id="582" w:name="_Toc492721041"/>
      <w:bookmarkStart w:id="583" w:name="_Toc24540"/>
      <w:bookmarkStart w:id="584" w:name="_Toc4624"/>
      <w:bookmarkStart w:id="585" w:name="_Toc106030420"/>
      <w:bookmarkStart w:id="586" w:name="_Toc493178792"/>
      <w:r>
        <w:rPr>
          <w:rFonts w:hint="eastAsia" w:cs="宋体"/>
          <w:b/>
          <w:color w:val="auto"/>
          <w:szCs w:val="28"/>
          <w:highlight w:val="none"/>
        </w:rPr>
        <w:t>四、其他</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14:paraId="0039090A">
      <w:pPr>
        <w:spacing w:line="4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其他与项目有关的资料（自附）</w:t>
      </w:r>
    </w:p>
    <w:p w14:paraId="7CAF0CB9">
      <w:pPr>
        <w:spacing w:line="400" w:lineRule="exact"/>
        <w:ind w:firstLine="480" w:firstLineChars="200"/>
        <w:rPr>
          <w:rFonts w:ascii="宋体" w:hAnsi="宋体" w:cs="宋体"/>
          <w:color w:val="auto"/>
          <w:sz w:val="24"/>
          <w:szCs w:val="28"/>
          <w:highlight w:val="none"/>
        </w:rPr>
      </w:pPr>
    </w:p>
    <w:p w14:paraId="6E220005">
      <w:pPr>
        <w:pStyle w:val="4"/>
        <w:pageBreakBefore/>
        <w:spacing w:line="500" w:lineRule="exact"/>
        <w:ind w:firstLine="562" w:firstLineChars="200"/>
        <w:rPr>
          <w:rFonts w:cs="宋体"/>
          <w:b/>
          <w:color w:val="auto"/>
          <w:szCs w:val="28"/>
          <w:highlight w:val="none"/>
        </w:rPr>
      </w:pPr>
      <w:bookmarkStart w:id="587" w:name="_Toc11324"/>
      <w:bookmarkStart w:id="588" w:name="_Toc75793544"/>
      <w:bookmarkStart w:id="589" w:name="_Toc17848"/>
      <w:bookmarkStart w:id="590" w:name="_Toc23187"/>
      <w:bookmarkStart w:id="591" w:name="_Toc4000"/>
      <w:bookmarkStart w:id="592" w:name="_Toc6108"/>
      <w:bookmarkStart w:id="593" w:name="_Toc13249"/>
      <w:bookmarkStart w:id="594" w:name="_Toc28432"/>
      <w:bookmarkStart w:id="595" w:name="_Toc30818"/>
      <w:bookmarkStart w:id="596" w:name="_Toc30988"/>
      <w:bookmarkStart w:id="597" w:name="_Toc106030421"/>
      <w:bookmarkStart w:id="598" w:name="_Toc16577"/>
      <w:bookmarkStart w:id="599" w:name="_Toc493178793"/>
      <w:bookmarkStart w:id="600" w:name="_Toc21121"/>
      <w:bookmarkStart w:id="601" w:name="_Toc492721038"/>
      <w:bookmarkStart w:id="602" w:name="_Toc4863"/>
      <w:bookmarkStart w:id="603" w:name="_Toc17829"/>
      <w:bookmarkStart w:id="604" w:name="_Toc26381"/>
      <w:bookmarkStart w:id="605" w:name="_Toc12509"/>
      <w:r>
        <w:rPr>
          <w:rFonts w:hint="eastAsia" w:cs="宋体"/>
          <w:b/>
          <w:color w:val="auto"/>
          <w:szCs w:val="28"/>
          <w:highlight w:val="none"/>
        </w:rPr>
        <w:t>五、资格文件</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14:paraId="46A28F09">
      <w:pPr>
        <w:spacing w:line="4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（一）法人营业执照（副本）或事业单位法人证书（副本）或个体工商户营业执照或有效的自然人身份证明或社会团体法人登记证书复印件</w:t>
      </w:r>
    </w:p>
    <w:p w14:paraId="461280A7">
      <w:pPr>
        <w:tabs>
          <w:tab w:val="left" w:pos="6300"/>
        </w:tabs>
        <w:snapToGrid w:val="0"/>
        <w:spacing w:line="500" w:lineRule="exact"/>
        <w:ind w:firstLine="570"/>
        <w:rPr>
          <w:rFonts w:ascii="宋体" w:hAnsi="宋体" w:cs="宋体"/>
          <w:color w:val="auto"/>
          <w:highlight w:val="none"/>
        </w:rPr>
      </w:pPr>
    </w:p>
    <w:p w14:paraId="3446F26D">
      <w:pPr>
        <w:tabs>
          <w:tab w:val="left" w:pos="6300"/>
        </w:tabs>
        <w:snapToGrid w:val="0"/>
        <w:spacing w:line="500" w:lineRule="exact"/>
        <w:ind w:firstLine="570"/>
        <w:rPr>
          <w:rFonts w:ascii="宋体" w:hAnsi="宋体" w:cs="宋体"/>
          <w:color w:val="auto"/>
          <w:highlight w:val="none"/>
        </w:rPr>
      </w:pPr>
    </w:p>
    <w:p w14:paraId="21C0C955">
      <w:pPr>
        <w:tabs>
          <w:tab w:val="left" w:pos="6300"/>
        </w:tabs>
        <w:snapToGrid w:val="0"/>
        <w:spacing w:line="500" w:lineRule="exact"/>
        <w:ind w:firstLine="570"/>
        <w:rPr>
          <w:rFonts w:ascii="宋体" w:hAnsi="宋体" w:cs="宋体"/>
          <w:color w:val="auto"/>
          <w:highlight w:val="none"/>
        </w:rPr>
      </w:pPr>
    </w:p>
    <w:p w14:paraId="2C708762">
      <w:pPr>
        <w:tabs>
          <w:tab w:val="left" w:pos="6300"/>
        </w:tabs>
        <w:snapToGrid w:val="0"/>
        <w:spacing w:line="500" w:lineRule="exact"/>
        <w:ind w:firstLine="570"/>
        <w:rPr>
          <w:rFonts w:ascii="宋体" w:hAnsi="宋体" w:cs="宋体"/>
          <w:color w:val="auto"/>
          <w:highlight w:val="none"/>
        </w:rPr>
      </w:pPr>
    </w:p>
    <w:p w14:paraId="6E0F6741">
      <w:pPr>
        <w:tabs>
          <w:tab w:val="left" w:pos="6300"/>
        </w:tabs>
        <w:snapToGrid w:val="0"/>
        <w:spacing w:line="500" w:lineRule="exact"/>
        <w:ind w:firstLine="570"/>
        <w:rPr>
          <w:rFonts w:ascii="宋体" w:hAnsi="宋体" w:cs="宋体"/>
          <w:color w:val="auto"/>
          <w:highlight w:val="none"/>
        </w:rPr>
      </w:pPr>
    </w:p>
    <w:p w14:paraId="2CB6D44A">
      <w:pPr>
        <w:spacing w:line="400" w:lineRule="exact"/>
        <w:ind w:firstLine="560" w:firstLineChars="200"/>
        <w:rPr>
          <w:rFonts w:ascii="宋体" w:hAnsi="宋体" w:cs="宋体"/>
          <w:color w:val="auto"/>
          <w:highlight w:val="none"/>
        </w:rPr>
      </w:pPr>
    </w:p>
    <w:p w14:paraId="67B40A2B">
      <w:pPr>
        <w:spacing w:line="400" w:lineRule="exact"/>
        <w:rPr>
          <w:rFonts w:ascii="宋体" w:hAnsi="宋体" w:cs="宋体"/>
          <w:color w:val="auto"/>
          <w:sz w:val="24"/>
          <w:szCs w:val="24"/>
          <w:highlight w:val="none"/>
        </w:rPr>
      </w:pPr>
    </w:p>
    <w:p w14:paraId="5F683874">
      <w:pPr>
        <w:spacing w:line="400" w:lineRule="exact"/>
        <w:rPr>
          <w:rFonts w:ascii="宋体" w:hAnsi="宋体" w:cs="宋体"/>
          <w:color w:val="auto"/>
          <w:highlight w:val="none"/>
        </w:rPr>
      </w:pPr>
    </w:p>
    <w:p w14:paraId="224104F9">
      <w:pPr>
        <w:spacing w:line="400" w:lineRule="exact"/>
        <w:rPr>
          <w:rFonts w:ascii="宋体" w:hAnsi="宋体" w:cs="宋体"/>
          <w:color w:val="auto"/>
          <w:highlight w:val="none"/>
        </w:rPr>
      </w:pPr>
    </w:p>
    <w:p w14:paraId="72C384EB">
      <w:pPr>
        <w:spacing w:line="400" w:lineRule="exact"/>
        <w:rPr>
          <w:rFonts w:ascii="宋体" w:hAnsi="宋体" w:cs="宋体"/>
          <w:color w:val="auto"/>
          <w:highlight w:val="none"/>
        </w:rPr>
      </w:pPr>
    </w:p>
    <w:p w14:paraId="607772DC">
      <w:pPr>
        <w:spacing w:line="400" w:lineRule="exact"/>
        <w:rPr>
          <w:rFonts w:ascii="宋体" w:hAnsi="宋体" w:cs="宋体"/>
          <w:color w:val="auto"/>
          <w:highlight w:val="none"/>
        </w:rPr>
      </w:pPr>
    </w:p>
    <w:p w14:paraId="74CD941F">
      <w:pPr>
        <w:spacing w:line="400" w:lineRule="exact"/>
        <w:rPr>
          <w:rFonts w:ascii="宋体" w:hAnsi="宋体" w:cs="宋体"/>
          <w:color w:val="auto"/>
          <w:highlight w:val="none"/>
        </w:rPr>
      </w:pPr>
    </w:p>
    <w:p w14:paraId="5FCFC66E">
      <w:pPr>
        <w:spacing w:line="400" w:lineRule="exact"/>
        <w:rPr>
          <w:rFonts w:ascii="宋体" w:hAnsi="宋体" w:cs="宋体"/>
          <w:color w:val="auto"/>
          <w:highlight w:val="none"/>
        </w:rPr>
      </w:pPr>
    </w:p>
    <w:p w14:paraId="74052DD3">
      <w:pPr>
        <w:spacing w:line="400" w:lineRule="exact"/>
        <w:rPr>
          <w:rFonts w:ascii="宋体" w:hAnsi="宋体" w:cs="宋体"/>
          <w:color w:val="auto"/>
          <w:highlight w:val="none"/>
        </w:rPr>
      </w:pPr>
    </w:p>
    <w:p w14:paraId="59A996B5">
      <w:pPr>
        <w:spacing w:line="400" w:lineRule="exact"/>
        <w:rPr>
          <w:rFonts w:ascii="宋体" w:hAnsi="宋体" w:cs="宋体"/>
          <w:color w:val="auto"/>
          <w:highlight w:val="none"/>
        </w:rPr>
      </w:pPr>
    </w:p>
    <w:p w14:paraId="2DDAD54A">
      <w:pPr>
        <w:spacing w:line="400" w:lineRule="exact"/>
        <w:rPr>
          <w:rFonts w:ascii="宋体" w:hAnsi="宋体" w:cs="宋体"/>
          <w:color w:val="auto"/>
          <w:highlight w:val="none"/>
        </w:rPr>
      </w:pPr>
    </w:p>
    <w:p w14:paraId="3701BDD1">
      <w:pPr>
        <w:spacing w:line="400" w:lineRule="exact"/>
        <w:rPr>
          <w:rFonts w:ascii="宋体" w:hAnsi="宋体" w:cs="宋体"/>
          <w:color w:val="auto"/>
          <w:highlight w:val="none"/>
        </w:rPr>
      </w:pPr>
    </w:p>
    <w:p w14:paraId="0F552B6C">
      <w:pPr>
        <w:spacing w:line="400" w:lineRule="exact"/>
        <w:rPr>
          <w:rFonts w:ascii="宋体" w:hAnsi="宋体" w:cs="宋体"/>
          <w:color w:val="auto"/>
          <w:highlight w:val="none"/>
        </w:rPr>
      </w:pPr>
    </w:p>
    <w:p w14:paraId="7BB1E497">
      <w:pPr>
        <w:spacing w:line="400" w:lineRule="exact"/>
        <w:rPr>
          <w:rFonts w:ascii="宋体" w:hAnsi="宋体" w:cs="宋体"/>
          <w:color w:val="auto"/>
          <w:highlight w:val="none"/>
        </w:rPr>
      </w:pPr>
    </w:p>
    <w:p w14:paraId="68D91C1B">
      <w:pPr>
        <w:spacing w:line="400" w:lineRule="exact"/>
        <w:rPr>
          <w:rFonts w:ascii="宋体" w:hAnsi="宋体" w:cs="宋体"/>
          <w:color w:val="auto"/>
          <w:highlight w:val="none"/>
        </w:rPr>
      </w:pPr>
    </w:p>
    <w:p w14:paraId="498119D8">
      <w:pPr>
        <w:spacing w:line="400" w:lineRule="exact"/>
        <w:rPr>
          <w:rFonts w:ascii="宋体" w:hAnsi="宋体" w:cs="宋体"/>
          <w:color w:val="auto"/>
          <w:highlight w:val="none"/>
        </w:rPr>
      </w:pPr>
    </w:p>
    <w:p w14:paraId="0DD7E955">
      <w:pPr>
        <w:spacing w:line="400" w:lineRule="exact"/>
        <w:rPr>
          <w:rFonts w:ascii="宋体" w:hAnsi="宋体" w:cs="宋体"/>
          <w:color w:val="auto"/>
          <w:highlight w:val="none"/>
        </w:rPr>
      </w:pPr>
    </w:p>
    <w:p w14:paraId="25EA39F4">
      <w:pPr>
        <w:spacing w:line="400" w:lineRule="exact"/>
        <w:rPr>
          <w:rFonts w:ascii="宋体" w:hAnsi="宋体" w:cs="宋体"/>
          <w:color w:val="auto"/>
          <w:highlight w:val="none"/>
        </w:rPr>
      </w:pPr>
    </w:p>
    <w:p w14:paraId="264C4B38">
      <w:pPr>
        <w:spacing w:line="400" w:lineRule="exact"/>
        <w:rPr>
          <w:rFonts w:ascii="宋体" w:hAnsi="宋体" w:cs="宋体"/>
          <w:color w:val="auto"/>
          <w:highlight w:val="none"/>
        </w:rPr>
      </w:pPr>
    </w:p>
    <w:p w14:paraId="1DE01E1A">
      <w:pPr>
        <w:spacing w:line="400" w:lineRule="exact"/>
        <w:rPr>
          <w:rFonts w:ascii="宋体" w:hAnsi="宋体" w:cs="宋体"/>
          <w:color w:val="auto"/>
          <w:highlight w:val="none"/>
        </w:rPr>
      </w:pPr>
    </w:p>
    <w:p w14:paraId="09CCB594">
      <w:pPr>
        <w:spacing w:line="400" w:lineRule="exact"/>
        <w:rPr>
          <w:rFonts w:ascii="宋体" w:hAnsi="宋体" w:cs="宋体"/>
          <w:color w:val="auto"/>
          <w:highlight w:val="none"/>
        </w:rPr>
      </w:pPr>
    </w:p>
    <w:p w14:paraId="661C2E37">
      <w:pPr>
        <w:spacing w:line="400" w:lineRule="exact"/>
        <w:rPr>
          <w:rFonts w:ascii="宋体" w:hAnsi="宋体" w:cs="宋体"/>
          <w:color w:val="auto"/>
          <w:highlight w:val="none"/>
        </w:rPr>
      </w:pPr>
    </w:p>
    <w:p w14:paraId="2A0801A8">
      <w:pPr>
        <w:spacing w:line="400" w:lineRule="exact"/>
        <w:rPr>
          <w:rFonts w:ascii="宋体" w:hAnsi="宋体" w:cs="宋体"/>
          <w:color w:val="auto"/>
          <w:highlight w:val="none"/>
        </w:rPr>
      </w:pPr>
    </w:p>
    <w:p w14:paraId="05E8F224">
      <w:pPr>
        <w:spacing w:line="400" w:lineRule="exact"/>
        <w:rPr>
          <w:rFonts w:ascii="宋体" w:hAnsi="宋体" w:cs="宋体"/>
          <w:color w:val="auto"/>
          <w:highlight w:val="none"/>
        </w:rPr>
      </w:pPr>
    </w:p>
    <w:p w14:paraId="5A95E6CF">
      <w:pPr>
        <w:spacing w:line="400" w:lineRule="exact"/>
        <w:rPr>
          <w:rFonts w:ascii="宋体" w:hAnsi="宋体" w:cs="宋体"/>
          <w:color w:val="auto"/>
          <w:highlight w:val="none"/>
        </w:rPr>
      </w:pPr>
    </w:p>
    <w:p w14:paraId="43B6455A">
      <w:pPr>
        <w:spacing w:line="400" w:lineRule="exact"/>
        <w:rPr>
          <w:rFonts w:ascii="宋体" w:hAnsi="宋体" w:cs="宋体"/>
          <w:color w:val="auto"/>
          <w:highlight w:val="none"/>
        </w:rPr>
      </w:pPr>
    </w:p>
    <w:p w14:paraId="1D19BA48">
      <w:pPr>
        <w:spacing w:line="400" w:lineRule="exact"/>
        <w:rPr>
          <w:rFonts w:ascii="宋体" w:hAnsi="宋体" w:cs="宋体"/>
          <w:color w:val="auto"/>
          <w:highlight w:val="none"/>
        </w:rPr>
      </w:pPr>
    </w:p>
    <w:p w14:paraId="28411F6A">
      <w:pPr>
        <w:spacing w:line="400" w:lineRule="exact"/>
        <w:rPr>
          <w:rFonts w:ascii="宋体" w:hAnsi="宋体" w:cs="宋体"/>
          <w:color w:val="auto"/>
          <w:sz w:val="24"/>
          <w:szCs w:val="28"/>
          <w:highlight w:val="none"/>
        </w:rPr>
      </w:pPr>
      <w:r>
        <w:rPr>
          <w:rFonts w:hint="eastAsia" w:ascii="宋体" w:hAnsi="宋体" w:cs="宋体"/>
          <w:color w:val="auto"/>
          <w:sz w:val="24"/>
          <w:szCs w:val="28"/>
          <w:highlight w:val="none"/>
        </w:rPr>
        <w:t>（二）法定代表人身份证明书（格式）</w:t>
      </w:r>
    </w:p>
    <w:p w14:paraId="2EA030D5">
      <w:pPr>
        <w:tabs>
          <w:tab w:val="left" w:pos="6300"/>
        </w:tabs>
        <w:snapToGrid w:val="0"/>
        <w:spacing w:line="500" w:lineRule="exact"/>
        <w:ind w:firstLine="570"/>
        <w:rPr>
          <w:rFonts w:ascii="宋体" w:hAnsi="宋体" w:cs="宋体"/>
          <w:color w:val="auto"/>
          <w:sz w:val="24"/>
          <w:highlight w:val="none"/>
        </w:rPr>
      </w:pPr>
    </w:p>
    <w:p w14:paraId="1FBD5CBC">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招标项目名称：</w:t>
      </w:r>
    </w:p>
    <w:p w14:paraId="307B4CF5">
      <w:pPr>
        <w:tabs>
          <w:tab w:val="left" w:pos="6300"/>
        </w:tabs>
        <w:snapToGrid w:val="0"/>
        <w:spacing w:line="500" w:lineRule="exact"/>
        <w:ind w:firstLine="570"/>
        <w:rPr>
          <w:rFonts w:ascii="宋体" w:hAnsi="宋体" w:cs="宋体"/>
          <w:color w:val="auto"/>
          <w:sz w:val="24"/>
          <w:highlight w:val="none"/>
        </w:rPr>
      </w:pPr>
    </w:p>
    <w:p w14:paraId="2147D55E">
      <w:pPr>
        <w:tabs>
          <w:tab w:val="left" w:pos="6300"/>
        </w:tabs>
        <w:snapToGrid w:val="0"/>
        <w:spacing w:line="500" w:lineRule="exact"/>
        <w:rPr>
          <w:rFonts w:ascii="宋体" w:hAnsi="宋体" w:cs="宋体"/>
          <w:color w:val="auto"/>
          <w:sz w:val="24"/>
          <w:highlight w:val="none"/>
        </w:rPr>
      </w:pPr>
      <w:r>
        <w:rPr>
          <w:rFonts w:hint="eastAsia" w:ascii="宋体" w:hAnsi="宋体" w:cs="宋体"/>
          <w:color w:val="auto"/>
          <w:sz w:val="24"/>
          <w:highlight w:val="none"/>
        </w:rPr>
        <w:t>致：（采购代理机构名称）：</w:t>
      </w:r>
    </w:p>
    <w:p w14:paraId="2FD050DC">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（法定代表人姓名）在（</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名称）任（职务名称）职务，是（</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名称）的法定代表人。</w:t>
      </w:r>
    </w:p>
    <w:p w14:paraId="0C9F5B8D">
      <w:pPr>
        <w:tabs>
          <w:tab w:val="left" w:pos="6300"/>
        </w:tabs>
        <w:snapToGrid w:val="0"/>
        <w:spacing w:line="500" w:lineRule="exact"/>
        <w:ind w:firstLine="570"/>
        <w:rPr>
          <w:rFonts w:ascii="宋体" w:hAnsi="宋体" w:cs="宋体"/>
          <w:color w:val="auto"/>
          <w:sz w:val="24"/>
          <w:highlight w:val="none"/>
        </w:rPr>
      </w:pPr>
    </w:p>
    <w:p w14:paraId="5CDCF070">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特此证明。</w:t>
      </w:r>
    </w:p>
    <w:p w14:paraId="79250AF2">
      <w:pPr>
        <w:tabs>
          <w:tab w:val="left" w:pos="6300"/>
        </w:tabs>
        <w:snapToGrid w:val="0"/>
        <w:spacing w:line="500" w:lineRule="exact"/>
        <w:ind w:firstLine="570"/>
        <w:rPr>
          <w:rFonts w:ascii="宋体" w:hAnsi="宋体" w:cs="宋体"/>
          <w:color w:val="auto"/>
          <w:sz w:val="24"/>
          <w:highlight w:val="none"/>
        </w:rPr>
      </w:pPr>
    </w:p>
    <w:p w14:paraId="0145EBE9">
      <w:pPr>
        <w:tabs>
          <w:tab w:val="left" w:pos="6300"/>
        </w:tabs>
        <w:snapToGrid w:val="0"/>
        <w:spacing w:line="500" w:lineRule="exact"/>
        <w:ind w:firstLine="570"/>
        <w:rPr>
          <w:rFonts w:ascii="宋体" w:hAnsi="宋体" w:cs="宋体"/>
          <w:color w:val="auto"/>
          <w:sz w:val="24"/>
          <w:highlight w:val="none"/>
        </w:rPr>
      </w:pPr>
    </w:p>
    <w:p w14:paraId="17542C33">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14:paraId="2D75D61A">
      <w:pPr>
        <w:tabs>
          <w:tab w:val="left" w:pos="6300"/>
        </w:tabs>
        <w:snapToGrid w:val="0"/>
        <w:spacing w:line="500" w:lineRule="exact"/>
        <w:ind w:firstLine="5848" w:firstLineChars="2437"/>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公章）</w:t>
      </w:r>
    </w:p>
    <w:p w14:paraId="631A1C3A">
      <w:pPr>
        <w:tabs>
          <w:tab w:val="left" w:pos="6300"/>
        </w:tabs>
        <w:snapToGrid w:val="0"/>
        <w:spacing w:line="500" w:lineRule="exact"/>
        <w:ind w:firstLine="570"/>
        <w:rPr>
          <w:rFonts w:ascii="宋体" w:hAnsi="宋体" w:cs="宋体"/>
          <w:color w:val="auto"/>
          <w:sz w:val="24"/>
          <w:highlight w:val="none"/>
        </w:rPr>
      </w:pPr>
    </w:p>
    <w:p w14:paraId="2E506789">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年   月   日</w:t>
      </w:r>
    </w:p>
    <w:p w14:paraId="147A7113">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法定代表人电话：XXXXXXX      电子邮箱：XXXXXX@XXXXX（若授权他人办理并签署</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的可不填写）</w:t>
      </w:r>
    </w:p>
    <w:p w14:paraId="599CA8C4">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（附：法定代表人身份证正反面复印件）</w:t>
      </w:r>
    </w:p>
    <w:p w14:paraId="7696D0D9">
      <w:pPr>
        <w:tabs>
          <w:tab w:val="left" w:pos="6300"/>
        </w:tabs>
        <w:snapToGrid w:val="0"/>
        <w:spacing w:line="500" w:lineRule="exact"/>
        <w:ind w:firstLine="570"/>
        <w:rPr>
          <w:rFonts w:ascii="宋体" w:hAnsi="宋体" w:cs="宋体"/>
          <w:color w:val="auto"/>
          <w:sz w:val="24"/>
          <w:highlight w:val="none"/>
        </w:rPr>
      </w:pPr>
    </w:p>
    <w:p w14:paraId="3F4B3322">
      <w:pPr>
        <w:tabs>
          <w:tab w:val="left" w:pos="6300"/>
        </w:tabs>
        <w:snapToGrid w:val="0"/>
        <w:spacing w:line="500" w:lineRule="exact"/>
        <w:ind w:firstLine="570"/>
        <w:rPr>
          <w:rFonts w:ascii="宋体" w:hAnsi="宋体" w:cs="宋体"/>
          <w:color w:val="auto"/>
          <w:sz w:val="24"/>
          <w:highlight w:val="none"/>
        </w:rPr>
      </w:pPr>
    </w:p>
    <w:p w14:paraId="29B12663">
      <w:pPr>
        <w:tabs>
          <w:tab w:val="left" w:pos="6300"/>
        </w:tabs>
        <w:snapToGrid w:val="0"/>
        <w:spacing w:line="500" w:lineRule="exact"/>
        <w:ind w:firstLine="570"/>
        <w:rPr>
          <w:rFonts w:ascii="宋体" w:hAnsi="宋体" w:cs="宋体"/>
          <w:color w:val="auto"/>
          <w:sz w:val="24"/>
          <w:highlight w:val="none"/>
        </w:rPr>
      </w:pPr>
    </w:p>
    <w:p w14:paraId="299D20DB">
      <w:pPr>
        <w:tabs>
          <w:tab w:val="left" w:pos="6300"/>
        </w:tabs>
        <w:snapToGrid w:val="0"/>
        <w:spacing w:line="500" w:lineRule="exact"/>
        <w:ind w:firstLine="570"/>
        <w:rPr>
          <w:rFonts w:ascii="宋体" w:hAnsi="宋体" w:cs="宋体"/>
          <w:color w:val="auto"/>
          <w:sz w:val="24"/>
          <w:highlight w:val="none"/>
        </w:rPr>
      </w:pPr>
    </w:p>
    <w:p w14:paraId="0D329DCD">
      <w:pPr>
        <w:tabs>
          <w:tab w:val="left" w:pos="6300"/>
        </w:tabs>
        <w:snapToGrid w:val="0"/>
        <w:spacing w:line="500" w:lineRule="exact"/>
        <w:ind w:firstLine="570"/>
        <w:rPr>
          <w:rFonts w:ascii="宋体" w:hAnsi="宋体" w:cs="宋体"/>
          <w:color w:val="auto"/>
          <w:sz w:val="24"/>
          <w:highlight w:val="none"/>
        </w:rPr>
      </w:pPr>
    </w:p>
    <w:p w14:paraId="450953B3">
      <w:pPr>
        <w:spacing w:line="400" w:lineRule="exact"/>
        <w:ind w:firstLine="560" w:firstLineChars="200"/>
        <w:rPr>
          <w:rFonts w:ascii="宋体" w:hAnsi="宋体" w:cs="宋体"/>
          <w:color w:val="auto"/>
          <w:sz w:val="24"/>
          <w:szCs w:val="28"/>
          <w:highlight w:val="none"/>
        </w:rPr>
      </w:pPr>
      <w:r>
        <w:rPr>
          <w:rFonts w:hint="eastAsia" w:ascii="宋体" w:hAnsi="宋体" w:cs="宋体"/>
          <w:color w:val="auto"/>
          <w:highlight w:val="none"/>
        </w:rPr>
        <w:br w:type="column"/>
      </w:r>
      <w:r>
        <w:rPr>
          <w:rFonts w:hint="eastAsia" w:ascii="宋体" w:hAnsi="宋体" w:cs="宋体"/>
          <w:color w:val="auto"/>
          <w:sz w:val="24"/>
          <w:szCs w:val="28"/>
          <w:highlight w:val="none"/>
        </w:rPr>
        <w:t>（三）法定代表人授权委托书（格式）</w:t>
      </w:r>
    </w:p>
    <w:p w14:paraId="5FB235CD">
      <w:pPr>
        <w:tabs>
          <w:tab w:val="left" w:pos="6300"/>
        </w:tabs>
        <w:snapToGrid w:val="0"/>
        <w:spacing w:line="500" w:lineRule="exact"/>
        <w:ind w:firstLine="570"/>
        <w:rPr>
          <w:rFonts w:ascii="宋体" w:hAnsi="宋体" w:cs="宋体"/>
          <w:color w:val="auto"/>
          <w:sz w:val="24"/>
          <w:highlight w:val="none"/>
        </w:rPr>
      </w:pPr>
    </w:p>
    <w:p w14:paraId="38F2702A">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8"/>
          <w:highlight w:val="none"/>
        </w:rPr>
        <w:t>招标项目名称</w:t>
      </w:r>
      <w:r>
        <w:rPr>
          <w:rFonts w:hint="eastAsia" w:ascii="宋体" w:hAnsi="宋体" w:cs="宋体"/>
          <w:color w:val="auto"/>
          <w:sz w:val="24"/>
          <w:highlight w:val="none"/>
        </w:rPr>
        <w:t>：</w:t>
      </w:r>
    </w:p>
    <w:p w14:paraId="28DF5A1E">
      <w:pPr>
        <w:tabs>
          <w:tab w:val="left" w:pos="6300"/>
        </w:tabs>
        <w:snapToGrid w:val="0"/>
        <w:spacing w:line="500" w:lineRule="exact"/>
        <w:ind w:firstLine="570"/>
        <w:rPr>
          <w:rFonts w:ascii="宋体" w:hAnsi="宋体" w:cs="宋体"/>
          <w:color w:val="auto"/>
          <w:sz w:val="24"/>
          <w:highlight w:val="none"/>
        </w:rPr>
      </w:pPr>
    </w:p>
    <w:p w14:paraId="7744F96C">
      <w:pPr>
        <w:tabs>
          <w:tab w:val="left" w:pos="6300"/>
        </w:tabs>
        <w:snapToGrid w:val="0"/>
        <w:spacing w:line="500" w:lineRule="exact"/>
        <w:rPr>
          <w:rFonts w:ascii="宋体" w:hAnsi="宋体" w:cs="宋体"/>
          <w:color w:val="auto"/>
          <w:sz w:val="24"/>
          <w:highlight w:val="none"/>
        </w:rPr>
      </w:pPr>
      <w:r>
        <w:rPr>
          <w:rFonts w:hint="eastAsia" w:ascii="宋体" w:hAnsi="宋体" w:cs="宋体"/>
          <w:color w:val="auto"/>
          <w:sz w:val="24"/>
          <w:highlight w:val="none"/>
        </w:rPr>
        <w:t>致：（采购代理机构名称）：</w:t>
      </w:r>
    </w:p>
    <w:p w14:paraId="5F39C460">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法定代表人名称）是（</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名称）的法定代表人，特授权（被授权人姓名及身份证代码）代表我单位全权办理上述项目的投标、</w:t>
      </w: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、签约等具体工作，并签署全部有关文件、协议及合同。</w:t>
      </w:r>
    </w:p>
    <w:p w14:paraId="75958C91">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我单位对被授权人的签署负全部责任。</w:t>
      </w:r>
    </w:p>
    <w:p w14:paraId="109A8183">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在撤消授权的书面通知以前，本授权书一直有效。被授权人在授权书有效期内签署的所有文件不因授权的撤消而失效。</w:t>
      </w:r>
    </w:p>
    <w:p w14:paraId="6E46288C">
      <w:pPr>
        <w:tabs>
          <w:tab w:val="left" w:pos="6300"/>
        </w:tabs>
        <w:snapToGrid w:val="0"/>
        <w:spacing w:line="500" w:lineRule="exact"/>
        <w:ind w:firstLine="570"/>
        <w:rPr>
          <w:rFonts w:ascii="宋体" w:hAnsi="宋体" w:cs="宋体"/>
          <w:color w:val="auto"/>
          <w:sz w:val="24"/>
          <w:highlight w:val="none"/>
        </w:rPr>
      </w:pPr>
    </w:p>
    <w:p w14:paraId="157B4777">
      <w:pPr>
        <w:tabs>
          <w:tab w:val="left" w:pos="6300"/>
        </w:tabs>
        <w:snapToGrid w:val="0"/>
        <w:spacing w:line="500" w:lineRule="exact"/>
        <w:ind w:firstLine="570"/>
        <w:rPr>
          <w:rFonts w:ascii="宋体" w:hAnsi="宋体" w:cs="宋体"/>
          <w:color w:val="auto"/>
          <w:sz w:val="24"/>
          <w:highlight w:val="none"/>
        </w:rPr>
      </w:pPr>
    </w:p>
    <w:p w14:paraId="186F2ABC">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被授权人：                                 </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法定代表人：</w:t>
      </w:r>
    </w:p>
    <w:p w14:paraId="2A96D6A8">
      <w:pPr>
        <w:tabs>
          <w:tab w:val="left" w:pos="6300"/>
        </w:tabs>
        <w:snapToGrid w:val="0"/>
        <w:spacing w:line="500" w:lineRule="exact"/>
        <w:ind w:firstLine="570"/>
        <w:rPr>
          <w:rFonts w:ascii="宋体" w:hAnsi="宋体" w:cs="宋体"/>
          <w:color w:val="auto"/>
          <w:sz w:val="24"/>
          <w:szCs w:val="28"/>
          <w:highlight w:val="none"/>
        </w:rPr>
      </w:pPr>
      <w:r>
        <w:rPr>
          <w:rFonts w:hint="eastAsia" w:ascii="宋体" w:hAnsi="宋体" w:cs="宋体"/>
          <w:color w:val="auto"/>
          <w:sz w:val="24"/>
          <w:szCs w:val="28"/>
          <w:highlight w:val="none"/>
        </w:rPr>
        <w:t>（签署或盖章）                                （签署或盖章）</w:t>
      </w:r>
    </w:p>
    <w:p w14:paraId="452EADE8">
      <w:pPr>
        <w:tabs>
          <w:tab w:val="left" w:pos="6300"/>
        </w:tabs>
        <w:snapToGrid w:val="0"/>
        <w:spacing w:line="500" w:lineRule="exact"/>
        <w:ind w:firstLine="570"/>
        <w:rPr>
          <w:rFonts w:ascii="宋体" w:hAnsi="宋体" w:cs="宋体"/>
          <w:color w:val="auto"/>
          <w:sz w:val="24"/>
          <w:szCs w:val="28"/>
          <w:highlight w:val="none"/>
        </w:rPr>
      </w:pPr>
    </w:p>
    <w:p w14:paraId="66F6A21D">
      <w:pPr>
        <w:tabs>
          <w:tab w:val="left" w:pos="6300"/>
        </w:tabs>
        <w:snapToGrid w:val="0"/>
        <w:spacing w:line="500" w:lineRule="exact"/>
        <w:ind w:firstLine="570"/>
        <w:rPr>
          <w:rFonts w:ascii="宋体" w:hAnsi="宋体" w:cs="宋体"/>
          <w:color w:val="auto"/>
          <w:sz w:val="24"/>
          <w:highlight w:val="none"/>
        </w:rPr>
      </w:pPr>
    </w:p>
    <w:p w14:paraId="43CBED3F">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（附：被授权人身份证正反面复印件）</w:t>
      </w:r>
    </w:p>
    <w:p w14:paraId="22D72882">
      <w:pPr>
        <w:tabs>
          <w:tab w:val="left" w:pos="6300"/>
        </w:tabs>
        <w:snapToGrid w:val="0"/>
        <w:spacing w:line="500" w:lineRule="exact"/>
        <w:ind w:firstLine="570"/>
        <w:rPr>
          <w:rFonts w:ascii="宋体" w:hAnsi="宋体" w:cs="宋体"/>
          <w:color w:val="auto"/>
          <w:sz w:val="24"/>
          <w:highlight w:val="none"/>
        </w:rPr>
      </w:pPr>
    </w:p>
    <w:p w14:paraId="4FCE6C00">
      <w:pPr>
        <w:tabs>
          <w:tab w:val="left" w:pos="6300"/>
        </w:tabs>
        <w:snapToGrid w:val="0"/>
        <w:spacing w:line="500" w:lineRule="exact"/>
        <w:ind w:firstLine="570"/>
        <w:rPr>
          <w:rFonts w:ascii="宋体" w:hAnsi="宋体" w:cs="宋体"/>
          <w:color w:val="auto"/>
          <w:sz w:val="24"/>
          <w:highlight w:val="none"/>
        </w:rPr>
      </w:pPr>
    </w:p>
    <w:p w14:paraId="3AEBFB37">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公章）</w:t>
      </w:r>
    </w:p>
    <w:p w14:paraId="4BC87333">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年   月   日</w:t>
      </w:r>
    </w:p>
    <w:p w14:paraId="677808F2">
      <w:pPr>
        <w:tabs>
          <w:tab w:val="left" w:pos="6300"/>
        </w:tabs>
        <w:snapToGrid w:val="0"/>
        <w:spacing w:line="500" w:lineRule="exact"/>
        <w:ind w:right="720" w:firstLine="570"/>
        <w:jc w:val="right"/>
        <w:rPr>
          <w:rFonts w:ascii="宋体" w:hAnsi="宋体" w:cs="宋体"/>
          <w:color w:val="auto"/>
          <w:sz w:val="24"/>
          <w:highlight w:val="none"/>
        </w:rPr>
      </w:pPr>
    </w:p>
    <w:p w14:paraId="38EA3E8C">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被授权人电话：XXXXXXX     电子邮箱：XXXXXX@XXXXX（若法定代表人办理并签署</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的可不填写）</w:t>
      </w:r>
    </w:p>
    <w:p w14:paraId="6B343749">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注：</w:t>
      </w:r>
    </w:p>
    <w:p w14:paraId="08921124">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1.若为法定代表人办理并签署</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的，不提供此文件。</w:t>
      </w:r>
    </w:p>
    <w:p w14:paraId="3B9CC55A">
      <w:pPr>
        <w:spacing w:line="400" w:lineRule="exact"/>
        <w:ind w:firstLine="560" w:firstLineChars="200"/>
        <w:jc w:val="left"/>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8"/>
          <w:highlight w:val="none"/>
        </w:rPr>
        <w:t>（四）基本资格条件承诺函</w:t>
      </w:r>
    </w:p>
    <w:p w14:paraId="0E7CA538">
      <w:pPr>
        <w:tabs>
          <w:tab w:val="left" w:pos="6300"/>
        </w:tabs>
        <w:snapToGrid w:val="0"/>
        <w:spacing w:line="500" w:lineRule="exact"/>
        <w:ind w:firstLine="643" w:firstLineChars="200"/>
        <w:jc w:val="center"/>
        <w:outlineLvl w:val="0"/>
        <w:rPr>
          <w:rFonts w:ascii="宋体" w:hAnsi="宋体" w:cs="宋体"/>
          <w:b/>
          <w:bCs/>
          <w:color w:val="auto"/>
          <w:sz w:val="32"/>
          <w:szCs w:val="32"/>
          <w:highlight w:val="none"/>
        </w:rPr>
      </w:pPr>
      <w:r>
        <w:rPr>
          <w:rFonts w:hint="eastAsia" w:ascii="宋体" w:hAnsi="宋体" w:cs="宋体"/>
          <w:b/>
          <w:bCs/>
          <w:color w:val="auto"/>
          <w:sz w:val="32"/>
          <w:szCs w:val="32"/>
          <w:highlight w:val="none"/>
        </w:rPr>
        <w:t>基本资格条件承诺函</w:t>
      </w:r>
    </w:p>
    <w:p w14:paraId="74EDBE62">
      <w:pPr>
        <w:tabs>
          <w:tab w:val="left" w:pos="6300"/>
        </w:tabs>
        <w:snapToGrid w:val="0"/>
        <w:spacing w:line="530" w:lineRule="exact"/>
        <w:rPr>
          <w:rFonts w:ascii="宋体" w:hAnsi="宋体" w:cs="宋体"/>
          <w:color w:val="auto"/>
          <w:sz w:val="24"/>
          <w:highlight w:val="none"/>
        </w:rPr>
      </w:pPr>
    </w:p>
    <w:p w14:paraId="3B24B77C">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致（采购代理机构名称）：</w:t>
      </w:r>
    </w:p>
    <w:p w14:paraId="7AADDAD3">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名称）郑重承诺：</w:t>
      </w:r>
    </w:p>
    <w:p w14:paraId="1B647BDB">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1.我方具有良好的商业信誉和健全的财务会计制度，具有履行合同所必需的设备和专业技术能力，具</w:t>
      </w:r>
      <w:r>
        <w:rPr>
          <w:rFonts w:hint="eastAsia" w:ascii="宋体" w:hAnsi="宋体" w:cs="宋体"/>
          <w:color w:val="auto"/>
          <w:sz w:val="24"/>
          <w:highlight w:val="none"/>
          <w:lang w:val="zh-CN"/>
        </w:rPr>
        <w:t>有依法缴纳税收和社会保障金的良好记录</w:t>
      </w:r>
      <w:r>
        <w:rPr>
          <w:rFonts w:hint="eastAsia" w:ascii="宋体" w:hAnsi="宋体" w:cs="宋体"/>
          <w:color w:val="auto"/>
          <w:sz w:val="24"/>
          <w:highlight w:val="none"/>
        </w:rPr>
        <w:t>，参加本项目采购活动前三年内无重大违法活动记录，在合同签订前后随时愿意提供相关证明材料。</w:t>
      </w:r>
    </w:p>
    <w:p w14:paraId="7E098BCF">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2DDB8927">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3.我方在采购项目评审（评标）环节结束后，随时接受采购人、采购代理机构的检查验证，配合提供相关证明材料，证明符合《中华人民共和国政府采购法》规定的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基本资格条件。</w:t>
      </w:r>
    </w:p>
    <w:p w14:paraId="71766AF4">
      <w:pPr>
        <w:pStyle w:val="2"/>
        <w:jc w:val="left"/>
        <w:rPr>
          <w:rFonts w:hint="default" w:ascii="宋体" w:hAnsi="宋体" w:eastAsia="宋体" w:cs="宋体"/>
          <w:b w:val="0"/>
          <w:smallCaps w:val="0"/>
          <w:color w:val="auto"/>
          <w:kern w:val="2"/>
          <w:sz w:val="24"/>
          <w:szCs w:val="20"/>
          <w:highlight w:val="none"/>
          <w:lang w:val="en-US" w:eastAsia="zh-CN" w:bidi="ar-SA"/>
        </w:rPr>
      </w:pPr>
      <w:r>
        <w:rPr>
          <w:rFonts w:hint="eastAsia" w:ascii="宋体" w:hAnsi="宋体" w:cs="宋体"/>
          <w:b w:val="0"/>
          <w:smallCaps w:val="0"/>
          <w:color w:val="auto"/>
          <w:kern w:val="2"/>
          <w:sz w:val="24"/>
          <w:szCs w:val="20"/>
          <w:highlight w:val="none"/>
          <w:lang w:val="en-US" w:eastAsia="zh-CN" w:bidi="ar-SA"/>
        </w:rPr>
        <w:t xml:space="preserve">    </w:t>
      </w:r>
      <w:r>
        <w:rPr>
          <w:rFonts w:hint="eastAsia" w:ascii="宋体" w:hAnsi="宋体" w:eastAsia="宋体" w:cs="宋体"/>
          <w:b/>
          <w:bCs/>
          <w:smallCaps w:val="0"/>
          <w:color w:val="auto"/>
          <w:kern w:val="2"/>
          <w:sz w:val="24"/>
          <w:szCs w:val="20"/>
          <w:highlight w:val="none"/>
          <w:lang w:val="en-US" w:eastAsia="zh-CN" w:bidi="ar-SA"/>
        </w:rPr>
        <w:t>4.后续若我方中标，</w:t>
      </w:r>
      <w:r>
        <w:rPr>
          <w:rFonts w:hint="eastAsia" w:ascii="宋体" w:hAnsi="宋体" w:cs="宋体"/>
          <w:b/>
          <w:bCs/>
          <w:smallCaps w:val="0"/>
          <w:color w:val="auto"/>
          <w:kern w:val="2"/>
          <w:sz w:val="24"/>
          <w:szCs w:val="20"/>
          <w:highlight w:val="none"/>
          <w:lang w:val="en-US" w:eastAsia="zh-CN" w:bidi="ar-SA"/>
        </w:rPr>
        <w:t>保证</w:t>
      </w:r>
      <w:r>
        <w:rPr>
          <w:rFonts w:hint="eastAsia" w:ascii="宋体" w:hAnsi="宋体" w:eastAsia="宋体" w:cs="宋体"/>
          <w:b/>
          <w:bCs/>
          <w:smallCaps w:val="0"/>
          <w:color w:val="auto"/>
          <w:kern w:val="2"/>
          <w:sz w:val="24"/>
          <w:szCs w:val="20"/>
          <w:highlight w:val="none"/>
          <w:lang w:val="en-US" w:eastAsia="zh-CN" w:bidi="ar-SA"/>
        </w:rPr>
        <w:t>在与业主签订</w:t>
      </w:r>
      <w:r>
        <w:rPr>
          <w:rFonts w:hint="eastAsia" w:ascii="宋体" w:hAnsi="宋体" w:cs="宋体"/>
          <w:b/>
          <w:bCs/>
          <w:smallCaps w:val="0"/>
          <w:color w:val="auto"/>
          <w:kern w:val="2"/>
          <w:sz w:val="24"/>
          <w:szCs w:val="20"/>
          <w:highlight w:val="none"/>
          <w:lang w:val="en-US" w:eastAsia="zh-CN" w:bidi="ar-SA"/>
        </w:rPr>
        <w:t>的</w:t>
      </w:r>
      <w:r>
        <w:rPr>
          <w:rFonts w:hint="eastAsia" w:ascii="宋体" w:hAnsi="宋体" w:eastAsia="宋体" w:cs="宋体"/>
          <w:b/>
          <w:bCs/>
          <w:smallCaps w:val="0"/>
          <w:color w:val="auto"/>
          <w:kern w:val="2"/>
          <w:sz w:val="24"/>
          <w:szCs w:val="20"/>
          <w:highlight w:val="none"/>
          <w:lang w:val="en-US" w:eastAsia="zh-CN" w:bidi="ar-SA"/>
        </w:rPr>
        <w:t>合同</w:t>
      </w:r>
      <w:r>
        <w:rPr>
          <w:rFonts w:hint="eastAsia" w:ascii="宋体" w:hAnsi="宋体" w:cs="宋体"/>
          <w:b/>
          <w:bCs/>
          <w:smallCaps w:val="0"/>
          <w:color w:val="auto"/>
          <w:kern w:val="2"/>
          <w:sz w:val="24"/>
          <w:szCs w:val="20"/>
          <w:highlight w:val="none"/>
          <w:lang w:val="en-US" w:eastAsia="zh-CN" w:bidi="ar-SA"/>
        </w:rPr>
        <w:t>中</w:t>
      </w:r>
      <w:r>
        <w:rPr>
          <w:rFonts w:hint="eastAsia" w:ascii="宋体" w:hAnsi="宋体" w:eastAsia="宋体" w:cs="宋体"/>
          <w:b/>
          <w:bCs/>
          <w:smallCaps w:val="0"/>
          <w:color w:val="auto"/>
          <w:kern w:val="2"/>
          <w:sz w:val="24"/>
          <w:szCs w:val="20"/>
          <w:highlight w:val="none"/>
          <w:lang w:val="en-US" w:eastAsia="zh-CN" w:bidi="ar-SA"/>
        </w:rPr>
        <w:t>明确“由</w:t>
      </w:r>
      <w:r>
        <w:rPr>
          <w:rFonts w:hint="eastAsia" w:ascii="宋体" w:hAnsi="宋体" w:cs="宋体"/>
          <w:b/>
          <w:bCs/>
          <w:smallCaps w:val="0"/>
          <w:color w:val="auto"/>
          <w:kern w:val="2"/>
          <w:sz w:val="24"/>
          <w:szCs w:val="20"/>
          <w:highlight w:val="none"/>
          <w:lang w:val="en-US" w:eastAsia="zh-CN" w:bidi="ar-SA"/>
        </w:rPr>
        <w:t>本</w:t>
      </w:r>
      <w:r>
        <w:rPr>
          <w:rFonts w:hint="eastAsia" w:ascii="宋体" w:hAnsi="宋体" w:eastAsia="宋体" w:cs="宋体"/>
          <w:b/>
          <w:bCs/>
          <w:smallCaps w:val="0"/>
          <w:color w:val="auto"/>
          <w:kern w:val="2"/>
          <w:sz w:val="24"/>
          <w:szCs w:val="20"/>
          <w:highlight w:val="none"/>
          <w:lang w:val="en-US" w:eastAsia="zh-CN" w:bidi="ar-SA"/>
        </w:rPr>
        <w:t>投标文件中提供的验收通过意见的终端处置场所处置本项目固废”</w:t>
      </w:r>
      <w:r>
        <w:rPr>
          <w:rFonts w:hint="eastAsia" w:ascii="宋体" w:hAnsi="宋体" w:cs="宋体"/>
          <w:b w:val="0"/>
          <w:smallCaps w:val="0"/>
          <w:color w:val="auto"/>
          <w:kern w:val="2"/>
          <w:sz w:val="24"/>
          <w:szCs w:val="20"/>
          <w:highlight w:val="none"/>
          <w:lang w:val="en-US" w:eastAsia="zh-CN" w:bidi="ar-SA"/>
        </w:rPr>
        <w:t>。</w:t>
      </w:r>
    </w:p>
    <w:p w14:paraId="6AE36E00">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我方对以上承诺负全部法律责任。</w:t>
      </w:r>
    </w:p>
    <w:p w14:paraId="6BBF7506">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1B54C96D">
      <w:pPr>
        <w:tabs>
          <w:tab w:val="left" w:pos="6300"/>
        </w:tabs>
        <w:snapToGrid w:val="0"/>
        <w:spacing w:line="500" w:lineRule="exact"/>
        <w:ind w:firstLine="480" w:firstLineChars="200"/>
        <w:rPr>
          <w:rFonts w:ascii="宋体" w:hAnsi="宋体" w:cs="宋体"/>
          <w:color w:val="auto"/>
          <w:sz w:val="24"/>
          <w:highlight w:val="none"/>
        </w:rPr>
      </w:pPr>
    </w:p>
    <w:p w14:paraId="6A952DCD">
      <w:pPr>
        <w:tabs>
          <w:tab w:val="left" w:pos="6300"/>
        </w:tabs>
        <w:snapToGrid w:val="0"/>
        <w:spacing w:line="50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公章）</w:t>
      </w:r>
    </w:p>
    <w:p w14:paraId="3B6791B6">
      <w:pPr>
        <w:tabs>
          <w:tab w:val="left" w:pos="6300"/>
        </w:tabs>
        <w:snapToGrid w:val="0"/>
        <w:spacing w:line="50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年   月   日</w:t>
      </w:r>
    </w:p>
    <w:p w14:paraId="3BBC2A8C">
      <w:pPr>
        <w:snapToGrid w:val="0"/>
        <w:spacing w:line="440" w:lineRule="exact"/>
        <w:ind w:firstLine="480" w:firstLineChars="200"/>
        <w:rPr>
          <w:rFonts w:ascii="宋体" w:hAnsi="宋体" w:cs="宋体"/>
          <w:color w:val="auto"/>
          <w:sz w:val="24"/>
          <w:szCs w:val="24"/>
          <w:highlight w:val="none"/>
        </w:rPr>
      </w:pPr>
    </w:p>
    <w:p w14:paraId="1683D88E">
      <w:pPr>
        <w:spacing w:line="400" w:lineRule="exact"/>
        <w:rPr>
          <w:rFonts w:ascii="宋体" w:hAnsi="宋体" w:cs="宋体"/>
          <w:color w:val="auto"/>
          <w:highlight w:val="none"/>
        </w:rPr>
      </w:pPr>
    </w:p>
    <w:p w14:paraId="36FD0320">
      <w:pPr>
        <w:spacing w:line="400" w:lineRule="exact"/>
        <w:rPr>
          <w:rFonts w:ascii="宋体" w:hAnsi="宋体" w:cs="宋体"/>
          <w:color w:val="auto"/>
          <w:highlight w:val="none"/>
        </w:rPr>
      </w:pPr>
    </w:p>
    <w:p w14:paraId="53F91024">
      <w:pPr>
        <w:spacing w:line="400" w:lineRule="exact"/>
        <w:rPr>
          <w:rFonts w:ascii="宋体" w:hAnsi="宋体" w:cs="宋体"/>
          <w:color w:val="auto"/>
          <w:highlight w:val="none"/>
        </w:rPr>
      </w:pPr>
    </w:p>
    <w:p w14:paraId="736B3F4A">
      <w:pPr>
        <w:spacing w:line="400" w:lineRule="exact"/>
        <w:rPr>
          <w:rFonts w:ascii="宋体" w:hAnsi="宋体" w:cs="宋体"/>
          <w:color w:val="auto"/>
          <w:highlight w:val="none"/>
        </w:rPr>
      </w:pPr>
    </w:p>
    <w:p w14:paraId="2D1ED124">
      <w:pPr>
        <w:spacing w:line="400" w:lineRule="exact"/>
        <w:rPr>
          <w:rFonts w:ascii="宋体" w:hAnsi="宋体" w:cs="宋体"/>
          <w:color w:val="auto"/>
          <w:highlight w:val="none"/>
        </w:rPr>
      </w:pPr>
    </w:p>
    <w:p w14:paraId="1936B65B">
      <w:pPr>
        <w:spacing w:line="400" w:lineRule="exact"/>
        <w:rPr>
          <w:rFonts w:ascii="宋体" w:hAnsi="宋体" w:cs="宋体"/>
          <w:color w:val="auto"/>
          <w:highlight w:val="none"/>
        </w:rPr>
      </w:pPr>
    </w:p>
    <w:p w14:paraId="4AAEBD3A">
      <w:pPr>
        <w:spacing w:line="400" w:lineRule="exact"/>
        <w:rPr>
          <w:rFonts w:ascii="宋体" w:hAnsi="宋体" w:cs="宋体"/>
          <w:color w:val="auto"/>
          <w:highlight w:val="none"/>
        </w:rPr>
      </w:pPr>
    </w:p>
    <w:p w14:paraId="1FA95974">
      <w:pPr>
        <w:spacing w:line="400" w:lineRule="exact"/>
        <w:rPr>
          <w:rFonts w:ascii="宋体" w:hAnsi="宋体" w:cs="宋体"/>
          <w:color w:val="auto"/>
          <w:highlight w:val="none"/>
        </w:rPr>
      </w:pPr>
    </w:p>
    <w:p w14:paraId="3C7F34B7">
      <w:pPr>
        <w:tabs>
          <w:tab w:val="left" w:pos="6300"/>
        </w:tabs>
        <w:snapToGrid w:val="0"/>
        <w:spacing w:line="500" w:lineRule="exact"/>
        <w:ind w:firstLine="480" w:firstLineChars="200"/>
        <w:rPr>
          <w:rFonts w:ascii="宋体" w:hAnsi="宋体" w:cs="宋体"/>
          <w:color w:val="auto"/>
          <w:sz w:val="24"/>
          <w:szCs w:val="28"/>
          <w:highlight w:val="none"/>
        </w:rPr>
      </w:pPr>
    </w:p>
    <w:p w14:paraId="3FFFED51">
      <w:pPr>
        <w:tabs>
          <w:tab w:val="left" w:pos="6300"/>
        </w:tabs>
        <w:snapToGrid w:val="0"/>
        <w:spacing w:line="500" w:lineRule="exact"/>
        <w:ind w:firstLine="480" w:firstLineChars="200"/>
        <w:rPr>
          <w:rFonts w:ascii="宋体" w:hAnsi="宋体" w:cs="宋体"/>
          <w:color w:val="auto"/>
          <w:sz w:val="24"/>
          <w:szCs w:val="28"/>
          <w:highlight w:val="none"/>
        </w:rPr>
      </w:pPr>
    </w:p>
    <w:p w14:paraId="3B844A4D">
      <w:pPr>
        <w:tabs>
          <w:tab w:val="left" w:pos="6300"/>
        </w:tabs>
        <w:snapToGrid w:val="0"/>
        <w:spacing w:line="500" w:lineRule="exact"/>
        <w:ind w:firstLine="480" w:firstLineChars="200"/>
        <w:rPr>
          <w:rFonts w:hint="eastAsia" w:ascii="宋体" w:hAnsi="宋体" w:cs="宋体"/>
          <w:color w:val="auto"/>
          <w:sz w:val="24"/>
          <w:szCs w:val="28"/>
          <w:highlight w:val="none"/>
        </w:rPr>
      </w:pPr>
    </w:p>
    <w:p w14:paraId="7D1D4825">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w:t>
      </w:r>
      <w:r>
        <w:rPr>
          <w:rFonts w:hint="eastAsia" w:ascii="宋体" w:hAnsi="宋体" w:cs="宋体"/>
          <w:color w:val="auto"/>
          <w:sz w:val="24"/>
          <w:szCs w:val="28"/>
          <w:highlight w:val="none"/>
          <w:lang w:val="en-US" w:eastAsia="zh-CN"/>
        </w:rPr>
        <w:t>五</w:t>
      </w:r>
      <w:r>
        <w:rPr>
          <w:rFonts w:hint="eastAsia" w:ascii="宋体" w:hAnsi="宋体" w:cs="宋体"/>
          <w:color w:val="auto"/>
          <w:sz w:val="24"/>
          <w:szCs w:val="28"/>
          <w:highlight w:val="none"/>
        </w:rPr>
        <w:t>）特定资格条件证书或证明文件</w:t>
      </w:r>
    </w:p>
    <w:p w14:paraId="12F9A6D5">
      <w:pPr>
        <w:tabs>
          <w:tab w:val="left" w:pos="6300"/>
        </w:tabs>
        <w:snapToGrid w:val="0"/>
        <w:spacing w:line="500" w:lineRule="exact"/>
        <w:ind w:firstLine="570"/>
        <w:jc w:val="left"/>
        <w:rPr>
          <w:rFonts w:ascii="宋体" w:hAnsi="宋体" w:cs="宋体"/>
          <w:color w:val="auto"/>
          <w:sz w:val="24"/>
          <w:highlight w:val="none"/>
        </w:rPr>
      </w:pPr>
    </w:p>
    <w:p w14:paraId="01AC1E22">
      <w:pPr>
        <w:tabs>
          <w:tab w:val="left" w:pos="6300"/>
        </w:tabs>
        <w:snapToGrid w:val="0"/>
        <w:spacing w:line="500" w:lineRule="exact"/>
        <w:ind w:firstLine="570"/>
        <w:jc w:val="left"/>
        <w:rPr>
          <w:rFonts w:ascii="宋体" w:hAnsi="宋体" w:cs="宋体"/>
          <w:color w:val="auto"/>
          <w:sz w:val="24"/>
          <w:highlight w:val="none"/>
        </w:rPr>
      </w:pPr>
    </w:p>
    <w:p w14:paraId="4C3F692A">
      <w:pPr>
        <w:tabs>
          <w:tab w:val="left" w:pos="6300"/>
        </w:tabs>
        <w:snapToGrid w:val="0"/>
        <w:spacing w:line="500" w:lineRule="exact"/>
        <w:ind w:firstLine="570"/>
        <w:jc w:val="left"/>
        <w:rPr>
          <w:rFonts w:ascii="宋体" w:hAnsi="宋体" w:cs="宋体"/>
          <w:color w:val="auto"/>
          <w:sz w:val="24"/>
          <w:highlight w:val="none"/>
        </w:rPr>
      </w:pPr>
    </w:p>
    <w:p w14:paraId="7EFE5CE2">
      <w:pPr>
        <w:tabs>
          <w:tab w:val="left" w:pos="6300"/>
        </w:tabs>
        <w:snapToGrid w:val="0"/>
        <w:spacing w:line="500" w:lineRule="exact"/>
        <w:ind w:firstLine="570"/>
        <w:jc w:val="left"/>
        <w:rPr>
          <w:rFonts w:ascii="宋体" w:hAnsi="宋体" w:cs="宋体"/>
          <w:color w:val="auto"/>
          <w:sz w:val="24"/>
          <w:highlight w:val="none"/>
        </w:rPr>
      </w:pPr>
    </w:p>
    <w:p w14:paraId="169C149F">
      <w:pPr>
        <w:tabs>
          <w:tab w:val="left" w:pos="6300"/>
        </w:tabs>
        <w:snapToGrid w:val="0"/>
        <w:spacing w:line="500" w:lineRule="exact"/>
        <w:ind w:firstLine="570"/>
        <w:jc w:val="left"/>
        <w:rPr>
          <w:rFonts w:ascii="宋体" w:hAnsi="宋体" w:cs="宋体"/>
          <w:color w:val="auto"/>
          <w:sz w:val="24"/>
          <w:highlight w:val="none"/>
        </w:rPr>
      </w:pPr>
    </w:p>
    <w:p w14:paraId="2ADA0A8B">
      <w:pPr>
        <w:tabs>
          <w:tab w:val="left" w:pos="6300"/>
        </w:tabs>
        <w:snapToGrid w:val="0"/>
        <w:spacing w:line="500" w:lineRule="exact"/>
        <w:ind w:firstLine="570"/>
        <w:jc w:val="left"/>
        <w:rPr>
          <w:rFonts w:ascii="宋体" w:hAnsi="宋体" w:cs="宋体"/>
          <w:color w:val="auto"/>
          <w:sz w:val="24"/>
          <w:highlight w:val="none"/>
        </w:rPr>
      </w:pPr>
    </w:p>
    <w:p w14:paraId="7CDAE7FF">
      <w:pPr>
        <w:tabs>
          <w:tab w:val="left" w:pos="6300"/>
        </w:tabs>
        <w:snapToGrid w:val="0"/>
        <w:spacing w:line="500" w:lineRule="exact"/>
        <w:ind w:firstLine="570"/>
        <w:jc w:val="left"/>
        <w:rPr>
          <w:rFonts w:ascii="宋体" w:hAnsi="宋体" w:cs="宋体"/>
          <w:color w:val="auto"/>
          <w:sz w:val="24"/>
          <w:highlight w:val="none"/>
        </w:rPr>
      </w:pPr>
    </w:p>
    <w:p w14:paraId="66191F9D">
      <w:pPr>
        <w:tabs>
          <w:tab w:val="left" w:pos="6300"/>
        </w:tabs>
        <w:snapToGrid w:val="0"/>
        <w:spacing w:line="500" w:lineRule="exact"/>
        <w:ind w:firstLine="570"/>
        <w:jc w:val="left"/>
        <w:rPr>
          <w:rFonts w:ascii="宋体" w:hAnsi="宋体" w:cs="宋体"/>
          <w:color w:val="auto"/>
          <w:sz w:val="24"/>
          <w:highlight w:val="none"/>
        </w:rPr>
      </w:pPr>
    </w:p>
    <w:p w14:paraId="1ABCC9DD">
      <w:pPr>
        <w:tabs>
          <w:tab w:val="left" w:pos="6300"/>
        </w:tabs>
        <w:snapToGrid w:val="0"/>
        <w:spacing w:line="500" w:lineRule="exact"/>
        <w:ind w:firstLine="570"/>
        <w:jc w:val="left"/>
        <w:rPr>
          <w:rFonts w:ascii="宋体" w:hAnsi="宋体" w:cs="宋体"/>
          <w:color w:val="auto"/>
          <w:sz w:val="24"/>
          <w:highlight w:val="none"/>
        </w:rPr>
      </w:pPr>
    </w:p>
    <w:p w14:paraId="5D14D7FE">
      <w:pPr>
        <w:tabs>
          <w:tab w:val="left" w:pos="6300"/>
        </w:tabs>
        <w:snapToGrid w:val="0"/>
        <w:spacing w:line="500" w:lineRule="exact"/>
        <w:ind w:firstLine="570"/>
        <w:jc w:val="left"/>
        <w:rPr>
          <w:rFonts w:ascii="宋体" w:hAnsi="宋体" w:cs="宋体"/>
          <w:color w:val="auto"/>
          <w:sz w:val="24"/>
          <w:highlight w:val="none"/>
        </w:rPr>
      </w:pPr>
    </w:p>
    <w:p w14:paraId="51C2132C">
      <w:pPr>
        <w:tabs>
          <w:tab w:val="left" w:pos="6300"/>
        </w:tabs>
        <w:snapToGrid w:val="0"/>
        <w:spacing w:line="500" w:lineRule="exact"/>
        <w:jc w:val="left"/>
        <w:rPr>
          <w:rFonts w:ascii="宋体" w:hAnsi="宋体" w:cs="宋体"/>
          <w:color w:val="auto"/>
          <w:sz w:val="24"/>
          <w:highlight w:val="none"/>
        </w:rPr>
      </w:pPr>
    </w:p>
    <w:p w14:paraId="5A4761EB">
      <w:pPr>
        <w:pStyle w:val="25"/>
        <w:ind w:firstLine="480"/>
        <w:rPr>
          <w:rFonts w:ascii="宋体" w:hAnsi="宋体" w:cs="宋体"/>
          <w:color w:val="auto"/>
          <w:sz w:val="24"/>
          <w:highlight w:val="none"/>
        </w:rPr>
      </w:pPr>
    </w:p>
    <w:p w14:paraId="6D4DE8B2">
      <w:pPr>
        <w:pStyle w:val="25"/>
        <w:ind w:firstLine="480"/>
        <w:rPr>
          <w:rFonts w:ascii="宋体" w:hAnsi="宋体" w:cs="宋体"/>
          <w:color w:val="auto"/>
          <w:sz w:val="24"/>
          <w:highlight w:val="none"/>
        </w:rPr>
      </w:pPr>
    </w:p>
    <w:p w14:paraId="6269EA60">
      <w:pPr>
        <w:pStyle w:val="25"/>
        <w:ind w:firstLine="480"/>
        <w:rPr>
          <w:rFonts w:ascii="宋体" w:hAnsi="宋体" w:cs="宋体"/>
          <w:color w:val="auto"/>
          <w:sz w:val="24"/>
          <w:highlight w:val="none"/>
        </w:rPr>
      </w:pPr>
    </w:p>
    <w:p w14:paraId="0545CD1E">
      <w:pPr>
        <w:pStyle w:val="25"/>
        <w:ind w:firstLine="480"/>
        <w:rPr>
          <w:rFonts w:ascii="宋体" w:hAnsi="宋体" w:cs="宋体"/>
          <w:color w:val="auto"/>
          <w:sz w:val="24"/>
          <w:highlight w:val="none"/>
        </w:rPr>
      </w:pPr>
    </w:p>
    <w:p w14:paraId="7B4ED3A5">
      <w:pPr>
        <w:pStyle w:val="25"/>
        <w:ind w:firstLine="480"/>
        <w:rPr>
          <w:rFonts w:ascii="宋体" w:hAnsi="宋体" w:cs="宋体"/>
          <w:color w:val="auto"/>
          <w:sz w:val="24"/>
          <w:highlight w:val="none"/>
        </w:rPr>
      </w:pPr>
    </w:p>
    <w:p w14:paraId="053E6416">
      <w:pPr>
        <w:pStyle w:val="25"/>
        <w:ind w:firstLine="480"/>
        <w:rPr>
          <w:rFonts w:ascii="宋体" w:hAnsi="宋体" w:cs="宋体"/>
          <w:color w:val="auto"/>
          <w:sz w:val="24"/>
          <w:highlight w:val="none"/>
        </w:rPr>
      </w:pPr>
    </w:p>
    <w:p w14:paraId="2E6E6753">
      <w:pPr>
        <w:pStyle w:val="25"/>
        <w:ind w:firstLine="480"/>
        <w:rPr>
          <w:rFonts w:ascii="宋体" w:hAnsi="宋体" w:cs="宋体"/>
          <w:color w:val="auto"/>
          <w:sz w:val="24"/>
          <w:highlight w:val="none"/>
        </w:rPr>
      </w:pPr>
    </w:p>
    <w:p w14:paraId="0DD16E06">
      <w:pPr>
        <w:pStyle w:val="25"/>
        <w:ind w:firstLine="480"/>
        <w:rPr>
          <w:rFonts w:ascii="宋体" w:hAnsi="宋体" w:cs="宋体"/>
          <w:color w:val="auto"/>
          <w:sz w:val="24"/>
          <w:highlight w:val="none"/>
        </w:rPr>
      </w:pPr>
    </w:p>
    <w:p w14:paraId="0A045095">
      <w:pPr>
        <w:pStyle w:val="25"/>
        <w:ind w:firstLine="480"/>
        <w:rPr>
          <w:rFonts w:ascii="宋体" w:hAnsi="宋体" w:cs="宋体"/>
          <w:color w:val="auto"/>
          <w:sz w:val="24"/>
          <w:highlight w:val="none"/>
        </w:rPr>
      </w:pPr>
    </w:p>
    <w:p w14:paraId="1CFB4582">
      <w:pPr>
        <w:pStyle w:val="25"/>
        <w:ind w:firstLine="480"/>
        <w:rPr>
          <w:rFonts w:ascii="宋体" w:hAnsi="宋体" w:cs="宋体"/>
          <w:color w:val="auto"/>
          <w:sz w:val="24"/>
          <w:highlight w:val="none"/>
        </w:rPr>
      </w:pPr>
    </w:p>
    <w:p w14:paraId="264E5483">
      <w:pPr>
        <w:pStyle w:val="25"/>
        <w:ind w:firstLine="480"/>
        <w:rPr>
          <w:rFonts w:ascii="宋体" w:hAnsi="宋体" w:cs="宋体"/>
          <w:color w:val="auto"/>
          <w:sz w:val="24"/>
          <w:highlight w:val="none"/>
        </w:rPr>
      </w:pPr>
    </w:p>
    <w:p w14:paraId="60DF8F2D">
      <w:pPr>
        <w:tabs>
          <w:tab w:val="left" w:pos="6300"/>
        </w:tabs>
        <w:snapToGrid w:val="0"/>
        <w:spacing w:line="500" w:lineRule="exact"/>
        <w:ind w:firstLine="480" w:firstLineChars="200"/>
        <w:jc w:val="center"/>
        <w:outlineLvl w:val="0"/>
        <w:rPr>
          <w:rFonts w:ascii="宋体" w:hAnsi="宋体" w:cs="宋体"/>
          <w:color w:val="auto"/>
          <w:sz w:val="24"/>
          <w:highlight w:val="none"/>
        </w:rPr>
      </w:pPr>
      <w:r>
        <w:rPr>
          <w:rFonts w:hint="eastAsia" w:ascii="宋体" w:hAnsi="宋体" w:cs="宋体"/>
          <w:color w:val="auto"/>
          <w:sz w:val="24"/>
          <w:highlight w:val="none"/>
        </w:rPr>
        <w:t>（结束）</w:t>
      </w:r>
    </w:p>
    <w:p w14:paraId="61DA6739">
      <w:pPr>
        <w:rPr>
          <w:rFonts w:ascii="宋体" w:hAnsi="宋体" w:cs="宋体"/>
          <w:color w:val="auto"/>
          <w:highlight w:val="none"/>
        </w:rPr>
      </w:pPr>
    </w:p>
    <w:sectPr>
      <w:footerReference r:id="rId10" w:type="default"/>
      <w:type w:val="nextColumn"/>
      <w:pgSz w:w="11907" w:h="16840"/>
      <w:pgMar w:top="1134" w:right="1191" w:bottom="1134" w:left="1304"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仿宋_GB2312;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CC925">
    <w:pPr>
      <w:pStyle w:val="13"/>
      <w:jc w:val="center"/>
      <w:rPr>
        <w:sz w:val="24"/>
      </w:rPr>
    </w:pPr>
    <w:r>
      <w:rPr>
        <w:sz w:val="24"/>
      </w:rPr>
      <w:fldChar w:fldCharType="begin"/>
    </w:r>
    <w:r>
      <w:rPr>
        <w:rStyle w:val="23"/>
        <w:sz w:val="24"/>
      </w:rPr>
      <w:instrText xml:space="preserve"> PAGE </w:instrText>
    </w:r>
    <w:r>
      <w:rPr>
        <w:sz w:val="24"/>
      </w:rPr>
      <w:fldChar w:fldCharType="separate"/>
    </w:r>
    <w:r>
      <w:rPr>
        <w:rStyle w:val="23"/>
        <w:sz w:val="24"/>
      </w:rPr>
      <w:t>- 1 -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30873">
    <w:pPr>
      <w:pStyle w:val="13"/>
      <w:framePr w:wrap="around" w:vAnchor="text" w:hAnchor="margin" w:xAlign="center" w:y="1"/>
      <w:rPr>
        <w:rStyle w:val="23"/>
      </w:rPr>
    </w:pPr>
    <w:r>
      <w:fldChar w:fldCharType="begin"/>
    </w:r>
    <w:r>
      <w:rPr>
        <w:rStyle w:val="23"/>
      </w:rPr>
      <w:instrText xml:space="preserve">PAGE  </w:instrText>
    </w:r>
    <w:r>
      <w:fldChar w:fldCharType="end"/>
    </w:r>
  </w:p>
  <w:p w14:paraId="33765B28">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2C9E9">
    <w:pPr>
      <w:pStyle w:val="13"/>
      <w:rPr>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97927">
    <w:pPr>
      <w:pStyle w:val="13"/>
      <w:jc w:val="center"/>
      <w:rPr>
        <w:rFonts w:ascii="宋体" w:hAnsi="宋体"/>
        <w:sz w:val="21"/>
        <w:szCs w:val="21"/>
      </w:rPr>
    </w:pPr>
    <w:r>
      <w:rPr>
        <w:rFonts w:ascii="宋体" w:hAnsi="宋体"/>
        <w:sz w:val="21"/>
        <w:szCs w:val="21"/>
      </w:rPr>
      <w:fldChar w:fldCharType="begin"/>
    </w:r>
    <w:r>
      <w:rPr>
        <w:rStyle w:val="23"/>
        <w:rFonts w:ascii="宋体" w:hAnsi="宋体"/>
        <w:sz w:val="21"/>
        <w:szCs w:val="21"/>
      </w:rPr>
      <w:instrText xml:space="preserve"> PAGE </w:instrText>
    </w:r>
    <w:r>
      <w:rPr>
        <w:rFonts w:ascii="宋体" w:hAnsi="宋体"/>
        <w:sz w:val="21"/>
        <w:szCs w:val="21"/>
      </w:rPr>
      <w:fldChar w:fldCharType="separate"/>
    </w:r>
    <w:r>
      <w:rPr>
        <w:rStyle w:val="23"/>
        <w:rFonts w:ascii="宋体" w:hAnsi="宋体"/>
        <w:sz w:val="21"/>
        <w:szCs w:val="21"/>
      </w:rPr>
      <w:t>- 18 -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29C89">
    <w:pPr>
      <w:pStyle w:val="13"/>
      <w:framePr w:wrap="around" w:vAnchor="text" w:hAnchor="margin" w:xAlign="center" w:y="1"/>
      <w:rPr>
        <w:rStyle w:val="23"/>
      </w:rPr>
    </w:pPr>
    <w:r>
      <w:fldChar w:fldCharType="begin"/>
    </w:r>
    <w:r>
      <w:rPr>
        <w:rStyle w:val="23"/>
      </w:rPr>
      <w:instrText xml:space="preserve">PAGE  </w:instrText>
    </w:r>
    <w:r>
      <w:fldChar w:fldCharType="end"/>
    </w:r>
  </w:p>
  <w:p w14:paraId="1521B459">
    <w:pPr>
      <w:pStyle w:val="1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A56BD">
    <w:pPr>
      <w:pStyle w:val="13"/>
      <w:jc w:val="center"/>
      <w:rPr>
        <w:sz w:val="24"/>
      </w:rPr>
    </w:pPr>
    <w:r>
      <w:rPr>
        <w:sz w:val="24"/>
      </w:rPr>
      <w:fldChar w:fldCharType="begin"/>
    </w:r>
    <w:r>
      <w:rPr>
        <w:rStyle w:val="23"/>
        <w:sz w:val="24"/>
      </w:rPr>
      <w:instrText xml:space="preserve"> PAGE </w:instrText>
    </w:r>
    <w:r>
      <w:rPr>
        <w:sz w:val="24"/>
      </w:rPr>
      <w:fldChar w:fldCharType="separate"/>
    </w:r>
    <w:r>
      <w:rPr>
        <w:rStyle w:val="23"/>
        <w:sz w:val="24"/>
      </w:rPr>
      <w:t>- 19 -</w:t>
    </w:r>
    <w:r>
      <w:rPr>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DD7B2">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EAAD6">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57C350"/>
    <w:multiLevelType w:val="singleLevel"/>
    <w:tmpl w:val="DF57C350"/>
    <w:lvl w:ilvl="0" w:tentative="0">
      <w:start w:val="1"/>
      <w:numFmt w:val="decimal"/>
      <w:suff w:val="nothing"/>
      <w:lvlText w:val="%1、"/>
      <w:lvlJc w:val="left"/>
    </w:lvl>
  </w:abstractNum>
  <w:abstractNum w:abstractNumId="1">
    <w:nsid w:val="00000008"/>
    <w:multiLevelType w:val="multilevel"/>
    <w:tmpl w:val="00000008"/>
    <w:lvl w:ilvl="0" w:tentative="0">
      <w:start w:val="1"/>
      <w:numFmt w:val="chineseCountingThousand"/>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6"/>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53208E"/>
    <w:multiLevelType w:val="multilevel"/>
    <w:tmpl w:val="0053208E"/>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pStyle w:val="35"/>
      <w:suff w:val="nothing"/>
      <w:lvlText w:val=""/>
      <w:lvlJc w:val="left"/>
      <w:pPr>
        <w:tabs>
          <w:tab w:val="left" w:pos="0"/>
        </w:tabs>
        <w:ind w:left="0" w:firstLine="0"/>
      </w:pPr>
    </w:lvl>
    <w:lvl w:ilvl="3" w:tentative="0">
      <w:start w:val="1"/>
      <w:numFmt w:val="none"/>
      <w:pStyle w:val="34"/>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kYmNjYmU0NDUyZmY0ZGQ0NWIyYTI4NzE2MWQ4Y2QifQ=="/>
  </w:docVars>
  <w:rsids>
    <w:rsidRoot w:val="00F92968"/>
    <w:rsid w:val="000203E2"/>
    <w:rsid w:val="000F2F54"/>
    <w:rsid w:val="000F369C"/>
    <w:rsid w:val="001256C4"/>
    <w:rsid w:val="00132CB8"/>
    <w:rsid w:val="00137943"/>
    <w:rsid w:val="0014132E"/>
    <w:rsid w:val="001F2417"/>
    <w:rsid w:val="002043DE"/>
    <w:rsid w:val="00272642"/>
    <w:rsid w:val="002B3988"/>
    <w:rsid w:val="003B4CC9"/>
    <w:rsid w:val="003C2184"/>
    <w:rsid w:val="0048064F"/>
    <w:rsid w:val="006A0181"/>
    <w:rsid w:val="006B1E38"/>
    <w:rsid w:val="006F6472"/>
    <w:rsid w:val="007A792C"/>
    <w:rsid w:val="00917B74"/>
    <w:rsid w:val="00957199"/>
    <w:rsid w:val="00A43F70"/>
    <w:rsid w:val="00AD5C72"/>
    <w:rsid w:val="00B67BA8"/>
    <w:rsid w:val="00B80D9A"/>
    <w:rsid w:val="00BC6285"/>
    <w:rsid w:val="00BE0EB3"/>
    <w:rsid w:val="00C96D57"/>
    <w:rsid w:val="00CE53C5"/>
    <w:rsid w:val="00DC14B2"/>
    <w:rsid w:val="00DD2031"/>
    <w:rsid w:val="00E327BB"/>
    <w:rsid w:val="00EF6E2B"/>
    <w:rsid w:val="00EF7E03"/>
    <w:rsid w:val="00F92968"/>
    <w:rsid w:val="00FC2F0C"/>
    <w:rsid w:val="02096A9F"/>
    <w:rsid w:val="032B2417"/>
    <w:rsid w:val="03703275"/>
    <w:rsid w:val="03DF1EFE"/>
    <w:rsid w:val="043B199D"/>
    <w:rsid w:val="044F345F"/>
    <w:rsid w:val="04F1714E"/>
    <w:rsid w:val="06873AE9"/>
    <w:rsid w:val="06EE39C0"/>
    <w:rsid w:val="06F02A97"/>
    <w:rsid w:val="070F7012"/>
    <w:rsid w:val="07371BBF"/>
    <w:rsid w:val="07B86FCC"/>
    <w:rsid w:val="08436C4F"/>
    <w:rsid w:val="08DC03A1"/>
    <w:rsid w:val="096C360D"/>
    <w:rsid w:val="0A586566"/>
    <w:rsid w:val="0B100B65"/>
    <w:rsid w:val="0B126995"/>
    <w:rsid w:val="0BA82483"/>
    <w:rsid w:val="0BDB1E57"/>
    <w:rsid w:val="0CBC51CF"/>
    <w:rsid w:val="0CFB4BD2"/>
    <w:rsid w:val="0E677C47"/>
    <w:rsid w:val="0F7C15C2"/>
    <w:rsid w:val="11E76422"/>
    <w:rsid w:val="1278758A"/>
    <w:rsid w:val="12B50C0C"/>
    <w:rsid w:val="130848A2"/>
    <w:rsid w:val="151D59B2"/>
    <w:rsid w:val="157A6213"/>
    <w:rsid w:val="16180394"/>
    <w:rsid w:val="167B7F56"/>
    <w:rsid w:val="17595E09"/>
    <w:rsid w:val="17ED795D"/>
    <w:rsid w:val="19093103"/>
    <w:rsid w:val="19C01A32"/>
    <w:rsid w:val="19E566EB"/>
    <w:rsid w:val="19F636A6"/>
    <w:rsid w:val="1A6A1554"/>
    <w:rsid w:val="1BB10937"/>
    <w:rsid w:val="1CF31976"/>
    <w:rsid w:val="1DE67DB3"/>
    <w:rsid w:val="1E7C0B3A"/>
    <w:rsid w:val="1F571AE0"/>
    <w:rsid w:val="1FBA579B"/>
    <w:rsid w:val="20046E5B"/>
    <w:rsid w:val="206F1815"/>
    <w:rsid w:val="214229D8"/>
    <w:rsid w:val="21D564D2"/>
    <w:rsid w:val="21ED1ABE"/>
    <w:rsid w:val="2367085C"/>
    <w:rsid w:val="23CB02C7"/>
    <w:rsid w:val="24465B8C"/>
    <w:rsid w:val="248E15A4"/>
    <w:rsid w:val="24BD3F7B"/>
    <w:rsid w:val="25440E2B"/>
    <w:rsid w:val="2578207C"/>
    <w:rsid w:val="25ED1E01"/>
    <w:rsid w:val="26A0180B"/>
    <w:rsid w:val="277B4EC8"/>
    <w:rsid w:val="27E777F0"/>
    <w:rsid w:val="281240D5"/>
    <w:rsid w:val="281C498C"/>
    <w:rsid w:val="28482B20"/>
    <w:rsid w:val="28A228A5"/>
    <w:rsid w:val="28B7736C"/>
    <w:rsid w:val="29372C21"/>
    <w:rsid w:val="2A781E8D"/>
    <w:rsid w:val="2A8D770F"/>
    <w:rsid w:val="2B25571C"/>
    <w:rsid w:val="2B865235"/>
    <w:rsid w:val="2F977E38"/>
    <w:rsid w:val="32B84EB0"/>
    <w:rsid w:val="33A51F6D"/>
    <w:rsid w:val="33AD491F"/>
    <w:rsid w:val="3421071B"/>
    <w:rsid w:val="34B95194"/>
    <w:rsid w:val="35026F4B"/>
    <w:rsid w:val="360311CD"/>
    <w:rsid w:val="370D1700"/>
    <w:rsid w:val="37EB4421"/>
    <w:rsid w:val="3846569E"/>
    <w:rsid w:val="38A73969"/>
    <w:rsid w:val="38E726E0"/>
    <w:rsid w:val="3958538C"/>
    <w:rsid w:val="3A560D0F"/>
    <w:rsid w:val="3A5C0EAC"/>
    <w:rsid w:val="3AD82C28"/>
    <w:rsid w:val="3C241E9D"/>
    <w:rsid w:val="3CF70537"/>
    <w:rsid w:val="3F163D1F"/>
    <w:rsid w:val="40E557F6"/>
    <w:rsid w:val="429D0359"/>
    <w:rsid w:val="42BA2C13"/>
    <w:rsid w:val="42E3660E"/>
    <w:rsid w:val="431900AB"/>
    <w:rsid w:val="431E31A2"/>
    <w:rsid w:val="4374370A"/>
    <w:rsid w:val="44282A41"/>
    <w:rsid w:val="44DA08B5"/>
    <w:rsid w:val="45672BF1"/>
    <w:rsid w:val="47286E7B"/>
    <w:rsid w:val="47CD3D5B"/>
    <w:rsid w:val="48086E11"/>
    <w:rsid w:val="488D7D14"/>
    <w:rsid w:val="48FC1B96"/>
    <w:rsid w:val="49232F39"/>
    <w:rsid w:val="4A5F4E81"/>
    <w:rsid w:val="4A6A2A32"/>
    <w:rsid w:val="4AD7259F"/>
    <w:rsid w:val="4B140834"/>
    <w:rsid w:val="4BF21EC3"/>
    <w:rsid w:val="4DF3347D"/>
    <w:rsid w:val="4DF8272D"/>
    <w:rsid w:val="4F786330"/>
    <w:rsid w:val="4FC6437B"/>
    <w:rsid w:val="50C27ACD"/>
    <w:rsid w:val="51C20B73"/>
    <w:rsid w:val="52093015"/>
    <w:rsid w:val="526B31E9"/>
    <w:rsid w:val="534367E9"/>
    <w:rsid w:val="53BA6026"/>
    <w:rsid w:val="54E66FD2"/>
    <w:rsid w:val="550B6AE8"/>
    <w:rsid w:val="55326F81"/>
    <w:rsid w:val="55E91296"/>
    <w:rsid w:val="570A5ABF"/>
    <w:rsid w:val="57B91DA5"/>
    <w:rsid w:val="57D60097"/>
    <w:rsid w:val="589755C8"/>
    <w:rsid w:val="58A71987"/>
    <w:rsid w:val="595D2F18"/>
    <w:rsid w:val="598C5E36"/>
    <w:rsid w:val="5ACA1208"/>
    <w:rsid w:val="5D1B2B2B"/>
    <w:rsid w:val="5DDC08C1"/>
    <w:rsid w:val="5EE435F7"/>
    <w:rsid w:val="604026D5"/>
    <w:rsid w:val="62BF462F"/>
    <w:rsid w:val="631F2E43"/>
    <w:rsid w:val="64267CB1"/>
    <w:rsid w:val="656E498B"/>
    <w:rsid w:val="66CA032E"/>
    <w:rsid w:val="66DC0906"/>
    <w:rsid w:val="69475245"/>
    <w:rsid w:val="6A7B5033"/>
    <w:rsid w:val="6CB40479"/>
    <w:rsid w:val="6D0E596F"/>
    <w:rsid w:val="6D4C5D1C"/>
    <w:rsid w:val="6D93126D"/>
    <w:rsid w:val="6E1C0B93"/>
    <w:rsid w:val="6E65094B"/>
    <w:rsid w:val="71043DAB"/>
    <w:rsid w:val="711E13C9"/>
    <w:rsid w:val="713277C0"/>
    <w:rsid w:val="716024DB"/>
    <w:rsid w:val="71DD038D"/>
    <w:rsid w:val="721B13C4"/>
    <w:rsid w:val="73C52757"/>
    <w:rsid w:val="7425763C"/>
    <w:rsid w:val="74870676"/>
    <w:rsid w:val="75011763"/>
    <w:rsid w:val="752175BA"/>
    <w:rsid w:val="76F1354A"/>
    <w:rsid w:val="76FF2D0F"/>
    <w:rsid w:val="777A5EA4"/>
    <w:rsid w:val="77F40FB7"/>
    <w:rsid w:val="78C0202A"/>
    <w:rsid w:val="792C5912"/>
    <w:rsid w:val="79AC4B90"/>
    <w:rsid w:val="7A51125B"/>
    <w:rsid w:val="7B846EF5"/>
    <w:rsid w:val="7BFF10BB"/>
    <w:rsid w:val="7D1345D0"/>
    <w:rsid w:val="7D696CBB"/>
    <w:rsid w:val="7DB87774"/>
    <w:rsid w:val="7DD722F0"/>
    <w:rsid w:val="7DF22F15"/>
    <w:rsid w:val="7DFF3FEB"/>
    <w:rsid w:val="7E0D2FBA"/>
    <w:rsid w:val="7F4212B7"/>
    <w:rsid w:val="7F6C34C7"/>
    <w:rsid w:val="7FDD7966"/>
    <w:rsid w:val="7FED7E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keepNext w:val="0"/>
      <w:keepLines w:val="0"/>
      <w:widowControl/>
      <w:suppressLineNumbers w:val="0"/>
      <w:spacing w:after="240" w:afterLines="0" w:afterAutospacing="0" w:line="360" w:lineRule="auto"/>
      <w:jc w:val="center"/>
    </w:pPr>
    <w:rPr>
      <w:rFonts w:hint="default" w:ascii="Arial" w:hAnsi="Arial" w:cs="Arial"/>
      <w:b/>
      <w:smallCaps/>
      <w:kern w:val="28"/>
      <w:sz w:val="36"/>
      <w:szCs w:val="36"/>
      <w:lang w:val="en-US" w:eastAsia="zh-CN" w:bidi="ar"/>
    </w:rPr>
  </w:style>
  <w:style w:type="paragraph" w:styleId="5">
    <w:name w:val="table of authorities"/>
    <w:basedOn w:val="1"/>
    <w:next w:val="1"/>
    <w:unhideWhenUsed/>
    <w:qFormat/>
    <w:uiPriority w:val="99"/>
    <w:pPr>
      <w:ind w:left="420" w:leftChars="200"/>
    </w:pPr>
  </w:style>
  <w:style w:type="paragraph" w:styleId="6">
    <w:name w:val="Normal Indent"/>
    <w:basedOn w:val="1"/>
    <w:qFormat/>
    <w:uiPriority w:val="0"/>
    <w:pPr>
      <w:adjustRightInd w:val="0"/>
      <w:snapToGrid w:val="0"/>
      <w:spacing w:line="360" w:lineRule="auto"/>
      <w:ind w:firstLine="420"/>
    </w:pPr>
    <w:rPr>
      <w:sz w:val="24"/>
    </w:rPr>
  </w:style>
  <w:style w:type="paragraph" w:styleId="7">
    <w:name w:val="annotation text"/>
    <w:basedOn w:val="1"/>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8">
    <w:name w:val="Body Text"/>
    <w:basedOn w:val="1"/>
    <w:link w:val="31"/>
    <w:qFormat/>
    <w:uiPriority w:val="99"/>
    <w:rPr>
      <w:rFonts w:ascii="仿宋_GB2312" w:eastAsia="仿宋_GB2312"/>
      <w:sz w:val="32"/>
    </w:rPr>
  </w:style>
  <w:style w:type="paragraph" w:styleId="9">
    <w:name w:val="Body Text Indent"/>
    <w:basedOn w:val="1"/>
    <w:qFormat/>
    <w:uiPriority w:val="0"/>
    <w:pPr>
      <w:spacing w:line="700" w:lineRule="exact"/>
      <w:ind w:left="960"/>
    </w:pPr>
    <w:rPr>
      <w:sz w:val="44"/>
    </w:rPr>
  </w:style>
  <w:style w:type="paragraph" w:styleId="10">
    <w:name w:val="Plain Text"/>
    <w:basedOn w:val="1"/>
    <w:qFormat/>
    <w:uiPriority w:val="0"/>
    <w:pPr>
      <w:adjustRightInd w:val="0"/>
      <w:snapToGrid w:val="0"/>
      <w:spacing w:line="360" w:lineRule="auto"/>
    </w:pPr>
    <w:rPr>
      <w:rFonts w:ascii="宋体" w:hAnsi="Courier New"/>
      <w:sz w:val="21"/>
    </w:rPr>
  </w:style>
  <w:style w:type="paragraph" w:styleId="11">
    <w:name w:val="Date"/>
    <w:basedOn w:val="1"/>
    <w:next w:val="1"/>
    <w:qFormat/>
    <w:uiPriority w:val="0"/>
  </w:style>
  <w:style w:type="paragraph" w:styleId="12">
    <w:name w:val="Balloon Text"/>
    <w:basedOn w:val="1"/>
    <w:link w:val="30"/>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39"/>
    <w:pPr>
      <w:tabs>
        <w:tab w:val="left" w:pos="1260"/>
        <w:tab w:val="left" w:pos="1685"/>
        <w:tab w:val="right" w:leader="dot" w:pos="8400"/>
      </w:tabs>
      <w:spacing w:line="320" w:lineRule="exact"/>
      <w:ind w:firstLine="280" w:firstLineChars="100"/>
    </w:pPr>
    <w:rPr>
      <w:b/>
    </w:rPr>
  </w:style>
  <w:style w:type="paragraph" w:styleId="16">
    <w:name w:val="toc 2"/>
    <w:basedOn w:val="1"/>
    <w:next w:val="1"/>
    <w:qFormat/>
    <w:uiPriority w:val="39"/>
    <w:pPr>
      <w:tabs>
        <w:tab w:val="right" w:leader="dot" w:pos="8400"/>
      </w:tabs>
      <w:spacing w:line="440" w:lineRule="exact"/>
      <w:ind w:left="280" w:leftChars="100" w:right="-91" w:rightChars="-91"/>
    </w:pPr>
  </w:style>
  <w:style w:type="paragraph" w:styleId="17">
    <w:name w:val="Body Text 2"/>
    <w:basedOn w:val="1"/>
    <w:qFormat/>
    <w:uiPriority w:val="0"/>
    <w:pPr>
      <w:adjustRightInd w:val="0"/>
      <w:snapToGrid w:val="0"/>
      <w:spacing w:after="120" w:line="480" w:lineRule="auto"/>
    </w:pPr>
  </w:style>
  <w:style w:type="paragraph" w:styleId="18">
    <w:name w:val="Normal (Web)"/>
    <w:basedOn w:val="1"/>
    <w:qFormat/>
    <w:uiPriority w:val="0"/>
    <w:pPr>
      <w:spacing w:beforeAutospacing="1" w:afterAutospacing="1"/>
      <w:jc w:val="left"/>
    </w:pPr>
    <w:rPr>
      <w:kern w:val="0"/>
      <w:sz w:val="24"/>
    </w:rPr>
  </w:style>
  <w:style w:type="paragraph" w:styleId="19">
    <w:name w:val="Body Text First Indent 2"/>
    <w:basedOn w:val="9"/>
    <w:qFormat/>
    <w:uiPriority w:val="99"/>
    <w:pPr>
      <w:spacing w:after="120" w:line="240" w:lineRule="auto"/>
      <w:ind w:left="420" w:leftChars="200"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qFormat/>
    <w:uiPriority w:val="0"/>
  </w:style>
  <w:style w:type="character" w:styleId="24">
    <w:name w:val="Hyperlink"/>
    <w:qFormat/>
    <w:uiPriority w:val="99"/>
    <w:rPr>
      <w:color w:val="0000FF"/>
      <w:u w:val="single"/>
    </w:rPr>
  </w:style>
  <w:style w:type="paragraph" w:customStyle="1" w:styleId="25">
    <w:name w:val="标书正文1"/>
    <w:basedOn w:val="1"/>
    <w:qFormat/>
    <w:uiPriority w:val="99"/>
    <w:pPr>
      <w:spacing w:line="520" w:lineRule="exact"/>
      <w:ind w:firstLine="640" w:firstLineChars="200"/>
    </w:pPr>
  </w:style>
  <w:style w:type="paragraph" w:customStyle="1" w:styleId="26">
    <w:name w:val="标题 5（有编号）（绿盟科技）"/>
    <w:basedOn w:val="1"/>
    <w:next w:val="27"/>
    <w:qFormat/>
    <w:uiPriority w:val="0"/>
    <w:pPr>
      <w:keepNext/>
      <w:keepLines/>
      <w:numPr>
        <w:ilvl w:val="4"/>
        <w:numId w:val="1"/>
      </w:numPr>
      <w:spacing w:before="280" w:after="156" w:line="377" w:lineRule="auto"/>
      <w:outlineLvl w:val="4"/>
    </w:pPr>
    <w:rPr>
      <w:rFonts w:ascii="Arial" w:hAnsi="Arial" w:eastAsia="黑体"/>
      <w:b/>
      <w:kern w:val="0"/>
      <w:szCs w:val="28"/>
    </w:rPr>
  </w:style>
  <w:style w:type="paragraph" w:customStyle="1" w:styleId="27">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28">
    <w:name w:val="NormalCharacter"/>
    <w:qFormat/>
    <w:uiPriority w:val="0"/>
  </w:style>
  <w:style w:type="paragraph" w:customStyle="1" w:styleId="29">
    <w:name w:val="图例"/>
    <w:basedOn w:val="1"/>
    <w:qFormat/>
    <w:uiPriority w:val="0"/>
    <w:pPr>
      <w:spacing w:line="360" w:lineRule="auto"/>
      <w:jc w:val="center"/>
    </w:pPr>
    <w:rPr>
      <w:rFonts w:eastAsia="仿宋_GB2312"/>
      <w:b/>
      <w:sz w:val="24"/>
    </w:rPr>
  </w:style>
  <w:style w:type="character" w:customStyle="1" w:styleId="30">
    <w:name w:val="批注框文本 Char"/>
    <w:basedOn w:val="22"/>
    <w:link w:val="12"/>
    <w:qFormat/>
    <w:uiPriority w:val="0"/>
    <w:rPr>
      <w:rFonts w:ascii="Times New Roman" w:hAnsi="Times New Roman" w:eastAsia="宋体" w:cs="Times New Roman"/>
      <w:kern w:val="2"/>
      <w:sz w:val="18"/>
      <w:szCs w:val="18"/>
    </w:rPr>
  </w:style>
  <w:style w:type="character" w:customStyle="1" w:styleId="31">
    <w:name w:val="正文文本 Char"/>
    <w:basedOn w:val="22"/>
    <w:link w:val="8"/>
    <w:qFormat/>
    <w:uiPriority w:val="99"/>
    <w:rPr>
      <w:rFonts w:ascii="仿宋_GB2312" w:hAnsi="Times New Roman" w:eastAsia="仿宋_GB2312" w:cs="Times New Roman"/>
      <w:kern w:val="2"/>
      <w:sz w:val="32"/>
    </w:rPr>
  </w:style>
  <w:style w:type="paragraph" w:customStyle="1" w:styleId="32">
    <w:name w:val="正文1"/>
    <w:basedOn w:val="33"/>
    <w:next w:val="1"/>
    <w:qFormat/>
    <w:uiPriority w:val="0"/>
    <w:pPr>
      <w:spacing w:line="300" w:lineRule="auto"/>
    </w:pPr>
    <w:rPr>
      <w:sz w:val="24"/>
    </w:rPr>
  </w:style>
  <w:style w:type="paragraph" w:customStyle="1" w:styleId="33">
    <w:name w:val="正文11"/>
    <w:next w:val="34"/>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34">
    <w:name w:val="标题 41"/>
    <w:basedOn w:val="33"/>
    <w:next w:val="33"/>
    <w:unhideWhenUsed/>
    <w:qFormat/>
    <w:uiPriority w:val="9"/>
    <w:pPr>
      <w:keepNext/>
      <w:keepLines/>
      <w:numPr>
        <w:ilvl w:val="3"/>
        <w:numId w:val="2"/>
      </w:numPr>
      <w:spacing w:line="372" w:lineRule="auto"/>
      <w:outlineLvl w:val="3"/>
    </w:pPr>
    <w:rPr>
      <w:rFonts w:ascii="Arial" w:hAnsi="Arial" w:eastAsia="黑体" w:cs="Arial"/>
      <w:b/>
    </w:rPr>
  </w:style>
  <w:style w:type="paragraph" w:customStyle="1" w:styleId="35">
    <w:name w:val="标题 31"/>
    <w:basedOn w:val="33"/>
    <w:next w:val="33"/>
    <w:unhideWhenUsed/>
    <w:qFormat/>
    <w:uiPriority w:val="9"/>
    <w:pPr>
      <w:keepNext/>
      <w:keepLines/>
      <w:numPr>
        <w:ilvl w:val="2"/>
        <w:numId w:val="2"/>
      </w:numPr>
      <w:spacing w:line="408" w:lineRule="auto"/>
      <w:outlineLvl w:val="2"/>
    </w:pPr>
    <w:rPr>
      <w:b/>
      <w:sz w:val="32"/>
    </w:rPr>
  </w:style>
  <w:style w:type="paragraph" w:customStyle="1" w:styleId="36">
    <w:name w:val="正文文本1"/>
    <w:basedOn w:val="33"/>
    <w:next w:val="33"/>
    <w:qFormat/>
    <w:uiPriority w:val="0"/>
    <w:rPr>
      <w:rFonts w:ascii="仿宋_GB2312;仿宋" w:hAnsi="仿宋_GB2312;仿宋" w:eastAsia="仿宋_GB2312;仿宋"/>
      <w:sz w:val="32"/>
    </w:rPr>
  </w:style>
  <w:style w:type="paragraph" w:customStyle="1" w:styleId="37">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8">
    <w:name w:val="1"/>
    <w:basedOn w:val="1"/>
    <w:next w:val="10"/>
    <w:qFormat/>
    <w:uiPriority w:val="0"/>
    <w:rPr>
      <w:rFonts w:ascii="宋体" w:hAnsi="Courier New"/>
      <w:sz w:val="21"/>
    </w:rPr>
  </w:style>
  <w:style w:type="paragraph" w:customStyle="1" w:styleId="39">
    <w:name w:val="BodyText"/>
    <w:basedOn w:val="1"/>
    <w:next w:val="40"/>
    <w:qFormat/>
    <w:uiPriority w:val="0"/>
    <w:pPr>
      <w:textAlignment w:val="baseline"/>
    </w:pPr>
    <w:rPr>
      <w:rFonts w:ascii="仿宋_GB2312" w:eastAsia="仿宋_GB2312"/>
      <w:sz w:val="32"/>
    </w:rPr>
  </w:style>
  <w:style w:type="paragraph" w:customStyle="1" w:styleId="40">
    <w:name w:val="BodyTextIndent"/>
    <w:basedOn w:val="1"/>
    <w:qFormat/>
    <w:uiPriority w:val="0"/>
    <w:pPr>
      <w:spacing w:line="700" w:lineRule="exact"/>
      <w:ind w:left="960"/>
      <w:textAlignment w:val="baseline"/>
    </w:pPr>
    <w:rPr>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41DC4-D67C-4E41-8B9C-247B5FBC8453}">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38</Pages>
  <Words>15344</Words>
  <Characters>15942</Characters>
  <Lines>123</Lines>
  <Paragraphs>34</Paragraphs>
  <TotalTime>18</TotalTime>
  <ScaleCrop>false</ScaleCrop>
  <LinksUpToDate>false</LinksUpToDate>
  <CharactersWithSpaces>16451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2022-06-21T07:55:00Z</dcterms:created>
  <dc:creator>hejie</dc:creator>
  <cp:lastModifiedBy>胡桐</cp:lastModifiedBy>
  <cp:lastPrinted>2023-07-19T06:53:00Z</cp:lastPrinted>
  <dcterms:modified xsi:type="dcterms:W3CDTF">2025-08-20T09:59:06Z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78158E4CAC4141ABB4C5A138C930E34B_13</vt:lpwstr>
  </property>
  <property fmtid="{D5CDD505-2E9C-101B-9397-08002B2CF9AE}" pid="4" name="KSOTemplateDocerSaveRecord">
    <vt:lpwstr>eyJoZGlkIjoiODY2NmMwMmZhMmRkZmNlZmM3ZmVhN2Q1OGVmYWVmZmQiLCJ1c2VySWQiOiIyMjc5Njk5NzUifQ==</vt:lpwstr>
  </property>
</Properties>
</file>