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3A9971E3">
      <w:pPr>
        <w:spacing w:line="1600" w:lineRule="exact"/>
        <w:outlineLvl w:val="0"/>
        <w:rPr>
          <w:rFonts w:hint="eastAsia" w:ascii="仿宋" w:hAnsi="仿宋" w:eastAsia="仿宋"/>
          <w:b/>
          <w:color w:val="auto"/>
          <w:sz w:val="100"/>
          <w:highlight w:val="none"/>
        </w:rPr>
      </w:pPr>
    </w:p>
    <w:p w14:paraId="200C9E27">
      <w:pPr>
        <w:spacing w:line="1600" w:lineRule="exact"/>
        <w:jc w:val="center"/>
        <w:outlineLvl w:val="0"/>
        <w:rPr>
          <w:rFonts w:hint="eastAsia" w:ascii="仿宋" w:hAnsi="仿宋" w:eastAsia="仿宋"/>
          <w:color w:val="auto"/>
          <w:sz w:val="120"/>
          <w:szCs w:val="120"/>
          <w:highlight w:val="none"/>
        </w:rPr>
      </w:pPr>
      <w:r>
        <w:rPr>
          <w:rFonts w:hint="eastAsia" w:ascii="仿宋" w:hAnsi="仿宋" w:eastAsia="仿宋"/>
          <w:b/>
          <w:color w:val="auto"/>
          <w:sz w:val="120"/>
          <w:szCs w:val="120"/>
          <w:highlight w:val="none"/>
        </w:rPr>
        <w:t>网上竞采文件</w:t>
      </w:r>
    </w:p>
    <w:p w14:paraId="46200D47">
      <w:pPr>
        <w:pStyle w:val="25"/>
        <w:spacing w:line="500" w:lineRule="exact"/>
        <w:ind w:left="0"/>
        <w:jc w:val="center"/>
        <w:rPr>
          <w:rFonts w:hint="eastAsia" w:ascii="仿宋" w:hAnsi="仿宋" w:eastAsia="仿宋"/>
          <w:color w:val="auto"/>
          <w:sz w:val="32"/>
          <w:highlight w:val="none"/>
        </w:rPr>
      </w:pPr>
    </w:p>
    <w:p w14:paraId="1B3048F3">
      <w:pPr>
        <w:pStyle w:val="25"/>
        <w:spacing w:line="500" w:lineRule="exact"/>
        <w:ind w:left="0"/>
        <w:jc w:val="center"/>
        <w:rPr>
          <w:rFonts w:hint="eastAsia" w:ascii="仿宋" w:hAnsi="仿宋" w:eastAsia="仿宋"/>
          <w:b/>
          <w:bCs/>
          <w:color w:val="auto"/>
          <w:sz w:val="32"/>
          <w:highlight w:val="none"/>
        </w:rPr>
      </w:pPr>
      <w:r>
        <w:rPr>
          <w:rFonts w:hint="eastAsia" w:ascii="仿宋" w:hAnsi="仿宋" w:eastAsia="仿宋"/>
          <w:b/>
          <w:bCs/>
          <w:color w:val="auto"/>
          <w:sz w:val="32"/>
          <w:highlight w:val="none"/>
        </w:rPr>
        <w:t>（综合评分）</w:t>
      </w:r>
    </w:p>
    <w:p w14:paraId="1F9BAFF8">
      <w:pPr>
        <w:pStyle w:val="25"/>
        <w:spacing w:line="500" w:lineRule="exact"/>
        <w:ind w:left="0"/>
        <w:jc w:val="center"/>
        <w:rPr>
          <w:rFonts w:hint="eastAsia" w:ascii="仿宋" w:hAnsi="仿宋" w:eastAsia="仿宋"/>
          <w:b/>
          <w:bCs/>
          <w:color w:val="auto"/>
          <w:sz w:val="32"/>
          <w:highlight w:val="none"/>
        </w:rPr>
      </w:pPr>
    </w:p>
    <w:p w14:paraId="64883BE5">
      <w:pPr>
        <w:pStyle w:val="25"/>
        <w:spacing w:line="500" w:lineRule="exact"/>
        <w:ind w:left="0"/>
        <w:rPr>
          <w:rFonts w:hint="eastAsia" w:ascii="仿宋" w:hAnsi="仿宋" w:eastAsia="仿宋"/>
          <w:color w:val="auto"/>
          <w:sz w:val="32"/>
          <w:highlight w:val="none"/>
        </w:rPr>
      </w:pPr>
    </w:p>
    <w:p w14:paraId="56A2C71C">
      <w:pPr>
        <w:pStyle w:val="25"/>
        <w:spacing w:line="500" w:lineRule="exact"/>
        <w:ind w:left="0"/>
        <w:rPr>
          <w:rFonts w:hint="eastAsia" w:ascii="仿宋" w:hAnsi="仿宋" w:eastAsia="仿宋"/>
          <w:color w:val="auto"/>
          <w:sz w:val="32"/>
          <w:highlight w:val="none"/>
        </w:rPr>
      </w:pPr>
    </w:p>
    <w:p w14:paraId="2D6C8A9C">
      <w:pPr>
        <w:pStyle w:val="25"/>
        <w:spacing w:line="500" w:lineRule="exact"/>
        <w:ind w:left="0"/>
        <w:rPr>
          <w:rFonts w:hint="eastAsia" w:ascii="仿宋" w:hAnsi="仿宋" w:eastAsia="仿宋"/>
          <w:color w:val="auto"/>
          <w:sz w:val="32"/>
          <w:highlight w:val="none"/>
        </w:rPr>
      </w:pPr>
    </w:p>
    <w:p w14:paraId="0B138DA5">
      <w:pPr>
        <w:pStyle w:val="25"/>
        <w:spacing w:line="500" w:lineRule="exact"/>
        <w:ind w:left="0"/>
        <w:jc w:val="center"/>
        <w:rPr>
          <w:rFonts w:hint="eastAsia" w:ascii="仿宋" w:hAnsi="仿宋" w:eastAsia="仿宋"/>
          <w:color w:val="auto"/>
          <w:sz w:val="32"/>
          <w:highlight w:val="none"/>
        </w:rPr>
      </w:pPr>
    </w:p>
    <w:p w14:paraId="7BDC9C4C">
      <w:pPr>
        <w:pStyle w:val="25"/>
        <w:spacing w:line="500" w:lineRule="exact"/>
        <w:ind w:left="0" w:leftChars="0" w:firstLine="0" w:firstLineChars="0"/>
        <w:jc w:val="both"/>
        <w:rPr>
          <w:rFonts w:hint="default" w:eastAsia="仿宋"/>
          <w:color w:val="auto"/>
          <w:highlight w:val="none"/>
          <w:lang w:val="en-US" w:eastAsia="zh-CN"/>
        </w:rPr>
      </w:pPr>
      <w:r>
        <w:rPr>
          <w:rFonts w:hint="eastAsia" w:ascii="仿宋" w:hAnsi="仿宋" w:eastAsia="仿宋"/>
          <w:color w:val="auto"/>
          <w:sz w:val="30"/>
          <w:szCs w:val="30"/>
          <w:highlight w:val="none"/>
        </w:rPr>
        <w:t>采购项目名称：</w:t>
      </w:r>
      <w:r>
        <w:rPr>
          <w:rFonts w:hint="eastAsia" w:ascii="仿宋" w:hAnsi="仿宋" w:eastAsia="仿宋"/>
          <w:color w:val="auto"/>
          <w:sz w:val="30"/>
          <w:szCs w:val="30"/>
          <w:highlight w:val="none"/>
          <w:lang w:val="en-US" w:eastAsia="zh-CN"/>
        </w:rPr>
        <w:t>高新区市场监督管理局2026年食品安全抽检项目</w:t>
      </w:r>
    </w:p>
    <w:p w14:paraId="49C499C4">
      <w:pPr>
        <w:spacing w:line="500" w:lineRule="exact"/>
        <w:outlineLvl w:val="0"/>
        <w:rPr>
          <w:rFonts w:hint="eastAsia" w:ascii="仿宋" w:hAnsi="仿宋" w:eastAsia="仿宋"/>
          <w:color w:val="auto"/>
          <w:sz w:val="30"/>
          <w:szCs w:val="30"/>
          <w:highlight w:val="none"/>
          <w:lang w:eastAsia="zh-CN"/>
        </w:rPr>
      </w:pPr>
      <w:r>
        <w:rPr>
          <w:rFonts w:hint="eastAsia" w:ascii="仿宋" w:hAnsi="仿宋" w:eastAsia="仿宋"/>
          <w:color w:val="auto"/>
          <w:sz w:val="30"/>
          <w:szCs w:val="30"/>
          <w:highlight w:val="none"/>
        </w:rPr>
        <w:t xml:space="preserve">采 </w:t>
      </w:r>
      <w:r>
        <w:rPr>
          <w:rFonts w:hint="eastAsia" w:ascii="仿宋" w:hAnsi="仿宋" w:eastAsia="仿宋"/>
          <w:color w:val="auto"/>
          <w:sz w:val="30"/>
          <w:szCs w:val="30"/>
          <w:highlight w:val="none"/>
          <w:lang w:val="en-US" w:eastAsia="zh-CN"/>
        </w:rPr>
        <w:t xml:space="preserve"> </w:t>
      </w:r>
      <w:r>
        <w:rPr>
          <w:rFonts w:hint="eastAsia" w:ascii="仿宋" w:hAnsi="仿宋" w:eastAsia="仿宋"/>
          <w:color w:val="auto"/>
          <w:sz w:val="30"/>
          <w:szCs w:val="30"/>
          <w:highlight w:val="none"/>
        </w:rPr>
        <w:t xml:space="preserve"> 购 </w:t>
      </w:r>
      <w:r>
        <w:rPr>
          <w:rFonts w:hint="eastAsia" w:ascii="仿宋" w:hAnsi="仿宋" w:eastAsia="仿宋"/>
          <w:color w:val="auto"/>
          <w:sz w:val="30"/>
          <w:szCs w:val="30"/>
          <w:highlight w:val="none"/>
          <w:lang w:val="en-US" w:eastAsia="zh-CN"/>
        </w:rPr>
        <w:t xml:space="preserve"> </w:t>
      </w:r>
      <w:r>
        <w:rPr>
          <w:rFonts w:hint="eastAsia" w:ascii="仿宋" w:hAnsi="仿宋" w:eastAsia="仿宋"/>
          <w:color w:val="auto"/>
          <w:sz w:val="30"/>
          <w:szCs w:val="30"/>
          <w:highlight w:val="none"/>
        </w:rPr>
        <w:t>人：</w:t>
      </w:r>
      <w:r>
        <w:rPr>
          <w:rFonts w:hint="eastAsia" w:ascii="仿宋" w:hAnsi="仿宋" w:eastAsia="仿宋"/>
          <w:color w:val="auto"/>
          <w:sz w:val="30"/>
          <w:szCs w:val="30"/>
          <w:highlight w:val="none"/>
          <w:lang w:eastAsia="zh-CN"/>
        </w:rPr>
        <w:t>重庆高新技术产业开发区管理委员会市场监督管理局</w:t>
      </w:r>
    </w:p>
    <w:p w14:paraId="242055E7">
      <w:pPr>
        <w:spacing w:line="500" w:lineRule="exact"/>
        <w:outlineLvl w:val="0"/>
        <w:rPr>
          <w:rFonts w:hint="eastAsia" w:ascii="仿宋" w:hAnsi="仿宋" w:eastAsia="仿宋"/>
          <w:color w:val="auto"/>
          <w:sz w:val="30"/>
          <w:szCs w:val="30"/>
          <w:highlight w:val="none"/>
        </w:rPr>
      </w:pPr>
      <w:r>
        <w:rPr>
          <w:rFonts w:hint="eastAsia" w:ascii="仿宋" w:hAnsi="仿宋" w:eastAsia="仿宋"/>
          <w:color w:val="auto"/>
          <w:sz w:val="30"/>
          <w:szCs w:val="30"/>
          <w:highlight w:val="none"/>
        </w:rPr>
        <w:t>采购代理机构：重庆</w:t>
      </w:r>
      <w:r>
        <w:rPr>
          <w:rFonts w:hint="eastAsia" w:ascii="仿宋" w:hAnsi="仿宋" w:eastAsia="仿宋"/>
          <w:color w:val="auto"/>
          <w:sz w:val="30"/>
          <w:szCs w:val="30"/>
          <w:highlight w:val="none"/>
          <w:lang w:val="en-US" w:eastAsia="zh-CN"/>
        </w:rPr>
        <w:t>同皓</w:t>
      </w:r>
      <w:r>
        <w:rPr>
          <w:rFonts w:hint="eastAsia" w:ascii="仿宋" w:hAnsi="仿宋" w:eastAsia="仿宋"/>
          <w:color w:val="auto"/>
          <w:sz w:val="30"/>
          <w:szCs w:val="30"/>
          <w:highlight w:val="none"/>
        </w:rPr>
        <w:t>工程项目管理有限公司</w:t>
      </w:r>
    </w:p>
    <w:p w14:paraId="11458446">
      <w:pPr>
        <w:rPr>
          <w:color w:val="auto"/>
          <w:highlight w:val="none"/>
        </w:rPr>
      </w:pPr>
    </w:p>
    <w:p w14:paraId="5FEB2AF8">
      <w:pPr>
        <w:rPr>
          <w:color w:val="auto"/>
          <w:highlight w:val="none"/>
        </w:rPr>
      </w:pPr>
    </w:p>
    <w:p w14:paraId="03D6025A">
      <w:pPr>
        <w:snapToGrid w:val="0"/>
        <w:spacing w:line="500" w:lineRule="exact"/>
        <w:jc w:val="center"/>
        <w:rPr>
          <w:rFonts w:hint="eastAsia" w:ascii="仿宋" w:hAnsi="仿宋" w:eastAsia="仿宋"/>
          <w:color w:val="auto"/>
          <w:sz w:val="32"/>
          <w:szCs w:val="32"/>
          <w:highlight w:val="none"/>
        </w:rPr>
      </w:pPr>
      <w:r>
        <w:rPr>
          <w:rFonts w:hint="eastAsia" w:ascii="仿宋" w:hAnsi="仿宋" w:eastAsia="仿宋"/>
          <w:color w:val="auto"/>
          <w:sz w:val="32"/>
          <w:szCs w:val="32"/>
          <w:highlight w:val="none"/>
        </w:rPr>
        <w:t>二○二</w:t>
      </w:r>
      <w:r>
        <w:rPr>
          <w:rFonts w:hint="eastAsia" w:ascii="仿宋" w:hAnsi="仿宋" w:eastAsia="仿宋"/>
          <w:color w:val="auto"/>
          <w:sz w:val="32"/>
          <w:szCs w:val="32"/>
          <w:highlight w:val="none"/>
          <w:lang w:val="en-US" w:eastAsia="zh-CN"/>
        </w:rPr>
        <w:t>六</w:t>
      </w:r>
      <w:r>
        <w:rPr>
          <w:rFonts w:hint="eastAsia" w:ascii="仿宋" w:hAnsi="仿宋" w:eastAsia="仿宋"/>
          <w:color w:val="auto"/>
          <w:sz w:val="32"/>
          <w:szCs w:val="32"/>
          <w:highlight w:val="none"/>
        </w:rPr>
        <w:t>年</w:t>
      </w:r>
      <w:r>
        <w:rPr>
          <w:rFonts w:hint="eastAsia" w:ascii="仿宋" w:hAnsi="仿宋" w:eastAsia="仿宋"/>
          <w:color w:val="auto"/>
          <w:sz w:val="32"/>
          <w:szCs w:val="32"/>
          <w:highlight w:val="none"/>
          <w:lang w:val="en-US" w:eastAsia="zh-CN"/>
        </w:rPr>
        <w:t>四</w:t>
      </w:r>
      <w:r>
        <w:rPr>
          <w:rFonts w:hint="eastAsia" w:ascii="仿宋" w:hAnsi="仿宋" w:eastAsia="仿宋"/>
          <w:color w:val="auto"/>
          <w:sz w:val="32"/>
          <w:szCs w:val="32"/>
          <w:highlight w:val="none"/>
        </w:rPr>
        <w:t>月</w:t>
      </w:r>
    </w:p>
    <w:p w14:paraId="50EA1A00">
      <w:pPr>
        <w:pStyle w:val="62"/>
        <w:ind w:left="0" w:leftChars="0" w:firstLine="0" w:firstLineChars="0"/>
        <w:rPr>
          <w:color w:val="auto"/>
          <w:highlight w:val="none"/>
        </w:rPr>
      </w:pPr>
    </w:p>
    <w:p w14:paraId="7DAC1FCB">
      <w:pPr>
        <w:rPr>
          <w:color w:val="auto"/>
          <w:highlight w:val="none"/>
        </w:rPr>
      </w:pPr>
    </w:p>
    <w:p w14:paraId="0AF5537E">
      <w:pPr>
        <w:pStyle w:val="40"/>
        <w:rPr>
          <w:color w:val="auto"/>
          <w:highlight w:val="none"/>
        </w:rPr>
      </w:pPr>
    </w:p>
    <w:p w14:paraId="1E7AB0F7">
      <w:pPr>
        <w:rPr>
          <w:color w:val="auto"/>
          <w:highlight w:val="none"/>
        </w:rPr>
        <w:sectPr>
          <w:headerReference r:id="rId4" w:type="first"/>
          <w:footerReference r:id="rId7" w:type="first"/>
          <w:headerReference r:id="rId3" w:type="default"/>
          <w:footerReference r:id="rId5" w:type="default"/>
          <w:footerReference r:id="rId6" w:type="even"/>
          <w:pgSz w:w="11907" w:h="16840"/>
          <w:pgMar w:top="1134" w:right="1191" w:bottom="1134" w:left="1304" w:header="851" w:footer="992" w:gutter="0"/>
          <w:pgNumType w:fmt="numberInDash" w:start="1"/>
          <w:cols w:space="720" w:num="1"/>
          <w:docGrid w:linePitch="380" w:charSpace="-5735"/>
        </w:sectPr>
      </w:pPr>
    </w:p>
    <w:p w14:paraId="41379F3D">
      <w:pPr>
        <w:spacing w:line="480" w:lineRule="exact"/>
        <w:jc w:val="center"/>
        <w:outlineLvl w:val="0"/>
        <w:rPr>
          <w:rFonts w:hint="eastAsia" w:ascii="仿宋" w:hAnsi="仿宋" w:eastAsia="仿宋"/>
          <w:color w:val="auto"/>
          <w:sz w:val="44"/>
          <w:szCs w:val="28"/>
          <w:highlight w:val="none"/>
        </w:rPr>
      </w:pPr>
      <w:r>
        <w:rPr>
          <w:rFonts w:hint="eastAsia" w:ascii="仿宋" w:hAnsi="仿宋" w:eastAsia="仿宋"/>
          <w:color w:val="auto"/>
          <w:sz w:val="44"/>
          <w:szCs w:val="28"/>
          <w:highlight w:val="none"/>
        </w:rPr>
        <w:t>目 录</w:t>
      </w:r>
    </w:p>
    <w:p w14:paraId="0C564623">
      <w:pPr>
        <w:pStyle w:val="49"/>
        <w:tabs>
          <w:tab w:val="right" w:leader="dot" w:pos="9412"/>
        </w:tabs>
        <w:rPr>
          <w:color w:val="auto"/>
          <w:highlight w:val="none"/>
        </w:rPr>
      </w:pPr>
      <w:r>
        <w:rPr>
          <w:rFonts w:hint="eastAsia" w:ascii="仿宋" w:hAnsi="仿宋" w:eastAsia="仿宋"/>
          <w:color w:val="auto"/>
          <w:sz w:val="22"/>
          <w:szCs w:val="22"/>
          <w:highlight w:val="none"/>
        </w:rPr>
        <w:fldChar w:fldCharType="begin"/>
      </w:r>
      <w:r>
        <w:rPr>
          <w:rFonts w:hint="eastAsia" w:ascii="仿宋" w:hAnsi="仿宋" w:eastAsia="仿宋"/>
          <w:color w:val="auto"/>
          <w:sz w:val="22"/>
          <w:szCs w:val="22"/>
          <w:highlight w:val="none"/>
        </w:rPr>
        <w:instrText xml:space="preserve"> TOC \o "1-3" \h \z </w:instrText>
      </w:r>
      <w:r>
        <w:rPr>
          <w:rFonts w:hint="eastAsia" w:ascii="仿宋" w:hAnsi="仿宋" w:eastAsia="仿宋"/>
          <w:color w:val="auto"/>
          <w:sz w:val="22"/>
          <w:szCs w:val="22"/>
          <w:highlight w:val="none"/>
        </w:rPr>
        <w:fldChar w:fldCharType="separate"/>
      </w:r>
      <w:r>
        <w:rPr>
          <w:rFonts w:hint="eastAsia" w:ascii="仿宋" w:hAnsi="仿宋" w:eastAsia="仿宋"/>
          <w:color w:val="auto"/>
          <w:szCs w:val="22"/>
          <w:highlight w:val="none"/>
        </w:rPr>
        <w:fldChar w:fldCharType="begin"/>
      </w:r>
      <w:r>
        <w:rPr>
          <w:rFonts w:hint="eastAsia" w:ascii="仿宋" w:hAnsi="仿宋" w:eastAsia="仿宋"/>
          <w:color w:val="auto"/>
          <w:szCs w:val="22"/>
          <w:highlight w:val="none"/>
        </w:rPr>
        <w:instrText xml:space="preserve"> HYPERLINK \l _Toc13345 </w:instrText>
      </w:r>
      <w:r>
        <w:rPr>
          <w:rFonts w:hint="eastAsia" w:ascii="仿宋" w:hAnsi="仿宋" w:eastAsia="仿宋"/>
          <w:color w:val="auto"/>
          <w:szCs w:val="22"/>
          <w:highlight w:val="none"/>
        </w:rPr>
        <w:fldChar w:fldCharType="separate"/>
      </w:r>
      <w:r>
        <w:rPr>
          <w:rFonts w:hint="eastAsia" w:ascii="仿宋" w:hAnsi="仿宋" w:eastAsia="仿宋"/>
          <w:color w:val="auto"/>
          <w:szCs w:val="30"/>
          <w:highlight w:val="none"/>
        </w:rPr>
        <w:t>第一篇 采购邀请书</w:t>
      </w:r>
      <w:r>
        <w:rPr>
          <w:color w:val="auto"/>
          <w:highlight w:val="none"/>
        </w:rPr>
        <w:tab/>
      </w:r>
      <w:r>
        <w:rPr>
          <w:color w:val="auto"/>
          <w:highlight w:val="none"/>
        </w:rPr>
        <w:fldChar w:fldCharType="begin"/>
      </w:r>
      <w:r>
        <w:rPr>
          <w:color w:val="auto"/>
          <w:highlight w:val="none"/>
        </w:rPr>
        <w:instrText xml:space="preserve"> PAGEREF _Toc13345 \h </w:instrText>
      </w:r>
      <w:r>
        <w:rPr>
          <w:color w:val="auto"/>
          <w:highlight w:val="none"/>
        </w:rPr>
        <w:fldChar w:fldCharType="separate"/>
      </w:r>
      <w:r>
        <w:rPr>
          <w:color w:val="auto"/>
          <w:highlight w:val="none"/>
        </w:rPr>
        <w:t>- 2 -</w:t>
      </w:r>
      <w:r>
        <w:rPr>
          <w:color w:val="auto"/>
          <w:highlight w:val="none"/>
        </w:rPr>
        <w:fldChar w:fldCharType="end"/>
      </w:r>
      <w:r>
        <w:rPr>
          <w:rFonts w:hint="eastAsia" w:ascii="仿宋" w:hAnsi="仿宋" w:eastAsia="仿宋"/>
          <w:color w:val="auto"/>
          <w:szCs w:val="22"/>
          <w:highlight w:val="none"/>
        </w:rPr>
        <w:fldChar w:fldCharType="end"/>
      </w:r>
    </w:p>
    <w:p w14:paraId="689287C8">
      <w:pPr>
        <w:pStyle w:val="32"/>
        <w:tabs>
          <w:tab w:val="right" w:leader="dot" w:pos="9412"/>
        </w:tabs>
        <w:rPr>
          <w:color w:val="auto"/>
          <w:highlight w:val="none"/>
        </w:rPr>
      </w:pPr>
      <w:r>
        <w:rPr>
          <w:rFonts w:hint="eastAsia"/>
          <w:color w:val="auto"/>
          <w:highlight w:val="none"/>
        </w:rPr>
        <w:fldChar w:fldCharType="begin"/>
      </w:r>
      <w:r>
        <w:rPr>
          <w:rFonts w:hint="eastAsia"/>
          <w:color w:val="auto"/>
          <w:highlight w:val="none"/>
        </w:rPr>
        <w:instrText xml:space="preserve"> HYPERLINK \l _Toc13447 </w:instrText>
      </w:r>
      <w:r>
        <w:rPr>
          <w:rFonts w:hint="eastAsia"/>
          <w:color w:val="auto"/>
          <w:highlight w:val="none"/>
        </w:rPr>
        <w:fldChar w:fldCharType="separate"/>
      </w:r>
      <w:r>
        <w:rPr>
          <w:rFonts w:hint="eastAsia" w:ascii="仿宋" w:hAnsi="仿宋" w:eastAsia="仿宋"/>
          <w:color w:val="auto"/>
          <w:szCs w:val="24"/>
          <w:highlight w:val="none"/>
        </w:rPr>
        <w:t>一、网上竞采内容</w:t>
      </w:r>
      <w:r>
        <w:rPr>
          <w:color w:val="auto"/>
          <w:highlight w:val="none"/>
        </w:rPr>
        <w:tab/>
      </w:r>
      <w:r>
        <w:rPr>
          <w:color w:val="auto"/>
          <w:highlight w:val="none"/>
        </w:rPr>
        <w:fldChar w:fldCharType="begin"/>
      </w:r>
      <w:r>
        <w:rPr>
          <w:color w:val="auto"/>
          <w:highlight w:val="none"/>
        </w:rPr>
        <w:instrText xml:space="preserve"> PAGEREF _Toc13447 \h </w:instrText>
      </w:r>
      <w:r>
        <w:rPr>
          <w:color w:val="auto"/>
          <w:highlight w:val="none"/>
        </w:rPr>
        <w:fldChar w:fldCharType="separate"/>
      </w:r>
      <w:r>
        <w:rPr>
          <w:color w:val="auto"/>
          <w:highlight w:val="none"/>
        </w:rPr>
        <w:t>- 2 -</w:t>
      </w:r>
      <w:r>
        <w:rPr>
          <w:color w:val="auto"/>
          <w:highlight w:val="none"/>
        </w:rPr>
        <w:fldChar w:fldCharType="end"/>
      </w:r>
      <w:r>
        <w:rPr>
          <w:rFonts w:hint="eastAsia"/>
          <w:color w:val="auto"/>
          <w:highlight w:val="none"/>
        </w:rPr>
        <w:fldChar w:fldCharType="end"/>
      </w:r>
    </w:p>
    <w:p w14:paraId="27BD7984">
      <w:pPr>
        <w:pStyle w:val="32"/>
        <w:tabs>
          <w:tab w:val="right" w:leader="dot" w:pos="9412"/>
        </w:tabs>
        <w:rPr>
          <w:color w:val="auto"/>
          <w:highlight w:val="none"/>
        </w:rPr>
      </w:pPr>
      <w:r>
        <w:rPr>
          <w:rFonts w:hint="eastAsia"/>
          <w:color w:val="auto"/>
          <w:highlight w:val="none"/>
        </w:rPr>
        <w:fldChar w:fldCharType="begin"/>
      </w:r>
      <w:r>
        <w:rPr>
          <w:rFonts w:hint="eastAsia"/>
          <w:color w:val="auto"/>
          <w:highlight w:val="none"/>
        </w:rPr>
        <w:instrText xml:space="preserve"> HYPERLINK \l _Toc11881 </w:instrText>
      </w:r>
      <w:r>
        <w:rPr>
          <w:rFonts w:hint="eastAsia"/>
          <w:color w:val="auto"/>
          <w:highlight w:val="none"/>
        </w:rPr>
        <w:fldChar w:fldCharType="separate"/>
      </w:r>
      <w:r>
        <w:rPr>
          <w:rFonts w:hint="eastAsia" w:ascii="仿宋" w:hAnsi="仿宋" w:eastAsia="仿宋"/>
          <w:color w:val="auto"/>
          <w:szCs w:val="24"/>
          <w:highlight w:val="none"/>
        </w:rPr>
        <w:t>二、资金来源</w:t>
      </w:r>
      <w:r>
        <w:rPr>
          <w:color w:val="auto"/>
          <w:highlight w:val="none"/>
        </w:rPr>
        <w:tab/>
      </w:r>
      <w:r>
        <w:rPr>
          <w:color w:val="auto"/>
          <w:highlight w:val="none"/>
        </w:rPr>
        <w:fldChar w:fldCharType="begin"/>
      </w:r>
      <w:r>
        <w:rPr>
          <w:color w:val="auto"/>
          <w:highlight w:val="none"/>
        </w:rPr>
        <w:instrText xml:space="preserve"> PAGEREF _Toc11881 \h </w:instrText>
      </w:r>
      <w:r>
        <w:rPr>
          <w:color w:val="auto"/>
          <w:highlight w:val="none"/>
        </w:rPr>
        <w:fldChar w:fldCharType="separate"/>
      </w:r>
      <w:r>
        <w:rPr>
          <w:color w:val="auto"/>
          <w:highlight w:val="none"/>
        </w:rPr>
        <w:t>- 2 -</w:t>
      </w:r>
      <w:r>
        <w:rPr>
          <w:color w:val="auto"/>
          <w:highlight w:val="none"/>
        </w:rPr>
        <w:fldChar w:fldCharType="end"/>
      </w:r>
      <w:r>
        <w:rPr>
          <w:rFonts w:hint="eastAsia"/>
          <w:color w:val="auto"/>
          <w:highlight w:val="none"/>
        </w:rPr>
        <w:fldChar w:fldCharType="end"/>
      </w:r>
    </w:p>
    <w:p w14:paraId="6FE01FB9">
      <w:pPr>
        <w:pStyle w:val="32"/>
        <w:tabs>
          <w:tab w:val="right" w:leader="dot" w:pos="9412"/>
        </w:tabs>
        <w:rPr>
          <w:color w:val="auto"/>
          <w:highlight w:val="none"/>
        </w:rPr>
      </w:pPr>
      <w:r>
        <w:rPr>
          <w:rFonts w:hint="eastAsia"/>
          <w:color w:val="auto"/>
          <w:highlight w:val="none"/>
        </w:rPr>
        <w:fldChar w:fldCharType="begin"/>
      </w:r>
      <w:r>
        <w:rPr>
          <w:rFonts w:hint="eastAsia"/>
          <w:color w:val="auto"/>
          <w:highlight w:val="none"/>
        </w:rPr>
        <w:instrText xml:space="preserve"> HYPERLINK \l _Toc31479 </w:instrText>
      </w:r>
      <w:r>
        <w:rPr>
          <w:rFonts w:hint="eastAsia"/>
          <w:color w:val="auto"/>
          <w:highlight w:val="none"/>
        </w:rPr>
        <w:fldChar w:fldCharType="separate"/>
      </w:r>
      <w:r>
        <w:rPr>
          <w:rFonts w:hint="eastAsia" w:ascii="仿宋" w:hAnsi="仿宋" w:eastAsia="仿宋"/>
          <w:color w:val="auto"/>
          <w:szCs w:val="24"/>
          <w:highlight w:val="none"/>
        </w:rPr>
        <w:t>三、供应商资格条件</w:t>
      </w:r>
      <w:r>
        <w:rPr>
          <w:color w:val="auto"/>
          <w:highlight w:val="none"/>
        </w:rPr>
        <w:tab/>
      </w:r>
      <w:r>
        <w:rPr>
          <w:color w:val="auto"/>
          <w:highlight w:val="none"/>
        </w:rPr>
        <w:fldChar w:fldCharType="begin"/>
      </w:r>
      <w:r>
        <w:rPr>
          <w:color w:val="auto"/>
          <w:highlight w:val="none"/>
        </w:rPr>
        <w:instrText xml:space="preserve"> PAGEREF _Toc31479 \h </w:instrText>
      </w:r>
      <w:r>
        <w:rPr>
          <w:color w:val="auto"/>
          <w:highlight w:val="none"/>
        </w:rPr>
        <w:fldChar w:fldCharType="separate"/>
      </w:r>
      <w:r>
        <w:rPr>
          <w:color w:val="auto"/>
          <w:highlight w:val="none"/>
        </w:rPr>
        <w:t>- 2 -</w:t>
      </w:r>
      <w:r>
        <w:rPr>
          <w:color w:val="auto"/>
          <w:highlight w:val="none"/>
        </w:rPr>
        <w:fldChar w:fldCharType="end"/>
      </w:r>
      <w:r>
        <w:rPr>
          <w:rFonts w:hint="eastAsia"/>
          <w:color w:val="auto"/>
          <w:highlight w:val="none"/>
        </w:rPr>
        <w:fldChar w:fldCharType="end"/>
      </w:r>
    </w:p>
    <w:p w14:paraId="1EDB541D">
      <w:pPr>
        <w:pStyle w:val="32"/>
        <w:tabs>
          <w:tab w:val="right" w:leader="dot" w:pos="9412"/>
        </w:tabs>
        <w:rPr>
          <w:color w:val="auto"/>
          <w:highlight w:val="none"/>
        </w:rPr>
      </w:pPr>
      <w:r>
        <w:rPr>
          <w:rFonts w:hint="eastAsia"/>
          <w:color w:val="auto"/>
          <w:highlight w:val="none"/>
        </w:rPr>
        <w:fldChar w:fldCharType="begin"/>
      </w:r>
      <w:r>
        <w:rPr>
          <w:rFonts w:hint="eastAsia"/>
          <w:color w:val="auto"/>
          <w:highlight w:val="none"/>
        </w:rPr>
        <w:instrText xml:space="preserve"> HYPERLINK \l _Toc9313 </w:instrText>
      </w:r>
      <w:r>
        <w:rPr>
          <w:rFonts w:hint="eastAsia"/>
          <w:color w:val="auto"/>
          <w:highlight w:val="none"/>
        </w:rPr>
        <w:fldChar w:fldCharType="separate"/>
      </w:r>
      <w:r>
        <w:rPr>
          <w:rFonts w:hint="eastAsia" w:ascii="仿宋" w:hAnsi="仿宋" w:eastAsia="仿宋"/>
          <w:color w:val="auto"/>
          <w:szCs w:val="24"/>
          <w:highlight w:val="none"/>
        </w:rPr>
        <w:t>四、采购有关说明</w:t>
      </w:r>
      <w:r>
        <w:rPr>
          <w:color w:val="auto"/>
          <w:highlight w:val="none"/>
        </w:rPr>
        <w:tab/>
      </w:r>
      <w:r>
        <w:rPr>
          <w:color w:val="auto"/>
          <w:highlight w:val="none"/>
        </w:rPr>
        <w:fldChar w:fldCharType="begin"/>
      </w:r>
      <w:r>
        <w:rPr>
          <w:color w:val="auto"/>
          <w:highlight w:val="none"/>
        </w:rPr>
        <w:instrText xml:space="preserve"> PAGEREF _Toc9313 \h </w:instrText>
      </w:r>
      <w:r>
        <w:rPr>
          <w:color w:val="auto"/>
          <w:highlight w:val="none"/>
        </w:rPr>
        <w:fldChar w:fldCharType="separate"/>
      </w:r>
      <w:r>
        <w:rPr>
          <w:color w:val="auto"/>
          <w:highlight w:val="none"/>
        </w:rPr>
        <w:t>- 2 -</w:t>
      </w:r>
      <w:r>
        <w:rPr>
          <w:color w:val="auto"/>
          <w:highlight w:val="none"/>
        </w:rPr>
        <w:fldChar w:fldCharType="end"/>
      </w:r>
      <w:r>
        <w:rPr>
          <w:rFonts w:hint="eastAsia"/>
          <w:color w:val="auto"/>
          <w:highlight w:val="none"/>
        </w:rPr>
        <w:fldChar w:fldCharType="end"/>
      </w:r>
    </w:p>
    <w:p w14:paraId="70F2ABCC">
      <w:pPr>
        <w:pStyle w:val="32"/>
        <w:tabs>
          <w:tab w:val="right" w:leader="dot" w:pos="9412"/>
        </w:tabs>
        <w:rPr>
          <w:color w:val="auto"/>
          <w:highlight w:val="none"/>
        </w:rPr>
      </w:pPr>
      <w:r>
        <w:rPr>
          <w:rFonts w:hint="eastAsia"/>
          <w:color w:val="auto"/>
          <w:highlight w:val="none"/>
        </w:rPr>
        <w:fldChar w:fldCharType="begin"/>
      </w:r>
      <w:r>
        <w:rPr>
          <w:rFonts w:hint="eastAsia"/>
          <w:color w:val="auto"/>
          <w:highlight w:val="none"/>
        </w:rPr>
        <w:instrText xml:space="preserve"> HYPERLINK \l _Toc468 </w:instrText>
      </w:r>
      <w:r>
        <w:rPr>
          <w:rFonts w:hint="eastAsia"/>
          <w:color w:val="auto"/>
          <w:highlight w:val="none"/>
        </w:rPr>
        <w:fldChar w:fldCharType="separate"/>
      </w:r>
      <w:r>
        <w:rPr>
          <w:rFonts w:hint="eastAsia" w:ascii="仿宋" w:hAnsi="仿宋" w:eastAsia="仿宋"/>
          <w:color w:val="auto"/>
          <w:szCs w:val="24"/>
          <w:highlight w:val="none"/>
        </w:rPr>
        <w:t>五、保证金</w:t>
      </w:r>
      <w:r>
        <w:rPr>
          <w:color w:val="auto"/>
          <w:highlight w:val="none"/>
        </w:rPr>
        <w:tab/>
      </w:r>
      <w:r>
        <w:rPr>
          <w:color w:val="auto"/>
          <w:highlight w:val="none"/>
        </w:rPr>
        <w:fldChar w:fldCharType="begin"/>
      </w:r>
      <w:r>
        <w:rPr>
          <w:color w:val="auto"/>
          <w:highlight w:val="none"/>
        </w:rPr>
        <w:instrText xml:space="preserve"> PAGEREF _Toc468 \h </w:instrText>
      </w:r>
      <w:r>
        <w:rPr>
          <w:color w:val="auto"/>
          <w:highlight w:val="none"/>
        </w:rPr>
        <w:fldChar w:fldCharType="separate"/>
      </w:r>
      <w:r>
        <w:rPr>
          <w:color w:val="auto"/>
          <w:highlight w:val="none"/>
        </w:rPr>
        <w:t>- 3 -</w:t>
      </w:r>
      <w:r>
        <w:rPr>
          <w:color w:val="auto"/>
          <w:highlight w:val="none"/>
        </w:rPr>
        <w:fldChar w:fldCharType="end"/>
      </w:r>
      <w:r>
        <w:rPr>
          <w:rFonts w:hint="eastAsia"/>
          <w:color w:val="auto"/>
          <w:highlight w:val="none"/>
        </w:rPr>
        <w:fldChar w:fldCharType="end"/>
      </w:r>
    </w:p>
    <w:p w14:paraId="0C0407D2">
      <w:pPr>
        <w:pStyle w:val="32"/>
        <w:tabs>
          <w:tab w:val="right" w:leader="dot" w:pos="9412"/>
        </w:tabs>
        <w:rPr>
          <w:color w:val="auto"/>
          <w:highlight w:val="none"/>
        </w:rPr>
      </w:pPr>
      <w:r>
        <w:rPr>
          <w:rFonts w:hint="eastAsia"/>
          <w:color w:val="auto"/>
          <w:highlight w:val="none"/>
        </w:rPr>
        <w:fldChar w:fldCharType="begin"/>
      </w:r>
      <w:r>
        <w:rPr>
          <w:rFonts w:hint="eastAsia"/>
          <w:color w:val="auto"/>
          <w:highlight w:val="none"/>
        </w:rPr>
        <w:instrText xml:space="preserve"> HYPERLINK \l _Toc1942 </w:instrText>
      </w:r>
      <w:r>
        <w:rPr>
          <w:rFonts w:hint="eastAsia"/>
          <w:color w:val="auto"/>
          <w:highlight w:val="none"/>
        </w:rPr>
        <w:fldChar w:fldCharType="separate"/>
      </w:r>
      <w:r>
        <w:rPr>
          <w:rFonts w:hint="eastAsia" w:ascii="仿宋" w:hAnsi="仿宋" w:eastAsia="仿宋"/>
          <w:color w:val="auto"/>
          <w:szCs w:val="24"/>
          <w:highlight w:val="none"/>
        </w:rPr>
        <w:t>六、其它有关规定</w:t>
      </w:r>
      <w:r>
        <w:rPr>
          <w:color w:val="auto"/>
          <w:highlight w:val="none"/>
        </w:rPr>
        <w:tab/>
      </w:r>
      <w:r>
        <w:rPr>
          <w:color w:val="auto"/>
          <w:highlight w:val="none"/>
        </w:rPr>
        <w:fldChar w:fldCharType="begin"/>
      </w:r>
      <w:r>
        <w:rPr>
          <w:color w:val="auto"/>
          <w:highlight w:val="none"/>
        </w:rPr>
        <w:instrText xml:space="preserve"> PAGEREF _Toc1942 \h </w:instrText>
      </w:r>
      <w:r>
        <w:rPr>
          <w:color w:val="auto"/>
          <w:highlight w:val="none"/>
        </w:rPr>
        <w:fldChar w:fldCharType="separate"/>
      </w:r>
      <w:r>
        <w:rPr>
          <w:color w:val="auto"/>
          <w:highlight w:val="none"/>
        </w:rPr>
        <w:t>- 3 -</w:t>
      </w:r>
      <w:r>
        <w:rPr>
          <w:color w:val="auto"/>
          <w:highlight w:val="none"/>
        </w:rPr>
        <w:fldChar w:fldCharType="end"/>
      </w:r>
      <w:r>
        <w:rPr>
          <w:rFonts w:hint="eastAsia"/>
          <w:color w:val="auto"/>
          <w:highlight w:val="none"/>
        </w:rPr>
        <w:fldChar w:fldCharType="end"/>
      </w:r>
    </w:p>
    <w:p w14:paraId="4BBE7D7C">
      <w:pPr>
        <w:pStyle w:val="32"/>
        <w:tabs>
          <w:tab w:val="right" w:leader="dot" w:pos="9412"/>
        </w:tabs>
        <w:rPr>
          <w:color w:val="auto"/>
          <w:highlight w:val="none"/>
        </w:rPr>
      </w:pPr>
      <w:r>
        <w:rPr>
          <w:rFonts w:hint="eastAsia"/>
          <w:color w:val="auto"/>
          <w:highlight w:val="none"/>
        </w:rPr>
        <w:fldChar w:fldCharType="begin"/>
      </w:r>
      <w:r>
        <w:rPr>
          <w:rFonts w:hint="eastAsia"/>
          <w:color w:val="auto"/>
          <w:highlight w:val="none"/>
        </w:rPr>
        <w:instrText xml:space="preserve"> HYPERLINK \l _Toc23147 </w:instrText>
      </w:r>
      <w:r>
        <w:rPr>
          <w:rFonts w:hint="eastAsia"/>
          <w:color w:val="auto"/>
          <w:highlight w:val="none"/>
        </w:rPr>
        <w:fldChar w:fldCharType="separate"/>
      </w:r>
      <w:r>
        <w:rPr>
          <w:rFonts w:hint="eastAsia" w:ascii="仿宋" w:hAnsi="仿宋" w:eastAsia="仿宋"/>
          <w:color w:val="auto"/>
          <w:szCs w:val="24"/>
          <w:highlight w:val="none"/>
        </w:rPr>
        <w:t>七、联系方式</w:t>
      </w:r>
      <w:r>
        <w:rPr>
          <w:color w:val="auto"/>
          <w:highlight w:val="none"/>
        </w:rPr>
        <w:tab/>
      </w:r>
      <w:r>
        <w:rPr>
          <w:color w:val="auto"/>
          <w:highlight w:val="none"/>
        </w:rPr>
        <w:fldChar w:fldCharType="begin"/>
      </w:r>
      <w:r>
        <w:rPr>
          <w:color w:val="auto"/>
          <w:highlight w:val="none"/>
        </w:rPr>
        <w:instrText xml:space="preserve"> PAGEREF _Toc23147 \h </w:instrText>
      </w:r>
      <w:r>
        <w:rPr>
          <w:color w:val="auto"/>
          <w:highlight w:val="none"/>
        </w:rPr>
        <w:fldChar w:fldCharType="separate"/>
      </w:r>
      <w:r>
        <w:rPr>
          <w:color w:val="auto"/>
          <w:highlight w:val="none"/>
        </w:rPr>
        <w:t>- 4 -</w:t>
      </w:r>
      <w:r>
        <w:rPr>
          <w:color w:val="auto"/>
          <w:highlight w:val="none"/>
        </w:rPr>
        <w:fldChar w:fldCharType="end"/>
      </w:r>
      <w:r>
        <w:rPr>
          <w:rFonts w:hint="eastAsia"/>
          <w:color w:val="auto"/>
          <w:highlight w:val="none"/>
        </w:rPr>
        <w:fldChar w:fldCharType="end"/>
      </w:r>
    </w:p>
    <w:p w14:paraId="2BF449D9">
      <w:pPr>
        <w:pStyle w:val="49"/>
        <w:tabs>
          <w:tab w:val="right" w:leader="dot" w:pos="9412"/>
        </w:tabs>
        <w:rPr>
          <w:color w:val="auto"/>
          <w:highlight w:val="none"/>
        </w:rPr>
      </w:pPr>
      <w:r>
        <w:rPr>
          <w:rFonts w:hint="eastAsia"/>
          <w:color w:val="auto"/>
          <w:highlight w:val="none"/>
        </w:rPr>
        <w:fldChar w:fldCharType="begin"/>
      </w:r>
      <w:r>
        <w:rPr>
          <w:rFonts w:hint="eastAsia"/>
          <w:color w:val="auto"/>
          <w:highlight w:val="none"/>
        </w:rPr>
        <w:instrText xml:space="preserve"> HYPERLINK \l _Toc14928 </w:instrText>
      </w:r>
      <w:r>
        <w:rPr>
          <w:rFonts w:hint="eastAsia"/>
          <w:color w:val="auto"/>
          <w:highlight w:val="none"/>
        </w:rPr>
        <w:fldChar w:fldCharType="separate"/>
      </w:r>
      <w:r>
        <w:rPr>
          <w:rFonts w:hint="eastAsia" w:ascii="仿宋" w:hAnsi="仿宋" w:eastAsia="仿宋"/>
          <w:color w:val="auto"/>
          <w:szCs w:val="30"/>
          <w:highlight w:val="none"/>
        </w:rPr>
        <w:t>第二篇 采购项目服务需求</w:t>
      </w:r>
      <w:r>
        <w:rPr>
          <w:color w:val="auto"/>
          <w:highlight w:val="none"/>
        </w:rPr>
        <w:tab/>
      </w:r>
      <w:r>
        <w:rPr>
          <w:color w:val="auto"/>
          <w:highlight w:val="none"/>
        </w:rPr>
        <w:fldChar w:fldCharType="begin"/>
      </w:r>
      <w:r>
        <w:rPr>
          <w:color w:val="auto"/>
          <w:highlight w:val="none"/>
        </w:rPr>
        <w:instrText xml:space="preserve"> PAGEREF _Toc14928 \h </w:instrText>
      </w:r>
      <w:r>
        <w:rPr>
          <w:color w:val="auto"/>
          <w:highlight w:val="none"/>
        </w:rPr>
        <w:fldChar w:fldCharType="separate"/>
      </w:r>
      <w:r>
        <w:rPr>
          <w:color w:val="auto"/>
          <w:highlight w:val="none"/>
        </w:rPr>
        <w:t>- 5 -</w:t>
      </w:r>
      <w:r>
        <w:rPr>
          <w:color w:val="auto"/>
          <w:highlight w:val="none"/>
        </w:rPr>
        <w:fldChar w:fldCharType="end"/>
      </w:r>
      <w:r>
        <w:rPr>
          <w:rFonts w:hint="eastAsia"/>
          <w:color w:val="auto"/>
          <w:highlight w:val="none"/>
        </w:rPr>
        <w:fldChar w:fldCharType="end"/>
      </w:r>
    </w:p>
    <w:p w14:paraId="09467BD6">
      <w:pPr>
        <w:pStyle w:val="49"/>
        <w:tabs>
          <w:tab w:val="right" w:leader="dot" w:pos="9412"/>
        </w:tabs>
        <w:rPr>
          <w:color w:val="auto"/>
          <w:highlight w:val="none"/>
        </w:rPr>
      </w:pPr>
      <w:r>
        <w:rPr>
          <w:rFonts w:hint="eastAsia"/>
          <w:color w:val="auto"/>
          <w:highlight w:val="none"/>
        </w:rPr>
        <w:fldChar w:fldCharType="begin"/>
      </w:r>
      <w:r>
        <w:rPr>
          <w:rFonts w:hint="eastAsia"/>
          <w:color w:val="auto"/>
          <w:highlight w:val="none"/>
        </w:rPr>
        <w:instrText xml:space="preserve"> HYPERLINK \l _Toc17254 </w:instrText>
      </w:r>
      <w:r>
        <w:rPr>
          <w:rFonts w:hint="eastAsia"/>
          <w:color w:val="auto"/>
          <w:highlight w:val="none"/>
        </w:rPr>
        <w:fldChar w:fldCharType="separate"/>
      </w:r>
      <w:r>
        <w:rPr>
          <w:rFonts w:hint="eastAsia" w:ascii="宋体" w:hAnsi="宋体" w:eastAsia="宋体" w:cs="宋体"/>
          <w:color w:val="auto"/>
          <w:szCs w:val="22"/>
          <w:highlight w:val="none"/>
        </w:rPr>
        <w:t>一、</w:t>
      </w:r>
      <w:r>
        <w:rPr>
          <w:rFonts w:hint="eastAsia" w:ascii="宋体" w:hAnsi="宋体" w:cs="宋体"/>
          <w:color w:val="auto"/>
          <w:szCs w:val="22"/>
          <w:highlight w:val="none"/>
        </w:rPr>
        <w:t>服务内容、要求</w:t>
      </w:r>
      <w:r>
        <w:rPr>
          <w:color w:val="auto"/>
          <w:highlight w:val="none"/>
        </w:rPr>
        <w:tab/>
      </w:r>
      <w:r>
        <w:rPr>
          <w:color w:val="auto"/>
          <w:highlight w:val="none"/>
        </w:rPr>
        <w:fldChar w:fldCharType="begin"/>
      </w:r>
      <w:r>
        <w:rPr>
          <w:color w:val="auto"/>
          <w:highlight w:val="none"/>
        </w:rPr>
        <w:instrText xml:space="preserve"> PAGEREF _Toc17254 \h </w:instrText>
      </w:r>
      <w:r>
        <w:rPr>
          <w:color w:val="auto"/>
          <w:highlight w:val="none"/>
        </w:rPr>
        <w:fldChar w:fldCharType="separate"/>
      </w:r>
      <w:r>
        <w:rPr>
          <w:color w:val="auto"/>
          <w:highlight w:val="none"/>
        </w:rPr>
        <w:t>- 5 -</w:t>
      </w:r>
      <w:r>
        <w:rPr>
          <w:color w:val="auto"/>
          <w:highlight w:val="none"/>
        </w:rPr>
        <w:fldChar w:fldCharType="end"/>
      </w:r>
      <w:r>
        <w:rPr>
          <w:rFonts w:hint="eastAsia"/>
          <w:color w:val="auto"/>
          <w:highlight w:val="none"/>
        </w:rPr>
        <w:fldChar w:fldCharType="end"/>
      </w:r>
    </w:p>
    <w:p w14:paraId="639E4B50">
      <w:pPr>
        <w:pStyle w:val="49"/>
        <w:tabs>
          <w:tab w:val="right" w:leader="dot" w:pos="9412"/>
        </w:tabs>
        <w:rPr>
          <w:color w:val="auto"/>
          <w:highlight w:val="none"/>
        </w:rPr>
      </w:pPr>
      <w:r>
        <w:rPr>
          <w:rFonts w:hint="eastAsia"/>
          <w:color w:val="auto"/>
          <w:highlight w:val="none"/>
        </w:rPr>
        <w:fldChar w:fldCharType="begin"/>
      </w:r>
      <w:r>
        <w:rPr>
          <w:rFonts w:hint="eastAsia"/>
          <w:color w:val="auto"/>
          <w:highlight w:val="none"/>
        </w:rPr>
        <w:instrText xml:space="preserve"> HYPERLINK \l _Toc22534 </w:instrText>
      </w:r>
      <w:r>
        <w:rPr>
          <w:rFonts w:hint="eastAsia"/>
          <w:color w:val="auto"/>
          <w:highlight w:val="none"/>
        </w:rPr>
        <w:fldChar w:fldCharType="separate"/>
      </w:r>
      <w:r>
        <w:rPr>
          <w:rFonts w:hint="eastAsia" w:ascii="仿宋" w:hAnsi="仿宋" w:eastAsia="仿宋"/>
          <w:color w:val="auto"/>
          <w:szCs w:val="30"/>
          <w:highlight w:val="none"/>
        </w:rPr>
        <w:t>第三篇 采购项目商务需求</w:t>
      </w:r>
      <w:r>
        <w:rPr>
          <w:color w:val="auto"/>
          <w:highlight w:val="none"/>
        </w:rPr>
        <w:tab/>
      </w:r>
      <w:r>
        <w:rPr>
          <w:color w:val="auto"/>
          <w:highlight w:val="none"/>
        </w:rPr>
        <w:fldChar w:fldCharType="begin"/>
      </w:r>
      <w:r>
        <w:rPr>
          <w:color w:val="auto"/>
          <w:highlight w:val="none"/>
        </w:rPr>
        <w:instrText xml:space="preserve"> PAGEREF _Toc22534 \h </w:instrText>
      </w:r>
      <w:r>
        <w:rPr>
          <w:color w:val="auto"/>
          <w:highlight w:val="none"/>
        </w:rPr>
        <w:fldChar w:fldCharType="separate"/>
      </w:r>
      <w:r>
        <w:rPr>
          <w:color w:val="auto"/>
          <w:highlight w:val="none"/>
        </w:rPr>
        <w:t>- 6 -</w:t>
      </w:r>
      <w:r>
        <w:rPr>
          <w:color w:val="auto"/>
          <w:highlight w:val="none"/>
        </w:rPr>
        <w:fldChar w:fldCharType="end"/>
      </w:r>
      <w:r>
        <w:rPr>
          <w:rFonts w:hint="eastAsia"/>
          <w:color w:val="auto"/>
          <w:highlight w:val="none"/>
        </w:rPr>
        <w:fldChar w:fldCharType="end"/>
      </w:r>
    </w:p>
    <w:p w14:paraId="31A977F3">
      <w:pPr>
        <w:pStyle w:val="32"/>
        <w:tabs>
          <w:tab w:val="right" w:leader="dot" w:pos="9412"/>
        </w:tabs>
        <w:rPr>
          <w:color w:val="auto"/>
          <w:highlight w:val="none"/>
        </w:rPr>
      </w:pPr>
      <w:r>
        <w:rPr>
          <w:rFonts w:hint="eastAsia"/>
          <w:color w:val="auto"/>
          <w:highlight w:val="none"/>
        </w:rPr>
        <w:fldChar w:fldCharType="begin"/>
      </w:r>
      <w:r>
        <w:rPr>
          <w:rFonts w:hint="eastAsia"/>
          <w:color w:val="auto"/>
          <w:highlight w:val="none"/>
        </w:rPr>
        <w:instrText xml:space="preserve"> HYPERLINK \l _Toc19441 </w:instrText>
      </w:r>
      <w:r>
        <w:rPr>
          <w:rFonts w:hint="eastAsia"/>
          <w:color w:val="auto"/>
          <w:highlight w:val="none"/>
        </w:rPr>
        <w:fldChar w:fldCharType="separate"/>
      </w:r>
      <w:r>
        <w:rPr>
          <w:rFonts w:hint="eastAsia" w:ascii="仿宋" w:hAnsi="仿宋" w:eastAsia="仿宋"/>
          <w:color w:val="auto"/>
          <w:szCs w:val="24"/>
          <w:highlight w:val="none"/>
        </w:rPr>
        <w:t>一、服务时间、地点及验收方式</w:t>
      </w:r>
      <w:r>
        <w:rPr>
          <w:color w:val="auto"/>
          <w:highlight w:val="none"/>
        </w:rPr>
        <w:tab/>
      </w:r>
      <w:r>
        <w:rPr>
          <w:color w:val="auto"/>
          <w:highlight w:val="none"/>
        </w:rPr>
        <w:fldChar w:fldCharType="begin"/>
      </w:r>
      <w:r>
        <w:rPr>
          <w:color w:val="auto"/>
          <w:highlight w:val="none"/>
        </w:rPr>
        <w:instrText xml:space="preserve"> PAGEREF _Toc19441 \h </w:instrText>
      </w:r>
      <w:r>
        <w:rPr>
          <w:color w:val="auto"/>
          <w:highlight w:val="none"/>
        </w:rPr>
        <w:fldChar w:fldCharType="separate"/>
      </w:r>
      <w:r>
        <w:rPr>
          <w:color w:val="auto"/>
          <w:highlight w:val="none"/>
        </w:rPr>
        <w:t>- 6 -</w:t>
      </w:r>
      <w:r>
        <w:rPr>
          <w:color w:val="auto"/>
          <w:highlight w:val="none"/>
        </w:rPr>
        <w:fldChar w:fldCharType="end"/>
      </w:r>
      <w:r>
        <w:rPr>
          <w:rFonts w:hint="eastAsia"/>
          <w:color w:val="auto"/>
          <w:highlight w:val="none"/>
        </w:rPr>
        <w:fldChar w:fldCharType="end"/>
      </w:r>
    </w:p>
    <w:p w14:paraId="07158078">
      <w:pPr>
        <w:pStyle w:val="32"/>
        <w:tabs>
          <w:tab w:val="right" w:leader="dot" w:pos="9412"/>
        </w:tabs>
        <w:rPr>
          <w:color w:val="auto"/>
          <w:highlight w:val="none"/>
        </w:rPr>
      </w:pPr>
      <w:r>
        <w:rPr>
          <w:rFonts w:hint="eastAsia"/>
          <w:color w:val="auto"/>
          <w:highlight w:val="none"/>
        </w:rPr>
        <w:fldChar w:fldCharType="begin"/>
      </w:r>
      <w:r>
        <w:rPr>
          <w:rFonts w:hint="eastAsia"/>
          <w:color w:val="auto"/>
          <w:highlight w:val="none"/>
        </w:rPr>
        <w:instrText xml:space="preserve"> HYPERLINK \l _Toc22140 </w:instrText>
      </w:r>
      <w:r>
        <w:rPr>
          <w:rFonts w:hint="eastAsia"/>
          <w:color w:val="auto"/>
          <w:highlight w:val="none"/>
        </w:rPr>
        <w:fldChar w:fldCharType="separate"/>
      </w:r>
      <w:r>
        <w:rPr>
          <w:rFonts w:hint="eastAsia" w:ascii="仿宋" w:hAnsi="仿宋" w:eastAsia="仿宋"/>
          <w:color w:val="auto"/>
          <w:szCs w:val="24"/>
          <w:highlight w:val="none"/>
        </w:rPr>
        <w:t>二、报价方式</w:t>
      </w:r>
      <w:r>
        <w:rPr>
          <w:color w:val="auto"/>
          <w:highlight w:val="none"/>
        </w:rPr>
        <w:tab/>
      </w:r>
      <w:r>
        <w:rPr>
          <w:color w:val="auto"/>
          <w:highlight w:val="none"/>
        </w:rPr>
        <w:fldChar w:fldCharType="begin"/>
      </w:r>
      <w:r>
        <w:rPr>
          <w:color w:val="auto"/>
          <w:highlight w:val="none"/>
        </w:rPr>
        <w:instrText xml:space="preserve"> PAGEREF _Toc22140 \h </w:instrText>
      </w:r>
      <w:r>
        <w:rPr>
          <w:color w:val="auto"/>
          <w:highlight w:val="none"/>
        </w:rPr>
        <w:fldChar w:fldCharType="separate"/>
      </w:r>
      <w:r>
        <w:rPr>
          <w:color w:val="auto"/>
          <w:highlight w:val="none"/>
        </w:rPr>
        <w:t>- 6 -</w:t>
      </w:r>
      <w:r>
        <w:rPr>
          <w:color w:val="auto"/>
          <w:highlight w:val="none"/>
        </w:rPr>
        <w:fldChar w:fldCharType="end"/>
      </w:r>
      <w:r>
        <w:rPr>
          <w:rFonts w:hint="eastAsia"/>
          <w:color w:val="auto"/>
          <w:highlight w:val="none"/>
        </w:rPr>
        <w:fldChar w:fldCharType="end"/>
      </w:r>
    </w:p>
    <w:p w14:paraId="4AB6D1E7">
      <w:pPr>
        <w:pStyle w:val="32"/>
        <w:tabs>
          <w:tab w:val="right" w:leader="dot" w:pos="9412"/>
        </w:tabs>
        <w:rPr>
          <w:rFonts w:hint="default" w:ascii="仿宋" w:hAnsi="仿宋" w:eastAsia="仿宋"/>
          <w:color w:val="auto"/>
          <w:szCs w:val="24"/>
          <w:highlight w:val="none"/>
          <w:lang w:val="en-US" w:eastAsia="zh-CN"/>
        </w:rPr>
      </w:pPr>
      <w:r>
        <w:rPr>
          <w:rFonts w:hint="eastAsia" w:ascii="仿宋" w:hAnsi="仿宋" w:eastAsia="仿宋"/>
          <w:color w:val="auto"/>
          <w:szCs w:val="24"/>
          <w:highlight w:val="none"/>
          <w:lang w:val="en-US" w:eastAsia="zh-CN"/>
        </w:rPr>
        <w:t>三、付款方式</w:t>
      </w:r>
      <w:r>
        <w:rPr>
          <w:color w:val="auto"/>
          <w:highlight w:val="none"/>
        </w:rPr>
        <w:tab/>
      </w:r>
      <w:r>
        <w:rPr>
          <w:color w:val="auto"/>
          <w:highlight w:val="none"/>
        </w:rPr>
        <w:fldChar w:fldCharType="begin"/>
      </w:r>
      <w:r>
        <w:rPr>
          <w:color w:val="auto"/>
          <w:highlight w:val="none"/>
        </w:rPr>
        <w:instrText xml:space="preserve"> PAGEREF _Toc22140 \h </w:instrText>
      </w:r>
      <w:r>
        <w:rPr>
          <w:color w:val="auto"/>
          <w:highlight w:val="none"/>
        </w:rPr>
        <w:fldChar w:fldCharType="separate"/>
      </w:r>
      <w:r>
        <w:rPr>
          <w:color w:val="auto"/>
          <w:highlight w:val="none"/>
        </w:rPr>
        <w:t>- 6 -</w:t>
      </w:r>
      <w:r>
        <w:rPr>
          <w:color w:val="auto"/>
          <w:highlight w:val="none"/>
        </w:rPr>
        <w:fldChar w:fldCharType="end"/>
      </w:r>
    </w:p>
    <w:p w14:paraId="59E594AA">
      <w:pPr>
        <w:pStyle w:val="32"/>
        <w:tabs>
          <w:tab w:val="right" w:leader="dot" w:pos="9412"/>
        </w:tabs>
        <w:rPr>
          <w:color w:val="auto"/>
          <w:highlight w:val="none"/>
        </w:rPr>
      </w:pPr>
      <w:r>
        <w:rPr>
          <w:rFonts w:hint="eastAsia"/>
          <w:color w:val="auto"/>
          <w:highlight w:val="none"/>
        </w:rPr>
        <w:fldChar w:fldCharType="begin"/>
      </w:r>
      <w:r>
        <w:rPr>
          <w:rFonts w:hint="eastAsia"/>
          <w:color w:val="auto"/>
          <w:highlight w:val="none"/>
        </w:rPr>
        <w:instrText xml:space="preserve"> HYPERLINK \l _Toc27862 </w:instrText>
      </w:r>
      <w:r>
        <w:rPr>
          <w:rFonts w:hint="eastAsia"/>
          <w:color w:val="auto"/>
          <w:highlight w:val="none"/>
        </w:rPr>
        <w:fldChar w:fldCharType="separate"/>
      </w:r>
      <w:r>
        <w:rPr>
          <w:rFonts w:hint="eastAsia" w:ascii="仿宋" w:hAnsi="仿宋" w:eastAsia="仿宋"/>
          <w:color w:val="auto"/>
          <w:szCs w:val="24"/>
          <w:highlight w:val="none"/>
        </w:rPr>
        <w:t>四、知识产权</w:t>
      </w:r>
      <w:r>
        <w:rPr>
          <w:color w:val="auto"/>
          <w:highlight w:val="none"/>
        </w:rPr>
        <w:tab/>
      </w:r>
      <w:r>
        <w:rPr>
          <w:color w:val="auto"/>
          <w:highlight w:val="none"/>
        </w:rPr>
        <w:fldChar w:fldCharType="begin"/>
      </w:r>
      <w:r>
        <w:rPr>
          <w:color w:val="auto"/>
          <w:highlight w:val="none"/>
        </w:rPr>
        <w:instrText xml:space="preserve"> PAGEREF _Toc27862 \h </w:instrText>
      </w:r>
      <w:r>
        <w:rPr>
          <w:color w:val="auto"/>
          <w:highlight w:val="none"/>
        </w:rPr>
        <w:fldChar w:fldCharType="separate"/>
      </w:r>
      <w:r>
        <w:rPr>
          <w:color w:val="auto"/>
          <w:highlight w:val="none"/>
        </w:rPr>
        <w:t>- 6 -</w:t>
      </w:r>
      <w:r>
        <w:rPr>
          <w:color w:val="auto"/>
          <w:highlight w:val="none"/>
        </w:rPr>
        <w:fldChar w:fldCharType="end"/>
      </w:r>
      <w:r>
        <w:rPr>
          <w:rFonts w:hint="eastAsia"/>
          <w:color w:val="auto"/>
          <w:highlight w:val="none"/>
        </w:rPr>
        <w:fldChar w:fldCharType="end"/>
      </w:r>
    </w:p>
    <w:p w14:paraId="42B3F3B1">
      <w:pPr>
        <w:pStyle w:val="32"/>
        <w:tabs>
          <w:tab w:val="right" w:leader="dot" w:pos="9412"/>
        </w:tabs>
        <w:rPr>
          <w:color w:val="auto"/>
          <w:highlight w:val="none"/>
        </w:rPr>
      </w:pPr>
      <w:r>
        <w:rPr>
          <w:rFonts w:hint="eastAsia"/>
          <w:color w:val="auto"/>
          <w:highlight w:val="none"/>
        </w:rPr>
        <w:fldChar w:fldCharType="begin"/>
      </w:r>
      <w:r>
        <w:rPr>
          <w:rFonts w:hint="eastAsia"/>
          <w:color w:val="auto"/>
          <w:highlight w:val="none"/>
        </w:rPr>
        <w:instrText xml:space="preserve"> HYPERLINK \l _Toc11263 </w:instrText>
      </w:r>
      <w:r>
        <w:rPr>
          <w:rFonts w:hint="eastAsia"/>
          <w:color w:val="auto"/>
          <w:highlight w:val="none"/>
        </w:rPr>
        <w:fldChar w:fldCharType="separate"/>
      </w:r>
      <w:r>
        <w:rPr>
          <w:rFonts w:hint="eastAsia" w:ascii="仿宋" w:hAnsi="仿宋" w:eastAsia="仿宋"/>
          <w:color w:val="auto"/>
          <w:szCs w:val="24"/>
          <w:highlight w:val="none"/>
        </w:rPr>
        <w:t>五、其他</w:t>
      </w:r>
      <w:r>
        <w:rPr>
          <w:color w:val="auto"/>
          <w:highlight w:val="none"/>
        </w:rPr>
        <w:tab/>
      </w:r>
      <w:r>
        <w:rPr>
          <w:color w:val="auto"/>
          <w:highlight w:val="none"/>
        </w:rPr>
        <w:fldChar w:fldCharType="begin"/>
      </w:r>
      <w:r>
        <w:rPr>
          <w:color w:val="auto"/>
          <w:highlight w:val="none"/>
        </w:rPr>
        <w:instrText xml:space="preserve"> PAGEREF _Toc11263 \h </w:instrText>
      </w:r>
      <w:r>
        <w:rPr>
          <w:color w:val="auto"/>
          <w:highlight w:val="none"/>
        </w:rPr>
        <w:fldChar w:fldCharType="separate"/>
      </w:r>
      <w:r>
        <w:rPr>
          <w:color w:val="auto"/>
          <w:highlight w:val="none"/>
        </w:rPr>
        <w:t>- 6 -</w:t>
      </w:r>
      <w:r>
        <w:rPr>
          <w:color w:val="auto"/>
          <w:highlight w:val="none"/>
        </w:rPr>
        <w:fldChar w:fldCharType="end"/>
      </w:r>
      <w:r>
        <w:rPr>
          <w:rFonts w:hint="eastAsia"/>
          <w:color w:val="auto"/>
          <w:highlight w:val="none"/>
        </w:rPr>
        <w:fldChar w:fldCharType="end"/>
      </w:r>
    </w:p>
    <w:p w14:paraId="0C48C800">
      <w:pPr>
        <w:pStyle w:val="49"/>
        <w:tabs>
          <w:tab w:val="right" w:leader="dot" w:pos="9412"/>
        </w:tabs>
        <w:rPr>
          <w:color w:val="auto"/>
          <w:highlight w:val="none"/>
        </w:rPr>
      </w:pPr>
      <w:r>
        <w:rPr>
          <w:rFonts w:hint="eastAsia"/>
          <w:color w:val="auto"/>
          <w:highlight w:val="none"/>
        </w:rPr>
        <w:fldChar w:fldCharType="begin"/>
      </w:r>
      <w:r>
        <w:rPr>
          <w:rFonts w:hint="eastAsia"/>
          <w:color w:val="auto"/>
          <w:highlight w:val="none"/>
        </w:rPr>
        <w:instrText xml:space="preserve"> HYPERLINK \l _Toc22554 </w:instrText>
      </w:r>
      <w:r>
        <w:rPr>
          <w:rFonts w:hint="eastAsia"/>
          <w:color w:val="auto"/>
          <w:highlight w:val="none"/>
        </w:rPr>
        <w:fldChar w:fldCharType="separate"/>
      </w:r>
      <w:r>
        <w:rPr>
          <w:rFonts w:hint="eastAsia" w:ascii="仿宋" w:hAnsi="仿宋" w:eastAsia="仿宋"/>
          <w:color w:val="auto"/>
          <w:spacing w:val="-11"/>
          <w:szCs w:val="30"/>
          <w:highlight w:val="none"/>
        </w:rPr>
        <w:t>第四篇 网上竞采程序及方法、评审标准、响应无效和</w:t>
      </w:r>
      <w:r>
        <w:rPr>
          <w:rFonts w:hint="eastAsia" w:ascii="仿宋" w:hAnsi="仿宋" w:eastAsia="仿宋"/>
          <w:color w:val="auto"/>
          <w:spacing w:val="-11"/>
          <w:szCs w:val="36"/>
          <w:highlight w:val="none"/>
        </w:rPr>
        <w:t>采购终止</w:t>
      </w:r>
      <w:r>
        <w:rPr>
          <w:color w:val="auto"/>
          <w:highlight w:val="none"/>
        </w:rPr>
        <w:tab/>
      </w:r>
      <w:r>
        <w:rPr>
          <w:color w:val="auto"/>
          <w:highlight w:val="none"/>
        </w:rPr>
        <w:fldChar w:fldCharType="begin"/>
      </w:r>
      <w:r>
        <w:rPr>
          <w:color w:val="auto"/>
          <w:highlight w:val="none"/>
        </w:rPr>
        <w:instrText xml:space="preserve"> PAGEREF _Toc22554 \h </w:instrText>
      </w:r>
      <w:r>
        <w:rPr>
          <w:color w:val="auto"/>
          <w:highlight w:val="none"/>
        </w:rPr>
        <w:fldChar w:fldCharType="separate"/>
      </w:r>
      <w:r>
        <w:rPr>
          <w:color w:val="auto"/>
          <w:highlight w:val="none"/>
        </w:rPr>
        <w:t>- 7 -</w:t>
      </w:r>
      <w:r>
        <w:rPr>
          <w:color w:val="auto"/>
          <w:highlight w:val="none"/>
        </w:rPr>
        <w:fldChar w:fldCharType="end"/>
      </w:r>
      <w:r>
        <w:rPr>
          <w:rFonts w:hint="eastAsia"/>
          <w:color w:val="auto"/>
          <w:highlight w:val="none"/>
        </w:rPr>
        <w:fldChar w:fldCharType="end"/>
      </w:r>
    </w:p>
    <w:p w14:paraId="5FA542A6">
      <w:pPr>
        <w:pStyle w:val="32"/>
        <w:tabs>
          <w:tab w:val="right" w:leader="dot" w:pos="9412"/>
        </w:tabs>
        <w:rPr>
          <w:color w:val="auto"/>
          <w:highlight w:val="none"/>
        </w:rPr>
      </w:pPr>
      <w:r>
        <w:rPr>
          <w:rFonts w:hint="eastAsia"/>
          <w:color w:val="auto"/>
          <w:highlight w:val="none"/>
        </w:rPr>
        <w:fldChar w:fldCharType="begin"/>
      </w:r>
      <w:r>
        <w:rPr>
          <w:rFonts w:hint="eastAsia"/>
          <w:color w:val="auto"/>
          <w:highlight w:val="none"/>
        </w:rPr>
        <w:instrText xml:space="preserve"> HYPERLINK \l _Toc28408 </w:instrText>
      </w:r>
      <w:r>
        <w:rPr>
          <w:rFonts w:hint="eastAsia"/>
          <w:color w:val="auto"/>
          <w:highlight w:val="none"/>
        </w:rPr>
        <w:fldChar w:fldCharType="separate"/>
      </w:r>
      <w:r>
        <w:rPr>
          <w:rFonts w:hint="eastAsia" w:ascii="仿宋" w:hAnsi="仿宋" w:eastAsia="仿宋"/>
          <w:color w:val="auto"/>
          <w:szCs w:val="24"/>
          <w:highlight w:val="none"/>
        </w:rPr>
        <w:t>一、网上竞采程序及方法</w:t>
      </w:r>
      <w:r>
        <w:rPr>
          <w:color w:val="auto"/>
          <w:highlight w:val="none"/>
        </w:rPr>
        <w:tab/>
      </w:r>
      <w:r>
        <w:rPr>
          <w:color w:val="auto"/>
          <w:highlight w:val="none"/>
        </w:rPr>
        <w:fldChar w:fldCharType="begin"/>
      </w:r>
      <w:r>
        <w:rPr>
          <w:color w:val="auto"/>
          <w:highlight w:val="none"/>
        </w:rPr>
        <w:instrText xml:space="preserve"> PAGEREF _Toc28408 \h </w:instrText>
      </w:r>
      <w:r>
        <w:rPr>
          <w:color w:val="auto"/>
          <w:highlight w:val="none"/>
        </w:rPr>
        <w:fldChar w:fldCharType="separate"/>
      </w:r>
      <w:r>
        <w:rPr>
          <w:color w:val="auto"/>
          <w:highlight w:val="none"/>
        </w:rPr>
        <w:t>- 7 -</w:t>
      </w:r>
      <w:r>
        <w:rPr>
          <w:color w:val="auto"/>
          <w:highlight w:val="none"/>
        </w:rPr>
        <w:fldChar w:fldCharType="end"/>
      </w:r>
      <w:r>
        <w:rPr>
          <w:rFonts w:hint="eastAsia"/>
          <w:color w:val="auto"/>
          <w:highlight w:val="none"/>
        </w:rPr>
        <w:fldChar w:fldCharType="end"/>
      </w:r>
    </w:p>
    <w:p w14:paraId="5ABF3DE1">
      <w:pPr>
        <w:pStyle w:val="49"/>
        <w:tabs>
          <w:tab w:val="right" w:leader="dot" w:pos="9412"/>
        </w:tabs>
        <w:rPr>
          <w:color w:val="auto"/>
          <w:highlight w:val="none"/>
        </w:rPr>
      </w:pPr>
      <w:r>
        <w:rPr>
          <w:rFonts w:hint="eastAsia"/>
          <w:color w:val="auto"/>
          <w:highlight w:val="none"/>
        </w:rPr>
        <w:fldChar w:fldCharType="begin"/>
      </w:r>
      <w:r>
        <w:rPr>
          <w:rFonts w:hint="eastAsia"/>
          <w:color w:val="auto"/>
          <w:highlight w:val="none"/>
        </w:rPr>
        <w:instrText xml:space="preserve"> HYPERLINK \l _Toc4350 </w:instrText>
      </w:r>
      <w:r>
        <w:rPr>
          <w:rFonts w:hint="eastAsia"/>
          <w:color w:val="auto"/>
          <w:highlight w:val="none"/>
        </w:rPr>
        <w:fldChar w:fldCharType="separate"/>
      </w:r>
      <w:r>
        <w:rPr>
          <w:rFonts w:hint="eastAsia" w:ascii="仿宋" w:hAnsi="仿宋" w:eastAsia="仿宋" w:cs="仿宋"/>
          <w:color w:val="auto"/>
          <w:highlight w:val="none"/>
        </w:rPr>
        <w:t>二、评审标准</w:t>
      </w:r>
      <w:r>
        <w:rPr>
          <w:color w:val="auto"/>
          <w:highlight w:val="none"/>
        </w:rPr>
        <w:tab/>
      </w:r>
      <w:r>
        <w:rPr>
          <w:color w:val="auto"/>
          <w:highlight w:val="none"/>
        </w:rPr>
        <w:fldChar w:fldCharType="begin"/>
      </w:r>
      <w:r>
        <w:rPr>
          <w:color w:val="auto"/>
          <w:highlight w:val="none"/>
        </w:rPr>
        <w:instrText xml:space="preserve"> PAGEREF _Toc4350 \h </w:instrText>
      </w:r>
      <w:r>
        <w:rPr>
          <w:color w:val="auto"/>
          <w:highlight w:val="none"/>
        </w:rPr>
        <w:fldChar w:fldCharType="separate"/>
      </w:r>
      <w:r>
        <w:rPr>
          <w:color w:val="auto"/>
          <w:highlight w:val="none"/>
        </w:rPr>
        <w:t>- 9 -</w:t>
      </w:r>
      <w:r>
        <w:rPr>
          <w:color w:val="auto"/>
          <w:highlight w:val="none"/>
        </w:rPr>
        <w:fldChar w:fldCharType="end"/>
      </w:r>
      <w:r>
        <w:rPr>
          <w:rFonts w:hint="eastAsia"/>
          <w:color w:val="auto"/>
          <w:highlight w:val="none"/>
        </w:rPr>
        <w:fldChar w:fldCharType="end"/>
      </w:r>
    </w:p>
    <w:p w14:paraId="65CE2A53">
      <w:pPr>
        <w:pStyle w:val="32"/>
        <w:tabs>
          <w:tab w:val="right" w:leader="dot" w:pos="9412"/>
        </w:tabs>
        <w:rPr>
          <w:color w:val="auto"/>
          <w:highlight w:val="none"/>
        </w:rPr>
      </w:pPr>
      <w:r>
        <w:rPr>
          <w:rFonts w:hint="eastAsia"/>
          <w:color w:val="auto"/>
          <w:highlight w:val="none"/>
        </w:rPr>
        <w:fldChar w:fldCharType="begin"/>
      </w:r>
      <w:r>
        <w:rPr>
          <w:rFonts w:hint="eastAsia"/>
          <w:color w:val="auto"/>
          <w:highlight w:val="none"/>
        </w:rPr>
        <w:instrText xml:space="preserve"> HYPERLINK \l _Toc3709 </w:instrText>
      </w:r>
      <w:r>
        <w:rPr>
          <w:rFonts w:hint="eastAsia"/>
          <w:color w:val="auto"/>
          <w:highlight w:val="none"/>
        </w:rPr>
        <w:fldChar w:fldCharType="separate"/>
      </w:r>
      <w:r>
        <w:rPr>
          <w:rFonts w:hint="eastAsia" w:ascii="仿宋" w:hAnsi="仿宋" w:eastAsia="仿宋"/>
          <w:color w:val="auto"/>
          <w:szCs w:val="24"/>
          <w:highlight w:val="none"/>
        </w:rPr>
        <w:t>三、响应无效</w:t>
      </w:r>
      <w:r>
        <w:rPr>
          <w:color w:val="auto"/>
          <w:highlight w:val="none"/>
        </w:rPr>
        <w:tab/>
      </w:r>
      <w:r>
        <w:rPr>
          <w:color w:val="auto"/>
          <w:highlight w:val="none"/>
        </w:rPr>
        <w:fldChar w:fldCharType="begin"/>
      </w:r>
      <w:r>
        <w:rPr>
          <w:color w:val="auto"/>
          <w:highlight w:val="none"/>
        </w:rPr>
        <w:instrText xml:space="preserve"> PAGEREF _Toc3709 \h </w:instrText>
      </w:r>
      <w:r>
        <w:rPr>
          <w:color w:val="auto"/>
          <w:highlight w:val="none"/>
        </w:rPr>
        <w:fldChar w:fldCharType="separate"/>
      </w:r>
      <w:r>
        <w:rPr>
          <w:color w:val="auto"/>
          <w:highlight w:val="none"/>
        </w:rPr>
        <w:t>- 10 -</w:t>
      </w:r>
      <w:r>
        <w:rPr>
          <w:color w:val="auto"/>
          <w:highlight w:val="none"/>
        </w:rPr>
        <w:fldChar w:fldCharType="end"/>
      </w:r>
      <w:r>
        <w:rPr>
          <w:rFonts w:hint="eastAsia"/>
          <w:color w:val="auto"/>
          <w:highlight w:val="none"/>
        </w:rPr>
        <w:fldChar w:fldCharType="end"/>
      </w:r>
    </w:p>
    <w:p w14:paraId="03FE2FAB">
      <w:pPr>
        <w:pStyle w:val="32"/>
        <w:tabs>
          <w:tab w:val="right" w:leader="dot" w:pos="9412"/>
        </w:tabs>
        <w:rPr>
          <w:color w:val="auto"/>
          <w:highlight w:val="none"/>
        </w:rPr>
      </w:pPr>
      <w:r>
        <w:rPr>
          <w:rFonts w:hint="eastAsia"/>
          <w:color w:val="auto"/>
          <w:highlight w:val="none"/>
        </w:rPr>
        <w:fldChar w:fldCharType="begin"/>
      </w:r>
      <w:r>
        <w:rPr>
          <w:rFonts w:hint="eastAsia"/>
          <w:color w:val="auto"/>
          <w:highlight w:val="none"/>
        </w:rPr>
        <w:instrText xml:space="preserve"> HYPERLINK \l _Toc25848 </w:instrText>
      </w:r>
      <w:r>
        <w:rPr>
          <w:rFonts w:hint="eastAsia"/>
          <w:color w:val="auto"/>
          <w:highlight w:val="none"/>
        </w:rPr>
        <w:fldChar w:fldCharType="separate"/>
      </w:r>
      <w:r>
        <w:rPr>
          <w:rFonts w:hint="eastAsia" w:ascii="仿宋" w:hAnsi="仿宋" w:eastAsia="仿宋"/>
          <w:color w:val="auto"/>
          <w:szCs w:val="24"/>
          <w:highlight w:val="none"/>
        </w:rPr>
        <w:t>四、采购终止</w:t>
      </w:r>
      <w:r>
        <w:rPr>
          <w:color w:val="auto"/>
          <w:highlight w:val="none"/>
        </w:rPr>
        <w:tab/>
      </w:r>
      <w:r>
        <w:rPr>
          <w:color w:val="auto"/>
          <w:highlight w:val="none"/>
        </w:rPr>
        <w:fldChar w:fldCharType="begin"/>
      </w:r>
      <w:r>
        <w:rPr>
          <w:color w:val="auto"/>
          <w:highlight w:val="none"/>
        </w:rPr>
        <w:instrText xml:space="preserve"> PAGEREF _Toc25848 \h </w:instrText>
      </w:r>
      <w:r>
        <w:rPr>
          <w:color w:val="auto"/>
          <w:highlight w:val="none"/>
        </w:rPr>
        <w:fldChar w:fldCharType="separate"/>
      </w:r>
      <w:r>
        <w:rPr>
          <w:color w:val="auto"/>
          <w:highlight w:val="none"/>
        </w:rPr>
        <w:t>- 10 -</w:t>
      </w:r>
      <w:r>
        <w:rPr>
          <w:color w:val="auto"/>
          <w:highlight w:val="none"/>
        </w:rPr>
        <w:fldChar w:fldCharType="end"/>
      </w:r>
      <w:r>
        <w:rPr>
          <w:rFonts w:hint="eastAsia"/>
          <w:color w:val="auto"/>
          <w:highlight w:val="none"/>
        </w:rPr>
        <w:fldChar w:fldCharType="end"/>
      </w:r>
    </w:p>
    <w:p w14:paraId="3607503C">
      <w:pPr>
        <w:pStyle w:val="49"/>
        <w:tabs>
          <w:tab w:val="right" w:leader="dot" w:pos="9412"/>
        </w:tabs>
        <w:rPr>
          <w:color w:val="auto"/>
          <w:highlight w:val="none"/>
        </w:rPr>
      </w:pPr>
      <w:r>
        <w:rPr>
          <w:rFonts w:hint="eastAsia"/>
          <w:color w:val="auto"/>
          <w:highlight w:val="none"/>
        </w:rPr>
        <w:fldChar w:fldCharType="begin"/>
      </w:r>
      <w:r>
        <w:rPr>
          <w:rFonts w:hint="eastAsia"/>
          <w:color w:val="auto"/>
          <w:highlight w:val="none"/>
        </w:rPr>
        <w:instrText xml:space="preserve"> HYPERLINK \l _Toc18319 </w:instrText>
      </w:r>
      <w:r>
        <w:rPr>
          <w:rFonts w:hint="eastAsia"/>
          <w:color w:val="auto"/>
          <w:highlight w:val="none"/>
        </w:rPr>
        <w:fldChar w:fldCharType="separate"/>
      </w:r>
      <w:r>
        <w:rPr>
          <w:rFonts w:hint="eastAsia" w:ascii="仿宋" w:hAnsi="仿宋" w:eastAsia="仿宋"/>
          <w:color w:val="auto"/>
          <w:szCs w:val="30"/>
          <w:highlight w:val="none"/>
        </w:rPr>
        <w:t>第五篇 供应商须知</w:t>
      </w:r>
      <w:r>
        <w:rPr>
          <w:color w:val="auto"/>
          <w:highlight w:val="none"/>
        </w:rPr>
        <w:tab/>
      </w:r>
      <w:r>
        <w:rPr>
          <w:color w:val="auto"/>
          <w:highlight w:val="none"/>
        </w:rPr>
        <w:fldChar w:fldCharType="begin"/>
      </w:r>
      <w:r>
        <w:rPr>
          <w:color w:val="auto"/>
          <w:highlight w:val="none"/>
        </w:rPr>
        <w:instrText xml:space="preserve"> PAGEREF _Toc18319 \h </w:instrText>
      </w:r>
      <w:r>
        <w:rPr>
          <w:color w:val="auto"/>
          <w:highlight w:val="none"/>
        </w:rPr>
        <w:fldChar w:fldCharType="separate"/>
      </w:r>
      <w:r>
        <w:rPr>
          <w:color w:val="auto"/>
          <w:highlight w:val="none"/>
        </w:rPr>
        <w:t>- 11 -</w:t>
      </w:r>
      <w:r>
        <w:rPr>
          <w:color w:val="auto"/>
          <w:highlight w:val="none"/>
        </w:rPr>
        <w:fldChar w:fldCharType="end"/>
      </w:r>
      <w:r>
        <w:rPr>
          <w:rFonts w:hint="eastAsia"/>
          <w:color w:val="auto"/>
          <w:highlight w:val="none"/>
        </w:rPr>
        <w:fldChar w:fldCharType="end"/>
      </w:r>
    </w:p>
    <w:p w14:paraId="6F80FF7E">
      <w:pPr>
        <w:pStyle w:val="32"/>
        <w:tabs>
          <w:tab w:val="right" w:leader="dot" w:pos="9412"/>
        </w:tabs>
        <w:rPr>
          <w:color w:val="auto"/>
          <w:highlight w:val="none"/>
        </w:rPr>
      </w:pPr>
      <w:r>
        <w:rPr>
          <w:rFonts w:hint="eastAsia"/>
          <w:color w:val="auto"/>
          <w:highlight w:val="none"/>
        </w:rPr>
        <w:fldChar w:fldCharType="begin"/>
      </w:r>
      <w:r>
        <w:rPr>
          <w:rFonts w:hint="eastAsia"/>
          <w:color w:val="auto"/>
          <w:highlight w:val="none"/>
        </w:rPr>
        <w:instrText xml:space="preserve"> HYPERLINK \l _Toc13537 </w:instrText>
      </w:r>
      <w:r>
        <w:rPr>
          <w:rFonts w:hint="eastAsia"/>
          <w:color w:val="auto"/>
          <w:highlight w:val="none"/>
        </w:rPr>
        <w:fldChar w:fldCharType="separate"/>
      </w:r>
      <w:r>
        <w:rPr>
          <w:rFonts w:hint="eastAsia" w:ascii="仿宋" w:hAnsi="仿宋" w:eastAsia="仿宋"/>
          <w:color w:val="auto"/>
          <w:szCs w:val="24"/>
          <w:highlight w:val="none"/>
        </w:rPr>
        <w:t>一、网上竞采费用</w:t>
      </w:r>
      <w:r>
        <w:rPr>
          <w:color w:val="auto"/>
          <w:highlight w:val="none"/>
        </w:rPr>
        <w:tab/>
      </w:r>
      <w:r>
        <w:rPr>
          <w:color w:val="auto"/>
          <w:highlight w:val="none"/>
        </w:rPr>
        <w:fldChar w:fldCharType="begin"/>
      </w:r>
      <w:r>
        <w:rPr>
          <w:color w:val="auto"/>
          <w:highlight w:val="none"/>
        </w:rPr>
        <w:instrText xml:space="preserve"> PAGEREF _Toc13537 \h </w:instrText>
      </w:r>
      <w:r>
        <w:rPr>
          <w:color w:val="auto"/>
          <w:highlight w:val="none"/>
        </w:rPr>
        <w:fldChar w:fldCharType="separate"/>
      </w:r>
      <w:r>
        <w:rPr>
          <w:color w:val="auto"/>
          <w:highlight w:val="none"/>
        </w:rPr>
        <w:t>- 11 -</w:t>
      </w:r>
      <w:r>
        <w:rPr>
          <w:color w:val="auto"/>
          <w:highlight w:val="none"/>
        </w:rPr>
        <w:fldChar w:fldCharType="end"/>
      </w:r>
      <w:r>
        <w:rPr>
          <w:rFonts w:hint="eastAsia"/>
          <w:color w:val="auto"/>
          <w:highlight w:val="none"/>
        </w:rPr>
        <w:fldChar w:fldCharType="end"/>
      </w:r>
    </w:p>
    <w:p w14:paraId="5F2A4744">
      <w:pPr>
        <w:pStyle w:val="32"/>
        <w:tabs>
          <w:tab w:val="right" w:leader="dot" w:pos="9412"/>
        </w:tabs>
        <w:rPr>
          <w:color w:val="auto"/>
          <w:highlight w:val="none"/>
        </w:rPr>
      </w:pPr>
      <w:r>
        <w:rPr>
          <w:rFonts w:hint="eastAsia"/>
          <w:color w:val="auto"/>
          <w:highlight w:val="none"/>
        </w:rPr>
        <w:fldChar w:fldCharType="begin"/>
      </w:r>
      <w:r>
        <w:rPr>
          <w:rFonts w:hint="eastAsia"/>
          <w:color w:val="auto"/>
          <w:highlight w:val="none"/>
        </w:rPr>
        <w:instrText xml:space="preserve"> HYPERLINK \l _Toc6164 </w:instrText>
      </w:r>
      <w:r>
        <w:rPr>
          <w:rFonts w:hint="eastAsia"/>
          <w:color w:val="auto"/>
          <w:highlight w:val="none"/>
        </w:rPr>
        <w:fldChar w:fldCharType="separate"/>
      </w:r>
      <w:r>
        <w:rPr>
          <w:rFonts w:hint="eastAsia" w:ascii="仿宋" w:hAnsi="仿宋" w:eastAsia="仿宋"/>
          <w:color w:val="auto"/>
          <w:szCs w:val="24"/>
          <w:highlight w:val="none"/>
        </w:rPr>
        <w:t>二、网上竞采文件</w:t>
      </w:r>
      <w:r>
        <w:rPr>
          <w:color w:val="auto"/>
          <w:highlight w:val="none"/>
        </w:rPr>
        <w:tab/>
      </w:r>
      <w:r>
        <w:rPr>
          <w:color w:val="auto"/>
          <w:highlight w:val="none"/>
        </w:rPr>
        <w:fldChar w:fldCharType="begin"/>
      </w:r>
      <w:r>
        <w:rPr>
          <w:color w:val="auto"/>
          <w:highlight w:val="none"/>
        </w:rPr>
        <w:instrText xml:space="preserve"> PAGEREF _Toc6164 \h </w:instrText>
      </w:r>
      <w:r>
        <w:rPr>
          <w:color w:val="auto"/>
          <w:highlight w:val="none"/>
        </w:rPr>
        <w:fldChar w:fldCharType="separate"/>
      </w:r>
      <w:r>
        <w:rPr>
          <w:color w:val="auto"/>
          <w:highlight w:val="none"/>
        </w:rPr>
        <w:t>- 11 -</w:t>
      </w:r>
      <w:r>
        <w:rPr>
          <w:color w:val="auto"/>
          <w:highlight w:val="none"/>
        </w:rPr>
        <w:fldChar w:fldCharType="end"/>
      </w:r>
      <w:r>
        <w:rPr>
          <w:rFonts w:hint="eastAsia"/>
          <w:color w:val="auto"/>
          <w:highlight w:val="none"/>
        </w:rPr>
        <w:fldChar w:fldCharType="end"/>
      </w:r>
    </w:p>
    <w:p w14:paraId="30FC0241">
      <w:pPr>
        <w:pStyle w:val="32"/>
        <w:tabs>
          <w:tab w:val="right" w:leader="dot" w:pos="9412"/>
        </w:tabs>
        <w:rPr>
          <w:color w:val="auto"/>
          <w:highlight w:val="none"/>
        </w:rPr>
      </w:pPr>
      <w:r>
        <w:rPr>
          <w:rFonts w:hint="eastAsia"/>
          <w:color w:val="auto"/>
          <w:highlight w:val="none"/>
        </w:rPr>
        <w:fldChar w:fldCharType="begin"/>
      </w:r>
      <w:r>
        <w:rPr>
          <w:rFonts w:hint="eastAsia"/>
          <w:color w:val="auto"/>
          <w:highlight w:val="none"/>
        </w:rPr>
        <w:instrText xml:space="preserve"> HYPERLINK \l _Toc28083 </w:instrText>
      </w:r>
      <w:r>
        <w:rPr>
          <w:rFonts w:hint="eastAsia"/>
          <w:color w:val="auto"/>
          <w:highlight w:val="none"/>
        </w:rPr>
        <w:fldChar w:fldCharType="separate"/>
      </w:r>
      <w:r>
        <w:rPr>
          <w:rFonts w:hint="eastAsia" w:ascii="仿宋" w:hAnsi="仿宋" w:eastAsia="仿宋"/>
          <w:color w:val="auto"/>
          <w:szCs w:val="24"/>
          <w:highlight w:val="none"/>
        </w:rPr>
        <w:t>三、竞采要求</w:t>
      </w:r>
      <w:r>
        <w:rPr>
          <w:color w:val="auto"/>
          <w:highlight w:val="none"/>
        </w:rPr>
        <w:tab/>
      </w:r>
      <w:r>
        <w:rPr>
          <w:color w:val="auto"/>
          <w:highlight w:val="none"/>
        </w:rPr>
        <w:fldChar w:fldCharType="begin"/>
      </w:r>
      <w:r>
        <w:rPr>
          <w:color w:val="auto"/>
          <w:highlight w:val="none"/>
        </w:rPr>
        <w:instrText xml:space="preserve"> PAGEREF _Toc28083 \h </w:instrText>
      </w:r>
      <w:r>
        <w:rPr>
          <w:color w:val="auto"/>
          <w:highlight w:val="none"/>
        </w:rPr>
        <w:fldChar w:fldCharType="separate"/>
      </w:r>
      <w:r>
        <w:rPr>
          <w:color w:val="auto"/>
          <w:highlight w:val="none"/>
        </w:rPr>
        <w:t>- 11 -</w:t>
      </w:r>
      <w:r>
        <w:rPr>
          <w:color w:val="auto"/>
          <w:highlight w:val="none"/>
        </w:rPr>
        <w:fldChar w:fldCharType="end"/>
      </w:r>
      <w:r>
        <w:rPr>
          <w:rFonts w:hint="eastAsia"/>
          <w:color w:val="auto"/>
          <w:highlight w:val="none"/>
        </w:rPr>
        <w:fldChar w:fldCharType="end"/>
      </w:r>
    </w:p>
    <w:p w14:paraId="5B702971">
      <w:pPr>
        <w:pStyle w:val="32"/>
        <w:tabs>
          <w:tab w:val="right" w:leader="dot" w:pos="9412"/>
        </w:tabs>
        <w:rPr>
          <w:color w:val="auto"/>
          <w:highlight w:val="none"/>
        </w:rPr>
      </w:pPr>
      <w:r>
        <w:rPr>
          <w:rFonts w:hint="eastAsia"/>
          <w:color w:val="auto"/>
          <w:highlight w:val="none"/>
        </w:rPr>
        <w:fldChar w:fldCharType="begin"/>
      </w:r>
      <w:r>
        <w:rPr>
          <w:rFonts w:hint="eastAsia"/>
          <w:color w:val="auto"/>
          <w:highlight w:val="none"/>
        </w:rPr>
        <w:instrText xml:space="preserve"> HYPERLINK \l _Toc11553 </w:instrText>
      </w:r>
      <w:r>
        <w:rPr>
          <w:rFonts w:hint="eastAsia"/>
          <w:color w:val="auto"/>
          <w:highlight w:val="none"/>
        </w:rPr>
        <w:fldChar w:fldCharType="separate"/>
      </w:r>
      <w:r>
        <w:rPr>
          <w:rFonts w:hint="eastAsia" w:ascii="仿宋" w:hAnsi="仿宋" w:eastAsia="仿宋"/>
          <w:color w:val="auto"/>
          <w:szCs w:val="24"/>
          <w:highlight w:val="none"/>
        </w:rPr>
        <w:t>四、成交供应商的确认和变更</w:t>
      </w:r>
      <w:r>
        <w:rPr>
          <w:color w:val="auto"/>
          <w:highlight w:val="none"/>
        </w:rPr>
        <w:tab/>
      </w:r>
      <w:r>
        <w:rPr>
          <w:color w:val="auto"/>
          <w:highlight w:val="none"/>
        </w:rPr>
        <w:fldChar w:fldCharType="begin"/>
      </w:r>
      <w:r>
        <w:rPr>
          <w:color w:val="auto"/>
          <w:highlight w:val="none"/>
        </w:rPr>
        <w:instrText xml:space="preserve"> PAGEREF _Toc11553 \h </w:instrText>
      </w:r>
      <w:r>
        <w:rPr>
          <w:color w:val="auto"/>
          <w:highlight w:val="none"/>
        </w:rPr>
        <w:fldChar w:fldCharType="separate"/>
      </w:r>
      <w:r>
        <w:rPr>
          <w:color w:val="auto"/>
          <w:highlight w:val="none"/>
        </w:rPr>
        <w:t>- 12 -</w:t>
      </w:r>
      <w:r>
        <w:rPr>
          <w:color w:val="auto"/>
          <w:highlight w:val="none"/>
        </w:rPr>
        <w:fldChar w:fldCharType="end"/>
      </w:r>
      <w:r>
        <w:rPr>
          <w:rFonts w:hint="eastAsia"/>
          <w:color w:val="auto"/>
          <w:highlight w:val="none"/>
        </w:rPr>
        <w:fldChar w:fldCharType="end"/>
      </w:r>
    </w:p>
    <w:p w14:paraId="41190366">
      <w:pPr>
        <w:pStyle w:val="32"/>
        <w:tabs>
          <w:tab w:val="right" w:leader="dot" w:pos="9412"/>
        </w:tabs>
        <w:rPr>
          <w:color w:val="auto"/>
          <w:highlight w:val="none"/>
        </w:rPr>
      </w:pPr>
      <w:r>
        <w:rPr>
          <w:rFonts w:hint="eastAsia"/>
          <w:color w:val="auto"/>
          <w:highlight w:val="none"/>
        </w:rPr>
        <w:fldChar w:fldCharType="begin"/>
      </w:r>
      <w:r>
        <w:rPr>
          <w:rFonts w:hint="eastAsia"/>
          <w:color w:val="auto"/>
          <w:highlight w:val="none"/>
        </w:rPr>
        <w:instrText xml:space="preserve"> HYPERLINK \l _Toc13347 </w:instrText>
      </w:r>
      <w:r>
        <w:rPr>
          <w:rFonts w:hint="eastAsia"/>
          <w:color w:val="auto"/>
          <w:highlight w:val="none"/>
        </w:rPr>
        <w:fldChar w:fldCharType="separate"/>
      </w:r>
      <w:r>
        <w:rPr>
          <w:rFonts w:hint="eastAsia" w:ascii="仿宋" w:hAnsi="仿宋" w:eastAsia="仿宋"/>
          <w:color w:val="auto"/>
          <w:szCs w:val="24"/>
          <w:highlight w:val="none"/>
        </w:rPr>
        <w:t>五、成交通知</w:t>
      </w:r>
      <w:r>
        <w:rPr>
          <w:color w:val="auto"/>
          <w:highlight w:val="none"/>
        </w:rPr>
        <w:tab/>
      </w:r>
      <w:r>
        <w:rPr>
          <w:color w:val="auto"/>
          <w:highlight w:val="none"/>
        </w:rPr>
        <w:fldChar w:fldCharType="begin"/>
      </w:r>
      <w:r>
        <w:rPr>
          <w:color w:val="auto"/>
          <w:highlight w:val="none"/>
        </w:rPr>
        <w:instrText xml:space="preserve"> PAGEREF _Toc13347 \h </w:instrText>
      </w:r>
      <w:r>
        <w:rPr>
          <w:color w:val="auto"/>
          <w:highlight w:val="none"/>
        </w:rPr>
        <w:fldChar w:fldCharType="separate"/>
      </w:r>
      <w:r>
        <w:rPr>
          <w:color w:val="auto"/>
          <w:highlight w:val="none"/>
        </w:rPr>
        <w:t>- 12 -</w:t>
      </w:r>
      <w:r>
        <w:rPr>
          <w:color w:val="auto"/>
          <w:highlight w:val="none"/>
        </w:rPr>
        <w:fldChar w:fldCharType="end"/>
      </w:r>
      <w:r>
        <w:rPr>
          <w:rFonts w:hint="eastAsia"/>
          <w:color w:val="auto"/>
          <w:highlight w:val="none"/>
        </w:rPr>
        <w:fldChar w:fldCharType="end"/>
      </w:r>
    </w:p>
    <w:p w14:paraId="072EE653">
      <w:pPr>
        <w:pStyle w:val="32"/>
        <w:tabs>
          <w:tab w:val="right" w:leader="dot" w:pos="9412"/>
        </w:tabs>
        <w:rPr>
          <w:color w:val="auto"/>
          <w:highlight w:val="none"/>
        </w:rPr>
      </w:pPr>
      <w:r>
        <w:rPr>
          <w:rFonts w:hint="eastAsia"/>
          <w:color w:val="auto"/>
          <w:highlight w:val="none"/>
        </w:rPr>
        <w:fldChar w:fldCharType="begin"/>
      </w:r>
      <w:r>
        <w:rPr>
          <w:rFonts w:hint="eastAsia"/>
          <w:color w:val="auto"/>
          <w:highlight w:val="none"/>
        </w:rPr>
        <w:instrText xml:space="preserve"> HYPERLINK \l _Toc31912 </w:instrText>
      </w:r>
      <w:r>
        <w:rPr>
          <w:rFonts w:hint="eastAsia"/>
          <w:color w:val="auto"/>
          <w:highlight w:val="none"/>
        </w:rPr>
        <w:fldChar w:fldCharType="separate"/>
      </w:r>
      <w:r>
        <w:rPr>
          <w:rFonts w:hint="eastAsia" w:ascii="仿宋" w:hAnsi="仿宋" w:eastAsia="仿宋"/>
          <w:color w:val="auto"/>
          <w:szCs w:val="24"/>
          <w:highlight w:val="none"/>
        </w:rPr>
        <w:t>六、采购代理服务费</w:t>
      </w:r>
      <w:r>
        <w:rPr>
          <w:color w:val="auto"/>
          <w:highlight w:val="none"/>
        </w:rPr>
        <w:tab/>
      </w:r>
      <w:r>
        <w:rPr>
          <w:color w:val="auto"/>
          <w:highlight w:val="none"/>
        </w:rPr>
        <w:fldChar w:fldCharType="begin"/>
      </w:r>
      <w:r>
        <w:rPr>
          <w:color w:val="auto"/>
          <w:highlight w:val="none"/>
        </w:rPr>
        <w:instrText xml:space="preserve"> PAGEREF _Toc31912 \h </w:instrText>
      </w:r>
      <w:r>
        <w:rPr>
          <w:color w:val="auto"/>
          <w:highlight w:val="none"/>
        </w:rPr>
        <w:fldChar w:fldCharType="separate"/>
      </w:r>
      <w:r>
        <w:rPr>
          <w:color w:val="auto"/>
          <w:highlight w:val="none"/>
        </w:rPr>
        <w:t>- 12 -</w:t>
      </w:r>
      <w:r>
        <w:rPr>
          <w:color w:val="auto"/>
          <w:highlight w:val="none"/>
        </w:rPr>
        <w:fldChar w:fldCharType="end"/>
      </w:r>
      <w:r>
        <w:rPr>
          <w:rFonts w:hint="eastAsia"/>
          <w:color w:val="auto"/>
          <w:highlight w:val="none"/>
        </w:rPr>
        <w:fldChar w:fldCharType="end"/>
      </w:r>
    </w:p>
    <w:p w14:paraId="227A3557">
      <w:pPr>
        <w:pStyle w:val="32"/>
        <w:tabs>
          <w:tab w:val="right" w:leader="dot" w:pos="9412"/>
        </w:tabs>
        <w:rPr>
          <w:color w:val="auto"/>
          <w:highlight w:val="none"/>
        </w:rPr>
      </w:pPr>
      <w:r>
        <w:rPr>
          <w:rFonts w:hint="eastAsia"/>
          <w:color w:val="auto"/>
          <w:highlight w:val="none"/>
        </w:rPr>
        <w:fldChar w:fldCharType="begin"/>
      </w:r>
      <w:r>
        <w:rPr>
          <w:rFonts w:hint="eastAsia"/>
          <w:color w:val="auto"/>
          <w:highlight w:val="none"/>
        </w:rPr>
        <w:instrText xml:space="preserve"> HYPERLINK \l _Toc16938 </w:instrText>
      </w:r>
      <w:r>
        <w:rPr>
          <w:rFonts w:hint="eastAsia"/>
          <w:color w:val="auto"/>
          <w:highlight w:val="none"/>
        </w:rPr>
        <w:fldChar w:fldCharType="separate"/>
      </w:r>
      <w:r>
        <w:rPr>
          <w:rFonts w:hint="eastAsia" w:ascii="仿宋" w:hAnsi="仿宋" w:eastAsia="仿宋"/>
          <w:color w:val="auto"/>
          <w:szCs w:val="24"/>
          <w:highlight w:val="none"/>
        </w:rPr>
        <w:t>八、签订合同</w:t>
      </w:r>
      <w:r>
        <w:rPr>
          <w:color w:val="auto"/>
          <w:highlight w:val="none"/>
        </w:rPr>
        <w:tab/>
      </w:r>
      <w:r>
        <w:rPr>
          <w:color w:val="auto"/>
          <w:highlight w:val="none"/>
        </w:rPr>
        <w:fldChar w:fldCharType="begin"/>
      </w:r>
      <w:r>
        <w:rPr>
          <w:color w:val="auto"/>
          <w:highlight w:val="none"/>
        </w:rPr>
        <w:instrText xml:space="preserve"> PAGEREF _Toc16938 \h </w:instrText>
      </w:r>
      <w:r>
        <w:rPr>
          <w:color w:val="auto"/>
          <w:highlight w:val="none"/>
        </w:rPr>
        <w:fldChar w:fldCharType="separate"/>
      </w:r>
      <w:r>
        <w:rPr>
          <w:color w:val="auto"/>
          <w:highlight w:val="none"/>
        </w:rPr>
        <w:t>- 14 -</w:t>
      </w:r>
      <w:r>
        <w:rPr>
          <w:color w:val="auto"/>
          <w:highlight w:val="none"/>
        </w:rPr>
        <w:fldChar w:fldCharType="end"/>
      </w:r>
      <w:r>
        <w:rPr>
          <w:rFonts w:hint="eastAsia"/>
          <w:color w:val="auto"/>
          <w:highlight w:val="none"/>
        </w:rPr>
        <w:fldChar w:fldCharType="end"/>
      </w:r>
    </w:p>
    <w:p w14:paraId="043AC89F">
      <w:pPr>
        <w:pStyle w:val="49"/>
        <w:tabs>
          <w:tab w:val="right" w:leader="dot" w:pos="9412"/>
        </w:tabs>
        <w:rPr>
          <w:color w:val="auto"/>
          <w:highlight w:val="none"/>
        </w:rPr>
      </w:pPr>
      <w:r>
        <w:rPr>
          <w:rFonts w:hint="eastAsia"/>
          <w:color w:val="auto"/>
          <w:highlight w:val="none"/>
        </w:rPr>
        <w:fldChar w:fldCharType="begin"/>
      </w:r>
      <w:r>
        <w:rPr>
          <w:rFonts w:hint="eastAsia"/>
          <w:color w:val="auto"/>
          <w:highlight w:val="none"/>
        </w:rPr>
        <w:instrText xml:space="preserve"> HYPERLINK \l _Toc11616 </w:instrText>
      </w:r>
      <w:r>
        <w:rPr>
          <w:rFonts w:hint="eastAsia"/>
          <w:color w:val="auto"/>
          <w:highlight w:val="none"/>
        </w:rPr>
        <w:fldChar w:fldCharType="separate"/>
      </w:r>
      <w:r>
        <w:rPr>
          <w:rFonts w:hint="eastAsia" w:ascii="仿宋" w:hAnsi="仿宋" w:eastAsia="仿宋"/>
          <w:color w:val="auto"/>
          <w:szCs w:val="30"/>
          <w:highlight w:val="none"/>
        </w:rPr>
        <w:t>第六篇 格式合同</w:t>
      </w:r>
      <w:r>
        <w:rPr>
          <w:color w:val="auto"/>
          <w:highlight w:val="none"/>
        </w:rPr>
        <w:tab/>
      </w:r>
      <w:r>
        <w:rPr>
          <w:color w:val="auto"/>
          <w:highlight w:val="none"/>
        </w:rPr>
        <w:fldChar w:fldCharType="begin"/>
      </w:r>
      <w:r>
        <w:rPr>
          <w:color w:val="auto"/>
          <w:highlight w:val="none"/>
        </w:rPr>
        <w:instrText xml:space="preserve"> PAGEREF _Toc11616 \h </w:instrText>
      </w:r>
      <w:r>
        <w:rPr>
          <w:color w:val="auto"/>
          <w:highlight w:val="none"/>
        </w:rPr>
        <w:fldChar w:fldCharType="separate"/>
      </w:r>
      <w:r>
        <w:rPr>
          <w:color w:val="auto"/>
          <w:highlight w:val="none"/>
        </w:rPr>
        <w:t>- 15 -</w:t>
      </w:r>
      <w:r>
        <w:rPr>
          <w:color w:val="auto"/>
          <w:highlight w:val="none"/>
        </w:rPr>
        <w:fldChar w:fldCharType="end"/>
      </w:r>
      <w:r>
        <w:rPr>
          <w:rFonts w:hint="eastAsia"/>
          <w:color w:val="auto"/>
          <w:highlight w:val="none"/>
        </w:rPr>
        <w:fldChar w:fldCharType="end"/>
      </w:r>
    </w:p>
    <w:p w14:paraId="1DB35F36">
      <w:pPr>
        <w:pStyle w:val="49"/>
        <w:tabs>
          <w:tab w:val="right" w:leader="dot" w:pos="9412"/>
        </w:tabs>
        <w:rPr>
          <w:color w:val="auto"/>
          <w:highlight w:val="none"/>
        </w:rPr>
      </w:pPr>
      <w:r>
        <w:rPr>
          <w:rFonts w:hint="eastAsia"/>
          <w:color w:val="auto"/>
          <w:highlight w:val="none"/>
        </w:rPr>
        <w:fldChar w:fldCharType="begin"/>
      </w:r>
      <w:r>
        <w:rPr>
          <w:rFonts w:hint="eastAsia"/>
          <w:color w:val="auto"/>
          <w:highlight w:val="none"/>
        </w:rPr>
        <w:instrText xml:space="preserve"> HYPERLINK \l _Toc11707 </w:instrText>
      </w:r>
      <w:r>
        <w:rPr>
          <w:rFonts w:hint="eastAsia"/>
          <w:color w:val="auto"/>
          <w:highlight w:val="none"/>
        </w:rPr>
        <w:fldChar w:fldCharType="separate"/>
      </w:r>
      <w:r>
        <w:rPr>
          <w:rFonts w:hint="eastAsia" w:ascii="仿宋" w:hAnsi="仿宋" w:eastAsia="仿宋"/>
          <w:bCs/>
          <w:color w:val="auto"/>
          <w:szCs w:val="30"/>
          <w:highlight w:val="none"/>
        </w:rPr>
        <w:t>第七篇 响应文件编制要求</w:t>
      </w:r>
      <w:r>
        <w:rPr>
          <w:color w:val="auto"/>
          <w:highlight w:val="none"/>
        </w:rPr>
        <w:tab/>
      </w:r>
      <w:r>
        <w:rPr>
          <w:color w:val="auto"/>
          <w:highlight w:val="none"/>
        </w:rPr>
        <w:fldChar w:fldCharType="begin"/>
      </w:r>
      <w:r>
        <w:rPr>
          <w:color w:val="auto"/>
          <w:highlight w:val="none"/>
        </w:rPr>
        <w:instrText xml:space="preserve"> PAGEREF _Toc11707 \h </w:instrText>
      </w:r>
      <w:r>
        <w:rPr>
          <w:color w:val="auto"/>
          <w:highlight w:val="none"/>
        </w:rPr>
        <w:fldChar w:fldCharType="separate"/>
      </w:r>
      <w:r>
        <w:rPr>
          <w:color w:val="auto"/>
          <w:highlight w:val="none"/>
        </w:rPr>
        <w:t>- 16 -</w:t>
      </w:r>
      <w:r>
        <w:rPr>
          <w:color w:val="auto"/>
          <w:highlight w:val="none"/>
        </w:rPr>
        <w:fldChar w:fldCharType="end"/>
      </w:r>
      <w:r>
        <w:rPr>
          <w:rFonts w:hint="eastAsia"/>
          <w:color w:val="auto"/>
          <w:highlight w:val="none"/>
        </w:rPr>
        <w:fldChar w:fldCharType="end"/>
      </w:r>
    </w:p>
    <w:p w14:paraId="0595E995">
      <w:pPr>
        <w:pStyle w:val="40"/>
        <w:tabs>
          <w:tab w:val="right" w:leader="dot" w:pos="9412"/>
        </w:tabs>
        <w:rPr>
          <w:color w:val="auto"/>
          <w:highlight w:val="none"/>
        </w:rPr>
      </w:pPr>
    </w:p>
    <w:p w14:paraId="1F8FCB6C">
      <w:pPr>
        <w:pStyle w:val="32"/>
        <w:tabs>
          <w:tab w:val="right" w:leader="dot" w:pos="9412"/>
        </w:tabs>
        <w:rPr>
          <w:color w:val="auto"/>
          <w:highlight w:val="none"/>
        </w:rPr>
      </w:pPr>
      <w:r>
        <w:rPr>
          <w:rFonts w:hint="eastAsia"/>
          <w:color w:val="auto"/>
          <w:highlight w:val="none"/>
        </w:rPr>
        <w:fldChar w:fldCharType="begin"/>
      </w:r>
      <w:r>
        <w:rPr>
          <w:rFonts w:hint="eastAsia"/>
          <w:color w:val="auto"/>
          <w:highlight w:val="none"/>
        </w:rPr>
        <w:instrText xml:space="preserve"> HYPERLINK \l _Toc18994 </w:instrText>
      </w:r>
      <w:r>
        <w:rPr>
          <w:rFonts w:hint="eastAsia"/>
          <w:color w:val="auto"/>
          <w:highlight w:val="none"/>
        </w:rPr>
        <w:fldChar w:fldCharType="separate"/>
      </w:r>
      <w:r>
        <w:rPr>
          <w:rFonts w:hint="eastAsia" w:ascii="仿宋" w:hAnsi="仿宋" w:eastAsia="仿宋"/>
          <w:color w:val="auto"/>
          <w:szCs w:val="24"/>
          <w:highlight w:val="none"/>
        </w:rPr>
        <w:t>一、经济部分</w:t>
      </w:r>
      <w:r>
        <w:rPr>
          <w:color w:val="auto"/>
          <w:highlight w:val="none"/>
        </w:rPr>
        <w:tab/>
      </w:r>
      <w:r>
        <w:rPr>
          <w:color w:val="auto"/>
          <w:highlight w:val="none"/>
        </w:rPr>
        <w:fldChar w:fldCharType="begin"/>
      </w:r>
      <w:r>
        <w:rPr>
          <w:color w:val="auto"/>
          <w:highlight w:val="none"/>
        </w:rPr>
        <w:instrText xml:space="preserve"> PAGEREF _Toc18994 \h </w:instrText>
      </w:r>
      <w:r>
        <w:rPr>
          <w:color w:val="auto"/>
          <w:highlight w:val="none"/>
        </w:rPr>
        <w:fldChar w:fldCharType="separate"/>
      </w:r>
      <w:r>
        <w:rPr>
          <w:color w:val="auto"/>
          <w:highlight w:val="none"/>
        </w:rPr>
        <w:t>- 18 -</w:t>
      </w:r>
      <w:r>
        <w:rPr>
          <w:color w:val="auto"/>
          <w:highlight w:val="none"/>
        </w:rPr>
        <w:fldChar w:fldCharType="end"/>
      </w:r>
      <w:r>
        <w:rPr>
          <w:rFonts w:hint="eastAsia"/>
          <w:color w:val="auto"/>
          <w:highlight w:val="none"/>
        </w:rPr>
        <w:fldChar w:fldCharType="end"/>
      </w:r>
    </w:p>
    <w:p w14:paraId="4B1A54CB">
      <w:pPr>
        <w:pStyle w:val="32"/>
        <w:tabs>
          <w:tab w:val="right" w:leader="dot" w:pos="9412"/>
        </w:tabs>
        <w:rPr>
          <w:color w:val="auto"/>
          <w:highlight w:val="none"/>
        </w:rPr>
      </w:pPr>
      <w:r>
        <w:rPr>
          <w:rFonts w:hint="eastAsia"/>
          <w:color w:val="auto"/>
          <w:highlight w:val="none"/>
        </w:rPr>
        <w:fldChar w:fldCharType="begin"/>
      </w:r>
      <w:r>
        <w:rPr>
          <w:rFonts w:hint="eastAsia"/>
          <w:color w:val="auto"/>
          <w:highlight w:val="none"/>
        </w:rPr>
        <w:instrText xml:space="preserve"> HYPERLINK \l _Toc14108 </w:instrText>
      </w:r>
      <w:r>
        <w:rPr>
          <w:rFonts w:hint="eastAsia"/>
          <w:color w:val="auto"/>
          <w:highlight w:val="none"/>
        </w:rPr>
        <w:fldChar w:fldCharType="separate"/>
      </w:r>
      <w:r>
        <w:rPr>
          <w:rFonts w:hint="eastAsia" w:ascii="仿宋" w:hAnsi="仿宋" w:eastAsia="仿宋"/>
          <w:color w:val="auto"/>
          <w:szCs w:val="24"/>
          <w:highlight w:val="none"/>
        </w:rPr>
        <w:t>二、技术部分</w:t>
      </w:r>
      <w:r>
        <w:rPr>
          <w:color w:val="auto"/>
          <w:highlight w:val="none"/>
        </w:rPr>
        <w:tab/>
      </w:r>
      <w:r>
        <w:rPr>
          <w:color w:val="auto"/>
          <w:highlight w:val="none"/>
        </w:rPr>
        <w:fldChar w:fldCharType="begin"/>
      </w:r>
      <w:r>
        <w:rPr>
          <w:color w:val="auto"/>
          <w:highlight w:val="none"/>
        </w:rPr>
        <w:instrText xml:space="preserve"> PAGEREF _Toc14108 \h </w:instrText>
      </w:r>
      <w:r>
        <w:rPr>
          <w:color w:val="auto"/>
          <w:highlight w:val="none"/>
        </w:rPr>
        <w:fldChar w:fldCharType="separate"/>
      </w:r>
      <w:r>
        <w:rPr>
          <w:color w:val="auto"/>
          <w:highlight w:val="none"/>
        </w:rPr>
        <w:t>- 20 -</w:t>
      </w:r>
      <w:r>
        <w:rPr>
          <w:color w:val="auto"/>
          <w:highlight w:val="none"/>
        </w:rPr>
        <w:fldChar w:fldCharType="end"/>
      </w:r>
      <w:r>
        <w:rPr>
          <w:rFonts w:hint="eastAsia"/>
          <w:color w:val="auto"/>
          <w:highlight w:val="none"/>
        </w:rPr>
        <w:fldChar w:fldCharType="end"/>
      </w:r>
    </w:p>
    <w:p w14:paraId="4A3788F4">
      <w:pPr>
        <w:pStyle w:val="32"/>
        <w:tabs>
          <w:tab w:val="right" w:leader="dot" w:pos="9412"/>
        </w:tabs>
        <w:rPr>
          <w:color w:val="auto"/>
          <w:highlight w:val="none"/>
        </w:rPr>
      </w:pPr>
      <w:r>
        <w:rPr>
          <w:rFonts w:hint="eastAsia"/>
          <w:color w:val="auto"/>
          <w:highlight w:val="none"/>
        </w:rPr>
        <w:fldChar w:fldCharType="begin"/>
      </w:r>
      <w:r>
        <w:rPr>
          <w:rFonts w:hint="eastAsia"/>
          <w:color w:val="auto"/>
          <w:highlight w:val="none"/>
        </w:rPr>
        <w:instrText xml:space="preserve"> HYPERLINK \l _Toc8777 </w:instrText>
      </w:r>
      <w:r>
        <w:rPr>
          <w:rFonts w:hint="eastAsia"/>
          <w:color w:val="auto"/>
          <w:highlight w:val="none"/>
        </w:rPr>
        <w:fldChar w:fldCharType="separate"/>
      </w:r>
      <w:r>
        <w:rPr>
          <w:rFonts w:hint="eastAsia" w:ascii="仿宋" w:hAnsi="仿宋" w:eastAsia="仿宋" w:cs="仿宋"/>
          <w:color w:val="auto"/>
          <w:szCs w:val="24"/>
          <w:highlight w:val="none"/>
        </w:rPr>
        <w:t>三、商务部分</w:t>
      </w:r>
      <w:r>
        <w:rPr>
          <w:color w:val="auto"/>
          <w:highlight w:val="none"/>
        </w:rPr>
        <w:tab/>
      </w:r>
      <w:r>
        <w:rPr>
          <w:color w:val="auto"/>
          <w:highlight w:val="none"/>
        </w:rPr>
        <w:fldChar w:fldCharType="begin"/>
      </w:r>
      <w:r>
        <w:rPr>
          <w:color w:val="auto"/>
          <w:highlight w:val="none"/>
        </w:rPr>
        <w:instrText xml:space="preserve"> PAGEREF _Toc8777 \h </w:instrText>
      </w:r>
      <w:r>
        <w:rPr>
          <w:color w:val="auto"/>
          <w:highlight w:val="none"/>
        </w:rPr>
        <w:fldChar w:fldCharType="separate"/>
      </w:r>
      <w:r>
        <w:rPr>
          <w:color w:val="auto"/>
          <w:highlight w:val="none"/>
        </w:rPr>
        <w:t>- 23 -</w:t>
      </w:r>
      <w:r>
        <w:rPr>
          <w:color w:val="auto"/>
          <w:highlight w:val="none"/>
        </w:rPr>
        <w:fldChar w:fldCharType="end"/>
      </w:r>
      <w:r>
        <w:rPr>
          <w:rFonts w:hint="eastAsia"/>
          <w:color w:val="auto"/>
          <w:highlight w:val="none"/>
        </w:rPr>
        <w:fldChar w:fldCharType="end"/>
      </w:r>
    </w:p>
    <w:p w14:paraId="492C101F">
      <w:pPr>
        <w:pStyle w:val="32"/>
        <w:tabs>
          <w:tab w:val="right" w:leader="dot" w:pos="9412"/>
        </w:tabs>
        <w:rPr>
          <w:color w:val="auto"/>
          <w:highlight w:val="none"/>
        </w:rPr>
      </w:pPr>
      <w:r>
        <w:rPr>
          <w:rFonts w:hint="eastAsia"/>
          <w:color w:val="auto"/>
          <w:highlight w:val="none"/>
        </w:rPr>
        <w:fldChar w:fldCharType="begin"/>
      </w:r>
      <w:r>
        <w:rPr>
          <w:rFonts w:hint="eastAsia"/>
          <w:color w:val="auto"/>
          <w:highlight w:val="none"/>
        </w:rPr>
        <w:instrText xml:space="preserve"> HYPERLINK \l _Toc20085 </w:instrText>
      </w:r>
      <w:r>
        <w:rPr>
          <w:rFonts w:hint="eastAsia"/>
          <w:color w:val="auto"/>
          <w:highlight w:val="none"/>
        </w:rPr>
        <w:fldChar w:fldCharType="separate"/>
      </w:r>
      <w:r>
        <w:rPr>
          <w:rFonts w:hint="eastAsia" w:ascii="仿宋" w:hAnsi="仿宋" w:eastAsia="仿宋"/>
          <w:color w:val="auto"/>
          <w:szCs w:val="24"/>
          <w:highlight w:val="none"/>
        </w:rPr>
        <w:t>四、资格条件及其他</w:t>
      </w:r>
      <w:r>
        <w:rPr>
          <w:color w:val="auto"/>
          <w:highlight w:val="none"/>
        </w:rPr>
        <w:tab/>
      </w:r>
      <w:r>
        <w:rPr>
          <w:color w:val="auto"/>
          <w:highlight w:val="none"/>
        </w:rPr>
        <w:fldChar w:fldCharType="begin"/>
      </w:r>
      <w:r>
        <w:rPr>
          <w:color w:val="auto"/>
          <w:highlight w:val="none"/>
        </w:rPr>
        <w:instrText xml:space="preserve"> PAGEREF _Toc20085 \h </w:instrText>
      </w:r>
      <w:r>
        <w:rPr>
          <w:color w:val="auto"/>
          <w:highlight w:val="none"/>
        </w:rPr>
        <w:fldChar w:fldCharType="separate"/>
      </w:r>
      <w:r>
        <w:rPr>
          <w:color w:val="auto"/>
          <w:highlight w:val="none"/>
        </w:rPr>
        <w:t>- 25 -</w:t>
      </w:r>
      <w:r>
        <w:rPr>
          <w:color w:val="auto"/>
          <w:highlight w:val="none"/>
        </w:rPr>
        <w:fldChar w:fldCharType="end"/>
      </w:r>
      <w:r>
        <w:rPr>
          <w:rFonts w:hint="eastAsia"/>
          <w:color w:val="auto"/>
          <w:highlight w:val="none"/>
        </w:rPr>
        <w:fldChar w:fldCharType="end"/>
      </w:r>
    </w:p>
    <w:p w14:paraId="3FAB2D01">
      <w:pPr>
        <w:pStyle w:val="32"/>
        <w:tabs>
          <w:tab w:val="right" w:leader="dot" w:pos="9412"/>
        </w:tabs>
        <w:rPr>
          <w:color w:val="auto"/>
          <w:highlight w:val="none"/>
        </w:rPr>
      </w:pPr>
      <w:r>
        <w:rPr>
          <w:rFonts w:hint="eastAsia"/>
          <w:color w:val="auto"/>
          <w:highlight w:val="none"/>
        </w:rPr>
        <w:fldChar w:fldCharType="begin"/>
      </w:r>
      <w:r>
        <w:rPr>
          <w:rFonts w:hint="eastAsia"/>
          <w:color w:val="auto"/>
          <w:highlight w:val="none"/>
        </w:rPr>
        <w:instrText xml:space="preserve"> HYPERLINK \l _Toc13964 </w:instrText>
      </w:r>
      <w:r>
        <w:rPr>
          <w:rFonts w:hint="eastAsia"/>
          <w:color w:val="auto"/>
          <w:highlight w:val="none"/>
        </w:rPr>
        <w:fldChar w:fldCharType="separate"/>
      </w:r>
      <w:r>
        <w:rPr>
          <w:rFonts w:hint="eastAsia" w:ascii="仿宋" w:hAnsi="仿宋" w:eastAsia="仿宋"/>
          <w:color w:val="auto"/>
          <w:szCs w:val="24"/>
          <w:highlight w:val="none"/>
        </w:rPr>
        <w:t>五、其他应提供的资料</w:t>
      </w:r>
      <w:r>
        <w:rPr>
          <w:color w:val="auto"/>
          <w:highlight w:val="none"/>
        </w:rPr>
        <w:tab/>
      </w:r>
      <w:r>
        <w:rPr>
          <w:color w:val="auto"/>
          <w:highlight w:val="none"/>
        </w:rPr>
        <w:fldChar w:fldCharType="begin"/>
      </w:r>
      <w:r>
        <w:rPr>
          <w:color w:val="auto"/>
          <w:highlight w:val="none"/>
        </w:rPr>
        <w:instrText xml:space="preserve"> PAGEREF _Toc13964 \h </w:instrText>
      </w:r>
      <w:r>
        <w:rPr>
          <w:color w:val="auto"/>
          <w:highlight w:val="none"/>
        </w:rPr>
        <w:fldChar w:fldCharType="separate"/>
      </w:r>
      <w:r>
        <w:rPr>
          <w:color w:val="auto"/>
          <w:highlight w:val="none"/>
        </w:rPr>
        <w:t>- 30 -</w:t>
      </w:r>
      <w:r>
        <w:rPr>
          <w:color w:val="auto"/>
          <w:highlight w:val="none"/>
        </w:rPr>
        <w:fldChar w:fldCharType="end"/>
      </w:r>
      <w:r>
        <w:rPr>
          <w:rFonts w:hint="eastAsia"/>
          <w:color w:val="auto"/>
          <w:highlight w:val="none"/>
        </w:rPr>
        <w:fldChar w:fldCharType="end"/>
      </w:r>
    </w:p>
    <w:p w14:paraId="493C92FE">
      <w:pPr>
        <w:pStyle w:val="40"/>
        <w:rPr>
          <w:color w:val="auto"/>
          <w:sz w:val="18"/>
          <w:highlight w:val="none"/>
        </w:rPr>
        <w:sectPr>
          <w:pgSz w:w="11907" w:h="16840"/>
          <w:pgMar w:top="1134" w:right="1191" w:bottom="1134" w:left="1304" w:header="851" w:footer="992" w:gutter="0"/>
          <w:pgNumType w:fmt="numberInDash" w:start="1"/>
          <w:cols w:space="720" w:num="1"/>
          <w:docGrid w:linePitch="380" w:charSpace="-5735"/>
        </w:sectPr>
      </w:pPr>
      <w:r>
        <w:rPr>
          <w:rFonts w:hint="eastAsia"/>
          <w:color w:val="auto"/>
          <w:highlight w:val="none"/>
        </w:rPr>
        <w:fldChar w:fldCharType="end"/>
      </w:r>
      <w:bookmarkStart w:id="0" w:name="_Toc12789052"/>
      <w:bookmarkStart w:id="1" w:name="_Toc11641050"/>
    </w:p>
    <w:p w14:paraId="5BEFEFA2">
      <w:pPr>
        <w:pStyle w:val="4"/>
        <w:spacing w:before="0" w:after="0" w:line="360" w:lineRule="auto"/>
        <w:jc w:val="center"/>
        <w:rPr>
          <w:rFonts w:hint="eastAsia" w:ascii="仿宋" w:hAnsi="仿宋" w:eastAsia="仿宋"/>
          <w:color w:val="auto"/>
          <w:sz w:val="24"/>
          <w:szCs w:val="24"/>
          <w:highlight w:val="none"/>
        </w:rPr>
      </w:pPr>
      <w:bookmarkStart w:id="2" w:name="_Toc13345"/>
      <w:bookmarkStart w:id="3" w:name="_Toc16094"/>
      <w:r>
        <w:rPr>
          <w:rFonts w:hint="eastAsia" w:ascii="仿宋" w:hAnsi="仿宋" w:eastAsia="仿宋"/>
          <w:b w:val="0"/>
          <w:color w:val="auto"/>
          <w:sz w:val="36"/>
          <w:szCs w:val="30"/>
          <w:highlight w:val="none"/>
        </w:rPr>
        <w:t>第一篇 采购邀请书</w:t>
      </w:r>
      <w:bookmarkEnd w:id="0"/>
      <w:bookmarkEnd w:id="1"/>
      <w:bookmarkEnd w:id="2"/>
      <w:bookmarkEnd w:id="3"/>
    </w:p>
    <w:p w14:paraId="6392DEED">
      <w:pPr>
        <w:pStyle w:val="25"/>
        <w:spacing w:line="500" w:lineRule="exact"/>
        <w:ind w:left="0" w:firstLine="480" w:firstLineChars="200"/>
        <w:jc w:val="both"/>
        <w:rPr>
          <w:rFonts w:hint="eastAsia" w:ascii="仿宋" w:hAnsi="仿宋" w:eastAsia="仿宋"/>
          <w:color w:val="auto"/>
          <w:sz w:val="24"/>
          <w:szCs w:val="24"/>
          <w:highlight w:val="none"/>
        </w:rPr>
      </w:pPr>
      <w:r>
        <w:rPr>
          <w:rFonts w:hint="eastAsia" w:ascii="仿宋" w:hAnsi="仿宋" w:eastAsia="仿宋"/>
          <w:color w:val="auto"/>
          <w:sz w:val="24"/>
          <w:szCs w:val="24"/>
          <w:highlight w:val="none"/>
        </w:rPr>
        <w:t xml:space="preserve"> 重庆</w:t>
      </w:r>
      <w:r>
        <w:rPr>
          <w:rFonts w:hint="eastAsia" w:ascii="仿宋" w:hAnsi="仿宋" w:eastAsia="仿宋"/>
          <w:color w:val="auto"/>
          <w:sz w:val="24"/>
          <w:szCs w:val="24"/>
          <w:highlight w:val="none"/>
          <w:lang w:val="en-US" w:eastAsia="zh-CN"/>
        </w:rPr>
        <w:t>同皓</w:t>
      </w:r>
      <w:r>
        <w:rPr>
          <w:rFonts w:hint="eastAsia" w:ascii="仿宋" w:hAnsi="仿宋" w:eastAsia="仿宋"/>
          <w:color w:val="auto"/>
          <w:sz w:val="24"/>
          <w:szCs w:val="24"/>
          <w:highlight w:val="none"/>
        </w:rPr>
        <w:t>工程项目管理有限公司（以下简称：采购代理机构）接受</w:t>
      </w:r>
      <w:r>
        <w:rPr>
          <w:rFonts w:hint="eastAsia" w:ascii="仿宋" w:hAnsi="仿宋" w:eastAsia="仿宋"/>
          <w:color w:val="auto"/>
          <w:sz w:val="24"/>
          <w:szCs w:val="24"/>
          <w:highlight w:val="none"/>
          <w:lang w:eastAsia="zh-CN"/>
        </w:rPr>
        <w:t>重庆高新技术产业开发区管理委员会市场监督管理局</w:t>
      </w:r>
      <w:r>
        <w:rPr>
          <w:rFonts w:hint="eastAsia" w:ascii="仿宋" w:hAnsi="仿宋" w:eastAsia="仿宋"/>
          <w:color w:val="auto"/>
          <w:sz w:val="24"/>
          <w:szCs w:val="24"/>
          <w:highlight w:val="none"/>
        </w:rPr>
        <w:t>（以下简称：采购人）的委托，对</w:t>
      </w:r>
      <w:r>
        <w:rPr>
          <w:rFonts w:hint="eastAsia" w:ascii="仿宋" w:hAnsi="仿宋" w:eastAsia="仿宋"/>
          <w:color w:val="auto"/>
          <w:sz w:val="24"/>
          <w:szCs w:val="24"/>
          <w:highlight w:val="none"/>
          <w:u w:val="single"/>
          <w:lang w:val="en-US" w:eastAsia="zh-CN"/>
        </w:rPr>
        <w:t>高新区市场监督管理局2026年食品安全抽检项目</w:t>
      </w:r>
      <w:r>
        <w:rPr>
          <w:rFonts w:hint="eastAsia" w:ascii="仿宋" w:hAnsi="仿宋" w:eastAsia="仿宋"/>
          <w:color w:val="auto"/>
          <w:sz w:val="24"/>
          <w:szCs w:val="24"/>
          <w:highlight w:val="none"/>
        </w:rPr>
        <w:t>进行网上竞采。欢迎有资格的供应商前来参与网上竞采。</w:t>
      </w:r>
    </w:p>
    <w:p w14:paraId="761AF8BB">
      <w:pPr>
        <w:pStyle w:val="5"/>
        <w:spacing w:before="0" w:after="0" w:line="360" w:lineRule="auto"/>
        <w:rPr>
          <w:rFonts w:hint="eastAsia" w:ascii="仿宋" w:hAnsi="仿宋" w:eastAsia="仿宋"/>
          <w:color w:val="auto"/>
          <w:sz w:val="24"/>
          <w:szCs w:val="24"/>
          <w:highlight w:val="none"/>
        </w:rPr>
      </w:pPr>
      <w:bookmarkStart w:id="4" w:name="_Toc313893526"/>
      <w:bookmarkStart w:id="5" w:name="_Toc317775175"/>
      <w:bookmarkStart w:id="6" w:name="_Toc13447"/>
      <w:bookmarkStart w:id="7" w:name="_Toc22851"/>
      <w:r>
        <w:rPr>
          <w:rFonts w:hint="eastAsia" w:ascii="仿宋" w:hAnsi="仿宋" w:eastAsia="仿宋"/>
          <w:color w:val="auto"/>
          <w:sz w:val="24"/>
          <w:szCs w:val="24"/>
          <w:highlight w:val="none"/>
        </w:rPr>
        <w:t>一、网上竞采内容</w:t>
      </w:r>
      <w:bookmarkEnd w:id="4"/>
      <w:bookmarkEnd w:id="5"/>
      <w:bookmarkEnd w:id="6"/>
      <w:bookmarkEnd w:id="7"/>
    </w:p>
    <w:tbl>
      <w:tblPr>
        <w:tblStyle w:val="63"/>
        <w:tblW w:w="99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54"/>
        <w:gridCol w:w="1928"/>
        <w:gridCol w:w="2475"/>
        <w:gridCol w:w="1029"/>
      </w:tblGrid>
      <w:tr w14:paraId="59813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5" w:hRule="atLeast"/>
          <w:jc w:val="center"/>
        </w:trPr>
        <w:tc>
          <w:tcPr>
            <w:tcW w:w="4554" w:type="dxa"/>
            <w:tcBorders>
              <w:top w:val="single" w:color="auto" w:sz="4" w:space="0"/>
              <w:left w:val="single" w:color="auto" w:sz="4" w:space="0"/>
              <w:right w:val="single" w:color="auto" w:sz="4" w:space="0"/>
            </w:tcBorders>
            <w:vAlign w:val="center"/>
          </w:tcPr>
          <w:p w14:paraId="710D9EAB">
            <w:pPr>
              <w:widowControl/>
              <w:jc w:val="center"/>
              <w:rPr>
                <w:rFonts w:ascii="仿宋" w:eastAsia="仿宋" w:cs="宋体"/>
                <w:b/>
                <w:bCs/>
                <w:color w:val="auto"/>
                <w:kern w:val="0"/>
                <w:sz w:val="24"/>
                <w:szCs w:val="24"/>
                <w:highlight w:val="none"/>
              </w:rPr>
            </w:pPr>
            <w:bookmarkStart w:id="8" w:name="_Toc373860293"/>
            <w:bookmarkStart w:id="9" w:name="_Toc317775178"/>
            <w:r>
              <w:rPr>
                <w:rFonts w:hint="eastAsia" w:ascii="仿宋" w:eastAsia="仿宋" w:cs="宋体"/>
                <w:b/>
                <w:bCs/>
                <w:color w:val="auto"/>
                <w:kern w:val="0"/>
                <w:sz w:val="24"/>
                <w:szCs w:val="24"/>
                <w:highlight w:val="none"/>
              </w:rPr>
              <w:t>采购项目名称</w:t>
            </w:r>
          </w:p>
        </w:tc>
        <w:tc>
          <w:tcPr>
            <w:tcW w:w="1928" w:type="dxa"/>
            <w:tcBorders>
              <w:top w:val="single" w:color="auto" w:sz="4" w:space="0"/>
              <w:left w:val="single" w:color="auto" w:sz="4" w:space="0"/>
              <w:right w:val="single" w:color="auto" w:sz="4" w:space="0"/>
            </w:tcBorders>
            <w:vAlign w:val="center"/>
          </w:tcPr>
          <w:p w14:paraId="0E4B6543">
            <w:pPr>
              <w:jc w:val="center"/>
              <w:rPr>
                <w:rFonts w:ascii="仿宋" w:eastAsia="仿宋" w:cs="宋体"/>
                <w:b/>
                <w:bCs/>
                <w:color w:val="auto"/>
                <w:kern w:val="0"/>
                <w:sz w:val="24"/>
                <w:szCs w:val="24"/>
                <w:highlight w:val="none"/>
              </w:rPr>
            </w:pPr>
            <w:r>
              <w:rPr>
                <w:rFonts w:hint="eastAsia" w:ascii="仿宋" w:eastAsia="仿宋" w:cs="宋体"/>
                <w:b/>
                <w:bCs/>
                <w:color w:val="auto"/>
                <w:kern w:val="0"/>
                <w:sz w:val="24"/>
                <w:szCs w:val="24"/>
                <w:highlight w:val="none"/>
              </w:rPr>
              <w:t>最高限价（元）</w:t>
            </w:r>
          </w:p>
        </w:tc>
        <w:tc>
          <w:tcPr>
            <w:tcW w:w="2475" w:type="dxa"/>
            <w:tcBorders>
              <w:top w:val="single" w:color="auto" w:sz="4" w:space="0"/>
              <w:left w:val="single" w:color="auto" w:sz="4" w:space="0"/>
              <w:right w:val="single" w:color="auto" w:sz="4" w:space="0"/>
            </w:tcBorders>
            <w:vAlign w:val="center"/>
          </w:tcPr>
          <w:p w14:paraId="7936C89D">
            <w:pPr>
              <w:jc w:val="center"/>
              <w:rPr>
                <w:rFonts w:ascii="仿宋" w:eastAsia="仿宋" w:cs="宋体"/>
                <w:b/>
                <w:bCs/>
                <w:color w:val="auto"/>
                <w:kern w:val="0"/>
                <w:sz w:val="24"/>
                <w:szCs w:val="24"/>
                <w:highlight w:val="none"/>
              </w:rPr>
            </w:pPr>
            <w:r>
              <w:rPr>
                <w:rFonts w:hint="eastAsia" w:ascii="仿宋" w:eastAsia="仿宋" w:cs="宋体"/>
                <w:b/>
                <w:bCs/>
                <w:color w:val="auto"/>
                <w:kern w:val="0"/>
                <w:sz w:val="24"/>
                <w:szCs w:val="24"/>
                <w:highlight w:val="none"/>
              </w:rPr>
              <w:t>成交供应商数量（名）</w:t>
            </w:r>
          </w:p>
        </w:tc>
        <w:tc>
          <w:tcPr>
            <w:tcW w:w="1029" w:type="dxa"/>
            <w:tcBorders>
              <w:top w:val="single" w:color="auto" w:sz="4" w:space="0"/>
              <w:left w:val="single" w:color="auto" w:sz="4" w:space="0"/>
              <w:right w:val="single" w:color="auto" w:sz="4" w:space="0"/>
            </w:tcBorders>
            <w:vAlign w:val="center"/>
          </w:tcPr>
          <w:p w14:paraId="062122CC">
            <w:pPr>
              <w:jc w:val="center"/>
              <w:rPr>
                <w:rFonts w:ascii="仿宋" w:eastAsia="仿宋" w:cs="宋体"/>
                <w:b/>
                <w:bCs/>
                <w:color w:val="auto"/>
                <w:kern w:val="0"/>
                <w:sz w:val="24"/>
                <w:szCs w:val="24"/>
                <w:highlight w:val="none"/>
              </w:rPr>
            </w:pPr>
            <w:r>
              <w:rPr>
                <w:rFonts w:hint="eastAsia" w:ascii="仿宋" w:eastAsia="仿宋" w:cs="宋体"/>
                <w:b/>
                <w:bCs/>
                <w:color w:val="auto"/>
                <w:kern w:val="0"/>
                <w:sz w:val="24"/>
                <w:szCs w:val="24"/>
                <w:highlight w:val="none"/>
              </w:rPr>
              <w:t>备注</w:t>
            </w:r>
          </w:p>
        </w:tc>
      </w:tr>
      <w:tr w14:paraId="74C6FE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jc w:val="center"/>
        </w:trPr>
        <w:tc>
          <w:tcPr>
            <w:tcW w:w="4554" w:type="dxa"/>
            <w:tcBorders>
              <w:top w:val="single" w:color="auto" w:sz="4" w:space="0"/>
              <w:left w:val="single" w:color="auto" w:sz="4" w:space="0"/>
              <w:bottom w:val="single" w:color="auto" w:sz="4" w:space="0"/>
              <w:right w:val="single" w:color="auto" w:sz="4" w:space="0"/>
            </w:tcBorders>
            <w:vAlign w:val="center"/>
          </w:tcPr>
          <w:p w14:paraId="2D371550">
            <w:pPr>
              <w:pStyle w:val="25"/>
              <w:spacing w:line="500" w:lineRule="exact"/>
              <w:ind w:left="0" w:firstLine="482" w:firstLineChars="200"/>
              <w:jc w:val="center"/>
              <w:rPr>
                <w:rFonts w:hint="default" w:ascii="仿宋" w:hAnsi="Calibri" w:eastAsia="仿宋" w:cs="宋体"/>
                <w:b/>
                <w:bCs/>
                <w:color w:val="auto"/>
                <w:kern w:val="0"/>
                <w:sz w:val="24"/>
                <w:szCs w:val="24"/>
                <w:highlight w:val="none"/>
                <w:lang w:val="en-US" w:eastAsia="zh-CN" w:bidi="ar-SA"/>
              </w:rPr>
            </w:pPr>
            <w:bookmarkStart w:id="10" w:name="_Hlk344477914"/>
            <w:r>
              <w:rPr>
                <w:rFonts w:hint="eastAsia" w:ascii="仿宋" w:eastAsia="仿宋" w:cs="宋体"/>
                <w:b/>
                <w:bCs/>
                <w:color w:val="auto"/>
                <w:kern w:val="0"/>
                <w:sz w:val="24"/>
                <w:szCs w:val="24"/>
                <w:highlight w:val="none"/>
                <w:lang w:val="en-US" w:eastAsia="zh-CN" w:bidi="ar-SA"/>
              </w:rPr>
              <w:t>高新区市场监督管理局2026年食品安全抽检项目</w:t>
            </w:r>
          </w:p>
          <w:p w14:paraId="5DEEC256">
            <w:pPr>
              <w:jc w:val="center"/>
              <w:rPr>
                <w:rFonts w:hint="eastAsia" w:ascii="仿宋" w:eastAsiaTheme="majorEastAsia"/>
                <w:color w:val="auto"/>
                <w:sz w:val="24"/>
                <w:szCs w:val="24"/>
                <w:highlight w:val="none"/>
                <w:lang w:eastAsia="zh-CN"/>
              </w:rPr>
            </w:pPr>
            <w:r>
              <w:rPr>
                <w:rFonts w:hint="eastAsia" w:ascii="仿宋" w:hAnsi="仿宋" w:eastAsia="仿宋"/>
                <w:color w:val="auto"/>
                <w:sz w:val="24"/>
                <w:szCs w:val="24"/>
                <w:highlight w:val="none"/>
                <w:lang w:val="en-US" w:eastAsia="zh-CN"/>
              </w:rPr>
              <w:t xml:space="preserve"> </w:t>
            </w:r>
          </w:p>
        </w:tc>
        <w:tc>
          <w:tcPr>
            <w:tcW w:w="1928" w:type="dxa"/>
            <w:tcBorders>
              <w:top w:val="single" w:color="auto" w:sz="4" w:space="0"/>
              <w:left w:val="single" w:color="auto" w:sz="4" w:space="0"/>
              <w:right w:val="single" w:color="auto" w:sz="4" w:space="0"/>
            </w:tcBorders>
            <w:vAlign w:val="center"/>
          </w:tcPr>
          <w:p w14:paraId="24F45178">
            <w:pPr>
              <w:jc w:val="center"/>
              <w:rPr>
                <w:rFonts w:hint="default" w:ascii="仿宋" w:hAnsi="仿宋" w:eastAsia="仿宋"/>
                <w:bCs/>
                <w:color w:val="auto"/>
                <w:sz w:val="24"/>
                <w:szCs w:val="24"/>
                <w:highlight w:val="none"/>
                <w:lang w:val="en-US" w:eastAsia="zh-CN"/>
              </w:rPr>
            </w:pPr>
            <w:r>
              <w:rPr>
                <w:rFonts w:hint="eastAsia" w:ascii="仿宋" w:eastAsia="仿宋" w:cs="宋体"/>
                <w:b/>
                <w:bCs/>
                <w:color w:val="auto"/>
                <w:kern w:val="0"/>
                <w:sz w:val="24"/>
                <w:szCs w:val="24"/>
                <w:highlight w:val="none"/>
                <w:lang w:val="en-US" w:eastAsia="zh-CN"/>
              </w:rPr>
              <w:t>490000</w:t>
            </w:r>
          </w:p>
        </w:tc>
        <w:tc>
          <w:tcPr>
            <w:tcW w:w="2475" w:type="dxa"/>
            <w:tcBorders>
              <w:top w:val="single" w:color="auto" w:sz="4" w:space="0"/>
              <w:left w:val="single" w:color="auto" w:sz="4" w:space="0"/>
              <w:right w:val="single" w:color="auto" w:sz="4" w:space="0"/>
            </w:tcBorders>
            <w:vAlign w:val="center"/>
          </w:tcPr>
          <w:p w14:paraId="69242449">
            <w:pPr>
              <w:spacing w:line="400" w:lineRule="exact"/>
              <w:jc w:val="center"/>
              <w:rPr>
                <w:rFonts w:ascii="仿宋" w:eastAsia="仿宋"/>
                <w:color w:val="auto"/>
                <w:sz w:val="24"/>
                <w:szCs w:val="24"/>
                <w:highlight w:val="none"/>
              </w:rPr>
            </w:pPr>
            <w:r>
              <w:rPr>
                <w:rFonts w:hint="eastAsia" w:ascii="仿宋" w:eastAsia="仿宋"/>
                <w:color w:val="auto"/>
                <w:sz w:val="24"/>
                <w:szCs w:val="24"/>
                <w:highlight w:val="none"/>
              </w:rPr>
              <w:t>1</w:t>
            </w:r>
          </w:p>
        </w:tc>
        <w:tc>
          <w:tcPr>
            <w:tcW w:w="1029" w:type="dxa"/>
            <w:tcBorders>
              <w:top w:val="single" w:color="auto" w:sz="4" w:space="0"/>
              <w:left w:val="single" w:color="auto" w:sz="4" w:space="0"/>
              <w:right w:val="single" w:color="auto" w:sz="4" w:space="0"/>
            </w:tcBorders>
            <w:vAlign w:val="center"/>
          </w:tcPr>
          <w:p w14:paraId="651B3AB4">
            <w:pPr>
              <w:spacing w:line="400" w:lineRule="exact"/>
              <w:rPr>
                <w:color w:val="auto"/>
                <w:highlight w:val="none"/>
              </w:rPr>
            </w:pPr>
          </w:p>
        </w:tc>
      </w:tr>
      <w:bookmarkEnd w:id="10"/>
    </w:tbl>
    <w:p w14:paraId="2FFF3D37">
      <w:pPr>
        <w:pStyle w:val="5"/>
        <w:spacing w:before="0" w:after="0" w:line="360" w:lineRule="auto"/>
        <w:rPr>
          <w:rFonts w:hint="eastAsia" w:ascii="仿宋" w:hAnsi="仿宋" w:eastAsia="仿宋"/>
          <w:color w:val="auto"/>
          <w:sz w:val="24"/>
          <w:szCs w:val="24"/>
          <w:highlight w:val="none"/>
        </w:rPr>
      </w:pPr>
      <w:bookmarkStart w:id="11" w:name="_Toc11881"/>
      <w:bookmarkStart w:id="12" w:name="_Toc28115"/>
      <w:r>
        <w:rPr>
          <w:rFonts w:hint="eastAsia" w:ascii="仿宋" w:hAnsi="仿宋" w:eastAsia="仿宋"/>
          <w:color w:val="auto"/>
          <w:sz w:val="24"/>
          <w:szCs w:val="24"/>
          <w:highlight w:val="none"/>
        </w:rPr>
        <w:t>二、资金来源</w:t>
      </w:r>
      <w:bookmarkEnd w:id="11"/>
      <w:bookmarkEnd w:id="12"/>
    </w:p>
    <w:p w14:paraId="780F5461">
      <w:pPr>
        <w:spacing w:line="360" w:lineRule="auto"/>
        <w:ind w:firstLine="480" w:firstLineChars="200"/>
        <w:rPr>
          <w:rFonts w:hint="eastAsia" w:ascii="仿宋" w:hAnsi="仿宋" w:eastAsia="仿宋"/>
          <w:color w:val="auto"/>
          <w:sz w:val="24"/>
          <w:szCs w:val="24"/>
          <w:highlight w:val="none"/>
        </w:rPr>
      </w:pPr>
      <w:r>
        <w:rPr>
          <w:rFonts w:hint="eastAsia" w:ascii="仿宋" w:eastAsia="仿宋"/>
          <w:color w:val="auto"/>
          <w:sz w:val="24"/>
          <w:szCs w:val="24"/>
          <w:highlight w:val="none"/>
        </w:rPr>
        <w:t>财政资金，</w:t>
      </w:r>
      <w:r>
        <w:rPr>
          <w:rFonts w:hint="eastAsia" w:ascii="仿宋" w:eastAsia="仿宋"/>
          <w:color w:val="auto"/>
          <w:sz w:val="24"/>
          <w:szCs w:val="24"/>
          <w:highlight w:val="none"/>
        </w:rPr>
        <w:t>预算金额</w:t>
      </w:r>
      <w:r>
        <w:rPr>
          <w:rFonts w:hint="eastAsia" w:ascii="仿宋" w:eastAsia="仿宋" w:cs="Times New Roman"/>
          <w:color w:val="auto"/>
          <w:kern w:val="2"/>
          <w:sz w:val="24"/>
          <w:szCs w:val="24"/>
          <w:highlight w:val="none"/>
          <w:lang w:val="en-US" w:eastAsia="zh-CN" w:bidi="ar-SA"/>
        </w:rPr>
        <w:t>490000</w:t>
      </w:r>
      <w:r>
        <w:rPr>
          <w:rFonts w:hint="eastAsia" w:ascii="仿宋" w:eastAsia="仿宋"/>
          <w:color w:val="auto"/>
          <w:sz w:val="24"/>
          <w:szCs w:val="24"/>
          <w:highlight w:val="none"/>
        </w:rPr>
        <w:t>元。</w:t>
      </w:r>
    </w:p>
    <w:p w14:paraId="211E4876">
      <w:pPr>
        <w:pStyle w:val="5"/>
        <w:spacing w:before="0" w:after="0" w:line="360" w:lineRule="auto"/>
        <w:rPr>
          <w:rFonts w:hint="eastAsia" w:ascii="仿宋" w:hAnsi="仿宋" w:eastAsia="仿宋"/>
          <w:color w:val="auto"/>
          <w:sz w:val="24"/>
          <w:szCs w:val="24"/>
          <w:highlight w:val="none"/>
        </w:rPr>
      </w:pPr>
      <w:bookmarkStart w:id="13" w:name="_Toc31479"/>
      <w:bookmarkStart w:id="14" w:name="_Toc15957"/>
      <w:r>
        <w:rPr>
          <w:rFonts w:hint="eastAsia" w:ascii="仿宋" w:hAnsi="仿宋" w:eastAsia="仿宋"/>
          <w:color w:val="auto"/>
          <w:sz w:val="24"/>
          <w:szCs w:val="24"/>
          <w:highlight w:val="none"/>
        </w:rPr>
        <w:t>三、供应商资格条件</w:t>
      </w:r>
      <w:bookmarkEnd w:id="13"/>
      <w:bookmarkEnd w:id="14"/>
    </w:p>
    <w:p w14:paraId="4AC71C7D">
      <w:pPr>
        <w:spacing w:line="360" w:lineRule="auto"/>
        <w:ind w:firstLine="480" w:firstLineChars="200"/>
        <w:rPr>
          <w:rFonts w:hint="eastAsia" w:ascii="仿宋" w:hAnsi="仿宋" w:eastAsia="仿宋"/>
          <w:color w:val="auto"/>
          <w:sz w:val="24"/>
          <w:szCs w:val="24"/>
          <w:highlight w:val="none"/>
        </w:rPr>
      </w:pPr>
      <w:bookmarkStart w:id="15" w:name="_Toc13803"/>
      <w:r>
        <w:rPr>
          <w:rFonts w:hint="eastAsia" w:ascii="仿宋" w:hAnsi="仿宋" w:eastAsia="仿宋"/>
          <w:color w:val="auto"/>
          <w:sz w:val="24"/>
          <w:szCs w:val="24"/>
          <w:highlight w:val="none"/>
        </w:rPr>
        <w:t>（一）满足《中华人民共和国政府采购法》第二十二条规定。</w:t>
      </w:r>
    </w:p>
    <w:p w14:paraId="5E4A9C3D">
      <w:pPr>
        <w:spacing w:line="360" w:lineRule="auto"/>
        <w:ind w:firstLine="480" w:firstLineChars="200"/>
        <w:rPr>
          <w:rFonts w:hint="eastAsia" w:ascii="仿宋" w:hAnsi="仿宋" w:eastAsia="仿宋"/>
          <w:color w:val="auto"/>
          <w:sz w:val="24"/>
          <w:szCs w:val="24"/>
          <w:highlight w:val="none"/>
          <w:lang w:val="en-US" w:eastAsia="zh-CN"/>
        </w:rPr>
      </w:pPr>
      <w:r>
        <w:rPr>
          <w:rFonts w:hint="eastAsia" w:ascii="仿宋" w:hAnsi="仿宋" w:eastAsia="仿宋"/>
          <w:color w:val="auto"/>
          <w:sz w:val="24"/>
          <w:szCs w:val="24"/>
          <w:highlight w:val="none"/>
          <w:lang w:eastAsia="zh-CN"/>
        </w:rPr>
        <w:t>（</w:t>
      </w:r>
      <w:r>
        <w:rPr>
          <w:rFonts w:hint="eastAsia" w:ascii="仿宋" w:hAnsi="仿宋" w:eastAsia="仿宋"/>
          <w:color w:val="auto"/>
          <w:sz w:val="24"/>
          <w:szCs w:val="24"/>
          <w:highlight w:val="none"/>
          <w:lang w:val="en-US" w:eastAsia="zh-CN"/>
        </w:rPr>
        <w:t>二</w:t>
      </w:r>
      <w:r>
        <w:rPr>
          <w:rFonts w:hint="eastAsia" w:ascii="仿宋" w:hAnsi="仿宋" w:eastAsia="仿宋"/>
          <w:color w:val="auto"/>
          <w:sz w:val="24"/>
          <w:szCs w:val="24"/>
          <w:highlight w:val="none"/>
          <w:lang w:eastAsia="zh-CN"/>
        </w:rPr>
        <w:t>）</w:t>
      </w:r>
      <w:r>
        <w:rPr>
          <w:rFonts w:hint="eastAsia" w:ascii="仿宋" w:hAnsi="仿宋" w:eastAsia="仿宋"/>
          <w:color w:val="auto"/>
          <w:sz w:val="24"/>
          <w:szCs w:val="24"/>
          <w:highlight w:val="none"/>
          <w:lang w:val="en-US" w:eastAsia="zh-CN"/>
        </w:rPr>
        <w:t>特定资格条件</w:t>
      </w:r>
    </w:p>
    <w:p w14:paraId="2F8FD0AA">
      <w:pPr>
        <w:spacing w:line="360" w:lineRule="auto"/>
        <w:ind w:firstLine="1200" w:firstLineChars="500"/>
        <w:rPr>
          <w:rFonts w:hint="default" w:ascii="仿宋" w:hAnsi="仿宋" w:eastAsia="仿宋"/>
          <w:color w:val="auto"/>
          <w:sz w:val="24"/>
          <w:szCs w:val="24"/>
          <w:highlight w:val="none"/>
          <w:lang w:val="en-US" w:eastAsia="zh-CN"/>
        </w:rPr>
      </w:pPr>
      <w:r>
        <w:rPr>
          <w:rFonts w:hint="eastAsia" w:ascii="仿宋" w:hAnsi="仿宋" w:eastAsia="仿宋"/>
          <w:color w:val="auto"/>
          <w:sz w:val="24"/>
          <w:szCs w:val="24"/>
          <w:highlight w:val="none"/>
          <w:lang w:val="en-US" w:eastAsia="zh-CN"/>
        </w:rPr>
        <w:t>无</w:t>
      </w:r>
    </w:p>
    <w:p w14:paraId="1CA3C659">
      <w:pPr>
        <w:pStyle w:val="5"/>
        <w:spacing w:before="0" w:after="0" w:line="360" w:lineRule="auto"/>
        <w:rPr>
          <w:rFonts w:hint="eastAsia" w:ascii="仿宋" w:hAnsi="仿宋" w:eastAsia="仿宋"/>
          <w:color w:val="auto"/>
          <w:sz w:val="24"/>
          <w:szCs w:val="24"/>
          <w:highlight w:val="none"/>
        </w:rPr>
      </w:pPr>
      <w:bookmarkStart w:id="16" w:name="_Toc9313"/>
      <w:r>
        <w:rPr>
          <w:rFonts w:hint="eastAsia" w:ascii="仿宋" w:hAnsi="仿宋" w:eastAsia="仿宋"/>
          <w:color w:val="auto"/>
          <w:sz w:val="24"/>
          <w:szCs w:val="24"/>
          <w:highlight w:val="none"/>
        </w:rPr>
        <w:t>四、采购有关说</w:t>
      </w:r>
      <w:bookmarkEnd w:id="8"/>
      <w:bookmarkEnd w:id="15"/>
      <w:bookmarkEnd w:id="16"/>
    </w:p>
    <w:p w14:paraId="3892C32B">
      <w:pPr>
        <w:spacing w:line="360" w:lineRule="auto"/>
        <w:ind w:firstLine="480" w:firstLineChars="200"/>
        <w:rPr>
          <w:rFonts w:hint="eastAsia" w:ascii="仿宋" w:hAnsi="仿宋" w:eastAsia="仿宋" w:cs="仿宋"/>
          <w:color w:val="auto"/>
          <w:sz w:val="24"/>
          <w:szCs w:val="24"/>
          <w:highlight w:val="none"/>
        </w:rPr>
      </w:pPr>
      <w:bookmarkStart w:id="17" w:name="_Toc6341"/>
      <w:bookmarkStart w:id="18" w:name="_Toc373860294"/>
      <w:r>
        <w:rPr>
          <w:rFonts w:hint="eastAsia" w:ascii="仿宋" w:hAnsi="仿宋" w:eastAsia="仿宋" w:cs="仿宋"/>
          <w:color w:val="auto"/>
          <w:sz w:val="24"/>
          <w:szCs w:val="24"/>
          <w:highlight w:val="none"/>
        </w:rPr>
        <w:t>（一）供应商应通过</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行采家”（ https://www.gec123.com/）平台进行注册，成为高新区小额采购平台供应商。</w:t>
      </w:r>
    </w:p>
    <w:p w14:paraId="640F1077">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（二）凡有意参加竞采的供应商，请于公告发布之日起至提交首次响应文件截止时间之前，在“</w:t>
      </w:r>
      <w:r>
        <w:rPr>
          <w:rFonts w:hint="eastAsia" w:ascii="仿宋" w:hAnsi="仿宋" w:eastAsia="仿宋" w:cs="仿宋"/>
          <w:color w:val="auto"/>
          <w:sz w:val="24"/>
          <w:szCs w:val="24"/>
          <w:highlight w:val="none"/>
          <w:lang w:eastAsia="zh-CN"/>
        </w:rPr>
        <w:t>“行采家”（ https://www.gec123.com/）</w:t>
      </w:r>
      <w:r>
        <w:rPr>
          <w:rFonts w:hint="eastAsia" w:ascii="仿宋" w:hAnsi="仿宋" w:eastAsia="仿宋" w:cs="仿宋"/>
          <w:color w:val="auto"/>
          <w:sz w:val="24"/>
          <w:szCs w:val="24"/>
          <w:highlight w:val="none"/>
        </w:rPr>
        <w:t>上下载或到采购代理机构领取本项目竞采文件以及图纸、补遗等竞采前公布的所有项目资料，无论供应商下载或领取与否，均视为已知晓所有竞采实质性要求内容。</w:t>
      </w:r>
    </w:p>
    <w:p w14:paraId="589611FD">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（三）</w:t>
      </w:r>
      <w:r>
        <w:rPr>
          <w:rFonts w:hint="eastAsia" w:ascii="仿宋" w:hAnsi="仿宋" w:eastAsia="仿宋" w:cs="仿宋"/>
          <w:color w:val="auto"/>
          <w:sz w:val="24"/>
          <w:szCs w:val="24"/>
          <w:highlight w:val="none"/>
          <w:lang w:val="en-US" w:eastAsia="zh-CN"/>
        </w:rPr>
        <w:t>文件发售期</w:t>
      </w:r>
      <w:r>
        <w:rPr>
          <w:rFonts w:hint="eastAsia" w:ascii="仿宋" w:hAnsi="仿宋" w:eastAsia="仿宋" w:cs="仿宋"/>
          <w:color w:val="auto"/>
          <w:sz w:val="24"/>
          <w:szCs w:val="24"/>
          <w:highlight w:val="none"/>
        </w:rPr>
        <w:t>：</w:t>
      </w:r>
    </w:p>
    <w:p w14:paraId="0D538276">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1、网上竞采文件报价截止时间</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2026年4 月 9日10:00 时</w:t>
      </w:r>
      <w:r>
        <w:rPr>
          <w:rFonts w:hint="eastAsia" w:ascii="仿宋" w:hAnsi="仿宋" w:eastAsia="仿宋" w:cs="仿宋"/>
          <w:color w:val="auto"/>
          <w:sz w:val="24"/>
          <w:szCs w:val="24"/>
          <w:highlight w:val="none"/>
        </w:rPr>
        <w:t>。</w:t>
      </w:r>
    </w:p>
    <w:p w14:paraId="66DC380D">
      <w:pPr>
        <w:spacing w:line="360" w:lineRule="auto"/>
        <w:ind w:firstLine="480" w:firstLineChars="200"/>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val="en-US" w:eastAsia="zh-CN"/>
        </w:rPr>
        <w:t>2、网上竞采文件</w:t>
      </w:r>
      <w:r>
        <w:rPr>
          <w:rFonts w:hint="eastAsia" w:ascii="仿宋" w:hAnsi="仿宋" w:eastAsia="仿宋" w:cs="仿宋"/>
          <w:color w:val="auto"/>
          <w:sz w:val="24"/>
          <w:szCs w:val="24"/>
          <w:highlight w:val="none"/>
        </w:rPr>
        <w:t>发售期限</w:t>
      </w:r>
      <w:r>
        <w:rPr>
          <w:rFonts w:hint="eastAsia" w:ascii="仿宋" w:hAnsi="仿宋" w:eastAsia="仿宋" w:cs="仿宋"/>
          <w:color w:val="auto"/>
          <w:sz w:val="24"/>
          <w:szCs w:val="24"/>
          <w:highlight w:val="none"/>
          <w:lang w:eastAsia="zh-CN"/>
        </w:rPr>
        <w:t>：</w:t>
      </w:r>
    </w:p>
    <w:p w14:paraId="3C2FEC9E">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网上竞采文件</w:t>
      </w:r>
      <w:r>
        <w:rPr>
          <w:rFonts w:hint="eastAsia" w:ascii="仿宋" w:hAnsi="仿宋" w:eastAsia="仿宋" w:cs="仿宋"/>
          <w:color w:val="auto"/>
          <w:sz w:val="24"/>
          <w:szCs w:val="24"/>
          <w:highlight w:val="none"/>
        </w:rPr>
        <w:t>发售期：202</w:t>
      </w:r>
      <w:r>
        <w:rPr>
          <w:rFonts w:hint="eastAsia" w:ascii="仿宋" w:hAnsi="仿宋" w:eastAsia="仿宋" w:cs="仿宋"/>
          <w:color w:val="auto"/>
          <w:sz w:val="24"/>
          <w:szCs w:val="24"/>
          <w:highlight w:val="none"/>
          <w:lang w:val="en-US" w:eastAsia="zh-CN"/>
        </w:rPr>
        <w:t>6</w:t>
      </w:r>
      <w:r>
        <w:rPr>
          <w:rFonts w:hint="eastAsia" w:ascii="仿宋" w:hAnsi="仿宋" w:eastAsia="仿宋" w:cs="仿宋"/>
          <w:color w:val="auto"/>
          <w:sz w:val="24"/>
          <w:szCs w:val="24"/>
          <w:highlight w:val="none"/>
        </w:rPr>
        <w:t>年</w:t>
      </w:r>
      <w:r>
        <w:rPr>
          <w:rFonts w:hint="eastAsia" w:ascii="仿宋" w:hAnsi="仿宋" w:eastAsia="仿宋" w:cs="仿宋"/>
          <w:color w:val="auto"/>
          <w:sz w:val="24"/>
          <w:szCs w:val="24"/>
          <w:highlight w:val="none"/>
          <w:lang w:val="en-US" w:eastAsia="zh-CN"/>
        </w:rPr>
        <w:t xml:space="preserve"> 4</w:t>
      </w:r>
      <w:r>
        <w:rPr>
          <w:rFonts w:hint="eastAsia" w:ascii="仿宋" w:hAnsi="仿宋" w:eastAsia="仿宋" w:cs="仿宋"/>
          <w:color w:val="auto"/>
          <w:sz w:val="24"/>
          <w:szCs w:val="24"/>
          <w:highlight w:val="none"/>
        </w:rPr>
        <w:t>月</w:t>
      </w:r>
      <w:r>
        <w:rPr>
          <w:rFonts w:hint="eastAsia" w:ascii="仿宋" w:hAnsi="仿宋" w:eastAsia="仿宋" w:cs="仿宋"/>
          <w:color w:val="auto"/>
          <w:sz w:val="24"/>
          <w:szCs w:val="24"/>
          <w:highlight w:val="none"/>
          <w:lang w:val="en-US" w:eastAsia="zh-CN"/>
        </w:rPr>
        <w:t xml:space="preserve"> 30</w:t>
      </w:r>
      <w:r>
        <w:rPr>
          <w:rFonts w:hint="eastAsia" w:ascii="仿宋" w:hAnsi="仿宋" w:eastAsia="仿宋" w:cs="仿宋"/>
          <w:color w:val="auto"/>
          <w:sz w:val="24"/>
          <w:szCs w:val="24"/>
          <w:highlight w:val="none"/>
        </w:rPr>
        <w:t>日至202</w:t>
      </w:r>
      <w:r>
        <w:rPr>
          <w:rFonts w:hint="eastAsia" w:ascii="仿宋" w:hAnsi="仿宋" w:eastAsia="仿宋" w:cs="仿宋"/>
          <w:color w:val="auto"/>
          <w:sz w:val="24"/>
          <w:szCs w:val="24"/>
          <w:highlight w:val="none"/>
          <w:lang w:val="en-US" w:eastAsia="zh-CN"/>
        </w:rPr>
        <w:t>6</w:t>
      </w:r>
      <w:r>
        <w:rPr>
          <w:rFonts w:hint="eastAsia" w:ascii="仿宋" w:hAnsi="仿宋" w:eastAsia="仿宋" w:cs="仿宋"/>
          <w:color w:val="auto"/>
          <w:sz w:val="24"/>
          <w:szCs w:val="24"/>
          <w:highlight w:val="none"/>
        </w:rPr>
        <w:t>年</w:t>
      </w:r>
      <w:r>
        <w:rPr>
          <w:rFonts w:hint="eastAsia" w:ascii="仿宋" w:hAnsi="仿宋" w:eastAsia="仿宋" w:cs="仿宋"/>
          <w:color w:val="auto"/>
          <w:sz w:val="24"/>
          <w:szCs w:val="24"/>
          <w:highlight w:val="none"/>
          <w:lang w:val="en-US" w:eastAsia="zh-CN"/>
        </w:rPr>
        <w:t>5</w:t>
      </w:r>
      <w:r>
        <w:rPr>
          <w:rFonts w:hint="eastAsia" w:ascii="仿宋" w:hAnsi="仿宋" w:eastAsia="仿宋" w:cs="仿宋"/>
          <w:color w:val="auto"/>
          <w:sz w:val="24"/>
          <w:szCs w:val="24"/>
          <w:highlight w:val="none"/>
        </w:rPr>
        <w:t>月</w:t>
      </w:r>
      <w:r>
        <w:rPr>
          <w:rFonts w:hint="eastAsia" w:ascii="仿宋" w:hAnsi="仿宋" w:eastAsia="仿宋" w:cs="仿宋"/>
          <w:color w:val="auto"/>
          <w:sz w:val="24"/>
          <w:szCs w:val="24"/>
          <w:highlight w:val="none"/>
          <w:lang w:val="en-US" w:eastAsia="zh-CN"/>
        </w:rPr>
        <w:t xml:space="preserve">8 </w:t>
      </w:r>
      <w:r>
        <w:rPr>
          <w:rFonts w:hint="eastAsia" w:ascii="仿宋" w:hAnsi="仿宋" w:eastAsia="仿宋" w:cs="仿宋"/>
          <w:color w:val="auto"/>
          <w:sz w:val="24"/>
          <w:szCs w:val="24"/>
          <w:highlight w:val="none"/>
        </w:rPr>
        <w:t>日（</w:t>
      </w:r>
      <w:r>
        <w:rPr>
          <w:rFonts w:hint="eastAsia" w:ascii="仿宋" w:hAnsi="仿宋" w:eastAsia="仿宋" w:cs="仿宋"/>
          <w:color w:val="auto"/>
          <w:sz w:val="24"/>
          <w:szCs w:val="24"/>
          <w:highlight w:val="none"/>
          <w:lang w:val="en-US" w:eastAsia="zh-CN"/>
        </w:rPr>
        <w:t>工作时间9：00-17：00</w:t>
      </w:r>
      <w:r>
        <w:rPr>
          <w:rFonts w:hint="eastAsia" w:ascii="仿宋" w:hAnsi="仿宋" w:eastAsia="仿宋" w:cs="仿宋"/>
          <w:color w:val="auto"/>
          <w:sz w:val="24"/>
          <w:szCs w:val="24"/>
          <w:highlight w:val="none"/>
        </w:rPr>
        <w:t>）。</w:t>
      </w:r>
    </w:p>
    <w:p w14:paraId="01905A31">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网上竞采文件</w:t>
      </w:r>
      <w:r>
        <w:rPr>
          <w:rFonts w:hint="eastAsia" w:ascii="仿宋" w:hAnsi="仿宋" w:eastAsia="仿宋" w:cs="仿宋"/>
          <w:color w:val="auto"/>
          <w:sz w:val="24"/>
          <w:szCs w:val="24"/>
          <w:highlight w:val="none"/>
        </w:rPr>
        <w:t>发售期内，供应商将《采购文件发售登记表》（格式详见最后一页，</w:t>
      </w:r>
      <w:r>
        <w:rPr>
          <w:rFonts w:hint="eastAsia" w:ascii="仿宋" w:hAnsi="仿宋" w:eastAsia="仿宋" w:cs="仿宋"/>
          <w:color w:val="auto"/>
          <w:sz w:val="24"/>
          <w:szCs w:val="24"/>
          <w:highlight w:val="none"/>
          <w:lang w:val="en-US" w:eastAsia="zh-CN"/>
        </w:rPr>
        <w:t>填写</w:t>
      </w:r>
      <w:r>
        <w:rPr>
          <w:rFonts w:hint="eastAsia" w:ascii="仿宋" w:hAnsi="仿宋" w:eastAsia="仿宋" w:cs="仿宋"/>
          <w:color w:val="auto"/>
          <w:sz w:val="24"/>
          <w:szCs w:val="24"/>
          <w:highlight w:val="none"/>
        </w:rPr>
        <w:t>并加盖供应商公章）扫描后发送至504953128@qq.com（邮箱）</w:t>
      </w:r>
      <w:r>
        <w:rPr>
          <w:rFonts w:hint="eastAsia" w:ascii="仿宋" w:hAnsi="仿宋" w:eastAsia="仿宋" w:cs="仿宋"/>
          <w:color w:val="auto"/>
          <w:sz w:val="24"/>
          <w:szCs w:val="24"/>
          <w:highlight w:val="none"/>
          <w:lang w:val="en-US" w:eastAsia="zh-CN"/>
        </w:rPr>
        <w:t>并购买文件</w:t>
      </w:r>
      <w:r>
        <w:rPr>
          <w:rFonts w:hint="eastAsia" w:ascii="仿宋" w:hAnsi="仿宋" w:eastAsia="仿宋" w:cs="仿宋"/>
          <w:color w:val="auto"/>
          <w:sz w:val="24"/>
          <w:szCs w:val="24"/>
          <w:highlight w:val="none"/>
        </w:rPr>
        <w:t>视为报名</w:t>
      </w:r>
      <w:r>
        <w:rPr>
          <w:rFonts w:hint="eastAsia" w:ascii="仿宋" w:hAnsi="仿宋" w:eastAsia="仿宋" w:cs="仿宋"/>
          <w:color w:val="auto"/>
          <w:sz w:val="24"/>
          <w:szCs w:val="24"/>
          <w:highlight w:val="none"/>
          <w:lang w:val="en-US" w:eastAsia="zh-CN"/>
        </w:rPr>
        <w:t>成功</w:t>
      </w:r>
      <w:r>
        <w:rPr>
          <w:rFonts w:hint="eastAsia" w:ascii="仿宋" w:hAnsi="仿宋" w:eastAsia="仿宋" w:cs="仿宋"/>
          <w:color w:val="auto"/>
          <w:sz w:val="24"/>
          <w:szCs w:val="24"/>
          <w:highlight w:val="none"/>
        </w:rPr>
        <w:t>。</w:t>
      </w:r>
    </w:p>
    <w:p w14:paraId="669E370B">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网上竞采文件</w:t>
      </w:r>
      <w:r>
        <w:rPr>
          <w:rFonts w:hint="eastAsia" w:ascii="仿宋" w:hAnsi="仿宋" w:eastAsia="仿宋" w:cs="仿宋"/>
          <w:color w:val="auto"/>
          <w:sz w:val="24"/>
          <w:szCs w:val="24"/>
          <w:highlight w:val="none"/>
        </w:rPr>
        <w:t>售价：人民币300元。</w:t>
      </w:r>
    </w:p>
    <w:p w14:paraId="2E40D23A">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（四）供应商须满足以下三种要件，其响应文件才被接受：</w:t>
      </w:r>
    </w:p>
    <w:p w14:paraId="6F82347D">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1.完成报名；</w:t>
      </w:r>
    </w:p>
    <w:p w14:paraId="3D75DF43">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2.按时递交了响应文件；</w:t>
      </w:r>
    </w:p>
    <w:p w14:paraId="7BD2A4D8">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3.按时缴纳了文件费。</w:t>
      </w:r>
    </w:p>
    <w:p w14:paraId="60FAB83B">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备注：</w:t>
      </w:r>
    </w:p>
    <w:p w14:paraId="2DCA2A71">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1.供应商线上报价时须上传一份PDF格式响应文件。</w:t>
      </w:r>
    </w:p>
    <w:p w14:paraId="12A991A4">
      <w:pPr>
        <w:spacing w:line="360" w:lineRule="auto"/>
        <w:ind w:firstLine="480" w:firstLineChars="200"/>
        <w:rPr>
          <w:rFonts w:hint="eastAsia" w:ascii="宋体" w:hAnsi="宋体" w:cs="宋体"/>
          <w:color w:val="auto"/>
          <w:highlight w:val="none"/>
        </w:rPr>
      </w:pPr>
      <w:r>
        <w:rPr>
          <w:rFonts w:hint="eastAsia" w:ascii="仿宋" w:hAnsi="仿宋" w:eastAsia="仿宋" w:cs="仿宋"/>
          <w:color w:val="auto"/>
          <w:sz w:val="24"/>
          <w:szCs w:val="24"/>
          <w:highlight w:val="none"/>
        </w:rPr>
        <w:t>2.供应商上传的响应文件应按照响应文件编制要求制作，规定签字、盖章的地方必须按规定签字、盖章，未按要求制作响应文件的作无效标处理。</w:t>
      </w:r>
    </w:p>
    <w:p w14:paraId="40977C10">
      <w:pPr>
        <w:pStyle w:val="5"/>
        <w:spacing w:before="0" w:after="0" w:line="360" w:lineRule="auto"/>
        <w:rPr>
          <w:rFonts w:hint="eastAsia" w:ascii="仿宋" w:hAnsi="仿宋" w:eastAsia="仿宋"/>
          <w:color w:val="auto"/>
          <w:sz w:val="24"/>
          <w:szCs w:val="24"/>
          <w:highlight w:val="none"/>
        </w:rPr>
      </w:pPr>
      <w:bookmarkStart w:id="19" w:name="_Toc468"/>
      <w:r>
        <w:rPr>
          <w:rFonts w:hint="eastAsia" w:ascii="仿宋" w:hAnsi="仿宋" w:eastAsia="仿宋"/>
          <w:color w:val="auto"/>
          <w:sz w:val="24"/>
          <w:szCs w:val="24"/>
          <w:highlight w:val="none"/>
        </w:rPr>
        <w:t>五、保证金</w:t>
      </w:r>
      <w:bookmarkEnd w:id="17"/>
      <w:bookmarkEnd w:id="18"/>
      <w:bookmarkEnd w:id="19"/>
    </w:p>
    <w:bookmarkEnd w:id="9"/>
    <w:p w14:paraId="76FFE3DB">
      <w:pPr>
        <w:snapToGrid w:val="0"/>
        <w:spacing w:line="360" w:lineRule="auto"/>
        <w:ind w:firstLine="480" w:firstLineChars="200"/>
        <w:rPr>
          <w:rFonts w:hint="eastAsia" w:ascii="仿宋" w:hAnsi="仿宋" w:eastAsia="仿宋"/>
          <w:color w:val="auto"/>
          <w:sz w:val="24"/>
          <w:szCs w:val="24"/>
          <w:highlight w:val="none"/>
        </w:rPr>
      </w:pPr>
      <w:bookmarkStart w:id="20" w:name="_Toc479668114"/>
      <w:bookmarkStart w:id="21" w:name="_Toc480466698"/>
      <w:r>
        <w:rPr>
          <w:rFonts w:hint="eastAsia" w:ascii="仿宋" w:hAnsi="仿宋" w:eastAsia="仿宋"/>
          <w:color w:val="auto"/>
          <w:sz w:val="24"/>
          <w:szCs w:val="24"/>
          <w:highlight w:val="none"/>
        </w:rPr>
        <w:t>本项目免收保证金。</w:t>
      </w:r>
    </w:p>
    <w:bookmarkEnd w:id="20"/>
    <w:bookmarkEnd w:id="21"/>
    <w:p w14:paraId="33F01198">
      <w:pPr>
        <w:pStyle w:val="5"/>
        <w:spacing w:before="0" w:after="0" w:line="360" w:lineRule="auto"/>
        <w:rPr>
          <w:rFonts w:hint="eastAsia" w:ascii="仿宋" w:hAnsi="仿宋" w:eastAsia="仿宋"/>
          <w:color w:val="auto"/>
          <w:sz w:val="24"/>
          <w:szCs w:val="24"/>
          <w:highlight w:val="none"/>
        </w:rPr>
      </w:pPr>
      <w:bookmarkStart w:id="22" w:name="_Toc17560"/>
      <w:bookmarkStart w:id="23" w:name="_Toc1942"/>
      <w:bookmarkStart w:id="24" w:name="_Toc480466699"/>
      <w:r>
        <w:rPr>
          <w:rFonts w:hint="eastAsia" w:ascii="仿宋" w:hAnsi="仿宋" w:eastAsia="仿宋"/>
          <w:color w:val="auto"/>
          <w:sz w:val="24"/>
          <w:szCs w:val="24"/>
          <w:highlight w:val="none"/>
        </w:rPr>
        <w:t>六、其它有关规定</w:t>
      </w:r>
      <w:bookmarkEnd w:id="22"/>
      <w:bookmarkEnd w:id="23"/>
      <w:bookmarkEnd w:id="24"/>
    </w:p>
    <w:p w14:paraId="736E9D90">
      <w:pPr>
        <w:snapToGrid w:val="0"/>
        <w:spacing w:line="360" w:lineRule="auto"/>
        <w:ind w:firstLine="360" w:firstLineChars="150"/>
        <w:rPr>
          <w:rFonts w:hint="eastAsia" w:ascii="仿宋" w:hAnsi="仿宋" w:eastAsia="仿宋"/>
          <w:color w:val="auto"/>
          <w:sz w:val="24"/>
          <w:szCs w:val="24"/>
          <w:highlight w:val="none"/>
        </w:rPr>
      </w:pPr>
      <w:r>
        <w:rPr>
          <w:rFonts w:hint="eastAsia" w:ascii="仿宋" w:hAnsi="仿宋" w:eastAsia="仿宋"/>
          <w:color w:val="auto"/>
          <w:sz w:val="24"/>
          <w:szCs w:val="24"/>
          <w:highlight w:val="none"/>
        </w:rPr>
        <w:t>（一）单位负责人为同一人或者存在直接控股、管理关系的不同供应商，</w:t>
      </w:r>
      <w:r>
        <w:rPr>
          <w:rFonts w:ascii="仿宋" w:hAnsi="仿宋" w:eastAsia="仿宋"/>
          <w:color w:val="auto"/>
          <w:sz w:val="24"/>
          <w:szCs w:val="24"/>
          <w:highlight w:val="none"/>
        </w:rPr>
        <w:t>不得参加同一合同项</w:t>
      </w:r>
      <w:r>
        <w:rPr>
          <w:rFonts w:hint="eastAsia" w:ascii="仿宋" w:hAnsi="仿宋" w:eastAsia="仿宋"/>
          <w:color w:val="auto"/>
          <w:sz w:val="24"/>
          <w:szCs w:val="24"/>
          <w:highlight w:val="none"/>
        </w:rPr>
        <w:t>（分包）</w:t>
      </w:r>
      <w:r>
        <w:rPr>
          <w:rFonts w:ascii="仿宋" w:hAnsi="仿宋" w:eastAsia="仿宋"/>
          <w:color w:val="auto"/>
          <w:sz w:val="24"/>
          <w:szCs w:val="24"/>
          <w:highlight w:val="none"/>
        </w:rPr>
        <w:t>下的政府采购活动</w:t>
      </w:r>
      <w:r>
        <w:rPr>
          <w:rFonts w:hint="eastAsia" w:ascii="仿宋" w:hAnsi="仿宋" w:eastAsia="仿宋"/>
          <w:color w:val="auto"/>
          <w:sz w:val="24"/>
          <w:szCs w:val="24"/>
          <w:highlight w:val="none"/>
        </w:rPr>
        <w:t>，否则均为响应无效。</w:t>
      </w:r>
    </w:p>
    <w:p w14:paraId="699AAD31">
      <w:pPr>
        <w:snapToGrid w:val="0"/>
        <w:spacing w:line="360" w:lineRule="auto"/>
        <w:ind w:firstLine="360" w:firstLineChars="150"/>
        <w:rPr>
          <w:rFonts w:hint="eastAsia" w:ascii="仿宋" w:hAnsi="仿宋" w:eastAsia="仿宋"/>
          <w:color w:val="auto"/>
          <w:sz w:val="24"/>
          <w:szCs w:val="24"/>
          <w:highlight w:val="none"/>
        </w:rPr>
      </w:pPr>
      <w:r>
        <w:rPr>
          <w:rFonts w:hint="eastAsia" w:ascii="仿宋" w:hAnsi="仿宋" w:eastAsia="仿宋"/>
          <w:color w:val="auto"/>
          <w:sz w:val="24"/>
          <w:szCs w:val="24"/>
          <w:highlight w:val="none"/>
        </w:rPr>
        <w:t>（二）为采购项目提供整体设计、规范编制或者项目管理、监理、检测等服务的供应商，不得再</w:t>
      </w:r>
      <w:r>
        <w:rPr>
          <w:rFonts w:ascii="仿宋" w:hAnsi="仿宋" w:eastAsia="仿宋"/>
          <w:color w:val="auto"/>
          <w:sz w:val="24"/>
          <w:szCs w:val="24"/>
          <w:highlight w:val="none"/>
        </w:rPr>
        <w:t>参加</w:t>
      </w:r>
      <w:r>
        <w:rPr>
          <w:rFonts w:hint="eastAsia" w:ascii="仿宋" w:hAnsi="仿宋" w:eastAsia="仿宋"/>
          <w:color w:val="auto"/>
          <w:sz w:val="24"/>
          <w:szCs w:val="24"/>
          <w:highlight w:val="none"/>
        </w:rPr>
        <w:t>该采购</w:t>
      </w:r>
      <w:r>
        <w:rPr>
          <w:rFonts w:ascii="仿宋" w:hAnsi="仿宋" w:eastAsia="仿宋"/>
          <w:color w:val="auto"/>
          <w:sz w:val="24"/>
          <w:szCs w:val="24"/>
          <w:highlight w:val="none"/>
        </w:rPr>
        <w:t>项目的</w:t>
      </w:r>
      <w:r>
        <w:rPr>
          <w:rFonts w:hint="eastAsia" w:ascii="仿宋" w:hAnsi="仿宋" w:eastAsia="仿宋"/>
          <w:color w:val="auto"/>
          <w:sz w:val="24"/>
          <w:szCs w:val="24"/>
          <w:highlight w:val="none"/>
        </w:rPr>
        <w:t>其他</w:t>
      </w:r>
      <w:r>
        <w:rPr>
          <w:rFonts w:ascii="仿宋" w:hAnsi="仿宋" w:eastAsia="仿宋"/>
          <w:color w:val="auto"/>
          <w:sz w:val="24"/>
          <w:szCs w:val="24"/>
          <w:highlight w:val="none"/>
        </w:rPr>
        <w:t>采购活动</w:t>
      </w:r>
      <w:r>
        <w:rPr>
          <w:rFonts w:hint="eastAsia" w:ascii="仿宋" w:hAnsi="仿宋" w:eastAsia="仿宋"/>
          <w:color w:val="auto"/>
          <w:sz w:val="24"/>
          <w:szCs w:val="24"/>
          <w:highlight w:val="none"/>
        </w:rPr>
        <w:t>。</w:t>
      </w:r>
    </w:p>
    <w:p w14:paraId="66D43509">
      <w:pPr>
        <w:snapToGrid w:val="0"/>
        <w:spacing w:line="360" w:lineRule="auto"/>
        <w:ind w:firstLine="360" w:firstLineChars="150"/>
        <w:rPr>
          <w:rFonts w:hint="eastAsia" w:ascii="仿宋" w:hAnsi="仿宋" w:eastAsia="仿宋"/>
          <w:color w:val="auto"/>
          <w:sz w:val="24"/>
          <w:szCs w:val="24"/>
          <w:highlight w:val="none"/>
        </w:rPr>
      </w:pPr>
      <w:r>
        <w:rPr>
          <w:rFonts w:hint="eastAsia" w:ascii="仿宋" w:hAnsi="仿宋" w:eastAsia="仿宋"/>
          <w:color w:val="auto"/>
          <w:sz w:val="24"/>
          <w:szCs w:val="24"/>
          <w:highlight w:val="none"/>
        </w:rPr>
        <w:t>（三）同一合同项（分包）下为单一品目或非单一品目核心产品品牌的货物采购招标中，同一品牌有多家供应商参加网上竞采，只能按照一家供应商计算，最终评审得分最高的供应商获得成交供应商推荐资格。</w:t>
      </w:r>
    </w:p>
    <w:p w14:paraId="0AC9539C">
      <w:pPr>
        <w:snapToGrid w:val="0"/>
        <w:spacing w:line="360" w:lineRule="auto"/>
        <w:ind w:firstLine="360" w:firstLineChars="150"/>
        <w:rPr>
          <w:rFonts w:hint="eastAsia" w:ascii="仿宋" w:hAnsi="仿宋" w:eastAsia="仿宋"/>
          <w:color w:val="auto"/>
          <w:sz w:val="24"/>
          <w:szCs w:val="24"/>
          <w:highlight w:val="none"/>
        </w:rPr>
      </w:pPr>
      <w:r>
        <w:rPr>
          <w:rFonts w:hint="eastAsia" w:ascii="仿宋" w:hAnsi="仿宋" w:eastAsia="仿宋"/>
          <w:color w:val="auto"/>
          <w:sz w:val="24"/>
          <w:szCs w:val="24"/>
          <w:highlight w:val="none"/>
        </w:rPr>
        <w:t>（四）本项目的补遗文件（如果有）</w:t>
      </w:r>
      <w:r>
        <w:rPr>
          <w:rFonts w:hint="eastAsia" w:ascii="仿宋" w:hAnsi="仿宋" w:eastAsia="仿宋"/>
          <w:color w:val="auto"/>
          <w:sz w:val="24"/>
          <w:szCs w:val="24"/>
          <w:highlight w:val="none"/>
          <w:lang w:val="en-US" w:eastAsia="zh-CN"/>
        </w:rPr>
        <w:t>均</w:t>
      </w:r>
      <w:r>
        <w:rPr>
          <w:rFonts w:hint="eastAsia" w:ascii="仿宋" w:hAnsi="仿宋" w:eastAsia="仿宋"/>
          <w:color w:val="auto"/>
          <w:sz w:val="24"/>
          <w:szCs w:val="24"/>
          <w:highlight w:val="none"/>
        </w:rPr>
        <w:t>在</w:t>
      </w:r>
      <w:r>
        <w:rPr>
          <w:rFonts w:hint="eastAsia" w:ascii="仿宋" w:hAnsi="仿宋" w:eastAsia="仿宋"/>
          <w:color w:val="auto"/>
          <w:sz w:val="24"/>
          <w:szCs w:val="24"/>
          <w:highlight w:val="none"/>
          <w:lang w:eastAsia="zh-CN"/>
        </w:rPr>
        <w:t>“</w:t>
      </w:r>
      <w:r>
        <w:rPr>
          <w:rFonts w:hint="eastAsia" w:ascii="仿宋" w:hAnsi="仿宋" w:eastAsia="仿宋" w:cs="仿宋"/>
          <w:color w:val="auto"/>
          <w:sz w:val="24"/>
          <w:szCs w:val="24"/>
          <w:highlight w:val="none"/>
          <w:lang w:eastAsia="zh-CN"/>
        </w:rPr>
        <w:t>“行采家”（ https://www.gec123.com/）</w:t>
      </w:r>
      <w:r>
        <w:rPr>
          <w:rFonts w:hint="eastAsia" w:ascii="仿宋" w:hAnsi="仿宋" w:eastAsia="仿宋"/>
          <w:color w:val="auto"/>
          <w:sz w:val="24"/>
          <w:szCs w:val="24"/>
          <w:highlight w:val="none"/>
        </w:rPr>
        <w:t>上发布，请各供应商注意下载；无论供应商下载与否，均视同供应商已知晓本项目补遗文件（如果有）的内容。</w:t>
      </w:r>
    </w:p>
    <w:p w14:paraId="4409DAF9">
      <w:pPr>
        <w:snapToGrid w:val="0"/>
        <w:spacing w:line="360" w:lineRule="auto"/>
        <w:ind w:firstLine="360" w:firstLineChars="150"/>
        <w:rPr>
          <w:rFonts w:hint="eastAsia" w:ascii="仿宋" w:hAnsi="仿宋" w:eastAsia="仿宋"/>
          <w:color w:val="auto"/>
          <w:sz w:val="24"/>
          <w:szCs w:val="24"/>
          <w:highlight w:val="none"/>
        </w:rPr>
      </w:pPr>
      <w:r>
        <w:rPr>
          <w:rFonts w:hint="eastAsia" w:ascii="仿宋" w:hAnsi="仿宋" w:eastAsia="仿宋"/>
          <w:color w:val="auto"/>
          <w:sz w:val="24"/>
          <w:szCs w:val="24"/>
          <w:highlight w:val="none"/>
        </w:rPr>
        <w:t>（五）网上竞采费用：无论网上竞采结果如何，供应商参与本项目网上竞采的所有费用均应由供应商自行承担。</w:t>
      </w:r>
    </w:p>
    <w:p w14:paraId="510B763C">
      <w:pPr>
        <w:snapToGrid w:val="0"/>
        <w:spacing w:line="360" w:lineRule="auto"/>
        <w:ind w:firstLine="361" w:firstLineChars="150"/>
        <w:rPr>
          <w:rFonts w:hint="eastAsia" w:ascii="仿宋" w:hAnsi="仿宋" w:eastAsia="仿宋"/>
          <w:b/>
          <w:bCs/>
          <w:color w:val="auto"/>
          <w:sz w:val="24"/>
          <w:szCs w:val="24"/>
          <w:highlight w:val="none"/>
        </w:rPr>
      </w:pPr>
      <w:bookmarkStart w:id="25" w:name="_Toc480466700"/>
      <w:r>
        <w:rPr>
          <w:rFonts w:hint="eastAsia" w:ascii="仿宋" w:hAnsi="仿宋" w:eastAsia="仿宋"/>
          <w:b/>
          <w:bCs/>
          <w:color w:val="auto"/>
          <w:sz w:val="24"/>
          <w:szCs w:val="24"/>
          <w:highlight w:val="none"/>
        </w:rPr>
        <w:t>（六）本项目不接受联合体参与网上竞采。</w:t>
      </w:r>
    </w:p>
    <w:p w14:paraId="79190CA1">
      <w:pPr>
        <w:snapToGrid w:val="0"/>
        <w:spacing w:line="360" w:lineRule="auto"/>
        <w:ind w:firstLine="361" w:firstLineChars="150"/>
        <w:rPr>
          <w:rFonts w:hint="eastAsia" w:ascii="仿宋" w:hAnsi="仿宋" w:eastAsia="仿宋"/>
          <w:b/>
          <w:bCs/>
          <w:color w:val="auto"/>
          <w:sz w:val="24"/>
          <w:szCs w:val="24"/>
          <w:highlight w:val="none"/>
        </w:rPr>
      </w:pPr>
      <w:r>
        <w:rPr>
          <w:rFonts w:hint="eastAsia" w:ascii="仿宋" w:hAnsi="仿宋" w:eastAsia="仿宋"/>
          <w:b/>
          <w:bCs/>
          <w:color w:val="auto"/>
          <w:sz w:val="24"/>
          <w:szCs w:val="24"/>
          <w:highlight w:val="none"/>
        </w:rPr>
        <w:t>（七）本项目不接受合同分包。</w:t>
      </w:r>
    </w:p>
    <w:p w14:paraId="59DB78FD">
      <w:pPr>
        <w:snapToGrid w:val="0"/>
        <w:spacing w:line="360" w:lineRule="auto"/>
        <w:ind w:firstLine="360" w:firstLineChars="150"/>
        <w:rPr>
          <w:rFonts w:hint="eastAsia" w:ascii="仿宋" w:hAnsi="仿宋" w:eastAsia="仿宋"/>
          <w:color w:val="auto"/>
          <w:sz w:val="24"/>
          <w:szCs w:val="24"/>
          <w:highlight w:val="none"/>
        </w:rPr>
      </w:pPr>
      <w:r>
        <w:rPr>
          <w:rFonts w:hint="eastAsia" w:ascii="仿宋" w:hAnsi="仿宋" w:eastAsia="仿宋"/>
          <w:color w:val="auto"/>
          <w:sz w:val="24"/>
          <w:szCs w:val="24"/>
          <w:highlight w:val="none"/>
        </w:rPr>
        <w:t>（八）按照《财政部关于在政府采购活动中查询及使用信用记录有关问题的通知》财库〔2016〕125号，供应商列入失信被执行人、重大税收违法案件当事人名单、政府采购严重违法失信行为记录名单及其他不符合《中华人民共和国政府采购法》第二十二条规定条件的供应商，将拒绝其参与政府采购活动。</w:t>
      </w:r>
      <w:bookmarkStart w:id="26" w:name="_Toc28780"/>
    </w:p>
    <w:p w14:paraId="72032BE5">
      <w:pPr>
        <w:rPr>
          <w:rFonts w:hint="eastAsia"/>
          <w:color w:val="auto"/>
          <w:highlight w:val="none"/>
        </w:rPr>
      </w:pPr>
    </w:p>
    <w:p w14:paraId="7D0DDE06">
      <w:pPr>
        <w:pStyle w:val="5"/>
        <w:spacing w:before="0" w:after="0" w:line="360" w:lineRule="auto"/>
        <w:rPr>
          <w:rFonts w:hint="eastAsia" w:ascii="仿宋" w:hAnsi="仿宋" w:eastAsia="仿宋"/>
          <w:color w:val="auto"/>
          <w:sz w:val="24"/>
          <w:szCs w:val="24"/>
          <w:highlight w:val="none"/>
        </w:rPr>
      </w:pPr>
      <w:bookmarkStart w:id="27" w:name="_Toc23147"/>
      <w:r>
        <w:rPr>
          <w:rFonts w:hint="eastAsia" w:ascii="仿宋" w:hAnsi="仿宋" w:eastAsia="仿宋"/>
          <w:color w:val="auto"/>
          <w:sz w:val="24"/>
          <w:szCs w:val="24"/>
          <w:highlight w:val="none"/>
        </w:rPr>
        <w:t>七、联系方式</w:t>
      </w:r>
      <w:bookmarkEnd w:id="25"/>
      <w:bookmarkEnd w:id="26"/>
      <w:bookmarkEnd w:id="27"/>
    </w:p>
    <w:p w14:paraId="22E8C77B">
      <w:pPr>
        <w:snapToGrid w:val="0"/>
        <w:spacing w:line="360" w:lineRule="auto"/>
        <w:ind w:firstLine="240" w:firstLineChars="100"/>
        <w:rPr>
          <w:rFonts w:hint="eastAsia" w:ascii="仿宋" w:hAnsi="仿宋" w:eastAsia="仿宋"/>
          <w:color w:val="auto"/>
          <w:sz w:val="24"/>
          <w:szCs w:val="24"/>
          <w:highlight w:val="none"/>
          <w:lang w:eastAsia="zh-CN"/>
        </w:rPr>
      </w:pPr>
      <w:r>
        <w:rPr>
          <w:rFonts w:hint="eastAsia" w:ascii="仿宋" w:hAnsi="仿宋" w:eastAsia="仿宋"/>
          <w:color w:val="auto"/>
          <w:sz w:val="24"/>
          <w:szCs w:val="24"/>
          <w:highlight w:val="none"/>
        </w:rPr>
        <w:t>（一）采购人：</w:t>
      </w:r>
      <w:r>
        <w:rPr>
          <w:rFonts w:hint="eastAsia" w:ascii="仿宋" w:hAnsi="仿宋" w:eastAsia="仿宋"/>
          <w:color w:val="auto"/>
          <w:sz w:val="24"/>
          <w:szCs w:val="24"/>
          <w:highlight w:val="none"/>
          <w:lang w:eastAsia="zh-CN"/>
        </w:rPr>
        <w:t>重庆高新技术产业开发区管理委员会市场监督管理局</w:t>
      </w:r>
    </w:p>
    <w:p w14:paraId="0DAB76E1">
      <w:pPr>
        <w:snapToGrid w:val="0"/>
        <w:spacing w:line="360" w:lineRule="auto"/>
        <w:ind w:firstLine="960" w:firstLineChars="400"/>
        <w:rPr>
          <w:rFonts w:hint="default" w:ascii="仿宋" w:hAnsi="仿宋" w:eastAsia="仿宋"/>
          <w:color w:val="auto"/>
          <w:sz w:val="24"/>
          <w:szCs w:val="24"/>
          <w:highlight w:val="none"/>
          <w:lang w:val="en-US" w:eastAsia="zh-CN"/>
        </w:rPr>
      </w:pPr>
      <w:r>
        <w:rPr>
          <w:rFonts w:hint="eastAsia" w:ascii="仿宋" w:hAnsi="仿宋" w:eastAsia="仿宋"/>
          <w:color w:val="auto"/>
          <w:sz w:val="24"/>
          <w:szCs w:val="24"/>
          <w:highlight w:val="none"/>
        </w:rPr>
        <w:t>联系人：</w:t>
      </w:r>
      <w:r>
        <w:rPr>
          <w:rFonts w:hint="eastAsia" w:ascii="仿宋" w:hAnsi="仿宋" w:eastAsia="仿宋"/>
          <w:color w:val="auto"/>
          <w:sz w:val="24"/>
          <w:szCs w:val="24"/>
          <w:highlight w:val="none"/>
          <w:lang w:val="en-US" w:eastAsia="zh-CN"/>
        </w:rPr>
        <w:t xml:space="preserve">黄老师 </w:t>
      </w:r>
    </w:p>
    <w:p w14:paraId="158614D1">
      <w:pPr>
        <w:snapToGrid w:val="0"/>
        <w:spacing w:line="360" w:lineRule="auto"/>
        <w:ind w:firstLine="960" w:firstLineChars="400"/>
        <w:rPr>
          <w:rFonts w:hint="default" w:ascii="仿宋" w:hAnsi="仿宋" w:eastAsia="仿宋"/>
          <w:color w:val="auto"/>
          <w:sz w:val="24"/>
          <w:szCs w:val="24"/>
          <w:highlight w:val="none"/>
          <w:lang w:val="en-US" w:eastAsia="zh-CN"/>
        </w:rPr>
      </w:pPr>
      <w:r>
        <w:rPr>
          <w:rFonts w:hint="eastAsia" w:ascii="仿宋" w:hAnsi="仿宋" w:eastAsia="仿宋"/>
          <w:color w:val="auto"/>
          <w:sz w:val="24"/>
          <w:szCs w:val="24"/>
          <w:highlight w:val="none"/>
        </w:rPr>
        <w:t>电  话：</w:t>
      </w:r>
      <w:r>
        <w:rPr>
          <w:rFonts w:hint="eastAsia" w:ascii="仿宋" w:hAnsi="仿宋" w:eastAsia="仿宋"/>
          <w:color w:val="auto"/>
          <w:sz w:val="24"/>
          <w:szCs w:val="24"/>
          <w:highlight w:val="none"/>
          <w:lang w:val="en-US" w:eastAsia="zh-CN"/>
        </w:rPr>
        <w:t>023-68886607</w:t>
      </w:r>
    </w:p>
    <w:p w14:paraId="475DCB71">
      <w:pPr>
        <w:snapToGrid w:val="0"/>
        <w:spacing w:line="360" w:lineRule="auto"/>
        <w:ind w:firstLine="960" w:firstLineChars="400"/>
        <w:rPr>
          <w:rFonts w:hint="eastAsia" w:ascii="仿宋" w:hAnsi="仿宋" w:eastAsia="仿宋"/>
          <w:color w:val="auto"/>
          <w:sz w:val="24"/>
          <w:szCs w:val="24"/>
          <w:highlight w:val="none"/>
        </w:rPr>
      </w:pPr>
      <w:r>
        <w:rPr>
          <w:rFonts w:hint="eastAsia" w:ascii="仿宋" w:hAnsi="仿宋" w:eastAsia="仿宋"/>
          <w:color w:val="auto"/>
          <w:sz w:val="24"/>
          <w:szCs w:val="24"/>
          <w:highlight w:val="none"/>
        </w:rPr>
        <w:t>地  址：重庆市九龙坡区白市驿镇高新大道6号</w:t>
      </w:r>
    </w:p>
    <w:p w14:paraId="64929C42">
      <w:pPr>
        <w:snapToGrid w:val="0"/>
        <w:spacing w:line="360" w:lineRule="auto"/>
        <w:ind w:firstLine="240" w:firstLineChars="100"/>
        <w:rPr>
          <w:rFonts w:hint="eastAsia" w:ascii="仿宋" w:hAnsi="仿宋" w:eastAsia="仿宋"/>
          <w:color w:val="auto"/>
          <w:sz w:val="24"/>
          <w:szCs w:val="24"/>
          <w:highlight w:val="none"/>
        </w:rPr>
      </w:pPr>
      <w:r>
        <w:rPr>
          <w:rFonts w:hint="eastAsia" w:ascii="仿宋" w:hAnsi="仿宋" w:eastAsia="仿宋"/>
          <w:color w:val="auto"/>
          <w:sz w:val="24"/>
          <w:szCs w:val="24"/>
          <w:highlight w:val="none"/>
        </w:rPr>
        <w:t>（二）采购代理机构：重庆</w:t>
      </w:r>
      <w:r>
        <w:rPr>
          <w:rFonts w:hint="eastAsia" w:ascii="仿宋" w:hAnsi="仿宋" w:eastAsia="仿宋"/>
          <w:color w:val="auto"/>
          <w:sz w:val="24"/>
          <w:szCs w:val="24"/>
          <w:highlight w:val="none"/>
          <w:lang w:val="en-US" w:eastAsia="zh-CN"/>
        </w:rPr>
        <w:t>同皓</w:t>
      </w:r>
      <w:r>
        <w:rPr>
          <w:rFonts w:hint="eastAsia" w:ascii="仿宋" w:hAnsi="仿宋" w:eastAsia="仿宋"/>
          <w:color w:val="auto"/>
          <w:sz w:val="24"/>
          <w:szCs w:val="24"/>
          <w:highlight w:val="none"/>
        </w:rPr>
        <w:t>工程项目管理有限公司</w:t>
      </w:r>
    </w:p>
    <w:p w14:paraId="59EFA8C5">
      <w:pPr>
        <w:snapToGrid w:val="0"/>
        <w:spacing w:line="360" w:lineRule="auto"/>
        <w:ind w:firstLine="960" w:firstLineChars="400"/>
        <w:rPr>
          <w:rFonts w:hint="eastAsia" w:ascii="仿宋" w:hAnsi="仿宋" w:eastAsia="仿宋"/>
          <w:color w:val="auto"/>
          <w:sz w:val="24"/>
          <w:szCs w:val="24"/>
          <w:highlight w:val="none"/>
        </w:rPr>
      </w:pPr>
      <w:r>
        <w:rPr>
          <w:rFonts w:hint="eastAsia" w:ascii="仿宋" w:hAnsi="仿宋" w:eastAsia="仿宋"/>
          <w:color w:val="auto"/>
          <w:sz w:val="24"/>
          <w:szCs w:val="24"/>
          <w:highlight w:val="none"/>
        </w:rPr>
        <w:t>联系人：</w:t>
      </w:r>
      <w:r>
        <w:rPr>
          <w:rFonts w:hint="eastAsia" w:ascii="仿宋" w:hAnsi="仿宋" w:eastAsia="仿宋"/>
          <w:color w:val="auto"/>
          <w:sz w:val="24"/>
          <w:szCs w:val="24"/>
          <w:highlight w:val="none"/>
          <w:lang w:val="en-US" w:eastAsia="zh-CN"/>
        </w:rPr>
        <w:t>罗</w:t>
      </w:r>
      <w:r>
        <w:rPr>
          <w:rFonts w:hint="eastAsia" w:ascii="仿宋" w:hAnsi="仿宋" w:eastAsia="仿宋"/>
          <w:color w:val="auto"/>
          <w:sz w:val="24"/>
          <w:szCs w:val="24"/>
          <w:highlight w:val="none"/>
        </w:rPr>
        <w:t xml:space="preserve">老师 </w:t>
      </w:r>
    </w:p>
    <w:p w14:paraId="7325461D">
      <w:pPr>
        <w:snapToGrid w:val="0"/>
        <w:spacing w:line="360" w:lineRule="auto"/>
        <w:ind w:firstLine="960" w:firstLineChars="400"/>
        <w:rPr>
          <w:rFonts w:hint="eastAsia" w:ascii="仿宋" w:hAnsi="仿宋" w:eastAsia="仿宋"/>
          <w:color w:val="auto"/>
          <w:sz w:val="24"/>
          <w:szCs w:val="24"/>
          <w:highlight w:val="none"/>
          <w:lang w:val="en-US" w:eastAsia="zh-CN"/>
        </w:rPr>
      </w:pPr>
      <w:r>
        <w:rPr>
          <w:rFonts w:hint="eastAsia" w:ascii="仿宋" w:hAnsi="仿宋" w:eastAsia="仿宋"/>
          <w:color w:val="auto"/>
          <w:sz w:val="24"/>
          <w:szCs w:val="24"/>
          <w:highlight w:val="none"/>
        </w:rPr>
        <w:t>电  话：</w:t>
      </w:r>
      <w:r>
        <w:rPr>
          <w:rFonts w:hint="eastAsia" w:ascii="仿宋" w:hAnsi="仿宋" w:eastAsia="仿宋"/>
          <w:color w:val="auto"/>
          <w:sz w:val="24"/>
          <w:szCs w:val="24"/>
          <w:highlight w:val="none"/>
          <w:lang w:val="en-US" w:eastAsia="zh-CN"/>
        </w:rPr>
        <w:t>19922305954</w:t>
      </w:r>
    </w:p>
    <w:p w14:paraId="28204349">
      <w:pPr>
        <w:snapToGrid w:val="0"/>
        <w:spacing w:line="360" w:lineRule="auto"/>
        <w:ind w:firstLine="960" w:firstLineChars="400"/>
        <w:rPr>
          <w:rFonts w:hint="default" w:ascii="仿宋" w:hAnsi="仿宋" w:eastAsia="仿宋"/>
          <w:color w:val="auto"/>
          <w:sz w:val="24"/>
          <w:szCs w:val="24"/>
          <w:highlight w:val="none"/>
          <w:lang w:val="en-US" w:eastAsia="zh-CN"/>
        </w:rPr>
      </w:pPr>
      <w:r>
        <w:rPr>
          <w:rFonts w:hint="eastAsia" w:ascii="仿宋" w:hAnsi="仿宋" w:eastAsia="仿宋"/>
          <w:color w:val="auto"/>
          <w:sz w:val="24"/>
          <w:szCs w:val="24"/>
          <w:highlight w:val="none"/>
        </w:rPr>
        <w:t>地  址：</w:t>
      </w:r>
      <w:r>
        <w:rPr>
          <w:rFonts w:hint="eastAsia" w:ascii="仿宋" w:hAnsi="仿宋" w:eastAsia="仿宋"/>
          <w:color w:val="auto"/>
          <w:sz w:val="24"/>
          <w:szCs w:val="24"/>
          <w:highlight w:val="none"/>
          <w:lang w:val="en-US" w:eastAsia="zh-CN"/>
        </w:rPr>
        <w:t>园博园大雅金开国际1-7-6</w:t>
      </w:r>
    </w:p>
    <w:p w14:paraId="140F6161">
      <w:pPr>
        <w:pStyle w:val="5"/>
        <w:rPr>
          <w:rFonts w:hint="default"/>
          <w:color w:val="auto"/>
          <w:highlight w:val="none"/>
          <w:lang w:val="en-US" w:eastAsia="zh-CN"/>
        </w:rPr>
      </w:pPr>
    </w:p>
    <w:p w14:paraId="336B5AD3">
      <w:pPr>
        <w:snapToGrid w:val="0"/>
        <w:spacing w:line="360" w:lineRule="auto"/>
        <w:ind w:firstLine="1080" w:firstLineChars="450"/>
        <w:rPr>
          <w:rFonts w:hint="eastAsia" w:ascii="仿宋" w:hAnsi="仿宋" w:eastAsia="仿宋"/>
          <w:color w:val="auto"/>
          <w:sz w:val="24"/>
          <w:szCs w:val="24"/>
          <w:highlight w:val="none"/>
        </w:rPr>
      </w:pPr>
      <w:bookmarkStart w:id="28" w:name="_Toc6581"/>
    </w:p>
    <w:p w14:paraId="6F7F2A78">
      <w:pPr>
        <w:pStyle w:val="16"/>
        <w:ind w:firstLine="0"/>
        <w:rPr>
          <w:rFonts w:hint="eastAsia" w:ascii="仿宋" w:hAnsi="仿宋" w:eastAsia="仿宋"/>
          <w:color w:val="auto"/>
          <w:sz w:val="36"/>
          <w:szCs w:val="30"/>
          <w:highlight w:val="none"/>
        </w:rPr>
      </w:pPr>
    </w:p>
    <w:p w14:paraId="4317346F">
      <w:pPr>
        <w:pStyle w:val="17"/>
        <w:rPr>
          <w:rFonts w:hint="eastAsia" w:ascii="仿宋" w:hAnsi="仿宋" w:eastAsia="仿宋"/>
          <w:color w:val="auto"/>
          <w:sz w:val="36"/>
          <w:szCs w:val="30"/>
          <w:highlight w:val="none"/>
        </w:rPr>
      </w:pPr>
    </w:p>
    <w:p w14:paraId="4533483D">
      <w:pPr>
        <w:pStyle w:val="17"/>
        <w:rPr>
          <w:rFonts w:hint="eastAsia" w:ascii="仿宋" w:hAnsi="仿宋" w:eastAsia="仿宋"/>
          <w:color w:val="auto"/>
          <w:sz w:val="36"/>
          <w:szCs w:val="30"/>
          <w:highlight w:val="none"/>
        </w:rPr>
      </w:pPr>
    </w:p>
    <w:p w14:paraId="6D1DB49D">
      <w:pPr>
        <w:pStyle w:val="17"/>
        <w:rPr>
          <w:rFonts w:hint="eastAsia" w:ascii="仿宋" w:hAnsi="仿宋" w:eastAsia="仿宋"/>
          <w:color w:val="auto"/>
          <w:sz w:val="36"/>
          <w:szCs w:val="30"/>
          <w:highlight w:val="none"/>
        </w:rPr>
      </w:pPr>
    </w:p>
    <w:p w14:paraId="45DBB8B4">
      <w:pPr>
        <w:pStyle w:val="17"/>
        <w:rPr>
          <w:rFonts w:hint="eastAsia" w:ascii="仿宋" w:hAnsi="仿宋" w:eastAsia="仿宋"/>
          <w:color w:val="auto"/>
          <w:sz w:val="36"/>
          <w:szCs w:val="30"/>
          <w:highlight w:val="none"/>
        </w:rPr>
      </w:pPr>
    </w:p>
    <w:p w14:paraId="25734F0D">
      <w:pPr>
        <w:pStyle w:val="17"/>
        <w:rPr>
          <w:rFonts w:hint="eastAsia" w:ascii="仿宋" w:hAnsi="仿宋" w:eastAsia="仿宋"/>
          <w:color w:val="auto"/>
          <w:sz w:val="36"/>
          <w:szCs w:val="30"/>
          <w:highlight w:val="none"/>
        </w:rPr>
      </w:pPr>
    </w:p>
    <w:p w14:paraId="4E526FF5">
      <w:pPr>
        <w:pStyle w:val="17"/>
        <w:rPr>
          <w:rFonts w:hint="eastAsia" w:ascii="仿宋" w:hAnsi="仿宋" w:eastAsia="仿宋"/>
          <w:color w:val="auto"/>
          <w:sz w:val="36"/>
          <w:szCs w:val="30"/>
          <w:highlight w:val="none"/>
        </w:rPr>
      </w:pPr>
    </w:p>
    <w:p w14:paraId="5254DD6D">
      <w:pPr>
        <w:pStyle w:val="17"/>
        <w:rPr>
          <w:rFonts w:hint="eastAsia" w:ascii="仿宋" w:hAnsi="仿宋" w:eastAsia="仿宋"/>
          <w:color w:val="auto"/>
          <w:sz w:val="36"/>
          <w:szCs w:val="30"/>
          <w:highlight w:val="none"/>
        </w:rPr>
      </w:pPr>
    </w:p>
    <w:p w14:paraId="39123911">
      <w:pPr>
        <w:pStyle w:val="17"/>
        <w:rPr>
          <w:rFonts w:hint="eastAsia" w:ascii="仿宋" w:hAnsi="仿宋" w:eastAsia="仿宋"/>
          <w:color w:val="auto"/>
          <w:sz w:val="36"/>
          <w:szCs w:val="30"/>
          <w:highlight w:val="none"/>
        </w:rPr>
      </w:pPr>
    </w:p>
    <w:p w14:paraId="4A817993">
      <w:pPr>
        <w:pStyle w:val="17"/>
        <w:rPr>
          <w:rFonts w:hint="eastAsia" w:ascii="仿宋" w:hAnsi="仿宋" w:eastAsia="仿宋"/>
          <w:color w:val="auto"/>
          <w:sz w:val="36"/>
          <w:szCs w:val="30"/>
          <w:highlight w:val="none"/>
        </w:rPr>
      </w:pPr>
    </w:p>
    <w:p w14:paraId="5C288EEB">
      <w:pPr>
        <w:pStyle w:val="17"/>
        <w:rPr>
          <w:rFonts w:hint="eastAsia" w:ascii="仿宋" w:hAnsi="仿宋" w:eastAsia="仿宋"/>
          <w:color w:val="auto"/>
          <w:sz w:val="36"/>
          <w:szCs w:val="30"/>
          <w:highlight w:val="none"/>
        </w:rPr>
      </w:pPr>
    </w:p>
    <w:p w14:paraId="403AFE93">
      <w:pPr>
        <w:pStyle w:val="17"/>
        <w:rPr>
          <w:rFonts w:hint="eastAsia" w:ascii="仿宋" w:hAnsi="仿宋" w:eastAsia="仿宋"/>
          <w:color w:val="auto"/>
          <w:sz w:val="36"/>
          <w:szCs w:val="30"/>
          <w:highlight w:val="none"/>
        </w:rPr>
      </w:pPr>
    </w:p>
    <w:p w14:paraId="08F6E205">
      <w:pPr>
        <w:pStyle w:val="4"/>
        <w:numPr>
          <w:ilvl w:val="0"/>
          <w:numId w:val="0"/>
        </w:numPr>
        <w:spacing w:before="0" w:after="0" w:line="360" w:lineRule="auto"/>
        <w:rPr>
          <w:rFonts w:hint="eastAsia" w:ascii="仿宋" w:hAnsi="仿宋" w:eastAsia="仿宋"/>
          <w:b w:val="0"/>
          <w:color w:val="auto"/>
          <w:sz w:val="36"/>
          <w:szCs w:val="30"/>
          <w:highlight w:val="none"/>
        </w:rPr>
      </w:pPr>
      <w:bookmarkStart w:id="29" w:name="_Toc14928"/>
    </w:p>
    <w:p w14:paraId="0EB4DBB6">
      <w:pPr>
        <w:pStyle w:val="4"/>
        <w:numPr>
          <w:ilvl w:val="0"/>
          <w:numId w:val="0"/>
        </w:numPr>
        <w:spacing w:before="0" w:after="0" w:line="360" w:lineRule="auto"/>
        <w:jc w:val="center"/>
        <w:rPr>
          <w:rFonts w:hint="eastAsia" w:ascii="仿宋" w:hAnsi="仿宋" w:eastAsia="仿宋"/>
          <w:b w:val="0"/>
          <w:color w:val="auto"/>
          <w:sz w:val="36"/>
          <w:szCs w:val="30"/>
          <w:highlight w:val="none"/>
        </w:rPr>
      </w:pPr>
      <w:r>
        <w:rPr>
          <w:rFonts w:hint="eastAsia" w:ascii="仿宋" w:hAnsi="仿宋" w:eastAsia="仿宋"/>
          <w:b w:val="0"/>
          <w:color w:val="auto"/>
          <w:sz w:val="36"/>
          <w:szCs w:val="30"/>
          <w:highlight w:val="none"/>
          <w:lang w:val="en-US" w:eastAsia="zh-CN"/>
        </w:rPr>
        <w:t>第二篇</w:t>
      </w:r>
      <w:r>
        <w:rPr>
          <w:rFonts w:hint="eastAsia" w:ascii="仿宋" w:hAnsi="仿宋" w:eastAsia="仿宋"/>
          <w:b w:val="0"/>
          <w:color w:val="auto"/>
          <w:sz w:val="36"/>
          <w:szCs w:val="30"/>
          <w:highlight w:val="none"/>
        </w:rPr>
        <w:t>采购项目服务需求</w:t>
      </w:r>
      <w:bookmarkEnd w:id="29"/>
      <w:bookmarkStart w:id="30" w:name="bookmark2"/>
      <w:bookmarkEnd w:id="30"/>
    </w:p>
    <w:p w14:paraId="7725609A">
      <w:pPr>
        <w:rPr>
          <w:rFonts w:hint="default" w:ascii="宋体" w:hAnsi="宋体" w:eastAsia="黑体" w:cs="宋体"/>
          <w:b/>
          <w:color w:val="auto"/>
          <w:kern w:val="2"/>
          <w:sz w:val="24"/>
          <w:szCs w:val="22"/>
          <w:highlight w:val="none"/>
          <w:lang w:val="en-US" w:eastAsia="zh-CN" w:bidi="ar-SA"/>
        </w:rPr>
      </w:pPr>
      <w:r>
        <w:rPr>
          <w:rFonts w:hint="eastAsia" w:ascii="宋体" w:hAnsi="宋体" w:eastAsia="黑体" w:cs="宋体"/>
          <w:b/>
          <w:color w:val="auto"/>
          <w:kern w:val="2"/>
          <w:sz w:val="24"/>
          <w:szCs w:val="22"/>
          <w:highlight w:val="none"/>
          <w:lang w:val="en-US" w:eastAsia="zh-CN" w:bidi="ar-SA"/>
        </w:rPr>
        <w:t>一、采购一览表</w:t>
      </w:r>
    </w:p>
    <w:tbl>
      <w:tblPr>
        <w:tblStyle w:val="63"/>
        <w:tblW w:w="9626"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274"/>
        <w:gridCol w:w="2008"/>
        <w:gridCol w:w="1344"/>
      </w:tblGrid>
      <w:tr w14:paraId="1000A2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62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4A9726">
            <w:pPr>
              <w:keepNext w:val="0"/>
              <w:keepLines w:val="0"/>
              <w:widowControl/>
              <w:suppressLineNumbers w:val="0"/>
              <w:jc w:val="center"/>
              <w:textAlignment w:val="center"/>
              <w:rPr>
                <w:rFonts w:hint="default" w:ascii="宋体" w:hAnsi="宋体" w:eastAsia="宋体" w:cs="宋体"/>
                <w:b/>
                <w:bCs/>
                <w:i w:val="0"/>
                <w:iCs w:val="0"/>
                <w:color w:val="auto"/>
                <w:sz w:val="24"/>
                <w:szCs w:val="24"/>
                <w:highlight w:val="none"/>
                <w:u w:val="none"/>
                <w:lang w:val="en-US"/>
              </w:rPr>
            </w:pPr>
            <w:r>
              <w:rPr>
                <w:rFonts w:hint="eastAsia" w:ascii="宋体" w:hAnsi="宋体" w:eastAsia="宋体" w:cs="宋体"/>
                <w:b/>
                <w:bCs/>
                <w:i w:val="0"/>
                <w:iCs w:val="0"/>
                <w:color w:val="auto"/>
                <w:kern w:val="0"/>
                <w:sz w:val="24"/>
                <w:szCs w:val="24"/>
                <w:highlight w:val="none"/>
                <w:u w:val="none"/>
                <w:lang w:val="en-US" w:eastAsia="zh-CN" w:bidi="ar"/>
              </w:rPr>
              <w:t>采购项目名称</w:t>
            </w:r>
          </w:p>
        </w:tc>
        <w:tc>
          <w:tcPr>
            <w:tcW w:w="20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30530E">
            <w:pPr>
              <w:keepNext w:val="0"/>
              <w:keepLines w:val="0"/>
              <w:widowControl/>
              <w:suppressLineNumbers w:val="0"/>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批次</w:t>
            </w:r>
          </w:p>
        </w:tc>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D5B246">
            <w:pPr>
              <w:keepNext w:val="0"/>
              <w:keepLines w:val="0"/>
              <w:widowControl/>
              <w:suppressLineNumbers w:val="0"/>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备注</w:t>
            </w:r>
          </w:p>
        </w:tc>
      </w:tr>
      <w:tr w14:paraId="23BFCE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62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89DAD9">
            <w:pPr>
              <w:pStyle w:val="25"/>
              <w:spacing w:line="500" w:lineRule="exact"/>
              <w:ind w:left="0" w:firstLine="482" w:firstLineChars="200"/>
              <w:jc w:val="center"/>
              <w:rPr>
                <w:rFonts w:hint="default" w:ascii="仿宋" w:hAnsi="Calibri" w:eastAsia="仿宋" w:cs="宋体"/>
                <w:b/>
                <w:bCs/>
                <w:color w:val="auto"/>
                <w:kern w:val="0"/>
                <w:sz w:val="24"/>
                <w:szCs w:val="24"/>
                <w:highlight w:val="none"/>
                <w:lang w:val="en-US" w:eastAsia="zh-CN" w:bidi="ar-SA"/>
              </w:rPr>
            </w:pPr>
            <w:r>
              <w:rPr>
                <w:rFonts w:hint="eastAsia" w:ascii="仿宋" w:eastAsia="仿宋" w:cs="宋体"/>
                <w:b/>
                <w:bCs/>
                <w:color w:val="auto"/>
                <w:kern w:val="0"/>
                <w:sz w:val="24"/>
                <w:szCs w:val="24"/>
                <w:highlight w:val="none"/>
                <w:lang w:val="en-US" w:eastAsia="zh-CN" w:bidi="ar-SA"/>
              </w:rPr>
              <w:t>高新区市场监督管理局2026年食品安全抽检项目</w:t>
            </w:r>
          </w:p>
          <w:p w14:paraId="1CE57660">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p>
        </w:tc>
        <w:tc>
          <w:tcPr>
            <w:tcW w:w="20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D8C1CA">
            <w:pPr>
              <w:keepNext w:val="0"/>
              <w:keepLines w:val="0"/>
              <w:widowControl/>
              <w:suppressLineNumbers w:val="0"/>
              <w:jc w:val="center"/>
              <w:textAlignment w:val="center"/>
              <w:rPr>
                <w:rFonts w:hint="default" w:ascii="宋体" w:hAnsi="宋体" w:eastAsia="宋体" w:cs="宋体"/>
                <w:i w:val="0"/>
                <w:iCs w:val="0"/>
                <w:color w:val="auto"/>
                <w:sz w:val="21"/>
                <w:szCs w:val="21"/>
                <w:highlight w:val="none"/>
                <w:u w:val="none"/>
                <w:lang w:val="en-US"/>
              </w:rPr>
            </w:pPr>
            <w:r>
              <w:rPr>
                <w:rFonts w:hint="eastAsia" w:ascii="宋体" w:hAnsi="宋体" w:eastAsia="宋体" w:cs="宋体"/>
                <w:i w:val="0"/>
                <w:iCs w:val="0"/>
                <w:color w:val="auto"/>
                <w:kern w:val="0"/>
                <w:sz w:val="21"/>
                <w:szCs w:val="21"/>
                <w:highlight w:val="none"/>
                <w:u w:val="none"/>
                <w:lang w:val="en-US" w:eastAsia="zh-CN" w:bidi="ar"/>
              </w:rPr>
              <w:t>1000</w:t>
            </w:r>
          </w:p>
        </w:tc>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ADA803">
            <w:pPr>
              <w:jc w:val="center"/>
              <w:rPr>
                <w:rFonts w:hint="eastAsia" w:ascii="宋体" w:hAnsi="宋体" w:eastAsia="宋体" w:cs="宋体"/>
                <w:i w:val="0"/>
                <w:iCs w:val="0"/>
                <w:color w:val="auto"/>
                <w:sz w:val="21"/>
                <w:szCs w:val="21"/>
                <w:highlight w:val="none"/>
                <w:u w:val="none"/>
              </w:rPr>
            </w:pPr>
          </w:p>
        </w:tc>
      </w:tr>
    </w:tbl>
    <w:p w14:paraId="5C9BA4F2">
      <w:pPr>
        <w:numPr>
          <w:ilvl w:val="0"/>
          <w:numId w:val="0"/>
        </w:numPr>
        <w:rPr>
          <w:rFonts w:hint="eastAsia"/>
          <w:color w:val="auto"/>
          <w:highlight w:val="none"/>
        </w:rPr>
      </w:pPr>
    </w:p>
    <w:p w14:paraId="51F61E03">
      <w:pPr>
        <w:pStyle w:val="4"/>
        <w:adjustRightInd w:val="0"/>
        <w:snapToGrid w:val="0"/>
        <w:spacing w:before="0" w:after="0" w:line="480" w:lineRule="exact"/>
        <w:rPr>
          <w:rFonts w:hint="eastAsia" w:ascii="宋体" w:hAnsi="宋体" w:eastAsia="黑体" w:cs="宋体"/>
          <w:b/>
          <w:color w:val="auto"/>
          <w:kern w:val="2"/>
          <w:sz w:val="24"/>
          <w:szCs w:val="22"/>
          <w:highlight w:val="none"/>
          <w:lang w:val="en-US" w:eastAsia="zh-CN" w:bidi="ar-SA"/>
        </w:rPr>
      </w:pPr>
      <w:r>
        <w:rPr>
          <w:rFonts w:hint="eastAsia" w:ascii="宋体" w:hAnsi="宋体" w:eastAsia="黑体" w:cs="宋体"/>
          <w:b/>
          <w:color w:val="auto"/>
          <w:kern w:val="2"/>
          <w:sz w:val="24"/>
          <w:szCs w:val="22"/>
          <w:highlight w:val="none"/>
          <w:lang w:val="en-US" w:eastAsia="zh-CN" w:bidi="ar-SA"/>
        </w:rPr>
        <w:t xml:space="preserve">二、计划表 </w:t>
      </w:r>
    </w:p>
    <w:tbl>
      <w:tblPr>
        <w:tblStyle w:val="63"/>
        <w:tblW w:w="962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776"/>
        <w:gridCol w:w="3874"/>
        <w:gridCol w:w="3974"/>
      </w:tblGrid>
      <w:tr w14:paraId="3DAEB2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17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15B6BE">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r>
              <w:rPr>
                <w:rFonts w:hint="eastAsia" w:ascii="宋体" w:hAnsi="宋体" w:eastAsia="宋体" w:cs="宋体"/>
                <w:b/>
                <w:bCs/>
                <w:i w:val="0"/>
                <w:iCs w:val="0"/>
                <w:color w:val="auto"/>
                <w:kern w:val="0"/>
                <w:sz w:val="22"/>
                <w:szCs w:val="22"/>
                <w:highlight w:val="none"/>
                <w:u w:val="none"/>
                <w:lang w:val="en-US" w:eastAsia="zh-CN" w:bidi="ar"/>
              </w:rPr>
              <w:t>序号</w:t>
            </w:r>
          </w:p>
        </w:tc>
        <w:tc>
          <w:tcPr>
            <w:tcW w:w="38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2DBAD1">
            <w:pPr>
              <w:keepNext w:val="0"/>
              <w:keepLines w:val="0"/>
              <w:widowControl/>
              <w:suppressLineNumbers w:val="0"/>
              <w:jc w:val="center"/>
              <w:textAlignment w:val="center"/>
              <w:rPr>
                <w:rFonts w:hint="eastAsia" w:ascii="宋体" w:hAnsi="宋体" w:eastAsia="宋体" w:cs="宋体"/>
                <w:b/>
                <w:bCs/>
                <w:i w:val="0"/>
                <w:iCs w:val="0"/>
                <w:color w:val="auto"/>
                <w:sz w:val="20"/>
                <w:szCs w:val="20"/>
                <w:highlight w:val="none"/>
                <w:u w:val="none"/>
              </w:rPr>
            </w:pPr>
            <w:r>
              <w:rPr>
                <w:rFonts w:hint="eastAsia" w:ascii="宋体" w:hAnsi="宋体" w:cs="宋体"/>
                <w:b/>
                <w:bCs/>
                <w:i w:val="0"/>
                <w:iCs w:val="0"/>
                <w:color w:val="auto"/>
                <w:kern w:val="0"/>
                <w:sz w:val="20"/>
                <w:szCs w:val="20"/>
                <w:highlight w:val="none"/>
                <w:u w:val="none"/>
                <w:lang w:val="en-US" w:eastAsia="zh-CN" w:bidi="ar"/>
              </w:rPr>
              <w:t>抽检</w:t>
            </w:r>
            <w:r>
              <w:rPr>
                <w:rFonts w:hint="eastAsia" w:ascii="宋体" w:hAnsi="宋体" w:eastAsia="宋体" w:cs="宋体"/>
                <w:b/>
                <w:bCs/>
                <w:i w:val="0"/>
                <w:iCs w:val="0"/>
                <w:color w:val="auto"/>
                <w:kern w:val="0"/>
                <w:sz w:val="20"/>
                <w:szCs w:val="20"/>
                <w:highlight w:val="none"/>
                <w:u w:val="none"/>
                <w:lang w:val="en-US" w:eastAsia="zh-CN" w:bidi="ar"/>
              </w:rPr>
              <w:t>名称</w:t>
            </w:r>
          </w:p>
        </w:tc>
        <w:tc>
          <w:tcPr>
            <w:tcW w:w="39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E9AB53">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r>
              <w:rPr>
                <w:rFonts w:hint="eastAsia" w:ascii="宋体" w:hAnsi="宋体" w:eastAsia="宋体" w:cs="宋体"/>
                <w:b/>
                <w:bCs/>
                <w:i w:val="0"/>
                <w:iCs w:val="0"/>
                <w:color w:val="auto"/>
                <w:kern w:val="0"/>
                <w:sz w:val="22"/>
                <w:szCs w:val="22"/>
                <w:highlight w:val="none"/>
                <w:u w:val="none"/>
                <w:lang w:val="en-US" w:eastAsia="zh-CN" w:bidi="ar"/>
              </w:rPr>
              <w:t>合计</w:t>
            </w:r>
          </w:p>
        </w:tc>
      </w:tr>
      <w:tr w14:paraId="333228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17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3C337E">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38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09166B">
            <w:pPr>
              <w:keepNext w:val="0"/>
              <w:keepLines w:val="0"/>
              <w:widowControl/>
              <w:suppressLineNumbers w:val="0"/>
              <w:jc w:val="center"/>
              <w:textAlignment w:val="center"/>
              <w:rPr>
                <w:rFonts w:hint="eastAsia" w:ascii="宋体" w:hAnsi="宋体" w:eastAsia="宋体" w:cs="宋体"/>
                <w:i w:val="0"/>
                <w:iCs w:val="0"/>
                <w:color w:val="auto"/>
                <w:kern w:val="0"/>
                <w:sz w:val="20"/>
                <w:szCs w:val="20"/>
                <w:highlight w:val="none"/>
                <w:u w:val="none"/>
                <w:lang w:val="en-US" w:eastAsia="zh-CN" w:bidi="ar"/>
              </w:rPr>
            </w:pPr>
            <w:r>
              <w:rPr>
                <w:rFonts w:hint="default" w:ascii="宋体" w:hAnsi="宋体" w:eastAsia="宋体" w:cs="宋体"/>
                <w:i w:val="0"/>
                <w:iCs w:val="0"/>
                <w:color w:val="auto"/>
                <w:kern w:val="0"/>
                <w:sz w:val="20"/>
                <w:szCs w:val="20"/>
                <w:highlight w:val="none"/>
                <w:u w:val="none"/>
                <w:lang w:val="en-US" w:eastAsia="zh-CN" w:bidi="ar"/>
              </w:rPr>
              <w:t>食品生产</w:t>
            </w:r>
          </w:p>
        </w:tc>
        <w:tc>
          <w:tcPr>
            <w:tcW w:w="39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03E6A7">
            <w:pPr>
              <w:keepNext w:val="0"/>
              <w:keepLines w:val="0"/>
              <w:widowControl/>
              <w:suppressLineNumbers w:val="0"/>
              <w:jc w:val="center"/>
              <w:textAlignment w:val="center"/>
              <w:rPr>
                <w:rFonts w:hint="default" w:ascii="宋体" w:hAnsi="宋体" w:eastAsia="宋体" w:cs="宋体"/>
                <w:i w:val="0"/>
                <w:iCs w:val="0"/>
                <w:color w:val="auto"/>
                <w:sz w:val="22"/>
                <w:szCs w:val="22"/>
                <w:highlight w:val="none"/>
                <w:u w:val="none"/>
                <w:lang w:val="en-US" w:eastAsia="zh-CN"/>
              </w:rPr>
            </w:pPr>
            <w:r>
              <w:rPr>
                <w:rFonts w:hint="eastAsia" w:ascii="宋体" w:hAnsi="宋体" w:eastAsia="宋体" w:cs="宋体"/>
                <w:i w:val="0"/>
                <w:iCs w:val="0"/>
                <w:color w:val="auto"/>
                <w:sz w:val="22"/>
                <w:szCs w:val="22"/>
                <w:highlight w:val="none"/>
                <w:u w:val="none"/>
                <w:lang w:val="en-US" w:eastAsia="zh-CN"/>
              </w:rPr>
              <w:t>150</w:t>
            </w:r>
          </w:p>
        </w:tc>
      </w:tr>
      <w:tr w14:paraId="3830FC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17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237F22">
            <w:pPr>
              <w:keepNext w:val="0"/>
              <w:keepLines w:val="0"/>
              <w:widowControl/>
              <w:suppressLineNumbers w:val="0"/>
              <w:jc w:val="center"/>
              <w:textAlignment w:val="center"/>
              <w:rPr>
                <w:rFonts w:hint="default"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2</w:t>
            </w:r>
          </w:p>
        </w:tc>
        <w:tc>
          <w:tcPr>
            <w:tcW w:w="38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DF47E4">
            <w:pPr>
              <w:keepNext w:val="0"/>
              <w:keepLines w:val="0"/>
              <w:widowControl/>
              <w:suppressLineNumbers w:val="0"/>
              <w:jc w:val="center"/>
              <w:textAlignment w:val="center"/>
              <w:rPr>
                <w:rFonts w:hint="eastAsia" w:ascii="宋体" w:hAnsi="宋体" w:eastAsia="宋体" w:cs="宋体"/>
                <w:i w:val="0"/>
                <w:iCs w:val="0"/>
                <w:color w:val="auto"/>
                <w:kern w:val="0"/>
                <w:sz w:val="20"/>
                <w:szCs w:val="20"/>
                <w:highlight w:val="none"/>
                <w:u w:val="none"/>
                <w:lang w:val="en-US" w:eastAsia="zh-CN" w:bidi="ar"/>
              </w:rPr>
            </w:pPr>
            <w:r>
              <w:rPr>
                <w:rFonts w:hint="default" w:ascii="宋体" w:hAnsi="宋体" w:eastAsia="宋体" w:cs="宋体"/>
                <w:i w:val="0"/>
                <w:iCs w:val="0"/>
                <w:color w:val="auto"/>
                <w:kern w:val="0"/>
                <w:sz w:val="20"/>
                <w:szCs w:val="20"/>
                <w:highlight w:val="none"/>
                <w:u w:val="none"/>
                <w:lang w:val="en-US" w:eastAsia="zh-CN" w:bidi="ar"/>
              </w:rPr>
              <w:t>食品</w:t>
            </w:r>
            <w:r>
              <w:rPr>
                <w:rFonts w:hint="eastAsia" w:ascii="宋体" w:hAnsi="宋体" w:eastAsia="宋体" w:cs="宋体"/>
                <w:i w:val="0"/>
                <w:iCs w:val="0"/>
                <w:color w:val="auto"/>
                <w:kern w:val="0"/>
                <w:sz w:val="20"/>
                <w:szCs w:val="20"/>
                <w:highlight w:val="none"/>
                <w:u w:val="none"/>
                <w:lang w:val="en-US" w:eastAsia="zh-CN" w:bidi="ar"/>
              </w:rPr>
              <w:t>销售</w:t>
            </w:r>
          </w:p>
        </w:tc>
        <w:tc>
          <w:tcPr>
            <w:tcW w:w="39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890D12">
            <w:pPr>
              <w:keepNext w:val="0"/>
              <w:keepLines w:val="0"/>
              <w:widowControl/>
              <w:suppressLineNumbers w:val="0"/>
              <w:jc w:val="center"/>
              <w:textAlignment w:val="center"/>
              <w:rPr>
                <w:rFonts w:hint="default"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150</w:t>
            </w:r>
          </w:p>
        </w:tc>
      </w:tr>
      <w:tr w14:paraId="38703E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17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069750">
            <w:pPr>
              <w:keepNext w:val="0"/>
              <w:keepLines w:val="0"/>
              <w:widowControl/>
              <w:suppressLineNumbers w:val="0"/>
              <w:jc w:val="center"/>
              <w:textAlignment w:val="center"/>
              <w:rPr>
                <w:rFonts w:hint="default"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3</w:t>
            </w:r>
          </w:p>
        </w:tc>
        <w:tc>
          <w:tcPr>
            <w:tcW w:w="38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323869">
            <w:pPr>
              <w:keepNext w:val="0"/>
              <w:keepLines w:val="0"/>
              <w:widowControl/>
              <w:suppressLineNumbers w:val="0"/>
              <w:jc w:val="center"/>
              <w:textAlignment w:val="center"/>
              <w:rPr>
                <w:rFonts w:hint="eastAsia" w:ascii="宋体" w:hAnsi="宋体" w:eastAsia="宋体" w:cs="宋体"/>
                <w:i w:val="0"/>
                <w:iCs w:val="0"/>
                <w:color w:val="auto"/>
                <w:kern w:val="0"/>
                <w:sz w:val="20"/>
                <w:szCs w:val="20"/>
                <w:highlight w:val="none"/>
                <w:u w:val="none"/>
                <w:lang w:val="en-US" w:eastAsia="zh-CN" w:bidi="ar"/>
              </w:rPr>
            </w:pPr>
            <w:r>
              <w:rPr>
                <w:rFonts w:hint="default" w:ascii="宋体" w:hAnsi="宋体" w:eastAsia="宋体" w:cs="宋体"/>
                <w:i w:val="0"/>
                <w:iCs w:val="0"/>
                <w:color w:val="auto"/>
                <w:kern w:val="0"/>
                <w:sz w:val="20"/>
                <w:szCs w:val="20"/>
                <w:highlight w:val="none"/>
                <w:u w:val="none"/>
                <w:lang w:val="en-US" w:eastAsia="zh-CN" w:bidi="ar"/>
              </w:rPr>
              <w:t>明品福专项食品抽检</w:t>
            </w:r>
          </w:p>
        </w:tc>
        <w:tc>
          <w:tcPr>
            <w:tcW w:w="39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690201">
            <w:pPr>
              <w:keepNext w:val="0"/>
              <w:keepLines w:val="0"/>
              <w:widowControl/>
              <w:suppressLineNumbers w:val="0"/>
              <w:jc w:val="center"/>
              <w:textAlignment w:val="center"/>
              <w:rPr>
                <w:rFonts w:hint="default"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50</w:t>
            </w:r>
          </w:p>
        </w:tc>
      </w:tr>
      <w:tr w14:paraId="472768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17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D9B6E5">
            <w:pPr>
              <w:keepNext w:val="0"/>
              <w:keepLines w:val="0"/>
              <w:widowControl/>
              <w:suppressLineNumbers w:val="0"/>
              <w:jc w:val="center"/>
              <w:textAlignment w:val="center"/>
              <w:rPr>
                <w:rFonts w:hint="default"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4</w:t>
            </w:r>
          </w:p>
        </w:tc>
        <w:tc>
          <w:tcPr>
            <w:tcW w:w="38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91F35A">
            <w:pPr>
              <w:keepNext w:val="0"/>
              <w:keepLines w:val="0"/>
              <w:widowControl/>
              <w:suppressLineNumbers w:val="0"/>
              <w:jc w:val="center"/>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节令食品</w:t>
            </w:r>
          </w:p>
        </w:tc>
        <w:tc>
          <w:tcPr>
            <w:tcW w:w="39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46D047">
            <w:pPr>
              <w:keepNext w:val="0"/>
              <w:keepLines w:val="0"/>
              <w:widowControl/>
              <w:suppressLineNumbers w:val="0"/>
              <w:jc w:val="center"/>
              <w:textAlignment w:val="center"/>
              <w:rPr>
                <w:rFonts w:hint="default"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50</w:t>
            </w:r>
          </w:p>
        </w:tc>
      </w:tr>
      <w:tr w14:paraId="7FB634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17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B12BD3">
            <w:pPr>
              <w:keepNext w:val="0"/>
              <w:keepLines w:val="0"/>
              <w:widowControl/>
              <w:suppressLineNumbers w:val="0"/>
              <w:jc w:val="center"/>
              <w:textAlignment w:val="center"/>
              <w:rPr>
                <w:rFonts w:hint="default"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5</w:t>
            </w:r>
          </w:p>
        </w:tc>
        <w:tc>
          <w:tcPr>
            <w:tcW w:w="38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397341">
            <w:pPr>
              <w:keepNext w:val="0"/>
              <w:keepLines w:val="0"/>
              <w:widowControl/>
              <w:suppressLineNumbers w:val="0"/>
              <w:jc w:val="center"/>
              <w:textAlignment w:val="center"/>
              <w:rPr>
                <w:rFonts w:hint="default"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各镇街</w:t>
            </w:r>
          </w:p>
        </w:tc>
        <w:tc>
          <w:tcPr>
            <w:tcW w:w="39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521FD7">
            <w:pPr>
              <w:keepNext w:val="0"/>
              <w:keepLines w:val="0"/>
              <w:widowControl/>
              <w:suppressLineNumbers w:val="0"/>
              <w:jc w:val="center"/>
              <w:textAlignment w:val="center"/>
              <w:rPr>
                <w:rFonts w:hint="default"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300</w:t>
            </w:r>
          </w:p>
        </w:tc>
      </w:tr>
      <w:tr w14:paraId="2C6EF1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17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56A62E">
            <w:pPr>
              <w:keepNext w:val="0"/>
              <w:keepLines w:val="0"/>
              <w:widowControl/>
              <w:suppressLineNumbers w:val="0"/>
              <w:jc w:val="center"/>
              <w:textAlignment w:val="center"/>
              <w:rPr>
                <w:rFonts w:hint="default"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6</w:t>
            </w:r>
          </w:p>
        </w:tc>
        <w:tc>
          <w:tcPr>
            <w:tcW w:w="38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08E0AD">
            <w:pPr>
              <w:keepNext w:val="0"/>
              <w:keepLines w:val="0"/>
              <w:widowControl/>
              <w:suppressLineNumbers w:val="0"/>
              <w:jc w:val="center"/>
              <w:textAlignment w:val="center"/>
              <w:rPr>
                <w:rFonts w:hint="eastAsia" w:ascii="宋体" w:hAnsi="宋体" w:eastAsia="宋体" w:cs="宋体"/>
                <w:i w:val="0"/>
                <w:iCs w:val="0"/>
                <w:color w:val="auto"/>
                <w:kern w:val="0"/>
                <w:sz w:val="20"/>
                <w:szCs w:val="20"/>
                <w:highlight w:val="none"/>
                <w:u w:val="none"/>
                <w:lang w:val="en-US" w:eastAsia="zh-CN" w:bidi="ar"/>
              </w:rPr>
            </w:pPr>
            <w:r>
              <w:rPr>
                <w:rFonts w:hint="default" w:ascii="宋体" w:hAnsi="宋体" w:eastAsia="宋体" w:cs="宋体"/>
                <w:i w:val="0"/>
                <w:iCs w:val="0"/>
                <w:color w:val="auto"/>
                <w:kern w:val="0"/>
                <w:sz w:val="20"/>
                <w:szCs w:val="20"/>
                <w:highlight w:val="none"/>
                <w:u w:val="none"/>
                <w:lang w:val="en-US" w:eastAsia="zh-CN" w:bidi="ar"/>
              </w:rPr>
              <w:t>机关单位食堂、学校幼儿园食堂</w:t>
            </w:r>
            <w:r>
              <w:rPr>
                <w:rFonts w:hint="eastAsia" w:ascii="宋体" w:hAnsi="宋体" w:eastAsia="宋体" w:cs="宋体"/>
                <w:i w:val="0"/>
                <w:iCs w:val="0"/>
                <w:color w:val="auto"/>
                <w:kern w:val="0"/>
                <w:sz w:val="20"/>
                <w:szCs w:val="20"/>
                <w:highlight w:val="none"/>
                <w:u w:val="none"/>
                <w:lang w:val="en-US" w:eastAsia="zh-CN" w:bidi="ar"/>
              </w:rPr>
              <w:t>、网络餐饮、养老机构等</w:t>
            </w:r>
          </w:p>
        </w:tc>
        <w:tc>
          <w:tcPr>
            <w:tcW w:w="39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C5E98D">
            <w:pPr>
              <w:keepNext w:val="0"/>
              <w:keepLines w:val="0"/>
              <w:widowControl/>
              <w:suppressLineNumbers w:val="0"/>
              <w:jc w:val="center"/>
              <w:textAlignment w:val="center"/>
              <w:rPr>
                <w:rFonts w:hint="default"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300</w:t>
            </w:r>
          </w:p>
        </w:tc>
      </w:tr>
      <w:tr w14:paraId="7B678D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56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9DB8FFE">
            <w:pPr>
              <w:keepNext w:val="0"/>
              <w:keepLines w:val="0"/>
              <w:widowControl/>
              <w:suppressLineNumbers w:val="0"/>
              <w:jc w:val="center"/>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合计</w:t>
            </w:r>
          </w:p>
        </w:tc>
        <w:tc>
          <w:tcPr>
            <w:tcW w:w="39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521A34">
            <w:pPr>
              <w:keepNext w:val="0"/>
              <w:keepLines w:val="0"/>
              <w:widowControl/>
              <w:suppressLineNumbers w:val="0"/>
              <w:jc w:val="center"/>
              <w:textAlignment w:val="center"/>
              <w:rPr>
                <w:rFonts w:hint="default"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1000</w:t>
            </w:r>
          </w:p>
        </w:tc>
      </w:tr>
      <w:bookmarkEnd w:id="28"/>
    </w:tbl>
    <w:p w14:paraId="21113921">
      <w:pPr>
        <w:keepNext w:val="0"/>
        <w:keepLines w:val="0"/>
        <w:widowControl/>
        <w:suppressLineNumbers w:val="0"/>
        <w:jc w:val="both"/>
        <w:textAlignment w:val="center"/>
        <w:rPr>
          <w:rFonts w:hint="default" w:ascii="宋体" w:hAnsi="宋体" w:eastAsia="宋体" w:cs="宋体"/>
          <w:i w:val="0"/>
          <w:iCs w:val="0"/>
          <w:color w:val="auto"/>
          <w:kern w:val="0"/>
          <w:sz w:val="20"/>
          <w:szCs w:val="20"/>
          <w:highlight w:val="none"/>
          <w:u w:val="none"/>
          <w:lang w:val="en-US" w:eastAsia="zh-CN" w:bidi="ar"/>
        </w:rPr>
      </w:pPr>
      <w:bookmarkStart w:id="31" w:name="_Toc12789058"/>
      <w:bookmarkStart w:id="32" w:name="_Toc12675"/>
      <w:r>
        <w:rPr>
          <w:rFonts w:hint="eastAsia" w:ascii="宋体" w:hAnsi="宋体" w:eastAsia="宋体" w:cs="宋体"/>
          <w:i w:val="0"/>
          <w:iCs w:val="0"/>
          <w:color w:val="auto"/>
          <w:kern w:val="0"/>
          <w:sz w:val="20"/>
          <w:szCs w:val="20"/>
          <w:highlight w:val="none"/>
          <w:u w:val="none"/>
          <w:lang w:val="en-US" w:eastAsia="zh-CN" w:bidi="ar"/>
        </w:rPr>
        <w:t>注：</w:t>
      </w:r>
      <w:r>
        <w:rPr>
          <w:rFonts w:hint="eastAsia" w:ascii="宋体" w:hAnsi="宋体" w:cs="宋体"/>
          <w:i w:val="0"/>
          <w:iCs w:val="0"/>
          <w:color w:val="auto"/>
          <w:kern w:val="0"/>
          <w:sz w:val="20"/>
          <w:szCs w:val="20"/>
          <w:highlight w:val="none"/>
          <w:u w:val="none"/>
          <w:lang w:val="en-US" w:eastAsia="zh-CN" w:bidi="ar"/>
        </w:rPr>
        <w:t>计划表</w:t>
      </w:r>
      <w:r>
        <w:rPr>
          <w:rFonts w:hint="eastAsia" w:ascii="宋体" w:hAnsi="宋体" w:eastAsia="宋体" w:cs="宋体"/>
          <w:i w:val="0"/>
          <w:iCs w:val="0"/>
          <w:color w:val="auto"/>
          <w:kern w:val="0"/>
          <w:sz w:val="20"/>
          <w:szCs w:val="20"/>
          <w:highlight w:val="none"/>
          <w:u w:val="none"/>
          <w:lang w:val="en-US" w:eastAsia="zh-CN" w:bidi="ar"/>
        </w:rPr>
        <w:t>根据</w:t>
      </w:r>
      <w:r>
        <w:rPr>
          <w:rFonts w:hint="eastAsia" w:ascii="宋体" w:hAnsi="宋体" w:cs="宋体"/>
          <w:i w:val="0"/>
          <w:iCs w:val="0"/>
          <w:color w:val="auto"/>
          <w:kern w:val="0"/>
          <w:sz w:val="20"/>
          <w:szCs w:val="20"/>
          <w:highlight w:val="none"/>
          <w:u w:val="none"/>
          <w:lang w:val="en-US" w:eastAsia="zh-CN" w:bidi="ar"/>
        </w:rPr>
        <w:t>采购人实际工作情况，按需</w:t>
      </w:r>
      <w:r>
        <w:rPr>
          <w:rFonts w:hint="eastAsia" w:ascii="宋体" w:hAnsi="宋体" w:eastAsia="宋体" w:cs="宋体"/>
          <w:i w:val="0"/>
          <w:iCs w:val="0"/>
          <w:color w:val="auto"/>
          <w:kern w:val="0"/>
          <w:sz w:val="20"/>
          <w:szCs w:val="20"/>
          <w:highlight w:val="none"/>
          <w:u w:val="none"/>
          <w:lang w:val="en-US" w:eastAsia="zh-CN" w:bidi="ar"/>
        </w:rPr>
        <w:t>实时调整</w:t>
      </w:r>
      <w:r>
        <w:rPr>
          <w:rFonts w:hint="eastAsia" w:ascii="宋体" w:hAnsi="宋体" w:cs="宋体"/>
          <w:i w:val="0"/>
          <w:iCs w:val="0"/>
          <w:color w:val="auto"/>
          <w:kern w:val="0"/>
          <w:sz w:val="20"/>
          <w:szCs w:val="20"/>
          <w:highlight w:val="none"/>
          <w:u w:val="none"/>
          <w:lang w:val="en-US" w:eastAsia="zh-CN" w:bidi="ar"/>
        </w:rPr>
        <w:t>。</w:t>
      </w:r>
    </w:p>
    <w:p w14:paraId="52719285">
      <w:pPr>
        <w:pStyle w:val="4"/>
        <w:adjustRightInd w:val="0"/>
        <w:snapToGrid w:val="0"/>
        <w:spacing w:before="0" w:after="0" w:line="480" w:lineRule="exact"/>
        <w:rPr>
          <w:color w:val="auto"/>
          <w:highlight w:val="none"/>
        </w:rPr>
      </w:pPr>
      <w:r>
        <w:rPr>
          <w:rFonts w:hint="eastAsia" w:ascii="宋体" w:hAnsi="宋体" w:cs="宋体"/>
          <w:b/>
          <w:color w:val="auto"/>
          <w:kern w:val="2"/>
          <w:sz w:val="24"/>
          <w:szCs w:val="22"/>
          <w:highlight w:val="none"/>
          <w:lang w:val="en-US" w:eastAsia="zh-CN" w:bidi="ar-SA"/>
        </w:rPr>
        <w:t>三、</w:t>
      </w:r>
      <w:r>
        <w:rPr>
          <w:rFonts w:hint="eastAsia" w:ascii="宋体" w:hAnsi="宋体" w:eastAsia="黑体" w:cs="宋体"/>
          <w:b/>
          <w:color w:val="auto"/>
          <w:kern w:val="2"/>
          <w:sz w:val="24"/>
          <w:szCs w:val="22"/>
          <w:highlight w:val="none"/>
          <w:lang w:val="en-US" w:eastAsia="zh-CN" w:bidi="ar-SA"/>
        </w:rPr>
        <w:t>食品监督抽检品种和抽检要求</w:t>
      </w:r>
    </w:p>
    <w:p w14:paraId="0FDFF514">
      <w:pPr>
        <w:pageBreakBefore w:val="0"/>
        <w:widowControl w:val="0"/>
        <w:kinsoku/>
        <w:wordWrap/>
        <w:overflowPunct/>
        <w:topLinePunct w:val="0"/>
        <w:autoSpaceDE/>
        <w:autoSpaceDN/>
        <w:bidi w:val="0"/>
        <w:spacing w:line="360" w:lineRule="auto"/>
        <w:ind w:firstLine="480" w:firstLineChars="200"/>
        <w:textAlignment w:val="auto"/>
        <w:rPr>
          <w:rFonts w:hint="eastAsia" w:ascii="宋体" w:hAnsi="宋体" w:eastAsia="宋体" w:cs="宋体"/>
          <w:color w:val="auto"/>
          <w:sz w:val="24"/>
          <w:szCs w:val="28"/>
          <w:highlight w:val="none"/>
        </w:rPr>
      </w:pPr>
      <w:r>
        <w:rPr>
          <w:rFonts w:hint="eastAsia" w:ascii="宋体" w:hAnsi="宋体" w:eastAsia="宋体" w:cs="宋体"/>
          <w:bCs/>
          <w:color w:val="auto"/>
          <w:sz w:val="24"/>
          <w:szCs w:val="24"/>
          <w:highlight w:val="none"/>
        </w:rPr>
        <w:t>本次食品食品</w:t>
      </w:r>
      <w:r>
        <w:rPr>
          <w:rFonts w:hint="eastAsia" w:ascii="宋体" w:hAnsi="宋体" w:eastAsia="宋体" w:cs="宋体"/>
          <w:bCs/>
          <w:color w:val="auto"/>
          <w:sz w:val="24"/>
          <w:szCs w:val="24"/>
          <w:highlight w:val="none"/>
          <w:lang w:val="en-US" w:eastAsia="zh-CN"/>
        </w:rPr>
        <w:t>监督</w:t>
      </w:r>
      <w:r>
        <w:rPr>
          <w:rFonts w:hint="eastAsia" w:ascii="宋体" w:hAnsi="宋体" w:eastAsia="宋体" w:cs="宋体"/>
          <w:bCs/>
          <w:color w:val="auto"/>
          <w:sz w:val="24"/>
          <w:szCs w:val="24"/>
          <w:highlight w:val="none"/>
        </w:rPr>
        <w:t>抽检任务</w:t>
      </w:r>
      <w:r>
        <w:rPr>
          <w:rFonts w:hint="eastAsia" w:ascii="宋体" w:hAnsi="宋体" w:eastAsia="宋体" w:cs="宋体"/>
          <w:bCs/>
          <w:color w:val="auto"/>
          <w:sz w:val="24"/>
          <w:szCs w:val="24"/>
          <w:highlight w:val="none"/>
          <w:lang w:eastAsia="zh-CN"/>
        </w:rPr>
        <w:t>按</w:t>
      </w:r>
      <w:r>
        <w:rPr>
          <w:rFonts w:hint="eastAsia" w:ascii="宋体" w:hAnsi="宋体" w:eastAsia="宋体" w:cs="宋体"/>
          <w:bCs/>
          <w:color w:val="auto"/>
          <w:sz w:val="24"/>
          <w:szCs w:val="24"/>
          <w:highlight w:val="none"/>
        </w:rPr>
        <w:t>抽检要求覆盖指定被抽样单位（名单另行提供）。检验</w:t>
      </w:r>
      <w:bookmarkStart w:id="139" w:name="_GoBack"/>
      <w:bookmarkEnd w:id="139"/>
      <w:r>
        <w:rPr>
          <w:rFonts w:hint="eastAsia" w:ascii="宋体" w:hAnsi="宋体" w:eastAsia="宋体" w:cs="宋体"/>
          <w:bCs/>
          <w:color w:val="auto"/>
          <w:sz w:val="24"/>
          <w:szCs w:val="24"/>
          <w:highlight w:val="none"/>
        </w:rPr>
        <w:t>指标包括农药残留、兽药残留、食品添加剂、致病菌、重金属等项目（详见</w:t>
      </w:r>
      <w:r>
        <w:rPr>
          <w:rFonts w:hint="eastAsia" w:ascii="宋体" w:hAnsi="宋体" w:eastAsia="宋体" w:cs="宋体"/>
          <w:b/>
          <w:bCs/>
          <w:color w:val="auto"/>
          <w:sz w:val="24"/>
          <w:szCs w:val="24"/>
          <w:highlight w:val="none"/>
        </w:rPr>
        <w:t>《2</w:t>
      </w:r>
      <w:r>
        <w:rPr>
          <w:rFonts w:hint="eastAsia" w:ascii="宋体" w:hAnsi="宋体" w:eastAsia="宋体" w:cs="宋体"/>
          <w:b/>
          <w:bCs/>
          <w:color w:val="auto"/>
          <w:sz w:val="24"/>
          <w:szCs w:val="24"/>
          <w:highlight w:val="none"/>
          <w:lang w:val="en-US" w:eastAsia="zh-CN"/>
        </w:rPr>
        <w:t>026年食品监督抽检项目表</w:t>
      </w:r>
      <w:r>
        <w:rPr>
          <w:rFonts w:hint="eastAsia" w:ascii="宋体" w:hAnsi="宋体" w:eastAsia="宋体" w:cs="宋体"/>
          <w:b/>
          <w:bCs/>
          <w:color w:val="auto"/>
          <w:sz w:val="24"/>
          <w:szCs w:val="24"/>
          <w:highlight w:val="none"/>
        </w:rPr>
        <w:t>》</w:t>
      </w:r>
      <w:r>
        <w:rPr>
          <w:rFonts w:hint="eastAsia" w:ascii="宋体" w:hAnsi="宋体" w:eastAsia="宋体" w:cs="宋体"/>
          <w:bCs/>
          <w:color w:val="auto"/>
          <w:sz w:val="24"/>
          <w:szCs w:val="24"/>
          <w:highlight w:val="none"/>
        </w:rPr>
        <w:t>），必检项目和选检项目相结合，</w:t>
      </w:r>
      <w:r>
        <w:rPr>
          <w:rFonts w:hint="eastAsia" w:ascii="宋体" w:hAnsi="宋体" w:cs="宋体"/>
          <w:bCs/>
          <w:color w:val="auto"/>
          <w:sz w:val="24"/>
          <w:szCs w:val="24"/>
          <w:highlight w:val="none"/>
          <w:lang w:val="en-US" w:eastAsia="zh-CN"/>
        </w:rPr>
        <w:t>同时参考《食品安全监督抽检实施细则（2026年版）》，以发现问题为导向</w:t>
      </w:r>
      <w:r>
        <w:rPr>
          <w:rFonts w:hint="eastAsia" w:ascii="宋体" w:hAnsi="宋体" w:cs="宋体"/>
          <w:bCs/>
          <w:color w:val="auto"/>
          <w:sz w:val="24"/>
          <w:szCs w:val="24"/>
          <w:highlight w:val="none"/>
          <w:lang w:eastAsia="zh-CN"/>
        </w:rPr>
        <w:t>，</w:t>
      </w:r>
      <w:r>
        <w:rPr>
          <w:rFonts w:hint="eastAsia" w:ascii="宋体" w:hAnsi="宋体" w:eastAsia="宋体" w:cs="宋体"/>
          <w:bCs/>
          <w:color w:val="auto"/>
          <w:sz w:val="24"/>
          <w:szCs w:val="24"/>
          <w:highlight w:val="none"/>
        </w:rPr>
        <w:t>平均每份报告项目个数不低于</w:t>
      </w:r>
      <w:r>
        <w:rPr>
          <w:rFonts w:hint="eastAsia" w:ascii="宋体" w:hAnsi="宋体" w:cs="宋体"/>
          <w:bCs/>
          <w:color w:val="auto"/>
          <w:sz w:val="24"/>
          <w:szCs w:val="24"/>
          <w:highlight w:val="none"/>
          <w:lang w:val="en-US" w:eastAsia="zh-CN"/>
        </w:rPr>
        <w:t>4</w:t>
      </w:r>
      <w:r>
        <w:rPr>
          <w:rFonts w:hint="eastAsia" w:ascii="宋体" w:hAnsi="宋体" w:eastAsia="宋体" w:cs="宋体"/>
          <w:bCs/>
          <w:color w:val="auto"/>
          <w:sz w:val="24"/>
          <w:szCs w:val="24"/>
          <w:highlight w:val="none"/>
        </w:rPr>
        <w:t>个。</w:t>
      </w:r>
    </w:p>
    <w:p w14:paraId="02A39382">
      <w:pPr>
        <w:adjustRightInd w:val="0"/>
        <w:snapToGrid w:val="0"/>
        <w:jc w:val="center"/>
        <w:rPr>
          <w:color w:val="auto"/>
          <w:highlight w:val="none"/>
        </w:rPr>
      </w:pPr>
      <w:r>
        <w:rPr>
          <w:rFonts w:hint="eastAsia" w:cs="宋体"/>
          <w:b/>
          <w:bCs/>
          <w:color w:val="auto"/>
          <w:sz w:val="24"/>
          <w:szCs w:val="24"/>
          <w:highlight w:val="none"/>
        </w:rPr>
        <w:t>202</w:t>
      </w:r>
      <w:r>
        <w:rPr>
          <w:rFonts w:hint="eastAsia" w:cs="宋体"/>
          <w:b/>
          <w:bCs/>
          <w:color w:val="auto"/>
          <w:sz w:val="24"/>
          <w:szCs w:val="24"/>
          <w:highlight w:val="none"/>
          <w:lang w:val="en-US" w:eastAsia="zh-CN"/>
        </w:rPr>
        <w:t>6</w:t>
      </w:r>
      <w:r>
        <w:rPr>
          <w:rFonts w:hint="eastAsia" w:cs="宋体"/>
          <w:b/>
          <w:bCs/>
          <w:color w:val="auto"/>
          <w:sz w:val="24"/>
          <w:szCs w:val="24"/>
          <w:highlight w:val="none"/>
        </w:rPr>
        <w:t>年食品</w:t>
      </w:r>
      <w:r>
        <w:rPr>
          <w:rFonts w:hint="eastAsia" w:cs="宋体"/>
          <w:b/>
          <w:bCs/>
          <w:color w:val="auto"/>
          <w:sz w:val="24"/>
          <w:szCs w:val="24"/>
          <w:highlight w:val="none"/>
          <w:lang w:val="en-US" w:eastAsia="zh-CN"/>
        </w:rPr>
        <w:t>监督</w:t>
      </w:r>
      <w:r>
        <w:rPr>
          <w:rFonts w:hint="eastAsia" w:cs="宋体"/>
          <w:b/>
          <w:bCs/>
          <w:color w:val="auto"/>
          <w:sz w:val="24"/>
          <w:szCs w:val="24"/>
          <w:highlight w:val="none"/>
        </w:rPr>
        <w:t>抽检项目表</w:t>
      </w:r>
    </w:p>
    <w:tbl>
      <w:tblPr>
        <w:tblStyle w:val="63"/>
        <w:tblW w:w="9148" w:type="dxa"/>
        <w:tblInd w:w="108"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108" w:type="dxa"/>
          <w:bottom w:w="0" w:type="dxa"/>
          <w:right w:w="108" w:type="dxa"/>
        </w:tblCellMar>
      </w:tblPr>
      <w:tblGrid>
        <w:gridCol w:w="953"/>
        <w:gridCol w:w="796"/>
        <w:gridCol w:w="797"/>
        <w:gridCol w:w="797"/>
        <w:gridCol w:w="953"/>
        <w:gridCol w:w="1896"/>
        <w:gridCol w:w="2956"/>
      </w:tblGrid>
      <w:tr w14:paraId="574CF1F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79" w:hRule="atLeast"/>
        </w:trPr>
        <w:tc>
          <w:tcPr>
            <w:tcW w:w="953" w:type="dxa"/>
            <w:tcBorders>
              <w:tl2br w:val="nil"/>
              <w:tr2bl w:val="nil"/>
            </w:tcBorders>
            <w:vAlign w:val="center"/>
          </w:tcPr>
          <w:p w14:paraId="32DCCB9D">
            <w:pPr>
              <w:widowControl/>
              <w:jc w:val="left"/>
              <w:rPr>
                <w:rFonts w:ascii="黑体" w:hAnsi="黑体" w:eastAsia="黑体" w:cs="宋体"/>
                <w:b/>
                <w:bCs/>
                <w:color w:val="auto"/>
                <w:kern w:val="0"/>
                <w:sz w:val="18"/>
                <w:szCs w:val="18"/>
                <w:highlight w:val="none"/>
              </w:rPr>
            </w:pPr>
            <w:bookmarkStart w:id="33" w:name="_Toc13996"/>
            <w:bookmarkStart w:id="34" w:name="_Toc9475"/>
            <w:bookmarkStart w:id="35" w:name="_Toc3236"/>
            <w:bookmarkStart w:id="36" w:name="_Toc2501"/>
            <w:r>
              <w:rPr>
                <w:rFonts w:hint="eastAsia" w:ascii="黑体" w:hAnsi="黑体" w:eastAsia="黑体" w:cs="宋体"/>
                <w:b/>
                <w:bCs/>
                <w:color w:val="auto"/>
                <w:kern w:val="0"/>
                <w:sz w:val="18"/>
                <w:szCs w:val="18"/>
                <w:highlight w:val="none"/>
              </w:rPr>
              <w:t>序号</w:t>
            </w:r>
          </w:p>
        </w:tc>
        <w:tc>
          <w:tcPr>
            <w:tcW w:w="796" w:type="dxa"/>
            <w:tcBorders>
              <w:tl2br w:val="nil"/>
              <w:tr2bl w:val="nil"/>
            </w:tcBorders>
            <w:vAlign w:val="center"/>
          </w:tcPr>
          <w:p w14:paraId="4B9A5BBA">
            <w:pPr>
              <w:widowControl/>
              <w:jc w:val="center"/>
              <w:rPr>
                <w:rFonts w:ascii="黑体" w:hAnsi="黑体" w:eastAsia="黑体" w:cs="宋体"/>
                <w:b/>
                <w:bCs/>
                <w:color w:val="auto"/>
                <w:kern w:val="0"/>
                <w:sz w:val="18"/>
                <w:szCs w:val="18"/>
                <w:highlight w:val="none"/>
              </w:rPr>
            </w:pPr>
            <w:r>
              <w:rPr>
                <w:rFonts w:hint="eastAsia" w:ascii="黑体" w:hAnsi="黑体" w:eastAsia="黑体" w:cs="宋体"/>
                <w:b/>
                <w:bCs/>
                <w:color w:val="auto"/>
                <w:kern w:val="0"/>
                <w:sz w:val="18"/>
                <w:szCs w:val="18"/>
                <w:highlight w:val="none"/>
              </w:rPr>
              <w:t>大类</w:t>
            </w:r>
          </w:p>
        </w:tc>
        <w:tc>
          <w:tcPr>
            <w:tcW w:w="797" w:type="dxa"/>
            <w:tcBorders>
              <w:tl2br w:val="nil"/>
              <w:tr2bl w:val="nil"/>
            </w:tcBorders>
            <w:vAlign w:val="center"/>
          </w:tcPr>
          <w:p w14:paraId="7E6E8D90">
            <w:pPr>
              <w:widowControl/>
              <w:jc w:val="center"/>
              <w:rPr>
                <w:rFonts w:ascii="黑体" w:hAnsi="黑体" w:eastAsia="黑体" w:cs="宋体"/>
                <w:b/>
                <w:bCs/>
                <w:color w:val="auto"/>
                <w:kern w:val="0"/>
                <w:sz w:val="18"/>
                <w:szCs w:val="18"/>
                <w:highlight w:val="none"/>
              </w:rPr>
            </w:pPr>
            <w:r>
              <w:rPr>
                <w:rFonts w:hint="eastAsia" w:ascii="黑体" w:hAnsi="黑体" w:eastAsia="黑体" w:cs="宋体"/>
                <w:b/>
                <w:bCs/>
                <w:color w:val="auto"/>
                <w:kern w:val="0"/>
                <w:sz w:val="18"/>
                <w:szCs w:val="18"/>
                <w:highlight w:val="none"/>
              </w:rPr>
              <w:t>亚类</w:t>
            </w:r>
          </w:p>
        </w:tc>
        <w:tc>
          <w:tcPr>
            <w:tcW w:w="797" w:type="dxa"/>
            <w:tcBorders>
              <w:tl2br w:val="nil"/>
              <w:tr2bl w:val="nil"/>
            </w:tcBorders>
            <w:vAlign w:val="center"/>
          </w:tcPr>
          <w:p w14:paraId="1856E39E">
            <w:pPr>
              <w:widowControl/>
              <w:jc w:val="center"/>
              <w:rPr>
                <w:rFonts w:ascii="黑体" w:hAnsi="黑体" w:eastAsia="黑体" w:cs="宋体"/>
                <w:b/>
                <w:bCs/>
                <w:color w:val="auto"/>
                <w:kern w:val="0"/>
                <w:sz w:val="18"/>
                <w:szCs w:val="18"/>
                <w:highlight w:val="none"/>
              </w:rPr>
            </w:pPr>
            <w:r>
              <w:rPr>
                <w:rFonts w:hint="eastAsia" w:ascii="黑体" w:hAnsi="黑体" w:eastAsia="黑体" w:cs="宋体"/>
                <w:b/>
                <w:bCs/>
                <w:color w:val="auto"/>
                <w:kern w:val="0"/>
                <w:sz w:val="18"/>
                <w:szCs w:val="18"/>
                <w:highlight w:val="none"/>
              </w:rPr>
              <w:t>品种</w:t>
            </w:r>
          </w:p>
        </w:tc>
        <w:tc>
          <w:tcPr>
            <w:tcW w:w="953" w:type="dxa"/>
            <w:tcBorders>
              <w:tl2br w:val="nil"/>
              <w:tr2bl w:val="nil"/>
            </w:tcBorders>
            <w:vAlign w:val="center"/>
          </w:tcPr>
          <w:p w14:paraId="0DD392DA">
            <w:pPr>
              <w:widowControl/>
              <w:jc w:val="center"/>
              <w:rPr>
                <w:rFonts w:ascii="黑体" w:hAnsi="黑体" w:eastAsia="黑体" w:cs="宋体"/>
                <w:b/>
                <w:bCs/>
                <w:color w:val="auto"/>
                <w:kern w:val="0"/>
                <w:sz w:val="18"/>
                <w:szCs w:val="18"/>
                <w:highlight w:val="none"/>
              </w:rPr>
            </w:pPr>
            <w:r>
              <w:rPr>
                <w:rFonts w:hint="eastAsia" w:ascii="黑体" w:hAnsi="黑体" w:eastAsia="黑体" w:cs="宋体"/>
                <w:b/>
                <w:bCs/>
                <w:color w:val="auto"/>
                <w:kern w:val="0"/>
                <w:sz w:val="18"/>
                <w:szCs w:val="18"/>
                <w:highlight w:val="none"/>
              </w:rPr>
              <w:t>细类</w:t>
            </w:r>
          </w:p>
        </w:tc>
        <w:tc>
          <w:tcPr>
            <w:tcW w:w="1896" w:type="dxa"/>
            <w:tcBorders>
              <w:tl2br w:val="nil"/>
              <w:tr2bl w:val="nil"/>
            </w:tcBorders>
            <w:vAlign w:val="center"/>
          </w:tcPr>
          <w:p w14:paraId="52B8D990">
            <w:pPr>
              <w:widowControl/>
              <w:jc w:val="center"/>
              <w:rPr>
                <w:rFonts w:ascii="黑体" w:hAnsi="黑体" w:eastAsia="黑体" w:cs="宋体"/>
                <w:b/>
                <w:bCs/>
                <w:color w:val="auto"/>
                <w:kern w:val="0"/>
                <w:sz w:val="18"/>
                <w:szCs w:val="18"/>
                <w:highlight w:val="none"/>
              </w:rPr>
            </w:pPr>
            <w:r>
              <w:rPr>
                <w:rFonts w:hint="eastAsia" w:ascii="黑体" w:hAnsi="黑体" w:eastAsia="黑体" w:cs="宋体"/>
                <w:b/>
                <w:bCs/>
                <w:color w:val="auto"/>
                <w:kern w:val="0"/>
                <w:sz w:val="18"/>
                <w:szCs w:val="18"/>
                <w:highlight w:val="none"/>
              </w:rPr>
              <w:t>必检项目</w:t>
            </w:r>
          </w:p>
        </w:tc>
        <w:tc>
          <w:tcPr>
            <w:tcW w:w="2956" w:type="dxa"/>
            <w:tcBorders>
              <w:tl2br w:val="nil"/>
              <w:tr2bl w:val="nil"/>
            </w:tcBorders>
            <w:vAlign w:val="center"/>
          </w:tcPr>
          <w:p w14:paraId="11A9D5B8">
            <w:pPr>
              <w:widowControl/>
              <w:jc w:val="center"/>
              <w:rPr>
                <w:rFonts w:ascii="黑体" w:hAnsi="黑体" w:eastAsia="黑体" w:cs="宋体"/>
                <w:b/>
                <w:bCs/>
                <w:color w:val="auto"/>
                <w:kern w:val="0"/>
                <w:sz w:val="18"/>
                <w:szCs w:val="18"/>
                <w:highlight w:val="none"/>
              </w:rPr>
            </w:pPr>
            <w:r>
              <w:rPr>
                <w:rFonts w:hint="eastAsia" w:ascii="黑体" w:hAnsi="黑体" w:eastAsia="黑体" w:cs="宋体"/>
                <w:b/>
                <w:bCs/>
                <w:color w:val="auto"/>
                <w:kern w:val="0"/>
                <w:sz w:val="18"/>
                <w:szCs w:val="18"/>
                <w:highlight w:val="none"/>
              </w:rPr>
              <w:t>选检项目</w:t>
            </w:r>
          </w:p>
        </w:tc>
      </w:tr>
      <w:tr w14:paraId="67C4081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 w:hRule="atLeast"/>
        </w:trPr>
        <w:tc>
          <w:tcPr>
            <w:tcW w:w="953" w:type="dxa"/>
            <w:vMerge w:val="restart"/>
            <w:tcBorders>
              <w:tl2br w:val="nil"/>
              <w:tr2bl w:val="nil"/>
            </w:tcBorders>
            <w:vAlign w:val="center"/>
          </w:tcPr>
          <w:p w14:paraId="6B006995">
            <w:pPr>
              <w:widowControl/>
              <w:jc w:val="center"/>
              <w:rPr>
                <w:rFonts w:eastAsia="等线"/>
                <w:color w:val="auto"/>
                <w:kern w:val="0"/>
                <w:sz w:val="18"/>
                <w:szCs w:val="18"/>
                <w:highlight w:val="none"/>
              </w:rPr>
            </w:pPr>
            <w:r>
              <w:rPr>
                <w:rFonts w:eastAsia="等线"/>
                <w:color w:val="auto"/>
                <w:kern w:val="0"/>
                <w:sz w:val="18"/>
                <w:szCs w:val="18"/>
                <w:highlight w:val="none"/>
              </w:rPr>
              <w:t>1</w:t>
            </w:r>
          </w:p>
        </w:tc>
        <w:tc>
          <w:tcPr>
            <w:tcW w:w="796" w:type="dxa"/>
            <w:vMerge w:val="restart"/>
            <w:tcBorders>
              <w:tl2br w:val="nil"/>
              <w:tr2bl w:val="nil"/>
            </w:tcBorders>
            <w:vAlign w:val="center"/>
          </w:tcPr>
          <w:p w14:paraId="134400CB">
            <w:pPr>
              <w:widowControl/>
              <w:rPr>
                <w:rFonts w:ascii="宋体" w:hAnsi="宋体" w:cs="宋体"/>
                <w:color w:val="auto"/>
                <w:kern w:val="0"/>
                <w:sz w:val="18"/>
                <w:szCs w:val="18"/>
                <w:highlight w:val="none"/>
              </w:rPr>
            </w:pPr>
            <w:r>
              <w:rPr>
                <w:rFonts w:hint="eastAsia" w:ascii="宋体" w:hAnsi="宋体" w:cs="宋体"/>
                <w:color w:val="auto"/>
                <w:kern w:val="0"/>
                <w:sz w:val="18"/>
                <w:szCs w:val="18"/>
                <w:highlight w:val="none"/>
              </w:rPr>
              <w:t>粮食加工品</w:t>
            </w:r>
          </w:p>
        </w:tc>
        <w:tc>
          <w:tcPr>
            <w:tcW w:w="797" w:type="dxa"/>
            <w:tcBorders>
              <w:tl2br w:val="nil"/>
              <w:tr2bl w:val="nil"/>
            </w:tcBorders>
            <w:vAlign w:val="center"/>
          </w:tcPr>
          <w:p w14:paraId="5291F28E">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小麦粉</w:t>
            </w:r>
          </w:p>
        </w:tc>
        <w:tc>
          <w:tcPr>
            <w:tcW w:w="797" w:type="dxa"/>
            <w:tcBorders>
              <w:tl2br w:val="nil"/>
              <w:tr2bl w:val="nil"/>
            </w:tcBorders>
            <w:vAlign w:val="center"/>
          </w:tcPr>
          <w:p w14:paraId="6AB8FDDF">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小麦粉</w:t>
            </w:r>
          </w:p>
        </w:tc>
        <w:tc>
          <w:tcPr>
            <w:tcW w:w="953" w:type="dxa"/>
            <w:tcBorders>
              <w:tl2br w:val="nil"/>
              <w:tr2bl w:val="nil"/>
            </w:tcBorders>
            <w:vAlign w:val="center"/>
          </w:tcPr>
          <w:p w14:paraId="4F5BB607">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小麦粉</w:t>
            </w:r>
          </w:p>
        </w:tc>
        <w:tc>
          <w:tcPr>
            <w:tcW w:w="1896" w:type="dxa"/>
            <w:tcBorders>
              <w:tl2br w:val="nil"/>
              <w:tr2bl w:val="nil"/>
            </w:tcBorders>
            <w:vAlign w:val="center"/>
          </w:tcPr>
          <w:p w14:paraId="523CB30D">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镉（以</w:t>
            </w:r>
            <w:r>
              <w:rPr>
                <w:color w:val="auto"/>
                <w:kern w:val="0"/>
                <w:sz w:val="18"/>
                <w:szCs w:val="18"/>
                <w:highlight w:val="none"/>
              </w:rPr>
              <w:t>Cd</w:t>
            </w:r>
            <w:r>
              <w:rPr>
                <w:rFonts w:hint="eastAsia" w:ascii="宋体" w:hAnsi="宋体" w:cs="宋体"/>
                <w:color w:val="auto"/>
                <w:kern w:val="0"/>
                <w:sz w:val="18"/>
                <w:szCs w:val="18"/>
                <w:highlight w:val="none"/>
              </w:rPr>
              <w:t>计）、脱氧雪腐镰刀菌烯醇</w:t>
            </w:r>
          </w:p>
        </w:tc>
        <w:tc>
          <w:tcPr>
            <w:tcW w:w="2956" w:type="dxa"/>
            <w:tcBorders>
              <w:tl2br w:val="nil"/>
              <w:tr2bl w:val="nil"/>
            </w:tcBorders>
            <w:vAlign w:val="center"/>
          </w:tcPr>
          <w:p w14:paraId="12280C6D">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苯并</w:t>
            </w:r>
            <w:r>
              <w:rPr>
                <w:color w:val="auto"/>
                <w:kern w:val="0"/>
                <w:sz w:val="18"/>
                <w:szCs w:val="18"/>
                <w:highlight w:val="none"/>
              </w:rPr>
              <w:t>[a]</w:t>
            </w:r>
            <w:r>
              <w:rPr>
                <w:rFonts w:hint="eastAsia" w:ascii="宋体" w:hAnsi="宋体" w:cs="宋体"/>
                <w:color w:val="auto"/>
                <w:kern w:val="0"/>
                <w:sz w:val="18"/>
                <w:szCs w:val="18"/>
                <w:highlight w:val="none"/>
              </w:rPr>
              <w:t>芘、玉米赤霉烯酮、偶氮甲酰胺、赭曲霉毒素</w:t>
            </w:r>
            <w:r>
              <w:rPr>
                <w:color w:val="auto"/>
                <w:kern w:val="0"/>
                <w:sz w:val="18"/>
                <w:szCs w:val="18"/>
                <w:highlight w:val="none"/>
              </w:rPr>
              <w:t>A</w:t>
            </w:r>
            <w:r>
              <w:rPr>
                <w:rFonts w:hint="eastAsia" w:ascii="宋体" w:hAnsi="宋体" w:cs="宋体"/>
                <w:color w:val="auto"/>
                <w:kern w:val="0"/>
                <w:sz w:val="18"/>
                <w:szCs w:val="18"/>
                <w:highlight w:val="none"/>
              </w:rPr>
              <w:t>、黄曲霉毒素</w:t>
            </w:r>
            <w:r>
              <w:rPr>
                <w:color w:val="auto"/>
                <w:kern w:val="0"/>
                <w:sz w:val="18"/>
                <w:szCs w:val="18"/>
                <w:highlight w:val="none"/>
              </w:rPr>
              <w:t>B</w:t>
            </w:r>
            <w:r>
              <w:rPr>
                <w:color w:val="auto"/>
                <w:kern w:val="0"/>
                <w:sz w:val="18"/>
                <w:szCs w:val="18"/>
                <w:highlight w:val="none"/>
                <w:vertAlign w:val="subscript"/>
              </w:rPr>
              <w:t>1</w:t>
            </w:r>
            <w:r>
              <w:rPr>
                <w:rFonts w:hint="eastAsia" w:ascii="宋体" w:hAnsi="宋体" w:cs="宋体"/>
                <w:color w:val="auto"/>
                <w:kern w:val="0"/>
                <w:sz w:val="18"/>
                <w:szCs w:val="18"/>
                <w:highlight w:val="none"/>
              </w:rPr>
              <w:t>、过氧化苯甲酰</w:t>
            </w:r>
          </w:p>
        </w:tc>
      </w:tr>
      <w:tr w14:paraId="30AA2DB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02" w:hRule="atLeast"/>
        </w:trPr>
        <w:tc>
          <w:tcPr>
            <w:tcW w:w="953" w:type="dxa"/>
            <w:vMerge w:val="continue"/>
            <w:tcBorders>
              <w:tl2br w:val="nil"/>
              <w:tr2bl w:val="nil"/>
            </w:tcBorders>
            <w:vAlign w:val="center"/>
          </w:tcPr>
          <w:p w14:paraId="7F3CAC3F">
            <w:pPr>
              <w:widowControl/>
              <w:jc w:val="left"/>
              <w:rPr>
                <w:rFonts w:eastAsia="等线"/>
                <w:color w:val="auto"/>
                <w:kern w:val="0"/>
                <w:sz w:val="18"/>
                <w:szCs w:val="18"/>
                <w:highlight w:val="none"/>
              </w:rPr>
            </w:pPr>
          </w:p>
        </w:tc>
        <w:tc>
          <w:tcPr>
            <w:tcW w:w="796" w:type="dxa"/>
            <w:vMerge w:val="continue"/>
            <w:tcBorders>
              <w:tl2br w:val="nil"/>
              <w:tr2bl w:val="nil"/>
            </w:tcBorders>
            <w:vAlign w:val="center"/>
          </w:tcPr>
          <w:p w14:paraId="47CA6613">
            <w:pPr>
              <w:widowControl/>
              <w:jc w:val="left"/>
              <w:rPr>
                <w:rFonts w:ascii="宋体" w:hAnsi="宋体" w:cs="宋体"/>
                <w:color w:val="auto"/>
                <w:kern w:val="0"/>
                <w:sz w:val="18"/>
                <w:szCs w:val="18"/>
                <w:highlight w:val="none"/>
              </w:rPr>
            </w:pPr>
          </w:p>
        </w:tc>
        <w:tc>
          <w:tcPr>
            <w:tcW w:w="797" w:type="dxa"/>
            <w:tcBorders>
              <w:tl2br w:val="nil"/>
              <w:tr2bl w:val="nil"/>
            </w:tcBorders>
            <w:vAlign w:val="center"/>
          </w:tcPr>
          <w:p w14:paraId="29952B33">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大米</w:t>
            </w:r>
          </w:p>
        </w:tc>
        <w:tc>
          <w:tcPr>
            <w:tcW w:w="797" w:type="dxa"/>
            <w:tcBorders>
              <w:tl2br w:val="nil"/>
              <w:tr2bl w:val="nil"/>
            </w:tcBorders>
            <w:vAlign w:val="center"/>
          </w:tcPr>
          <w:p w14:paraId="308CE949">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大米</w:t>
            </w:r>
          </w:p>
        </w:tc>
        <w:tc>
          <w:tcPr>
            <w:tcW w:w="953" w:type="dxa"/>
            <w:tcBorders>
              <w:tl2br w:val="nil"/>
              <w:tr2bl w:val="nil"/>
            </w:tcBorders>
            <w:vAlign w:val="center"/>
          </w:tcPr>
          <w:p w14:paraId="6107C38E">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大米</w:t>
            </w:r>
          </w:p>
        </w:tc>
        <w:tc>
          <w:tcPr>
            <w:tcW w:w="1896" w:type="dxa"/>
            <w:tcBorders>
              <w:tl2br w:val="nil"/>
              <w:tr2bl w:val="nil"/>
            </w:tcBorders>
            <w:vAlign w:val="center"/>
          </w:tcPr>
          <w:p w14:paraId="753ECEF4">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镉（以</w:t>
            </w:r>
            <w:r>
              <w:rPr>
                <w:color w:val="auto"/>
                <w:kern w:val="0"/>
                <w:sz w:val="18"/>
                <w:szCs w:val="18"/>
                <w:highlight w:val="none"/>
              </w:rPr>
              <w:t>Cd</w:t>
            </w:r>
            <w:r>
              <w:rPr>
                <w:rFonts w:hint="eastAsia" w:ascii="宋体" w:hAnsi="宋体" w:cs="宋体"/>
                <w:color w:val="auto"/>
                <w:kern w:val="0"/>
                <w:sz w:val="18"/>
                <w:szCs w:val="18"/>
                <w:highlight w:val="none"/>
              </w:rPr>
              <w:t>计）、黄曲霉毒素</w:t>
            </w:r>
            <w:r>
              <w:rPr>
                <w:color w:val="auto"/>
                <w:kern w:val="0"/>
                <w:sz w:val="18"/>
                <w:szCs w:val="18"/>
                <w:highlight w:val="none"/>
              </w:rPr>
              <w:t>B</w:t>
            </w:r>
            <w:r>
              <w:rPr>
                <w:color w:val="auto"/>
                <w:kern w:val="0"/>
                <w:sz w:val="18"/>
                <w:szCs w:val="18"/>
                <w:highlight w:val="none"/>
                <w:vertAlign w:val="subscript"/>
              </w:rPr>
              <w:t>1</w:t>
            </w:r>
          </w:p>
        </w:tc>
        <w:tc>
          <w:tcPr>
            <w:tcW w:w="2956" w:type="dxa"/>
            <w:tcBorders>
              <w:tl2br w:val="nil"/>
              <w:tr2bl w:val="nil"/>
            </w:tcBorders>
            <w:vAlign w:val="center"/>
          </w:tcPr>
          <w:p w14:paraId="0C853F8D">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铅（以</w:t>
            </w:r>
            <w:r>
              <w:rPr>
                <w:color w:val="auto"/>
                <w:kern w:val="0"/>
                <w:sz w:val="18"/>
                <w:szCs w:val="18"/>
                <w:highlight w:val="none"/>
              </w:rPr>
              <w:t>Pb</w:t>
            </w:r>
            <w:r>
              <w:rPr>
                <w:rFonts w:hint="eastAsia" w:ascii="宋体" w:hAnsi="宋体" w:cs="宋体"/>
                <w:color w:val="auto"/>
                <w:kern w:val="0"/>
                <w:sz w:val="18"/>
                <w:szCs w:val="18"/>
                <w:highlight w:val="none"/>
              </w:rPr>
              <w:t>计）、无机砷（以</w:t>
            </w:r>
            <w:r>
              <w:rPr>
                <w:color w:val="auto"/>
                <w:kern w:val="0"/>
                <w:sz w:val="18"/>
                <w:szCs w:val="18"/>
                <w:highlight w:val="none"/>
              </w:rPr>
              <w:t>As</w:t>
            </w:r>
            <w:r>
              <w:rPr>
                <w:rFonts w:hint="eastAsia" w:ascii="宋体" w:hAnsi="宋体" w:cs="宋体"/>
                <w:color w:val="auto"/>
                <w:kern w:val="0"/>
                <w:sz w:val="18"/>
                <w:szCs w:val="18"/>
                <w:highlight w:val="none"/>
              </w:rPr>
              <w:t>计）、苯并</w:t>
            </w:r>
            <w:r>
              <w:rPr>
                <w:color w:val="auto"/>
                <w:kern w:val="0"/>
                <w:sz w:val="18"/>
                <w:szCs w:val="18"/>
                <w:highlight w:val="none"/>
              </w:rPr>
              <w:t>[a]</w:t>
            </w:r>
            <w:r>
              <w:rPr>
                <w:rFonts w:hint="eastAsia" w:ascii="宋体" w:hAnsi="宋体" w:cs="宋体"/>
                <w:color w:val="auto"/>
                <w:kern w:val="0"/>
                <w:sz w:val="18"/>
                <w:szCs w:val="18"/>
                <w:highlight w:val="none"/>
              </w:rPr>
              <w:t>芘、赭曲霉毒素</w:t>
            </w:r>
            <w:r>
              <w:rPr>
                <w:color w:val="auto"/>
                <w:kern w:val="0"/>
                <w:sz w:val="18"/>
                <w:szCs w:val="18"/>
                <w:highlight w:val="none"/>
              </w:rPr>
              <w:t>A</w:t>
            </w:r>
          </w:p>
        </w:tc>
      </w:tr>
      <w:tr w14:paraId="6FE6939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00" w:hRule="atLeast"/>
        </w:trPr>
        <w:tc>
          <w:tcPr>
            <w:tcW w:w="953" w:type="dxa"/>
            <w:vMerge w:val="continue"/>
            <w:tcBorders>
              <w:tl2br w:val="nil"/>
              <w:tr2bl w:val="nil"/>
            </w:tcBorders>
            <w:vAlign w:val="center"/>
          </w:tcPr>
          <w:p w14:paraId="399A5D7B">
            <w:pPr>
              <w:widowControl/>
              <w:jc w:val="left"/>
              <w:rPr>
                <w:rFonts w:eastAsia="等线"/>
                <w:color w:val="auto"/>
                <w:kern w:val="0"/>
                <w:sz w:val="18"/>
                <w:szCs w:val="18"/>
                <w:highlight w:val="none"/>
              </w:rPr>
            </w:pPr>
          </w:p>
        </w:tc>
        <w:tc>
          <w:tcPr>
            <w:tcW w:w="796" w:type="dxa"/>
            <w:vMerge w:val="continue"/>
            <w:tcBorders>
              <w:tl2br w:val="nil"/>
              <w:tr2bl w:val="nil"/>
            </w:tcBorders>
            <w:vAlign w:val="center"/>
          </w:tcPr>
          <w:p w14:paraId="2E8F4516">
            <w:pPr>
              <w:widowControl/>
              <w:jc w:val="left"/>
              <w:rPr>
                <w:rFonts w:ascii="宋体" w:hAnsi="宋体" w:cs="宋体"/>
                <w:color w:val="auto"/>
                <w:kern w:val="0"/>
                <w:sz w:val="18"/>
                <w:szCs w:val="18"/>
                <w:highlight w:val="none"/>
              </w:rPr>
            </w:pPr>
          </w:p>
        </w:tc>
        <w:tc>
          <w:tcPr>
            <w:tcW w:w="797" w:type="dxa"/>
            <w:tcBorders>
              <w:tl2br w:val="nil"/>
              <w:tr2bl w:val="nil"/>
            </w:tcBorders>
            <w:vAlign w:val="center"/>
          </w:tcPr>
          <w:p w14:paraId="2B8CACF9">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挂面</w:t>
            </w:r>
          </w:p>
        </w:tc>
        <w:tc>
          <w:tcPr>
            <w:tcW w:w="797" w:type="dxa"/>
            <w:tcBorders>
              <w:tl2br w:val="nil"/>
              <w:tr2bl w:val="nil"/>
            </w:tcBorders>
            <w:vAlign w:val="center"/>
          </w:tcPr>
          <w:p w14:paraId="5071ACE6">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挂面</w:t>
            </w:r>
          </w:p>
        </w:tc>
        <w:tc>
          <w:tcPr>
            <w:tcW w:w="953" w:type="dxa"/>
            <w:tcBorders>
              <w:tl2br w:val="nil"/>
              <w:tr2bl w:val="nil"/>
            </w:tcBorders>
            <w:vAlign w:val="center"/>
          </w:tcPr>
          <w:p w14:paraId="6AD7F44C">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挂面</w:t>
            </w:r>
          </w:p>
        </w:tc>
        <w:tc>
          <w:tcPr>
            <w:tcW w:w="1896" w:type="dxa"/>
            <w:tcBorders>
              <w:tl2br w:val="nil"/>
              <w:tr2bl w:val="nil"/>
            </w:tcBorders>
            <w:vAlign w:val="center"/>
          </w:tcPr>
          <w:p w14:paraId="67691D26">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合成着色剂（柠檬黄、日落黄）、脱氢乙酸及其钠盐（以脱氢乙酸计）</w:t>
            </w:r>
          </w:p>
        </w:tc>
        <w:tc>
          <w:tcPr>
            <w:tcW w:w="2956" w:type="dxa"/>
            <w:tcBorders>
              <w:tl2br w:val="nil"/>
              <w:tr2bl w:val="nil"/>
            </w:tcBorders>
            <w:vAlign w:val="center"/>
          </w:tcPr>
          <w:p w14:paraId="746FD2E2">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铅（以</w:t>
            </w:r>
            <w:r>
              <w:rPr>
                <w:color w:val="auto"/>
                <w:kern w:val="0"/>
                <w:sz w:val="18"/>
                <w:szCs w:val="18"/>
                <w:highlight w:val="none"/>
              </w:rPr>
              <w:t>Pb</w:t>
            </w:r>
            <w:r>
              <w:rPr>
                <w:rFonts w:hint="eastAsia" w:ascii="宋体" w:hAnsi="宋体" w:cs="宋体"/>
                <w:color w:val="auto"/>
                <w:kern w:val="0"/>
                <w:sz w:val="18"/>
                <w:szCs w:val="18"/>
                <w:highlight w:val="none"/>
              </w:rPr>
              <w:t>计）、黄曲霉毒素</w:t>
            </w:r>
            <w:r>
              <w:rPr>
                <w:color w:val="auto"/>
                <w:kern w:val="0"/>
                <w:sz w:val="18"/>
                <w:szCs w:val="18"/>
                <w:highlight w:val="none"/>
              </w:rPr>
              <w:t>B</w:t>
            </w:r>
            <w:r>
              <w:rPr>
                <w:color w:val="auto"/>
                <w:kern w:val="0"/>
                <w:sz w:val="18"/>
                <w:szCs w:val="18"/>
                <w:highlight w:val="none"/>
                <w:vertAlign w:val="subscript"/>
              </w:rPr>
              <w:t>1</w:t>
            </w:r>
          </w:p>
        </w:tc>
      </w:tr>
      <w:tr w14:paraId="6FE1CD7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31" w:hRule="atLeast"/>
        </w:trPr>
        <w:tc>
          <w:tcPr>
            <w:tcW w:w="953" w:type="dxa"/>
            <w:vMerge w:val="continue"/>
            <w:tcBorders>
              <w:tl2br w:val="nil"/>
              <w:tr2bl w:val="nil"/>
            </w:tcBorders>
            <w:vAlign w:val="center"/>
          </w:tcPr>
          <w:p w14:paraId="20CC8AE0">
            <w:pPr>
              <w:widowControl/>
              <w:jc w:val="left"/>
              <w:rPr>
                <w:rFonts w:eastAsia="等线"/>
                <w:color w:val="auto"/>
                <w:kern w:val="0"/>
                <w:sz w:val="18"/>
                <w:szCs w:val="18"/>
                <w:highlight w:val="none"/>
              </w:rPr>
            </w:pPr>
          </w:p>
        </w:tc>
        <w:tc>
          <w:tcPr>
            <w:tcW w:w="796" w:type="dxa"/>
            <w:vMerge w:val="continue"/>
            <w:tcBorders>
              <w:tl2br w:val="nil"/>
              <w:tr2bl w:val="nil"/>
            </w:tcBorders>
            <w:vAlign w:val="center"/>
          </w:tcPr>
          <w:p w14:paraId="733C2CD4">
            <w:pPr>
              <w:widowControl/>
              <w:jc w:val="left"/>
              <w:rPr>
                <w:rFonts w:ascii="宋体" w:hAnsi="宋体" w:cs="宋体"/>
                <w:color w:val="auto"/>
                <w:kern w:val="0"/>
                <w:sz w:val="18"/>
                <w:szCs w:val="18"/>
                <w:highlight w:val="none"/>
              </w:rPr>
            </w:pPr>
          </w:p>
        </w:tc>
        <w:tc>
          <w:tcPr>
            <w:tcW w:w="797" w:type="dxa"/>
            <w:vMerge w:val="restart"/>
            <w:tcBorders>
              <w:tl2br w:val="nil"/>
              <w:tr2bl w:val="nil"/>
            </w:tcBorders>
            <w:vAlign w:val="center"/>
          </w:tcPr>
          <w:p w14:paraId="1F4234F1">
            <w:pPr>
              <w:widowControl/>
              <w:rPr>
                <w:rFonts w:ascii="宋体" w:hAnsi="宋体" w:cs="宋体"/>
                <w:color w:val="auto"/>
                <w:kern w:val="0"/>
                <w:sz w:val="18"/>
                <w:szCs w:val="18"/>
                <w:highlight w:val="none"/>
              </w:rPr>
            </w:pPr>
            <w:r>
              <w:rPr>
                <w:rFonts w:hint="eastAsia" w:ascii="宋体" w:hAnsi="宋体" w:cs="宋体"/>
                <w:color w:val="auto"/>
                <w:kern w:val="0"/>
                <w:sz w:val="18"/>
                <w:szCs w:val="18"/>
                <w:highlight w:val="none"/>
              </w:rPr>
              <w:t>其他粮食加工品</w:t>
            </w:r>
          </w:p>
        </w:tc>
        <w:tc>
          <w:tcPr>
            <w:tcW w:w="797" w:type="dxa"/>
            <w:tcBorders>
              <w:tl2br w:val="nil"/>
              <w:tr2bl w:val="nil"/>
            </w:tcBorders>
            <w:vAlign w:val="center"/>
          </w:tcPr>
          <w:p w14:paraId="1B3FA72B">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谷物加工品</w:t>
            </w:r>
          </w:p>
        </w:tc>
        <w:tc>
          <w:tcPr>
            <w:tcW w:w="953" w:type="dxa"/>
            <w:tcBorders>
              <w:tl2br w:val="nil"/>
              <w:tr2bl w:val="nil"/>
            </w:tcBorders>
            <w:vAlign w:val="center"/>
          </w:tcPr>
          <w:p w14:paraId="5E1BCDF5">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谷物加工品</w:t>
            </w:r>
          </w:p>
        </w:tc>
        <w:tc>
          <w:tcPr>
            <w:tcW w:w="1896" w:type="dxa"/>
            <w:tcBorders>
              <w:tl2br w:val="nil"/>
              <w:tr2bl w:val="nil"/>
            </w:tcBorders>
            <w:vAlign w:val="center"/>
          </w:tcPr>
          <w:p w14:paraId="0C9C77CC">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铅（以</w:t>
            </w:r>
            <w:r>
              <w:rPr>
                <w:color w:val="auto"/>
                <w:kern w:val="0"/>
                <w:sz w:val="18"/>
                <w:szCs w:val="18"/>
                <w:highlight w:val="none"/>
              </w:rPr>
              <w:t>Pb</w:t>
            </w:r>
            <w:r>
              <w:rPr>
                <w:rFonts w:hint="eastAsia" w:ascii="宋体" w:hAnsi="宋体" w:cs="宋体"/>
                <w:color w:val="auto"/>
                <w:kern w:val="0"/>
                <w:sz w:val="18"/>
                <w:szCs w:val="18"/>
                <w:highlight w:val="none"/>
              </w:rPr>
              <w:t>计）、镉（以</w:t>
            </w:r>
            <w:r>
              <w:rPr>
                <w:color w:val="auto"/>
                <w:kern w:val="0"/>
                <w:sz w:val="18"/>
                <w:szCs w:val="18"/>
                <w:highlight w:val="none"/>
              </w:rPr>
              <w:t>Cd</w:t>
            </w:r>
            <w:r>
              <w:rPr>
                <w:rFonts w:hint="eastAsia" w:ascii="宋体" w:hAnsi="宋体" w:cs="宋体"/>
                <w:color w:val="auto"/>
                <w:kern w:val="0"/>
                <w:sz w:val="18"/>
                <w:szCs w:val="18"/>
                <w:highlight w:val="none"/>
              </w:rPr>
              <w:t>计）</w:t>
            </w:r>
          </w:p>
        </w:tc>
        <w:tc>
          <w:tcPr>
            <w:tcW w:w="2956" w:type="dxa"/>
            <w:tcBorders>
              <w:tl2br w:val="nil"/>
              <w:tr2bl w:val="nil"/>
            </w:tcBorders>
            <w:vAlign w:val="center"/>
          </w:tcPr>
          <w:p w14:paraId="3D97FA76">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黄曲霉毒素</w:t>
            </w:r>
            <w:r>
              <w:rPr>
                <w:color w:val="auto"/>
                <w:kern w:val="0"/>
                <w:sz w:val="18"/>
                <w:szCs w:val="18"/>
                <w:highlight w:val="none"/>
              </w:rPr>
              <w:t>B</w:t>
            </w:r>
            <w:r>
              <w:rPr>
                <w:color w:val="auto"/>
                <w:kern w:val="0"/>
                <w:sz w:val="18"/>
                <w:szCs w:val="18"/>
                <w:highlight w:val="none"/>
                <w:vertAlign w:val="subscript"/>
              </w:rPr>
              <w:t>1</w:t>
            </w:r>
            <w:r>
              <w:rPr>
                <w:rFonts w:hint="eastAsia" w:ascii="宋体" w:hAnsi="宋体" w:cs="宋体"/>
                <w:color w:val="auto"/>
                <w:kern w:val="0"/>
                <w:sz w:val="18"/>
                <w:szCs w:val="18"/>
                <w:highlight w:val="none"/>
              </w:rPr>
              <w:t>、赭曲霉毒素</w:t>
            </w:r>
            <w:r>
              <w:rPr>
                <w:color w:val="auto"/>
                <w:kern w:val="0"/>
                <w:sz w:val="18"/>
                <w:szCs w:val="18"/>
                <w:highlight w:val="none"/>
              </w:rPr>
              <w:t>A</w:t>
            </w:r>
          </w:p>
        </w:tc>
      </w:tr>
      <w:tr w14:paraId="42D6BB5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37" w:hRule="atLeast"/>
        </w:trPr>
        <w:tc>
          <w:tcPr>
            <w:tcW w:w="953" w:type="dxa"/>
            <w:vMerge w:val="continue"/>
            <w:tcBorders>
              <w:tl2br w:val="nil"/>
              <w:tr2bl w:val="nil"/>
            </w:tcBorders>
            <w:vAlign w:val="center"/>
          </w:tcPr>
          <w:p w14:paraId="0E68C287">
            <w:pPr>
              <w:widowControl/>
              <w:jc w:val="left"/>
              <w:rPr>
                <w:rFonts w:eastAsia="等线"/>
                <w:color w:val="auto"/>
                <w:kern w:val="0"/>
                <w:sz w:val="18"/>
                <w:szCs w:val="18"/>
                <w:highlight w:val="none"/>
              </w:rPr>
            </w:pPr>
          </w:p>
        </w:tc>
        <w:tc>
          <w:tcPr>
            <w:tcW w:w="796" w:type="dxa"/>
            <w:vMerge w:val="continue"/>
            <w:tcBorders>
              <w:tl2br w:val="nil"/>
              <w:tr2bl w:val="nil"/>
            </w:tcBorders>
            <w:vAlign w:val="center"/>
          </w:tcPr>
          <w:p w14:paraId="6CFEFA5F">
            <w:pPr>
              <w:widowControl/>
              <w:jc w:val="left"/>
              <w:rPr>
                <w:rFonts w:ascii="宋体" w:hAnsi="宋体" w:cs="宋体"/>
                <w:color w:val="auto"/>
                <w:kern w:val="0"/>
                <w:sz w:val="18"/>
                <w:szCs w:val="18"/>
                <w:highlight w:val="none"/>
              </w:rPr>
            </w:pPr>
          </w:p>
        </w:tc>
        <w:tc>
          <w:tcPr>
            <w:tcW w:w="797" w:type="dxa"/>
            <w:vMerge w:val="continue"/>
            <w:tcBorders>
              <w:tl2br w:val="nil"/>
              <w:tr2bl w:val="nil"/>
            </w:tcBorders>
            <w:vAlign w:val="center"/>
          </w:tcPr>
          <w:p w14:paraId="2A382120">
            <w:pPr>
              <w:widowControl/>
              <w:jc w:val="left"/>
              <w:rPr>
                <w:rFonts w:ascii="宋体" w:hAnsi="宋体" w:cs="宋体"/>
                <w:color w:val="auto"/>
                <w:kern w:val="0"/>
                <w:sz w:val="18"/>
                <w:szCs w:val="18"/>
                <w:highlight w:val="none"/>
              </w:rPr>
            </w:pPr>
          </w:p>
        </w:tc>
        <w:tc>
          <w:tcPr>
            <w:tcW w:w="797" w:type="dxa"/>
            <w:vMerge w:val="restart"/>
            <w:tcBorders>
              <w:tl2br w:val="nil"/>
              <w:tr2bl w:val="nil"/>
            </w:tcBorders>
            <w:vAlign w:val="center"/>
          </w:tcPr>
          <w:p w14:paraId="53DAA5C2">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谷物碾磨加工品</w:t>
            </w:r>
          </w:p>
        </w:tc>
        <w:tc>
          <w:tcPr>
            <w:tcW w:w="953" w:type="dxa"/>
            <w:tcBorders>
              <w:tl2br w:val="nil"/>
              <w:tr2bl w:val="nil"/>
            </w:tcBorders>
            <w:vAlign w:val="center"/>
          </w:tcPr>
          <w:p w14:paraId="5545C9C2">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玉米粉（片、渣）</w:t>
            </w:r>
          </w:p>
        </w:tc>
        <w:tc>
          <w:tcPr>
            <w:tcW w:w="1896" w:type="dxa"/>
            <w:tcBorders>
              <w:tl2br w:val="nil"/>
              <w:tr2bl w:val="nil"/>
            </w:tcBorders>
            <w:vAlign w:val="center"/>
          </w:tcPr>
          <w:p w14:paraId="67216C69">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黄曲霉毒素</w:t>
            </w:r>
            <w:r>
              <w:rPr>
                <w:color w:val="auto"/>
                <w:kern w:val="0"/>
                <w:sz w:val="18"/>
                <w:szCs w:val="18"/>
                <w:highlight w:val="none"/>
              </w:rPr>
              <w:t>B</w:t>
            </w:r>
            <w:r>
              <w:rPr>
                <w:color w:val="auto"/>
                <w:kern w:val="0"/>
                <w:sz w:val="18"/>
                <w:szCs w:val="18"/>
                <w:highlight w:val="none"/>
                <w:vertAlign w:val="subscript"/>
              </w:rPr>
              <w:t>1</w:t>
            </w:r>
          </w:p>
        </w:tc>
        <w:tc>
          <w:tcPr>
            <w:tcW w:w="2956" w:type="dxa"/>
            <w:tcBorders>
              <w:tl2br w:val="nil"/>
              <w:tr2bl w:val="nil"/>
            </w:tcBorders>
            <w:vAlign w:val="center"/>
          </w:tcPr>
          <w:p w14:paraId="3D8D9804">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苯并</w:t>
            </w:r>
            <w:r>
              <w:rPr>
                <w:color w:val="auto"/>
                <w:kern w:val="0"/>
                <w:sz w:val="18"/>
                <w:szCs w:val="18"/>
                <w:highlight w:val="none"/>
              </w:rPr>
              <w:t>[a]</w:t>
            </w:r>
            <w:r>
              <w:rPr>
                <w:rFonts w:hint="eastAsia" w:ascii="宋体" w:hAnsi="宋体" w:cs="宋体"/>
                <w:color w:val="auto"/>
                <w:kern w:val="0"/>
                <w:sz w:val="18"/>
                <w:szCs w:val="18"/>
                <w:highlight w:val="none"/>
              </w:rPr>
              <w:t>芘、赭曲霉毒素</w:t>
            </w:r>
            <w:r>
              <w:rPr>
                <w:color w:val="auto"/>
                <w:kern w:val="0"/>
                <w:sz w:val="18"/>
                <w:szCs w:val="18"/>
                <w:highlight w:val="none"/>
              </w:rPr>
              <w:t>A</w:t>
            </w:r>
            <w:r>
              <w:rPr>
                <w:rFonts w:hint="eastAsia" w:ascii="宋体" w:hAnsi="宋体" w:cs="宋体"/>
                <w:color w:val="auto"/>
                <w:kern w:val="0"/>
                <w:sz w:val="18"/>
                <w:szCs w:val="18"/>
                <w:highlight w:val="none"/>
              </w:rPr>
              <w:t>、玉米赤霉烯酮、脱氧雪腐镰刀菌烯醇</w:t>
            </w:r>
          </w:p>
        </w:tc>
      </w:tr>
      <w:tr w14:paraId="05ED4E6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722" w:hRule="atLeast"/>
        </w:trPr>
        <w:tc>
          <w:tcPr>
            <w:tcW w:w="953" w:type="dxa"/>
            <w:vMerge w:val="continue"/>
            <w:tcBorders>
              <w:tl2br w:val="nil"/>
              <w:tr2bl w:val="nil"/>
            </w:tcBorders>
            <w:vAlign w:val="center"/>
          </w:tcPr>
          <w:p w14:paraId="5E6924B9">
            <w:pPr>
              <w:widowControl/>
              <w:jc w:val="left"/>
              <w:rPr>
                <w:rFonts w:eastAsia="等线"/>
                <w:color w:val="auto"/>
                <w:kern w:val="0"/>
                <w:sz w:val="18"/>
                <w:szCs w:val="18"/>
                <w:highlight w:val="none"/>
              </w:rPr>
            </w:pPr>
          </w:p>
        </w:tc>
        <w:tc>
          <w:tcPr>
            <w:tcW w:w="796" w:type="dxa"/>
            <w:vMerge w:val="continue"/>
            <w:tcBorders>
              <w:tl2br w:val="nil"/>
              <w:tr2bl w:val="nil"/>
            </w:tcBorders>
            <w:vAlign w:val="center"/>
          </w:tcPr>
          <w:p w14:paraId="1DB631AB">
            <w:pPr>
              <w:widowControl/>
              <w:jc w:val="left"/>
              <w:rPr>
                <w:rFonts w:ascii="宋体" w:hAnsi="宋体" w:cs="宋体"/>
                <w:color w:val="auto"/>
                <w:kern w:val="0"/>
                <w:sz w:val="18"/>
                <w:szCs w:val="18"/>
                <w:highlight w:val="none"/>
              </w:rPr>
            </w:pPr>
          </w:p>
        </w:tc>
        <w:tc>
          <w:tcPr>
            <w:tcW w:w="797" w:type="dxa"/>
            <w:vMerge w:val="continue"/>
            <w:tcBorders>
              <w:tl2br w:val="nil"/>
              <w:tr2bl w:val="nil"/>
            </w:tcBorders>
            <w:vAlign w:val="center"/>
          </w:tcPr>
          <w:p w14:paraId="7075E682">
            <w:pPr>
              <w:widowControl/>
              <w:jc w:val="left"/>
              <w:rPr>
                <w:rFonts w:ascii="宋体" w:hAnsi="宋体" w:cs="宋体"/>
                <w:color w:val="auto"/>
                <w:kern w:val="0"/>
                <w:sz w:val="18"/>
                <w:szCs w:val="18"/>
                <w:highlight w:val="none"/>
              </w:rPr>
            </w:pPr>
          </w:p>
        </w:tc>
        <w:tc>
          <w:tcPr>
            <w:tcW w:w="797" w:type="dxa"/>
            <w:vMerge w:val="continue"/>
            <w:tcBorders>
              <w:tl2br w:val="nil"/>
              <w:tr2bl w:val="nil"/>
            </w:tcBorders>
            <w:vAlign w:val="center"/>
          </w:tcPr>
          <w:p w14:paraId="11DE0A61">
            <w:pPr>
              <w:widowControl/>
              <w:jc w:val="left"/>
              <w:rPr>
                <w:rFonts w:ascii="宋体" w:hAnsi="宋体" w:cs="宋体"/>
                <w:color w:val="auto"/>
                <w:kern w:val="0"/>
                <w:sz w:val="18"/>
                <w:szCs w:val="18"/>
                <w:highlight w:val="none"/>
              </w:rPr>
            </w:pPr>
          </w:p>
        </w:tc>
        <w:tc>
          <w:tcPr>
            <w:tcW w:w="953" w:type="dxa"/>
            <w:tcBorders>
              <w:tl2br w:val="nil"/>
              <w:tr2bl w:val="nil"/>
            </w:tcBorders>
            <w:vAlign w:val="center"/>
          </w:tcPr>
          <w:p w14:paraId="7B317132">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米粉</w:t>
            </w:r>
          </w:p>
        </w:tc>
        <w:tc>
          <w:tcPr>
            <w:tcW w:w="1896" w:type="dxa"/>
            <w:tcBorders>
              <w:tl2br w:val="nil"/>
              <w:tr2bl w:val="nil"/>
            </w:tcBorders>
            <w:vAlign w:val="center"/>
          </w:tcPr>
          <w:p w14:paraId="66FE7C7E">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铅（以</w:t>
            </w:r>
            <w:r>
              <w:rPr>
                <w:color w:val="auto"/>
                <w:kern w:val="0"/>
                <w:sz w:val="18"/>
                <w:szCs w:val="18"/>
                <w:highlight w:val="none"/>
              </w:rPr>
              <w:t>Pb</w:t>
            </w:r>
            <w:r>
              <w:rPr>
                <w:rFonts w:hint="eastAsia" w:ascii="宋体" w:hAnsi="宋体" w:cs="宋体"/>
                <w:color w:val="auto"/>
                <w:kern w:val="0"/>
                <w:sz w:val="18"/>
                <w:szCs w:val="18"/>
                <w:highlight w:val="none"/>
              </w:rPr>
              <w:t>计）、镉（以</w:t>
            </w:r>
            <w:r>
              <w:rPr>
                <w:color w:val="auto"/>
                <w:kern w:val="0"/>
                <w:sz w:val="18"/>
                <w:szCs w:val="18"/>
                <w:highlight w:val="none"/>
              </w:rPr>
              <w:t>Cd</w:t>
            </w:r>
            <w:r>
              <w:rPr>
                <w:rFonts w:hint="eastAsia" w:ascii="宋体" w:hAnsi="宋体" w:cs="宋体"/>
                <w:color w:val="auto"/>
                <w:kern w:val="0"/>
                <w:sz w:val="18"/>
                <w:szCs w:val="18"/>
                <w:highlight w:val="none"/>
              </w:rPr>
              <w:t>计）</w:t>
            </w:r>
          </w:p>
        </w:tc>
        <w:tc>
          <w:tcPr>
            <w:tcW w:w="2956" w:type="dxa"/>
            <w:tcBorders>
              <w:tl2br w:val="nil"/>
              <w:tr2bl w:val="nil"/>
            </w:tcBorders>
            <w:vAlign w:val="center"/>
          </w:tcPr>
          <w:p w14:paraId="20C89E57">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总汞（以</w:t>
            </w:r>
            <w:r>
              <w:rPr>
                <w:color w:val="auto"/>
                <w:kern w:val="0"/>
                <w:sz w:val="18"/>
                <w:szCs w:val="18"/>
                <w:highlight w:val="none"/>
              </w:rPr>
              <w:t>Hg</w:t>
            </w:r>
            <w:r>
              <w:rPr>
                <w:rFonts w:hint="eastAsia" w:ascii="宋体" w:hAnsi="宋体" w:cs="宋体"/>
                <w:color w:val="auto"/>
                <w:kern w:val="0"/>
                <w:sz w:val="18"/>
                <w:szCs w:val="18"/>
                <w:highlight w:val="none"/>
              </w:rPr>
              <w:t>计）、无机砷（以</w:t>
            </w:r>
            <w:r>
              <w:rPr>
                <w:color w:val="auto"/>
                <w:kern w:val="0"/>
                <w:sz w:val="18"/>
                <w:szCs w:val="18"/>
                <w:highlight w:val="none"/>
              </w:rPr>
              <w:t>As</w:t>
            </w:r>
            <w:r>
              <w:rPr>
                <w:rFonts w:hint="eastAsia" w:ascii="宋体" w:hAnsi="宋体" w:cs="宋体"/>
                <w:color w:val="auto"/>
                <w:kern w:val="0"/>
                <w:sz w:val="18"/>
                <w:szCs w:val="18"/>
                <w:highlight w:val="none"/>
              </w:rPr>
              <w:t>计）、苯并</w:t>
            </w:r>
            <w:r>
              <w:rPr>
                <w:color w:val="auto"/>
                <w:kern w:val="0"/>
                <w:sz w:val="18"/>
                <w:szCs w:val="18"/>
                <w:highlight w:val="none"/>
              </w:rPr>
              <w:t>[a]</w:t>
            </w:r>
            <w:r>
              <w:rPr>
                <w:rFonts w:hint="eastAsia" w:ascii="宋体" w:hAnsi="宋体" w:cs="宋体"/>
                <w:color w:val="auto"/>
                <w:kern w:val="0"/>
                <w:sz w:val="18"/>
                <w:szCs w:val="18"/>
                <w:highlight w:val="none"/>
              </w:rPr>
              <w:t>芘</w:t>
            </w:r>
          </w:p>
        </w:tc>
      </w:tr>
      <w:tr w14:paraId="33902D2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39" w:hRule="atLeast"/>
        </w:trPr>
        <w:tc>
          <w:tcPr>
            <w:tcW w:w="953" w:type="dxa"/>
            <w:vMerge w:val="continue"/>
            <w:tcBorders>
              <w:tl2br w:val="nil"/>
              <w:tr2bl w:val="nil"/>
            </w:tcBorders>
            <w:vAlign w:val="center"/>
          </w:tcPr>
          <w:p w14:paraId="55063848">
            <w:pPr>
              <w:widowControl/>
              <w:jc w:val="left"/>
              <w:rPr>
                <w:rFonts w:eastAsia="等线"/>
                <w:color w:val="auto"/>
                <w:kern w:val="0"/>
                <w:sz w:val="18"/>
                <w:szCs w:val="18"/>
                <w:highlight w:val="none"/>
              </w:rPr>
            </w:pPr>
          </w:p>
        </w:tc>
        <w:tc>
          <w:tcPr>
            <w:tcW w:w="796" w:type="dxa"/>
            <w:vMerge w:val="continue"/>
            <w:tcBorders>
              <w:tl2br w:val="nil"/>
              <w:tr2bl w:val="nil"/>
            </w:tcBorders>
            <w:vAlign w:val="center"/>
          </w:tcPr>
          <w:p w14:paraId="3E6303F3">
            <w:pPr>
              <w:widowControl/>
              <w:jc w:val="left"/>
              <w:rPr>
                <w:rFonts w:ascii="宋体" w:hAnsi="宋体" w:cs="宋体"/>
                <w:color w:val="auto"/>
                <w:kern w:val="0"/>
                <w:sz w:val="18"/>
                <w:szCs w:val="18"/>
                <w:highlight w:val="none"/>
              </w:rPr>
            </w:pPr>
          </w:p>
        </w:tc>
        <w:tc>
          <w:tcPr>
            <w:tcW w:w="797" w:type="dxa"/>
            <w:vMerge w:val="continue"/>
            <w:tcBorders>
              <w:tl2br w:val="nil"/>
              <w:tr2bl w:val="nil"/>
            </w:tcBorders>
            <w:vAlign w:val="center"/>
          </w:tcPr>
          <w:p w14:paraId="017685E3">
            <w:pPr>
              <w:widowControl/>
              <w:jc w:val="left"/>
              <w:rPr>
                <w:rFonts w:ascii="宋体" w:hAnsi="宋体" w:cs="宋体"/>
                <w:color w:val="auto"/>
                <w:kern w:val="0"/>
                <w:sz w:val="18"/>
                <w:szCs w:val="18"/>
                <w:highlight w:val="none"/>
              </w:rPr>
            </w:pPr>
          </w:p>
        </w:tc>
        <w:tc>
          <w:tcPr>
            <w:tcW w:w="797" w:type="dxa"/>
            <w:vMerge w:val="continue"/>
            <w:tcBorders>
              <w:tl2br w:val="nil"/>
              <w:tr2bl w:val="nil"/>
            </w:tcBorders>
            <w:vAlign w:val="center"/>
          </w:tcPr>
          <w:p w14:paraId="0CDB7F4E">
            <w:pPr>
              <w:widowControl/>
              <w:jc w:val="left"/>
              <w:rPr>
                <w:rFonts w:ascii="宋体" w:hAnsi="宋体" w:cs="宋体"/>
                <w:color w:val="auto"/>
                <w:kern w:val="0"/>
                <w:sz w:val="18"/>
                <w:szCs w:val="18"/>
                <w:highlight w:val="none"/>
              </w:rPr>
            </w:pPr>
          </w:p>
        </w:tc>
        <w:tc>
          <w:tcPr>
            <w:tcW w:w="953" w:type="dxa"/>
            <w:tcBorders>
              <w:tl2br w:val="nil"/>
              <w:tr2bl w:val="nil"/>
            </w:tcBorders>
            <w:vAlign w:val="center"/>
          </w:tcPr>
          <w:p w14:paraId="39399700">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其他谷物碾磨加工品</w:t>
            </w:r>
          </w:p>
        </w:tc>
        <w:tc>
          <w:tcPr>
            <w:tcW w:w="1896" w:type="dxa"/>
            <w:tcBorders>
              <w:tl2br w:val="nil"/>
              <w:tr2bl w:val="nil"/>
            </w:tcBorders>
            <w:vAlign w:val="center"/>
          </w:tcPr>
          <w:p w14:paraId="627C191C">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铅（以</w:t>
            </w:r>
            <w:r>
              <w:rPr>
                <w:color w:val="auto"/>
                <w:kern w:val="0"/>
                <w:sz w:val="18"/>
                <w:szCs w:val="18"/>
                <w:highlight w:val="none"/>
              </w:rPr>
              <w:t>Pb</w:t>
            </w:r>
            <w:r>
              <w:rPr>
                <w:rFonts w:hint="eastAsia" w:ascii="宋体" w:hAnsi="宋体" w:cs="宋体"/>
                <w:color w:val="auto"/>
                <w:kern w:val="0"/>
                <w:sz w:val="18"/>
                <w:szCs w:val="18"/>
                <w:highlight w:val="none"/>
              </w:rPr>
              <w:t>计）、铬（以</w:t>
            </w:r>
            <w:r>
              <w:rPr>
                <w:color w:val="auto"/>
                <w:kern w:val="0"/>
                <w:sz w:val="18"/>
                <w:szCs w:val="18"/>
                <w:highlight w:val="none"/>
              </w:rPr>
              <w:t>Cr</w:t>
            </w:r>
            <w:r>
              <w:rPr>
                <w:rFonts w:hint="eastAsia" w:ascii="宋体" w:hAnsi="宋体" w:cs="宋体"/>
                <w:color w:val="auto"/>
                <w:kern w:val="0"/>
                <w:sz w:val="18"/>
                <w:szCs w:val="18"/>
                <w:highlight w:val="none"/>
              </w:rPr>
              <w:t>计）</w:t>
            </w:r>
          </w:p>
        </w:tc>
        <w:tc>
          <w:tcPr>
            <w:tcW w:w="2956" w:type="dxa"/>
            <w:tcBorders>
              <w:tl2br w:val="nil"/>
              <w:tr2bl w:val="nil"/>
            </w:tcBorders>
            <w:vAlign w:val="center"/>
          </w:tcPr>
          <w:p w14:paraId="334DD9E9">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赭曲霉毒素</w:t>
            </w:r>
            <w:r>
              <w:rPr>
                <w:color w:val="auto"/>
                <w:kern w:val="0"/>
                <w:sz w:val="18"/>
                <w:szCs w:val="18"/>
                <w:highlight w:val="none"/>
              </w:rPr>
              <w:t>A</w:t>
            </w:r>
          </w:p>
        </w:tc>
      </w:tr>
      <w:tr w14:paraId="1EB8F9D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229" w:hRule="atLeast"/>
        </w:trPr>
        <w:tc>
          <w:tcPr>
            <w:tcW w:w="953" w:type="dxa"/>
            <w:vMerge w:val="continue"/>
            <w:tcBorders>
              <w:tl2br w:val="nil"/>
              <w:tr2bl w:val="nil"/>
            </w:tcBorders>
            <w:vAlign w:val="center"/>
          </w:tcPr>
          <w:p w14:paraId="19AC958C">
            <w:pPr>
              <w:widowControl/>
              <w:jc w:val="left"/>
              <w:rPr>
                <w:rFonts w:eastAsia="等线"/>
                <w:color w:val="auto"/>
                <w:kern w:val="0"/>
                <w:sz w:val="18"/>
                <w:szCs w:val="18"/>
                <w:highlight w:val="none"/>
              </w:rPr>
            </w:pPr>
          </w:p>
        </w:tc>
        <w:tc>
          <w:tcPr>
            <w:tcW w:w="796" w:type="dxa"/>
            <w:vMerge w:val="continue"/>
            <w:tcBorders>
              <w:tl2br w:val="nil"/>
              <w:tr2bl w:val="nil"/>
            </w:tcBorders>
            <w:vAlign w:val="center"/>
          </w:tcPr>
          <w:p w14:paraId="7F48A575">
            <w:pPr>
              <w:widowControl/>
              <w:jc w:val="left"/>
              <w:rPr>
                <w:rFonts w:ascii="宋体" w:hAnsi="宋体" w:cs="宋体"/>
                <w:color w:val="auto"/>
                <w:kern w:val="0"/>
                <w:sz w:val="18"/>
                <w:szCs w:val="18"/>
                <w:highlight w:val="none"/>
              </w:rPr>
            </w:pPr>
          </w:p>
        </w:tc>
        <w:tc>
          <w:tcPr>
            <w:tcW w:w="797" w:type="dxa"/>
            <w:vMerge w:val="continue"/>
            <w:tcBorders>
              <w:tl2br w:val="nil"/>
              <w:tr2bl w:val="nil"/>
            </w:tcBorders>
            <w:vAlign w:val="center"/>
          </w:tcPr>
          <w:p w14:paraId="3AD82BAA">
            <w:pPr>
              <w:widowControl/>
              <w:jc w:val="left"/>
              <w:rPr>
                <w:rFonts w:ascii="宋体" w:hAnsi="宋体" w:cs="宋体"/>
                <w:color w:val="auto"/>
                <w:kern w:val="0"/>
                <w:sz w:val="18"/>
                <w:szCs w:val="18"/>
                <w:highlight w:val="none"/>
              </w:rPr>
            </w:pPr>
          </w:p>
        </w:tc>
        <w:tc>
          <w:tcPr>
            <w:tcW w:w="797" w:type="dxa"/>
            <w:vMerge w:val="restart"/>
            <w:tcBorders>
              <w:tl2br w:val="nil"/>
              <w:tr2bl w:val="nil"/>
            </w:tcBorders>
            <w:vAlign w:val="center"/>
          </w:tcPr>
          <w:p w14:paraId="448C38AA">
            <w:pPr>
              <w:widowControl/>
              <w:rPr>
                <w:rFonts w:ascii="宋体" w:hAnsi="宋体" w:cs="宋体"/>
                <w:color w:val="auto"/>
                <w:kern w:val="0"/>
                <w:sz w:val="18"/>
                <w:szCs w:val="18"/>
                <w:highlight w:val="none"/>
              </w:rPr>
            </w:pPr>
            <w:r>
              <w:rPr>
                <w:rFonts w:hint="eastAsia" w:ascii="宋体" w:hAnsi="宋体" w:cs="宋体"/>
                <w:color w:val="auto"/>
                <w:kern w:val="0"/>
                <w:sz w:val="18"/>
                <w:szCs w:val="18"/>
                <w:highlight w:val="none"/>
              </w:rPr>
              <w:t>谷物粉类制成品</w:t>
            </w:r>
          </w:p>
        </w:tc>
        <w:tc>
          <w:tcPr>
            <w:tcW w:w="953" w:type="dxa"/>
            <w:tcBorders>
              <w:tl2br w:val="nil"/>
              <w:tr2bl w:val="nil"/>
            </w:tcBorders>
            <w:vAlign w:val="center"/>
          </w:tcPr>
          <w:p w14:paraId="075A4335">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生湿面制品</w:t>
            </w:r>
          </w:p>
        </w:tc>
        <w:tc>
          <w:tcPr>
            <w:tcW w:w="1896" w:type="dxa"/>
            <w:tcBorders>
              <w:tl2br w:val="nil"/>
              <w:tr2bl w:val="nil"/>
            </w:tcBorders>
            <w:vAlign w:val="center"/>
          </w:tcPr>
          <w:p w14:paraId="2B1A3103">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脱氢乙酸及其钠盐（以脱氢乙酸计）、柠檬黄</w:t>
            </w:r>
          </w:p>
        </w:tc>
        <w:tc>
          <w:tcPr>
            <w:tcW w:w="2956" w:type="dxa"/>
            <w:tcBorders>
              <w:tl2br w:val="nil"/>
              <w:tr2bl w:val="nil"/>
            </w:tcBorders>
            <w:vAlign w:val="center"/>
          </w:tcPr>
          <w:p w14:paraId="37242B6A">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铅（以</w:t>
            </w:r>
            <w:r>
              <w:rPr>
                <w:color w:val="auto"/>
                <w:kern w:val="0"/>
                <w:sz w:val="18"/>
                <w:szCs w:val="18"/>
                <w:highlight w:val="none"/>
              </w:rPr>
              <w:t>Pb</w:t>
            </w:r>
            <w:r>
              <w:rPr>
                <w:rFonts w:hint="eastAsia" w:ascii="宋体" w:hAnsi="宋体" w:cs="宋体"/>
                <w:color w:val="auto"/>
                <w:kern w:val="0"/>
                <w:sz w:val="18"/>
                <w:szCs w:val="18"/>
                <w:highlight w:val="none"/>
              </w:rPr>
              <w:t>计）、苯甲酸及其钠盐（以苯甲酸计）、二氧化硫残留量、山梨酸及其钾盐（以山梨酸计）</w:t>
            </w:r>
          </w:p>
        </w:tc>
      </w:tr>
      <w:tr w14:paraId="1275486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 w:hRule="atLeast"/>
        </w:trPr>
        <w:tc>
          <w:tcPr>
            <w:tcW w:w="953" w:type="dxa"/>
            <w:vMerge w:val="continue"/>
            <w:tcBorders>
              <w:tl2br w:val="nil"/>
              <w:tr2bl w:val="nil"/>
            </w:tcBorders>
            <w:vAlign w:val="center"/>
          </w:tcPr>
          <w:p w14:paraId="07D26610">
            <w:pPr>
              <w:widowControl/>
              <w:jc w:val="left"/>
              <w:rPr>
                <w:rFonts w:eastAsia="等线"/>
                <w:color w:val="auto"/>
                <w:kern w:val="0"/>
                <w:sz w:val="18"/>
                <w:szCs w:val="18"/>
                <w:highlight w:val="none"/>
              </w:rPr>
            </w:pPr>
          </w:p>
        </w:tc>
        <w:tc>
          <w:tcPr>
            <w:tcW w:w="796" w:type="dxa"/>
            <w:vMerge w:val="continue"/>
            <w:tcBorders>
              <w:tl2br w:val="nil"/>
              <w:tr2bl w:val="nil"/>
            </w:tcBorders>
            <w:vAlign w:val="center"/>
          </w:tcPr>
          <w:p w14:paraId="40A1D9D6">
            <w:pPr>
              <w:widowControl/>
              <w:jc w:val="left"/>
              <w:rPr>
                <w:rFonts w:ascii="宋体" w:hAnsi="宋体" w:cs="宋体"/>
                <w:color w:val="auto"/>
                <w:kern w:val="0"/>
                <w:sz w:val="18"/>
                <w:szCs w:val="18"/>
                <w:highlight w:val="none"/>
              </w:rPr>
            </w:pPr>
          </w:p>
        </w:tc>
        <w:tc>
          <w:tcPr>
            <w:tcW w:w="797" w:type="dxa"/>
            <w:vMerge w:val="continue"/>
            <w:tcBorders>
              <w:tl2br w:val="nil"/>
              <w:tr2bl w:val="nil"/>
            </w:tcBorders>
            <w:vAlign w:val="center"/>
          </w:tcPr>
          <w:p w14:paraId="568A13A3">
            <w:pPr>
              <w:widowControl/>
              <w:jc w:val="left"/>
              <w:rPr>
                <w:rFonts w:ascii="宋体" w:hAnsi="宋体" w:cs="宋体"/>
                <w:color w:val="auto"/>
                <w:kern w:val="0"/>
                <w:sz w:val="18"/>
                <w:szCs w:val="18"/>
                <w:highlight w:val="none"/>
              </w:rPr>
            </w:pPr>
          </w:p>
        </w:tc>
        <w:tc>
          <w:tcPr>
            <w:tcW w:w="797" w:type="dxa"/>
            <w:vMerge w:val="continue"/>
            <w:tcBorders>
              <w:tl2br w:val="nil"/>
              <w:tr2bl w:val="nil"/>
            </w:tcBorders>
            <w:vAlign w:val="center"/>
          </w:tcPr>
          <w:p w14:paraId="22FF976A">
            <w:pPr>
              <w:widowControl/>
              <w:jc w:val="left"/>
              <w:rPr>
                <w:rFonts w:ascii="宋体" w:hAnsi="宋体" w:cs="宋体"/>
                <w:color w:val="auto"/>
                <w:kern w:val="0"/>
                <w:sz w:val="18"/>
                <w:szCs w:val="18"/>
                <w:highlight w:val="none"/>
              </w:rPr>
            </w:pPr>
          </w:p>
        </w:tc>
        <w:tc>
          <w:tcPr>
            <w:tcW w:w="953" w:type="dxa"/>
            <w:tcBorders>
              <w:tl2br w:val="nil"/>
              <w:tr2bl w:val="nil"/>
            </w:tcBorders>
            <w:vAlign w:val="center"/>
          </w:tcPr>
          <w:p w14:paraId="4EFEB7A0">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发酵面制品</w:t>
            </w:r>
          </w:p>
        </w:tc>
        <w:tc>
          <w:tcPr>
            <w:tcW w:w="1896" w:type="dxa"/>
            <w:tcBorders>
              <w:tl2br w:val="nil"/>
              <w:tr2bl w:val="nil"/>
            </w:tcBorders>
            <w:vAlign w:val="center"/>
          </w:tcPr>
          <w:p w14:paraId="505192F3">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脱氢乙酸及其钠盐（以脱氢乙酸计）、糖精钠（以糖精计）、甜蜜素（以环己基氨基磺酸计）、安赛蜜</w:t>
            </w:r>
          </w:p>
        </w:tc>
        <w:tc>
          <w:tcPr>
            <w:tcW w:w="2956" w:type="dxa"/>
            <w:tcBorders>
              <w:tl2br w:val="nil"/>
              <w:tr2bl w:val="nil"/>
            </w:tcBorders>
            <w:vAlign w:val="center"/>
          </w:tcPr>
          <w:p w14:paraId="6F25FA83">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苯甲酸及其钠盐（以苯甲酸计）、山梨酸及其钾盐（以山梨酸计）、菌落总数、大肠菌群、沙门氏菌、金黄色葡萄球菌、合成着色剂（柠檬黄、胭脂红）</w:t>
            </w:r>
          </w:p>
        </w:tc>
      </w:tr>
      <w:tr w14:paraId="5F5A0DC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348" w:hRule="atLeast"/>
        </w:trPr>
        <w:tc>
          <w:tcPr>
            <w:tcW w:w="953" w:type="dxa"/>
            <w:vMerge w:val="continue"/>
            <w:tcBorders>
              <w:tl2br w:val="nil"/>
              <w:tr2bl w:val="nil"/>
            </w:tcBorders>
            <w:vAlign w:val="center"/>
          </w:tcPr>
          <w:p w14:paraId="6CF66F93">
            <w:pPr>
              <w:widowControl/>
              <w:jc w:val="left"/>
              <w:rPr>
                <w:rFonts w:eastAsia="等线"/>
                <w:color w:val="auto"/>
                <w:kern w:val="0"/>
                <w:sz w:val="18"/>
                <w:szCs w:val="18"/>
                <w:highlight w:val="none"/>
              </w:rPr>
            </w:pPr>
          </w:p>
        </w:tc>
        <w:tc>
          <w:tcPr>
            <w:tcW w:w="796" w:type="dxa"/>
            <w:vMerge w:val="continue"/>
            <w:tcBorders>
              <w:tl2br w:val="nil"/>
              <w:tr2bl w:val="nil"/>
            </w:tcBorders>
            <w:vAlign w:val="center"/>
          </w:tcPr>
          <w:p w14:paraId="4BF881E5">
            <w:pPr>
              <w:widowControl/>
              <w:jc w:val="left"/>
              <w:rPr>
                <w:rFonts w:ascii="宋体" w:hAnsi="宋体" w:cs="宋体"/>
                <w:color w:val="auto"/>
                <w:kern w:val="0"/>
                <w:sz w:val="18"/>
                <w:szCs w:val="18"/>
                <w:highlight w:val="none"/>
              </w:rPr>
            </w:pPr>
          </w:p>
        </w:tc>
        <w:tc>
          <w:tcPr>
            <w:tcW w:w="797" w:type="dxa"/>
            <w:vMerge w:val="continue"/>
            <w:tcBorders>
              <w:tl2br w:val="nil"/>
              <w:tr2bl w:val="nil"/>
            </w:tcBorders>
            <w:vAlign w:val="center"/>
          </w:tcPr>
          <w:p w14:paraId="6C410295">
            <w:pPr>
              <w:widowControl/>
              <w:jc w:val="left"/>
              <w:rPr>
                <w:rFonts w:ascii="宋体" w:hAnsi="宋体" w:cs="宋体"/>
                <w:color w:val="auto"/>
                <w:kern w:val="0"/>
                <w:sz w:val="18"/>
                <w:szCs w:val="18"/>
                <w:highlight w:val="none"/>
              </w:rPr>
            </w:pPr>
          </w:p>
        </w:tc>
        <w:tc>
          <w:tcPr>
            <w:tcW w:w="797" w:type="dxa"/>
            <w:vMerge w:val="continue"/>
            <w:tcBorders>
              <w:tl2br w:val="nil"/>
              <w:tr2bl w:val="nil"/>
            </w:tcBorders>
            <w:vAlign w:val="center"/>
          </w:tcPr>
          <w:p w14:paraId="38ECC82E">
            <w:pPr>
              <w:widowControl/>
              <w:jc w:val="left"/>
              <w:rPr>
                <w:rFonts w:ascii="宋体" w:hAnsi="宋体" w:cs="宋体"/>
                <w:color w:val="auto"/>
                <w:kern w:val="0"/>
                <w:sz w:val="18"/>
                <w:szCs w:val="18"/>
                <w:highlight w:val="none"/>
              </w:rPr>
            </w:pPr>
          </w:p>
        </w:tc>
        <w:tc>
          <w:tcPr>
            <w:tcW w:w="953" w:type="dxa"/>
            <w:tcBorders>
              <w:tl2br w:val="nil"/>
              <w:tr2bl w:val="nil"/>
            </w:tcBorders>
            <w:vAlign w:val="center"/>
          </w:tcPr>
          <w:p w14:paraId="7C91713D">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米粉制品</w:t>
            </w:r>
          </w:p>
        </w:tc>
        <w:tc>
          <w:tcPr>
            <w:tcW w:w="1896" w:type="dxa"/>
            <w:tcBorders>
              <w:tl2br w:val="nil"/>
              <w:tr2bl w:val="nil"/>
            </w:tcBorders>
            <w:vAlign w:val="center"/>
          </w:tcPr>
          <w:p w14:paraId="3FD0473F">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脱氢乙酸及其钠盐（以脱氢乙酸计）、苯甲酸及其钠盐（以苯甲酸计）、山梨酸及其钾盐（以山梨酸计）</w:t>
            </w:r>
          </w:p>
        </w:tc>
        <w:tc>
          <w:tcPr>
            <w:tcW w:w="2956" w:type="dxa"/>
            <w:tcBorders>
              <w:tl2br w:val="nil"/>
              <w:tr2bl w:val="nil"/>
            </w:tcBorders>
            <w:vAlign w:val="center"/>
          </w:tcPr>
          <w:p w14:paraId="02326072">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二氧化硫残留量、菌落总数、大肠菌群、沙门氏菌、金黄色葡萄球菌</w:t>
            </w:r>
          </w:p>
        </w:tc>
      </w:tr>
      <w:tr w14:paraId="7823802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88" w:hRule="atLeast"/>
        </w:trPr>
        <w:tc>
          <w:tcPr>
            <w:tcW w:w="953" w:type="dxa"/>
            <w:vMerge w:val="continue"/>
            <w:tcBorders>
              <w:tl2br w:val="nil"/>
              <w:tr2bl w:val="nil"/>
            </w:tcBorders>
            <w:vAlign w:val="center"/>
          </w:tcPr>
          <w:p w14:paraId="359FF3C8">
            <w:pPr>
              <w:widowControl/>
              <w:jc w:val="left"/>
              <w:rPr>
                <w:rFonts w:eastAsia="等线"/>
                <w:color w:val="auto"/>
                <w:kern w:val="0"/>
                <w:sz w:val="18"/>
                <w:szCs w:val="18"/>
                <w:highlight w:val="none"/>
              </w:rPr>
            </w:pPr>
          </w:p>
        </w:tc>
        <w:tc>
          <w:tcPr>
            <w:tcW w:w="796" w:type="dxa"/>
            <w:vMerge w:val="continue"/>
            <w:tcBorders>
              <w:tl2br w:val="nil"/>
              <w:tr2bl w:val="nil"/>
            </w:tcBorders>
            <w:vAlign w:val="center"/>
          </w:tcPr>
          <w:p w14:paraId="3DC7179D">
            <w:pPr>
              <w:widowControl/>
              <w:jc w:val="left"/>
              <w:rPr>
                <w:rFonts w:ascii="宋体" w:hAnsi="宋体" w:cs="宋体"/>
                <w:color w:val="auto"/>
                <w:kern w:val="0"/>
                <w:sz w:val="18"/>
                <w:szCs w:val="18"/>
                <w:highlight w:val="none"/>
              </w:rPr>
            </w:pPr>
          </w:p>
        </w:tc>
        <w:tc>
          <w:tcPr>
            <w:tcW w:w="797" w:type="dxa"/>
            <w:vMerge w:val="continue"/>
            <w:tcBorders>
              <w:tl2br w:val="nil"/>
              <w:tr2bl w:val="nil"/>
            </w:tcBorders>
            <w:vAlign w:val="center"/>
          </w:tcPr>
          <w:p w14:paraId="1EAE0632">
            <w:pPr>
              <w:widowControl/>
              <w:jc w:val="left"/>
              <w:rPr>
                <w:rFonts w:ascii="宋体" w:hAnsi="宋体" w:cs="宋体"/>
                <w:color w:val="auto"/>
                <w:kern w:val="0"/>
                <w:sz w:val="18"/>
                <w:szCs w:val="18"/>
                <w:highlight w:val="none"/>
              </w:rPr>
            </w:pPr>
          </w:p>
        </w:tc>
        <w:tc>
          <w:tcPr>
            <w:tcW w:w="797" w:type="dxa"/>
            <w:vMerge w:val="continue"/>
            <w:tcBorders>
              <w:tl2br w:val="nil"/>
              <w:tr2bl w:val="nil"/>
            </w:tcBorders>
            <w:vAlign w:val="center"/>
          </w:tcPr>
          <w:p w14:paraId="5110EBC4">
            <w:pPr>
              <w:widowControl/>
              <w:jc w:val="left"/>
              <w:rPr>
                <w:rFonts w:ascii="宋体" w:hAnsi="宋体" w:cs="宋体"/>
                <w:color w:val="auto"/>
                <w:kern w:val="0"/>
                <w:sz w:val="18"/>
                <w:szCs w:val="18"/>
                <w:highlight w:val="none"/>
              </w:rPr>
            </w:pPr>
          </w:p>
        </w:tc>
        <w:tc>
          <w:tcPr>
            <w:tcW w:w="953" w:type="dxa"/>
            <w:tcBorders>
              <w:tl2br w:val="nil"/>
              <w:tr2bl w:val="nil"/>
            </w:tcBorders>
            <w:vAlign w:val="center"/>
          </w:tcPr>
          <w:p w14:paraId="3DAE2A33">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其他谷物粉类制成品</w:t>
            </w:r>
          </w:p>
        </w:tc>
        <w:tc>
          <w:tcPr>
            <w:tcW w:w="1896" w:type="dxa"/>
            <w:tcBorders>
              <w:tl2br w:val="nil"/>
              <w:tr2bl w:val="nil"/>
            </w:tcBorders>
            <w:vAlign w:val="center"/>
          </w:tcPr>
          <w:p w14:paraId="2575D3E9">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脱氢乙酸及其钠盐（以脱氢乙酸计）</w:t>
            </w:r>
          </w:p>
        </w:tc>
        <w:tc>
          <w:tcPr>
            <w:tcW w:w="2956" w:type="dxa"/>
            <w:tcBorders>
              <w:tl2br w:val="nil"/>
              <w:tr2bl w:val="nil"/>
            </w:tcBorders>
            <w:vAlign w:val="center"/>
          </w:tcPr>
          <w:p w14:paraId="0050F855">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黄曲霉毒素</w:t>
            </w:r>
            <w:r>
              <w:rPr>
                <w:color w:val="auto"/>
                <w:kern w:val="0"/>
                <w:sz w:val="18"/>
                <w:szCs w:val="18"/>
                <w:highlight w:val="none"/>
              </w:rPr>
              <w:t>B</w:t>
            </w:r>
            <w:r>
              <w:rPr>
                <w:color w:val="auto"/>
                <w:kern w:val="0"/>
                <w:sz w:val="18"/>
                <w:szCs w:val="18"/>
                <w:highlight w:val="none"/>
                <w:vertAlign w:val="subscript"/>
              </w:rPr>
              <w:t>1</w:t>
            </w:r>
            <w:r>
              <w:rPr>
                <w:rFonts w:hint="eastAsia" w:ascii="宋体" w:hAnsi="宋体" w:cs="宋体"/>
                <w:color w:val="auto"/>
                <w:kern w:val="0"/>
                <w:sz w:val="18"/>
                <w:szCs w:val="18"/>
                <w:highlight w:val="none"/>
              </w:rPr>
              <w:t>、苯甲酸及其钠盐（以苯甲酸计）、山梨酸及其钾盐（以山梨酸计）、菌落总数、大肠菌群、沙门氏菌、金黄色葡萄球菌</w:t>
            </w:r>
          </w:p>
        </w:tc>
      </w:tr>
      <w:tr w14:paraId="274980A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154" w:hRule="atLeast"/>
        </w:trPr>
        <w:tc>
          <w:tcPr>
            <w:tcW w:w="953" w:type="dxa"/>
            <w:vMerge w:val="restart"/>
            <w:tcBorders>
              <w:tl2br w:val="nil"/>
              <w:tr2bl w:val="nil"/>
            </w:tcBorders>
            <w:vAlign w:val="center"/>
          </w:tcPr>
          <w:p w14:paraId="72A9F389">
            <w:pPr>
              <w:widowControl/>
              <w:jc w:val="center"/>
              <w:rPr>
                <w:rFonts w:eastAsia="等线"/>
                <w:color w:val="auto"/>
                <w:kern w:val="0"/>
                <w:sz w:val="18"/>
                <w:szCs w:val="18"/>
                <w:highlight w:val="none"/>
              </w:rPr>
            </w:pPr>
            <w:r>
              <w:rPr>
                <w:rFonts w:eastAsia="等线"/>
                <w:color w:val="auto"/>
                <w:kern w:val="0"/>
                <w:sz w:val="18"/>
                <w:szCs w:val="18"/>
                <w:highlight w:val="none"/>
              </w:rPr>
              <w:t>2</w:t>
            </w:r>
          </w:p>
        </w:tc>
        <w:tc>
          <w:tcPr>
            <w:tcW w:w="796" w:type="dxa"/>
            <w:vMerge w:val="restart"/>
            <w:tcBorders>
              <w:tl2br w:val="nil"/>
              <w:tr2bl w:val="nil"/>
            </w:tcBorders>
            <w:vAlign w:val="center"/>
          </w:tcPr>
          <w:p w14:paraId="3F1E1424">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食用油、油脂及其制品</w:t>
            </w:r>
          </w:p>
        </w:tc>
        <w:tc>
          <w:tcPr>
            <w:tcW w:w="797" w:type="dxa"/>
            <w:vMerge w:val="restart"/>
            <w:tcBorders>
              <w:tl2br w:val="nil"/>
              <w:tr2bl w:val="nil"/>
            </w:tcBorders>
            <w:vAlign w:val="center"/>
          </w:tcPr>
          <w:p w14:paraId="603A2ADE">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食用植物油</w:t>
            </w:r>
          </w:p>
        </w:tc>
        <w:tc>
          <w:tcPr>
            <w:tcW w:w="797" w:type="dxa"/>
            <w:vMerge w:val="restart"/>
            <w:tcBorders>
              <w:tl2br w:val="nil"/>
              <w:tr2bl w:val="nil"/>
            </w:tcBorders>
            <w:vAlign w:val="center"/>
          </w:tcPr>
          <w:p w14:paraId="13117F43">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食用植物油</w:t>
            </w:r>
          </w:p>
        </w:tc>
        <w:tc>
          <w:tcPr>
            <w:tcW w:w="953" w:type="dxa"/>
            <w:tcBorders>
              <w:tl2br w:val="nil"/>
              <w:tr2bl w:val="nil"/>
            </w:tcBorders>
            <w:vAlign w:val="center"/>
          </w:tcPr>
          <w:p w14:paraId="360F6B14">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花生油</w:t>
            </w:r>
          </w:p>
        </w:tc>
        <w:tc>
          <w:tcPr>
            <w:tcW w:w="1896" w:type="dxa"/>
            <w:tcBorders>
              <w:tl2br w:val="nil"/>
              <w:tr2bl w:val="nil"/>
            </w:tcBorders>
            <w:vAlign w:val="center"/>
          </w:tcPr>
          <w:p w14:paraId="77F72824">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酸值</w:t>
            </w:r>
            <w:r>
              <w:rPr>
                <w:color w:val="auto"/>
                <w:kern w:val="0"/>
                <w:sz w:val="18"/>
                <w:szCs w:val="18"/>
                <w:highlight w:val="none"/>
              </w:rPr>
              <w:t>/</w:t>
            </w:r>
            <w:r>
              <w:rPr>
                <w:rFonts w:hint="eastAsia" w:ascii="宋体" w:hAnsi="宋体" w:cs="宋体"/>
                <w:color w:val="auto"/>
                <w:kern w:val="0"/>
                <w:sz w:val="18"/>
                <w:szCs w:val="18"/>
                <w:highlight w:val="none"/>
              </w:rPr>
              <w:t>酸价、过氧化值</w:t>
            </w:r>
          </w:p>
        </w:tc>
        <w:tc>
          <w:tcPr>
            <w:tcW w:w="2956" w:type="dxa"/>
            <w:tcBorders>
              <w:tl2br w:val="nil"/>
              <w:tr2bl w:val="nil"/>
            </w:tcBorders>
            <w:vAlign w:val="center"/>
          </w:tcPr>
          <w:p w14:paraId="3A17FF12">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黄曲霉毒素</w:t>
            </w:r>
            <w:r>
              <w:rPr>
                <w:color w:val="auto"/>
                <w:kern w:val="0"/>
                <w:sz w:val="18"/>
                <w:szCs w:val="18"/>
                <w:highlight w:val="none"/>
              </w:rPr>
              <w:t>B</w:t>
            </w:r>
            <w:r>
              <w:rPr>
                <w:color w:val="auto"/>
                <w:kern w:val="0"/>
                <w:sz w:val="18"/>
                <w:szCs w:val="18"/>
                <w:highlight w:val="none"/>
                <w:vertAlign w:val="subscript"/>
              </w:rPr>
              <w:t>1</w:t>
            </w:r>
            <w:r>
              <w:rPr>
                <w:rFonts w:hint="eastAsia" w:ascii="宋体" w:hAnsi="宋体" w:cs="宋体"/>
                <w:color w:val="auto"/>
                <w:kern w:val="0"/>
                <w:sz w:val="18"/>
                <w:szCs w:val="18"/>
                <w:highlight w:val="none"/>
              </w:rPr>
              <w:t>、铅（以</w:t>
            </w:r>
            <w:r>
              <w:rPr>
                <w:color w:val="auto"/>
                <w:kern w:val="0"/>
                <w:sz w:val="18"/>
                <w:szCs w:val="18"/>
                <w:highlight w:val="none"/>
              </w:rPr>
              <w:t>Pb</w:t>
            </w:r>
            <w:r>
              <w:rPr>
                <w:rFonts w:hint="eastAsia" w:ascii="宋体" w:hAnsi="宋体" w:cs="宋体"/>
                <w:color w:val="auto"/>
                <w:kern w:val="0"/>
                <w:sz w:val="18"/>
                <w:szCs w:val="18"/>
                <w:highlight w:val="none"/>
              </w:rPr>
              <w:t>计）、苯并</w:t>
            </w:r>
            <w:r>
              <w:rPr>
                <w:color w:val="auto"/>
                <w:kern w:val="0"/>
                <w:sz w:val="18"/>
                <w:szCs w:val="18"/>
                <w:highlight w:val="none"/>
              </w:rPr>
              <w:t>[a]</w:t>
            </w:r>
            <w:r>
              <w:rPr>
                <w:rFonts w:hint="eastAsia" w:ascii="宋体" w:hAnsi="宋体" w:cs="宋体"/>
                <w:color w:val="auto"/>
                <w:kern w:val="0"/>
                <w:sz w:val="18"/>
                <w:szCs w:val="18"/>
                <w:highlight w:val="none"/>
              </w:rPr>
              <w:t>芘、溶剂残留量、特丁基对苯二酚（</w:t>
            </w:r>
            <w:r>
              <w:rPr>
                <w:color w:val="auto"/>
                <w:kern w:val="0"/>
                <w:sz w:val="18"/>
                <w:szCs w:val="18"/>
                <w:highlight w:val="none"/>
              </w:rPr>
              <w:t>TBHQ</w:t>
            </w:r>
            <w:r>
              <w:rPr>
                <w:rFonts w:hint="eastAsia" w:ascii="宋体" w:hAnsi="宋体" w:cs="宋体"/>
                <w:color w:val="auto"/>
                <w:kern w:val="0"/>
                <w:sz w:val="18"/>
                <w:szCs w:val="18"/>
                <w:highlight w:val="none"/>
              </w:rPr>
              <w:t>）</w:t>
            </w:r>
          </w:p>
        </w:tc>
      </w:tr>
      <w:tr w14:paraId="657386B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63" w:hRule="atLeast"/>
        </w:trPr>
        <w:tc>
          <w:tcPr>
            <w:tcW w:w="953" w:type="dxa"/>
            <w:vMerge w:val="continue"/>
            <w:tcBorders>
              <w:tl2br w:val="nil"/>
              <w:tr2bl w:val="nil"/>
            </w:tcBorders>
            <w:vAlign w:val="center"/>
          </w:tcPr>
          <w:p w14:paraId="07328524">
            <w:pPr>
              <w:widowControl/>
              <w:jc w:val="left"/>
              <w:rPr>
                <w:rFonts w:eastAsia="等线"/>
                <w:color w:val="auto"/>
                <w:kern w:val="0"/>
                <w:sz w:val="18"/>
                <w:szCs w:val="18"/>
                <w:highlight w:val="none"/>
              </w:rPr>
            </w:pPr>
          </w:p>
        </w:tc>
        <w:tc>
          <w:tcPr>
            <w:tcW w:w="796" w:type="dxa"/>
            <w:vMerge w:val="continue"/>
            <w:tcBorders>
              <w:tl2br w:val="nil"/>
              <w:tr2bl w:val="nil"/>
            </w:tcBorders>
            <w:vAlign w:val="center"/>
          </w:tcPr>
          <w:p w14:paraId="7F236028">
            <w:pPr>
              <w:widowControl/>
              <w:jc w:val="left"/>
              <w:rPr>
                <w:rFonts w:ascii="宋体" w:hAnsi="宋体" w:cs="宋体"/>
                <w:color w:val="auto"/>
                <w:kern w:val="0"/>
                <w:sz w:val="18"/>
                <w:szCs w:val="18"/>
                <w:highlight w:val="none"/>
              </w:rPr>
            </w:pPr>
          </w:p>
        </w:tc>
        <w:tc>
          <w:tcPr>
            <w:tcW w:w="797" w:type="dxa"/>
            <w:vMerge w:val="continue"/>
            <w:tcBorders>
              <w:tl2br w:val="nil"/>
              <w:tr2bl w:val="nil"/>
            </w:tcBorders>
            <w:vAlign w:val="center"/>
          </w:tcPr>
          <w:p w14:paraId="52FE0E36">
            <w:pPr>
              <w:widowControl/>
              <w:jc w:val="left"/>
              <w:rPr>
                <w:rFonts w:ascii="宋体" w:hAnsi="宋体" w:cs="宋体"/>
                <w:color w:val="auto"/>
                <w:kern w:val="0"/>
                <w:sz w:val="18"/>
                <w:szCs w:val="18"/>
                <w:highlight w:val="none"/>
              </w:rPr>
            </w:pPr>
          </w:p>
        </w:tc>
        <w:tc>
          <w:tcPr>
            <w:tcW w:w="797" w:type="dxa"/>
            <w:vMerge w:val="continue"/>
            <w:tcBorders>
              <w:tl2br w:val="nil"/>
              <w:tr2bl w:val="nil"/>
            </w:tcBorders>
            <w:vAlign w:val="center"/>
          </w:tcPr>
          <w:p w14:paraId="2606EFA1">
            <w:pPr>
              <w:widowControl/>
              <w:jc w:val="left"/>
              <w:rPr>
                <w:rFonts w:ascii="宋体" w:hAnsi="宋体" w:cs="宋体"/>
                <w:color w:val="auto"/>
                <w:kern w:val="0"/>
                <w:sz w:val="18"/>
                <w:szCs w:val="18"/>
                <w:highlight w:val="none"/>
              </w:rPr>
            </w:pPr>
          </w:p>
        </w:tc>
        <w:tc>
          <w:tcPr>
            <w:tcW w:w="953" w:type="dxa"/>
            <w:tcBorders>
              <w:tl2br w:val="nil"/>
              <w:tr2bl w:val="nil"/>
            </w:tcBorders>
            <w:vAlign w:val="center"/>
          </w:tcPr>
          <w:p w14:paraId="202DA0C7">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玉米油</w:t>
            </w:r>
          </w:p>
        </w:tc>
        <w:tc>
          <w:tcPr>
            <w:tcW w:w="1896" w:type="dxa"/>
            <w:tcBorders>
              <w:tl2br w:val="nil"/>
              <w:tr2bl w:val="nil"/>
            </w:tcBorders>
            <w:vAlign w:val="center"/>
          </w:tcPr>
          <w:p w14:paraId="3CBD1A52">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酸值</w:t>
            </w:r>
            <w:r>
              <w:rPr>
                <w:color w:val="auto"/>
                <w:kern w:val="0"/>
                <w:sz w:val="18"/>
                <w:szCs w:val="18"/>
                <w:highlight w:val="none"/>
              </w:rPr>
              <w:t>/</w:t>
            </w:r>
            <w:r>
              <w:rPr>
                <w:rFonts w:hint="eastAsia" w:ascii="宋体" w:hAnsi="宋体" w:cs="宋体"/>
                <w:color w:val="auto"/>
                <w:kern w:val="0"/>
                <w:sz w:val="18"/>
                <w:szCs w:val="18"/>
                <w:highlight w:val="none"/>
              </w:rPr>
              <w:t>酸价、过氧化值</w:t>
            </w:r>
          </w:p>
        </w:tc>
        <w:tc>
          <w:tcPr>
            <w:tcW w:w="2956" w:type="dxa"/>
            <w:tcBorders>
              <w:tl2br w:val="nil"/>
              <w:tr2bl w:val="nil"/>
            </w:tcBorders>
            <w:vAlign w:val="center"/>
          </w:tcPr>
          <w:p w14:paraId="3562682D">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黄曲霉毒素</w:t>
            </w:r>
            <w:r>
              <w:rPr>
                <w:color w:val="auto"/>
                <w:kern w:val="0"/>
                <w:sz w:val="18"/>
                <w:szCs w:val="18"/>
                <w:highlight w:val="none"/>
              </w:rPr>
              <w:t>B</w:t>
            </w:r>
            <w:r>
              <w:rPr>
                <w:color w:val="auto"/>
                <w:kern w:val="0"/>
                <w:sz w:val="18"/>
                <w:szCs w:val="18"/>
                <w:highlight w:val="none"/>
                <w:vertAlign w:val="subscript"/>
              </w:rPr>
              <w:t>1</w:t>
            </w:r>
            <w:r>
              <w:rPr>
                <w:rFonts w:hint="eastAsia" w:ascii="宋体" w:hAnsi="宋体" w:cs="宋体"/>
                <w:color w:val="auto"/>
                <w:kern w:val="0"/>
                <w:sz w:val="18"/>
                <w:szCs w:val="18"/>
                <w:highlight w:val="none"/>
              </w:rPr>
              <w:t>、铅（以</w:t>
            </w:r>
            <w:r>
              <w:rPr>
                <w:color w:val="auto"/>
                <w:kern w:val="0"/>
                <w:sz w:val="18"/>
                <w:szCs w:val="18"/>
                <w:highlight w:val="none"/>
              </w:rPr>
              <w:t>Pb</w:t>
            </w:r>
            <w:r>
              <w:rPr>
                <w:rFonts w:hint="eastAsia" w:ascii="宋体" w:hAnsi="宋体" w:cs="宋体"/>
                <w:color w:val="auto"/>
                <w:kern w:val="0"/>
                <w:sz w:val="18"/>
                <w:szCs w:val="18"/>
                <w:highlight w:val="none"/>
              </w:rPr>
              <w:t>计）、苯并</w:t>
            </w:r>
            <w:r>
              <w:rPr>
                <w:color w:val="auto"/>
                <w:kern w:val="0"/>
                <w:sz w:val="18"/>
                <w:szCs w:val="18"/>
                <w:highlight w:val="none"/>
              </w:rPr>
              <w:t>[a]</w:t>
            </w:r>
            <w:r>
              <w:rPr>
                <w:rFonts w:hint="eastAsia" w:ascii="宋体" w:hAnsi="宋体" w:cs="宋体"/>
                <w:color w:val="auto"/>
                <w:kern w:val="0"/>
                <w:sz w:val="18"/>
                <w:szCs w:val="18"/>
                <w:highlight w:val="none"/>
              </w:rPr>
              <w:t>芘、特丁基对苯二酚（</w:t>
            </w:r>
            <w:r>
              <w:rPr>
                <w:color w:val="auto"/>
                <w:kern w:val="0"/>
                <w:sz w:val="18"/>
                <w:szCs w:val="18"/>
                <w:highlight w:val="none"/>
              </w:rPr>
              <w:t>TBHQ</w:t>
            </w:r>
            <w:r>
              <w:rPr>
                <w:rFonts w:hint="eastAsia" w:ascii="宋体" w:hAnsi="宋体" w:cs="宋体"/>
                <w:color w:val="auto"/>
                <w:kern w:val="0"/>
                <w:sz w:val="18"/>
                <w:szCs w:val="18"/>
                <w:highlight w:val="none"/>
              </w:rPr>
              <w:t>）</w:t>
            </w:r>
          </w:p>
        </w:tc>
      </w:tr>
      <w:tr w14:paraId="25464BC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73" w:hRule="atLeast"/>
        </w:trPr>
        <w:tc>
          <w:tcPr>
            <w:tcW w:w="953" w:type="dxa"/>
            <w:vMerge w:val="continue"/>
            <w:tcBorders>
              <w:tl2br w:val="nil"/>
              <w:tr2bl w:val="nil"/>
            </w:tcBorders>
            <w:vAlign w:val="center"/>
          </w:tcPr>
          <w:p w14:paraId="4653C093">
            <w:pPr>
              <w:widowControl/>
              <w:jc w:val="left"/>
              <w:rPr>
                <w:rFonts w:eastAsia="等线"/>
                <w:color w:val="auto"/>
                <w:kern w:val="0"/>
                <w:sz w:val="18"/>
                <w:szCs w:val="18"/>
                <w:highlight w:val="none"/>
              </w:rPr>
            </w:pPr>
          </w:p>
        </w:tc>
        <w:tc>
          <w:tcPr>
            <w:tcW w:w="796" w:type="dxa"/>
            <w:vMerge w:val="continue"/>
            <w:tcBorders>
              <w:tl2br w:val="nil"/>
              <w:tr2bl w:val="nil"/>
            </w:tcBorders>
            <w:vAlign w:val="center"/>
          </w:tcPr>
          <w:p w14:paraId="061F92A4">
            <w:pPr>
              <w:widowControl/>
              <w:jc w:val="left"/>
              <w:rPr>
                <w:rFonts w:ascii="宋体" w:hAnsi="宋体" w:cs="宋体"/>
                <w:color w:val="auto"/>
                <w:kern w:val="0"/>
                <w:sz w:val="18"/>
                <w:szCs w:val="18"/>
                <w:highlight w:val="none"/>
              </w:rPr>
            </w:pPr>
          </w:p>
        </w:tc>
        <w:tc>
          <w:tcPr>
            <w:tcW w:w="797" w:type="dxa"/>
            <w:vMerge w:val="continue"/>
            <w:tcBorders>
              <w:tl2br w:val="nil"/>
              <w:tr2bl w:val="nil"/>
            </w:tcBorders>
            <w:vAlign w:val="center"/>
          </w:tcPr>
          <w:p w14:paraId="5E55B2E5">
            <w:pPr>
              <w:widowControl/>
              <w:jc w:val="left"/>
              <w:rPr>
                <w:rFonts w:ascii="宋体" w:hAnsi="宋体" w:cs="宋体"/>
                <w:color w:val="auto"/>
                <w:kern w:val="0"/>
                <w:sz w:val="18"/>
                <w:szCs w:val="18"/>
                <w:highlight w:val="none"/>
              </w:rPr>
            </w:pPr>
          </w:p>
        </w:tc>
        <w:tc>
          <w:tcPr>
            <w:tcW w:w="797" w:type="dxa"/>
            <w:vMerge w:val="continue"/>
            <w:tcBorders>
              <w:tl2br w:val="nil"/>
              <w:tr2bl w:val="nil"/>
            </w:tcBorders>
            <w:vAlign w:val="center"/>
          </w:tcPr>
          <w:p w14:paraId="7DD96EA0">
            <w:pPr>
              <w:widowControl/>
              <w:jc w:val="left"/>
              <w:rPr>
                <w:rFonts w:ascii="宋体" w:hAnsi="宋体" w:cs="宋体"/>
                <w:color w:val="auto"/>
                <w:kern w:val="0"/>
                <w:sz w:val="18"/>
                <w:szCs w:val="18"/>
                <w:highlight w:val="none"/>
              </w:rPr>
            </w:pPr>
          </w:p>
        </w:tc>
        <w:tc>
          <w:tcPr>
            <w:tcW w:w="953" w:type="dxa"/>
            <w:tcBorders>
              <w:tl2br w:val="nil"/>
              <w:tr2bl w:val="nil"/>
            </w:tcBorders>
            <w:vAlign w:val="center"/>
          </w:tcPr>
          <w:p w14:paraId="285B5C01">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芝麻油</w:t>
            </w:r>
          </w:p>
        </w:tc>
        <w:tc>
          <w:tcPr>
            <w:tcW w:w="1896" w:type="dxa"/>
            <w:tcBorders>
              <w:tl2br w:val="nil"/>
              <w:tr2bl w:val="nil"/>
            </w:tcBorders>
            <w:vAlign w:val="center"/>
          </w:tcPr>
          <w:p w14:paraId="14733CCC">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酸值</w:t>
            </w:r>
            <w:r>
              <w:rPr>
                <w:color w:val="auto"/>
                <w:kern w:val="0"/>
                <w:sz w:val="18"/>
                <w:szCs w:val="18"/>
                <w:highlight w:val="none"/>
              </w:rPr>
              <w:t>/</w:t>
            </w:r>
            <w:r>
              <w:rPr>
                <w:rFonts w:hint="eastAsia" w:ascii="宋体" w:hAnsi="宋体" w:cs="宋体"/>
                <w:color w:val="auto"/>
                <w:kern w:val="0"/>
                <w:sz w:val="18"/>
                <w:szCs w:val="18"/>
                <w:highlight w:val="none"/>
              </w:rPr>
              <w:t>酸价、乙基麦芽酚、溶剂残留量</w:t>
            </w:r>
          </w:p>
        </w:tc>
        <w:tc>
          <w:tcPr>
            <w:tcW w:w="2956" w:type="dxa"/>
            <w:tcBorders>
              <w:tl2br w:val="nil"/>
              <w:tr2bl w:val="nil"/>
            </w:tcBorders>
            <w:vAlign w:val="center"/>
          </w:tcPr>
          <w:p w14:paraId="3EA7A6B1">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铅（以</w:t>
            </w:r>
            <w:r>
              <w:rPr>
                <w:color w:val="auto"/>
                <w:kern w:val="0"/>
                <w:sz w:val="18"/>
                <w:szCs w:val="18"/>
                <w:highlight w:val="none"/>
              </w:rPr>
              <w:t>Pb</w:t>
            </w:r>
            <w:r>
              <w:rPr>
                <w:rFonts w:hint="eastAsia" w:ascii="宋体" w:hAnsi="宋体" w:cs="宋体"/>
                <w:color w:val="auto"/>
                <w:kern w:val="0"/>
                <w:sz w:val="18"/>
                <w:szCs w:val="18"/>
                <w:highlight w:val="none"/>
              </w:rPr>
              <w:t>计）、苯并</w:t>
            </w:r>
            <w:r>
              <w:rPr>
                <w:color w:val="auto"/>
                <w:kern w:val="0"/>
                <w:sz w:val="18"/>
                <w:szCs w:val="18"/>
                <w:highlight w:val="none"/>
              </w:rPr>
              <w:t>[a]</w:t>
            </w:r>
            <w:r>
              <w:rPr>
                <w:rFonts w:hint="eastAsia" w:ascii="宋体" w:hAnsi="宋体" w:cs="宋体"/>
                <w:color w:val="auto"/>
                <w:kern w:val="0"/>
                <w:sz w:val="18"/>
                <w:szCs w:val="18"/>
                <w:highlight w:val="none"/>
              </w:rPr>
              <w:t>芘、过氧化值</w:t>
            </w:r>
          </w:p>
        </w:tc>
      </w:tr>
      <w:tr w14:paraId="701B234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842" w:hRule="atLeast"/>
        </w:trPr>
        <w:tc>
          <w:tcPr>
            <w:tcW w:w="953" w:type="dxa"/>
            <w:vMerge w:val="continue"/>
            <w:tcBorders>
              <w:tl2br w:val="nil"/>
              <w:tr2bl w:val="nil"/>
            </w:tcBorders>
            <w:vAlign w:val="center"/>
          </w:tcPr>
          <w:p w14:paraId="43684D97">
            <w:pPr>
              <w:widowControl/>
              <w:jc w:val="left"/>
              <w:rPr>
                <w:rFonts w:eastAsia="等线"/>
                <w:color w:val="auto"/>
                <w:kern w:val="0"/>
                <w:sz w:val="18"/>
                <w:szCs w:val="18"/>
                <w:highlight w:val="none"/>
              </w:rPr>
            </w:pPr>
          </w:p>
        </w:tc>
        <w:tc>
          <w:tcPr>
            <w:tcW w:w="796" w:type="dxa"/>
            <w:vMerge w:val="continue"/>
            <w:tcBorders>
              <w:tl2br w:val="nil"/>
              <w:tr2bl w:val="nil"/>
            </w:tcBorders>
            <w:vAlign w:val="center"/>
          </w:tcPr>
          <w:p w14:paraId="7CD4B3FF">
            <w:pPr>
              <w:widowControl/>
              <w:jc w:val="left"/>
              <w:rPr>
                <w:rFonts w:ascii="宋体" w:hAnsi="宋体" w:cs="宋体"/>
                <w:color w:val="auto"/>
                <w:kern w:val="0"/>
                <w:sz w:val="18"/>
                <w:szCs w:val="18"/>
                <w:highlight w:val="none"/>
              </w:rPr>
            </w:pPr>
          </w:p>
        </w:tc>
        <w:tc>
          <w:tcPr>
            <w:tcW w:w="797" w:type="dxa"/>
            <w:vMerge w:val="continue"/>
            <w:tcBorders>
              <w:tl2br w:val="nil"/>
              <w:tr2bl w:val="nil"/>
            </w:tcBorders>
            <w:vAlign w:val="center"/>
          </w:tcPr>
          <w:p w14:paraId="6F7DCA7B">
            <w:pPr>
              <w:widowControl/>
              <w:jc w:val="left"/>
              <w:rPr>
                <w:rFonts w:ascii="宋体" w:hAnsi="宋体" w:cs="宋体"/>
                <w:color w:val="auto"/>
                <w:kern w:val="0"/>
                <w:sz w:val="18"/>
                <w:szCs w:val="18"/>
                <w:highlight w:val="none"/>
              </w:rPr>
            </w:pPr>
          </w:p>
        </w:tc>
        <w:tc>
          <w:tcPr>
            <w:tcW w:w="797" w:type="dxa"/>
            <w:vMerge w:val="continue"/>
            <w:tcBorders>
              <w:tl2br w:val="nil"/>
              <w:tr2bl w:val="nil"/>
            </w:tcBorders>
            <w:vAlign w:val="center"/>
          </w:tcPr>
          <w:p w14:paraId="27409BE0">
            <w:pPr>
              <w:widowControl/>
              <w:jc w:val="left"/>
              <w:rPr>
                <w:rFonts w:ascii="宋体" w:hAnsi="宋体" w:cs="宋体"/>
                <w:color w:val="auto"/>
                <w:kern w:val="0"/>
                <w:sz w:val="18"/>
                <w:szCs w:val="18"/>
                <w:highlight w:val="none"/>
              </w:rPr>
            </w:pPr>
          </w:p>
        </w:tc>
        <w:tc>
          <w:tcPr>
            <w:tcW w:w="953" w:type="dxa"/>
            <w:tcBorders>
              <w:tl2br w:val="nil"/>
              <w:tr2bl w:val="nil"/>
            </w:tcBorders>
            <w:vAlign w:val="center"/>
          </w:tcPr>
          <w:p w14:paraId="5225AEC4">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橄榄油、油橄榄果渣油</w:t>
            </w:r>
          </w:p>
        </w:tc>
        <w:tc>
          <w:tcPr>
            <w:tcW w:w="1896" w:type="dxa"/>
            <w:tcBorders>
              <w:tl2br w:val="nil"/>
              <w:tr2bl w:val="nil"/>
            </w:tcBorders>
            <w:vAlign w:val="center"/>
          </w:tcPr>
          <w:p w14:paraId="2B671E11">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酸值</w:t>
            </w:r>
            <w:r>
              <w:rPr>
                <w:color w:val="auto"/>
                <w:kern w:val="0"/>
                <w:sz w:val="18"/>
                <w:szCs w:val="18"/>
                <w:highlight w:val="none"/>
              </w:rPr>
              <w:t>/</w:t>
            </w:r>
            <w:r>
              <w:rPr>
                <w:rFonts w:hint="eastAsia" w:ascii="宋体" w:hAnsi="宋体" w:cs="宋体"/>
                <w:color w:val="auto"/>
                <w:kern w:val="0"/>
                <w:sz w:val="18"/>
                <w:szCs w:val="18"/>
                <w:highlight w:val="none"/>
              </w:rPr>
              <w:t>酸价、过氧化值</w:t>
            </w:r>
          </w:p>
        </w:tc>
        <w:tc>
          <w:tcPr>
            <w:tcW w:w="2956" w:type="dxa"/>
            <w:tcBorders>
              <w:tl2br w:val="nil"/>
              <w:tr2bl w:val="nil"/>
            </w:tcBorders>
            <w:vAlign w:val="center"/>
          </w:tcPr>
          <w:p w14:paraId="4A5CD256">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铅（以</w:t>
            </w:r>
            <w:r>
              <w:rPr>
                <w:color w:val="auto"/>
                <w:kern w:val="0"/>
                <w:sz w:val="18"/>
                <w:szCs w:val="18"/>
                <w:highlight w:val="none"/>
              </w:rPr>
              <w:t>Pb</w:t>
            </w:r>
            <w:r>
              <w:rPr>
                <w:rFonts w:hint="eastAsia" w:ascii="宋体" w:hAnsi="宋体" w:cs="宋体"/>
                <w:color w:val="auto"/>
                <w:kern w:val="0"/>
                <w:sz w:val="18"/>
                <w:szCs w:val="18"/>
                <w:highlight w:val="none"/>
              </w:rPr>
              <w:t>计）、溶剂残留量、特丁基对苯二酚（</w:t>
            </w:r>
            <w:r>
              <w:rPr>
                <w:color w:val="auto"/>
                <w:kern w:val="0"/>
                <w:sz w:val="18"/>
                <w:szCs w:val="18"/>
                <w:highlight w:val="none"/>
              </w:rPr>
              <w:t>TBHQ</w:t>
            </w:r>
            <w:r>
              <w:rPr>
                <w:rFonts w:hint="eastAsia" w:ascii="宋体" w:hAnsi="宋体" w:cs="宋体"/>
                <w:color w:val="auto"/>
                <w:kern w:val="0"/>
                <w:sz w:val="18"/>
                <w:szCs w:val="18"/>
                <w:highlight w:val="none"/>
              </w:rPr>
              <w:t>）</w:t>
            </w:r>
          </w:p>
        </w:tc>
      </w:tr>
      <w:tr w14:paraId="022B7C4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49" w:hRule="atLeast"/>
        </w:trPr>
        <w:tc>
          <w:tcPr>
            <w:tcW w:w="953" w:type="dxa"/>
            <w:vMerge w:val="continue"/>
            <w:tcBorders>
              <w:tl2br w:val="nil"/>
              <w:tr2bl w:val="nil"/>
            </w:tcBorders>
            <w:vAlign w:val="center"/>
          </w:tcPr>
          <w:p w14:paraId="63516940">
            <w:pPr>
              <w:widowControl/>
              <w:jc w:val="left"/>
              <w:rPr>
                <w:rFonts w:eastAsia="等线"/>
                <w:color w:val="auto"/>
                <w:kern w:val="0"/>
                <w:sz w:val="18"/>
                <w:szCs w:val="18"/>
                <w:highlight w:val="none"/>
              </w:rPr>
            </w:pPr>
          </w:p>
        </w:tc>
        <w:tc>
          <w:tcPr>
            <w:tcW w:w="796" w:type="dxa"/>
            <w:vMerge w:val="continue"/>
            <w:tcBorders>
              <w:tl2br w:val="nil"/>
              <w:tr2bl w:val="nil"/>
            </w:tcBorders>
            <w:vAlign w:val="center"/>
          </w:tcPr>
          <w:p w14:paraId="2A23CBC9">
            <w:pPr>
              <w:widowControl/>
              <w:jc w:val="left"/>
              <w:rPr>
                <w:rFonts w:ascii="宋体" w:hAnsi="宋体" w:cs="宋体"/>
                <w:color w:val="auto"/>
                <w:kern w:val="0"/>
                <w:sz w:val="18"/>
                <w:szCs w:val="18"/>
                <w:highlight w:val="none"/>
              </w:rPr>
            </w:pPr>
          </w:p>
        </w:tc>
        <w:tc>
          <w:tcPr>
            <w:tcW w:w="797" w:type="dxa"/>
            <w:vMerge w:val="continue"/>
            <w:tcBorders>
              <w:tl2br w:val="nil"/>
              <w:tr2bl w:val="nil"/>
            </w:tcBorders>
            <w:vAlign w:val="center"/>
          </w:tcPr>
          <w:p w14:paraId="0BFCF9FE">
            <w:pPr>
              <w:widowControl/>
              <w:jc w:val="left"/>
              <w:rPr>
                <w:rFonts w:ascii="宋体" w:hAnsi="宋体" w:cs="宋体"/>
                <w:color w:val="auto"/>
                <w:kern w:val="0"/>
                <w:sz w:val="18"/>
                <w:szCs w:val="18"/>
                <w:highlight w:val="none"/>
              </w:rPr>
            </w:pPr>
          </w:p>
        </w:tc>
        <w:tc>
          <w:tcPr>
            <w:tcW w:w="797" w:type="dxa"/>
            <w:vMerge w:val="continue"/>
            <w:tcBorders>
              <w:tl2br w:val="nil"/>
              <w:tr2bl w:val="nil"/>
            </w:tcBorders>
            <w:vAlign w:val="center"/>
          </w:tcPr>
          <w:p w14:paraId="43C6D304">
            <w:pPr>
              <w:widowControl/>
              <w:jc w:val="left"/>
              <w:rPr>
                <w:rFonts w:ascii="宋体" w:hAnsi="宋体" w:cs="宋体"/>
                <w:color w:val="auto"/>
                <w:kern w:val="0"/>
                <w:sz w:val="18"/>
                <w:szCs w:val="18"/>
                <w:highlight w:val="none"/>
              </w:rPr>
            </w:pPr>
          </w:p>
        </w:tc>
        <w:tc>
          <w:tcPr>
            <w:tcW w:w="953" w:type="dxa"/>
            <w:tcBorders>
              <w:tl2br w:val="nil"/>
              <w:tr2bl w:val="nil"/>
            </w:tcBorders>
            <w:vAlign w:val="center"/>
          </w:tcPr>
          <w:p w14:paraId="692ED054">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菜籽油</w:t>
            </w:r>
          </w:p>
        </w:tc>
        <w:tc>
          <w:tcPr>
            <w:tcW w:w="1896" w:type="dxa"/>
            <w:tcBorders>
              <w:tl2br w:val="nil"/>
              <w:tr2bl w:val="nil"/>
            </w:tcBorders>
            <w:vAlign w:val="center"/>
          </w:tcPr>
          <w:p w14:paraId="5F3F8395">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酸值</w:t>
            </w:r>
            <w:r>
              <w:rPr>
                <w:color w:val="auto"/>
                <w:kern w:val="0"/>
                <w:sz w:val="18"/>
                <w:szCs w:val="18"/>
                <w:highlight w:val="none"/>
              </w:rPr>
              <w:t>/</w:t>
            </w:r>
            <w:r>
              <w:rPr>
                <w:rFonts w:hint="eastAsia" w:ascii="宋体" w:hAnsi="宋体" w:cs="宋体"/>
                <w:color w:val="auto"/>
                <w:kern w:val="0"/>
                <w:sz w:val="18"/>
                <w:szCs w:val="18"/>
                <w:highlight w:val="none"/>
              </w:rPr>
              <w:t>酸价、过氧化值、苯并[a]芘</w:t>
            </w:r>
          </w:p>
        </w:tc>
        <w:tc>
          <w:tcPr>
            <w:tcW w:w="2956" w:type="dxa"/>
            <w:tcBorders>
              <w:tl2br w:val="nil"/>
              <w:tr2bl w:val="nil"/>
            </w:tcBorders>
            <w:vAlign w:val="center"/>
          </w:tcPr>
          <w:p w14:paraId="4BDAFE4A">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铅（以</w:t>
            </w:r>
            <w:r>
              <w:rPr>
                <w:color w:val="auto"/>
                <w:kern w:val="0"/>
                <w:sz w:val="18"/>
                <w:szCs w:val="18"/>
                <w:highlight w:val="none"/>
              </w:rPr>
              <w:t>Pb</w:t>
            </w:r>
            <w:r>
              <w:rPr>
                <w:rFonts w:hint="eastAsia" w:ascii="宋体" w:hAnsi="宋体" w:cs="宋体"/>
                <w:color w:val="auto"/>
                <w:kern w:val="0"/>
                <w:sz w:val="18"/>
                <w:szCs w:val="18"/>
                <w:highlight w:val="none"/>
              </w:rPr>
              <w:t>计）、溶剂残留量、特丁基对苯二酚（</w:t>
            </w:r>
            <w:r>
              <w:rPr>
                <w:color w:val="auto"/>
                <w:kern w:val="0"/>
                <w:sz w:val="18"/>
                <w:szCs w:val="18"/>
                <w:highlight w:val="none"/>
              </w:rPr>
              <w:t>TBHQ</w:t>
            </w:r>
            <w:r>
              <w:rPr>
                <w:rFonts w:hint="eastAsia" w:ascii="宋体" w:hAnsi="宋体" w:cs="宋体"/>
                <w:color w:val="auto"/>
                <w:kern w:val="0"/>
                <w:sz w:val="18"/>
                <w:szCs w:val="18"/>
                <w:highlight w:val="none"/>
              </w:rPr>
              <w:t>）、乙基麦芽酚</w:t>
            </w:r>
          </w:p>
        </w:tc>
      </w:tr>
      <w:tr w14:paraId="61AB2BC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748" w:hRule="atLeast"/>
        </w:trPr>
        <w:tc>
          <w:tcPr>
            <w:tcW w:w="953" w:type="dxa"/>
            <w:vMerge w:val="continue"/>
            <w:tcBorders>
              <w:tl2br w:val="nil"/>
              <w:tr2bl w:val="nil"/>
            </w:tcBorders>
            <w:vAlign w:val="center"/>
          </w:tcPr>
          <w:p w14:paraId="4AC79B71">
            <w:pPr>
              <w:widowControl/>
              <w:jc w:val="left"/>
              <w:rPr>
                <w:rFonts w:eastAsia="等线"/>
                <w:color w:val="auto"/>
                <w:kern w:val="0"/>
                <w:sz w:val="18"/>
                <w:szCs w:val="18"/>
                <w:highlight w:val="none"/>
              </w:rPr>
            </w:pPr>
          </w:p>
        </w:tc>
        <w:tc>
          <w:tcPr>
            <w:tcW w:w="796" w:type="dxa"/>
            <w:vMerge w:val="continue"/>
            <w:tcBorders>
              <w:tl2br w:val="nil"/>
              <w:tr2bl w:val="nil"/>
            </w:tcBorders>
            <w:vAlign w:val="center"/>
          </w:tcPr>
          <w:p w14:paraId="7BEF6A4A">
            <w:pPr>
              <w:widowControl/>
              <w:jc w:val="left"/>
              <w:rPr>
                <w:rFonts w:ascii="宋体" w:hAnsi="宋体" w:cs="宋体"/>
                <w:color w:val="auto"/>
                <w:kern w:val="0"/>
                <w:sz w:val="18"/>
                <w:szCs w:val="18"/>
                <w:highlight w:val="none"/>
              </w:rPr>
            </w:pPr>
          </w:p>
        </w:tc>
        <w:tc>
          <w:tcPr>
            <w:tcW w:w="797" w:type="dxa"/>
            <w:vMerge w:val="continue"/>
            <w:tcBorders>
              <w:tl2br w:val="nil"/>
              <w:tr2bl w:val="nil"/>
            </w:tcBorders>
            <w:vAlign w:val="center"/>
          </w:tcPr>
          <w:p w14:paraId="4E7A0E26">
            <w:pPr>
              <w:widowControl/>
              <w:jc w:val="left"/>
              <w:rPr>
                <w:rFonts w:ascii="宋体" w:hAnsi="宋体" w:cs="宋体"/>
                <w:color w:val="auto"/>
                <w:kern w:val="0"/>
                <w:sz w:val="18"/>
                <w:szCs w:val="18"/>
                <w:highlight w:val="none"/>
              </w:rPr>
            </w:pPr>
          </w:p>
        </w:tc>
        <w:tc>
          <w:tcPr>
            <w:tcW w:w="797" w:type="dxa"/>
            <w:vMerge w:val="continue"/>
            <w:tcBorders>
              <w:tl2br w:val="nil"/>
              <w:tr2bl w:val="nil"/>
            </w:tcBorders>
            <w:vAlign w:val="center"/>
          </w:tcPr>
          <w:p w14:paraId="1D2BE318">
            <w:pPr>
              <w:widowControl/>
              <w:jc w:val="left"/>
              <w:rPr>
                <w:rFonts w:ascii="宋体" w:hAnsi="宋体" w:cs="宋体"/>
                <w:color w:val="auto"/>
                <w:kern w:val="0"/>
                <w:sz w:val="18"/>
                <w:szCs w:val="18"/>
                <w:highlight w:val="none"/>
              </w:rPr>
            </w:pPr>
          </w:p>
        </w:tc>
        <w:tc>
          <w:tcPr>
            <w:tcW w:w="953" w:type="dxa"/>
            <w:tcBorders>
              <w:tl2br w:val="nil"/>
              <w:tr2bl w:val="nil"/>
            </w:tcBorders>
            <w:vAlign w:val="center"/>
          </w:tcPr>
          <w:p w14:paraId="605032A4">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大豆油</w:t>
            </w:r>
          </w:p>
        </w:tc>
        <w:tc>
          <w:tcPr>
            <w:tcW w:w="1896" w:type="dxa"/>
            <w:tcBorders>
              <w:tl2br w:val="nil"/>
              <w:tr2bl w:val="nil"/>
            </w:tcBorders>
            <w:vAlign w:val="center"/>
          </w:tcPr>
          <w:p w14:paraId="725382C6">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酸值</w:t>
            </w:r>
            <w:r>
              <w:rPr>
                <w:color w:val="auto"/>
                <w:kern w:val="0"/>
                <w:sz w:val="18"/>
                <w:szCs w:val="18"/>
                <w:highlight w:val="none"/>
              </w:rPr>
              <w:t>/</w:t>
            </w:r>
            <w:r>
              <w:rPr>
                <w:rFonts w:hint="eastAsia" w:ascii="宋体" w:hAnsi="宋体" w:cs="宋体"/>
                <w:color w:val="auto"/>
                <w:kern w:val="0"/>
                <w:sz w:val="18"/>
                <w:szCs w:val="18"/>
                <w:highlight w:val="none"/>
              </w:rPr>
              <w:t>酸价、过氧化值</w:t>
            </w:r>
          </w:p>
        </w:tc>
        <w:tc>
          <w:tcPr>
            <w:tcW w:w="2956" w:type="dxa"/>
            <w:tcBorders>
              <w:tl2br w:val="nil"/>
              <w:tr2bl w:val="nil"/>
            </w:tcBorders>
            <w:vAlign w:val="center"/>
          </w:tcPr>
          <w:p w14:paraId="1D3044B7">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铅（以</w:t>
            </w:r>
            <w:r>
              <w:rPr>
                <w:color w:val="auto"/>
                <w:kern w:val="0"/>
                <w:sz w:val="18"/>
                <w:szCs w:val="18"/>
                <w:highlight w:val="none"/>
              </w:rPr>
              <w:t>Pb</w:t>
            </w:r>
            <w:r>
              <w:rPr>
                <w:rFonts w:hint="eastAsia" w:ascii="宋体" w:hAnsi="宋体" w:cs="宋体"/>
                <w:color w:val="auto"/>
                <w:kern w:val="0"/>
                <w:sz w:val="18"/>
                <w:szCs w:val="18"/>
                <w:highlight w:val="none"/>
              </w:rPr>
              <w:t>计）、苯并</w:t>
            </w:r>
            <w:r>
              <w:rPr>
                <w:color w:val="auto"/>
                <w:kern w:val="0"/>
                <w:sz w:val="18"/>
                <w:szCs w:val="18"/>
                <w:highlight w:val="none"/>
              </w:rPr>
              <w:t>[a]</w:t>
            </w:r>
            <w:r>
              <w:rPr>
                <w:rFonts w:hint="eastAsia" w:ascii="宋体" w:hAnsi="宋体" w:cs="宋体"/>
                <w:color w:val="auto"/>
                <w:kern w:val="0"/>
                <w:sz w:val="18"/>
                <w:szCs w:val="18"/>
                <w:highlight w:val="none"/>
              </w:rPr>
              <w:t>芘、溶剂残留量、特丁基对苯二酚（</w:t>
            </w:r>
            <w:r>
              <w:rPr>
                <w:color w:val="auto"/>
                <w:kern w:val="0"/>
                <w:sz w:val="18"/>
                <w:szCs w:val="18"/>
                <w:highlight w:val="none"/>
              </w:rPr>
              <w:t>TBHQ</w:t>
            </w:r>
            <w:r>
              <w:rPr>
                <w:rFonts w:hint="eastAsia" w:ascii="宋体" w:hAnsi="宋体" w:cs="宋体"/>
                <w:color w:val="auto"/>
                <w:kern w:val="0"/>
                <w:sz w:val="18"/>
                <w:szCs w:val="18"/>
                <w:highlight w:val="none"/>
              </w:rPr>
              <w:t>）</w:t>
            </w:r>
          </w:p>
        </w:tc>
      </w:tr>
      <w:tr w14:paraId="6BD77C7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42" w:hRule="atLeast"/>
        </w:trPr>
        <w:tc>
          <w:tcPr>
            <w:tcW w:w="953" w:type="dxa"/>
            <w:vMerge w:val="continue"/>
            <w:tcBorders>
              <w:tl2br w:val="nil"/>
              <w:tr2bl w:val="nil"/>
            </w:tcBorders>
            <w:vAlign w:val="center"/>
          </w:tcPr>
          <w:p w14:paraId="65098EC4">
            <w:pPr>
              <w:widowControl/>
              <w:jc w:val="left"/>
              <w:rPr>
                <w:rFonts w:eastAsia="等线"/>
                <w:color w:val="auto"/>
                <w:kern w:val="0"/>
                <w:sz w:val="18"/>
                <w:szCs w:val="18"/>
                <w:highlight w:val="none"/>
              </w:rPr>
            </w:pPr>
          </w:p>
        </w:tc>
        <w:tc>
          <w:tcPr>
            <w:tcW w:w="796" w:type="dxa"/>
            <w:vMerge w:val="continue"/>
            <w:tcBorders>
              <w:tl2br w:val="nil"/>
              <w:tr2bl w:val="nil"/>
            </w:tcBorders>
            <w:vAlign w:val="center"/>
          </w:tcPr>
          <w:p w14:paraId="699507E4">
            <w:pPr>
              <w:widowControl/>
              <w:jc w:val="left"/>
              <w:rPr>
                <w:rFonts w:ascii="宋体" w:hAnsi="宋体" w:cs="宋体"/>
                <w:color w:val="auto"/>
                <w:kern w:val="0"/>
                <w:sz w:val="18"/>
                <w:szCs w:val="18"/>
                <w:highlight w:val="none"/>
              </w:rPr>
            </w:pPr>
          </w:p>
        </w:tc>
        <w:tc>
          <w:tcPr>
            <w:tcW w:w="797" w:type="dxa"/>
            <w:vMerge w:val="continue"/>
            <w:tcBorders>
              <w:tl2br w:val="nil"/>
              <w:tr2bl w:val="nil"/>
            </w:tcBorders>
            <w:vAlign w:val="center"/>
          </w:tcPr>
          <w:p w14:paraId="6272390F">
            <w:pPr>
              <w:widowControl/>
              <w:jc w:val="left"/>
              <w:rPr>
                <w:rFonts w:ascii="宋体" w:hAnsi="宋体" w:cs="宋体"/>
                <w:color w:val="auto"/>
                <w:kern w:val="0"/>
                <w:sz w:val="18"/>
                <w:szCs w:val="18"/>
                <w:highlight w:val="none"/>
              </w:rPr>
            </w:pPr>
          </w:p>
        </w:tc>
        <w:tc>
          <w:tcPr>
            <w:tcW w:w="797" w:type="dxa"/>
            <w:vMerge w:val="continue"/>
            <w:tcBorders>
              <w:tl2br w:val="nil"/>
              <w:tr2bl w:val="nil"/>
            </w:tcBorders>
            <w:vAlign w:val="center"/>
          </w:tcPr>
          <w:p w14:paraId="387F6BE8">
            <w:pPr>
              <w:widowControl/>
              <w:jc w:val="left"/>
              <w:rPr>
                <w:rFonts w:ascii="宋体" w:hAnsi="宋体" w:cs="宋体"/>
                <w:color w:val="auto"/>
                <w:kern w:val="0"/>
                <w:sz w:val="18"/>
                <w:szCs w:val="18"/>
                <w:highlight w:val="none"/>
              </w:rPr>
            </w:pPr>
          </w:p>
        </w:tc>
        <w:tc>
          <w:tcPr>
            <w:tcW w:w="953" w:type="dxa"/>
            <w:tcBorders>
              <w:tl2br w:val="nil"/>
              <w:tr2bl w:val="nil"/>
            </w:tcBorders>
            <w:vAlign w:val="center"/>
          </w:tcPr>
          <w:p w14:paraId="1BE00462">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食用植物调和油</w:t>
            </w:r>
          </w:p>
        </w:tc>
        <w:tc>
          <w:tcPr>
            <w:tcW w:w="1896" w:type="dxa"/>
            <w:tcBorders>
              <w:tl2br w:val="nil"/>
              <w:tr2bl w:val="nil"/>
            </w:tcBorders>
            <w:vAlign w:val="center"/>
          </w:tcPr>
          <w:p w14:paraId="46FF7757">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酸价、过氧化值、乙基麦芽酚</w:t>
            </w:r>
          </w:p>
        </w:tc>
        <w:tc>
          <w:tcPr>
            <w:tcW w:w="2956" w:type="dxa"/>
            <w:tcBorders>
              <w:tl2br w:val="nil"/>
              <w:tr2bl w:val="nil"/>
            </w:tcBorders>
            <w:vAlign w:val="center"/>
          </w:tcPr>
          <w:p w14:paraId="19F73461">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铅（以</w:t>
            </w:r>
            <w:r>
              <w:rPr>
                <w:color w:val="auto"/>
                <w:kern w:val="0"/>
                <w:sz w:val="18"/>
                <w:szCs w:val="18"/>
                <w:highlight w:val="none"/>
              </w:rPr>
              <w:t>Pb</w:t>
            </w:r>
            <w:r>
              <w:rPr>
                <w:rFonts w:hint="eastAsia" w:ascii="宋体" w:hAnsi="宋体" w:cs="宋体"/>
                <w:color w:val="auto"/>
                <w:kern w:val="0"/>
                <w:sz w:val="18"/>
                <w:szCs w:val="18"/>
                <w:highlight w:val="none"/>
              </w:rPr>
              <w:t>计）、苯并</w:t>
            </w:r>
            <w:r>
              <w:rPr>
                <w:color w:val="auto"/>
                <w:kern w:val="0"/>
                <w:sz w:val="18"/>
                <w:szCs w:val="18"/>
                <w:highlight w:val="none"/>
              </w:rPr>
              <w:t>[a]</w:t>
            </w:r>
            <w:r>
              <w:rPr>
                <w:rFonts w:hint="eastAsia" w:ascii="宋体" w:hAnsi="宋体" w:cs="宋体"/>
                <w:color w:val="auto"/>
                <w:kern w:val="0"/>
                <w:sz w:val="18"/>
                <w:szCs w:val="18"/>
                <w:highlight w:val="none"/>
              </w:rPr>
              <w:t>芘、溶剂残留量、特丁基对苯二酚（</w:t>
            </w:r>
            <w:r>
              <w:rPr>
                <w:color w:val="auto"/>
                <w:kern w:val="0"/>
                <w:sz w:val="18"/>
                <w:szCs w:val="18"/>
                <w:highlight w:val="none"/>
              </w:rPr>
              <w:t>TBHQ</w:t>
            </w:r>
            <w:r>
              <w:rPr>
                <w:rFonts w:hint="eastAsia" w:ascii="宋体" w:hAnsi="宋体" w:cs="宋体"/>
                <w:color w:val="auto"/>
                <w:kern w:val="0"/>
                <w:sz w:val="18"/>
                <w:szCs w:val="18"/>
                <w:highlight w:val="none"/>
              </w:rPr>
              <w:t>）</w:t>
            </w:r>
          </w:p>
        </w:tc>
      </w:tr>
      <w:tr w14:paraId="5E79DF5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15" w:hRule="atLeast"/>
        </w:trPr>
        <w:tc>
          <w:tcPr>
            <w:tcW w:w="953" w:type="dxa"/>
            <w:vMerge w:val="continue"/>
            <w:tcBorders>
              <w:tl2br w:val="nil"/>
              <w:tr2bl w:val="nil"/>
            </w:tcBorders>
            <w:vAlign w:val="center"/>
          </w:tcPr>
          <w:p w14:paraId="748B9262">
            <w:pPr>
              <w:widowControl/>
              <w:jc w:val="left"/>
              <w:rPr>
                <w:rFonts w:eastAsia="等线"/>
                <w:color w:val="auto"/>
                <w:kern w:val="0"/>
                <w:sz w:val="18"/>
                <w:szCs w:val="18"/>
                <w:highlight w:val="none"/>
              </w:rPr>
            </w:pPr>
          </w:p>
        </w:tc>
        <w:tc>
          <w:tcPr>
            <w:tcW w:w="796" w:type="dxa"/>
            <w:vMerge w:val="continue"/>
            <w:tcBorders>
              <w:tl2br w:val="nil"/>
              <w:tr2bl w:val="nil"/>
            </w:tcBorders>
            <w:vAlign w:val="center"/>
          </w:tcPr>
          <w:p w14:paraId="5836315E">
            <w:pPr>
              <w:widowControl/>
              <w:jc w:val="left"/>
              <w:rPr>
                <w:rFonts w:ascii="宋体" w:hAnsi="宋体" w:cs="宋体"/>
                <w:color w:val="auto"/>
                <w:kern w:val="0"/>
                <w:sz w:val="18"/>
                <w:szCs w:val="18"/>
                <w:highlight w:val="none"/>
              </w:rPr>
            </w:pPr>
          </w:p>
        </w:tc>
        <w:tc>
          <w:tcPr>
            <w:tcW w:w="797" w:type="dxa"/>
            <w:vMerge w:val="continue"/>
            <w:tcBorders>
              <w:tl2br w:val="nil"/>
              <w:tr2bl w:val="nil"/>
            </w:tcBorders>
            <w:vAlign w:val="center"/>
          </w:tcPr>
          <w:p w14:paraId="755D1CFA">
            <w:pPr>
              <w:widowControl/>
              <w:jc w:val="left"/>
              <w:rPr>
                <w:rFonts w:ascii="宋体" w:hAnsi="宋体" w:cs="宋体"/>
                <w:color w:val="auto"/>
                <w:kern w:val="0"/>
                <w:sz w:val="18"/>
                <w:szCs w:val="18"/>
                <w:highlight w:val="none"/>
              </w:rPr>
            </w:pPr>
          </w:p>
        </w:tc>
        <w:tc>
          <w:tcPr>
            <w:tcW w:w="797" w:type="dxa"/>
            <w:vMerge w:val="continue"/>
            <w:tcBorders>
              <w:tl2br w:val="nil"/>
              <w:tr2bl w:val="nil"/>
            </w:tcBorders>
            <w:vAlign w:val="center"/>
          </w:tcPr>
          <w:p w14:paraId="755655A3">
            <w:pPr>
              <w:widowControl/>
              <w:jc w:val="left"/>
              <w:rPr>
                <w:rFonts w:ascii="宋体" w:hAnsi="宋体" w:cs="宋体"/>
                <w:color w:val="auto"/>
                <w:kern w:val="0"/>
                <w:sz w:val="18"/>
                <w:szCs w:val="18"/>
                <w:highlight w:val="none"/>
              </w:rPr>
            </w:pPr>
          </w:p>
        </w:tc>
        <w:tc>
          <w:tcPr>
            <w:tcW w:w="953" w:type="dxa"/>
            <w:tcBorders>
              <w:tl2br w:val="nil"/>
              <w:tr2bl w:val="nil"/>
            </w:tcBorders>
            <w:vAlign w:val="center"/>
          </w:tcPr>
          <w:p w14:paraId="07035312">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油茶籽油</w:t>
            </w:r>
          </w:p>
        </w:tc>
        <w:tc>
          <w:tcPr>
            <w:tcW w:w="1896" w:type="dxa"/>
            <w:tcBorders>
              <w:tl2br w:val="nil"/>
              <w:tr2bl w:val="nil"/>
            </w:tcBorders>
            <w:vAlign w:val="center"/>
          </w:tcPr>
          <w:p w14:paraId="02488289">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酸值</w:t>
            </w:r>
            <w:r>
              <w:rPr>
                <w:color w:val="auto"/>
                <w:kern w:val="0"/>
                <w:sz w:val="18"/>
                <w:szCs w:val="18"/>
                <w:highlight w:val="none"/>
              </w:rPr>
              <w:t>/</w:t>
            </w:r>
            <w:r>
              <w:rPr>
                <w:rFonts w:hint="eastAsia" w:ascii="宋体" w:hAnsi="宋体" w:cs="宋体"/>
                <w:color w:val="auto"/>
                <w:kern w:val="0"/>
                <w:sz w:val="18"/>
                <w:szCs w:val="18"/>
                <w:highlight w:val="none"/>
              </w:rPr>
              <w:t>酸价、过氧化值</w:t>
            </w:r>
          </w:p>
        </w:tc>
        <w:tc>
          <w:tcPr>
            <w:tcW w:w="2956" w:type="dxa"/>
            <w:tcBorders>
              <w:tl2br w:val="nil"/>
              <w:tr2bl w:val="nil"/>
            </w:tcBorders>
            <w:vAlign w:val="center"/>
          </w:tcPr>
          <w:p w14:paraId="46C101E0">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铅（以</w:t>
            </w:r>
            <w:r>
              <w:rPr>
                <w:color w:val="auto"/>
                <w:kern w:val="0"/>
                <w:sz w:val="18"/>
                <w:szCs w:val="18"/>
                <w:highlight w:val="none"/>
              </w:rPr>
              <w:t>Pb</w:t>
            </w:r>
            <w:r>
              <w:rPr>
                <w:rFonts w:hint="eastAsia" w:ascii="宋体" w:hAnsi="宋体" w:cs="宋体"/>
                <w:color w:val="auto"/>
                <w:kern w:val="0"/>
                <w:sz w:val="18"/>
                <w:szCs w:val="18"/>
                <w:highlight w:val="none"/>
              </w:rPr>
              <w:t>计）、苯并</w:t>
            </w:r>
            <w:r>
              <w:rPr>
                <w:color w:val="auto"/>
                <w:kern w:val="0"/>
                <w:sz w:val="18"/>
                <w:szCs w:val="18"/>
                <w:highlight w:val="none"/>
              </w:rPr>
              <w:t>[a]</w:t>
            </w:r>
            <w:r>
              <w:rPr>
                <w:rFonts w:hint="eastAsia" w:ascii="宋体" w:hAnsi="宋体" w:cs="宋体"/>
                <w:color w:val="auto"/>
                <w:kern w:val="0"/>
                <w:sz w:val="18"/>
                <w:szCs w:val="18"/>
                <w:highlight w:val="none"/>
              </w:rPr>
              <w:t>芘、溶剂残留量、特丁基对苯二酚（</w:t>
            </w:r>
            <w:r>
              <w:rPr>
                <w:color w:val="auto"/>
                <w:kern w:val="0"/>
                <w:sz w:val="18"/>
                <w:szCs w:val="18"/>
                <w:highlight w:val="none"/>
              </w:rPr>
              <w:t>TBHQ</w:t>
            </w:r>
            <w:r>
              <w:rPr>
                <w:rFonts w:hint="eastAsia" w:ascii="宋体" w:hAnsi="宋体" w:cs="宋体"/>
                <w:color w:val="auto"/>
                <w:kern w:val="0"/>
                <w:sz w:val="18"/>
                <w:szCs w:val="18"/>
                <w:highlight w:val="none"/>
              </w:rPr>
              <w:t>）</w:t>
            </w:r>
          </w:p>
        </w:tc>
      </w:tr>
      <w:tr w14:paraId="481691C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990" w:hRule="atLeast"/>
        </w:trPr>
        <w:tc>
          <w:tcPr>
            <w:tcW w:w="953" w:type="dxa"/>
            <w:vMerge w:val="continue"/>
            <w:tcBorders>
              <w:tl2br w:val="nil"/>
              <w:tr2bl w:val="nil"/>
            </w:tcBorders>
            <w:vAlign w:val="center"/>
          </w:tcPr>
          <w:p w14:paraId="59023790">
            <w:pPr>
              <w:widowControl/>
              <w:jc w:val="left"/>
              <w:rPr>
                <w:rFonts w:eastAsia="等线"/>
                <w:color w:val="auto"/>
                <w:kern w:val="0"/>
                <w:sz w:val="18"/>
                <w:szCs w:val="18"/>
                <w:highlight w:val="none"/>
              </w:rPr>
            </w:pPr>
          </w:p>
        </w:tc>
        <w:tc>
          <w:tcPr>
            <w:tcW w:w="796" w:type="dxa"/>
            <w:vMerge w:val="continue"/>
            <w:tcBorders>
              <w:tl2br w:val="nil"/>
              <w:tr2bl w:val="nil"/>
            </w:tcBorders>
            <w:vAlign w:val="center"/>
          </w:tcPr>
          <w:p w14:paraId="7108E59E">
            <w:pPr>
              <w:widowControl/>
              <w:jc w:val="left"/>
              <w:rPr>
                <w:rFonts w:ascii="宋体" w:hAnsi="宋体" w:cs="宋体"/>
                <w:color w:val="auto"/>
                <w:kern w:val="0"/>
                <w:sz w:val="18"/>
                <w:szCs w:val="18"/>
                <w:highlight w:val="none"/>
              </w:rPr>
            </w:pPr>
          </w:p>
        </w:tc>
        <w:tc>
          <w:tcPr>
            <w:tcW w:w="797" w:type="dxa"/>
            <w:vMerge w:val="continue"/>
            <w:tcBorders>
              <w:tl2br w:val="nil"/>
              <w:tr2bl w:val="nil"/>
            </w:tcBorders>
            <w:vAlign w:val="center"/>
          </w:tcPr>
          <w:p w14:paraId="578F6A7E">
            <w:pPr>
              <w:widowControl/>
              <w:jc w:val="left"/>
              <w:rPr>
                <w:rFonts w:ascii="宋体" w:hAnsi="宋体" w:cs="宋体"/>
                <w:color w:val="auto"/>
                <w:kern w:val="0"/>
                <w:sz w:val="18"/>
                <w:szCs w:val="18"/>
                <w:highlight w:val="none"/>
              </w:rPr>
            </w:pPr>
          </w:p>
        </w:tc>
        <w:tc>
          <w:tcPr>
            <w:tcW w:w="797" w:type="dxa"/>
            <w:vMerge w:val="continue"/>
            <w:tcBorders>
              <w:tl2br w:val="nil"/>
              <w:tr2bl w:val="nil"/>
            </w:tcBorders>
            <w:vAlign w:val="center"/>
          </w:tcPr>
          <w:p w14:paraId="4AB0B3AC">
            <w:pPr>
              <w:widowControl/>
              <w:jc w:val="left"/>
              <w:rPr>
                <w:rFonts w:ascii="宋体" w:hAnsi="宋体" w:cs="宋体"/>
                <w:color w:val="auto"/>
                <w:kern w:val="0"/>
                <w:sz w:val="18"/>
                <w:szCs w:val="18"/>
                <w:highlight w:val="none"/>
              </w:rPr>
            </w:pPr>
          </w:p>
        </w:tc>
        <w:tc>
          <w:tcPr>
            <w:tcW w:w="953" w:type="dxa"/>
            <w:tcBorders>
              <w:tl2br w:val="nil"/>
              <w:tr2bl w:val="nil"/>
            </w:tcBorders>
            <w:vAlign w:val="center"/>
          </w:tcPr>
          <w:p w14:paraId="62B9B56F">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其他食用植物油</w:t>
            </w:r>
          </w:p>
        </w:tc>
        <w:tc>
          <w:tcPr>
            <w:tcW w:w="1896" w:type="dxa"/>
            <w:tcBorders>
              <w:tl2br w:val="nil"/>
              <w:tr2bl w:val="nil"/>
            </w:tcBorders>
            <w:vAlign w:val="center"/>
          </w:tcPr>
          <w:p w14:paraId="7DFCF450">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酸值</w:t>
            </w:r>
            <w:r>
              <w:rPr>
                <w:color w:val="auto"/>
                <w:kern w:val="0"/>
                <w:sz w:val="18"/>
                <w:szCs w:val="18"/>
                <w:highlight w:val="none"/>
              </w:rPr>
              <w:t>/</w:t>
            </w:r>
            <w:r>
              <w:rPr>
                <w:rFonts w:hint="eastAsia" w:ascii="宋体" w:hAnsi="宋体" w:cs="宋体"/>
                <w:color w:val="auto"/>
                <w:kern w:val="0"/>
                <w:sz w:val="18"/>
                <w:szCs w:val="18"/>
                <w:highlight w:val="none"/>
              </w:rPr>
              <w:t>酸价、过氧化值</w:t>
            </w:r>
          </w:p>
        </w:tc>
        <w:tc>
          <w:tcPr>
            <w:tcW w:w="2956" w:type="dxa"/>
            <w:tcBorders>
              <w:tl2br w:val="nil"/>
              <w:tr2bl w:val="nil"/>
            </w:tcBorders>
            <w:vAlign w:val="center"/>
          </w:tcPr>
          <w:p w14:paraId="1F5FF132">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铅（以</w:t>
            </w:r>
            <w:r>
              <w:rPr>
                <w:color w:val="auto"/>
                <w:kern w:val="0"/>
                <w:sz w:val="18"/>
                <w:szCs w:val="18"/>
                <w:highlight w:val="none"/>
              </w:rPr>
              <w:t>Pb</w:t>
            </w:r>
            <w:r>
              <w:rPr>
                <w:rFonts w:hint="eastAsia" w:ascii="宋体" w:hAnsi="宋体" w:cs="宋体"/>
                <w:color w:val="auto"/>
                <w:kern w:val="0"/>
                <w:sz w:val="18"/>
                <w:szCs w:val="18"/>
                <w:highlight w:val="none"/>
              </w:rPr>
              <w:t>计）、苯并</w:t>
            </w:r>
            <w:r>
              <w:rPr>
                <w:color w:val="auto"/>
                <w:kern w:val="0"/>
                <w:sz w:val="18"/>
                <w:szCs w:val="18"/>
                <w:highlight w:val="none"/>
              </w:rPr>
              <w:t>[a]</w:t>
            </w:r>
            <w:r>
              <w:rPr>
                <w:rFonts w:hint="eastAsia" w:ascii="宋体" w:hAnsi="宋体" w:cs="宋体"/>
                <w:color w:val="auto"/>
                <w:kern w:val="0"/>
                <w:sz w:val="18"/>
                <w:szCs w:val="18"/>
                <w:highlight w:val="none"/>
              </w:rPr>
              <w:t>芘、溶剂残留量、特丁基对苯二酚（</w:t>
            </w:r>
            <w:r>
              <w:rPr>
                <w:color w:val="auto"/>
                <w:kern w:val="0"/>
                <w:sz w:val="18"/>
                <w:szCs w:val="18"/>
                <w:highlight w:val="none"/>
              </w:rPr>
              <w:t>TBHQ</w:t>
            </w:r>
            <w:r>
              <w:rPr>
                <w:rFonts w:hint="eastAsia" w:ascii="宋体" w:hAnsi="宋体" w:cs="宋体"/>
                <w:color w:val="auto"/>
                <w:kern w:val="0"/>
                <w:sz w:val="18"/>
                <w:szCs w:val="18"/>
                <w:highlight w:val="none"/>
              </w:rPr>
              <w:t>）</w:t>
            </w:r>
          </w:p>
        </w:tc>
      </w:tr>
      <w:tr w14:paraId="6A458E4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73" w:hRule="atLeast"/>
        </w:trPr>
        <w:tc>
          <w:tcPr>
            <w:tcW w:w="953" w:type="dxa"/>
            <w:vMerge w:val="continue"/>
            <w:tcBorders>
              <w:tl2br w:val="nil"/>
              <w:tr2bl w:val="nil"/>
            </w:tcBorders>
            <w:vAlign w:val="center"/>
          </w:tcPr>
          <w:p w14:paraId="4D8A1942">
            <w:pPr>
              <w:widowControl/>
              <w:jc w:val="left"/>
              <w:rPr>
                <w:rFonts w:eastAsia="等线"/>
                <w:color w:val="auto"/>
                <w:kern w:val="0"/>
                <w:sz w:val="18"/>
                <w:szCs w:val="18"/>
                <w:highlight w:val="none"/>
              </w:rPr>
            </w:pPr>
          </w:p>
        </w:tc>
        <w:tc>
          <w:tcPr>
            <w:tcW w:w="796" w:type="dxa"/>
            <w:vMerge w:val="continue"/>
            <w:tcBorders>
              <w:tl2br w:val="nil"/>
              <w:tr2bl w:val="nil"/>
            </w:tcBorders>
            <w:vAlign w:val="center"/>
          </w:tcPr>
          <w:p w14:paraId="2A4440E7">
            <w:pPr>
              <w:widowControl/>
              <w:jc w:val="left"/>
              <w:rPr>
                <w:rFonts w:ascii="宋体" w:hAnsi="宋体" w:cs="宋体"/>
                <w:color w:val="auto"/>
                <w:kern w:val="0"/>
                <w:sz w:val="18"/>
                <w:szCs w:val="18"/>
                <w:highlight w:val="none"/>
              </w:rPr>
            </w:pPr>
          </w:p>
        </w:tc>
        <w:tc>
          <w:tcPr>
            <w:tcW w:w="797" w:type="dxa"/>
            <w:tcBorders>
              <w:tl2br w:val="nil"/>
              <w:tr2bl w:val="nil"/>
            </w:tcBorders>
            <w:vAlign w:val="center"/>
          </w:tcPr>
          <w:p w14:paraId="1EA6FB6A">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食用动物油脂</w:t>
            </w:r>
          </w:p>
        </w:tc>
        <w:tc>
          <w:tcPr>
            <w:tcW w:w="797" w:type="dxa"/>
            <w:tcBorders>
              <w:tl2br w:val="nil"/>
              <w:tr2bl w:val="nil"/>
            </w:tcBorders>
            <w:vAlign w:val="center"/>
          </w:tcPr>
          <w:p w14:paraId="103EE6BE">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食用动物油脂</w:t>
            </w:r>
          </w:p>
        </w:tc>
        <w:tc>
          <w:tcPr>
            <w:tcW w:w="953" w:type="dxa"/>
            <w:tcBorders>
              <w:tl2br w:val="nil"/>
              <w:tr2bl w:val="nil"/>
            </w:tcBorders>
            <w:vAlign w:val="center"/>
          </w:tcPr>
          <w:p w14:paraId="1F92D072">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食用动物油脂</w:t>
            </w:r>
          </w:p>
        </w:tc>
        <w:tc>
          <w:tcPr>
            <w:tcW w:w="1896" w:type="dxa"/>
            <w:tcBorders>
              <w:tl2br w:val="nil"/>
              <w:tr2bl w:val="nil"/>
            </w:tcBorders>
            <w:vAlign w:val="center"/>
          </w:tcPr>
          <w:p w14:paraId="335D3C47">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酸价、过氧化值</w:t>
            </w:r>
          </w:p>
        </w:tc>
        <w:tc>
          <w:tcPr>
            <w:tcW w:w="2956" w:type="dxa"/>
            <w:tcBorders>
              <w:tl2br w:val="nil"/>
              <w:tr2bl w:val="nil"/>
            </w:tcBorders>
            <w:vAlign w:val="center"/>
          </w:tcPr>
          <w:p w14:paraId="6D221DCE">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丙二醛、铅（以</w:t>
            </w:r>
            <w:r>
              <w:rPr>
                <w:color w:val="auto"/>
                <w:kern w:val="0"/>
                <w:sz w:val="18"/>
                <w:szCs w:val="18"/>
                <w:highlight w:val="none"/>
              </w:rPr>
              <w:t>Pb</w:t>
            </w:r>
            <w:r>
              <w:rPr>
                <w:rFonts w:hint="eastAsia" w:ascii="宋体" w:hAnsi="宋体" w:cs="宋体"/>
                <w:color w:val="auto"/>
                <w:kern w:val="0"/>
                <w:sz w:val="18"/>
                <w:szCs w:val="18"/>
                <w:highlight w:val="none"/>
              </w:rPr>
              <w:t>计）、苯并</w:t>
            </w:r>
            <w:r>
              <w:rPr>
                <w:color w:val="auto"/>
                <w:kern w:val="0"/>
                <w:sz w:val="18"/>
                <w:szCs w:val="18"/>
                <w:highlight w:val="none"/>
              </w:rPr>
              <w:t>[a]</w:t>
            </w:r>
            <w:r>
              <w:rPr>
                <w:rFonts w:hint="eastAsia" w:ascii="宋体" w:hAnsi="宋体" w:cs="宋体"/>
                <w:color w:val="auto"/>
                <w:kern w:val="0"/>
                <w:sz w:val="18"/>
                <w:szCs w:val="18"/>
                <w:highlight w:val="none"/>
              </w:rPr>
              <w:t>芘</w:t>
            </w:r>
          </w:p>
        </w:tc>
      </w:tr>
      <w:tr w14:paraId="1AA037D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396" w:hRule="atLeast"/>
        </w:trPr>
        <w:tc>
          <w:tcPr>
            <w:tcW w:w="953" w:type="dxa"/>
            <w:vMerge w:val="restart"/>
            <w:tcBorders>
              <w:tl2br w:val="nil"/>
              <w:tr2bl w:val="nil"/>
            </w:tcBorders>
            <w:vAlign w:val="center"/>
          </w:tcPr>
          <w:p w14:paraId="618902C0">
            <w:pPr>
              <w:widowControl/>
              <w:jc w:val="center"/>
              <w:rPr>
                <w:rFonts w:eastAsia="等线"/>
                <w:color w:val="auto"/>
                <w:kern w:val="0"/>
                <w:sz w:val="18"/>
                <w:szCs w:val="18"/>
                <w:highlight w:val="none"/>
              </w:rPr>
            </w:pPr>
            <w:r>
              <w:rPr>
                <w:rFonts w:eastAsia="等线"/>
                <w:color w:val="auto"/>
                <w:kern w:val="0"/>
                <w:sz w:val="18"/>
                <w:szCs w:val="18"/>
                <w:highlight w:val="none"/>
              </w:rPr>
              <w:t>3</w:t>
            </w:r>
          </w:p>
        </w:tc>
        <w:tc>
          <w:tcPr>
            <w:tcW w:w="796" w:type="dxa"/>
            <w:vMerge w:val="restart"/>
            <w:tcBorders>
              <w:tl2br w:val="nil"/>
              <w:tr2bl w:val="nil"/>
            </w:tcBorders>
            <w:vAlign w:val="center"/>
          </w:tcPr>
          <w:p w14:paraId="22DB7FBC">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调味品</w:t>
            </w:r>
          </w:p>
        </w:tc>
        <w:tc>
          <w:tcPr>
            <w:tcW w:w="797" w:type="dxa"/>
            <w:tcBorders>
              <w:tl2br w:val="nil"/>
              <w:tr2bl w:val="nil"/>
            </w:tcBorders>
            <w:vAlign w:val="center"/>
          </w:tcPr>
          <w:p w14:paraId="520D655D">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酱油</w:t>
            </w:r>
          </w:p>
        </w:tc>
        <w:tc>
          <w:tcPr>
            <w:tcW w:w="797" w:type="dxa"/>
            <w:tcBorders>
              <w:tl2br w:val="nil"/>
              <w:tr2bl w:val="nil"/>
            </w:tcBorders>
            <w:vAlign w:val="center"/>
          </w:tcPr>
          <w:p w14:paraId="2D575D85">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酱油</w:t>
            </w:r>
          </w:p>
        </w:tc>
        <w:tc>
          <w:tcPr>
            <w:tcW w:w="953" w:type="dxa"/>
            <w:tcBorders>
              <w:tl2br w:val="nil"/>
              <w:tr2bl w:val="nil"/>
            </w:tcBorders>
            <w:vAlign w:val="center"/>
          </w:tcPr>
          <w:p w14:paraId="0D321ECA">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酱油</w:t>
            </w:r>
          </w:p>
        </w:tc>
        <w:tc>
          <w:tcPr>
            <w:tcW w:w="1896" w:type="dxa"/>
            <w:tcBorders>
              <w:tl2br w:val="nil"/>
              <w:tr2bl w:val="nil"/>
            </w:tcBorders>
            <w:vAlign w:val="center"/>
          </w:tcPr>
          <w:p w14:paraId="5F7A8B16">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氨基酸态氮、苯甲酸及其钠盐（以苯甲酸计）、山梨酸及其钾盐（以山梨酸计）</w:t>
            </w:r>
          </w:p>
        </w:tc>
        <w:tc>
          <w:tcPr>
            <w:tcW w:w="2956" w:type="dxa"/>
            <w:tcBorders>
              <w:tl2br w:val="nil"/>
              <w:tr2bl w:val="nil"/>
            </w:tcBorders>
            <w:vAlign w:val="center"/>
          </w:tcPr>
          <w:p w14:paraId="453B381E">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全氮（以氮计）、铵盐（以占氨基酸态氮的百分比计）、脱氢乙酸及其钠盐（以脱氢乙酸计）、对羟基苯甲酸酯类及其钠盐（以对羟基苯甲酸计）、防腐剂混合使用时各自用量占其最大使用量的比例之和、糖精钠（以糖精计）、三氯蔗糖、甜蜜素（以环己基氨基磺酸计）、菌落总数、大肠菌群</w:t>
            </w:r>
          </w:p>
        </w:tc>
      </w:tr>
      <w:tr w14:paraId="47332DD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723" w:hRule="atLeast"/>
        </w:trPr>
        <w:tc>
          <w:tcPr>
            <w:tcW w:w="953" w:type="dxa"/>
            <w:vMerge w:val="continue"/>
            <w:tcBorders>
              <w:tl2br w:val="nil"/>
              <w:tr2bl w:val="nil"/>
            </w:tcBorders>
            <w:vAlign w:val="center"/>
          </w:tcPr>
          <w:p w14:paraId="08697B29">
            <w:pPr>
              <w:widowControl/>
              <w:jc w:val="left"/>
              <w:rPr>
                <w:rFonts w:eastAsia="等线"/>
                <w:color w:val="auto"/>
                <w:kern w:val="0"/>
                <w:sz w:val="18"/>
                <w:szCs w:val="18"/>
                <w:highlight w:val="none"/>
              </w:rPr>
            </w:pPr>
          </w:p>
        </w:tc>
        <w:tc>
          <w:tcPr>
            <w:tcW w:w="796" w:type="dxa"/>
            <w:vMerge w:val="continue"/>
            <w:tcBorders>
              <w:tl2br w:val="nil"/>
              <w:tr2bl w:val="nil"/>
            </w:tcBorders>
            <w:vAlign w:val="center"/>
          </w:tcPr>
          <w:p w14:paraId="05882A13">
            <w:pPr>
              <w:widowControl/>
              <w:jc w:val="left"/>
              <w:rPr>
                <w:rFonts w:ascii="宋体" w:hAnsi="宋体" w:cs="宋体"/>
                <w:color w:val="auto"/>
                <w:kern w:val="0"/>
                <w:sz w:val="18"/>
                <w:szCs w:val="18"/>
                <w:highlight w:val="none"/>
              </w:rPr>
            </w:pPr>
          </w:p>
        </w:tc>
        <w:tc>
          <w:tcPr>
            <w:tcW w:w="797" w:type="dxa"/>
            <w:tcBorders>
              <w:tl2br w:val="nil"/>
              <w:tr2bl w:val="nil"/>
            </w:tcBorders>
            <w:vAlign w:val="center"/>
          </w:tcPr>
          <w:p w14:paraId="061B3950">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食醋</w:t>
            </w:r>
          </w:p>
        </w:tc>
        <w:tc>
          <w:tcPr>
            <w:tcW w:w="797" w:type="dxa"/>
            <w:tcBorders>
              <w:tl2br w:val="nil"/>
              <w:tr2bl w:val="nil"/>
            </w:tcBorders>
            <w:vAlign w:val="center"/>
          </w:tcPr>
          <w:p w14:paraId="26638305">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食醋</w:t>
            </w:r>
          </w:p>
        </w:tc>
        <w:tc>
          <w:tcPr>
            <w:tcW w:w="953" w:type="dxa"/>
            <w:tcBorders>
              <w:tl2br w:val="nil"/>
              <w:tr2bl w:val="nil"/>
            </w:tcBorders>
            <w:vAlign w:val="center"/>
          </w:tcPr>
          <w:p w14:paraId="02C51B3C">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食醋</w:t>
            </w:r>
          </w:p>
        </w:tc>
        <w:tc>
          <w:tcPr>
            <w:tcW w:w="1896" w:type="dxa"/>
            <w:tcBorders>
              <w:tl2br w:val="nil"/>
              <w:tr2bl w:val="nil"/>
            </w:tcBorders>
            <w:vAlign w:val="center"/>
          </w:tcPr>
          <w:p w14:paraId="62748C63">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总酸（以乙酸计）、脱氢乙酸及其钠盐（以脱氢乙酸计）</w:t>
            </w:r>
          </w:p>
        </w:tc>
        <w:tc>
          <w:tcPr>
            <w:tcW w:w="2956" w:type="dxa"/>
            <w:tcBorders>
              <w:tl2br w:val="nil"/>
              <w:tr2bl w:val="nil"/>
            </w:tcBorders>
            <w:vAlign w:val="center"/>
          </w:tcPr>
          <w:p w14:paraId="1819550C">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不挥发酸（以乳酸计）、苯甲酸及其钠盐（以苯甲酸计）、山梨酸及其钾盐（以山梨酸计）、对羟基苯甲酸酯类及其钠盐（以对羟基苯甲酸计）、防腐剂混合使用时各自用量占其最大使用量的比例之和、糖精钠（以糖精计）、三氯蔗糖、甜蜜素（以环己基氨基磺酸计）、菌落总数</w:t>
            </w:r>
          </w:p>
        </w:tc>
      </w:tr>
      <w:tr w14:paraId="7F9C5DF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375" w:hRule="atLeast"/>
        </w:trPr>
        <w:tc>
          <w:tcPr>
            <w:tcW w:w="953" w:type="dxa"/>
            <w:vMerge w:val="continue"/>
            <w:tcBorders>
              <w:tl2br w:val="nil"/>
              <w:tr2bl w:val="nil"/>
            </w:tcBorders>
            <w:vAlign w:val="center"/>
          </w:tcPr>
          <w:p w14:paraId="033B4642">
            <w:pPr>
              <w:widowControl/>
              <w:jc w:val="left"/>
              <w:rPr>
                <w:rFonts w:eastAsia="等线"/>
                <w:color w:val="auto"/>
                <w:kern w:val="0"/>
                <w:sz w:val="18"/>
                <w:szCs w:val="18"/>
                <w:highlight w:val="none"/>
              </w:rPr>
            </w:pPr>
          </w:p>
        </w:tc>
        <w:tc>
          <w:tcPr>
            <w:tcW w:w="796" w:type="dxa"/>
            <w:vMerge w:val="continue"/>
            <w:tcBorders>
              <w:tl2br w:val="nil"/>
              <w:tr2bl w:val="nil"/>
            </w:tcBorders>
            <w:vAlign w:val="center"/>
          </w:tcPr>
          <w:p w14:paraId="52CB35A0">
            <w:pPr>
              <w:widowControl/>
              <w:jc w:val="left"/>
              <w:rPr>
                <w:rFonts w:ascii="宋体" w:hAnsi="宋体" w:cs="宋体"/>
                <w:color w:val="auto"/>
                <w:kern w:val="0"/>
                <w:sz w:val="18"/>
                <w:szCs w:val="18"/>
                <w:highlight w:val="none"/>
              </w:rPr>
            </w:pPr>
          </w:p>
        </w:tc>
        <w:tc>
          <w:tcPr>
            <w:tcW w:w="797" w:type="dxa"/>
            <w:tcBorders>
              <w:tl2br w:val="nil"/>
              <w:tr2bl w:val="nil"/>
            </w:tcBorders>
            <w:vAlign w:val="center"/>
          </w:tcPr>
          <w:p w14:paraId="053E0C81">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酱类</w:t>
            </w:r>
          </w:p>
        </w:tc>
        <w:tc>
          <w:tcPr>
            <w:tcW w:w="797" w:type="dxa"/>
            <w:tcBorders>
              <w:tl2br w:val="nil"/>
              <w:tr2bl w:val="nil"/>
            </w:tcBorders>
            <w:vAlign w:val="center"/>
          </w:tcPr>
          <w:p w14:paraId="302CB013">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酿造酱</w:t>
            </w:r>
          </w:p>
        </w:tc>
        <w:tc>
          <w:tcPr>
            <w:tcW w:w="953" w:type="dxa"/>
            <w:tcBorders>
              <w:tl2br w:val="nil"/>
              <w:tr2bl w:val="nil"/>
            </w:tcBorders>
            <w:vAlign w:val="center"/>
          </w:tcPr>
          <w:p w14:paraId="445EE967">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黄豆酱、甜面酱等</w:t>
            </w:r>
          </w:p>
        </w:tc>
        <w:tc>
          <w:tcPr>
            <w:tcW w:w="1896" w:type="dxa"/>
            <w:tcBorders>
              <w:tl2br w:val="nil"/>
              <w:tr2bl w:val="nil"/>
            </w:tcBorders>
            <w:vAlign w:val="center"/>
          </w:tcPr>
          <w:p w14:paraId="0B55CF16">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氨基酸态氮、黄曲霉毒素B</w:t>
            </w:r>
            <w:r>
              <w:rPr>
                <w:rFonts w:hint="eastAsia" w:ascii="宋体" w:hAnsi="宋体" w:cs="宋体"/>
                <w:color w:val="auto"/>
                <w:kern w:val="0"/>
                <w:sz w:val="18"/>
                <w:szCs w:val="18"/>
                <w:highlight w:val="none"/>
                <w:vertAlign w:val="subscript"/>
              </w:rPr>
              <w:t>1</w:t>
            </w:r>
          </w:p>
        </w:tc>
        <w:tc>
          <w:tcPr>
            <w:tcW w:w="2956" w:type="dxa"/>
            <w:tcBorders>
              <w:tl2br w:val="nil"/>
              <w:tr2bl w:val="nil"/>
            </w:tcBorders>
            <w:vAlign w:val="center"/>
          </w:tcPr>
          <w:p w14:paraId="0747950C">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苯甲酸及其钠盐（以苯甲酸计）、山梨酸及其钾盐（以山梨酸计）、脱氢乙酸及其钠盐（以脱氢乙酸计）、防腐剂混合使用时各自用量占其最大使用量的比例之和、糖精钠（以糖精计）、三氯蔗糖、甜蜜素（以环己基氨基磺酸计）、安赛蜜、大肠菌群</w:t>
            </w:r>
          </w:p>
        </w:tc>
      </w:tr>
      <w:tr w14:paraId="60991DB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348" w:hRule="atLeast"/>
        </w:trPr>
        <w:tc>
          <w:tcPr>
            <w:tcW w:w="953" w:type="dxa"/>
            <w:vMerge w:val="continue"/>
            <w:tcBorders>
              <w:tl2br w:val="nil"/>
              <w:tr2bl w:val="nil"/>
            </w:tcBorders>
            <w:vAlign w:val="center"/>
          </w:tcPr>
          <w:p w14:paraId="6ADC2718">
            <w:pPr>
              <w:widowControl/>
              <w:jc w:val="left"/>
              <w:rPr>
                <w:rFonts w:eastAsia="等线"/>
                <w:color w:val="auto"/>
                <w:kern w:val="0"/>
                <w:sz w:val="18"/>
                <w:szCs w:val="18"/>
                <w:highlight w:val="none"/>
              </w:rPr>
            </w:pPr>
          </w:p>
        </w:tc>
        <w:tc>
          <w:tcPr>
            <w:tcW w:w="796" w:type="dxa"/>
            <w:vMerge w:val="continue"/>
            <w:tcBorders>
              <w:tl2br w:val="nil"/>
              <w:tr2bl w:val="nil"/>
            </w:tcBorders>
            <w:vAlign w:val="center"/>
          </w:tcPr>
          <w:p w14:paraId="26E52941">
            <w:pPr>
              <w:widowControl/>
              <w:jc w:val="left"/>
              <w:rPr>
                <w:rFonts w:ascii="宋体" w:hAnsi="宋体" w:cs="宋体"/>
                <w:color w:val="auto"/>
                <w:kern w:val="0"/>
                <w:sz w:val="18"/>
                <w:szCs w:val="18"/>
                <w:highlight w:val="none"/>
              </w:rPr>
            </w:pPr>
          </w:p>
        </w:tc>
        <w:tc>
          <w:tcPr>
            <w:tcW w:w="797" w:type="dxa"/>
            <w:tcBorders>
              <w:tl2br w:val="nil"/>
              <w:tr2bl w:val="nil"/>
            </w:tcBorders>
            <w:vAlign w:val="center"/>
          </w:tcPr>
          <w:p w14:paraId="0D8EA949">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调味料酒</w:t>
            </w:r>
          </w:p>
        </w:tc>
        <w:tc>
          <w:tcPr>
            <w:tcW w:w="797" w:type="dxa"/>
            <w:tcBorders>
              <w:tl2br w:val="nil"/>
              <w:tr2bl w:val="nil"/>
            </w:tcBorders>
            <w:vAlign w:val="center"/>
          </w:tcPr>
          <w:p w14:paraId="1A6BA491">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调味料酒</w:t>
            </w:r>
          </w:p>
        </w:tc>
        <w:tc>
          <w:tcPr>
            <w:tcW w:w="953" w:type="dxa"/>
            <w:tcBorders>
              <w:tl2br w:val="nil"/>
              <w:tr2bl w:val="nil"/>
            </w:tcBorders>
            <w:vAlign w:val="center"/>
          </w:tcPr>
          <w:p w14:paraId="1B19F685">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料酒</w:t>
            </w:r>
          </w:p>
        </w:tc>
        <w:tc>
          <w:tcPr>
            <w:tcW w:w="1896" w:type="dxa"/>
            <w:tcBorders>
              <w:tl2br w:val="nil"/>
              <w:tr2bl w:val="nil"/>
            </w:tcBorders>
            <w:vAlign w:val="center"/>
          </w:tcPr>
          <w:p w14:paraId="70768F41">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苯甲酸及其钠盐（以苯甲酸计）、山梨酸及其钾盐（以山梨酸计）、脱氢乙酸及其钠盐（以脱氢乙酸计）</w:t>
            </w:r>
          </w:p>
        </w:tc>
        <w:tc>
          <w:tcPr>
            <w:tcW w:w="2956" w:type="dxa"/>
            <w:tcBorders>
              <w:tl2br w:val="nil"/>
              <w:tr2bl w:val="nil"/>
            </w:tcBorders>
            <w:vAlign w:val="center"/>
          </w:tcPr>
          <w:p w14:paraId="0971D437">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氨基酸态氮（以氮计）、糖精钠（以糖精计）、甜蜜素（以环己基氨基磺酸计）、三氯蔗糖</w:t>
            </w:r>
          </w:p>
        </w:tc>
      </w:tr>
      <w:tr w14:paraId="4DA488D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90" w:hRule="atLeast"/>
        </w:trPr>
        <w:tc>
          <w:tcPr>
            <w:tcW w:w="953" w:type="dxa"/>
            <w:vMerge w:val="continue"/>
            <w:tcBorders>
              <w:tl2br w:val="nil"/>
              <w:tr2bl w:val="nil"/>
            </w:tcBorders>
            <w:vAlign w:val="center"/>
          </w:tcPr>
          <w:p w14:paraId="36971163">
            <w:pPr>
              <w:widowControl/>
              <w:jc w:val="left"/>
              <w:rPr>
                <w:rFonts w:eastAsia="等线"/>
                <w:color w:val="auto"/>
                <w:kern w:val="0"/>
                <w:sz w:val="18"/>
                <w:szCs w:val="18"/>
                <w:highlight w:val="none"/>
              </w:rPr>
            </w:pPr>
          </w:p>
        </w:tc>
        <w:tc>
          <w:tcPr>
            <w:tcW w:w="796" w:type="dxa"/>
            <w:vMerge w:val="continue"/>
            <w:tcBorders>
              <w:tl2br w:val="nil"/>
              <w:tr2bl w:val="nil"/>
            </w:tcBorders>
            <w:vAlign w:val="center"/>
          </w:tcPr>
          <w:p w14:paraId="5430D6B1">
            <w:pPr>
              <w:widowControl/>
              <w:jc w:val="left"/>
              <w:rPr>
                <w:rFonts w:ascii="宋体" w:hAnsi="宋体" w:cs="宋体"/>
                <w:color w:val="auto"/>
                <w:kern w:val="0"/>
                <w:sz w:val="18"/>
                <w:szCs w:val="18"/>
                <w:highlight w:val="none"/>
              </w:rPr>
            </w:pPr>
          </w:p>
        </w:tc>
        <w:tc>
          <w:tcPr>
            <w:tcW w:w="797" w:type="dxa"/>
            <w:vMerge w:val="restart"/>
            <w:tcBorders>
              <w:tl2br w:val="nil"/>
              <w:tr2bl w:val="nil"/>
            </w:tcBorders>
            <w:vAlign w:val="center"/>
          </w:tcPr>
          <w:p w14:paraId="00EFD0A2">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香辛料类</w:t>
            </w:r>
          </w:p>
        </w:tc>
        <w:tc>
          <w:tcPr>
            <w:tcW w:w="797" w:type="dxa"/>
            <w:vMerge w:val="restart"/>
            <w:tcBorders>
              <w:tl2br w:val="nil"/>
              <w:tr2bl w:val="nil"/>
            </w:tcBorders>
            <w:vAlign w:val="center"/>
          </w:tcPr>
          <w:p w14:paraId="33D8DB1B">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香辛料类</w:t>
            </w:r>
          </w:p>
        </w:tc>
        <w:tc>
          <w:tcPr>
            <w:tcW w:w="953" w:type="dxa"/>
            <w:tcBorders>
              <w:tl2br w:val="nil"/>
              <w:tr2bl w:val="nil"/>
            </w:tcBorders>
            <w:vAlign w:val="center"/>
          </w:tcPr>
          <w:p w14:paraId="3FE94148">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香辛料调味油</w:t>
            </w:r>
          </w:p>
        </w:tc>
        <w:tc>
          <w:tcPr>
            <w:tcW w:w="1896" w:type="dxa"/>
            <w:tcBorders>
              <w:tl2br w:val="nil"/>
              <w:tr2bl w:val="nil"/>
            </w:tcBorders>
            <w:vAlign w:val="center"/>
          </w:tcPr>
          <w:p w14:paraId="5DAC8AA3">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酸价</w:t>
            </w:r>
            <w:r>
              <w:rPr>
                <w:color w:val="auto"/>
                <w:kern w:val="0"/>
                <w:sz w:val="18"/>
                <w:szCs w:val="18"/>
                <w:highlight w:val="none"/>
              </w:rPr>
              <w:t>/</w:t>
            </w:r>
            <w:r>
              <w:rPr>
                <w:rFonts w:hint="eastAsia" w:ascii="宋体" w:hAnsi="宋体" w:cs="宋体"/>
                <w:color w:val="auto"/>
                <w:kern w:val="0"/>
                <w:sz w:val="18"/>
                <w:szCs w:val="18"/>
                <w:highlight w:val="none"/>
              </w:rPr>
              <w:t>酸值、过氧化值</w:t>
            </w:r>
          </w:p>
        </w:tc>
        <w:tc>
          <w:tcPr>
            <w:tcW w:w="2956" w:type="dxa"/>
            <w:tcBorders>
              <w:tl2br w:val="nil"/>
              <w:tr2bl w:val="nil"/>
            </w:tcBorders>
            <w:vAlign w:val="center"/>
          </w:tcPr>
          <w:p w14:paraId="0B5E9020">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铅（以</w:t>
            </w:r>
            <w:r>
              <w:rPr>
                <w:color w:val="auto"/>
                <w:kern w:val="0"/>
                <w:sz w:val="18"/>
                <w:szCs w:val="18"/>
                <w:highlight w:val="none"/>
              </w:rPr>
              <w:t>Pb</w:t>
            </w:r>
            <w:r>
              <w:rPr>
                <w:rFonts w:hint="eastAsia" w:ascii="宋体" w:hAnsi="宋体" w:cs="宋体"/>
                <w:color w:val="auto"/>
                <w:kern w:val="0"/>
                <w:sz w:val="18"/>
                <w:szCs w:val="18"/>
                <w:highlight w:val="none"/>
              </w:rPr>
              <w:t>计）</w:t>
            </w:r>
          </w:p>
        </w:tc>
      </w:tr>
      <w:tr w14:paraId="340EDE0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 w:hRule="atLeast"/>
        </w:trPr>
        <w:tc>
          <w:tcPr>
            <w:tcW w:w="953" w:type="dxa"/>
            <w:vMerge w:val="continue"/>
            <w:tcBorders>
              <w:tl2br w:val="nil"/>
              <w:tr2bl w:val="nil"/>
            </w:tcBorders>
            <w:vAlign w:val="center"/>
          </w:tcPr>
          <w:p w14:paraId="6C6DD4A9">
            <w:pPr>
              <w:widowControl/>
              <w:jc w:val="left"/>
              <w:rPr>
                <w:rFonts w:eastAsia="等线"/>
                <w:color w:val="auto"/>
                <w:kern w:val="0"/>
                <w:sz w:val="18"/>
                <w:szCs w:val="18"/>
                <w:highlight w:val="none"/>
              </w:rPr>
            </w:pPr>
          </w:p>
        </w:tc>
        <w:tc>
          <w:tcPr>
            <w:tcW w:w="796" w:type="dxa"/>
            <w:vMerge w:val="continue"/>
            <w:tcBorders>
              <w:tl2br w:val="nil"/>
              <w:tr2bl w:val="nil"/>
            </w:tcBorders>
            <w:vAlign w:val="center"/>
          </w:tcPr>
          <w:p w14:paraId="3055400B">
            <w:pPr>
              <w:widowControl/>
              <w:jc w:val="left"/>
              <w:rPr>
                <w:rFonts w:ascii="宋体" w:hAnsi="宋体" w:cs="宋体"/>
                <w:color w:val="auto"/>
                <w:kern w:val="0"/>
                <w:sz w:val="18"/>
                <w:szCs w:val="18"/>
                <w:highlight w:val="none"/>
              </w:rPr>
            </w:pPr>
          </w:p>
        </w:tc>
        <w:tc>
          <w:tcPr>
            <w:tcW w:w="797" w:type="dxa"/>
            <w:vMerge w:val="continue"/>
            <w:tcBorders>
              <w:tl2br w:val="nil"/>
              <w:tr2bl w:val="nil"/>
            </w:tcBorders>
            <w:vAlign w:val="center"/>
          </w:tcPr>
          <w:p w14:paraId="5CE05F98">
            <w:pPr>
              <w:widowControl/>
              <w:jc w:val="left"/>
              <w:rPr>
                <w:rFonts w:ascii="宋体" w:hAnsi="宋体" w:cs="宋体"/>
                <w:color w:val="auto"/>
                <w:kern w:val="0"/>
                <w:sz w:val="18"/>
                <w:szCs w:val="18"/>
                <w:highlight w:val="none"/>
              </w:rPr>
            </w:pPr>
          </w:p>
        </w:tc>
        <w:tc>
          <w:tcPr>
            <w:tcW w:w="797" w:type="dxa"/>
            <w:vMerge w:val="continue"/>
            <w:tcBorders>
              <w:tl2br w:val="nil"/>
              <w:tr2bl w:val="nil"/>
            </w:tcBorders>
            <w:vAlign w:val="center"/>
          </w:tcPr>
          <w:p w14:paraId="1AAA15E2">
            <w:pPr>
              <w:widowControl/>
              <w:jc w:val="left"/>
              <w:rPr>
                <w:rFonts w:ascii="宋体" w:hAnsi="宋体" w:cs="宋体"/>
                <w:color w:val="auto"/>
                <w:kern w:val="0"/>
                <w:sz w:val="18"/>
                <w:szCs w:val="18"/>
                <w:highlight w:val="none"/>
              </w:rPr>
            </w:pPr>
          </w:p>
        </w:tc>
        <w:tc>
          <w:tcPr>
            <w:tcW w:w="953" w:type="dxa"/>
            <w:tcBorders>
              <w:tl2br w:val="nil"/>
              <w:tr2bl w:val="nil"/>
            </w:tcBorders>
            <w:vAlign w:val="center"/>
          </w:tcPr>
          <w:p w14:paraId="321BAB0D">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辣椒、花椒、辣椒粉、花椒粉</w:t>
            </w:r>
          </w:p>
        </w:tc>
        <w:tc>
          <w:tcPr>
            <w:tcW w:w="1896" w:type="dxa"/>
            <w:tcBorders>
              <w:tl2br w:val="nil"/>
              <w:tr2bl w:val="nil"/>
            </w:tcBorders>
            <w:vAlign w:val="center"/>
          </w:tcPr>
          <w:p w14:paraId="41292C85">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铅（以</w:t>
            </w:r>
            <w:r>
              <w:rPr>
                <w:color w:val="auto"/>
                <w:kern w:val="0"/>
                <w:sz w:val="18"/>
                <w:szCs w:val="18"/>
                <w:highlight w:val="none"/>
              </w:rPr>
              <w:t>Pb</w:t>
            </w:r>
            <w:r>
              <w:rPr>
                <w:rFonts w:hint="eastAsia" w:ascii="宋体" w:hAnsi="宋体" w:cs="宋体"/>
                <w:color w:val="auto"/>
                <w:kern w:val="0"/>
                <w:sz w:val="18"/>
                <w:szCs w:val="18"/>
                <w:highlight w:val="none"/>
              </w:rPr>
              <w:t>计）、二氧化硫残留量</w:t>
            </w:r>
          </w:p>
        </w:tc>
        <w:tc>
          <w:tcPr>
            <w:tcW w:w="2956" w:type="dxa"/>
            <w:tcBorders>
              <w:tl2br w:val="nil"/>
              <w:tr2bl w:val="nil"/>
            </w:tcBorders>
            <w:vAlign w:val="center"/>
          </w:tcPr>
          <w:p w14:paraId="444CBA20">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罗丹明</w:t>
            </w:r>
            <w:r>
              <w:rPr>
                <w:color w:val="auto"/>
                <w:kern w:val="0"/>
                <w:sz w:val="18"/>
                <w:szCs w:val="18"/>
                <w:highlight w:val="none"/>
              </w:rPr>
              <w:t>B</w:t>
            </w:r>
            <w:r>
              <w:rPr>
                <w:rFonts w:hint="eastAsia" w:ascii="宋体" w:hAnsi="宋体" w:cs="宋体"/>
                <w:color w:val="auto"/>
                <w:kern w:val="0"/>
                <w:sz w:val="18"/>
                <w:szCs w:val="18"/>
                <w:highlight w:val="none"/>
              </w:rPr>
              <w:t>、苏丹红Ⅰ、苏丹红Ⅱ、苏丹用Ⅲ、苏丹红Ⅳ、脱氢乙酸及其钠盐（以脱氢乙酸计）、合成着色剂（柠檬黄、日落黄、胭脂红）、沙门氏菌</w:t>
            </w:r>
          </w:p>
        </w:tc>
      </w:tr>
      <w:tr w14:paraId="4753075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41" w:hRule="atLeast"/>
        </w:trPr>
        <w:tc>
          <w:tcPr>
            <w:tcW w:w="953" w:type="dxa"/>
            <w:vMerge w:val="continue"/>
            <w:tcBorders>
              <w:tl2br w:val="nil"/>
              <w:tr2bl w:val="nil"/>
            </w:tcBorders>
            <w:vAlign w:val="center"/>
          </w:tcPr>
          <w:p w14:paraId="1D50F2B5">
            <w:pPr>
              <w:widowControl/>
              <w:jc w:val="left"/>
              <w:rPr>
                <w:rFonts w:eastAsia="等线"/>
                <w:color w:val="auto"/>
                <w:kern w:val="0"/>
                <w:sz w:val="18"/>
                <w:szCs w:val="18"/>
                <w:highlight w:val="none"/>
              </w:rPr>
            </w:pPr>
          </w:p>
        </w:tc>
        <w:tc>
          <w:tcPr>
            <w:tcW w:w="796" w:type="dxa"/>
            <w:vMerge w:val="continue"/>
            <w:tcBorders>
              <w:tl2br w:val="nil"/>
              <w:tr2bl w:val="nil"/>
            </w:tcBorders>
            <w:vAlign w:val="center"/>
          </w:tcPr>
          <w:p w14:paraId="3E867F41">
            <w:pPr>
              <w:widowControl/>
              <w:jc w:val="left"/>
              <w:rPr>
                <w:rFonts w:ascii="宋体" w:hAnsi="宋体" w:cs="宋体"/>
                <w:color w:val="auto"/>
                <w:kern w:val="0"/>
                <w:sz w:val="18"/>
                <w:szCs w:val="18"/>
                <w:highlight w:val="none"/>
              </w:rPr>
            </w:pPr>
          </w:p>
        </w:tc>
        <w:tc>
          <w:tcPr>
            <w:tcW w:w="797" w:type="dxa"/>
            <w:vMerge w:val="continue"/>
            <w:tcBorders>
              <w:tl2br w:val="nil"/>
              <w:tr2bl w:val="nil"/>
            </w:tcBorders>
            <w:vAlign w:val="center"/>
          </w:tcPr>
          <w:p w14:paraId="7830F598">
            <w:pPr>
              <w:widowControl/>
              <w:jc w:val="left"/>
              <w:rPr>
                <w:rFonts w:ascii="宋体" w:hAnsi="宋体" w:cs="宋体"/>
                <w:color w:val="auto"/>
                <w:kern w:val="0"/>
                <w:sz w:val="18"/>
                <w:szCs w:val="18"/>
                <w:highlight w:val="none"/>
              </w:rPr>
            </w:pPr>
          </w:p>
        </w:tc>
        <w:tc>
          <w:tcPr>
            <w:tcW w:w="797" w:type="dxa"/>
            <w:vMerge w:val="continue"/>
            <w:tcBorders>
              <w:tl2br w:val="nil"/>
              <w:tr2bl w:val="nil"/>
            </w:tcBorders>
            <w:vAlign w:val="center"/>
          </w:tcPr>
          <w:p w14:paraId="1332B7C7">
            <w:pPr>
              <w:widowControl/>
              <w:jc w:val="left"/>
              <w:rPr>
                <w:rFonts w:ascii="宋体" w:hAnsi="宋体" w:cs="宋体"/>
                <w:color w:val="auto"/>
                <w:kern w:val="0"/>
                <w:sz w:val="18"/>
                <w:szCs w:val="18"/>
                <w:highlight w:val="none"/>
              </w:rPr>
            </w:pPr>
          </w:p>
        </w:tc>
        <w:tc>
          <w:tcPr>
            <w:tcW w:w="953" w:type="dxa"/>
            <w:tcBorders>
              <w:tl2br w:val="nil"/>
              <w:tr2bl w:val="nil"/>
            </w:tcBorders>
            <w:vAlign w:val="center"/>
          </w:tcPr>
          <w:p w14:paraId="5A31C830">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其他香辛料调味品</w:t>
            </w:r>
          </w:p>
        </w:tc>
        <w:tc>
          <w:tcPr>
            <w:tcW w:w="1896" w:type="dxa"/>
            <w:tcBorders>
              <w:tl2br w:val="nil"/>
              <w:tr2bl w:val="nil"/>
            </w:tcBorders>
            <w:vAlign w:val="center"/>
          </w:tcPr>
          <w:p w14:paraId="4800E2DA">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铅（以</w:t>
            </w:r>
            <w:r>
              <w:rPr>
                <w:color w:val="auto"/>
                <w:kern w:val="0"/>
                <w:sz w:val="18"/>
                <w:szCs w:val="18"/>
                <w:highlight w:val="none"/>
              </w:rPr>
              <w:t>Pb</w:t>
            </w:r>
            <w:r>
              <w:rPr>
                <w:rFonts w:hint="eastAsia" w:ascii="宋体" w:hAnsi="宋体" w:cs="宋体"/>
                <w:color w:val="auto"/>
                <w:kern w:val="0"/>
                <w:sz w:val="18"/>
                <w:szCs w:val="18"/>
                <w:highlight w:val="none"/>
              </w:rPr>
              <w:t>计）、二氧化硫残留量</w:t>
            </w:r>
          </w:p>
        </w:tc>
        <w:tc>
          <w:tcPr>
            <w:tcW w:w="2956" w:type="dxa"/>
            <w:tcBorders>
              <w:tl2br w:val="nil"/>
              <w:tr2bl w:val="nil"/>
            </w:tcBorders>
            <w:vAlign w:val="center"/>
          </w:tcPr>
          <w:p w14:paraId="26988DCE">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脱氢乙酸及其钠盐（以脱氢乙酸计）、甜蜜素（以环己基氨基磺酸计）、合成着色剂（柠檬黄、日落黄、苋菜红、胭脂红、亮蓝）、丙溴磷、氯氰菊酯和高效氯氰菊酯、多菌灵、沙门氏菌</w:t>
            </w:r>
          </w:p>
        </w:tc>
      </w:tr>
      <w:tr w14:paraId="11896A2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961" w:hRule="atLeast"/>
        </w:trPr>
        <w:tc>
          <w:tcPr>
            <w:tcW w:w="953" w:type="dxa"/>
            <w:vMerge w:val="continue"/>
            <w:tcBorders>
              <w:tl2br w:val="nil"/>
              <w:tr2bl w:val="nil"/>
            </w:tcBorders>
            <w:vAlign w:val="center"/>
          </w:tcPr>
          <w:p w14:paraId="40667E9D">
            <w:pPr>
              <w:widowControl/>
              <w:jc w:val="left"/>
              <w:rPr>
                <w:rFonts w:eastAsia="等线"/>
                <w:color w:val="auto"/>
                <w:kern w:val="0"/>
                <w:sz w:val="18"/>
                <w:szCs w:val="18"/>
                <w:highlight w:val="none"/>
              </w:rPr>
            </w:pPr>
          </w:p>
        </w:tc>
        <w:tc>
          <w:tcPr>
            <w:tcW w:w="796" w:type="dxa"/>
            <w:vMerge w:val="continue"/>
            <w:tcBorders>
              <w:tl2br w:val="nil"/>
              <w:tr2bl w:val="nil"/>
            </w:tcBorders>
            <w:vAlign w:val="center"/>
          </w:tcPr>
          <w:p w14:paraId="164AFFC5">
            <w:pPr>
              <w:widowControl/>
              <w:jc w:val="left"/>
              <w:rPr>
                <w:rFonts w:ascii="宋体" w:hAnsi="宋体" w:cs="宋体"/>
                <w:color w:val="auto"/>
                <w:kern w:val="0"/>
                <w:sz w:val="18"/>
                <w:szCs w:val="18"/>
                <w:highlight w:val="none"/>
              </w:rPr>
            </w:pPr>
          </w:p>
        </w:tc>
        <w:tc>
          <w:tcPr>
            <w:tcW w:w="797" w:type="dxa"/>
            <w:tcBorders>
              <w:tl2br w:val="nil"/>
              <w:tr2bl w:val="nil"/>
            </w:tcBorders>
            <w:vAlign w:val="center"/>
          </w:tcPr>
          <w:p w14:paraId="02F20C21">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调味料</w:t>
            </w:r>
          </w:p>
        </w:tc>
        <w:tc>
          <w:tcPr>
            <w:tcW w:w="797" w:type="dxa"/>
            <w:tcBorders>
              <w:tl2br w:val="nil"/>
              <w:tr2bl w:val="nil"/>
            </w:tcBorders>
            <w:vAlign w:val="center"/>
          </w:tcPr>
          <w:p w14:paraId="77371B77">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固体复合调味料</w:t>
            </w:r>
          </w:p>
        </w:tc>
        <w:tc>
          <w:tcPr>
            <w:tcW w:w="953" w:type="dxa"/>
            <w:tcBorders>
              <w:tl2br w:val="nil"/>
              <w:tr2bl w:val="nil"/>
            </w:tcBorders>
            <w:vAlign w:val="center"/>
          </w:tcPr>
          <w:p w14:paraId="24C086DF">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鸡粉、鸡精调味料</w:t>
            </w:r>
          </w:p>
        </w:tc>
        <w:tc>
          <w:tcPr>
            <w:tcW w:w="1896" w:type="dxa"/>
            <w:tcBorders>
              <w:tl2br w:val="nil"/>
              <w:tr2bl w:val="nil"/>
            </w:tcBorders>
            <w:vAlign w:val="center"/>
          </w:tcPr>
          <w:p w14:paraId="02D24306">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谷氨酸钠、呈味核苷酸二钠、菌落总数、大肠菌群</w:t>
            </w:r>
          </w:p>
        </w:tc>
        <w:tc>
          <w:tcPr>
            <w:tcW w:w="2956" w:type="dxa"/>
            <w:tcBorders>
              <w:tl2br w:val="nil"/>
              <w:tr2bl w:val="nil"/>
            </w:tcBorders>
            <w:vAlign w:val="center"/>
          </w:tcPr>
          <w:p w14:paraId="732926E3">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铅（以</w:t>
            </w:r>
            <w:r>
              <w:rPr>
                <w:color w:val="auto"/>
                <w:kern w:val="0"/>
                <w:sz w:val="18"/>
                <w:szCs w:val="18"/>
                <w:highlight w:val="none"/>
              </w:rPr>
              <w:t>Pb</w:t>
            </w:r>
            <w:r>
              <w:rPr>
                <w:rFonts w:hint="eastAsia" w:ascii="宋体" w:hAnsi="宋体" w:cs="宋体"/>
                <w:color w:val="auto"/>
                <w:kern w:val="0"/>
                <w:sz w:val="18"/>
                <w:szCs w:val="18"/>
                <w:highlight w:val="none"/>
              </w:rPr>
              <w:t>计）、糖精钠（以糖精计）、甜蜜素（以环己基氨基磺酸计）</w:t>
            </w:r>
          </w:p>
        </w:tc>
      </w:tr>
      <w:tr w14:paraId="1D759A9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318" w:hRule="atLeast"/>
        </w:trPr>
        <w:tc>
          <w:tcPr>
            <w:tcW w:w="953" w:type="dxa"/>
            <w:vMerge w:val="restart"/>
            <w:tcBorders>
              <w:tl2br w:val="nil"/>
              <w:tr2bl w:val="nil"/>
            </w:tcBorders>
            <w:vAlign w:val="center"/>
          </w:tcPr>
          <w:p w14:paraId="0177ADA7">
            <w:pPr>
              <w:widowControl/>
              <w:jc w:val="center"/>
              <w:rPr>
                <w:rFonts w:eastAsia="等线"/>
                <w:color w:val="auto"/>
                <w:kern w:val="0"/>
                <w:sz w:val="18"/>
                <w:szCs w:val="18"/>
                <w:highlight w:val="none"/>
              </w:rPr>
            </w:pPr>
            <w:r>
              <w:rPr>
                <w:rFonts w:eastAsia="等线"/>
                <w:color w:val="auto"/>
                <w:kern w:val="0"/>
                <w:sz w:val="18"/>
                <w:szCs w:val="18"/>
                <w:highlight w:val="none"/>
              </w:rPr>
              <w:t>3</w:t>
            </w:r>
          </w:p>
        </w:tc>
        <w:tc>
          <w:tcPr>
            <w:tcW w:w="796" w:type="dxa"/>
            <w:vMerge w:val="restart"/>
            <w:tcBorders>
              <w:tl2br w:val="nil"/>
              <w:tr2bl w:val="nil"/>
            </w:tcBorders>
            <w:vAlign w:val="center"/>
          </w:tcPr>
          <w:p w14:paraId="669826DB">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调味品</w:t>
            </w:r>
          </w:p>
        </w:tc>
        <w:tc>
          <w:tcPr>
            <w:tcW w:w="797" w:type="dxa"/>
            <w:vMerge w:val="restart"/>
            <w:tcBorders>
              <w:tl2br w:val="nil"/>
              <w:tr2bl w:val="nil"/>
            </w:tcBorders>
            <w:vAlign w:val="center"/>
          </w:tcPr>
          <w:p w14:paraId="79DFD3B9">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调味料</w:t>
            </w:r>
          </w:p>
        </w:tc>
        <w:tc>
          <w:tcPr>
            <w:tcW w:w="797" w:type="dxa"/>
            <w:tcBorders>
              <w:tl2br w:val="nil"/>
              <w:tr2bl w:val="nil"/>
            </w:tcBorders>
            <w:vAlign w:val="center"/>
          </w:tcPr>
          <w:p w14:paraId="2B3A1355">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固体复合调味料</w:t>
            </w:r>
          </w:p>
        </w:tc>
        <w:tc>
          <w:tcPr>
            <w:tcW w:w="953" w:type="dxa"/>
            <w:tcBorders>
              <w:tl2br w:val="nil"/>
              <w:tr2bl w:val="nil"/>
            </w:tcBorders>
            <w:vAlign w:val="center"/>
          </w:tcPr>
          <w:p w14:paraId="23B36A14">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其他固体调味料</w:t>
            </w:r>
          </w:p>
        </w:tc>
        <w:tc>
          <w:tcPr>
            <w:tcW w:w="1896" w:type="dxa"/>
            <w:tcBorders>
              <w:tl2br w:val="nil"/>
              <w:tr2bl w:val="nil"/>
            </w:tcBorders>
            <w:vAlign w:val="center"/>
          </w:tcPr>
          <w:p w14:paraId="4196F1D7">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苯甲酸及其钠盐（以苯甲酸计）、山梨酸及其钾盐（以山梨酸计）、脱氢乙酸及其钠盐（以脱氢乙酸计）、防腐剂混合使用时各自用量占其最大使用量的比例之和</w:t>
            </w:r>
          </w:p>
        </w:tc>
        <w:tc>
          <w:tcPr>
            <w:tcW w:w="2956" w:type="dxa"/>
            <w:tcBorders>
              <w:tl2br w:val="nil"/>
              <w:tr2bl w:val="nil"/>
            </w:tcBorders>
            <w:vAlign w:val="center"/>
          </w:tcPr>
          <w:p w14:paraId="669C97BB">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铅（以Pb计）、苏丹红Ⅰ、苏丹红Ⅱ、苏丹用Ⅲ、苏丹红Ⅳ、罂粟碱、吗啡、可待因、那可丁、二氧化硫残留量、糖精钠（以糖精计）、甜蜜素（以环己基氨基磺酸计）、安赛蜜、阿斯巴甜</w:t>
            </w:r>
          </w:p>
        </w:tc>
      </w:tr>
      <w:tr w14:paraId="763EC08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76" w:hRule="atLeast"/>
        </w:trPr>
        <w:tc>
          <w:tcPr>
            <w:tcW w:w="953" w:type="dxa"/>
            <w:vMerge w:val="continue"/>
            <w:tcBorders>
              <w:tl2br w:val="nil"/>
              <w:tr2bl w:val="nil"/>
            </w:tcBorders>
            <w:vAlign w:val="center"/>
          </w:tcPr>
          <w:p w14:paraId="0B3FC98A">
            <w:pPr>
              <w:widowControl/>
              <w:jc w:val="left"/>
              <w:rPr>
                <w:rFonts w:eastAsia="等线"/>
                <w:color w:val="auto"/>
                <w:kern w:val="0"/>
                <w:sz w:val="18"/>
                <w:szCs w:val="18"/>
                <w:highlight w:val="none"/>
              </w:rPr>
            </w:pPr>
          </w:p>
        </w:tc>
        <w:tc>
          <w:tcPr>
            <w:tcW w:w="796" w:type="dxa"/>
            <w:vMerge w:val="continue"/>
            <w:tcBorders>
              <w:tl2br w:val="nil"/>
              <w:tr2bl w:val="nil"/>
            </w:tcBorders>
            <w:vAlign w:val="center"/>
          </w:tcPr>
          <w:p w14:paraId="56A347D4">
            <w:pPr>
              <w:widowControl/>
              <w:jc w:val="left"/>
              <w:rPr>
                <w:rFonts w:ascii="宋体" w:hAnsi="宋体" w:cs="宋体"/>
                <w:color w:val="auto"/>
                <w:kern w:val="0"/>
                <w:sz w:val="18"/>
                <w:szCs w:val="18"/>
                <w:highlight w:val="none"/>
              </w:rPr>
            </w:pPr>
          </w:p>
        </w:tc>
        <w:tc>
          <w:tcPr>
            <w:tcW w:w="797" w:type="dxa"/>
            <w:vMerge w:val="continue"/>
            <w:tcBorders>
              <w:tl2br w:val="nil"/>
              <w:tr2bl w:val="nil"/>
            </w:tcBorders>
            <w:vAlign w:val="center"/>
          </w:tcPr>
          <w:p w14:paraId="6FD991C0">
            <w:pPr>
              <w:widowControl/>
              <w:jc w:val="left"/>
              <w:rPr>
                <w:rFonts w:ascii="宋体" w:hAnsi="宋体" w:cs="宋体"/>
                <w:color w:val="auto"/>
                <w:kern w:val="0"/>
                <w:sz w:val="18"/>
                <w:szCs w:val="18"/>
                <w:highlight w:val="none"/>
              </w:rPr>
            </w:pPr>
          </w:p>
        </w:tc>
        <w:tc>
          <w:tcPr>
            <w:tcW w:w="797" w:type="dxa"/>
            <w:vMerge w:val="restart"/>
            <w:tcBorders>
              <w:tl2br w:val="nil"/>
              <w:tr2bl w:val="nil"/>
            </w:tcBorders>
            <w:vAlign w:val="center"/>
          </w:tcPr>
          <w:p w14:paraId="642F472C">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半固体复合调味料</w:t>
            </w:r>
          </w:p>
        </w:tc>
        <w:tc>
          <w:tcPr>
            <w:tcW w:w="953" w:type="dxa"/>
            <w:tcBorders>
              <w:tl2br w:val="nil"/>
              <w:tr2bl w:val="nil"/>
            </w:tcBorders>
            <w:vAlign w:val="center"/>
          </w:tcPr>
          <w:p w14:paraId="0B0C7925">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蛋黄酱、沙拉酱</w:t>
            </w:r>
          </w:p>
        </w:tc>
        <w:tc>
          <w:tcPr>
            <w:tcW w:w="1896" w:type="dxa"/>
            <w:tcBorders>
              <w:tl2br w:val="nil"/>
              <w:tr2bl w:val="nil"/>
            </w:tcBorders>
            <w:vAlign w:val="center"/>
          </w:tcPr>
          <w:p w14:paraId="60319F11">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二氧化钛</w:t>
            </w:r>
          </w:p>
        </w:tc>
        <w:tc>
          <w:tcPr>
            <w:tcW w:w="2956" w:type="dxa"/>
            <w:tcBorders>
              <w:tl2br w:val="nil"/>
              <w:tr2bl w:val="nil"/>
            </w:tcBorders>
            <w:vAlign w:val="center"/>
          </w:tcPr>
          <w:p w14:paraId="2345B2F3">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　</w:t>
            </w:r>
          </w:p>
        </w:tc>
      </w:tr>
      <w:tr w14:paraId="7EDFB99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54" w:hRule="atLeast"/>
        </w:trPr>
        <w:tc>
          <w:tcPr>
            <w:tcW w:w="953" w:type="dxa"/>
            <w:vMerge w:val="continue"/>
            <w:tcBorders>
              <w:tl2br w:val="nil"/>
              <w:tr2bl w:val="nil"/>
            </w:tcBorders>
            <w:vAlign w:val="center"/>
          </w:tcPr>
          <w:p w14:paraId="79C616F7">
            <w:pPr>
              <w:widowControl/>
              <w:jc w:val="left"/>
              <w:rPr>
                <w:rFonts w:eastAsia="等线"/>
                <w:color w:val="auto"/>
                <w:kern w:val="0"/>
                <w:sz w:val="18"/>
                <w:szCs w:val="18"/>
                <w:highlight w:val="none"/>
              </w:rPr>
            </w:pPr>
          </w:p>
        </w:tc>
        <w:tc>
          <w:tcPr>
            <w:tcW w:w="796" w:type="dxa"/>
            <w:vMerge w:val="continue"/>
            <w:tcBorders>
              <w:tl2br w:val="nil"/>
              <w:tr2bl w:val="nil"/>
            </w:tcBorders>
            <w:vAlign w:val="center"/>
          </w:tcPr>
          <w:p w14:paraId="46E3440B">
            <w:pPr>
              <w:widowControl/>
              <w:jc w:val="left"/>
              <w:rPr>
                <w:rFonts w:ascii="宋体" w:hAnsi="宋体" w:cs="宋体"/>
                <w:color w:val="auto"/>
                <w:kern w:val="0"/>
                <w:sz w:val="18"/>
                <w:szCs w:val="18"/>
                <w:highlight w:val="none"/>
              </w:rPr>
            </w:pPr>
          </w:p>
        </w:tc>
        <w:tc>
          <w:tcPr>
            <w:tcW w:w="797" w:type="dxa"/>
            <w:vMerge w:val="continue"/>
            <w:tcBorders>
              <w:tl2br w:val="nil"/>
              <w:tr2bl w:val="nil"/>
            </w:tcBorders>
            <w:vAlign w:val="center"/>
          </w:tcPr>
          <w:p w14:paraId="2BE5C33D">
            <w:pPr>
              <w:widowControl/>
              <w:jc w:val="left"/>
              <w:rPr>
                <w:rFonts w:ascii="宋体" w:hAnsi="宋体" w:cs="宋体"/>
                <w:color w:val="auto"/>
                <w:kern w:val="0"/>
                <w:sz w:val="18"/>
                <w:szCs w:val="18"/>
                <w:highlight w:val="none"/>
              </w:rPr>
            </w:pPr>
          </w:p>
        </w:tc>
        <w:tc>
          <w:tcPr>
            <w:tcW w:w="797" w:type="dxa"/>
            <w:vMerge w:val="continue"/>
            <w:tcBorders>
              <w:tl2br w:val="nil"/>
              <w:tr2bl w:val="nil"/>
            </w:tcBorders>
            <w:vAlign w:val="center"/>
          </w:tcPr>
          <w:p w14:paraId="06919D7F">
            <w:pPr>
              <w:widowControl/>
              <w:jc w:val="left"/>
              <w:rPr>
                <w:rFonts w:ascii="宋体" w:hAnsi="宋体" w:cs="宋体"/>
                <w:color w:val="auto"/>
                <w:kern w:val="0"/>
                <w:sz w:val="18"/>
                <w:szCs w:val="18"/>
                <w:highlight w:val="none"/>
              </w:rPr>
            </w:pPr>
          </w:p>
        </w:tc>
        <w:tc>
          <w:tcPr>
            <w:tcW w:w="953" w:type="dxa"/>
            <w:tcBorders>
              <w:tl2br w:val="nil"/>
              <w:tr2bl w:val="nil"/>
            </w:tcBorders>
            <w:vAlign w:val="center"/>
          </w:tcPr>
          <w:p w14:paraId="598A1D60">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坚果与籽类的泥（酱）</w:t>
            </w:r>
          </w:p>
        </w:tc>
        <w:tc>
          <w:tcPr>
            <w:tcW w:w="1896" w:type="dxa"/>
            <w:tcBorders>
              <w:tl2br w:val="nil"/>
              <w:tr2bl w:val="nil"/>
            </w:tcBorders>
            <w:vAlign w:val="center"/>
          </w:tcPr>
          <w:p w14:paraId="34F203F6">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酸价</w:t>
            </w:r>
            <w:r>
              <w:rPr>
                <w:color w:val="auto"/>
                <w:kern w:val="0"/>
                <w:sz w:val="18"/>
                <w:szCs w:val="18"/>
                <w:highlight w:val="none"/>
              </w:rPr>
              <w:t>/</w:t>
            </w:r>
            <w:r>
              <w:rPr>
                <w:rFonts w:hint="eastAsia" w:ascii="宋体" w:hAnsi="宋体" w:cs="宋体"/>
                <w:color w:val="auto"/>
                <w:kern w:val="0"/>
                <w:sz w:val="18"/>
                <w:szCs w:val="18"/>
                <w:highlight w:val="none"/>
              </w:rPr>
              <w:t>酸值、过氧化值</w:t>
            </w:r>
          </w:p>
        </w:tc>
        <w:tc>
          <w:tcPr>
            <w:tcW w:w="2956" w:type="dxa"/>
            <w:tcBorders>
              <w:tl2br w:val="nil"/>
              <w:tr2bl w:val="nil"/>
            </w:tcBorders>
            <w:vAlign w:val="center"/>
          </w:tcPr>
          <w:p w14:paraId="7637FCD6">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铅（以</w:t>
            </w:r>
            <w:r>
              <w:rPr>
                <w:color w:val="auto"/>
                <w:kern w:val="0"/>
                <w:sz w:val="18"/>
                <w:szCs w:val="18"/>
                <w:highlight w:val="none"/>
              </w:rPr>
              <w:t>Pb</w:t>
            </w:r>
            <w:r>
              <w:rPr>
                <w:rFonts w:hint="eastAsia" w:ascii="宋体" w:hAnsi="宋体" w:cs="宋体"/>
                <w:color w:val="auto"/>
                <w:kern w:val="0"/>
                <w:sz w:val="18"/>
                <w:szCs w:val="18"/>
                <w:highlight w:val="none"/>
              </w:rPr>
              <w:t>计）、黄曲霉毒素</w:t>
            </w:r>
            <w:r>
              <w:rPr>
                <w:color w:val="auto"/>
                <w:kern w:val="0"/>
                <w:sz w:val="18"/>
                <w:szCs w:val="18"/>
                <w:highlight w:val="none"/>
              </w:rPr>
              <w:t>B</w:t>
            </w:r>
            <w:r>
              <w:rPr>
                <w:color w:val="auto"/>
                <w:kern w:val="0"/>
                <w:sz w:val="18"/>
                <w:szCs w:val="18"/>
                <w:highlight w:val="none"/>
                <w:vertAlign w:val="subscript"/>
              </w:rPr>
              <w:t>1</w:t>
            </w:r>
          </w:p>
        </w:tc>
      </w:tr>
      <w:tr w14:paraId="0106672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041" w:hRule="atLeast"/>
        </w:trPr>
        <w:tc>
          <w:tcPr>
            <w:tcW w:w="953" w:type="dxa"/>
            <w:vMerge w:val="continue"/>
            <w:tcBorders>
              <w:tl2br w:val="nil"/>
              <w:tr2bl w:val="nil"/>
            </w:tcBorders>
            <w:vAlign w:val="center"/>
          </w:tcPr>
          <w:p w14:paraId="15F1B7A2">
            <w:pPr>
              <w:widowControl/>
              <w:jc w:val="left"/>
              <w:rPr>
                <w:rFonts w:eastAsia="等线"/>
                <w:color w:val="auto"/>
                <w:kern w:val="0"/>
                <w:sz w:val="18"/>
                <w:szCs w:val="18"/>
                <w:highlight w:val="none"/>
              </w:rPr>
            </w:pPr>
          </w:p>
        </w:tc>
        <w:tc>
          <w:tcPr>
            <w:tcW w:w="796" w:type="dxa"/>
            <w:vMerge w:val="continue"/>
            <w:tcBorders>
              <w:tl2br w:val="nil"/>
              <w:tr2bl w:val="nil"/>
            </w:tcBorders>
            <w:vAlign w:val="center"/>
          </w:tcPr>
          <w:p w14:paraId="31E651F8">
            <w:pPr>
              <w:widowControl/>
              <w:jc w:val="left"/>
              <w:rPr>
                <w:rFonts w:ascii="宋体" w:hAnsi="宋体" w:cs="宋体"/>
                <w:color w:val="auto"/>
                <w:kern w:val="0"/>
                <w:sz w:val="18"/>
                <w:szCs w:val="18"/>
                <w:highlight w:val="none"/>
              </w:rPr>
            </w:pPr>
          </w:p>
        </w:tc>
        <w:tc>
          <w:tcPr>
            <w:tcW w:w="797" w:type="dxa"/>
            <w:vMerge w:val="continue"/>
            <w:tcBorders>
              <w:tl2br w:val="nil"/>
              <w:tr2bl w:val="nil"/>
            </w:tcBorders>
            <w:vAlign w:val="center"/>
          </w:tcPr>
          <w:p w14:paraId="71C9CD43">
            <w:pPr>
              <w:widowControl/>
              <w:jc w:val="left"/>
              <w:rPr>
                <w:rFonts w:ascii="宋体" w:hAnsi="宋体" w:cs="宋体"/>
                <w:color w:val="auto"/>
                <w:kern w:val="0"/>
                <w:sz w:val="18"/>
                <w:szCs w:val="18"/>
                <w:highlight w:val="none"/>
              </w:rPr>
            </w:pPr>
          </w:p>
        </w:tc>
        <w:tc>
          <w:tcPr>
            <w:tcW w:w="797" w:type="dxa"/>
            <w:vMerge w:val="continue"/>
            <w:tcBorders>
              <w:tl2br w:val="nil"/>
              <w:tr2bl w:val="nil"/>
            </w:tcBorders>
            <w:vAlign w:val="center"/>
          </w:tcPr>
          <w:p w14:paraId="09665255">
            <w:pPr>
              <w:widowControl/>
              <w:jc w:val="left"/>
              <w:rPr>
                <w:rFonts w:ascii="宋体" w:hAnsi="宋体" w:cs="宋体"/>
                <w:color w:val="auto"/>
                <w:kern w:val="0"/>
                <w:sz w:val="18"/>
                <w:szCs w:val="18"/>
                <w:highlight w:val="none"/>
              </w:rPr>
            </w:pPr>
          </w:p>
        </w:tc>
        <w:tc>
          <w:tcPr>
            <w:tcW w:w="953" w:type="dxa"/>
            <w:tcBorders>
              <w:tl2br w:val="nil"/>
              <w:tr2bl w:val="nil"/>
            </w:tcBorders>
            <w:vAlign w:val="center"/>
          </w:tcPr>
          <w:p w14:paraId="2CBB0172">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辣椒酱</w:t>
            </w:r>
          </w:p>
        </w:tc>
        <w:tc>
          <w:tcPr>
            <w:tcW w:w="1896" w:type="dxa"/>
            <w:tcBorders>
              <w:tl2br w:val="nil"/>
              <w:tr2bl w:val="nil"/>
            </w:tcBorders>
            <w:vAlign w:val="center"/>
          </w:tcPr>
          <w:p w14:paraId="207A86F2">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二氧化硫残留量</w:t>
            </w:r>
          </w:p>
        </w:tc>
        <w:tc>
          <w:tcPr>
            <w:tcW w:w="2956" w:type="dxa"/>
            <w:tcBorders>
              <w:tl2br w:val="nil"/>
              <w:tr2bl w:val="nil"/>
            </w:tcBorders>
            <w:vAlign w:val="center"/>
          </w:tcPr>
          <w:p w14:paraId="382546AF">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苯甲酸及其钠盐（以苯甲酸计）、山梨酸及其钾盐（以山梨酸计）、脱氢乙酸及其钠盐（以脱氢乙酸计）、防腐剂混合使用时各自用量占其最大使用量的比例之和、甜蜜素（以环己基氨基磺酸计）</w:t>
            </w:r>
          </w:p>
        </w:tc>
      </w:tr>
      <w:tr w14:paraId="5DF5E81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154" w:hRule="atLeast"/>
        </w:trPr>
        <w:tc>
          <w:tcPr>
            <w:tcW w:w="953" w:type="dxa"/>
            <w:vMerge w:val="continue"/>
            <w:tcBorders>
              <w:tl2br w:val="nil"/>
              <w:tr2bl w:val="nil"/>
            </w:tcBorders>
            <w:vAlign w:val="center"/>
          </w:tcPr>
          <w:p w14:paraId="1C1F202B">
            <w:pPr>
              <w:widowControl/>
              <w:jc w:val="left"/>
              <w:rPr>
                <w:rFonts w:eastAsia="等线"/>
                <w:color w:val="auto"/>
                <w:kern w:val="0"/>
                <w:sz w:val="18"/>
                <w:szCs w:val="18"/>
                <w:highlight w:val="none"/>
              </w:rPr>
            </w:pPr>
          </w:p>
        </w:tc>
        <w:tc>
          <w:tcPr>
            <w:tcW w:w="796" w:type="dxa"/>
            <w:vMerge w:val="continue"/>
            <w:tcBorders>
              <w:tl2br w:val="nil"/>
              <w:tr2bl w:val="nil"/>
            </w:tcBorders>
            <w:vAlign w:val="center"/>
          </w:tcPr>
          <w:p w14:paraId="2EA6CEEC">
            <w:pPr>
              <w:widowControl/>
              <w:jc w:val="left"/>
              <w:rPr>
                <w:rFonts w:ascii="宋体" w:hAnsi="宋体" w:cs="宋体"/>
                <w:color w:val="auto"/>
                <w:kern w:val="0"/>
                <w:sz w:val="18"/>
                <w:szCs w:val="18"/>
                <w:highlight w:val="none"/>
              </w:rPr>
            </w:pPr>
          </w:p>
        </w:tc>
        <w:tc>
          <w:tcPr>
            <w:tcW w:w="797" w:type="dxa"/>
            <w:vMerge w:val="continue"/>
            <w:tcBorders>
              <w:tl2br w:val="nil"/>
              <w:tr2bl w:val="nil"/>
            </w:tcBorders>
            <w:vAlign w:val="center"/>
          </w:tcPr>
          <w:p w14:paraId="6F1BA3FC">
            <w:pPr>
              <w:widowControl/>
              <w:jc w:val="left"/>
              <w:rPr>
                <w:rFonts w:ascii="宋体" w:hAnsi="宋体" w:cs="宋体"/>
                <w:color w:val="auto"/>
                <w:kern w:val="0"/>
                <w:sz w:val="18"/>
                <w:szCs w:val="18"/>
                <w:highlight w:val="none"/>
              </w:rPr>
            </w:pPr>
          </w:p>
        </w:tc>
        <w:tc>
          <w:tcPr>
            <w:tcW w:w="797" w:type="dxa"/>
            <w:vMerge w:val="continue"/>
            <w:tcBorders>
              <w:tl2br w:val="nil"/>
              <w:tr2bl w:val="nil"/>
            </w:tcBorders>
            <w:vAlign w:val="center"/>
          </w:tcPr>
          <w:p w14:paraId="1600B9F0">
            <w:pPr>
              <w:widowControl/>
              <w:jc w:val="left"/>
              <w:rPr>
                <w:rFonts w:ascii="宋体" w:hAnsi="宋体" w:cs="宋体"/>
                <w:color w:val="auto"/>
                <w:kern w:val="0"/>
                <w:sz w:val="18"/>
                <w:szCs w:val="18"/>
                <w:highlight w:val="none"/>
              </w:rPr>
            </w:pPr>
          </w:p>
        </w:tc>
        <w:tc>
          <w:tcPr>
            <w:tcW w:w="953" w:type="dxa"/>
            <w:tcBorders>
              <w:tl2br w:val="nil"/>
              <w:tr2bl w:val="nil"/>
            </w:tcBorders>
            <w:vAlign w:val="center"/>
          </w:tcPr>
          <w:p w14:paraId="6403D448">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火锅底料、麻辣烫底料</w:t>
            </w:r>
          </w:p>
        </w:tc>
        <w:tc>
          <w:tcPr>
            <w:tcW w:w="1896" w:type="dxa"/>
            <w:tcBorders>
              <w:tl2br w:val="nil"/>
              <w:tr2bl w:val="nil"/>
            </w:tcBorders>
            <w:vAlign w:val="center"/>
          </w:tcPr>
          <w:p w14:paraId="70D45A5C">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脱氢乙酸及其钠盐（以脱氢乙酸计）</w:t>
            </w:r>
          </w:p>
        </w:tc>
        <w:tc>
          <w:tcPr>
            <w:tcW w:w="2956" w:type="dxa"/>
            <w:tcBorders>
              <w:tl2br w:val="nil"/>
              <w:tr2bl w:val="nil"/>
            </w:tcBorders>
            <w:vAlign w:val="center"/>
          </w:tcPr>
          <w:p w14:paraId="64229F90">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苯甲酸及其钠盐（以苯甲酸计）、山梨酸及其钾盐（以山梨酸计）、罂粟碱、吗啡、可待因、那可丁、防腐剂混合使用时各自用量占其最大使用量的比例之和</w:t>
            </w:r>
          </w:p>
        </w:tc>
      </w:tr>
      <w:tr w14:paraId="09CF43E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325" w:hRule="atLeast"/>
        </w:trPr>
        <w:tc>
          <w:tcPr>
            <w:tcW w:w="953" w:type="dxa"/>
            <w:vMerge w:val="continue"/>
            <w:tcBorders>
              <w:tl2br w:val="nil"/>
              <w:tr2bl w:val="nil"/>
            </w:tcBorders>
            <w:vAlign w:val="center"/>
          </w:tcPr>
          <w:p w14:paraId="7C635435">
            <w:pPr>
              <w:widowControl/>
              <w:jc w:val="left"/>
              <w:rPr>
                <w:rFonts w:eastAsia="等线"/>
                <w:color w:val="auto"/>
                <w:kern w:val="0"/>
                <w:sz w:val="18"/>
                <w:szCs w:val="18"/>
                <w:highlight w:val="none"/>
              </w:rPr>
            </w:pPr>
          </w:p>
        </w:tc>
        <w:tc>
          <w:tcPr>
            <w:tcW w:w="796" w:type="dxa"/>
            <w:vMerge w:val="continue"/>
            <w:tcBorders>
              <w:tl2br w:val="nil"/>
              <w:tr2bl w:val="nil"/>
            </w:tcBorders>
            <w:vAlign w:val="center"/>
          </w:tcPr>
          <w:p w14:paraId="113C9AB3">
            <w:pPr>
              <w:widowControl/>
              <w:jc w:val="left"/>
              <w:rPr>
                <w:rFonts w:ascii="宋体" w:hAnsi="宋体" w:cs="宋体"/>
                <w:color w:val="auto"/>
                <w:kern w:val="0"/>
                <w:sz w:val="18"/>
                <w:szCs w:val="18"/>
                <w:highlight w:val="none"/>
              </w:rPr>
            </w:pPr>
          </w:p>
        </w:tc>
        <w:tc>
          <w:tcPr>
            <w:tcW w:w="797" w:type="dxa"/>
            <w:vMerge w:val="continue"/>
            <w:tcBorders>
              <w:tl2br w:val="nil"/>
              <w:tr2bl w:val="nil"/>
            </w:tcBorders>
            <w:vAlign w:val="center"/>
          </w:tcPr>
          <w:p w14:paraId="7ED4201A">
            <w:pPr>
              <w:widowControl/>
              <w:jc w:val="left"/>
              <w:rPr>
                <w:rFonts w:ascii="宋体" w:hAnsi="宋体" w:cs="宋体"/>
                <w:color w:val="auto"/>
                <w:kern w:val="0"/>
                <w:sz w:val="18"/>
                <w:szCs w:val="18"/>
                <w:highlight w:val="none"/>
              </w:rPr>
            </w:pPr>
          </w:p>
        </w:tc>
        <w:tc>
          <w:tcPr>
            <w:tcW w:w="797" w:type="dxa"/>
            <w:vMerge w:val="continue"/>
            <w:tcBorders>
              <w:tl2br w:val="nil"/>
              <w:tr2bl w:val="nil"/>
            </w:tcBorders>
            <w:vAlign w:val="center"/>
          </w:tcPr>
          <w:p w14:paraId="5B5326F2">
            <w:pPr>
              <w:widowControl/>
              <w:jc w:val="left"/>
              <w:rPr>
                <w:rFonts w:ascii="宋体" w:hAnsi="宋体" w:cs="宋体"/>
                <w:color w:val="auto"/>
                <w:kern w:val="0"/>
                <w:sz w:val="18"/>
                <w:szCs w:val="18"/>
                <w:highlight w:val="none"/>
              </w:rPr>
            </w:pPr>
          </w:p>
        </w:tc>
        <w:tc>
          <w:tcPr>
            <w:tcW w:w="953" w:type="dxa"/>
            <w:tcBorders>
              <w:tl2br w:val="nil"/>
              <w:tr2bl w:val="nil"/>
            </w:tcBorders>
            <w:vAlign w:val="center"/>
          </w:tcPr>
          <w:p w14:paraId="1B13838F">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其他半固体调味料</w:t>
            </w:r>
          </w:p>
        </w:tc>
        <w:tc>
          <w:tcPr>
            <w:tcW w:w="1896" w:type="dxa"/>
            <w:tcBorders>
              <w:tl2br w:val="nil"/>
              <w:tr2bl w:val="nil"/>
            </w:tcBorders>
            <w:vAlign w:val="center"/>
          </w:tcPr>
          <w:p w14:paraId="5A7F5BD2">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山梨酸及其钾盐（以山梨酸计）、苯甲酸及其钠盐（以苯甲酸计）、防腐剂混合使用时各自用量占其最大使用量的比例之和</w:t>
            </w:r>
          </w:p>
        </w:tc>
        <w:tc>
          <w:tcPr>
            <w:tcW w:w="2956" w:type="dxa"/>
            <w:tcBorders>
              <w:tl2br w:val="nil"/>
              <w:tr2bl w:val="nil"/>
            </w:tcBorders>
            <w:vAlign w:val="center"/>
          </w:tcPr>
          <w:p w14:paraId="7454CE53">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铅（以</w:t>
            </w:r>
            <w:r>
              <w:rPr>
                <w:color w:val="auto"/>
                <w:kern w:val="0"/>
                <w:sz w:val="18"/>
                <w:szCs w:val="18"/>
                <w:highlight w:val="none"/>
              </w:rPr>
              <w:t>Pb</w:t>
            </w:r>
            <w:r>
              <w:rPr>
                <w:rFonts w:hint="eastAsia" w:ascii="宋体" w:hAnsi="宋体" w:cs="宋体"/>
                <w:color w:val="auto"/>
                <w:kern w:val="0"/>
                <w:sz w:val="18"/>
                <w:szCs w:val="18"/>
                <w:highlight w:val="none"/>
              </w:rPr>
              <w:t>计）、罗丹明</w:t>
            </w:r>
            <w:r>
              <w:rPr>
                <w:color w:val="auto"/>
                <w:kern w:val="0"/>
                <w:sz w:val="18"/>
                <w:szCs w:val="18"/>
                <w:highlight w:val="none"/>
              </w:rPr>
              <w:t>B</w:t>
            </w:r>
            <w:r>
              <w:rPr>
                <w:rFonts w:hint="eastAsia" w:ascii="宋体" w:hAnsi="宋体" w:cs="宋体"/>
                <w:color w:val="auto"/>
                <w:kern w:val="0"/>
                <w:sz w:val="18"/>
                <w:szCs w:val="18"/>
                <w:highlight w:val="none"/>
              </w:rPr>
              <w:t>、罂粟碱、吗啡、可待因、那可丁、脱氢乙酸及其钠盐（以脱氢乙酸计）、甜蜜素（以环己基氨基磺酸计）、安赛蜜</w:t>
            </w:r>
          </w:p>
        </w:tc>
      </w:tr>
      <w:tr w14:paraId="351336B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 w:hRule="atLeast"/>
        </w:trPr>
        <w:tc>
          <w:tcPr>
            <w:tcW w:w="953" w:type="dxa"/>
            <w:vMerge w:val="continue"/>
            <w:tcBorders>
              <w:tl2br w:val="nil"/>
              <w:tr2bl w:val="nil"/>
            </w:tcBorders>
            <w:vAlign w:val="center"/>
          </w:tcPr>
          <w:p w14:paraId="402D0AF3">
            <w:pPr>
              <w:widowControl/>
              <w:jc w:val="left"/>
              <w:rPr>
                <w:rFonts w:eastAsia="等线"/>
                <w:color w:val="auto"/>
                <w:kern w:val="0"/>
                <w:sz w:val="18"/>
                <w:szCs w:val="18"/>
                <w:highlight w:val="none"/>
              </w:rPr>
            </w:pPr>
          </w:p>
        </w:tc>
        <w:tc>
          <w:tcPr>
            <w:tcW w:w="796" w:type="dxa"/>
            <w:vMerge w:val="continue"/>
            <w:tcBorders>
              <w:tl2br w:val="nil"/>
              <w:tr2bl w:val="nil"/>
            </w:tcBorders>
            <w:vAlign w:val="center"/>
          </w:tcPr>
          <w:p w14:paraId="3B7F7CBB">
            <w:pPr>
              <w:widowControl/>
              <w:jc w:val="left"/>
              <w:rPr>
                <w:rFonts w:ascii="宋体" w:hAnsi="宋体" w:cs="宋体"/>
                <w:color w:val="auto"/>
                <w:kern w:val="0"/>
                <w:sz w:val="18"/>
                <w:szCs w:val="18"/>
                <w:highlight w:val="none"/>
              </w:rPr>
            </w:pPr>
          </w:p>
        </w:tc>
        <w:tc>
          <w:tcPr>
            <w:tcW w:w="797" w:type="dxa"/>
            <w:vMerge w:val="continue"/>
            <w:tcBorders>
              <w:tl2br w:val="nil"/>
              <w:tr2bl w:val="nil"/>
            </w:tcBorders>
            <w:vAlign w:val="center"/>
          </w:tcPr>
          <w:p w14:paraId="0B08FF24">
            <w:pPr>
              <w:widowControl/>
              <w:jc w:val="left"/>
              <w:rPr>
                <w:rFonts w:ascii="宋体" w:hAnsi="宋体" w:cs="宋体"/>
                <w:color w:val="auto"/>
                <w:kern w:val="0"/>
                <w:sz w:val="18"/>
                <w:szCs w:val="18"/>
                <w:highlight w:val="none"/>
              </w:rPr>
            </w:pPr>
          </w:p>
        </w:tc>
        <w:tc>
          <w:tcPr>
            <w:tcW w:w="797" w:type="dxa"/>
            <w:vMerge w:val="restart"/>
            <w:tcBorders>
              <w:tl2br w:val="nil"/>
              <w:tr2bl w:val="nil"/>
            </w:tcBorders>
            <w:vAlign w:val="center"/>
          </w:tcPr>
          <w:p w14:paraId="2751ADF0">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液体复合调味料</w:t>
            </w:r>
          </w:p>
        </w:tc>
        <w:tc>
          <w:tcPr>
            <w:tcW w:w="953" w:type="dxa"/>
            <w:tcBorders>
              <w:tl2br w:val="nil"/>
              <w:tr2bl w:val="nil"/>
            </w:tcBorders>
            <w:vAlign w:val="center"/>
          </w:tcPr>
          <w:p w14:paraId="7A1AC1A7">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蚝油、虾油、鱼露</w:t>
            </w:r>
          </w:p>
        </w:tc>
        <w:tc>
          <w:tcPr>
            <w:tcW w:w="1896" w:type="dxa"/>
            <w:tcBorders>
              <w:tl2br w:val="nil"/>
              <w:tr2bl w:val="nil"/>
            </w:tcBorders>
            <w:vAlign w:val="center"/>
          </w:tcPr>
          <w:p w14:paraId="593F39D6">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氨基酸态氮、菌落总数、大肠菌群</w:t>
            </w:r>
          </w:p>
        </w:tc>
        <w:tc>
          <w:tcPr>
            <w:tcW w:w="2956" w:type="dxa"/>
            <w:tcBorders>
              <w:tl2br w:val="nil"/>
              <w:tr2bl w:val="nil"/>
            </w:tcBorders>
            <w:vAlign w:val="center"/>
          </w:tcPr>
          <w:p w14:paraId="3D634044">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苯甲酸及其钠盐（以苯甲酸计）、山梨酸及其钾盐（以山梨酸计）、脱氢乙酸及其钠盐（以脱氢乙酸计）、防腐剂混合使用时各自用量占其最大使用量的比例之和</w:t>
            </w:r>
          </w:p>
        </w:tc>
      </w:tr>
      <w:tr w14:paraId="5E3FFD6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346" w:hRule="atLeast"/>
        </w:trPr>
        <w:tc>
          <w:tcPr>
            <w:tcW w:w="953" w:type="dxa"/>
            <w:vMerge w:val="continue"/>
            <w:tcBorders>
              <w:tl2br w:val="nil"/>
              <w:tr2bl w:val="nil"/>
            </w:tcBorders>
            <w:vAlign w:val="center"/>
          </w:tcPr>
          <w:p w14:paraId="446B0BE2">
            <w:pPr>
              <w:widowControl/>
              <w:jc w:val="left"/>
              <w:rPr>
                <w:rFonts w:eastAsia="等线"/>
                <w:color w:val="auto"/>
                <w:kern w:val="0"/>
                <w:sz w:val="18"/>
                <w:szCs w:val="18"/>
                <w:highlight w:val="none"/>
              </w:rPr>
            </w:pPr>
          </w:p>
        </w:tc>
        <w:tc>
          <w:tcPr>
            <w:tcW w:w="796" w:type="dxa"/>
            <w:vMerge w:val="continue"/>
            <w:tcBorders>
              <w:tl2br w:val="nil"/>
              <w:tr2bl w:val="nil"/>
            </w:tcBorders>
            <w:vAlign w:val="center"/>
          </w:tcPr>
          <w:p w14:paraId="57B9ED48">
            <w:pPr>
              <w:widowControl/>
              <w:jc w:val="left"/>
              <w:rPr>
                <w:rFonts w:ascii="宋体" w:hAnsi="宋体" w:cs="宋体"/>
                <w:color w:val="auto"/>
                <w:kern w:val="0"/>
                <w:sz w:val="18"/>
                <w:szCs w:val="18"/>
                <w:highlight w:val="none"/>
              </w:rPr>
            </w:pPr>
          </w:p>
        </w:tc>
        <w:tc>
          <w:tcPr>
            <w:tcW w:w="797" w:type="dxa"/>
            <w:vMerge w:val="continue"/>
            <w:tcBorders>
              <w:tl2br w:val="nil"/>
              <w:tr2bl w:val="nil"/>
            </w:tcBorders>
            <w:vAlign w:val="center"/>
          </w:tcPr>
          <w:p w14:paraId="7C95DD49">
            <w:pPr>
              <w:widowControl/>
              <w:jc w:val="left"/>
              <w:rPr>
                <w:rFonts w:ascii="宋体" w:hAnsi="宋体" w:cs="宋体"/>
                <w:color w:val="auto"/>
                <w:kern w:val="0"/>
                <w:sz w:val="18"/>
                <w:szCs w:val="18"/>
                <w:highlight w:val="none"/>
              </w:rPr>
            </w:pPr>
          </w:p>
        </w:tc>
        <w:tc>
          <w:tcPr>
            <w:tcW w:w="797" w:type="dxa"/>
            <w:vMerge w:val="continue"/>
            <w:tcBorders>
              <w:tl2br w:val="nil"/>
              <w:tr2bl w:val="nil"/>
            </w:tcBorders>
            <w:vAlign w:val="center"/>
          </w:tcPr>
          <w:p w14:paraId="0B47C835">
            <w:pPr>
              <w:widowControl/>
              <w:jc w:val="left"/>
              <w:rPr>
                <w:rFonts w:ascii="宋体" w:hAnsi="宋体" w:cs="宋体"/>
                <w:color w:val="auto"/>
                <w:kern w:val="0"/>
                <w:sz w:val="18"/>
                <w:szCs w:val="18"/>
                <w:highlight w:val="none"/>
              </w:rPr>
            </w:pPr>
          </w:p>
        </w:tc>
        <w:tc>
          <w:tcPr>
            <w:tcW w:w="953" w:type="dxa"/>
            <w:tcBorders>
              <w:tl2br w:val="nil"/>
              <w:tr2bl w:val="nil"/>
            </w:tcBorders>
            <w:vAlign w:val="center"/>
          </w:tcPr>
          <w:p w14:paraId="6DCBD6D5">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其他液体调味料</w:t>
            </w:r>
          </w:p>
        </w:tc>
        <w:tc>
          <w:tcPr>
            <w:tcW w:w="1896" w:type="dxa"/>
            <w:tcBorders>
              <w:tl2br w:val="nil"/>
              <w:tr2bl w:val="nil"/>
            </w:tcBorders>
            <w:vAlign w:val="center"/>
          </w:tcPr>
          <w:p w14:paraId="02BC2D33">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合成着色剂（柠檬黄、日落黄、胭脂红、诱惑红）</w:t>
            </w:r>
          </w:p>
        </w:tc>
        <w:tc>
          <w:tcPr>
            <w:tcW w:w="2956" w:type="dxa"/>
            <w:tcBorders>
              <w:tl2br w:val="nil"/>
              <w:tr2bl w:val="nil"/>
            </w:tcBorders>
            <w:vAlign w:val="center"/>
          </w:tcPr>
          <w:p w14:paraId="2EF3437A">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苯甲酸及其钠盐（以苯甲酸计）、山梨酸及其钾盐（以山梨酸计）、脱氢乙酸及其钠盐（以脱氢乙酸计）、防腐剂混合使用时各自用量占其最大使用量的比例之和、糖精钠（以糖精计）、甜蜜素（以环己基氨基磺酸计）、相同色泽着色剂混合使用时各自用量占其最大使用量的比例之和、菌落总数</w:t>
            </w:r>
          </w:p>
        </w:tc>
      </w:tr>
      <w:tr w14:paraId="514D37C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79" w:hRule="atLeast"/>
        </w:trPr>
        <w:tc>
          <w:tcPr>
            <w:tcW w:w="953" w:type="dxa"/>
            <w:tcBorders>
              <w:tl2br w:val="nil"/>
              <w:tr2bl w:val="nil"/>
            </w:tcBorders>
            <w:vAlign w:val="center"/>
          </w:tcPr>
          <w:p w14:paraId="788A86D3">
            <w:pPr>
              <w:widowControl/>
              <w:jc w:val="center"/>
              <w:rPr>
                <w:rFonts w:eastAsia="等线"/>
                <w:color w:val="auto"/>
                <w:kern w:val="0"/>
                <w:sz w:val="18"/>
                <w:szCs w:val="18"/>
                <w:highlight w:val="none"/>
              </w:rPr>
            </w:pPr>
            <w:r>
              <w:rPr>
                <w:rFonts w:eastAsia="等线"/>
                <w:color w:val="auto"/>
                <w:kern w:val="0"/>
                <w:sz w:val="18"/>
                <w:szCs w:val="18"/>
                <w:highlight w:val="none"/>
              </w:rPr>
              <w:t>3</w:t>
            </w:r>
          </w:p>
        </w:tc>
        <w:tc>
          <w:tcPr>
            <w:tcW w:w="796" w:type="dxa"/>
            <w:tcBorders>
              <w:tl2br w:val="nil"/>
              <w:tr2bl w:val="nil"/>
            </w:tcBorders>
            <w:vAlign w:val="center"/>
          </w:tcPr>
          <w:p w14:paraId="74DB4475">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调味品</w:t>
            </w:r>
          </w:p>
        </w:tc>
        <w:tc>
          <w:tcPr>
            <w:tcW w:w="797" w:type="dxa"/>
            <w:tcBorders>
              <w:tl2br w:val="nil"/>
              <w:tr2bl w:val="nil"/>
            </w:tcBorders>
            <w:vAlign w:val="center"/>
          </w:tcPr>
          <w:p w14:paraId="5559C213">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味精</w:t>
            </w:r>
          </w:p>
        </w:tc>
        <w:tc>
          <w:tcPr>
            <w:tcW w:w="797" w:type="dxa"/>
            <w:tcBorders>
              <w:tl2br w:val="nil"/>
              <w:tr2bl w:val="nil"/>
            </w:tcBorders>
            <w:vAlign w:val="center"/>
          </w:tcPr>
          <w:p w14:paraId="3BC4F1BB">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味精</w:t>
            </w:r>
          </w:p>
        </w:tc>
        <w:tc>
          <w:tcPr>
            <w:tcW w:w="953" w:type="dxa"/>
            <w:tcBorders>
              <w:tl2br w:val="nil"/>
              <w:tr2bl w:val="nil"/>
            </w:tcBorders>
            <w:vAlign w:val="center"/>
          </w:tcPr>
          <w:p w14:paraId="58EC417A">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味精</w:t>
            </w:r>
          </w:p>
        </w:tc>
        <w:tc>
          <w:tcPr>
            <w:tcW w:w="1896" w:type="dxa"/>
            <w:tcBorders>
              <w:tl2br w:val="nil"/>
              <w:tr2bl w:val="nil"/>
            </w:tcBorders>
            <w:vAlign w:val="center"/>
          </w:tcPr>
          <w:p w14:paraId="694A889E">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谷氨酸钠</w:t>
            </w:r>
          </w:p>
        </w:tc>
        <w:tc>
          <w:tcPr>
            <w:tcW w:w="2956" w:type="dxa"/>
            <w:tcBorders>
              <w:tl2br w:val="nil"/>
              <w:tr2bl w:val="nil"/>
            </w:tcBorders>
            <w:vAlign w:val="center"/>
          </w:tcPr>
          <w:p w14:paraId="6C9D1AAD">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w:t>
            </w:r>
          </w:p>
        </w:tc>
      </w:tr>
      <w:tr w14:paraId="755DEFD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812" w:hRule="atLeast"/>
        </w:trPr>
        <w:tc>
          <w:tcPr>
            <w:tcW w:w="953" w:type="dxa"/>
            <w:vMerge w:val="restart"/>
            <w:tcBorders>
              <w:tl2br w:val="nil"/>
              <w:tr2bl w:val="nil"/>
            </w:tcBorders>
            <w:vAlign w:val="center"/>
          </w:tcPr>
          <w:p w14:paraId="6399A147">
            <w:pPr>
              <w:widowControl/>
              <w:jc w:val="center"/>
              <w:rPr>
                <w:rFonts w:eastAsia="等线"/>
                <w:color w:val="auto"/>
                <w:kern w:val="0"/>
                <w:sz w:val="18"/>
                <w:szCs w:val="18"/>
                <w:highlight w:val="none"/>
              </w:rPr>
            </w:pPr>
            <w:r>
              <w:rPr>
                <w:rFonts w:eastAsia="等线"/>
                <w:color w:val="auto"/>
                <w:kern w:val="0"/>
                <w:sz w:val="18"/>
                <w:szCs w:val="18"/>
                <w:highlight w:val="none"/>
              </w:rPr>
              <w:t>4</w:t>
            </w:r>
          </w:p>
        </w:tc>
        <w:tc>
          <w:tcPr>
            <w:tcW w:w="796" w:type="dxa"/>
            <w:vMerge w:val="restart"/>
            <w:tcBorders>
              <w:tl2br w:val="nil"/>
              <w:tr2bl w:val="nil"/>
            </w:tcBorders>
            <w:vAlign w:val="center"/>
          </w:tcPr>
          <w:p w14:paraId="651A2FB8">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肉制品</w:t>
            </w:r>
          </w:p>
        </w:tc>
        <w:tc>
          <w:tcPr>
            <w:tcW w:w="797" w:type="dxa"/>
            <w:vMerge w:val="restart"/>
            <w:tcBorders>
              <w:tl2br w:val="nil"/>
              <w:tr2bl w:val="nil"/>
            </w:tcBorders>
            <w:vAlign w:val="center"/>
          </w:tcPr>
          <w:p w14:paraId="273DE15E">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预制肉制品</w:t>
            </w:r>
          </w:p>
        </w:tc>
        <w:tc>
          <w:tcPr>
            <w:tcW w:w="797" w:type="dxa"/>
            <w:tcBorders>
              <w:tl2br w:val="nil"/>
              <w:tr2bl w:val="nil"/>
            </w:tcBorders>
            <w:vAlign w:val="center"/>
          </w:tcPr>
          <w:p w14:paraId="21FE118E">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调理肉制品</w:t>
            </w:r>
          </w:p>
        </w:tc>
        <w:tc>
          <w:tcPr>
            <w:tcW w:w="953" w:type="dxa"/>
            <w:tcBorders>
              <w:tl2br w:val="nil"/>
              <w:tr2bl w:val="nil"/>
            </w:tcBorders>
            <w:vAlign w:val="center"/>
          </w:tcPr>
          <w:p w14:paraId="34375543">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调理肉制品（非速冻）</w:t>
            </w:r>
          </w:p>
        </w:tc>
        <w:tc>
          <w:tcPr>
            <w:tcW w:w="1896" w:type="dxa"/>
            <w:tcBorders>
              <w:tl2br w:val="nil"/>
              <w:tr2bl w:val="nil"/>
            </w:tcBorders>
            <w:vAlign w:val="center"/>
          </w:tcPr>
          <w:p w14:paraId="04ABC857">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铅（以</w:t>
            </w:r>
            <w:r>
              <w:rPr>
                <w:color w:val="auto"/>
                <w:kern w:val="0"/>
                <w:sz w:val="18"/>
                <w:szCs w:val="18"/>
                <w:highlight w:val="none"/>
              </w:rPr>
              <w:t>Pb</w:t>
            </w:r>
            <w:r>
              <w:rPr>
                <w:rFonts w:hint="eastAsia" w:ascii="宋体" w:hAnsi="宋体" w:cs="宋体"/>
                <w:color w:val="auto"/>
                <w:kern w:val="0"/>
                <w:sz w:val="18"/>
                <w:szCs w:val="18"/>
                <w:highlight w:val="none"/>
              </w:rPr>
              <w:t>计）</w:t>
            </w:r>
          </w:p>
        </w:tc>
        <w:tc>
          <w:tcPr>
            <w:tcW w:w="2956" w:type="dxa"/>
            <w:tcBorders>
              <w:tl2br w:val="nil"/>
              <w:tr2bl w:val="nil"/>
            </w:tcBorders>
            <w:vAlign w:val="center"/>
          </w:tcPr>
          <w:p w14:paraId="203661D1">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苯甲酸及其钠盐（以苯甲酸计）、山梨酸及其钾盐（以山梨酸计）、脱氢乙酸及其钠盐（以脱氢乙酸计）、氯霉素、甲醛</w:t>
            </w:r>
          </w:p>
        </w:tc>
      </w:tr>
      <w:tr w14:paraId="0EF289B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935" w:hRule="atLeast"/>
        </w:trPr>
        <w:tc>
          <w:tcPr>
            <w:tcW w:w="953" w:type="dxa"/>
            <w:vMerge w:val="continue"/>
            <w:tcBorders>
              <w:tl2br w:val="nil"/>
              <w:tr2bl w:val="nil"/>
            </w:tcBorders>
            <w:vAlign w:val="center"/>
          </w:tcPr>
          <w:p w14:paraId="1D40AC69">
            <w:pPr>
              <w:widowControl/>
              <w:jc w:val="left"/>
              <w:rPr>
                <w:rFonts w:eastAsia="等线"/>
                <w:color w:val="auto"/>
                <w:kern w:val="0"/>
                <w:sz w:val="18"/>
                <w:szCs w:val="18"/>
                <w:highlight w:val="none"/>
              </w:rPr>
            </w:pPr>
          </w:p>
        </w:tc>
        <w:tc>
          <w:tcPr>
            <w:tcW w:w="796" w:type="dxa"/>
            <w:vMerge w:val="continue"/>
            <w:tcBorders>
              <w:tl2br w:val="nil"/>
              <w:tr2bl w:val="nil"/>
            </w:tcBorders>
            <w:vAlign w:val="center"/>
          </w:tcPr>
          <w:p w14:paraId="6E7C4CDB">
            <w:pPr>
              <w:widowControl/>
              <w:jc w:val="left"/>
              <w:rPr>
                <w:rFonts w:ascii="宋体" w:hAnsi="宋体" w:cs="宋体"/>
                <w:color w:val="auto"/>
                <w:kern w:val="0"/>
                <w:sz w:val="18"/>
                <w:szCs w:val="18"/>
                <w:highlight w:val="none"/>
              </w:rPr>
            </w:pPr>
          </w:p>
        </w:tc>
        <w:tc>
          <w:tcPr>
            <w:tcW w:w="797" w:type="dxa"/>
            <w:vMerge w:val="continue"/>
            <w:tcBorders>
              <w:tl2br w:val="nil"/>
              <w:tr2bl w:val="nil"/>
            </w:tcBorders>
            <w:vAlign w:val="center"/>
          </w:tcPr>
          <w:p w14:paraId="30FD8322">
            <w:pPr>
              <w:widowControl/>
              <w:jc w:val="left"/>
              <w:rPr>
                <w:rFonts w:ascii="宋体" w:hAnsi="宋体" w:cs="宋体"/>
                <w:color w:val="auto"/>
                <w:kern w:val="0"/>
                <w:sz w:val="18"/>
                <w:szCs w:val="18"/>
                <w:highlight w:val="none"/>
              </w:rPr>
            </w:pPr>
          </w:p>
        </w:tc>
        <w:tc>
          <w:tcPr>
            <w:tcW w:w="797" w:type="dxa"/>
            <w:tcBorders>
              <w:tl2br w:val="nil"/>
              <w:tr2bl w:val="nil"/>
            </w:tcBorders>
            <w:vAlign w:val="center"/>
          </w:tcPr>
          <w:p w14:paraId="07E10ACC">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腌腊肉制品</w:t>
            </w:r>
          </w:p>
        </w:tc>
        <w:tc>
          <w:tcPr>
            <w:tcW w:w="953" w:type="dxa"/>
            <w:tcBorders>
              <w:tl2br w:val="nil"/>
              <w:tr2bl w:val="nil"/>
            </w:tcBorders>
            <w:vAlign w:val="center"/>
          </w:tcPr>
          <w:p w14:paraId="4998DD4C">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腌腊肉制品</w:t>
            </w:r>
          </w:p>
        </w:tc>
        <w:tc>
          <w:tcPr>
            <w:tcW w:w="1896" w:type="dxa"/>
            <w:tcBorders>
              <w:tl2br w:val="nil"/>
              <w:tr2bl w:val="nil"/>
            </w:tcBorders>
            <w:vAlign w:val="center"/>
          </w:tcPr>
          <w:p w14:paraId="10A29828">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过氧化值（以脂肪计）、合成着色剂（胭脂红、诱惑红、苋菜红、酸性红）</w:t>
            </w:r>
          </w:p>
        </w:tc>
        <w:tc>
          <w:tcPr>
            <w:tcW w:w="2956" w:type="dxa"/>
            <w:tcBorders>
              <w:tl2br w:val="nil"/>
              <w:tr2bl w:val="nil"/>
            </w:tcBorders>
            <w:vAlign w:val="center"/>
          </w:tcPr>
          <w:p w14:paraId="2B204761">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铅（以Pb计）、总砷（以</w:t>
            </w:r>
            <w:r>
              <w:rPr>
                <w:color w:val="auto"/>
                <w:kern w:val="0"/>
                <w:sz w:val="18"/>
                <w:szCs w:val="18"/>
                <w:highlight w:val="none"/>
              </w:rPr>
              <w:t>As</w:t>
            </w:r>
            <w:r>
              <w:rPr>
                <w:rFonts w:hint="eastAsia" w:ascii="宋体" w:hAnsi="宋体" w:cs="宋体"/>
                <w:color w:val="auto"/>
                <w:kern w:val="0"/>
                <w:sz w:val="18"/>
                <w:szCs w:val="18"/>
                <w:highlight w:val="none"/>
              </w:rPr>
              <w:t>计）、亚硝酸盐（以亚硝酸钠计）、苯甲酸及其钠盐（以苯甲酸计）、山梨酸及其钾盐（以山梨酸计）、氯霉素</w:t>
            </w:r>
          </w:p>
        </w:tc>
      </w:tr>
      <w:tr w14:paraId="4BC4060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929" w:hRule="atLeast"/>
        </w:trPr>
        <w:tc>
          <w:tcPr>
            <w:tcW w:w="953" w:type="dxa"/>
            <w:vMerge w:val="continue"/>
            <w:tcBorders>
              <w:tl2br w:val="nil"/>
              <w:tr2bl w:val="nil"/>
            </w:tcBorders>
            <w:vAlign w:val="center"/>
          </w:tcPr>
          <w:p w14:paraId="6EFFDC0F">
            <w:pPr>
              <w:widowControl/>
              <w:jc w:val="left"/>
              <w:rPr>
                <w:rFonts w:eastAsia="等线"/>
                <w:color w:val="auto"/>
                <w:kern w:val="0"/>
                <w:sz w:val="18"/>
                <w:szCs w:val="18"/>
                <w:highlight w:val="none"/>
              </w:rPr>
            </w:pPr>
          </w:p>
        </w:tc>
        <w:tc>
          <w:tcPr>
            <w:tcW w:w="796" w:type="dxa"/>
            <w:vMerge w:val="continue"/>
            <w:tcBorders>
              <w:tl2br w:val="nil"/>
              <w:tr2bl w:val="nil"/>
            </w:tcBorders>
            <w:vAlign w:val="center"/>
          </w:tcPr>
          <w:p w14:paraId="0FD6EA56">
            <w:pPr>
              <w:widowControl/>
              <w:jc w:val="left"/>
              <w:rPr>
                <w:rFonts w:ascii="宋体" w:hAnsi="宋体" w:cs="宋体"/>
                <w:color w:val="auto"/>
                <w:kern w:val="0"/>
                <w:sz w:val="18"/>
                <w:szCs w:val="18"/>
                <w:highlight w:val="none"/>
              </w:rPr>
            </w:pPr>
          </w:p>
        </w:tc>
        <w:tc>
          <w:tcPr>
            <w:tcW w:w="797" w:type="dxa"/>
            <w:vMerge w:val="restart"/>
            <w:tcBorders>
              <w:tl2br w:val="nil"/>
              <w:tr2bl w:val="nil"/>
            </w:tcBorders>
            <w:vAlign w:val="center"/>
          </w:tcPr>
          <w:p w14:paraId="20B2EC81">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熟肉制品</w:t>
            </w:r>
          </w:p>
        </w:tc>
        <w:tc>
          <w:tcPr>
            <w:tcW w:w="797" w:type="dxa"/>
            <w:tcBorders>
              <w:tl2br w:val="nil"/>
              <w:tr2bl w:val="nil"/>
            </w:tcBorders>
            <w:vAlign w:val="center"/>
          </w:tcPr>
          <w:p w14:paraId="60803657">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发酵肉制品</w:t>
            </w:r>
          </w:p>
        </w:tc>
        <w:tc>
          <w:tcPr>
            <w:tcW w:w="953" w:type="dxa"/>
            <w:tcBorders>
              <w:tl2br w:val="nil"/>
              <w:tr2bl w:val="nil"/>
            </w:tcBorders>
            <w:vAlign w:val="center"/>
          </w:tcPr>
          <w:p w14:paraId="325AF7E7">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发酵肉制品</w:t>
            </w:r>
          </w:p>
        </w:tc>
        <w:tc>
          <w:tcPr>
            <w:tcW w:w="1896" w:type="dxa"/>
            <w:tcBorders>
              <w:tl2br w:val="nil"/>
              <w:tr2bl w:val="nil"/>
            </w:tcBorders>
            <w:vAlign w:val="center"/>
          </w:tcPr>
          <w:p w14:paraId="7E5461A7">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亚硝酸盐（以亚硝酸钠计）</w:t>
            </w:r>
          </w:p>
        </w:tc>
        <w:tc>
          <w:tcPr>
            <w:tcW w:w="2956" w:type="dxa"/>
            <w:tcBorders>
              <w:tl2br w:val="nil"/>
              <w:tr2bl w:val="nil"/>
            </w:tcBorders>
            <w:vAlign w:val="center"/>
          </w:tcPr>
          <w:p w14:paraId="7ACBD966">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纳他霉素、氯霉素、大肠菌群、沙门氏菌、金黄色葡萄球菌、单核细胞增生李斯特氏菌、致泻大肠埃希氏菌</w:t>
            </w:r>
          </w:p>
        </w:tc>
      </w:tr>
      <w:tr w14:paraId="49223C6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985" w:hRule="atLeast"/>
        </w:trPr>
        <w:tc>
          <w:tcPr>
            <w:tcW w:w="953" w:type="dxa"/>
            <w:vMerge w:val="continue"/>
            <w:tcBorders>
              <w:tl2br w:val="nil"/>
              <w:tr2bl w:val="nil"/>
            </w:tcBorders>
            <w:vAlign w:val="center"/>
          </w:tcPr>
          <w:p w14:paraId="123D5945">
            <w:pPr>
              <w:widowControl/>
              <w:jc w:val="left"/>
              <w:rPr>
                <w:rFonts w:eastAsia="等线"/>
                <w:color w:val="auto"/>
                <w:kern w:val="0"/>
                <w:sz w:val="18"/>
                <w:szCs w:val="18"/>
                <w:highlight w:val="none"/>
              </w:rPr>
            </w:pPr>
          </w:p>
        </w:tc>
        <w:tc>
          <w:tcPr>
            <w:tcW w:w="796" w:type="dxa"/>
            <w:vMerge w:val="continue"/>
            <w:tcBorders>
              <w:tl2br w:val="nil"/>
              <w:tr2bl w:val="nil"/>
            </w:tcBorders>
            <w:vAlign w:val="center"/>
          </w:tcPr>
          <w:p w14:paraId="734A3945">
            <w:pPr>
              <w:widowControl/>
              <w:jc w:val="left"/>
              <w:rPr>
                <w:rFonts w:ascii="宋体" w:hAnsi="宋体" w:cs="宋体"/>
                <w:color w:val="auto"/>
                <w:kern w:val="0"/>
                <w:sz w:val="18"/>
                <w:szCs w:val="18"/>
                <w:highlight w:val="none"/>
              </w:rPr>
            </w:pPr>
          </w:p>
        </w:tc>
        <w:tc>
          <w:tcPr>
            <w:tcW w:w="797" w:type="dxa"/>
            <w:vMerge w:val="continue"/>
            <w:tcBorders>
              <w:tl2br w:val="nil"/>
              <w:tr2bl w:val="nil"/>
            </w:tcBorders>
            <w:vAlign w:val="center"/>
          </w:tcPr>
          <w:p w14:paraId="6597886B">
            <w:pPr>
              <w:widowControl/>
              <w:jc w:val="left"/>
              <w:rPr>
                <w:rFonts w:ascii="宋体" w:hAnsi="宋体" w:cs="宋体"/>
                <w:color w:val="auto"/>
                <w:kern w:val="0"/>
                <w:sz w:val="18"/>
                <w:szCs w:val="18"/>
                <w:highlight w:val="none"/>
              </w:rPr>
            </w:pPr>
          </w:p>
        </w:tc>
        <w:tc>
          <w:tcPr>
            <w:tcW w:w="797" w:type="dxa"/>
            <w:tcBorders>
              <w:tl2br w:val="nil"/>
              <w:tr2bl w:val="nil"/>
            </w:tcBorders>
            <w:vAlign w:val="center"/>
          </w:tcPr>
          <w:p w14:paraId="1EAB0ECA">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酱卤肉制品</w:t>
            </w:r>
          </w:p>
        </w:tc>
        <w:tc>
          <w:tcPr>
            <w:tcW w:w="953" w:type="dxa"/>
            <w:tcBorders>
              <w:tl2br w:val="nil"/>
              <w:tr2bl w:val="nil"/>
            </w:tcBorders>
            <w:vAlign w:val="center"/>
          </w:tcPr>
          <w:p w14:paraId="7760938D">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酱卤肉制品</w:t>
            </w:r>
          </w:p>
        </w:tc>
        <w:tc>
          <w:tcPr>
            <w:tcW w:w="1896" w:type="dxa"/>
            <w:tcBorders>
              <w:tl2br w:val="nil"/>
              <w:tr2bl w:val="nil"/>
            </w:tcBorders>
            <w:vAlign w:val="center"/>
          </w:tcPr>
          <w:p w14:paraId="773EFF63">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菌落总数、大肠菌群、脱氢乙酸及其钠盐（以脱氢乙酸计）</w:t>
            </w:r>
          </w:p>
        </w:tc>
        <w:tc>
          <w:tcPr>
            <w:tcW w:w="2956" w:type="dxa"/>
            <w:tcBorders>
              <w:tl2br w:val="nil"/>
              <w:tr2bl w:val="nil"/>
            </w:tcBorders>
            <w:vAlign w:val="center"/>
          </w:tcPr>
          <w:p w14:paraId="6E834F47">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铅（以</w:t>
            </w:r>
            <w:r>
              <w:rPr>
                <w:color w:val="auto"/>
                <w:kern w:val="0"/>
                <w:sz w:val="18"/>
                <w:szCs w:val="18"/>
                <w:highlight w:val="none"/>
              </w:rPr>
              <w:t>Pb</w:t>
            </w:r>
            <w:r>
              <w:rPr>
                <w:rFonts w:hint="eastAsia" w:ascii="宋体" w:hAnsi="宋体" w:cs="宋体"/>
                <w:color w:val="auto"/>
                <w:kern w:val="0"/>
                <w:sz w:val="18"/>
                <w:szCs w:val="18"/>
                <w:highlight w:val="none"/>
              </w:rPr>
              <w:t>计）、镉（以</w:t>
            </w:r>
            <w:r>
              <w:rPr>
                <w:color w:val="auto"/>
                <w:kern w:val="0"/>
                <w:sz w:val="18"/>
                <w:szCs w:val="18"/>
                <w:highlight w:val="none"/>
              </w:rPr>
              <w:t>Cd</w:t>
            </w:r>
            <w:r>
              <w:rPr>
                <w:rFonts w:hint="eastAsia" w:ascii="宋体" w:hAnsi="宋体" w:cs="宋体"/>
                <w:color w:val="auto"/>
                <w:kern w:val="0"/>
                <w:sz w:val="18"/>
                <w:szCs w:val="18"/>
                <w:highlight w:val="none"/>
              </w:rPr>
              <w:t>计）、铬（以</w:t>
            </w:r>
            <w:r>
              <w:rPr>
                <w:color w:val="auto"/>
                <w:kern w:val="0"/>
                <w:sz w:val="18"/>
                <w:szCs w:val="18"/>
                <w:highlight w:val="none"/>
              </w:rPr>
              <w:t>Cr</w:t>
            </w:r>
            <w:r>
              <w:rPr>
                <w:rFonts w:hint="eastAsia" w:ascii="宋体" w:hAnsi="宋体" w:cs="宋体"/>
                <w:color w:val="auto"/>
                <w:kern w:val="0"/>
                <w:sz w:val="18"/>
                <w:szCs w:val="18"/>
                <w:highlight w:val="none"/>
              </w:rPr>
              <w:t>计）、总砷（以</w:t>
            </w:r>
            <w:r>
              <w:rPr>
                <w:color w:val="auto"/>
                <w:kern w:val="0"/>
                <w:sz w:val="18"/>
                <w:szCs w:val="18"/>
                <w:highlight w:val="none"/>
              </w:rPr>
              <w:t>As</w:t>
            </w:r>
            <w:r>
              <w:rPr>
                <w:rFonts w:hint="eastAsia" w:ascii="宋体" w:hAnsi="宋体" w:cs="宋体"/>
                <w:color w:val="auto"/>
                <w:kern w:val="0"/>
                <w:sz w:val="18"/>
                <w:szCs w:val="18"/>
                <w:highlight w:val="none"/>
              </w:rPr>
              <w:t>计）、</w:t>
            </w:r>
            <w:r>
              <w:rPr>
                <w:color w:val="auto"/>
                <w:kern w:val="0"/>
                <w:sz w:val="18"/>
                <w:szCs w:val="18"/>
                <w:highlight w:val="none"/>
              </w:rPr>
              <w:t>N-</w:t>
            </w:r>
            <w:r>
              <w:rPr>
                <w:rFonts w:hint="eastAsia" w:ascii="宋体" w:hAnsi="宋体" w:cs="宋体"/>
                <w:color w:val="auto"/>
                <w:kern w:val="0"/>
                <w:sz w:val="18"/>
                <w:szCs w:val="18"/>
                <w:highlight w:val="none"/>
              </w:rPr>
              <w:t>二甲基亚硝胺、亚硝酸盐（以亚硝酸钠计）、苯甲酸及其钠盐（以苯甲酸计）、山梨酸及其钾盐（以山梨酸计）、纳他霉素、防腐剂混合使用时各自用量占其最大使用量的比例之和、糖精钠（以糖精计）、合成着色剂（柠檬黄、日落黄、胭脂红、赤藓红）、氯霉素、酸性橙Ⅱ、沙门氏菌、金黄色葡萄球菌、单核细胞增生李斯特氏菌、致泻大肠埃希氏菌、商业无菌</w:t>
            </w:r>
          </w:p>
        </w:tc>
      </w:tr>
      <w:tr w14:paraId="155717C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86" w:hRule="atLeast"/>
        </w:trPr>
        <w:tc>
          <w:tcPr>
            <w:tcW w:w="953" w:type="dxa"/>
            <w:vMerge w:val="restart"/>
            <w:tcBorders>
              <w:tl2br w:val="nil"/>
              <w:tr2bl w:val="nil"/>
            </w:tcBorders>
            <w:vAlign w:val="center"/>
          </w:tcPr>
          <w:p w14:paraId="3A380511">
            <w:pPr>
              <w:widowControl/>
              <w:jc w:val="center"/>
              <w:rPr>
                <w:rFonts w:eastAsia="等线"/>
                <w:color w:val="auto"/>
                <w:kern w:val="0"/>
                <w:sz w:val="18"/>
                <w:szCs w:val="18"/>
                <w:highlight w:val="none"/>
              </w:rPr>
            </w:pPr>
          </w:p>
        </w:tc>
        <w:tc>
          <w:tcPr>
            <w:tcW w:w="796" w:type="dxa"/>
            <w:vMerge w:val="restart"/>
            <w:tcBorders>
              <w:tl2br w:val="nil"/>
              <w:tr2bl w:val="nil"/>
            </w:tcBorders>
            <w:vAlign w:val="center"/>
          </w:tcPr>
          <w:p w14:paraId="1CDD2064">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肉制品</w:t>
            </w:r>
          </w:p>
        </w:tc>
        <w:tc>
          <w:tcPr>
            <w:tcW w:w="797" w:type="dxa"/>
            <w:vMerge w:val="restart"/>
            <w:tcBorders>
              <w:tl2br w:val="nil"/>
              <w:tr2bl w:val="nil"/>
            </w:tcBorders>
            <w:vAlign w:val="center"/>
          </w:tcPr>
          <w:p w14:paraId="04F0B703">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熟肉制品</w:t>
            </w:r>
          </w:p>
        </w:tc>
        <w:tc>
          <w:tcPr>
            <w:tcW w:w="797" w:type="dxa"/>
            <w:tcBorders>
              <w:tl2br w:val="nil"/>
              <w:tr2bl w:val="nil"/>
            </w:tcBorders>
            <w:vAlign w:val="center"/>
          </w:tcPr>
          <w:p w14:paraId="036B6223">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油炸肉制品</w:t>
            </w:r>
          </w:p>
        </w:tc>
        <w:tc>
          <w:tcPr>
            <w:tcW w:w="953" w:type="dxa"/>
            <w:tcBorders>
              <w:tl2br w:val="nil"/>
              <w:tr2bl w:val="nil"/>
            </w:tcBorders>
            <w:vAlign w:val="center"/>
          </w:tcPr>
          <w:p w14:paraId="4C6F149B">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油炸肉制品</w:t>
            </w:r>
          </w:p>
        </w:tc>
        <w:tc>
          <w:tcPr>
            <w:tcW w:w="1896" w:type="dxa"/>
            <w:tcBorders>
              <w:tl2br w:val="nil"/>
              <w:tr2bl w:val="nil"/>
            </w:tcBorders>
            <w:vAlign w:val="center"/>
          </w:tcPr>
          <w:p w14:paraId="19489E5C">
            <w:pPr>
              <w:widowControl/>
              <w:jc w:val="left"/>
              <w:rPr>
                <w:rFonts w:eastAsia="等线"/>
                <w:color w:val="auto"/>
                <w:kern w:val="0"/>
                <w:sz w:val="18"/>
                <w:szCs w:val="18"/>
                <w:highlight w:val="none"/>
              </w:rPr>
            </w:pPr>
            <w:r>
              <w:rPr>
                <w:rFonts w:eastAsia="等线"/>
                <w:color w:val="auto"/>
                <w:kern w:val="0"/>
                <w:sz w:val="18"/>
                <w:szCs w:val="18"/>
                <w:highlight w:val="none"/>
              </w:rPr>
              <w:t>N-</w:t>
            </w:r>
            <w:r>
              <w:rPr>
                <w:rFonts w:hint="eastAsia" w:ascii="宋体" w:hAnsi="宋体"/>
                <w:color w:val="auto"/>
                <w:kern w:val="0"/>
                <w:sz w:val="18"/>
                <w:szCs w:val="18"/>
                <w:highlight w:val="none"/>
              </w:rPr>
              <w:t>二甲基亚硝胺、亚硝酸盐（以亚硝酸钠计）</w:t>
            </w:r>
          </w:p>
        </w:tc>
        <w:tc>
          <w:tcPr>
            <w:tcW w:w="2956" w:type="dxa"/>
            <w:tcBorders>
              <w:tl2br w:val="nil"/>
              <w:tr2bl w:val="nil"/>
            </w:tcBorders>
            <w:vAlign w:val="center"/>
          </w:tcPr>
          <w:p w14:paraId="6A3B76C5">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苯甲酸及其钠盐（以苯甲酸计）、山梨酸及其钾盐（以山梨酸计）、沙门氏菌、金黄色葡萄球菌、单核细胞增生李斯特氏菌、致泻大肠埃希氏菌</w:t>
            </w:r>
          </w:p>
        </w:tc>
      </w:tr>
      <w:tr w14:paraId="33D47F7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 w:hRule="atLeast"/>
        </w:trPr>
        <w:tc>
          <w:tcPr>
            <w:tcW w:w="953" w:type="dxa"/>
            <w:vMerge w:val="continue"/>
            <w:tcBorders>
              <w:tl2br w:val="nil"/>
              <w:tr2bl w:val="nil"/>
            </w:tcBorders>
            <w:vAlign w:val="center"/>
          </w:tcPr>
          <w:p w14:paraId="255CD417">
            <w:pPr>
              <w:widowControl/>
              <w:jc w:val="left"/>
              <w:rPr>
                <w:rFonts w:eastAsia="等线"/>
                <w:color w:val="auto"/>
                <w:kern w:val="0"/>
                <w:sz w:val="18"/>
                <w:szCs w:val="18"/>
                <w:highlight w:val="none"/>
              </w:rPr>
            </w:pPr>
          </w:p>
        </w:tc>
        <w:tc>
          <w:tcPr>
            <w:tcW w:w="796" w:type="dxa"/>
            <w:vMerge w:val="continue"/>
            <w:tcBorders>
              <w:tl2br w:val="nil"/>
              <w:tr2bl w:val="nil"/>
            </w:tcBorders>
            <w:vAlign w:val="center"/>
          </w:tcPr>
          <w:p w14:paraId="03974633">
            <w:pPr>
              <w:widowControl/>
              <w:jc w:val="left"/>
              <w:rPr>
                <w:rFonts w:ascii="宋体" w:hAnsi="宋体" w:cs="宋体"/>
                <w:color w:val="auto"/>
                <w:kern w:val="0"/>
                <w:sz w:val="18"/>
                <w:szCs w:val="18"/>
                <w:highlight w:val="none"/>
              </w:rPr>
            </w:pPr>
          </w:p>
        </w:tc>
        <w:tc>
          <w:tcPr>
            <w:tcW w:w="797" w:type="dxa"/>
            <w:vMerge w:val="continue"/>
            <w:tcBorders>
              <w:tl2br w:val="nil"/>
              <w:tr2bl w:val="nil"/>
            </w:tcBorders>
            <w:vAlign w:val="center"/>
          </w:tcPr>
          <w:p w14:paraId="1DA70C88">
            <w:pPr>
              <w:widowControl/>
              <w:jc w:val="left"/>
              <w:rPr>
                <w:rFonts w:ascii="宋体" w:hAnsi="宋体" w:cs="宋体"/>
                <w:color w:val="auto"/>
                <w:kern w:val="0"/>
                <w:sz w:val="18"/>
                <w:szCs w:val="18"/>
                <w:highlight w:val="none"/>
              </w:rPr>
            </w:pPr>
          </w:p>
        </w:tc>
        <w:tc>
          <w:tcPr>
            <w:tcW w:w="797" w:type="dxa"/>
            <w:tcBorders>
              <w:tl2br w:val="nil"/>
              <w:tr2bl w:val="nil"/>
            </w:tcBorders>
            <w:vAlign w:val="center"/>
          </w:tcPr>
          <w:p w14:paraId="25596F36">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熟肉干制品</w:t>
            </w:r>
          </w:p>
        </w:tc>
        <w:tc>
          <w:tcPr>
            <w:tcW w:w="953" w:type="dxa"/>
            <w:tcBorders>
              <w:tl2br w:val="nil"/>
              <w:tr2bl w:val="nil"/>
            </w:tcBorders>
            <w:vAlign w:val="center"/>
          </w:tcPr>
          <w:p w14:paraId="6AC82710">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熟肉干制品</w:t>
            </w:r>
          </w:p>
        </w:tc>
        <w:tc>
          <w:tcPr>
            <w:tcW w:w="1896" w:type="dxa"/>
            <w:tcBorders>
              <w:tl2br w:val="nil"/>
              <w:tr2bl w:val="nil"/>
            </w:tcBorders>
            <w:vAlign w:val="center"/>
          </w:tcPr>
          <w:p w14:paraId="47FC4225">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苯甲酸及其钠盐（以苯甲酸计）、菌落总数、山梨酸及其钾盐（以山梨酸计）</w:t>
            </w:r>
          </w:p>
        </w:tc>
        <w:tc>
          <w:tcPr>
            <w:tcW w:w="2956" w:type="dxa"/>
            <w:tcBorders>
              <w:tl2br w:val="nil"/>
              <w:tr2bl w:val="nil"/>
            </w:tcBorders>
            <w:vAlign w:val="center"/>
          </w:tcPr>
          <w:p w14:paraId="53C6604D">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铅（以</w:t>
            </w:r>
            <w:r>
              <w:rPr>
                <w:color w:val="auto"/>
                <w:kern w:val="0"/>
                <w:sz w:val="18"/>
                <w:szCs w:val="18"/>
                <w:highlight w:val="none"/>
              </w:rPr>
              <w:t>Pb</w:t>
            </w:r>
            <w:r>
              <w:rPr>
                <w:rFonts w:hint="eastAsia" w:ascii="宋体" w:hAnsi="宋体" w:cs="宋体"/>
                <w:color w:val="auto"/>
                <w:kern w:val="0"/>
                <w:sz w:val="18"/>
                <w:szCs w:val="18"/>
                <w:highlight w:val="none"/>
              </w:rPr>
              <w:t>计）、铬（以</w:t>
            </w:r>
            <w:r>
              <w:rPr>
                <w:color w:val="auto"/>
                <w:kern w:val="0"/>
                <w:sz w:val="18"/>
                <w:szCs w:val="18"/>
                <w:highlight w:val="none"/>
              </w:rPr>
              <w:t>Cr</w:t>
            </w:r>
            <w:r>
              <w:rPr>
                <w:rFonts w:hint="eastAsia" w:ascii="宋体" w:hAnsi="宋体" w:cs="宋体"/>
                <w:color w:val="auto"/>
                <w:kern w:val="0"/>
                <w:sz w:val="18"/>
                <w:szCs w:val="18"/>
                <w:highlight w:val="none"/>
              </w:rPr>
              <w:t>计）、</w:t>
            </w:r>
            <w:r>
              <w:rPr>
                <w:color w:val="auto"/>
                <w:kern w:val="0"/>
                <w:sz w:val="18"/>
                <w:szCs w:val="18"/>
                <w:highlight w:val="none"/>
              </w:rPr>
              <w:t>N-</w:t>
            </w:r>
            <w:r>
              <w:rPr>
                <w:rFonts w:hint="eastAsia" w:ascii="宋体" w:hAnsi="宋体" w:cs="宋体"/>
                <w:color w:val="auto"/>
                <w:kern w:val="0"/>
                <w:sz w:val="18"/>
                <w:szCs w:val="18"/>
                <w:highlight w:val="none"/>
              </w:rPr>
              <w:t>二甲基亚硝胺、脱氢乙酸及其钠盐（以脱氢乙酸计）、防腐剂混合使用时各自用量占其最大使用量的比例之和、合成着色剂（胭脂红、诱惑红）、氯霉素、沙门氏菌、金黄色葡萄球菌、单核细胞增生李斯特氏菌、致泻大肠埃希氏菌、大肠菌群、脂肪</w:t>
            </w:r>
          </w:p>
        </w:tc>
      </w:tr>
      <w:tr w14:paraId="592BE0A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 w:hRule="atLeast"/>
        </w:trPr>
        <w:tc>
          <w:tcPr>
            <w:tcW w:w="953" w:type="dxa"/>
            <w:vMerge w:val="continue"/>
            <w:tcBorders>
              <w:tl2br w:val="nil"/>
              <w:tr2bl w:val="nil"/>
            </w:tcBorders>
            <w:vAlign w:val="center"/>
          </w:tcPr>
          <w:p w14:paraId="1359A699">
            <w:pPr>
              <w:widowControl/>
              <w:jc w:val="left"/>
              <w:rPr>
                <w:rFonts w:eastAsia="等线"/>
                <w:color w:val="auto"/>
                <w:kern w:val="0"/>
                <w:sz w:val="18"/>
                <w:szCs w:val="18"/>
                <w:highlight w:val="none"/>
              </w:rPr>
            </w:pPr>
          </w:p>
        </w:tc>
        <w:tc>
          <w:tcPr>
            <w:tcW w:w="796" w:type="dxa"/>
            <w:vMerge w:val="continue"/>
            <w:tcBorders>
              <w:tl2br w:val="nil"/>
              <w:tr2bl w:val="nil"/>
            </w:tcBorders>
            <w:vAlign w:val="center"/>
          </w:tcPr>
          <w:p w14:paraId="2D61F826">
            <w:pPr>
              <w:widowControl/>
              <w:jc w:val="left"/>
              <w:rPr>
                <w:rFonts w:ascii="宋体" w:hAnsi="宋体" w:cs="宋体"/>
                <w:color w:val="auto"/>
                <w:kern w:val="0"/>
                <w:sz w:val="18"/>
                <w:szCs w:val="18"/>
                <w:highlight w:val="none"/>
              </w:rPr>
            </w:pPr>
          </w:p>
        </w:tc>
        <w:tc>
          <w:tcPr>
            <w:tcW w:w="797" w:type="dxa"/>
            <w:vMerge w:val="continue"/>
            <w:tcBorders>
              <w:tl2br w:val="nil"/>
              <w:tr2bl w:val="nil"/>
            </w:tcBorders>
            <w:vAlign w:val="center"/>
          </w:tcPr>
          <w:p w14:paraId="7988F1D1">
            <w:pPr>
              <w:widowControl/>
              <w:jc w:val="left"/>
              <w:rPr>
                <w:rFonts w:ascii="宋体" w:hAnsi="宋体" w:cs="宋体"/>
                <w:color w:val="auto"/>
                <w:kern w:val="0"/>
                <w:sz w:val="18"/>
                <w:szCs w:val="18"/>
                <w:highlight w:val="none"/>
              </w:rPr>
            </w:pPr>
          </w:p>
        </w:tc>
        <w:tc>
          <w:tcPr>
            <w:tcW w:w="797" w:type="dxa"/>
            <w:tcBorders>
              <w:tl2br w:val="nil"/>
              <w:tr2bl w:val="nil"/>
            </w:tcBorders>
            <w:vAlign w:val="center"/>
          </w:tcPr>
          <w:p w14:paraId="56F2A809">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熏烧烤肉制品</w:t>
            </w:r>
          </w:p>
        </w:tc>
        <w:tc>
          <w:tcPr>
            <w:tcW w:w="953" w:type="dxa"/>
            <w:tcBorders>
              <w:tl2br w:val="nil"/>
              <w:tr2bl w:val="nil"/>
            </w:tcBorders>
            <w:vAlign w:val="center"/>
          </w:tcPr>
          <w:p w14:paraId="3BFE48DE">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熏烧烤肉制品</w:t>
            </w:r>
          </w:p>
        </w:tc>
        <w:tc>
          <w:tcPr>
            <w:tcW w:w="1896" w:type="dxa"/>
            <w:tcBorders>
              <w:tl2br w:val="nil"/>
              <w:tr2bl w:val="nil"/>
            </w:tcBorders>
            <w:vAlign w:val="center"/>
          </w:tcPr>
          <w:p w14:paraId="6A6BB8EE">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菌落总数、大肠菌群</w:t>
            </w:r>
          </w:p>
        </w:tc>
        <w:tc>
          <w:tcPr>
            <w:tcW w:w="2956" w:type="dxa"/>
            <w:tcBorders>
              <w:tl2br w:val="nil"/>
              <w:tr2bl w:val="nil"/>
            </w:tcBorders>
            <w:vAlign w:val="center"/>
          </w:tcPr>
          <w:p w14:paraId="4CEBEFD6">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铅（以Pb计）、苯并[a]芘、N-二甲基亚硝胺、亚硝酸盐（以亚硝酸钠计）、苯甲酸及其钠盐（以苯甲酸计）、山梨酸及其钾盐（以山梨酸计）、纳他霉素、糖精钠（以糖精计）、合成着色剂（柠檬黄、日落黄、胭脂红）、氯霉素、沙门氏菌、金黄色葡萄球菌、单核细胞增生李斯特氏菌、致泻大肠埃希氏菌</w:t>
            </w:r>
          </w:p>
        </w:tc>
      </w:tr>
      <w:tr w14:paraId="2D3FB8E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353" w:hRule="atLeast"/>
        </w:trPr>
        <w:tc>
          <w:tcPr>
            <w:tcW w:w="953" w:type="dxa"/>
            <w:vMerge w:val="continue"/>
            <w:tcBorders>
              <w:tl2br w:val="nil"/>
              <w:tr2bl w:val="nil"/>
            </w:tcBorders>
            <w:vAlign w:val="center"/>
          </w:tcPr>
          <w:p w14:paraId="41A90DFD">
            <w:pPr>
              <w:widowControl/>
              <w:jc w:val="left"/>
              <w:rPr>
                <w:rFonts w:eastAsia="等线"/>
                <w:color w:val="auto"/>
                <w:kern w:val="0"/>
                <w:sz w:val="18"/>
                <w:szCs w:val="18"/>
                <w:highlight w:val="none"/>
              </w:rPr>
            </w:pPr>
          </w:p>
        </w:tc>
        <w:tc>
          <w:tcPr>
            <w:tcW w:w="796" w:type="dxa"/>
            <w:vMerge w:val="continue"/>
            <w:tcBorders>
              <w:tl2br w:val="nil"/>
              <w:tr2bl w:val="nil"/>
            </w:tcBorders>
            <w:vAlign w:val="center"/>
          </w:tcPr>
          <w:p w14:paraId="3813DD50">
            <w:pPr>
              <w:widowControl/>
              <w:jc w:val="left"/>
              <w:rPr>
                <w:rFonts w:ascii="宋体" w:hAnsi="宋体" w:cs="宋体"/>
                <w:color w:val="auto"/>
                <w:kern w:val="0"/>
                <w:sz w:val="18"/>
                <w:szCs w:val="18"/>
                <w:highlight w:val="none"/>
              </w:rPr>
            </w:pPr>
          </w:p>
        </w:tc>
        <w:tc>
          <w:tcPr>
            <w:tcW w:w="797" w:type="dxa"/>
            <w:vMerge w:val="continue"/>
            <w:tcBorders>
              <w:tl2br w:val="nil"/>
              <w:tr2bl w:val="nil"/>
            </w:tcBorders>
            <w:vAlign w:val="center"/>
          </w:tcPr>
          <w:p w14:paraId="2D04B1F6">
            <w:pPr>
              <w:widowControl/>
              <w:jc w:val="left"/>
              <w:rPr>
                <w:rFonts w:ascii="宋体" w:hAnsi="宋体" w:cs="宋体"/>
                <w:color w:val="auto"/>
                <w:kern w:val="0"/>
                <w:sz w:val="18"/>
                <w:szCs w:val="18"/>
                <w:highlight w:val="none"/>
              </w:rPr>
            </w:pPr>
          </w:p>
        </w:tc>
        <w:tc>
          <w:tcPr>
            <w:tcW w:w="797" w:type="dxa"/>
            <w:tcBorders>
              <w:tl2br w:val="nil"/>
              <w:tr2bl w:val="nil"/>
            </w:tcBorders>
            <w:vAlign w:val="center"/>
          </w:tcPr>
          <w:p w14:paraId="6592E889">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熏煮香肠火腿制品</w:t>
            </w:r>
          </w:p>
        </w:tc>
        <w:tc>
          <w:tcPr>
            <w:tcW w:w="953" w:type="dxa"/>
            <w:tcBorders>
              <w:tl2br w:val="nil"/>
              <w:tr2bl w:val="nil"/>
            </w:tcBorders>
            <w:vAlign w:val="center"/>
          </w:tcPr>
          <w:p w14:paraId="2E975563">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熏煮香肠火腿制品</w:t>
            </w:r>
          </w:p>
        </w:tc>
        <w:tc>
          <w:tcPr>
            <w:tcW w:w="1896" w:type="dxa"/>
            <w:tcBorders>
              <w:tl2br w:val="nil"/>
              <w:tr2bl w:val="nil"/>
            </w:tcBorders>
            <w:vAlign w:val="center"/>
          </w:tcPr>
          <w:p w14:paraId="777D81D7">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合成着色剂（胭脂红、诱惑红）、菌落总数</w:t>
            </w:r>
          </w:p>
        </w:tc>
        <w:tc>
          <w:tcPr>
            <w:tcW w:w="2956" w:type="dxa"/>
            <w:tcBorders>
              <w:tl2br w:val="nil"/>
              <w:tr2bl w:val="nil"/>
            </w:tcBorders>
            <w:vAlign w:val="center"/>
          </w:tcPr>
          <w:p w14:paraId="2125C92E">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铅（以</w:t>
            </w:r>
            <w:r>
              <w:rPr>
                <w:color w:val="auto"/>
                <w:kern w:val="0"/>
                <w:sz w:val="18"/>
                <w:szCs w:val="18"/>
                <w:highlight w:val="none"/>
              </w:rPr>
              <w:t>Pb</w:t>
            </w:r>
            <w:r>
              <w:rPr>
                <w:rFonts w:hint="eastAsia" w:ascii="宋体" w:hAnsi="宋体" w:cs="宋体"/>
                <w:color w:val="auto"/>
                <w:kern w:val="0"/>
                <w:sz w:val="18"/>
                <w:szCs w:val="18"/>
                <w:highlight w:val="none"/>
              </w:rPr>
              <w:t>计）、亚硝酸盐（以亚硝酸钠计）、苯甲酸及其钠盐（以苯甲酸计）、山梨酸及其钾盐（以山梨酸计）、脱氢乙酸及其钠盐（以脱氢乙酸计）、纳他霉素、防腐剂混合使用时各自用量占其最大使用量的比例之和、氯霉素、大肠菌群、沙门氏菌、金黄色葡萄球菌、单核细胞增生李斯特氏菌、致泻大肠埃希氏菌</w:t>
            </w:r>
          </w:p>
        </w:tc>
      </w:tr>
      <w:tr w14:paraId="2C8368C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701" w:hRule="atLeast"/>
        </w:trPr>
        <w:tc>
          <w:tcPr>
            <w:tcW w:w="953" w:type="dxa"/>
            <w:vMerge w:val="continue"/>
            <w:tcBorders>
              <w:tl2br w:val="nil"/>
              <w:tr2bl w:val="nil"/>
            </w:tcBorders>
            <w:vAlign w:val="center"/>
          </w:tcPr>
          <w:p w14:paraId="5DC96F63">
            <w:pPr>
              <w:widowControl/>
              <w:jc w:val="center"/>
              <w:rPr>
                <w:rFonts w:eastAsia="等线"/>
                <w:color w:val="auto"/>
                <w:kern w:val="0"/>
                <w:sz w:val="18"/>
                <w:szCs w:val="18"/>
                <w:highlight w:val="none"/>
              </w:rPr>
            </w:pPr>
          </w:p>
        </w:tc>
        <w:tc>
          <w:tcPr>
            <w:tcW w:w="796" w:type="dxa"/>
            <w:vMerge w:val="continue"/>
            <w:tcBorders>
              <w:tl2br w:val="nil"/>
              <w:tr2bl w:val="nil"/>
            </w:tcBorders>
            <w:vAlign w:val="center"/>
          </w:tcPr>
          <w:p w14:paraId="495793F6">
            <w:pPr>
              <w:widowControl/>
              <w:jc w:val="center"/>
              <w:rPr>
                <w:rFonts w:ascii="宋体" w:hAnsi="宋体" w:cs="宋体"/>
                <w:color w:val="auto"/>
                <w:kern w:val="0"/>
                <w:sz w:val="18"/>
                <w:szCs w:val="18"/>
                <w:highlight w:val="none"/>
              </w:rPr>
            </w:pPr>
          </w:p>
        </w:tc>
        <w:tc>
          <w:tcPr>
            <w:tcW w:w="797" w:type="dxa"/>
            <w:tcBorders>
              <w:tl2br w:val="nil"/>
              <w:tr2bl w:val="nil"/>
            </w:tcBorders>
            <w:vAlign w:val="center"/>
          </w:tcPr>
          <w:p w14:paraId="78E18B9F">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其他肉制品</w:t>
            </w:r>
          </w:p>
        </w:tc>
        <w:tc>
          <w:tcPr>
            <w:tcW w:w="797" w:type="dxa"/>
            <w:tcBorders>
              <w:tl2br w:val="nil"/>
              <w:tr2bl w:val="nil"/>
            </w:tcBorders>
            <w:vAlign w:val="center"/>
          </w:tcPr>
          <w:p w14:paraId="7884D104">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其他肉制品</w:t>
            </w:r>
          </w:p>
        </w:tc>
        <w:tc>
          <w:tcPr>
            <w:tcW w:w="953" w:type="dxa"/>
            <w:tcBorders>
              <w:tl2br w:val="nil"/>
              <w:tr2bl w:val="nil"/>
            </w:tcBorders>
            <w:vAlign w:val="center"/>
          </w:tcPr>
          <w:p w14:paraId="1A712FE2">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食用血制品</w:t>
            </w:r>
          </w:p>
        </w:tc>
        <w:tc>
          <w:tcPr>
            <w:tcW w:w="1896" w:type="dxa"/>
            <w:tcBorders>
              <w:tl2br w:val="nil"/>
              <w:tr2bl w:val="nil"/>
            </w:tcBorders>
            <w:vAlign w:val="center"/>
          </w:tcPr>
          <w:p w14:paraId="353D34B7">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甲醛</w:t>
            </w:r>
          </w:p>
        </w:tc>
        <w:tc>
          <w:tcPr>
            <w:tcW w:w="2956" w:type="dxa"/>
            <w:tcBorders>
              <w:tl2br w:val="nil"/>
              <w:tr2bl w:val="nil"/>
            </w:tcBorders>
            <w:vAlign w:val="center"/>
          </w:tcPr>
          <w:p w14:paraId="20E89880">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w:t>
            </w:r>
          </w:p>
        </w:tc>
      </w:tr>
      <w:tr w14:paraId="5CED487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701" w:hRule="atLeast"/>
        </w:trPr>
        <w:tc>
          <w:tcPr>
            <w:tcW w:w="953" w:type="dxa"/>
            <w:vMerge w:val="restart"/>
            <w:tcBorders>
              <w:tl2br w:val="nil"/>
              <w:tr2bl w:val="nil"/>
            </w:tcBorders>
            <w:vAlign w:val="center"/>
          </w:tcPr>
          <w:p w14:paraId="6622A411">
            <w:pPr>
              <w:widowControl/>
              <w:jc w:val="center"/>
              <w:rPr>
                <w:rFonts w:eastAsia="等线"/>
                <w:color w:val="auto"/>
                <w:kern w:val="0"/>
                <w:sz w:val="18"/>
                <w:szCs w:val="18"/>
                <w:highlight w:val="none"/>
              </w:rPr>
            </w:pPr>
            <w:r>
              <w:rPr>
                <w:rFonts w:eastAsia="等线"/>
                <w:color w:val="auto"/>
                <w:kern w:val="0"/>
                <w:sz w:val="18"/>
                <w:szCs w:val="18"/>
                <w:highlight w:val="none"/>
              </w:rPr>
              <w:t>5</w:t>
            </w:r>
          </w:p>
        </w:tc>
        <w:tc>
          <w:tcPr>
            <w:tcW w:w="796" w:type="dxa"/>
            <w:vMerge w:val="restart"/>
            <w:tcBorders>
              <w:tl2br w:val="nil"/>
              <w:tr2bl w:val="nil"/>
            </w:tcBorders>
            <w:vAlign w:val="center"/>
          </w:tcPr>
          <w:p w14:paraId="510996D5">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乳制品</w:t>
            </w:r>
          </w:p>
        </w:tc>
        <w:tc>
          <w:tcPr>
            <w:tcW w:w="797" w:type="dxa"/>
            <w:vMerge w:val="restart"/>
            <w:tcBorders>
              <w:tl2br w:val="nil"/>
              <w:tr2bl w:val="nil"/>
            </w:tcBorders>
            <w:vAlign w:val="center"/>
          </w:tcPr>
          <w:p w14:paraId="2C189118">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乳制品</w:t>
            </w:r>
          </w:p>
        </w:tc>
        <w:tc>
          <w:tcPr>
            <w:tcW w:w="797" w:type="dxa"/>
            <w:vMerge w:val="restart"/>
            <w:tcBorders>
              <w:tl2br w:val="nil"/>
              <w:tr2bl w:val="nil"/>
            </w:tcBorders>
            <w:vAlign w:val="center"/>
          </w:tcPr>
          <w:p w14:paraId="54E9B109">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液体乳</w:t>
            </w:r>
          </w:p>
        </w:tc>
        <w:tc>
          <w:tcPr>
            <w:tcW w:w="953" w:type="dxa"/>
            <w:tcBorders>
              <w:tl2br w:val="nil"/>
              <w:tr2bl w:val="nil"/>
            </w:tcBorders>
            <w:vAlign w:val="center"/>
          </w:tcPr>
          <w:p w14:paraId="6538527C">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灭菌乳</w:t>
            </w:r>
          </w:p>
        </w:tc>
        <w:tc>
          <w:tcPr>
            <w:tcW w:w="1896" w:type="dxa"/>
            <w:tcBorders>
              <w:tl2br w:val="nil"/>
              <w:tr2bl w:val="nil"/>
            </w:tcBorders>
            <w:vAlign w:val="center"/>
          </w:tcPr>
          <w:p w14:paraId="1EFACC35">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蛋白质</w:t>
            </w:r>
          </w:p>
        </w:tc>
        <w:tc>
          <w:tcPr>
            <w:tcW w:w="2956" w:type="dxa"/>
            <w:tcBorders>
              <w:tl2br w:val="nil"/>
              <w:tr2bl w:val="nil"/>
            </w:tcBorders>
            <w:vAlign w:val="center"/>
          </w:tcPr>
          <w:p w14:paraId="5849A208">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非脂乳固体、酸度、脂肪、三聚氰胺、铅（以</w:t>
            </w:r>
            <w:r>
              <w:rPr>
                <w:color w:val="auto"/>
                <w:kern w:val="0"/>
                <w:sz w:val="18"/>
                <w:szCs w:val="18"/>
                <w:highlight w:val="none"/>
              </w:rPr>
              <w:t>Pb</w:t>
            </w:r>
            <w:r>
              <w:rPr>
                <w:rFonts w:hint="eastAsia" w:ascii="宋体" w:hAnsi="宋体" w:cs="宋体"/>
                <w:color w:val="auto"/>
                <w:kern w:val="0"/>
                <w:sz w:val="18"/>
                <w:szCs w:val="18"/>
                <w:highlight w:val="none"/>
              </w:rPr>
              <w:t>计）、丙二醇、商业无菌</w:t>
            </w:r>
          </w:p>
        </w:tc>
      </w:tr>
      <w:tr w14:paraId="35C516F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982" w:hRule="atLeast"/>
        </w:trPr>
        <w:tc>
          <w:tcPr>
            <w:tcW w:w="953" w:type="dxa"/>
            <w:vMerge w:val="continue"/>
            <w:tcBorders>
              <w:tl2br w:val="nil"/>
              <w:tr2bl w:val="nil"/>
            </w:tcBorders>
            <w:vAlign w:val="center"/>
          </w:tcPr>
          <w:p w14:paraId="5E143E0F">
            <w:pPr>
              <w:widowControl/>
              <w:jc w:val="left"/>
              <w:rPr>
                <w:rFonts w:eastAsia="等线"/>
                <w:color w:val="auto"/>
                <w:kern w:val="0"/>
                <w:sz w:val="18"/>
                <w:szCs w:val="18"/>
                <w:highlight w:val="none"/>
              </w:rPr>
            </w:pPr>
          </w:p>
        </w:tc>
        <w:tc>
          <w:tcPr>
            <w:tcW w:w="796" w:type="dxa"/>
            <w:vMerge w:val="continue"/>
            <w:tcBorders>
              <w:tl2br w:val="nil"/>
              <w:tr2bl w:val="nil"/>
            </w:tcBorders>
            <w:vAlign w:val="center"/>
          </w:tcPr>
          <w:p w14:paraId="225D75B4">
            <w:pPr>
              <w:widowControl/>
              <w:jc w:val="left"/>
              <w:rPr>
                <w:rFonts w:ascii="宋体" w:hAnsi="宋体" w:cs="宋体"/>
                <w:color w:val="auto"/>
                <w:kern w:val="0"/>
                <w:sz w:val="18"/>
                <w:szCs w:val="18"/>
                <w:highlight w:val="none"/>
              </w:rPr>
            </w:pPr>
          </w:p>
        </w:tc>
        <w:tc>
          <w:tcPr>
            <w:tcW w:w="797" w:type="dxa"/>
            <w:vMerge w:val="continue"/>
            <w:tcBorders>
              <w:tl2br w:val="nil"/>
              <w:tr2bl w:val="nil"/>
            </w:tcBorders>
            <w:vAlign w:val="center"/>
          </w:tcPr>
          <w:p w14:paraId="16862B9F">
            <w:pPr>
              <w:widowControl/>
              <w:jc w:val="left"/>
              <w:rPr>
                <w:rFonts w:ascii="宋体" w:hAnsi="宋体" w:cs="宋体"/>
                <w:color w:val="auto"/>
                <w:kern w:val="0"/>
                <w:sz w:val="18"/>
                <w:szCs w:val="18"/>
                <w:highlight w:val="none"/>
              </w:rPr>
            </w:pPr>
          </w:p>
        </w:tc>
        <w:tc>
          <w:tcPr>
            <w:tcW w:w="797" w:type="dxa"/>
            <w:vMerge w:val="continue"/>
            <w:tcBorders>
              <w:tl2br w:val="nil"/>
              <w:tr2bl w:val="nil"/>
            </w:tcBorders>
            <w:vAlign w:val="center"/>
          </w:tcPr>
          <w:p w14:paraId="6E997E72">
            <w:pPr>
              <w:widowControl/>
              <w:jc w:val="left"/>
              <w:rPr>
                <w:rFonts w:ascii="宋体" w:hAnsi="宋体" w:cs="宋体"/>
                <w:color w:val="auto"/>
                <w:kern w:val="0"/>
                <w:sz w:val="18"/>
                <w:szCs w:val="18"/>
                <w:highlight w:val="none"/>
              </w:rPr>
            </w:pPr>
          </w:p>
        </w:tc>
        <w:tc>
          <w:tcPr>
            <w:tcW w:w="953" w:type="dxa"/>
            <w:tcBorders>
              <w:tl2br w:val="nil"/>
              <w:tr2bl w:val="nil"/>
            </w:tcBorders>
            <w:vAlign w:val="center"/>
          </w:tcPr>
          <w:p w14:paraId="1AAA8480">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发酵乳</w:t>
            </w:r>
          </w:p>
        </w:tc>
        <w:tc>
          <w:tcPr>
            <w:tcW w:w="1896" w:type="dxa"/>
            <w:tcBorders>
              <w:tl2br w:val="nil"/>
              <w:tr2bl w:val="nil"/>
            </w:tcBorders>
            <w:vAlign w:val="center"/>
          </w:tcPr>
          <w:p w14:paraId="048DEA28">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蛋白质</w:t>
            </w:r>
          </w:p>
        </w:tc>
        <w:tc>
          <w:tcPr>
            <w:tcW w:w="2956" w:type="dxa"/>
            <w:tcBorders>
              <w:tl2br w:val="nil"/>
              <w:tr2bl w:val="nil"/>
            </w:tcBorders>
            <w:vAlign w:val="center"/>
          </w:tcPr>
          <w:p w14:paraId="1B696635">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脂肪、酸度、乳酸菌数、山梨酸及其钾盐（以山梨酸计）、三聚氰胺、铅（以</w:t>
            </w:r>
            <w:r>
              <w:rPr>
                <w:color w:val="auto"/>
                <w:kern w:val="0"/>
                <w:sz w:val="18"/>
                <w:szCs w:val="18"/>
                <w:highlight w:val="none"/>
              </w:rPr>
              <w:t>Pb</w:t>
            </w:r>
            <w:r>
              <w:rPr>
                <w:rFonts w:hint="eastAsia" w:ascii="宋体" w:hAnsi="宋体" w:cs="宋体"/>
                <w:color w:val="auto"/>
                <w:kern w:val="0"/>
                <w:sz w:val="18"/>
                <w:szCs w:val="18"/>
                <w:highlight w:val="none"/>
              </w:rPr>
              <w:t>计）、金黄色葡萄球菌、沙门氏菌、大肠菌群、酵母、霉菌</w:t>
            </w:r>
          </w:p>
        </w:tc>
      </w:tr>
      <w:tr w14:paraId="41CCE81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93" w:hRule="atLeast"/>
        </w:trPr>
        <w:tc>
          <w:tcPr>
            <w:tcW w:w="953" w:type="dxa"/>
            <w:vMerge w:val="continue"/>
            <w:tcBorders>
              <w:tl2br w:val="nil"/>
              <w:tr2bl w:val="nil"/>
            </w:tcBorders>
            <w:vAlign w:val="center"/>
          </w:tcPr>
          <w:p w14:paraId="60585C97">
            <w:pPr>
              <w:widowControl/>
              <w:jc w:val="left"/>
              <w:rPr>
                <w:rFonts w:eastAsia="等线"/>
                <w:color w:val="auto"/>
                <w:kern w:val="0"/>
                <w:sz w:val="18"/>
                <w:szCs w:val="18"/>
                <w:highlight w:val="none"/>
              </w:rPr>
            </w:pPr>
          </w:p>
        </w:tc>
        <w:tc>
          <w:tcPr>
            <w:tcW w:w="796" w:type="dxa"/>
            <w:vMerge w:val="continue"/>
            <w:tcBorders>
              <w:tl2br w:val="nil"/>
              <w:tr2bl w:val="nil"/>
            </w:tcBorders>
            <w:vAlign w:val="center"/>
          </w:tcPr>
          <w:p w14:paraId="4C43781F">
            <w:pPr>
              <w:widowControl/>
              <w:jc w:val="left"/>
              <w:rPr>
                <w:rFonts w:ascii="宋体" w:hAnsi="宋体" w:cs="宋体"/>
                <w:color w:val="auto"/>
                <w:kern w:val="0"/>
                <w:sz w:val="18"/>
                <w:szCs w:val="18"/>
                <w:highlight w:val="none"/>
              </w:rPr>
            </w:pPr>
          </w:p>
        </w:tc>
        <w:tc>
          <w:tcPr>
            <w:tcW w:w="797" w:type="dxa"/>
            <w:vMerge w:val="continue"/>
            <w:tcBorders>
              <w:tl2br w:val="nil"/>
              <w:tr2bl w:val="nil"/>
            </w:tcBorders>
            <w:vAlign w:val="center"/>
          </w:tcPr>
          <w:p w14:paraId="336D1B14">
            <w:pPr>
              <w:widowControl/>
              <w:jc w:val="left"/>
              <w:rPr>
                <w:rFonts w:ascii="宋体" w:hAnsi="宋体" w:cs="宋体"/>
                <w:color w:val="auto"/>
                <w:kern w:val="0"/>
                <w:sz w:val="18"/>
                <w:szCs w:val="18"/>
                <w:highlight w:val="none"/>
              </w:rPr>
            </w:pPr>
          </w:p>
        </w:tc>
        <w:tc>
          <w:tcPr>
            <w:tcW w:w="797" w:type="dxa"/>
            <w:vMerge w:val="continue"/>
            <w:tcBorders>
              <w:tl2br w:val="nil"/>
              <w:tr2bl w:val="nil"/>
            </w:tcBorders>
            <w:vAlign w:val="center"/>
          </w:tcPr>
          <w:p w14:paraId="5D5A4FCA">
            <w:pPr>
              <w:widowControl/>
              <w:jc w:val="left"/>
              <w:rPr>
                <w:rFonts w:ascii="宋体" w:hAnsi="宋体" w:cs="宋体"/>
                <w:color w:val="auto"/>
                <w:kern w:val="0"/>
                <w:sz w:val="18"/>
                <w:szCs w:val="18"/>
                <w:highlight w:val="none"/>
              </w:rPr>
            </w:pPr>
          </w:p>
        </w:tc>
        <w:tc>
          <w:tcPr>
            <w:tcW w:w="953" w:type="dxa"/>
            <w:tcBorders>
              <w:tl2br w:val="nil"/>
              <w:tr2bl w:val="nil"/>
            </w:tcBorders>
            <w:vAlign w:val="center"/>
          </w:tcPr>
          <w:p w14:paraId="301795F7">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调制乳</w:t>
            </w:r>
          </w:p>
        </w:tc>
        <w:tc>
          <w:tcPr>
            <w:tcW w:w="1896" w:type="dxa"/>
            <w:tcBorders>
              <w:tl2br w:val="nil"/>
              <w:tr2bl w:val="nil"/>
            </w:tcBorders>
            <w:vAlign w:val="center"/>
          </w:tcPr>
          <w:p w14:paraId="0BA15867">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菌落总数、大肠菌群</w:t>
            </w:r>
          </w:p>
        </w:tc>
        <w:tc>
          <w:tcPr>
            <w:tcW w:w="2956" w:type="dxa"/>
            <w:tcBorders>
              <w:tl2br w:val="nil"/>
              <w:tr2bl w:val="nil"/>
            </w:tcBorders>
            <w:vAlign w:val="center"/>
          </w:tcPr>
          <w:p w14:paraId="6180570D">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蛋白质、三聚氰胺、铅（以</w:t>
            </w:r>
            <w:r>
              <w:rPr>
                <w:color w:val="auto"/>
                <w:kern w:val="0"/>
                <w:sz w:val="18"/>
                <w:szCs w:val="18"/>
                <w:highlight w:val="none"/>
              </w:rPr>
              <w:t>Pb</w:t>
            </w:r>
            <w:r>
              <w:rPr>
                <w:rFonts w:hint="eastAsia" w:ascii="宋体" w:hAnsi="宋体" w:cs="宋体"/>
                <w:color w:val="auto"/>
                <w:kern w:val="0"/>
                <w:sz w:val="18"/>
                <w:szCs w:val="18"/>
                <w:highlight w:val="none"/>
              </w:rPr>
              <w:t>计）、商业无菌</w:t>
            </w:r>
          </w:p>
        </w:tc>
      </w:tr>
      <w:tr w14:paraId="6F0F86C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827" w:hRule="atLeast"/>
        </w:trPr>
        <w:tc>
          <w:tcPr>
            <w:tcW w:w="953" w:type="dxa"/>
            <w:vMerge w:val="continue"/>
            <w:tcBorders>
              <w:tl2br w:val="nil"/>
              <w:tr2bl w:val="nil"/>
            </w:tcBorders>
            <w:vAlign w:val="center"/>
          </w:tcPr>
          <w:p w14:paraId="1F466A64">
            <w:pPr>
              <w:widowControl/>
              <w:jc w:val="left"/>
              <w:rPr>
                <w:rFonts w:eastAsia="等线"/>
                <w:color w:val="auto"/>
                <w:kern w:val="0"/>
                <w:sz w:val="18"/>
                <w:szCs w:val="18"/>
                <w:highlight w:val="none"/>
              </w:rPr>
            </w:pPr>
          </w:p>
        </w:tc>
        <w:tc>
          <w:tcPr>
            <w:tcW w:w="796" w:type="dxa"/>
            <w:vMerge w:val="continue"/>
            <w:tcBorders>
              <w:tl2br w:val="nil"/>
              <w:tr2bl w:val="nil"/>
            </w:tcBorders>
            <w:vAlign w:val="center"/>
          </w:tcPr>
          <w:p w14:paraId="022EEA3D">
            <w:pPr>
              <w:widowControl/>
              <w:jc w:val="left"/>
              <w:rPr>
                <w:rFonts w:ascii="宋体" w:hAnsi="宋体" w:cs="宋体"/>
                <w:color w:val="auto"/>
                <w:kern w:val="0"/>
                <w:sz w:val="18"/>
                <w:szCs w:val="18"/>
                <w:highlight w:val="none"/>
              </w:rPr>
            </w:pPr>
          </w:p>
        </w:tc>
        <w:tc>
          <w:tcPr>
            <w:tcW w:w="797" w:type="dxa"/>
            <w:vMerge w:val="continue"/>
            <w:tcBorders>
              <w:tl2br w:val="nil"/>
              <w:tr2bl w:val="nil"/>
            </w:tcBorders>
            <w:vAlign w:val="center"/>
          </w:tcPr>
          <w:p w14:paraId="5FF69B31">
            <w:pPr>
              <w:widowControl/>
              <w:jc w:val="left"/>
              <w:rPr>
                <w:rFonts w:ascii="宋体" w:hAnsi="宋体" w:cs="宋体"/>
                <w:color w:val="auto"/>
                <w:kern w:val="0"/>
                <w:sz w:val="18"/>
                <w:szCs w:val="18"/>
                <w:highlight w:val="none"/>
              </w:rPr>
            </w:pPr>
          </w:p>
        </w:tc>
        <w:tc>
          <w:tcPr>
            <w:tcW w:w="797" w:type="dxa"/>
            <w:tcBorders>
              <w:tl2br w:val="nil"/>
              <w:tr2bl w:val="nil"/>
            </w:tcBorders>
            <w:vAlign w:val="center"/>
          </w:tcPr>
          <w:p w14:paraId="68423AE9">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乳粉</w:t>
            </w:r>
          </w:p>
        </w:tc>
        <w:tc>
          <w:tcPr>
            <w:tcW w:w="953" w:type="dxa"/>
            <w:tcBorders>
              <w:tl2br w:val="nil"/>
              <w:tr2bl w:val="nil"/>
            </w:tcBorders>
            <w:vAlign w:val="center"/>
          </w:tcPr>
          <w:p w14:paraId="308CA900">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乳粉（全脂、脱脂、部分脱脂）和调制乳粉</w:t>
            </w:r>
          </w:p>
        </w:tc>
        <w:tc>
          <w:tcPr>
            <w:tcW w:w="1896" w:type="dxa"/>
            <w:tcBorders>
              <w:tl2br w:val="nil"/>
              <w:tr2bl w:val="nil"/>
            </w:tcBorders>
            <w:vAlign w:val="center"/>
          </w:tcPr>
          <w:p w14:paraId="4A32B817">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蛋白质</w:t>
            </w:r>
          </w:p>
        </w:tc>
        <w:tc>
          <w:tcPr>
            <w:tcW w:w="2956" w:type="dxa"/>
            <w:tcBorders>
              <w:tl2br w:val="nil"/>
              <w:tr2bl w:val="nil"/>
            </w:tcBorders>
            <w:vAlign w:val="center"/>
          </w:tcPr>
          <w:p w14:paraId="0BD4F390">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脂肪、三聚氰胺、铅（以</w:t>
            </w:r>
            <w:r>
              <w:rPr>
                <w:color w:val="auto"/>
                <w:kern w:val="0"/>
                <w:sz w:val="18"/>
                <w:szCs w:val="18"/>
                <w:highlight w:val="none"/>
              </w:rPr>
              <w:t>Pb</w:t>
            </w:r>
            <w:r>
              <w:rPr>
                <w:rFonts w:hint="eastAsia" w:ascii="宋体" w:hAnsi="宋体" w:cs="宋体"/>
                <w:color w:val="auto"/>
                <w:kern w:val="0"/>
                <w:sz w:val="18"/>
                <w:szCs w:val="18"/>
                <w:highlight w:val="none"/>
              </w:rPr>
              <w:t>计）、菌落总数、大肠菌群</w:t>
            </w:r>
          </w:p>
        </w:tc>
      </w:tr>
      <w:tr w14:paraId="53EEC97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946" w:hRule="atLeast"/>
        </w:trPr>
        <w:tc>
          <w:tcPr>
            <w:tcW w:w="953" w:type="dxa"/>
            <w:vMerge w:val="continue"/>
            <w:tcBorders>
              <w:tl2br w:val="nil"/>
              <w:tr2bl w:val="nil"/>
            </w:tcBorders>
            <w:vAlign w:val="center"/>
          </w:tcPr>
          <w:p w14:paraId="7AF33045">
            <w:pPr>
              <w:widowControl/>
              <w:jc w:val="left"/>
              <w:rPr>
                <w:rFonts w:eastAsia="等线"/>
                <w:color w:val="auto"/>
                <w:kern w:val="0"/>
                <w:sz w:val="18"/>
                <w:szCs w:val="18"/>
                <w:highlight w:val="none"/>
              </w:rPr>
            </w:pPr>
          </w:p>
        </w:tc>
        <w:tc>
          <w:tcPr>
            <w:tcW w:w="796" w:type="dxa"/>
            <w:vMerge w:val="continue"/>
            <w:tcBorders>
              <w:tl2br w:val="nil"/>
              <w:tr2bl w:val="nil"/>
            </w:tcBorders>
            <w:vAlign w:val="center"/>
          </w:tcPr>
          <w:p w14:paraId="682D0CB4">
            <w:pPr>
              <w:widowControl/>
              <w:jc w:val="left"/>
              <w:rPr>
                <w:rFonts w:ascii="宋体" w:hAnsi="宋体" w:cs="宋体"/>
                <w:color w:val="auto"/>
                <w:kern w:val="0"/>
                <w:sz w:val="18"/>
                <w:szCs w:val="18"/>
                <w:highlight w:val="none"/>
              </w:rPr>
            </w:pPr>
          </w:p>
        </w:tc>
        <w:tc>
          <w:tcPr>
            <w:tcW w:w="797" w:type="dxa"/>
            <w:vMerge w:val="continue"/>
            <w:tcBorders>
              <w:tl2br w:val="nil"/>
              <w:tr2bl w:val="nil"/>
            </w:tcBorders>
            <w:vAlign w:val="center"/>
          </w:tcPr>
          <w:p w14:paraId="6E11C374">
            <w:pPr>
              <w:widowControl/>
              <w:jc w:val="left"/>
              <w:rPr>
                <w:rFonts w:ascii="宋体" w:hAnsi="宋体" w:cs="宋体"/>
                <w:color w:val="auto"/>
                <w:kern w:val="0"/>
                <w:sz w:val="18"/>
                <w:szCs w:val="18"/>
                <w:highlight w:val="none"/>
              </w:rPr>
            </w:pPr>
          </w:p>
        </w:tc>
        <w:tc>
          <w:tcPr>
            <w:tcW w:w="797" w:type="dxa"/>
            <w:tcBorders>
              <w:tl2br w:val="nil"/>
              <w:tr2bl w:val="nil"/>
            </w:tcBorders>
            <w:vAlign w:val="center"/>
          </w:tcPr>
          <w:p w14:paraId="30596AA9">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其他乳制品（浓缩乳制品、奶油、干酪、固态成型产品）</w:t>
            </w:r>
          </w:p>
        </w:tc>
        <w:tc>
          <w:tcPr>
            <w:tcW w:w="953" w:type="dxa"/>
            <w:tcBorders>
              <w:tl2br w:val="nil"/>
              <w:tr2bl w:val="nil"/>
            </w:tcBorders>
            <w:vAlign w:val="center"/>
          </w:tcPr>
          <w:p w14:paraId="3A6A9759">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干酪、再制干酪、干酪制品</w:t>
            </w:r>
          </w:p>
        </w:tc>
        <w:tc>
          <w:tcPr>
            <w:tcW w:w="1896" w:type="dxa"/>
            <w:tcBorders>
              <w:tl2br w:val="nil"/>
              <w:tr2bl w:val="nil"/>
            </w:tcBorders>
            <w:vAlign w:val="center"/>
          </w:tcPr>
          <w:p w14:paraId="757085D1">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菌落总数、大肠菌群</w:t>
            </w:r>
          </w:p>
        </w:tc>
        <w:tc>
          <w:tcPr>
            <w:tcW w:w="2956" w:type="dxa"/>
            <w:tcBorders>
              <w:tl2br w:val="nil"/>
              <w:tr2bl w:val="nil"/>
            </w:tcBorders>
            <w:vAlign w:val="center"/>
          </w:tcPr>
          <w:p w14:paraId="7FA67BCA">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三聚氰胺、金黄色葡萄球菌、沙门氏菌、单核细胞增生李斯特氏菌、霉菌</w:t>
            </w:r>
          </w:p>
        </w:tc>
      </w:tr>
      <w:tr w14:paraId="7954197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802" w:hRule="atLeast"/>
        </w:trPr>
        <w:tc>
          <w:tcPr>
            <w:tcW w:w="953" w:type="dxa"/>
            <w:vMerge w:val="restart"/>
            <w:tcBorders>
              <w:tl2br w:val="nil"/>
              <w:tr2bl w:val="nil"/>
            </w:tcBorders>
            <w:vAlign w:val="center"/>
          </w:tcPr>
          <w:p w14:paraId="1007095C">
            <w:pPr>
              <w:widowControl/>
              <w:jc w:val="center"/>
              <w:rPr>
                <w:rFonts w:eastAsia="等线"/>
                <w:color w:val="auto"/>
                <w:kern w:val="0"/>
                <w:sz w:val="18"/>
                <w:szCs w:val="18"/>
                <w:highlight w:val="none"/>
              </w:rPr>
            </w:pPr>
            <w:r>
              <w:rPr>
                <w:rFonts w:eastAsia="等线"/>
                <w:color w:val="auto"/>
                <w:kern w:val="0"/>
                <w:sz w:val="18"/>
                <w:szCs w:val="18"/>
                <w:highlight w:val="none"/>
              </w:rPr>
              <w:t>6</w:t>
            </w:r>
          </w:p>
        </w:tc>
        <w:tc>
          <w:tcPr>
            <w:tcW w:w="796" w:type="dxa"/>
            <w:vMerge w:val="restart"/>
            <w:tcBorders>
              <w:tl2br w:val="nil"/>
              <w:tr2bl w:val="nil"/>
            </w:tcBorders>
            <w:vAlign w:val="center"/>
          </w:tcPr>
          <w:p w14:paraId="4A807E5E">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饮料</w:t>
            </w:r>
          </w:p>
        </w:tc>
        <w:tc>
          <w:tcPr>
            <w:tcW w:w="797" w:type="dxa"/>
            <w:vMerge w:val="restart"/>
            <w:tcBorders>
              <w:tl2br w:val="nil"/>
              <w:tr2bl w:val="nil"/>
            </w:tcBorders>
            <w:vAlign w:val="center"/>
          </w:tcPr>
          <w:p w14:paraId="1FBC654A">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饮料</w:t>
            </w:r>
          </w:p>
        </w:tc>
        <w:tc>
          <w:tcPr>
            <w:tcW w:w="797" w:type="dxa"/>
            <w:vMerge w:val="restart"/>
            <w:tcBorders>
              <w:tl2br w:val="nil"/>
              <w:tr2bl w:val="nil"/>
            </w:tcBorders>
            <w:vAlign w:val="center"/>
          </w:tcPr>
          <w:p w14:paraId="06F942C2">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包装饮用水</w:t>
            </w:r>
          </w:p>
        </w:tc>
        <w:tc>
          <w:tcPr>
            <w:tcW w:w="953" w:type="dxa"/>
            <w:tcBorders>
              <w:tl2br w:val="nil"/>
              <w:tr2bl w:val="nil"/>
            </w:tcBorders>
            <w:vAlign w:val="center"/>
          </w:tcPr>
          <w:p w14:paraId="45E664D5">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饮用天然矿泉水</w:t>
            </w:r>
          </w:p>
        </w:tc>
        <w:tc>
          <w:tcPr>
            <w:tcW w:w="1896" w:type="dxa"/>
            <w:tcBorders>
              <w:tl2br w:val="nil"/>
              <w:tr2bl w:val="nil"/>
            </w:tcBorders>
            <w:vAlign w:val="center"/>
          </w:tcPr>
          <w:p w14:paraId="387D7CC1">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界限指标、铜绿假单胞菌</w:t>
            </w:r>
          </w:p>
        </w:tc>
        <w:tc>
          <w:tcPr>
            <w:tcW w:w="2956" w:type="dxa"/>
            <w:tcBorders>
              <w:tl2br w:val="nil"/>
              <w:tr2bl w:val="nil"/>
            </w:tcBorders>
            <w:vAlign w:val="center"/>
          </w:tcPr>
          <w:p w14:paraId="1073C1A0">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铅（以</w:t>
            </w:r>
            <w:r>
              <w:rPr>
                <w:color w:val="auto"/>
                <w:kern w:val="0"/>
                <w:sz w:val="18"/>
                <w:szCs w:val="18"/>
                <w:highlight w:val="none"/>
              </w:rPr>
              <w:t>Pb</w:t>
            </w:r>
            <w:r>
              <w:rPr>
                <w:rFonts w:hint="eastAsia" w:ascii="宋体" w:hAnsi="宋体" w:cs="宋体"/>
                <w:color w:val="auto"/>
                <w:kern w:val="0"/>
                <w:sz w:val="18"/>
                <w:szCs w:val="18"/>
                <w:highlight w:val="none"/>
              </w:rPr>
              <w:t>计）、总砷（以</w:t>
            </w:r>
            <w:r>
              <w:rPr>
                <w:color w:val="auto"/>
                <w:kern w:val="0"/>
                <w:sz w:val="18"/>
                <w:szCs w:val="18"/>
                <w:highlight w:val="none"/>
              </w:rPr>
              <w:t>As</w:t>
            </w:r>
            <w:r>
              <w:rPr>
                <w:rFonts w:hint="eastAsia" w:ascii="宋体" w:hAnsi="宋体" w:cs="宋体"/>
                <w:color w:val="auto"/>
                <w:kern w:val="0"/>
                <w:sz w:val="18"/>
                <w:szCs w:val="18"/>
                <w:highlight w:val="none"/>
              </w:rPr>
              <w:t>计）、镉（以</w:t>
            </w:r>
            <w:r>
              <w:rPr>
                <w:color w:val="auto"/>
                <w:kern w:val="0"/>
                <w:sz w:val="18"/>
                <w:szCs w:val="18"/>
                <w:highlight w:val="none"/>
              </w:rPr>
              <w:t>Cd</w:t>
            </w:r>
            <w:r>
              <w:rPr>
                <w:rFonts w:hint="eastAsia" w:ascii="宋体" w:hAnsi="宋体" w:cs="宋体"/>
                <w:color w:val="auto"/>
                <w:kern w:val="0"/>
                <w:sz w:val="18"/>
                <w:szCs w:val="18"/>
                <w:highlight w:val="none"/>
              </w:rPr>
              <w:t>计）、总汞（以</w:t>
            </w:r>
            <w:r>
              <w:rPr>
                <w:color w:val="auto"/>
                <w:kern w:val="0"/>
                <w:sz w:val="18"/>
                <w:szCs w:val="18"/>
                <w:highlight w:val="none"/>
              </w:rPr>
              <w:t>Hg</w:t>
            </w:r>
            <w:r>
              <w:rPr>
                <w:rFonts w:hint="eastAsia" w:ascii="宋体" w:hAnsi="宋体" w:cs="宋体"/>
                <w:color w:val="auto"/>
                <w:kern w:val="0"/>
                <w:sz w:val="18"/>
                <w:szCs w:val="18"/>
                <w:highlight w:val="none"/>
              </w:rPr>
              <w:t>计）、镍、溴酸盐、硝酸盐（以</w:t>
            </w:r>
            <w:r>
              <w:rPr>
                <w:color w:val="auto"/>
                <w:kern w:val="0"/>
                <w:sz w:val="18"/>
                <w:szCs w:val="18"/>
                <w:highlight w:val="none"/>
              </w:rPr>
              <w:t>NO</w:t>
            </w:r>
            <w:r>
              <w:rPr>
                <w:color w:val="auto"/>
                <w:kern w:val="0"/>
                <w:sz w:val="18"/>
                <w:szCs w:val="18"/>
                <w:highlight w:val="none"/>
                <w:vertAlign w:val="subscript"/>
              </w:rPr>
              <w:t>3</w:t>
            </w:r>
            <w:r>
              <w:rPr>
                <w:color w:val="auto"/>
                <w:kern w:val="0"/>
                <w:sz w:val="18"/>
                <w:szCs w:val="18"/>
                <w:highlight w:val="none"/>
                <w:vertAlign w:val="superscript"/>
              </w:rPr>
              <w:t>-</w:t>
            </w:r>
            <w:r>
              <w:rPr>
                <w:rFonts w:hint="eastAsia" w:ascii="宋体" w:hAnsi="宋体" w:cs="宋体"/>
                <w:color w:val="auto"/>
                <w:kern w:val="0"/>
                <w:sz w:val="18"/>
                <w:szCs w:val="18"/>
                <w:highlight w:val="none"/>
              </w:rPr>
              <w:t>计）、亚硝酸盐（以</w:t>
            </w:r>
            <w:r>
              <w:rPr>
                <w:color w:val="auto"/>
                <w:kern w:val="0"/>
                <w:sz w:val="18"/>
                <w:szCs w:val="18"/>
                <w:highlight w:val="none"/>
              </w:rPr>
              <w:t>NO</w:t>
            </w:r>
            <w:r>
              <w:rPr>
                <w:color w:val="auto"/>
                <w:kern w:val="0"/>
                <w:sz w:val="18"/>
                <w:szCs w:val="18"/>
                <w:highlight w:val="none"/>
                <w:vertAlign w:val="subscript"/>
              </w:rPr>
              <w:t>2</w:t>
            </w:r>
            <w:r>
              <w:rPr>
                <w:color w:val="auto"/>
                <w:kern w:val="0"/>
                <w:sz w:val="18"/>
                <w:szCs w:val="18"/>
                <w:highlight w:val="none"/>
                <w:vertAlign w:val="superscript"/>
              </w:rPr>
              <w:t>-</w:t>
            </w:r>
            <w:r>
              <w:rPr>
                <w:rFonts w:hint="eastAsia" w:ascii="宋体" w:hAnsi="宋体" w:cs="宋体"/>
                <w:color w:val="auto"/>
                <w:kern w:val="0"/>
                <w:sz w:val="18"/>
                <w:szCs w:val="18"/>
                <w:highlight w:val="none"/>
              </w:rPr>
              <w:t>计）、大肠菌群</w:t>
            </w:r>
          </w:p>
        </w:tc>
      </w:tr>
      <w:tr w14:paraId="34B0FCE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50" w:hRule="atLeast"/>
        </w:trPr>
        <w:tc>
          <w:tcPr>
            <w:tcW w:w="953" w:type="dxa"/>
            <w:vMerge w:val="continue"/>
            <w:tcBorders>
              <w:tl2br w:val="nil"/>
              <w:tr2bl w:val="nil"/>
            </w:tcBorders>
            <w:vAlign w:val="center"/>
          </w:tcPr>
          <w:p w14:paraId="4011E013">
            <w:pPr>
              <w:widowControl/>
              <w:jc w:val="left"/>
              <w:rPr>
                <w:rFonts w:eastAsia="等线"/>
                <w:color w:val="auto"/>
                <w:kern w:val="0"/>
                <w:sz w:val="18"/>
                <w:szCs w:val="18"/>
                <w:highlight w:val="none"/>
              </w:rPr>
            </w:pPr>
          </w:p>
        </w:tc>
        <w:tc>
          <w:tcPr>
            <w:tcW w:w="796" w:type="dxa"/>
            <w:vMerge w:val="continue"/>
            <w:tcBorders>
              <w:tl2br w:val="nil"/>
              <w:tr2bl w:val="nil"/>
            </w:tcBorders>
            <w:vAlign w:val="center"/>
          </w:tcPr>
          <w:p w14:paraId="3D40E392">
            <w:pPr>
              <w:widowControl/>
              <w:jc w:val="left"/>
              <w:rPr>
                <w:rFonts w:ascii="宋体" w:hAnsi="宋体" w:cs="宋体"/>
                <w:color w:val="auto"/>
                <w:kern w:val="0"/>
                <w:sz w:val="18"/>
                <w:szCs w:val="18"/>
                <w:highlight w:val="none"/>
              </w:rPr>
            </w:pPr>
          </w:p>
        </w:tc>
        <w:tc>
          <w:tcPr>
            <w:tcW w:w="797" w:type="dxa"/>
            <w:vMerge w:val="continue"/>
            <w:tcBorders>
              <w:tl2br w:val="nil"/>
              <w:tr2bl w:val="nil"/>
            </w:tcBorders>
            <w:vAlign w:val="center"/>
          </w:tcPr>
          <w:p w14:paraId="151A3741">
            <w:pPr>
              <w:widowControl/>
              <w:jc w:val="left"/>
              <w:rPr>
                <w:rFonts w:ascii="宋体" w:hAnsi="宋体" w:cs="宋体"/>
                <w:color w:val="auto"/>
                <w:kern w:val="0"/>
                <w:sz w:val="18"/>
                <w:szCs w:val="18"/>
                <w:highlight w:val="none"/>
              </w:rPr>
            </w:pPr>
          </w:p>
        </w:tc>
        <w:tc>
          <w:tcPr>
            <w:tcW w:w="797" w:type="dxa"/>
            <w:vMerge w:val="continue"/>
            <w:tcBorders>
              <w:tl2br w:val="nil"/>
              <w:tr2bl w:val="nil"/>
            </w:tcBorders>
            <w:vAlign w:val="center"/>
          </w:tcPr>
          <w:p w14:paraId="43E11E49">
            <w:pPr>
              <w:widowControl/>
              <w:jc w:val="left"/>
              <w:rPr>
                <w:rFonts w:ascii="宋体" w:hAnsi="宋体" w:cs="宋体"/>
                <w:color w:val="auto"/>
                <w:kern w:val="0"/>
                <w:sz w:val="18"/>
                <w:szCs w:val="18"/>
                <w:highlight w:val="none"/>
              </w:rPr>
            </w:pPr>
          </w:p>
        </w:tc>
        <w:tc>
          <w:tcPr>
            <w:tcW w:w="953" w:type="dxa"/>
            <w:tcBorders>
              <w:tl2br w:val="nil"/>
              <w:tr2bl w:val="nil"/>
            </w:tcBorders>
            <w:vAlign w:val="center"/>
          </w:tcPr>
          <w:p w14:paraId="0547526B">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饮用纯净水</w:t>
            </w:r>
          </w:p>
        </w:tc>
        <w:tc>
          <w:tcPr>
            <w:tcW w:w="1896" w:type="dxa"/>
            <w:tcBorders>
              <w:tl2br w:val="nil"/>
              <w:tr2bl w:val="nil"/>
            </w:tcBorders>
            <w:vAlign w:val="center"/>
          </w:tcPr>
          <w:p w14:paraId="00F8B7C8">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大肠菌群、铜绿假单胞菌</w:t>
            </w:r>
          </w:p>
        </w:tc>
        <w:tc>
          <w:tcPr>
            <w:tcW w:w="2956" w:type="dxa"/>
            <w:tcBorders>
              <w:tl2br w:val="nil"/>
              <w:tr2bl w:val="nil"/>
            </w:tcBorders>
            <w:vAlign w:val="center"/>
          </w:tcPr>
          <w:p w14:paraId="6FA17E7C">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电导率、耗氧量（以</w:t>
            </w:r>
            <w:r>
              <w:rPr>
                <w:color w:val="auto"/>
                <w:kern w:val="0"/>
                <w:sz w:val="18"/>
                <w:szCs w:val="18"/>
                <w:highlight w:val="none"/>
              </w:rPr>
              <w:t>O</w:t>
            </w:r>
            <w:r>
              <w:rPr>
                <w:color w:val="auto"/>
                <w:kern w:val="0"/>
                <w:sz w:val="18"/>
                <w:szCs w:val="18"/>
                <w:highlight w:val="none"/>
                <w:vertAlign w:val="subscript"/>
              </w:rPr>
              <w:t>2</w:t>
            </w:r>
            <w:r>
              <w:rPr>
                <w:rFonts w:hint="eastAsia" w:ascii="宋体" w:hAnsi="宋体" w:cs="宋体"/>
                <w:color w:val="auto"/>
                <w:kern w:val="0"/>
                <w:sz w:val="18"/>
                <w:szCs w:val="18"/>
                <w:highlight w:val="none"/>
              </w:rPr>
              <w:t>计）、铅（以</w:t>
            </w:r>
            <w:r>
              <w:rPr>
                <w:color w:val="auto"/>
                <w:kern w:val="0"/>
                <w:sz w:val="18"/>
                <w:szCs w:val="18"/>
                <w:highlight w:val="none"/>
              </w:rPr>
              <w:t>Pb</w:t>
            </w:r>
            <w:r>
              <w:rPr>
                <w:rFonts w:hint="eastAsia" w:ascii="宋体" w:hAnsi="宋体" w:cs="宋体"/>
                <w:color w:val="auto"/>
                <w:kern w:val="0"/>
                <w:sz w:val="18"/>
                <w:szCs w:val="18"/>
                <w:highlight w:val="none"/>
              </w:rPr>
              <w:t>计）、总砷（以</w:t>
            </w:r>
            <w:r>
              <w:rPr>
                <w:color w:val="auto"/>
                <w:kern w:val="0"/>
                <w:sz w:val="18"/>
                <w:szCs w:val="18"/>
                <w:highlight w:val="none"/>
              </w:rPr>
              <w:t>As</w:t>
            </w:r>
            <w:r>
              <w:rPr>
                <w:rFonts w:hint="eastAsia" w:ascii="宋体" w:hAnsi="宋体" w:cs="宋体"/>
                <w:color w:val="auto"/>
                <w:kern w:val="0"/>
                <w:sz w:val="18"/>
                <w:szCs w:val="18"/>
                <w:highlight w:val="none"/>
              </w:rPr>
              <w:t>计）、镉（以</w:t>
            </w:r>
            <w:r>
              <w:rPr>
                <w:color w:val="auto"/>
                <w:kern w:val="0"/>
                <w:sz w:val="18"/>
                <w:szCs w:val="18"/>
                <w:highlight w:val="none"/>
              </w:rPr>
              <w:t>Cd</w:t>
            </w:r>
            <w:r>
              <w:rPr>
                <w:rFonts w:hint="eastAsia" w:ascii="宋体" w:hAnsi="宋体" w:cs="宋体"/>
                <w:color w:val="auto"/>
                <w:kern w:val="0"/>
                <w:sz w:val="18"/>
                <w:szCs w:val="18"/>
                <w:highlight w:val="none"/>
              </w:rPr>
              <w:t>计）、亚硝酸盐（以</w:t>
            </w:r>
            <w:r>
              <w:rPr>
                <w:color w:val="auto"/>
                <w:kern w:val="0"/>
                <w:sz w:val="18"/>
                <w:szCs w:val="18"/>
                <w:highlight w:val="none"/>
              </w:rPr>
              <w:t>NO</w:t>
            </w:r>
            <w:r>
              <w:rPr>
                <w:color w:val="auto"/>
                <w:kern w:val="0"/>
                <w:sz w:val="18"/>
                <w:szCs w:val="18"/>
                <w:highlight w:val="none"/>
                <w:vertAlign w:val="subscript"/>
              </w:rPr>
              <w:t>2</w:t>
            </w:r>
            <w:r>
              <w:rPr>
                <w:color w:val="auto"/>
                <w:kern w:val="0"/>
                <w:sz w:val="18"/>
                <w:szCs w:val="18"/>
                <w:highlight w:val="none"/>
                <w:vertAlign w:val="superscript"/>
              </w:rPr>
              <w:t>-</w:t>
            </w:r>
            <w:r>
              <w:rPr>
                <w:rFonts w:hint="eastAsia" w:ascii="宋体" w:hAnsi="宋体" w:cs="宋体"/>
                <w:color w:val="auto"/>
                <w:kern w:val="0"/>
                <w:sz w:val="18"/>
                <w:szCs w:val="18"/>
                <w:highlight w:val="none"/>
              </w:rPr>
              <w:t>计）、余氯（游离氯）、溴酸盐、三氯甲烷</w:t>
            </w:r>
          </w:p>
        </w:tc>
      </w:tr>
      <w:tr w14:paraId="38AAE0E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782" w:hRule="atLeast"/>
        </w:trPr>
        <w:tc>
          <w:tcPr>
            <w:tcW w:w="953" w:type="dxa"/>
            <w:vMerge w:val="continue"/>
            <w:tcBorders>
              <w:tl2br w:val="nil"/>
              <w:tr2bl w:val="nil"/>
            </w:tcBorders>
            <w:vAlign w:val="center"/>
          </w:tcPr>
          <w:p w14:paraId="70153044">
            <w:pPr>
              <w:widowControl/>
              <w:jc w:val="left"/>
              <w:rPr>
                <w:rFonts w:eastAsia="等线"/>
                <w:color w:val="auto"/>
                <w:kern w:val="0"/>
                <w:sz w:val="18"/>
                <w:szCs w:val="18"/>
                <w:highlight w:val="none"/>
              </w:rPr>
            </w:pPr>
          </w:p>
        </w:tc>
        <w:tc>
          <w:tcPr>
            <w:tcW w:w="796" w:type="dxa"/>
            <w:vMerge w:val="continue"/>
            <w:tcBorders>
              <w:tl2br w:val="nil"/>
              <w:tr2bl w:val="nil"/>
            </w:tcBorders>
            <w:vAlign w:val="center"/>
          </w:tcPr>
          <w:p w14:paraId="62104FF4">
            <w:pPr>
              <w:widowControl/>
              <w:jc w:val="left"/>
              <w:rPr>
                <w:rFonts w:ascii="宋体" w:hAnsi="宋体" w:cs="宋体"/>
                <w:color w:val="auto"/>
                <w:kern w:val="0"/>
                <w:sz w:val="18"/>
                <w:szCs w:val="18"/>
                <w:highlight w:val="none"/>
              </w:rPr>
            </w:pPr>
          </w:p>
        </w:tc>
        <w:tc>
          <w:tcPr>
            <w:tcW w:w="797" w:type="dxa"/>
            <w:vMerge w:val="continue"/>
            <w:tcBorders>
              <w:tl2br w:val="nil"/>
              <w:tr2bl w:val="nil"/>
            </w:tcBorders>
            <w:vAlign w:val="center"/>
          </w:tcPr>
          <w:p w14:paraId="10225F1E">
            <w:pPr>
              <w:widowControl/>
              <w:jc w:val="left"/>
              <w:rPr>
                <w:rFonts w:ascii="宋体" w:hAnsi="宋体" w:cs="宋体"/>
                <w:color w:val="auto"/>
                <w:kern w:val="0"/>
                <w:sz w:val="18"/>
                <w:szCs w:val="18"/>
                <w:highlight w:val="none"/>
              </w:rPr>
            </w:pPr>
          </w:p>
        </w:tc>
        <w:tc>
          <w:tcPr>
            <w:tcW w:w="797" w:type="dxa"/>
            <w:vMerge w:val="continue"/>
            <w:tcBorders>
              <w:tl2br w:val="nil"/>
              <w:tr2bl w:val="nil"/>
            </w:tcBorders>
            <w:vAlign w:val="center"/>
          </w:tcPr>
          <w:p w14:paraId="500EA693">
            <w:pPr>
              <w:widowControl/>
              <w:jc w:val="left"/>
              <w:rPr>
                <w:rFonts w:ascii="宋体" w:hAnsi="宋体" w:cs="宋体"/>
                <w:color w:val="auto"/>
                <w:kern w:val="0"/>
                <w:sz w:val="18"/>
                <w:szCs w:val="18"/>
                <w:highlight w:val="none"/>
              </w:rPr>
            </w:pPr>
          </w:p>
        </w:tc>
        <w:tc>
          <w:tcPr>
            <w:tcW w:w="953" w:type="dxa"/>
            <w:tcBorders>
              <w:tl2br w:val="nil"/>
              <w:tr2bl w:val="nil"/>
            </w:tcBorders>
            <w:vAlign w:val="center"/>
          </w:tcPr>
          <w:p w14:paraId="231E978D">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其他类饮用水</w:t>
            </w:r>
          </w:p>
        </w:tc>
        <w:tc>
          <w:tcPr>
            <w:tcW w:w="1896" w:type="dxa"/>
            <w:tcBorders>
              <w:tl2br w:val="nil"/>
              <w:tr2bl w:val="nil"/>
            </w:tcBorders>
            <w:vAlign w:val="center"/>
          </w:tcPr>
          <w:p w14:paraId="68D6C975">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铜绿假单胞菌、大肠菌群、亚硝酸盐（以NO2-计）</w:t>
            </w:r>
          </w:p>
        </w:tc>
        <w:tc>
          <w:tcPr>
            <w:tcW w:w="2956" w:type="dxa"/>
            <w:tcBorders>
              <w:tl2br w:val="nil"/>
              <w:tr2bl w:val="nil"/>
            </w:tcBorders>
            <w:vAlign w:val="center"/>
          </w:tcPr>
          <w:p w14:paraId="03C81CE0">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耗氧量（以</w:t>
            </w:r>
            <w:r>
              <w:rPr>
                <w:color w:val="auto"/>
                <w:kern w:val="0"/>
                <w:sz w:val="18"/>
                <w:szCs w:val="18"/>
                <w:highlight w:val="none"/>
              </w:rPr>
              <w:t>O</w:t>
            </w:r>
            <w:r>
              <w:rPr>
                <w:color w:val="auto"/>
                <w:kern w:val="0"/>
                <w:sz w:val="18"/>
                <w:szCs w:val="18"/>
                <w:highlight w:val="none"/>
                <w:vertAlign w:val="subscript"/>
              </w:rPr>
              <w:t>2</w:t>
            </w:r>
            <w:r>
              <w:rPr>
                <w:rFonts w:hint="eastAsia" w:ascii="宋体" w:hAnsi="宋体" w:cs="宋体"/>
                <w:color w:val="auto"/>
                <w:kern w:val="0"/>
                <w:sz w:val="18"/>
                <w:szCs w:val="18"/>
                <w:highlight w:val="none"/>
              </w:rPr>
              <w:t>计）、铅（以</w:t>
            </w:r>
            <w:r>
              <w:rPr>
                <w:color w:val="auto"/>
                <w:kern w:val="0"/>
                <w:sz w:val="18"/>
                <w:szCs w:val="18"/>
                <w:highlight w:val="none"/>
              </w:rPr>
              <w:t>Pb</w:t>
            </w:r>
            <w:r>
              <w:rPr>
                <w:rFonts w:hint="eastAsia" w:ascii="宋体" w:hAnsi="宋体" w:cs="宋体"/>
                <w:color w:val="auto"/>
                <w:kern w:val="0"/>
                <w:sz w:val="18"/>
                <w:szCs w:val="18"/>
                <w:highlight w:val="none"/>
              </w:rPr>
              <w:t>计）、总砷（以</w:t>
            </w:r>
            <w:r>
              <w:rPr>
                <w:color w:val="auto"/>
                <w:kern w:val="0"/>
                <w:sz w:val="18"/>
                <w:szCs w:val="18"/>
                <w:highlight w:val="none"/>
              </w:rPr>
              <w:t>As</w:t>
            </w:r>
            <w:r>
              <w:rPr>
                <w:rFonts w:hint="eastAsia" w:ascii="宋体" w:hAnsi="宋体" w:cs="宋体"/>
                <w:color w:val="auto"/>
                <w:kern w:val="0"/>
                <w:sz w:val="18"/>
                <w:szCs w:val="18"/>
                <w:highlight w:val="none"/>
              </w:rPr>
              <w:t>计）、镉（以</w:t>
            </w:r>
            <w:r>
              <w:rPr>
                <w:color w:val="auto"/>
                <w:kern w:val="0"/>
                <w:sz w:val="18"/>
                <w:szCs w:val="18"/>
                <w:highlight w:val="none"/>
              </w:rPr>
              <w:t>Cd</w:t>
            </w:r>
            <w:r>
              <w:rPr>
                <w:rFonts w:hint="eastAsia" w:ascii="宋体" w:hAnsi="宋体" w:cs="宋体"/>
                <w:color w:val="auto"/>
                <w:kern w:val="0"/>
                <w:sz w:val="18"/>
                <w:szCs w:val="18"/>
                <w:highlight w:val="none"/>
              </w:rPr>
              <w:t>计）、溴酸盐、三氯甲烷、余氯（游离氯）</w:t>
            </w:r>
          </w:p>
        </w:tc>
      </w:tr>
      <w:tr w14:paraId="5D75B7B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369" w:hRule="atLeast"/>
        </w:trPr>
        <w:tc>
          <w:tcPr>
            <w:tcW w:w="953" w:type="dxa"/>
            <w:vMerge w:val="continue"/>
            <w:tcBorders>
              <w:tl2br w:val="nil"/>
              <w:tr2bl w:val="nil"/>
            </w:tcBorders>
            <w:vAlign w:val="center"/>
          </w:tcPr>
          <w:p w14:paraId="376A3BDD">
            <w:pPr>
              <w:widowControl/>
              <w:jc w:val="center"/>
              <w:rPr>
                <w:rFonts w:eastAsia="等线"/>
                <w:color w:val="auto"/>
                <w:kern w:val="0"/>
                <w:sz w:val="18"/>
                <w:szCs w:val="18"/>
                <w:highlight w:val="none"/>
              </w:rPr>
            </w:pPr>
          </w:p>
        </w:tc>
        <w:tc>
          <w:tcPr>
            <w:tcW w:w="796" w:type="dxa"/>
            <w:vMerge w:val="continue"/>
            <w:tcBorders>
              <w:tl2br w:val="nil"/>
              <w:tr2bl w:val="nil"/>
            </w:tcBorders>
            <w:vAlign w:val="center"/>
          </w:tcPr>
          <w:p w14:paraId="29A71433">
            <w:pPr>
              <w:widowControl/>
              <w:jc w:val="center"/>
              <w:rPr>
                <w:rFonts w:ascii="宋体" w:hAnsi="宋体" w:cs="宋体"/>
                <w:color w:val="auto"/>
                <w:kern w:val="0"/>
                <w:sz w:val="18"/>
                <w:szCs w:val="18"/>
                <w:highlight w:val="none"/>
              </w:rPr>
            </w:pPr>
          </w:p>
        </w:tc>
        <w:tc>
          <w:tcPr>
            <w:tcW w:w="797" w:type="dxa"/>
            <w:vMerge w:val="continue"/>
            <w:tcBorders>
              <w:tl2br w:val="nil"/>
              <w:tr2bl w:val="nil"/>
            </w:tcBorders>
            <w:vAlign w:val="center"/>
          </w:tcPr>
          <w:p w14:paraId="1F640314">
            <w:pPr>
              <w:widowControl/>
              <w:jc w:val="center"/>
              <w:rPr>
                <w:rFonts w:ascii="宋体" w:hAnsi="宋体" w:cs="宋体"/>
                <w:color w:val="auto"/>
                <w:kern w:val="0"/>
                <w:sz w:val="18"/>
                <w:szCs w:val="18"/>
                <w:highlight w:val="none"/>
              </w:rPr>
            </w:pPr>
          </w:p>
        </w:tc>
        <w:tc>
          <w:tcPr>
            <w:tcW w:w="797" w:type="dxa"/>
            <w:tcBorders>
              <w:tl2br w:val="nil"/>
              <w:tr2bl w:val="nil"/>
            </w:tcBorders>
            <w:vAlign w:val="center"/>
          </w:tcPr>
          <w:p w14:paraId="5E2ABDFB">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果蔬汁类及其饮料</w:t>
            </w:r>
          </w:p>
        </w:tc>
        <w:tc>
          <w:tcPr>
            <w:tcW w:w="953" w:type="dxa"/>
            <w:tcBorders>
              <w:tl2br w:val="nil"/>
              <w:tr2bl w:val="nil"/>
            </w:tcBorders>
            <w:vAlign w:val="center"/>
          </w:tcPr>
          <w:p w14:paraId="5398FC9A">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果蔬汁类及其饮料</w:t>
            </w:r>
          </w:p>
        </w:tc>
        <w:tc>
          <w:tcPr>
            <w:tcW w:w="1896" w:type="dxa"/>
            <w:tcBorders>
              <w:tl2br w:val="nil"/>
              <w:tr2bl w:val="nil"/>
            </w:tcBorders>
            <w:vAlign w:val="center"/>
          </w:tcPr>
          <w:p w14:paraId="25C6FF0E">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铅（以</w:t>
            </w:r>
            <w:r>
              <w:rPr>
                <w:color w:val="auto"/>
                <w:kern w:val="0"/>
                <w:sz w:val="18"/>
                <w:szCs w:val="18"/>
                <w:highlight w:val="none"/>
              </w:rPr>
              <w:t>Pb</w:t>
            </w:r>
            <w:r>
              <w:rPr>
                <w:rFonts w:hint="eastAsia" w:ascii="宋体" w:hAnsi="宋体" w:cs="宋体"/>
                <w:color w:val="auto"/>
                <w:kern w:val="0"/>
                <w:sz w:val="18"/>
                <w:szCs w:val="18"/>
                <w:highlight w:val="none"/>
              </w:rPr>
              <w:t>计）、安赛蜜、甜蜜素（以环己基氨基磺酸计）</w:t>
            </w:r>
          </w:p>
        </w:tc>
        <w:tc>
          <w:tcPr>
            <w:tcW w:w="2956" w:type="dxa"/>
            <w:tcBorders>
              <w:tl2br w:val="nil"/>
              <w:tr2bl w:val="nil"/>
            </w:tcBorders>
            <w:vAlign w:val="center"/>
          </w:tcPr>
          <w:p w14:paraId="1882EF1C">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展青霉素、苯甲酸及其钠盐（以苯甲酸计）、山梨酸及其钾盐（以山梨酸计）、脱氢乙酸及其钠盐（以脱氢乙酸计）、防腐剂混合使用时各自用量占其最大使用量的比例之和、合成着色剂（苋菜红、胭脂红、柠檬黄、日落黄、亮蓝）、菌落总数、大肠菌群、霉菌、酵母</w:t>
            </w:r>
          </w:p>
        </w:tc>
      </w:tr>
      <w:tr w14:paraId="31A55ED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815" w:hRule="atLeast"/>
        </w:trPr>
        <w:tc>
          <w:tcPr>
            <w:tcW w:w="953" w:type="dxa"/>
            <w:vMerge w:val="continue"/>
            <w:tcBorders>
              <w:tl2br w:val="nil"/>
              <w:tr2bl w:val="nil"/>
            </w:tcBorders>
            <w:vAlign w:val="center"/>
          </w:tcPr>
          <w:p w14:paraId="2A6E3A4C">
            <w:pPr>
              <w:widowControl/>
              <w:jc w:val="left"/>
              <w:rPr>
                <w:rFonts w:eastAsia="等线"/>
                <w:color w:val="auto"/>
                <w:kern w:val="0"/>
                <w:sz w:val="18"/>
                <w:szCs w:val="18"/>
                <w:highlight w:val="none"/>
              </w:rPr>
            </w:pPr>
          </w:p>
        </w:tc>
        <w:tc>
          <w:tcPr>
            <w:tcW w:w="796" w:type="dxa"/>
            <w:vMerge w:val="continue"/>
            <w:tcBorders>
              <w:tl2br w:val="nil"/>
              <w:tr2bl w:val="nil"/>
            </w:tcBorders>
            <w:vAlign w:val="center"/>
          </w:tcPr>
          <w:p w14:paraId="6E8D72ED">
            <w:pPr>
              <w:widowControl/>
              <w:jc w:val="left"/>
              <w:rPr>
                <w:rFonts w:ascii="宋体" w:hAnsi="宋体" w:cs="宋体"/>
                <w:color w:val="auto"/>
                <w:kern w:val="0"/>
                <w:sz w:val="18"/>
                <w:szCs w:val="18"/>
                <w:highlight w:val="none"/>
              </w:rPr>
            </w:pPr>
          </w:p>
        </w:tc>
        <w:tc>
          <w:tcPr>
            <w:tcW w:w="797" w:type="dxa"/>
            <w:vMerge w:val="continue"/>
            <w:tcBorders>
              <w:tl2br w:val="nil"/>
              <w:tr2bl w:val="nil"/>
            </w:tcBorders>
            <w:vAlign w:val="center"/>
          </w:tcPr>
          <w:p w14:paraId="4FF20762">
            <w:pPr>
              <w:widowControl/>
              <w:jc w:val="left"/>
              <w:rPr>
                <w:rFonts w:ascii="宋体" w:hAnsi="宋体" w:cs="宋体"/>
                <w:color w:val="auto"/>
                <w:kern w:val="0"/>
                <w:sz w:val="18"/>
                <w:szCs w:val="18"/>
                <w:highlight w:val="none"/>
              </w:rPr>
            </w:pPr>
          </w:p>
        </w:tc>
        <w:tc>
          <w:tcPr>
            <w:tcW w:w="797" w:type="dxa"/>
            <w:tcBorders>
              <w:tl2br w:val="nil"/>
              <w:tr2bl w:val="nil"/>
            </w:tcBorders>
            <w:vAlign w:val="center"/>
          </w:tcPr>
          <w:p w14:paraId="09DAE099">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蛋白饮料</w:t>
            </w:r>
          </w:p>
        </w:tc>
        <w:tc>
          <w:tcPr>
            <w:tcW w:w="953" w:type="dxa"/>
            <w:tcBorders>
              <w:tl2br w:val="nil"/>
              <w:tr2bl w:val="nil"/>
            </w:tcBorders>
            <w:vAlign w:val="center"/>
          </w:tcPr>
          <w:p w14:paraId="6D7025D3">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蛋白饮料</w:t>
            </w:r>
          </w:p>
        </w:tc>
        <w:tc>
          <w:tcPr>
            <w:tcW w:w="1896" w:type="dxa"/>
            <w:tcBorders>
              <w:tl2br w:val="nil"/>
              <w:tr2bl w:val="nil"/>
            </w:tcBorders>
            <w:vAlign w:val="center"/>
          </w:tcPr>
          <w:p w14:paraId="50FCBEB5">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蛋白质、菌落总数</w:t>
            </w:r>
          </w:p>
        </w:tc>
        <w:tc>
          <w:tcPr>
            <w:tcW w:w="2956" w:type="dxa"/>
            <w:tcBorders>
              <w:tl2br w:val="nil"/>
              <w:tr2bl w:val="nil"/>
            </w:tcBorders>
            <w:vAlign w:val="center"/>
          </w:tcPr>
          <w:p w14:paraId="402E9BB6">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乳酸菌数、三聚氰胺、苯甲酸及其钠盐（以苯甲酸计）、山梨酸及其钾盐（以山梨酸计）、脱氢乙酸及其钠盐（以脱氢乙酸计）、防腐剂混合使用时各自用量占其最大使用量的比例之和、大肠菌群、霉菌、酵母、商业无菌</w:t>
            </w:r>
          </w:p>
        </w:tc>
      </w:tr>
      <w:tr w14:paraId="10C148E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773" w:hRule="atLeast"/>
        </w:trPr>
        <w:tc>
          <w:tcPr>
            <w:tcW w:w="953" w:type="dxa"/>
            <w:vMerge w:val="continue"/>
            <w:tcBorders>
              <w:tl2br w:val="nil"/>
              <w:tr2bl w:val="nil"/>
            </w:tcBorders>
            <w:vAlign w:val="center"/>
          </w:tcPr>
          <w:p w14:paraId="7FD5A4E6">
            <w:pPr>
              <w:widowControl/>
              <w:jc w:val="left"/>
              <w:rPr>
                <w:rFonts w:eastAsia="等线"/>
                <w:color w:val="auto"/>
                <w:kern w:val="0"/>
                <w:sz w:val="18"/>
                <w:szCs w:val="18"/>
                <w:highlight w:val="none"/>
              </w:rPr>
            </w:pPr>
          </w:p>
        </w:tc>
        <w:tc>
          <w:tcPr>
            <w:tcW w:w="796" w:type="dxa"/>
            <w:vMerge w:val="continue"/>
            <w:tcBorders>
              <w:tl2br w:val="nil"/>
              <w:tr2bl w:val="nil"/>
            </w:tcBorders>
            <w:vAlign w:val="center"/>
          </w:tcPr>
          <w:p w14:paraId="0ADA2024">
            <w:pPr>
              <w:widowControl/>
              <w:jc w:val="left"/>
              <w:rPr>
                <w:rFonts w:ascii="宋体" w:hAnsi="宋体" w:cs="宋体"/>
                <w:color w:val="auto"/>
                <w:kern w:val="0"/>
                <w:sz w:val="18"/>
                <w:szCs w:val="18"/>
                <w:highlight w:val="none"/>
              </w:rPr>
            </w:pPr>
          </w:p>
        </w:tc>
        <w:tc>
          <w:tcPr>
            <w:tcW w:w="797" w:type="dxa"/>
            <w:vMerge w:val="continue"/>
            <w:tcBorders>
              <w:tl2br w:val="nil"/>
              <w:tr2bl w:val="nil"/>
            </w:tcBorders>
            <w:vAlign w:val="center"/>
          </w:tcPr>
          <w:p w14:paraId="522CA424">
            <w:pPr>
              <w:widowControl/>
              <w:jc w:val="left"/>
              <w:rPr>
                <w:rFonts w:ascii="宋体" w:hAnsi="宋体" w:cs="宋体"/>
                <w:color w:val="auto"/>
                <w:kern w:val="0"/>
                <w:sz w:val="18"/>
                <w:szCs w:val="18"/>
                <w:highlight w:val="none"/>
              </w:rPr>
            </w:pPr>
          </w:p>
        </w:tc>
        <w:tc>
          <w:tcPr>
            <w:tcW w:w="797" w:type="dxa"/>
            <w:tcBorders>
              <w:tl2br w:val="nil"/>
              <w:tr2bl w:val="nil"/>
            </w:tcBorders>
            <w:vAlign w:val="center"/>
          </w:tcPr>
          <w:p w14:paraId="0D94AA76">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碳酸饮料（汽水）</w:t>
            </w:r>
          </w:p>
        </w:tc>
        <w:tc>
          <w:tcPr>
            <w:tcW w:w="953" w:type="dxa"/>
            <w:tcBorders>
              <w:tl2br w:val="nil"/>
              <w:tr2bl w:val="nil"/>
            </w:tcBorders>
            <w:vAlign w:val="center"/>
          </w:tcPr>
          <w:p w14:paraId="08CA0B47">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碳酸饮料（汽水）</w:t>
            </w:r>
          </w:p>
        </w:tc>
        <w:tc>
          <w:tcPr>
            <w:tcW w:w="1896" w:type="dxa"/>
            <w:tcBorders>
              <w:tl2br w:val="nil"/>
              <w:tr2bl w:val="nil"/>
            </w:tcBorders>
            <w:vAlign w:val="center"/>
          </w:tcPr>
          <w:p w14:paraId="6CA12508">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甜蜜素（以环己基氨基磺酸计）、阿斯巴甜、菌落总数</w:t>
            </w:r>
          </w:p>
        </w:tc>
        <w:tc>
          <w:tcPr>
            <w:tcW w:w="2956" w:type="dxa"/>
            <w:tcBorders>
              <w:tl2br w:val="nil"/>
              <w:tr2bl w:val="nil"/>
            </w:tcBorders>
            <w:vAlign w:val="center"/>
          </w:tcPr>
          <w:p w14:paraId="65A49440">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二氧化碳气容量、苯甲酸及其钠盐（以苯甲酸计）、山梨酸及其钾盐（以山梨酸计）、防腐剂混合使用时各自用量占其最大使用量的比例之和、霉菌、酵母</w:t>
            </w:r>
          </w:p>
        </w:tc>
      </w:tr>
      <w:tr w14:paraId="4F89B12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78" w:hRule="atLeast"/>
        </w:trPr>
        <w:tc>
          <w:tcPr>
            <w:tcW w:w="953" w:type="dxa"/>
            <w:vMerge w:val="continue"/>
            <w:tcBorders>
              <w:tl2br w:val="nil"/>
              <w:tr2bl w:val="nil"/>
            </w:tcBorders>
            <w:vAlign w:val="center"/>
          </w:tcPr>
          <w:p w14:paraId="436669F0">
            <w:pPr>
              <w:widowControl/>
              <w:jc w:val="left"/>
              <w:rPr>
                <w:rFonts w:eastAsia="等线"/>
                <w:color w:val="auto"/>
                <w:kern w:val="0"/>
                <w:sz w:val="18"/>
                <w:szCs w:val="18"/>
                <w:highlight w:val="none"/>
              </w:rPr>
            </w:pPr>
          </w:p>
        </w:tc>
        <w:tc>
          <w:tcPr>
            <w:tcW w:w="796" w:type="dxa"/>
            <w:vMerge w:val="continue"/>
            <w:tcBorders>
              <w:tl2br w:val="nil"/>
              <w:tr2bl w:val="nil"/>
            </w:tcBorders>
            <w:vAlign w:val="center"/>
          </w:tcPr>
          <w:p w14:paraId="318EBC4E">
            <w:pPr>
              <w:widowControl/>
              <w:jc w:val="left"/>
              <w:rPr>
                <w:rFonts w:ascii="宋体" w:hAnsi="宋体" w:cs="宋体"/>
                <w:color w:val="auto"/>
                <w:kern w:val="0"/>
                <w:sz w:val="18"/>
                <w:szCs w:val="18"/>
                <w:highlight w:val="none"/>
              </w:rPr>
            </w:pPr>
          </w:p>
        </w:tc>
        <w:tc>
          <w:tcPr>
            <w:tcW w:w="797" w:type="dxa"/>
            <w:vMerge w:val="continue"/>
            <w:tcBorders>
              <w:tl2br w:val="nil"/>
              <w:tr2bl w:val="nil"/>
            </w:tcBorders>
            <w:vAlign w:val="center"/>
          </w:tcPr>
          <w:p w14:paraId="6050047A">
            <w:pPr>
              <w:widowControl/>
              <w:jc w:val="left"/>
              <w:rPr>
                <w:rFonts w:ascii="宋体" w:hAnsi="宋体" w:cs="宋体"/>
                <w:color w:val="auto"/>
                <w:kern w:val="0"/>
                <w:sz w:val="18"/>
                <w:szCs w:val="18"/>
                <w:highlight w:val="none"/>
              </w:rPr>
            </w:pPr>
          </w:p>
        </w:tc>
        <w:tc>
          <w:tcPr>
            <w:tcW w:w="797" w:type="dxa"/>
            <w:tcBorders>
              <w:tl2br w:val="nil"/>
              <w:tr2bl w:val="nil"/>
            </w:tcBorders>
            <w:vAlign w:val="center"/>
          </w:tcPr>
          <w:p w14:paraId="24C85326">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茶饮料</w:t>
            </w:r>
          </w:p>
        </w:tc>
        <w:tc>
          <w:tcPr>
            <w:tcW w:w="953" w:type="dxa"/>
            <w:tcBorders>
              <w:tl2br w:val="nil"/>
              <w:tr2bl w:val="nil"/>
            </w:tcBorders>
            <w:vAlign w:val="center"/>
          </w:tcPr>
          <w:p w14:paraId="66105E96">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茶饮料</w:t>
            </w:r>
          </w:p>
        </w:tc>
        <w:tc>
          <w:tcPr>
            <w:tcW w:w="1896" w:type="dxa"/>
            <w:tcBorders>
              <w:tl2br w:val="nil"/>
              <w:tr2bl w:val="nil"/>
            </w:tcBorders>
            <w:vAlign w:val="center"/>
          </w:tcPr>
          <w:p w14:paraId="23C65587">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脱氢乙酸及其钠盐（以脱氢乙酸计）、菌落总数</w:t>
            </w:r>
          </w:p>
        </w:tc>
        <w:tc>
          <w:tcPr>
            <w:tcW w:w="2956" w:type="dxa"/>
            <w:tcBorders>
              <w:tl2br w:val="nil"/>
              <w:tr2bl w:val="nil"/>
            </w:tcBorders>
            <w:vAlign w:val="center"/>
          </w:tcPr>
          <w:p w14:paraId="20A2A8C5">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茶多酚、咖啡因</w:t>
            </w:r>
          </w:p>
        </w:tc>
      </w:tr>
      <w:tr w14:paraId="458254C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156" w:hRule="atLeast"/>
        </w:trPr>
        <w:tc>
          <w:tcPr>
            <w:tcW w:w="953" w:type="dxa"/>
            <w:vMerge w:val="continue"/>
            <w:tcBorders>
              <w:tl2br w:val="nil"/>
              <w:tr2bl w:val="nil"/>
            </w:tcBorders>
            <w:vAlign w:val="center"/>
          </w:tcPr>
          <w:p w14:paraId="77C2AC49">
            <w:pPr>
              <w:widowControl/>
              <w:jc w:val="left"/>
              <w:rPr>
                <w:rFonts w:eastAsia="等线"/>
                <w:color w:val="auto"/>
                <w:kern w:val="0"/>
                <w:sz w:val="18"/>
                <w:szCs w:val="18"/>
                <w:highlight w:val="none"/>
              </w:rPr>
            </w:pPr>
          </w:p>
        </w:tc>
        <w:tc>
          <w:tcPr>
            <w:tcW w:w="796" w:type="dxa"/>
            <w:vMerge w:val="continue"/>
            <w:tcBorders>
              <w:tl2br w:val="nil"/>
              <w:tr2bl w:val="nil"/>
            </w:tcBorders>
            <w:vAlign w:val="center"/>
          </w:tcPr>
          <w:p w14:paraId="0E535967">
            <w:pPr>
              <w:widowControl/>
              <w:jc w:val="left"/>
              <w:rPr>
                <w:rFonts w:ascii="宋体" w:hAnsi="宋体" w:cs="宋体"/>
                <w:color w:val="auto"/>
                <w:kern w:val="0"/>
                <w:sz w:val="18"/>
                <w:szCs w:val="18"/>
                <w:highlight w:val="none"/>
              </w:rPr>
            </w:pPr>
          </w:p>
        </w:tc>
        <w:tc>
          <w:tcPr>
            <w:tcW w:w="797" w:type="dxa"/>
            <w:vMerge w:val="continue"/>
            <w:tcBorders>
              <w:tl2br w:val="nil"/>
              <w:tr2bl w:val="nil"/>
            </w:tcBorders>
            <w:vAlign w:val="center"/>
          </w:tcPr>
          <w:p w14:paraId="76109CA6">
            <w:pPr>
              <w:widowControl/>
              <w:jc w:val="left"/>
              <w:rPr>
                <w:rFonts w:ascii="宋体" w:hAnsi="宋体" w:cs="宋体"/>
                <w:color w:val="auto"/>
                <w:kern w:val="0"/>
                <w:sz w:val="18"/>
                <w:szCs w:val="18"/>
                <w:highlight w:val="none"/>
              </w:rPr>
            </w:pPr>
          </w:p>
        </w:tc>
        <w:tc>
          <w:tcPr>
            <w:tcW w:w="797" w:type="dxa"/>
            <w:tcBorders>
              <w:tl2br w:val="nil"/>
              <w:tr2bl w:val="nil"/>
            </w:tcBorders>
            <w:vAlign w:val="center"/>
          </w:tcPr>
          <w:p w14:paraId="5EA5C124">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固体饮料</w:t>
            </w:r>
          </w:p>
        </w:tc>
        <w:tc>
          <w:tcPr>
            <w:tcW w:w="953" w:type="dxa"/>
            <w:tcBorders>
              <w:tl2br w:val="nil"/>
              <w:tr2bl w:val="nil"/>
            </w:tcBorders>
            <w:vAlign w:val="center"/>
          </w:tcPr>
          <w:p w14:paraId="1D8BE9C9">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固体饮料</w:t>
            </w:r>
          </w:p>
        </w:tc>
        <w:tc>
          <w:tcPr>
            <w:tcW w:w="1896" w:type="dxa"/>
            <w:tcBorders>
              <w:tl2br w:val="nil"/>
              <w:tr2bl w:val="nil"/>
            </w:tcBorders>
            <w:vAlign w:val="center"/>
          </w:tcPr>
          <w:p w14:paraId="492783C9">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菌落总数、合成着色剂（苋菜红、胭脂红、柠檬黄、日落黄、亮蓝）、相同色泽着色剂混合使用时各自用量占其最大使用量的比例之和</w:t>
            </w:r>
          </w:p>
        </w:tc>
        <w:tc>
          <w:tcPr>
            <w:tcW w:w="2956" w:type="dxa"/>
            <w:tcBorders>
              <w:tl2br w:val="nil"/>
              <w:tr2bl w:val="nil"/>
            </w:tcBorders>
            <w:vAlign w:val="center"/>
          </w:tcPr>
          <w:p w14:paraId="5EB19716">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蛋白质、铅（以</w:t>
            </w:r>
            <w:r>
              <w:rPr>
                <w:color w:val="auto"/>
                <w:kern w:val="0"/>
                <w:sz w:val="18"/>
                <w:szCs w:val="18"/>
                <w:highlight w:val="none"/>
              </w:rPr>
              <w:t>Pb</w:t>
            </w:r>
            <w:r>
              <w:rPr>
                <w:rFonts w:hint="eastAsia" w:ascii="宋体" w:hAnsi="宋体" w:cs="宋体"/>
                <w:color w:val="auto"/>
                <w:kern w:val="0"/>
                <w:sz w:val="18"/>
                <w:szCs w:val="18"/>
                <w:highlight w:val="none"/>
              </w:rPr>
              <w:t>计）、苯甲酸及其钠盐（以苯甲酸计）、山梨酸及其钾盐（以山梨酸计）、防腐剂混合使用时各自用量占其最大使用量的比例之和、糖精钠（以糖精计）、霉菌、大肠菌群、水分</w:t>
            </w:r>
          </w:p>
        </w:tc>
      </w:tr>
      <w:tr w14:paraId="3ECC72F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943" w:hRule="atLeast"/>
        </w:trPr>
        <w:tc>
          <w:tcPr>
            <w:tcW w:w="953" w:type="dxa"/>
            <w:vMerge w:val="continue"/>
            <w:tcBorders>
              <w:tl2br w:val="nil"/>
              <w:tr2bl w:val="nil"/>
            </w:tcBorders>
            <w:vAlign w:val="center"/>
          </w:tcPr>
          <w:p w14:paraId="0501DCC0">
            <w:pPr>
              <w:widowControl/>
              <w:jc w:val="left"/>
              <w:rPr>
                <w:rFonts w:eastAsia="等线"/>
                <w:color w:val="auto"/>
                <w:kern w:val="0"/>
                <w:sz w:val="18"/>
                <w:szCs w:val="18"/>
                <w:highlight w:val="none"/>
              </w:rPr>
            </w:pPr>
          </w:p>
        </w:tc>
        <w:tc>
          <w:tcPr>
            <w:tcW w:w="796" w:type="dxa"/>
            <w:vMerge w:val="continue"/>
            <w:tcBorders>
              <w:tl2br w:val="nil"/>
              <w:tr2bl w:val="nil"/>
            </w:tcBorders>
            <w:vAlign w:val="center"/>
          </w:tcPr>
          <w:p w14:paraId="78995518">
            <w:pPr>
              <w:widowControl/>
              <w:jc w:val="left"/>
              <w:rPr>
                <w:rFonts w:ascii="宋体" w:hAnsi="宋体" w:cs="宋体"/>
                <w:color w:val="auto"/>
                <w:kern w:val="0"/>
                <w:sz w:val="18"/>
                <w:szCs w:val="18"/>
                <w:highlight w:val="none"/>
              </w:rPr>
            </w:pPr>
          </w:p>
        </w:tc>
        <w:tc>
          <w:tcPr>
            <w:tcW w:w="797" w:type="dxa"/>
            <w:vMerge w:val="continue"/>
            <w:tcBorders>
              <w:tl2br w:val="nil"/>
              <w:tr2bl w:val="nil"/>
            </w:tcBorders>
            <w:vAlign w:val="center"/>
          </w:tcPr>
          <w:p w14:paraId="34236AD1">
            <w:pPr>
              <w:widowControl/>
              <w:jc w:val="left"/>
              <w:rPr>
                <w:rFonts w:ascii="宋体" w:hAnsi="宋体" w:cs="宋体"/>
                <w:color w:val="auto"/>
                <w:kern w:val="0"/>
                <w:sz w:val="18"/>
                <w:szCs w:val="18"/>
                <w:highlight w:val="none"/>
              </w:rPr>
            </w:pPr>
          </w:p>
        </w:tc>
        <w:tc>
          <w:tcPr>
            <w:tcW w:w="797" w:type="dxa"/>
            <w:tcBorders>
              <w:tl2br w:val="nil"/>
              <w:tr2bl w:val="nil"/>
            </w:tcBorders>
            <w:vAlign w:val="center"/>
          </w:tcPr>
          <w:p w14:paraId="0F3EBC2A">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其他饮料</w:t>
            </w:r>
          </w:p>
        </w:tc>
        <w:tc>
          <w:tcPr>
            <w:tcW w:w="953" w:type="dxa"/>
            <w:tcBorders>
              <w:tl2br w:val="nil"/>
              <w:tr2bl w:val="nil"/>
            </w:tcBorders>
            <w:vAlign w:val="center"/>
          </w:tcPr>
          <w:p w14:paraId="2EAB803E">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其他饮料</w:t>
            </w:r>
          </w:p>
        </w:tc>
        <w:tc>
          <w:tcPr>
            <w:tcW w:w="1896" w:type="dxa"/>
            <w:tcBorders>
              <w:tl2br w:val="nil"/>
              <w:tr2bl w:val="nil"/>
            </w:tcBorders>
            <w:vAlign w:val="center"/>
          </w:tcPr>
          <w:p w14:paraId="37D8F9D6">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菌落总数、合成着色剂（苋菜红、胭脂红、柠檬黄、日落黄、亮蓝）</w:t>
            </w:r>
          </w:p>
        </w:tc>
        <w:tc>
          <w:tcPr>
            <w:tcW w:w="2956" w:type="dxa"/>
            <w:tcBorders>
              <w:tl2br w:val="nil"/>
              <w:tr2bl w:val="nil"/>
            </w:tcBorders>
            <w:vAlign w:val="center"/>
          </w:tcPr>
          <w:p w14:paraId="1BF67BB9">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苯甲酸及其钠盐（以苯甲酸计）、山梨酸及其钾盐（以山梨酸计）、脱氢乙酸及其钠盐（以脱氢乙酸计）、防腐剂混合使用时各自用量占其最大使用量的比例之和、糖精钠（以糖精计）、甜蜜素（以环己基氨基磺酸计）、安赛蜜、霉菌、酵母、大肠菌群</w:t>
            </w:r>
          </w:p>
        </w:tc>
      </w:tr>
      <w:tr w14:paraId="3E8B6E0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827" w:hRule="atLeast"/>
        </w:trPr>
        <w:tc>
          <w:tcPr>
            <w:tcW w:w="953" w:type="dxa"/>
            <w:vMerge w:val="restart"/>
            <w:tcBorders>
              <w:tl2br w:val="nil"/>
              <w:tr2bl w:val="nil"/>
            </w:tcBorders>
            <w:vAlign w:val="center"/>
          </w:tcPr>
          <w:p w14:paraId="0AFC6014">
            <w:pPr>
              <w:widowControl/>
              <w:jc w:val="center"/>
              <w:rPr>
                <w:rFonts w:eastAsia="等线"/>
                <w:color w:val="auto"/>
                <w:kern w:val="0"/>
                <w:sz w:val="18"/>
                <w:szCs w:val="18"/>
                <w:highlight w:val="none"/>
              </w:rPr>
            </w:pPr>
            <w:r>
              <w:rPr>
                <w:rFonts w:eastAsia="等线"/>
                <w:color w:val="auto"/>
                <w:kern w:val="0"/>
                <w:sz w:val="18"/>
                <w:szCs w:val="18"/>
                <w:highlight w:val="none"/>
              </w:rPr>
              <w:t>7</w:t>
            </w:r>
          </w:p>
        </w:tc>
        <w:tc>
          <w:tcPr>
            <w:tcW w:w="796" w:type="dxa"/>
            <w:vMerge w:val="restart"/>
            <w:tcBorders>
              <w:tl2br w:val="nil"/>
              <w:tr2bl w:val="nil"/>
            </w:tcBorders>
            <w:vAlign w:val="center"/>
          </w:tcPr>
          <w:p w14:paraId="7449F02D">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方便食品</w:t>
            </w:r>
          </w:p>
        </w:tc>
        <w:tc>
          <w:tcPr>
            <w:tcW w:w="797" w:type="dxa"/>
            <w:vMerge w:val="restart"/>
            <w:tcBorders>
              <w:tl2br w:val="nil"/>
              <w:tr2bl w:val="nil"/>
            </w:tcBorders>
            <w:vAlign w:val="center"/>
          </w:tcPr>
          <w:p w14:paraId="0424B123">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方便食品</w:t>
            </w:r>
          </w:p>
        </w:tc>
        <w:tc>
          <w:tcPr>
            <w:tcW w:w="797" w:type="dxa"/>
            <w:tcBorders>
              <w:tl2br w:val="nil"/>
              <w:tr2bl w:val="nil"/>
            </w:tcBorders>
            <w:vAlign w:val="center"/>
          </w:tcPr>
          <w:p w14:paraId="3D799EE0">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方便面</w:t>
            </w:r>
          </w:p>
        </w:tc>
        <w:tc>
          <w:tcPr>
            <w:tcW w:w="953" w:type="dxa"/>
            <w:tcBorders>
              <w:tl2br w:val="nil"/>
              <w:tr2bl w:val="nil"/>
            </w:tcBorders>
            <w:vAlign w:val="center"/>
          </w:tcPr>
          <w:p w14:paraId="2B48E2B1">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油炸面、非油炸面、方便米粉（米线）、方便粉丝</w:t>
            </w:r>
          </w:p>
        </w:tc>
        <w:tc>
          <w:tcPr>
            <w:tcW w:w="1896" w:type="dxa"/>
            <w:tcBorders>
              <w:tl2br w:val="nil"/>
              <w:tr2bl w:val="nil"/>
            </w:tcBorders>
            <w:vAlign w:val="center"/>
          </w:tcPr>
          <w:p w14:paraId="49EF868E">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酸价（以脂肪计）（</w:t>
            </w:r>
            <w:r>
              <w:rPr>
                <w:color w:val="auto"/>
                <w:kern w:val="0"/>
                <w:sz w:val="18"/>
                <w:szCs w:val="18"/>
                <w:highlight w:val="none"/>
              </w:rPr>
              <w:t>KOH</w:t>
            </w:r>
            <w:r>
              <w:rPr>
                <w:rFonts w:hint="eastAsia" w:ascii="宋体" w:hAnsi="宋体" w:cs="宋体"/>
                <w:color w:val="auto"/>
                <w:kern w:val="0"/>
                <w:sz w:val="18"/>
                <w:szCs w:val="18"/>
                <w:highlight w:val="none"/>
              </w:rPr>
              <w:t>）、过氧化值（以脂肪计）</w:t>
            </w:r>
          </w:p>
        </w:tc>
        <w:tc>
          <w:tcPr>
            <w:tcW w:w="2956" w:type="dxa"/>
            <w:tcBorders>
              <w:tl2br w:val="nil"/>
              <w:tr2bl w:val="nil"/>
            </w:tcBorders>
            <w:vAlign w:val="center"/>
          </w:tcPr>
          <w:p w14:paraId="5374EE80">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水分、菌落总数、大肠菌群、霉菌</w:t>
            </w:r>
          </w:p>
        </w:tc>
      </w:tr>
      <w:tr w14:paraId="6FA293D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091" w:hRule="atLeast"/>
        </w:trPr>
        <w:tc>
          <w:tcPr>
            <w:tcW w:w="953" w:type="dxa"/>
            <w:vMerge w:val="continue"/>
            <w:tcBorders>
              <w:tl2br w:val="nil"/>
              <w:tr2bl w:val="nil"/>
            </w:tcBorders>
            <w:vAlign w:val="center"/>
          </w:tcPr>
          <w:p w14:paraId="0261CDA2">
            <w:pPr>
              <w:widowControl/>
              <w:jc w:val="center"/>
              <w:rPr>
                <w:rFonts w:eastAsia="等线"/>
                <w:color w:val="auto"/>
                <w:kern w:val="0"/>
                <w:sz w:val="18"/>
                <w:szCs w:val="18"/>
                <w:highlight w:val="none"/>
              </w:rPr>
            </w:pPr>
          </w:p>
        </w:tc>
        <w:tc>
          <w:tcPr>
            <w:tcW w:w="796" w:type="dxa"/>
            <w:vMerge w:val="continue"/>
            <w:tcBorders>
              <w:tl2br w:val="nil"/>
              <w:tr2bl w:val="nil"/>
            </w:tcBorders>
            <w:vAlign w:val="center"/>
          </w:tcPr>
          <w:p w14:paraId="6F802A6A">
            <w:pPr>
              <w:widowControl/>
              <w:jc w:val="center"/>
              <w:rPr>
                <w:rFonts w:ascii="宋体" w:hAnsi="宋体" w:cs="宋体"/>
                <w:color w:val="auto"/>
                <w:kern w:val="0"/>
                <w:sz w:val="18"/>
                <w:szCs w:val="18"/>
                <w:highlight w:val="none"/>
              </w:rPr>
            </w:pPr>
          </w:p>
        </w:tc>
        <w:tc>
          <w:tcPr>
            <w:tcW w:w="797" w:type="dxa"/>
            <w:vMerge w:val="continue"/>
            <w:tcBorders>
              <w:tl2br w:val="nil"/>
              <w:tr2bl w:val="nil"/>
            </w:tcBorders>
            <w:vAlign w:val="center"/>
          </w:tcPr>
          <w:p w14:paraId="6BCDE634">
            <w:pPr>
              <w:widowControl/>
              <w:jc w:val="center"/>
              <w:rPr>
                <w:rFonts w:ascii="宋体" w:hAnsi="宋体" w:cs="宋体"/>
                <w:color w:val="auto"/>
                <w:kern w:val="0"/>
                <w:sz w:val="18"/>
                <w:szCs w:val="18"/>
                <w:highlight w:val="none"/>
              </w:rPr>
            </w:pPr>
          </w:p>
        </w:tc>
        <w:tc>
          <w:tcPr>
            <w:tcW w:w="797" w:type="dxa"/>
            <w:tcBorders>
              <w:tl2br w:val="nil"/>
              <w:tr2bl w:val="nil"/>
            </w:tcBorders>
            <w:vAlign w:val="center"/>
          </w:tcPr>
          <w:p w14:paraId="72C901EC">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调味面制品</w:t>
            </w:r>
          </w:p>
        </w:tc>
        <w:tc>
          <w:tcPr>
            <w:tcW w:w="953" w:type="dxa"/>
            <w:tcBorders>
              <w:tl2br w:val="nil"/>
              <w:tr2bl w:val="nil"/>
            </w:tcBorders>
            <w:vAlign w:val="center"/>
          </w:tcPr>
          <w:p w14:paraId="513C624B">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调味面制品</w:t>
            </w:r>
          </w:p>
        </w:tc>
        <w:tc>
          <w:tcPr>
            <w:tcW w:w="1896" w:type="dxa"/>
            <w:tcBorders>
              <w:tl2br w:val="nil"/>
              <w:tr2bl w:val="nil"/>
            </w:tcBorders>
            <w:vAlign w:val="center"/>
          </w:tcPr>
          <w:p w14:paraId="0DEF1DC2">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酸价（以脂肪计）（KOH）、三氯蔗糖、合成着色剂（柠檬黄、日落黄、苋菜红、诱惑红）</w:t>
            </w:r>
          </w:p>
        </w:tc>
        <w:tc>
          <w:tcPr>
            <w:tcW w:w="2956" w:type="dxa"/>
            <w:tcBorders>
              <w:tl2br w:val="nil"/>
              <w:tr2bl w:val="nil"/>
            </w:tcBorders>
            <w:vAlign w:val="center"/>
          </w:tcPr>
          <w:p w14:paraId="084B37A0">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过氧化值（以脂肪计）、苯甲酸及其钠盐（以苯甲酸计）、山梨酸及其钾盐（以山梨酸计）、脱氢乙酸及其钠盐（以脱氢乙酸计）、糖精钠（以糖精计）、甜蜜素（以环己基氨基磺酸计）、安赛蜜、菌落总数、大肠菌群、霉菌、沙门氏菌、金黄色葡萄球菌</w:t>
            </w:r>
          </w:p>
        </w:tc>
      </w:tr>
      <w:tr w14:paraId="1C697E5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748" w:hRule="atLeast"/>
        </w:trPr>
        <w:tc>
          <w:tcPr>
            <w:tcW w:w="953" w:type="dxa"/>
            <w:vMerge w:val="continue"/>
            <w:tcBorders>
              <w:tl2br w:val="nil"/>
              <w:tr2bl w:val="nil"/>
            </w:tcBorders>
            <w:vAlign w:val="center"/>
          </w:tcPr>
          <w:p w14:paraId="13919A23">
            <w:pPr>
              <w:widowControl/>
              <w:jc w:val="left"/>
              <w:rPr>
                <w:rFonts w:eastAsia="等线"/>
                <w:color w:val="auto"/>
                <w:kern w:val="0"/>
                <w:sz w:val="18"/>
                <w:szCs w:val="18"/>
                <w:highlight w:val="none"/>
              </w:rPr>
            </w:pPr>
          </w:p>
        </w:tc>
        <w:tc>
          <w:tcPr>
            <w:tcW w:w="796" w:type="dxa"/>
            <w:vMerge w:val="continue"/>
            <w:tcBorders>
              <w:tl2br w:val="nil"/>
              <w:tr2bl w:val="nil"/>
            </w:tcBorders>
            <w:vAlign w:val="center"/>
          </w:tcPr>
          <w:p w14:paraId="4A364BB2">
            <w:pPr>
              <w:widowControl/>
              <w:jc w:val="left"/>
              <w:rPr>
                <w:rFonts w:ascii="宋体" w:hAnsi="宋体" w:cs="宋体"/>
                <w:color w:val="auto"/>
                <w:kern w:val="0"/>
                <w:sz w:val="18"/>
                <w:szCs w:val="18"/>
                <w:highlight w:val="none"/>
              </w:rPr>
            </w:pPr>
          </w:p>
        </w:tc>
        <w:tc>
          <w:tcPr>
            <w:tcW w:w="797" w:type="dxa"/>
            <w:vMerge w:val="continue"/>
            <w:tcBorders>
              <w:tl2br w:val="nil"/>
              <w:tr2bl w:val="nil"/>
            </w:tcBorders>
            <w:vAlign w:val="center"/>
          </w:tcPr>
          <w:p w14:paraId="00A83F5D">
            <w:pPr>
              <w:widowControl/>
              <w:jc w:val="left"/>
              <w:rPr>
                <w:rFonts w:ascii="宋体" w:hAnsi="宋体" w:cs="宋体"/>
                <w:color w:val="auto"/>
                <w:kern w:val="0"/>
                <w:sz w:val="18"/>
                <w:szCs w:val="18"/>
                <w:highlight w:val="none"/>
              </w:rPr>
            </w:pPr>
          </w:p>
        </w:tc>
        <w:tc>
          <w:tcPr>
            <w:tcW w:w="797" w:type="dxa"/>
            <w:tcBorders>
              <w:tl2br w:val="nil"/>
              <w:tr2bl w:val="nil"/>
            </w:tcBorders>
            <w:vAlign w:val="center"/>
          </w:tcPr>
          <w:p w14:paraId="0C185116">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其他方便食品</w:t>
            </w:r>
          </w:p>
        </w:tc>
        <w:tc>
          <w:tcPr>
            <w:tcW w:w="953" w:type="dxa"/>
            <w:tcBorders>
              <w:tl2br w:val="nil"/>
              <w:tr2bl w:val="nil"/>
            </w:tcBorders>
            <w:vAlign w:val="center"/>
          </w:tcPr>
          <w:p w14:paraId="4BCCD56E">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方便粥、方便盒饭、冷面及其他熟制方便食品等</w:t>
            </w:r>
          </w:p>
        </w:tc>
        <w:tc>
          <w:tcPr>
            <w:tcW w:w="1896" w:type="dxa"/>
            <w:tcBorders>
              <w:tl2br w:val="nil"/>
              <w:tr2bl w:val="nil"/>
            </w:tcBorders>
            <w:vAlign w:val="center"/>
          </w:tcPr>
          <w:p w14:paraId="19811BD4">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菌落总数、大肠菌群、霉菌</w:t>
            </w:r>
          </w:p>
        </w:tc>
        <w:tc>
          <w:tcPr>
            <w:tcW w:w="2956" w:type="dxa"/>
            <w:tcBorders>
              <w:tl2br w:val="nil"/>
              <w:tr2bl w:val="nil"/>
            </w:tcBorders>
            <w:vAlign w:val="center"/>
          </w:tcPr>
          <w:p w14:paraId="68F9A4EB">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酸价（以脂肪计）（</w:t>
            </w:r>
            <w:r>
              <w:rPr>
                <w:color w:val="auto"/>
                <w:kern w:val="0"/>
                <w:sz w:val="18"/>
                <w:szCs w:val="18"/>
                <w:highlight w:val="none"/>
              </w:rPr>
              <w:t>KOH</w:t>
            </w:r>
            <w:r>
              <w:rPr>
                <w:rFonts w:hint="eastAsia" w:ascii="宋体" w:hAnsi="宋体" w:cs="宋体"/>
                <w:color w:val="auto"/>
                <w:kern w:val="0"/>
                <w:sz w:val="18"/>
                <w:szCs w:val="18"/>
                <w:highlight w:val="none"/>
              </w:rPr>
              <w:t>）、过氧化值（以脂肪计）、铅（以</w:t>
            </w:r>
            <w:r>
              <w:rPr>
                <w:color w:val="auto"/>
                <w:kern w:val="0"/>
                <w:sz w:val="18"/>
                <w:szCs w:val="18"/>
                <w:highlight w:val="none"/>
              </w:rPr>
              <w:t>Pb</w:t>
            </w:r>
            <w:r>
              <w:rPr>
                <w:rFonts w:hint="eastAsia" w:ascii="宋体" w:hAnsi="宋体" w:cs="宋体"/>
                <w:color w:val="auto"/>
                <w:kern w:val="0"/>
                <w:sz w:val="18"/>
                <w:szCs w:val="18"/>
                <w:highlight w:val="none"/>
              </w:rPr>
              <w:t>计）、黄曲霉毒素</w:t>
            </w:r>
            <w:r>
              <w:rPr>
                <w:color w:val="auto"/>
                <w:kern w:val="0"/>
                <w:sz w:val="18"/>
                <w:szCs w:val="18"/>
                <w:highlight w:val="none"/>
              </w:rPr>
              <w:t>B</w:t>
            </w:r>
            <w:r>
              <w:rPr>
                <w:color w:val="auto"/>
                <w:kern w:val="0"/>
                <w:sz w:val="18"/>
                <w:szCs w:val="18"/>
                <w:highlight w:val="none"/>
                <w:vertAlign w:val="subscript"/>
              </w:rPr>
              <w:t>1</w:t>
            </w:r>
            <w:r>
              <w:rPr>
                <w:rFonts w:hint="eastAsia" w:ascii="宋体" w:hAnsi="宋体" w:cs="宋体"/>
                <w:color w:val="auto"/>
                <w:kern w:val="0"/>
                <w:sz w:val="18"/>
                <w:szCs w:val="18"/>
                <w:highlight w:val="none"/>
              </w:rPr>
              <w:t>、苯甲酸及其钠盐（以苯甲酸计）、山梨酸及其钾盐（以山梨酸计）、糖精钠（以糖精计）、沙门氏菌、金黄色葡萄球菌</w:t>
            </w:r>
          </w:p>
        </w:tc>
      </w:tr>
      <w:tr w14:paraId="7FDD449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698" w:hRule="atLeast"/>
        </w:trPr>
        <w:tc>
          <w:tcPr>
            <w:tcW w:w="953" w:type="dxa"/>
            <w:tcBorders>
              <w:tl2br w:val="nil"/>
              <w:tr2bl w:val="nil"/>
            </w:tcBorders>
            <w:vAlign w:val="center"/>
          </w:tcPr>
          <w:p w14:paraId="4A140ADB">
            <w:pPr>
              <w:widowControl/>
              <w:jc w:val="center"/>
              <w:rPr>
                <w:rFonts w:eastAsia="等线"/>
                <w:color w:val="auto"/>
                <w:kern w:val="0"/>
                <w:sz w:val="18"/>
                <w:szCs w:val="18"/>
                <w:highlight w:val="none"/>
              </w:rPr>
            </w:pPr>
            <w:r>
              <w:rPr>
                <w:rFonts w:eastAsia="等线"/>
                <w:color w:val="auto"/>
                <w:kern w:val="0"/>
                <w:sz w:val="18"/>
                <w:szCs w:val="18"/>
                <w:highlight w:val="none"/>
              </w:rPr>
              <w:t>8</w:t>
            </w:r>
          </w:p>
        </w:tc>
        <w:tc>
          <w:tcPr>
            <w:tcW w:w="796" w:type="dxa"/>
            <w:tcBorders>
              <w:tl2br w:val="nil"/>
              <w:tr2bl w:val="nil"/>
            </w:tcBorders>
            <w:vAlign w:val="center"/>
          </w:tcPr>
          <w:p w14:paraId="4C8BF153">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饼干</w:t>
            </w:r>
          </w:p>
        </w:tc>
        <w:tc>
          <w:tcPr>
            <w:tcW w:w="797" w:type="dxa"/>
            <w:tcBorders>
              <w:tl2br w:val="nil"/>
              <w:tr2bl w:val="nil"/>
            </w:tcBorders>
            <w:vAlign w:val="center"/>
          </w:tcPr>
          <w:p w14:paraId="6B72CA3C">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饼干</w:t>
            </w:r>
          </w:p>
        </w:tc>
        <w:tc>
          <w:tcPr>
            <w:tcW w:w="797" w:type="dxa"/>
            <w:tcBorders>
              <w:tl2br w:val="nil"/>
              <w:tr2bl w:val="nil"/>
            </w:tcBorders>
            <w:vAlign w:val="center"/>
          </w:tcPr>
          <w:p w14:paraId="7A0AC35B">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饼干</w:t>
            </w:r>
          </w:p>
        </w:tc>
        <w:tc>
          <w:tcPr>
            <w:tcW w:w="953" w:type="dxa"/>
            <w:tcBorders>
              <w:tl2br w:val="nil"/>
              <w:tr2bl w:val="nil"/>
            </w:tcBorders>
            <w:vAlign w:val="center"/>
          </w:tcPr>
          <w:p w14:paraId="217FDA8C">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饼干</w:t>
            </w:r>
          </w:p>
        </w:tc>
        <w:tc>
          <w:tcPr>
            <w:tcW w:w="1896" w:type="dxa"/>
            <w:tcBorders>
              <w:tl2br w:val="nil"/>
              <w:tr2bl w:val="nil"/>
            </w:tcBorders>
            <w:vAlign w:val="center"/>
          </w:tcPr>
          <w:p w14:paraId="23256C72">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过氧化值（以脂肪计）、脱氢乙酸及其钠盐（以脱氢乙酸计）</w:t>
            </w:r>
          </w:p>
        </w:tc>
        <w:tc>
          <w:tcPr>
            <w:tcW w:w="2956" w:type="dxa"/>
            <w:tcBorders>
              <w:tl2br w:val="nil"/>
              <w:tr2bl w:val="nil"/>
            </w:tcBorders>
            <w:vAlign w:val="center"/>
          </w:tcPr>
          <w:p w14:paraId="3CF2653E">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酸价（以脂肪计）（</w:t>
            </w:r>
            <w:r>
              <w:rPr>
                <w:color w:val="auto"/>
                <w:kern w:val="0"/>
                <w:sz w:val="18"/>
                <w:szCs w:val="18"/>
                <w:highlight w:val="none"/>
              </w:rPr>
              <w:t>KOH</w:t>
            </w:r>
            <w:r>
              <w:rPr>
                <w:rFonts w:hint="eastAsia" w:ascii="宋体" w:hAnsi="宋体" w:cs="宋体"/>
                <w:color w:val="auto"/>
                <w:kern w:val="0"/>
                <w:sz w:val="18"/>
                <w:szCs w:val="18"/>
                <w:highlight w:val="none"/>
              </w:rPr>
              <w:t>）、山梨酸及其钾盐（以山梨酸计）、铝的残留量（干样品，以</w:t>
            </w:r>
            <w:r>
              <w:rPr>
                <w:color w:val="auto"/>
                <w:kern w:val="0"/>
                <w:sz w:val="18"/>
                <w:szCs w:val="18"/>
                <w:highlight w:val="none"/>
              </w:rPr>
              <w:t>Al</w:t>
            </w:r>
            <w:r>
              <w:rPr>
                <w:rFonts w:hint="eastAsia" w:ascii="宋体" w:hAnsi="宋体" w:cs="宋体"/>
                <w:color w:val="auto"/>
                <w:kern w:val="0"/>
                <w:sz w:val="18"/>
                <w:szCs w:val="18"/>
                <w:highlight w:val="none"/>
              </w:rPr>
              <w:t>计）、甜蜜素（以环己基氨基磺酸计）、糖精钠（以糖精计）、二氧化硫残留量、苯甲酸及其钠盐（以苯甲酸计）、合成着色剂（柠檬黄、日落黄、胭脂红、苋菜红、亮蓝、新红、赤藓红、靛蓝、诱惑红、酸性红、喹啉黄）、菌落总数、大肠菌群、金黄色葡萄球菌、沙门氏菌、霉菌</w:t>
            </w:r>
          </w:p>
        </w:tc>
      </w:tr>
      <w:tr w14:paraId="6E817B6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080" w:hRule="atLeast"/>
        </w:trPr>
        <w:tc>
          <w:tcPr>
            <w:tcW w:w="953" w:type="dxa"/>
            <w:vMerge w:val="restart"/>
            <w:tcBorders>
              <w:tl2br w:val="nil"/>
              <w:tr2bl w:val="nil"/>
            </w:tcBorders>
            <w:vAlign w:val="center"/>
          </w:tcPr>
          <w:p w14:paraId="74F6BCC5">
            <w:pPr>
              <w:widowControl/>
              <w:jc w:val="center"/>
              <w:rPr>
                <w:rFonts w:eastAsia="等线"/>
                <w:color w:val="auto"/>
                <w:kern w:val="0"/>
                <w:sz w:val="18"/>
                <w:szCs w:val="18"/>
                <w:highlight w:val="none"/>
              </w:rPr>
            </w:pPr>
            <w:r>
              <w:rPr>
                <w:rFonts w:eastAsia="等线"/>
                <w:color w:val="auto"/>
                <w:kern w:val="0"/>
                <w:sz w:val="18"/>
                <w:szCs w:val="18"/>
                <w:highlight w:val="none"/>
              </w:rPr>
              <w:t>9</w:t>
            </w:r>
          </w:p>
        </w:tc>
        <w:tc>
          <w:tcPr>
            <w:tcW w:w="796" w:type="dxa"/>
            <w:vMerge w:val="restart"/>
            <w:tcBorders>
              <w:tl2br w:val="nil"/>
              <w:tr2bl w:val="nil"/>
            </w:tcBorders>
            <w:vAlign w:val="center"/>
          </w:tcPr>
          <w:p w14:paraId="08DDE44B">
            <w:pPr>
              <w:widowControl/>
              <w:rPr>
                <w:rFonts w:ascii="宋体" w:hAnsi="宋体" w:cs="宋体"/>
                <w:color w:val="auto"/>
                <w:kern w:val="0"/>
                <w:sz w:val="18"/>
                <w:szCs w:val="18"/>
                <w:highlight w:val="none"/>
              </w:rPr>
            </w:pPr>
            <w:r>
              <w:rPr>
                <w:rFonts w:hint="eastAsia" w:ascii="宋体" w:hAnsi="宋体" w:cs="宋体"/>
                <w:color w:val="auto"/>
                <w:kern w:val="0"/>
                <w:sz w:val="18"/>
                <w:szCs w:val="18"/>
                <w:highlight w:val="none"/>
              </w:rPr>
              <w:t>罐头</w:t>
            </w:r>
          </w:p>
        </w:tc>
        <w:tc>
          <w:tcPr>
            <w:tcW w:w="797" w:type="dxa"/>
            <w:vMerge w:val="restart"/>
            <w:tcBorders>
              <w:tl2br w:val="nil"/>
              <w:tr2bl w:val="nil"/>
            </w:tcBorders>
            <w:vAlign w:val="center"/>
          </w:tcPr>
          <w:p w14:paraId="4047EFE5">
            <w:pPr>
              <w:widowControl/>
              <w:rPr>
                <w:rFonts w:ascii="宋体" w:hAnsi="宋体" w:cs="宋体"/>
                <w:color w:val="auto"/>
                <w:kern w:val="0"/>
                <w:sz w:val="18"/>
                <w:szCs w:val="18"/>
                <w:highlight w:val="none"/>
              </w:rPr>
            </w:pPr>
            <w:r>
              <w:rPr>
                <w:rFonts w:hint="eastAsia" w:ascii="宋体" w:hAnsi="宋体" w:cs="宋体"/>
                <w:color w:val="auto"/>
                <w:kern w:val="0"/>
                <w:sz w:val="18"/>
                <w:szCs w:val="18"/>
                <w:highlight w:val="none"/>
              </w:rPr>
              <w:t>罐头</w:t>
            </w:r>
          </w:p>
        </w:tc>
        <w:tc>
          <w:tcPr>
            <w:tcW w:w="797" w:type="dxa"/>
            <w:vMerge w:val="restart"/>
            <w:tcBorders>
              <w:tl2br w:val="nil"/>
              <w:tr2bl w:val="nil"/>
            </w:tcBorders>
            <w:vAlign w:val="center"/>
          </w:tcPr>
          <w:p w14:paraId="33B1510E">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畜禽水产罐头</w:t>
            </w:r>
          </w:p>
        </w:tc>
        <w:tc>
          <w:tcPr>
            <w:tcW w:w="953" w:type="dxa"/>
            <w:tcBorders>
              <w:tl2br w:val="nil"/>
              <w:tr2bl w:val="nil"/>
            </w:tcBorders>
            <w:vAlign w:val="center"/>
          </w:tcPr>
          <w:p w14:paraId="2724BA2E">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畜禽肉类罐头</w:t>
            </w:r>
          </w:p>
        </w:tc>
        <w:tc>
          <w:tcPr>
            <w:tcW w:w="1896" w:type="dxa"/>
            <w:tcBorders>
              <w:tl2br w:val="nil"/>
              <w:tr2bl w:val="nil"/>
            </w:tcBorders>
            <w:vAlign w:val="center"/>
          </w:tcPr>
          <w:p w14:paraId="4490F6A3">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苯甲酸及其钠盐（以苯甲酸计）、山梨酸及其钾盐（以山梨酸计）、糖精钠（以糖精计）</w:t>
            </w:r>
          </w:p>
        </w:tc>
        <w:tc>
          <w:tcPr>
            <w:tcW w:w="2956" w:type="dxa"/>
            <w:tcBorders>
              <w:tl2br w:val="nil"/>
              <w:tr2bl w:val="nil"/>
            </w:tcBorders>
            <w:vAlign w:val="center"/>
          </w:tcPr>
          <w:p w14:paraId="418D97B2">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铅（以</w:t>
            </w:r>
            <w:r>
              <w:rPr>
                <w:color w:val="auto"/>
                <w:kern w:val="0"/>
                <w:sz w:val="18"/>
                <w:szCs w:val="18"/>
                <w:highlight w:val="none"/>
              </w:rPr>
              <w:t>Pb</w:t>
            </w:r>
            <w:r>
              <w:rPr>
                <w:rFonts w:hint="eastAsia" w:ascii="宋体" w:hAnsi="宋体" w:cs="宋体"/>
                <w:color w:val="auto"/>
                <w:kern w:val="0"/>
                <w:sz w:val="18"/>
                <w:szCs w:val="18"/>
                <w:highlight w:val="none"/>
              </w:rPr>
              <w:t>计）、镉（以</w:t>
            </w:r>
            <w:r>
              <w:rPr>
                <w:color w:val="auto"/>
                <w:kern w:val="0"/>
                <w:sz w:val="18"/>
                <w:szCs w:val="18"/>
                <w:highlight w:val="none"/>
              </w:rPr>
              <w:t>Cd</w:t>
            </w:r>
            <w:r>
              <w:rPr>
                <w:rFonts w:hint="eastAsia" w:ascii="宋体" w:hAnsi="宋体" w:cs="宋体"/>
                <w:color w:val="auto"/>
                <w:kern w:val="0"/>
                <w:sz w:val="18"/>
                <w:szCs w:val="18"/>
                <w:highlight w:val="none"/>
              </w:rPr>
              <w:t>计）、商业无菌</w:t>
            </w:r>
          </w:p>
        </w:tc>
      </w:tr>
      <w:tr w14:paraId="47BAFCD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182" w:hRule="atLeast"/>
        </w:trPr>
        <w:tc>
          <w:tcPr>
            <w:tcW w:w="953" w:type="dxa"/>
            <w:vMerge w:val="continue"/>
            <w:tcBorders>
              <w:tl2br w:val="nil"/>
              <w:tr2bl w:val="nil"/>
            </w:tcBorders>
            <w:vAlign w:val="center"/>
          </w:tcPr>
          <w:p w14:paraId="10422B31">
            <w:pPr>
              <w:widowControl/>
              <w:jc w:val="left"/>
              <w:rPr>
                <w:rFonts w:eastAsia="等线"/>
                <w:color w:val="auto"/>
                <w:kern w:val="0"/>
                <w:sz w:val="18"/>
                <w:szCs w:val="18"/>
                <w:highlight w:val="none"/>
              </w:rPr>
            </w:pPr>
          </w:p>
        </w:tc>
        <w:tc>
          <w:tcPr>
            <w:tcW w:w="796" w:type="dxa"/>
            <w:vMerge w:val="continue"/>
            <w:tcBorders>
              <w:tl2br w:val="nil"/>
              <w:tr2bl w:val="nil"/>
            </w:tcBorders>
            <w:vAlign w:val="center"/>
          </w:tcPr>
          <w:p w14:paraId="25B3ECA2">
            <w:pPr>
              <w:widowControl/>
              <w:jc w:val="left"/>
              <w:rPr>
                <w:rFonts w:ascii="宋体" w:hAnsi="宋体" w:cs="宋体"/>
                <w:color w:val="auto"/>
                <w:kern w:val="0"/>
                <w:sz w:val="18"/>
                <w:szCs w:val="18"/>
                <w:highlight w:val="none"/>
              </w:rPr>
            </w:pPr>
          </w:p>
        </w:tc>
        <w:tc>
          <w:tcPr>
            <w:tcW w:w="797" w:type="dxa"/>
            <w:vMerge w:val="continue"/>
            <w:tcBorders>
              <w:tl2br w:val="nil"/>
              <w:tr2bl w:val="nil"/>
            </w:tcBorders>
            <w:vAlign w:val="center"/>
          </w:tcPr>
          <w:p w14:paraId="65145B35">
            <w:pPr>
              <w:widowControl/>
              <w:jc w:val="left"/>
              <w:rPr>
                <w:rFonts w:ascii="宋体" w:hAnsi="宋体" w:cs="宋体"/>
                <w:color w:val="auto"/>
                <w:kern w:val="0"/>
                <w:sz w:val="18"/>
                <w:szCs w:val="18"/>
                <w:highlight w:val="none"/>
              </w:rPr>
            </w:pPr>
          </w:p>
        </w:tc>
        <w:tc>
          <w:tcPr>
            <w:tcW w:w="797" w:type="dxa"/>
            <w:vMerge w:val="continue"/>
            <w:tcBorders>
              <w:tl2br w:val="nil"/>
              <w:tr2bl w:val="nil"/>
            </w:tcBorders>
            <w:vAlign w:val="center"/>
          </w:tcPr>
          <w:p w14:paraId="75470796">
            <w:pPr>
              <w:widowControl/>
              <w:jc w:val="left"/>
              <w:rPr>
                <w:rFonts w:ascii="宋体" w:hAnsi="宋体" w:cs="宋体"/>
                <w:color w:val="auto"/>
                <w:kern w:val="0"/>
                <w:sz w:val="18"/>
                <w:szCs w:val="18"/>
                <w:highlight w:val="none"/>
              </w:rPr>
            </w:pPr>
          </w:p>
        </w:tc>
        <w:tc>
          <w:tcPr>
            <w:tcW w:w="953" w:type="dxa"/>
            <w:tcBorders>
              <w:tl2br w:val="nil"/>
              <w:tr2bl w:val="nil"/>
            </w:tcBorders>
            <w:vAlign w:val="center"/>
          </w:tcPr>
          <w:p w14:paraId="4A234EB8">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水产动物类罐头</w:t>
            </w:r>
          </w:p>
        </w:tc>
        <w:tc>
          <w:tcPr>
            <w:tcW w:w="1896" w:type="dxa"/>
            <w:tcBorders>
              <w:tl2br w:val="nil"/>
              <w:tr2bl w:val="nil"/>
            </w:tcBorders>
            <w:vAlign w:val="center"/>
          </w:tcPr>
          <w:p w14:paraId="1820C8CD">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组胺、脱氢乙酸及其钠盐（以脱氢乙酸计）</w:t>
            </w:r>
          </w:p>
        </w:tc>
        <w:tc>
          <w:tcPr>
            <w:tcW w:w="2956" w:type="dxa"/>
            <w:tcBorders>
              <w:tl2br w:val="nil"/>
              <w:tr2bl w:val="nil"/>
            </w:tcBorders>
            <w:vAlign w:val="center"/>
          </w:tcPr>
          <w:p w14:paraId="73398295">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铅（以</w:t>
            </w:r>
            <w:r>
              <w:rPr>
                <w:color w:val="auto"/>
                <w:kern w:val="0"/>
                <w:sz w:val="18"/>
                <w:szCs w:val="18"/>
                <w:highlight w:val="none"/>
              </w:rPr>
              <w:t>Pb</w:t>
            </w:r>
            <w:r>
              <w:rPr>
                <w:rFonts w:hint="eastAsia" w:ascii="宋体" w:hAnsi="宋体" w:cs="宋体"/>
                <w:color w:val="auto"/>
                <w:kern w:val="0"/>
                <w:sz w:val="18"/>
                <w:szCs w:val="18"/>
                <w:highlight w:val="none"/>
              </w:rPr>
              <w:t>计）、无机砷（以</w:t>
            </w:r>
            <w:r>
              <w:rPr>
                <w:color w:val="auto"/>
                <w:kern w:val="0"/>
                <w:sz w:val="18"/>
                <w:szCs w:val="18"/>
                <w:highlight w:val="none"/>
              </w:rPr>
              <w:t>As</w:t>
            </w:r>
            <w:r>
              <w:rPr>
                <w:rFonts w:hint="eastAsia" w:ascii="宋体" w:hAnsi="宋体" w:cs="宋体"/>
                <w:color w:val="auto"/>
                <w:kern w:val="0"/>
                <w:sz w:val="18"/>
                <w:szCs w:val="18"/>
                <w:highlight w:val="none"/>
              </w:rPr>
              <w:t>计）、苯甲酸及其钠盐（以苯甲酸计）、山梨酸及其钾盐（以山梨酸计）、糖精钠（以糖精计）、甜蜜素（以环己基氨基磺酸计）、商业无菌</w:t>
            </w:r>
          </w:p>
        </w:tc>
      </w:tr>
      <w:tr w14:paraId="562A421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152" w:hRule="atLeast"/>
        </w:trPr>
        <w:tc>
          <w:tcPr>
            <w:tcW w:w="953" w:type="dxa"/>
            <w:vMerge w:val="continue"/>
            <w:tcBorders>
              <w:tl2br w:val="nil"/>
              <w:tr2bl w:val="nil"/>
            </w:tcBorders>
            <w:vAlign w:val="center"/>
          </w:tcPr>
          <w:p w14:paraId="6A257111">
            <w:pPr>
              <w:widowControl/>
              <w:jc w:val="left"/>
              <w:rPr>
                <w:rFonts w:eastAsia="等线"/>
                <w:color w:val="auto"/>
                <w:kern w:val="0"/>
                <w:sz w:val="18"/>
                <w:szCs w:val="18"/>
                <w:highlight w:val="none"/>
              </w:rPr>
            </w:pPr>
          </w:p>
        </w:tc>
        <w:tc>
          <w:tcPr>
            <w:tcW w:w="796" w:type="dxa"/>
            <w:vMerge w:val="continue"/>
            <w:tcBorders>
              <w:tl2br w:val="nil"/>
              <w:tr2bl w:val="nil"/>
            </w:tcBorders>
            <w:vAlign w:val="center"/>
          </w:tcPr>
          <w:p w14:paraId="283D5D3B">
            <w:pPr>
              <w:widowControl/>
              <w:jc w:val="left"/>
              <w:rPr>
                <w:rFonts w:ascii="宋体" w:hAnsi="宋体" w:cs="宋体"/>
                <w:color w:val="auto"/>
                <w:kern w:val="0"/>
                <w:sz w:val="18"/>
                <w:szCs w:val="18"/>
                <w:highlight w:val="none"/>
              </w:rPr>
            </w:pPr>
          </w:p>
        </w:tc>
        <w:tc>
          <w:tcPr>
            <w:tcW w:w="797" w:type="dxa"/>
            <w:vMerge w:val="continue"/>
            <w:tcBorders>
              <w:tl2br w:val="nil"/>
              <w:tr2bl w:val="nil"/>
            </w:tcBorders>
            <w:vAlign w:val="center"/>
          </w:tcPr>
          <w:p w14:paraId="21B700CD">
            <w:pPr>
              <w:widowControl/>
              <w:jc w:val="left"/>
              <w:rPr>
                <w:rFonts w:ascii="宋体" w:hAnsi="宋体" w:cs="宋体"/>
                <w:color w:val="auto"/>
                <w:kern w:val="0"/>
                <w:sz w:val="18"/>
                <w:szCs w:val="18"/>
                <w:highlight w:val="none"/>
              </w:rPr>
            </w:pPr>
          </w:p>
        </w:tc>
        <w:tc>
          <w:tcPr>
            <w:tcW w:w="797" w:type="dxa"/>
            <w:vMerge w:val="restart"/>
            <w:tcBorders>
              <w:tl2br w:val="nil"/>
              <w:tr2bl w:val="nil"/>
            </w:tcBorders>
            <w:vAlign w:val="center"/>
          </w:tcPr>
          <w:p w14:paraId="4ADFDF90">
            <w:pPr>
              <w:widowControl/>
              <w:rPr>
                <w:rFonts w:ascii="宋体" w:hAnsi="宋体" w:cs="宋体"/>
                <w:color w:val="auto"/>
                <w:kern w:val="0"/>
                <w:sz w:val="18"/>
                <w:szCs w:val="18"/>
                <w:highlight w:val="none"/>
              </w:rPr>
            </w:pPr>
            <w:r>
              <w:rPr>
                <w:rFonts w:hint="eastAsia" w:ascii="宋体" w:hAnsi="宋体" w:cs="宋体"/>
                <w:color w:val="auto"/>
                <w:kern w:val="0"/>
                <w:sz w:val="18"/>
                <w:szCs w:val="18"/>
                <w:highlight w:val="none"/>
              </w:rPr>
              <w:t>果蔬罐头</w:t>
            </w:r>
          </w:p>
        </w:tc>
        <w:tc>
          <w:tcPr>
            <w:tcW w:w="953" w:type="dxa"/>
            <w:tcBorders>
              <w:tl2br w:val="nil"/>
              <w:tr2bl w:val="nil"/>
            </w:tcBorders>
            <w:vAlign w:val="center"/>
          </w:tcPr>
          <w:p w14:paraId="515DC9F9">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水果类罐头</w:t>
            </w:r>
          </w:p>
        </w:tc>
        <w:tc>
          <w:tcPr>
            <w:tcW w:w="1896" w:type="dxa"/>
            <w:tcBorders>
              <w:tl2br w:val="nil"/>
              <w:tr2bl w:val="nil"/>
            </w:tcBorders>
            <w:vAlign w:val="center"/>
          </w:tcPr>
          <w:p w14:paraId="1480AF11">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铅（以</w:t>
            </w:r>
            <w:r>
              <w:rPr>
                <w:color w:val="auto"/>
                <w:kern w:val="0"/>
                <w:sz w:val="18"/>
                <w:szCs w:val="18"/>
                <w:highlight w:val="none"/>
              </w:rPr>
              <w:t>Pb</w:t>
            </w:r>
            <w:r>
              <w:rPr>
                <w:rFonts w:hint="eastAsia" w:ascii="宋体" w:hAnsi="宋体" w:cs="宋体"/>
                <w:color w:val="auto"/>
                <w:kern w:val="0"/>
                <w:sz w:val="18"/>
                <w:szCs w:val="18"/>
                <w:highlight w:val="none"/>
              </w:rPr>
              <w:t>计）、山梨酸及其钾盐（以山梨酸计）、苯甲酸及其钠盐（以苯甲酸计）、糖精钠（以糖精计）</w:t>
            </w:r>
          </w:p>
        </w:tc>
        <w:tc>
          <w:tcPr>
            <w:tcW w:w="2956" w:type="dxa"/>
            <w:tcBorders>
              <w:tl2br w:val="nil"/>
              <w:tr2bl w:val="nil"/>
            </w:tcBorders>
            <w:vAlign w:val="center"/>
          </w:tcPr>
          <w:p w14:paraId="26ABE730">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合成着色剂（柠檬黄、日落黄、苋菜红、胭脂红、赤藓红、诱惑红、亮蓝）、脱氢乙酸及其钠盐（以脱氢乙酸计）、甜蜜素（以环己基氨基磺酸计）、二氧化硫残留量、商业无菌</w:t>
            </w:r>
          </w:p>
        </w:tc>
      </w:tr>
      <w:tr w14:paraId="0B82EF6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899" w:hRule="atLeast"/>
        </w:trPr>
        <w:tc>
          <w:tcPr>
            <w:tcW w:w="953" w:type="dxa"/>
            <w:vMerge w:val="continue"/>
            <w:tcBorders>
              <w:tl2br w:val="nil"/>
              <w:tr2bl w:val="nil"/>
            </w:tcBorders>
            <w:vAlign w:val="center"/>
          </w:tcPr>
          <w:p w14:paraId="12663F41">
            <w:pPr>
              <w:widowControl/>
              <w:jc w:val="left"/>
              <w:rPr>
                <w:rFonts w:eastAsia="等线"/>
                <w:color w:val="auto"/>
                <w:kern w:val="0"/>
                <w:sz w:val="18"/>
                <w:szCs w:val="18"/>
                <w:highlight w:val="none"/>
              </w:rPr>
            </w:pPr>
          </w:p>
        </w:tc>
        <w:tc>
          <w:tcPr>
            <w:tcW w:w="796" w:type="dxa"/>
            <w:vMerge w:val="continue"/>
            <w:tcBorders>
              <w:tl2br w:val="nil"/>
              <w:tr2bl w:val="nil"/>
            </w:tcBorders>
            <w:vAlign w:val="center"/>
          </w:tcPr>
          <w:p w14:paraId="7140BFF5">
            <w:pPr>
              <w:widowControl/>
              <w:jc w:val="left"/>
              <w:rPr>
                <w:rFonts w:ascii="宋体" w:hAnsi="宋体" w:cs="宋体"/>
                <w:color w:val="auto"/>
                <w:kern w:val="0"/>
                <w:sz w:val="18"/>
                <w:szCs w:val="18"/>
                <w:highlight w:val="none"/>
              </w:rPr>
            </w:pPr>
          </w:p>
        </w:tc>
        <w:tc>
          <w:tcPr>
            <w:tcW w:w="797" w:type="dxa"/>
            <w:vMerge w:val="continue"/>
            <w:tcBorders>
              <w:tl2br w:val="nil"/>
              <w:tr2bl w:val="nil"/>
            </w:tcBorders>
            <w:vAlign w:val="center"/>
          </w:tcPr>
          <w:p w14:paraId="7294F295">
            <w:pPr>
              <w:widowControl/>
              <w:jc w:val="left"/>
              <w:rPr>
                <w:rFonts w:ascii="宋体" w:hAnsi="宋体" w:cs="宋体"/>
                <w:color w:val="auto"/>
                <w:kern w:val="0"/>
                <w:sz w:val="18"/>
                <w:szCs w:val="18"/>
                <w:highlight w:val="none"/>
              </w:rPr>
            </w:pPr>
          </w:p>
        </w:tc>
        <w:tc>
          <w:tcPr>
            <w:tcW w:w="797" w:type="dxa"/>
            <w:vMerge w:val="continue"/>
            <w:tcBorders>
              <w:tl2br w:val="nil"/>
              <w:tr2bl w:val="nil"/>
            </w:tcBorders>
            <w:vAlign w:val="center"/>
          </w:tcPr>
          <w:p w14:paraId="7077B83A">
            <w:pPr>
              <w:widowControl/>
              <w:jc w:val="left"/>
              <w:rPr>
                <w:rFonts w:ascii="宋体" w:hAnsi="宋体" w:cs="宋体"/>
                <w:color w:val="auto"/>
                <w:kern w:val="0"/>
                <w:sz w:val="18"/>
                <w:szCs w:val="18"/>
                <w:highlight w:val="none"/>
              </w:rPr>
            </w:pPr>
          </w:p>
        </w:tc>
        <w:tc>
          <w:tcPr>
            <w:tcW w:w="953" w:type="dxa"/>
            <w:tcBorders>
              <w:tl2br w:val="nil"/>
              <w:tr2bl w:val="nil"/>
            </w:tcBorders>
            <w:vAlign w:val="center"/>
          </w:tcPr>
          <w:p w14:paraId="4FDAB757">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蔬菜类罐头</w:t>
            </w:r>
          </w:p>
        </w:tc>
        <w:tc>
          <w:tcPr>
            <w:tcW w:w="1896" w:type="dxa"/>
            <w:tcBorders>
              <w:tl2br w:val="nil"/>
              <w:tr2bl w:val="nil"/>
            </w:tcBorders>
            <w:vAlign w:val="center"/>
          </w:tcPr>
          <w:p w14:paraId="6FC89045">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脱氢乙酸及其钠盐（以脱氢乙酸计）、二氧化硫残留量</w:t>
            </w:r>
          </w:p>
        </w:tc>
        <w:tc>
          <w:tcPr>
            <w:tcW w:w="2956" w:type="dxa"/>
            <w:tcBorders>
              <w:tl2br w:val="nil"/>
              <w:tr2bl w:val="nil"/>
            </w:tcBorders>
            <w:vAlign w:val="center"/>
          </w:tcPr>
          <w:p w14:paraId="452B87FE">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铅（以</w:t>
            </w:r>
            <w:r>
              <w:rPr>
                <w:color w:val="auto"/>
                <w:kern w:val="0"/>
                <w:sz w:val="18"/>
                <w:szCs w:val="18"/>
                <w:highlight w:val="none"/>
              </w:rPr>
              <w:t>Pb</w:t>
            </w:r>
            <w:r>
              <w:rPr>
                <w:rFonts w:hint="eastAsia" w:ascii="宋体" w:hAnsi="宋体" w:cs="宋体"/>
                <w:color w:val="auto"/>
                <w:kern w:val="0"/>
                <w:sz w:val="18"/>
                <w:szCs w:val="18"/>
                <w:highlight w:val="none"/>
              </w:rPr>
              <w:t>计）、合成着色剂（柠檬黄、日落黄、亮蓝）、苯甲酸及其钠盐（以苯甲酸计）、山梨酸及其钾盐（以山梨酸计）、乙二胺四乙酸二钠、商业无菌</w:t>
            </w:r>
          </w:p>
        </w:tc>
      </w:tr>
      <w:tr w14:paraId="297FB33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348" w:hRule="atLeast"/>
        </w:trPr>
        <w:tc>
          <w:tcPr>
            <w:tcW w:w="953" w:type="dxa"/>
            <w:vMerge w:val="continue"/>
            <w:tcBorders>
              <w:tl2br w:val="nil"/>
              <w:tr2bl w:val="nil"/>
            </w:tcBorders>
            <w:vAlign w:val="center"/>
          </w:tcPr>
          <w:p w14:paraId="031B189D">
            <w:pPr>
              <w:widowControl/>
              <w:jc w:val="left"/>
              <w:rPr>
                <w:rFonts w:eastAsia="等线"/>
                <w:color w:val="auto"/>
                <w:kern w:val="0"/>
                <w:sz w:val="18"/>
                <w:szCs w:val="18"/>
                <w:highlight w:val="none"/>
              </w:rPr>
            </w:pPr>
          </w:p>
        </w:tc>
        <w:tc>
          <w:tcPr>
            <w:tcW w:w="796" w:type="dxa"/>
            <w:vMerge w:val="continue"/>
            <w:tcBorders>
              <w:tl2br w:val="nil"/>
              <w:tr2bl w:val="nil"/>
            </w:tcBorders>
            <w:vAlign w:val="center"/>
          </w:tcPr>
          <w:p w14:paraId="22CCE1F8">
            <w:pPr>
              <w:widowControl/>
              <w:jc w:val="left"/>
              <w:rPr>
                <w:rFonts w:ascii="宋体" w:hAnsi="宋体" w:cs="宋体"/>
                <w:color w:val="auto"/>
                <w:kern w:val="0"/>
                <w:sz w:val="18"/>
                <w:szCs w:val="18"/>
                <w:highlight w:val="none"/>
              </w:rPr>
            </w:pPr>
          </w:p>
        </w:tc>
        <w:tc>
          <w:tcPr>
            <w:tcW w:w="797" w:type="dxa"/>
            <w:vMerge w:val="continue"/>
            <w:tcBorders>
              <w:tl2br w:val="nil"/>
              <w:tr2bl w:val="nil"/>
            </w:tcBorders>
            <w:vAlign w:val="center"/>
          </w:tcPr>
          <w:p w14:paraId="2AC0C96F">
            <w:pPr>
              <w:widowControl/>
              <w:jc w:val="left"/>
              <w:rPr>
                <w:rFonts w:ascii="宋体" w:hAnsi="宋体" w:cs="宋体"/>
                <w:color w:val="auto"/>
                <w:kern w:val="0"/>
                <w:sz w:val="18"/>
                <w:szCs w:val="18"/>
                <w:highlight w:val="none"/>
              </w:rPr>
            </w:pPr>
          </w:p>
        </w:tc>
        <w:tc>
          <w:tcPr>
            <w:tcW w:w="797" w:type="dxa"/>
            <w:vMerge w:val="continue"/>
            <w:tcBorders>
              <w:tl2br w:val="nil"/>
              <w:tr2bl w:val="nil"/>
            </w:tcBorders>
            <w:vAlign w:val="center"/>
          </w:tcPr>
          <w:p w14:paraId="7BE9F4C4">
            <w:pPr>
              <w:widowControl/>
              <w:jc w:val="left"/>
              <w:rPr>
                <w:rFonts w:ascii="宋体" w:hAnsi="宋体" w:cs="宋体"/>
                <w:color w:val="auto"/>
                <w:kern w:val="0"/>
                <w:sz w:val="18"/>
                <w:szCs w:val="18"/>
                <w:highlight w:val="none"/>
              </w:rPr>
            </w:pPr>
          </w:p>
        </w:tc>
        <w:tc>
          <w:tcPr>
            <w:tcW w:w="953" w:type="dxa"/>
            <w:tcBorders>
              <w:tl2br w:val="nil"/>
              <w:tr2bl w:val="nil"/>
            </w:tcBorders>
            <w:vAlign w:val="center"/>
          </w:tcPr>
          <w:p w14:paraId="2B152E00">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食用菌罐头</w:t>
            </w:r>
          </w:p>
        </w:tc>
        <w:tc>
          <w:tcPr>
            <w:tcW w:w="1896" w:type="dxa"/>
            <w:tcBorders>
              <w:tl2br w:val="nil"/>
              <w:tr2bl w:val="nil"/>
            </w:tcBorders>
            <w:vAlign w:val="center"/>
          </w:tcPr>
          <w:p w14:paraId="41B0C265">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铅（以</w:t>
            </w:r>
            <w:r>
              <w:rPr>
                <w:color w:val="auto"/>
                <w:kern w:val="0"/>
                <w:sz w:val="18"/>
                <w:szCs w:val="18"/>
                <w:highlight w:val="none"/>
              </w:rPr>
              <w:t>Pb</w:t>
            </w:r>
            <w:r>
              <w:rPr>
                <w:rFonts w:hint="eastAsia" w:ascii="宋体" w:hAnsi="宋体" w:cs="宋体"/>
                <w:color w:val="auto"/>
                <w:kern w:val="0"/>
                <w:sz w:val="18"/>
                <w:szCs w:val="18"/>
                <w:highlight w:val="none"/>
              </w:rPr>
              <w:t>计）、二氧化硫残留量</w:t>
            </w:r>
          </w:p>
        </w:tc>
        <w:tc>
          <w:tcPr>
            <w:tcW w:w="2956" w:type="dxa"/>
            <w:tcBorders>
              <w:tl2br w:val="nil"/>
              <w:tr2bl w:val="nil"/>
            </w:tcBorders>
            <w:vAlign w:val="center"/>
          </w:tcPr>
          <w:p w14:paraId="0CBF615D">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脱氢乙酸及其钠盐（以脱氢乙酸计）、苯甲酸及其钠盐（以苯甲酸计）、乙二胺四乙酸二钠、商业无菌</w:t>
            </w:r>
          </w:p>
        </w:tc>
      </w:tr>
      <w:tr w14:paraId="240EAE9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348" w:hRule="atLeast"/>
        </w:trPr>
        <w:tc>
          <w:tcPr>
            <w:tcW w:w="953" w:type="dxa"/>
            <w:vMerge w:val="continue"/>
            <w:tcBorders>
              <w:tl2br w:val="nil"/>
              <w:tr2bl w:val="nil"/>
            </w:tcBorders>
            <w:vAlign w:val="center"/>
          </w:tcPr>
          <w:p w14:paraId="4741AED9">
            <w:pPr>
              <w:widowControl/>
              <w:jc w:val="left"/>
              <w:rPr>
                <w:rFonts w:eastAsia="等线"/>
                <w:color w:val="auto"/>
                <w:kern w:val="0"/>
                <w:sz w:val="18"/>
                <w:szCs w:val="18"/>
                <w:highlight w:val="none"/>
              </w:rPr>
            </w:pPr>
          </w:p>
        </w:tc>
        <w:tc>
          <w:tcPr>
            <w:tcW w:w="796" w:type="dxa"/>
            <w:vMerge w:val="continue"/>
            <w:tcBorders>
              <w:tl2br w:val="nil"/>
              <w:tr2bl w:val="nil"/>
            </w:tcBorders>
            <w:vAlign w:val="center"/>
          </w:tcPr>
          <w:p w14:paraId="36D3CD86">
            <w:pPr>
              <w:widowControl/>
              <w:jc w:val="left"/>
              <w:rPr>
                <w:rFonts w:ascii="宋体" w:hAnsi="宋体" w:cs="宋体"/>
                <w:color w:val="auto"/>
                <w:kern w:val="0"/>
                <w:sz w:val="18"/>
                <w:szCs w:val="18"/>
                <w:highlight w:val="none"/>
              </w:rPr>
            </w:pPr>
          </w:p>
        </w:tc>
        <w:tc>
          <w:tcPr>
            <w:tcW w:w="797" w:type="dxa"/>
            <w:vMerge w:val="continue"/>
            <w:tcBorders>
              <w:tl2br w:val="nil"/>
              <w:tr2bl w:val="nil"/>
            </w:tcBorders>
            <w:vAlign w:val="center"/>
          </w:tcPr>
          <w:p w14:paraId="7B0F7CC7">
            <w:pPr>
              <w:widowControl/>
              <w:jc w:val="left"/>
              <w:rPr>
                <w:rFonts w:ascii="宋体" w:hAnsi="宋体" w:cs="宋体"/>
                <w:color w:val="auto"/>
                <w:kern w:val="0"/>
                <w:sz w:val="18"/>
                <w:szCs w:val="18"/>
                <w:highlight w:val="none"/>
              </w:rPr>
            </w:pPr>
          </w:p>
        </w:tc>
        <w:tc>
          <w:tcPr>
            <w:tcW w:w="797" w:type="dxa"/>
            <w:tcBorders>
              <w:tl2br w:val="nil"/>
              <w:tr2bl w:val="nil"/>
            </w:tcBorders>
            <w:vAlign w:val="center"/>
          </w:tcPr>
          <w:p w14:paraId="0E694AD1">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其他罐头</w:t>
            </w:r>
          </w:p>
        </w:tc>
        <w:tc>
          <w:tcPr>
            <w:tcW w:w="953" w:type="dxa"/>
            <w:tcBorders>
              <w:tl2br w:val="nil"/>
              <w:tr2bl w:val="nil"/>
            </w:tcBorders>
            <w:vAlign w:val="center"/>
          </w:tcPr>
          <w:p w14:paraId="4B226B97">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其他罐头</w:t>
            </w:r>
          </w:p>
        </w:tc>
        <w:tc>
          <w:tcPr>
            <w:tcW w:w="1896" w:type="dxa"/>
            <w:tcBorders>
              <w:tl2br w:val="nil"/>
              <w:tr2bl w:val="nil"/>
            </w:tcBorders>
            <w:vAlign w:val="center"/>
          </w:tcPr>
          <w:p w14:paraId="0B18CE18">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苯甲酸及其钠盐（以苯甲酸计）、山梨酸及其钾盐（以山梨酸计）、脱氢乙酸及其钠盐（以脱氢乙酸计）</w:t>
            </w:r>
          </w:p>
        </w:tc>
        <w:tc>
          <w:tcPr>
            <w:tcW w:w="2956" w:type="dxa"/>
            <w:tcBorders>
              <w:tl2br w:val="nil"/>
              <w:tr2bl w:val="nil"/>
            </w:tcBorders>
            <w:vAlign w:val="center"/>
          </w:tcPr>
          <w:p w14:paraId="4B7EB100">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黄曲霉毒素</w:t>
            </w:r>
            <w:r>
              <w:rPr>
                <w:color w:val="auto"/>
                <w:kern w:val="0"/>
                <w:sz w:val="18"/>
                <w:szCs w:val="18"/>
                <w:highlight w:val="none"/>
              </w:rPr>
              <w:t>B</w:t>
            </w:r>
            <w:r>
              <w:rPr>
                <w:color w:val="auto"/>
                <w:kern w:val="0"/>
                <w:sz w:val="18"/>
                <w:szCs w:val="18"/>
                <w:highlight w:val="none"/>
                <w:vertAlign w:val="subscript"/>
              </w:rPr>
              <w:t>1</w:t>
            </w:r>
            <w:r>
              <w:rPr>
                <w:rFonts w:hint="eastAsia" w:ascii="宋体" w:hAnsi="宋体" w:cs="宋体"/>
                <w:color w:val="auto"/>
                <w:kern w:val="0"/>
                <w:sz w:val="18"/>
                <w:szCs w:val="18"/>
                <w:highlight w:val="none"/>
              </w:rPr>
              <w:t>、乙二胺四乙酸二钠、商业无菌</w:t>
            </w:r>
          </w:p>
        </w:tc>
      </w:tr>
      <w:tr w14:paraId="60A1AB0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616" w:hRule="atLeast"/>
        </w:trPr>
        <w:tc>
          <w:tcPr>
            <w:tcW w:w="953" w:type="dxa"/>
            <w:tcBorders>
              <w:tl2br w:val="nil"/>
              <w:tr2bl w:val="nil"/>
            </w:tcBorders>
            <w:vAlign w:val="center"/>
          </w:tcPr>
          <w:p w14:paraId="025735B3">
            <w:pPr>
              <w:widowControl/>
              <w:jc w:val="center"/>
              <w:rPr>
                <w:rFonts w:eastAsia="等线"/>
                <w:color w:val="auto"/>
                <w:kern w:val="0"/>
                <w:sz w:val="18"/>
                <w:szCs w:val="18"/>
                <w:highlight w:val="none"/>
              </w:rPr>
            </w:pPr>
            <w:r>
              <w:rPr>
                <w:rFonts w:eastAsia="等线"/>
                <w:color w:val="auto"/>
                <w:kern w:val="0"/>
                <w:sz w:val="18"/>
                <w:szCs w:val="18"/>
                <w:highlight w:val="none"/>
              </w:rPr>
              <w:t>10</w:t>
            </w:r>
          </w:p>
        </w:tc>
        <w:tc>
          <w:tcPr>
            <w:tcW w:w="796" w:type="dxa"/>
            <w:tcBorders>
              <w:tl2br w:val="nil"/>
              <w:tr2bl w:val="nil"/>
            </w:tcBorders>
            <w:vAlign w:val="center"/>
          </w:tcPr>
          <w:p w14:paraId="1520BFCA">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冷冻饮品</w:t>
            </w:r>
          </w:p>
        </w:tc>
        <w:tc>
          <w:tcPr>
            <w:tcW w:w="797" w:type="dxa"/>
            <w:tcBorders>
              <w:tl2br w:val="nil"/>
              <w:tr2bl w:val="nil"/>
            </w:tcBorders>
            <w:vAlign w:val="center"/>
          </w:tcPr>
          <w:p w14:paraId="50A43C72">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冷冻饮品</w:t>
            </w:r>
          </w:p>
        </w:tc>
        <w:tc>
          <w:tcPr>
            <w:tcW w:w="797" w:type="dxa"/>
            <w:tcBorders>
              <w:tl2br w:val="nil"/>
              <w:tr2bl w:val="nil"/>
            </w:tcBorders>
            <w:vAlign w:val="center"/>
          </w:tcPr>
          <w:p w14:paraId="415844B5">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冷冻饮品</w:t>
            </w:r>
          </w:p>
        </w:tc>
        <w:tc>
          <w:tcPr>
            <w:tcW w:w="953" w:type="dxa"/>
            <w:tcBorders>
              <w:tl2br w:val="nil"/>
              <w:tr2bl w:val="nil"/>
            </w:tcBorders>
            <w:vAlign w:val="center"/>
          </w:tcPr>
          <w:p w14:paraId="2E48A9D6">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冰淇淋、雪糕、雪泥、冰棍、食用冰、甜味冰、其他类</w:t>
            </w:r>
          </w:p>
        </w:tc>
        <w:tc>
          <w:tcPr>
            <w:tcW w:w="1896" w:type="dxa"/>
            <w:tcBorders>
              <w:tl2br w:val="nil"/>
              <w:tr2bl w:val="nil"/>
            </w:tcBorders>
            <w:vAlign w:val="center"/>
          </w:tcPr>
          <w:p w14:paraId="62574E98">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菌落总数、大肠菌群、合成着色剂（柠檬黄、日落黄）</w:t>
            </w:r>
          </w:p>
        </w:tc>
        <w:tc>
          <w:tcPr>
            <w:tcW w:w="2956" w:type="dxa"/>
            <w:tcBorders>
              <w:tl2br w:val="nil"/>
              <w:tr2bl w:val="nil"/>
            </w:tcBorders>
            <w:vAlign w:val="center"/>
          </w:tcPr>
          <w:p w14:paraId="04CBD66A">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蛋白质、甜蜜素（以环己基氨基磺酸计）、糖精钠（以糖精计）、安赛蜜、三氯蔗糖、沙门氏菌、单核细胞增生李斯特氏菌、蛋白质</w:t>
            </w:r>
          </w:p>
        </w:tc>
      </w:tr>
      <w:tr w14:paraId="054F678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616" w:hRule="atLeast"/>
        </w:trPr>
        <w:tc>
          <w:tcPr>
            <w:tcW w:w="953" w:type="dxa"/>
            <w:vMerge w:val="restart"/>
            <w:tcBorders>
              <w:tl2br w:val="nil"/>
              <w:tr2bl w:val="nil"/>
            </w:tcBorders>
            <w:vAlign w:val="center"/>
          </w:tcPr>
          <w:p w14:paraId="46CA7C00">
            <w:pPr>
              <w:widowControl/>
              <w:jc w:val="center"/>
              <w:rPr>
                <w:rFonts w:eastAsia="等线"/>
                <w:color w:val="auto"/>
                <w:kern w:val="0"/>
                <w:sz w:val="18"/>
                <w:szCs w:val="18"/>
                <w:highlight w:val="none"/>
              </w:rPr>
            </w:pPr>
            <w:r>
              <w:rPr>
                <w:rFonts w:eastAsia="等线"/>
                <w:color w:val="auto"/>
                <w:kern w:val="0"/>
                <w:sz w:val="18"/>
                <w:szCs w:val="18"/>
                <w:highlight w:val="none"/>
              </w:rPr>
              <w:t>11</w:t>
            </w:r>
          </w:p>
        </w:tc>
        <w:tc>
          <w:tcPr>
            <w:tcW w:w="796" w:type="dxa"/>
            <w:vMerge w:val="restart"/>
            <w:tcBorders>
              <w:tl2br w:val="nil"/>
              <w:tr2bl w:val="nil"/>
            </w:tcBorders>
            <w:vAlign w:val="center"/>
          </w:tcPr>
          <w:p w14:paraId="4ED819B4">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速冻食品</w:t>
            </w:r>
          </w:p>
        </w:tc>
        <w:tc>
          <w:tcPr>
            <w:tcW w:w="797" w:type="dxa"/>
            <w:vMerge w:val="restart"/>
            <w:tcBorders>
              <w:tl2br w:val="nil"/>
              <w:tr2bl w:val="nil"/>
            </w:tcBorders>
            <w:vAlign w:val="center"/>
          </w:tcPr>
          <w:p w14:paraId="4885C5FC">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速冻面米食品</w:t>
            </w:r>
          </w:p>
        </w:tc>
        <w:tc>
          <w:tcPr>
            <w:tcW w:w="797" w:type="dxa"/>
            <w:vMerge w:val="restart"/>
            <w:tcBorders>
              <w:tl2br w:val="nil"/>
              <w:tr2bl w:val="nil"/>
            </w:tcBorders>
            <w:vAlign w:val="center"/>
          </w:tcPr>
          <w:p w14:paraId="18F7C8FC">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速冻面米食品</w:t>
            </w:r>
          </w:p>
        </w:tc>
        <w:tc>
          <w:tcPr>
            <w:tcW w:w="953" w:type="dxa"/>
            <w:tcBorders>
              <w:tl2br w:val="nil"/>
              <w:tr2bl w:val="nil"/>
            </w:tcBorders>
            <w:vAlign w:val="center"/>
          </w:tcPr>
          <w:p w14:paraId="7ECB2B2F">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速冻面米生制品</w:t>
            </w:r>
          </w:p>
        </w:tc>
        <w:tc>
          <w:tcPr>
            <w:tcW w:w="1896" w:type="dxa"/>
            <w:tcBorders>
              <w:tl2br w:val="nil"/>
              <w:tr2bl w:val="nil"/>
            </w:tcBorders>
            <w:vAlign w:val="center"/>
          </w:tcPr>
          <w:p w14:paraId="13E0BF9B">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黄曲霉毒素</w:t>
            </w:r>
            <w:r>
              <w:rPr>
                <w:color w:val="auto"/>
                <w:kern w:val="0"/>
                <w:sz w:val="18"/>
                <w:szCs w:val="18"/>
                <w:highlight w:val="none"/>
              </w:rPr>
              <w:t>B</w:t>
            </w:r>
            <w:r>
              <w:rPr>
                <w:color w:val="auto"/>
                <w:kern w:val="0"/>
                <w:sz w:val="18"/>
                <w:szCs w:val="18"/>
                <w:highlight w:val="none"/>
                <w:vertAlign w:val="subscript"/>
              </w:rPr>
              <w:t>1</w:t>
            </w:r>
            <w:r>
              <w:rPr>
                <w:rFonts w:hint="eastAsia" w:ascii="宋体" w:hAnsi="宋体" w:cs="宋体"/>
                <w:color w:val="auto"/>
                <w:kern w:val="0"/>
                <w:sz w:val="18"/>
                <w:szCs w:val="18"/>
                <w:highlight w:val="none"/>
              </w:rPr>
              <w:t>、铅（以</w:t>
            </w:r>
            <w:r>
              <w:rPr>
                <w:color w:val="auto"/>
                <w:kern w:val="0"/>
                <w:sz w:val="18"/>
                <w:szCs w:val="18"/>
                <w:highlight w:val="none"/>
              </w:rPr>
              <w:t>Pb</w:t>
            </w:r>
            <w:r>
              <w:rPr>
                <w:rFonts w:hint="eastAsia" w:ascii="宋体" w:hAnsi="宋体" w:cs="宋体"/>
                <w:color w:val="auto"/>
                <w:kern w:val="0"/>
                <w:sz w:val="18"/>
                <w:szCs w:val="18"/>
                <w:highlight w:val="none"/>
              </w:rPr>
              <w:t>计）</w:t>
            </w:r>
          </w:p>
        </w:tc>
        <w:tc>
          <w:tcPr>
            <w:tcW w:w="2956" w:type="dxa"/>
            <w:tcBorders>
              <w:tl2br w:val="nil"/>
              <w:tr2bl w:val="nil"/>
            </w:tcBorders>
            <w:vAlign w:val="center"/>
          </w:tcPr>
          <w:p w14:paraId="5E3DD325">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过氧化值（以脂肪计）、糖精钠（以糖精计）、甜蜜素（以环己基氨基磺酸计）、合成着色剂（柠檬黄、日落黄、苋菜红、亮蓝）</w:t>
            </w:r>
          </w:p>
        </w:tc>
      </w:tr>
      <w:tr w14:paraId="71CC350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435" w:hRule="atLeast"/>
        </w:trPr>
        <w:tc>
          <w:tcPr>
            <w:tcW w:w="953" w:type="dxa"/>
            <w:vMerge w:val="continue"/>
            <w:tcBorders>
              <w:tl2br w:val="nil"/>
              <w:tr2bl w:val="nil"/>
            </w:tcBorders>
            <w:vAlign w:val="center"/>
          </w:tcPr>
          <w:p w14:paraId="4C64A180">
            <w:pPr>
              <w:widowControl/>
              <w:jc w:val="left"/>
              <w:rPr>
                <w:rFonts w:eastAsia="等线"/>
                <w:color w:val="auto"/>
                <w:kern w:val="0"/>
                <w:sz w:val="18"/>
                <w:szCs w:val="18"/>
                <w:highlight w:val="none"/>
              </w:rPr>
            </w:pPr>
          </w:p>
        </w:tc>
        <w:tc>
          <w:tcPr>
            <w:tcW w:w="796" w:type="dxa"/>
            <w:vMerge w:val="continue"/>
            <w:tcBorders>
              <w:tl2br w:val="nil"/>
              <w:tr2bl w:val="nil"/>
            </w:tcBorders>
            <w:vAlign w:val="center"/>
          </w:tcPr>
          <w:p w14:paraId="41E0F0FA">
            <w:pPr>
              <w:widowControl/>
              <w:jc w:val="left"/>
              <w:rPr>
                <w:rFonts w:ascii="宋体" w:hAnsi="宋体" w:cs="宋体"/>
                <w:color w:val="auto"/>
                <w:kern w:val="0"/>
                <w:sz w:val="18"/>
                <w:szCs w:val="18"/>
                <w:highlight w:val="none"/>
              </w:rPr>
            </w:pPr>
          </w:p>
        </w:tc>
        <w:tc>
          <w:tcPr>
            <w:tcW w:w="797" w:type="dxa"/>
            <w:vMerge w:val="continue"/>
            <w:tcBorders>
              <w:tl2br w:val="nil"/>
              <w:tr2bl w:val="nil"/>
            </w:tcBorders>
            <w:vAlign w:val="center"/>
          </w:tcPr>
          <w:p w14:paraId="1D1EA6F9">
            <w:pPr>
              <w:widowControl/>
              <w:jc w:val="left"/>
              <w:rPr>
                <w:rFonts w:ascii="宋体" w:hAnsi="宋体" w:cs="宋体"/>
                <w:color w:val="auto"/>
                <w:kern w:val="0"/>
                <w:sz w:val="18"/>
                <w:szCs w:val="18"/>
                <w:highlight w:val="none"/>
              </w:rPr>
            </w:pPr>
          </w:p>
        </w:tc>
        <w:tc>
          <w:tcPr>
            <w:tcW w:w="797" w:type="dxa"/>
            <w:vMerge w:val="continue"/>
            <w:tcBorders>
              <w:tl2br w:val="nil"/>
              <w:tr2bl w:val="nil"/>
            </w:tcBorders>
            <w:vAlign w:val="center"/>
          </w:tcPr>
          <w:p w14:paraId="21B1FBAF">
            <w:pPr>
              <w:widowControl/>
              <w:jc w:val="left"/>
              <w:rPr>
                <w:rFonts w:ascii="宋体" w:hAnsi="宋体" w:cs="宋体"/>
                <w:color w:val="auto"/>
                <w:kern w:val="0"/>
                <w:sz w:val="18"/>
                <w:szCs w:val="18"/>
                <w:highlight w:val="none"/>
              </w:rPr>
            </w:pPr>
          </w:p>
        </w:tc>
        <w:tc>
          <w:tcPr>
            <w:tcW w:w="953" w:type="dxa"/>
            <w:tcBorders>
              <w:tl2br w:val="nil"/>
              <w:tr2bl w:val="nil"/>
            </w:tcBorders>
            <w:vAlign w:val="center"/>
          </w:tcPr>
          <w:p w14:paraId="4B0AD630">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速冻面米熟制品</w:t>
            </w:r>
          </w:p>
        </w:tc>
        <w:tc>
          <w:tcPr>
            <w:tcW w:w="1896" w:type="dxa"/>
            <w:tcBorders>
              <w:tl2br w:val="nil"/>
              <w:tr2bl w:val="nil"/>
            </w:tcBorders>
            <w:vAlign w:val="center"/>
          </w:tcPr>
          <w:p w14:paraId="5C6C6AED">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黄曲霉毒素</w:t>
            </w:r>
            <w:r>
              <w:rPr>
                <w:color w:val="auto"/>
                <w:kern w:val="0"/>
                <w:sz w:val="18"/>
                <w:szCs w:val="18"/>
                <w:highlight w:val="none"/>
              </w:rPr>
              <w:t>B</w:t>
            </w:r>
            <w:r>
              <w:rPr>
                <w:color w:val="auto"/>
                <w:kern w:val="0"/>
                <w:sz w:val="18"/>
                <w:szCs w:val="18"/>
                <w:highlight w:val="none"/>
                <w:vertAlign w:val="subscript"/>
              </w:rPr>
              <w:t>1</w:t>
            </w:r>
            <w:r>
              <w:rPr>
                <w:rFonts w:hint="eastAsia" w:ascii="宋体" w:hAnsi="宋体" w:cs="宋体"/>
                <w:color w:val="auto"/>
                <w:kern w:val="0"/>
                <w:sz w:val="18"/>
                <w:szCs w:val="18"/>
                <w:highlight w:val="none"/>
              </w:rPr>
              <w:t>、大肠菌群</w:t>
            </w:r>
          </w:p>
        </w:tc>
        <w:tc>
          <w:tcPr>
            <w:tcW w:w="2956" w:type="dxa"/>
            <w:tcBorders>
              <w:tl2br w:val="nil"/>
              <w:tr2bl w:val="nil"/>
            </w:tcBorders>
            <w:vAlign w:val="center"/>
          </w:tcPr>
          <w:p w14:paraId="7C4334DC">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过氧化值（以脂肪计）、铅（以</w:t>
            </w:r>
            <w:r>
              <w:rPr>
                <w:color w:val="auto"/>
                <w:kern w:val="0"/>
                <w:sz w:val="18"/>
                <w:szCs w:val="18"/>
                <w:highlight w:val="none"/>
              </w:rPr>
              <w:t>Pb</w:t>
            </w:r>
            <w:r>
              <w:rPr>
                <w:rFonts w:hint="eastAsia" w:ascii="宋体" w:hAnsi="宋体" w:cs="宋体"/>
                <w:color w:val="auto"/>
                <w:kern w:val="0"/>
                <w:sz w:val="18"/>
                <w:szCs w:val="18"/>
                <w:highlight w:val="none"/>
              </w:rPr>
              <w:t>计）、糖精钠（以糖精计）、甜蜜素（以环己基氨基磺酸计）、合成着色剂（柠檬黄、日落黄、苋菜红、亮蓝）、菌落总数、沙门氏菌、金黄色葡萄球菌</w:t>
            </w:r>
          </w:p>
        </w:tc>
      </w:tr>
      <w:tr w14:paraId="2A9DB17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646" w:hRule="atLeast"/>
        </w:trPr>
        <w:tc>
          <w:tcPr>
            <w:tcW w:w="953" w:type="dxa"/>
            <w:vMerge w:val="continue"/>
            <w:tcBorders>
              <w:tl2br w:val="nil"/>
              <w:tr2bl w:val="nil"/>
            </w:tcBorders>
            <w:vAlign w:val="center"/>
          </w:tcPr>
          <w:p w14:paraId="09043AEB">
            <w:pPr>
              <w:widowControl/>
              <w:jc w:val="left"/>
              <w:rPr>
                <w:rFonts w:eastAsia="等线"/>
                <w:color w:val="auto"/>
                <w:kern w:val="0"/>
                <w:sz w:val="18"/>
                <w:szCs w:val="18"/>
                <w:highlight w:val="none"/>
              </w:rPr>
            </w:pPr>
          </w:p>
        </w:tc>
        <w:tc>
          <w:tcPr>
            <w:tcW w:w="796" w:type="dxa"/>
            <w:vMerge w:val="continue"/>
            <w:tcBorders>
              <w:tl2br w:val="nil"/>
              <w:tr2bl w:val="nil"/>
            </w:tcBorders>
            <w:vAlign w:val="center"/>
          </w:tcPr>
          <w:p w14:paraId="35AD56D0">
            <w:pPr>
              <w:widowControl/>
              <w:jc w:val="left"/>
              <w:rPr>
                <w:rFonts w:ascii="宋体" w:hAnsi="宋体" w:cs="宋体"/>
                <w:color w:val="auto"/>
                <w:kern w:val="0"/>
                <w:sz w:val="18"/>
                <w:szCs w:val="18"/>
                <w:highlight w:val="none"/>
              </w:rPr>
            </w:pPr>
          </w:p>
        </w:tc>
        <w:tc>
          <w:tcPr>
            <w:tcW w:w="797" w:type="dxa"/>
            <w:vMerge w:val="restart"/>
            <w:tcBorders>
              <w:tl2br w:val="nil"/>
              <w:tr2bl w:val="nil"/>
            </w:tcBorders>
            <w:vAlign w:val="center"/>
          </w:tcPr>
          <w:p w14:paraId="32B00CEB">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速冻调制食品</w:t>
            </w:r>
          </w:p>
        </w:tc>
        <w:tc>
          <w:tcPr>
            <w:tcW w:w="797" w:type="dxa"/>
            <w:tcBorders>
              <w:tl2br w:val="nil"/>
              <w:tr2bl w:val="nil"/>
            </w:tcBorders>
            <w:vAlign w:val="center"/>
          </w:tcPr>
          <w:p w14:paraId="5BC6710C">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速冻调理肉制品</w:t>
            </w:r>
          </w:p>
        </w:tc>
        <w:tc>
          <w:tcPr>
            <w:tcW w:w="953" w:type="dxa"/>
            <w:tcBorders>
              <w:tl2br w:val="nil"/>
              <w:tr2bl w:val="nil"/>
            </w:tcBorders>
            <w:vAlign w:val="center"/>
          </w:tcPr>
          <w:p w14:paraId="3E097463">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速冻调理肉制品</w:t>
            </w:r>
          </w:p>
        </w:tc>
        <w:tc>
          <w:tcPr>
            <w:tcW w:w="1896" w:type="dxa"/>
            <w:tcBorders>
              <w:tl2br w:val="nil"/>
              <w:tr2bl w:val="nil"/>
            </w:tcBorders>
            <w:vAlign w:val="center"/>
          </w:tcPr>
          <w:p w14:paraId="3000EB5E">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过氧化值（以脂肪计）、合成着色剂（胭脂红、柠檬黄、日落黄、诱惑红）</w:t>
            </w:r>
          </w:p>
        </w:tc>
        <w:tc>
          <w:tcPr>
            <w:tcW w:w="2956" w:type="dxa"/>
            <w:tcBorders>
              <w:tl2br w:val="nil"/>
              <w:tr2bl w:val="nil"/>
            </w:tcBorders>
            <w:vAlign w:val="center"/>
          </w:tcPr>
          <w:p w14:paraId="4DEC6502">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铅（以</w:t>
            </w:r>
            <w:r>
              <w:rPr>
                <w:color w:val="auto"/>
                <w:kern w:val="0"/>
                <w:sz w:val="18"/>
                <w:szCs w:val="18"/>
                <w:highlight w:val="none"/>
              </w:rPr>
              <w:t>Pb</w:t>
            </w:r>
            <w:r>
              <w:rPr>
                <w:rFonts w:hint="eastAsia" w:ascii="宋体" w:hAnsi="宋体" w:cs="宋体"/>
                <w:color w:val="auto"/>
                <w:kern w:val="0"/>
                <w:sz w:val="18"/>
                <w:szCs w:val="18"/>
                <w:highlight w:val="none"/>
              </w:rPr>
              <w:t>计）、铬（以</w:t>
            </w:r>
            <w:r>
              <w:rPr>
                <w:color w:val="auto"/>
                <w:kern w:val="0"/>
                <w:sz w:val="18"/>
                <w:szCs w:val="18"/>
                <w:highlight w:val="none"/>
              </w:rPr>
              <w:t>Cr</w:t>
            </w:r>
            <w:r>
              <w:rPr>
                <w:rFonts w:hint="eastAsia" w:ascii="宋体" w:hAnsi="宋体" w:cs="宋体"/>
                <w:color w:val="auto"/>
                <w:kern w:val="0"/>
                <w:sz w:val="18"/>
                <w:szCs w:val="18"/>
                <w:highlight w:val="none"/>
              </w:rPr>
              <w:t>计）、氯霉素、亚硝酸盐、菌落总数、大肠菌群、沙门氏菌、金黄色葡萄球菌、单核细胞增生李斯特氏菌</w:t>
            </w:r>
          </w:p>
        </w:tc>
      </w:tr>
      <w:tr w14:paraId="229731C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616" w:hRule="atLeast"/>
        </w:trPr>
        <w:tc>
          <w:tcPr>
            <w:tcW w:w="953" w:type="dxa"/>
            <w:vMerge w:val="continue"/>
            <w:tcBorders>
              <w:tl2br w:val="nil"/>
              <w:tr2bl w:val="nil"/>
            </w:tcBorders>
            <w:vAlign w:val="center"/>
          </w:tcPr>
          <w:p w14:paraId="004680AE">
            <w:pPr>
              <w:widowControl/>
              <w:jc w:val="left"/>
              <w:rPr>
                <w:rFonts w:eastAsia="等线"/>
                <w:color w:val="auto"/>
                <w:kern w:val="0"/>
                <w:sz w:val="18"/>
                <w:szCs w:val="18"/>
                <w:highlight w:val="none"/>
              </w:rPr>
            </w:pPr>
          </w:p>
        </w:tc>
        <w:tc>
          <w:tcPr>
            <w:tcW w:w="796" w:type="dxa"/>
            <w:vMerge w:val="continue"/>
            <w:tcBorders>
              <w:tl2br w:val="nil"/>
              <w:tr2bl w:val="nil"/>
            </w:tcBorders>
            <w:vAlign w:val="center"/>
          </w:tcPr>
          <w:p w14:paraId="58AE644E">
            <w:pPr>
              <w:widowControl/>
              <w:jc w:val="left"/>
              <w:rPr>
                <w:rFonts w:ascii="宋体" w:hAnsi="宋体" w:cs="宋体"/>
                <w:color w:val="auto"/>
                <w:kern w:val="0"/>
                <w:sz w:val="18"/>
                <w:szCs w:val="18"/>
                <w:highlight w:val="none"/>
              </w:rPr>
            </w:pPr>
          </w:p>
        </w:tc>
        <w:tc>
          <w:tcPr>
            <w:tcW w:w="797" w:type="dxa"/>
            <w:vMerge w:val="continue"/>
            <w:tcBorders>
              <w:tl2br w:val="nil"/>
              <w:tr2bl w:val="nil"/>
            </w:tcBorders>
            <w:vAlign w:val="center"/>
          </w:tcPr>
          <w:p w14:paraId="6C321FC0">
            <w:pPr>
              <w:widowControl/>
              <w:jc w:val="left"/>
              <w:rPr>
                <w:rFonts w:ascii="宋体" w:hAnsi="宋体" w:cs="宋体"/>
                <w:color w:val="auto"/>
                <w:kern w:val="0"/>
                <w:sz w:val="18"/>
                <w:szCs w:val="18"/>
                <w:highlight w:val="none"/>
              </w:rPr>
            </w:pPr>
          </w:p>
        </w:tc>
        <w:tc>
          <w:tcPr>
            <w:tcW w:w="797" w:type="dxa"/>
            <w:tcBorders>
              <w:tl2br w:val="nil"/>
              <w:tr2bl w:val="nil"/>
            </w:tcBorders>
            <w:vAlign w:val="center"/>
          </w:tcPr>
          <w:p w14:paraId="41455185">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速冻调制水产制品</w:t>
            </w:r>
          </w:p>
        </w:tc>
        <w:tc>
          <w:tcPr>
            <w:tcW w:w="953" w:type="dxa"/>
            <w:tcBorders>
              <w:tl2br w:val="nil"/>
              <w:tr2bl w:val="nil"/>
            </w:tcBorders>
            <w:vAlign w:val="center"/>
          </w:tcPr>
          <w:p w14:paraId="03101FD7">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速冻调制水产制品</w:t>
            </w:r>
          </w:p>
        </w:tc>
        <w:tc>
          <w:tcPr>
            <w:tcW w:w="1896" w:type="dxa"/>
            <w:tcBorders>
              <w:tl2br w:val="nil"/>
              <w:tr2bl w:val="nil"/>
            </w:tcBorders>
            <w:vAlign w:val="center"/>
          </w:tcPr>
          <w:p w14:paraId="6DB456B3">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挥发性盐基氮、大肠菌群</w:t>
            </w:r>
          </w:p>
        </w:tc>
        <w:tc>
          <w:tcPr>
            <w:tcW w:w="2956" w:type="dxa"/>
            <w:tcBorders>
              <w:tl2br w:val="nil"/>
              <w:tr2bl w:val="nil"/>
            </w:tcBorders>
            <w:vAlign w:val="center"/>
          </w:tcPr>
          <w:p w14:paraId="054A268F">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苯甲酸及其钠盐（以苯甲酸计）、山梨酸及其钾盐（以山梨酸计）、菌落总数、沙门氏菌、副溶血性弧菌、单核细胞增生李斯特氏菌</w:t>
            </w:r>
          </w:p>
        </w:tc>
      </w:tr>
      <w:tr w14:paraId="13F2F40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54" w:hRule="atLeast"/>
        </w:trPr>
        <w:tc>
          <w:tcPr>
            <w:tcW w:w="953" w:type="dxa"/>
            <w:vMerge w:val="continue"/>
            <w:tcBorders>
              <w:tl2br w:val="nil"/>
              <w:tr2bl w:val="nil"/>
            </w:tcBorders>
            <w:vAlign w:val="center"/>
          </w:tcPr>
          <w:p w14:paraId="4B7FE3D2">
            <w:pPr>
              <w:widowControl/>
              <w:jc w:val="left"/>
              <w:rPr>
                <w:rFonts w:eastAsia="等线"/>
                <w:color w:val="auto"/>
                <w:kern w:val="0"/>
                <w:sz w:val="18"/>
                <w:szCs w:val="18"/>
                <w:highlight w:val="none"/>
              </w:rPr>
            </w:pPr>
          </w:p>
        </w:tc>
        <w:tc>
          <w:tcPr>
            <w:tcW w:w="796" w:type="dxa"/>
            <w:vMerge w:val="continue"/>
            <w:tcBorders>
              <w:tl2br w:val="nil"/>
              <w:tr2bl w:val="nil"/>
            </w:tcBorders>
            <w:vAlign w:val="center"/>
          </w:tcPr>
          <w:p w14:paraId="53D5EE1F">
            <w:pPr>
              <w:widowControl/>
              <w:jc w:val="left"/>
              <w:rPr>
                <w:rFonts w:ascii="宋体" w:hAnsi="宋体" w:cs="宋体"/>
                <w:color w:val="auto"/>
                <w:kern w:val="0"/>
                <w:sz w:val="18"/>
                <w:szCs w:val="18"/>
                <w:highlight w:val="none"/>
              </w:rPr>
            </w:pPr>
          </w:p>
        </w:tc>
        <w:tc>
          <w:tcPr>
            <w:tcW w:w="797" w:type="dxa"/>
            <w:vMerge w:val="restart"/>
            <w:tcBorders>
              <w:tl2br w:val="nil"/>
              <w:tr2bl w:val="nil"/>
            </w:tcBorders>
            <w:vAlign w:val="center"/>
          </w:tcPr>
          <w:p w14:paraId="05552660">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速冻其他食品</w:t>
            </w:r>
          </w:p>
        </w:tc>
        <w:tc>
          <w:tcPr>
            <w:tcW w:w="797" w:type="dxa"/>
            <w:tcBorders>
              <w:tl2br w:val="nil"/>
              <w:tr2bl w:val="nil"/>
            </w:tcBorders>
            <w:vAlign w:val="center"/>
          </w:tcPr>
          <w:p w14:paraId="5235939A">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速冻谷物食品</w:t>
            </w:r>
          </w:p>
        </w:tc>
        <w:tc>
          <w:tcPr>
            <w:tcW w:w="953" w:type="dxa"/>
            <w:tcBorders>
              <w:tl2br w:val="nil"/>
              <w:tr2bl w:val="nil"/>
            </w:tcBorders>
            <w:vAlign w:val="center"/>
          </w:tcPr>
          <w:p w14:paraId="6C7CC7C9">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速冻谷物食品</w:t>
            </w:r>
          </w:p>
        </w:tc>
        <w:tc>
          <w:tcPr>
            <w:tcW w:w="1896" w:type="dxa"/>
            <w:tcBorders>
              <w:tl2br w:val="nil"/>
              <w:tr2bl w:val="nil"/>
            </w:tcBorders>
            <w:vAlign w:val="center"/>
          </w:tcPr>
          <w:p w14:paraId="25FABA88">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铅（以</w:t>
            </w:r>
            <w:r>
              <w:rPr>
                <w:color w:val="auto"/>
                <w:kern w:val="0"/>
                <w:sz w:val="18"/>
                <w:szCs w:val="18"/>
                <w:highlight w:val="none"/>
              </w:rPr>
              <w:t>Pb</w:t>
            </w:r>
            <w:r>
              <w:rPr>
                <w:rFonts w:hint="eastAsia" w:ascii="宋体" w:hAnsi="宋体" w:cs="宋体"/>
                <w:color w:val="auto"/>
                <w:kern w:val="0"/>
                <w:sz w:val="18"/>
                <w:szCs w:val="18"/>
                <w:highlight w:val="none"/>
              </w:rPr>
              <w:t>计）、黄曲霉毒素</w:t>
            </w:r>
            <w:r>
              <w:rPr>
                <w:color w:val="auto"/>
                <w:kern w:val="0"/>
                <w:sz w:val="18"/>
                <w:szCs w:val="18"/>
                <w:highlight w:val="none"/>
              </w:rPr>
              <w:t>B</w:t>
            </w:r>
            <w:r>
              <w:rPr>
                <w:color w:val="auto"/>
                <w:kern w:val="0"/>
                <w:sz w:val="18"/>
                <w:szCs w:val="18"/>
                <w:highlight w:val="none"/>
                <w:vertAlign w:val="subscript"/>
              </w:rPr>
              <w:t>1</w:t>
            </w:r>
          </w:p>
        </w:tc>
        <w:tc>
          <w:tcPr>
            <w:tcW w:w="2956" w:type="dxa"/>
            <w:tcBorders>
              <w:tl2br w:val="nil"/>
              <w:tr2bl w:val="nil"/>
            </w:tcBorders>
            <w:vAlign w:val="center"/>
          </w:tcPr>
          <w:p w14:paraId="49D01316">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w:t>
            </w:r>
          </w:p>
        </w:tc>
      </w:tr>
      <w:tr w14:paraId="3064A1C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73" w:hRule="atLeast"/>
        </w:trPr>
        <w:tc>
          <w:tcPr>
            <w:tcW w:w="953" w:type="dxa"/>
            <w:vMerge w:val="continue"/>
            <w:tcBorders>
              <w:tl2br w:val="nil"/>
              <w:tr2bl w:val="nil"/>
            </w:tcBorders>
            <w:vAlign w:val="center"/>
          </w:tcPr>
          <w:p w14:paraId="20BEE03E">
            <w:pPr>
              <w:widowControl/>
              <w:jc w:val="left"/>
              <w:rPr>
                <w:rFonts w:eastAsia="等线"/>
                <w:color w:val="auto"/>
                <w:kern w:val="0"/>
                <w:sz w:val="18"/>
                <w:szCs w:val="18"/>
                <w:highlight w:val="none"/>
              </w:rPr>
            </w:pPr>
          </w:p>
        </w:tc>
        <w:tc>
          <w:tcPr>
            <w:tcW w:w="796" w:type="dxa"/>
            <w:vMerge w:val="continue"/>
            <w:tcBorders>
              <w:tl2br w:val="nil"/>
              <w:tr2bl w:val="nil"/>
            </w:tcBorders>
            <w:vAlign w:val="center"/>
          </w:tcPr>
          <w:p w14:paraId="7E156B06">
            <w:pPr>
              <w:widowControl/>
              <w:jc w:val="left"/>
              <w:rPr>
                <w:rFonts w:ascii="宋体" w:hAnsi="宋体" w:cs="宋体"/>
                <w:color w:val="auto"/>
                <w:kern w:val="0"/>
                <w:sz w:val="18"/>
                <w:szCs w:val="18"/>
                <w:highlight w:val="none"/>
              </w:rPr>
            </w:pPr>
          </w:p>
        </w:tc>
        <w:tc>
          <w:tcPr>
            <w:tcW w:w="797" w:type="dxa"/>
            <w:vMerge w:val="continue"/>
            <w:tcBorders>
              <w:tl2br w:val="nil"/>
              <w:tr2bl w:val="nil"/>
            </w:tcBorders>
            <w:vAlign w:val="center"/>
          </w:tcPr>
          <w:p w14:paraId="2F238BCB">
            <w:pPr>
              <w:widowControl/>
              <w:jc w:val="left"/>
              <w:rPr>
                <w:rFonts w:ascii="宋体" w:hAnsi="宋体" w:cs="宋体"/>
                <w:color w:val="auto"/>
                <w:kern w:val="0"/>
                <w:sz w:val="18"/>
                <w:szCs w:val="18"/>
                <w:highlight w:val="none"/>
              </w:rPr>
            </w:pPr>
          </w:p>
        </w:tc>
        <w:tc>
          <w:tcPr>
            <w:tcW w:w="797" w:type="dxa"/>
            <w:tcBorders>
              <w:tl2br w:val="nil"/>
              <w:tr2bl w:val="nil"/>
            </w:tcBorders>
            <w:vAlign w:val="center"/>
          </w:tcPr>
          <w:p w14:paraId="547E3ECF">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速冻蔬菜制品</w:t>
            </w:r>
          </w:p>
        </w:tc>
        <w:tc>
          <w:tcPr>
            <w:tcW w:w="953" w:type="dxa"/>
            <w:tcBorders>
              <w:tl2br w:val="nil"/>
              <w:tr2bl w:val="nil"/>
            </w:tcBorders>
            <w:vAlign w:val="center"/>
          </w:tcPr>
          <w:p w14:paraId="3857F604">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速冻蔬菜制品</w:t>
            </w:r>
          </w:p>
        </w:tc>
        <w:tc>
          <w:tcPr>
            <w:tcW w:w="1896" w:type="dxa"/>
            <w:tcBorders>
              <w:tl2br w:val="nil"/>
              <w:tr2bl w:val="nil"/>
            </w:tcBorders>
            <w:vAlign w:val="center"/>
          </w:tcPr>
          <w:p w14:paraId="59B5423F">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铅（以</w:t>
            </w:r>
            <w:r>
              <w:rPr>
                <w:color w:val="auto"/>
                <w:kern w:val="0"/>
                <w:sz w:val="18"/>
                <w:szCs w:val="18"/>
                <w:highlight w:val="none"/>
              </w:rPr>
              <w:t>Pb</w:t>
            </w:r>
            <w:r>
              <w:rPr>
                <w:rFonts w:hint="eastAsia" w:ascii="宋体" w:hAnsi="宋体" w:cs="宋体"/>
                <w:color w:val="auto"/>
                <w:kern w:val="0"/>
                <w:sz w:val="18"/>
                <w:szCs w:val="18"/>
                <w:highlight w:val="none"/>
              </w:rPr>
              <w:t>计）、镉（以</w:t>
            </w:r>
            <w:r>
              <w:rPr>
                <w:color w:val="auto"/>
                <w:kern w:val="0"/>
                <w:sz w:val="18"/>
                <w:szCs w:val="18"/>
                <w:highlight w:val="none"/>
              </w:rPr>
              <w:t>Cd</w:t>
            </w:r>
            <w:r>
              <w:rPr>
                <w:rFonts w:hint="eastAsia" w:ascii="宋体" w:hAnsi="宋体" w:cs="宋体"/>
                <w:color w:val="auto"/>
                <w:kern w:val="0"/>
                <w:sz w:val="18"/>
                <w:szCs w:val="18"/>
                <w:highlight w:val="none"/>
              </w:rPr>
              <w:t>计）</w:t>
            </w:r>
          </w:p>
        </w:tc>
        <w:tc>
          <w:tcPr>
            <w:tcW w:w="2956" w:type="dxa"/>
            <w:tcBorders>
              <w:tl2br w:val="nil"/>
              <w:tr2bl w:val="nil"/>
            </w:tcBorders>
            <w:vAlign w:val="center"/>
          </w:tcPr>
          <w:p w14:paraId="7D960AC3">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糖精钠（以糖精计）</w:t>
            </w:r>
          </w:p>
        </w:tc>
      </w:tr>
      <w:tr w14:paraId="2C85D64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78" w:hRule="atLeast"/>
        </w:trPr>
        <w:tc>
          <w:tcPr>
            <w:tcW w:w="953" w:type="dxa"/>
            <w:vMerge w:val="continue"/>
            <w:tcBorders>
              <w:tl2br w:val="nil"/>
              <w:tr2bl w:val="nil"/>
            </w:tcBorders>
            <w:vAlign w:val="center"/>
          </w:tcPr>
          <w:p w14:paraId="011666C5">
            <w:pPr>
              <w:widowControl/>
              <w:jc w:val="left"/>
              <w:rPr>
                <w:rFonts w:eastAsia="等线"/>
                <w:color w:val="auto"/>
                <w:kern w:val="0"/>
                <w:sz w:val="18"/>
                <w:szCs w:val="18"/>
                <w:highlight w:val="none"/>
              </w:rPr>
            </w:pPr>
          </w:p>
        </w:tc>
        <w:tc>
          <w:tcPr>
            <w:tcW w:w="796" w:type="dxa"/>
            <w:vMerge w:val="continue"/>
            <w:tcBorders>
              <w:tl2br w:val="nil"/>
              <w:tr2bl w:val="nil"/>
            </w:tcBorders>
            <w:vAlign w:val="center"/>
          </w:tcPr>
          <w:p w14:paraId="089318D2">
            <w:pPr>
              <w:widowControl/>
              <w:jc w:val="left"/>
              <w:rPr>
                <w:rFonts w:ascii="宋体" w:hAnsi="宋体" w:cs="宋体"/>
                <w:color w:val="auto"/>
                <w:kern w:val="0"/>
                <w:sz w:val="18"/>
                <w:szCs w:val="18"/>
                <w:highlight w:val="none"/>
              </w:rPr>
            </w:pPr>
          </w:p>
        </w:tc>
        <w:tc>
          <w:tcPr>
            <w:tcW w:w="797" w:type="dxa"/>
            <w:vMerge w:val="continue"/>
            <w:tcBorders>
              <w:tl2br w:val="nil"/>
              <w:tr2bl w:val="nil"/>
            </w:tcBorders>
            <w:vAlign w:val="center"/>
          </w:tcPr>
          <w:p w14:paraId="25B119E6">
            <w:pPr>
              <w:widowControl/>
              <w:jc w:val="left"/>
              <w:rPr>
                <w:rFonts w:ascii="宋体" w:hAnsi="宋体" w:cs="宋体"/>
                <w:color w:val="auto"/>
                <w:kern w:val="0"/>
                <w:sz w:val="18"/>
                <w:szCs w:val="18"/>
                <w:highlight w:val="none"/>
              </w:rPr>
            </w:pPr>
          </w:p>
        </w:tc>
        <w:tc>
          <w:tcPr>
            <w:tcW w:w="797" w:type="dxa"/>
            <w:tcBorders>
              <w:tl2br w:val="nil"/>
              <w:tr2bl w:val="nil"/>
            </w:tcBorders>
            <w:vAlign w:val="center"/>
          </w:tcPr>
          <w:p w14:paraId="75EE7984">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速冻水果制品</w:t>
            </w:r>
          </w:p>
        </w:tc>
        <w:tc>
          <w:tcPr>
            <w:tcW w:w="953" w:type="dxa"/>
            <w:tcBorders>
              <w:tl2br w:val="nil"/>
              <w:tr2bl w:val="nil"/>
            </w:tcBorders>
            <w:vAlign w:val="center"/>
          </w:tcPr>
          <w:p w14:paraId="6EC6525A">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速冻水果制品</w:t>
            </w:r>
          </w:p>
        </w:tc>
        <w:tc>
          <w:tcPr>
            <w:tcW w:w="1896" w:type="dxa"/>
            <w:tcBorders>
              <w:tl2br w:val="nil"/>
              <w:tr2bl w:val="nil"/>
            </w:tcBorders>
            <w:vAlign w:val="center"/>
          </w:tcPr>
          <w:p w14:paraId="0E5021A5">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铅（以</w:t>
            </w:r>
            <w:r>
              <w:rPr>
                <w:color w:val="auto"/>
                <w:kern w:val="0"/>
                <w:sz w:val="18"/>
                <w:szCs w:val="18"/>
                <w:highlight w:val="none"/>
              </w:rPr>
              <w:t>Pb</w:t>
            </w:r>
            <w:r>
              <w:rPr>
                <w:rFonts w:hint="eastAsia" w:ascii="宋体" w:hAnsi="宋体" w:cs="宋体"/>
                <w:color w:val="auto"/>
                <w:kern w:val="0"/>
                <w:sz w:val="18"/>
                <w:szCs w:val="18"/>
                <w:highlight w:val="none"/>
              </w:rPr>
              <w:t>计）、镉（以</w:t>
            </w:r>
            <w:r>
              <w:rPr>
                <w:color w:val="auto"/>
                <w:kern w:val="0"/>
                <w:sz w:val="18"/>
                <w:szCs w:val="18"/>
                <w:highlight w:val="none"/>
              </w:rPr>
              <w:t>Cd</w:t>
            </w:r>
            <w:r>
              <w:rPr>
                <w:rFonts w:hint="eastAsia" w:ascii="宋体" w:hAnsi="宋体" w:cs="宋体"/>
                <w:color w:val="auto"/>
                <w:kern w:val="0"/>
                <w:sz w:val="18"/>
                <w:szCs w:val="18"/>
                <w:highlight w:val="none"/>
              </w:rPr>
              <w:t>计）</w:t>
            </w:r>
          </w:p>
        </w:tc>
        <w:tc>
          <w:tcPr>
            <w:tcW w:w="2956" w:type="dxa"/>
            <w:tcBorders>
              <w:tl2br w:val="nil"/>
              <w:tr2bl w:val="nil"/>
            </w:tcBorders>
            <w:vAlign w:val="center"/>
          </w:tcPr>
          <w:p w14:paraId="558449C6">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菌落总数、大肠菌群、霉菌、沙门氏菌、金黄色葡萄球菌</w:t>
            </w:r>
          </w:p>
        </w:tc>
      </w:tr>
      <w:tr w14:paraId="0B042E3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733" w:hRule="atLeast"/>
        </w:trPr>
        <w:tc>
          <w:tcPr>
            <w:tcW w:w="953" w:type="dxa"/>
            <w:vMerge w:val="restart"/>
            <w:tcBorders>
              <w:tl2br w:val="nil"/>
              <w:tr2bl w:val="nil"/>
            </w:tcBorders>
            <w:vAlign w:val="center"/>
          </w:tcPr>
          <w:p w14:paraId="76159D48">
            <w:pPr>
              <w:widowControl/>
              <w:jc w:val="center"/>
              <w:rPr>
                <w:rFonts w:eastAsia="等线"/>
                <w:color w:val="auto"/>
                <w:kern w:val="0"/>
                <w:sz w:val="18"/>
                <w:szCs w:val="18"/>
                <w:highlight w:val="none"/>
              </w:rPr>
            </w:pPr>
            <w:r>
              <w:rPr>
                <w:rFonts w:eastAsia="等线"/>
                <w:color w:val="auto"/>
                <w:kern w:val="0"/>
                <w:sz w:val="18"/>
                <w:szCs w:val="18"/>
                <w:highlight w:val="none"/>
              </w:rPr>
              <w:t>12</w:t>
            </w:r>
          </w:p>
        </w:tc>
        <w:tc>
          <w:tcPr>
            <w:tcW w:w="796" w:type="dxa"/>
            <w:vMerge w:val="restart"/>
            <w:tcBorders>
              <w:tl2br w:val="nil"/>
              <w:tr2bl w:val="nil"/>
            </w:tcBorders>
            <w:vAlign w:val="center"/>
          </w:tcPr>
          <w:p w14:paraId="366A2A95">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薯类和膨化食品</w:t>
            </w:r>
          </w:p>
        </w:tc>
        <w:tc>
          <w:tcPr>
            <w:tcW w:w="797" w:type="dxa"/>
            <w:vMerge w:val="restart"/>
            <w:tcBorders>
              <w:tl2br w:val="nil"/>
              <w:tr2bl w:val="nil"/>
            </w:tcBorders>
            <w:vAlign w:val="center"/>
          </w:tcPr>
          <w:p w14:paraId="33FBCF37">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薯类和膨化食品</w:t>
            </w:r>
          </w:p>
        </w:tc>
        <w:tc>
          <w:tcPr>
            <w:tcW w:w="797" w:type="dxa"/>
            <w:tcBorders>
              <w:tl2br w:val="nil"/>
              <w:tr2bl w:val="nil"/>
            </w:tcBorders>
            <w:vAlign w:val="center"/>
          </w:tcPr>
          <w:p w14:paraId="1F5AFF51">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膨化食品</w:t>
            </w:r>
          </w:p>
        </w:tc>
        <w:tc>
          <w:tcPr>
            <w:tcW w:w="953" w:type="dxa"/>
            <w:tcBorders>
              <w:tl2br w:val="nil"/>
              <w:tr2bl w:val="nil"/>
            </w:tcBorders>
            <w:vAlign w:val="center"/>
          </w:tcPr>
          <w:p w14:paraId="18CF9A62">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含油型膨化食品和非含油型膨化食品</w:t>
            </w:r>
          </w:p>
        </w:tc>
        <w:tc>
          <w:tcPr>
            <w:tcW w:w="1896" w:type="dxa"/>
            <w:tcBorders>
              <w:tl2br w:val="nil"/>
              <w:tr2bl w:val="nil"/>
            </w:tcBorders>
            <w:vAlign w:val="center"/>
          </w:tcPr>
          <w:p w14:paraId="6BC00DDD">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过氧化值（以脂肪计）、菌落总数</w:t>
            </w:r>
          </w:p>
        </w:tc>
        <w:tc>
          <w:tcPr>
            <w:tcW w:w="2956" w:type="dxa"/>
            <w:tcBorders>
              <w:tl2br w:val="nil"/>
              <w:tr2bl w:val="nil"/>
            </w:tcBorders>
            <w:vAlign w:val="center"/>
          </w:tcPr>
          <w:p w14:paraId="7A387798">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水分、酸价（以脂肪计）（</w:t>
            </w:r>
            <w:r>
              <w:rPr>
                <w:color w:val="auto"/>
                <w:kern w:val="0"/>
                <w:sz w:val="18"/>
                <w:szCs w:val="18"/>
                <w:highlight w:val="none"/>
              </w:rPr>
              <w:t>KOH</w:t>
            </w:r>
            <w:r>
              <w:rPr>
                <w:rFonts w:hint="eastAsia" w:ascii="宋体" w:hAnsi="宋体" w:cs="宋体"/>
                <w:color w:val="auto"/>
                <w:kern w:val="0"/>
                <w:sz w:val="18"/>
                <w:szCs w:val="18"/>
                <w:highlight w:val="none"/>
              </w:rPr>
              <w:t>）、黄曲霉毒素</w:t>
            </w:r>
            <w:r>
              <w:rPr>
                <w:color w:val="auto"/>
                <w:kern w:val="0"/>
                <w:sz w:val="18"/>
                <w:szCs w:val="18"/>
                <w:highlight w:val="none"/>
              </w:rPr>
              <w:t>B</w:t>
            </w:r>
            <w:r>
              <w:rPr>
                <w:color w:val="auto"/>
                <w:kern w:val="0"/>
                <w:sz w:val="18"/>
                <w:szCs w:val="18"/>
                <w:highlight w:val="none"/>
                <w:vertAlign w:val="subscript"/>
              </w:rPr>
              <w:t>1</w:t>
            </w:r>
            <w:r>
              <w:rPr>
                <w:rFonts w:hint="eastAsia" w:ascii="宋体" w:hAnsi="宋体" w:cs="宋体"/>
                <w:color w:val="auto"/>
                <w:kern w:val="0"/>
                <w:sz w:val="18"/>
                <w:szCs w:val="18"/>
                <w:highlight w:val="none"/>
              </w:rPr>
              <w:t>、糖精钠（以糖精计）、苯甲酸及其钠盐（以苯甲酸计）、山梨酸及其钾盐（以山梨酸计）、甜蜜素（以环己基氨基磺酸计）、大肠菌群、沙门氏菌、金黄色葡萄球菌</w:t>
            </w:r>
          </w:p>
        </w:tc>
      </w:tr>
      <w:tr w14:paraId="6274108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229" w:hRule="atLeast"/>
        </w:trPr>
        <w:tc>
          <w:tcPr>
            <w:tcW w:w="953" w:type="dxa"/>
            <w:vMerge w:val="continue"/>
            <w:tcBorders>
              <w:tl2br w:val="nil"/>
              <w:tr2bl w:val="nil"/>
            </w:tcBorders>
            <w:vAlign w:val="center"/>
          </w:tcPr>
          <w:p w14:paraId="392DFF47">
            <w:pPr>
              <w:widowControl/>
              <w:jc w:val="left"/>
              <w:rPr>
                <w:rFonts w:eastAsia="等线"/>
                <w:color w:val="auto"/>
                <w:kern w:val="0"/>
                <w:sz w:val="18"/>
                <w:szCs w:val="18"/>
                <w:highlight w:val="none"/>
              </w:rPr>
            </w:pPr>
          </w:p>
        </w:tc>
        <w:tc>
          <w:tcPr>
            <w:tcW w:w="796" w:type="dxa"/>
            <w:vMerge w:val="continue"/>
            <w:tcBorders>
              <w:tl2br w:val="nil"/>
              <w:tr2bl w:val="nil"/>
            </w:tcBorders>
            <w:vAlign w:val="center"/>
          </w:tcPr>
          <w:p w14:paraId="3C74D81A">
            <w:pPr>
              <w:widowControl/>
              <w:jc w:val="left"/>
              <w:rPr>
                <w:rFonts w:ascii="宋体" w:hAnsi="宋体" w:cs="宋体"/>
                <w:color w:val="auto"/>
                <w:kern w:val="0"/>
                <w:sz w:val="18"/>
                <w:szCs w:val="18"/>
                <w:highlight w:val="none"/>
              </w:rPr>
            </w:pPr>
          </w:p>
        </w:tc>
        <w:tc>
          <w:tcPr>
            <w:tcW w:w="797" w:type="dxa"/>
            <w:vMerge w:val="continue"/>
            <w:tcBorders>
              <w:tl2br w:val="nil"/>
              <w:tr2bl w:val="nil"/>
            </w:tcBorders>
            <w:vAlign w:val="center"/>
          </w:tcPr>
          <w:p w14:paraId="44F6BD42">
            <w:pPr>
              <w:widowControl/>
              <w:jc w:val="left"/>
              <w:rPr>
                <w:rFonts w:ascii="宋体" w:hAnsi="宋体" w:cs="宋体"/>
                <w:color w:val="auto"/>
                <w:kern w:val="0"/>
                <w:sz w:val="18"/>
                <w:szCs w:val="18"/>
                <w:highlight w:val="none"/>
              </w:rPr>
            </w:pPr>
          </w:p>
        </w:tc>
        <w:tc>
          <w:tcPr>
            <w:tcW w:w="797" w:type="dxa"/>
            <w:vMerge w:val="restart"/>
            <w:tcBorders>
              <w:tl2br w:val="nil"/>
              <w:tr2bl w:val="nil"/>
            </w:tcBorders>
            <w:vAlign w:val="center"/>
          </w:tcPr>
          <w:p w14:paraId="0D609CBB">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薯类食品</w:t>
            </w:r>
          </w:p>
        </w:tc>
        <w:tc>
          <w:tcPr>
            <w:tcW w:w="953" w:type="dxa"/>
            <w:tcBorders>
              <w:tl2br w:val="nil"/>
              <w:tr2bl w:val="nil"/>
            </w:tcBorders>
            <w:vAlign w:val="center"/>
          </w:tcPr>
          <w:p w14:paraId="1DF1E2E9">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干制薯类</w:t>
            </w:r>
          </w:p>
        </w:tc>
        <w:tc>
          <w:tcPr>
            <w:tcW w:w="1896" w:type="dxa"/>
            <w:tcBorders>
              <w:tl2br w:val="nil"/>
              <w:tr2bl w:val="nil"/>
            </w:tcBorders>
            <w:vAlign w:val="center"/>
          </w:tcPr>
          <w:p w14:paraId="6829119F">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菌落总数、铅（以</w:t>
            </w:r>
            <w:r>
              <w:rPr>
                <w:color w:val="auto"/>
                <w:kern w:val="0"/>
                <w:sz w:val="18"/>
                <w:szCs w:val="18"/>
                <w:highlight w:val="none"/>
              </w:rPr>
              <w:t>Pb</w:t>
            </w:r>
            <w:r>
              <w:rPr>
                <w:rFonts w:hint="eastAsia" w:ascii="宋体" w:hAnsi="宋体" w:cs="宋体"/>
                <w:color w:val="auto"/>
                <w:kern w:val="0"/>
                <w:sz w:val="18"/>
                <w:szCs w:val="18"/>
                <w:highlight w:val="none"/>
              </w:rPr>
              <w:t>计）</w:t>
            </w:r>
          </w:p>
        </w:tc>
        <w:tc>
          <w:tcPr>
            <w:tcW w:w="2956" w:type="dxa"/>
            <w:tcBorders>
              <w:tl2br w:val="nil"/>
              <w:tr2bl w:val="nil"/>
            </w:tcBorders>
            <w:vAlign w:val="center"/>
          </w:tcPr>
          <w:p w14:paraId="6E55BD48">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酸价（以脂肪计）（</w:t>
            </w:r>
            <w:r>
              <w:rPr>
                <w:color w:val="auto"/>
                <w:kern w:val="0"/>
                <w:sz w:val="18"/>
                <w:szCs w:val="18"/>
                <w:highlight w:val="none"/>
              </w:rPr>
              <w:t>KOH</w:t>
            </w:r>
            <w:r>
              <w:rPr>
                <w:rFonts w:hint="eastAsia" w:ascii="宋体" w:hAnsi="宋体" w:cs="宋体"/>
                <w:color w:val="auto"/>
                <w:kern w:val="0"/>
                <w:sz w:val="18"/>
                <w:szCs w:val="18"/>
                <w:highlight w:val="none"/>
              </w:rPr>
              <w:t>）、过氧化值（以脂肪计）、大肠菌群、沙门氏菌、金黄色葡萄球菌</w:t>
            </w:r>
          </w:p>
        </w:tc>
      </w:tr>
      <w:tr w14:paraId="44D553D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90" w:hRule="atLeast"/>
        </w:trPr>
        <w:tc>
          <w:tcPr>
            <w:tcW w:w="953" w:type="dxa"/>
            <w:vMerge w:val="continue"/>
            <w:tcBorders>
              <w:tl2br w:val="nil"/>
              <w:tr2bl w:val="nil"/>
            </w:tcBorders>
            <w:vAlign w:val="center"/>
          </w:tcPr>
          <w:p w14:paraId="6943570E">
            <w:pPr>
              <w:widowControl/>
              <w:jc w:val="left"/>
              <w:rPr>
                <w:rFonts w:eastAsia="等线"/>
                <w:color w:val="auto"/>
                <w:kern w:val="0"/>
                <w:sz w:val="18"/>
                <w:szCs w:val="18"/>
                <w:highlight w:val="none"/>
              </w:rPr>
            </w:pPr>
          </w:p>
        </w:tc>
        <w:tc>
          <w:tcPr>
            <w:tcW w:w="796" w:type="dxa"/>
            <w:vMerge w:val="continue"/>
            <w:tcBorders>
              <w:tl2br w:val="nil"/>
              <w:tr2bl w:val="nil"/>
            </w:tcBorders>
            <w:vAlign w:val="center"/>
          </w:tcPr>
          <w:p w14:paraId="319A94CE">
            <w:pPr>
              <w:widowControl/>
              <w:jc w:val="left"/>
              <w:rPr>
                <w:rFonts w:ascii="宋体" w:hAnsi="宋体" w:cs="宋体"/>
                <w:color w:val="auto"/>
                <w:kern w:val="0"/>
                <w:sz w:val="18"/>
                <w:szCs w:val="18"/>
                <w:highlight w:val="none"/>
              </w:rPr>
            </w:pPr>
          </w:p>
        </w:tc>
        <w:tc>
          <w:tcPr>
            <w:tcW w:w="797" w:type="dxa"/>
            <w:vMerge w:val="continue"/>
            <w:tcBorders>
              <w:tl2br w:val="nil"/>
              <w:tr2bl w:val="nil"/>
            </w:tcBorders>
            <w:vAlign w:val="center"/>
          </w:tcPr>
          <w:p w14:paraId="0FEAFFF0">
            <w:pPr>
              <w:widowControl/>
              <w:jc w:val="left"/>
              <w:rPr>
                <w:rFonts w:ascii="宋体" w:hAnsi="宋体" w:cs="宋体"/>
                <w:color w:val="auto"/>
                <w:kern w:val="0"/>
                <w:sz w:val="18"/>
                <w:szCs w:val="18"/>
                <w:highlight w:val="none"/>
              </w:rPr>
            </w:pPr>
          </w:p>
        </w:tc>
        <w:tc>
          <w:tcPr>
            <w:tcW w:w="797" w:type="dxa"/>
            <w:vMerge w:val="continue"/>
            <w:tcBorders>
              <w:tl2br w:val="nil"/>
              <w:tr2bl w:val="nil"/>
            </w:tcBorders>
            <w:vAlign w:val="center"/>
          </w:tcPr>
          <w:p w14:paraId="7E622908">
            <w:pPr>
              <w:widowControl/>
              <w:jc w:val="left"/>
              <w:rPr>
                <w:rFonts w:ascii="宋体" w:hAnsi="宋体" w:cs="宋体"/>
                <w:color w:val="auto"/>
                <w:kern w:val="0"/>
                <w:sz w:val="18"/>
                <w:szCs w:val="18"/>
                <w:highlight w:val="none"/>
              </w:rPr>
            </w:pPr>
          </w:p>
        </w:tc>
        <w:tc>
          <w:tcPr>
            <w:tcW w:w="953" w:type="dxa"/>
            <w:tcBorders>
              <w:tl2br w:val="nil"/>
              <w:tr2bl w:val="nil"/>
            </w:tcBorders>
            <w:vAlign w:val="center"/>
          </w:tcPr>
          <w:p w14:paraId="2D8B286B">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冷冻薯类</w:t>
            </w:r>
          </w:p>
        </w:tc>
        <w:tc>
          <w:tcPr>
            <w:tcW w:w="1896" w:type="dxa"/>
            <w:tcBorders>
              <w:tl2br w:val="nil"/>
              <w:tr2bl w:val="nil"/>
            </w:tcBorders>
            <w:vAlign w:val="center"/>
          </w:tcPr>
          <w:p w14:paraId="1D2EDE2A">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铅（以</w:t>
            </w:r>
            <w:r>
              <w:rPr>
                <w:color w:val="auto"/>
                <w:kern w:val="0"/>
                <w:sz w:val="18"/>
                <w:szCs w:val="18"/>
                <w:highlight w:val="none"/>
              </w:rPr>
              <w:t>Pb</w:t>
            </w:r>
            <w:r>
              <w:rPr>
                <w:rFonts w:hint="eastAsia" w:ascii="宋体" w:hAnsi="宋体" w:cs="宋体"/>
                <w:color w:val="auto"/>
                <w:kern w:val="0"/>
                <w:sz w:val="18"/>
                <w:szCs w:val="18"/>
                <w:highlight w:val="none"/>
              </w:rPr>
              <w:t>计）</w:t>
            </w:r>
          </w:p>
        </w:tc>
        <w:tc>
          <w:tcPr>
            <w:tcW w:w="2956" w:type="dxa"/>
            <w:tcBorders>
              <w:tl2br w:val="nil"/>
              <w:tr2bl w:val="nil"/>
            </w:tcBorders>
            <w:vAlign w:val="center"/>
          </w:tcPr>
          <w:p w14:paraId="74F16D1F">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w:t>
            </w:r>
          </w:p>
        </w:tc>
      </w:tr>
      <w:tr w14:paraId="17C7FC4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812" w:hRule="atLeast"/>
        </w:trPr>
        <w:tc>
          <w:tcPr>
            <w:tcW w:w="953" w:type="dxa"/>
            <w:vMerge w:val="continue"/>
            <w:tcBorders>
              <w:tl2br w:val="nil"/>
              <w:tr2bl w:val="nil"/>
            </w:tcBorders>
            <w:vAlign w:val="center"/>
          </w:tcPr>
          <w:p w14:paraId="71A6B005">
            <w:pPr>
              <w:widowControl/>
              <w:jc w:val="left"/>
              <w:rPr>
                <w:rFonts w:eastAsia="等线"/>
                <w:color w:val="auto"/>
                <w:kern w:val="0"/>
                <w:sz w:val="18"/>
                <w:szCs w:val="18"/>
                <w:highlight w:val="none"/>
              </w:rPr>
            </w:pPr>
          </w:p>
        </w:tc>
        <w:tc>
          <w:tcPr>
            <w:tcW w:w="796" w:type="dxa"/>
            <w:vMerge w:val="continue"/>
            <w:tcBorders>
              <w:tl2br w:val="nil"/>
              <w:tr2bl w:val="nil"/>
            </w:tcBorders>
            <w:vAlign w:val="center"/>
          </w:tcPr>
          <w:p w14:paraId="14C505F7">
            <w:pPr>
              <w:widowControl/>
              <w:jc w:val="left"/>
              <w:rPr>
                <w:rFonts w:ascii="宋体" w:hAnsi="宋体" w:cs="宋体"/>
                <w:color w:val="auto"/>
                <w:kern w:val="0"/>
                <w:sz w:val="18"/>
                <w:szCs w:val="18"/>
                <w:highlight w:val="none"/>
              </w:rPr>
            </w:pPr>
          </w:p>
        </w:tc>
        <w:tc>
          <w:tcPr>
            <w:tcW w:w="797" w:type="dxa"/>
            <w:vMerge w:val="continue"/>
            <w:tcBorders>
              <w:tl2br w:val="nil"/>
              <w:tr2bl w:val="nil"/>
            </w:tcBorders>
            <w:vAlign w:val="center"/>
          </w:tcPr>
          <w:p w14:paraId="73E09D84">
            <w:pPr>
              <w:widowControl/>
              <w:jc w:val="left"/>
              <w:rPr>
                <w:rFonts w:ascii="宋体" w:hAnsi="宋体" w:cs="宋体"/>
                <w:color w:val="auto"/>
                <w:kern w:val="0"/>
                <w:sz w:val="18"/>
                <w:szCs w:val="18"/>
                <w:highlight w:val="none"/>
              </w:rPr>
            </w:pPr>
          </w:p>
        </w:tc>
        <w:tc>
          <w:tcPr>
            <w:tcW w:w="797" w:type="dxa"/>
            <w:vMerge w:val="continue"/>
            <w:tcBorders>
              <w:tl2br w:val="nil"/>
              <w:tr2bl w:val="nil"/>
            </w:tcBorders>
            <w:vAlign w:val="center"/>
          </w:tcPr>
          <w:p w14:paraId="666C4108">
            <w:pPr>
              <w:widowControl/>
              <w:jc w:val="left"/>
              <w:rPr>
                <w:rFonts w:ascii="宋体" w:hAnsi="宋体" w:cs="宋体"/>
                <w:color w:val="auto"/>
                <w:kern w:val="0"/>
                <w:sz w:val="18"/>
                <w:szCs w:val="18"/>
                <w:highlight w:val="none"/>
              </w:rPr>
            </w:pPr>
          </w:p>
        </w:tc>
        <w:tc>
          <w:tcPr>
            <w:tcW w:w="953" w:type="dxa"/>
            <w:tcBorders>
              <w:tl2br w:val="nil"/>
              <w:tr2bl w:val="nil"/>
            </w:tcBorders>
            <w:vAlign w:val="center"/>
          </w:tcPr>
          <w:p w14:paraId="5AAF1812">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薯泥（酱）类</w:t>
            </w:r>
          </w:p>
        </w:tc>
        <w:tc>
          <w:tcPr>
            <w:tcW w:w="1896" w:type="dxa"/>
            <w:tcBorders>
              <w:tl2br w:val="nil"/>
              <w:tr2bl w:val="nil"/>
            </w:tcBorders>
            <w:vAlign w:val="center"/>
          </w:tcPr>
          <w:p w14:paraId="472AD08A">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苯甲酸及其钠盐（以苯甲酸计）、山梨酸及其钾盐（以山梨酸计）</w:t>
            </w:r>
          </w:p>
        </w:tc>
        <w:tc>
          <w:tcPr>
            <w:tcW w:w="2956" w:type="dxa"/>
            <w:tcBorders>
              <w:tl2br w:val="nil"/>
              <w:tr2bl w:val="nil"/>
            </w:tcBorders>
            <w:vAlign w:val="center"/>
          </w:tcPr>
          <w:p w14:paraId="77363528">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铅（以</w:t>
            </w:r>
            <w:r>
              <w:rPr>
                <w:color w:val="auto"/>
                <w:kern w:val="0"/>
                <w:sz w:val="18"/>
                <w:szCs w:val="18"/>
                <w:highlight w:val="none"/>
              </w:rPr>
              <w:t>Pb</w:t>
            </w:r>
            <w:r>
              <w:rPr>
                <w:rFonts w:hint="eastAsia" w:ascii="宋体" w:hAnsi="宋体" w:cs="宋体"/>
                <w:color w:val="auto"/>
                <w:kern w:val="0"/>
                <w:sz w:val="18"/>
                <w:szCs w:val="18"/>
                <w:highlight w:val="none"/>
              </w:rPr>
              <w:t>计）、商业无菌、沙门氏菌、金黄色葡萄球菌</w:t>
            </w:r>
          </w:p>
        </w:tc>
      </w:tr>
      <w:tr w14:paraId="4BA9DCD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90" w:hRule="atLeast"/>
        </w:trPr>
        <w:tc>
          <w:tcPr>
            <w:tcW w:w="953" w:type="dxa"/>
            <w:vMerge w:val="continue"/>
            <w:tcBorders>
              <w:tl2br w:val="nil"/>
              <w:tr2bl w:val="nil"/>
            </w:tcBorders>
            <w:vAlign w:val="center"/>
          </w:tcPr>
          <w:p w14:paraId="3EE6FC7D">
            <w:pPr>
              <w:widowControl/>
              <w:jc w:val="left"/>
              <w:rPr>
                <w:rFonts w:eastAsia="等线"/>
                <w:color w:val="auto"/>
                <w:kern w:val="0"/>
                <w:sz w:val="18"/>
                <w:szCs w:val="18"/>
                <w:highlight w:val="none"/>
              </w:rPr>
            </w:pPr>
          </w:p>
        </w:tc>
        <w:tc>
          <w:tcPr>
            <w:tcW w:w="796" w:type="dxa"/>
            <w:vMerge w:val="continue"/>
            <w:tcBorders>
              <w:tl2br w:val="nil"/>
              <w:tr2bl w:val="nil"/>
            </w:tcBorders>
            <w:vAlign w:val="center"/>
          </w:tcPr>
          <w:p w14:paraId="43B4457F">
            <w:pPr>
              <w:widowControl/>
              <w:jc w:val="left"/>
              <w:rPr>
                <w:rFonts w:ascii="宋体" w:hAnsi="宋体" w:cs="宋体"/>
                <w:color w:val="auto"/>
                <w:kern w:val="0"/>
                <w:sz w:val="18"/>
                <w:szCs w:val="18"/>
                <w:highlight w:val="none"/>
              </w:rPr>
            </w:pPr>
          </w:p>
        </w:tc>
        <w:tc>
          <w:tcPr>
            <w:tcW w:w="797" w:type="dxa"/>
            <w:vMerge w:val="continue"/>
            <w:tcBorders>
              <w:tl2br w:val="nil"/>
              <w:tr2bl w:val="nil"/>
            </w:tcBorders>
            <w:vAlign w:val="center"/>
          </w:tcPr>
          <w:p w14:paraId="2CF5509F">
            <w:pPr>
              <w:widowControl/>
              <w:jc w:val="left"/>
              <w:rPr>
                <w:rFonts w:ascii="宋体" w:hAnsi="宋体" w:cs="宋体"/>
                <w:color w:val="auto"/>
                <w:kern w:val="0"/>
                <w:sz w:val="18"/>
                <w:szCs w:val="18"/>
                <w:highlight w:val="none"/>
              </w:rPr>
            </w:pPr>
          </w:p>
        </w:tc>
        <w:tc>
          <w:tcPr>
            <w:tcW w:w="797" w:type="dxa"/>
            <w:vMerge w:val="continue"/>
            <w:tcBorders>
              <w:tl2br w:val="nil"/>
              <w:tr2bl w:val="nil"/>
            </w:tcBorders>
            <w:vAlign w:val="center"/>
          </w:tcPr>
          <w:p w14:paraId="690CEA28">
            <w:pPr>
              <w:widowControl/>
              <w:jc w:val="left"/>
              <w:rPr>
                <w:rFonts w:ascii="宋体" w:hAnsi="宋体" w:cs="宋体"/>
                <w:color w:val="auto"/>
                <w:kern w:val="0"/>
                <w:sz w:val="18"/>
                <w:szCs w:val="18"/>
                <w:highlight w:val="none"/>
              </w:rPr>
            </w:pPr>
          </w:p>
        </w:tc>
        <w:tc>
          <w:tcPr>
            <w:tcW w:w="953" w:type="dxa"/>
            <w:tcBorders>
              <w:tl2br w:val="nil"/>
              <w:tr2bl w:val="nil"/>
            </w:tcBorders>
            <w:vAlign w:val="center"/>
          </w:tcPr>
          <w:p w14:paraId="5DD8CB1A">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薯粉类</w:t>
            </w:r>
          </w:p>
        </w:tc>
        <w:tc>
          <w:tcPr>
            <w:tcW w:w="1896" w:type="dxa"/>
            <w:tcBorders>
              <w:tl2br w:val="nil"/>
              <w:tr2bl w:val="nil"/>
            </w:tcBorders>
            <w:vAlign w:val="center"/>
          </w:tcPr>
          <w:p w14:paraId="67402BD6">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铅（以</w:t>
            </w:r>
            <w:r>
              <w:rPr>
                <w:color w:val="auto"/>
                <w:kern w:val="0"/>
                <w:sz w:val="18"/>
                <w:szCs w:val="18"/>
                <w:highlight w:val="none"/>
              </w:rPr>
              <w:t>Pb</w:t>
            </w:r>
            <w:r>
              <w:rPr>
                <w:rFonts w:hint="eastAsia" w:ascii="宋体" w:hAnsi="宋体" w:cs="宋体"/>
                <w:color w:val="auto"/>
                <w:kern w:val="0"/>
                <w:sz w:val="18"/>
                <w:szCs w:val="18"/>
                <w:highlight w:val="none"/>
              </w:rPr>
              <w:t>计）</w:t>
            </w:r>
          </w:p>
        </w:tc>
        <w:tc>
          <w:tcPr>
            <w:tcW w:w="2956" w:type="dxa"/>
            <w:tcBorders>
              <w:tl2br w:val="nil"/>
              <w:tr2bl w:val="nil"/>
            </w:tcBorders>
            <w:vAlign w:val="center"/>
          </w:tcPr>
          <w:p w14:paraId="49A6D9B3">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w:t>
            </w:r>
          </w:p>
        </w:tc>
      </w:tr>
      <w:tr w14:paraId="2D65142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10" w:hRule="atLeast"/>
        </w:trPr>
        <w:tc>
          <w:tcPr>
            <w:tcW w:w="953" w:type="dxa"/>
            <w:vMerge w:val="continue"/>
            <w:tcBorders>
              <w:tl2br w:val="nil"/>
              <w:tr2bl w:val="nil"/>
            </w:tcBorders>
            <w:vAlign w:val="center"/>
          </w:tcPr>
          <w:p w14:paraId="4435ED80">
            <w:pPr>
              <w:widowControl/>
              <w:jc w:val="left"/>
              <w:rPr>
                <w:rFonts w:eastAsia="等线"/>
                <w:color w:val="auto"/>
                <w:kern w:val="0"/>
                <w:sz w:val="18"/>
                <w:szCs w:val="18"/>
                <w:highlight w:val="none"/>
              </w:rPr>
            </w:pPr>
          </w:p>
        </w:tc>
        <w:tc>
          <w:tcPr>
            <w:tcW w:w="796" w:type="dxa"/>
            <w:vMerge w:val="continue"/>
            <w:tcBorders>
              <w:tl2br w:val="nil"/>
              <w:tr2bl w:val="nil"/>
            </w:tcBorders>
            <w:vAlign w:val="center"/>
          </w:tcPr>
          <w:p w14:paraId="39B93206">
            <w:pPr>
              <w:widowControl/>
              <w:jc w:val="left"/>
              <w:rPr>
                <w:rFonts w:ascii="宋体" w:hAnsi="宋体" w:cs="宋体"/>
                <w:color w:val="auto"/>
                <w:kern w:val="0"/>
                <w:sz w:val="18"/>
                <w:szCs w:val="18"/>
                <w:highlight w:val="none"/>
              </w:rPr>
            </w:pPr>
          </w:p>
        </w:tc>
        <w:tc>
          <w:tcPr>
            <w:tcW w:w="797" w:type="dxa"/>
            <w:vMerge w:val="continue"/>
            <w:tcBorders>
              <w:tl2br w:val="nil"/>
              <w:tr2bl w:val="nil"/>
            </w:tcBorders>
            <w:vAlign w:val="center"/>
          </w:tcPr>
          <w:p w14:paraId="4AE776B4">
            <w:pPr>
              <w:widowControl/>
              <w:jc w:val="left"/>
              <w:rPr>
                <w:rFonts w:ascii="宋体" w:hAnsi="宋体" w:cs="宋体"/>
                <w:color w:val="auto"/>
                <w:kern w:val="0"/>
                <w:sz w:val="18"/>
                <w:szCs w:val="18"/>
                <w:highlight w:val="none"/>
              </w:rPr>
            </w:pPr>
          </w:p>
        </w:tc>
        <w:tc>
          <w:tcPr>
            <w:tcW w:w="797" w:type="dxa"/>
            <w:vMerge w:val="continue"/>
            <w:tcBorders>
              <w:tl2br w:val="nil"/>
              <w:tr2bl w:val="nil"/>
            </w:tcBorders>
            <w:vAlign w:val="center"/>
          </w:tcPr>
          <w:p w14:paraId="347722D5">
            <w:pPr>
              <w:widowControl/>
              <w:jc w:val="left"/>
              <w:rPr>
                <w:rFonts w:ascii="宋体" w:hAnsi="宋体" w:cs="宋体"/>
                <w:color w:val="auto"/>
                <w:kern w:val="0"/>
                <w:sz w:val="18"/>
                <w:szCs w:val="18"/>
                <w:highlight w:val="none"/>
              </w:rPr>
            </w:pPr>
          </w:p>
        </w:tc>
        <w:tc>
          <w:tcPr>
            <w:tcW w:w="953" w:type="dxa"/>
            <w:tcBorders>
              <w:tl2br w:val="nil"/>
              <w:tr2bl w:val="nil"/>
            </w:tcBorders>
            <w:vAlign w:val="center"/>
          </w:tcPr>
          <w:p w14:paraId="34879023">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其他薯类食品</w:t>
            </w:r>
          </w:p>
        </w:tc>
        <w:tc>
          <w:tcPr>
            <w:tcW w:w="1896" w:type="dxa"/>
            <w:tcBorders>
              <w:tl2br w:val="nil"/>
              <w:tr2bl w:val="nil"/>
            </w:tcBorders>
            <w:vAlign w:val="center"/>
          </w:tcPr>
          <w:p w14:paraId="55973422">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铅（以</w:t>
            </w:r>
            <w:r>
              <w:rPr>
                <w:color w:val="auto"/>
                <w:kern w:val="0"/>
                <w:sz w:val="18"/>
                <w:szCs w:val="18"/>
                <w:highlight w:val="none"/>
              </w:rPr>
              <w:t>Pb</w:t>
            </w:r>
            <w:r>
              <w:rPr>
                <w:rFonts w:hint="eastAsia" w:ascii="宋体" w:hAnsi="宋体" w:cs="宋体"/>
                <w:color w:val="auto"/>
                <w:kern w:val="0"/>
                <w:sz w:val="18"/>
                <w:szCs w:val="18"/>
                <w:highlight w:val="none"/>
              </w:rPr>
              <w:t>计）</w:t>
            </w:r>
          </w:p>
        </w:tc>
        <w:tc>
          <w:tcPr>
            <w:tcW w:w="2956" w:type="dxa"/>
            <w:tcBorders>
              <w:tl2br w:val="nil"/>
              <w:tr2bl w:val="nil"/>
            </w:tcBorders>
            <w:vAlign w:val="center"/>
          </w:tcPr>
          <w:p w14:paraId="4D7DBFEF">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沙门氏菌、金黄色葡萄球菌</w:t>
            </w:r>
          </w:p>
        </w:tc>
      </w:tr>
      <w:tr w14:paraId="367105E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225" w:hRule="atLeast"/>
        </w:trPr>
        <w:tc>
          <w:tcPr>
            <w:tcW w:w="953" w:type="dxa"/>
            <w:vMerge w:val="restart"/>
            <w:tcBorders>
              <w:tl2br w:val="nil"/>
              <w:tr2bl w:val="nil"/>
            </w:tcBorders>
            <w:vAlign w:val="center"/>
          </w:tcPr>
          <w:p w14:paraId="63CF865E">
            <w:pPr>
              <w:widowControl/>
              <w:jc w:val="center"/>
              <w:rPr>
                <w:rFonts w:eastAsia="等线"/>
                <w:color w:val="auto"/>
                <w:kern w:val="0"/>
                <w:sz w:val="18"/>
                <w:szCs w:val="18"/>
                <w:highlight w:val="none"/>
              </w:rPr>
            </w:pPr>
            <w:r>
              <w:rPr>
                <w:rFonts w:eastAsia="等线"/>
                <w:color w:val="auto"/>
                <w:kern w:val="0"/>
                <w:sz w:val="18"/>
                <w:szCs w:val="18"/>
                <w:highlight w:val="none"/>
              </w:rPr>
              <w:t>13</w:t>
            </w:r>
          </w:p>
        </w:tc>
        <w:tc>
          <w:tcPr>
            <w:tcW w:w="796" w:type="dxa"/>
            <w:vMerge w:val="restart"/>
            <w:tcBorders>
              <w:tl2br w:val="nil"/>
              <w:tr2bl w:val="nil"/>
            </w:tcBorders>
            <w:vAlign w:val="center"/>
          </w:tcPr>
          <w:p w14:paraId="0DE3C138">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糖果制品</w:t>
            </w:r>
          </w:p>
        </w:tc>
        <w:tc>
          <w:tcPr>
            <w:tcW w:w="797" w:type="dxa"/>
            <w:vMerge w:val="restart"/>
            <w:tcBorders>
              <w:tl2br w:val="nil"/>
              <w:tr2bl w:val="nil"/>
            </w:tcBorders>
            <w:vAlign w:val="center"/>
          </w:tcPr>
          <w:p w14:paraId="473AFCEE">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糖果制品（含巧克力及制品）</w:t>
            </w:r>
          </w:p>
        </w:tc>
        <w:tc>
          <w:tcPr>
            <w:tcW w:w="797" w:type="dxa"/>
            <w:tcBorders>
              <w:tl2br w:val="nil"/>
              <w:tr2bl w:val="nil"/>
            </w:tcBorders>
            <w:vAlign w:val="center"/>
          </w:tcPr>
          <w:p w14:paraId="789DD3D5">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糖果</w:t>
            </w:r>
          </w:p>
        </w:tc>
        <w:tc>
          <w:tcPr>
            <w:tcW w:w="953" w:type="dxa"/>
            <w:tcBorders>
              <w:tl2br w:val="nil"/>
              <w:tr2bl w:val="nil"/>
            </w:tcBorders>
            <w:vAlign w:val="center"/>
          </w:tcPr>
          <w:p w14:paraId="3D21258E">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糖果</w:t>
            </w:r>
          </w:p>
        </w:tc>
        <w:tc>
          <w:tcPr>
            <w:tcW w:w="1896" w:type="dxa"/>
            <w:tcBorders>
              <w:tl2br w:val="nil"/>
              <w:tr2bl w:val="nil"/>
            </w:tcBorders>
            <w:vAlign w:val="center"/>
          </w:tcPr>
          <w:p w14:paraId="2C224242">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二氧化硫残留量、大肠菌群</w:t>
            </w:r>
          </w:p>
        </w:tc>
        <w:tc>
          <w:tcPr>
            <w:tcW w:w="2956" w:type="dxa"/>
            <w:tcBorders>
              <w:tl2br w:val="nil"/>
              <w:tr2bl w:val="nil"/>
            </w:tcBorders>
            <w:vAlign w:val="center"/>
          </w:tcPr>
          <w:p w14:paraId="7AFCA4E5">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铅（以Pb计）、糖精钠（以糖精计）、甜蜜素（以环己基氨基磺酸计）、合成着色剂（柠檬黄、新红、苋菜红、靛蓝、胭脂红、日落黄、诱惑红、亮蓝、酸性红、喹啉黄、赤藓红）、相同色泽着色剂混合使用时各自用量占其最大使用量的比例之和、菌落总数、还原糖</w:t>
            </w:r>
          </w:p>
        </w:tc>
      </w:tr>
      <w:tr w14:paraId="3DA983A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812" w:hRule="atLeast"/>
        </w:trPr>
        <w:tc>
          <w:tcPr>
            <w:tcW w:w="953" w:type="dxa"/>
            <w:vMerge w:val="continue"/>
            <w:tcBorders>
              <w:tl2br w:val="nil"/>
              <w:tr2bl w:val="nil"/>
            </w:tcBorders>
            <w:vAlign w:val="center"/>
          </w:tcPr>
          <w:p w14:paraId="55269B1B">
            <w:pPr>
              <w:widowControl/>
              <w:jc w:val="left"/>
              <w:rPr>
                <w:rFonts w:eastAsia="等线"/>
                <w:color w:val="auto"/>
                <w:kern w:val="0"/>
                <w:sz w:val="18"/>
                <w:szCs w:val="18"/>
                <w:highlight w:val="none"/>
              </w:rPr>
            </w:pPr>
          </w:p>
        </w:tc>
        <w:tc>
          <w:tcPr>
            <w:tcW w:w="796" w:type="dxa"/>
            <w:vMerge w:val="continue"/>
            <w:tcBorders>
              <w:tl2br w:val="nil"/>
              <w:tr2bl w:val="nil"/>
            </w:tcBorders>
            <w:vAlign w:val="center"/>
          </w:tcPr>
          <w:p w14:paraId="0FB6A81B">
            <w:pPr>
              <w:widowControl/>
              <w:jc w:val="left"/>
              <w:rPr>
                <w:rFonts w:ascii="宋体" w:hAnsi="宋体" w:cs="宋体"/>
                <w:color w:val="auto"/>
                <w:kern w:val="0"/>
                <w:sz w:val="18"/>
                <w:szCs w:val="18"/>
                <w:highlight w:val="none"/>
              </w:rPr>
            </w:pPr>
          </w:p>
        </w:tc>
        <w:tc>
          <w:tcPr>
            <w:tcW w:w="797" w:type="dxa"/>
            <w:vMerge w:val="continue"/>
            <w:tcBorders>
              <w:tl2br w:val="nil"/>
              <w:tr2bl w:val="nil"/>
            </w:tcBorders>
            <w:vAlign w:val="center"/>
          </w:tcPr>
          <w:p w14:paraId="0ED3DE1F">
            <w:pPr>
              <w:widowControl/>
              <w:jc w:val="left"/>
              <w:rPr>
                <w:rFonts w:ascii="宋体" w:hAnsi="宋体" w:cs="宋体"/>
                <w:color w:val="auto"/>
                <w:kern w:val="0"/>
                <w:sz w:val="18"/>
                <w:szCs w:val="18"/>
                <w:highlight w:val="none"/>
              </w:rPr>
            </w:pPr>
          </w:p>
        </w:tc>
        <w:tc>
          <w:tcPr>
            <w:tcW w:w="797" w:type="dxa"/>
            <w:tcBorders>
              <w:tl2br w:val="nil"/>
              <w:tr2bl w:val="nil"/>
            </w:tcBorders>
            <w:vAlign w:val="center"/>
          </w:tcPr>
          <w:p w14:paraId="5123E340">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巧克力及巧克力制品</w:t>
            </w:r>
          </w:p>
        </w:tc>
        <w:tc>
          <w:tcPr>
            <w:tcW w:w="953" w:type="dxa"/>
            <w:tcBorders>
              <w:tl2br w:val="nil"/>
              <w:tr2bl w:val="nil"/>
            </w:tcBorders>
            <w:vAlign w:val="center"/>
          </w:tcPr>
          <w:p w14:paraId="12A2CB4A">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巧克力、巧克力制品、代可可脂巧克力及代可可脂巧克力制品</w:t>
            </w:r>
          </w:p>
        </w:tc>
        <w:tc>
          <w:tcPr>
            <w:tcW w:w="1896" w:type="dxa"/>
            <w:tcBorders>
              <w:tl2br w:val="nil"/>
              <w:tr2bl w:val="nil"/>
            </w:tcBorders>
            <w:vAlign w:val="center"/>
          </w:tcPr>
          <w:p w14:paraId="044BCC85">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铅（以</w:t>
            </w:r>
            <w:r>
              <w:rPr>
                <w:color w:val="auto"/>
                <w:kern w:val="0"/>
                <w:sz w:val="18"/>
                <w:szCs w:val="18"/>
                <w:highlight w:val="none"/>
              </w:rPr>
              <w:t>Pb</w:t>
            </w:r>
            <w:r>
              <w:rPr>
                <w:rFonts w:hint="eastAsia" w:ascii="宋体" w:hAnsi="宋体" w:cs="宋体"/>
                <w:color w:val="auto"/>
                <w:kern w:val="0"/>
                <w:sz w:val="18"/>
                <w:szCs w:val="18"/>
                <w:highlight w:val="none"/>
              </w:rPr>
              <w:t>计）</w:t>
            </w:r>
          </w:p>
        </w:tc>
        <w:tc>
          <w:tcPr>
            <w:tcW w:w="2956" w:type="dxa"/>
            <w:tcBorders>
              <w:tl2br w:val="nil"/>
              <w:tr2bl w:val="nil"/>
            </w:tcBorders>
            <w:vAlign w:val="center"/>
          </w:tcPr>
          <w:p w14:paraId="420BF8FF">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沙门氏菌</w:t>
            </w:r>
          </w:p>
        </w:tc>
      </w:tr>
      <w:tr w14:paraId="6C867B6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095" w:hRule="atLeast"/>
        </w:trPr>
        <w:tc>
          <w:tcPr>
            <w:tcW w:w="953" w:type="dxa"/>
            <w:vMerge w:val="continue"/>
            <w:tcBorders>
              <w:tl2br w:val="nil"/>
              <w:tr2bl w:val="nil"/>
            </w:tcBorders>
            <w:vAlign w:val="center"/>
          </w:tcPr>
          <w:p w14:paraId="1C81E589">
            <w:pPr>
              <w:widowControl/>
              <w:jc w:val="left"/>
              <w:rPr>
                <w:rFonts w:eastAsia="等线"/>
                <w:color w:val="auto"/>
                <w:kern w:val="0"/>
                <w:sz w:val="18"/>
                <w:szCs w:val="18"/>
                <w:highlight w:val="none"/>
              </w:rPr>
            </w:pPr>
          </w:p>
        </w:tc>
        <w:tc>
          <w:tcPr>
            <w:tcW w:w="796" w:type="dxa"/>
            <w:vMerge w:val="continue"/>
            <w:tcBorders>
              <w:tl2br w:val="nil"/>
              <w:tr2bl w:val="nil"/>
            </w:tcBorders>
            <w:vAlign w:val="center"/>
          </w:tcPr>
          <w:p w14:paraId="6A801963">
            <w:pPr>
              <w:widowControl/>
              <w:jc w:val="left"/>
              <w:rPr>
                <w:rFonts w:ascii="宋体" w:hAnsi="宋体" w:cs="宋体"/>
                <w:color w:val="auto"/>
                <w:kern w:val="0"/>
                <w:sz w:val="18"/>
                <w:szCs w:val="18"/>
                <w:highlight w:val="none"/>
              </w:rPr>
            </w:pPr>
          </w:p>
        </w:tc>
        <w:tc>
          <w:tcPr>
            <w:tcW w:w="797" w:type="dxa"/>
            <w:vMerge w:val="continue"/>
            <w:tcBorders>
              <w:tl2br w:val="nil"/>
              <w:tr2bl w:val="nil"/>
            </w:tcBorders>
            <w:vAlign w:val="center"/>
          </w:tcPr>
          <w:p w14:paraId="64E43258">
            <w:pPr>
              <w:widowControl/>
              <w:jc w:val="left"/>
              <w:rPr>
                <w:rFonts w:ascii="宋体" w:hAnsi="宋体" w:cs="宋体"/>
                <w:color w:val="auto"/>
                <w:kern w:val="0"/>
                <w:sz w:val="18"/>
                <w:szCs w:val="18"/>
                <w:highlight w:val="none"/>
              </w:rPr>
            </w:pPr>
          </w:p>
        </w:tc>
        <w:tc>
          <w:tcPr>
            <w:tcW w:w="797" w:type="dxa"/>
            <w:tcBorders>
              <w:tl2br w:val="nil"/>
              <w:tr2bl w:val="nil"/>
            </w:tcBorders>
            <w:vAlign w:val="center"/>
          </w:tcPr>
          <w:p w14:paraId="264CABF7">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果冻</w:t>
            </w:r>
          </w:p>
        </w:tc>
        <w:tc>
          <w:tcPr>
            <w:tcW w:w="953" w:type="dxa"/>
            <w:tcBorders>
              <w:tl2br w:val="nil"/>
              <w:tr2bl w:val="nil"/>
            </w:tcBorders>
            <w:vAlign w:val="center"/>
          </w:tcPr>
          <w:p w14:paraId="4BC85013">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果冻</w:t>
            </w:r>
          </w:p>
        </w:tc>
        <w:tc>
          <w:tcPr>
            <w:tcW w:w="1896" w:type="dxa"/>
            <w:tcBorders>
              <w:tl2br w:val="nil"/>
              <w:tr2bl w:val="nil"/>
            </w:tcBorders>
            <w:vAlign w:val="center"/>
          </w:tcPr>
          <w:p w14:paraId="60426F81">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山梨酸及其钾盐（以山梨酸计）、苯甲酸及其钠盐（以苯甲酸计）、糖精钠（以糖精计）</w:t>
            </w:r>
          </w:p>
        </w:tc>
        <w:tc>
          <w:tcPr>
            <w:tcW w:w="2956" w:type="dxa"/>
            <w:tcBorders>
              <w:tl2br w:val="nil"/>
              <w:tr2bl w:val="nil"/>
            </w:tcBorders>
            <w:vAlign w:val="center"/>
          </w:tcPr>
          <w:p w14:paraId="1D222012">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铅（以</w:t>
            </w:r>
            <w:r>
              <w:rPr>
                <w:color w:val="auto"/>
                <w:kern w:val="0"/>
                <w:sz w:val="18"/>
                <w:szCs w:val="18"/>
                <w:highlight w:val="none"/>
              </w:rPr>
              <w:t>Pb</w:t>
            </w:r>
            <w:r>
              <w:rPr>
                <w:rFonts w:hint="eastAsia" w:ascii="宋体" w:hAnsi="宋体" w:cs="宋体"/>
                <w:color w:val="auto"/>
                <w:kern w:val="0"/>
                <w:sz w:val="18"/>
                <w:szCs w:val="18"/>
                <w:highlight w:val="none"/>
              </w:rPr>
              <w:t>计）、甜蜜素（以环己基氨基磺酸计）、菌落总数、大肠菌群、霉菌、酵母</w:t>
            </w:r>
          </w:p>
        </w:tc>
      </w:tr>
      <w:tr w14:paraId="7502854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16" w:hRule="atLeast"/>
        </w:trPr>
        <w:tc>
          <w:tcPr>
            <w:tcW w:w="953" w:type="dxa"/>
            <w:vMerge w:val="restart"/>
            <w:tcBorders>
              <w:tl2br w:val="nil"/>
              <w:tr2bl w:val="nil"/>
            </w:tcBorders>
            <w:vAlign w:val="center"/>
          </w:tcPr>
          <w:p w14:paraId="7CCF585B">
            <w:pPr>
              <w:widowControl/>
              <w:jc w:val="center"/>
              <w:rPr>
                <w:rFonts w:eastAsia="等线"/>
                <w:color w:val="auto"/>
                <w:kern w:val="0"/>
                <w:sz w:val="18"/>
                <w:szCs w:val="18"/>
                <w:highlight w:val="none"/>
              </w:rPr>
            </w:pPr>
            <w:r>
              <w:rPr>
                <w:rFonts w:eastAsia="等线"/>
                <w:color w:val="auto"/>
                <w:kern w:val="0"/>
                <w:sz w:val="18"/>
                <w:szCs w:val="18"/>
                <w:highlight w:val="none"/>
              </w:rPr>
              <w:t>14</w:t>
            </w:r>
          </w:p>
        </w:tc>
        <w:tc>
          <w:tcPr>
            <w:tcW w:w="796" w:type="dxa"/>
            <w:vMerge w:val="restart"/>
            <w:tcBorders>
              <w:tl2br w:val="nil"/>
              <w:tr2bl w:val="nil"/>
            </w:tcBorders>
            <w:vAlign w:val="center"/>
          </w:tcPr>
          <w:p w14:paraId="1A0DD5CB">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茶叶及相关制品</w:t>
            </w:r>
          </w:p>
        </w:tc>
        <w:tc>
          <w:tcPr>
            <w:tcW w:w="797" w:type="dxa"/>
            <w:tcBorders>
              <w:tl2br w:val="nil"/>
              <w:tr2bl w:val="nil"/>
            </w:tcBorders>
            <w:vAlign w:val="center"/>
          </w:tcPr>
          <w:p w14:paraId="00198E95">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茶叶</w:t>
            </w:r>
          </w:p>
        </w:tc>
        <w:tc>
          <w:tcPr>
            <w:tcW w:w="797" w:type="dxa"/>
            <w:tcBorders>
              <w:tl2br w:val="nil"/>
              <w:tr2bl w:val="nil"/>
            </w:tcBorders>
            <w:vAlign w:val="center"/>
          </w:tcPr>
          <w:p w14:paraId="4D5BCD86">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茶叶</w:t>
            </w:r>
          </w:p>
        </w:tc>
        <w:tc>
          <w:tcPr>
            <w:tcW w:w="953" w:type="dxa"/>
            <w:tcBorders>
              <w:tl2br w:val="nil"/>
              <w:tr2bl w:val="nil"/>
            </w:tcBorders>
            <w:vAlign w:val="center"/>
          </w:tcPr>
          <w:p w14:paraId="7E7FE052">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绿茶、红茶、乌龙茶、黄茶、白茶、黑茶、花茶、袋泡茶、紧压茶</w:t>
            </w:r>
          </w:p>
        </w:tc>
        <w:tc>
          <w:tcPr>
            <w:tcW w:w="1896" w:type="dxa"/>
            <w:tcBorders>
              <w:tl2br w:val="nil"/>
              <w:tr2bl w:val="nil"/>
            </w:tcBorders>
            <w:vAlign w:val="center"/>
          </w:tcPr>
          <w:p w14:paraId="285CF07D">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草甘膦、三氯杀螨醇、克百威</w:t>
            </w:r>
          </w:p>
        </w:tc>
        <w:tc>
          <w:tcPr>
            <w:tcW w:w="2956" w:type="dxa"/>
            <w:tcBorders>
              <w:tl2br w:val="nil"/>
              <w:tr2bl w:val="nil"/>
            </w:tcBorders>
            <w:vAlign w:val="center"/>
          </w:tcPr>
          <w:p w14:paraId="088550CF">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铅（以</w:t>
            </w:r>
            <w:r>
              <w:rPr>
                <w:color w:val="auto"/>
                <w:kern w:val="0"/>
                <w:sz w:val="18"/>
                <w:szCs w:val="18"/>
                <w:highlight w:val="none"/>
              </w:rPr>
              <w:t>Pb</w:t>
            </w:r>
            <w:r>
              <w:rPr>
                <w:rFonts w:hint="eastAsia" w:ascii="宋体" w:hAnsi="宋体" w:cs="宋体"/>
                <w:color w:val="auto"/>
                <w:kern w:val="0"/>
                <w:sz w:val="18"/>
                <w:szCs w:val="18"/>
                <w:highlight w:val="none"/>
              </w:rPr>
              <w:t>计）、吡虫啉、乙酰甲胺磷、联苯菊酯、灭多威、氰戊菊酯和</w:t>
            </w:r>
            <w:r>
              <w:rPr>
                <w:color w:val="auto"/>
                <w:kern w:val="0"/>
                <w:sz w:val="18"/>
                <w:szCs w:val="18"/>
                <w:highlight w:val="none"/>
              </w:rPr>
              <w:t>S-</w:t>
            </w:r>
            <w:r>
              <w:rPr>
                <w:rFonts w:hint="eastAsia" w:ascii="宋体" w:hAnsi="宋体" w:cs="宋体"/>
                <w:color w:val="auto"/>
                <w:kern w:val="0"/>
                <w:sz w:val="18"/>
                <w:szCs w:val="18"/>
                <w:highlight w:val="none"/>
              </w:rPr>
              <w:t>氰戊菊酯、甲拌磷、水胺硫磷、氧乐果、毒死蜱、啶虫脒、多菌灵、茚虫威、合成着色剂（柠檬黄、日落黄）</w:t>
            </w:r>
          </w:p>
        </w:tc>
      </w:tr>
      <w:tr w14:paraId="66B8CA9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44" w:hRule="atLeast"/>
        </w:trPr>
        <w:tc>
          <w:tcPr>
            <w:tcW w:w="953" w:type="dxa"/>
            <w:vMerge w:val="continue"/>
            <w:tcBorders>
              <w:tl2br w:val="nil"/>
              <w:tr2bl w:val="nil"/>
            </w:tcBorders>
            <w:vAlign w:val="center"/>
          </w:tcPr>
          <w:p w14:paraId="7E824F4D">
            <w:pPr>
              <w:widowControl/>
              <w:jc w:val="left"/>
              <w:rPr>
                <w:rFonts w:eastAsia="等线"/>
                <w:color w:val="auto"/>
                <w:kern w:val="0"/>
                <w:sz w:val="18"/>
                <w:szCs w:val="18"/>
                <w:highlight w:val="none"/>
              </w:rPr>
            </w:pPr>
          </w:p>
        </w:tc>
        <w:tc>
          <w:tcPr>
            <w:tcW w:w="796" w:type="dxa"/>
            <w:vMerge w:val="continue"/>
            <w:tcBorders>
              <w:tl2br w:val="nil"/>
              <w:tr2bl w:val="nil"/>
            </w:tcBorders>
            <w:vAlign w:val="center"/>
          </w:tcPr>
          <w:p w14:paraId="6C13EC9A">
            <w:pPr>
              <w:widowControl/>
              <w:jc w:val="left"/>
              <w:rPr>
                <w:rFonts w:ascii="宋体" w:hAnsi="宋体" w:cs="宋体"/>
                <w:color w:val="auto"/>
                <w:kern w:val="0"/>
                <w:sz w:val="18"/>
                <w:szCs w:val="18"/>
                <w:highlight w:val="none"/>
              </w:rPr>
            </w:pPr>
          </w:p>
        </w:tc>
        <w:tc>
          <w:tcPr>
            <w:tcW w:w="797" w:type="dxa"/>
            <w:vMerge w:val="restart"/>
            <w:tcBorders>
              <w:tl2br w:val="nil"/>
              <w:tr2bl w:val="nil"/>
            </w:tcBorders>
            <w:vAlign w:val="center"/>
          </w:tcPr>
          <w:p w14:paraId="5E7D4AC4">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含茶制品和代用茶</w:t>
            </w:r>
          </w:p>
        </w:tc>
        <w:tc>
          <w:tcPr>
            <w:tcW w:w="797" w:type="dxa"/>
            <w:tcBorders>
              <w:tl2br w:val="nil"/>
              <w:tr2bl w:val="nil"/>
            </w:tcBorders>
            <w:vAlign w:val="center"/>
          </w:tcPr>
          <w:p w14:paraId="6A5BD12F">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含茶制品</w:t>
            </w:r>
          </w:p>
        </w:tc>
        <w:tc>
          <w:tcPr>
            <w:tcW w:w="953" w:type="dxa"/>
            <w:tcBorders>
              <w:tl2br w:val="nil"/>
              <w:tr2bl w:val="nil"/>
            </w:tcBorders>
            <w:vAlign w:val="center"/>
          </w:tcPr>
          <w:p w14:paraId="343AD1F7">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速溶茶类、其它含茶制品</w:t>
            </w:r>
          </w:p>
        </w:tc>
        <w:tc>
          <w:tcPr>
            <w:tcW w:w="1896" w:type="dxa"/>
            <w:tcBorders>
              <w:tl2br w:val="nil"/>
              <w:tr2bl w:val="nil"/>
            </w:tcBorders>
            <w:vAlign w:val="center"/>
          </w:tcPr>
          <w:p w14:paraId="16A9515D">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铅（以</w:t>
            </w:r>
            <w:r>
              <w:rPr>
                <w:color w:val="auto"/>
                <w:kern w:val="0"/>
                <w:sz w:val="18"/>
                <w:szCs w:val="18"/>
                <w:highlight w:val="none"/>
              </w:rPr>
              <w:t>Pb</w:t>
            </w:r>
            <w:r>
              <w:rPr>
                <w:rFonts w:hint="eastAsia" w:ascii="宋体" w:hAnsi="宋体" w:cs="宋体"/>
                <w:color w:val="auto"/>
                <w:kern w:val="0"/>
                <w:sz w:val="18"/>
                <w:szCs w:val="18"/>
                <w:highlight w:val="none"/>
              </w:rPr>
              <w:t>计）</w:t>
            </w:r>
          </w:p>
        </w:tc>
        <w:tc>
          <w:tcPr>
            <w:tcW w:w="2956" w:type="dxa"/>
            <w:tcBorders>
              <w:tl2br w:val="nil"/>
              <w:tr2bl w:val="nil"/>
            </w:tcBorders>
            <w:vAlign w:val="center"/>
          </w:tcPr>
          <w:p w14:paraId="78FCCEC3">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大肠菌群、霉菌、霉菌及酵母、菌落总数</w:t>
            </w:r>
          </w:p>
        </w:tc>
      </w:tr>
      <w:tr w14:paraId="1292AB1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095" w:hRule="atLeast"/>
        </w:trPr>
        <w:tc>
          <w:tcPr>
            <w:tcW w:w="953" w:type="dxa"/>
            <w:vMerge w:val="continue"/>
            <w:tcBorders>
              <w:tl2br w:val="nil"/>
              <w:tr2bl w:val="nil"/>
            </w:tcBorders>
            <w:vAlign w:val="center"/>
          </w:tcPr>
          <w:p w14:paraId="2BB1D092">
            <w:pPr>
              <w:widowControl/>
              <w:jc w:val="left"/>
              <w:rPr>
                <w:rFonts w:eastAsia="等线"/>
                <w:color w:val="auto"/>
                <w:kern w:val="0"/>
                <w:sz w:val="18"/>
                <w:szCs w:val="18"/>
                <w:highlight w:val="none"/>
              </w:rPr>
            </w:pPr>
          </w:p>
        </w:tc>
        <w:tc>
          <w:tcPr>
            <w:tcW w:w="796" w:type="dxa"/>
            <w:vMerge w:val="continue"/>
            <w:tcBorders>
              <w:tl2br w:val="nil"/>
              <w:tr2bl w:val="nil"/>
            </w:tcBorders>
            <w:vAlign w:val="center"/>
          </w:tcPr>
          <w:p w14:paraId="3016C04A">
            <w:pPr>
              <w:widowControl/>
              <w:jc w:val="left"/>
              <w:rPr>
                <w:rFonts w:ascii="宋体" w:hAnsi="宋体" w:cs="宋体"/>
                <w:color w:val="auto"/>
                <w:kern w:val="0"/>
                <w:sz w:val="18"/>
                <w:szCs w:val="18"/>
                <w:highlight w:val="none"/>
              </w:rPr>
            </w:pPr>
          </w:p>
        </w:tc>
        <w:tc>
          <w:tcPr>
            <w:tcW w:w="797" w:type="dxa"/>
            <w:vMerge w:val="continue"/>
            <w:tcBorders>
              <w:tl2br w:val="nil"/>
              <w:tr2bl w:val="nil"/>
            </w:tcBorders>
            <w:vAlign w:val="center"/>
          </w:tcPr>
          <w:p w14:paraId="47B94D5B">
            <w:pPr>
              <w:widowControl/>
              <w:jc w:val="left"/>
              <w:rPr>
                <w:rFonts w:ascii="宋体" w:hAnsi="宋体" w:cs="宋体"/>
                <w:color w:val="auto"/>
                <w:kern w:val="0"/>
                <w:sz w:val="18"/>
                <w:szCs w:val="18"/>
                <w:highlight w:val="none"/>
              </w:rPr>
            </w:pPr>
          </w:p>
        </w:tc>
        <w:tc>
          <w:tcPr>
            <w:tcW w:w="797" w:type="dxa"/>
            <w:tcBorders>
              <w:tl2br w:val="nil"/>
              <w:tr2bl w:val="nil"/>
            </w:tcBorders>
            <w:vAlign w:val="center"/>
          </w:tcPr>
          <w:p w14:paraId="7F5CF299">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代用茶</w:t>
            </w:r>
          </w:p>
        </w:tc>
        <w:tc>
          <w:tcPr>
            <w:tcW w:w="953" w:type="dxa"/>
            <w:tcBorders>
              <w:tl2br w:val="nil"/>
              <w:tr2bl w:val="nil"/>
            </w:tcBorders>
            <w:vAlign w:val="center"/>
          </w:tcPr>
          <w:p w14:paraId="0C3C9771">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代用茶</w:t>
            </w:r>
          </w:p>
        </w:tc>
        <w:tc>
          <w:tcPr>
            <w:tcW w:w="1896" w:type="dxa"/>
            <w:tcBorders>
              <w:tl2br w:val="nil"/>
              <w:tr2bl w:val="nil"/>
            </w:tcBorders>
            <w:vAlign w:val="center"/>
          </w:tcPr>
          <w:p w14:paraId="448DE88F">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二氧化硫残留量、吡虫啉</w:t>
            </w:r>
          </w:p>
        </w:tc>
        <w:tc>
          <w:tcPr>
            <w:tcW w:w="2956" w:type="dxa"/>
            <w:tcBorders>
              <w:tl2br w:val="nil"/>
              <w:tr2bl w:val="nil"/>
            </w:tcBorders>
            <w:vAlign w:val="center"/>
          </w:tcPr>
          <w:p w14:paraId="4440C3BE">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铅（以</w:t>
            </w:r>
            <w:r>
              <w:rPr>
                <w:color w:val="auto"/>
                <w:kern w:val="0"/>
                <w:sz w:val="18"/>
                <w:szCs w:val="18"/>
                <w:highlight w:val="none"/>
              </w:rPr>
              <w:t>Pb</w:t>
            </w:r>
            <w:r>
              <w:rPr>
                <w:rFonts w:hint="eastAsia" w:ascii="宋体" w:hAnsi="宋体" w:cs="宋体"/>
                <w:color w:val="auto"/>
                <w:kern w:val="0"/>
                <w:sz w:val="18"/>
                <w:szCs w:val="18"/>
                <w:highlight w:val="none"/>
              </w:rPr>
              <w:t>计）、啶虫脒、克百威、毒死蜱、氯氟氰菊酯和高效氯氟氰菊酯、霉菌</w:t>
            </w:r>
          </w:p>
        </w:tc>
      </w:tr>
      <w:tr w14:paraId="1CFBA67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244" w:hRule="atLeast"/>
        </w:trPr>
        <w:tc>
          <w:tcPr>
            <w:tcW w:w="953" w:type="dxa"/>
            <w:vMerge w:val="restart"/>
            <w:tcBorders>
              <w:tl2br w:val="nil"/>
              <w:tr2bl w:val="nil"/>
            </w:tcBorders>
            <w:vAlign w:val="center"/>
          </w:tcPr>
          <w:p w14:paraId="3BF84B99">
            <w:pPr>
              <w:widowControl/>
              <w:jc w:val="center"/>
              <w:rPr>
                <w:rFonts w:eastAsia="等线"/>
                <w:color w:val="auto"/>
                <w:kern w:val="0"/>
                <w:sz w:val="18"/>
                <w:szCs w:val="18"/>
                <w:highlight w:val="none"/>
              </w:rPr>
            </w:pPr>
            <w:r>
              <w:rPr>
                <w:rFonts w:eastAsia="等线"/>
                <w:color w:val="auto"/>
                <w:kern w:val="0"/>
                <w:sz w:val="18"/>
                <w:szCs w:val="18"/>
                <w:highlight w:val="none"/>
              </w:rPr>
              <w:t>15</w:t>
            </w:r>
          </w:p>
        </w:tc>
        <w:tc>
          <w:tcPr>
            <w:tcW w:w="796" w:type="dxa"/>
            <w:vMerge w:val="restart"/>
            <w:tcBorders>
              <w:tl2br w:val="nil"/>
              <w:tr2bl w:val="nil"/>
            </w:tcBorders>
            <w:vAlign w:val="center"/>
          </w:tcPr>
          <w:p w14:paraId="304E6AB1">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酒类</w:t>
            </w:r>
          </w:p>
        </w:tc>
        <w:tc>
          <w:tcPr>
            <w:tcW w:w="797" w:type="dxa"/>
            <w:tcBorders>
              <w:tl2br w:val="nil"/>
              <w:tr2bl w:val="nil"/>
            </w:tcBorders>
            <w:vAlign w:val="center"/>
          </w:tcPr>
          <w:p w14:paraId="32320736">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蒸馏酒</w:t>
            </w:r>
          </w:p>
        </w:tc>
        <w:tc>
          <w:tcPr>
            <w:tcW w:w="797" w:type="dxa"/>
            <w:tcBorders>
              <w:tl2br w:val="nil"/>
              <w:tr2bl w:val="nil"/>
            </w:tcBorders>
            <w:vAlign w:val="center"/>
          </w:tcPr>
          <w:p w14:paraId="5264EB5F">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白酒</w:t>
            </w:r>
          </w:p>
        </w:tc>
        <w:tc>
          <w:tcPr>
            <w:tcW w:w="953" w:type="dxa"/>
            <w:tcBorders>
              <w:tl2br w:val="nil"/>
              <w:tr2bl w:val="nil"/>
            </w:tcBorders>
            <w:vAlign w:val="center"/>
          </w:tcPr>
          <w:p w14:paraId="357127EE">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白酒、白酒（液态）、白酒（原酒）</w:t>
            </w:r>
          </w:p>
        </w:tc>
        <w:tc>
          <w:tcPr>
            <w:tcW w:w="1896" w:type="dxa"/>
            <w:tcBorders>
              <w:tl2br w:val="nil"/>
              <w:tr2bl w:val="nil"/>
            </w:tcBorders>
            <w:vAlign w:val="center"/>
          </w:tcPr>
          <w:p w14:paraId="4AB8106E">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甜蜜素（以环己基氨基磺酸计）、酒精度</w:t>
            </w:r>
          </w:p>
        </w:tc>
        <w:tc>
          <w:tcPr>
            <w:tcW w:w="2956" w:type="dxa"/>
            <w:tcBorders>
              <w:tl2br w:val="nil"/>
              <w:tr2bl w:val="nil"/>
            </w:tcBorders>
            <w:vAlign w:val="center"/>
          </w:tcPr>
          <w:p w14:paraId="583E3F3F">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铅（以</w:t>
            </w:r>
            <w:r>
              <w:rPr>
                <w:color w:val="auto"/>
                <w:kern w:val="0"/>
                <w:sz w:val="18"/>
                <w:szCs w:val="18"/>
                <w:highlight w:val="none"/>
              </w:rPr>
              <w:t>Pb</w:t>
            </w:r>
            <w:r>
              <w:rPr>
                <w:rFonts w:hint="eastAsia" w:ascii="宋体" w:hAnsi="宋体" w:cs="宋体"/>
                <w:color w:val="auto"/>
                <w:kern w:val="0"/>
                <w:sz w:val="18"/>
                <w:szCs w:val="18"/>
                <w:highlight w:val="none"/>
              </w:rPr>
              <w:t>计）、甲醇、氰化物（以</w:t>
            </w:r>
            <w:r>
              <w:rPr>
                <w:color w:val="auto"/>
                <w:kern w:val="0"/>
                <w:sz w:val="18"/>
                <w:szCs w:val="18"/>
                <w:highlight w:val="none"/>
              </w:rPr>
              <w:t>HCN</w:t>
            </w:r>
            <w:r>
              <w:rPr>
                <w:rFonts w:hint="eastAsia" w:ascii="宋体" w:hAnsi="宋体" w:cs="宋体"/>
                <w:color w:val="auto"/>
                <w:kern w:val="0"/>
                <w:sz w:val="18"/>
                <w:szCs w:val="18"/>
                <w:highlight w:val="none"/>
              </w:rPr>
              <w:t>计）、糖精钠（以糖精计）、三氯蔗糖、安赛蜜</w:t>
            </w:r>
          </w:p>
        </w:tc>
      </w:tr>
      <w:tr w14:paraId="2C8B3C5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080" w:hRule="atLeast"/>
        </w:trPr>
        <w:tc>
          <w:tcPr>
            <w:tcW w:w="953" w:type="dxa"/>
            <w:vMerge w:val="continue"/>
            <w:tcBorders>
              <w:tl2br w:val="nil"/>
              <w:tr2bl w:val="nil"/>
            </w:tcBorders>
            <w:vAlign w:val="center"/>
          </w:tcPr>
          <w:p w14:paraId="7D262835">
            <w:pPr>
              <w:widowControl/>
              <w:jc w:val="left"/>
              <w:rPr>
                <w:rFonts w:eastAsia="等线"/>
                <w:color w:val="auto"/>
                <w:kern w:val="0"/>
                <w:sz w:val="18"/>
                <w:szCs w:val="18"/>
                <w:highlight w:val="none"/>
              </w:rPr>
            </w:pPr>
          </w:p>
        </w:tc>
        <w:tc>
          <w:tcPr>
            <w:tcW w:w="796" w:type="dxa"/>
            <w:vMerge w:val="continue"/>
            <w:tcBorders>
              <w:tl2br w:val="nil"/>
              <w:tr2bl w:val="nil"/>
            </w:tcBorders>
            <w:vAlign w:val="center"/>
          </w:tcPr>
          <w:p w14:paraId="1FF23B6B">
            <w:pPr>
              <w:widowControl/>
              <w:jc w:val="left"/>
              <w:rPr>
                <w:rFonts w:ascii="宋体" w:hAnsi="宋体" w:cs="宋体"/>
                <w:color w:val="auto"/>
                <w:kern w:val="0"/>
                <w:sz w:val="18"/>
                <w:szCs w:val="18"/>
                <w:highlight w:val="none"/>
              </w:rPr>
            </w:pPr>
          </w:p>
        </w:tc>
        <w:tc>
          <w:tcPr>
            <w:tcW w:w="797" w:type="dxa"/>
            <w:vMerge w:val="restart"/>
            <w:tcBorders>
              <w:tl2br w:val="nil"/>
              <w:tr2bl w:val="nil"/>
            </w:tcBorders>
            <w:vAlign w:val="center"/>
          </w:tcPr>
          <w:p w14:paraId="05A61E57">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发酵酒</w:t>
            </w:r>
          </w:p>
        </w:tc>
        <w:tc>
          <w:tcPr>
            <w:tcW w:w="797" w:type="dxa"/>
            <w:tcBorders>
              <w:tl2br w:val="nil"/>
              <w:tr2bl w:val="nil"/>
            </w:tcBorders>
            <w:vAlign w:val="center"/>
          </w:tcPr>
          <w:p w14:paraId="392BA64C">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黄酒</w:t>
            </w:r>
          </w:p>
        </w:tc>
        <w:tc>
          <w:tcPr>
            <w:tcW w:w="953" w:type="dxa"/>
            <w:tcBorders>
              <w:tl2br w:val="nil"/>
              <w:tr2bl w:val="nil"/>
            </w:tcBorders>
            <w:vAlign w:val="center"/>
          </w:tcPr>
          <w:p w14:paraId="1C9DDDAF">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黄酒</w:t>
            </w:r>
          </w:p>
        </w:tc>
        <w:tc>
          <w:tcPr>
            <w:tcW w:w="1896" w:type="dxa"/>
            <w:tcBorders>
              <w:tl2br w:val="nil"/>
              <w:tr2bl w:val="nil"/>
            </w:tcBorders>
            <w:vAlign w:val="center"/>
          </w:tcPr>
          <w:p w14:paraId="1B7CF5C1">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苯甲酸及其钠盐（以苯甲酸计）、山梨酸及其钾盐（以山梨酸计）、糖精钠（以糖精计））</w:t>
            </w:r>
          </w:p>
        </w:tc>
        <w:tc>
          <w:tcPr>
            <w:tcW w:w="2956" w:type="dxa"/>
            <w:tcBorders>
              <w:tl2br w:val="nil"/>
              <w:tr2bl w:val="nil"/>
            </w:tcBorders>
            <w:vAlign w:val="center"/>
          </w:tcPr>
          <w:p w14:paraId="78684BDA">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酒精度、氨基酸态氮、甜蜜素（以环己基氨基磺酸计）</w:t>
            </w:r>
          </w:p>
        </w:tc>
      </w:tr>
      <w:tr w14:paraId="48F7AC3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554" w:hRule="atLeast"/>
        </w:trPr>
        <w:tc>
          <w:tcPr>
            <w:tcW w:w="953" w:type="dxa"/>
            <w:vMerge w:val="continue"/>
            <w:tcBorders>
              <w:tl2br w:val="nil"/>
              <w:tr2bl w:val="nil"/>
            </w:tcBorders>
            <w:vAlign w:val="center"/>
          </w:tcPr>
          <w:p w14:paraId="5F069AD2">
            <w:pPr>
              <w:widowControl/>
              <w:jc w:val="left"/>
              <w:rPr>
                <w:rFonts w:eastAsia="等线"/>
                <w:color w:val="auto"/>
                <w:kern w:val="0"/>
                <w:sz w:val="18"/>
                <w:szCs w:val="18"/>
                <w:highlight w:val="none"/>
              </w:rPr>
            </w:pPr>
          </w:p>
        </w:tc>
        <w:tc>
          <w:tcPr>
            <w:tcW w:w="796" w:type="dxa"/>
            <w:vMerge w:val="continue"/>
            <w:tcBorders>
              <w:tl2br w:val="nil"/>
              <w:tr2bl w:val="nil"/>
            </w:tcBorders>
            <w:vAlign w:val="center"/>
          </w:tcPr>
          <w:p w14:paraId="5D1546A1">
            <w:pPr>
              <w:widowControl/>
              <w:jc w:val="left"/>
              <w:rPr>
                <w:rFonts w:ascii="宋体" w:hAnsi="宋体" w:cs="宋体"/>
                <w:color w:val="auto"/>
                <w:kern w:val="0"/>
                <w:sz w:val="18"/>
                <w:szCs w:val="18"/>
                <w:highlight w:val="none"/>
              </w:rPr>
            </w:pPr>
          </w:p>
        </w:tc>
        <w:tc>
          <w:tcPr>
            <w:tcW w:w="797" w:type="dxa"/>
            <w:vMerge w:val="continue"/>
            <w:tcBorders>
              <w:tl2br w:val="nil"/>
              <w:tr2bl w:val="nil"/>
            </w:tcBorders>
            <w:vAlign w:val="center"/>
          </w:tcPr>
          <w:p w14:paraId="600B92CD">
            <w:pPr>
              <w:widowControl/>
              <w:jc w:val="left"/>
              <w:rPr>
                <w:rFonts w:ascii="宋体" w:hAnsi="宋体" w:cs="宋体"/>
                <w:color w:val="auto"/>
                <w:kern w:val="0"/>
                <w:sz w:val="18"/>
                <w:szCs w:val="18"/>
                <w:highlight w:val="none"/>
              </w:rPr>
            </w:pPr>
          </w:p>
        </w:tc>
        <w:tc>
          <w:tcPr>
            <w:tcW w:w="797" w:type="dxa"/>
            <w:tcBorders>
              <w:tl2br w:val="nil"/>
              <w:tr2bl w:val="nil"/>
            </w:tcBorders>
            <w:vAlign w:val="center"/>
          </w:tcPr>
          <w:p w14:paraId="43C92B35">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葡萄酒</w:t>
            </w:r>
          </w:p>
        </w:tc>
        <w:tc>
          <w:tcPr>
            <w:tcW w:w="953" w:type="dxa"/>
            <w:tcBorders>
              <w:tl2br w:val="nil"/>
              <w:tr2bl w:val="nil"/>
            </w:tcBorders>
            <w:vAlign w:val="center"/>
          </w:tcPr>
          <w:p w14:paraId="4F858CAA">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葡萄酒</w:t>
            </w:r>
          </w:p>
        </w:tc>
        <w:tc>
          <w:tcPr>
            <w:tcW w:w="1896" w:type="dxa"/>
            <w:tcBorders>
              <w:tl2br w:val="nil"/>
              <w:tr2bl w:val="nil"/>
            </w:tcBorders>
            <w:vAlign w:val="center"/>
          </w:tcPr>
          <w:p w14:paraId="4E165453">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苯甲酸及其钠盐（以苯甲酸计）、二氧化硫残留量</w:t>
            </w:r>
          </w:p>
        </w:tc>
        <w:tc>
          <w:tcPr>
            <w:tcW w:w="2956" w:type="dxa"/>
            <w:tcBorders>
              <w:tl2br w:val="nil"/>
              <w:tr2bl w:val="nil"/>
            </w:tcBorders>
            <w:vAlign w:val="center"/>
          </w:tcPr>
          <w:p w14:paraId="14EF6EAC">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酒精度、甲醇、山梨酸及其钾盐（以山梨酸计）、糖精钠（以糖精计）、甜蜜素（以环己基氨基磺酸计）、三氯蔗糖、合成着色剂（柠檬黄、日落黄、新红、胭脂红、赤藓红、苋菜红、诱惑红、酸性红、亮蓝）</w:t>
            </w:r>
          </w:p>
        </w:tc>
      </w:tr>
      <w:tr w14:paraId="7F6A875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946" w:hRule="atLeast"/>
        </w:trPr>
        <w:tc>
          <w:tcPr>
            <w:tcW w:w="953" w:type="dxa"/>
            <w:vMerge w:val="continue"/>
            <w:tcBorders>
              <w:tl2br w:val="nil"/>
              <w:tr2bl w:val="nil"/>
            </w:tcBorders>
            <w:vAlign w:val="center"/>
          </w:tcPr>
          <w:p w14:paraId="7EB77D3B">
            <w:pPr>
              <w:widowControl/>
              <w:jc w:val="left"/>
              <w:rPr>
                <w:rFonts w:eastAsia="等线"/>
                <w:color w:val="auto"/>
                <w:kern w:val="0"/>
                <w:sz w:val="18"/>
                <w:szCs w:val="18"/>
                <w:highlight w:val="none"/>
              </w:rPr>
            </w:pPr>
          </w:p>
        </w:tc>
        <w:tc>
          <w:tcPr>
            <w:tcW w:w="796" w:type="dxa"/>
            <w:vMerge w:val="continue"/>
            <w:tcBorders>
              <w:tl2br w:val="nil"/>
              <w:tr2bl w:val="nil"/>
            </w:tcBorders>
            <w:vAlign w:val="center"/>
          </w:tcPr>
          <w:p w14:paraId="736C0309">
            <w:pPr>
              <w:widowControl/>
              <w:jc w:val="left"/>
              <w:rPr>
                <w:rFonts w:ascii="宋体" w:hAnsi="宋体" w:cs="宋体"/>
                <w:color w:val="auto"/>
                <w:kern w:val="0"/>
                <w:sz w:val="18"/>
                <w:szCs w:val="18"/>
                <w:highlight w:val="none"/>
              </w:rPr>
            </w:pPr>
          </w:p>
        </w:tc>
        <w:tc>
          <w:tcPr>
            <w:tcW w:w="797" w:type="dxa"/>
            <w:vMerge w:val="continue"/>
            <w:tcBorders>
              <w:tl2br w:val="nil"/>
              <w:tr2bl w:val="nil"/>
            </w:tcBorders>
            <w:vAlign w:val="center"/>
          </w:tcPr>
          <w:p w14:paraId="3C615E39">
            <w:pPr>
              <w:widowControl/>
              <w:jc w:val="left"/>
              <w:rPr>
                <w:rFonts w:ascii="宋体" w:hAnsi="宋体" w:cs="宋体"/>
                <w:color w:val="auto"/>
                <w:kern w:val="0"/>
                <w:sz w:val="18"/>
                <w:szCs w:val="18"/>
                <w:highlight w:val="none"/>
              </w:rPr>
            </w:pPr>
          </w:p>
        </w:tc>
        <w:tc>
          <w:tcPr>
            <w:tcW w:w="797" w:type="dxa"/>
            <w:tcBorders>
              <w:tl2br w:val="nil"/>
              <w:tr2bl w:val="nil"/>
            </w:tcBorders>
            <w:vAlign w:val="center"/>
          </w:tcPr>
          <w:p w14:paraId="515FF7D6">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果酒</w:t>
            </w:r>
          </w:p>
        </w:tc>
        <w:tc>
          <w:tcPr>
            <w:tcW w:w="953" w:type="dxa"/>
            <w:tcBorders>
              <w:tl2br w:val="nil"/>
              <w:tr2bl w:val="nil"/>
            </w:tcBorders>
            <w:vAlign w:val="center"/>
          </w:tcPr>
          <w:p w14:paraId="3D6443C9">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果酒</w:t>
            </w:r>
          </w:p>
        </w:tc>
        <w:tc>
          <w:tcPr>
            <w:tcW w:w="1896" w:type="dxa"/>
            <w:tcBorders>
              <w:tl2br w:val="nil"/>
              <w:tr2bl w:val="nil"/>
            </w:tcBorders>
            <w:vAlign w:val="center"/>
          </w:tcPr>
          <w:p w14:paraId="524BC075">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酒精度、糖精钠（以糖精计）</w:t>
            </w:r>
          </w:p>
        </w:tc>
        <w:tc>
          <w:tcPr>
            <w:tcW w:w="2956" w:type="dxa"/>
            <w:tcBorders>
              <w:tl2br w:val="nil"/>
              <w:tr2bl w:val="nil"/>
            </w:tcBorders>
            <w:vAlign w:val="center"/>
          </w:tcPr>
          <w:p w14:paraId="3D86598D">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展青霉素、甜蜜素（以环己基氨基磺酸计）、安赛蜜、二氧化硫残留量、酸性红</w:t>
            </w:r>
          </w:p>
        </w:tc>
      </w:tr>
      <w:tr w14:paraId="0B74032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961" w:hRule="atLeast"/>
        </w:trPr>
        <w:tc>
          <w:tcPr>
            <w:tcW w:w="953" w:type="dxa"/>
            <w:vMerge w:val="continue"/>
            <w:tcBorders>
              <w:tl2br w:val="nil"/>
              <w:tr2bl w:val="nil"/>
            </w:tcBorders>
            <w:vAlign w:val="center"/>
          </w:tcPr>
          <w:p w14:paraId="0B24A374">
            <w:pPr>
              <w:widowControl/>
              <w:jc w:val="left"/>
              <w:rPr>
                <w:rFonts w:eastAsia="等线"/>
                <w:color w:val="auto"/>
                <w:kern w:val="0"/>
                <w:sz w:val="18"/>
                <w:szCs w:val="18"/>
                <w:highlight w:val="none"/>
              </w:rPr>
            </w:pPr>
          </w:p>
        </w:tc>
        <w:tc>
          <w:tcPr>
            <w:tcW w:w="796" w:type="dxa"/>
            <w:vMerge w:val="continue"/>
            <w:tcBorders>
              <w:tl2br w:val="nil"/>
              <w:tr2bl w:val="nil"/>
            </w:tcBorders>
            <w:vAlign w:val="center"/>
          </w:tcPr>
          <w:p w14:paraId="36EAA3FA">
            <w:pPr>
              <w:widowControl/>
              <w:jc w:val="left"/>
              <w:rPr>
                <w:rFonts w:ascii="宋体" w:hAnsi="宋体" w:cs="宋体"/>
                <w:color w:val="auto"/>
                <w:kern w:val="0"/>
                <w:sz w:val="18"/>
                <w:szCs w:val="18"/>
                <w:highlight w:val="none"/>
              </w:rPr>
            </w:pPr>
          </w:p>
        </w:tc>
        <w:tc>
          <w:tcPr>
            <w:tcW w:w="797" w:type="dxa"/>
            <w:vMerge w:val="restart"/>
            <w:tcBorders>
              <w:tl2br w:val="nil"/>
              <w:tr2bl w:val="nil"/>
            </w:tcBorders>
            <w:vAlign w:val="center"/>
          </w:tcPr>
          <w:p w14:paraId="626E4976">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其他酒</w:t>
            </w:r>
          </w:p>
        </w:tc>
        <w:tc>
          <w:tcPr>
            <w:tcW w:w="797" w:type="dxa"/>
            <w:tcBorders>
              <w:tl2br w:val="nil"/>
              <w:tr2bl w:val="nil"/>
            </w:tcBorders>
            <w:vAlign w:val="center"/>
          </w:tcPr>
          <w:p w14:paraId="5F005306">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配制酒</w:t>
            </w:r>
          </w:p>
        </w:tc>
        <w:tc>
          <w:tcPr>
            <w:tcW w:w="953" w:type="dxa"/>
            <w:tcBorders>
              <w:tl2br w:val="nil"/>
              <w:tr2bl w:val="nil"/>
            </w:tcBorders>
            <w:vAlign w:val="center"/>
          </w:tcPr>
          <w:p w14:paraId="1F043E0B">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以蒸馏酒及食用酒精为酒基的配制酒</w:t>
            </w:r>
          </w:p>
        </w:tc>
        <w:tc>
          <w:tcPr>
            <w:tcW w:w="1896" w:type="dxa"/>
            <w:tcBorders>
              <w:tl2br w:val="nil"/>
              <w:tr2bl w:val="nil"/>
            </w:tcBorders>
            <w:vAlign w:val="center"/>
          </w:tcPr>
          <w:p w14:paraId="6A6539F0">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酒精度、甲醇</w:t>
            </w:r>
          </w:p>
        </w:tc>
        <w:tc>
          <w:tcPr>
            <w:tcW w:w="2956" w:type="dxa"/>
            <w:tcBorders>
              <w:tl2br w:val="nil"/>
              <w:tr2bl w:val="nil"/>
            </w:tcBorders>
            <w:vAlign w:val="center"/>
          </w:tcPr>
          <w:p w14:paraId="1F51D145">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氰化物（以</w:t>
            </w:r>
            <w:r>
              <w:rPr>
                <w:color w:val="auto"/>
                <w:kern w:val="0"/>
                <w:sz w:val="18"/>
                <w:szCs w:val="18"/>
                <w:highlight w:val="none"/>
              </w:rPr>
              <w:t>HCN</w:t>
            </w:r>
            <w:r>
              <w:rPr>
                <w:rFonts w:hint="eastAsia" w:ascii="宋体" w:hAnsi="宋体" w:cs="宋体"/>
                <w:color w:val="auto"/>
                <w:kern w:val="0"/>
                <w:sz w:val="18"/>
                <w:szCs w:val="18"/>
                <w:highlight w:val="none"/>
              </w:rPr>
              <w:t>计）、甜蜜素（以环己基氨基磺酸计）、安赛蜜</w:t>
            </w:r>
          </w:p>
        </w:tc>
      </w:tr>
      <w:tr w14:paraId="57230A4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842" w:hRule="atLeast"/>
        </w:trPr>
        <w:tc>
          <w:tcPr>
            <w:tcW w:w="953" w:type="dxa"/>
            <w:vMerge w:val="continue"/>
            <w:tcBorders>
              <w:tl2br w:val="nil"/>
              <w:tr2bl w:val="nil"/>
            </w:tcBorders>
            <w:vAlign w:val="center"/>
          </w:tcPr>
          <w:p w14:paraId="34B5CB0F">
            <w:pPr>
              <w:widowControl/>
              <w:jc w:val="left"/>
              <w:rPr>
                <w:rFonts w:eastAsia="等线"/>
                <w:color w:val="auto"/>
                <w:kern w:val="0"/>
                <w:sz w:val="18"/>
                <w:szCs w:val="18"/>
                <w:highlight w:val="none"/>
              </w:rPr>
            </w:pPr>
          </w:p>
        </w:tc>
        <w:tc>
          <w:tcPr>
            <w:tcW w:w="796" w:type="dxa"/>
            <w:vMerge w:val="continue"/>
            <w:tcBorders>
              <w:tl2br w:val="nil"/>
              <w:tr2bl w:val="nil"/>
            </w:tcBorders>
            <w:vAlign w:val="center"/>
          </w:tcPr>
          <w:p w14:paraId="4619B47F">
            <w:pPr>
              <w:widowControl/>
              <w:jc w:val="left"/>
              <w:rPr>
                <w:rFonts w:ascii="宋体" w:hAnsi="宋体" w:cs="宋体"/>
                <w:color w:val="auto"/>
                <w:kern w:val="0"/>
                <w:sz w:val="18"/>
                <w:szCs w:val="18"/>
                <w:highlight w:val="none"/>
              </w:rPr>
            </w:pPr>
          </w:p>
        </w:tc>
        <w:tc>
          <w:tcPr>
            <w:tcW w:w="797" w:type="dxa"/>
            <w:vMerge w:val="continue"/>
            <w:tcBorders>
              <w:tl2br w:val="nil"/>
              <w:tr2bl w:val="nil"/>
            </w:tcBorders>
            <w:vAlign w:val="center"/>
          </w:tcPr>
          <w:p w14:paraId="2EF8A9AC">
            <w:pPr>
              <w:widowControl/>
              <w:jc w:val="left"/>
              <w:rPr>
                <w:rFonts w:ascii="宋体" w:hAnsi="宋体" w:cs="宋体"/>
                <w:color w:val="auto"/>
                <w:kern w:val="0"/>
                <w:sz w:val="18"/>
                <w:szCs w:val="18"/>
                <w:highlight w:val="none"/>
              </w:rPr>
            </w:pPr>
          </w:p>
        </w:tc>
        <w:tc>
          <w:tcPr>
            <w:tcW w:w="797" w:type="dxa"/>
            <w:tcBorders>
              <w:tl2br w:val="nil"/>
              <w:tr2bl w:val="nil"/>
            </w:tcBorders>
            <w:vAlign w:val="center"/>
          </w:tcPr>
          <w:p w14:paraId="2172563A">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其他蒸馏酒</w:t>
            </w:r>
          </w:p>
        </w:tc>
        <w:tc>
          <w:tcPr>
            <w:tcW w:w="953" w:type="dxa"/>
            <w:tcBorders>
              <w:tl2br w:val="nil"/>
              <w:tr2bl w:val="nil"/>
            </w:tcBorders>
            <w:vAlign w:val="center"/>
          </w:tcPr>
          <w:p w14:paraId="02261787">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其他蒸馏酒</w:t>
            </w:r>
          </w:p>
        </w:tc>
        <w:tc>
          <w:tcPr>
            <w:tcW w:w="1896" w:type="dxa"/>
            <w:tcBorders>
              <w:tl2br w:val="nil"/>
              <w:tr2bl w:val="nil"/>
            </w:tcBorders>
            <w:vAlign w:val="center"/>
          </w:tcPr>
          <w:p w14:paraId="31CB573E">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甲醇</w:t>
            </w:r>
          </w:p>
        </w:tc>
        <w:tc>
          <w:tcPr>
            <w:tcW w:w="2956" w:type="dxa"/>
            <w:tcBorders>
              <w:tl2br w:val="nil"/>
              <w:tr2bl w:val="nil"/>
            </w:tcBorders>
            <w:vAlign w:val="center"/>
          </w:tcPr>
          <w:p w14:paraId="30981637">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酒精度、铅（以</w:t>
            </w:r>
            <w:r>
              <w:rPr>
                <w:color w:val="auto"/>
                <w:kern w:val="0"/>
                <w:sz w:val="18"/>
                <w:szCs w:val="18"/>
                <w:highlight w:val="none"/>
              </w:rPr>
              <w:t>Pb</w:t>
            </w:r>
            <w:r>
              <w:rPr>
                <w:rFonts w:hint="eastAsia" w:ascii="宋体" w:hAnsi="宋体" w:cs="宋体"/>
                <w:color w:val="auto"/>
                <w:kern w:val="0"/>
                <w:sz w:val="18"/>
                <w:szCs w:val="18"/>
                <w:highlight w:val="none"/>
              </w:rPr>
              <w:t>计）、氰化物（以</w:t>
            </w:r>
            <w:r>
              <w:rPr>
                <w:color w:val="auto"/>
                <w:kern w:val="0"/>
                <w:sz w:val="18"/>
                <w:szCs w:val="18"/>
                <w:highlight w:val="none"/>
              </w:rPr>
              <w:t>HCN</w:t>
            </w:r>
            <w:r>
              <w:rPr>
                <w:rFonts w:hint="eastAsia" w:ascii="宋体" w:hAnsi="宋体" w:cs="宋体"/>
                <w:color w:val="auto"/>
                <w:kern w:val="0"/>
                <w:sz w:val="18"/>
                <w:szCs w:val="18"/>
                <w:highlight w:val="none"/>
              </w:rPr>
              <w:t>计）、三氯蔗糖</w:t>
            </w:r>
          </w:p>
        </w:tc>
      </w:tr>
      <w:tr w14:paraId="6483036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214" w:hRule="atLeast"/>
        </w:trPr>
        <w:tc>
          <w:tcPr>
            <w:tcW w:w="953" w:type="dxa"/>
            <w:vMerge w:val="continue"/>
            <w:tcBorders>
              <w:tl2br w:val="nil"/>
              <w:tr2bl w:val="nil"/>
            </w:tcBorders>
            <w:vAlign w:val="center"/>
          </w:tcPr>
          <w:p w14:paraId="6F41CEA0">
            <w:pPr>
              <w:widowControl/>
              <w:jc w:val="left"/>
              <w:rPr>
                <w:rFonts w:eastAsia="等线"/>
                <w:color w:val="auto"/>
                <w:kern w:val="0"/>
                <w:sz w:val="18"/>
                <w:szCs w:val="18"/>
                <w:highlight w:val="none"/>
              </w:rPr>
            </w:pPr>
          </w:p>
        </w:tc>
        <w:tc>
          <w:tcPr>
            <w:tcW w:w="796" w:type="dxa"/>
            <w:vMerge w:val="continue"/>
            <w:tcBorders>
              <w:tl2br w:val="nil"/>
              <w:tr2bl w:val="nil"/>
            </w:tcBorders>
            <w:vAlign w:val="center"/>
          </w:tcPr>
          <w:p w14:paraId="7184BD33">
            <w:pPr>
              <w:widowControl/>
              <w:jc w:val="left"/>
              <w:rPr>
                <w:rFonts w:ascii="宋体" w:hAnsi="宋体" w:cs="宋体"/>
                <w:color w:val="auto"/>
                <w:kern w:val="0"/>
                <w:sz w:val="18"/>
                <w:szCs w:val="18"/>
                <w:highlight w:val="none"/>
              </w:rPr>
            </w:pPr>
          </w:p>
        </w:tc>
        <w:tc>
          <w:tcPr>
            <w:tcW w:w="797" w:type="dxa"/>
            <w:vMerge w:val="continue"/>
            <w:tcBorders>
              <w:tl2br w:val="nil"/>
              <w:tr2bl w:val="nil"/>
            </w:tcBorders>
            <w:vAlign w:val="center"/>
          </w:tcPr>
          <w:p w14:paraId="0A0B35A8">
            <w:pPr>
              <w:widowControl/>
              <w:jc w:val="left"/>
              <w:rPr>
                <w:rFonts w:ascii="宋体" w:hAnsi="宋体" w:cs="宋体"/>
                <w:color w:val="auto"/>
                <w:kern w:val="0"/>
                <w:sz w:val="18"/>
                <w:szCs w:val="18"/>
                <w:highlight w:val="none"/>
              </w:rPr>
            </w:pPr>
          </w:p>
        </w:tc>
        <w:tc>
          <w:tcPr>
            <w:tcW w:w="797" w:type="dxa"/>
            <w:tcBorders>
              <w:tl2br w:val="nil"/>
              <w:tr2bl w:val="nil"/>
            </w:tcBorders>
            <w:vAlign w:val="center"/>
          </w:tcPr>
          <w:p w14:paraId="5189144F">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其他发酵酒</w:t>
            </w:r>
          </w:p>
        </w:tc>
        <w:tc>
          <w:tcPr>
            <w:tcW w:w="953" w:type="dxa"/>
            <w:tcBorders>
              <w:tl2br w:val="nil"/>
              <w:tr2bl w:val="nil"/>
            </w:tcBorders>
            <w:vAlign w:val="center"/>
          </w:tcPr>
          <w:p w14:paraId="0B73DD1E">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其他发酵酒</w:t>
            </w:r>
          </w:p>
        </w:tc>
        <w:tc>
          <w:tcPr>
            <w:tcW w:w="1896" w:type="dxa"/>
            <w:tcBorders>
              <w:tl2br w:val="nil"/>
              <w:tr2bl w:val="nil"/>
            </w:tcBorders>
            <w:vAlign w:val="center"/>
          </w:tcPr>
          <w:p w14:paraId="4ACDF8D6">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甜蜜素（以环己基氨基磺酸计）、安赛蜜</w:t>
            </w:r>
          </w:p>
        </w:tc>
        <w:tc>
          <w:tcPr>
            <w:tcW w:w="2956" w:type="dxa"/>
            <w:tcBorders>
              <w:tl2br w:val="nil"/>
              <w:tr2bl w:val="nil"/>
            </w:tcBorders>
            <w:vAlign w:val="center"/>
          </w:tcPr>
          <w:p w14:paraId="5065D475">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酒精度、苯甲酸及其钠盐（以苯甲酸计）、山梨酸及其钾盐（以山梨酸计）、糖精钠（以糖精计）</w:t>
            </w:r>
          </w:p>
        </w:tc>
      </w:tr>
      <w:tr w14:paraId="1106928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584" w:hRule="atLeast"/>
        </w:trPr>
        <w:tc>
          <w:tcPr>
            <w:tcW w:w="953" w:type="dxa"/>
            <w:vMerge w:val="restart"/>
            <w:tcBorders>
              <w:tl2br w:val="nil"/>
              <w:tr2bl w:val="nil"/>
            </w:tcBorders>
            <w:vAlign w:val="center"/>
          </w:tcPr>
          <w:p w14:paraId="7368A435">
            <w:pPr>
              <w:widowControl/>
              <w:jc w:val="center"/>
              <w:rPr>
                <w:rFonts w:eastAsia="等线"/>
                <w:color w:val="auto"/>
                <w:kern w:val="0"/>
                <w:sz w:val="18"/>
                <w:szCs w:val="18"/>
                <w:highlight w:val="none"/>
              </w:rPr>
            </w:pPr>
            <w:r>
              <w:rPr>
                <w:rFonts w:eastAsia="等线"/>
                <w:color w:val="auto"/>
                <w:kern w:val="0"/>
                <w:sz w:val="18"/>
                <w:szCs w:val="18"/>
                <w:highlight w:val="none"/>
              </w:rPr>
              <w:t>16</w:t>
            </w:r>
          </w:p>
        </w:tc>
        <w:tc>
          <w:tcPr>
            <w:tcW w:w="796" w:type="dxa"/>
            <w:vMerge w:val="restart"/>
            <w:tcBorders>
              <w:tl2br w:val="nil"/>
              <w:tr2bl w:val="nil"/>
            </w:tcBorders>
            <w:vAlign w:val="center"/>
          </w:tcPr>
          <w:p w14:paraId="0CACB390">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蔬菜制品</w:t>
            </w:r>
          </w:p>
        </w:tc>
        <w:tc>
          <w:tcPr>
            <w:tcW w:w="797" w:type="dxa"/>
            <w:vMerge w:val="restart"/>
            <w:tcBorders>
              <w:tl2br w:val="nil"/>
              <w:tr2bl w:val="nil"/>
            </w:tcBorders>
            <w:vAlign w:val="center"/>
          </w:tcPr>
          <w:p w14:paraId="660BD823">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蔬菜制品</w:t>
            </w:r>
          </w:p>
        </w:tc>
        <w:tc>
          <w:tcPr>
            <w:tcW w:w="797" w:type="dxa"/>
            <w:tcBorders>
              <w:tl2br w:val="nil"/>
              <w:tr2bl w:val="nil"/>
            </w:tcBorders>
            <w:vAlign w:val="center"/>
          </w:tcPr>
          <w:p w14:paraId="6B5E99DE">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酱腌菜</w:t>
            </w:r>
          </w:p>
        </w:tc>
        <w:tc>
          <w:tcPr>
            <w:tcW w:w="953" w:type="dxa"/>
            <w:tcBorders>
              <w:tl2br w:val="nil"/>
              <w:tr2bl w:val="nil"/>
            </w:tcBorders>
            <w:vAlign w:val="center"/>
          </w:tcPr>
          <w:p w14:paraId="52346C8F">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酱腌菜</w:t>
            </w:r>
          </w:p>
        </w:tc>
        <w:tc>
          <w:tcPr>
            <w:tcW w:w="1896" w:type="dxa"/>
            <w:tcBorders>
              <w:tl2br w:val="nil"/>
              <w:tr2bl w:val="nil"/>
            </w:tcBorders>
            <w:vAlign w:val="center"/>
          </w:tcPr>
          <w:p w14:paraId="78D38A01">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二氧化硫残留量、苯甲酸及其钠盐（以苯甲酸计）、山梨酸及其钾盐（以山梨酸计）、脱氢乙酸及其钠盐（以脱氢乙酸计）、防腐剂混合使用时各自用量占其最大使用量的比例之和、亚硝酸盐（以</w:t>
            </w:r>
            <w:r>
              <w:rPr>
                <w:color w:val="auto"/>
                <w:kern w:val="0"/>
                <w:sz w:val="18"/>
                <w:szCs w:val="18"/>
                <w:highlight w:val="none"/>
              </w:rPr>
              <w:t>NaNO</w:t>
            </w:r>
            <w:r>
              <w:rPr>
                <w:color w:val="auto"/>
                <w:kern w:val="0"/>
                <w:sz w:val="18"/>
                <w:szCs w:val="18"/>
                <w:highlight w:val="none"/>
                <w:vertAlign w:val="subscript"/>
              </w:rPr>
              <w:t>2</w:t>
            </w:r>
            <w:r>
              <w:rPr>
                <w:rFonts w:hint="eastAsia" w:ascii="宋体" w:hAnsi="宋体" w:cs="宋体"/>
                <w:color w:val="auto"/>
                <w:kern w:val="0"/>
                <w:sz w:val="18"/>
                <w:szCs w:val="18"/>
                <w:highlight w:val="none"/>
              </w:rPr>
              <w:t>计）</w:t>
            </w:r>
          </w:p>
        </w:tc>
        <w:tc>
          <w:tcPr>
            <w:tcW w:w="2956" w:type="dxa"/>
            <w:tcBorders>
              <w:tl2br w:val="nil"/>
              <w:tr2bl w:val="nil"/>
            </w:tcBorders>
            <w:vAlign w:val="center"/>
          </w:tcPr>
          <w:p w14:paraId="69052419">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铅（以Pb计）、糖精钠（以糖精计）、甜蜜素（以环己基氨基磺酸计）、安赛蜜、合成着色剂（柠檬黄、日落黄）、大肠菌群</w:t>
            </w:r>
          </w:p>
        </w:tc>
      </w:tr>
      <w:tr w14:paraId="087FD93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482" w:hRule="atLeast"/>
        </w:trPr>
        <w:tc>
          <w:tcPr>
            <w:tcW w:w="953" w:type="dxa"/>
            <w:vMerge w:val="continue"/>
            <w:tcBorders>
              <w:tl2br w:val="nil"/>
              <w:tr2bl w:val="nil"/>
            </w:tcBorders>
            <w:vAlign w:val="center"/>
          </w:tcPr>
          <w:p w14:paraId="1C30E29D">
            <w:pPr>
              <w:widowControl/>
              <w:jc w:val="left"/>
              <w:rPr>
                <w:rFonts w:eastAsia="等线"/>
                <w:color w:val="auto"/>
                <w:kern w:val="0"/>
                <w:sz w:val="18"/>
                <w:szCs w:val="18"/>
                <w:highlight w:val="none"/>
              </w:rPr>
            </w:pPr>
          </w:p>
        </w:tc>
        <w:tc>
          <w:tcPr>
            <w:tcW w:w="796" w:type="dxa"/>
            <w:vMerge w:val="continue"/>
            <w:tcBorders>
              <w:tl2br w:val="nil"/>
              <w:tr2bl w:val="nil"/>
            </w:tcBorders>
            <w:vAlign w:val="center"/>
          </w:tcPr>
          <w:p w14:paraId="6A6214E7">
            <w:pPr>
              <w:widowControl/>
              <w:jc w:val="left"/>
              <w:rPr>
                <w:rFonts w:ascii="宋体" w:hAnsi="宋体" w:cs="宋体"/>
                <w:color w:val="auto"/>
                <w:kern w:val="0"/>
                <w:sz w:val="18"/>
                <w:szCs w:val="18"/>
                <w:highlight w:val="none"/>
              </w:rPr>
            </w:pPr>
          </w:p>
        </w:tc>
        <w:tc>
          <w:tcPr>
            <w:tcW w:w="797" w:type="dxa"/>
            <w:vMerge w:val="continue"/>
            <w:tcBorders>
              <w:tl2br w:val="nil"/>
              <w:tr2bl w:val="nil"/>
            </w:tcBorders>
            <w:vAlign w:val="center"/>
          </w:tcPr>
          <w:p w14:paraId="0431FAB5">
            <w:pPr>
              <w:widowControl/>
              <w:jc w:val="left"/>
              <w:rPr>
                <w:rFonts w:ascii="宋体" w:hAnsi="宋体" w:cs="宋体"/>
                <w:color w:val="auto"/>
                <w:kern w:val="0"/>
                <w:sz w:val="18"/>
                <w:szCs w:val="18"/>
                <w:highlight w:val="none"/>
              </w:rPr>
            </w:pPr>
          </w:p>
        </w:tc>
        <w:tc>
          <w:tcPr>
            <w:tcW w:w="797" w:type="dxa"/>
            <w:tcBorders>
              <w:tl2br w:val="nil"/>
              <w:tr2bl w:val="nil"/>
            </w:tcBorders>
            <w:vAlign w:val="center"/>
          </w:tcPr>
          <w:p w14:paraId="698EB3AC">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蔬菜干制品</w:t>
            </w:r>
          </w:p>
        </w:tc>
        <w:tc>
          <w:tcPr>
            <w:tcW w:w="953" w:type="dxa"/>
            <w:tcBorders>
              <w:tl2br w:val="nil"/>
              <w:tr2bl w:val="nil"/>
            </w:tcBorders>
            <w:vAlign w:val="center"/>
          </w:tcPr>
          <w:p w14:paraId="0F65C3B6">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蔬菜干制品</w:t>
            </w:r>
          </w:p>
        </w:tc>
        <w:tc>
          <w:tcPr>
            <w:tcW w:w="1896" w:type="dxa"/>
            <w:tcBorders>
              <w:tl2br w:val="nil"/>
              <w:tr2bl w:val="nil"/>
            </w:tcBorders>
            <w:vAlign w:val="center"/>
          </w:tcPr>
          <w:p w14:paraId="5252853D">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二氧化硫残留量、铅（以Pb计）</w:t>
            </w:r>
          </w:p>
        </w:tc>
        <w:tc>
          <w:tcPr>
            <w:tcW w:w="2956" w:type="dxa"/>
            <w:tcBorders>
              <w:tl2br w:val="nil"/>
              <w:tr2bl w:val="nil"/>
            </w:tcBorders>
            <w:vAlign w:val="center"/>
          </w:tcPr>
          <w:p w14:paraId="04F9F028">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苯甲酸及其钠盐（以苯甲酸计）、山梨酸及其钾盐（以山梨酸计）、合成着色剂（柠檬黄、日落黄、胭脂红、苋菜红、亮蓝）</w:t>
            </w:r>
          </w:p>
        </w:tc>
      </w:tr>
      <w:tr w14:paraId="7DC46D5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095" w:hRule="atLeast"/>
        </w:trPr>
        <w:tc>
          <w:tcPr>
            <w:tcW w:w="953" w:type="dxa"/>
            <w:vMerge w:val="continue"/>
            <w:tcBorders>
              <w:tl2br w:val="nil"/>
              <w:tr2bl w:val="nil"/>
            </w:tcBorders>
            <w:vAlign w:val="center"/>
          </w:tcPr>
          <w:p w14:paraId="685B34F2">
            <w:pPr>
              <w:widowControl/>
              <w:jc w:val="left"/>
              <w:rPr>
                <w:rFonts w:eastAsia="等线"/>
                <w:color w:val="auto"/>
                <w:kern w:val="0"/>
                <w:sz w:val="18"/>
                <w:szCs w:val="18"/>
                <w:highlight w:val="none"/>
              </w:rPr>
            </w:pPr>
          </w:p>
        </w:tc>
        <w:tc>
          <w:tcPr>
            <w:tcW w:w="796" w:type="dxa"/>
            <w:vMerge w:val="continue"/>
            <w:tcBorders>
              <w:tl2br w:val="nil"/>
              <w:tr2bl w:val="nil"/>
            </w:tcBorders>
            <w:vAlign w:val="center"/>
          </w:tcPr>
          <w:p w14:paraId="62B16E5D">
            <w:pPr>
              <w:widowControl/>
              <w:jc w:val="left"/>
              <w:rPr>
                <w:rFonts w:ascii="宋体" w:hAnsi="宋体" w:cs="宋体"/>
                <w:color w:val="auto"/>
                <w:kern w:val="0"/>
                <w:sz w:val="18"/>
                <w:szCs w:val="18"/>
                <w:highlight w:val="none"/>
              </w:rPr>
            </w:pPr>
          </w:p>
        </w:tc>
        <w:tc>
          <w:tcPr>
            <w:tcW w:w="797" w:type="dxa"/>
            <w:vMerge w:val="continue"/>
            <w:tcBorders>
              <w:tl2br w:val="nil"/>
              <w:tr2bl w:val="nil"/>
            </w:tcBorders>
            <w:vAlign w:val="center"/>
          </w:tcPr>
          <w:p w14:paraId="32487C04">
            <w:pPr>
              <w:widowControl/>
              <w:jc w:val="left"/>
              <w:rPr>
                <w:rFonts w:ascii="宋体" w:hAnsi="宋体" w:cs="宋体"/>
                <w:color w:val="auto"/>
                <w:kern w:val="0"/>
                <w:sz w:val="18"/>
                <w:szCs w:val="18"/>
                <w:highlight w:val="none"/>
              </w:rPr>
            </w:pPr>
          </w:p>
        </w:tc>
        <w:tc>
          <w:tcPr>
            <w:tcW w:w="797" w:type="dxa"/>
            <w:tcBorders>
              <w:tl2br w:val="nil"/>
              <w:tr2bl w:val="nil"/>
            </w:tcBorders>
            <w:vAlign w:val="center"/>
          </w:tcPr>
          <w:p w14:paraId="4B3E38BA">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其他蔬菜制品</w:t>
            </w:r>
          </w:p>
        </w:tc>
        <w:tc>
          <w:tcPr>
            <w:tcW w:w="953" w:type="dxa"/>
            <w:tcBorders>
              <w:tl2br w:val="nil"/>
              <w:tr2bl w:val="nil"/>
            </w:tcBorders>
            <w:vAlign w:val="center"/>
          </w:tcPr>
          <w:p w14:paraId="5FFDF38C">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其他蔬菜制品</w:t>
            </w:r>
          </w:p>
        </w:tc>
        <w:tc>
          <w:tcPr>
            <w:tcW w:w="1896" w:type="dxa"/>
            <w:tcBorders>
              <w:tl2br w:val="nil"/>
              <w:tr2bl w:val="nil"/>
            </w:tcBorders>
            <w:vAlign w:val="center"/>
          </w:tcPr>
          <w:p w14:paraId="5AF5B4A5">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二氧化硫残留量</w:t>
            </w:r>
          </w:p>
        </w:tc>
        <w:tc>
          <w:tcPr>
            <w:tcW w:w="2956" w:type="dxa"/>
            <w:tcBorders>
              <w:tl2br w:val="nil"/>
              <w:tr2bl w:val="nil"/>
            </w:tcBorders>
            <w:vAlign w:val="center"/>
          </w:tcPr>
          <w:p w14:paraId="024BB92B">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铅（以</w:t>
            </w:r>
            <w:r>
              <w:rPr>
                <w:color w:val="auto"/>
                <w:kern w:val="0"/>
                <w:sz w:val="18"/>
                <w:szCs w:val="18"/>
                <w:highlight w:val="none"/>
              </w:rPr>
              <w:t>Pb</w:t>
            </w:r>
            <w:r>
              <w:rPr>
                <w:rFonts w:hint="eastAsia" w:ascii="宋体" w:hAnsi="宋体" w:cs="宋体"/>
                <w:color w:val="auto"/>
                <w:kern w:val="0"/>
                <w:sz w:val="18"/>
                <w:szCs w:val="18"/>
                <w:highlight w:val="none"/>
              </w:rPr>
              <w:t>计）、苯甲酸及其钠盐（以苯甲酸计）、山梨酸及其钾盐（以山梨酸计）</w:t>
            </w:r>
          </w:p>
        </w:tc>
      </w:tr>
      <w:tr w14:paraId="1F75B6F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259" w:hRule="atLeast"/>
        </w:trPr>
        <w:tc>
          <w:tcPr>
            <w:tcW w:w="953" w:type="dxa"/>
            <w:vMerge w:val="continue"/>
            <w:tcBorders>
              <w:tl2br w:val="nil"/>
              <w:tr2bl w:val="nil"/>
            </w:tcBorders>
            <w:vAlign w:val="center"/>
          </w:tcPr>
          <w:p w14:paraId="76C1AD79">
            <w:pPr>
              <w:widowControl/>
              <w:jc w:val="left"/>
              <w:rPr>
                <w:rFonts w:eastAsia="等线"/>
                <w:color w:val="auto"/>
                <w:kern w:val="0"/>
                <w:sz w:val="18"/>
                <w:szCs w:val="18"/>
                <w:highlight w:val="none"/>
              </w:rPr>
            </w:pPr>
          </w:p>
        </w:tc>
        <w:tc>
          <w:tcPr>
            <w:tcW w:w="796" w:type="dxa"/>
            <w:vMerge w:val="continue"/>
            <w:tcBorders>
              <w:tl2br w:val="nil"/>
              <w:tr2bl w:val="nil"/>
            </w:tcBorders>
            <w:vAlign w:val="center"/>
          </w:tcPr>
          <w:p w14:paraId="7CF137E1">
            <w:pPr>
              <w:widowControl/>
              <w:jc w:val="left"/>
              <w:rPr>
                <w:rFonts w:ascii="宋体" w:hAnsi="宋体" w:cs="宋体"/>
                <w:color w:val="auto"/>
                <w:kern w:val="0"/>
                <w:sz w:val="18"/>
                <w:szCs w:val="18"/>
                <w:highlight w:val="none"/>
              </w:rPr>
            </w:pPr>
          </w:p>
        </w:tc>
        <w:tc>
          <w:tcPr>
            <w:tcW w:w="797" w:type="dxa"/>
            <w:vMerge w:val="continue"/>
            <w:tcBorders>
              <w:tl2br w:val="nil"/>
              <w:tr2bl w:val="nil"/>
            </w:tcBorders>
            <w:vAlign w:val="center"/>
          </w:tcPr>
          <w:p w14:paraId="1D0DADF0">
            <w:pPr>
              <w:widowControl/>
              <w:jc w:val="left"/>
              <w:rPr>
                <w:rFonts w:ascii="宋体" w:hAnsi="宋体" w:cs="宋体"/>
                <w:color w:val="auto"/>
                <w:kern w:val="0"/>
                <w:sz w:val="18"/>
                <w:szCs w:val="18"/>
                <w:highlight w:val="none"/>
              </w:rPr>
            </w:pPr>
          </w:p>
        </w:tc>
        <w:tc>
          <w:tcPr>
            <w:tcW w:w="797" w:type="dxa"/>
            <w:vMerge w:val="restart"/>
            <w:tcBorders>
              <w:tl2br w:val="nil"/>
              <w:tr2bl w:val="nil"/>
            </w:tcBorders>
            <w:vAlign w:val="center"/>
          </w:tcPr>
          <w:p w14:paraId="118D416E">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食用菌制品</w:t>
            </w:r>
          </w:p>
        </w:tc>
        <w:tc>
          <w:tcPr>
            <w:tcW w:w="953" w:type="dxa"/>
            <w:tcBorders>
              <w:tl2br w:val="nil"/>
              <w:tr2bl w:val="nil"/>
            </w:tcBorders>
            <w:vAlign w:val="center"/>
          </w:tcPr>
          <w:p w14:paraId="32E6D07F">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干制食用菌</w:t>
            </w:r>
          </w:p>
        </w:tc>
        <w:tc>
          <w:tcPr>
            <w:tcW w:w="1896" w:type="dxa"/>
            <w:tcBorders>
              <w:tl2br w:val="nil"/>
              <w:tr2bl w:val="nil"/>
            </w:tcBorders>
            <w:vAlign w:val="center"/>
          </w:tcPr>
          <w:p w14:paraId="0C94FB69">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铅（以</w:t>
            </w:r>
            <w:r>
              <w:rPr>
                <w:color w:val="auto"/>
                <w:kern w:val="0"/>
                <w:sz w:val="18"/>
                <w:szCs w:val="18"/>
                <w:highlight w:val="none"/>
              </w:rPr>
              <w:t>Pb</w:t>
            </w:r>
            <w:r>
              <w:rPr>
                <w:rFonts w:hint="eastAsia" w:ascii="宋体" w:hAnsi="宋体" w:cs="宋体"/>
                <w:color w:val="auto"/>
                <w:kern w:val="0"/>
                <w:sz w:val="18"/>
                <w:szCs w:val="18"/>
                <w:highlight w:val="none"/>
              </w:rPr>
              <w:t>计）、镉（以</w:t>
            </w:r>
            <w:r>
              <w:rPr>
                <w:color w:val="auto"/>
                <w:kern w:val="0"/>
                <w:sz w:val="18"/>
                <w:szCs w:val="18"/>
                <w:highlight w:val="none"/>
              </w:rPr>
              <w:t>Cd</w:t>
            </w:r>
            <w:r>
              <w:rPr>
                <w:rFonts w:hint="eastAsia" w:ascii="宋体" w:hAnsi="宋体" w:cs="宋体"/>
                <w:color w:val="auto"/>
                <w:kern w:val="0"/>
                <w:sz w:val="18"/>
                <w:szCs w:val="18"/>
                <w:highlight w:val="none"/>
              </w:rPr>
              <w:t>计）</w:t>
            </w:r>
          </w:p>
        </w:tc>
        <w:tc>
          <w:tcPr>
            <w:tcW w:w="2956" w:type="dxa"/>
            <w:tcBorders>
              <w:tl2br w:val="nil"/>
              <w:tr2bl w:val="nil"/>
            </w:tcBorders>
            <w:vAlign w:val="center"/>
          </w:tcPr>
          <w:p w14:paraId="4622C3FC">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总砷（以</w:t>
            </w:r>
            <w:r>
              <w:rPr>
                <w:color w:val="auto"/>
                <w:kern w:val="0"/>
                <w:sz w:val="18"/>
                <w:szCs w:val="18"/>
                <w:highlight w:val="none"/>
              </w:rPr>
              <w:t>As</w:t>
            </w:r>
            <w:r>
              <w:rPr>
                <w:rFonts w:hint="eastAsia" w:ascii="宋体" w:hAnsi="宋体" w:cs="宋体"/>
                <w:color w:val="auto"/>
                <w:kern w:val="0"/>
                <w:sz w:val="18"/>
                <w:szCs w:val="18"/>
                <w:highlight w:val="none"/>
              </w:rPr>
              <w:t>计）、总汞（以</w:t>
            </w:r>
            <w:r>
              <w:rPr>
                <w:color w:val="auto"/>
                <w:kern w:val="0"/>
                <w:sz w:val="18"/>
                <w:szCs w:val="18"/>
                <w:highlight w:val="none"/>
              </w:rPr>
              <w:t>Hg</w:t>
            </w:r>
            <w:r>
              <w:rPr>
                <w:rFonts w:hint="eastAsia" w:ascii="宋体" w:hAnsi="宋体" w:cs="宋体"/>
                <w:color w:val="auto"/>
                <w:kern w:val="0"/>
                <w:sz w:val="18"/>
                <w:szCs w:val="18"/>
                <w:highlight w:val="none"/>
              </w:rPr>
              <w:t>计）、甲基汞（以</w:t>
            </w:r>
            <w:r>
              <w:rPr>
                <w:color w:val="auto"/>
                <w:kern w:val="0"/>
                <w:sz w:val="18"/>
                <w:szCs w:val="18"/>
                <w:highlight w:val="none"/>
              </w:rPr>
              <w:t>Hg</w:t>
            </w:r>
            <w:r>
              <w:rPr>
                <w:rFonts w:hint="eastAsia" w:ascii="宋体" w:hAnsi="宋体" w:cs="宋体"/>
                <w:color w:val="auto"/>
                <w:kern w:val="0"/>
                <w:sz w:val="18"/>
                <w:szCs w:val="18"/>
                <w:highlight w:val="none"/>
              </w:rPr>
              <w:t>计）、苯甲酸及其钠盐（以苯甲酸计）</w:t>
            </w:r>
          </w:p>
        </w:tc>
      </w:tr>
      <w:tr w14:paraId="2051CF1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482" w:hRule="atLeast"/>
        </w:trPr>
        <w:tc>
          <w:tcPr>
            <w:tcW w:w="953" w:type="dxa"/>
            <w:vMerge w:val="continue"/>
            <w:tcBorders>
              <w:tl2br w:val="nil"/>
              <w:tr2bl w:val="nil"/>
            </w:tcBorders>
            <w:vAlign w:val="center"/>
          </w:tcPr>
          <w:p w14:paraId="3E3D17BD">
            <w:pPr>
              <w:widowControl/>
              <w:jc w:val="left"/>
              <w:rPr>
                <w:rFonts w:eastAsia="等线"/>
                <w:color w:val="auto"/>
                <w:kern w:val="0"/>
                <w:sz w:val="18"/>
                <w:szCs w:val="18"/>
                <w:highlight w:val="none"/>
              </w:rPr>
            </w:pPr>
          </w:p>
        </w:tc>
        <w:tc>
          <w:tcPr>
            <w:tcW w:w="796" w:type="dxa"/>
            <w:vMerge w:val="continue"/>
            <w:tcBorders>
              <w:tl2br w:val="nil"/>
              <w:tr2bl w:val="nil"/>
            </w:tcBorders>
            <w:vAlign w:val="center"/>
          </w:tcPr>
          <w:p w14:paraId="11EBFF23">
            <w:pPr>
              <w:widowControl/>
              <w:jc w:val="left"/>
              <w:rPr>
                <w:rFonts w:ascii="宋体" w:hAnsi="宋体" w:cs="宋体"/>
                <w:color w:val="auto"/>
                <w:kern w:val="0"/>
                <w:sz w:val="18"/>
                <w:szCs w:val="18"/>
                <w:highlight w:val="none"/>
              </w:rPr>
            </w:pPr>
          </w:p>
        </w:tc>
        <w:tc>
          <w:tcPr>
            <w:tcW w:w="797" w:type="dxa"/>
            <w:vMerge w:val="continue"/>
            <w:tcBorders>
              <w:tl2br w:val="nil"/>
              <w:tr2bl w:val="nil"/>
            </w:tcBorders>
            <w:vAlign w:val="center"/>
          </w:tcPr>
          <w:p w14:paraId="475192D3">
            <w:pPr>
              <w:widowControl/>
              <w:jc w:val="left"/>
              <w:rPr>
                <w:rFonts w:ascii="宋体" w:hAnsi="宋体" w:cs="宋体"/>
                <w:color w:val="auto"/>
                <w:kern w:val="0"/>
                <w:sz w:val="18"/>
                <w:szCs w:val="18"/>
                <w:highlight w:val="none"/>
              </w:rPr>
            </w:pPr>
          </w:p>
        </w:tc>
        <w:tc>
          <w:tcPr>
            <w:tcW w:w="797" w:type="dxa"/>
            <w:vMerge w:val="continue"/>
            <w:tcBorders>
              <w:tl2br w:val="nil"/>
              <w:tr2bl w:val="nil"/>
            </w:tcBorders>
            <w:vAlign w:val="center"/>
          </w:tcPr>
          <w:p w14:paraId="5F34E0C9">
            <w:pPr>
              <w:widowControl/>
              <w:jc w:val="left"/>
              <w:rPr>
                <w:rFonts w:ascii="宋体" w:hAnsi="宋体" w:cs="宋体"/>
                <w:color w:val="auto"/>
                <w:kern w:val="0"/>
                <w:sz w:val="18"/>
                <w:szCs w:val="18"/>
                <w:highlight w:val="none"/>
              </w:rPr>
            </w:pPr>
          </w:p>
        </w:tc>
        <w:tc>
          <w:tcPr>
            <w:tcW w:w="953" w:type="dxa"/>
            <w:tcBorders>
              <w:tl2br w:val="nil"/>
              <w:tr2bl w:val="nil"/>
            </w:tcBorders>
            <w:vAlign w:val="center"/>
          </w:tcPr>
          <w:p w14:paraId="59EE8386">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腌渍食用菌</w:t>
            </w:r>
          </w:p>
        </w:tc>
        <w:tc>
          <w:tcPr>
            <w:tcW w:w="1896" w:type="dxa"/>
            <w:tcBorders>
              <w:tl2br w:val="nil"/>
              <w:tr2bl w:val="nil"/>
            </w:tcBorders>
            <w:vAlign w:val="center"/>
          </w:tcPr>
          <w:p w14:paraId="6567224B">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脱氢乙酸及其钠盐（以脱氢乙酸计）</w:t>
            </w:r>
          </w:p>
        </w:tc>
        <w:tc>
          <w:tcPr>
            <w:tcW w:w="2956" w:type="dxa"/>
            <w:tcBorders>
              <w:tl2br w:val="nil"/>
              <w:tr2bl w:val="nil"/>
            </w:tcBorders>
            <w:vAlign w:val="center"/>
          </w:tcPr>
          <w:p w14:paraId="2E7F37E2">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苯甲酸及其钠盐（以苯甲酸计）、山梨酸及其钾盐（以山梨酸计）、防腐剂混合使用时各自用量占其最大使用量的比例之和</w:t>
            </w:r>
          </w:p>
        </w:tc>
      </w:tr>
      <w:tr w14:paraId="38E2D9E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297" w:hRule="atLeast"/>
        </w:trPr>
        <w:tc>
          <w:tcPr>
            <w:tcW w:w="953" w:type="dxa"/>
            <w:vMerge w:val="restart"/>
            <w:tcBorders>
              <w:tl2br w:val="nil"/>
              <w:tr2bl w:val="nil"/>
            </w:tcBorders>
            <w:vAlign w:val="center"/>
          </w:tcPr>
          <w:p w14:paraId="1EEEC65C">
            <w:pPr>
              <w:widowControl/>
              <w:jc w:val="center"/>
              <w:rPr>
                <w:rFonts w:eastAsia="等线"/>
                <w:color w:val="auto"/>
                <w:kern w:val="0"/>
                <w:sz w:val="18"/>
                <w:szCs w:val="18"/>
                <w:highlight w:val="none"/>
              </w:rPr>
            </w:pPr>
            <w:r>
              <w:rPr>
                <w:rFonts w:eastAsia="等线"/>
                <w:color w:val="auto"/>
                <w:kern w:val="0"/>
                <w:sz w:val="18"/>
                <w:szCs w:val="18"/>
                <w:highlight w:val="none"/>
              </w:rPr>
              <w:t>17</w:t>
            </w:r>
          </w:p>
        </w:tc>
        <w:tc>
          <w:tcPr>
            <w:tcW w:w="796" w:type="dxa"/>
            <w:vMerge w:val="restart"/>
            <w:tcBorders>
              <w:tl2br w:val="nil"/>
              <w:tr2bl w:val="nil"/>
            </w:tcBorders>
            <w:vAlign w:val="center"/>
          </w:tcPr>
          <w:p w14:paraId="066E6EFA">
            <w:pPr>
              <w:widowControl/>
              <w:rPr>
                <w:rFonts w:ascii="宋体" w:hAnsi="宋体" w:cs="宋体"/>
                <w:color w:val="auto"/>
                <w:kern w:val="0"/>
                <w:sz w:val="18"/>
                <w:szCs w:val="18"/>
                <w:highlight w:val="none"/>
              </w:rPr>
            </w:pPr>
            <w:r>
              <w:rPr>
                <w:rFonts w:hint="eastAsia" w:ascii="宋体" w:hAnsi="宋体" w:cs="宋体"/>
                <w:color w:val="auto"/>
                <w:kern w:val="0"/>
                <w:sz w:val="18"/>
                <w:szCs w:val="18"/>
                <w:highlight w:val="none"/>
              </w:rPr>
              <w:t>水果制品</w:t>
            </w:r>
          </w:p>
        </w:tc>
        <w:tc>
          <w:tcPr>
            <w:tcW w:w="797" w:type="dxa"/>
            <w:vMerge w:val="restart"/>
            <w:tcBorders>
              <w:tl2br w:val="nil"/>
              <w:tr2bl w:val="nil"/>
            </w:tcBorders>
            <w:vAlign w:val="center"/>
          </w:tcPr>
          <w:p w14:paraId="17553A8E">
            <w:pPr>
              <w:widowControl/>
              <w:rPr>
                <w:rFonts w:ascii="宋体" w:hAnsi="宋体" w:cs="宋体"/>
                <w:color w:val="auto"/>
                <w:kern w:val="0"/>
                <w:sz w:val="18"/>
                <w:szCs w:val="18"/>
                <w:highlight w:val="none"/>
              </w:rPr>
            </w:pPr>
            <w:r>
              <w:rPr>
                <w:rFonts w:hint="eastAsia" w:ascii="宋体" w:hAnsi="宋体" w:cs="宋体"/>
                <w:color w:val="auto"/>
                <w:kern w:val="0"/>
                <w:sz w:val="18"/>
                <w:szCs w:val="18"/>
                <w:highlight w:val="none"/>
              </w:rPr>
              <w:t>水果制品</w:t>
            </w:r>
          </w:p>
        </w:tc>
        <w:tc>
          <w:tcPr>
            <w:tcW w:w="797" w:type="dxa"/>
            <w:tcBorders>
              <w:tl2br w:val="nil"/>
              <w:tr2bl w:val="nil"/>
            </w:tcBorders>
            <w:vAlign w:val="center"/>
          </w:tcPr>
          <w:p w14:paraId="414B33E7">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蜜饯</w:t>
            </w:r>
          </w:p>
        </w:tc>
        <w:tc>
          <w:tcPr>
            <w:tcW w:w="953" w:type="dxa"/>
            <w:tcBorders>
              <w:tl2br w:val="nil"/>
              <w:tr2bl w:val="nil"/>
            </w:tcBorders>
            <w:vAlign w:val="center"/>
          </w:tcPr>
          <w:p w14:paraId="7BD67D42">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蜜饯类、凉果类、果脯类、话化类、果糕类</w:t>
            </w:r>
          </w:p>
        </w:tc>
        <w:tc>
          <w:tcPr>
            <w:tcW w:w="1896" w:type="dxa"/>
            <w:tcBorders>
              <w:tl2br w:val="nil"/>
              <w:tr2bl w:val="nil"/>
            </w:tcBorders>
            <w:vAlign w:val="center"/>
          </w:tcPr>
          <w:p w14:paraId="5EC5A3C8">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二氧化硫残留量、合成着色剂（亮蓝、柠檬黄、日落黄、苋菜红、胭脂红）</w:t>
            </w:r>
          </w:p>
        </w:tc>
        <w:tc>
          <w:tcPr>
            <w:tcW w:w="2956" w:type="dxa"/>
            <w:tcBorders>
              <w:tl2br w:val="nil"/>
              <w:tr2bl w:val="nil"/>
            </w:tcBorders>
            <w:vAlign w:val="center"/>
          </w:tcPr>
          <w:p w14:paraId="666A241A">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铅（以Pb计）、防腐剂混合使用时各自用量占其最大使用量的比例之和、糖精钠（以糖精计）、甜蜜素（以环己基氨基磺酸计）、安赛蜜、相同色泽着色剂混合使用时各自用量占其最大使用量的比例之和、乙二胺四乙酸二钠、菌落总数、大肠菌群、霉菌、苯甲酸及其钠盐（以苯甲酸计）、山梨酸及其钾盐（以山梨酸计）、脱氢乙酸及其钠盐（以脱氢乙酸计）</w:t>
            </w:r>
          </w:p>
        </w:tc>
      </w:tr>
      <w:tr w14:paraId="516E2A5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910" w:hRule="atLeast"/>
        </w:trPr>
        <w:tc>
          <w:tcPr>
            <w:tcW w:w="953" w:type="dxa"/>
            <w:vMerge w:val="continue"/>
            <w:tcBorders>
              <w:tl2br w:val="nil"/>
              <w:tr2bl w:val="nil"/>
            </w:tcBorders>
            <w:vAlign w:val="center"/>
          </w:tcPr>
          <w:p w14:paraId="316BA350">
            <w:pPr>
              <w:widowControl/>
              <w:jc w:val="left"/>
              <w:rPr>
                <w:rFonts w:eastAsia="等线"/>
                <w:color w:val="auto"/>
                <w:kern w:val="0"/>
                <w:sz w:val="18"/>
                <w:szCs w:val="18"/>
                <w:highlight w:val="none"/>
              </w:rPr>
            </w:pPr>
          </w:p>
        </w:tc>
        <w:tc>
          <w:tcPr>
            <w:tcW w:w="796" w:type="dxa"/>
            <w:vMerge w:val="continue"/>
            <w:tcBorders>
              <w:tl2br w:val="nil"/>
              <w:tr2bl w:val="nil"/>
            </w:tcBorders>
            <w:vAlign w:val="center"/>
          </w:tcPr>
          <w:p w14:paraId="3C6686D6">
            <w:pPr>
              <w:widowControl/>
              <w:jc w:val="left"/>
              <w:rPr>
                <w:rFonts w:ascii="宋体" w:hAnsi="宋体" w:cs="宋体"/>
                <w:color w:val="auto"/>
                <w:kern w:val="0"/>
                <w:sz w:val="18"/>
                <w:szCs w:val="18"/>
                <w:highlight w:val="none"/>
              </w:rPr>
            </w:pPr>
          </w:p>
        </w:tc>
        <w:tc>
          <w:tcPr>
            <w:tcW w:w="797" w:type="dxa"/>
            <w:vMerge w:val="continue"/>
            <w:tcBorders>
              <w:tl2br w:val="nil"/>
              <w:tr2bl w:val="nil"/>
            </w:tcBorders>
            <w:vAlign w:val="center"/>
          </w:tcPr>
          <w:p w14:paraId="3E9BC72D">
            <w:pPr>
              <w:widowControl/>
              <w:jc w:val="left"/>
              <w:rPr>
                <w:rFonts w:ascii="宋体" w:hAnsi="宋体" w:cs="宋体"/>
                <w:color w:val="auto"/>
                <w:kern w:val="0"/>
                <w:sz w:val="18"/>
                <w:szCs w:val="18"/>
                <w:highlight w:val="none"/>
              </w:rPr>
            </w:pPr>
          </w:p>
        </w:tc>
        <w:tc>
          <w:tcPr>
            <w:tcW w:w="797" w:type="dxa"/>
            <w:tcBorders>
              <w:tl2br w:val="nil"/>
              <w:tr2bl w:val="nil"/>
            </w:tcBorders>
            <w:vAlign w:val="center"/>
          </w:tcPr>
          <w:p w14:paraId="2217B779">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水果干制品</w:t>
            </w:r>
          </w:p>
        </w:tc>
        <w:tc>
          <w:tcPr>
            <w:tcW w:w="953" w:type="dxa"/>
            <w:tcBorders>
              <w:tl2br w:val="nil"/>
              <w:tr2bl w:val="nil"/>
            </w:tcBorders>
            <w:vAlign w:val="center"/>
          </w:tcPr>
          <w:p w14:paraId="47CAB996">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水果干制品（含干枸杞）</w:t>
            </w:r>
          </w:p>
        </w:tc>
        <w:tc>
          <w:tcPr>
            <w:tcW w:w="1896" w:type="dxa"/>
            <w:tcBorders>
              <w:tl2br w:val="nil"/>
              <w:tr2bl w:val="nil"/>
            </w:tcBorders>
            <w:vAlign w:val="center"/>
          </w:tcPr>
          <w:p w14:paraId="15D51F9E">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二氧化硫残留量</w:t>
            </w:r>
          </w:p>
        </w:tc>
        <w:tc>
          <w:tcPr>
            <w:tcW w:w="2956" w:type="dxa"/>
            <w:tcBorders>
              <w:tl2br w:val="nil"/>
              <w:tr2bl w:val="nil"/>
            </w:tcBorders>
            <w:vAlign w:val="center"/>
          </w:tcPr>
          <w:p w14:paraId="1597B09C">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铅（以</w:t>
            </w:r>
            <w:r>
              <w:rPr>
                <w:color w:val="auto"/>
                <w:kern w:val="0"/>
                <w:sz w:val="18"/>
                <w:szCs w:val="18"/>
                <w:highlight w:val="none"/>
              </w:rPr>
              <w:t>Pb</w:t>
            </w:r>
            <w:r>
              <w:rPr>
                <w:rFonts w:hint="eastAsia" w:ascii="宋体" w:hAnsi="宋体" w:cs="宋体"/>
                <w:color w:val="auto"/>
                <w:kern w:val="0"/>
                <w:sz w:val="18"/>
                <w:szCs w:val="18"/>
                <w:highlight w:val="none"/>
              </w:rPr>
              <w:t>计）、啶虫脒、吡虫啉、克百威、氯氟氰菊酯和高效氯氟氰菊酯、氯氰菊酯和高效氯氰菊酯、苯甲酸及其钠盐（以苯甲酸计）、山梨酸及其钾盐（以山梨酸计）、脱氢乙酸及其钠盐（以脱氢乙酸计）、糖精钠（以糖精计）、合成着色剂（亮蓝、柠檬黄、日落黄、苋菜红、胭脂红）、菌落总数、大肠菌群、霉菌</w:t>
            </w:r>
          </w:p>
        </w:tc>
      </w:tr>
      <w:tr w14:paraId="1920115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93" w:hRule="atLeast"/>
        </w:trPr>
        <w:tc>
          <w:tcPr>
            <w:tcW w:w="953" w:type="dxa"/>
            <w:vMerge w:val="continue"/>
            <w:tcBorders>
              <w:tl2br w:val="nil"/>
              <w:tr2bl w:val="nil"/>
            </w:tcBorders>
            <w:vAlign w:val="center"/>
          </w:tcPr>
          <w:p w14:paraId="5DB923A3">
            <w:pPr>
              <w:widowControl/>
              <w:jc w:val="left"/>
              <w:rPr>
                <w:rFonts w:eastAsia="等线"/>
                <w:color w:val="auto"/>
                <w:kern w:val="0"/>
                <w:sz w:val="18"/>
                <w:szCs w:val="18"/>
                <w:highlight w:val="none"/>
              </w:rPr>
            </w:pPr>
          </w:p>
        </w:tc>
        <w:tc>
          <w:tcPr>
            <w:tcW w:w="796" w:type="dxa"/>
            <w:vMerge w:val="continue"/>
            <w:tcBorders>
              <w:tl2br w:val="nil"/>
              <w:tr2bl w:val="nil"/>
            </w:tcBorders>
            <w:vAlign w:val="center"/>
          </w:tcPr>
          <w:p w14:paraId="2EDA8014">
            <w:pPr>
              <w:widowControl/>
              <w:jc w:val="left"/>
              <w:rPr>
                <w:rFonts w:ascii="宋体" w:hAnsi="宋体" w:cs="宋体"/>
                <w:color w:val="auto"/>
                <w:kern w:val="0"/>
                <w:sz w:val="18"/>
                <w:szCs w:val="18"/>
                <w:highlight w:val="none"/>
              </w:rPr>
            </w:pPr>
          </w:p>
        </w:tc>
        <w:tc>
          <w:tcPr>
            <w:tcW w:w="797" w:type="dxa"/>
            <w:vMerge w:val="continue"/>
            <w:tcBorders>
              <w:tl2br w:val="nil"/>
              <w:tr2bl w:val="nil"/>
            </w:tcBorders>
            <w:vAlign w:val="center"/>
          </w:tcPr>
          <w:p w14:paraId="671E1EFF">
            <w:pPr>
              <w:widowControl/>
              <w:jc w:val="left"/>
              <w:rPr>
                <w:rFonts w:ascii="宋体" w:hAnsi="宋体" w:cs="宋体"/>
                <w:color w:val="auto"/>
                <w:kern w:val="0"/>
                <w:sz w:val="18"/>
                <w:szCs w:val="18"/>
                <w:highlight w:val="none"/>
              </w:rPr>
            </w:pPr>
          </w:p>
        </w:tc>
        <w:tc>
          <w:tcPr>
            <w:tcW w:w="797" w:type="dxa"/>
            <w:tcBorders>
              <w:tl2br w:val="nil"/>
              <w:tr2bl w:val="nil"/>
            </w:tcBorders>
            <w:vAlign w:val="center"/>
          </w:tcPr>
          <w:p w14:paraId="1F0560BC">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果酱</w:t>
            </w:r>
          </w:p>
        </w:tc>
        <w:tc>
          <w:tcPr>
            <w:tcW w:w="953" w:type="dxa"/>
            <w:tcBorders>
              <w:tl2br w:val="nil"/>
              <w:tr2bl w:val="nil"/>
            </w:tcBorders>
            <w:vAlign w:val="center"/>
          </w:tcPr>
          <w:p w14:paraId="2DC9DA17">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果酱</w:t>
            </w:r>
          </w:p>
        </w:tc>
        <w:tc>
          <w:tcPr>
            <w:tcW w:w="1896" w:type="dxa"/>
            <w:tcBorders>
              <w:tl2br w:val="nil"/>
              <w:tr2bl w:val="nil"/>
            </w:tcBorders>
            <w:vAlign w:val="center"/>
          </w:tcPr>
          <w:p w14:paraId="3C59B6CA">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铅（以</w:t>
            </w:r>
            <w:r>
              <w:rPr>
                <w:color w:val="auto"/>
                <w:kern w:val="0"/>
                <w:sz w:val="18"/>
                <w:szCs w:val="18"/>
                <w:highlight w:val="none"/>
              </w:rPr>
              <w:t>Pb</w:t>
            </w:r>
            <w:r>
              <w:rPr>
                <w:rFonts w:hint="eastAsia" w:ascii="宋体" w:hAnsi="宋体" w:cs="宋体"/>
                <w:color w:val="auto"/>
                <w:kern w:val="0"/>
                <w:sz w:val="18"/>
                <w:szCs w:val="18"/>
                <w:highlight w:val="none"/>
              </w:rPr>
              <w:t>计）、脱氢乙酸及其钠盐（以脱氢乙酸计）</w:t>
            </w:r>
          </w:p>
        </w:tc>
        <w:tc>
          <w:tcPr>
            <w:tcW w:w="2956" w:type="dxa"/>
            <w:tcBorders>
              <w:tl2br w:val="nil"/>
              <w:tr2bl w:val="nil"/>
            </w:tcBorders>
            <w:vAlign w:val="center"/>
          </w:tcPr>
          <w:p w14:paraId="02FF1A47">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菌落总数、大肠菌群、霉菌、商业无菌</w:t>
            </w:r>
          </w:p>
        </w:tc>
      </w:tr>
      <w:tr w14:paraId="4CF7D18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31" w:hRule="atLeast"/>
        </w:trPr>
        <w:tc>
          <w:tcPr>
            <w:tcW w:w="953" w:type="dxa"/>
            <w:vMerge w:val="restart"/>
            <w:tcBorders>
              <w:tl2br w:val="nil"/>
              <w:tr2bl w:val="nil"/>
            </w:tcBorders>
            <w:vAlign w:val="center"/>
          </w:tcPr>
          <w:p w14:paraId="084E2061">
            <w:pPr>
              <w:widowControl/>
              <w:jc w:val="center"/>
              <w:rPr>
                <w:rFonts w:eastAsia="等线"/>
                <w:color w:val="auto"/>
                <w:kern w:val="0"/>
                <w:sz w:val="18"/>
                <w:szCs w:val="18"/>
                <w:highlight w:val="none"/>
              </w:rPr>
            </w:pPr>
            <w:r>
              <w:rPr>
                <w:rFonts w:eastAsia="等线"/>
                <w:color w:val="auto"/>
                <w:kern w:val="0"/>
                <w:sz w:val="18"/>
                <w:szCs w:val="18"/>
                <w:highlight w:val="none"/>
              </w:rPr>
              <w:t>18</w:t>
            </w:r>
          </w:p>
        </w:tc>
        <w:tc>
          <w:tcPr>
            <w:tcW w:w="796" w:type="dxa"/>
            <w:vMerge w:val="restart"/>
            <w:tcBorders>
              <w:tl2br w:val="nil"/>
              <w:tr2bl w:val="nil"/>
            </w:tcBorders>
            <w:vAlign w:val="center"/>
          </w:tcPr>
          <w:p w14:paraId="1AB9725B">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炒货食品及坚果制品</w:t>
            </w:r>
          </w:p>
        </w:tc>
        <w:tc>
          <w:tcPr>
            <w:tcW w:w="797" w:type="dxa"/>
            <w:vMerge w:val="restart"/>
            <w:tcBorders>
              <w:tl2br w:val="nil"/>
              <w:tr2bl w:val="nil"/>
            </w:tcBorders>
            <w:vAlign w:val="center"/>
          </w:tcPr>
          <w:p w14:paraId="62EF8AA9">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炒货食品及坚果制品</w:t>
            </w:r>
          </w:p>
        </w:tc>
        <w:tc>
          <w:tcPr>
            <w:tcW w:w="797" w:type="dxa"/>
            <w:tcBorders>
              <w:tl2br w:val="nil"/>
              <w:tr2bl w:val="nil"/>
            </w:tcBorders>
            <w:vAlign w:val="center"/>
          </w:tcPr>
          <w:p w14:paraId="1016A455">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炒货食品及坚果制品（烘炒类、油炸类、其他类）</w:t>
            </w:r>
          </w:p>
        </w:tc>
        <w:tc>
          <w:tcPr>
            <w:tcW w:w="953" w:type="dxa"/>
            <w:tcBorders>
              <w:tl2br w:val="nil"/>
              <w:tr2bl w:val="nil"/>
            </w:tcBorders>
            <w:vAlign w:val="center"/>
          </w:tcPr>
          <w:p w14:paraId="712643A9">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开心果、杏仁、扁桃仁、松仁、瓜子</w:t>
            </w:r>
          </w:p>
        </w:tc>
        <w:tc>
          <w:tcPr>
            <w:tcW w:w="1896" w:type="dxa"/>
            <w:tcBorders>
              <w:tl2br w:val="nil"/>
              <w:tr2bl w:val="nil"/>
            </w:tcBorders>
            <w:vAlign w:val="center"/>
          </w:tcPr>
          <w:p w14:paraId="1E27A20A">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酸价（以脂肪计）（</w:t>
            </w:r>
            <w:r>
              <w:rPr>
                <w:color w:val="auto"/>
                <w:kern w:val="0"/>
                <w:sz w:val="18"/>
                <w:szCs w:val="18"/>
                <w:highlight w:val="none"/>
              </w:rPr>
              <w:t>KOH</w:t>
            </w:r>
            <w:r>
              <w:rPr>
                <w:rFonts w:hint="eastAsia" w:ascii="宋体" w:hAnsi="宋体" w:cs="宋体"/>
                <w:color w:val="auto"/>
                <w:kern w:val="0"/>
                <w:sz w:val="18"/>
                <w:szCs w:val="18"/>
                <w:highlight w:val="none"/>
              </w:rPr>
              <w:t>）、过氧化值（以脂肪计）、山梨酸及其钾盐（以山梨酸计）、糖精钠（以糖精计）</w:t>
            </w:r>
          </w:p>
        </w:tc>
        <w:tc>
          <w:tcPr>
            <w:tcW w:w="2956" w:type="dxa"/>
            <w:tcBorders>
              <w:tl2br w:val="nil"/>
              <w:tr2bl w:val="nil"/>
            </w:tcBorders>
            <w:vAlign w:val="center"/>
          </w:tcPr>
          <w:p w14:paraId="666B7EAD">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铅（以</w:t>
            </w:r>
            <w:r>
              <w:rPr>
                <w:color w:val="auto"/>
                <w:kern w:val="0"/>
                <w:sz w:val="18"/>
                <w:szCs w:val="18"/>
                <w:highlight w:val="none"/>
              </w:rPr>
              <w:t>Pb</w:t>
            </w:r>
            <w:r>
              <w:rPr>
                <w:rFonts w:hint="eastAsia" w:ascii="宋体" w:hAnsi="宋体" w:cs="宋体"/>
                <w:color w:val="auto"/>
                <w:kern w:val="0"/>
                <w:sz w:val="18"/>
                <w:szCs w:val="18"/>
                <w:highlight w:val="none"/>
              </w:rPr>
              <w:t>计）、黄曲霉毒素</w:t>
            </w:r>
            <w:r>
              <w:rPr>
                <w:color w:val="auto"/>
                <w:kern w:val="0"/>
                <w:sz w:val="18"/>
                <w:szCs w:val="18"/>
                <w:highlight w:val="none"/>
              </w:rPr>
              <w:t>B</w:t>
            </w:r>
            <w:r>
              <w:rPr>
                <w:color w:val="auto"/>
                <w:kern w:val="0"/>
                <w:sz w:val="18"/>
                <w:szCs w:val="18"/>
                <w:highlight w:val="none"/>
                <w:vertAlign w:val="subscript"/>
              </w:rPr>
              <w:t>1</w:t>
            </w:r>
            <w:r>
              <w:rPr>
                <w:rFonts w:hint="eastAsia" w:ascii="宋体" w:hAnsi="宋体" w:cs="宋体"/>
                <w:color w:val="auto"/>
                <w:kern w:val="0"/>
                <w:sz w:val="18"/>
                <w:szCs w:val="18"/>
                <w:highlight w:val="none"/>
              </w:rPr>
              <w:t>、、二氧化硫残留量、苯甲酸及其钠盐（以苯甲酸计）、脱氢乙酸及其钠盐（以脱氢乙酸计）、甜蜜素（以环己基氨基磺酸计）、安赛蜜、大肠菌群、霉菌</w:t>
            </w:r>
          </w:p>
        </w:tc>
      </w:tr>
      <w:tr w14:paraId="6A4C702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31" w:hRule="atLeast"/>
        </w:trPr>
        <w:tc>
          <w:tcPr>
            <w:tcW w:w="953" w:type="dxa"/>
            <w:vMerge w:val="continue"/>
            <w:tcBorders>
              <w:tl2br w:val="nil"/>
              <w:tr2bl w:val="nil"/>
            </w:tcBorders>
            <w:vAlign w:val="center"/>
          </w:tcPr>
          <w:p w14:paraId="3833A259">
            <w:pPr>
              <w:widowControl/>
              <w:jc w:val="left"/>
              <w:rPr>
                <w:rFonts w:eastAsia="等线"/>
                <w:color w:val="auto"/>
                <w:kern w:val="0"/>
                <w:sz w:val="18"/>
                <w:szCs w:val="18"/>
                <w:highlight w:val="none"/>
              </w:rPr>
            </w:pPr>
          </w:p>
        </w:tc>
        <w:tc>
          <w:tcPr>
            <w:tcW w:w="796" w:type="dxa"/>
            <w:vMerge w:val="continue"/>
            <w:tcBorders>
              <w:tl2br w:val="nil"/>
              <w:tr2bl w:val="nil"/>
            </w:tcBorders>
            <w:vAlign w:val="center"/>
          </w:tcPr>
          <w:p w14:paraId="45B35B96">
            <w:pPr>
              <w:widowControl/>
              <w:jc w:val="left"/>
              <w:rPr>
                <w:rFonts w:ascii="宋体" w:hAnsi="宋体" w:cs="宋体"/>
                <w:color w:val="auto"/>
                <w:kern w:val="0"/>
                <w:sz w:val="18"/>
                <w:szCs w:val="18"/>
                <w:highlight w:val="none"/>
              </w:rPr>
            </w:pPr>
          </w:p>
        </w:tc>
        <w:tc>
          <w:tcPr>
            <w:tcW w:w="797" w:type="dxa"/>
            <w:vMerge w:val="continue"/>
            <w:tcBorders>
              <w:tl2br w:val="nil"/>
              <w:tr2bl w:val="nil"/>
            </w:tcBorders>
            <w:vAlign w:val="center"/>
          </w:tcPr>
          <w:p w14:paraId="1D625FD8">
            <w:pPr>
              <w:widowControl/>
              <w:jc w:val="left"/>
              <w:rPr>
                <w:rFonts w:ascii="宋体" w:hAnsi="宋体" w:cs="宋体"/>
                <w:color w:val="auto"/>
                <w:kern w:val="0"/>
                <w:sz w:val="18"/>
                <w:szCs w:val="18"/>
                <w:highlight w:val="none"/>
              </w:rPr>
            </w:pPr>
          </w:p>
        </w:tc>
        <w:tc>
          <w:tcPr>
            <w:tcW w:w="797" w:type="dxa"/>
            <w:tcBorders>
              <w:tl2br w:val="nil"/>
              <w:tr2bl w:val="nil"/>
            </w:tcBorders>
            <w:vAlign w:val="center"/>
          </w:tcPr>
          <w:p w14:paraId="066A604F">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炒货食品及坚果制品（烘炒类、油炸类、其他类）</w:t>
            </w:r>
          </w:p>
        </w:tc>
        <w:tc>
          <w:tcPr>
            <w:tcW w:w="953" w:type="dxa"/>
            <w:tcBorders>
              <w:tl2br w:val="nil"/>
              <w:tr2bl w:val="nil"/>
            </w:tcBorders>
            <w:vAlign w:val="center"/>
          </w:tcPr>
          <w:p w14:paraId="3247448B">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其他炒货食品及坚果制品</w:t>
            </w:r>
          </w:p>
        </w:tc>
        <w:tc>
          <w:tcPr>
            <w:tcW w:w="1896" w:type="dxa"/>
            <w:tcBorders>
              <w:tl2br w:val="nil"/>
              <w:tr2bl w:val="nil"/>
            </w:tcBorders>
            <w:vAlign w:val="center"/>
          </w:tcPr>
          <w:p w14:paraId="6E81B640">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酸价（以脂肪计）（</w:t>
            </w:r>
            <w:r>
              <w:rPr>
                <w:color w:val="auto"/>
                <w:kern w:val="0"/>
                <w:sz w:val="18"/>
                <w:szCs w:val="18"/>
                <w:highlight w:val="none"/>
              </w:rPr>
              <w:t>KOH</w:t>
            </w:r>
            <w:r>
              <w:rPr>
                <w:rFonts w:hint="eastAsia" w:ascii="宋体" w:hAnsi="宋体" w:cs="宋体"/>
                <w:color w:val="auto"/>
                <w:kern w:val="0"/>
                <w:sz w:val="18"/>
                <w:szCs w:val="18"/>
                <w:highlight w:val="none"/>
              </w:rPr>
              <w:t>）、过氧化值（以脂肪计）、二氧化硫残留量、脱氢乙酸及其钠盐（以脱氢乙酸计）</w:t>
            </w:r>
          </w:p>
        </w:tc>
        <w:tc>
          <w:tcPr>
            <w:tcW w:w="2956" w:type="dxa"/>
            <w:tcBorders>
              <w:tl2br w:val="nil"/>
              <w:tr2bl w:val="nil"/>
            </w:tcBorders>
            <w:vAlign w:val="center"/>
          </w:tcPr>
          <w:p w14:paraId="7AB48F0B">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铅（以</w:t>
            </w:r>
            <w:r>
              <w:rPr>
                <w:color w:val="auto"/>
                <w:kern w:val="0"/>
                <w:sz w:val="18"/>
                <w:szCs w:val="18"/>
                <w:highlight w:val="none"/>
              </w:rPr>
              <w:t>Pb</w:t>
            </w:r>
            <w:r>
              <w:rPr>
                <w:rFonts w:hint="eastAsia" w:ascii="宋体" w:hAnsi="宋体" w:cs="宋体"/>
                <w:color w:val="auto"/>
                <w:kern w:val="0"/>
                <w:sz w:val="18"/>
                <w:szCs w:val="18"/>
                <w:highlight w:val="none"/>
              </w:rPr>
              <w:t>计）、黄曲霉毒素</w:t>
            </w:r>
            <w:r>
              <w:rPr>
                <w:color w:val="auto"/>
                <w:kern w:val="0"/>
                <w:sz w:val="18"/>
                <w:szCs w:val="18"/>
                <w:highlight w:val="none"/>
              </w:rPr>
              <w:t>B</w:t>
            </w:r>
            <w:r>
              <w:rPr>
                <w:color w:val="auto"/>
                <w:kern w:val="0"/>
                <w:sz w:val="18"/>
                <w:szCs w:val="18"/>
                <w:highlight w:val="none"/>
                <w:vertAlign w:val="subscript"/>
              </w:rPr>
              <w:t>1</w:t>
            </w:r>
            <w:r>
              <w:rPr>
                <w:rFonts w:hint="eastAsia" w:ascii="宋体" w:hAnsi="宋体" w:cs="宋体"/>
                <w:color w:val="auto"/>
                <w:kern w:val="0"/>
                <w:sz w:val="18"/>
                <w:szCs w:val="18"/>
                <w:highlight w:val="none"/>
              </w:rPr>
              <w:t>、苯甲酸及其钠盐（以苯甲酸计）、山梨酸及其钾盐（以山梨酸计）、糖精钠（以糖精计）、甜蜜素（以环己基氨基磺酸计）、安赛蜜、大肠菌群、霉菌</w:t>
            </w:r>
          </w:p>
        </w:tc>
      </w:tr>
      <w:tr w14:paraId="0A2CC73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946" w:hRule="atLeast"/>
        </w:trPr>
        <w:tc>
          <w:tcPr>
            <w:tcW w:w="953" w:type="dxa"/>
            <w:vMerge w:val="restart"/>
            <w:tcBorders>
              <w:tl2br w:val="nil"/>
              <w:tr2bl w:val="nil"/>
            </w:tcBorders>
            <w:vAlign w:val="center"/>
          </w:tcPr>
          <w:p w14:paraId="09B4D9EB">
            <w:pPr>
              <w:widowControl/>
              <w:jc w:val="center"/>
              <w:rPr>
                <w:rFonts w:eastAsia="等线"/>
                <w:color w:val="auto"/>
                <w:kern w:val="0"/>
                <w:sz w:val="18"/>
                <w:szCs w:val="18"/>
                <w:highlight w:val="none"/>
              </w:rPr>
            </w:pPr>
            <w:r>
              <w:rPr>
                <w:rFonts w:eastAsia="等线"/>
                <w:color w:val="auto"/>
                <w:kern w:val="0"/>
                <w:sz w:val="18"/>
                <w:szCs w:val="18"/>
                <w:highlight w:val="none"/>
              </w:rPr>
              <w:t>19</w:t>
            </w:r>
          </w:p>
        </w:tc>
        <w:tc>
          <w:tcPr>
            <w:tcW w:w="796" w:type="dxa"/>
            <w:vMerge w:val="restart"/>
            <w:tcBorders>
              <w:tl2br w:val="nil"/>
              <w:tr2bl w:val="nil"/>
            </w:tcBorders>
            <w:vAlign w:val="center"/>
          </w:tcPr>
          <w:p w14:paraId="26084FF3">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蛋制品</w:t>
            </w:r>
          </w:p>
        </w:tc>
        <w:tc>
          <w:tcPr>
            <w:tcW w:w="797" w:type="dxa"/>
            <w:vMerge w:val="restart"/>
            <w:tcBorders>
              <w:tl2br w:val="nil"/>
              <w:tr2bl w:val="nil"/>
            </w:tcBorders>
            <w:vAlign w:val="center"/>
          </w:tcPr>
          <w:p w14:paraId="0198E2AE">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蛋制品</w:t>
            </w:r>
          </w:p>
        </w:tc>
        <w:tc>
          <w:tcPr>
            <w:tcW w:w="797" w:type="dxa"/>
            <w:tcBorders>
              <w:tl2br w:val="nil"/>
              <w:tr2bl w:val="nil"/>
            </w:tcBorders>
            <w:vAlign w:val="center"/>
          </w:tcPr>
          <w:p w14:paraId="41D1C551">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再制蛋</w:t>
            </w:r>
          </w:p>
        </w:tc>
        <w:tc>
          <w:tcPr>
            <w:tcW w:w="953" w:type="dxa"/>
            <w:tcBorders>
              <w:tl2br w:val="nil"/>
              <w:tr2bl w:val="nil"/>
            </w:tcBorders>
            <w:vAlign w:val="center"/>
          </w:tcPr>
          <w:p w14:paraId="0E7AF166">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再制蛋</w:t>
            </w:r>
          </w:p>
        </w:tc>
        <w:tc>
          <w:tcPr>
            <w:tcW w:w="1896" w:type="dxa"/>
            <w:tcBorders>
              <w:tl2br w:val="nil"/>
              <w:tr2bl w:val="nil"/>
            </w:tcBorders>
            <w:vAlign w:val="center"/>
          </w:tcPr>
          <w:p w14:paraId="3FF4402A">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铅（以Pb计）、菌落总数、大肠菌群</w:t>
            </w:r>
          </w:p>
        </w:tc>
        <w:tc>
          <w:tcPr>
            <w:tcW w:w="2956" w:type="dxa"/>
            <w:tcBorders>
              <w:tl2br w:val="nil"/>
              <w:tr2bl w:val="nil"/>
            </w:tcBorders>
            <w:vAlign w:val="center"/>
          </w:tcPr>
          <w:p w14:paraId="28ACBB9D">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苯甲酸及其钠盐（以苯甲酸计）、山梨酸及其钾盐（以山梨酸计）、沙门氏菌</w:t>
            </w:r>
          </w:p>
        </w:tc>
      </w:tr>
      <w:tr w14:paraId="617A5C4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76" w:hRule="atLeast"/>
        </w:trPr>
        <w:tc>
          <w:tcPr>
            <w:tcW w:w="953" w:type="dxa"/>
            <w:vMerge w:val="continue"/>
            <w:tcBorders>
              <w:tl2br w:val="nil"/>
              <w:tr2bl w:val="nil"/>
            </w:tcBorders>
            <w:vAlign w:val="center"/>
          </w:tcPr>
          <w:p w14:paraId="3BD81EA5">
            <w:pPr>
              <w:widowControl/>
              <w:jc w:val="left"/>
              <w:rPr>
                <w:rFonts w:eastAsia="等线"/>
                <w:color w:val="auto"/>
                <w:kern w:val="0"/>
                <w:sz w:val="18"/>
                <w:szCs w:val="18"/>
                <w:highlight w:val="none"/>
              </w:rPr>
            </w:pPr>
          </w:p>
        </w:tc>
        <w:tc>
          <w:tcPr>
            <w:tcW w:w="796" w:type="dxa"/>
            <w:vMerge w:val="continue"/>
            <w:tcBorders>
              <w:tl2br w:val="nil"/>
              <w:tr2bl w:val="nil"/>
            </w:tcBorders>
            <w:vAlign w:val="center"/>
          </w:tcPr>
          <w:p w14:paraId="60C3A77B">
            <w:pPr>
              <w:widowControl/>
              <w:jc w:val="left"/>
              <w:rPr>
                <w:rFonts w:ascii="宋体" w:hAnsi="宋体" w:cs="宋体"/>
                <w:color w:val="auto"/>
                <w:kern w:val="0"/>
                <w:sz w:val="18"/>
                <w:szCs w:val="18"/>
                <w:highlight w:val="none"/>
              </w:rPr>
            </w:pPr>
          </w:p>
        </w:tc>
        <w:tc>
          <w:tcPr>
            <w:tcW w:w="797" w:type="dxa"/>
            <w:vMerge w:val="continue"/>
            <w:tcBorders>
              <w:tl2br w:val="nil"/>
              <w:tr2bl w:val="nil"/>
            </w:tcBorders>
            <w:vAlign w:val="center"/>
          </w:tcPr>
          <w:p w14:paraId="4EDDE516">
            <w:pPr>
              <w:widowControl/>
              <w:jc w:val="left"/>
              <w:rPr>
                <w:rFonts w:ascii="宋体" w:hAnsi="宋体" w:cs="宋体"/>
                <w:color w:val="auto"/>
                <w:kern w:val="0"/>
                <w:sz w:val="18"/>
                <w:szCs w:val="18"/>
                <w:highlight w:val="none"/>
              </w:rPr>
            </w:pPr>
          </w:p>
        </w:tc>
        <w:tc>
          <w:tcPr>
            <w:tcW w:w="797" w:type="dxa"/>
            <w:tcBorders>
              <w:tl2br w:val="nil"/>
              <w:tr2bl w:val="nil"/>
            </w:tcBorders>
            <w:vAlign w:val="center"/>
          </w:tcPr>
          <w:p w14:paraId="6EEEED60">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干蛋类</w:t>
            </w:r>
          </w:p>
        </w:tc>
        <w:tc>
          <w:tcPr>
            <w:tcW w:w="953" w:type="dxa"/>
            <w:tcBorders>
              <w:tl2br w:val="nil"/>
              <w:tr2bl w:val="nil"/>
            </w:tcBorders>
            <w:vAlign w:val="center"/>
          </w:tcPr>
          <w:p w14:paraId="1FB49C87">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干蛋类</w:t>
            </w:r>
          </w:p>
        </w:tc>
        <w:tc>
          <w:tcPr>
            <w:tcW w:w="1896" w:type="dxa"/>
            <w:tcBorders>
              <w:tl2br w:val="nil"/>
              <w:tr2bl w:val="nil"/>
            </w:tcBorders>
            <w:vAlign w:val="center"/>
          </w:tcPr>
          <w:p w14:paraId="1ED6D485">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菌落总数、大肠菌群</w:t>
            </w:r>
          </w:p>
        </w:tc>
        <w:tc>
          <w:tcPr>
            <w:tcW w:w="2956" w:type="dxa"/>
            <w:tcBorders>
              <w:tl2br w:val="nil"/>
              <w:tr2bl w:val="nil"/>
            </w:tcBorders>
            <w:vAlign w:val="center"/>
          </w:tcPr>
          <w:p w14:paraId="0475D74D">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沙门氏菌</w:t>
            </w:r>
          </w:p>
        </w:tc>
      </w:tr>
      <w:tr w14:paraId="1819FC7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76" w:hRule="atLeast"/>
        </w:trPr>
        <w:tc>
          <w:tcPr>
            <w:tcW w:w="953" w:type="dxa"/>
            <w:vMerge w:val="continue"/>
            <w:tcBorders>
              <w:tl2br w:val="nil"/>
              <w:tr2bl w:val="nil"/>
            </w:tcBorders>
            <w:vAlign w:val="center"/>
          </w:tcPr>
          <w:p w14:paraId="12BDA016">
            <w:pPr>
              <w:widowControl/>
              <w:jc w:val="left"/>
              <w:rPr>
                <w:rFonts w:eastAsia="等线"/>
                <w:color w:val="auto"/>
                <w:kern w:val="0"/>
                <w:sz w:val="18"/>
                <w:szCs w:val="18"/>
                <w:highlight w:val="none"/>
              </w:rPr>
            </w:pPr>
          </w:p>
        </w:tc>
        <w:tc>
          <w:tcPr>
            <w:tcW w:w="796" w:type="dxa"/>
            <w:vMerge w:val="continue"/>
            <w:tcBorders>
              <w:tl2br w:val="nil"/>
              <w:tr2bl w:val="nil"/>
            </w:tcBorders>
            <w:vAlign w:val="center"/>
          </w:tcPr>
          <w:p w14:paraId="53936D2B">
            <w:pPr>
              <w:widowControl/>
              <w:jc w:val="left"/>
              <w:rPr>
                <w:rFonts w:ascii="宋体" w:hAnsi="宋体" w:cs="宋体"/>
                <w:color w:val="auto"/>
                <w:kern w:val="0"/>
                <w:sz w:val="18"/>
                <w:szCs w:val="18"/>
                <w:highlight w:val="none"/>
              </w:rPr>
            </w:pPr>
          </w:p>
        </w:tc>
        <w:tc>
          <w:tcPr>
            <w:tcW w:w="797" w:type="dxa"/>
            <w:vMerge w:val="continue"/>
            <w:tcBorders>
              <w:tl2br w:val="nil"/>
              <w:tr2bl w:val="nil"/>
            </w:tcBorders>
            <w:vAlign w:val="center"/>
          </w:tcPr>
          <w:p w14:paraId="4CD13487">
            <w:pPr>
              <w:widowControl/>
              <w:jc w:val="left"/>
              <w:rPr>
                <w:rFonts w:ascii="宋体" w:hAnsi="宋体" w:cs="宋体"/>
                <w:color w:val="auto"/>
                <w:kern w:val="0"/>
                <w:sz w:val="18"/>
                <w:szCs w:val="18"/>
                <w:highlight w:val="none"/>
              </w:rPr>
            </w:pPr>
          </w:p>
        </w:tc>
        <w:tc>
          <w:tcPr>
            <w:tcW w:w="797" w:type="dxa"/>
            <w:tcBorders>
              <w:tl2br w:val="nil"/>
              <w:tr2bl w:val="nil"/>
            </w:tcBorders>
            <w:vAlign w:val="center"/>
          </w:tcPr>
          <w:p w14:paraId="261A51D5">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冰蛋类</w:t>
            </w:r>
          </w:p>
        </w:tc>
        <w:tc>
          <w:tcPr>
            <w:tcW w:w="953" w:type="dxa"/>
            <w:tcBorders>
              <w:tl2br w:val="nil"/>
              <w:tr2bl w:val="nil"/>
            </w:tcBorders>
            <w:vAlign w:val="center"/>
          </w:tcPr>
          <w:p w14:paraId="7337183C">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冰蛋类</w:t>
            </w:r>
          </w:p>
        </w:tc>
        <w:tc>
          <w:tcPr>
            <w:tcW w:w="1896" w:type="dxa"/>
            <w:tcBorders>
              <w:tl2br w:val="nil"/>
              <w:tr2bl w:val="nil"/>
            </w:tcBorders>
            <w:vAlign w:val="center"/>
          </w:tcPr>
          <w:p w14:paraId="5B6E694B">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菌落总数、大肠菌群</w:t>
            </w:r>
          </w:p>
        </w:tc>
        <w:tc>
          <w:tcPr>
            <w:tcW w:w="2956" w:type="dxa"/>
            <w:tcBorders>
              <w:tl2br w:val="nil"/>
              <w:tr2bl w:val="nil"/>
            </w:tcBorders>
            <w:vAlign w:val="center"/>
          </w:tcPr>
          <w:p w14:paraId="2633437E">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沙门氏菌</w:t>
            </w:r>
          </w:p>
        </w:tc>
      </w:tr>
      <w:tr w14:paraId="6424146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229" w:hRule="atLeast"/>
        </w:trPr>
        <w:tc>
          <w:tcPr>
            <w:tcW w:w="953" w:type="dxa"/>
            <w:vMerge w:val="continue"/>
            <w:tcBorders>
              <w:tl2br w:val="nil"/>
              <w:tr2bl w:val="nil"/>
            </w:tcBorders>
            <w:vAlign w:val="center"/>
          </w:tcPr>
          <w:p w14:paraId="4F09844F">
            <w:pPr>
              <w:widowControl/>
              <w:jc w:val="left"/>
              <w:rPr>
                <w:rFonts w:eastAsia="等线"/>
                <w:color w:val="auto"/>
                <w:kern w:val="0"/>
                <w:sz w:val="18"/>
                <w:szCs w:val="18"/>
                <w:highlight w:val="none"/>
              </w:rPr>
            </w:pPr>
          </w:p>
        </w:tc>
        <w:tc>
          <w:tcPr>
            <w:tcW w:w="796" w:type="dxa"/>
            <w:vMerge w:val="continue"/>
            <w:tcBorders>
              <w:tl2br w:val="nil"/>
              <w:tr2bl w:val="nil"/>
            </w:tcBorders>
            <w:vAlign w:val="center"/>
          </w:tcPr>
          <w:p w14:paraId="68B4334E">
            <w:pPr>
              <w:widowControl/>
              <w:jc w:val="left"/>
              <w:rPr>
                <w:rFonts w:ascii="宋体" w:hAnsi="宋体" w:cs="宋体"/>
                <w:color w:val="auto"/>
                <w:kern w:val="0"/>
                <w:sz w:val="18"/>
                <w:szCs w:val="18"/>
                <w:highlight w:val="none"/>
              </w:rPr>
            </w:pPr>
          </w:p>
        </w:tc>
        <w:tc>
          <w:tcPr>
            <w:tcW w:w="797" w:type="dxa"/>
            <w:vMerge w:val="continue"/>
            <w:tcBorders>
              <w:tl2br w:val="nil"/>
              <w:tr2bl w:val="nil"/>
            </w:tcBorders>
            <w:vAlign w:val="center"/>
          </w:tcPr>
          <w:p w14:paraId="5DD5E1AE">
            <w:pPr>
              <w:widowControl/>
              <w:jc w:val="left"/>
              <w:rPr>
                <w:rFonts w:ascii="宋体" w:hAnsi="宋体" w:cs="宋体"/>
                <w:color w:val="auto"/>
                <w:kern w:val="0"/>
                <w:sz w:val="18"/>
                <w:szCs w:val="18"/>
                <w:highlight w:val="none"/>
              </w:rPr>
            </w:pPr>
          </w:p>
        </w:tc>
        <w:tc>
          <w:tcPr>
            <w:tcW w:w="797" w:type="dxa"/>
            <w:tcBorders>
              <w:tl2br w:val="nil"/>
              <w:tr2bl w:val="nil"/>
            </w:tcBorders>
            <w:vAlign w:val="center"/>
          </w:tcPr>
          <w:p w14:paraId="68051B9F">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其他类</w:t>
            </w:r>
          </w:p>
        </w:tc>
        <w:tc>
          <w:tcPr>
            <w:tcW w:w="953" w:type="dxa"/>
            <w:tcBorders>
              <w:tl2br w:val="nil"/>
              <w:tr2bl w:val="nil"/>
            </w:tcBorders>
            <w:vAlign w:val="center"/>
          </w:tcPr>
          <w:p w14:paraId="0DCA72FF">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其他类</w:t>
            </w:r>
          </w:p>
        </w:tc>
        <w:tc>
          <w:tcPr>
            <w:tcW w:w="1896" w:type="dxa"/>
            <w:tcBorders>
              <w:tl2br w:val="nil"/>
              <w:tr2bl w:val="nil"/>
            </w:tcBorders>
            <w:vAlign w:val="center"/>
          </w:tcPr>
          <w:p w14:paraId="55E106F1">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脱氢乙酸及其钠盐（以脱氢乙酸计）、菌落总数、大肠菌群</w:t>
            </w:r>
          </w:p>
        </w:tc>
        <w:tc>
          <w:tcPr>
            <w:tcW w:w="2956" w:type="dxa"/>
            <w:tcBorders>
              <w:tl2br w:val="nil"/>
              <w:tr2bl w:val="nil"/>
            </w:tcBorders>
            <w:vAlign w:val="center"/>
          </w:tcPr>
          <w:p w14:paraId="7DE1F6AF">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铅（以</w:t>
            </w:r>
            <w:r>
              <w:rPr>
                <w:color w:val="auto"/>
                <w:kern w:val="0"/>
                <w:sz w:val="18"/>
                <w:szCs w:val="18"/>
                <w:highlight w:val="none"/>
              </w:rPr>
              <w:t>Pb</w:t>
            </w:r>
            <w:r>
              <w:rPr>
                <w:rFonts w:hint="eastAsia" w:ascii="宋体" w:hAnsi="宋体" w:cs="宋体"/>
                <w:color w:val="auto"/>
                <w:kern w:val="0"/>
                <w:sz w:val="18"/>
                <w:szCs w:val="18"/>
                <w:highlight w:val="none"/>
              </w:rPr>
              <w:t>计）、苯甲酸及其钠盐（以苯甲酸计）、山梨酸及其钾盐（以山梨酸计）、沙门氏菌</w:t>
            </w:r>
          </w:p>
        </w:tc>
      </w:tr>
      <w:tr w14:paraId="409BF04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90" w:hRule="atLeast"/>
        </w:trPr>
        <w:tc>
          <w:tcPr>
            <w:tcW w:w="953" w:type="dxa"/>
            <w:vMerge w:val="restart"/>
            <w:tcBorders>
              <w:tl2br w:val="nil"/>
              <w:tr2bl w:val="nil"/>
            </w:tcBorders>
            <w:vAlign w:val="center"/>
          </w:tcPr>
          <w:p w14:paraId="2AE8F046">
            <w:pPr>
              <w:widowControl/>
              <w:jc w:val="center"/>
              <w:rPr>
                <w:rFonts w:eastAsia="等线"/>
                <w:color w:val="auto"/>
                <w:kern w:val="0"/>
                <w:sz w:val="18"/>
                <w:szCs w:val="18"/>
                <w:highlight w:val="none"/>
              </w:rPr>
            </w:pPr>
            <w:r>
              <w:rPr>
                <w:rFonts w:eastAsia="等线"/>
                <w:color w:val="auto"/>
                <w:kern w:val="0"/>
                <w:sz w:val="18"/>
                <w:szCs w:val="18"/>
                <w:highlight w:val="none"/>
              </w:rPr>
              <w:t>20</w:t>
            </w:r>
          </w:p>
        </w:tc>
        <w:tc>
          <w:tcPr>
            <w:tcW w:w="796" w:type="dxa"/>
            <w:vMerge w:val="restart"/>
            <w:tcBorders>
              <w:tl2br w:val="nil"/>
              <w:tr2bl w:val="nil"/>
            </w:tcBorders>
            <w:vAlign w:val="center"/>
          </w:tcPr>
          <w:p w14:paraId="5E439971">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可可及焙烤咖啡产品</w:t>
            </w:r>
          </w:p>
        </w:tc>
        <w:tc>
          <w:tcPr>
            <w:tcW w:w="797" w:type="dxa"/>
            <w:tcBorders>
              <w:tl2br w:val="nil"/>
              <w:tr2bl w:val="nil"/>
            </w:tcBorders>
            <w:vAlign w:val="center"/>
          </w:tcPr>
          <w:p w14:paraId="68C347AF">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焙炒咖啡</w:t>
            </w:r>
          </w:p>
        </w:tc>
        <w:tc>
          <w:tcPr>
            <w:tcW w:w="797" w:type="dxa"/>
            <w:tcBorders>
              <w:tl2br w:val="nil"/>
              <w:tr2bl w:val="nil"/>
            </w:tcBorders>
            <w:vAlign w:val="center"/>
          </w:tcPr>
          <w:p w14:paraId="2841C1DA">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焙炒咖啡</w:t>
            </w:r>
          </w:p>
        </w:tc>
        <w:tc>
          <w:tcPr>
            <w:tcW w:w="953" w:type="dxa"/>
            <w:tcBorders>
              <w:tl2br w:val="nil"/>
              <w:tr2bl w:val="nil"/>
            </w:tcBorders>
            <w:vAlign w:val="center"/>
          </w:tcPr>
          <w:p w14:paraId="4462EE59">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焙炒咖啡</w:t>
            </w:r>
          </w:p>
        </w:tc>
        <w:tc>
          <w:tcPr>
            <w:tcW w:w="1896" w:type="dxa"/>
            <w:tcBorders>
              <w:tl2br w:val="nil"/>
              <w:tr2bl w:val="nil"/>
            </w:tcBorders>
            <w:vAlign w:val="center"/>
          </w:tcPr>
          <w:p w14:paraId="002B9C5D">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铅（以</w:t>
            </w:r>
            <w:r>
              <w:rPr>
                <w:color w:val="auto"/>
                <w:kern w:val="0"/>
                <w:sz w:val="18"/>
                <w:szCs w:val="18"/>
                <w:highlight w:val="none"/>
              </w:rPr>
              <w:t>Pb</w:t>
            </w:r>
            <w:r>
              <w:rPr>
                <w:rFonts w:hint="eastAsia" w:ascii="宋体" w:hAnsi="宋体" w:cs="宋体"/>
                <w:color w:val="auto"/>
                <w:kern w:val="0"/>
                <w:sz w:val="18"/>
                <w:szCs w:val="18"/>
                <w:highlight w:val="none"/>
              </w:rPr>
              <w:t>计）</w:t>
            </w:r>
          </w:p>
        </w:tc>
        <w:tc>
          <w:tcPr>
            <w:tcW w:w="2956" w:type="dxa"/>
            <w:tcBorders>
              <w:tl2br w:val="nil"/>
              <w:tr2bl w:val="nil"/>
            </w:tcBorders>
            <w:vAlign w:val="center"/>
          </w:tcPr>
          <w:p w14:paraId="0595C67D">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咖啡因、赭曲霉毒素</w:t>
            </w:r>
            <w:r>
              <w:rPr>
                <w:color w:val="auto"/>
                <w:kern w:val="0"/>
                <w:sz w:val="18"/>
                <w:szCs w:val="18"/>
                <w:highlight w:val="none"/>
              </w:rPr>
              <w:t>A</w:t>
            </w:r>
          </w:p>
        </w:tc>
      </w:tr>
      <w:tr w14:paraId="2499636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90" w:hRule="atLeast"/>
        </w:trPr>
        <w:tc>
          <w:tcPr>
            <w:tcW w:w="953" w:type="dxa"/>
            <w:vMerge w:val="continue"/>
            <w:tcBorders>
              <w:tl2br w:val="nil"/>
              <w:tr2bl w:val="nil"/>
            </w:tcBorders>
            <w:vAlign w:val="center"/>
          </w:tcPr>
          <w:p w14:paraId="61D57773">
            <w:pPr>
              <w:widowControl/>
              <w:jc w:val="left"/>
              <w:rPr>
                <w:rFonts w:eastAsia="等线"/>
                <w:color w:val="auto"/>
                <w:kern w:val="0"/>
                <w:sz w:val="18"/>
                <w:szCs w:val="18"/>
                <w:highlight w:val="none"/>
              </w:rPr>
            </w:pPr>
          </w:p>
        </w:tc>
        <w:tc>
          <w:tcPr>
            <w:tcW w:w="796" w:type="dxa"/>
            <w:vMerge w:val="continue"/>
            <w:tcBorders>
              <w:tl2br w:val="nil"/>
              <w:tr2bl w:val="nil"/>
            </w:tcBorders>
            <w:vAlign w:val="center"/>
          </w:tcPr>
          <w:p w14:paraId="42D4C891">
            <w:pPr>
              <w:widowControl/>
              <w:jc w:val="left"/>
              <w:rPr>
                <w:rFonts w:ascii="宋体" w:hAnsi="宋体" w:cs="宋体"/>
                <w:color w:val="auto"/>
                <w:kern w:val="0"/>
                <w:sz w:val="18"/>
                <w:szCs w:val="18"/>
                <w:highlight w:val="none"/>
              </w:rPr>
            </w:pPr>
          </w:p>
        </w:tc>
        <w:tc>
          <w:tcPr>
            <w:tcW w:w="797" w:type="dxa"/>
            <w:tcBorders>
              <w:tl2br w:val="nil"/>
              <w:tr2bl w:val="nil"/>
            </w:tcBorders>
            <w:vAlign w:val="center"/>
          </w:tcPr>
          <w:p w14:paraId="260C0ED9">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可可制品</w:t>
            </w:r>
          </w:p>
        </w:tc>
        <w:tc>
          <w:tcPr>
            <w:tcW w:w="797" w:type="dxa"/>
            <w:tcBorders>
              <w:tl2br w:val="nil"/>
              <w:tr2bl w:val="nil"/>
            </w:tcBorders>
            <w:vAlign w:val="center"/>
          </w:tcPr>
          <w:p w14:paraId="1181EFED">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可可制品</w:t>
            </w:r>
          </w:p>
        </w:tc>
        <w:tc>
          <w:tcPr>
            <w:tcW w:w="953" w:type="dxa"/>
            <w:tcBorders>
              <w:tl2br w:val="nil"/>
              <w:tr2bl w:val="nil"/>
            </w:tcBorders>
            <w:vAlign w:val="center"/>
          </w:tcPr>
          <w:p w14:paraId="162F72A3">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可可制品</w:t>
            </w:r>
          </w:p>
        </w:tc>
        <w:tc>
          <w:tcPr>
            <w:tcW w:w="1896" w:type="dxa"/>
            <w:tcBorders>
              <w:tl2br w:val="nil"/>
              <w:tr2bl w:val="nil"/>
            </w:tcBorders>
            <w:vAlign w:val="center"/>
          </w:tcPr>
          <w:p w14:paraId="373FD121">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铅（以</w:t>
            </w:r>
            <w:r>
              <w:rPr>
                <w:color w:val="auto"/>
                <w:kern w:val="0"/>
                <w:sz w:val="18"/>
                <w:szCs w:val="18"/>
                <w:highlight w:val="none"/>
              </w:rPr>
              <w:t>Pb</w:t>
            </w:r>
            <w:r>
              <w:rPr>
                <w:rFonts w:hint="eastAsia" w:ascii="宋体" w:hAnsi="宋体" w:cs="宋体"/>
                <w:color w:val="auto"/>
                <w:kern w:val="0"/>
                <w:sz w:val="18"/>
                <w:szCs w:val="18"/>
                <w:highlight w:val="none"/>
              </w:rPr>
              <w:t>计）</w:t>
            </w:r>
          </w:p>
        </w:tc>
        <w:tc>
          <w:tcPr>
            <w:tcW w:w="2956" w:type="dxa"/>
            <w:tcBorders>
              <w:tl2br w:val="nil"/>
              <w:tr2bl w:val="nil"/>
            </w:tcBorders>
            <w:vAlign w:val="center"/>
          </w:tcPr>
          <w:p w14:paraId="7E5B0FB7">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沙门氏菌</w:t>
            </w:r>
          </w:p>
        </w:tc>
      </w:tr>
      <w:tr w14:paraId="312B663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44" w:hRule="atLeast"/>
        </w:trPr>
        <w:tc>
          <w:tcPr>
            <w:tcW w:w="953" w:type="dxa"/>
            <w:vMerge w:val="restart"/>
            <w:tcBorders>
              <w:tl2br w:val="nil"/>
              <w:tr2bl w:val="nil"/>
            </w:tcBorders>
            <w:vAlign w:val="center"/>
          </w:tcPr>
          <w:p w14:paraId="6A6562E8">
            <w:pPr>
              <w:widowControl/>
              <w:jc w:val="center"/>
              <w:rPr>
                <w:rFonts w:eastAsia="等线"/>
                <w:color w:val="auto"/>
                <w:kern w:val="0"/>
                <w:sz w:val="18"/>
                <w:szCs w:val="18"/>
                <w:highlight w:val="none"/>
              </w:rPr>
            </w:pPr>
            <w:r>
              <w:rPr>
                <w:rFonts w:eastAsia="等线"/>
                <w:color w:val="auto"/>
                <w:kern w:val="0"/>
                <w:sz w:val="18"/>
                <w:szCs w:val="18"/>
                <w:highlight w:val="none"/>
              </w:rPr>
              <w:t>21</w:t>
            </w:r>
          </w:p>
        </w:tc>
        <w:tc>
          <w:tcPr>
            <w:tcW w:w="796" w:type="dxa"/>
            <w:vMerge w:val="restart"/>
            <w:tcBorders>
              <w:tl2br w:val="nil"/>
              <w:tr2bl w:val="nil"/>
            </w:tcBorders>
            <w:vAlign w:val="center"/>
          </w:tcPr>
          <w:p w14:paraId="3BD4754A">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食糖</w:t>
            </w:r>
          </w:p>
        </w:tc>
        <w:tc>
          <w:tcPr>
            <w:tcW w:w="797" w:type="dxa"/>
            <w:vMerge w:val="restart"/>
            <w:tcBorders>
              <w:tl2br w:val="nil"/>
              <w:tr2bl w:val="nil"/>
            </w:tcBorders>
            <w:vAlign w:val="center"/>
          </w:tcPr>
          <w:p w14:paraId="1947F796">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食糖</w:t>
            </w:r>
          </w:p>
        </w:tc>
        <w:tc>
          <w:tcPr>
            <w:tcW w:w="797" w:type="dxa"/>
            <w:vMerge w:val="restart"/>
            <w:tcBorders>
              <w:tl2br w:val="nil"/>
              <w:tr2bl w:val="nil"/>
            </w:tcBorders>
            <w:vAlign w:val="center"/>
          </w:tcPr>
          <w:p w14:paraId="7BC93A8E">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食糖</w:t>
            </w:r>
          </w:p>
        </w:tc>
        <w:tc>
          <w:tcPr>
            <w:tcW w:w="953" w:type="dxa"/>
            <w:tcBorders>
              <w:tl2br w:val="nil"/>
              <w:tr2bl w:val="nil"/>
            </w:tcBorders>
            <w:vAlign w:val="center"/>
          </w:tcPr>
          <w:p w14:paraId="12287F4A">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红糖</w:t>
            </w:r>
          </w:p>
        </w:tc>
        <w:tc>
          <w:tcPr>
            <w:tcW w:w="1896" w:type="dxa"/>
            <w:tcBorders>
              <w:tl2br w:val="nil"/>
              <w:tr2bl w:val="nil"/>
            </w:tcBorders>
            <w:vAlign w:val="center"/>
          </w:tcPr>
          <w:p w14:paraId="174DC4CC">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二氧化硫残留量、螨、日落黄、柠檬黄</w:t>
            </w:r>
          </w:p>
        </w:tc>
        <w:tc>
          <w:tcPr>
            <w:tcW w:w="2956" w:type="dxa"/>
            <w:tcBorders>
              <w:tl2br w:val="nil"/>
              <w:tr2bl w:val="nil"/>
            </w:tcBorders>
            <w:vAlign w:val="center"/>
          </w:tcPr>
          <w:p w14:paraId="106477AB">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总糖分、不溶于水杂质、干燥失重</w:t>
            </w:r>
          </w:p>
        </w:tc>
      </w:tr>
      <w:tr w14:paraId="725F953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080" w:hRule="atLeast"/>
        </w:trPr>
        <w:tc>
          <w:tcPr>
            <w:tcW w:w="953" w:type="dxa"/>
            <w:vMerge w:val="continue"/>
            <w:tcBorders>
              <w:tl2br w:val="nil"/>
              <w:tr2bl w:val="nil"/>
            </w:tcBorders>
            <w:vAlign w:val="center"/>
          </w:tcPr>
          <w:p w14:paraId="4388C6D2">
            <w:pPr>
              <w:widowControl/>
              <w:jc w:val="left"/>
              <w:rPr>
                <w:rFonts w:eastAsia="等线"/>
                <w:color w:val="auto"/>
                <w:kern w:val="0"/>
                <w:sz w:val="18"/>
                <w:szCs w:val="18"/>
                <w:highlight w:val="none"/>
              </w:rPr>
            </w:pPr>
          </w:p>
        </w:tc>
        <w:tc>
          <w:tcPr>
            <w:tcW w:w="796" w:type="dxa"/>
            <w:vMerge w:val="continue"/>
            <w:tcBorders>
              <w:tl2br w:val="nil"/>
              <w:tr2bl w:val="nil"/>
            </w:tcBorders>
            <w:vAlign w:val="center"/>
          </w:tcPr>
          <w:p w14:paraId="3D3A1749">
            <w:pPr>
              <w:widowControl/>
              <w:jc w:val="left"/>
              <w:rPr>
                <w:rFonts w:ascii="宋体" w:hAnsi="宋体" w:cs="宋体"/>
                <w:color w:val="auto"/>
                <w:kern w:val="0"/>
                <w:sz w:val="18"/>
                <w:szCs w:val="18"/>
                <w:highlight w:val="none"/>
              </w:rPr>
            </w:pPr>
          </w:p>
        </w:tc>
        <w:tc>
          <w:tcPr>
            <w:tcW w:w="797" w:type="dxa"/>
            <w:vMerge w:val="continue"/>
            <w:tcBorders>
              <w:tl2br w:val="nil"/>
              <w:tr2bl w:val="nil"/>
            </w:tcBorders>
            <w:vAlign w:val="center"/>
          </w:tcPr>
          <w:p w14:paraId="035B6EF5">
            <w:pPr>
              <w:widowControl/>
              <w:jc w:val="left"/>
              <w:rPr>
                <w:rFonts w:ascii="宋体" w:hAnsi="宋体" w:cs="宋体"/>
                <w:color w:val="auto"/>
                <w:kern w:val="0"/>
                <w:sz w:val="18"/>
                <w:szCs w:val="18"/>
                <w:highlight w:val="none"/>
              </w:rPr>
            </w:pPr>
          </w:p>
        </w:tc>
        <w:tc>
          <w:tcPr>
            <w:tcW w:w="797" w:type="dxa"/>
            <w:vMerge w:val="continue"/>
            <w:tcBorders>
              <w:tl2br w:val="nil"/>
              <w:tr2bl w:val="nil"/>
            </w:tcBorders>
            <w:vAlign w:val="center"/>
          </w:tcPr>
          <w:p w14:paraId="7C13B86F">
            <w:pPr>
              <w:widowControl/>
              <w:jc w:val="left"/>
              <w:rPr>
                <w:rFonts w:ascii="宋体" w:hAnsi="宋体" w:cs="宋体"/>
                <w:color w:val="auto"/>
                <w:kern w:val="0"/>
                <w:sz w:val="18"/>
                <w:szCs w:val="18"/>
                <w:highlight w:val="none"/>
              </w:rPr>
            </w:pPr>
          </w:p>
        </w:tc>
        <w:tc>
          <w:tcPr>
            <w:tcW w:w="953" w:type="dxa"/>
            <w:tcBorders>
              <w:tl2br w:val="nil"/>
              <w:tr2bl w:val="nil"/>
            </w:tcBorders>
            <w:vAlign w:val="center"/>
          </w:tcPr>
          <w:p w14:paraId="13398039">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冰糖</w:t>
            </w:r>
          </w:p>
        </w:tc>
        <w:tc>
          <w:tcPr>
            <w:tcW w:w="1896" w:type="dxa"/>
            <w:tcBorders>
              <w:tl2br w:val="nil"/>
              <w:tr2bl w:val="nil"/>
            </w:tcBorders>
            <w:vAlign w:val="center"/>
          </w:tcPr>
          <w:p w14:paraId="09CF515A">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二氧化硫残留量、螨、还原糖分、合成着色剂（日落黄、柠檬黄）</w:t>
            </w:r>
          </w:p>
        </w:tc>
        <w:tc>
          <w:tcPr>
            <w:tcW w:w="2956" w:type="dxa"/>
            <w:tcBorders>
              <w:tl2br w:val="nil"/>
              <w:tr2bl w:val="nil"/>
            </w:tcBorders>
            <w:vAlign w:val="center"/>
          </w:tcPr>
          <w:p w14:paraId="1FFB9DE2">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蔗糖分、色值、干燥失重、合成着色剂（新红、苋菜红、胭脂红、诱惑红、酸性红）</w:t>
            </w:r>
          </w:p>
        </w:tc>
      </w:tr>
      <w:tr w14:paraId="54F1D8B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616" w:hRule="atLeast"/>
        </w:trPr>
        <w:tc>
          <w:tcPr>
            <w:tcW w:w="953" w:type="dxa"/>
            <w:vMerge w:val="continue"/>
            <w:tcBorders>
              <w:tl2br w:val="nil"/>
              <w:tr2bl w:val="nil"/>
            </w:tcBorders>
            <w:vAlign w:val="center"/>
          </w:tcPr>
          <w:p w14:paraId="36EE88CD">
            <w:pPr>
              <w:widowControl/>
              <w:jc w:val="left"/>
              <w:rPr>
                <w:rFonts w:eastAsia="等线"/>
                <w:color w:val="auto"/>
                <w:kern w:val="0"/>
                <w:sz w:val="18"/>
                <w:szCs w:val="18"/>
                <w:highlight w:val="none"/>
              </w:rPr>
            </w:pPr>
          </w:p>
        </w:tc>
        <w:tc>
          <w:tcPr>
            <w:tcW w:w="796" w:type="dxa"/>
            <w:vMerge w:val="continue"/>
            <w:tcBorders>
              <w:tl2br w:val="nil"/>
              <w:tr2bl w:val="nil"/>
            </w:tcBorders>
            <w:vAlign w:val="center"/>
          </w:tcPr>
          <w:p w14:paraId="58B554A6">
            <w:pPr>
              <w:widowControl/>
              <w:jc w:val="left"/>
              <w:rPr>
                <w:rFonts w:ascii="宋体" w:hAnsi="宋体" w:cs="宋体"/>
                <w:color w:val="auto"/>
                <w:kern w:val="0"/>
                <w:sz w:val="18"/>
                <w:szCs w:val="18"/>
                <w:highlight w:val="none"/>
              </w:rPr>
            </w:pPr>
          </w:p>
        </w:tc>
        <w:tc>
          <w:tcPr>
            <w:tcW w:w="797" w:type="dxa"/>
            <w:vMerge w:val="continue"/>
            <w:tcBorders>
              <w:tl2br w:val="nil"/>
              <w:tr2bl w:val="nil"/>
            </w:tcBorders>
            <w:vAlign w:val="center"/>
          </w:tcPr>
          <w:p w14:paraId="6355C8F8">
            <w:pPr>
              <w:widowControl/>
              <w:jc w:val="left"/>
              <w:rPr>
                <w:rFonts w:ascii="宋体" w:hAnsi="宋体" w:cs="宋体"/>
                <w:color w:val="auto"/>
                <w:kern w:val="0"/>
                <w:sz w:val="18"/>
                <w:szCs w:val="18"/>
                <w:highlight w:val="none"/>
              </w:rPr>
            </w:pPr>
          </w:p>
        </w:tc>
        <w:tc>
          <w:tcPr>
            <w:tcW w:w="797" w:type="dxa"/>
            <w:vMerge w:val="continue"/>
            <w:tcBorders>
              <w:tl2br w:val="nil"/>
              <w:tr2bl w:val="nil"/>
            </w:tcBorders>
            <w:vAlign w:val="center"/>
          </w:tcPr>
          <w:p w14:paraId="44B9567D">
            <w:pPr>
              <w:widowControl/>
              <w:jc w:val="left"/>
              <w:rPr>
                <w:rFonts w:ascii="宋体" w:hAnsi="宋体" w:cs="宋体"/>
                <w:color w:val="auto"/>
                <w:kern w:val="0"/>
                <w:sz w:val="18"/>
                <w:szCs w:val="18"/>
                <w:highlight w:val="none"/>
              </w:rPr>
            </w:pPr>
          </w:p>
        </w:tc>
        <w:tc>
          <w:tcPr>
            <w:tcW w:w="953" w:type="dxa"/>
            <w:tcBorders>
              <w:tl2br w:val="nil"/>
              <w:tr2bl w:val="nil"/>
            </w:tcBorders>
            <w:vAlign w:val="center"/>
          </w:tcPr>
          <w:p w14:paraId="0343D265">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冰片糖</w:t>
            </w:r>
          </w:p>
        </w:tc>
        <w:tc>
          <w:tcPr>
            <w:tcW w:w="1896" w:type="dxa"/>
            <w:tcBorders>
              <w:tl2br w:val="nil"/>
              <w:tr2bl w:val="nil"/>
            </w:tcBorders>
            <w:vAlign w:val="center"/>
          </w:tcPr>
          <w:p w14:paraId="052CF2F2">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二氧化硫残留量、螨</w:t>
            </w:r>
          </w:p>
        </w:tc>
        <w:tc>
          <w:tcPr>
            <w:tcW w:w="2956" w:type="dxa"/>
            <w:tcBorders>
              <w:tl2br w:val="nil"/>
              <w:tr2bl w:val="nil"/>
            </w:tcBorders>
            <w:vAlign w:val="center"/>
          </w:tcPr>
          <w:p w14:paraId="1C3AA685">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总糖分、还原糖分、干燥失重、合成着色剂（柠檬黄、新红、苋菜红、胭脂红、日落黄、诱惑红、酸性红、喹啉黄、赤藓红）</w:t>
            </w:r>
          </w:p>
        </w:tc>
      </w:tr>
      <w:tr w14:paraId="7841B42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90" w:hRule="atLeast"/>
        </w:trPr>
        <w:tc>
          <w:tcPr>
            <w:tcW w:w="953" w:type="dxa"/>
            <w:vMerge w:val="restart"/>
            <w:tcBorders>
              <w:tl2br w:val="nil"/>
              <w:tr2bl w:val="nil"/>
            </w:tcBorders>
            <w:vAlign w:val="center"/>
          </w:tcPr>
          <w:p w14:paraId="40CEE74E">
            <w:pPr>
              <w:widowControl/>
              <w:jc w:val="center"/>
              <w:rPr>
                <w:rFonts w:eastAsia="等线"/>
                <w:color w:val="auto"/>
                <w:kern w:val="0"/>
                <w:sz w:val="18"/>
                <w:szCs w:val="18"/>
                <w:highlight w:val="none"/>
              </w:rPr>
            </w:pPr>
            <w:r>
              <w:rPr>
                <w:rFonts w:eastAsia="等线"/>
                <w:color w:val="auto"/>
                <w:kern w:val="0"/>
                <w:sz w:val="18"/>
                <w:szCs w:val="18"/>
                <w:highlight w:val="none"/>
              </w:rPr>
              <w:t>22</w:t>
            </w:r>
          </w:p>
        </w:tc>
        <w:tc>
          <w:tcPr>
            <w:tcW w:w="796" w:type="dxa"/>
            <w:vMerge w:val="restart"/>
            <w:tcBorders>
              <w:tl2br w:val="nil"/>
              <w:tr2bl w:val="nil"/>
            </w:tcBorders>
            <w:vAlign w:val="center"/>
          </w:tcPr>
          <w:p w14:paraId="3D87E38C">
            <w:pPr>
              <w:widowControl/>
              <w:rPr>
                <w:rFonts w:ascii="宋体" w:hAnsi="宋体" w:cs="宋体"/>
                <w:color w:val="auto"/>
                <w:kern w:val="0"/>
                <w:sz w:val="18"/>
                <w:szCs w:val="18"/>
                <w:highlight w:val="none"/>
              </w:rPr>
            </w:pPr>
            <w:r>
              <w:rPr>
                <w:rFonts w:hint="eastAsia" w:ascii="宋体" w:hAnsi="宋体" w:cs="宋体"/>
                <w:color w:val="auto"/>
                <w:kern w:val="0"/>
                <w:sz w:val="18"/>
                <w:szCs w:val="18"/>
                <w:highlight w:val="none"/>
              </w:rPr>
              <w:t>水产制品</w:t>
            </w:r>
          </w:p>
        </w:tc>
        <w:tc>
          <w:tcPr>
            <w:tcW w:w="797" w:type="dxa"/>
            <w:vMerge w:val="restart"/>
            <w:tcBorders>
              <w:tl2br w:val="nil"/>
              <w:tr2bl w:val="nil"/>
            </w:tcBorders>
            <w:vAlign w:val="center"/>
          </w:tcPr>
          <w:p w14:paraId="23A0A106">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水产制品</w:t>
            </w:r>
          </w:p>
        </w:tc>
        <w:tc>
          <w:tcPr>
            <w:tcW w:w="797" w:type="dxa"/>
            <w:vMerge w:val="restart"/>
            <w:tcBorders>
              <w:tl2br w:val="nil"/>
              <w:tr2bl w:val="nil"/>
            </w:tcBorders>
            <w:vAlign w:val="center"/>
          </w:tcPr>
          <w:p w14:paraId="77C7A0DF">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干制水产品</w:t>
            </w:r>
          </w:p>
        </w:tc>
        <w:tc>
          <w:tcPr>
            <w:tcW w:w="953" w:type="dxa"/>
            <w:tcBorders>
              <w:tl2br w:val="nil"/>
              <w:tr2bl w:val="nil"/>
            </w:tcBorders>
            <w:vAlign w:val="center"/>
          </w:tcPr>
          <w:p w14:paraId="36B0DC12">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藻类干制品</w:t>
            </w:r>
          </w:p>
        </w:tc>
        <w:tc>
          <w:tcPr>
            <w:tcW w:w="1896" w:type="dxa"/>
            <w:tcBorders>
              <w:tl2br w:val="nil"/>
              <w:tr2bl w:val="nil"/>
            </w:tcBorders>
            <w:vAlign w:val="center"/>
          </w:tcPr>
          <w:p w14:paraId="1883D7E9">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铅（以</w:t>
            </w:r>
            <w:r>
              <w:rPr>
                <w:color w:val="auto"/>
                <w:kern w:val="0"/>
                <w:sz w:val="18"/>
                <w:szCs w:val="18"/>
                <w:highlight w:val="none"/>
              </w:rPr>
              <w:t>Pb</w:t>
            </w:r>
            <w:r>
              <w:rPr>
                <w:rFonts w:hint="eastAsia" w:ascii="宋体" w:hAnsi="宋体" w:cs="宋体"/>
                <w:color w:val="auto"/>
                <w:kern w:val="0"/>
                <w:sz w:val="18"/>
                <w:szCs w:val="18"/>
                <w:highlight w:val="none"/>
              </w:rPr>
              <w:t>计）</w:t>
            </w:r>
          </w:p>
        </w:tc>
        <w:tc>
          <w:tcPr>
            <w:tcW w:w="2956" w:type="dxa"/>
            <w:tcBorders>
              <w:tl2br w:val="nil"/>
              <w:tr2bl w:val="nil"/>
            </w:tcBorders>
            <w:vAlign w:val="center"/>
          </w:tcPr>
          <w:p w14:paraId="5D308313">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菌落总数、大肠菌群</w:t>
            </w:r>
          </w:p>
        </w:tc>
      </w:tr>
      <w:tr w14:paraId="57133C8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 w:hRule="atLeast"/>
        </w:trPr>
        <w:tc>
          <w:tcPr>
            <w:tcW w:w="953" w:type="dxa"/>
            <w:vMerge w:val="continue"/>
            <w:tcBorders>
              <w:tl2br w:val="nil"/>
              <w:tr2bl w:val="nil"/>
            </w:tcBorders>
            <w:vAlign w:val="center"/>
          </w:tcPr>
          <w:p w14:paraId="79539B7A">
            <w:pPr>
              <w:widowControl/>
              <w:jc w:val="left"/>
              <w:rPr>
                <w:rFonts w:eastAsia="等线"/>
                <w:color w:val="auto"/>
                <w:kern w:val="0"/>
                <w:sz w:val="18"/>
                <w:szCs w:val="18"/>
                <w:highlight w:val="none"/>
              </w:rPr>
            </w:pPr>
          </w:p>
        </w:tc>
        <w:tc>
          <w:tcPr>
            <w:tcW w:w="796" w:type="dxa"/>
            <w:vMerge w:val="continue"/>
            <w:tcBorders>
              <w:tl2br w:val="nil"/>
              <w:tr2bl w:val="nil"/>
            </w:tcBorders>
            <w:vAlign w:val="center"/>
          </w:tcPr>
          <w:p w14:paraId="09C44CB0">
            <w:pPr>
              <w:widowControl/>
              <w:jc w:val="left"/>
              <w:rPr>
                <w:rFonts w:ascii="宋体" w:hAnsi="宋体" w:cs="宋体"/>
                <w:color w:val="auto"/>
                <w:kern w:val="0"/>
                <w:sz w:val="18"/>
                <w:szCs w:val="18"/>
                <w:highlight w:val="none"/>
              </w:rPr>
            </w:pPr>
          </w:p>
        </w:tc>
        <w:tc>
          <w:tcPr>
            <w:tcW w:w="797" w:type="dxa"/>
            <w:vMerge w:val="continue"/>
            <w:tcBorders>
              <w:tl2br w:val="nil"/>
              <w:tr2bl w:val="nil"/>
            </w:tcBorders>
            <w:vAlign w:val="center"/>
          </w:tcPr>
          <w:p w14:paraId="44BBBBB6">
            <w:pPr>
              <w:widowControl/>
              <w:jc w:val="left"/>
              <w:rPr>
                <w:rFonts w:ascii="宋体" w:hAnsi="宋体" w:cs="宋体"/>
                <w:color w:val="auto"/>
                <w:kern w:val="0"/>
                <w:sz w:val="18"/>
                <w:szCs w:val="18"/>
                <w:highlight w:val="none"/>
              </w:rPr>
            </w:pPr>
          </w:p>
        </w:tc>
        <w:tc>
          <w:tcPr>
            <w:tcW w:w="797" w:type="dxa"/>
            <w:vMerge w:val="continue"/>
            <w:tcBorders>
              <w:tl2br w:val="nil"/>
              <w:tr2bl w:val="nil"/>
            </w:tcBorders>
            <w:vAlign w:val="center"/>
          </w:tcPr>
          <w:p w14:paraId="3685399B">
            <w:pPr>
              <w:widowControl/>
              <w:jc w:val="left"/>
              <w:rPr>
                <w:rFonts w:ascii="宋体" w:hAnsi="宋体" w:cs="宋体"/>
                <w:color w:val="auto"/>
                <w:kern w:val="0"/>
                <w:sz w:val="18"/>
                <w:szCs w:val="18"/>
                <w:highlight w:val="none"/>
              </w:rPr>
            </w:pPr>
          </w:p>
        </w:tc>
        <w:tc>
          <w:tcPr>
            <w:tcW w:w="953" w:type="dxa"/>
            <w:tcBorders>
              <w:tl2br w:val="nil"/>
              <w:tr2bl w:val="nil"/>
            </w:tcBorders>
            <w:vAlign w:val="center"/>
          </w:tcPr>
          <w:p w14:paraId="45DFE114">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预制动物性水产干制品</w:t>
            </w:r>
          </w:p>
        </w:tc>
        <w:tc>
          <w:tcPr>
            <w:tcW w:w="1896" w:type="dxa"/>
            <w:tcBorders>
              <w:tl2br w:val="nil"/>
              <w:tr2bl w:val="nil"/>
            </w:tcBorders>
            <w:vAlign w:val="center"/>
          </w:tcPr>
          <w:p w14:paraId="09109E15">
            <w:pPr>
              <w:widowControl/>
              <w:jc w:val="left"/>
              <w:rPr>
                <w:rFonts w:eastAsia="等线"/>
                <w:color w:val="auto"/>
                <w:kern w:val="0"/>
                <w:sz w:val="18"/>
                <w:szCs w:val="18"/>
                <w:highlight w:val="none"/>
              </w:rPr>
            </w:pPr>
            <w:r>
              <w:rPr>
                <w:rFonts w:eastAsia="等线"/>
                <w:color w:val="auto"/>
                <w:kern w:val="0"/>
                <w:sz w:val="18"/>
                <w:szCs w:val="18"/>
                <w:highlight w:val="none"/>
              </w:rPr>
              <w:t>N-</w:t>
            </w:r>
            <w:r>
              <w:rPr>
                <w:rFonts w:hint="eastAsia" w:ascii="宋体" w:hAnsi="宋体"/>
                <w:color w:val="auto"/>
                <w:kern w:val="0"/>
                <w:sz w:val="18"/>
                <w:szCs w:val="18"/>
                <w:highlight w:val="none"/>
              </w:rPr>
              <w:t>二甲基亚硝胺</w:t>
            </w:r>
          </w:p>
        </w:tc>
        <w:tc>
          <w:tcPr>
            <w:tcW w:w="2956" w:type="dxa"/>
            <w:tcBorders>
              <w:tl2br w:val="nil"/>
              <w:tr2bl w:val="nil"/>
            </w:tcBorders>
            <w:vAlign w:val="center"/>
          </w:tcPr>
          <w:p w14:paraId="0E44A406">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过氧化值（以脂肪计）、铅（以</w:t>
            </w:r>
            <w:r>
              <w:rPr>
                <w:color w:val="auto"/>
                <w:kern w:val="0"/>
                <w:sz w:val="18"/>
                <w:szCs w:val="18"/>
                <w:highlight w:val="none"/>
              </w:rPr>
              <w:t>Pb</w:t>
            </w:r>
            <w:r>
              <w:rPr>
                <w:rFonts w:hint="eastAsia" w:ascii="宋体" w:hAnsi="宋体" w:cs="宋体"/>
                <w:color w:val="auto"/>
                <w:kern w:val="0"/>
                <w:sz w:val="18"/>
                <w:szCs w:val="18"/>
                <w:highlight w:val="none"/>
              </w:rPr>
              <w:t>计）、镉（以</w:t>
            </w:r>
            <w:r>
              <w:rPr>
                <w:color w:val="auto"/>
                <w:kern w:val="0"/>
                <w:sz w:val="18"/>
                <w:szCs w:val="18"/>
                <w:highlight w:val="none"/>
              </w:rPr>
              <w:t>Cd</w:t>
            </w:r>
            <w:r>
              <w:rPr>
                <w:rFonts w:hint="eastAsia" w:ascii="宋体" w:hAnsi="宋体" w:cs="宋体"/>
                <w:color w:val="auto"/>
                <w:kern w:val="0"/>
                <w:sz w:val="18"/>
                <w:szCs w:val="18"/>
                <w:highlight w:val="none"/>
              </w:rPr>
              <w:t>计）、多氯联苯、苯甲酸及其钠盐（以苯甲酸计）、山梨酸及其钾盐（以山梨酸计）、合成着色剂（柠檬黄、胭脂红、日落黄）</w:t>
            </w:r>
          </w:p>
        </w:tc>
      </w:tr>
      <w:tr w14:paraId="7871447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914" w:hRule="atLeast"/>
        </w:trPr>
        <w:tc>
          <w:tcPr>
            <w:tcW w:w="953" w:type="dxa"/>
            <w:vMerge w:val="continue"/>
            <w:tcBorders>
              <w:tl2br w:val="nil"/>
              <w:tr2bl w:val="nil"/>
            </w:tcBorders>
            <w:vAlign w:val="center"/>
          </w:tcPr>
          <w:p w14:paraId="365C596E">
            <w:pPr>
              <w:widowControl/>
              <w:jc w:val="left"/>
              <w:rPr>
                <w:rFonts w:eastAsia="等线"/>
                <w:color w:val="auto"/>
                <w:kern w:val="0"/>
                <w:sz w:val="18"/>
                <w:szCs w:val="18"/>
                <w:highlight w:val="none"/>
              </w:rPr>
            </w:pPr>
          </w:p>
        </w:tc>
        <w:tc>
          <w:tcPr>
            <w:tcW w:w="796" w:type="dxa"/>
            <w:vMerge w:val="continue"/>
            <w:tcBorders>
              <w:tl2br w:val="nil"/>
              <w:tr2bl w:val="nil"/>
            </w:tcBorders>
            <w:vAlign w:val="center"/>
          </w:tcPr>
          <w:p w14:paraId="7197296F">
            <w:pPr>
              <w:widowControl/>
              <w:jc w:val="left"/>
              <w:rPr>
                <w:rFonts w:ascii="宋体" w:hAnsi="宋体" w:cs="宋体"/>
                <w:color w:val="auto"/>
                <w:kern w:val="0"/>
                <w:sz w:val="18"/>
                <w:szCs w:val="18"/>
                <w:highlight w:val="none"/>
              </w:rPr>
            </w:pPr>
          </w:p>
        </w:tc>
        <w:tc>
          <w:tcPr>
            <w:tcW w:w="797" w:type="dxa"/>
            <w:vMerge w:val="continue"/>
            <w:tcBorders>
              <w:tl2br w:val="nil"/>
              <w:tr2bl w:val="nil"/>
            </w:tcBorders>
            <w:vAlign w:val="center"/>
          </w:tcPr>
          <w:p w14:paraId="74BCE433">
            <w:pPr>
              <w:widowControl/>
              <w:jc w:val="left"/>
              <w:rPr>
                <w:rFonts w:ascii="宋体" w:hAnsi="宋体" w:cs="宋体"/>
                <w:color w:val="auto"/>
                <w:kern w:val="0"/>
                <w:sz w:val="18"/>
                <w:szCs w:val="18"/>
                <w:highlight w:val="none"/>
              </w:rPr>
            </w:pPr>
          </w:p>
        </w:tc>
        <w:tc>
          <w:tcPr>
            <w:tcW w:w="797" w:type="dxa"/>
            <w:vMerge w:val="restart"/>
            <w:tcBorders>
              <w:tl2br w:val="nil"/>
              <w:tr2bl w:val="nil"/>
            </w:tcBorders>
            <w:vAlign w:val="center"/>
          </w:tcPr>
          <w:p w14:paraId="61BBDFFA">
            <w:pPr>
              <w:widowControl/>
              <w:rPr>
                <w:rFonts w:ascii="宋体" w:hAnsi="宋体" w:cs="宋体"/>
                <w:color w:val="auto"/>
                <w:kern w:val="0"/>
                <w:sz w:val="18"/>
                <w:szCs w:val="18"/>
                <w:highlight w:val="none"/>
              </w:rPr>
            </w:pPr>
            <w:r>
              <w:rPr>
                <w:rFonts w:hint="eastAsia" w:ascii="宋体" w:hAnsi="宋体" w:cs="宋体"/>
                <w:color w:val="auto"/>
                <w:kern w:val="0"/>
                <w:sz w:val="18"/>
                <w:szCs w:val="18"/>
                <w:highlight w:val="none"/>
              </w:rPr>
              <w:t>盐渍水产品</w:t>
            </w:r>
          </w:p>
        </w:tc>
        <w:tc>
          <w:tcPr>
            <w:tcW w:w="953" w:type="dxa"/>
            <w:tcBorders>
              <w:tl2br w:val="nil"/>
              <w:tr2bl w:val="nil"/>
            </w:tcBorders>
            <w:vAlign w:val="center"/>
          </w:tcPr>
          <w:p w14:paraId="25D917F0">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盐渍鱼</w:t>
            </w:r>
          </w:p>
        </w:tc>
        <w:tc>
          <w:tcPr>
            <w:tcW w:w="1896" w:type="dxa"/>
            <w:tcBorders>
              <w:tl2br w:val="nil"/>
              <w:tr2bl w:val="nil"/>
            </w:tcBorders>
            <w:vAlign w:val="center"/>
          </w:tcPr>
          <w:p w14:paraId="427821D5">
            <w:pPr>
              <w:widowControl/>
              <w:jc w:val="left"/>
              <w:rPr>
                <w:rFonts w:eastAsia="等线"/>
                <w:color w:val="auto"/>
                <w:kern w:val="0"/>
                <w:sz w:val="18"/>
                <w:szCs w:val="18"/>
                <w:highlight w:val="none"/>
              </w:rPr>
            </w:pPr>
            <w:r>
              <w:rPr>
                <w:rFonts w:eastAsia="等线"/>
                <w:color w:val="auto"/>
                <w:kern w:val="0"/>
                <w:sz w:val="18"/>
                <w:szCs w:val="18"/>
                <w:highlight w:val="none"/>
              </w:rPr>
              <w:t>N-</w:t>
            </w:r>
            <w:r>
              <w:rPr>
                <w:rFonts w:hint="eastAsia" w:ascii="宋体" w:hAnsi="宋体"/>
                <w:color w:val="auto"/>
                <w:kern w:val="0"/>
                <w:sz w:val="18"/>
                <w:szCs w:val="18"/>
                <w:highlight w:val="none"/>
              </w:rPr>
              <w:t>二甲基亚硝胺</w:t>
            </w:r>
          </w:p>
        </w:tc>
        <w:tc>
          <w:tcPr>
            <w:tcW w:w="2956" w:type="dxa"/>
            <w:tcBorders>
              <w:tl2br w:val="nil"/>
              <w:tr2bl w:val="nil"/>
            </w:tcBorders>
            <w:vAlign w:val="center"/>
          </w:tcPr>
          <w:p w14:paraId="6A315CB0">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过氧化值（以脂肪计）、组胺、铅（以</w:t>
            </w:r>
            <w:r>
              <w:rPr>
                <w:color w:val="auto"/>
                <w:kern w:val="0"/>
                <w:sz w:val="18"/>
                <w:szCs w:val="18"/>
                <w:highlight w:val="none"/>
              </w:rPr>
              <w:t>Pb</w:t>
            </w:r>
            <w:r>
              <w:rPr>
                <w:rFonts w:hint="eastAsia" w:ascii="宋体" w:hAnsi="宋体" w:cs="宋体"/>
                <w:color w:val="auto"/>
                <w:kern w:val="0"/>
                <w:sz w:val="18"/>
                <w:szCs w:val="18"/>
                <w:highlight w:val="none"/>
              </w:rPr>
              <w:t>计）、镉（以</w:t>
            </w:r>
            <w:r>
              <w:rPr>
                <w:color w:val="auto"/>
                <w:kern w:val="0"/>
                <w:sz w:val="18"/>
                <w:szCs w:val="18"/>
                <w:highlight w:val="none"/>
              </w:rPr>
              <w:t>Cd</w:t>
            </w:r>
            <w:r>
              <w:rPr>
                <w:rFonts w:hint="eastAsia" w:ascii="宋体" w:hAnsi="宋体" w:cs="宋体"/>
                <w:color w:val="auto"/>
                <w:kern w:val="0"/>
                <w:sz w:val="18"/>
                <w:szCs w:val="18"/>
                <w:highlight w:val="none"/>
              </w:rPr>
              <w:t>计）、多氯联苯、苯甲酸及其钠盐（以苯甲酸计）、山梨酸及其钾盐（以山梨酸计）</w:t>
            </w:r>
          </w:p>
        </w:tc>
      </w:tr>
      <w:tr w14:paraId="276EC18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812" w:hRule="atLeast"/>
        </w:trPr>
        <w:tc>
          <w:tcPr>
            <w:tcW w:w="953" w:type="dxa"/>
            <w:vMerge w:val="continue"/>
            <w:tcBorders>
              <w:tl2br w:val="nil"/>
              <w:tr2bl w:val="nil"/>
            </w:tcBorders>
            <w:vAlign w:val="center"/>
          </w:tcPr>
          <w:p w14:paraId="16C7FD1C">
            <w:pPr>
              <w:widowControl/>
              <w:jc w:val="left"/>
              <w:rPr>
                <w:rFonts w:eastAsia="等线"/>
                <w:color w:val="auto"/>
                <w:kern w:val="0"/>
                <w:sz w:val="18"/>
                <w:szCs w:val="18"/>
                <w:highlight w:val="none"/>
              </w:rPr>
            </w:pPr>
          </w:p>
        </w:tc>
        <w:tc>
          <w:tcPr>
            <w:tcW w:w="796" w:type="dxa"/>
            <w:vMerge w:val="continue"/>
            <w:tcBorders>
              <w:tl2br w:val="nil"/>
              <w:tr2bl w:val="nil"/>
            </w:tcBorders>
            <w:vAlign w:val="center"/>
          </w:tcPr>
          <w:p w14:paraId="246BFF1B">
            <w:pPr>
              <w:widowControl/>
              <w:jc w:val="left"/>
              <w:rPr>
                <w:rFonts w:ascii="宋体" w:hAnsi="宋体" w:cs="宋体"/>
                <w:color w:val="auto"/>
                <w:kern w:val="0"/>
                <w:sz w:val="18"/>
                <w:szCs w:val="18"/>
                <w:highlight w:val="none"/>
              </w:rPr>
            </w:pPr>
          </w:p>
        </w:tc>
        <w:tc>
          <w:tcPr>
            <w:tcW w:w="797" w:type="dxa"/>
            <w:vMerge w:val="continue"/>
            <w:tcBorders>
              <w:tl2br w:val="nil"/>
              <w:tr2bl w:val="nil"/>
            </w:tcBorders>
            <w:vAlign w:val="center"/>
          </w:tcPr>
          <w:p w14:paraId="357CE663">
            <w:pPr>
              <w:widowControl/>
              <w:jc w:val="left"/>
              <w:rPr>
                <w:rFonts w:ascii="宋体" w:hAnsi="宋体" w:cs="宋体"/>
                <w:color w:val="auto"/>
                <w:kern w:val="0"/>
                <w:sz w:val="18"/>
                <w:szCs w:val="18"/>
                <w:highlight w:val="none"/>
              </w:rPr>
            </w:pPr>
          </w:p>
        </w:tc>
        <w:tc>
          <w:tcPr>
            <w:tcW w:w="797" w:type="dxa"/>
            <w:vMerge w:val="continue"/>
            <w:tcBorders>
              <w:tl2br w:val="nil"/>
              <w:tr2bl w:val="nil"/>
            </w:tcBorders>
            <w:vAlign w:val="center"/>
          </w:tcPr>
          <w:p w14:paraId="1916C896">
            <w:pPr>
              <w:widowControl/>
              <w:jc w:val="left"/>
              <w:rPr>
                <w:rFonts w:ascii="宋体" w:hAnsi="宋体" w:cs="宋体"/>
                <w:color w:val="auto"/>
                <w:kern w:val="0"/>
                <w:sz w:val="18"/>
                <w:szCs w:val="18"/>
                <w:highlight w:val="none"/>
              </w:rPr>
            </w:pPr>
          </w:p>
        </w:tc>
        <w:tc>
          <w:tcPr>
            <w:tcW w:w="953" w:type="dxa"/>
            <w:tcBorders>
              <w:tl2br w:val="nil"/>
              <w:tr2bl w:val="nil"/>
            </w:tcBorders>
            <w:vAlign w:val="center"/>
          </w:tcPr>
          <w:p w14:paraId="380F4D2C">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盐渍藻</w:t>
            </w:r>
          </w:p>
        </w:tc>
        <w:tc>
          <w:tcPr>
            <w:tcW w:w="1896" w:type="dxa"/>
            <w:tcBorders>
              <w:tl2br w:val="nil"/>
              <w:tr2bl w:val="nil"/>
            </w:tcBorders>
            <w:vAlign w:val="center"/>
          </w:tcPr>
          <w:p w14:paraId="2DFFF5B0">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铅（以</w:t>
            </w:r>
            <w:r>
              <w:rPr>
                <w:color w:val="auto"/>
                <w:kern w:val="0"/>
                <w:sz w:val="18"/>
                <w:szCs w:val="18"/>
                <w:highlight w:val="none"/>
              </w:rPr>
              <w:t>Pb</w:t>
            </w:r>
            <w:r>
              <w:rPr>
                <w:rFonts w:hint="eastAsia" w:ascii="宋体" w:hAnsi="宋体" w:cs="宋体"/>
                <w:color w:val="auto"/>
                <w:kern w:val="0"/>
                <w:sz w:val="18"/>
                <w:szCs w:val="18"/>
                <w:highlight w:val="none"/>
              </w:rPr>
              <w:t>计）</w:t>
            </w:r>
          </w:p>
        </w:tc>
        <w:tc>
          <w:tcPr>
            <w:tcW w:w="2956" w:type="dxa"/>
            <w:tcBorders>
              <w:tl2br w:val="nil"/>
              <w:tr2bl w:val="nil"/>
            </w:tcBorders>
            <w:vAlign w:val="center"/>
          </w:tcPr>
          <w:p w14:paraId="1F243804">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苯甲酸及其钠盐（以苯甲酸计）、山梨酸及其钾盐（以山梨酸计）</w:t>
            </w:r>
          </w:p>
        </w:tc>
      </w:tr>
      <w:tr w14:paraId="7CBC9E8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812" w:hRule="atLeast"/>
        </w:trPr>
        <w:tc>
          <w:tcPr>
            <w:tcW w:w="953" w:type="dxa"/>
            <w:vMerge w:val="continue"/>
            <w:tcBorders>
              <w:tl2br w:val="nil"/>
              <w:tr2bl w:val="nil"/>
            </w:tcBorders>
            <w:vAlign w:val="center"/>
          </w:tcPr>
          <w:p w14:paraId="06903C21">
            <w:pPr>
              <w:widowControl/>
              <w:jc w:val="left"/>
              <w:rPr>
                <w:rFonts w:eastAsia="等线"/>
                <w:color w:val="auto"/>
                <w:kern w:val="0"/>
                <w:sz w:val="18"/>
                <w:szCs w:val="18"/>
                <w:highlight w:val="none"/>
              </w:rPr>
            </w:pPr>
          </w:p>
        </w:tc>
        <w:tc>
          <w:tcPr>
            <w:tcW w:w="796" w:type="dxa"/>
            <w:vMerge w:val="continue"/>
            <w:tcBorders>
              <w:tl2br w:val="nil"/>
              <w:tr2bl w:val="nil"/>
            </w:tcBorders>
            <w:vAlign w:val="center"/>
          </w:tcPr>
          <w:p w14:paraId="1701FEB6">
            <w:pPr>
              <w:widowControl/>
              <w:jc w:val="left"/>
              <w:rPr>
                <w:rFonts w:ascii="宋体" w:hAnsi="宋体" w:cs="宋体"/>
                <w:color w:val="auto"/>
                <w:kern w:val="0"/>
                <w:sz w:val="18"/>
                <w:szCs w:val="18"/>
                <w:highlight w:val="none"/>
              </w:rPr>
            </w:pPr>
          </w:p>
        </w:tc>
        <w:tc>
          <w:tcPr>
            <w:tcW w:w="797" w:type="dxa"/>
            <w:vMerge w:val="continue"/>
            <w:tcBorders>
              <w:tl2br w:val="nil"/>
              <w:tr2bl w:val="nil"/>
            </w:tcBorders>
            <w:vAlign w:val="center"/>
          </w:tcPr>
          <w:p w14:paraId="4F4A2035">
            <w:pPr>
              <w:widowControl/>
              <w:jc w:val="left"/>
              <w:rPr>
                <w:rFonts w:ascii="宋体" w:hAnsi="宋体" w:cs="宋体"/>
                <w:color w:val="auto"/>
                <w:kern w:val="0"/>
                <w:sz w:val="18"/>
                <w:szCs w:val="18"/>
                <w:highlight w:val="none"/>
              </w:rPr>
            </w:pPr>
          </w:p>
        </w:tc>
        <w:tc>
          <w:tcPr>
            <w:tcW w:w="797" w:type="dxa"/>
            <w:vMerge w:val="continue"/>
            <w:tcBorders>
              <w:tl2br w:val="nil"/>
              <w:tr2bl w:val="nil"/>
            </w:tcBorders>
            <w:vAlign w:val="center"/>
          </w:tcPr>
          <w:p w14:paraId="5F2C60E4">
            <w:pPr>
              <w:widowControl/>
              <w:jc w:val="left"/>
              <w:rPr>
                <w:rFonts w:ascii="宋体" w:hAnsi="宋体" w:cs="宋体"/>
                <w:color w:val="auto"/>
                <w:kern w:val="0"/>
                <w:sz w:val="18"/>
                <w:szCs w:val="18"/>
                <w:highlight w:val="none"/>
              </w:rPr>
            </w:pPr>
          </w:p>
        </w:tc>
        <w:tc>
          <w:tcPr>
            <w:tcW w:w="953" w:type="dxa"/>
            <w:tcBorders>
              <w:tl2br w:val="nil"/>
              <w:tr2bl w:val="nil"/>
            </w:tcBorders>
            <w:vAlign w:val="center"/>
          </w:tcPr>
          <w:p w14:paraId="6CC4BDC6">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其他盐渍水产品</w:t>
            </w:r>
          </w:p>
        </w:tc>
        <w:tc>
          <w:tcPr>
            <w:tcW w:w="1896" w:type="dxa"/>
            <w:tcBorders>
              <w:tl2br w:val="nil"/>
              <w:tr2bl w:val="nil"/>
            </w:tcBorders>
            <w:vAlign w:val="center"/>
          </w:tcPr>
          <w:p w14:paraId="54187333">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铅（以</w:t>
            </w:r>
            <w:r>
              <w:rPr>
                <w:color w:val="auto"/>
                <w:kern w:val="0"/>
                <w:sz w:val="18"/>
                <w:szCs w:val="18"/>
                <w:highlight w:val="none"/>
              </w:rPr>
              <w:t>Pb</w:t>
            </w:r>
            <w:r>
              <w:rPr>
                <w:rFonts w:hint="eastAsia" w:ascii="宋体" w:hAnsi="宋体" w:cs="宋体"/>
                <w:color w:val="auto"/>
                <w:kern w:val="0"/>
                <w:sz w:val="18"/>
                <w:szCs w:val="18"/>
                <w:highlight w:val="none"/>
              </w:rPr>
              <w:t>计）</w:t>
            </w:r>
          </w:p>
        </w:tc>
        <w:tc>
          <w:tcPr>
            <w:tcW w:w="2956" w:type="dxa"/>
            <w:tcBorders>
              <w:tl2br w:val="nil"/>
              <w:tr2bl w:val="nil"/>
            </w:tcBorders>
            <w:vAlign w:val="center"/>
          </w:tcPr>
          <w:p w14:paraId="277C0B45">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苯甲酸及其钠盐（以苯甲酸计）、山梨酸及其钾盐（以山梨酸计）</w:t>
            </w:r>
          </w:p>
        </w:tc>
      </w:tr>
      <w:tr w14:paraId="461B652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631" w:hRule="atLeast"/>
        </w:trPr>
        <w:tc>
          <w:tcPr>
            <w:tcW w:w="953" w:type="dxa"/>
            <w:vMerge w:val="continue"/>
            <w:tcBorders>
              <w:tl2br w:val="nil"/>
              <w:tr2bl w:val="nil"/>
            </w:tcBorders>
            <w:vAlign w:val="center"/>
          </w:tcPr>
          <w:p w14:paraId="7C3C0C06">
            <w:pPr>
              <w:widowControl/>
              <w:jc w:val="left"/>
              <w:rPr>
                <w:rFonts w:eastAsia="等线"/>
                <w:color w:val="auto"/>
                <w:kern w:val="0"/>
                <w:sz w:val="18"/>
                <w:szCs w:val="18"/>
                <w:highlight w:val="none"/>
              </w:rPr>
            </w:pPr>
          </w:p>
        </w:tc>
        <w:tc>
          <w:tcPr>
            <w:tcW w:w="796" w:type="dxa"/>
            <w:vMerge w:val="continue"/>
            <w:tcBorders>
              <w:tl2br w:val="nil"/>
              <w:tr2bl w:val="nil"/>
            </w:tcBorders>
            <w:vAlign w:val="center"/>
          </w:tcPr>
          <w:p w14:paraId="1ED32C99">
            <w:pPr>
              <w:widowControl/>
              <w:jc w:val="left"/>
              <w:rPr>
                <w:rFonts w:ascii="宋体" w:hAnsi="宋体" w:cs="宋体"/>
                <w:color w:val="auto"/>
                <w:kern w:val="0"/>
                <w:sz w:val="18"/>
                <w:szCs w:val="18"/>
                <w:highlight w:val="none"/>
              </w:rPr>
            </w:pPr>
          </w:p>
        </w:tc>
        <w:tc>
          <w:tcPr>
            <w:tcW w:w="797" w:type="dxa"/>
            <w:vMerge w:val="continue"/>
            <w:tcBorders>
              <w:tl2br w:val="nil"/>
              <w:tr2bl w:val="nil"/>
            </w:tcBorders>
            <w:vAlign w:val="center"/>
          </w:tcPr>
          <w:p w14:paraId="0F7E90CB">
            <w:pPr>
              <w:widowControl/>
              <w:jc w:val="left"/>
              <w:rPr>
                <w:rFonts w:ascii="宋体" w:hAnsi="宋体" w:cs="宋体"/>
                <w:color w:val="auto"/>
                <w:kern w:val="0"/>
                <w:sz w:val="18"/>
                <w:szCs w:val="18"/>
                <w:highlight w:val="none"/>
              </w:rPr>
            </w:pPr>
          </w:p>
        </w:tc>
        <w:tc>
          <w:tcPr>
            <w:tcW w:w="797" w:type="dxa"/>
            <w:tcBorders>
              <w:tl2br w:val="nil"/>
              <w:tr2bl w:val="nil"/>
            </w:tcBorders>
            <w:vAlign w:val="center"/>
          </w:tcPr>
          <w:p w14:paraId="06DD435F">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鱼糜制品</w:t>
            </w:r>
          </w:p>
        </w:tc>
        <w:tc>
          <w:tcPr>
            <w:tcW w:w="953" w:type="dxa"/>
            <w:tcBorders>
              <w:tl2br w:val="nil"/>
              <w:tr2bl w:val="nil"/>
            </w:tcBorders>
            <w:vAlign w:val="center"/>
          </w:tcPr>
          <w:p w14:paraId="7000682A">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预制鱼糜制品</w:t>
            </w:r>
          </w:p>
        </w:tc>
        <w:tc>
          <w:tcPr>
            <w:tcW w:w="1896" w:type="dxa"/>
            <w:tcBorders>
              <w:tl2br w:val="nil"/>
              <w:tr2bl w:val="nil"/>
            </w:tcBorders>
            <w:vAlign w:val="center"/>
          </w:tcPr>
          <w:p w14:paraId="5F5361B8">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挥发性盐基氮</w:t>
            </w:r>
          </w:p>
        </w:tc>
        <w:tc>
          <w:tcPr>
            <w:tcW w:w="2956" w:type="dxa"/>
            <w:tcBorders>
              <w:tl2br w:val="nil"/>
              <w:tr2bl w:val="nil"/>
            </w:tcBorders>
            <w:vAlign w:val="center"/>
          </w:tcPr>
          <w:p w14:paraId="18B364E0">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铅（以</w:t>
            </w:r>
            <w:r>
              <w:rPr>
                <w:color w:val="auto"/>
                <w:kern w:val="0"/>
                <w:sz w:val="18"/>
                <w:szCs w:val="18"/>
                <w:highlight w:val="none"/>
              </w:rPr>
              <w:t>Pb</w:t>
            </w:r>
            <w:r>
              <w:rPr>
                <w:rFonts w:hint="eastAsia" w:ascii="宋体" w:hAnsi="宋体" w:cs="宋体"/>
                <w:color w:val="auto"/>
                <w:kern w:val="0"/>
                <w:sz w:val="18"/>
                <w:szCs w:val="18"/>
                <w:highlight w:val="none"/>
              </w:rPr>
              <w:t>计）、多氯联苯、苯甲酸及其钠盐（以苯甲酸计）、山梨酸及其钾盐（以山梨酸计）、脱氢乙酸及其钠盐（以脱氢乙酸计）</w:t>
            </w:r>
          </w:p>
        </w:tc>
      </w:tr>
      <w:tr w14:paraId="0FA4BF4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631" w:hRule="atLeast"/>
        </w:trPr>
        <w:tc>
          <w:tcPr>
            <w:tcW w:w="953" w:type="dxa"/>
            <w:vMerge w:val="continue"/>
            <w:tcBorders>
              <w:tl2br w:val="nil"/>
              <w:tr2bl w:val="nil"/>
            </w:tcBorders>
            <w:vAlign w:val="center"/>
          </w:tcPr>
          <w:p w14:paraId="4D1D8B91">
            <w:pPr>
              <w:widowControl/>
              <w:jc w:val="left"/>
              <w:rPr>
                <w:rFonts w:eastAsia="等线"/>
                <w:color w:val="auto"/>
                <w:kern w:val="0"/>
                <w:sz w:val="18"/>
                <w:szCs w:val="18"/>
                <w:highlight w:val="none"/>
              </w:rPr>
            </w:pPr>
          </w:p>
        </w:tc>
        <w:tc>
          <w:tcPr>
            <w:tcW w:w="796" w:type="dxa"/>
            <w:vMerge w:val="continue"/>
            <w:tcBorders>
              <w:tl2br w:val="nil"/>
              <w:tr2bl w:val="nil"/>
            </w:tcBorders>
            <w:vAlign w:val="center"/>
          </w:tcPr>
          <w:p w14:paraId="68623CDB">
            <w:pPr>
              <w:widowControl/>
              <w:jc w:val="left"/>
              <w:rPr>
                <w:rFonts w:ascii="宋体" w:hAnsi="宋体" w:cs="宋体"/>
                <w:color w:val="auto"/>
                <w:kern w:val="0"/>
                <w:sz w:val="18"/>
                <w:szCs w:val="18"/>
                <w:highlight w:val="none"/>
              </w:rPr>
            </w:pPr>
          </w:p>
        </w:tc>
        <w:tc>
          <w:tcPr>
            <w:tcW w:w="797" w:type="dxa"/>
            <w:vMerge w:val="continue"/>
            <w:tcBorders>
              <w:tl2br w:val="nil"/>
              <w:tr2bl w:val="nil"/>
            </w:tcBorders>
            <w:vAlign w:val="center"/>
          </w:tcPr>
          <w:p w14:paraId="05B57BC8">
            <w:pPr>
              <w:widowControl/>
              <w:jc w:val="left"/>
              <w:rPr>
                <w:rFonts w:ascii="宋体" w:hAnsi="宋体" w:cs="宋体"/>
                <w:color w:val="auto"/>
                <w:kern w:val="0"/>
                <w:sz w:val="18"/>
                <w:szCs w:val="18"/>
                <w:highlight w:val="none"/>
              </w:rPr>
            </w:pPr>
          </w:p>
        </w:tc>
        <w:tc>
          <w:tcPr>
            <w:tcW w:w="797" w:type="dxa"/>
            <w:tcBorders>
              <w:tl2br w:val="nil"/>
              <w:tr2bl w:val="nil"/>
            </w:tcBorders>
            <w:vAlign w:val="center"/>
          </w:tcPr>
          <w:p w14:paraId="46BF46F4">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熟制动物性水产制品</w:t>
            </w:r>
          </w:p>
        </w:tc>
        <w:tc>
          <w:tcPr>
            <w:tcW w:w="953" w:type="dxa"/>
            <w:tcBorders>
              <w:tl2br w:val="nil"/>
              <w:tr2bl w:val="nil"/>
            </w:tcBorders>
            <w:vAlign w:val="center"/>
          </w:tcPr>
          <w:p w14:paraId="2167E35A">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熟制动物性水产制品</w:t>
            </w:r>
          </w:p>
        </w:tc>
        <w:tc>
          <w:tcPr>
            <w:tcW w:w="1896" w:type="dxa"/>
            <w:tcBorders>
              <w:tl2br w:val="nil"/>
              <w:tr2bl w:val="nil"/>
            </w:tcBorders>
            <w:vAlign w:val="center"/>
          </w:tcPr>
          <w:p w14:paraId="275015A5">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铅（以</w:t>
            </w:r>
            <w:r>
              <w:rPr>
                <w:color w:val="auto"/>
                <w:kern w:val="0"/>
                <w:sz w:val="18"/>
                <w:szCs w:val="18"/>
                <w:highlight w:val="none"/>
              </w:rPr>
              <w:t>Pb</w:t>
            </w:r>
            <w:r>
              <w:rPr>
                <w:rFonts w:hint="eastAsia" w:ascii="宋体" w:hAnsi="宋体" w:cs="宋体"/>
                <w:color w:val="auto"/>
                <w:kern w:val="0"/>
                <w:sz w:val="18"/>
                <w:szCs w:val="18"/>
                <w:highlight w:val="none"/>
              </w:rPr>
              <w:t>计）、</w:t>
            </w:r>
            <w:r>
              <w:rPr>
                <w:color w:val="auto"/>
                <w:kern w:val="0"/>
                <w:sz w:val="18"/>
                <w:szCs w:val="18"/>
                <w:highlight w:val="none"/>
              </w:rPr>
              <w:t>N-</w:t>
            </w:r>
            <w:r>
              <w:rPr>
                <w:rFonts w:hint="eastAsia" w:ascii="宋体" w:hAnsi="宋体" w:cs="宋体"/>
                <w:color w:val="auto"/>
                <w:kern w:val="0"/>
                <w:sz w:val="18"/>
                <w:szCs w:val="18"/>
                <w:highlight w:val="none"/>
              </w:rPr>
              <w:t>二甲基亚硝胺、脱氢乙酸及其钠盐（以脱氢乙酸计）</w:t>
            </w:r>
          </w:p>
        </w:tc>
        <w:tc>
          <w:tcPr>
            <w:tcW w:w="2956" w:type="dxa"/>
            <w:tcBorders>
              <w:tl2br w:val="nil"/>
              <w:tr2bl w:val="nil"/>
            </w:tcBorders>
            <w:vAlign w:val="center"/>
          </w:tcPr>
          <w:p w14:paraId="61275952">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镉（以</w:t>
            </w:r>
            <w:r>
              <w:rPr>
                <w:color w:val="auto"/>
                <w:kern w:val="0"/>
                <w:sz w:val="18"/>
                <w:szCs w:val="18"/>
                <w:highlight w:val="none"/>
              </w:rPr>
              <w:t>Cd</w:t>
            </w:r>
            <w:r>
              <w:rPr>
                <w:rFonts w:hint="eastAsia" w:ascii="宋体" w:hAnsi="宋体" w:cs="宋体"/>
                <w:color w:val="auto"/>
                <w:kern w:val="0"/>
                <w:sz w:val="18"/>
                <w:szCs w:val="18"/>
                <w:highlight w:val="none"/>
              </w:rPr>
              <w:t>计）、多氯联苯、苯甲酸及其钠盐（以苯甲酸计）、山梨酸及其钾盐（以山梨酸计）、甜蜜素（以环己基氨基磺酸计）</w:t>
            </w:r>
          </w:p>
        </w:tc>
      </w:tr>
      <w:tr w14:paraId="0372A63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01" w:hRule="atLeast"/>
        </w:trPr>
        <w:tc>
          <w:tcPr>
            <w:tcW w:w="953" w:type="dxa"/>
            <w:vMerge w:val="continue"/>
            <w:tcBorders>
              <w:tl2br w:val="nil"/>
              <w:tr2bl w:val="nil"/>
            </w:tcBorders>
            <w:vAlign w:val="center"/>
          </w:tcPr>
          <w:p w14:paraId="6A746109">
            <w:pPr>
              <w:widowControl/>
              <w:jc w:val="left"/>
              <w:rPr>
                <w:rFonts w:eastAsia="等线"/>
                <w:color w:val="auto"/>
                <w:kern w:val="0"/>
                <w:sz w:val="18"/>
                <w:szCs w:val="18"/>
                <w:highlight w:val="none"/>
              </w:rPr>
            </w:pPr>
          </w:p>
        </w:tc>
        <w:tc>
          <w:tcPr>
            <w:tcW w:w="796" w:type="dxa"/>
            <w:vMerge w:val="continue"/>
            <w:tcBorders>
              <w:tl2br w:val="nil"/>
              <w:tr2bl w:val="nil"/>
            </w:tcBorders>
            <w:vAlign w:val="center"/>
          </w:tcPr>
          <w:p w14:paraId="02CF348D">
            <w:pPr>
              <w:widowControl/>
              <w:jc w:val="left"/>
              <w:rPr>
                <w:rFonts w:ascii="宋体" w:hAnsi="宋体" w:cs="宋体"/>
                <w:color w:val="auto"/>
                <w:kern w:val="0"/>
                <w:sz w:val="18"/>
                <w:szCs w:val="18"/>
                <w:highlight w:val="none"/>
              </w:rPr>
            </w:pPr>
          </w:p>
        </w:tc>
        <w:tc>
          <w:tcPr>
            <w:tcW w:w="797" w:type="dxa"/>
            <w:vMerge w:val="continue"/>
            <w:tcBorders>
              <w:tl2br w:val="nil"/>
              <w:tr2bl w:val="nil"/>
            </w:tcBorders>
            <w:vAlign w:val="center"/>
          </w:tcPr>
          <w:p w14:paraId="2C9FE4C8">
            <w:pPr>
              <w:widowControl/>
              <w:jc w:val="left"/>
              <w:rPr>
                <w:rFonts w:ascii="宋体" w:hAnsi="宋体" w:cs="宋体"/>
                <w:color w:val="auto"/>
                <w:kern w:val="0"/>
                <w:sz w:val="18"/>
                <w:szCs w:val="18"/>
                <w:highlight w:val="none"/>
              </w:rPr>
            </w:pPr>
          </w:p>
        </w:tc>
        <w:tc>
          <w:tcPr>
            <w:tcW w:w="797" w:type="dxa"/>
            <w:tcBorders>
              <w:tl2br w:val="nil"/>
              <w:tr2bl w:val="nil"/>
            </w:tcBorders>
            <w:vAlign w:val="center"/>
          </w:tcPr>
          <w:p w14:paraId="76651E2A">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生食水产品</w:t>
            </w:r>
          </w:p>
        </w:tc>
        <w:tc>
          <w:tcPr>
            <w:tcW w:w="953" w:type="dxa"/>
            <w:tcBorders>
              <w:tl2br w:val="nil"/>
              <w:tr2bl w:val="nil"/>
            </w:tcBorders>
            <w:vAlign w:val="center"/>
          </w:tcPr>
          <w:p w14:paraId="31AD3C90">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生食动物性水产品</w:t>
            </w:r>
          </w:p>
        </w:tc>
        <w:tc>
          <w:tcPr>
            <w:tcW w:w="1896" w:type="dxa"/>
            <w:tcBorders>
              <w:tl2br w:val="nil"/>
              <w:tr2bl w:val="nil"/>
            </w:tcBorders>
            <w:vAlign w:val="center"/>
          </w:tcPr>
          <w:p w14:paraId="7264AED3">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挥发性盐基氮、铅（以</w:t>
            </w:r>
            <w:r>
              <w:rPr>
                <w:color w:val="auto"/>
                <w:kern w:val="0"/>
                <w:sz w:val="18"/>
                <w:szCs w:val="18"/>
                <w:highlight w:val="none"/>
              </w:rPr>
              <w:t>Pb</w:t>
            </w:r>
            <w:r>
              <w:rPr>
                <w:rFonts w:hint="eastAsia" w:ascii="宋体" w:hAnsi="宋体" w:cs="宋体"/>
                <w:color w:val="auto"/>
                <w:kern w:val="0"/>
                <w:sz w:val="18"/>
                <w:szCs w:val="18"/>
                <w:highlight w:val="none"/>
              </w:rPr>
              <w:t>计）</w:t>
            </w:r>
          </w:p>
        </w:tc>
        <w:tc>
          <w:tcPr>
            <w:tcW w:w="2956" w:type="dxa"/>
            <w:tcBorders>
              <w:tl2br w:val="nil"/>
              <w:tr2bl w:val="nil"/>
            </w:tcBorders>
            <w:vAlign w:val="center"/>
          </w:tcPr>
          <w:p w14:paraId="54A63B7E">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多氯联苯、苯甲酸及其钠盐（以苯甲酸计）、山梨酸及其钾盐（以山梨酸计）、铝的残留量（以即食海蜇中</w:t>
            </w:r>
            <w:r>
              <w:rPr>
                <w:color w:val="auto"/>
                <w:kern w:val="0"/>
                <w:sz w:val="18"/>
                <w:szCs w:val="18"/>
                <w:highlight w:val="none"/>
              </w:rPr>
              <w:t>Al</w:t>
            </w:r>
            <w:r>
              <w:rPr>
                <w:rFonts w:hint="eastAsia" w:ascii="宋体" w:hAnsi="宋体" w:cs="宋体"/>
                <w:color w:val="auto"/>
                <w:kern w:val="0"/>
                <w:sz w:val="18"/>
                <w:szCs w:val="18"/>
                <w:highlight w:val="none"/>
              </w:rPr>
              <w:t>计）、菌落总数、大肠菌群、沙门氏菌、副溶血性弧菌、单核细胞增生李斯特氏菌</w:t>
            </w:r>
          </w:p>
        </w:tc>
      </w:tr>
      <w:tr w14:paraId="79CFF05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616" w:hRule="atLeast"/>
        </w:trPr>
        <w:tc>
          <w:tcPr>
            <w:tcW w:w="953" w:type="dxa"/>
            <w:vMerge w:val="continue"/>
            <w:tcBorders>
              <w:tl2br w:val="nil"/>
              <w:tr2bl w:val="nil"/>
            </w:tcBorders>
            <w:vAlign w:val="center"/>
          </w:tcPr>
          <w:p w14:paraId="1EA3504F">
            <w:pPr>
              <w:widowControl/>
              <w:jc w:val="left"/>
              <w:rPr>
                <w:rFonts w:eastAsia="等线"/>
                <w:color w:val="auto"/>
                <w:kern w:val="0"/>
                <w:sz w:val="18"/>
                <w:szCs w:val="18"/>
                <w:highlight w:val="none"/>
              </w:rPr>
            </w:pPr>
          </w:p>
        </w:tc>
        <w:tc>
          <w:tcPr>
            <w:tcW w:w="796" w:type="dxa"/>
            <w:vMerge w:val="continue"/>
            <w:tcBorders>
              <w:tl2br w:val="nil"/>
              <w:tr2bl w:val="nil"/>
            </w:tcBorders>
            <w:vAlign w:val="center"/>
          </w:tcPr>
          <w:p w14:paraId="23AFBF81">
            <w:pPr>
              <w:widowControl/>
              <w:jc w:val="left"/>
              <w:rPr>
                <w:rFonts w:ascii="宋体" w:hAnsi="宋体" w:cs="宋体"/>
                <w:color w:val="auto"/>
                <w:kern w:val="0"/>
                <w:sz w:val="18"/>
                <w:szCs w:val="18"/>
                <w:highlight w:val="none"/>
              </w:rPr>
            </w:pPr>
          </w:p>
        </w:tc>
        <w:tc>
          <w:tcPr>
            <w:tcW w:w="797" w:type="dxa"/>
            <w:vMerge w:val="continue"/>
            <w:tcBorders>
              <w:tl2br w:val="nil"/>
              <w:tr2bl w:val="nil"/>
            </w:tcBorders>
            <w:vAlign w:val="center"/>
          </w:tcPr>
          <w:p w14:paraId="74479E91">
            <w:pPr>
              <w:widowControl/>
              <w:jc w:val="left"/>
              <w:rPr>
                <w:rFonts w:ascii="宋体" w:hAnsi="宋体" w:cs="宋体"/>
                <w:color w:val="auto"/>
                <w:kern w:val="0"/>
                <w:sz w:val="18"/>
                <w:szCs w:val="18"/>
                <w:highlight w:val="none"/>
              </w:rPr>
            </w:pPr>
          </w:p>
        </w:tc>
        <w:tc>
          <w:tcPr>
            <w:tcW w:w="797" w:type="dxa"/>
            <w:tcBorders>
              <w:tl2br w:val="nil"/>
              <w:tr2bl w:val="nil"/>
            </w:tcBorders>
            <w:vAlign w:val="center"/>
          </w:tcPr>
          <w:p w14:paraId="2E6A091D">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其他水产制品</w:t>
            </w:r>
          </w:p>
        </w:tc>
        <w:tc>
          <w:tcPr>
            <w:tcW w:w="953" w:type="dxa"/>
            <w:tcBorders>
              <w:tl2br w:val="nil"/>
              <w:tr2bl w:val="nil"/>
            </w:tcBorders>
            <w:vAlign w:val="center"/>
          </w:tcPr>
          <w:p w14:paraId="03622C99">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其他水产制品</w:t>
            </w:r>
          </w:p>
        </w:tc>
        <w:tc>
          <w:tcPr>
            <w:tcW w:w="1896" w:type="dxa"/>
            <w:tcBorders>
              <w:tl2br w:val="nil"/>
              <w:tr2bl w:val="nil"/>
            </w:tcBorders>
            <w:vAlign w:val="center"/>
          </w:tcPr>
          <w:p w14:paraId="4FA570C1">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铅（以</w:t>
            </w:r>
            <w:r>
              <w:rPr>
                <w:color w:val="auto"/>
                <w:kern w:val="0"/>
                <w:sz w:val="18"/>
                <w:szCs w:val="18"/>
                <w:highlight w:val="none"/>
              </w:rPr>
              <w:t>Pb</w:t>
            </w:r>
            <w:r>
              <w:rPr>
                <w:rFonts w:hint="eastAsia" w:ascii="宋体" w:hAnsi="宋体" w:cs="宋体"/>
                <w:color w:val="auto"/>
                <w:kern w:val="0"/>
                <w:sz w:val="18"/>
                <w:szCs w:val="18"/>
                <w:highlight w:val="none"/>
              </w:rPr>
              <w:t>计）、苯甲酸及其钠盐（以苯甲酸计）、山梨酸及其钾盐（以山梨酸计）</w:t>
            </w:r>
          </w:p>
        </w:tc>
        <w:tc>
          <w:tcPr>
            <w:tcW w:w="2956" w:type="dxa"/>
            <w:tcBorders>
              <w:tl2br w:val="nil"/>
              <w:tr2bl w:val="nil"/>
            </w:tcBorders>
            <w:vAlign w:val="center"/>
          </w:tcPr>
          <w:p w14:paraId="6268197D">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脱氢乙酸及其钠盐（以脱氢乙酸计）、合成着色剂（柠檬黄）、防腐剂混合使用时各自用量占其最大使用量的比例之和、菌落总数</w:t>
            </w:r>
          </w:p>
        </w:tc>
      </w:tr>
      <w:tr w14:paraId="690DBDE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095" w:hRule="atLeast"/>
        </w:trPr>
        <w:tc>
          <w:tcPr>
            <w:tcW w:w="953" w:type="dxa"/>
            <w:vMerge w:val="restart"/>
            <w:tcBorders>
              <w:tl2br w:val="nil"/>
              <w:tr2bl w:val="nil"/>
            </w:tcBorders>
            <w:vAlign w:val="center"/>
          </w:tcPr>
          <w:p w14:paraId="2598D3FC">
            <w:pPr>
              <w:widowControl/>
              <w:jc w:val="center"/>
              <w:rPr>
                <w:rFonts w:eastAsia="等线"/>
                <w:color w:val="auto"/>
                <w:kern w:val="0"/>
                <w:sz w:val="18"/>
                <w:szCs w:val="18"/>
                <w:highlight w:val="none"/>
              </w:rPr>
            </w:pPr>
            <w:r>
              <w:rPr>
                <w:rFonts w:eastAsia="等线"/>
                <w:color w:val="auto"/>
                <w:kern w:val="0"/>
                <w:sz w:val="18"/>
                <w:szCs w:val="18"/>
                <w:highlight w:val="none"/>
              </w:rPr>
              <w:t>23</w:t>
            </w:r>
          </w:p>
        </w:tc>
        <w:tc>
          <w:tcPr>
            <w:tcW w:w="796" w:type="dxa"/>
            <w:vMerge w:val="restart"/>
            <w:tcBorders>
              <w:tl2br w:val="nil"/>
              <w:tr2bl w:val="nil"/>
            </w:tcBorders>
            <w:vAlign w:val="center"/>
          </w:tcPr>
          <w:p w14:paraId="1D978780">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淀粉及淀粉制品</w:t>
            </w:r>
          </w:p>
        </w:tc>
        <w:tc>
          <w:tcPr>
            <w:tcW w:w="797" w:type="dxa"/>
            <w:vMerge w:val="restart"/>
            <w:tcBorders>
              <w:tl2br w:val="nil"/>
              <w:tr2bl w:val="nil"/>
            </w:tcBorders>
            <w:vAlign w:val="center"/>
          </w:tcPr>
          <w:p w14:paraId="6058F500">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淀粉及淀粉制品</w:t>
            </w:r>
          </w:p>
        </w:tc>
        <w:tc>
          <w:tcPr>
            <w:tcW w:w="797" w:type="dxa"/>
            <w:tcBorders>
              <w:tl2br w:val="nil"/>
              <w:tr2bl w:val="nil"/>
            </w:tcBorders>
            <w:vAlign w:val="center"/>
          </w:tcPr>
          <w:p w14:paraId="1EE548CF">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淀粉</w:t>
            </w:r>
          </w:p>
        </w:tc>
        <w:tc>
          <w:tcPr>
            <w:tcW w:w="953" w:type="dxa"/>
            <w:tcBorders>
              <w:tl2br w:val="nil"/>
              <w:tr2bl w:val="nil"/>
            </w:tcBorders>
            <w:vAlign w:val="center"/>
          </w:tcPr>
          <w:p w14:paraId="1C3A919E">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淀粉</w:t>
            </w:r>
          </w:p>
        </w:tc>
        <w:tc>
          <w:tcPr>
            <w:tcW w:w="1896" w:type="dxa"/>
            <w:tcBorders>
              <w:tl2br w:val="nil"/>
              <w:tr2bl w:val="nil"/>
            </w:tcBorders>
            <w:vAlign w:val="center"/>
          </w:tcPr>
          <w:p w14:paraId="5BF72C69">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菌落总数、大肠菌群、霉菌和酵母</w:t>
            </w:r>
          </w:p>
        </w:tc>
        <w:tc>
          <w:tcPr>
            <w:tcW w:w="2956" w:type="dxa"/>
            <w:tcBorders>
              <w:tl2br w:val="nil"/>
              <w:tr2bl w:val="nil"/>
            </w:tcBorders>
            <w:vAlign w:val="center"/>
          </w:tcPr>
          <w:p w14:paraId="4EB54A1F">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铅（以</w:t>
            </w:r>
            <w:r>
              <w:rPr>
                <w:color w:val="auto"/>
                <w:kern w:val="0"/>
                <w:sz w:val="18"/>
                <w:szCs w:val="18"/>
                <w:highlight w:val="none"/>
              </w:rPr>
              <w:t>Pb</w:t>
            </w:r>
            <w:r>
              <w:rPr>
                <w:rFonts w:hint="eastAsia" w:ascii="宋体" w:hAnsi="宋体" w:cs="宋体"/>
                <w:color w:val="auto"/>
                <w:kern w:val="0"/>
                <w:sz w:val="18"/>
                <w:szCs w:val="18"/>
                <w:highlight w:val="none"/>
              </w:rPr>
              <w:t>计）、二氧化硫残留量、脱氢乙酸及其钠盐（以脱氢乙酸计）、葛根素</w:t>
            </w:r>
          </w:p>
        </w:tc>
      </w:tr>
      <w:tr w14:paraId="0F45724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763" w:hRule="atLeast"/>
        </w:trPr>
        <w:tc>
          <w:tcPr>
            <w:tcW w:w="953" w:type="dxa"/>
            <w:vMerge w:val="continue"/>
            <w:tcBorders>
              <w:tl2br w:val="nil"/>
              <w:tr2bl w:val="nil"/>
            </w:tcBorders>
            <w:vAlign w:val="center"/>
          </w:tcPr>
          <w:p w14:paraId="288A6F57">
            <w:pPr>
              <w:widowControl/>
              <w:jc w:val="left"/>
              <w:rPr>
                <w:rFonts w:eastAsia="等线"/>
                <w:color w:val="auto"/>
                <w:kern w:val="0"/>
                <w:sz w:val="18"/>
                <w:szCs w:val="18"/>
                <w:highlight w:val="none"/>
              </w:rPr>
            </w:pPr>
          </w:p>
        </w:tc>
        <w:tc>
          <w:tcPr>
            <w:tcW w:w="796" w:type="dxa"/>
            <w:vMerge w:val="continue"/>
            <w:tcBorders>
              <w:tl2br w:val="nil"/>
              <w:tr2bl w:val="nil"/>
            </w:tcBorders>
            <w:vAlign w:val="center"/>
          </w:tcPr>
          <w:p w14:paraId="4988C108">
            <w:pPr>
              <w:widowControl/>
              <w:jc w:val="left"/>
              <w:rPr>
                <w:rFonts w:ascii="宋体" w:hAnsi="宋体" w:cs="宋体"/>
                <w:color w:val="auto"/>
                <w:kern w:val="0"/>
                <w:sz w:val="18"/>
                <w:szCs w:val="18"/>
                <w:highlight w:val="none"/>
              </w:rPr>
            </w:pPr>
          </w:p>
        </w:tc>
        <w:tc>
          <w:tcPr>
            <w:tcW w:w="797" w:type="dxa"/>
            <w:vMerge w:val="continue"/>
            <w:tcBorders>
              <w:tl2br w:val="nil"/>
              <w:tr2bl w:val="nil"/>
            </w:tcBorders>
            <w:vAlign w:val="center"/>
          </w:tcPr>
          <w:p w14:paraId="72406887">
            <w:pPr>
              <w:widowControl/>
              <w:jc w:val="left"/>
              <w:rPr>
                <w:rFonts w:ascii="宋体" w:hAnsi="宋体" w:cs="宋体"/>
                <w:color w:val="auto"/>
                <w:kern w:val="0"/>
                <w:sz w:val="18"/>
                <w:szCs w:val="18"/>
                <w:highlight w:val="none"/>
              </w:rPr>
            </w:pPr>
          </w:p>
        </w:tc>
        <w:tc>
          <w:tcPr>
            <w:tcW w:w="797" w:type="dxa"/>
            <w:vMerge w:val="restart"/>
            <w:tcBorders>
              <w:tl2br w:val="nil"/>
              <w:tr2bl w:val="nil"/>
            </w:tcBorders>
            <w:vAlign w:val="center"/>
          </w:tcPr>
          <w:p w14:paraId="7DF8E01A">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淀粉制品</w:t>
            </w:r>
          </w:p>
        </w:tc>
        <w:tc>
          <w:tcPr>
            <w:tcW w:w="953" w:type="dxa"/>
            <w:tcBorders>
              <w:tl2br w:val="nil"/>
              <w:tr2bl w:val="nil"/>
            </w:tcBorders>
            <w:vAlign w:val="center"/>
          </w:tcPr>
          <w:p w14:paraId="24A9E3FE">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粉丝粉条</w:t>
            </w:r>
          </w:p>
        </w:tc>
        <w:tc>
          <w:tcPr>
            <w:tcW w:w="1896" w:type="dxa"/>
            <w:tcBorders>
              <w:tl2br w:val="nil"/>
              <w:tr2bl w:val="nil"/>
            </w:tcBorders>
            <w:vAlign w:val="center"/>
          </w:tcPr>
          <w:p w14:paraId="40753119">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苯甲酸及其钠盐（以苯甲酸计）、铝的残留量（干样品，以</w:t>
            </w:r>
            <w:r>
              <w:rPr>
                <w:color w:val="auto"/>
                <w:kern w:val="0"/>
                <w:sz w:val="18"/>
                <w:szCs w:val="18"/>
                <w:highlight w:val="none"/>
              </w:rPr>
              <w:t>Al</w:t>
            </w:r>
            <w:r>
              <w:rPr>
                <w:rFonts w:hint="eastAsia" w:ascii="宋体" w:hAnsi="宋体" w:cs="宋体"/>
                <w:color w:val="auto"/>
                <w:kern w:val="0"/>
                <w:sz w:val="18"/>
                <w:szCs w:val="18"/>
                <w:highlight w:val="none"/>
              </w:rPr>
              <w:t>计）</w:t>
            </w:r>
          </w:p>
        </w:tc>
        <w:tc>
          <w:tcPr>
            <w:tcW w:w="2956" w:type="dxa"/>
            <w:tcBorders>
              <w:tl2br w:val="nil"/>
              <w:tr2bl w:val="nil"/>
            </w:tcBorders>
            <w:vAlign w:val="center"/>
          </w:tcPr>
          <w:p w14:paraId="49A80690">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铅（以</w:t>
            </w:r>
            <w:r>
              <w:rPr>
                <w:color w:val="auto"/>
                <w:kern w:val="0"/>
                <w:sz w:val="18"/>
                <w:szCs w:val="18"/>
                <w:highlight w:val="none"/>
              </w:rPr>
              <w:t>Pb</w:t>
            </w:r>
            <w:r>
              <w:rPr>
                <w:rFonts w:hint="eastAsia" w:ascii="宋体" w:hAnsi="宋体" w:cs="宋体"/>
                <w:color w:val="auto"/>
                <w:kern w:val="0"/>
                <w:sz w:val="18"/>
                <w:szCs w:val="18"/>
                <w:highlight w:val="none"/>
              </w:rPr>
              <w:t>计）、山梨酸及其钾盐（以山梨酸计）、二氧化硫残留量、合成着色剂（柠檬黄、新红、苋菜红、靛蓝、胭脂红、日落黄、诱惑红、亮蓝、酸性红、喹啉黄、赤藓红）</w:t>
            </w:r>
          </w:p>
        </w:tc>
      </w:tr>
      <w:tr w14:paraId="767D665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552" w:hRule="atLeast"/>
        </w:trPr>
        <w:tc>
          <w:tcPr>
            <w:tcW w:w="953" w:type="dxa"/>
            <w:vMerge w:val="continue"/>
            <w:tcBorders>
              <w:tl2br w:val="nil"/>
              <w:tr2bl w:val="nil"/>
            </w:tcBorders>
            <w:vAlign w:val="center"/>
          </w:tcPr>
          <w:p w14:paraId="1713FF1D">
            <w:pPr>
              <w:widowControl/>
              <w:jc w:val="left"/>
              <w:rPr>
                <w:rFonts w:eastAsia="等线"/>
                <w:color w:val="auto"/>
                <w:kern w:val="0"/>
                <w:sz w:val="18"/>
                <w:szCs w:val="18"/>
                <w:highlight w:val="none"/>
              </w:rPr>
            </w:pPr>
          </w:p>
        </w:tc>
        <w:tc>
          <w:tcPr>
            <w:tcW w:w="796" w:type="dxa"/>
            <w:vMerge w:val="continue"/>
            <w:tcBorders>
              <w:tl2br w:val="nil"/>
              <w:tr2bl w:val="nil"/>
            </w:tcBorders>
            <w:vAlign w:val="center"/>
          </w:tcPr>
          <w:p w14:paraId="6034AC93">
            <w:pPr>
              <w:widowControl/>
              <w:jc w:val="left"/>
              <w:rPr>
                <w:rFonts w:ascii="宋体" w:hAnsi="宋体" w:cs="宋体"/>
                <w:color w:val="auto"/>
                <w:kern w:val="0"/>
                <w:sz w:val="18"/>
                <w:szCs w:val="18"/>
                <w:highlight w:val="none"/>
              </w:rPr>
            </w:pPr>
          </w:p>
        </w:tc>
        <w:tc>
          <w:tcPr>
            <w:tcW w:w="797" w:type="dxa"/>
            <w:vMerge w:val="continue"/>
            <w:tcBorders>
              <w:tl2br w:val="nil"/>
              <w:tr2bl w:val="nil"/>
            </w:tcBorders>
            <w:vAlign w:val="center"/>
          </w:tcPr>
          <w:p w14:paraId="674E3F57">
            <w:pPr>
              <w:widowControl/>
              <w:jc w:val="left"/>
              <w:rPr>
                <w:rFonts w:ascii="宋体" w:hAnsi="宋体" w:cs="宋体"/>
                <w:color w:val="auto"/>
                <w:kern w:val="0"/>
                <w:sz w:val="18"/>
                <w:szCs w:val="18"/>
                <w:highlight w:val="none"/>
              </w:rPr>
            </w:pPr>
          </w:p>
        </w:tc>
        <w:tc>
          <w:tcPr>
            <w:tcW w:w="797" w:type="dxa"/>
            <w:vMerge w:val="continue"/>
            <w:tcBorders>
              <w:tl2br w:val="nil"/>
              <w:tr2bl w:val="nil"/>
            </w:tcBorders>
            <w:vAlign w:val="center"/>
          </w:tcPr>
          <w:p w14:paraId="3421711F">
            <w:pPr>
              <w:widowControl/>
              <w:jc w:val="left"/>
              <w:rPr>
                <w:rFonts w:ascii="宋体" w:hAnsi="宋体" w:cs="宋体"/>
                <w:color w:val="auto"/>
                <w:kern w:val="0"/>
                <w:sz w:val="18"/>
                <w:szCs w:val="18"/>
                <w:highlight w:val="none"/>
              </w:rPr>
            </w:pPr>
          </w:p>
        </w:tc>
        <w:tc>
          <w:tcPr>
            <w:tcW w:w="953" w:type="dxa"/>
            <w:tcBorders>
              <w:tl2br w:val="nil"/>
              <w:tr2bl w:val="nil"/>
            </w:tcBorders>
            <w:vAlign w:val="center"/>
          </w:tcPr>
          <w:p w14:paraId="22178B11">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其他淀粉制品</w:t>
            </w:r>
          </w:p>
        </w:tc>
        <w:tc>
          <w:tcPr>
            <w:tcW w:w="1896" w:type="dxa"/>
            <w:tcBorders>
              <w:tl2br w:val="nil"/>
              <w:tr2bl w:val="nil"/>
            </w:tcBorders>
            <w:vAlign w:val="center"/>
          </w:tcPr>
          <w:p w14:paraId="19174311">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山梨酸及其钾盐（以山梨酸计）</w:t>
            </w:r>
          </w:p>
        </w:tc>
        <w:tc>
          <w:tcPr>
            <w:tcW w:w="2956" w:type="dxa"/>
            <w:tcBorders>
              <w:tl2br w:val="nil"/>
              <w:tr2bl w:val="nil"/>
            </w:tcBorders>
            <w:vAlign w:val="center"/>
          </w:tcPr>
          <w:p w14:paraId="55EFA887">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苯甲酸及其钠盐（以苯甲酸计）、铝的残留量（干样品，以</w:t>
            </w:r>
            <w:r>
              <w:rPr>
                <w:color w:val="auto"/>
                <w:kern w:val="0"/>
                <w:sz w:val="18"/>
                <w:szCs w:val="18"/>
                <w:highlight w:val="none"/>
              </w:rPr>
              <w:t>Al</w:t>
            </w:r>
            <w:r>
              <w:rPr>
                <w:rFonts w:hint="eastAsia" w:ascii="宋体" w:hAnsi="宋体" w:cs="宋体"/>
                <w:color w:val="auto"/>
                <w:kern w:val="0"/>
                <w:sz w:val="18"/>
                <w:szCs w:val="18"/>
                <w:highlight w:val="none"/>
              </w:rPr>
              <w:t>计）、二氧化硫残留量、合成着色剂（柠檬黄、新红、苋菜红、靛蓝、胭脂红、日落黄、诱惑红、亮蓝、酸性红、喹啉黄、赤藓红）、相同色泽着色剂混合使用时各自用量占其最大使用量的比例之和</w:t>
            </w:r>
          </w:p>
        </w:tc>
      </w:tr>
      <w:tr w14:paraId="7A88060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231" w:hRule="atLeast"/>
        </w:trPr>
        <w:tc>
          <w:tcPr>
            <w:tcW w:w="953" w:type="dxa"/>
            <w:vMerge w:val="continue"/>
            <w:tcBorders>
              <w:tl2br w:val="nil"/>
              <w:tr2bl w:val="nil"/>
            </w:tcBorders>
            <w:vAlign w:val="center"/>
          </w:tcPr>
          <w:p w14:paraId="0B8EE714">
            <w:pPr>
              <w:widowControl/>
              <w:jc w:val="left"/>
              <w:rPr>
                <w:rFonts w:eastAsia="等线"/>
                <w:color w:val="auto"/>
                <w:kern w:val="0"/>
                <w:sz w:val="18"/>
                <w:szCs w:val="18"/>
                <w:highlight w:val="none"/>
              </w:rPr>
            </w:pPr>
          </w:p>
        </w:tc>
        <w:tc>
          <w:tcPr>
            <w:tcW w:w="796" w:type="dxa"/>
            <w:vMerge w:val="continue"/>
            <w:tcBorders>
              <w:tl2br w:val="nil"/>
              <w:tr2bl w:val="nil"/>
            </w:tcBorders>
            <w:vAlign w:val="center"/>
          </w:tcPr>
          <w:p w14:paraId="313530A2">
            <w:pPr>
              <w:widowControl/>
              <w:jc w:val="left"/>
              <w:rPr>
                <w:rFonts w:ascii="宋体" w:hAnsi="宋体" w:cs="宋体"/>
                <w:color w:val="auto"/>
                <w:kern w:val="0"/>
                <w:sz w:val="18"/>
                <w:szCs w:val="18"/>
                <w:highlight w:val="none"/>
              </w:rPr>
            </w:pPr>
          </w:p>
        </w:tc>
        <w:tc>
          <w:tcPr>
            <w:tcW w:w="797" w:type="dxa"/>
            <w:vMerge w:val="continue"/>
            <w:tcBorders>
              <w:tl2br w:val="nil"/>
              <w:tr2bl w:val="nil"/>
            </w:tcBorders>
            <w:vAlign w:val="center"/>
          </w:tcPr>
          <w:p w14:paraId="45EBD3A4">
            <w:pPr>
              <w:widowControl/>
              <w:jc w:val="left"/>
              <w:rPr>
                <w:rFonts w:ascii="宋体" w:hAnsi="宋体" w:cs="宋体"/>
                <w:color w:val="auto"/>
                <w:kern w:val="0"/>
                <w:sz w:val="18"/>
                <w:szCs w:val="18"/>
                <w:highlight w:val="none"/>
              </w:rPr>
            </w:pPr>
          </w:p>
        </w:tc>
        <w:tc>
          <w:tcPr>
            <w:tcW w:w="797" w:type="dxa"/>
            <w:tcBorders>
              <w:tl2br w:val="nil"/>
              <w:tr2bl w:val="nil"/>
            </w:tcBorders>
            <w:vAlign w:val="center"/>
          </w:tcPr>
          <w:p w14:paraId="55205BB6">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淀粉糖</w:t>
            </w:r>
          </w:p>
        </w:tc>
        <w:tc>
          <w:tcPr>
            <w:tcW w:w="953" w:type="dxa"/>
            <w:tcBorders>
              <w:tl2br w:val="nil"/>
              <w:tr2bl w:val="nil"/>
            </w:tcBorders>
            <w:vAlign w:val="center"/>
          </w:tcPr>
          <w:p w14:paraId="58F914B1">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淀粉糖</w:t>
            </w:r>
          </w:p>
        </w:tc>
        <w:tc>
          <w:tcPr>
            <w:tcW w:w="1896" w:type="dxa"/>
            <w:tcBorders>
              <w:tl2br w:val="nil"/>
              <w:tr2bl w:val="nil"/>
            </w:tcBorders>
            <w:vAlign w:val="center"/>
          </w:tcPr>
          <w:p w14:paraId="164C01FB">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铅（以</w:t>
            </w:r>
            <w:r>
              <w:rPr>
                <w:color w:val="auto"/>
                <w:kern w:val="0"/>
                <w:sz w:val="18"/>
                <w:szCs w:val="18"/>
                <w:highlight w:val="none"/>
              </w:rPr>
              <w:t>Pb</w:t>
            </w:r>
            <w:r>
              <w:rPr>
                <w:rFonts w:hint="eastAsia" w:ascii="宋体" w:hAnsi="宋体" w:cs="宋体"/>
                <w:color w:val="auto"/>
                <w:kern w:val="0"/>
                <w:sz w:val="18"/>
                <w:szCs w:val="18"/>
                <w:highlight w:val="none"/>
              </w:rPr>
              <w:t>计）、总砷（以</w:t>
            </w:r>
            <w:r>
              <w:rPr>
                <w:color w:val="auto"/>
                <w:kern w:val="0"/>
                <w:sz w:val="18"/>
                <w:szCs w:val="18"/>
                <w:highlight w:val="none"/>
              </w:rPr>
              <w:t>As</w:t>
            </w:r>
            <w:r>
              <w:rPr>
                <w:rFonts w:hint="eastAsia" w:ascii="宋体" w:hAnsi="宋体" w:cs="宋体"/>
                <w:color w:val="auto"/>
                <w:kern w:val="0"/>
                <w:sz w:val="18"/>
                <w:szCs w:val="18"/>
                <w:highlight w:val="none"/>
              </w:rPr>
              <w:t>计）</w:t>
            </w:r>
          </w:p>
        </w:tc>
        <w:tc>
          <w:tcPr>
            <w:tcW w:w="2956" w:type="dxa"/>
            <w:tcBorders>
              <w:tl2br w:val="nil"/>
              <w:tr2bl w:val="nil"/>
            </w:tcBorders>
            <w:vAlign w:val="center"/>
          </w:tcPr>
          <w:p w14:paraId="074FA5D3">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葡萄糖含量（以干基计，质量分数）、</w:t>
            </w:r>
            <w:r>
              <w:rPr>
                <w:color w:val="auto"/>
                <w:kern w:val="0"/>
                <w:sz w:val="18"/>
                <w:szCs w:val="18"/>
                <w:highlight w:val="none"/>
              </w:rPr>
              <w:t>IMO</w:t>
            </w:r>
            <w:r>
              <w:rPr>
                <w:rFonts w:hint="eastAsia" w:ascii="宋体" w:hAnsi="宋体" w:cs="宋体"/>
                <w:color w:val="auto"/>
                <w:kern w:val="0"/>
                <w:sz w:val="18"/>
                <w:szCs w:val="18"/>
                <w:highlight w:val="none"/>
              </w:rPr>
              <w:t>含量（占干物质，质量分数）、</w:t>
            </w:r>
            <w:r>
              <w:rPr>
                <w:color w:val="auto"/>
                <w:kern w:val="0"/>
                <w:sz w:val="18"/>
                <w:szCs w:val="18"/>
                <w:highlight w:val="none"/>
              </w:rPr>
              <w:t>IG2+P+IG3</w:t>
            </w:r>
            <w:r>
              <w:rPr>
                <w:rFonts w:hint="eastAsia" w:ascii="宋体" w:hAnsi="宋体" w:cs="宋体"/>
                <w:color w:val="auto"/>
                <w:kern w:val="0"/>
                <w:sz w:val="18"/>
                <w:szCs w:val="18"/>
                <w:highlight w:val="none"/>
              </w:rPr>
              <w:t>含量（占干物质，质量分数）、果糖（占干基比）、果糖</w:t>
            </w:r>
            <w:r>
              <w:rPr>
                <w:color w:val="auto"/>
                <w:kern w:val="0"/>
                <w:sz w:val="18"/>
                <w:szCs w:val="18"/>
                <w:highlight w:val="none"/>
              </w:rPr>
              <w:t>+</w:t>
            </w:r>
            <w:r>
              <w:rPr>
                <w:rFonts w:hint="eastAsia" w:ascii="宋体" w:hAnsi="宋体" w:cs="宋体"/>
                <w:color w:val="auto"/>
                <w:kern w:val="0"/>
                <w:sz w:val="18"/>
                <w:szCs w:val="18"/>
                <w:highlight w:val="none"/>
              </w:rPr>
              <w:t>葡萄糖（占干基比）、</w:t>
            </w:r>
            <w:r>
              <w:rPr>
                <w:color w:val="auto"/>
                <w:kern w:val="0"/>
                <w:sz w:val="18"/>
                <w:szCs w:val="18"/>
                <w:highlight w:val="none"/>
              </w:rPr>
              <w:t>5-</w:t>
            </w:r>
            <w:r>
              <w:rPr>
                <w:rFonts w:hint="eastAsia" w:ascii="宋体" w:hAnsi="宋体" w:cs="宋体"/>
                <w:color w:val="auto"/>
                <w:kern w:val="0"/>
                <w:sz w:val="18"/>
                <w:szCs w:val="18"/>
                <w:highlight w:val="none"/>
              </w:rPr>
              <w:t>羟甲基糠醛（以吸光度计）、果糖</w:t>
            </w:r>
            <w:r>
              <w:rPr>
                <w:color w:val="auto"/>
                <w:kern w:val="0"/>
                <w:sz w:val="18"/>
                <w:szCs w:val="18"/>
                <w:highlight w:val="none"/>
              </w:rPr>
              <w:t>+</w:t>
            </w:r>
            <w:r>
              <w:rPr>
                <w:rFonts w:hint="eastAsia" w:ascii="宋体" w:hAnsi="宋体" w:cs="宋体"/>
                <w:color w:val="auto"/>
                <w:kern w:val="0"/>
                <w:sz w:val="18"/>
                <w:szCs w:val="18"/>
                <w:highlight w:val="none"/>
              </w:rPr>
              <w:t>葡萄糖含量（以干物质计）、果糖含量（以干物质计）、麦芽糖含量（以干物质计，质量分数）、干物质（固形物）、硫酸灰分</w:t>
            </w:r>
          </w:p>
        </w:tc>
      </w:tr>
      <w:tr w14:paraId="12C40AD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16" w:hRule="atLeast"/>
        </w:trPr>
        <w:tc>
          <w:tcPr>
            <w:tcW w:w="953" w:type="dxa"/>
            <w:vMerge w:val="restart"/>
            <w:tcBorders>
              <w:tl2br w:val="nil"/>
              <w:tr2bl w:val="nil"/>
            </w:tcBorders>
            <w:vAlign w:val="center"/>
          </w:tcPr>
          <w:p w14:paraId="750BAB67">
            <w:pPr>
              <w:widowControl/>
              <w:jc w:val="center"/>
              <w:rPr>
                <w:rFonts w:eastAsia="等线"/>
                <w:color w:val="auto"/>
                <w:kern w:val="0"/>
                <w:sz w:val="18"/>
                <w:szCs w:val="18"/>
                <w:highlight w:val="none"/>
              </w:rPr>
            </w:pPr>
            <w:r>
              <w:rPr>
                <w:rFonts w:eastAsia="等线"/>
                <w:color w:val="auto"/>
                <w:kern w:val="0"/>
                <w:sz w:val="18"/>
                <w:szCs w:val="18"/>
                <w:highlight w:val="none"/>
              </w:rPr>
              <w:t>24</w:t>
            </w:r>
          </w:p>
        </w:tc>
        <w:tc>
          <w:tcPr>
            <w:tcW w:w="796" w:type="dxa"/>
            <w:vMerge w:val="restart"/>
            <w:tcBorders>
              <w:tl2br w:val="nil"/>
              <w:tr2bl w:val="nil"/>
            </w:tcBorders>
            <w:vAlign w:val="center"/>
          </w:tcPr>
          <w:p w14:paraId="31B1452E">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糕点</w:t>
            </w:r>
          </w:p>
        </w:tc>
        <w:tc>
          <w:tcPr>
            <w:tcW w:w="797" w:type="dxa"/>
            <w:vMerge w:val="restart"/>
            <w:tcBorders>
              <w:tl2br w:val="nil"/>
              <w:tr2bl w:val="nil"/>
            </w:tcBorders>
            <w:vAlign w:val="center"/>
          </w:tcPr>
          <w:p w14:paraId="04175F91">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糕点</w:t>
            </w:r>
          </w:p>
        </w:tc>
        <w:tc>
          <w:tcPr>
            <w:tcW w:w="797" w:type="dxa"/>
            <w:tcBorders>
              <w:tl2br w:val="nil"/>
              <w:tr2bl w:val="nil"/>
            </w:tcBorders>
            <w:vAlign w:val="center"/>
          </w:tcPr>
          <w:p w14:paraId="6FF44DBE">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糕点</w:t>
            </w:r>
          </w:p>
        </w:tc>
        <w:tc>
          <w:tcPr>
            <w:tcW w:w="953" w:type="dxa"/>
            <w:tcBorders>
              <w:tl2br w:val="nil"/>
              <w:tr2bl w:val="nil"/>
            </w:tcBorders>
            <w:vAlign w:val="center"/>
          </w:tcPr>
          <w:p w14:paraId="5326A505">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糕点</w:t>
            </w:r>
          </w:p>
        </w:tc>
        <w:tc>
          <w:tcPr>
            <w:tcW w:w="1896" w:type="dxa"/>
            <w:tcBorders>
              <w:tl2br w:val="nil"/>
              <w:tr2bl w:val="nil"/>
            </w:tcBorders>
            <w:vAlign w:val="center"/>
          </w:tcPr>
          <w:p w14:paraId="525AC3B8">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酸价（以脂肪计）（</w:t>
            </w:r>
            <w:r>
              <w:rPr>
                <w:color w:val="auto"/>
                <w:kern w:val="0"/>
                <w:sz w:val="18"/>
                <w:szCs w:val="18"/>
                <w:highlight w:val="none"/>
              </w:rPr>
              <w:t>KOH</w:t>
            </w:r>
            <w:r>
              <w:rPr>
                <w:rFonts w:hint="eastAsia" w:ascii="宋体" w:hAnsi="宋体" w:cs="宋体"/>
                <w:color w:val="auto"/>
                <w:kern w:val="0"/>
                <w:sz w:val="18"/>
                <w:szCs w:val="18"/>
                <w:highlight w:val="none"/>
              </w:rPr>
              <w:t>）、过氧化值（以脂肪计）、苯甲酸及其钠盐（以苯甲酸计）、山梨酸及其钾盐（以山梨酸计）、菌落总数、霉菌</w:t>
            </w:r>
          </w:p>
        </w:tc>
        <w:tc>
          <w:tcPr>
            <w:tcW w:w="2956" w:type="dxa"/>
            <w:tcBorders>
              <w:tl2br w:val="nil"/>
              <w:tr2bl w:val="nil"/>
            </w:tcBorders>
            <w:vAlign w:val="center"/>
          </w:tcPr>
          <w:p w14:paraId="7090B0C8">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铅（以</w:t>
            </w:r>
            <w:r>
              <w:rPr>
                <w:color w:val="auto"/>
                <w:kern w:val="0"/>
                <w:sz w:val="18"/>
                <w:szCs w:val="18"/>
                <w:highlight w:val="none"/>
              </w:rPr>
              <w:t>Pb</w:t>
            </w:r>
            <w:r>
              <w:rPr>
                <w:rFonts w:hint="eastAsia" w:ascii="宋体" w:hAnsi="宋体" w:cs="宋体"/>
                <w:color w:val="auto"/>
                <w:kern w:val="0"/>
                <w:sz w:val="18"/>
                <w:szCs w:val="18"/>
                <w:highlight w:val="none"/>
              </w:rPr>
              <w:t>计）、糖精钠（以糖精计）、甜蜜素（以环己基氨基磺酸计）、安赛蜜、铝的残留量（干样品，以</w:t>
            </w:r>
            <w:r>
              <w:rPr>
                <w:color w:val="auto"/>
                <w:kern w:val="0"/>
                <w:sz w:val="18"/>
                <w:szCs w:val="18"/>
                <w:highlight w:val="none"/>
              </w:rPr>
              <w:t>Al</w:t>
            </w:r>
            <w:r>
              <w:rPr>
                <w:rFonts w:hint="eastAsia" w:ascii="宋体" w:hAnsi="宋体" w:cs="宋体"/>
                <w:color w:val="auto"/>
                <w:kern w:val="0"/>
                <w:sz w:val="18"/>
                <w:szCs w:val="18"/>
                <w:highlight w:val="none"/>
              </w:rPr>
              <w:t>计）、丙酸及其钠盐、钙盐（以丙酸计）、脱氢乙酸及其钠盐（以脱氢乙酸计）、纳他霉素、三氯蔗糖、丙二醇、合成着色剂（柠檬黄、日落黄、胭脂红、苋菜红、亮蓝、新红、赤藓红、靛蓝、诱惑红、酸性红、喹啉黄）、防腐剂混合使用时各自用量占其最大使用量的比例之和、大肠菌群、金黄色葡萄球菌、沙门氏菌</w:t>
            </w:r>
          </w:p>
        </w:tc>
      </w:tr>
      <w:tr w14:paraId="6CC73C0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236" w:hRule="atLeast"/>
        </w:trPr>
        <w:tc>
          <w:tcPr>
            <w:tcW w:w="953" w:type="dxa"/>
            <w:vMerge w:val="continue"/>
            <w:tcBorders>
              <w:tl2br w:val="nil"/>
              <w:tr2bl w:val="nil"/>
            </w:tcBorders>
            <w:vAlign w:val="center"/>
          </w:tcPr>
          <w:p w14:paraId="6ED7CA31">
            <w:pPr>
              <w:widowControl/>
              <w:jc w:val="left"/>
              <w:rPr>
                <w:rFonts w:eastAsia="等线"/>
                <w:color w:val="auto"/>
                <w:kern w:val="0"/>
                <w:sz w:val="18"/>
                <w:szCs w:val="18"/>
                <w:highlight w:val="none"/>
              </w:rPr>
            </w:pPr>
          </w:p>
        </w:tc>
        <w:tc>
          <w:tcPr>
            <w:tcW w:w="796" w:type="dxa"/>
            <w:vMerge w:val="continue"/>
            <w:tcBorders>
              <w:tl2br w:val="nil"/>
              <w:tr2bl w:val="nil"/>
            </w:tcBorders>
            <w:vAlign w:val="center"/>
          </w:tcPr>
          <w:p w14:paraId="53591044">
            <w:pPr>
              <w:widowControl/>
              <w:jc w:val="left"/>
              <w:rPr>
                <w:rFonts w:ascii="宋体" w:hAnsi="宋体" w:cs="宋体"/>
                <w:color w:val="auto"/>
                <w:kern w:val="0"/>
                <w:sz w:val="18"/>
                <w:szCs w:val="18"/>
                <w:highlight w:val="none"/>
              </w:rPr>
            </w:pPr>
          </w:p>
        </w:tc>
        <w:tc>
          <w:tcPr>
            <w:tcW w:w="797" w:type="dxa"/>
            <w:vMerge w:val="continue"/>
            <w:tcBorders>
              <w:tl2br w:val="nil"/>
              <w:tr2bl w:val="nil"/>
            </w:tcBorders>
            <w:vAlign w:val="center"/>
          </w:tcPr>
          <w:p w14:paraId="70F808F1">
            <w:pPr>
              <w:widowControl/>
              <w:jc w:val="left"/>
              <w:rPr>
                <w:rFonts w:ascii="宋体" w:hAnsi="宋体" w:cs="宋体"/>
                <w:color w:val="auto"/>
                <w:kern w:val="0"/>
                <w:sz w:val="18"/>
                <w:szCs w:val="18"/>
                <w:highlight w:val="none"/>
              </w:rPr>
            </w:pPr>
          </w:p>
        </w:tc>
        <w:tc>
          <w:tcPr>
            <w:tcW w:w="797" w:type="dxa"/>
            <w:tcBorders>
              <w:tl2br w:val="nil"/>
              <w:tr2bl w:val="nil"/>
            </w:tcBorders>
            <w:vAlign w:val="center"/>
          </w:tcPr>
          <w:p w14:paraId="12A3EC44">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月饼</w:t>
            </w:r>
          </w:p>
        </w:tc>
        <w:tc>
          <w:tcPr>
            <w:tcW w:w="953" w:type="dxa"/>
            <w:tcBorders>
              <w:tl2br w:val="nil"/>
              <w:tr2bl w:val="nil"/>
            </w:tcBorders>
            <w:vAlign w:val="center"/>
          </w:tcPr>
          <w:p w14:paraId="5C52406F">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月饼</w:t>
            </w:r>
          </w:p>
        </w:tc>
        <w:tc>
          <w:tcPr>
            <w:tcW w:w="1896" w:type="dxa"/>
            <w:tcBorders>
              <w:tl2br w:val="nil"/>
              <w:tr2bl w:val="nil"/>
            </w:tcBorders>
            <w:vAlign w:val="center"/>
          </w:tcPr>
          <w:p w14:paraId="55B3097A">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酸价（以脂肪计）（KOH）、过氧化值（以脂肪计）、苯甲酸及其钠盐（以苯甲酸计）、山梨酸及其钾盐（以山梨酸计）、合成着色剂（胭脂红、苋菜红、诱惑红）</w:t>
            </w:r>
          </w:p>
        </w:tc>
        <w:tc>
          <w:tcPr>
            <w:tcW w:w="2956" w:type="dxa"/>
            <w:tcBorders>
              <w:tl2br w:val="nil"/>
              <w:tr2bl w:val="nil"/>
            </w:tcBorders>
            <w:vAlign w:val="center"/>
          </w:tcPr>
          <w:p w14:paraId="4BDD2378">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糖精钠（以糖精计）、铝的残留量（干样品，以</w:t>
            </w:r>
            <w:r>
              <w:rPr>
                <w:color w:val="auto"/>
                <w:kern w:val="0"/>
                <w:sz w:val="18"/>
                <w:szCs w:val="18"/>
                <w:highlight w:val="none"/>
              </w:rPr>
              <w:t>Al</w:t>
            </w:r>
            <w:r>
              <w:rPr>
                <w:rFonts w:hint="eastAsia" w:ascii="宋体" w:hAnsi="宋体" w:cs="宋体"/>
                <w:color w:val="auto"/>
                <w:kern w:val="0"/>
                <w:sz w:val="18"/>
                <w:szCs w:val="18"/>
                <w:highlight w:val="none"/>
              </w:rPr>
              <w:t>计）、丙酸及其钠盐、钙盐（以丙酸计）、脱氢乙酸及其钠盐（以脱氢乙酸计）、纳他霉素、甜蜜素（以环己基氨基磺酸计）、防腐剂混合使用时各自用量占其最大使用量的比例之和、菌落总数、大肠菌群、金黄色葡萄球菌、沙门氏菌、霉菌</w:t>
            </w:r>
          </w:p>
        </w:tc>
      </w:tr>
      <w:tr w14:paraId="6A9AC5B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070" w:hRule="atLeast"/>
        </w:trPr>
        <w:tc>
          <w:tcPr>
            <w:tcW w:w="953" w:type="dxa"/>
            <w:vMerge w:val="continue"/>
            <w:tcBorders>
              <w:tl2br w:val="nil"/>
              <w:tr2bl w:val="nil"/>
            </w:tcBorders>
            <w:vAlign w:val="center"/>
          </w:tcPr>
          <w:p w14:paraId="6A1B422C">
            <w:pPr>
              <w:widowControl/>
              <w:jc w:val="left"/>
              <w:rPr>
                <w:rFonts w:eastAsia="等线"/>
                <w:color w:val="auto"/>
                <w:kern w:val="0"/>
                <w:sz w:val="18"/>
                <w:szCs w:val="18"/>
                <w:highlight w:val="none"/>
              </w:rPr>
            </w:pPr>
          </w:p>
        </w:tc>
        <w:tc>
          <w:tcPr>
            <w:tcW w:w="796" w:type="dxa"/>
            <w:vMerge w:val="continue"/>
            <w:tcBorders>
              <w:tl2br w:val="nil"/>
              <w:tr2bl w:val="nil"/>
            </w:tcBorders>
            <w:vAlign w:val="center"/>
          </w:tcPr>
          <w:p w14:paraId="4DFBCABA">
            <w:pPr>
              <w:widowControl/>
              <w:jc w:val="left"/>
              <w:rPr>
                <w:rFonts w:ascii="宋体" w:hAnsi="宋体" w:cs="宋体"/>
                <w:color w:val="auto"/>
                <w:kern w:val="0"/>
                <w:sz w:val="18"/>
                <w:szCs w:val="18"/>
                <w:highlight w:val="none"/>
              </w:rPr>
            </w:pPr>
          </w:p>
        </w:tc>
        <w:tc>
          <w:tcPr>
            <w:tcW w:w="797" w:type="dxa"/>
            <w:tcBorders>
              <w:tl2br w:val="nil"/>
              <w:tr2bl w:val="nil"/>
            </w:tcBorders>
            <w:vAlign w:val="center"/>
          </w:tcPr>
          <w:p w14:paraId="67263928">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糕点</w:t>
            </w:r>
          </w:p>
        </w:tc>
        <w:tc>
          <w:tcPr>
            <w:tcW w:w="797" w:type="dxa"/>
            <w:tcBorders>
              <w:tl2br w:val="nil"/>
              <w:tr2bl w:val="nil"/>
            </w:tcBorders>
            <w:vAlign w:val="center"/>
          </w:tcPr>
          <w:p w14:paraId="567DC834">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粽子</w:t>
            </w:r>
          </w:p>
        </w:tc>
        <w:tc>
          <w:tcPr>
            <w:tcW w:w="953" w:type="dxa"/>
            <w:tcBorders>
              <w:tl2br w:val="nil"/>
              <w:tr2bl w:val="nil"/>
            </w:tcBorders>
            <w:vAlign w:val="center"/>
          </w:tcPr>
          <w:p w14:paraId="6AE06140">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粽子</w:t>
            </w:r>
          </w:p>
        </w:tc>
        <w:tc>
          <w:tcPr>
            <w:tcW w:w="1896" w:type="dxa"/>
            <w:tcBorders>
              <w:tl2br w:val="nil"/>
              <w:tr2bl w:val="nil"/>
            </w:tcBorders>
            <w:vAlign w:val="center"/>
          </w:tcPr>
          <w:p w14:paraId="6E8C8FDE">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脱氢乙酸及其钠盐（以脱氢乙酸计）</w:t>
            </w:r>
          </w:p>
        </w:tc>
        <w:tc>
          <w:tcPr>
            <w:tcW w:w="2956" w:type="dxa"/>
            <w:tcBorders>
              <w:tl2br w:val="nil"/>
              <w:tr2bl w:val="nil"/>
            </w:tcBorders>
            <w:vAlign w:val="center"/>
          </w:tcPr>
          <w:p w14:paraId="0FFAD4B4">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过氧化值（以脂肪计）、甜蜜素（以环己基氨基磺酸计）、山梨酸及其钾盐（以山梨酸计）、糖精钠（以糖精计）、安赛蜜、菌落总数、大肠菌群、金黄色葡萄球菌、沙门氏菌、霉菌、商业无菌</w:t>
            </w:r>
          </w:p>
        </w:tc>
      </w:tr>
      <w:tr w14:paraId="30472FF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512" w:hRule="atLeast"/>
        </w:trPr>
        <w:tc>
          <w:tcPr>
            <w:tcW w:w="953" w:type="dxa"/>
            <w:vMerge w:val="restart"/>
            <w:tcBorders>
              <w:tl2br w:val="nil"/>
              <w:tr2bl w:val="nil"/>
            </w:tcBorders>
            <w:vAlign w:val="center"/>
          </w:tcPr>
          <w:p w14:paraId="76327360">
            <w:pPr>
              <w:widowControl/>
              <w:jc w:val="center"/>
              <w:rPr>
                <w:rFonts w:eastAsia="等线"/>
                <w:color w:val="auto"/>
                <w:kern w:val="0"/>
                <w:sz w:val="18"/>
                <w:szCs w:val="18"/>
                <w:highlight w:val="none"/>
              </w:rPr>
            </w:pPr>
            <w:r>
              <w:rPr>
                <w:rFonts w:eastAsia="等线"/>
                <w:color w:val="auto"/>
                <w:kern w:val="0"/>
                <w:sz w:val="18"/>
                <w:szCs w:val="18"/>
                <w:highlight w:val="none"/>
              </w:rPr>
              <w:t>25</w:t>
            </w:r>
          </w:p>
        </w:tc>
        <w:tc>
          <w:tcPr>
            <w:tcW w:w="796" w:type="dxa"/>
            <w:vMerge w:val="restart"/>
            <w:tcBorders>
              <w:tl2br w:val="nil"/>
              <w:tr2bl w:val="nil"/>
            </w:tcBorders>
            <w:vAlign w:val="center"/>
          </w:tcPr>
          <w:p w14:paraId="3F7C8FDB">
            <w:pPr>
              <w:widowControl/>
              <w:rPr>
                <w:rFonts w:ascii="宋体" w:hAnsi="宋体" w:cs="宋体"/>
                <w:color w:val="auto"/>
                <w:kern w:val="0"/>
                <w:sz w:val="18"/>
                <w:szCs w:val="18"/>
                <w:highlight w:val="none"/>
              </w:rPr>
            </w:pPr>
            <w:r>
              <w:rPr>
                <w:rFonts w:hint="eastAsia" w:ascii="宋体" w:hAnsi="宋体" w:cs="宋体"/>
                <w:color w:val="auto"/>
                <w:kern w:val="0"/>
                <w:sz w:val="18"/>
                <w:szCs w:val="18"/>
                <w:highlight w:val="none"/>
              </w:rPr>
              <w:t>豆制品</w:t>
            </w:r>
          </w:p>
        </w:tc>
        <w:tc>
          <w:tcPr>
            <w:tcW w:w="797" w:type="dxa"/>
            <w:vMerge w:val="restart"/>
            <w:tcBorders>
              <w:tl2br w:val="nil"/>
              <w:tr2bl w:val="nil"/>
            </w:tcBorders>
            <w:vAlign w:val="center"/>
          </w:tcPr>
          <w:p w14:paraId="4EE39528">
            <w:pPr>
              <w:widowControl/>
              <w:rPr>
                <w:rFonts w:ascii="宋体" w:hAnsi="宋体" w:cs="宋体"/>
                <w:color w:val="auto"/>
                <w:kern w:val="0"/>
                <w:sz w:val="18"/>
                <w:szCs w:val="18"/>
                <w:highlight w:val="none"/>
              </w:rPr>
            </w:pPr>
            <w:r>
              <w:rPr>
                <w:rFonts w:hint="eastAsia" w:ascii="宋体" w:hAnsi="宋体" w:cs="宋体"/>
                <w:color w:val="auto"/>
                <w:kern w:val="0"/>
                <w:sz w:val="18"/>
                <w:szCs w:val="18"/>
                <w:highlight w:val="none"/>
              </w:rPr>
              <w:t>豆制品</w:t>
            </w:r>
          </w:p>
        </w:tc>
        <w:tc>
          <w:tcPr>
            <w:tcW w:w="797" w:type="dxa"/>
            <w:tcBorders>
              <w:tl2br w:val="nil"/>
              <w:tr2bl w:val="nil"/>
            </w:tcBorders>
            <w:vAlign w:val="center"/>
          </w:tcPr>
          <w:p w14:paraId="56977547">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发酵性豆制品</w:t>
            </w:r>
          </w:p>
        </w:tc>
        <w:tc>
          <w:tcPr>
            <w:tcW w:w="953" w:type="dxa"/>
            <w:tcBorders>
              <w:tl2br w:val="nil"/>
              <w:tr2bl w:val="nil"/>
            </w:tcBorders>
            <w:vAlign w:val="center"/>
          </w:tcPr>
          <w:p w14:paraId="4EFA4610">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腐乳、豆豉、纳豆等</w:t>
            </w:r>
          </w:p>
        </w:tc>
        <w:tc>
          <w:tcPr>
            <w:tcW w:w="1896" w:type="dxa"/>
            <w:tcBorders>
              <w:tl2br w:val="nil"/>
              <w:tr2bl w:val="nil"/>
            </w:tcBorders>
            <w:vAlign w:val="center"/>
          </w:tcPr>
          <w:p w14:paraId="5409359D">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铅（以</w:t>
            </w:r>
            <w:r>
              <w:rPr>
                <w:color w:val="auto"/>
                <w:kern w:val="0"/>
                <w:sz w:val="18"/>
                <w:szCs w:val="18"/>
                <w:highlight w:val="none"/>
              </w:rPr>
              <w:t>Pb</w:t>
            </w:r>
            <w:r>
              <w:rPr>
                <w:rFonts w:hint="eastAsia" w:ascii="宋体" w:hAnsi="宋体" w:cs="宋体"/>
                <w:color w:val="auto"/>
                <w:kern w:val="0"/>
                <w:sz w:val="18"/>
                <w:szCs w:val="18"/>
                <w:highlight w:val="none"/>
              </w:rPr>
              <w:t>计）、脱氢乙酸及其钠盐（以脱氢乙酸计）、苯甲酸及其钠盐（以苯甲酸计）、山梨酸及其钾盐（以山梨酸计）</w:t>
            </w:r>
          </w:p>
        </w:tc>
        <w:tc>
          <w:tcPr>
            <w:tcW w:w="2956" w:type="dxa"/>
            <w:tcBorders>
              <w:tl2br w:val="nil"/>
              <w:tr2bl w:val="nil"/>
            </w:tcBorders>
            <w:vAlign w:val="center"/>
          </w:tcPr>
          <w:p w14:paraId="6EC6B996">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黄曲霉毒素</w:t>
            </w:r>
            <w:r>
              <w:rPr>
                <w:color w:val="auto"/>
                <w:kern w:val="0"/>
                <w:sz w:val="18"/>
                <w:szCs w:val="18"/>
                <w:highlight w:val="none"/>
              </w:rPr>
              <w:t>B</w:t>
            </w:r>
            <w:r>
              <w:rPr>
                <w:rFonts w:ascii="Cambria Math" w:hAnsi="Cambria Math" w:cs="Cambria Math"/>
                <w:color w:val="auto"/>
                <w:kern w:val="0"/>
                <w:sz w:val="18"/>
                <w:szCs w:val="18"/>
                <w:highlight w:val="none"/>
              </w:rPr>
              <w:t>₁</w:t>
            </w:r>
            <w:r>
              <w:rPr>
                <w:rFonts w:hint="eastAsia" w:ascii="宋体" w:hAnsi="宋体" w:cs="宋体"/>
                <w:color w:val="auto"/>
                <w:kern w:val="0"/>
                <w:sz w:val="18"/>
                <w:szCs w:val="18"/>
                <w:highlight w:val="none"/>
              </w:rPr>
              <w:t>、糖精钠（以糖精计）、甜蜜素（以环己基氨基磺酸计）、铝的残留量（干样品，以</w:t>
            </w:r>
            <w:r>
              <w:rPr>
                <w:color w:val="auto"/>
                <w:kern w:val="0"/>
                <w:sz w:val="18"/>
                <w:szCs w:val="18"/>
                <w:highlight w:val="none"/>
              </w:rPr>
              <w:t>Al</w:t>
            </w:r>
            <w:r>
              <w:rPr>
                <w:rFonts w:hint="eastAsia" w:ascii="宋体" w:hAnsi="宋体" w:cs="宋体"/>
                <w:color w:val="auto"/>
                <w:kern w:val="0"/>
                <w:sz w:val="18"/>
                <w:szCs w:val="18"/>
                <w:highlight w:val="none"/>
              </w:rPr>
              <w:t>计）、大肠菌群</w:t>
            </w:r>
          </w:p>
        </w:tc>
      </w:tr>
      <w:tr w14:paraId="385F293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646" w:hRule="atLeast"/>
        </w:trPr>
        <w:tc>
          <w:tcPr>
            <w:tcW w:w="953" w:type="dxa"/>
            <w:vMerge w:val="continue"/>
            <w:tcBorders>
              <w:tl2br w:val="nil"/>
              <w:tr2bl w:val="nil"/>
            </w:tcBorders>
            <w:vAlign w:val="center"/>
          </w:tcPr>
          <w:p w14:paraId="0C657282">
            <w:pPr>
              <w:widowControl/>
              <w:jc w:val="left"/>
              <w:rPr>
                <w:rFonts w:eastAsia="等线"/>
                <w:color w:val="auto"/>
                <w:kern w:val="0"/>
                <w:sz w:val="18"/>
                <w:szCs w:val="18"/>
                <w:highlight w:val="none"/>
              </w:rPr>
            </w:pPr>
          </w:p>
        </w:tc>
        <w:tc>
          <w:tcPr>
            <w:tcW w:w="796" w:type="dxa"/>
            <w:vMerge w:val="continue"/>
            <w:tcBorders>
              <w:tl2br w:val="nil"/>
              <w:tr2bl w:val="nil"/>
            </w:tcBorders>
            <w:vAlign w:val="center"/>
          </w:tcPr>
          <w:p w14:paraId="5FEFBE36">
            <w:pPr>
              <w:widowControl/>
              <w:jc w:val="left"/>
              <w:rPr>
                <w:rFonts w:ascii="宋体" w:hAnsi="宋体" w:cs="宋体"/>
                <w:color w:val="auto"/>
                <w:kern w:val="0"/>
                <w:sz w:val="18"/>
                <w:szCs w:val="18"/>
                <w:highlight w:val="none"/>
              </w:rPr>
            </w:pPr>
          </w:p>
        </w:tc>
        <w:tc>
          <w:tcPr>
            <w:tcW w:w="797" w:type="dxa"/>
            <w:vMerge w:val="continue"/>
            <w:tcBorders>
              <w:tl2br w:val="nil"/>
              <w:tr2bl w:val="nil"/>
            </w:tcBorders>
            <w:vAlign w:val="center"/>
          </w:tcPr>
          <w:p w14:paraId="2CF20021">
            <w:pPr>
              <w:widowControl/>
              <w:jc w:val="left"/>
              <w:rPr>
                <w:rFonts w:ascii="宋体" w:hAnsi="宋体" w:cs="宋体"/>
                <w:color w:val="auto"/>
                <w:kern w:val="0"/>
                <w:sz w:val="18"/>
                <w:szCs w:val="18"/>
                <w:highlight w:val="none"/>
              </w:rPr>
            </w:pPr>
          </w:p>
        </w:tc>
        <w:tc>
          <w:tcPr>
            <w:tcW w:w="797" w:type="dxa"/>
            <w:vMerge w:val="restart"/>
            <w:tcBorders>
              <w:tl2br w:val="nil"/>
              <w:tr2bl w:val="nil"/>
            </w:tcBorders>
            <w:vAlign w:val="center"/>
          </w:tcPr>
          <w:p w14:paraId="25CF4430">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非发酵性豆制品</w:t>
            </w:r>
          </w:p>
        </w:tc>
        <w:tc>
          <w:tcPr>
            <w:tcW w:w="953" w:type="dxa"/>
            <w:tcBorders>
              <w:tl2br w:val="nil"/>
              <w:tr2bl w:val="nil"/>
            </w:tcBorders>
            <w:vAlign w:val="center"/>
          </w:tcPr>
          <w:p w14:paraId="57D36DD2">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腐竹、油皮及其再制品</w:t>
            </w:r>
          </w:p>
        </w:tc>
        <w:tc>
          <w:tcPr>
            <w:tcW w:w="1896" w:type="dxa"/>
            <w:tcBorders>
              <w:tl2br w:val="nil"/>
              <w:tr2bl w:val="nil"/>
            </w:tcBorders>
            <w:vAlign w:val="center"/>
          </w:tcPr>
          <w:p w14:paraId="40DE5E6C">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山梨酸及其钾盐（以山梨酸计）、苯甲酸及其钠盐（以苯甲酸计）、合成着色剂（柠檬黄、日落黄）</w:t>
            </w:r>
          </w:p>
        </w:tc>
        <w:tc>
          <w:tcPr>
            <w:tcW w:w="2956" w:type="dxa"/>
            <w:tcBorders>
              <w:tl2br w:val="nil"/>
              <w:tr2bl w:val="nil"/>
            </w:tcBorders>
            <w:vAlign w:val="center"/>
          </w:tcPr>
          <w:p w14:paraId="738F59D0">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蛋白质、铅（以</w:t>
            </w:r>
            <w:r>
              <w:rPr>
                <w:color w:val="auto"/>
                <w:kern w:val="0"/>
                <w:sz w:val="18"/>
                <w:szCs w:val="18"/>
                <w:highlight w:val="none"/>
              </w:rPr>
              <w:t>Pb</w:t>
            </w:r>
            <w:r>
              <w:rPr>
                <w:rFonts w:hint="eastAsia" w:ascii="宋体" w:hAnsi="宋体" w:cs="宋体"/>
                <w:color w:val="auto"/>
                <w:kern w:val="0"/>
                <w:sz w:val="18"/>
                <w:szCs w:val="18"/>
                <w:highlight w:val="none"/>
              </w:rPr>
              <w:t>计）、碱性嫩黄、脱氢乙酸及其钠盐（以脱氢乙酸计）、二氧化硫残留量、铝的残留量（干样品，以</w:t>
            </w:r>
            <w:r>
              <w:rPr>
                <w:color w:val="auto"/>
                <w:kern w:val="0"/>
                <w:sz w:val="18"/>
                <w:szCs w:val="18"/>
                <w:highlight w:val="none"/>
              </w:rPr>
              <w:t>Al</w:t>
            </w:r>
            <w:r>
              <w:rPr>
                <w:rFonts w:hint="eastAsia" w:ascii="宋体" w:hAnsi="宋体" w:cs="宋体"/>
                <w:color w:val="auto"/>
                <w:kern w:val="0"/>
                <w:sz w:val="18"/>
                <w:szCs w:val="18"/>
                <w:highlight w:val="none"/>
              </w:rPr>
              <w:t>计）</w:t>
            </w:r>
          </w:p>
        </w:tc>
      </w:tr>
      <w:tr w14:paraId="579E983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890" w:hRule="atLeast"/>
        </w:trPr>
        <w:tc>
          <w:tcPr>
            <w:tcW w:w="953" w:type="dxa"/>
            <w:vMerge w:val="continue"/>
            <w:tcBorders>
              <w:tl2br w:val="nil"/>
              <w:tr2bl w:val="nil"/>
            </w:tcBorders>
            <w:vAlign w:val="center"/>
          </w:tcPr>
          <w:p w14:paraId="4D524771">
            <w:pPr>
              <w:widowControl/>
              <w:jc w:val="left"/>
              <w:rPr>
                <w:rFonts w:eastAsia="等线"/>
                <w:color w:val="auto"/>
                <w:kern w:val="0"/>
                <w:sz w:val="18"/>
                <w:szCs w:val="18"/>
                <w:highlight w:val="none"/>
              </w:rPr>
            </w:pPr>
          </w:p>
        </w:tc>
        <w:tc>
          <w:tcPr>
            <w:tcW w:w="796" w:type="dxa"/>
            <w:vMerge w:val="continue"/>
            <w:tcBorders>
              <w:tl2br w:val="nil"/>
              <w:tr2bl w:val="nil"/>
            </w:tcBorders>
            <w:vAlign w:val="center"/>
          </w:tcPr>
          <w:p w14:paraId="1D431820">
            <w:pPr>
              <w:widowControl/>
              <w:jc w:val="left"/>
              <w:rPr>
                <w:rFonts w:ascii="宋体" w:hAnsi="宋体" w:cs="宋体"/>
                <w:color w:val="auto"/>
                <w:kern w:val="0"/>
                <w:sz w:val="18"/>
                <w:szCs w:val="18"/>
                <w:highlight w:val="none"/>
              </w:rPr>
            </w:pPr>
          </w:p>
        </w:tc>
        <w:tc>
          <w:tcPr>
            <w:tcW w:w="797" w:type="dxa"/>
            <w:vMerge w:val="continue"/>
            <w:tcBorders>
              <w:tl2br w:val="nil"/>
              <w:tr2bl w:val="nil"/>
            </w:tcBorders>
            <w:vAlign w:val="center"/>
          </w:tcPr>
          <w:p w14:paraId="3381A722">
            <w:pPr>
              <w:widowControl/>
              <w:jc w:val="left"/>
              <w:rPr>
                <w:rFonts w:ascii="宋体" w:hAnsi="宋体" w:cs="宋体"/>
                <w:color w:val="auto"/>
                <w:kern w:val="0"/>
                <w:sz w:val="18"/>
                <w:szCs w:val="18"/>
                <w:highlight w:val="none"/>
              </w:rPr>
            </w:pPr>
          </w:p>
        </w:tc>
        <w:tc>
          <w:tcPr>
            <w:tcW w:w="797" w:type="dxa"/>
            <w:vMerge w:val="continue"/>
            <w:tcBorders>
              <w:tl2br w:val="nil"/>
              <w:tr2bl w:val="nil"/>
            </w:tcBorders>
            <w:vAlign w:val="center"/>
          </w:tcPr>
          <w:p w14:paraId="42D18570">
            <w:pPr>
              <w:widowControl/>
              <w:jc w:val="left"/>
              <w:rPr>
                <w:rFonts w:ascii="宋体" w:hAnsi="宋体" w:cs="宋体"/>
                <w:color w:val="auto"/>
                <w:kern w:val="0"/>
                <w:sz w:val="18"/>
                <w:szCs w:val="18"/>
                <w:highlight w:val="none"/>
              </w:rPr>
            </w:pPr>
          </w:p>
        </w:tc>
        <w:tc>
          <w:tcPr>
            <w:tcW w:w="953" w:type="dxa"/>
            <w:tcBorders>
              <w:tl2br w:val="nil"/>
              <w:tr2bl w:val="nil"/>
            </w:tcBorders>
            <w:vAlign w:val="center"/>
          </w:tcPr>
          <w:p w14:paraId="231A0854">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豆干、豆腐、豆皮等</w:t>
            </w:r>
          </w:p>
        </w:tc>
        <w:tc>
          <w:tcPr>
            <w:tcW w:w="1896" w:type="dxa"/>
            <w:tcBorders>
              <w:tl2br w:val="nil"/>
              <w:tr2bl w:val="nil"/>
            </w:tcBorders>
            <w:vAlign w:val="center"/>
          </w:tcPr>
          <w:p w14:paraId="0825417F">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苯甲酸及其钠盐（以苯甲酸计）、山梨酸及其钾盐（以山梨酸计）、脱氢乙酸及其钠盐（以脱氢乙酸计）、铝的残留量（干样品，以Al计）</w:t>
            </w:r>
          </w:p>
        </w:tc>
        <w:tc>
          <w:tcPr>
            <w:tcW w:w="2956" w:type="dxa"/>
            <w:tcBorders>
              <w:tl2br w:val="nil"/>
              <w:tr2bl w:val="nil"/>
            </w:tcBorders>
            <w:vAlign w:val="center"/>
          </w:tcPr>
          <w:p w14:paraId="44BD2017">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铅（以Pb计）、丙酸及其钠盐、钙盐（以丙酸计）、防腐剂混合使用时各自用量占其最大使用量的比例之和、糖精钠（以糖精计）、合成着色剂（柠檬黄、日落黄）、大肠菌群、金黄色葡萄球菌、三氯蔗糖、甜蜜素（以环己基氨基磺酸计）</w:t>
            </w:r>
          </w:p>
        </w:tc>
      </w:tr>
      <w:tr w14:paraId="1DCEC26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482" w:hRule="atLeast"/>
        </w:trPr>
        <w:tc>
          <w:tcPr>
            <w:tcW w:w="953" w:type="dxa"/>
            <w:vMerge w:val="continue"/>
            <w:tcBorders>
              <w:tl2br w:val="nil"/>
              <w:tr2bl w:val="nil"/>
            </w:tcBorders>
            <w:vAlign w:val="center"/>
          </w:tcPr>
          <w:p w14:paraId="6F2C40AC">
            <w:pPr>
              <w:widowControl/>
              <w:jc w:val="left"/>
              <w:rPr>
                <w:rFonts w:eastAsia="等线"/>
                <w:color w:val="auto"/>
                <w:kern w:val="0"/>
                <w:sz w:val="18"/>
                <w:szCs w:val="18"/>
                <w:highlight w:val="none"/>
              </w:rPr>
            </w:pPr>
          </w:p>
        </w:tc>
        <w:tc>
          <w:tcPr>
            <w:tcW w:w="796" w:type="dxa"/>
            <w:vMerge w:val="continue"/>
            <w:tcBorders>
              <w:tl2br w:val="nil"/>
              <w:tr2bl w:val="nil"/>
            </w:tcBorders>
            <w:vAlign w:val="center"/>
          </w:tcPr>
          <w:p w14:paraId="0F99261A">
            <w:pPr>
              <w:widowControl/>
              <w:jc w:val="left"/>
              <w:rPr>
                <w:rFonts w:ascii="宋体" w:hAnsi="宋体" w:cs="宋体"/>
                <w:color w:val="auto"/>
                <w:kern w:val="0"/>
                <w:sz w:val="18"/>
                <w:szCs w:val="18"/>
                <w:highlight w:val="none"/>
              </w:rPr>
            </w:pPr>
          </w:p>
        </w:tc>
        <w:tc>
          <w:tcPr>
            <w:tcW w:w="797" w:type="dxa"/>
            <w:vMerge w:val="continue"/>
            <w:tcBorders>
              <w:tl2br w:val="nil"/>
              <w:tr2bl w:val="nil"/>
            </w:tcBorders>
            <w:vAlign w:val="center"/>
          </w:tcPr>
          <w:p w14:paraId="038D840C">
            <w:pPr>
              <w:widowControl/>
              <w:jc w:val="left"/>
              <w:rPr>
                <w:rFonts w:ascii="宋体" w:hAnsi="宋体" w:cs="宋体"/>
                <w:color w:val="auto"/>
                <w:kern w:val="0"/>
                <w:sz w:val="18"/>
                <w:szCs w:val="18"/>
                <w:highlight w:val="none"/>
              </w:rPr>
            </w:pPr>
          </w:p>
        </w:tc>
        <w:tc>
          <w:tcPr>
            <w:tcW w:w="797" w:type="dxa"/>
            <w:tcBorders>
              <w:tl2br w:val="nil"/>
              <w:tr2bl w:val="nil"/>
            </w:tcBorders>
            <w:vAlign w:val="center"/>
          </w:tcPr>
          <w:p w14:paraId="212D932D">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其他豆制品</w:t>
            </w:r>
          </w:p>
        </w:tc>
        <w:tc>
          <w:tcPr>
            <w:tcW w:w="953" w:type="dxa"/>
            <w:tcBorders>
              <w:tl2br w:val="nil"/>
              <w:tr2bl w:val="nil"/>
            </w:tcBorders>
            <w:vAlign w:val="center"/>
          </w:tcPr>
          <w:p w14:paraId="14392AD1">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大豆蛋白类制品等</w:t>
            </w:r>
          </w:p>
        </w:tc>
        <w:tc>
          <w:tcPr>
            <w:tcW w:w="1896" w:type="dxa"/>
            <w:tcBorders>
              <w:tl2br w:val="nil"/>
              <w:tr2bl w:val="nil"/>
            </w:tcBorders>
            <w:vAlign w:val="center"/>
          </w:tcPr>
          <w:p w14:paraId="033B117E">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苯甲酸及其钠盐（以苯甲酸计）、山梨酸及其钾盐（以山梨酸计）、糖精钠（以糖精计）、脱氢乙酸及其钠盐（以脱氢乙酸计</w:t>
            </w:r>
          </w:p>
        </w:tc>
        <w:tc>
          <w:tcPr>
            <w:tcW w:w="2956" w:type="dxa"/>
            <w:tcBorders>
              <w:tl2br w:val="nil"/>
              <w:tr2bl w:val="nil"/>
            </w:tcBorders>
            <w:vAlign w:val="center"/>
          </w:tcPr>
          <w:p w14:paraId="14D662EB">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铅（以</w:t>
            </w:r>
            <w:r>
              <w:rPr>
                <w:color w:val="auto"/>
                <w:kern w:val="0"/>
                <w:sz w:val="18"/>
                <w:szCs w:val="18"/>
                <w:highlight w:val="none"/>
              </w:rPr>
              <w:t>Pb</w:t>
            </w:r>
            <w:r>
              <w:rPr>
                <w:rFonts w:hint="eastAsia" w:ascii="宋体" w:hAnsi="宋体" w:cs="宋体"/>
                <w:color w:val="auto"/>
                <w:kern w:val="0"/>
                <w:sz w:val="18"/>
                <w:szCs w:val="18"/>
                <w:highlight w:val="none"/>
              </w:rPr>
              <w:t>计）、三氯蔗糖、铝的残留量（干样品，以</w:t>
            </w:r>
            <w:r>
              <w:rPr>
                <w:color w:val="auto"/>
                <w:kern w:val="0"/>
                <w:sz w:val="18"/>
                <w:szCs w:val="18"/>
                <w:highlight w:val="none"/>
              </w:rPr>
              <w:t>Al</w:t>
            </w:r>
            <w:r>
              <w:rPr>
                <w:rFonts w:hint="eastAsia" w:ascii="宋体" w:hAnsi="宋体" w:cs="宋体"/>
                <w:color w:val="auto"/>
                <w:kern w:val="0"/>
                <w:sz w:val="18"/>
                <w:szCs w:val="18"/>
                <w:highlight w:val="none"/>
              </w:rPr>
              <w:t>计）、大肠菌群</w:t>
            </w:r>
          </w:p>
        </w:tc>
      </w:tr>
      <w:tr w14:paraId="6E5B7B4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167" w:hRule="atLeast"/>
        </w:trPr>
        <w:tc>
          <w:tcPr>
            <w:tcW w:w="953" w:type="dxa"/>
            <w:vMerge w:val="restart"/>
            <w:tcBorders>
              <w:tl2br w:val="nil"/>
              <w:tr2bl w:val="nil"/>
            </w:tcBorders>
            <w:vAlign w:val="center"/>
          </w:tcPr>
          <w:p w14:paraId="7602FD29">
            <w:pPr>
              <w:widowControl/>
              <w:jc w:val="center"/>
              <w:rPr>
                <w:rFonts w:eastAsia="等线"/>
                <w:color w:val="auto"/>
                <w:kern w:val="0"/>
                <w:sz w:val="18"/>
                <w:szCs w:val="18"/>
                <w:highlight w:val="none"/>
              </w:rPr>
            </w:pPr>
            <w:r>
              <w:rPr>
                <w:rFonts w:eastAsia="等线"/>
                <w:color w:val="auto"/>
                <w:kern w:val="0"/>
                <w:sz w:val="18"/>
                <w:szCs w:val="18"/>
                <w:highlight w:val="none"/>
              </w:rPr>
              <w:t>26</w:t>
            </w:r>
          </w:p>
        </w:tc>
        <w:tc>
          <w:tcPr>
            <w:tcW w:w="796" w:type="dxa"/>
            <w:vMerge w:val="restart"/>
            <w:tcBorders>
              <w:tl2br w:val="nil"/>
              <w:tr2bl w:val="nil"/>
            </w:tcBorders>
            <w:vAlign w:val="center"/>
          </w:tcPr>
          <w:p w14:paraId="4E2EB0AE">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蜂产品</w:t>
            </w:r>
          </w:p>
        </w:tc>
        <w:tc>
          <w:tcPr>
            <w:tcW w:w="797" w:type="dxa"/>
            <w:vMerge w:val="restart"/>
            <w:tcBorders>
              <w:tl2br w:val="nil"/>
              <w:tr2bl w:val="nil"/>
            </w:tcBorders>
            <w:vAlign w:val="center"/>
          </w:tcPr>
          <w:p w14:paraId="4E4C83FB">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蜂产品</w:t>
            </w:r>
          </w:p>
        </w:tc>
        <w:tc>
          <w:tcPr>
            <w:tcW w:w="797" w:type="dxa"/>
            <w:tcBorders>
              <w:tl2br w:val="nil"/>
              <w:tr2bl w:val="nil"/>
            </w:tcBorders>
            <w:vAlign w:val="center"/>
          </w:tcPr>
          <w:p w14:paraId="43E53422">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蜂蜜</w:t>
            </w:r>
          </w:p>
        </w:tc>
        <w:tc>
          <w:tcPr>
            <w:tcW w:w="953" w:type="dxa"/>
            <w:tcBorders>
              <w:tl2br w:val="nil"/>
              <w:tr2bl w:val="nil"/>
            </w:tcBorders>
            <w:vAlign w:val="center"/>
          </w:tcPr>
          <w:p w14:paraId="717643BE">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蜂蜜</w:t>
            </w:r>
          </w:p>
        </w:tc>
        <w:tc>
          <w:tcPr>
            <w:tcW w:w="1896" w:type="dxa"/>
            <w:tcBorders>
              <w:tl2br w:val="nil"/>
              <w:tr2bl w:val="nil"/>
            </w:tcBorders>
            <w:vAlign w:val="center"/>
          </w:tcPr>
          <w:p w14:paraId="7107DDBF">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果糖和葡萄糖、菌落总数</w:t>
            </w:r>
          </w:p>
        </w:tc>
        <w:tc>
          <w:tcPr>
            <w:tcW w:w="2956" w:type="dxa"/>
            <w:tcBorders>
              <w:tl2br w:val="nil"/>
              <w:tr2bl w:val="nil"/>
            </w:tcBorders>
            <w:vAlign w:val="center"/>
          </w:tcPr>
          <w:p w14:paraId="1386460A">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蔗糖、铅（以</w:t>
            </w:r>
            <w:r>
              <w:rPr>
                <w:color w:val="auto"/>
                <w:kern w:val="0"/>
                <w:sz w:val="18"/>
                <w:szCs w:val="18"/>
                <w:highlight w:val="none"/>
              </w:rPr>
              <w:t>Pb</w:t>
            </w:r>
            <w:r>
              <w:rPr>
                <w:rFonts w:hint="eastAsia" w:ascii="宋体" w:hAnsi="宋体" w:cs="宋体"/>
                <w:color w:val="auto"/>
                <w:kern w:val="0"/>
                <w:sz w:val="18"/>
                <w:szCs w:val="18"/>
                <w:highlight w:val="none"/>
              </w:rPr>
              <w:t>计）、山梨酸及其钾盐（以山梨酸计）、氯霉素、呋喃西林代谢物、呋喃唑酮代谢物、甲硝唑、双甲脒、诺氟沙星、氧氟沙星、霉菌计数、嗜渗酵母计数</w:t>
            </w:r>
          </w:p>
        </w:tc>
      </w:tr>
      <w:tr w14:paraId="07E5286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39" w:hRule="atLeast"/>
        </w:trPr>
        <w:tc>
          <w:tcPr>
            <w:tcW w:w="953" w:type="dxa"/>
            <w:vMerge w:val="continue"/>
            <w:tcBorders>
              <w:tl2br w:val="nil"/>
              <w:tr2bl w:val="nil"/>
            </w:tcBorders>
            <w:vAlign w:val="center"/>
          </w:tcPr>
          <w:p w14:paraId="5156693A">
            <w:pPr>
              <w:widowControl/>
              <w:jc w:val="left"/>
              <w:rPr>
                <w:rFonts w:eastAsia="等线"/>
                <w:color w:val="auto"/>
                <w:kern w:val="0"/>
                <w:sz w:val="18"/>
                <w:szCs w:val="18"/>
                <w:highlight w:val="none"/>
              </w:rPr>
            </w:pPr>
          </w:p>
        </w:tc>
        <w:tc>
          <w:tcPr>
            <w:tcW w:w="796" w:type="dxa"/>
            <w:vMerge w:val="continue"/>
            <w:tcBorders>
              <w:tl2br w:val="nil"/>
              <w:tr2bl w:val="nil"/>
            </w:tcBorders>
            <w:vAlign w:val="center"/>
          </w:tcPr>
          <w:p w14:paraId="4E3D479D">
            <w:pPr>
              <w:widowControl/>
              <w:jc w:val="left"/>
              <w:rPr>
                <w:rFonts w:ascii="宋体" w:hAnsi="宋体" w:cs="宋体"/>
                <w:color w:val="auto"/>
                <w:kern w:val="0"/>
                <w:sz w:val="18"/>
                <w:szCs w:val="18"/>
                <w:highlight w:val="none"/>
              </w:rPr>
            </w:pPr>
          </w:p>
        </w:tc>
        <w:tc>
          <w:tcPr>
            <w:tcW w:w="797" w:type="dxa"/>
            <w:vMerge w:val="continue"/>
            <w:tcBorders>
              <w:tl2br w:val="nil"/>
              <w:tr2bl w:val="nil"/>
            </w:tcBorders>
            <w:vAlign w:val="center"/>
          </w:tcPr>
          <w:p w14:paraId="5220326C">
            <w:pPr>
              <w:widowControl/>
              <w:jc w:val="left"/>
              <w:rPr>
                <w:rFonts w:ascii="宋体" w:hAnsi="宋体" w:cs="宋体"/>
                <w:color w:val="auto"/>
                <w:kern w:val="0"/>
                <w:sz w:val="18"/>
                <w:szCs w:val="18"/>
                <w:highlight w:val="none"/>
              </w:rPr>
            </w:pPr>
          </w:p>
        </w:tc>
        <w:tc>
          <w:tcPr>
            <w:tcW w:w="797" w:type="dxa"/>
            <w:tcBorders>
              <w:tl2br w:val="nil"/>
              <w:tr2bl w:val="nil"/>
            </w:tcBorders>
            <w:vAlign w:val="center"/>
          </w:tcPr>
          <w:p w14:paraId="0D4C5C66">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蜂王浆（含蜂王浆冻干品）</w:t>
            </w:r>
          </w:p>
        </w:tc>
        <w:tc>
          <w:tcPr>
            <w:tcW w:w="953" w:type="dxa"/>
            <w:tcBorders>
              <w:tl2br w:val="nil"/>
              <w:tr2bl w:val="nil"/>
            </w:tcBorders>
            <w:vAlign w:val="center"/>
          </w:tcPr>
          <w:p w14:paraId="6C20C1A8">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蜂王浆（含蜂王浆冻干品）</w:t>
            </w:r>
          </w:p>
        </w:tc>
        <w:tc>
          <w:tcPr>
            <w:tcW w:w="1896" w:type="dxa"/>
            <w:tcBorders>
              <w:tl2br w:val="nil"/>
              <w:tr2bl w:val="nil"/>
            </w:tcBorders>
            <w:vAlign w:val="center"/>
          </w:tcPr>
          <w:p w14:paraId="637CB64C">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酸度、</w:t>
            </w:r>
            <w:r>
              <w:rPr>
                <w:color w:val="auto"/>
                <w:kern w:val="0"/>
                <w:sz w:val="18"/>
                <w:szCs w:val="18"/>
                <w:highlight w:val="none"/>
              </w:rPr>
              <w:t>10-</w:t>
            </w:r>
            <w:r>
              <w:rPr>
                <w:rFonts w:hint="eastAsia" w:ascii="宋体" w:hAnsi="宋体" w:cs="宋体"/>
                <w:color w:val="auto"/>
                <w:kern w:val="0"/>
                <w:sz w:val="18"/>
                <w:szCs w:val="18"/>
                <w:highlight w:val="none"/>
              </w:rPr>
              <w:t>羟基</w:t>
            </w:r>
            <w:r>
              <w:rPr>
                <w:color w:val="auto"/>
                <w:kern w:val="0"/>
                <w:sz w:val="18"/>
                <w:szCs w:val="18"/>
                <w:highlight w:val="none"/>
              </w:rPr>
              <w:t>-2-</w:t>
            </w:r>
            <w:r>
              <w:rPr>
                <w:rFonts w:hint="eastAsia" w:ascii="宋体" w:hAnsi="宋体" w:cs="宋体"/>
                <w:color w:val="auto"/>
                <w:kern w:val="0"/>
                <w:sz w:val="18"/>
                <w:szCs w:val="18"/>
                <w:highlight w:val="none"/>
              </w:rPr>
              <w:t>癸烯酸</w:t>
            </w:r>
          </w:p>
        </w:tc>
        <w:tc>
          <w:tcPr>
            <w:tcW w:w="2956" w:type="dxa"/>
            <w:tcBorders>
              <w:tl2br w:val="nil"/>
              <w:tr2bl w:val="nil"/>
            </w:tcBorders>
            <w:vAlign w:val="center"/>
          </w:tcPr>
          <w:p w14:paraId="17D02929">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呋喃西林代谢物</w:t>
            </w:r>
          </w:p>
        </w:tc>
      </w:tr>
      <w:tr w14:paraId="1EFFE12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10" w:hRule="atLeast"/>
        </w:trPr>
        <w:tc>
          <w:tcPr>
            <w:tcW w:w="953" w:type="dxa"/>
            <w:vMerge w:val="continue"/>
            <w:tcBorders>
              <w:tl2br w:val="nil"/>
              <w:tr2bl w:val="nil"/>
            </w:tcBorders>
            <w:vAlign w:val="center"/>
          </w:tcPr>
          <w:p w14:paraId="670E5158">
            <w:pPr>
              <w:widowControl/>
              <w:jc w:val="left"/>
              <w:rPr>
                <w:rFonts w:eastAsia="等线"/>
                <w:color w:val="auto"/>
                <w:kern w:val="0"/>
                <w:sz w:val="18"/>
                <w:szCs w:val="18"/>
                <w:highlight w:val="none"/>
              </w:rPr>
            </w:pPr>
          </w:p>
        </w:tc>
        <w:tc>
          <w:tcPr>
            <w:tcW w:w="796" w:type="dxa"/>
            <w:vMerge w:val="continue"/>
            <w:tcBorders>
              <w:tl2br w:val="nil"/>
              <w:tr2bl w:val="nil"/>
            </w:tcBorders>
            <w:vAlign w:val="center"/>
          </w:tcPr>
          <w:p w14:paraId="794D6BD5">
            <w:pPr>
              <w:widowControl/>
              <w:jc w:val="left"/>
              <w:rPr>
                <w:rFonts w:ascii="宋体" w:hAnsi="宋体" w:cs="宋体"/>
                <w:color w:val="auto"/>
                <w:kern w:val="0"/>
                <w:sz w:val="18"/>
                <w:szCs w:val="18"/>
                <w:highlight w:val="none"/>
              </w:rPr>
            </w:pPr>
          </w:p>
        </w:tc>
        <w:tc>
          <w:tcPr>
            <w:tcW w:w="797" w:type="dxa"/>
            <w:vMerge w:val="continue"/>
            <w:tcBorders>
              <w:tl2br w:val="nil"/>
              <w:tr2bl w:val="nil"/>
            </w:tcBorders>
            <w:vAlign w:val="center"/>
          </w:tcPr>
          <w:p w14:paraId="1E39F0E4">
            <w:pPr>
              <w:widowControl/>
              <w:jc w:val="left"/>
              <w:rPr>
                <w:rFonts w:ascii="宋体" w:hAnsi="宋体" w:cs="宋体"/>
                <w:color w:val="auto"/>
                <w:kern w:val="0"/>
                <w:sz w:val="18"/>
                <w:szCs w:val="18"/>
                <w:highlight w:val="none"/>
              </w:rPr>
            </w:pPr>
          </w:p>
        </w:tc>
        <w:tc>
          <w:tcPr>
            <w:tcW w:w="797" w:type="dxa"/>
            <w:tcBorders>
              <w:tl2br w:val="nil"/>
              <w:tr2bl w:val="nil"/>
            </w:tcBorders>
            <w:vAlign w:val="center"/>
          </w:tcPr>
          <w:p w14:paraId="683B77E2">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蜂花粉</w:t>
            </w:r>
          </w:p>
        </w:tc>
        <w:tc>
          <w:tcPr>
            <w:tcW w:w="953" w:type="dxa"/>
            <w:tcBorders>
              <w:tl2br w:val="nil"/>
              <w:tr2bl w:val="nil"/>
            </w:tcBorders>
            <w:vAlign w:val="center"/>
          </w:tcPr>
          <w:p w14:paraId="301708E1">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蜂花粉</w:t>
            </w:r>
          </w:p>
        </w:tc>
        <w:tc>
          <w:tcPr>
            <w:tcW w:w="1896" w:type="dxa"/>
            <w:tcBorders>
              <w:tl2br w:val="nil"/>
              <w:tr2bl w:val="nil"/>
            </w:tcBorders>
            <w:vAlign w:val="center"/>
          </w:tcPr>
          <w:p w14:paraId="667B8F77">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铅（以</w:t>
            </w:r>
            <w:r>
              <w:rPr>
                <w:color w:val="auto"/>
                <w:kern w:val="0"/>
                <w:sz w:val="18"/>
                <w:szCs w:val="18"/>
                <w:highlight w:val="none"/>
              </w:rPr>
              <w:t>Pb</w:t>
            </w:r>
            <w:r>
              <w:rPr>
                <w:rFonts w:hint="eastAsia" w:ascii="宋体" w:hAnsi="宋体" w:cs="宋体"/>
                <w:color w:val="auto"/>
                <w:kern w:val="0"/>
                <w:sz w:val="18"/>
                <w:szCs w:val="18"/>
                <w:highlight w:val="none"/>
              </w:rPr>
              <w:t>计）</w:t>
            </w:r>
          </w:p>
        </w:tc>
        <w:tc>
          <w:tcPr>
            <w:tcW w:w="2956" w:type="dxa"/>
            <w:tcBorders>
              <w:tl2br w:val="nil"/>
              <w:tr2bl w:val="nil"/>
            </w:tcBorders>
            <w:vAlign w:val="center"/>
          </w:tcPr>
          <w:p w14:paraId="591A3DD8">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菌落总数、大肠菌群、霉菌</w:t>
            </w:r>
          </w:p>
        </w:tc>
      </w:tr>
      <w:tr w14:paraId="1091173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44" w:hRule="atLeast"/>
        </w:trPr>
        <w:tc>
          <w:tcPr>
            <w:tcW w:w="953" w:type="dxa"/>
            <w:vMerge w:val="continue"/>
            <w:tcBorders>
              <w:tl2br w:val="nil"/>
              <w:tr2bl w:val="nil"/>
            </w:tcBorders>
            <w:vAlign w:val="center"/>
          </w:tcPr>
          <w:p w14:paraId="4E43CDAC">
            <w:pPr>
              <w:widowControl/>
              <w:jc w:val="left"/>
              <w:rPr>
                <w:rFonts w:eastAsia="等线"/>
                <w:color w:val="auto"/>
                <w:kern w:val="0"/>
                <w:sz w:val="18"/>
                <w:szCs w:val="18"/>
                <w:highlight w:val="none"/>
              </w:rPr>
            </w:pPr>
          </w:p>
        </w:tc>
        <w:tc>
          <w:tcPr>
            <w:tcW w:w="796" w:type="dxa"/>
            <w:vMerge w:val="continue"/>
            <w:tcBorders>
              <w:tl2br w:val="nil"/>
              <w:tr2bl w:val="nil"/>
            </w:tcBorders>
            <w:vAlign w:val="center"/>
          </w:tcPr>
          <w:p w14:paraId="7BAAB627">
            <w:pPr>
              <w:widowControl/>
              <w:jc w:val="left"/>
              <w:rPr>
                <w:rFonts w:ascii="宋体" w:hAnsi="宋体" w:cs="宋体"/>
                <w:color w:val="auto"/>
                <w:kern w:val="0"/>
                <w:sz w:val="18"/>
                <w:szCs w:val="18"/>
                <w:highlight w:val="none"/>
              </w:rPr>
            </w:pPr>
          </w:p>
        </w:tc>
        <w:tc>
          <w:tcPr>
            <w:tcW w:w="797" w:type="dxa"/>
            <w:vMerge w:val="continue"/>
            <w:tcBorders>
              <w:tl2br w:val="nil"/>
              <w:tr2bl w:val="nil"/>
            </w:tcBorders>
            <w:vAlign w:val="center"/>
          </w:tcPr>
          <w:p w14:paraId="6CD15974">
            <w:pPr>
              <w:widowControl/>
              <w:jc w:val="left"/>
              <w:rPr>
                <w:rFonts w:ascii="宋体" w:hAnsi="宋体" w:cs="宋体"/>
                <w:color w:val="auto"/>
                <w:kern w:val="0"/>
                <w:sz w:val="18"/>
                <w:szCs w:val="18"/>
                <w:highlight w:val="none"/>
              </w:rPr>
            </w:pPr>
          </w:p>
        </w:tc>
        <w:tc>
          <w:tcPr>
            <w:tcW w:w="797" w:type="dxa"/>
            <w:tcBorders>
              <w:tl2br w:val="nil"/>
              <w:tr2bl w:val="nil"/>
            </w:tcBorders>
            <w:vAlign w:val="center"/>
          </w:tcPr>
          <w:p w14:paraId="6CBC0F61">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蜂产品制品</w:t>
            </w:r>
          </w:p>
        </w:tc>
        <w:tc>
          <w:tcPr>
            <w:tcW w:w="953" w:type="dxa"/>
            <w:tcBorders>
              <w:tl2br w:val="nil"/>
              <w:tr2bl w:val="nil"/>
            </w:tcBorders>
            <w:vAlign w:val="center"/>
          </w:tcPr>
          <w:p w14:paraId="46D87017">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蜂产品制品</w:t>
            </w:r>
          </w:p>
        </w:tc>
        <w:tc>
          <w:tcPr>
            <w:tcW w:w="1896" w:type="dxa"/>
            <w:tcBorders>
              <w:tl2br w:val="nil"/>
              <w:tr2bl w:val="nil"/>
            </w:tcBorders>
            <w:vAlign w:val="center"/>
          </w:tcPr>
          <w:p w14:paraId="31852B6F">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合成着色剂（柠檬黄、日落黄）</w:t>
            </w:r>
          </w:p>
        </w:tc>
        <w:tc>
          <w:tcPr>
            <w:tcW w:w="2956" w:type="dxa"/>
            <w:tcBorders>
              <w:tl2br w:val="nil"/>
              <w:tr2bl w:val="nil"/>
            </w:tcBorders>
            <w:vAlign w:val="center"/>
          </w:tcPr>
          <w:p w14:paraId="0FD998C5">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山梨酸及其钾盐（以山梨酸计）、菌落总数</w:t>
            </w:r>
          </w:p>
        </w:tc>
      </w:tr>
      <w:tr w14:paraId="00DA163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668" w:hRule="atLeast"/>
        </w:trPr>
        <w:tc>
          <w:tcPr>
            <w:tcW w:w="953" w:type="dxa"/>
            <w:tcBorders>
              <w:tl2br w:val="nil"/>
              <w:tr2bl w:val="nil"/>
            </w:tcBorders>
            <w:vAlign w:val="center"/>
          </w:tcPr>
          <w:p w14:paraId="75E7FD61">
            <w:pPr>
              <w:widowControl/>
              <w:jc w:val="center"/>
              <w:rPr>
                <w:rFonts w:eastAsia="等线"/>
                <w:color w:val="auto"/>
                <w:kern w:val="0"/>
                <w:sz w:val="18"/>
                <w:szCs w:val="18"/>
                <w:highlight w:val="none"/>
              </w:rPr>
            </w:pPr>
            <w:r>
              <w:rPr>
                <w:rFonts w:eastAsia="等线"/>
                <w:color w:val="auto"/>
                <w:kern w:val="0"/>
                <w:sz w:val="18"/>
                <w:szCs w:val="18"/>
                <w:highlight w:val="none"/>
              </w:rPr>
              <w:t>27</w:t>
            </w:r>
          </w:p>
        </w:tc>
        <w:tc>
          <w:tcPr>
            <w:tcW w:w="796" w:type="dxa"/>
            <w:tcBorders>
              <w:tl2br w:val="nil"/>
              <w:tr2bl w:val="nil"/>
            </w:tcBorders>
            <w:vAlign w:val="center"/>
          </w:tcPr>
          <w:p w14:paraId="036053F6">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保健食品</w:t>
            </w:r>
          </w:p>
        </w:tc>
        <w:tc>
          <w:tcPr>
            <w:tcW w:w="797" w:type="dxa"/>
            <w:tcBorders>
              <w:tl2br w:val="nil"/>
              <w:tr2bl w:val="nil"/>
            </w:tcBorders>
            <w:vAlign w:val="center"/>
          </w:tcPr>
          <w:p w14:paraId="06DE2119">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保健食品</w:t>
            </w:r>
          </w:p>
        </w:tc>
        <w:tc>
          <w:tcPr>
            <w:tcW w:w="797" w:type="dxa"/>
            <w:tcBorders>
              <w:tl2br w:val="nil"/>
              <w:tr2bl w:val="nil"/>
            </w:tcBorders>
            <w:vAlign w:val="center"/>
          </w:tcPr>
          <w:p w14:paraId="4A002E0B">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保健食品</w:t>
            </w:r>
          </w:p>
        </w:tc>
        <w:tc>
          <w:tcPr>
            <w:tcW w:w="953" w:type="dxa"/>
            <w:tcBorders>
              <w:tl2br w:val="nil"/>
              <w:tr2bl w:val="nil"/>
            </w:tcBorders>
            <w:vAlign w:val="center"/>
          </w:tcPr>
          <w:p w14:paraId="5D652B6E">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保健食品</w:t>
            </w:r>
          </w:p>
        </w:tc>
        <w:tc>
          <w:tcPr>
            <w:tcW w:w="1896" w:type="dxa"/>
            <w:tcBorders>
              <w:tl2br w:val="nil"/>
              <w:tr2bl w:val="nil"/>
            </w:tcBorders>
            <w:vAlign w:val="center"/>
          </w:tcPr>
          <w:p w14:paraId="7C553748">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铅（Pb）、总砷（As）、总汞（Hg）、维生素B</w:t>
            </w:r>
            <w:r>
              <w:rPr>
                <w:rFonts w:hint="eastAsia" w:ascii="宋体" w:hAnsi="宋体" w:cs="宋体"/>
                <w:color w:val="auto"/>
                <w:kern w:val="0"/>
                <w:sz w:val="18"/>
                <w:szCs w:val="18"/>
                <w:highlight w:val="none"/>
                <w:vertAlign w:val="subscript"/>
              </w:rPr>
              <w:t>1</w:t>
            </w:r>
            <w:r>
              <w:rPr>
                <w:rFonts w:hint="eastAsia" w:ascii="宋体" w:hAnsi="宋体" w:cs="宋体"/>
                <w:color w:val="auto"/>
                <w:kern w:val="0"/>
                <w:sz w:val="18"/>
                <w:szCs w:val="18"/>
                <w:highlight w:val="none"/>
              </w:rPr>
              <w:t>、维生素B</w:t>
            </w:r>
            <w:r>
              <w:rPr>
                <w:rFonts w:hint="eastAsia" w:ascii="宋体" w:hAnsi="宋体" w:cs="宋体"/>
                <w:color w:val="auto"/>
                <w:kern w:val="0"/>
                <w:sz w:val="18"/>
                <w:szCs w:val="18"/>
                <w:highlight w:val="none"/>
                <w:vertAlign w:val="subscript"/>
              </w:rPr>
              <w:t>2</w:t>
            </w:r>
          </w:p>
        </w:tc>
        <w:tc>
          <w:tcPr>
            <w:tcW w:w="2956" w:type="dxa"/>
            <w:tcBorders>
              <w:tl2br w:val="nil"/>
              <w:tr2bl w:val="nil"/>
            </w:tcBorders>
            <w:vAlign w:val="center"/>
          </w:tcPr>
          <w:p w14:paraId="6E17FD25">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氨基酸、10-羟基-2-癸烯酸、蛋白质、二十二碳六烯酸、二十碳五烯酸、泛酸、钙、还原糖、肌醇、赖氨酸、绿原酸、铁、维生素A、维生素B12、维生素B6、维生素C、维生素D、维生素D3、维生素E、硒、锌、烟酸、烟酰胺、叶酸、免疫球蛋白IgG、总黄酮、总皂苷、总蒽醌、吡啶甲酸铬、水分、可溶性固形物、酸价、过氧化值、崩解时限、灰分、硬胶囊壳中的铬、菌落总数、大肠菌群、霉菌和酵母、金黄色葡萄球菌、沙门氏菌</w:t>
            </w:r>
          </w:p>
        </w:tc>
      </w:tr>
      <w:tr w14:paraId="23471A4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825" w:hRule="atLeast"/>
        </w:trPr>
        <w:tc>
          <w:tcPr>
            <w:tcW w:w="953" w:type="dxa"/>
            <w:tcBorders>
              <w:tl2br w:val="nil"/>
              <w:tr2bl w:val="nil"/>
            </w:tcBorders>
            <w:vAlign w:val="center"/>
          </w:tcPr>
          <w:p w14:paraId="34B47758">
            <w:pPr>
              <w:widowControl/>
              <w:jc w:val="center"/>
              <w:rPr>
                <w:rFonts w:eastAsia="等线"/>
                <w:color w:val="auto"/>
                <w:kern w:val="0"/>
                <w:sz w:val="18"/>
                <w:szCs w:val="18"/>
                <w:highlight w:val="none"/>
              </w:rPr>
            </w:pPr>
            <w:r>
              <w:rPr>
                <w:rFonts w:eastAsia="等线"/>
                <w:color w:val="auto"/>
                <w:kern w:val="0"/>
                <w:sz w:val="18"/>
                <w:szCs w:val="18"/>
                <w:highlight w:val="none"/>
              </w:rPr>
              <w:t>28</w:t>
            </w:r>
          </w:p>
        </w:tc>
        <w:tc>
          <w:tcPr>
            <w:tcW w:w="796" w:type="dxa"/>
            <w:tcBorders>
              <w:tl2br w:val="nil"/>
              <w:tr2bl w:val="nil"/>
            </w:tcBorders>
            <w:vAlign w:val="center"/>
          </w:tcPr>
          <w:p w14:paraId="0DC549E7">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特殊膳食食品</w:t>
            </w:r>
          </w:p>
        </w:tc>
        <w:tc>
          <w:tcPr>
            <w:tcW w:w="797" w:type="dxa"/>
            <w:tcBorders>
              <w:tl2br w:val="nil"/>
              <w:tr2bl w:val="nil"/>
            </w:tcBorders>
            <w:vAlign w:val="center"/>
          </w:tcPr>
          <w:p w14:paraId="2C72F6F9">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营养补充品</w:t>
            </w:r>
          </w:p>
        </w:tc>
        <w:tc>
          <w:tcPr>
            <w:tcW w:w="797" w:type="dxa"/>
            <w:tcBorders>
              <w:tl2br w:val="nil"/>
              <w:tr2bl w:val="nil"/>
            </w:tcBorders>
            <w:vAlign w:val="center"/>
          </w:tcPr>
          <w:p w14:paraId="071F350E">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营养补充品</w:t>
            </w:r>
          </w:p>
        </w:tc>
        <w:tc>
          <w:tcPr>
            <w:tcW w:w="953" w:type="dxa"/>
            <w:tcBorders>
              <w:tl2br w:val="nil"/>
              <w:tr2bl w:val="nil"/>
            </w:tcBorders>
            <w:vAlign w:val="center"/>
          </w:tcPr>
          <w:p w14:paraId="7BF82378">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运动营养食品</w:t>
            </w:r>
          </w:p>
        </w:tc>
        <w:tc>
          <w:tcPr>
            <w:tcW w:w="1896" w:type="dxa"/>
            <w:tcBorders>
              <w:tl2br w:val="nil"/>
              <w:tr2bl w:val="nil"/>
            </w:tcBorders>
            <w:vAlign w:val="center"/>
          </w:tcPr>
          <w:p w14:paraId="6887CA1D">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钙、铁、锌、钠</w:t>
            </w:r>
          </w:p>
        </w:tc>
        <w:tc>
          <w:tcPr>
            <w:tcW w:w="2956" w:type="dxa"/>
            <w:tcBorders>
              <w:tl2br w:val="nil"/>
              <w:tr2bl w:val="nil"/>
            </w:tcBorders>
            <w:vAlign w:val="center"/>
          </w:tcPr>
          <w:p w14:paraId="5F63EC33">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咖啡因、肌酸、肽类、维生素A、维生素D、维生素E、维生素B</w:t>
            </w:r>
            <w:r>
              <w:rPr>
                <w:rFonts w:hint="eastAsia" w:ascii="宋体" w:hAnsi="宋体" w:cs="宋体"/>
                <w:color w:val="auto"/>
                <w:kern w:val="0"/>
                <w:sz w:val="18"/>
                <w:szCs w:val="18"/>
                <w:highlight w:val="none"/>
                <w:vertAlign w:val="subscript"/>
              </w:rPr>
              <w:t>1</w:t>
            </w:r>
            <w:r>
              <w:rPr>
                <w:rFonts w:hint="eastAsia" w:ascii="宋体" w:hAnsi="宋体" w:cs="宋体"/>
                <w:color w:val="auto"/>
                <w:kern w:val="0"/>
                <w:sz w:val="18"/>
                <w:szCs w:val="18"/>
                <w:highlight w:val="none"/>
              </w:rPr>
              <w:t>、维生素B</w:t>
            </w:r>
            <w:r>
              <w:rPr>
                <w:rFonts w:hint="eastAsia" w:ascii="宋体" w:hAnsi="宋体" w:cs="宋体"/>
                <w:color w:val="auto"/>
                <w:kern w:val="0"/>
                <w:sz w:val="18"/>
                <w:szCs w:val="18"/>
                <w:highlight w:val="none"/>
                <w:vertAlign w:val="subscript"/>
              </w:rPr>
              <w:t>2</w:t>
            </w:r>
            <w:r>
              <w:rPr>
                <w:rFonts w:hint="eastAsia" w:ascii="宋体" w:hAnsi="宋体" w:cs="宋体"/>
                <w:color w:val="auto"/>
                <w:kern w:val="0"/>
                <w:sz w:val="18"/>
                <w:szCs w:val="18"/>
                <w:highlight w:val="none"/>
              </w:rPr>
              <w:t>、维生素B</w:t>
            </w:r>
            <w:r>
              <w:rPr>
                <w:rFonts w:hint="eastAsia" w:ascii="宋体" w:hAnsi="宋体" w:cs="宋体"/>
                <w:color w:val="auto"/>
                <w:kern w:val="0"/>
                <w:sz w:val="18"/>
                <w:szCs w:val="18"/>
                <w:highlight w:val="none"/>
                <w:vertAlign w:val="subscript"/>
              </w:rPr>
              <w:t>6</w:t>
            </w:r>
            <w:r>
              <w:rPr>
                <w:rFonts w:hint="eastAsia" w:ascii="宋体" w:hAnsi="宋体" w:cs="宋体"/>
                <w:color w:val="auto"/>
                <w:kern w:val="0"/>
                <w:sz w:val="18"/>
                <w:szCs w:val="18"/>
                <w:highlight w:val="none"/>
              </w:rPr>
              <w:t>、维生素B</w:t>
            </w:r>
            <w:r>
              <w:rPr>
                <w:rFonts w:hint="eastAsia" w:ascii="宋体" w:hAnsi="宋体" w:cs="宋体"/>
                <w:color w:val="auto"/>
                <w:kern w:val="0"/>
                <w:sz w:val="18"/>
                <w:szCs w:val="18"/>
                <w:highlight w:val="none"/>
                <w:vertAlign w:val="subscript"/>
              </w:rPr>
              <w:t>12</w:t>
            </w:r>
            <w:r>
              <w:rPr>
                <w:rFonts w:hint="eastAsia" w:ascii="宋体" w:hAnsi="宋体" w:cs="宋体"/>
                <w:color w:val="auto"/>
                <w:kern w:val="0"/>
                <w:sz w:val="18"/>
                <w:szCs w:val="18"/>
                <w:highlight w:val="none"/>
              </w:rPr>
              <w:t>、维生素C、叶酸、烟酸、生物素、泛酸、钙、钾、镁、硒、铜、碘、锰、磷、钼、铬、左旋肉碱、牛磺酸、铅（以Pb计）、总砷（以As计）、黄曲霉毒素M</w:t>
            </w:r>
            <w:r>
              <w:rPr>
                <w:rFonts w:hint="eastAsia" w:ascii="宋体" w:hAnsi="宋体" w:cs="宋体"/>
                <w:color w:val="auto"/>
                <w:kern w:val="0"/>
                <w:sz w:val="18"/>
                <w:szCs w:val="18"/>
                <w:highlight w:val="none"/>
                <w:vertAlign w:val="subscript"/>
              </w:rPr>
              <w:t>1</w:t>
            </w:r>
            <w:r>
              <w:rPr>
                <w:rFonts w:hint="eastAsia" w:ascii="宋体" w:hAnsi="宋体" w:cs="宋体"/>
                <w:color w:val="auto"/>
                <w:kern w:val="0"/>
                <w:sz w:val="18"/>
                <w:szCs w:val="18"/>
                <w:highlight w:val="none"/>
              </w:rPr>
              <w:t>、黄曲霉毒素B</w:t>
            </w:r>
            <w:r>
              <w:rPr>
                <w:rFonts w:hint="eastAsia" w:ascii="宋体" w:hAnsi="宋体" w:cs="宋体"/>
                <w:color w:val="auto"/>
                <w:kern w:val="0"/>
                <w:sz w:val="18"/>
                <w:szCs w:val="18"/>
                <w:highlight w:val="none"/>
                <w:vertAlign w:val="subscript"/>
              </w:rPr>
              <w:t>1</w:t>
            </w:r>
            <w:r>
              <w:rPr>
                <w:rFonts w:hint="eastAsia" w:ascii="宋体" w:hAnsi="宋体" w:cs="宋体"/>
                <w:color w:val="auto"/>
                <w:kern w:val="0"/>
                <w:sz w:val="18"/>
                <w:szCs w:val="18"/>
                <w:highlight w:val="none"/>
              </w:rPr>
              <w:t>、沙门氏菌、金黄色葡萄球菌</w:t>
            </w:r>
          </w:p>
        </w:tc>
      </w:tr>
      <w:tr w14:paraId="5192837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750" w:hRule="atLeast"/>
        </w:trPr>
        <w:tc>
          <w:tcPr>
            <w:tcW w:w="953" w:type="dxa"/>
            <w:vMerge w:val="restart"/>
            <w:tcBorders>
              <w:tl2br w:val="nil"/>
              <w:tr2bl w:val="nil"/>
            </w:tcBorders>
            <w:vAlign w:val="center"/>
          </w:tcPr>
          <w:p w14:paraId="2E11F81C">
            <w:pPr>
              <w:widowControl/>
              <w:jc w:val="center"/>
              <w:rPr>
                <w:rFonts w:hint="default" w:eastAsia="等线"/>
                <w:color w:val="auto"/>
                <w:kern w:val="0"/>
                <w:sz w:val="18"/>
                <w:szCs w:val="18"/>
                <w:highlight w:val="none"/>
                <w:lang w:val="en-US" w:eastAsia="zh-CN"/>
              </w:rPr>
            </w:pPr>
            <w:r>
              <w:rPr>
                <w:rFonts w:hint="eastAsia" w:eastAsia="等线"/>
                <w:color w:val="auto"/>
                <w:kern w:val="0"/>
                <w:sz w:val="18"/>
                <w:szCs w:val="18"/>
                <w:highlight w:val="none"/>
                <w:lang w:val="en-US" w:eastAsia="zh-CN"/>
              </w:rPr>
              <w:t>29</w:t>
            </w:r>
          </w:p>
        </w:tc>
        <w:tc>
          <w:tcPr>
            <w:tcW w:w="796" w:type="dxa"/>
            <w:vMerge w:val="restart"/>
            <w:tcBorders>
              <w:tl2br w:val="nil"/>
              <w:tr2bl w:val="nil"/>
            </w:tcBorders>
            <w:vAlign w:val="center"/>
          </w:tcPr>
          <w:p w14:paraId="4AA1A4E6">
            <w:pPr>
              <w:widowControl/>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特殊医学用途配方食品</w:t>
            </w:r>
          </w:p>
        </w:tc>
        <w:tc>
          <w:tcPr>
            <w:tcW w:w="797" w:type="dxa"/>
            <w:vMerge w:val="restart"/>
            <w:tcBorders>
              <w:tl2br w:val="nil"/>
              <w:tr2bl w:val="nil"/>
            </w:tcBorders>
            <w:vAlign w:val="center"/>
          </w:tcPr>
          <w:p w14:paraId="72BF232C">
            <w:pPr>
              <w:widowControl/>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特殊医学用途配方食品</w:t>
            </w:r>
          </w:p>
        </w:tc>
        <w:tc>
          <w:tcPr>
            <w:tcW w:w="797" w:type="dxa"/>
            <w:vMerge w:val="restart"/>
            <w:tcBorders>
              <w:tl2br w:val="nil"/>
              <w:tr2bl w:val="nil"/>
            </w:tcBorders>
            <w:vAlign w:val="center"/>
          </w:tcPr>
          <w:p w14:paraId="1E0B0F34">
            <w:pPr>
              <w:widowControl/>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特殊医学用途配方食品</w:t>
            </w:r>
          </w:p>
        </w:tc>
        <w:tc>
          <w:tcPr>
            <w:tcW w:w="953" w:type="dxa"/>
            <w:tcBorders>
              <w:tl2br w:val="nil"/>
              <w:tr2bl w:val="nil"/>
            </w:tcBorders>
            <w:vAlign w:val="center"/>
          </w:tcPr>
          <w:p w14:paraId="211033E7">
            <w:pPr>
              <w:widowControl/>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全营养配方食品</w:t>
            </w:r>
          </w:p>
        </w:tc>
        <w:tc>
          <w:tcPr>
            <w:tcW w:w="1896" w:type="dxa"/>
            <w:tcBorders>
              <w:tl2br w:val="nil"/>
              <w:tr2bl w:val="nil"/>
            </w:tcBorders>
            <w:vAlign w:val="center"/>
          </w:tcPr>
          <w:p w14:paraId="76EA6E2C">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黄曲霉毒素M₁，黄曲霉毒素B₁，硝酸盐(以NaNO₃计)，亚硝酸盐(以NaNO₂计)，三聚氰胺</w:t>
            </w:r>
          </w:p>
        </w:tc>
        <w:tc>
          <w:tcPr>
            <w:tcW w:w="2956" w:type="dxa"/>
            <w:tcBorders>
              <w:tl2br w:val="nil"/>
              <w:tr2bl w:val="nil"/>
            </w:tcBorders>
            <w:vAlign w:val="center"/>
          </w:tcPr>
          <w:p w14:paraId="30B8945F">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蛋白质，亚油酸供能比，α-亚麻酸供能比，维生素A，维生素D，维生素E，维生素K₁，维生素B₁，维生素B₂，维生素B₆，维生素B₁₂，烟酸(烟酰胺)，叶酸，泛酸，维生素C，生物素，钠，钾，铜，镁，铁，锌，锰，钙，磷，碘，氯，硒，铬，钼，氟，胆碱，肌醇，牛磺酸，左旋肉碱，二十二碳六烯酸与总脂肪酸比，二十碳四烯酸与总脂肪酸比，二十二碳六烯酸，二十碳四烯酸，核苷酸，铅(以Pb计)，锡(以Sn计)，</w:t>
            </w:r>
          </w:p>
        </w:tc>
      </w:tr>
      <w:tr w14:paraId="473944B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750" w:hRule="atLeast"/>
        </w:trPr>
        <w:tc>
          <w:tcPr>
            <w:tcW w:w="953" w:type="dxa"/>
            <w:vMerge w:val="continue"/>
            <w:tcBorders>
              <w:tl2br w:val="nil"/>
              <w:tr2bl w:val="nil"/>
            </w:tcBorders>
            <w:vAlign w:val="center"/>
          </w:tcPr>
          <w:p w14:paraId="011E83BF">
            <w:pPr>
              <w:widowControl/>
              <w:jc w:val="center"/>
              <w:rPr>
                <w:rFonts w:eastAsia="等线"/>
                <w:color w:val="auto"/>
                <w:kern w:val="0"/>
                <w:sz w:val="18"/>
                <w:szCs w:val="18"/>
                <w:highlight w:val="none"/>
              </w:rPr>
            </w:pPr>
          </w:p>
        </w:tc>
        <w:tc>
          <w:tcPr>
            <w:tcW w:w="796" w:type="dxa"/>
            <w:vMerge w:val="continue"/>
            <w:tcBorders>
              <w:tl2br w:val="nil"/>
              <w:tr2bl w:val="nil"/>
            </w:tcBorders>
            <w:vAlign w:val="center"/>
          </w:tcPr>
          <w:p w14:paraId="02669A4C">
            <w:pPr>
              <w:widowControl/>
              <w:jc w:val="center"/>
              <w:rPr>
                <w:rFonts w:hint="eastAsia" w:ascii="宋体" w:hAnsi="宋体" w:cs="宋体"/>
                <w:color w:val="auto"/>
                <w:kern w:val="0"/>
                <w:sz w:val="18"/>
                <w:szCs w:val="18"/>
                <w:highlight w:val="none"/>
              </w:rPr>
            </w:pPr>
          </w:p>
        </w:tc>
        <w:tc>
          <w:tcPr>
            <w:tcW w:w="797" w:type="dxa"/>
            <w:vMerge w:val="continue"/>
            <w:tcBorders>
              <w:tl2br w:val="nil"/>
              <w:tr2bl w:val="nil"/>
            </w:tcBorders>
            <w:vAlign w:val="center"/>
          </w:tcPr>
          <w:p w14:paraId="419B38B8">
            <w:pPr>
              <w:widowControl/>
              <w:jc w:val="center"/>
              <w:rPr>
                <w:rFonts w:hint="eastAsia" w:ascii="宋体" w:hAnsi="宋体" w:cs="宋体"/>
                <w:color w:val="auto"/>
                <w:kern w:val="0"/>
                <w:sz w:val="18"/>
                <w:szCs w:val="18"/>
                <w:highlight w:val="none"/>
              </w:rPr>
            </w:pPr>
          </w:p>
        </w:tc>
        <w:tc>
          <w:tcPr>
            <w:tcW w:w="797" w:type="dxa"/>
            <w:vMerge w:val="continue"/>
            <w:tcBorders>
              <w:tl2br w:val="nil"/>
              <w:tr2bl w:val="nil"/>
            </w:tcBorders>
            <w:vAlign w:val="center"/>
          </w:tcPr>
          <w:p w14:paraId="7A69718E">
            <w:pPr>
              <w:widowControl/>
              <w:jc w:val="center"/>
              <w:rPr>
                <w:rFonts w:hint="eastAsia" w:ascii="宋体" w:hAnsi="宋体" w:cs="宋体"/>
                <w:color w:val="auto"/>
                <w:kern w:val="0"/>
                <w:sz w:val="18"/>
                <w:szCs w:val="18"/>
                <w:highlight w:val="none"/>
              </w:rPr>
            </w:pPr>
          </w:p>
        </w:tc>
        <w:tc>
          <w:tcPr>
            <w:tcW w:w="953" w:type="dxa"/>
            <w:tcBorders>
              <w:tl2br w:val="nil"/>
              <w:tr2bl w:val="nil"/>
            </w:tcBorders>
            <w:vAlign w:val="center"/>
          </w:tcPr>
          <w:p w14:paraId="521EB787">
            <w:pPr>
              <w:widowControl/>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非全营养配方食品</w:t>
            </w:r>
          </w:p>
        </w:tc>
        <w:tc>
          <w:tcPr>
            <w:tcW w:w="1896" w:type="dxa"/>
            <w:tcBorders>
              <w:tl2br w:val="nil"/>
              <w:tr2bl w:val="nil"/>
            </w:tcBorders>
            <w:vAlign w:val="center"/>
          </w:tcPr>
          <w:p w14:paraId="7470C93F">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铅(以Pb计)，锡(以Sn计)，黄曲霉毒素M₁，黄曲霉毒素B₁，硝酸盐(以NaNO₃计)，亚硝酸盐(以NaNO₂计)，三聚氰胺</w:t>
            </w:r>
          </w:p>
        </w:tc>
        <w:tc>
          <w:tcPr>
            <w:tcW w:w="2956" w:type="dxa"/>
            <w:tcBorders>
              <w:tl2br w:val="nil"/>
              <w:tr2bl w:val="nil"/>
            </w:tcBorders>
            <w:vAlign w:val="center"/>
          </w:tcPr>
          <w:p w14:paraId="5E401578">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菌落总数，大肠菌群，沙门氏菌，金黄色葡萄球菌，商业无菌，</w:t>
            </w:r>
          </w:p>
        </w:tc>
      </w:tr>
      <w:tr w14:paraId="22E22B2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750" w:hRule="atLeast"/>
        </w:trPr>
        <w:tc>
          <w:tcPr>
            <w:tcW w:w="953" w:type="dxa"/>
            <w:vMerge w:val="continue"/>
            <w:tcBorders>
              <w:tl2br w:val="nil"/>
              <w:tr2bl w:val="nil"/>
            </w:tcBorders>
            <w:vAlign w:val="center"/>
          </w:tcPr>
          <w:p w14:paraId="4544D7E5">
            <w:pPr>
              <w:widowControl/>
              <w:jc w:val="center"/>
              <w:rPr>
                <w:rFonts w:eastAsia="等线"/>
                <w:color w:val="auto"/>
                <w:kern w:val="0"/>
                <w:sz w:val="18"/>
                <w:szCs w:val="18"/>
                <w:highlight w:val="none"/>
              </w:rPr>
            </w:pPr>
          </w:p>
        </w:tc>
        <w:tc>
          <w:tcPr>
            <w:tcW w:w="796" w:type="dxa"/>
            <w:vMerge w:val="continue"/>
            <w:tcBorders>
              <w:tl2br w:val="nil"/>
              <w:tr2bl w:val="nil"/>
            </w:tcBorders>
            <w:vAlign w:val="center"/>
          </w:tcPr>
          <w:p w14:paraId="0FE0641E">
            <w:pPr>
              <w:widowControl/>
              <w:jc w:val="center"/>
              <w:rPr>
                <w:rFonts w:hint="eastAsia" w:ascii="宋体" w:hAnsi="宋体" w:cs="宋体"/>
                <w:color w:val="auto"/>
                <w:kern w:val="0"/>
                <w:sz w:val="18"/>
                <w:szCs w:val="18"/>
                <w:highlight w:val="none"/>
              </w:rPr>
            </w:pPr>
          </w:p>
        </w:tc>
        <w:tc>
          <w:tcPr>
            <w:tcW w:w="797" w:type="dxa"/>
            <w:vMerge w:val="continue"/>
            <w:tcBorders>
              <w:tl2br w:val="nil"/>
              <w:tr2bl w:val="nil"/>
            </w:tcBorders>
            <w:vAlign w:val="center"/>
          </w:tcPr>
          <w:p w14:paraId="456E97D7">
            <w:pPr>
              <w:widowControl/>
              <w:jc w:val="center"/>
              <w:rPr>
                <w:rFonts w:hint="eastAsia" w:ascii="宋体" w:hAnsi="宋体" w:cs="宋体"/>
                <w:color w:val="auto"/>
                <w:kern w:val="0"/>
                <w:sz w:val="18"/>
                <w:szCs w:val="18"/>
                <w:highlight w:val="none"/>
              </w:rPr>
            </w:pPr>
          </w:p>
        </w:tc>
        <w:tc>
          <w:tcPr>
            <w:tcW w:w="797" w:type="dxa"/>
            <w:vMerge w:val="continue"/>
            <w:tcBorders>
              <w:tl2br w:val="nil"/>
              <w:tr2bl w:val="nil"/>
            </w:tcBorders>
            <w:vAlign w:val="center"/>
          </w:tcPr>
          <w:p w14:paraId="655F2E08">
            <w:pPr>
              <w:widowControl/>
              <w:jc w:val="center"/>
              <w:rPr>
                <w:rFonts w:hint="eastAsia" w:ascii="宋体" w:hAnsi="宋体" w:cs="宋体"/>
                <w:color w:val="auto"/>
                <w:kern w:val="0"/>
                <w:sz w:val="18"/>
                <w:szCs w:val="18"/>
                <w:highlight w:val="none"/>
              </w:rPr>
            </w:pPr>
          </w:p>
        </w:tc>
        <w:tc>
          <w:tcPr>
            <w:tcW w:w="953" w:type="dxa"/>
            <w:tcBorders>
              <w:tl2br w:val="nil"/>
              <w:tr2bl w:val="nil"/>
            </w:tcBorders>
            <w:vAlign w:val="center"/>
          </w:tcPr>
          <w:p w14:paraId="57AC4BF2">
            <w:pPr>
              <w:widowControl/>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特定全营养配方食品</w:t>
            </w:r>
          </w:p>
        </w:tc>
        <w:tc>
          <w:tcPr>
            <w:tcW w:w="1896" w:type="dxa"/>
            <w:tcBorders>
              <w:tl2br w:val="nil"/>
              <w:tr2bl w:val="nil"/>
            </w:tcBorders>
            <w:vAlign w:val="center"/>
          </w:tcPr>
          <w:p w14:paraId="55AD742D">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铅(以Pb计)，锡(以Sn计)，黄曲霉毒素M₁，黄曲霉毒素B₁，硝酸盐(以NaNO₃计)，亚硝酸盐(以NaNO₂计)，三聚氰胺</w:t>
            </w:r>
          </w:p>
        </w:tc>
        <w:tc>
          <w:tcPr>
            <w:tcW w:w="2956" w:type="dxa"/>
            <w:tcBorders>
              <w:tl2br w:val="nil"/>
              <w:tr2bl w:val="nil"/>
            </w:tcBorders>
            <w:vAlign w:val="center"/>
          </w:tcPr>
          <w:p w14:paraId="0B9649E3">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菌落总数，大肠菌群，沙门氏菌，金黄色葡萄球菌，商业无菌</w:t>
            </w:r>
          </w:p>
        </w:tc>
      </w:tr>
      <w:tr w14:paraId="359BA98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750" w:hRule="atLeast"/>
        </w:trPr>
        <w:tc>
          <w:tcPr>
            <w:tcW w:w="953" w:type="dxa"/>
            <w:vMerge w:val="restart"/>
            <w:tcBorders>
              <w:tl2br w:val="nil"/>
              <w:tr2bl w:val="nil"/>
            </w:tcBorders>
            <w:vAlign w:val="center"/>
          </w:tcPr>
          <w:p w14:paraId="443C4360">
            <w:pPr>
              <w:widowControl/>
              <w:jc w:val="center"/>
              <w:rPr>
                <w:rFonts w:hint="default" w:eastAsia="等线"/>
                <w:color w:val="auto"/>
                <w:kern w:val="0"/>
                <w:sz w:val="18"/>
                <w:szCs w:val="18"/>
                <w:highlight w:val="none"/>
                <w:lang w:val="en-US" w:eastAsia="zh-CN"/>
              </w:rPr>
            </w:pPr>
            <w:r>
              <w:rPr>
                <w:rFonts w:hint="eastAsia" w:eastAsia="等线"/>
                <w:color w:val="auto"/>
                <w:kern w:val="0"/>
                <w:sz w:val="18"/>
                <w:szCs w:val="18"/>
                <w:highlight w:val="none"/>
                <w:lang w:val="en-US" w:eastAsia="zh-CN"/>
              </w:rPr>
              <w:t>30</w:t>
            </w:r>
          </w:p>
        </w:tc>
        <w:tc>
          <w:tcPr>
            <w:tcW w:w="796" w:type="dxa"/>
            <w:vMerge w:val="restart"/>
            <w:tcBorders>
              <w:tl2br w:val="nil"/>
              <w:tr2bl w:val="nil"/>
            </w:tcBorders>
            <w:vAlign w:val="center"/>
          </w:tcPr>
          <w:p w14:paraId="62E5EBE7">
            <w:pPr>
              <w:widowControl/>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婴幼儿配方食品</w:t>
            </w:r>
          </w:p>
        </w:tc>
        <w:tc>
          <w:tcPr>
            <w:tcW w:w="797" w:type="dxa"/>
            <w:vMerge w:val="restart"/>
            <w:tcBorders>
              <w:tl2br w:val="nil"/>
              <w:tr2bl w:val="nil"/>
            </w:tcBorders>
            <w:vAlign w:val="center"/>
          </w:tcPr>
          <w:p w14:paraId="5FB052DF">
            <w:pPr>
              <w:widowControl/>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婴幼儿配方食品(湿法工艺、干法工艺、干湿法混合工艺）</w:t>
            </w:r>
          </w:p>
        </w:tc>
        <w:tc>
          <w:tcPr>
            <w:tcW w:w="797" w:type="dxa"/>
            <w:tcBorders>
              <w:tl2br w:val="nil"/>
              <w:tr2bl w:val="nil"/>
            </w:tcBorders>
            <w:vAlign w:val="center"/>
          </w:tcPr>
          <w:p w14:paraId="1751BE76">
            <w:pPr>
              <w:widowControl/>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较大婴儿配方食品</w:t>
            </w:r>
          </w:p>
        </w:tc>
        <w:tc>
          <w:tcPr>
            <w:tcW w:w="953" w:type="dxa"/>
            <w:tcBorders>
              <w:tl2br w:val="nil"/>
              <w:tr2bl w:val="nil"/>
            </w:tcBorders>
            <w:vAlign w:val="center"/>
          </w:tcPr>
          <w:p w14:paraId="1FA2A53C">
            <w:pPr>
              <w:widowControl/>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乳基较大婴儿配方食品、豆基较大婴儿配方食品</w:t>
            </w:r>
          </w:p>
        </w:tc>
        <w:tc>
          <w:tcPr>
            <w:tcW w:w="1896" w:type="dxa"/>
            <w:tcBorders>
              <w:tl2br w:val="nil"/>
              <w:tr2bl w:val="nil"/>
            </w:tcBorders>
            <w:vAlign w:val="center"/>
          </w:tcPr>
          <w:p w14:paraId="26B4425D">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蛋白质，脂肪，亚油酸，α-亚麻酸，亚油酸与α-亚麻酸比值，终产品脂肪中月桂酸和肉豆蔻酸(十四烷酸)总量占总脂肪酸的比值，反式脂肪酸与总脂肪酸比值，芥酸与总脂肪酸比值，碳水化合物，乳糖占碳水化合物总量，维生素A，维生素D，维生素E，维生素K₁，维生素B₁，维生素B₂，维生素B₆，维生素B₁₂，烟酸(烟酰胺)，叶酸，泛酸，维生素C，生物素，钠，钾，铜，镁，铁，锌，钙，磷，钙磷比值，碘，氯，锰，硒，胆碱，肌醇，牛磺酸，左旋肉碱，二十二碳六烯酸(DHA)，二十二碳六烯酸(22:6 n-3)与总脂肪酸比，二十碳四烯酸(AA/ARA)，二十碳四烯酸与总脂肪酸比，二十二碳六烯酸(22:6 n-3)与二十碳四烯酸(20:4 n-6)的比，二十碳五烯酸(20:5 n-3)的量与二十二碳六烯酸(22:6 n-3)的量的比，水分，灰分，杂质度，叶黄素，核苷酸，果聚糖，三聚氰胺，铅(以Pb计)，硝酸盐(以NaNO₃计)，亚硝酸盐(以NaNO₂计)，脲酶活性定性测定，黄曲霉毒素B₁或黄曲霉毒素M₁，菌落总数，大肠菌群，沙门氏菌，金黄色葡萄球菌，锡，果糖，蔗糖，乳铁蛋白</w:t>
            </w:r>
          </w:p>
        </w:tc>
        <w:tc>
          <w:tcPr>
            <w:tcW w:w="2956" w:type="dxa"/>
            <w:tcBorders>
              <w:tl2br w:val="nil"/>
              <w:tr2bl w:val="nil"/>
            </w:tcBorders>
            <w:vAlign w:val="center"/>
          </w:tcPr>
          <w:p w14:paraId="507A01C8">
            <w:pPr>
              <w:widowControl/>
              <w:ind w:left="0" w:leftChars="0" w:right="0" w:rightChars="0" w:firstLine="0" w:firstLineChars="0"/>
              <w:jc w:val="center"/>
              <w:rPr>
                <w:rFonts w:hint="eastAsia" w:ascii="宋体" w:hAnsi="宋体" w:eastAsia="宋体" w:cs="宋体"/>
                <w:color w:val="auto"/>
                <w:kern w:val="0"/>
                <w:sz w:val="18"/>
                <w:szCs w:val="18"/>
                <w:highlight w:val="none"/>
                <w:lang w:val="en-US" w:eastAsia="zh-CN"/>
              </w:rPr>
            </w:pPr>
            <w:r>
              <w:rPr>
                <w:rFonts w:hint="eastAsia" w:ascii="宋体" w:hAnsi="宋体" w:cs="宋体"/>
                <w:color w:val="auto"/>
                <w:kern w:val="0"/>
                <w:sz w:val="18"/>
                <w:szCs w:val="18"/>
                <w:highlight w:val="none"/>
                <w:lang w:val="en-US" w:eastAsia="zh-CN"/>
              </w:rPr>
              <w:t>/</w:t>
            </w:r>
          </w:p>
        </w:tc>
      </w:tr>
      <w:tr w14:paraId="52DCFB0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750" w:hRule="atLeast"/>
        </w:trPr>
        <w:tc>
          <w:tcPr>
            <w:tcW w:w="953" w:type="dxa"/>
            <w:vMerge w:val="continue"/>
            <w:tcBorders>
              <w:tl2br w:val="nil"/>
              <w:tr2bl w:val="nil"/>
            </w:tcBorders>
            <w:vAlign w:val="center"/>
          </w:tcPr>
          <w:p w14:paraId="5C4CB4D5">
            <w:pPr>
              <w:widowControl/>
              <w:jc w:val="center"/>
              <w:rPr>
                <w:rFonts w:eastAsia="等线"/>
                <w:color w:val="auto"/>
                <w:kern w:val="0"/>
                <w:sz w:val="18"/>
                <w:szCs w:val="18"/>
                <w:highlight w:val="none"/>
              </w:rPr>
            </w:pPr>
          </w:p>
        </w:tc>
        <w:tc>
          <w:tcPr>
            <w:tcW w:w="796" w:type="dxa"/>
            <w:vMerge w:val="continue"/>
            <w:tcBorders>
              <w:tl2br w:val="nil"/>
              <w:tr2bl w:val="nil"/>
            </w:tcBorders>
            <w:vAlign w:val="center"/>
          </w:tcPr>
          <w:p w14:paraId="64872740">
            <w:pPr>
              <w:widowControl/>
              <w:jc w:val="center"/>
              <w:rPr>
                <w:rFonts w:hint="eastAsia" w:ascii="宋体" w:hAnsi="宋体" w:cs="宋体"/>
                <w:color w:val="auto"/>
                <w:kern w:val="0"/>
                <w:sz w:val="18"/>
                <w:szCs w:val="18"/>
                <w:highlight w:val="none"/>
              </w:rPr>
            </w:pPr>
          </w:p>
        </w:tc>
        <w:tc>
          <w:tcPr>
            <w:tcW w:w="797" w:type="dxa"/>
            <w:vMerge w:val="continue"/>
            <w:tcBorders>
              <w:tl2br w:val="nil"/>
              <w:tr2bl w:val="nil"/>
            </w:tcBorders>
            <w:vAlign w:val="center"/>
          </w:tcPr>
          <w:p w14:paraId="4B9F5F93">
            <w:pPr>
              <w:widowControl/>
              <w:jc w:val="center"/>
              <w:rPr>
                <w:rFonts w:hint="eastAsia" w:ascii="宋体" w:hAnsi="宋体" w:cs="宋体"/>
                <w:color w:val="auto"/>
                <w:kern w:val="0"/>
                <w:sz w:val="18"/>
                <w:szCs w:val="18"/>
                <w:highlight w:val="none"/>
              </w:rPr>
            </w:pPr>
          </w:p>
        </w:tc>
        <w:tc>
          <w:tcPr>
            <w:tcW w:w="797" w:type="dxa"/>
            <w:tcBorders>
              <w:tl2br w:val="nil"/>
              <w:tr2bl w:val="nil"/>
            </w:tcBorders>
            <w:vAlign w:val="center"/>
          </w:tcPr>
          <w:p w14:paraId="44787004">
            <w:pPr>
              <w:widowControl/>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幼儿配方食品</w:t>
            </w:r>
          </w:p>
        </w:tc>
        <w:tc>
          <w:tcPr>
            <w:tcW w:w="953" w:type="dxa"/>
            <w:tcBorders>
              <w:tl2br w:val="nil"/>
              <w:tr2bl w:val="nil"/>
            </w:tcBorders>
            <w:vAlign w:val="center"/>
          </w:tcPr>
          <w:p w14:paraId="3505D43F">
            <w:pPr>
              <w:widowControl/>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幼儿配方食品</w:t>
            </w:r>
          </w:p>
        </w:tc>
        <w:tc>
          <w:tcPr>
            <w:tcW w:w="1896" w:type="dxa"/>
            <w:tcBorders>
              <w:tl2br w:val="nil"/>
              <w:tr2bl w:val="nil"/>
            </w:tcBorders>
            <w:vAlign w:val="center"/>
          </w:tcPr>
          <w:p w14:paraId="186B5959">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蛋白质，脂肪，亚油酸，α-亚麻酸，亚油酸与α-亚麻酸比值，乳糖占碳水化合物总量，反式脂肪酸与总脂肪酸比值，碳水化合物，维生素A，维生素D，维生素E，维生素K₁，维生素B₁，维生素B₂，维生素B₆，维生素B₁₂，烟酸(烟酰胺)，叶酸，泛酸，维生素C，生物素，钠，钾，铜，镁，铁，锌，钙，磷，钙磷比值，碘，氯，锰，硒，胆碱，肌醇，牛磺酸，左旋肉碱，二十二碳六烯酸(DHA)，二十二碳六烯酸(22:6 n-3)与总脂肪酸比，二十碳四烯酸(AA/ARA)，二十碳四烯酸与总脂肪酸比，水分，灰分，杂质度，叶黄素，核苷酸，果聚糖，三聚氰胺，铅(以Pb计)，硝酸盐(以NaNO₃计)，亚硝酸盐(以NaNO₂计)，脲酶活性定性测定，黄曲霉毒素B₁或黄曲霉毒素M₁，菌落总数，大肠菌群，沙门氏菌，金黄色葡萄球菌，锡，乳铁蛋白</w:t>
            </w:r>
          </w:p>
        </w:tc>
        <w:tc>
          <w:tcPr>
            <w:tcW w:w="2956" w:type="dxa"/>
            <w:tcBorders>
              <w:tl2br w:val="nil"/>
              <w:tr2bl w:val="nil"/>
            </w:tcBorders>
            <w:vAlign w:val="center"/>
          </w:tcPr>
          <w:p w14:paraId="6B5B21D9">
            <w:pPr>
              <w:widowControl/>
              <w:ind w:left="0" w:leftChars="0" w:right="0" w:rightChars="0" w:firstLine="0" w:firstLineChars="0"/>
              <w:jc w:val="center"/>
              <w:rPr>
                <w:rFonts w:hint="eastAsia" w:ascii="宋体" w:hAnsi="宋体" w:eastAsia="宋体" w:cs="宋体"/>
                <w:color w:val="auto"/>
                <w:kern w:val="0"/>
                <w:sz w:val="18"/>
                <w:szCs w:val="18"/>
                <w:highlight w:val="none"/>
                <w:lang w:val="en-US" w:eastAsia="zh-CN"/>
              </w:rPr>
            </w:pPr>
            <w:r>
              <w:rPr>
                <w:rFonts w:hint="eastAsia" w:ascii="宋体" w:hAnsi="宋体" w:cs="宋体"/>
                <w:color w:val="auto"/>
                <w:kern w:val="0"/>
                <w:sz w:val="18"/>
                <w:szCs w:val="18"/>
                <w:highlight w:val="none"/>
                <w:lang w:val="en-US" w:eastAsia="zh-CN"/>
              </w:rPr>
              <w:t>/</w:t>
            </w:r>
          </w:p>
        </w:tc>
      </w:tr>
      <w:tr w14:paraId="2D19345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750" w:hRule="atLeast"/>
        </w:trPr>
        <w:tc>
          <w:tcPr>
            <w:tcW w:w="953" w:type="dxa"/>
            <w:tcBorders>
              <w:tl2br w:val="nil"/>
              <w:tr2bl w:val="nil"/>
            </w:tcBorders>
            <w:vAlign w:val="center"/>
          </w:tcPr>
          <w:p w14:paraId="736982B9">
            <w:pPr>
              <w:widowControl/>
              <w:jc w:val="center"/>
              <w:rPr>
                <w:rFonts w:hint="default" w:eastAsia="等线"/>
                <w:color w:val="auto"/>
                <w:kern w:val="0"/>
                <w:sz w:val="18"/>
                <w:szCs w:val="18"/>
                <w:highlight w:val="none"/>
                <w:lang w:val="en-US" w:eastAsia="zh-CN"/>
              </w:rPr>
            </w:pPr>
            <w:r>
              <w:rPr>
                <w:rFonts w:hint="eastAsia" w:eastAsia="等线"/>
                <w:color w:val="auto"/>
                <w:kern w:val="0"/>
                <w:sz w:val="18"/>
                <w:szCs w:val="18"/>
                <w:highlight w:val="none"/>
                <w:lang w:val="en-US" w:eastAsia="zh-CN"/>
              </w:rPr>
              <w:t>31</w:t>
            </w:r>
          </w:p>
        </w:tc>
        <w:tc>
          <w:tcPr>
            <w:tcW w:w="796" w:type="dxa"/>
            <w:tcBorders>
              <w:tl2br w:val="nil"/>
              <w:tr2bl w:val="nil"/>
            </w:tcBorders>
            <w:vAlign w:val="center"/>
          </w:tcPr>
          <w:p w14:paraId="5DC231C4">
            <w:pPr>
              <w:widowControl/>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食品添加剂</w:t>
            </w:r>
          </w:p>
        </w:tc>
        <w:tc>
          <w:tcPr>
            <w:tcW w:w="797" w:type="dxa"/>
            <w:tcBorders>
              <w:tl2br w:val="nil"/>
              <w:tr2bl w:val="nil"/>
            </w:tcBorders>
            <w:vAlign w:val="center"/>
          </w:tcPr>
          <w:p w14:paraId="14872818">
            <w:pPr>
              <w:widowControl/>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食品添加剂</w:t>
            </w:r>
          </w:p>
        </w:tc>
        <w:tc>
          <w:tcPr>
            <w:tcW w:w="797" w:type="dxa"/>
            <w:tcBorders>
              <w:tl2br w:val="nil"/>
              <w:tr2bl w:val="nil"/>
            </w:tcBorders>
            <w:vAlign w:val="center"/>
          </w:tcPr>
          <w:p w14:paraId="387CAC9A">
            <w:pPr>
              <w:widowControl/>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复配食品添加剂</w:t>
            </w:r>
          </w:p>
        </w:tc>
        <w:tc>
          <w:tcPr>
            <w:tcW w:w="953" w:type="dxa"/>
            <w:tcBorders>
              <w:tl2br w:val="nil"/>
              <w:tr2bl w:val="nil"/>
            </w:tcBorders>
            <w:vAlign w:val="center"/>
          </w:tcPr>
          <w:p w14:paraId="2ECAAC33">
            <w:pPr>
              <w:widowControl/>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复配食品添加剂</w:t>
            </w:r>
          </w:p>
        </w:tc>
        <w:tc>
          <w:tcPr>
            <w:tcW w:w="1896" w:type="dxa"/>
            <w:tcBorders>
              <w:tl2br w:val="nil"/>
              <w:tr2bl w:val="nil"/>
            </w:tcBorders>
            <w:vAlign w:val="center"/>
          </w:tcPr>
          <w:p w14:paraId="00F44434">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铅(Pb)，砷(以As计)，致病性微生物</w:t>
            </w:r>
          </w:p>
        </w:tc>
        <w:tc>
          <w:tcPr>
            <w:tcW w:w="2956" w:type="dxa"/>
            <w:tcBorders>
              <w:tl2br w:val="nil"/>
              <w:tr2bl w:val="nil"/>
            </w:tcBorders>
            <w:vAlign w:val="center"/>
          </w:tcPr>
          <w:p w14:paraId="136ADCD5">
            <w:pPr>
              <w:widowControl/>
              <w:ind w:left="0" w:leftChars="0" w:right="0" w:rightChars="0" w:firstLine="0" w:firstLineChars="0"/>
              <w:jc w:val="center"/>
              <w:rPr>
                <w:rFonts w:hint="eastAsia" w:ascii="宋体" w:hAnsi="宋体" w:eastAsia="宋体" w:cs="宋体"/>
                <w:color w:val="auto"/>
                <w:kern w:val="0"/>
                <w:sz w:val="18"/>
                <w:szCs w:val="18"/>
                <w:highlight w:val="none"/>
                <w:lang w:val="en-US" w:eastAsia="zh-CN"/>
              </w:rPr>
            </w:pPr>
            <w:r>
              <w:rPr>
                <w:rFonts w:hint="eastAsia" w:ascii="宋体" w:hAnsi="宋体" w:cs="宋体"/>
                <w:color w:val="auto"/>
                <w:kern w:val="0"/>
                <w:sz w:val="18"/>
                <w:szCs w:val="18"/>
                <w:highlight w:val="none"/>
                <w:lang w:val="en-US" w:eastAsia="zh-CN"/>
              </w:rPr>
              <w:t>/</w:t>
            </w:r>
          </w:p>
        </w:tc>
      </w:tr>
      <w:tr w14:paraId="2D2D7F8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750" w:hRule="atLeast"/>
        </w:trPr>
        <w:tc>
          <w:tcPr>
            <w:tcW w:w="953" w:type="dxa"/>
            <w:vMerge w:val="restart"/>
            <w:tcBorders>
              <w:tl2br w:val="nil"/>
              <w:tr2bl w:val="nil"/>
            </w:tcBorders>
            <w:vAlign w:val="center"/>
          </w:tcPr>
          <w:p w14:paraId="75A078C7">
            <w:pPr>
              <w:widowControl/>
              <w:jc w:val="center"/>
              <w:rPr>
                <w:rFonts w:hint="default" w:eastAsia="等线"/>
                <w:color w:val="auto"/>
                <w:kern w:val="0"/>
                <w:sz w:val="18"/>
                <w:szCs w:val="18"/>
                <w:highlight w:val="none"/>
                <w:lang w:val="en-US" w:eastAsia="zh-CN"/>
              </w:rPr>
            </w:pPr>
            <w:r>
              <w:rPr>
                <w:rFonts w:hint="eastAsia" w:eastAsia="等线"/>
                <w:color w:val="auto"/>
                <w:kern w:val="0"/>
                <w:sz w:val="18"/>
                <w:szCs w:val="18"/>
                <w:highlight w:val="none"/>
                <w:lang w:val="en-US" w:eastAsia="zh-CN"/>
              </w:rPr>
              <w:t>32</w:t>
            </w:r>
          </w:p>
        </w:tc>
        <w:tc>
          <w:tcPr>
            <w:tcW w:w="796" w:type="dxa"/>
            <w:vMerge w:val="restart"/>
            <w:tcBorders>
              <w:tl2br w:val="nil"/>
              <w:tr2bl w:val="nil"/>
            </w:tcBorders>
            <w:vAlign w:val="center"/>
          </w:tcPr>
          <w:p w14:paraId="03CE7679">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餐饮食品</w:t>
            </w:r>
          </w:p>
        </w:tc>
        <w:tc>
          <w:tcPr>
            <w:tcW w:w="797" w:type="dxa"/>
            <w:vMerge w:val="restart"/>
            <w:tcBorders>
              <w:tl2br w:val="nil"/>
              <w:tr2bl w:val="nil"/>
            </w:tcBorders>
            <w:vAlign w:val="center"/>
          </w:tcPr>
          <w:p w14:paraId="3C505FAF">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米面及其制品（自制）</w:t>
            </w:r>
          </w:p>
        </w:tc>
        <w:tc>
          <w:tcPr>
            <w:tcW w:w="797" w:type="dxa"/>
            <w:vMerge w:val="restart"/>
            <w:tcBorders>
              <w:tl2br w:val="nil"/>
              <w:tr2bl w:val="nil"/>
            </w:tcBorders>
            <w:vAlign w:val="center"/>
          </w:tcPr>
          <w:p w14:paraId="50D55E98">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小麦粉制品（自制）</w:t>
            </w:r>
          </w:p>
        </w:tc>
        <w:tc>
          <w:tcPr>
            <w:tcW w:w="953" w:type="dxa"/>
            <w:tcBorders>
              <w:tl2br w:val="nil"/>
              <w:tr2bl w:val="nil"/>
            </w:tcBorders>
            <w:vAlign w:val="center"/>
          </w:tcPr>
          <w:p w14:paraId="0196DABB">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馒头花卷（自制）</w:t>
            </w:r>
          </w:p>
        </w:tc>
        <w:tc>
          <w:tcPr>
            <w:tcW w:w="1896" w:type="dxa"/>
            <w:tcBorders>
              <w:tl2br w:val="nil"/>
              <w:tr2bl w:val="nil"/>
            </w:tcBorders>
            <w:vAlign w:val="center"/>
          </w:tcPr>
          <w:p w14:paraId="26B9E336">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糖精钠（以糖精计）、甜蜜素（以环己基氨基磺酸计）</w:t>
            </w:r>
          </w:p>
        </w:tc>
        <w:tc>
          <w:tcPr>
            <w:tcW w:w="2956" w:type="dxa"/>
            <w:tcBorders>
              <w:tl2br w:val="nil"/>
              <w:tr2bl w:val="nil"/>
            </w:tcBorders>
            <w:vAlign w:val="center"/>
          </w:tcPr>
          <w:p w14:paraId="49F07CE4">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苯甲酸及其钠盐（以苯甲酸计）、山梨酸及其钾盐（以山梨酸计）、脱氢乙酸及其钠盐（以脱氢乙酸计）、合成着色剂（柠檬黄、日落黄）</w:t>
            </w:r>
          </w:p>
        </w:tc>
      </w:tr>
      <w:tr w14:paraId="15E4620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348" w:hRule="atLeast"/>
        </w:trPr>
        <w:tc>
          <w:tcPr>
            <w:tcW w:w="953" w:type="dxa"/>
            <w:vMerge w:val="continue"/>
            <w:tcBorders>
              <w:tl2br w:val="nil"/>
              <w:tr2bl w:val="nil"/>
            </w:tcBorders>
            <w:vAlign w:val="center"/>
          </w:tcPr>
          <w:p w14:paraId="43F73475">
            <w:pPr>
              <w:widowControl/>
              <w:jc w:val="left"/>
              <w:rPr>
                <w:rFonts w:eastAsia="等线"/>
                <w:color w:val="auto"/>
                <w:kern w:val="0"/>
                <w:sz w:val="18"/>
                <w:szCs w:val="18"/>
                <w:highlight w:val="none"/>
              </w:rPr>
            </w:pPr>
          </w:p>
        </w:tc>
        <w:tc>
          <w:tcPr>
            <w:tcW w:w="796" w:type="dxa"/>
            <w:vMerge w:val="continue"/>
            <w:tcBorders>
              <w:tl2br w:val="nil"/>
              <w:tr2bl w:val="nil"/>
            </w:tcBorders>
            <w:vAlign w:val="center"/>
          </w:tcPr>
          <w:p w14:paraId="5ADC45C9">
            <w:pPr>
              <w:widowControl/>
              <w:jc w:val="left"/>
              <w:rPr>
                <w:rFonts w:ascii="宋体" w:hAnsi="宋体" w:cs="宋体"/>
                <w:color w:val="auto"/>
                <w:kern w:val="0"/>
                <w:sz w:val="18"/>
                <w:szCs w:val="18"/>
                <w:highlight w:val="none"/>
              </w:rPr>
            </w:pPr>
          </w:p>
        </w:tc>
        <w:tc>
          <w:tcPr>
            <w:tcW w:w="797" w:type="dxa"/>
            <w:vMerge w:val="continue"/>
            <w:tcBorders>
              <w:tl2br w:val="nil"/>
              <w:tr2bl w:val="nil"/>
            </w:tcBorders>
            <w:vAlign w:val="center"/>
          </w:tcPr>
          <w:p w14:paraId="3D28C0BB">
            <w:pPr>
              <w:widowControl/>
              <w:jc w:val="left"/>
              <w:rPr>
                <w:rFonts w:ascii="宋体" w:hAnsi="宋体" w:cs="宋体"/>
                <w:color w:val="auto"/>
                <w:kern w:val="0"/>
                <w:sz w:val="18"/>
                <w:szCs w:val="18"/>
                <w:highlight w:val="none"/>
              </w:rPr>
            </w:pPr>
          </w:p>
        </w:tc>
        <w:tc>
          <w:tcPr>
            <w:tcW w:w="797" w:type="dxa"/>
            <w:vMerge w:val="continue"/>
            <w:tcBorders>
              <w:tl2br w:val="nil"/>
              <w:tr2bl w:val="nil"/>
            </w:tcBorders>
            <w:vAlign w:val="center"/>
          </w:tcPr>
          <w:p w14:paraId="47639F70">
            <w:pPr>
              <w:widowControl/>
              <w:jc w:val="left"/>
              <w:rPr>
                <w:rFonts w:ascii="宋体" w:hAnsi="宋体" w:cs="宋体"/>
                <w:color w:val="auto"/>
                <w:kern w:val="0"/>
                <w:sz w:val="18"/>
                <w:szCs w:val="18"/>
                <w:highlight w:val="none"/>
              </w:rPr>
            </w:pPr>
          </w:p>
        </w:tc>
        <w:tc>
          <w:tcPr>
            <w:tcW w:w="953" w:type="dxa"/>
            <w:tcBorders>
              <w:tl2br w:val="nil"/>
              <w:tr2bl w:val="nil"/>
            </w:tcBorders>
            <w:vAlign w:val="center"/>
          </w:tcPr>
          <w:p w14:paraId="66A03BF6">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包子（自制）</w:t>
            </w:r>
          </w:p>
        </w:tc>
        <w:tc>
          <w:tcPr>
            <w:tcW w:w="1896" w:type="dxa"/>
            <w:tcBorders>
              <w:tl2br w:val="nil"/>
              <w:tr2bl w:val="nil"/>
            </w:tcBorders>
            <w:vAlign w:val="center"/>
          </w:tcPr>
          <w:p w14:paraId="11602200">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甜蜜素（以环己基氨基磺酸计）、糖精钠（以糖精计）</w:t>
            </w:r>
          </w:p>
        </w:tc>
        <w:tc>
          <w:tcPr>
            <w:tcW w:w="2956" w:type="dxa"/>
            <w:tcBorders>
              <w:tl2br w:val="nil"/>
              <w:tr2bl w:val="nil"/>
            </w:tcBorders>
            <w:vAlign w:val="center"/>
          </w:tcPr>
          <w:p w14:paraId="00444690">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苯甲酸及其钠盐（以苯甲酸计）、山梨酸及其钾盐（以山梨酸计）、脱氢乙酸及其钠盐（以脱氢乙酸计）</w:t>
            </w:r>
          </w:p>
        </w:tc>
      </w:tr>
      <w:tr w14:paraId="5BD8828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24" w:hRule="atLeast"/>
        </w:trPr>
        <w:tc>
          <w:tcPr>
            <w:tcW w:w="953" w:type="dxa"/>
            <w:vMerge w:val="continue"/>
            <w:tcBorders>
              <w:tl2br w:val="nil"/>
              <w:tr2bl w:val="nil"/>
            </w:tcBorders>
            <w:vAlign w:val="center"/>
          </w:tcPr>
          <w:p w14:paraId="322F0E04">
            <w:pPr>
              <w:widowControl/>
              <w:jc w:val="left"/>
              <w:rPr>
                <w:rFonts w:eastAsia="等线"/>
                <w:color w:val="auto"/>
                <w:kern w:val="0"/>
                <w:sz w:val="18"/>
                <w:szCs w:val="18"/>
                <w:highlight w:val="none"/>
              </w:rPr>
            </w:pPr>
          </w:p>
        </w:tc>
        <w:tc>
          <w:tcPr>
            <w:tcW w:w="796" w:type="dxa"/>
            <w:vMerge w:val="continue"/>
            <w:tcBorders>
              <w:tl2br w:val="nil"/>
              <w:tr2bl w:val="nil"/>
            </w:tcBorders>
            <w:vAlign w:val="center"/>
          </w:tcPr>
          <w:p w14:paraId="4A5921DD">
            <w:pPr>
              <w:widowControl/>
              <w:jc w:val="left"/>
              <w:rPr>
                <w:rFonts w:ascii="宋体" w:hAnsi="宋体" w:cs="宋体"/>
                <w:color w:val="auto"/>
                <w:kern w:val="0"/>
                <w:sz w:val="18"/>
                <w:szCs w:val="18"/>
                <w:highlight w:val="none"/>
              </w:rPr>
            </w:pPr>
          </w:p>
        </w:tc>
        <w:tc>
          <w:tcPr>
            <w:tcW w:w="797" w:type="dxa"/>
            <w:vMerge w:val="continue"/>
            <w:tcBorders>
              <w:tl2br w:val="nil"/>
              <w:tr2bl w:val="nil"/>
            </w:tcBorders>
            <w:vAlign w:val="center"/>
          </w:tcPr>
          <w:p w14:paraId="04F565F7">
            <w:pPr>
              <w:widowControl/>
              <w:jc w:val="left"/>
              <w:rPr>
                <w:rFonts w:ascii="宋体" w:hAnsi="宋体" w:cs="宋体"/>
                <w:color w:val="auto"/>
                <w:kern w:val="0"/>
                <w:sz w:val="18"/>
                <w:szCs w:val="18"/>
                <w:highlight w:val="none"/>
              </w:rPr>
            </w:pPr>
          </w:p>
        </w:tc>
        <w:tc>
          <w:tcPr>
            <w:tcW w:w="797" w:type="dxa"/>
            <w:vMerge w:val="continue"/>
            <w:tcBorders>
              <w:tl2br w:val="nil"/>
              <w:tr2bl w:val="nil"/>
            </w:tcBorders>
            <w:vAlign w:val="center"/>
          </w:tcPr>
          <w:p w14:paraId="4F0D9A9D">
            <w:pPr>
              <w:widowControl/>
              <w:jc w:val="left"/>
              <w:rPr>
                <w:rFonts w:ascii="宋体" w:hAnsi="宋体" w:cs="宋体"/>
                <w:color w:val="auto"/>
                <w:kern w:val="0"/>
                <w:sz w:val="18"/>
                <w:szCs w:val="18"/>
                <w:highlight w:val="none"/>
              </w:rPr>
            </w:pPr>
          </w:p>
        </w:tc>
        <w:tc>
          <w:tcPr>
            <w:tcW w:w="953" w:type="dxa"/>
            <w:tcBorders>
              <w:tl2br w:val="nil"/>
              <w:tr2bl w:val="nil"/>
            </w:tcBorders>
            <w:vAlign w:val="center"/>
          </w:tcPr>
          <w:p w14:paraId="1BFBC6A8">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油饼油条（自制）</w:t>
            </w:r>
          </w:p>
        </w:tc>
        <w:tc>
          <w:tcPr>
            <w:tcW w:w="1896" w:type="dxa"/>
            <w:tcBorders>
              <w:tl2br w:val="nil"/>
              <w:tr2bl w:val="nil"/>
            </w:tcBorders>
            <w:vAlign w:val="center"/>
          </w:tcPr>
          <w:p w14:paraId="5F9E243B">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铝的残留量（干样品，以</w:t>
            </w:r>
            <w:r>
              <w:rPr>
                <w:color w:val="auto"/>
                <w:kern w:val="0"/>
                <w:sz w:val="18"/>
                <w:szCs w:val="18"/>
                <w:highlight w:val="none"/>
              </w:rPr>
              <w:t>Al</w:t>
            </w:r>
            <w:r>
              <w:rPr>
                <w:rFonts w:hint="eastAsia" w:ascii="宋体" w:hAnsi="宋体" w:cs="宋体"/>
                <w:color w:val="auto"/>
                <w:kern w:val="0"/>
                <w:sz w:val="18"/>
                <w:szCs w:val="18"/>
                <w:highlight w:val="none"/>
              </w:rPr>
              <w:t>计）</w:t>
            </w:r>
          </w:p>
        </w:tc>
        <w:tc>
          <w:tcPr>
            <w:tcW w:w="2956" w:type="dxa"/>
            <w:tcBorders>
              <w:tl2br w:val="nil"/>
              <w:tr2bl w:val="nil"/>
            </w:tcBorders>
            <w:vAlign w:val="center"/>
          </w:tcPr>
          <w:p w14:paraId="66AC8460">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w:t>
            </w:r>
          </w:p>
        </w:tc>
      </w:tr>
      <w:tr w14:paraId="13B7E78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842" w:hRule="atLeast"/>
        </w:trPr>
        <w:tc>
          <w:tcPr>
            <w:tcW w:w="953" w:type="dxa"/>
            <w:vMerge w:val="continue"/>
            <w:tcBorders>
              <w:tl2br w:val="nil"/>
              <w:tr2bl w:val="nil"/>
            </w:tcBorders>
            <w:vAlign w:val="center"/>
          </w:tcPr>
          <w:p w14:paraId="7830CC22">
            <w:pPr>
              <w:widowControl/>
              <w:jc w:val="left"/>
              <w:rPr>
                <w:rFonts w:eastAsia="等线"/>
                <w:color w:val="auto"/>
                <w:kern w:val="0"/>
                <w:sz w:val="18"/>
                <w:szCs w:val="18"/>
                <w:highlight w:val="none"/>
              </w:rPr>
            </w:pPr>
          </w:p>
        </w:tc>
        <w:tc>
          <w:tcPr>
            <w:tcW w:w="796" w:type="dxa"/>
            <w:vMerge w:val="continue"/>
            <w:tcBorders>
              <w:tl2br w:val="nil"/>
              <w:tr2bl w:val="nil"/>
            </w:tcBorders>
            <w:vAlign w:val="center"/>
          </w:tcPr>
          <w:p w14:paraId="7AC41462">
            <w:pPr>
              <w:widowControl/>
              <w:jc w:val="left"/>
              <w:rPr>
                <w:rFonts w:ascii="宋体" w:hAnsi="宋体" w:cs="宋体"/>
                <w:color w:val="auto"/>
                <w:kern w:val="0"/>
                <w:sz w:val="18"/>
                <w:szCs w:val="18"/>
                <w:highlight w:val="none"/>
              </w:rPr>
            </w:pPr>
          </w:p>
        </w:tc>
        <w:tc>
          <w:tcPr>
            <w:tcW w:w="797" w:type="dxa"/>
            <w:vMerge w:val="restart"/>
            <w:tcBorders>
              <w:tl2br w:val="nil"/>
              <w:tr2bl w:val="nil"/>
            </w:tcBorders>
            <w:vAlign w:val="center"/>
          </w:tcPr>
          <w:p w14:paraId="7D2C9C4C">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肉制品（自制）</w:t>
            </w:r>
          </w:p>
        </w:tc>
        <w:tc>
          <w:tcPr>
            <w:tcW w:w="797" w:type="dxa"/>
            <w:tcBorders>
              <w:tl2br w:val="nil"/>
              <w:tr2bl w:val="nil"/>
            </w:tcBorders>
            <w:vAlign w:val="center"/>
          </w:tcPr>
          <w:p w14:paraId="1A564A86">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熟肉制品（自制）</w:t>
            </w:r>
          </w:p>
        </w:tc>
        <w:tc>
          <w:tcPr>
            <w:tcW w:w="953" w:type="dxa"/>
            <w:tcBorders>
              <w:tl2br w:val="nil"/>
              <w:tr2bl w:val="nil"/>
            </w:tcBorders>
            <w:vAlign w:val="center"/>
          </w:tcPr>
          <w:p w14:paraId="0CE43C6B">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熏烧烤肉类（自制）</w:t>
            </w:r>
          </w:p>
        </w:tc>
        <w:tc>
          <w:tcPr>
            <w:tcW w:w="1896" w:type="dxa"/>
            <w:tcBorders>
              <w:tl2br w:val="nil"/>
              <w:tr2bl w:val="nil"/>
            </w:tcBorders>
            <w:vAlign w:val="center"/>
          </w:tcPr>
          <w:p w14:paraId="7FD9D6BB">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铅（以</w:t>
            </w:r>
            <w:r>
              <w:rPr>
                <w:color w:val="auto"/>
                <w:kern w:val="0"/>
                <w:sz w:val="18"/>
                <w:szCs w:val="18"/>
                <w:highlight w:val="none"/>
              </w:rPr>
              <w:t>Pb</w:t>
            </w:r>
            <w:r>
              <w:rPr>
                <w:rFonts w:hint="eastAsia" w:ascii="宋体" w:hAnsi="宋体" w:cs="宋体"/>
                <w:color w:val="auto"/>
                <w:kern w:val="0"/>
                <w:sz w:val="18"/>
                <w:szCs w:val="18"/>
                <w:highlight w:val="none"/>
              </w:rPr>
              <w:t>计）</w:t>
            </w:r>
          </w:p>
        </w:tc>
        <w:tc>
          <w:tcPr>
            <w:tcW w:w="2956" w:type="dxa"/>
            <w:tcBorders>
              <w:tl2br w:val="nil"/>
              <w:tr2bl w:val="nil"/>
            </w:tcBorders>
            <w:vAlign w:val="center"/>
          </w:tcPr>
          <w:p w14:paraId="05DD4A73">
            <w:pPr>
              <w:widowControl/>
              <w:jc w:val="left"/>
              <w:rPr>
                <w:rFonts w:eastAsia="等线"/>
                <w:color w:val="auto"/>
                <w:kern w:val="0"/>
                <w:sz w:val="18"/>
                <w:szCs w:val="18"/>
                <w:highlight w:val="none"/>
              </w:rPr>
            </w:pPr>
            <w:r>
              <w:rPr>
                <w:rFonts w:eastAsia="等线"/>
                <w:color w:val="auto"/>
                <w:kern w:val="0"/>
                <w:sz w:val="18"/>
                <w:szCs w:val="18"/>
                <w:highlight w:val="none"/>
              </w:rPr>
              <w:t>N-</w:t>
            </w:r>
            <w:r>
              <w:rPr>
                <w:rFonts w:hint="eastAsia" w:ascii="宋体" w:hAnsi="宋体"/>
                <w:color w:val="auto"/>
                <w:kern w:val="0"/>
                <w:sz w:val="18"/>
                <w:szCs w:val="18"/>
                <w:highlight w:val="none"/>
              </w:rPr>
              <w:t>二甲基亚硝胺、苯并</w:t>
            </w:r>
            <w:r>
              <w:rPr>
                <w:rFonts w:eastAsia="等线"/>
                <w:color w:val="auto"/>
                <w:kern w:val="0"/>
                <w:sz w:val="18"/>
                <w:szCs w:val="18"/>
                <w:highlight w:val="none"/>
              </w:rPr>
              <w:t>[α]</w:t>
            </w:r>
            <w:r>
              <w:rPr>
                <w:rFonts w:hint="eastAsia" w:ascii="宋体" w:hAnsi="宋体"/>
                <w:color w:val="auto"/>
                <w:kern w:val="0"/>
                <w:sz w:val="18"/>
                <w:szCs w:val="18"/>
                <w:highlight w:val="none"/>
              </w:rPr>
              <w:t>芘、苯甲酸及其钠盐（以苯甲酸计）</w:t>
            </w:r>
          </w:p>
        </w:tc>
      </w:tr>
      <w:tr w14:paraId="21905CB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842" w:hRule="atLeast"/>
        </w:trPr>
        <w:tc>
          <w:tcPr>
            <w:tcW w:w="953" w:type="dxa"/>
            <w:vMerge w:val="continue"/>
            <w:tcBorders>
              <w:tl2br w:val="nil"/>
              <w:tr2bl w:val="nil"/>
            </w:tcBorders>
            <w:vAlign w:val="center"/>
          </w:tcPr>
          <w:p w14:paraId="3A0A48F6">
            <w:pPr>
              <w:widowControl/>
              <w:jc w:val="left"/>
              <w:rPr>
                <w:rFonts w:eastAsia="等线"/>
                <w:color w:val="auto"/>
                <w:kern w:val="0"/>
                <w:sz w:val="18"/>
                <w:szCs w:val="18"/>
                <w:highlight w:val="none"/>
              </w:rPr>
            </w:pPr>
          </w:p>
        </w:tc>
        <w:tc>
          <w:tcPr>
            <w:tcW w:w="796" w:type="dxa"/>
            <w:vMerge w:val="continue"/>
            <w:tcBorders>
              <w:tl2br w:val="nil"/>
              <w:tr2bl w:val="nil"/>
            </w:tcBorders>
            <w:vAlign w:val="center"/>
          </w:tcPr>
          <w:p w14:paraId="0C67A825">
            <w:pPr>
              <w:widowControl/>
              <w:jc w:val="left"/>
              <w:rPr>
                <w:rFonts w:ascii="宋体" w:hAnsi="宋体" w:cs="宋体"/>
                <w:color w:val="auto"/>
                <w:kern w:val="0"/>
                <w:sz w:val="18"/>
                <w:szCs w:val="18"/>
                <w:highlight w:val="none"/>
              </w:rPr>
            </w:pPr>
          </w:p>
        </w:tc>
        <w:tc>
          <w:tcPr>
            <w:tcW w:w="797" w:type="dxa"/>
            <w:vMerge w:val="continue"/>
            <w:tcBorders>
              <w:tl2br w:val="nil"/>
              <w:tr2bl w:val="nil"/>
            </w:tcBorders>
            <w:vAlign w:val="center"/>
          </w:tcPr>
          <w:p w14:paraId="07711501">
            <w:pPr>
              <w:widowControl/>
              <w:jc w:val="center"/>
              <w:rPr>
                <w:rFonts w:ascii="宋体" w:hAnsi="宋体" w:cs="宋体"/>
                <w:color w:val="auto"/>
                <w:kern w:val="0"/>
                <w:sz w:val="18"/>
                <w:szCs w:val="18"/>
                <w:highlight w:val="none"/>
              </w:rPr>
            </w:pPr>
          </w:p>
        </w:tc>
        <w:tc>
          <w:tcPr>
            <w:tcW w:w="797" w:type="dxa"/>
            <w:tcBorders>
              <w:tl2br w:val="nil"/>
              <w:tr2bl w:val="nil"/>
            </w:tcBorders>
            <w:vAlign w:val="center"/>
          </w:tcPr>
          <w:p w14:paraId="71FC0008">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预制肉类（自制）</w:t>
            </w:r>
          </w:p>
        </w:tc>
        <w:tc>
          <w:tcPr>
            <w:tcW w:w="953" w:type="dxa"/>
            <w:tcBorders>
              <w:tl2br w:val="nil"/>
              <w:tr2bl w:val="nil"/>
            </w:tcBorders>
            <w:vAlign w:val="center"/>
          </w:tcPr>
          <w:p w14:paraId="0A1BBAC0">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毛肚鸭肠等副产品（自制）</w:t>
            </w:r>
          </w:p>
        </w:tc>
        <w:tc>
          <w:tcPr>
            <w:tcW w:w="1896" w:type="dxa"/>
            <w:tcBorders>
              <w:tl2br w:val="nil"/>
              <w:tr2bl w:val="nil"/>
            </w:tcBorders>
            <w:vAlign w:val="center"/>
          </w:tcPr>
          <w:p w14:paraId="388D9D79">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甲醛</w:t>
            </w:r>
          </w:p>
        </w:tc>
        <w:tc>
          <w:tcPr>
            <w:tcW w:w="2956" w:type="dxa"/>
            <w:tcBorders>
              <w:tl2br w:val="nil"/>
              <w:tr2bl w:val="nil"/>
            </w:tcBorders>
            <w:vAlign w:val="center"/>
          </w:tcPr>
          <w:p w14:paraId="4E5E01F5">
            <w:pPr>
              <w:widowControl/>
              <w:jc w:val="left"/>
              <w:rPr>
                <w:rFonts w:eastAsia="等线"/>
                <w:color w:val="auto"/>
                <w:kern w:val="0"/>
                <w:sz w:val="18"/>
                <w:szCs w:val="18"/>
                <w:highlight w:val="none"/>
              </w:rPr>
            </w:pPr>
            <w:r>
              <w:rPr>
                <w:rFonts w:hint="eastAsia" w:ascii="宋体" w:hAnsi="宋体" w:cs="宋体"/>
                <w:color w:val="auto"/>
                <w:kern w:val="0"/>
                <w:sz w:val="18"/>
                <w:szCs w:val="18"/>
                <w:highlight w:val="none"/>
              </w:rPr>
              <w:t>/</w:t>
            </w:r>
          </w:p>
        </w:tc>
      </w:tr>
      <w:tr w14:paraId="1B7CB2D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10" w:hRule="atLeast"/>
        </w:trPr>
        <w:tc>
          <w:tcPr>
            <w:tcW w:w="953" w:type="dxa"/>
            <w:vMerge w:val="continue"/>
            <w:tcBorders>
              <w:tl2br w:val="nil"/>
              <w:tr2bl w:val="nil"/>
            </w:tcBorders>
            <w:vAlign w:val="center"/>
          </w:tcPr>
          <w:p w14:paraId="2FDABFF8">
            <w:pPr>
              <w:widowControl/>
              <w:jc w:val="left"/>
              <w:rPr>
                <w:rFonts w:eastAsia="等线"/>
                <w:color w:val="auto"/>
                <w:kern w:val="0"/>
                <w:sz w:val="18"/>
                <w:szCs w:val="18"/>
                <w:highlight w:val="none"/>
              </w:rPr>
            </w:pPr>
          </w:p>
        </w:tc>
        <w:tc>
          <w:tcPr>
            <w:tcW w:w="796" w:type="dxa"/>
            <w:vMerge w:val="continue"/>
            <w:tcBorders>
              <w:tl2br w:val="nil"/>
              <w:tr2bl w:val="nil"/>
            </w:tcBorders>
            <w:vAlign w:val="center"/>
          </w:tcPr>
          <w:p w14:paraId="5D05C483">
            <w:pPr>
              <w:widowControl/>
              <w:jc w:val="left"/>
              <w:rPr>
                <w:rFonts w:ascii="宋体" w:hAnsi="宋体" w:cs="宋体"/>
                <w:color w:val="auto"/>
                <w:kern w:val="0"/>
                <w:sz w:val="18"/>
                <w:szCs w:val="18"/>
                <w:highlight w:val="none"/>
              </w:rPr>
            </w:pPr>
          </w:p>
        </w:tc>
        <w:tc>
          <w:tcPr>
            <w:tcW w:w="797" w:type="dxa"/>
            <w:vMerge w:val="restart"/>
            <w:tcBorders>
              <w:tl2br w:val="nil"/>
              <w:tr2bl w:val="nil"/>
            </w:tcBorders>
            <w:vAlign w:val="center"/>
          </w:tcPr>
          <w:p w14:paraId="5EC6FAC0">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调味料（自制）</w:t>
            </w:r>
          </w:p>
        </w:tc>
        <w:tc>
          <w:tcPr>
            <w:tcW w:w="797" w:type="dxa"/>
            <w:vMerge w:val="restart"/>
            <w:tcBorders>
              <w:tl2br w:val="nil"/>
              <w:tr2bl w:val="nil"/>
            </w:tcBorders>
            <w:vAlign w:val="center"/>
          </w:tcPr>
          <w:p w14:paraId="50939854">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调味料（自制）</w:t>
            </w:r>
          </w:p>
        </w:tc>
        <w:tc>
          <w:tcPr>
            <w:tcW w:w="953" w:type="dxa"/>
            <w:tcBorders>
              <w:tl2br w:val="nil"/>
              <w:tr2bl w:val="nil"/>
            </w:tcBorders>
            <w:vAlign w:val="center"/>
          </w:tcPr>
          <w:p w14:paraId="542E5DCA">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火锅麻辣烫底料（自制）</w:t>
            </w:r>
          </w:p>
        </w:tc>
        <w:tc>
          <w:tcPr>
            <w:tcW w:w="1896" w:type="dxa"/>
            <w:tcBorders>
              <w:tl2br w:val="nil"/>
              <w:tr2bl w:val="nil"/>
            </w:tcBorders>
            <w:vAlign w:val="center"/>
          </w:tcPr>
          <w:p w14:paraId="2069A695">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w:t>
            </w:r>
          </w:p>
        </w:tc>
        <w:tc>
          <w:tcPr>
            <w:tcW w:w="2956" w:type="dxa"/>
            <w:tcBorders>
              <w:tl2br w:val="nil"/>
              <w:tr2bl w:val="nil"/>
            </w:tcBorders>
            <w:vAlign w:val="center"/>
          </w:tcPr>
          <w:p w14:paraId="6E590E0F">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罂粟碱、吗啡、可待因、那可丁</w:t>
            </w:r>
          </w:p>
        </w:tc>
      </w:tr>
      <w:tr w14:paraId="745515C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10" w:hRule="atLeast"/>
        </w:trPr>
        <w:tc>
          <w:tcPr>
            <w:tcW w:w="953" w:type="dxa"/>
            <w:vMerge w:val="continue"/>
            <w:tcBorders>
              <w:tl2br w:val="nil"/>
              <w:tr2bl w:val="nil"/>
            </w:tcBorders>
            <w:vAlign w:val="center"/>
          </w:tcPr>
          <w:p w14:paraId="21176C88">
            <w:pPr>
              <w:widowControl/>
              <w:jc w:val="left"/>
              <w:rPr>
                <w:rFonts w:eastAsia="等线"/>
                <w:color w:val="auto"/>
                <w:kern w:val="0"/>
                <w:sz w:val="18"/>
                <w:szCs w:val="18"/>
                <w:highlight w:val="none"/>
              </w:rPr>
            </w:pPr>
          </w:p>
        </w:tc>
        <w:tc>
          <w:tcPr>
            <w:tcW w:w="796" w:type="dxa"/>
            <w:vMerge w:val="continue"/>
            <w:tcBorders>
              <w:tl2br w:val="nil"/>
              <w:tr2bl w:val="nil"/>
            </w:tcBorders>
            <w:vAlign w:val="center"/>
          </w:tcPr>
          <w:p w14:paraId="0D25FD91">
            <w:pPr>
              <w:widowControl/>
              <w:jc w:val="left"/>
              <w:rPr>
                <w:rFonts w:ascii="宋体" w:hAnsi="宋体" w:cs="宋体"/>
                <w:color w:val="auto"/>
                <w:kern w:val="0"/>
                <w:sz w:val="18"/>
                <w:szCs w:val="18"/>
                <w:highlight w:val="none"/>
              </w:rPr>
            </w:pPr>
          </w:p>
        </w:tc>
        <w:tc>
          <w:tcPr>
            <w:tcW w:w="797" w:type="dxa"/>
            <w:vMerge w:val="continue"/>
            <w:tcBorders>
              <w:tl2br w:val="nil"/>
              <w:tr2bl w:val="nil"/>
            </w:tcBorders>
            <w:vAlign w:val="center"/>
          </w:tcPr>
          <w:p w14:paraId="7CA9C8AE">
            <w:pPr>
              <w:widowControl/>
              <w:jc w:val="left"/>
              <w:rPr>
                <w:rFonts w:ascii="宋体" w:hAnsi="宋体" w:cs="宋体"/>
                <w:color w:val="auto"/>
                <w:kern w:val="0"/>
                <w:sz w:val="18"/>
                <w:szCs w:val="18"/>
                <w:highlight w:val="none"/>
              </w:rPr>
            </w:pPr>
          </w:p>
        </w:tc>
        <w:tc>
          <w:tcPr>
            <w:tcW w:w="797" w:type="dxa"/>
            <w:vMerge w:val="continue"/>
            <w:tcBorders>
              <w:tl2br w:val="nil"/>
              <w:tr2bl w:val="nil"/>
            </w:tcBorders>
            <w:vAlign w:val="center"/>
          </w:tcPr>
          <w:p w14:paraId="76FDB3FE">
            <w:pPr>
              <w:widowControl/>
              <w:jc w:val="left"/>
              <w:rPr>
                <w:rFonts w:ascii="宋体" w:hAnsi="宋体" w:cs="宋体"/>
                <w:color w:val="auto"/>
                <w:kern w:val="0"/>
                <w:sz w:val="18"/>
                <w:szCs w:val="18"/>
                <w:highlight w:val="none"/>
              </w:rPr>
            </w:pPr>
          </w:p>
        </w:tc>
        <w:tc>
          <w:tcPr>
            <w:tcW w:w="953" w:type="dxa"/>
            <w:tcBorders>
              <w:tl2br w:val="nil"/>
              <w:tr2bl w:val="nil"/>
            </w:tcBorders>
            <w:vAlign w:val="center"/>
          </w:tcPr>
          <w:p w14:paraId="599F724D">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蘸料（自制）</w:t>
            </w:r>
          </w:p>
        </w:tc>
        <w:tc>
          <w:tcPr>
            <w:tcW w:w="1896" w:type="dxa"/>
            <w:tcBorders>
              <w:tl2br w:val="nil"/>
              <w:tr2bl w:val="nil"/>
            </w:tcBorders>
            <w:vAlign w:val="center"/>
          </w:tcPr>
          <w:p w14:paraId="4DE82EEE">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罂粟碱、吗啡、可待因、那可丁</w:t>
            </w:r>
          </w:p>
        </w:tc>
        <w:tc>
          <w:tcPr>
            <w:tcW w:w="2956" w:type="dxa"/>
            <w:tcBorders>
              <w:tl2br w:val="nil"/>
              <w:tr2bl w:val="nil"/>
            </w:tcBorders>
            <w:vAlign w:val="center"/>
          </w:tcPr>
          <w:p w14:paraId="00B88507">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w:t>
            </w:r>
          </w:p>
        </w:tc>
      </w:tr>
      <w:tr w14:paraId="2A6488E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10" w:hRule="atLeast"/>
        </w:trPr>
        <w:tc>
          <w:tcPr>
            <w:tcW w:w="953" w:type="dxa"/>
            <w:vMerge w:val="continue"/>
            <w:tcBorders>
              <w:tl2br w:val="nil"/>
              <w:tr2bl w:val="nil"/>
            </w:tcBorders>
            <w:vAlign w:val="center"/>
          </w:tcPr>
          <w:p w14:paraId="714CD5FF">
            <w:pPr>
              <w:widowControl/>
              <w:jc w:val="left"/>
              <w:rPr>
                <w:rFonts w:eastAsia="等线"/>
                <w:color w:val="auto"/>
                <w:kern w:val="0"/>
                <w:sz w:val="18"/>
                <w:szCs w:val="18"/>
                <w:highlight w:val="none"/>
              </w:rPr>
            </w:pPr>
          </w:p>
        </w:tc>
        <w:tc>
          <w:tcPr>
            <w:tcW w:w="796" w:type="dxa"/>
            <w:vMerge w:val="continue"/>
            <w:tcBorders>
              <w:tl2br w:val="nil"/>
              <w:tr2bl w:val="nil"/>
            </w:tcBorders>
            <w:vAlign w:val="center"/>
          </w:tcPr>
          <w:p w14:paraId="238DAA00">
            <w:pPr>
              <w:widowControl/>
              <w:jc w:val="left"/>
              <w:rPr>
                <w:rFonts w:ascii="宋体" w:hAnsi="宋体" w:cs="宋体"/>
                <w:color w:val="auto"/>
                <w:kern w:val="0"/>
                <w:sz w:val="18"/>
                <w:szCs w:val="18"/>
                <w:highlight w:val="none"/>
              </w:rPr>
            </w:pPr>
          </w:p>
        </w:tc>
        <w:tc>
          <w:tcPr>
            <w:tcW w:w="797" w:type="dxa"/>
            <w:vMerge w:val="continue"/>
            <w:tcBorders>
              <w:tl2br w:val="nil"/>
              <w:tr2bl w:val="nil"/>
            </w:tcBorders>
            <w:vAlign w:val="center"/>
          </w:tcPr>
          <w:p w14:paraId="3C516034">
            <w:pPr>
              <w:widowControl/>
              <w:jc w:val="left"/>
              <w:rPr>
                <w:rFonts w:ascii="宋体" w:hAnsi="宋体" w:cs="宋体"/>
                <w:color w:val="auto"/>
                <w:kern w:val="0"/>
                <w:sz w:val="18"/>
                <w:szCs w:val="18"/>
                <w:highlight w:val="none"/>
              </w:rPr>
            </w:pPr>
          </w:p>
        </w:tc>
        <w:tc>
          <w:tcPr>
            <w:tcW w:w="797" w:type="dxa"/>
            <w:vMerge w:val="continue"/>
            <w:tcBorders>
              <w:tl2br w:val="nil"/>
              <w:tr2bl w:val="nil"/>
            </w:tcBorders>
            <w:vAlign w:val="center"/>
          </w:tcPr>
          <w:p w14:paraId="36526D8D">
            <w:pPr>
              <w:widowControl/>
              <w:jc w:val="left"/>
              <w:rPr>
                <w:rFonts w:ascii="宋体" w:hAnsi="宋体" w:cs="宋体"/>
                <w:color w:val="auto"/>
                <w:kern w:val="0"/>
                <w:sz w:val="18"/>
                <w:szCs w:val="18"/>
                <w:highlight w:val="none"/>
              </w:rPr>
            </w:pPr>
          </w:p>
        </w:tc>
        <w:tc>
          <w:tcPr>
            <w:tcW w:w="953" w:type="dxa"/>
            <w:tcBorders>
              <w:tl2br w:val="nil"/>
              <w:tr2bl w:val="nil"/>
            </w:tcBorders>
            <w:vAlign w:val="center"/>
          </w:tcPr>
          <w:p w14:paraId="3944696A">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其他调味料（自制）</w:t>
            </w:r>
          </w:p>
        </w:tc>
        <w:tc>
          <w:tcPr>
            <w:tcW w:w="1896" w:type="dxa"/>
            <w:tcBorders>
              <w:tl2br w:val="nil"/>
              <w:tr2bl w:val="nil"/>
            </w:tcBorders>
            <w:vAlign w:val="center"/>
          </w:tcPr>
          <w:p w14:paraId="70116634">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那可丁、可待因、罂粟碱、吗啡</w:t>
            </w:r>
          </w:p>
        </w:tc>
        <w:tc>
          <w:tcPr>
            <w:tcW w:w="2956" w:type="dxa"/>
            <w:tcBorders>
              <w:tl2br w:val="nil"/>
              <w:tr2bl w:val="nil"/>
            </w:tcBorders>
            <w:vAlign w:val="center"/>
          </w:tcPr>
          <w:p w14:paraId="5330FD5E">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w:t>
            </w:r>
          </w:p>
        </w:tc>
      </w:tr>
      <w:tr w14:paraId="6D1EE5A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24" w:hRule="atLeast"/>
        </w:trPr>
        <w:tc>
          <w:tcPr>
            <w:tcW w:w="953" w:type="dxa"/>
            <w:vMerge w:val="continue"/>
            <w:tcBorders>
              <w:tl2br w:val="nil"/>
              <w:tr2bl w:val="nil"/>
            </w:tcBorders>
            <w:vAlign w:val="center"/>
          </w:tcPr>
          <w:p w14:paraId="535737CB">
            <w:pPr>
              <w:widowControl/>
              <w:jc w:val="left"/>
              <w:rPr>
                <w:rFonts w:eastAsia="等线"/>
                <w:color w:val="auto"/>
                <w:kern w:val="0"/>
                <w:sz w:val="18"/>
                <w:szCs w:val="18"/>
                <w:highlight w:val="none"/>
              </w:rPr>
            </w:pPr>
          </w:p>
        </w:tc>
        <w:tc>
          <w:tcPr>
            <w:tcW w:w="796" w:type="dxa"/>
            <w:vMerge w:val="continue"/>
            <w:tcBorders>
              <w:tl2br w:val="nil"/>
              <w:tr2bl w:val="nil"/>
            </w:tcBorders>
            <w:vAlign w:val="center"/>
          </w:tcPr>
          <w:p w14:paraId="02104388">
            <w:pPr>
              <w:widowControl/>
              <w:jc w:val="left"/>
              <w:rPr>
                <w:rFonts w:ascii="宋体" w:hAnsi="宋体" w:cs="宋体"/>
                <w:color w:val="auto"/>
                <w:kern w:val="0"/>
                <w:sz w:val="18"/>
                <w:szCs w:val="18"/>
                <w:highlight w:val="none"/>
              </w:rPr>
            </w:pPr>
          </w:p>
        </w:tc>
        <w:tc>
          <w:tcPr>
            <w:tcW w:w="797" w:type="dxa"/>
            <w:tcBorders>
              <w:tl2br w:val="nil"/>
              <w:tr2bl w:val="nil"/>
            </w:tcBorders>
            <w:vAlign w:val="center"/>
          </w:tcPr>
          <w:p w14:paraId="463EF864">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水产制品（自制）</w:t>
            </w:r>
          </w:p>
        </w:tc>
        <w:tc>
          <w:tcPr>
            <w:tcW w:w="797" w:type="dxa"/>
            <w:tcBorders>
              <w:tl2br w:val="nil"/>
              <w:tr2bl w:val="nil"/>
            </w:tcBorders>
            <w:vAlign w:val="center"/>
          </w:tcPr>
          <w:p w14:paraId="136895C5">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预制水产制品（自制）</w:t>
            </w:r>
          </w:p>
        </w:tc>
        <w:tc>
          <w:tcPr>
            <w:tcW w:w="953" w:type="dxa"/>
            <w:tcBorders>
              <w:tl2br w:val="nil"/>
              <w:tr2bl w:val="nil"/>
            </w:tcBorders>
            <w:vAlign w:val="center"/>
          </w:tcPr>
          <w:p w14:paraId="55628216">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生食动物性水产品（自制）</w:t>
            </w:r>
          </w:p>
        </w:tc>
        <w:tc>
          <w:tcPr>
            <w:tcW w:w="1896" w:type="dxa"/>
            <w:tcBorders>
              <w:tl2br w:val="nil"/>
              <w:tr2bl w:val="nil"/>
            </w:tcBorders>
            <w:vAlign w:val="center"/>
          </w:tcPr>
          <w:p w14:paraId="1DE3A7EA">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铝的残留量（以即食海蜇中</w:t>
            </w:r>
            <w:r>
              <w:rPr>
                <w:color w:val="auto"/>
                <w:kern w:val="0"/>
                <w:sz w:val="18"/>
                <w:szCs w:val="18"/>
                <w:highlight w:val="none"/>
              </w:rPr>
              <w:t>Al</w:t>
            </w:r>
            <w:r>
              <w:rPr>
                <w:rFonts w:hint="eastAsia" w:ascii="宋体" w:hAnsi="宋体" w:cs="宋体"/>
                <w:color w:val="auto"/>
                <w:kern w:val="0"/>
                <w:sz w:val="18"/>
                <w:szCs w:val="18"/>
                <w:highlight w:val="none"/>
              </w:rPr>
              <w:t>计）</w:t>
            </w:r>
          </w:p>
        </w:tc>
        <w:tc>
          <w:tcPr>
            <w:tcW w:w="2956" w:type="dxa"/>
            <w:tcBorders>
              <w:tl2br w:val="nil"/>
              <w:tr2bl w:val="nil"/>
            </w:tcBorders>
            <w:vAlign w:val="center"/>
          </w:tcPr>
          <w:p w14:paraId="64C02CB3">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w:t>
            </w:r>
          </w:p>
        </w:tc>
      </w:tr>
      <w:tr w14:paraId="1BFFEE0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44" w:hRule="atLeast"/>
        </w:trPr>
        <w:tc>
          <w:tcPr>
            <w:tcW w:w="953" w:type="dxa"/>
            <w:vMerge w:val="continue"/>
            <w:tcBorders>
              <w:tl2br w:val="nil"/>
              <w:tr2bl w:val="nil"/>
            </w:tcBorders>
            <w:vAlign w:val="center"/>
          </w:tcPr>
          <w:p w14:paraId="3F9FBBEE">
            <w:pPr>
              <w:widowControl/>
              <w:jc w:val="left"/>
              <w:rPr>
                <w:rFonts w:eastAsia="等线"/>
                <w:color w:val="auto"/>
                <w:kern w:val="0"/>
                <w:sz w:val="18"/>
                <w:szCs w:val="18"/>
                <w:highlight w:val="none"/>
              </w:rPr>
            </w:pPr>
          </w:p>
        </w:tc>
        <w:tc>
          <w:tcPr>
            <w:tcW w:w="796" w:type="dxa"/>
            <w:vMerge w:val="continue"/>
            <w:tcBorders>
              <w:tl2br w:val="nil"/>
              <w:tr2bl w:val="nil"/>
            </w:tcBorders>
            <w:vAlign w:val="center"/>
          </w:tcPr>
          <w:p w14:paraId="6C262D05">
            <w:pPr>
              <w:widowControl/>
              <w:jc w:val="left"/>
              <w:rPr>
                <w:rFonts w:ascii="宋体" w:hAnsi="宋体" w:cs="宋体"/>
                <w:color w:val="auto"/>
                <w:kern w:val="0"/>
                <w:sz w:val="18"/>
                <w:szCs w:val="18"/>
                <w:highlight w:val="none"/>
              </w:rPr>
            </w:pPr>
          </w:p>
        </w:tc>
        <w:tc>
          <w:tcPr>
            <w:tcW w:w="797" w:type="dxa"/>
            <w:vMerge w:val="restart"/>
            <w:tcBorders>
              <w:tl2br w:val="nil"/>
              <w:tr2bl w:val="nil"/>
            </w:tcBorders>
            <w:vAlign w:val="center"/>
          </w:tcPr>
          <w:p w14:paraId="77183980">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饮料（自制）</w:t>
            </w:r>
          </w:p>
        </w:tc>
        <w:tc>
          <w:tcPr>
            <w:tcW w:w="797" w:type="dxa"/>
            <w:vMerge w:val="restart"/>
            <w:tcBorders>
              <w:tl2br w:val="nil"/>
              <w:tr2bl w:val="nil"/>
            </w:tcBorders>
            <w:vAlign w:val="center"/>
          </w:tcPr>
          <w:p w14:paraId="705508B6">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饮料（自制）</w:t>
            </w:r>
          </w:p>
        </w:tc>
        <w:tc>
          <w:tcPr>
            <w:tcW w:w="953" w:type="dxa"/>
            <w:tcBorders>
              <w:tl2br w:val="nil"/>
              <w:tr2bl w:val="nil"/>
            </w:tcBorders>
            <w:vAlign w:val="center"/>
          </w:tcPr>
          <w:p w14:paraId="4976E927">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奶茶（自制）</w:t>
            </w:r>
          </w:p>
        </w:tc>
        <w:tc>
          <w:tcPr>
            <w:tcW w:w="1896" w:type="dxa"/>
            <w:tcBorders>
              <w:tl2br w:val="nil"/>
              <w:tr2bl w:val="nil"/>
            </w:tcBorders>
            <w:vAlign w:val="center"/>
          </w:tcPr>
          <w:p w14:paraId="6C5D2027">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脱氢乙酸及其钠盐(以脱氢乙酸计)</w:t>
            </w:r>
          </w:p>
        </w:tc>
        <w:tc>
          <w:tcPr>
            <w:tcW w:w="2956" w:type="dxa"/>
            <w:tcBorders>
              <w:tl2br w:val="nil"/>
              <w:tr2bl w:val="nil"/>
            </w:tcBorders>
            <w:vAlign w:val="center"/>
          </w:tcPr>
          <w:p w14:paraId="78F2DCB6">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w:t>
            </w:r>
          </w:p>
        </w:tc>
      </w:tr>
      <w:tr w14:paraId="497BEEF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943" w:hRule="atLeast"/>
        </w:trPr>
        <w:tc>
          <w:tcPr>
            <w:tcW w:w="953" w:type="dxa"/>
            <w:vMerge w:val="continue"/>
            <w:tcBorders>
              <w:tl2br w:val="nil"/>
              <w:tr2bl w:val="nil"/>
            </w:tcBorders>
            <w:vAlign w:val="center"/>
          </w:tcPr>
          <w:p w14:paraId="61A7C8C3">
            <w:pPr>
              <w:widowControl/>
              <w:jc w:val="left"/>
              <w:rPr>
                <w:rFonts w:eastAsia="等线"/>
                <w:color w:val="auto"/>
                <w:kern w:val="0"/>
                <w:sz w:val="18"/>
                <w:szCs w:val="18"/>
                <w:highlight w:val="none"/>
              </w:rPr>
            </w:pPr>
          </w:p>
        </w:tc>
        <w:tc>
          <w:tcPr>
            <w:tcW w:w="796" w:type="dxa"/>
            <w:vMerge w:val="continue"/>
            <w:tcBorders>
              <w:tl2br w:val="nil"/>
              <w:tr2bl w:val="nil"/>
            </w:tcBorders>
            <w:vAlign w:val="center"/>
          </w:tcPr>
          <w:p w14:paraId="658DA12E">
            <w:pPr>
              <w:widowControl/>
              <w:jc w:val="left"/>
              <w:rPr>
                <w:rFonts w:ascii="宋体" w:hAnsi="宋体" w:cs="宋体"/>
                <w:color w:val="auto"/>
                <w:kern w:val="0"/>
                <w:sz w:val="18"/>
                <w:szCs w:val="18"/>
                <w:highlight w:val="none"/>
              </w:rPr>
            </w:pPr>
          </w:p>
        </w:tc>
        <w:tc>
          <w:tcPr>
            <w:tcW w:w="797" w:type="dxa"/>
            <w:vMerge w:val="continue"/>
            <w:tcBorders>
              <w:tl2br w:val="nil"/>
              <w:tr2bl w:val="nil"/>
            </w:tcBorders>
            <w:vAlign w:val="center"/>
          </w:tcPr>
          <w:p w14:paraId="662300ED">
            <w:pPr>
              <w:widowControl/>
              <w:jc w:val="left"/>
              <w:rPr>
                <w:rFonts w:ascii="宋体" w:hAnsi="宋体" w:cs="宋体"/>
                <w:color w:val="auto"/>
                <w:kern w:val="0"/>
                <w:sz w:val="18"/>
                <w:szCs w:val="18"/>
                <w:highlight w:val="none"/>
              </w:rPr>
            </w:pPr>
          </w:p>
        </w:tc>
        <w:tc>
          <w:tcPr>
            <w:tcW w:w="797" w:type="dxa"/>
            <w:vMerge w:val="continue"/>
            <w:tcBorders>
              <w:tl2br w:val="nil"/>
              <w:tr2bl w:val="nil"/>
            </w:tcBorders>
            <w:vAlign w:val="center"/>
          </w:tcPr>
          <w:p w14:paraId="67C49ECD">
            <w:pPr>
              <w:widowControl/>
              <w:jc w:val="left"/>
              <w:rPr>
                <w:rFonts w:ascii="宋体" w:hAnsi="宋体" w:cs="宋体"/>
                <w:color w:val="auto"/>
                <w:kern w:val="0"/>
                <w:sz w:val="18"/>
                <w:szCs w:val="18"/>
                <w:highlight w:val="none"/>
              </w:rPr>
            </w:pPr>
          </w:p>
        </w:tc>
        <w:tc>
          <w:tcPr>
            <w:tcW w:w="953" w:type="dxa"/>
            <w:tcBorders>
              <w:tl2br w:val="nil"/>
              <w:tr2bl w:val="nil"/>
            </w:tcBorders>
            <w:vAlign w:val="center"/>
          </w:tcPr>
          <w:p w14:paraId="4E1A6DD4">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果蔬汁类及其饮料（自制）</w:t>
            </w:r>
          </w:p>
        </w:tc>
        <w:tc>
          <w:tcPr>
            <w:tcW w:w="1896" w:type="dxa"/>
            <w:tcBorders>
              <w:tl2br w:val="nil"/>
              <w:tr2bl w:val="nil"/>
            </w:tcBorders>
            <w:vAlign w:val="center"/>
          </w:tcPr>
          <w:p w14:paraId="5A9AF361">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甜蜜素(以环己基氨基磺酸计)、安赛蜜、脱氢乙酸及其钠盐(以脱氢乙酸计)</w:t>
            </w:r>
          </w:p>
        </w:tc>
        <w:tc>
          <w:tcPr>
            <w:tcW w:w="2956" w:type="dxa"/>
            <w:tcBorders>
              <w:tl2br w:val="nil"/>
              <w:tr2bl w:val="nil"/>
            </w:tcBorders>
            <w:vAlign w:val="center"/>
          </w:tcPr>
          <w:p w14:paraId="522AC927">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日落黄、胭脂红、苋菜红、柠檬黄、糖精钠(以糖精计)、山梨酸及其钾盐(以山梨酸计)、苯甲酸及其钠盐(以苯甲酸计)、铅(以Pb计)、新红、诱惑红</w:t>
            </w:r>
          </w:p>
        </w:tc>
      </w:tr>
      <w:tr w14:paraId="21D4AE6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348" w:hRule="atLeast"/>
        </w:trPr>
        <w:tc>
          <w:tcPr>
            <w:tcW w:w="953" w:type="dxa"/>
            <w:vMerge w:val="continue"/>
            <w:tcBorders>
              <w:tl2br w:val="nil"/>
              <w:tr2bl w:val="nil"/>
            </w:tcBorders>
            <w:vAlign w:val="center"/>
          </w:tcPr>
          <w:p w14:paraId="357E65DF">
            <w:pPr>
              <w:widowControl/>
              <w:jc w:val="left"/>
              <w:rPr>
                <w:rFonts w:eastAsia="等线"/>
                <w:color w:val="auto"/>
                <w:kern w:val="0"/>
                <w:sz w:val="18"/>
                <w:szCs w:val="18"/>
                <w:highlight w:val="none"/>
              </w:rPr>
            </w:pPr>
          </w:p>
        </w:tc>
        <w:tc>
          <w:tcPr>
            <w:tcW w:w="796" w:type="dxa"/>
            <w:vMerge w:val="continue"/>
            <w:tcBorders>
              <w:tl2br w:val="nil"/>
              <w:tr2bl w:val="nil"/>
            </w:tcBorders>
            <w:vAlign w:val="center"/>
          </w:tcPr>
          <w:p w14:paraId="67440854">
            <w:pPr>
              <w:widowControl/>
              <w:jc w:val="left"/>
              <w:rPr>
                <w:rFonts w:ascii="宋体" w:hAnsi="宋体" w:cs="宋体"/>
                <w:color w:val="auto"/>
                <w:kern w:val="0"/>
                <w:sz w:val="18"/>
                <w:szCs w:val="18"/>
                <w:highlight w:val="none"/>
              </w:rPr>
            </w:pPr>
          </w:p>
        </w:tc>
        <w:tc>
          <w:tcPr>
            <w:tcW w:w="797" w:type="dxa"/>
            <w:tcBorders>
              <w:tl2br w:val="nil"/>
              <w:tr2bl w:val="nil"/>
            </w:tcBorders>
            <w:vAlign w:val="center"/>
          </w:tcPr>
          <w:p w14:paraId="7F943D72">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坚果及籽类食品（自制）</w:t>
            </w:r>
          </w:p>
        </w:tc>
        <w:tc>
          <w:tcPr>
            <w:tcW w:w="797" w:type="dxa"/>
            <w:tcBorders>
              <w:tl2br w:val="nil"/>
              <w:tr2bl w:val="nil"/>
            </w:tcBorders>
            <w:vAlign w:val="center"/>
          </w:tcPr>
          <w:p w14:paraId="16D260C7">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坚果及籽类食品（自制）</w:t>
            </w:r>
          </w:p>
        </w:tc>
        <w:tc>
          <w:tcPr>
            <w:tcW w:w="953" w:type="dxa"/>
            <w:tcBorders>
              <w:tl2br w:val="nil"/>
              <w:tr2bl w:val="nil"/>
            </w:tcBorders>
            <w:vAlign w:val="center"/>
          </w:tcPr>
          <w:p w14:paraId="7D3E7F7B">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花生制品（自制）</w:t>
            </w:r>
          </w:p>
        </w:tc>
        <w:tc>
          <w:tcPr>
            <w:tcW w:w="1896" w:type="dxa"/>
            <w:tcBorders>
              <w:tl2br w:val="nil"/>
              <w:tr2bl w:val="nil"/>
            </w:tcBorders>
            <w:vAlign w:val="center"/>
          </w:tcPr>
          <w:p w14:paraId="50A44238">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黄曲霉毒素</w:t>
            </w:r>
            <w:r>
              <w:rPr>
                <w:color w:val="auto"/>
                <w:kern w:val="0"/>
                <w:sz w:val="18"/>
                <w:szCs w:val="18"/>
                <w:highlight w:val="none"/>
              </w:rPr>
              <w:t>B</w:t>
            </w:r>
            <w:r>
              <w:rPr>
                <w:color w:val="auto"/>
                <w:kern w:val="0"/>
                <w:sz w:val="18"/>
                <w:szCs w:val="18"/>
                <w:highlight w:val="none"/>
                <w:vertAlign w:val="subscript"/>
              </w:rPr>
              <w:t>1</w:t>
            </w:r>
          </w:p>
        </w:tc>
        <w:tc>
          <w:tcPr>
            <w:tcW w:w="2956" w:type="dxa"/>
            <w:tcBorders>
              <w:tl2br w:val="nil"/>
              <w:tr2bl w:val="nil"/>
            </w:tcBorders>
            <w:vAlign w:val="center"/>
          </w:tcPr>
          <w:p w14:paraId="148723DB">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苯甲酸及其钠盐（以苯甲酸计）、山梨酸及其钾盐（以山梨酸计）、脱氢乙酸及其钠盐（以脱氢乙酸计）</w:t>
            </w:r>
          </w:p>
        </w:tc>
      </w:tr>
      <w:tr w14:paraId="6CC068B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78" w:hRule="atLeast"/>
        </w:trPr>
        <w:tc>
          <w:tcPr>
            <w:tcW w:w="953" w:type="dxa"/>
            <w:vMerge w:val="continue"/>
            <w:tcBorders>
              <w:tl2br w:val="nil"/>
              <w:tr2bl w:val="nil"/>
            </w:tcBorders>
            <w:vAlign w:val="center"/>
          </w:tcPr>
          <w:p w14:paraId="5028F6FB">
            <w:pPr>
              <w:widowControl/>
              <w:jc w:val="left"/>
              <w:rPr>
                <w:rFonts w:eastAsia="等线"/>
                <w:color w:val="auto"/>
                <w:kern w:val="0"/>
                <w:sz w:val="18"/>
                <w:szCs w:val="18"/>
                <w:highlight w:val="none"/>
              </w:rPr>
            </w:pPr>
          </w:p>
        </w:tc>
        <w:tc>
          <w:tcPr>
            <w:tcW w:w="796" w:type="dxa"/>
            <w:vMerge w:val="continue"/>
            <w:tcBorders>
              <w:tl2br w:val="nil"/>
              <w:tr2bl w:val="nil"/>
            </w:tcBorders>
            <w:vAlign w:val="center"/>
          </w:tcPr>
          <w:p w14:paraId="4A32FB98">
            <w:pPr>
              <w:widowControl/>
              <w:jc w:val="left"/>
              <w:rPr>
                <w:rFonts w:ascii="宋体" w:hAnsi="宋体" w:cs="宋体"/>
                <w:color w:val="auto"/>
                <w:kern w:val="0"/>
                <w:sz w:val="18"/>
                <w:szCs w:val="18"/>
                <w:highlight w:val="none"/>
              </w:rPr>
            </w:pPr>
          </w:p>
        </w:tc>
        <w:tc>
          <w:tcPr>
            <w:tcW w:w="797" w:type="dxa"/>
            <w:tcBorders>
              <w:tl2br w:val="nil"/>
              <w:tr2bl w:val="nil"/>
            </w:tcBorders>
            <w:vAlign w:val="center"/>
          </w:tcPr>
          <w:p w14:paraId="3B9EEC8D">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餐饮具</w:t>
            </w:r>
          </w:p>
        </w:tc>
        <w:tc>
          <w:tcPr>
            <w:tcW w:w="797" w:type="dxa"/>
            <w:tcBorders>
              <w:tl2br w:val="nil"/>
              <w:tr2bl w:val="nil"/>
            </w:tcBorders>
            <w:vAlign w:val="center"/>
          </w:tcPr>
          <w:p w14:paraId="7D331B9B">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复用餐饮具</w:t>
            </w:r>
          </w:p>
        </w:tc>
        <w:tc>
          <w:tcPr>
            <w:tcW w:w="953" w:type="dxa"/>
            <w:tcBorders>
              <w:tl2br w:val="nil"/>
              <w:tr2bl w:val="nil"/>
            </w:tcBorders>
            <w:vAlign w:val="center"/>
          </w:tcPr>
          <w:p w14:paraId="61658510">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复用餐饮具（餐馆自行消毒）</w:t>
            </w:r>
          </w:p>
        </w:tc>
        <w:tc>
          <w:tcPr>
            <w:tcW w:w="1896" w:type="dxa"/>
            <w:tcBorders>
              <w:tl2br w:val="nil"/>
              <w:tr2bl w:val="nil"/>
            </w:tcBorders>
            <w:vAlign w:val="center"/>
          </w:tcPr>
          <w:p w14:paraId="07731A0C">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阴离子合成洗涤剂（以十二烷基苯磺酸钠计）、大肠菌群</w:t>
            </w:r>
          </w:p>
        </w:tc>
        <w:tc>
          <w:tcPr>
            <w:tcW w:w="2956" w:type="dxa"/>
            <w:tcBorders>
              <w:tl2br w:val="nil"/>
              <w:tr2bl w:val="nil"/>
            </w:tcBorders>
            <w:vAlign w:val="center"/>
          </w:tcPr>
          <w:p w14:paraId="3C759716">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w:t>
            </w:r>
          </w:p>
        </w:tc>
      </w:tr>
      <w:tr w14:paraId="3C6ED6E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953" w:hRule="atLeast"/>
        </w:trPr>
        <w:tc>
          <w:tcPr>
            <w:tcW w:w="953" w:type="dxa"/>
            <w:vMerge w:val="continue"/>
            <w:tcBorders>
              <w:tl2br w:val="nil"/>
              <w:tr2bl w:val="nil"/>
            </w:tcBorders>
            <w:vAlign w:val="center"/>
          </w:tcPr>
          <w:p w14:paraId="329CF4B2">
            <w:pPr>
              <w:widowControl/>
              <w:jc w:val="left"/>
              <w:rPr>
                <w:rFonts w:eastAsia="等线"/>
                <w:color w:val="auto"/>
                <w:kern w:val="0"/>
                <w:sz w:val="18"/>
                <w:szCs w:val="18"/>
                <w:highlight w:val="none"/>
              </w:rPr>
            </w:pPr>
          </w:p>
        </w:tc>
        <w:tc>
          <w:tcPr>
            <w:tcW w:w="796" w:type="dxa"/>
            <w:vMerge w:val="continue"/>
            <w:tcBorders>
              <w:tl2br w:val="nil"/>
              <w:tr2bl w:val="nil"/>
            </w:tcBorders>
            <w:vAlign w:val="center"/>
          </w:tcPr>
          <w:p w14:paraId="7EBCFBAC">
            <w:pPr>
              <w:widowControl/>
              <w:jc w:val="left"/>
              <w:rPr>
                <w:rFonts w:ascii="宋体" w:hAnsi="宋体" w:cs="宋体"/>
                <w:color w:val="auto"/>
                <w:kern w:val="0"/>
                <w:sz w:val="18"/>
                <w:szCs w:val="18"/>
                <w:highlight w:val="none"/>
              </w:rPr>
            </w:pPr>
          </w:p>
        </w:tc>
        <w:tc>
          <w:tcPr>
            <w:tcW w:w="797" w:type="dxa"/>
            <w:vMerge w:val="restart"/>
            <w:tcBorders>
              <w:tl2br w:val="nil"/>
              <w:tr2bl w:val="nil"/>
            </w:tcBorders>
            <w:vAlign w:val="center"/>
          </w:tcPr>
          <w:p w14:paraId="254DDEE2">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焙烤食品（自制）</w:t>
            </w:r>
          </w:p>
        </w:tc>
        <w:tc>
          <w:tcPr>
            <w:tcW w:w="797" w:type="dxa"/>
            <w:vMerge w:val="restart"/>
            <w:tcBorders>
              <w:tl2br w:val="nil"/>
              <w:tr2bl w:val="nil"/>
            </w:tcBorders>
            <w:vAlign w:val="center"/>
          </w:tcPr>
          <w:p w14:paraId="287F9CCE">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焙烤食品</w:t>
            </w:r>
          </w:p>
        </w:tc>
        <w:tc>
          <w:tcPr>
            <w:tcW w:w="953" w:type="dxa"/>
            <w:tcBorders>
              <w:tl2br w:val="nil"/>
              <w:tr2bl w:val="nil"/>
            </w:tcBorders>
            <w:vAlign w:val="center"/>
          </w:tcPr>
          <w:p w14:paraId="63E1EDB9">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糕点（自制）</w:t>
            </w:r>
          </w:p>
        </w:tc>
        <w:tc>
          <w:tcPr>
            <w:tcW w:w="1896" w:type="dxa"/>
            <w:tcBorders>
              <w:tl2br w:val="nil"/>
              <w:tr2bl w:val="nil"/>
            </w:tcBorders>
            <w:vAlign w:val="center"/>
          </w:tcPr>
          <w:p w14:paraId="10E83896">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山梨酸及其钾盐（以山梨酸计）、脱氢乙酸及其钠盐（以脱氢乙酸计）</w:t>
            </w:r>
          </w:p>
        </w:tc>
        <w:tc>
          <w:tcPr>
            <w:tcW w:w="2956" w:type="dxa"/>
            <w:tcBorders>
              <w:tl2br w:val="nil"/>
              <w:tr2bl w:val="nil"/>
            </w:tcBorders>
            <w:vAlign w:val="center"/>
          </w:tcPr>
          <w:p w14:paraId="2737D770">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酸价（以脂肪计）（</w:t>
            </w:r>
            <w:r>
              <w:rPr>
                <w:color w:val="auto"/>
                <w:kern w:val="0"/>
                <w:sz w:val="18"/>
                <w:szCs w:val="18"/>
                <w:highlight w:val="none"/>
              </w:rPr>
              <w:t>KOH</w:t>
            </w:r>
            <w:r>
              <w:rPr>
                <w:rFonts w:hint="eastAsia" w:ascii="宋体" w:hAnsi="宋体" w:cs="宋体"/>
                <w:color w:val="auto"/>
                <w:kern w:val="0"/>
                <w:sz w:val="18"/>
                <w:szCs w:val="18"/>
                <w:highlight w:val="none"/>
              </w:rPr>
              <w:t>）、过氧化值（以脂肪计）、防腐剂混合使用时各自用量占其最大使用量的比例之和、铝的残留量（干样品，以Al计）、合成着色剂（柠檬黄、日落黄、苋菜红、胭脂红、亮蓝）</w:t>
            </w:r>
          </w:p>
        </w:tc>
      </w:tr>
      <w:tr w14:paraId="4055087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750" w:hRule="atLeast"/>
        </w:trPr>
        <w:tc>
          <w:tcPr>
            <w:tcW w:w="953" w:type="dxa"/>
            <w:vMerge w:val="continue"/>
            <w:tcBorders>
              <w:tl2br w:val="nil"/>
              <w:tr2bl w:val="nil"/>
            </w:tcBorders>
            <w:vAlign w:val="center"/>
          </w:tcPr>
          <w:p w14:paraId="1EC3A38B">
            <w:pPr>
              <w:widowControl/>
              <w:jc w:val="left"/>
              <w:rPr>
                <w:rFonts w:eastAsia="等线"/>
                <w:color w:val="auto"/>
                <w:kern w:val="0"/>
                <w:sz w:val="18"/>
                <w:szCs w:val="18"/>
                <w:highlight w:val="none"/>
              </w:rPr>
            </w:pPr>
          </w:p>
        </w:tc>
        <w:tc>
          <w:tcPr>
            <w:tcW w:w="796" w:type="dxa"/>
            <w:vMerge w:val="continue"/>
            <w:tcBorders>
              <w:tl2br w:val="nil"/>
              <w:tr2bl w:val="nil"/>
            </w:tcBorders>
            <w:vAlign w:val="center"/>
          </w:tcPr>
          <w:p w14:paraId="389F8077">
            <w:pPr>
              <w:widowControl/>
              <w:jc w:val="left"/>
              <w:rPr>
                <w:rFonts w:ascii="宋体" w:hAnsi="宋体" w:cs="宋体"/>
                <w:color w:val="auto"/>
                <w:kern w:val="0"/>
                <w:sz w:val="18"/>
                <w:szCs w:val="18"/>
                <w:highlight w:val="none"/>
              </w:rPr>
            </w:pPr>
          </w:p>
        </w:tc>
        <w:tc>
          <w:tcPr>
            <w:tcW w:w="797" w:type="dxa"/>
            <w:vMerge w:val="continue"/>
            <w:tcBorders>
              <w:tl2br w:val="nil"/>
              <w:tr2bl w:val="nil"/>
            </w:tcBorders>
            <w:vAlign w:val="center"/>
          </w:tcPr>
          <w:p w14:paraId="3F50BED2">
            <w:pPr>
              <w:widowControl/>
              <w:jc w:val="left"/>
              <w:rPr>
                <w:rFonts w:ascii="宋体" w:hAnsi="宋体" w:cs="宋体"/>
                <w:color w:val="auto"/>
                <w:kern w:val="0"/>
                <w:sz w:val="18"/>
                <w:szCs w:val="18"/>
                <w:highlight w:val="none"/>
              </w:rPr>
            </w:pPr>
          </w:p>
        </w:tc>
        <w:tc>
          <w:tcPr>
            <w:tcW w:w="797" w:type="dxa"/>
            <w:vMerge w:val="continue"/>
            <w:tcBorders>
              <w:tl2br w:val="nil"/>
              <w:tr2bl w:val="nil"/>
            </w:tcBorders>
            <w:vAlign w:val="center"/>
          </w:tcPr>
          <w:p w14:paraId="4D8184FD">
            <w:pPr>
              <w:widowControl/>
              <w:jc w:val="left"/>
              <w:rPr>
                <w:rFonts w:ascii="宋体" w:hAnsi="宋体" w:cs="宋体"/>
                <w:color w:val="auto"/>
                <w:kern w:val="0"/>
                <w:sz w:val="18"/>
                <w:szCs w:val="18"/>
                <w:highlight w:val="none"/>
              </w:rPr>
            </w:pPr>
          </w:p>
        </w:tc>
        <w:tc>
          <w:tcPr>
            <w:tcW w:w="953" w:type="dxa"/>
            <w:tcBorders>
              <w:tl2br w:val="nil"/>
              <w:tr2bl w:val="nil"/>
            </w:tcBorders>
            <w:vAlign w:val="center"/>
          </w:tcPr>
          <w:p w14:paraId="026B059D">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面包（自制）</w:t>
            </w:r>
          </w:p>
        </w:tc>
        <w:tc>
          <w:tcPr>
            <w:tcW w:w="1896" w:type="dxa"/>
            <w:tcBorders>
              <w:tl2br w:val="nil"/>
              <w:tr2bl w:val="nil"/>
            </w:tcBorders>
            <w:vAlign w:val="center"/>
          </w:tcPr>
          <w:p w14:paraId="54656478">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山梨酸及其钾盐(以山梨酸计)、甜蜜素、安赛蜜</w:t>
            </w:r>
          </w:p>
        </w:tc>
        <w:tc>
          <w:tcPr>
            <w:tcW w:w="2956" w:type="dxa"/>
            <w:tcBorders>
              <w:tl2br w:val="nil"/>
              <w:tr2bl w:val="nil"/>
            </w:tcBorders>
            <w:vAlign w:val="center"/>
          </w:tcPr>
          <w:p w14:paraId="320D48A2">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铅(以Pb计)、铝的残留量（干样品，以Al计）、丙酸及其钠盐、钙盐（以丙酸计）、脱氢乙酸及其钠盐（以脱氢乙酸计）、三氯蔗糖</w:t>
            </w:r>
          </w:p>
        </w:tc>
      </w:tr>
      <w:tr w14:paraId="5C90B2B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348" w:hRule="atLeast"/>
        </w:trPr>
        <w:tc>
          <w:tcPr>
            <w:tcW w:w="953" w:type="dxa"/>
            <w:vMerge w:val="continue"/>
            <w:tcBorders>
              <w:tl2br w:val="nil"/>
              <w:tr2bl w:val="nil"/>
            </w:tcBorders>
            <w:vAlign w:val="center"/>
          </w:tcPr>
          <w:p w14:paraId="7E9A49C1">
            <w:pPr>
              <w:widowControl/>
              <w:jc w:val="left"/>
              <w:rPr>
                <w:rFonts w:eastAsia="等线"/>
                <w:color w:val="auto"/>
                <w:kern w:val="0"/>
                <w:sz w:val="18"/>
                <w:szCs w:val="18"/>
                <w:highlight w:val="none"/>
              </w:rPr>
            </w:pPr>
          </w:p>
        </w:tc>
        <w:tc>
          <w:tcPr>
            <w:tcW w:w="796" w:type="dxa"/>
            <w:vMerge w:val="continue"/>
            <w:tcBorders>
              <w:tl2br w:val="nil"/>
              <w:tr2bl w:val="nil"/>
            </w:tcBorders>
            <w:vAlign w:val="center"/>
          </w:tcPr>
          <w:p w14:paraId="7B61F38C">
            <w:pPr>
              <w:widowControl/>
              <w:jc w:val="left"/>
              <w:rPr>
                <w:rFonts w:ascii="宋体" w:hAnsi="宋体" w:cs="宋体"/>
                <w:color w:val="auto"/>
                <w:kern w:val="0"/>
                <w:sz w:val="18"/>
                <w:szCs w:val="18"/>
                <w:highlight w:val="none"/>
              </w:rPr>
            </w:pPr>
          </w:p>
        </w:tc>
        <w:tc>
          <w:tcPr>
            <w:tcW w:w="797" w:type="dxa"/>
            <w:tcBorders>
              <w:tl2br w:val="nil"/>
              <w:tr2bl w:val="nil"/>
            </w:tcBorders>
            <w:vAlign w:val="center"/>
          </w:tcPr>
          <w:p w14:paraId="24DCB790">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酒类（自制）</w:t>
            </w:r>
          </w:p>
        </w:tc>
        <w:tc>
          <w:tcPr>
            <w:tcW w:w="797" w:type="dxa"/>
            <w:tcBorders>
              <w:tl2br w:val="nil"/>
              <w:tr2bl w:val="nil"/>
            </w:tcBorders>
            <w:vAlign w:val="center"/>
          </w:tcPr>
          <w:p w14:paraId="48B81373">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酒类（自制）</w:t>
            </w:r>
          </w:p>
        </w:tc>
        <w:tc>
          <w:tcPr>
            <w:tcW w:w="953" w:type="dxa"/>
            <w:tcBorders>
              <w:tl2br w:val="nil"/>
              <w:tr2bl w:val="nil"/>
            </w:tcBorders>
            <w:vAlign w:val="center"/>
          </w:tcPr>
          <w:p w14:paraId="0E19017E">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配制酒（自制）</w:t>
            </w:r>
          </w:p>
        </w:tc>
        <w:tc>
          <w:tcPr>
            <w:tcW w:w="1896" w:type="dxa"/>
            <w:tcBorders>
              <w:tl2br w:val="nil"/>
              <w:tr2bl w:val="nil"/>
            </w:tcBorders>
            <w:vAlign w:val="center"/>
          </w:tcPr>
          <w:p w14:paraId="4429C9A7">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甲醇、氰化物(以HCN计)</w:t>
            </w:r>
          </w:p>
        </w:tc>
        <w:tc>
          <w:tcPr>
            <w:tcW w:w="2956" w:type="dxa"/>
            <w:tcBorders>
              <w:tl2br w:val="nil"/>
              <w:tr2bl w:val="nil"/>
            </w:tcBorders>
            <w:vAlign w:val="center"/>
          </w:tcPr>
          <w:p w14:paraId="1090E2F8">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甜蜜素(以环己基氨基磺酸计)、糖精钠(以糖精计)、安赛蜜、山梨酸及其钾盐(以山梨酸计)、三氯蔗糖</w:t>
            </w:r>
          </w:p>
        </w:tc>
      </w:tr>
      <w:tr w14:paraId="6A5CC91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24" w:hRule="atLeast"/>
        </w:trPr>
        <w:tc>
          <w:tcPr>
            <w:tcW w:w="953" w:type="dxa"/>
            <w:vMerge w:val="continue"/>
            <w:tcBorders>
              <w:tl2br w:val="nil"/>
              <w:tr2bl w:val="nil"/>
            </w:tcBorders>
            <w:vAlign w:val="center"/>
          </w:tcPr>
          <w:p w14:paraId="146915D3">
            <w:pPr>
              <w:widowControl/>
              <w:jc w:val="left"/>
              <w:rPr>
                <w:rFonts w:eastAsia="等线"/>
                <w:color w:val="auto"/>
                <w:kern w:val="0"/>
                <w:sz w:val="18"/>
                <w:szCs w:val="18"/>
                <w:highlight w:val="none"/>
              </w:rPr>
            </w:pPr>
          </w:p>
        </w:tc>
        <w:tc>
          <w:tcPr>
            <w:tcW w:w="796" w:type="dxa"/>
            <w:vMerge w:val="continue"/>
            <w:tcBorders>
              <w:tl2br w:val="nil"/>
              <w:tr2bl w:val="nil"/>
            </w:tcBorders>
            <w:vAlign w:val="center"/>
          </w:tcPr>
          <w:p w14:paraId="67028CC0">
            <w:pPr>
              <w:widowControl/>
              <w:jc w:val="left"/>
              <w:rPr>
                <w:rFonts w:ascii="宋体" w:hAnsi="宋体" w:cs="宋体"/>
                <w:color w:val="auto"/>
                <w:kern w:val="0"/>
                <w:sz w:val="18"/>
                <w:szCs w:val="18"/>
                <w:highlight w:val="none"/>
              </w:rPr>
            </w:pPr>
          </w:p>
        </w:tc>
        <w:tc>
          <w:tcPr>
            <w:tcW w:w="797" w:type="dxa"/>
            <w:tcBorders>
              <w:tl2br w:val="nil"/>
              <w:tr2bl w:val="nil"/>
            </w:tcBorders>
            <w:vAlign w:val="center"/>
          </w:tcPr>
          <w:p w14:paraId="236F4716">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淀粉制品（自制）</w:t>
            </w:r>
          </w:p>
        </w:tc>
        <w:tc>
          <w:tcPr>
            <w:tcW w:w="797" w:type="dxa"/>
            <w:tcBorders>
              <w:tl2br w:val="nil"/>
              <w:tr2bl w:val="nil"/>
            </w:tcBorders>
            <w:vAlign w:val="center"/>
          </w:tcPr>
          <w:p w14:paraId="3236F712">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粉丝粉条（自制）</w:t>
            </w:r>
          </w:p>
        </w:tc>
        <w:tc>
          <w:tcPr>
            <w:tcW w:w="953" w:type="dxa"/>
            <w:tcBorders>
              <w:tl2br w:val="nil"/>
              <w:tr2bl w:val="nil"/>
            </w:tcBorders>
            <w:vAlign w:val="center"/>
          </w:tcPr>
          <w:p w14:paraId="5FC26F0C">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粉丝粉条（自制）</w:t>
            </w:r>
          </w:p>
        </w:tc>
        <w:tc>
          <w:tcPr>
            <w:tcW w:w="1896" w:type="dxa"/>
            <w:tcBorders>
              <w:tl2br w:val="nil"/>
              <w:tr2bl w:val="nil"/>
            </w:tcBorders>
            <w:vAlign w:val="center"/>
          </w:tcPr>
          <w:p w14:paraId="2ED1A0C8">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铝的残留量（干样品，以</w:t>
            </w:r>
            <w:r>
              <w:rPr>
                <w:color w:val="auto"/>
                <w:kern w:val="0"/>
                <w:sz w:val="18"/>
                <w:szCs w:val="18"/>
                <w:highlight w:val="none"/>
              </w:rPr>
              <w:t>Al</w:t>
            </w:r>
            <w:r>
              <w:rPr>
                <w:rFonts w:hint="eastAsia" w:ascii="宋体" w:hAnsi="宋体" w:cs="宋体"/>
                <w:color w:val="auto"/>
                <w:kern w:val="0"/>
                <w:sz w:val="18"/>
                <w:szCs w:val="18"/>
                <w:highlight w:val="none"/>
              </w:rPr>
              <w:t>计）</w:t>
            </w:r>
          </w:p>
        </w:tc>
        <w:tc>
          <w:tcPr>
            <w:tcW w:w="2956" w:type="dxa"/>
            <w:tcBorders>
              <w:tl2br w:val="nil"/>
              <w:tr2bl w:val="nil"/>
            </w:tcBorders>
            <w:vAlign w:val="center"/>
          </w:tcPr>
          <w:p w14:paraId="3F53AAE0">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　</w:t>
            </w:r>
          </w:p>
        </w:tc>
      </w:tr>
      <w:tr w14:paraId="70B8CB3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10" w:hRule="atLeast"/>
        </w:trPr>
        <w:tc>
          <w:tcPr>
            <w:tcW w:w="953" w:type="dxa"/>
            <w:vMerge w:val="continue"/>
            <w:tcBorders>
              <w:tl2br w:val="nil"/>
              <w:tr2bl w:val="nil"/>
            </w:tcBorders>
            <w:vAlign w:val="center"/>
          </w:tcPr>
          <w:p w14:paraId="7FE20B73">
            <w:pPr>
              <w:widowControl/>
              <w:jc w:val="left"/>
              <w:rPr>
                <w:rFonts w:eastAsia="等线"/>
                <w:color w:val="auto"/>
                <w:kern w:val="0"/>
                <w:sz w:val="18"/>
                <w:szCs w:val="18"/>
                <w:highlight w:val="none"/>
              </w:rPr>
            </w:pPr>
          </w:p>
        </w:tc>
        <w:tc>
          <w:tcPr>
            <w:tcW w:w="796" w:type="dxa"/>
            <w:vMerge w:val="continue"/>
            <w:tcBorders>
              <w:tl2br w:val="nil"/>
              <w:tr2bl w:val="nil"/>
            </w:tcBorders>
            <w:vAlign w:val="center"/>
          </w:tcPr>
          <w:p w14:paraId="3DDB1D6D">
            <w:pPr>
              <w:widowControl/>
              <w:jc w:val="left"/>
              <w:rPr>
                <w:rFonts w:ascii="宋体" w:hAnsi="宋体" w:cs="宋体"/>
                <w:color w:val="auto"/>
                <w:kern w:val="0"/>
                <w:sz w:val="18"/>
                <w:szCs w:val="18"/>
                <w:highlight w:val="none"/>
              </w:rPr>
            </w:pPr>
          </w:p>
        </w:tc>
        <w:tc>
          <w:tcPr>
            <w:tcW w:w="797" w:type="dxa"/>
            <w:vMerge w:val="restart"/>
            <w:tcBorders>
              <w:tl2br w:val="nil"/>
              <w:tr2bl w:val="nil"/>
            </w:tcBorders>
            <w:vAlign w:val="center"/>
          </w:tcPr>
          <w:p w14:paraId="2196CEB5">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其他餐饮食品</w:t>
            </w:r>
          </w:p>
        </w:tc>
        <w:tc>
          <w:tcPr>
            <w:tcW w:w="797" w:type="dxa"/>
            <w:tcBorders>
              <w:tl2br w:val="nil"/>
              <w:tr2bl w:val="nil"/>
            </w:tcBorders>
            <w:vAlign w:val="center"/>
          </w:tcPr>
          <w:p w14:paraId="7ABE3B36">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热菜类（自制）</w:t>
            </w:r>
          </w:p>
        </w:tc>
        <w:tc>
          <w:tcPr>
            <w:tcW w:w="953" w:type="dxa"/>
            <w:tcBorders>
              <w:tl2br w:val="nil"/>
              <w:tr2bl w:val="nil"/>
            </w:tcBorders>
            <w:vAlign w:val="center"/>
          </w:tcPr>
          <w:p w14:paraId="24DC8D60">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热菜类（自制）</w:t>
            </w:r>
          </w:p>
        </w:tc>
        <w:tc>
          <w:tcPr>
            <w:tcW w:w="1896" w:type="dxa"/>
            <w:tcBorders>
              <w:tl2br w:val="nil"/>
              <w:tr2bl w:val="nil"/>
            </w:tcBorders>
            <w:vAlign w:val="center"/>
          </w:tcPr>
          <w:p w14:paraId="4D5AB898">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罂粟碱、吗啡、可待因、那可丁</w:t>
            </w:r>
          </w:p>
        </w:tc>
        <w:tc>
          <w:tcPr>
            <w:tcW w:w="2956" w:type="dxa"/>
            <w:tcBorders>
              <w:tl2br w:val="nil"/>
              <w:tr2bl w:val="nil"/>
            </w:tcBorders>
            <w:vAlign w:val="center"/>
          </w:tcPr>
          <w:p w14:paraId="6E3A39D0">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　</w:t>
            </w:r>
          </w:p>
        </w:tc>
      </w:tr>
      <w:tr w14:paraId="00ABD0A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214" w:hRule="atLeast"/>
        </w:trPr>
        <w:tc>
          <w:tcPr>
            <w:tcW w:w="953" w:type="dxa"/>
            <w:vMerge w:val="continue"/>
            <w:tcBorders>
              <w:tl2br w:val="nil"/>
              <w:tr2bl w:val="nil"/>
            </w:tcBorders>
            <w:vAlign w:val="center"/>
          </w:tcPr>
          <w:p w14:paraId="71105A1D">
            <w:pPr>
              <w:widowControl/>
              <w:jc w:val="left"/>
              <w:rPr>
                <w:rFonts w:eastAsia="等线"/>
                <w:color w:val="auto"/>
                <w:kern w:val="0"/>
                <w:sz w:val="18"/>
                <w:szCs w:val="18"/>
                <w:highlight w:val="none"/>
              </w:rPr>
            </w:pPr>
          </w:p>
        </w:tc>
        <w:tc>
          <w:tcPr>
            <w:tcW w:w="796" w:type="dxa"/>
            <w:vMerge w:val="continue"/>
            <w:tcBorders>
              <w:tl2br w:val="nil"/>
              <w:tr2bl w:val="nil"/>
            </w:tcBorders>
            <w:vAlign w:val="center"/>
          </w:tcPr>
          <w:p w14:paraId="1CB9B3E8">
            <w:pPr>
              <w:widowControl/>
              <w:jc w:val="left"/>
              <w:rPr>
                <w:rFonts w:ascii="宋体" w:hAnsi="宋体" w:cs="宋体"/>
                <w:color w:val="auto"/>
                <w:kern w:val="0"/>
                <w:sz w:val="18"/>
                <w:szCs w:val="18"/>
                <w:highlight w:val="none"/>
              </w:rPr>
            </w:pPr>
          </w:p>
        </w:tc>
        <w:tc>
          <w:tcPr>
            <w:tcW w:w="797" w:type="dxa"/>
            <w:vMerge w:val="continue"/>
            <w:tcBorders>
              <w:tl2br w:val="nil"/>
              <w:tr2bl w:val="nil"/>
            </w:tcBorders>
            <w:vAlign w:val="center"/>
          </w:tcPr>
          <w:p w14:paraId="3002E2B0">
            <w:pPr>
              <w:widowControl/>
              <w:jc w:val="left"/>
              <w:rPr>
                <w:rFonts w:ascii="宋体" w:hAnsi="宋体" w:cs="宋体"/>
                <w:color w:val="auto"/>
                <w:kern w:val="0"/>
                <w:sz w:val="18"/>
                <w:szCs w:val="18"/>
                <w:highlight w:val="none"/>
              </w:rPr>
            </w:pPr>
          </w:p>
        </w:tc>
        <w:tc>
          <w:tcPr>
            <w:tcW w:w="797" w:type="dxa"/>
            <w:tcBorders>
              <w:tl2br w:val="nil"/>
              <w:tr2bl w:val="nil"/>
            </w:tcBorders>
            <w:vAlign w:val="center"/>
          </w:tcPr>
          <w:p w14:paraId="054C61A5">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水果制品（自制）</w:t>
            </w:r>
          </w:p>
        </w:tc>
        <w:tc>
          <w:tcPr>
            <w:tcW w:w="953" w:type="dxa"/>
            <w:tcBorders>
              <w:tl2br w:val="nil"/>
              <w:tr2bl w:val="nil"/>
            </w:tcBorders>
            <w:vAlign w:val="center"/>
          </w:tcPr>
          <w:p w14:paraId="5B897C44">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即食鲜切水果</w:t>
            </w:r>
          </w:p>
        </w:tc>
        <w:tc>
          <w:tcPr>
            <w:tcW w:w="1896" w:type="dxa"/>
            <w:tcBorders>
              <w:tl2br w:val="nil"/>
              <w:tr2bl w:val="nil"/>
            </w:tcBorders>
            <w:vAlign w:val="center"/>
          </w:tcPr>
          <w:p w14:paraId="3B2739F1">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脱氢乙酸及其钠盐（以脱氢乙酸计）、甜蜜素(以环己基氨基磺酸计)</w:t>
            </w:r>
          </w:p>
        </w:tc>
        <w:tc>
          <w:tcPr>
            <w:tcW w:w="2956" w:type="dxa"/>
            <w:tcBorders>
              <w:tl2br w:val="nil"/>
              <w:tr2bl w:val="nil"/>
            </w:tcBorders>
            <w:vAlign w:val="center"/>
          </w:tcPr>
          <w:p w14:paraId="0D0003D6">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苯甲酸及其钠盐（以苯甲酸计）、山梨酸及其钾盐（以山梨酸计）、糖精钠（以糖精计）、三氯蔗糖</w:t>
            </w:r>
          </w:p>
        </w:tc>
      </w:tr>
      <w:tr w14:paraId="6D37C57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842" w:hRule="atLeast"/>
        </w:trPr>
        <w:tc>
          <w:tcPr>
            <w:tcW w:w="953" w:type="dxa"/>
            <w:vMerge w:val="restart"/>
            <w:tcBorders>
              <w:tl2br w:val="nil"/>
              <w:tr2bl w:val="nil"/>
            </w:tcBorders>
            <w:vAlign w:val="center"/>
          </w:tcPr>
          <w:p w14:paraId="3E84C669">
            <w:pPr>
              <w:widowControl/>
              <w:jc w:val="center"/>
              <w:textAlignment w:val="center"/>
              <w:rPr>
                <w:rFonts w:hint="default" w:eastAsia="等线"/>
                <w:color w:val="auto"/>
                <w:kern w:val="0"/>
                <w:sz w:val="18"/>
                <w:szCs w:val="18"/>
                <w:highlight w:val="none"/>
                <w:lang w:val="en-US" w:eastAsia="zh-CN"/>
              </w:rPr>
            </w:pPr>
            <w:r>
              <w:rPr>
                <w:rFonts w:hint="eastAsia" w:eastAsia="等线"/>
                <w:color w:val="auto"/>
                <w:kern w:val="0"/>
                <w:sz w:val="18"/>
                <w:szCs w:val="18"/>
                <w:highlight w:val="none"/>
                <w:lang w:val="en-US" w:eastAsia="zh-CN" w:bidi="ar"/>
              </w:rPr>
              <w:t>33</w:t>
            </w:r>
          </w:p>
        </w:tc>
        <w:tc>
          <w:tcPr>
            <w:tcW w:w="796" w:type="dxa"/>
            <w:vMerge w:val="restart"/>
            <w:tcBorders>
              <w:tl2br w:val="nil"/>
              <w:tr2bl w:val="nil"/>
            </w:tcBorders>
            <w:vAlign w:val="center"/>
          </w:tcPr>
          <w:p w14:paraId="636C6964">
            <w:pPr>
              <w:widowControl/>
              <w:jc w:val="center"/>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畜禽肉及副产品</w:t>
            </w:r>
          </w:p>
        </w:tc>
        <w:tc>
          <w:tcPr>
            <w:tcW w:w="797" w:type="dxa"/>
            <w:vMerge w:val="restart"/>
            <w:tcBorders>
              <w:tl2br w:val="nil"/>
              <w:tr2bl w:val="nil"/>
            </w:tcBorders>
            <w:vAlign w:val="center"/>
          </w:tcPr>
          <w:p w14:paraId="45144BD5">
            <w:pPr>
              <w:widowControl/>
              <w:jc w:val="center"/>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畜禽肉及副产品</w:t>
            </w:r>
          </w:p>
        </w:tc>
        <w:tc>
          <w:tcPr>
            <w:tcW w:w="797" w:type="dxa"/>
            <w:vMerge w:val="restart"/>
            <w:tcBorders>
              <w:tl2br w:val="nil"/>
              <w:tr2bl w:val="nil"/>
            </w:tcBorders>
            <w:vAlign w:val="center"/>
          </w:tcPr>
          <w:p w14:paraId="271F63A3">
            <w:pPr>
              <w:widowControl/>
              <w:jc w:val="center"/>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畜肉</w:t>
            </w:r>
          </w:p>
        </w:tc>
        <w:tc>
          <w:tcPr>
            <w:tcW w:w="953" w:type="dxa"/>
            <w:tcBorders>
              <w:tl2br w:val="nil"/>
              <w:tr2bl w:val="nil"/>
            </w:tcBorders>
            <w:vAlign w:val="center"/>
          </w:tcPr>
          <w:p w14:paraId="306F3439">
            <w:pPr>
              <w:widowControl/>
              <w:jc w:val="center"/>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猪肉</w:t>
            </w:r>
          </w:p>
        </w:tc>
        <w:tc>
          <w:tcPr>
            <w:tcW w:w="1896" w:type="dxa"/>
            <w:tcBorders>
              <w:tl2br w:val="nil"/>
              <w:tr2bl w:val="nil"/>
            </w:tcBorders>
            <w:vAlign w:val="center"/>
          </w:tcPr>
          <w:p w14:paraId="636078B1">
            <w:pPr>
              <w:widowControl/>
              <w:jc w:val="left"/>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甲氧苄啶、恩诺沙星、磺胺类（总量）</w:t>
            </w:r>
          </w:p>
        </w:tc>
        <w:tc>
          <w:tcPr>
            <w:tcW w:w="2956" w:type="dxa"/>
            <w:tcBorders>
              <w:tl2br w:val="nil"/>
              <w:tr2bl w:val="nil"/>
            </w:tcBorders>
            <w:vAlign w:val="center"/>
          </w:tcPr>
          <w:p w14:paraId="4DDDC33A">
            <w:pPr>
              <w:widowControl/>
              <w:jc w:val="left"/>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挥发性盐基氮、呋喃唑酮代谢物、呋喃西林代谢物、氯霉素、克伦特罗、莱克多巴胺、沙丁胺醇、喹乙醇、替米考星、氟苯尼考、多西环素、地塞米松、甲硝唑、氯丙嗪、土霉素/金霉素/四环素（组合含量）、林可霉素</w:t>
            </w:r>
          </w:p>
        </w:tc>
      </w:tr>
      <w:tr w14:paraId="5373310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34" w:hRule="atLeast"/>
        </w:trPr>
        <w:tc>
          <w:tcPr>
            <w:tcW w:w="953" w:type="dxa"/>
            <w:vMerge w:val="continue"/>
            <w:tcBorders>
              <w:tl2br w:val="nil"/>
              <w:tr2bl w:val="nil"/>
            </w:tcBorders>
            <w:vAlign w:val="center"/>
          </w:tcPr>
          <w:p w14:paraId="55040281">
            <w:pPr>
              <w:jc w:val="center"/>
              <w:rPr>
                <w:rFonts w:eastAsia="等线"/>
                <w:color w:val="auto"/>
                <w:kern w:val="0"/>
                <w:sz w:val="18"/>
                <w:szCs w:val="18"/>
                <w:highlight w:val="none"/>
              </w:rPr>
            </w:pPr>
          </w:p>
        </w:tc>
        <w:tc>
          <w:tcPr>
            <w:tcW w:w="796" w:type="dxa"/>
            <w:vMerge w:val="continue"/>
            <w:tcBorders>
              <w:tl2br w:val="nil"/>
              <w:tr2bl w:val="nil"/>
            </w:tcBorders>
            <w:vAlign w:val="center"/>
          </w:tcPr>
          <w:p w14:paraId="1AEB5FE8">
            <w:pPr>
              <w:jc w:val="center"/>
              <w:rPr>
                <w:rFonts w:ascii="宋体" w:hAnsi="宋体" w:cs="宋体"/>
                <w:color w:val="auto"/>
                <w:kern w:val="0"/>
                <w:sz w:val="18"/>
                <w:szCs w:val="18"/>
                <w:highlight w:val="none"/>
              </w:rPr>
            </w:pPr>
          </w:p>
        </w:tc>
        <w:tc>
          <w:tcPr>
            <w:tcW w:w="797" w:type="dxa"/>
            <w:vMerge w:val="continue"/>
            <w:tcBorders>
              <w:tl2br w:val="nil"/>
              <w:tr2bl w:val="nil"/>
            </w:tcBorders>
            <w:vAlign w:val="center"/>
          </w:tcPr>
          <w:p w14:paraId="5DE9B308">
            <w:pPr>
              <w:jc w:val="center"/>
              <w:rPr>
                <w:rFonts w:ascii="宋体" w:hAnsi="宋体" w:cs="宋体"/>
                <w:color w:val="auto"/>
                <w:kern w:val="0"/>
                <w:sz w:val="18"/>
                <w:szCs w:val="18"/>
                <w:highlight w:val="none"/>
              </w:rPr>
            </w:pPr>
          </w:p>
        </w:tc>
        <w:tc>
          <w:tcPr>
            <w:tcW w:w="797" w:type="dxa"/>
            <w:vMerge w:val="continue"/>
            <w:tcBorders>
              <w:tl2br w:val="nil"/>
              <w:tr2bl w:val="nil"/>
            </w:tcBorders>
            <w:vAlign w:val="center"/>
          </w:tcPr>
          <w:p w14:paraId="298D9ADA">
            <w:pPr>
              <w:jc w:val="center"/>
              <w:rPr>
                <w:rFonts w:ascii="宋体" w:hAnsi="宋体" w:cs="宋体"/>
                <w:color w:val="auto"/>
                <w:kern w:val="0"/>
                <w:sz w:val="18"/>
                <w:szCs w:val="18"/>
                <w:highlight w:val="none"/>
              </w:rPr>
            </w:pPr>
          </w:p>
        </w:tc>
        <w:tc>
          <w:tcPr>
            <w:tcW w:w="953" w:type="dxa"/>
            <w:tcBorders>
              <w:tl2br w:val="nil"/>
              <w:tr2bl w:val="nil"/>
            </w:tcBorders>
            <w:vAlign w:val="center"/>
          </w:tcPr>
          <w:p w14:paraId="3BA6B93D">
            <w:pPr>
              <w:widowControl/>
              <w:jc w:val="center"/>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牛肉</w:t>
            </w:r>
          </w:p>
        </w:tc>
        <w:tc>
          <w:tcPr>
            <w:tcW w:w="1896" w:type="dxa"/>
            <w:tcBorders>
              <w:tl2br w:val="nil"/>
              <w:tr2bl w:val="nil"/>
            </w:tcBorders>
            <w:vAlign w:val="center"/>
          </w:tcPr>
          <w:p w14:paraId="0F5A0048">
            <w:pPr>
              <w:widowControl/>
              <w:jc w:val="left"/>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林可霉素、土霉素/金霉素/四环素（组合含量）、地塞米松</w:t>
            </w:r>
          </w:p>
        </w:tc>
        <w:tc>
          <w:tcPr>
            <w:tcW w:w="2956" w:type="dxa"/>
            <w:tcBorders>
              <w:tl2br w:val="nil"/>
              <w:tr2bl w:val="nil"/>
            </w:tcBorders>
            <w:vAlign w:val="center"/>
          </w:tcPr>
          <w:p w14:paraId="4F5E1BFC">
            <w:pPr>
              <w:widowControl/>
              <w:jc w:val="left"/>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挥发性盐基氮、水分、呋喃唑酮代谢物、呋喃西林代谢物、氯霉素、克伦特罗、莱克多巴胺、沙丁胺醇、恩诺沙星、磺胺类（总量）、甲氧苄啶、氟苯尼考、多西环素、倍他米松</w:t>
            </w:r>
          </w:p>
        </w:tc>
      </w:tr>
      <w:tr w14:paraId="0E704AD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309" w:hRule="atLeast"/>
        </w:trPr>
        <w:tc>
          <w:tcPr>
            <w:tcW w:w="953" w:type="dxa"/>
            <w:vMerge w:val="continue"/>
            <w:tcBorders>
              <w:tl2br w:val="nil"/>
              <w:tr2bl w:val="nil"/>
            </w:tcBorders>
            <w:vAlign w:val="center"/>
          </w:tcPr>
          <w:p w14:paraId="0E2EBECF">
            <w:pPr>
              <w:jc w:val="center"/>
              <w:rPr>
                <w:rFonts w:eastAsia="等线"/>
                <w:color w:val="auto"/>
                <w:kern w:val="0"/>
                <w:sz w:val="18"/>
                <w:szCs w:val="18"/>
                <w:highlight w:val="none"/>
              </w:rPr>
            </w:pPr>
          </w:p>
        </w:tc>
        <w:tc>
          <w:tcPr>
            <w:tcW w:w="796" w:type="dxa"/>
            <w:vMerge w:val="continue"/>
            <w:tcBorders>
              <w:tl2br w:val="nil"/>
              <w:tr2bl w:val="nil"/>
            </w:tcBorders>
            <w:vAlign w:val="center"/>
          </w:tcPr>
          <w:p w14:paraId="4A45AE46">
            <w:pPr>
              <w:jc w:val="center"/>
              <w:rPr>
                <w:rFonts w:ascii="宋体" w:hAnsi="宋体" w:cs="宋体"/>
                <w:color w:val="auto"/>
                <w:kern w:val="0"/>
                <w:sz w:val="18"/>
                <w:szCs w:val="18"/>
                <w:highlight w:val="none"/>
              </w:rPr>
            </w:pPr>
          </w:p>
        </w:tc>
        <w:tc>
          <w:tcPr>
            <w:tcW w:w="797" w:type="dxa"/>
            <w:vMerge w:val="continue"/>
            <w:tcBorders>
              <w:tl2br w:val="nil"/>
              <w:tr2bl w:val="nil"/>
            </w:tcBorders>
            <w:vAlign w:val="center"/>
          </w:tcPr>
          <w:p w14:paraId="68AB0FD6">
            <w:pPr>
              <w:jc w:val="center"/>
              <w:rPr>
                <w:rFonts w:ascii="宋体" w:hAnsi="宋体" w:cs="宋体"/>
                <w:color w:val="auto"/>
                <w:kern w:val="0"/>
                <w:sz w:val="18"/>
                <w:szCs w:val="18"/>
                <w:highlight w:val="none"/>
              </w:rPr>
            </w:pPr>
          </w:p>
        </w:tc>
        <w:tc>
          <w:tcPr>
            <w:tcW w:w="797" w:type="dxa"/>
            <w:vMerge w:val="continue"/>
            <w:tcBorders>
              <w:tl2br w:val="nil"/>
              <w:tr2bl w:val="nil"/>
            </w:tcBorders>
            <w:vAlign w:val="center"/>
          </w:tcPr>
          <w:p w14:paraId="729A3839">
            <w:pPr>
              <w:jc w:val="center"/>
              <w:rPr>
                <w:rFonts w:ascii="宋体" w:hAnsi="宋体" w:cs="宋体"/>
                <w:color w:val="auto"/>
                <w:kern w:val="0"/>
                <w:sz w:val="18"/>
                <w:szCs w:val="18"/>
                <w:highlight w:val="none"/>
              </w:rPr>
            </w:pPr>
          </w:p>
        </w:tc>
        <w:tc>
          <w:tcPr>
            <w:tcW w:w="953" w:type="dxa"/>
            <w:tcBorders>
              <w:tl2br w:val="nil"/>
              <w:tr2bl w:val="nil"/>
            </w:tcBorders>
            <w:vAlign w:val="center"/>
          </w:tcPr>
          <w:p w14:paraId="5D2DEED1">
            <w:pPr>
              <w:widowControl/>
              <w:jc w:val="center"/>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羊肉</w:t>
            </w:r>
          </w:p>
        </w:tc>
        <w:tc>
          <w:tcPr>
            <w:tcW w:w="1896" w:type="dxa"/>
            <w:tcBorders>
              <w:tl2br w:val="nil"/>
              <w:tr2bl w:val="nil"/>
            </w:tcBorders>
            <w:vAlign w:val="center"/>
          </w:tcPr>
          <w:p w14:paraId="32481EDF">
            <w:pPr>
              <w:widowControl/>
              <w:jc w:val="left"/>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磺胺类（总量）</w:t>
            </w:r>
          </w:p>
        </w:tc>
        <w:tc>
          <w:tcPr>
            <w:tcW w:w="2956" w:type="dxa"/>
            <w:tcBorders>
              <w:tl2br w:val="nil"/>
              <w:tr2bl w:val="nil"/>
            </w:tcBorders>
            <w:vAlign w:val="center"/>
          </w:tcPr>
          <w:p w14:paraId="3FFA9F46">
            <w:pPr>
              <w:widowControl/>
              <w:jc w:val="left"/>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呋喃唑酮代谢物、呋喃西林代谢物、氯霉素、克伦特罗、莱克多巴胺、沙丁胺醇、恩诺沙星、氟苯尼考、林可霉素、环丙氨嗪、土霉素</w:t>
            </w:r>
            <w:r>
              <w:rPr>
                <w:color w:val="auto"/>
                <w:kern w:val="0"/>
                <w:sz w:val="18"/>
                <w:szCs w:val="18"/>
                <w:highlight w:val="none"/>
                <w:lang w:bidi="ar"/>
              </w:rPr>
              <w:t>/</w:t>
            </w:r>
            <w:r>
              <w:rPr>
                <w:rFonts w:hint="eastAsia" w:ascii="宋体" w:hAnsi="宋体" w:cs="宋体"/>
                <w:color w:val="auto"/>
                <w:kern w:val="0"/>
                <w:sz w:val="18"/>
                <w:szCs w:val="18"/>
                <w:highlight w:val="none"/>
                <w:lang w:bidi="ar"/>
              </w:rPr>
              <w:t>金霉素</w:t>
            </w:r>
            <w:r>
              <w:rPr>
                <w:color w:val="auto"/>
                <w:kern w:val="0"/>
                <w:sz w:val="18"/>
                <w:szCs w:val="18"/>
                <w:highlight w:val="none"/>
                <w:lang w:bidi="ar"/>
              </w:rPr>
              <w:t>/</w:t>
            </w:r>
            <w:r>
              <w:rPr>
                <w:rFonts w:hint="eastAsia" w:ascii="宋体" w:hAnsi="宋体" w:cs="宋体"/>
                <w:color w:val="auto"/>
                <w:kern w:val="0"/>
                <w:sz w:val="18"/>
                <w:szCs w:val="18"/>
                <w:highlight w:val="none"/>
                <w:lang w:bidi="ar"/>
              </w:rPr>
              <w:t>四环素（组合含量）</w:t>
            </w:r>
          </w:p>
        </w:tc>
      </w:tr>
      <w:tr w14:paraId="03A45A3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10" w:hRule="atLeast"/>
        </w:trPr>
        <w:tc>
          <w:tcPr>
            <w:tcW w:w="953" w:type="dxa"/>
            <w:vMerge w:val="continue"/>
            <w:tcBorders>
              <w:tl2br w:val="nil"/>
              <w:tr2bl w:val="nil"/>
            </w:tcBorders>
            <w:vAlign w:val="center"/>
          </w:tcPr>
          <w:p w14:paraId="54E76AF8">
            <w:pPr>
              <w:jc w:val="center"/>
              <w:rPr>
                <w:rFonts w:eastAsia="等线"/>
                <w:color w:val="auto"/>
                <w:kern w:val="0"/>
                <w:sz w:val="18"/>
                <w:szCs w:val="18"/>
                <w:highlight w:val="none"/>
              </w:rPr>
            </w:pPr>
          </w:p>
        </w:tc>
        <w:tc>
          <w:tcPr>
            <w:tcW w:w="796" w:type="dxa"/>
            <w:vMerge w:val="continue"/>
            <w:tcBorders>
              <w:tl2br w:val="nil"/>
              <w:tr2bl w:val="nil"/>
            </w:tcBorders>
            <w:vAlign w:val="center"/>
          </w:tcPr>
          <w:p w14:paraId="14C06AFC">
            <w:pPr>
              <w:jc w:val="center"/>
              <w:rPr>
                <w:rFonts w:ascii="宋体" w:hAnsi="宋体" w:cs="宋体"/>
                <w:color w:val="auto"/>
                <w:kern w:val="0"/>
                <w:sz w:val="18"/>
                <w:szCs w:val="18"/>
                <w:highlight w:val="none"/>
              </w:rPr>
            </w:pPr>
          </w:p>
        </w:tc>
        <w:tc>
          <w:tcPr>
            <w:tcW w:w="797" w:type="dxa"/>
            <w:vMerge w:val="continue"/>
            <w:tcBorders>
              <w:tl2br w:val="nil"/>
              <w:tr2bl w:val="nil"/>
            </w:tcBorders>
            <w:vAlign w:val="center"/>
          </w:tcPr>
          <w:p w14:paraId="2457D9D4">
            <w:pPr>
              <w:jc w:val="center"/>
              <w:rPr>
                <w:rFonts w:ascii="宋体" w:hAnsi="宋体" w:cs="宋体"/>
                <w:color w:val="auto"/>
                <w:kern w:val="0"/>
                <w:sz w:val="18"/>
                <w:szCs w:val="18"/>
                <w:highlight w:val="none"/>
              </w:rPr>
            </w:pPr>
          </w:p>
        </w:tc>
        <w:tc>
          <w:tcPr>
            <w:tcW w:w="797" w:type="dxa"/>
            <w:vMerge w:val="continue"/>
            <w:tcBorders>
              <w:tl2br w:val="nil"/>
              <w:tr2bl w:val="nil"/>
            </w:tcBorders>
            <w:vAlign w:val="center"/>
          </w:tcPr>
          <w:p w14:paraId="23E1972D">
            <w:pPr>
              <w:jc w:val="center"/>
              <w:rPr>
                <w:rFonts w:ascii="宋体" w:hAnsi="宋体" w:cs="宋体"/>
                <w:color w:val="auto"/>
                <w:kern w:val="0"/>
                <w:sz w:val="18"/>
                <w:szCs w:val="18"/>
                <w:highlight w:val="none"/>
              </w:rPr>
            </w:pPr>
          </w:p>
        </w:tc>
        <w:tc>
          <w:tcPr>
            <w:tcW w:w="953" w:type="dxa"/>
            <w:tcBorders>
              <w:tl2br w:val="nil"/>
              <w:tr2bl w:val="nil"/>
            </w:tcBorders>
            <w:vAlign w:val="center"/>
          </w:tcPr>
          <w:p w14:paraId="271A01C5">
            <w:pPr>
              <w:widowControl/>
              <w:jc w:val="center"/>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其他畜肉</w:t>
            </w:r>
          </w:p>
        </w:tc>
        <w:tc>
          <w:tcPr>
            <w:tcW w:w="1896" w:type="dxa"/>
            <w:tcBorders>
              <w:tl2br w:val="nil"/>
              <w:tr2bl w:val="nil"/>
            </w:tcBorders>
            <w:vAlign w:val="center"/>
          </w:tcPr>
          <w:p w14:paraId="2ECC0350">
            <w:pPr>
              <w:widowControl/>
              <w:jc w:val="left"/>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呋喃唑酮代谢物、氯霉素</w:t>
            </w:r>
          </w:p>
        </w:tc>
        <w:tc>
          <w:tcPr>
            <w:tcW w:w="2956" w:type="dxa"/>
            <w:tcBorders>
              <w:tl2br w:val="nil"/>
              <w:tr2bl w:val="nil"/>
            </w:tcBorders>
            <w:vAlign w:val="center"/>
          </w:tcPr>
          <w:p w14:paraId="28744056">
            <w:pPr>
              <w:widowControl/>
              <w:jc w:val="left"/>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克伦特罗、莱克多巴胺、沙丁胺醇</w:t>
            </w:r>
          </w:p>
        </w:tc>
      </w:tr>
      <w:tr w14:paraId="548B99E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576" w:hRule="atLeast"/>
        </w:trPr>
        <w:tc>
          <w:tcPr>
            <w:tcW w:w="953" w:type="dxa"/>
            <w:vMerge w:val="continue"/>
            <w:tcBorders>
              <w:tl2br w:val="nil"/>
              <w:tr2bl w:val="nil"/>
            </w:tcBorders>
            <w:vAlign w:val="center"/>
          </w:tcPr>
          <w:p w14:paraId="4C43DD65">
            <w:pPr>
              <w:jc w:val="center"/>
              <w:rPr>
                <w:rFonts w:eastAsia="等线"/>
                <w:color w:val="auto"/>
                <w:kern w:val="0"/>
                <w:sz w:val="18"/>
                <w:szCs w:val="18"/>
                <w:highlight w:val="none"/>
              </w:rPr>
            </w:pPr>
          </w:p>
        </w:tc>
        <w:tc>
          <w:tcPr>
            <w:tcW w:w="796" w:type="dxa"/>
            <w:vMerge w:val="continue"/>
            <w:tcBorders>
              <w:tl2br w:val="nil"/>
              <w:tr2bl w:val="nil"/>
            </w:tcBorders>
            <w:vAlign w:val="center"/>
          </w:tcPr>
          <w:p w14:paraId="79F7634E">
            <w:pPr>
              <w:jc w:val="center"/>
              <w:rPr>
                <w:rFonts w:ascii="宋体" w:hAnsi="宋体" w:cs="宋体"/>
                <w:color w:val="auto"/>
                <w:kern w:val="0"/>
                <w:sz w:val="18"/>
                <w:szCs w:val="18"/>
                <w:highlight w:val="none"/>
              </w:rPr>
            </w:pPr>
          </w:p>
        </w:tc>
        <w:tc>
          <w:tcPr>
            <w:tcW w:w="797" w:type="dxa"/>
            <w:vMerge w:val="continue"/>
            <w:tcBorders>
              <w:tl2br w:val="nil"/>
              <w:tr2bl w:val="nil"/>
            </w:tcBorders>
            <w:vAlign w:val="center"/>
          </w:tcPr>
          <w:p w14:paraId="70A8E931">
            <w:pPr>
              <w:jc w:val="center"/>
              <w:rPr>
                <w:rFonts w:ascii="宋体" w:hAnsi="宋体" w:cs="宋体"/>
                <w:color w:val="auto"/>
                <w:kern w:val="0"/>
                <w:sz w:val="18"/>
                <w:szCs w:val="18"/>
                <w:highlight w:val="none"/>
              </w:rPr>
            </w:pPr>
          </w:p>
        </w:tc>
        <w:tc>
          <w:tcPr>
            <w:tcW w:w="797" w:type="dxa"/>
            <w:vMerge w:val="restart"/>
            <w:tcBorders>
              <w:tl2br w:val="nil"/>
              <w:tr2bl w:val="nil"/>
            </w:tcBorders>
            <w:vAlign w:val="center"/>
          </w:tcPr>
          <w:p w14:paraId="4DCDAA39">
            <w:pPr>
              <w:widowControl/>
              <w:jc w:val="center"/>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禽肉</w:t>
            </w:r>
          </w:p>
        </w:tc>
        <w:tc>
          <w:tcPr>
            <w:tcW w:w="953" w:type="dxa"/>
            <w:tcBorders>
              <w:tl2br w:val="nil"/>
              <w:tr2bl w:val="nil"/>
            </w:tcBorders>
            <w:vAlign w:val="center"/>
          </w:tcPr>
          <w:p w14:paraId="45B6CEA5">
            <w:pPr>
              <w:widowControl/>
              <w:jc w:val="center"/>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鸡肉</w:t>
            </w:r>
          </w:p>
        </w:tc>
        <w:tc>
          <w:tcPr>
            <w:tcW w:w="1896" w:type="dxa"/>
            <w:tcBorders>
              <w:tl2br w:val="nil"/>
              <w:tr2bl w:val="nil"/>
            </w:tcBorders>
            <w:vAlign w:val="center"/>
          </w:tcPr>
          <w:p w14:paraId="69D3D957">
            <w:pPr>
              <w:widowControl/>
              <w:jc w:val="left"/>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呋喃西林代谢物、多西环素、恩诺沙星、甲氧苄啶、磺胺类（总量）</w:t>
            </w:r>
          </w:p>
        </w:tc>
        <w:tc>
          <w:tcPr>
            <w:tcW w:w="2956" w:type="dxa"/>
            <w:tcBorders>
              <w:tl2br w:val="nil"/>
              <w:tr2bl w:val="nil"/>
            </w:tcBorders>
            <w:vAlign w:val="center"/>
          </w:tcPr>
          <w:p w14:paraId="7C1688BF">
            <w:pPr>
              <w:widowControl/>
              <w:jc w:val="left"/>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挥发性盐基氮、呋喃唑酮代谢物、呋喃它酮代谢物、氯霉素、氧氟沙 星、培氟沙星、诺氟沙星、沙拉沙星、替米考星、氟苯尼考、甲硝唑 、尼卡巴嗪、环丙氨嗪、土霉素/金霉素/四环素（组合含量）</w:t>
            </w:r>
          </w:p>
        </w:tc>
      </w:tr>
      <w:tr w14:paraId="6E6D38A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858" w:hRule="atLeast"/>
        </w:trPr>
        <w:tc>
          <w:tcPr>
            <w:tcW w:w="953" w:type="dxa"/>
            <w:vMerge w:val="continue"/>
            <w:tcBorders>
              <w:tl2br w:val="nil"/>
              <w:tr2bl w:val="nil"/>
            </w:tcBorders>
            <w:vAlign w:val="center"/>
          </w:tcPr>
          <w:p w14:paraId="1DBC3DD0">
            <w:pPr>
              <w:jc w:val="center"/>
              <w:rPr>
                <w:rFonts w:eastAsia="等线"/>
                <w:color w:val="auto"/>
                <w:kern w:val="0"/>
                <w:sz w:val="18"/>
                <w:szCs w:val="18"/>
                <w:highlight w:val="none"/>
              </w:rPr>
            </w:pPr>
          </w:p>
        </w:tc>
        <w:tc>
          <w:tcPr>
            <w:tcW w:w="796" w:type="dxa"/>
            <w:vMerge w:val="continue"/>
            <w:tcBorders>
              <w:tl2br w:val="nil"/>
              <w:tr2bl w:val="nil"/>
            </w:tcBorders>
            <w:vAlign w:val="center"/>
          </w:tcPr>
          <w:p w14:paraId="0D62792D">
            <w:pPr>
              <w:jc w:val="center"/>
              <w:rPr>
                <w:rFonts w:ascii="宋体" w:hAnsi="宋体" w:cs="宋体"/>
                <w:color w:val="auto"/>
                <w:kern w:val="0"/>
                <w:sz w:val="18"/>
                <w:szCs w:val="18"/>
                <w:highlight w:val="none"/>
              </w:rPr>
            </w:pPr>
          </w:p>
        </w:tc>
        <w:tc>
          <w:tcPr>
            <w:tcW w:w="797" w:type="dxa"/>
            <w:vMerge w:val="continue"/>
            <w:tcBorders>
              <w:tl2br w:val="nil"/>
              <w:tr2bl w:val="nil"/>
            </w:tcBorders>
            <w:vAlign w:val="center"/>
          </w:tcPr>
          <w:p w14:paraId="2895242B">
            <w:pPr>
              <w:jc w:val="center"/>
              <w:rPr>
                <w:rFonts w:ascii="宋体" w:hAnsi="宋体" w:cs="宋体"/>
                <w:color w:val="auto"/>
                <w:kern w:val="0"/>
                <w:sz w:val="18"/>
                <w:szCs w:val="18"/>
                <w:highlight w:val="none"/>
              </w:rPr>
            </w:pPr>
          </w:p>
        </w:tc>
        <w:tc>
          <w:tcPr>
            <w:tcW w:w="797" w:type="dxa"/>
            <w:vMerge w:val="continue"/>
            <w:tcBorders>
              <w:tl2br w:val="nil"/>
              <w:tr2bl w:val="nil"/>
            </w:tcBorders>
            <w:vAlign w:val="center"/>
          </w:tcPr>
          <w:p w14:paraId="5448139F">
            <w:pPr>
              <w:jc w:val="center"/>
              <w:rPr>
                <w:rFonts w:ascii="宋体" w:hAnsi="宋体" w:cs="宋体"/>
                <w:color w:val="auto"/>
                <w:kern w:val="0"/>
                <w:sz w:val="18"/>
                <w:szCs w:val="18"/>
                <w:highlight w:val="none"/>
              </w:rPr>
            </w:pPr>
          </w:p>
        </w:tc>
        <w:tc>
          <w:tcPr>
            <w:tcW w:w="953" w:type="dxa"/>
            <w:tcBorders>
              <w:tl2br w:val="nil"/>
              <w:tr2bl w:val="nil"/>
            </w:tcBorders>
            <w:vAlign w:val="center"/>
          </w:tcPr>
          <w:p w14:paraId="2E355FBC">
            <w:pPr>
              <w:widowControl/>
              <w:jc w:val="center"/>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鸭肉</w:t>
            </w:r>
          </w:p>
        </w:tc>
        <w:tc>
          <w:tcPr>
            <w:tcW w:w="1896" w:type="dxa"/>
            <w:tcBorders>
              <w:tl2br w:val="nil"/>
              <w:tr2bl w:val="nil"/>
            </w:tcBorders>
            <w:vAlign w:val="center"/>
          </w:tcPr>
          <w:p w14:paraId="4C6CA0D8">
            <w:pPr>
              <w:widowControl/>
              <w:jc w:val="left"/>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呋喃唑酮代谢物</w:t>
            </w:r>
          </w:p>
        </w:tc>
        <w:tc>
          <w:tcPr>
            <w:tcW w:w="2956" w:type="dxa"/>
            <w:tcBorders>
              <w:tl2br w:val="nil"/>
              <w:tr2bl w:val="nil"/>
            </w:tcBorders>
            <w:vAlign w:val="center"/>
          </w:tcPr>
          <w:p w14:paraId="3F11C6B1">
            <w:pPr>
              <w:widowControl/>
              <w:jc w:val="left"/>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呋喃妥因代谢物、氯霉素、氧氟沙星、恩诺沙星、磺胺类（总量）、氟苯尼考、多西环素、甲硝唑、环丙氨嗪</w:t>
            </w:r>
          </w:p>
        </w:tc>
      </w:tr>
      <w:tr w14:paraId="7975FCA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864" w:hRule="atLeast"/>
        </w:trPr>
        <w:tc>
          <w:tcPr>
            <w:tcW w:w="953" w:type="dxa"/>
            <w:vMerge w:val="continue"/>
            <w:tcBorders>
              <w:tl2br w:val="nil"/>
              <w:tr2bl w:val="nil"/>
            </w:tcBorders>
            <w:vAlign w:val="center"/>
          </w:tcPr>
          <w:p w14:paraId="6EA3D4EF">
            <w:pPr>
              <w:widowControl/>
              <w:jc w:val="center"/>
              <w:textAlignment w:val="center"/>
              <w:rPr>
                <w:rFonts w:eastAsia="等线"/>
                <w:color w:val="auto"/>
                <w:kern w:val="0"/>
                <w:sz w:val="18"/>
                <w:szCs w:val="18"/>
                <w:highlight w:val="none"/>
              </w:rPr>
            </w:pPr>
          </w:p>
        </w:tc>
        <w:tc>
          <w:tcPr>
            <w:tcW w:w="796" w:type="dxa"/>
            <w:vMerge w:val="continue"/>
            <w:tcBorders>
              <w:tl2br w:val="nil"/>
              <w:tr2bl w:val="nil"/>
            </w:tcBorders>
            <w:vAlign w:val="center"/>
          </w:tcPr>
          <w:p w14:paraId="04243E4F">
            <w:pPr>
              <w:widowControl/>
              <w:jc w:val="center"/>
              <w:textAlignment w:val="center"/>
              <w:rPr>
                <w:rFonts w:ascii="宋体" w:hAnsi="宋体" w:cs="宋体"/>
                <w:color w:val="auto"/>
                <w:kern w:val="0"/>
                <w:sz w:val="18"/>
                <w:szCs w:val="18"/>
                <w:highlight w:val="none"/>
              </w:rPr>
            </w:pPr>
          </w:p>
        </w:tc>
        <w:tc>
          <w:tcPr>
            <w:tcW w:w="797" w:type="dxa"/>
            <w:vMerge w:val="continue"/>
            <w:tcBorders>
              <w:tl2br w:val="nil"/>
              <w:tr2bl w:val="nil"/>
            </w:tcBorders>
            <w:vAlign w:val="center"/>
          </w:tcPr>
          <w:p w14:paraId="54A031D7">
            <w:pPr>
              <w:widowControl/>
              <w:jc w:val="center"/>
              <w:textAlignment w:val="center"/>
              <w:rPr>
                <w:rFonts w:ascii="宋体" w:hAnsi="宋体" w:cs="宋体"/>
                <w:color w:val="auto"/>
                <w:kern w:val="0"/>
                <w:sz w:val="18"/>
                <w:szCs w:val="18"/>
                <w:highlight w:val="none"/>
              </w:rPr>
            </w:pPr>
          </w:p>
        </w:tc>
        <w:tc>
          <w:tcPr>
            <w:tcW w:w="797" w:type="dxa"/>
            <w:tcBorders>
              <w:tl2br w:val="nil"/>
              <w:tr2bl w:val="nil"/>
            </w:tcBorders>
            <w:vAlign w:val="center"/>
          </w:tcPr>
          <w:p w14:paraId="557B3910">
            <w:pPr>
              <w:widowControl/>
              <w:jc w:val="center"/>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禽肉</w:t>
            </w:r>
          </w:p>
        </w:tc>
        <w:tc>
          <w:tcPr>
            <w:tcW w:w="953" w:type="dxa"/>
            <w:tcBorders>
              <w:tl2br w:val="nil"/>
              <w:tr2bl w:val="nil"/>
            </w:tcBorders>
            <w:vAlign w:val="center"/>
          </w:tcPr>
          <w:p w14:paraId="1E98BEC5">
            <w:pPr>
              <w:widowControl/>
              <w:jc w:val="center"/>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其他禽肉</w:t>
            </w:r>
          </w:p>
        </w:tc>
        <w:tc>
          <w:tcPr>
            <w:tcW w:w="1896" w:type="dxa"/>
            <w:tcBorders>
              <w:tl2br w:val="nil"/>
              <w:tr2bl w:val="nil"/>
            </w:tcBorders>
            <w:vAlign w:val="center"/>
          </w:tcPr>
          <w:p w14:paraId="24DDA376">
            <w:pPr>
              <w:widowControl/>
              <w:jc w:val="left"/>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呋喃唑酮代谢物、氯霉素</w:t>
            </w:r>
          </w:p>
        </w:tc>
        <w:tc>
          <w:tcPr>
            <w:tcW w:w="2956" w:type="dxa"/>
            <w:tcBorders>
              <w:tl2br w:val="nil"/>
              <w:tr2bl w:val="nil"/>
            </w:tcBorders>
            <w:vAlign w:val="center"/>
          </w:tcPr>
          <w:p w14:paraId="16B2A895">
            <w:pPr>
              <w:widowControl/>
              <w:jc w:val="left"/>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氧氟沙星、诺氟沙星、恩诺沙星、磺胺类（总量）、氟苯尼考、多西环素、甲硝唑、环丙氨嗪、土霉素</w:t>
            </w:r>
            <w:r>
              <w:rPr>
                <w:color w:val="auto"/>
                <w:kern w:val="0"/>
                <w:sz w:val="18"/>
                <w:szCs w:val="18"/>
                <w:highlight w:val="none"/>
                <w:lang w:bidi="ar"/>
              </w:rPr>
              <w:t>/</w:t>
            </w:r>
            <w:r>
              <w:rPr>
                <w:rFonts w:hint="eastAsia" w:ascii="宋体" w:hAnsi="宋体" w:cs="宋体"/>
                <w:color w:val="auto"/>
                <w:kern w:val="0"/>
                <w:sz w:val="18"/>
                <w:szCs w:val="18"/>
                <w:highlight w:val="none"/>
                <w:lang w:bidi="ar"/>
              </w:rPr>
              <w:t>金霉素</w:t>
            </w:r>
            <w:r>
              <w:rPr>
                <w:color w:val="auto"/>
                <w:kern w:val="0"/>
                <w:sz w:val="18"/>
                <w:szCs w:val="18"/>
                <w:highlight w:val="none"/>
                <w:lang w:bidi="ar"/>
              </w:rPr>
              <w:t>/</w:t>
            </w:r>
            <w:r>
              <w:rPr>
                <w:rFonts w:hint="eastAsia" w:ascii="宋体" w:hAnsi="宋体" w:cs="宋体"/>
                <w:color w:val="auto"/>
                <w:kern w:val="0"/>
                <w:sz w:val="18"/>
                <w:szCs w:val="18"/>
                <w:highlight w:val="none"/>
                <w:lang w:bidi="ar"/>
              </w:rPr>
              <w:t>四环素（组合含量）</w:t>
            </w:r>
          </w:p>
        </w:tc>
      </w:tr>
      <w:tr w14:paraId="651F683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037" w:hRule="atLeast"/>
        </w:trPr>
        <w:tc>
          <w:tcPr>
            <w:tcW w:w="953" w:type="dxa"/>
            <w:vMerge w:val="continue"/>
            <w:tcBorders>
              <w:tl2br w:val="nil"/>
              <w:tr2bl w:val="nil"/>
            </w:tcBorders>
            <w:vAlign w:val="center"/>
          </w:tcPr>
          <w:p w14:paraId="64F718CB">
            <w:pPr>
              <w:jc w:val="center"/>
              <w:rPr>
                <w:rFonts w:eastAsia="等线"/>
                <w:color w:val="auto"/>
                <w:kern w:val="0"/>
                <w:sz w:val="18"/>
                <w:szCs w:val="18"/>
                <w:highlight w:val="none"/>
              </w:rPr>
            </w:pPr>
          </w:p>
        </w:tc>
        <w:tc>
          <w:tcPr>
            <w:tcW w:w="796" w:type="dxa"/>
            <w:vMerge w:val="continue"/>
            <w:tcBorders>
              <w:tl2br w:val="nil"/>
              <w:tr2bl w:val="nil"/>
            </w:tcBorders>
            <w:vAlign w:val="center"/>
          </w:tcPr>
          <w:p w14:paraId="4CF752E8">
            <w:pPr>
              <w:jc w:val="center"/>
              <w:rPr>
                <w:rFonts w:ascii="宋体" w:hAnsi="宋体" w:cs="宋体"/>
                <w:color w:val="auto"/>
                <w:kern w:val="0"/>
                <w:sz w:val="18"/>
                <w:szCs w:val="18"/>
                <w:highlight w:val="none"/>
              </w:rPr>
            </w:pPr>
          </w:p>
        </w:tc>
        <w:tc>
          <w:tcPr>
            <w:tcW w:w="797" w:type="dxa"/>
            <w:vMerge w:val="continue"/>
            <w:tcBorders>
              <w:tl2br w:val="nil"/>
              <w:tr2bl w:val="nil"/>
            </w:tcBorders>
            <w:vAlign w:val="center"/>
          </w:tcPr>
          <w:p w14:paraId="26D90E8B">
            <w:pPr>
              <w:jc w:val="center"/>
              <w:rPr>
                <w:rFonts w:ascii="宋体" w:hAnsi="宋体" w:cs="宋体"/>
                <w:color w:val="auto"/>
                <w:kern w:val="0"/>
                <w:sz w:val="18"/>
                <w:szCs w:val="18"/>
                <w:highlight w:val="none"/>
              </w:rPr>
            </w:pPr>
          </w:p>
        </w:tc>
        <w:tc>
          <w:tcPr>
            <w:tcW w:w="797" w:type="dxa"/>
            <w:vMerge w:val="restart"/>
            <w:tcBorders>
              <w:tl2br w:val="nil"/>
              <w:tr2bl w:val="nil"/>
            </w:tcBorders>
            <w:vAlign w:val="center"/>
          </w:tcPr>
          <w:p w14:paraId="7277A548">
            <w:pPr>
              <w:widowControl/>
              <w:jc w:val="center"/>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畜副产品</w:t>
            </w:r>
          </w:p>
        </w:tc>
        <w:tc>
          <w:tcPr>
            <w:tcW w:w="953" w:type="dxa"/>
            <w:tcBorders>
              <w:tl2br w:val="nil"/>
              <w:tr2bl w:val="nil"/>
            </w:tcBorders>
            <w:vAlign w:val="center"/>
          </w:tcPr>
          <w:p w14:paraId="6239D936">
            <w:pPr>
              <w:widowControl/>
              <w:jc w:val="center"/>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猪肝</w:t>
            </w:r>
          </w:p>
        </w:tc>
        <w:tc>
          <w:tcPr>
            <w:tcW w:w="1896" w:type="dxa"/>
            <w:tcBorders>
              <w:tl2br w:val="nil"/>
              <w:tr2bl w:val="nil"/>
            </w:tcBorders>
            <w:vAlign w:val="center"/>
          </w:tcPr>
          <w:p w14:paraId="1F2270D8">
            <w:pPr>
              <w:widowControl/>
              <w:jc w:val="left"/>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镉（以Cd计）、恩诺沙星</w:t>
            </w:r>
          </w:p>
        </w:tc>
        <w:tc>
          <w:tcPr>
            <w:tcW w:w="2956" w:type="dxa"/>
            <w:tcBorders>
              <w:tl2br w:val="nil"/>
              <w:tr2bl w:val="nil"/>
            </w:tcBorders>
            <w:vAlign w:val="center"/>
          </w:tcPr>
          <w:p w14:paraId="08328B01">
            <w:pPr>
              <w:widowControl/>
              <w:jc w:val="left"/>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五氯酚酸钠（以五氯酚计）、呋喃唑酮代谢物、呋喃西林代谢物、氯霉素、克伦特罗、莱克多巴胺 、沙丁胺醇、磺胺类（总量）、甲氧苄啶、氯丙嗪</w:t>
            </w:r>
          </w:p>
        </w:tc>
      </w:tr>
      <w:tr w14:paraId="464A54C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76" w:hRule="atLeast"/>
        </w:trPr>
        <w:tc>
          <w:tcPr>
            <w:tcW w:w="953" w:type="dxa"/>
            <w:vMerge w:val="continue"/>
            <w:tcBorders>
              <w:tl2br w:val="nil"/>
              <w:tr2bl w:val="nil"/>
            </w:tcBorders>
            <w:vAlign w:val="center"/>
          </w:tcPr>
          <w:p w14:paraId="5A0D46D0">
            <w:pPr>
              <w:jc w:val="center"/>
              <w:rPr>
                <w:rFonts w:eastAsia="等线"/>
                <w:color w:val="auto"/>
                <w:kern w:val="0"/>
                <w:sz w:val="18"/>
                <w:szCs w:val="18"/>
                <w:highlight w:val="none"/>
              </w:rPr>
            </w:pPr>
          </w:p>
        </w:tc>
        <w:tc>
          <w:tcPr>
            <w:tcW w:w="796" w:type="dxa"/>
            <w:vMerge w:val="continue"/>
            <w:tcBorders>
              <w:tl2br w:val="nil"/>
              <w:tr2bl w:val="nil"/>
            </w:tcBorders>
            <w:vAlign w:val="center"/>
          </w:tcPr>
          <w:p w14:paraId="1436F1E1">
            <w:pPr>
              <w:jc w:val="center"/>
              <w:rPr>
                <w:rFonts w:ascii="宋体" w:hAnsi="宋体" w:cs="宋体"/>
                <w:color w:val="auto"/>
                <w:kern w:val="0"/>
                <w:sz w:val="18"/>
                <w:szCs w:val="18"/>
                <w:highlight w:val="none"/>
              </w:rPr>
            </w:pPr>
          </w:p>
        </w:tc>
        <w:tc>
          <w:tcPr>
            <w:tcW w:w="797" w:type="dxa"/>
            <w:vMerge w:val="continue"/>
            <w:tcBorders>
              <w:tl2br w:val="nil"/>
              <w:tr2bl w:val="nil"/>
            </w:tcBorders>
            <w:vAlign w:val="center"/>
          </w:tcPr>
          <w:p w14:paraId="0F44ACC3">
            <w:pPr>
              <w:jc w:val="center"/>
              <w:rPr>
                <w:rFonts w:ascii="宋体" w:hAnsi="宋体" w:cs="宋体"/>
                <w:color w:val="auto"/>
                <w:kern w:val="0"/>
                <w:sz w:val="18"/>
                <w:szCs w:val="18"/>
                <w:highlight w:val="none"/>
              </w:rPr>
            </w:pPr>
          </w:p>
        </w:tc>
        <w:tc>
          <w:tcPr>
            <w:tcW w:w="797" w:type="dxa"/>
            <w:vMerge w:val="continue"/>
            <w:tcBorders>
              <w:tl2br w:val="nil"/>
              <w:tr2bl w:val="nil"/>
            </w:tcBorders>
            <w:vAlign w:val="center"/>
          </w:tcPr>
          <w:p w14:paraId="2F5B3734">
            <w:pPr>
              <w:jc w:val="center"/>
              <w:rPr>
                <w:rFonts w:ascii="宋体" w:hAnsi="宋体" w:cs="宋体"/>
                <w:color w:val="auto"/>
                <w:kern w:val="0"/>
                <w:sz w:val="18"/>
                <w:szCs w:val="18"/>
                <w:highlight w:val="none"/>
              </w:rPr>
            </w:pPr>
          </w:p>
        </w:tc>
        <w:tc>
          <w:tcPr>
            <w:tcW w:w="953" w:type="dxa"/>
            <w:tcBorders>
              <w:tl2br w:val="nil"/>
              <w:tr2bl w:val="nil"/>
            </w:tcBorders>
            <w:vAlign w:val="center"/>
          </w:tcPr>
          <w:p w14:paraId="18E24350">
            <w:pPr>
              <w:widowControl/>
              <w:jc w:val="center"/>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牛肝</w:t>
            </w:r>
          </w:p>
        </w:tc>
        <w:tc>
          <w:tcPr>
            <w:tcW w:w="1896" w:type="dxa"/>
            <w:tcBorders>
              <w:tl2br w:val="nil"/>
              <w:tr2bl w:val="nil"/>
            </w:tcBorders>
            <w:vAlign w:val="center"/>
          </w:tcPr>
          <w:p w14:paraId="590EE35C">
            <w:pPr>
              <w:widowControl/>
              <w:jc w:val="left"/>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克伦特罗</w:t>
            </w:r>
          </w:p>
        </w:tc>
        <w:tc>
          <w:tcPr>
            <w:tcW w:w="2956" w:type="dxa"/>
            <w:tcBorders>
              <w:tl2br w:val="nil"/>
              <w:tr2bl w:val="nil"/>
            </w:tcBorders>
            <w:vAlign w:val="center"/>
          </w:tcPr>
          <w:p w14:paraId="2A1231F1">
            <w:pPr>
              <w:widowControl/>
              <w:jc w:val="left"/>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莱克多巴胺、沙丁胺醇</w:t>
            </w:r>
          </w:p>
        </w:tc>
      </w:tr>
      <w:tr w14:paraId="1B693CD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78" w:hRule="atLeast"/>
        </w:trPr>
        <w:tc>
          <w:tcPr>
            <w:tcW w:w="953" w:type="dxa"/>
            <w:vMerge w:val="continue"/>
            <w:tcBorders>
              <w:tl2br w:val="nil"/>
              <w:tr2bl w:val="nil"/>
            </w:tcBorders>
            <w:vAlign w:val="center"/>
          </w:tcPr>
          <w:p w14:paraId="31571047">
            <w:pPr>
              <w:jc w:val="center"/>
              <w:rPr>
                <w:rFonts w:eastAsia="等线"/>
                <w:color w:val="auto"/>
                <w:kern w:val="0"/>
                <w:sz w:val="18"/>
                <w:szCs w:val="18"/>
                <w:highlight w:val="none"/>
              </w:rPr>
            </w:pPr>
          </w:p>
        </w:tc>
        <w:tc>
          <w:tcPr>
            <w:tcW w:w="796" w:type="dxa"/>
            <w:vMerge w:val="continue"/>
            <w:tcBorders>
              <w:tl2br w:val="nil"/>
              <w:tr2bl w:val="nil"/>
            </w:tcBorders>
            <w:vAlign w:val="center"/>
          </w:tcPr>
          <w:p w14:paraId="1C6D9E26">
            <w:pPr>
              <w:jc w:val="center"/>
              <w:rPr>
                <w:rFonts w:ascii="宋体" w:hAnsi="宋体" w:cs="宋体"/>
                <w:color w:val="auto"/>
                <w:kern w:val="0"/>
                <w:sz w:val="18"/>
                <w:szCs w:val="18"/>
                <w:highlight w:val="none"/>
              </w:rPr>
            </w:pPr>
          </w:p>
        </w:tc>
        <w:tc>
          <w:tcPr>
            <w:tcW w:w="797" w:type="dxa"/>
            <w:vMerge w:val="continue"/>
            <w:tcBorders>
              <w:tl2br w:val="nil"/>
              <w:tr2bl w:val="nil"/>
            </w:tcBorders>
            <w:vAlign w:val="center"/>
          </w:tcPr>
          <w:p w14:paraId="20BCE225">
            <w:pPr>
              <w:jc w:val="center"/>
              <w:rPr>
                <w:rFonts w:ascii="宋体" w:hAnsi="宋体" w:cs="宋体"/>
                <w:color w:val="auto"/>
                <w:kern w:val="0"/>
                <w:sz w:val="18"/>
                <w:szCs w:val="18"/>
                <w:highlight w:val="none"/>
              </w:rPr>
            </w:pPr>
          </w:p>
        </w:tc>
        <w:tc>
          <w:tcPr>
            <w:tcW w:w="797" w:type="dxa"/>
            <w:vMerge w:val="continue"/>
            <w:tcBorders>
              <w:tl2br w:val="nil"/>
              <w:tr2bl w:val="nil"/>
            </w:tcBorders>
            <w:vAlign w:val="center"/>
          </w:tcPr>
          <w:p w14:paraId="2189F84E">
            <w:pPr>
              <w:jc w:val="center"/>
              <w:rPr>
                <w:rFonts w:ascii="宋体" w:hAnsi="宋体" w:cs="宋体"/>
                <w:color w:val="auto"/>
                <w:kern w:val="0"/>
                <w:sz w:val="18"/>
                <w:szCs w:val="18"/>
                <w:highlight w:val="none"/>
              </w:rPr>
            </w:pPr>
          </w:p>
        </w:tc>
        <w:tc>
          <w:tcPr>
            <w:tcW w:w="953" w:type="dxa"/>
            <w:tcBorders>
              <w:tl2br w:val="nil"/>
              <w:tr2bl w:val="nil"/>
            </w:tcBorders>
            <w:vAlign w:val="center"/>
          </w:tcPr>
          <w:p w14:paraId="0C87BCDC">
            <w:pPr>
              <w:widowControl/>
              <w:jc w:val="center"/>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羊肝</w:t>
            </w:r>
          </w:p>
        </w:tc>
        <w:tc>
          <w:tcPr>
            <w:tcW w:w="1896" w:type="dxa"/>
            <w:tcBorders>
              <w:tl2br w:val="nil"/>
              <w:tr2bl w:val="nil"/>
            </w:tcBorders>
            <w:vAlign w:val="center"/>
          </w:tcPr>
          <w:p w14:paraId="0F5527B0">
            <w:pPr>
              <w:widowControl/>
              <w:jc w:val="left"/>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克伦特罗</w:t>
            </w:r>
          </w:p>
        </w:tc>
        <w:tc>
          <w:tcPr>
            <w:tcW w:w="2956" w:type="dxa"/>
            <w:tcBorders>
              <w:tl2br w:val="nil"/>
              <w:tr2bl w:val="nil"/>
            </w:tcBorders>
            <w:vAlign w:val="center"/>
          </w:tcPr>
          <w:p w14:paraId="1213DA37">
            <w:pPr>
              <w:widowControl/>
              <w:jc w:val="left"/>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莱克多巴胺、沙丁胺醇、磺胺类（总量）、环丙氨嗪</w:t>
            </w:r>
          </w:p>
        </w:tc>
      </w:tr>
      <w:tr w14:paraId="157ACFD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035" w:hRule="atLeast"/>
        </w:trPr>
        <w:tc>
          <w:tcPr>
            <w:tcW w:w="953" w:type="dxa"/>
            <w:vMerge w:val="continue"/>
            <w:tcBorders>
              <w:tl2br w:val="nil"/>
              <w:tr2bl w:val="nil"/>
            </w:tcBorders>
            <w:vAlign w:val="center"/>
          </w:tcPr>
          <w:p w14:paraId="1A8E879E">
            <w:pPr>
              <w:jc w:val="center"/>
              <w:rPr>
                <w:rFonts w:eastAsia="等线"/>
                <w:color w:val="auto"/>
                <w:kern w:val="0"/>
                <w:sz w:val="18"/>
                <w:szCs w:val="18"/>
                <w:highlight w:val="none"/>
              </w:rPr>
            </w:pPr>
          </w:p>
        </w:tc>
        <w:tc>
          <w:tcPr>
            <w:tcW w:w="796" w:type="dxa"/>
            <w:vMerge w:val="continue"/>
            <w:tcBorders>
              <w:tl2br w:val="nil"/>
              <w:tr2bl w:val="nil"/>
            </w:tcBorders>
            <w:vAlign w:val="center"/>
          </w:tcPr>
          <w:p w14:paraId="7AE7DD74">
            <w:pPr>
              <w:jc w:val="center"/>
              <w:rPr>
                <w:rFonts w:ascii="宋体" w:hAnsi="宋体" w:cs="宋体"/>
                <w:color w:val="auto"/>
                <w:kern w:val="0"/>
                <w:sz w:val="18"/>
                <w:szCs w:val="18"/>
                <w:highlight w:val="none"/>
              </w:rPr>
            </w:pPr>
          </w:p>
        </w:tc>
        <w:tc>
          <w:tcPr>
            <w:tcW w:w="797" w:type="dxa"/>
            <w:vMerge w:val="continue"/>
            <w:tcBorders>
              <w:tl2br w:val="nil"/>
              <w:tr2bl w:val="nil"/>
            </w:tcBorders>
            <w:vAlign w:val="center"/>
          </w:tcPr>
          <w:p w14:paraId="59B878BD">
            <w:pPr>
              <w:jc w:val="center"/>
              <w:rPr>
                <w:rFonts w:ascii="宋体" w:hAnsi="宋体" w:cs="宋体"/>
                <w:color w:val="auto"/>
                <w:kern w:val="0"/>
                <w:sz w:val="18"/>
                <w:szCs w:val="18"/>
                <w:highlight w:val="none"/>
              </w:rPr>
            </w:pPr>
          </w:p>
        </w:tc>
        <w:tc>
          <w:tcPr>
            <w:tcW w:w="797" w:type="dxa"/>
            <w:vMerge w:val="continue"/>
            <w:tcBorders>
              <w:tl2br w:val="nil"/>
              <w:tr2bl w:val="nil"/>
            </w:tcBorders>
            <w:vAlign w:val="center"/>
          </w:tcPr>
          <w:p w14:paraId="6901E813">
            <w:pPr>
              <w:jc w:val="center"/>
              <w:rPr>
                <w:rFonts w:ascii="宋体" w:hAnsi="宋体" w:cs="宋体"/>
                <w:color w:val="auto"/>
                <w:kern w:val="0"/>
                <w:sz w:val="18"/>
                <w:szCs w:val="18"/>
                <w:highlight w:val="none"/>
              </w:rPr>
            </w:pPr>
          </w:p>
        </w:tc>
        <w:tc>
          <w:tcPr>
            <w:tcW w:w="953" w:type="dxa"/>
            <w:tcBorders>
              <w:tl2br w:val="nil"/>
              <w:tr2bl w:val="nil"/>
            </w:tcBorders>
            <w:vAlign w:val="center"/>
          </w:tcPr>
          <w:p w14:paraId="184A3B2A">
            <w:pPr>
              <w:widowControl/>
              <w:jc w:val="center"/>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猪肾</w:t>
            </w:r>
          </w:p>
        </w:tc>
        <w:tc>
          <w:tcPr>
            <w:tcW w:w="1896" w:type="dxa"/>
            <w:tcBorders>
              <w:tl2br w:val="nil"/>
              <w:tr2bl w:val="nil"/>
            </w:tcBorders>
            <w:vAlign w:val="center"/>
          </w:tcPr>
          <w:p w14:paraId="0DBA8887">
            <w:pPr>
              <w:widowControl/>
              <w:jc w:val="left"/>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克伦特罗</w:t>
            </w:r>
          </w:p>
        </w:tc>
        <w:tc>
          <w:tcPr>
            <w:tcW w:w="2956" w:type="dxa"/>
            <w:tcBorders>
              <w:tl2br w:val="nil"/>
              <w:tr2bl w:val="nil"/>
            </w:tcBorders>
            <w:vAlign w:val="center"/>
          </w:tcPr>
          <w:p w14:paraId="76C474B7">
            <w:pPr>
              <w:widowControl/>
              <w:jc w:val="left"/>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呋喃西林代谢物、氯霉素、莱克多巴胺、沙丁胺醇、恩诺沙星、磺胺类（总量）、甲氧苄啶、土霉素</w:t>
            </w:r>
            <w:r>
              <w:rPr>
                <w:color w:val="auto"/>
                <w:kern w:val="0"/>
                <w:sz w:val="18"/>
                <w:szCs w:val="18"/>
                <w:highlight w:val="none"/>
                <w:lang w:bidi="ar"/>
              </w:rPr>
              <w:t>/</w:t>
            </w:r>
            <w:r>
              <w:rPr>
                <w:rFonts w:hint="eastAsia" w:ascii="宋体" w:hAnsi="宋体" w:cs="宋体"/>
                <w:color w:val="auto"/>
                <w:kern w:val="0"/>
                <w:sz w:val="18"/>
                <w:szCs w:val="18"/>
                <w:highlight w:val="none"/>
                <w:lang w:bidi="ar"/>
              </w:rPr>
              <w:t>金霉素</w:t>
            </w:r>
            <w:r>
              <w:rPr>
                <w:color w:val="auto"/>
                <w:kern w:val="0"/>
                <w:sz w:val="18"/>
                <w:szCs w:val="18"/>
                <w:highlight w:val="none"/>
                <w:lang w:bidi="ar"/>
              </w:rPr>
              <w:t>/</w:t>
            </w:r>
            <w:r>
              <w:rPr>
                <w:rFonts w:hint="eastAsia" w:ascii="宋体" w:hAnsi="宋体" w:cs="宋体"/>
                <w:color w:val="auto"/>
                <w:kern w:val="0"/>
                <w:sz w:val="18"/>
                <w:szCs w:val="18"/>
                <w:highlight w:val="none"/>
                <w:lang w:bidi="ar"/>
              </w:rPr>
              <w:t>四环素（组合含量）</w:t>
            </w:r>
          </w:p>
        </w:tc>
      </w:tr>
      <w:tr w14:paraId="3BD90D0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10" w:hRule="atLeast"/>
        </w:trPr>
        <w:tc>
          <w:tcPr>
            <w:tcW w:w="953" w:type="dxa"/>
            <w:vMerge w:val="continue"/>
            <w:tcBorders>
              <w:tl2br w:val="nil"/>
              <w:tr2bl w:val="nil"/>
            </w:tcBorders>
            <w:vAlign w:val="center"/>
          </w:tcPr>
          <w:p w14:paraId="564725E6">
            <w:pPr>
              <w:jc w:val="center"/>
              <w:rPr>
                <w:rFonts w:eastAsia="等线"/>
                <w:color w:val="auto"/>
                <w:kern w:val="0"/>
                <w:sz w:val="18"/>
                <w:szCs w:val="18"/>
                <w:highlight w:val="none"/>
              </w:rPr>
            </w:pPr>
          </w:p>
        </w:tc>
        <w:tc>
          <w:tcPr>
            <w:tcW w:w="796" w:type="dxa"/>
            <w:vMerge w:val="continue"/>
            <w:tcBorders>
              <w:tl2br w:val="nil"/>
              <w:tr2bl w:val="nil"/>
            </w:tcBorders>
            <w:vAlign w:val="center"/>
          </w:tcPr>
          <w:p w14:paraId="2E08A77E">
            <w:pPr>
              <w:jc w:val="center"/>
              <w:rPr>
                <w:rFonts w:ascii="宋体" w:hAnsi="宋体" w:cs="宋体"/>
                <w:color w:val="auto"/>
                <w:kern w:val="0"/>
                <w:sz w:val="18"/>
                <w:szCs w:val="18"/>
                <w:highlight w:val="none"/>
              </w:rPr>
            </w:pPr>
          </w:p>
        </w:tc>
        <w:tc>
          <w:tcPr>
            <w:tcW w:w="797" w:type="dxa"/>
            <w:vMerge w:val="continue"/>
            <w:tcBorders>
              <w:tl2br w:val="nil"/>
              <w:tr2bl w:val="nil"/>
            </w:tcBorders>
            <w:vAlign w:val="center"/>
          </w:tcPr>
          <w:p w14:paraId="494F5AC1">
            <w:pPr>
              <w:jc w:val="center"/>
              <w:rPr>
                <w:rFonts w:ascii="宋体" w:hAnsi="宋体" w:cs="宋体"/>
                <w:color w:val="auto"/>
                <w:kern w:val="0"/>
                <w:sz w:val="18"/>
                <w:szCs w:val="18"/>
                <w:highlight w:val="none"/>
              </w:rPr>
            </w:pPr>
          </w:p>
        </w:tc>
        <w:tc>
          <w:tcPr>
            <w:tcW w:w="797" w:type="dxa"/>
            <w:vMerge w:val="continue"/>
            <w:tcBorders>
              <w:tl2br w:val="nil"/>
              <w:tr2bl w:val="nil"/>
            </w:tcBorders>
            <w:vAlign w:val="center"/>
          </w:tcPr>
          <w:p w14:paraId="1CA2B97E">
            <w:pPr>
              <w:jc w:val="center"/>
              <w:rPr>
                <w:rFonts w:ascii="宋体" w:hAnsi="宋体" w:cs="宋体"/>
                <w:color w:val="auto"/>
                <w:kern w:val="0"/>
                <w:sz w:val="18"/>
                <w:szCs w:val="18"/>
                <w:highlight w:val="none"/>
              </w:rPr>
            </w:pPr>
          </w:p>
        </w:tc>
        <w:tc>
          <w:tcPr>
            <w:tcW w:w="953" w:type="dxa"/>
            <w:tcBorders>
              <w:tl2br w:val="nil"/>
              <w:tr2bl w:val="nil"/>
            </w:tcBorders>
            <w:vAlign w:val="center"/>
          </w:tcPr>
          <w:p w14:paraId="6242A7E9">
            <w:pPr>
              <w:widowControl/>
              <w:jc w:val="center"/>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牛肾</w:t>
            </w:r>
          </w:p>
        </w:tc>
        <w:tc>
          <w:tcPr>
            <w:tcW w:w="1896" w:type="dxa"/>
            <w:tcBorders>
              <w:tl2br w:val="nil"/>
              <w:tr2bl w:val="nil"/>
            </w:tcBorders>
            <w:vAlign w:val="center"/>
          </w:tcPr>
          <w:p w14:paraId="3D38684D">
            <w:pPr>
              <w:widowControl/>
              <w:jc w:val="left"/>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克伦特罗</w:t>
            </w:r>
          </w:p>
        </w:tc>
        <w:tc>
          <w:tcPr>
            <w:tcW w:w="2956" w:type="dxa"/>
            <w:tcBorders>
              <w:tl2br w:val="nil"/>
              <w:tr2bl w:val="nil"/>
            </w:tcBorders>
            <w:vAlign w:val="center"/>
          </w:tcPr>
          <w:p w14:paraId="7DDCB142">
            <w:pPr>
              <w:widowControl/>
              <w:jc w:val="left"/>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莱克多巴胺、沙丁胺醇、恩诺沙星</w:t>
            </w:r>
          </w:p>
        </w:tc>
      </w:tr>
      <w:tr w14:paraId="319E8BC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827" w:hRule="atLeast"/>
        </w:trPr>
        <w:tc>
          <w:tcPr>
            <w:tcW w:w="953" w:type="dxa"/>
            <w:vMerge w:val="continue"/>
            <w:tcBorders>
              <w:tl2br w:val="nil"/>
              <w:tr2bl w:val="nil"/>
            </w:tcBorders>
            <w:vAlign w:val="center"/>
          </w:tcPr>
          <w:p w14:paraId="28CAF2D3">
            <w:pPr>
              <w:jc w:val="center"/>
              <w:rPr>
                <w:rFonts w:eastAsia="等线"/>
                <w:color w:val="auto"/>
                <w:kern w:val="0"/>
                <w:sz w:val="18"/>
                <w:szCs w:val="18"/>
                <w:highlight w:val="none"/>
              </w:rPr>
            </w:pPr>
          </w:p>
        </w:tc>
        <w:tc>
          <w:tcPr>
            <w:tcW w:w="796" w:type="dxa"/>
            <w:vMerge w:val="continue"/>
            <w:tcBorders>
              <w:tl2br w:val="nil"/>
              <w:tr2bl w:val="nil"/>
            </w:tcBorders>
            <w:vAlign w:val="center"/>
          </w:tcPr>
          <w:p w14:paraId="7D123181">
            <w:pPr>
              <w:jc w:val="center"/>
              <w:rPr>
                <w:rFonts w:ascii="宋体" w:hAnsi="宋体" w:cs="宋体"/>
                <w:color w:val="auto"/>
                <w:kern w:val="0"/>
                <w:sz w:val="18"/>
                <w:szCs w:val="18"/>
                <w:highlight w:val="none"/>
              </w:rPr>
            </w:pPr>
          </w:p>
        </w:tc>
        <w:tc>
          <w:tcPr>
            <w:tcW w:w="797" w:type="dxa"/>
            <w:vMerge w:val="continue"/>
            <w:tcBorders>
              <w:tl2br w:val="nil"/>
              <w:tr2bl w:val="nil"/>
            </w:tcBorders>
            <w:vAlign w:val="center"/>
          </w:tcPr>
          <w:p w14:paraId="28D84654">
            <w:pPr>
              <w:jc w:val="center"/>
              <w:rPr>
                <w:rFonts w:ascii="宋体" w:hAnsi="宋体" w:cs="宋体"/>
                <w:color w:val="auto"/>
                <w:kern w:val="0"/>
                <w:sz w:val="18"/>
                <w:szCs w:val="18"/>
                <w:highlight w:val="none"/>
              </w:rPr>
            </w:pPr>
          </w:p>
        </w:tc>
        <w:tc>
          <w:tcPr>
            <w:tcW w:w="797" w:type="dxa"/>
            <w:vMerge w:val="continue"/>
            <w:tcBorders>
              <w:tl2br w:val="nil"/>
              <w:tr2bl w:val="nil"/>
            </w:tcBorders>
            <w:vAlign w:val="center"/>
          </w:tcPr>
          <w:p w14:paraId="6274E294">
            <w:pPr>
              <w:jc w:val="center"/>
              <w:rPr>
                <w:rFonts w:ascii="宋体" w:hAnsi="宋体" w:cs="宋体"/>
                <w:color w:val="auto"/>
                <w:kern w:val="0"/>
                <w:sz w:val="18"/>
                <w:szCs w:val="18"/>
                <w:highlight w:val="none"/>
              </w:rPr>
            </w:pPr>
          </w:p>
        </w:tc>
        <w:tc>
          <w:tcPr>
            <w:tcW w:w="953" w:type="dxa"/>
            <w:tcBorders>
              <w:tl2br w:val="nil"/>
              <w:tr2bl w:val="nil"/>
            </w:tcBorders>
            <w:vAlign w:val="center"/>
          </w:tcPr>
          <w:p w14:paraId="5B60EE3D">
            <w:pPr>
              <w:widowControl/>
              <w:jc w:val="center"/>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羊肾</w:t>
            </w:r>
          </w:p>
        </w:tc>
        <w:tc>
          <w:tcPr>
            <w:tcW w:w="1896" w:type="dxa"/>
            <w:tcBorders>
              <w:tl2br w:val="nil"/>
              <w:tr2bl w:val="nil"/>
            </w:tcBorders>
            <w:vAlign w:val="center"/>
          </w:tcPr>
          <w:p w14:paraId="21F91516">
            <w:pPr>
              <w:widowControl/>
              <w:jc w:val="left"/>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克伦特罗</w:t>
            </w:r>
          </w:p>
        </w:tc>
        <w:tc>
          <w:tcPr>
            <w:tcW w:w="2956" w:type="dxa"/>
            <w:tcBorders>
              <w:tl2br w:val="nil"/>
              <w:tr2bl w:val="nil"/>
            </w:tcBorders>
            <w:vAlign w:val="center"/>
          </w:tcPr>
          <w:p w14:paraId="069877A7">
            <w:pPr>
              <w:widowControl/>
              <w:jc w:val="left"/>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镉（以</w:t>
            </w:r>
            <w:r>
              <w:rPr>
                <w:color w:val="auto"/>
                <w:kern w:val="0"/>
                <w:sz w:val="18"/>
                <w:szCs w:val="18"/>
                <w:highlight w:val="none"/>
                <w:lang w:bidi="ar"/>
              </w:rPr>
              <w:t>Cd</w:t>
            </w:r>
            <w:r>
              <w:rPr>
                <w:rFonts w:hint="eastAsia" w:ascii="宋体" w:hAnsi="宋体" w:cs="宋体"/>
                <w:color w:val="auto"/>
                <w:kern w:val="0"/>
                <w:sz w:val="18"/>
                <w:szCs w:val="18"/>
                <w:highlight w:val="none"/>
                <w:lang w:bidi="ar"/>
              </w:rPr>
              <w:t>计）、莱克多巴胺、沙丁胺醇、恩诺沙星、环丙氨嗪</w:t>
            </w:r>
          </w:p>
        </w:tc>
      </w:tr>
      <w:tr w14:paraId="6ECAED4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771" w:hRule="atLeast"/>
        </w:trPr>
        <w:tc>
          <w:tcPr>
            <w:tcW w:w="953" w:type="dxa"/>
            <w:vMerge w:val="continue"/>
            <w:tcBorders>
              <w:tl2br w:val="nil"/>
              <w:tr2bl w:val="nil"/>
            </w:tcBorders>
            <w:vAlign w:val="center"/>
          </w:tcPr>
          <w:p w14:paraId="0E7FF1A4">
            <w:pPr>
              <w:jc w:val="center"/>
              <w:rPr>
                <w:rFonts w:eastAsia="等线"/>
                <w:color w:val="auto"/>
                <w:kern w:val="0"/>
                <w:sz w:val="18"/>
                <w:szCs w:val="18"/>
                <w:highlight w:val="none"/>
              </w:rPr>
            </w:pPr>
          </w:p>
        </w:tc>
        <w:tc>
          <w:tcPr>
            <w:tcW w:w="796" w:type="dxa"/>
            <w:vMerge w:val="continue"/>
            <w:tcBorders>
              <w:tl2br w:val="nil"/>
              <w:tr2bl w:val="nil"/>
            </w:tcBorders>
            <w:vAlign w:val="center"/>
          </w:tcPr>
          <w:p w14:paraId="5A465AB2">
            <w:pPr>
              <w:jc w:val="center"/>
              <w:rPr>
                <w:rFonts w:ascii="宋体" w:hAnsi="宋体" w:cs="宋体"/>
                <w:color w:val="auto"/>
                <w:kern w:val="0"/>
                <w:sz w:val="18"/>
                <w:szCs w:val="18"/>
                <w:highlight w:val="none"/>
              </w:rPr>
            </w:pPr>
          </w:p>
        </w:tc>
        <w:tc>
          <w:tcPr>
            <w:tcW w:w="797" w:type="dxa"/>
            <w:vMerge w:val="continue"/>
            <w:tcBorders>
              <w:tl2br w:val="nil"/>
              <w:tr2bl w:val="nil"/>
            </w:tcBorders>
            <w:vAlign w:val="center"/>
          </w:tcPr>
          <w:p w14:paraId="14919CC4">
            <w:pPr>
              <w:jc w:val="center"/>
              <w:rPr>
                <w:rFonts w:ascii="宋体" w:hAnsi="宋体" w:cs="宋体"/>
                <w:color w:val="auto"/>
                <w:kern w:val="0"/>
                <w:sz w:val="18"/>
                <w:szCs w:val="18"/>
                <w:highlight w:val="none"/>
              </w:rPr>
            </w:pPr>
          </w:p>
        </w:tc>
        <w:tc>
          <w:tcPr>
            <w:tcW w:w="797" w:type="dxa"/>
            <w:vMerge w:val="continue"/>
            <w:tcBorders>
              <w:tl2br w:val="nil"/>
              <w:tr2bl w:val="nil"/>
            </w:tcBorders>
            <w:vAlign w:val="center"/>
          </w:tcPr>
          <w:p w14:paraId="65CDF172">
            <w:pPr>
              <w:jc w:val="center"/>
              <w:rPr>
                <w:rFonts w:ascii="宋体" w:hAnsi="宋体" w:cs="宋体"/>
                <w:color w:val="auto"/>
                <w:kern w:val="0"/>
                <w:sz w:val="18"/>
                <w:szCs w:val="18"/>
                <w:highlight w:val="none"/>
              </w:rPr>
            </w:pPr>
          </w:p>
        </w:tc>
        <w:tc>
          <w:tcPr>
            <w:tcW w:w="953" w:type="dxa"/>
            <w:tcBorders>
              <w:tl2br w:val="nil"/>
              <w:tr2bl w:val="nil"/>
            </w:tcBorders>
            <w:vAlign w:val="center"/>
          </w:tcPr>
          <w:p w14:paraId="235FC756">
            <w:pPr>
              <w:widowControl/>
              <w:jc w:val="center"/>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其他畜副产品</w:t>
            </w:r>
          </w:p>
        </w:tc>
        <w:tc>
          <w:tcPr>
            <w:tcW w:w="1896" w:type="dxa"/>
            <w:tcBorders>
              <w:tl2br w:val="nil"/>
              <w:tr2bl w:val="nil"/>
            </w:tcBorders>
            <w:vAlign w:val="center"/>
          </w:tcPr>
          <w:p w14:paraId="1FAB9870">
            <w:pPr>
              <w:widowControl/>
              <w:jc w:val="left"/>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呋喃西林代谢物</w:t>
            </w:r>
          </w:p>
        </w:tc>
        <w:tc>
          <w:tcPr>
            <w:tcW w:w="2956" w:type="dxa"/>
            <w:tcBorders>
              <w:tl2br w:val="nil"/>
              <w:tr2bl w:val="nil"/>
            </w:tcBorders>
            <w:vAlign w:val="center"/>
          </w:tcPr>
          <w:p w14:paraId="48BBD2A5">
            <w:pPr>
              <w:widowControl/>
              <w:jc w:val="left"/>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呋喃唑酮代谢物、氯霉素、克伦特罗、莱克多巴胺、沙丁胺醇、氧氟沙星、诺氟沙星、磺胺类（总量）</w:t>
            </w:r>
          </w:p>
        </w:tc>
      </w:tr>
      <w:tr w14:paraId="60750EA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740" w:hRule="atLeast"/>
        </w:trPr>
        <w:tc>
          <w:tcPr>
            <w:tcW w:w="953" w:type="dxa"/>
            <w:vMerge w:val="continue"/>
            <w:tcBorders>
              <w:tl2br w:val="nil"/>
              <w:tr2bl w:val="nil"/>
            </w:tcBorders>
            <w:vAlign w:val="center"/>
          </w:tcPr>
          <w:p w14:paraId="783BF766">
            <w:pPr>
              <w:jc w:val="center"/>
              <w:rPr>
                <w:rFonts w:eastAsia="等线"/>
                <w:color w:val="auto"/>
                <w:kern w:val="0"/>
                <w:sz w:val="18"/>
                <w:szCs w:val="18"/>
                <w:highlight w:val="none"/>
              </w:rPr>
            </w:pPr>
          </w:p>
        </w:tc>
        <w:tc>
          <w:tcPr>
            <w:tcW w:w="796" w:type="dxa"/>
            <w:vMerge w:val="continue"/>
            <w:tcBorders>
              <w:tl2br w:val="nil"/>
              <w:tr2bl w:val="nil"/>
            </w:tcBorders>
            <w:vAlign w:val="center"/>
          </w:tcPr>
          <w:p w14:paraId="42EAF663">
            <w:pPr>
              <w:jc w:val="center"/>
              <w:rPr>
                <w:rFonts w:ascii="宋体" w:hAnsi="宋体" w:cs="宋体"/>
                <w:color w:val="auto"/>
                <w:kern w:val="0"/>
                <w:sz w:val="18"/>
                <w:szCs w:val="18"/>
                <w:highlight w:val="none"/>
              </w:rPr>
            </w:pPr>
          </w:p>
        </w:tc>
        <w:tc>
          <w:tcPr>
            <w:tcW w:w="797" w:type="dxa"/>
            <w:vMerge w:val="continue"/>
            <w:tcBorders>
              <w:tl2br w:val="nil"/>
              <w:tr2bl w:val="nil"/>
            </w:tcBorders>
            <w:vAlign w:val="center"/>
          </w:tcPr>
          <w:p w14:paraId="1508C489">
            <w:pPr>
              <w:jc w:val="center"/>
              <w:rPr>
                <w:rFonts w:ascii="宋体" w:hAnsi="宋体" w:cs="宋体"/>
                <w:color w:val="auto"/>
                <w:kern w:val="0"/>
                <w:sz w:val="18"/>
                <w:szCs w:val="18"/>
                <w:highlight w:val="none"/>
              </w:rPr>
            </w:pPr>
          </w:p>
        </w:tc>
        <w:tc>
          <w:tcPr>
            <w:tcW w:w="797" w:type="dxa"/>
            <w:vMerge w:val="restart"/>
            <w:tcBorders>
              <w:tl2br w:val="nil"/>
              <w:tr2bl w:val="nil"/>
            </w:tcBorders>
            <w:vAlign w:val="center"/>
          </w:tcPr>
          <w:p w14:paraId="3DB6057B">
            <w:pPr>
              <w:widowControl/>
              <w:jc w:val="center"/>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禽副产品</w:t>
            </w:r>
          </w:p>
        </w:tc>
        <w:tc>
          <w:tcPr>
            <w:tcW w:w="953" w:type="dxa"/>
            <w:tcBorders>
              <w:tl2br w:val="nil"/>
              <w:tr2bl w:val="nil"/>
            </w:tcBorders>
            <w:vAlign w:val="center"/>
          </w:tcPr>
          <w:p w14:paraId="6A8E72CA">
            <w:pPr>
              <w:widowControl/>
              <w:jc w:val="center"/>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鸡肝</w:t>
            </w:r>
          </w:p>
        </w:tc>
        <w:tc>
          <w:tcPr>
            <w:tcW w:w="1896" w:type="dxa"/>
            <w:tcBorders>
              <w:tl2br w:val="nil"/>
              <w:tr2bl w:val="nil"/>
            </w:tcBorders>
            <w:vAlign w:val="center"/>
          </w:tcPr>
          <w:p w14:paraId="5699542C">
            <w:pPr>
              <w:widowControl/>
              <w:jc w:val="left"/>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呋喃唑酮代谢物</w:t>
            </w:r>
          </w:p>
        </w:tc>
        <w:tc>
          <w:tcPr>
            <w:tcW w:w="2956" w:type="dxa"/>
            <w:tcBorders>
              <w:tl2br w:val="nil"/>
              <w:tr2bl w:val="nil"/>
            </w:tcBorders>
            <w:vAlign w:val="center"/>
          </w:tcPr>
          <w:p w14:paraId="186451E2">
            <w:pPr>
              <w:widowControl/>
              <w:jc w:val="left"/>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呋喃西林代谢物、氯霉素、氧氟沙星、恩诺沙星、环丙氨嗪</w:t>
            </w:r>
          </w:p>
        </w:tc>
      </w:tr>
      <w:tr w14:paraId="0AEB2D7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66" w:hRule="atLeast"/>
        </w:trPr>
        <w:tc>
          <w:tcPr>
            <w:tcW w:w="953" w:type="dxa"/>
            <w:vMerge w:val="continue"/>
            <w:tcBorders>
              <w:tl2br w:val="nil"/>
              <w:tr2bl w:val="nil"/>
            </w:tcBorders>
            <w:vAlign w:val="center"/>
          </w:tcPr>
          <w:p w14:paraId="2576D075">
            <w:pPr>
              <w:jc w:val="center"/>
              <w:rPr>
                <w:rFonts w:eastAsia="等线"/>
                <w:color w:val="auto"/>
                <w:kern w:val="0"/>
                <w:sz w:val="18"/>
                <w:szCs w:val="18"/>
                <w:highlight w:val="none"/>
              </w:rPr>
            </w:pPr>
          </w:p>
        </w:tc>
        <w:tc>
          <w:tcPr>
            <w:tcW w:w="796" w:type="dxa"/>
            <w:vMerge w:val="continue"/>
            <w:tcBorders>
              <w:tl2br w:val="nil"/>
              <w:tr2bl w:val="nil"/>
            </w:tcBorders>
            <w:vAlign w:val="center"/>
          </w:tcPr>
          <w:p w14:paraId="6D001558">
            <w:pPr>
              <w:jc w:val="center"/>
              <w:rPr>
                <w:rFonts w:ascii="宋体" w:hAnsi="宋体" w:cs="宋体"/>
                <w:color w:val="auto"/>
                <w:kern w:val="0"/>
                <w:sz w:val="18"/>
                <w:szCs w:val="18"/>
                <w:highlight w:val="none"/>
              </w:rPr>
            </w:pPr>
          </w:p>
        </w:tc>
        <w:tc>
          <w:tcPr>
            <w:tcW w:w="797" w:type="dxa"/>
            <w:vMerge w:val="continue"/>
            <w:tcBorders>
              <w:tl2br w:val="nil"/>
              <w:tr2bl w:val="nil"/>
            </w:tcBorders>
            <w:vAlign w:val="center"/>
          </w:tcPr>
          <w:p w14:paraId="50CA6228">
            <w:pPr>
              <w:jc w:val="center"/>
              <w:rPr>
                <w:rFonts w:ascii="宋体" w:hAnsi="宋体" w:cs="宋体"/>
                <w:color w:val="auto"/>
                <w:kern w:val="0"/>
                <w:sz w:val="18"/>
                <w:szCs w:val="18"/>
                <w:highlight w:val="none"/>
              </w:rPr>
            </w:pPr>
          </w:p>
        </w:tc>
        <w:tc>
          <w:tcPr>
            <w:tcW w:w="797" w:type="dxa"/>
            <w:vMerge w:val="continue"/>
            <w:tcBorders>
              <w:tl2br w:val="nil"/>
              <w:tr2bl w:val="nil"/>
            </w:tcBorders>
            <w:vAlign w:val="center"/>
          </w:tcPr>
          <w:p w14:paraId="23225C99">
            <w:pPr>
              <w:jc w:val="center"/>
              <w:rPr>
                <w:rFonts w:ascii="宋体" w:hAnsi="宋体" w:cs="宋体"/>
                <w:color w:val="auto"/>
                <w:kern w:val="0"/>
                <w:sz w:val="18"/>
                <w:szCs w:val="18"/>
                <w:highlight w:val="none"/>
              </w:rPr>
            </w:pPr>
          </w:p>
        </w:tc>
        <w:tc>
          <w:tcPr>
            <w:tcW w:w="953" w:type="dxa"/>
            <w:tcBorders>
              <w:tl2br w:val="nil"/>
              <w:tr2bl w:val="nil"/>
            </w:tcBorders>
            <w:vAlign w:val="center"/>
          </w:tcPr>
          <w:p w14:paraId="380A4AE8">
            <w:pPr>
              <w:widowControl/>
              <w:jc w:val="center"/>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其他禽副产品</w:t>
            </w:r>
          </w:p>
        </w:tc>
        <w:tc>
          <w:tcPr>
            <w:tcW w:w="1896" w:type="dxa"/>
            <w:tcBorders>
              <w:tl2br w:val="nil"/>
              <w:tr2bl w:val="nil"/>
            </w:tcBorders>
            <w:vAlign w:val="center"/>
          </w:tcPr>
          <w:p w14:paraId="07967446">
            <w:pPr>
              <w:widowControl/>
              <w:jc w:val="left"/>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呋喃唑酮代谢物</w:t>
            </w:r>
          </w:p>
        </w:tc>
        <w:tc>
          <w:tcPr>
            <w:tcW w:w="2956" w:type="dxa"/>
            <w:tcBorders>
              <w:tl2br w:val="nil"/>
              <w:tr2bl w:val="nil"/>
            </w:tcBorders>
            <w:vAlign w:val="center"/>
          </w:tcPr>
          <w:p w14:paraId="4AC4D62E">
            <w:pPr>
              <w:widowControl/>
              <w:jc w:val="left"/>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呋喃西林代谢物、氯霉素、氧氟沙星、诺氟沙星、恩诺沙星、环丙氨嗪</w:t>
            </w:r>
          </w:p>
        </w:tc>
      </w:tr>
      <w:tr w14:paraId="43A9845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946" w:hRule="atLeast"/>
        </w:trPr>
        <w:tc>
          <w:tcPr>
            <w:tcW w:w="953" w:type="dxa"/>
            <w:vMerge w:val="restart"/>
            <w:tcBorders>
              <w:tl2br w:val="nil"/>
              <w:tr2bl w:val="nil"/>
            </w:tcBorders>
            <w:vAlign w:val="center"/>
          </w:tcPr>
          <w:p w14:paraId="4555E73B">
            <w:pPr>
              <w:widowControl/>
              <w:jc w:val="center"/>
              <w:textAlignment w:val="center"/>
              <w:rPr>
                <w:rFonts w:hint="default" w:eastAsia="等线"/>
                <w:color w:val="auto"/>
                <w:kern w:val="0"/>
                <w:sz w:val="18"/>
                <w:szCs w:val="18"/>
                <w:highlight w:val="none"/>
                <w:lang w:val="en-US" w:eastAsia="zh-CN"/>
              </w:rPr>
            </w:pPr>
            <w:r>
              <w:rPr>
                <w:rFonts w:hint="eastAsia" w:eastAsia="等线"/>
                <w:color w:val="auto"/>
                <w:kern w:val="0"/>
                <w:sz w:val="18"/>
                <w:szCs w:val="18"/>
                <w:highlight w:val="none"/>
                <w:lang w:val="en-US" w:eastAsia="zh-CN" w:bidi="ar"/>
              </w:rPr>
              <w:t>34</w:t>
            </w:r>
          </w:p>
        </w:tc>
        <w:tc>
          <w:tcPr>
            <w:tcW w:w="796" w:type="dxa"/>
            <w:vMerge w:val="restart"/>
            <w:tcBorders>
              <w:tl2br w:val="nil"/>
              <w:tr2bl w:val="nil"/>
            </w:tcBorders>
            <w:vAlign w:val="center"/>
          </w:tcPr>
          <w:p w14:paraId="71F1B595">
            <w:pPr>
              <w:widowControl/>
              <w:jc w:val="center"/>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蔬菜</w:t>
            </w:r>
          </w:p>
        </w:tc>
        <w:tc>
          <w:tcPr>
            <w:tcW w:w="797" w:type="dxa"/>
            <w:vMerge w:val="restart"/>
            <w:tcBorders>
              <w:tl2br w:val="nil"/>
              <w:tr2bl w:val="nil"/>
            </w:tcBorders>
            <w:vAlign w:val="center"/>
          </w:tcPr>
          <w:p w14:paraId="5A5A45C4">
            <w:pPr>
              <w:widowControl/>
              <w:jc w:val="center"/>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蔬菜</w:t>
            </w:r>
          </w:p>
        </w:tc>
        <w:tc>
          <w:tcPr>
            <w:tcW w:w="797" w:type="dxa"/>
            <w:tcBorders>
              <w:tl2br w:val="nil"/>
              <w:tr2bl w:val="nil"/>
            </w:tcBorders>
            <w:vAlign w:val="center"/>
          </w:tcPr>
          <w:p w14:paraId="17D9237E">
            <w:pPr>
              <w:widowControl/>
              <w:jc w:val="center"/>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豆芽</w:t>
            </w:r>
          </w:p>
        </w:tc>
        <w:tc>
          <w:tcPr>
            <w:tcW w:w="953" w:type="dxa"/>
            <w:tcBorders>
              <w:tl2br w:val="nil"/>
              <w:tr2bl w:val="nil"/>
            </w:tcBorders>
            <w:vAlign w:val="center"/>
          </w:tcPr>
          <w:p w14:paraId="3A894D19">
            <w:pPr>
              <w:widowControl/>
              <w:jc w:val="center"/>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豆芽</w:t>
            </w:r>
          </w:p>
        </w:tc>
        <w:tc>
          <w:tcPr>
            <w:tcW w:w="1896" w:type="dxa"/>
            <w:tcBorders>
              <w:tl2br w:val="nil"/>
              <w:tr2bl w:val="nil"/>
            </w:tcBorders>
            <w:vAlign w:val="center"/>
          </w:tcPr>
          <w:p w14:paraId="696733AB">
            <w:pPr>
              <w:widowControl/>
              <w:jc w:val="left"/>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4-氯苯氧乙酸钠（以4-氯苯氧乙酸计）、6-苄基腺嘌呤（6-BA）</w:t>
            </w:r>
          </w:p>
        </w:tc>
        <w:tc>
          <w:tcPr>
            <w:tcW w:w="2956" w:type="dxa"/>
            <w:tcBorders>
              <w:tl2br w:val="nil"/>
              <w:tr2bl w:val="nil"/>
            </w:tcBorders>
            <w:vAlign w:val="center"/>
          </w:tcPr>
          <w:p w14:paraId="4DE731F6">
            <w:pPr>
              <w:widowControl/>
              <w:jc w:val="left"/>
              <w:textAlignment w:val="center"/>
              <w:rPr>
                <w:rFonts w:ascii="仿宋" w:hAnsi="仿宋" w:eastAsia="仿宋" w:cs="宋体"/>
                <w:color w:val="auto"/>
                <w:kern w:val="0"/>
                <w:sz w:val="18"/>
                <w:szCs w:val="18"/>
                <w:highlight w:val="none"/>
              </w:rPr>
            </w:pPr>
            <w:r>
              <w:rPr>
                <w:rFonts w:hint="eastAsia" w:ascii="宋体" w:hAnsi="宋体" w:cs="宋体"/>
                <w:color w:val="auto"/>
                <w:kern w:val="0"/>
                <w:sz w:val="18"/>
                <w:szCs w:val="18"/>
                <w:highlight w:val="none"/>
                <w:lang w:bidi="ar"/>
              </w:rPr>
              <w:t>亚硫酸盐（以SO2计）、铅（以pb计）、总汞（以Hg计）</w:t>
            </w:r>
          </w:p>
        </w:tc>
      </w:tr>
      <w:tr w14:paraId="6FFE6D8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946" w:hRule="atLeast"/>
        </w:trPr>
        <w:tc>
          <w:tcPr>
            <w:tcW w:w="953" w:type="dxa"/>
            <w:vMerge w:val="continue"/>
            <w:tcBorders>
              <w:tl2br w:val="nil"/>
              <w:tr2bl w:val="nil"/>
            </w:tcBorders>
            <w:vAlign w:val="center"/>
          </w:tcPr>
          <w:p w14:paraId="06DEC38E">
            <w:pPr>
              <w:jc w:val="center"/>
              <w:rPr>
                <w:rFonts w:eastAsia="等线"/>
                <w:color w:val="auto"/>
                <w:kern w:val="0"/>
                <w:sz w:val="18"/>
                <w:szCs w:val="18"/>
                <w:highlight w:val="none"/>
              </w:rPr>
            </w:pPr>
          </w:p>
        </w:tc>
        <w:tc>
          <w:tcPr>
            <w:tcW w:w="796" w:type="dxa"/>
            <w:vMerge w:val="continue"/>
            <w:tcBorders>
              <w:tl2br w:val="nil"/>
              <w:tr2bl w:val="nil"/>
            </w:tcBorders>
            <w:vAlign w:val="center"/>
          </w:tcPr>
          <w:p w14:paraId="23E1A395">
            <w:pPr>
              <w:jc w:val="center"/>
              <w:rPr>
                <w:rFonts w:ascii="宋体" w:hAnsi="宋体" w:cs="宋体"/>
                <w:color w:val="auto"/>
                <w:kern w:val="0"/>
                <w:sz w:val="18"/>
                <w:szCs w:val="18"/>
                <w:highlight w:val="none"/>
              </w:rPr>
            </w:pPr>
          </w:p>
        </w:tc>
        <w:tc>
          <w:tcPr>
            <w:tcW w:w="797" w:type="dxa"/>
            <w:vMerge w:val="continue"/>
            <w:tcBorders>
              <w:tl2br w:val="nil"/>
              <w:tr2bl w:val="nil"/>
            </w:tcBorders>
            <w:vAlign w:val="center"/>
          </w:tcPr>
          <w:p w14:paraId="38EB65F1">
            <w:pPr>
              <w:jc w:val="center"/>
              <w:rPr>
                <w:rFonts w:ascii="宋体" w:hAnsi="宋体" w:cs="宋体"/>
                <w:color w:val="auto"/>
                <w:kern w:val="0"/>
                <w:sz w:val="18"/>
                <w:szCs w:val="18"/>
                <w:highlight w:val="none"/>
              </w:rPr>
            </w:pPr>
          </w:p>
        </w:tc>
        <w:tc>
          <w:tcPr>
            <w:tcW w:w="797" w:type="dxa"/>
            <w:tcBorders>
              <w:tl2br w:val="nil"/>
              <w:tr2bl w:val="nil"/>
            </w:tcBorders>
            <w:vAlign w:val="center"/>
          </w:tcPr>
          <w:p w14:paraId="16F1BC11">
            <w:pPr>
              <w:widowControl/>
              <w:jc w:val="center"/>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鲜食用菌</w:t>
            </w:r>
          </w:p>
        </w:tc>
        <w:tc>
          <w:tcPr>
            <w:tcW w:w="953" w:type="dxa"/>
            <w:tcBorders>
              <w:tl2br w:val="nil"/>
              <w:tr2bl w:val="nil"/>
            </w:tcBorders>
            <w:vAlign w:val="center"/>
          </w:tcPr>
          <w:p w14:paraId="118A1DD0">
            <w:pPr>
              <w:widowControl/>
              <w:jc w:val="center"/>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鲜食用菌</w:t>
            </w:r>
          </w:p>
        </w:tc>
        <w:tc>
          <w:tcPr>
            <w:tcW w:w="1896" w:type="dxa"/>
            <w:tcBorders>
              <w:tl2br w:val="nil"/>
              <w:tr2bl w:val="nil"/>
            </w:tcBorders>
            <w:vAlign w:val="center"/>
          </w:tcPr>
          <w:p w14:paraId="22D75F4F">
            <w:pPr>
              <w:widowControl/>
              <w:jc w:val="left"/>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镉（以</w:t>
            </w:r>
            <w:r>
              <w:rPr>
                <w:color w:val="auto"/>
                <w:kern w:val="0"/>
                <w:sz w:val="18"/>
                <w:szCs w:val="18"/>
                <w:highlight w:val="none"/>
                <w:lang w:bidi="ar"/>
              </w:rPr>
              <w:t>Cd</w:t>
            </w:r>
            <w:r>
              <w:rPr>
                <w:rFonts w:hint="eastAsia" w:ascii="宋体" w:hAnsi="宋体" w:cs="宋体"/>
                <w:color w:val="auto"/>
                <w:kern w:val="0"/>
                <w:sz w:val="18"/>
                <w:szCs w:val="18"/>
                <w:highlight w:val="none"/>
                <w:lang w:bidi="ar"/>
              </w:rPr>
              <w:t>计）</w:t>
            </w:r>
          </w:p>
        </w:tc>
        <w:tc>
          <w:tcPr>
            <w:tcW w:w="2956" w:type="dxa"/>
            <w:tcBorders>
              <w:tl2br w:val="nil"/>
              <w:tr2bl w:val="nil"/>
            </w:tcBorders>
            <w:vAlign w:val="center"/>
          </w:tcPr>
          <w:p w14:paraId="08853E46">
            <w:pPr>
              <w:widowControl/>
              <w:jc w:val="left"/>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百菌清、除虫脲、氯氟氰菊酯和高效氯氟氰菊酯、氯氰菊酯和高效氯氰菊酯</w:t>
            </w:r>
          </w:p>
        </w:tc>
      </w:tr>
      <w:tr w14:paraId="576CB15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920" w:hRule="atLeast"/>
        </w:trPr>
        <w:tc>
          <w:tcPr>
            <w:tcW w:w="953" w:type="dxa"/>
            <w:vMerge w:val="continue"/>
            <w:tcBorders>
              <w:tl2br w:val="nil"/>
              <w:tr2bl w:val="nil"/>
            </w:tcBorders>
            <w:vAlign w:val="center"/>
          </w:tcPr>
          <w:p w14:paraId="3CDEDC11">
            <w:pPr>
              <w:widowControl/>
              <w:jc w:val="center"/>
              <w:textAlignment w:val="center"/>
              <w:rPr>
                <w:rFonts w:eastAsia="等线"/>
                <w:color w:val="auto"/>
                <w:kern w:val="0"/>
                <w:sz w:val="18"/>
                <w:szCs w:val="18"/>
                <w:highlight w:val="none"/>
              </w:rPr>
            </w:pPr>
          </w:p>
        </w:tc>
        <w:tc>
          <w:tcPr>
            <w:tcW w:w="796" w:type="dxa"/>
            <w:vMerge w:val="continue"/>
            <w:tcBorders>
              <w:tl2br w:val="nil"/>
              <w:tr2bl w:val="nil"/>
            </w:tcBorders>
            <w:vAlign w:val="center"/>
          </w:tcPr>
          <w:p w14:paraId="2E058DC6">
            <w:pPr>
              <w:widowControl/>
              <w:jc w:val="center"/>
              <w:textAlignment w:val="center"/>
              <w:rPr>
                <w:rFonts w:ascii="宋体" w:hAnsi="宋体" w:cs="宋体"/>
                <w:color w:val="auto"/>
                <w:kern w:val="0"/>
                <w:sz w:val="18"/>
                <w:szCs w:val="18"/>
                <w:highlight w:val="none"/>
              </w:rPr>
            </w:pPr>
          </w:p>
        </w:tc>
        <w:tc>
          <w:tcPr>
            <w:tcW w:w="797" w:type="dxa"/>
            <w:vMerge w:val="continue"/>
            <w:tcBorders>
              <w:tl2br w:val="nil"/>
              <w:tr2bl w:val="nil"/>
            </w:tcBorders>
            <w:vAlign w:val="center"/>
          </w:tcPr>
          <w:p w14:paraId="0DEF0C9C">
            <w:pPr>
              <w:widowControl/>
              <w:jc w:val="center"/>
              <w:textAlignment w:val="center"/>
              <w:rPr>
                <w:rFonts w:ascii="宋体" w:hAnsi="宋体" w:cs="宋体"/>
                <w:color w:val="auto"/>
                <w:kern w:val="0"/>
                <w:sz w:val="18"/>
                <w:szCs w:val="18"/>
                <w:highlight w:val="none"/>
              </w:rPr>
            </w:pPr>
          </w:p>
        </w:tc>
        <w:tc>
          <w:tcPr>
            <w:tcW w:w="797" w:type="dxa"/>
            <w:vMerge w:val="restart"/>
            <w:tcBorders>
              <w:tl2br w:val="nil"/>
              <w:tr2bl w:val="nil"/>
            </w:tcBorders>
            <w:vAlign w:val="center"/>
          </w:tcPr>
          <w:p w14:paraId="29D1362E">
            <w:pPr>
              <w:widowControl/>
              <w:jc w:val="center"/>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鳞茎类蔬菜</w:t>
            </w:r>
          </w:p>
        </w:tc>
        <w:tc>
          <w:tcPr>
            <w:tcW w:w="953" w:type="dxa"/>
            <w:tcBorders>
              <w:tl2br w:val="nil"/>
              <w:tr2bl w:val="nil"/>
            </w:tcBorders>
            <w:vAlign w:val="center"/>
          </w:tcPr>
          <w:p w14:paraId="4787C93D">
            <w:pPr>
              <w:widowControl/>
              <w:jc w:val="center"/>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韭菜</w:t>
            </w:r>
          </w:p>
        </w:tc>
        <w:tc>
          <w:tcPr>
            <w:tcW w:w="1896" w:type="dxa"/>
            <w:tcBorders>
              <w:tl2br w:val="nil"/>
              <w:tr2bl w:val="nil"/>
            </w:tcBorders>
            <w:vAlign w:val="center"/>
          </w:tcPr>
          <w:p w14:paraId="57587C44">
            <w:pPr>
              <w:widowControl/>
              <w:jc w:val="left"/>
              <w:textAlignment w:val="center"/>
              <w:rPr>
                <w:rFonts w:eastAsia="等线"/>
                <w:color w:val="auto"/>
                <w:kern w:val="0"/>
                <w:szCs w:val="28"/>
                <w:highlight w:val="none"/>
              </w:rPr>
            </w:pPr>
            <w:r>
              <w:rPr>
                <w:rFonts w:hint="eastAsia" w:ascii="宋体" w:hAnsi="宋体" w:cs="宋体"/>
                <w:color w:val="auto"/>
                <w:kern w:val="0"/>
                <w:sz w:val="18"/>
                <w:szCs w:val="18"/>
                <w:highlight w:val="none"/>
                <w:lang w:bidi="ar"/>
              </w:rPr>
              <w:t>镉（以</w:t>
            </w:r>
            <w:r>
              <w:rPr>
                <w:color w:val="auto"/>
                <w:kern w:val="0"/>
                <w:sz w:val="18"/>
                <w:szCs w:val="18"/>
                <w:highlight w:val="none"/>
                <w:lang w:bidi="ar"/>
              </w:rPr>
              <w:t>Cd</w:t>
            </w:r>
            <w:r>
              <w:rPr>
                <w:rFonts w:hint="eastAsia" w:ascii="宋体" w:hAnsi="宋体" w:cs="宋体"/>
                <w:color w:val="auto"/>
                <w:kern w:val="0"/>
                <w:sz w:val="18"/>
                <w:szCs w:val="18"/>
                <w:highlight w:val="none"/>
                <w:lang w:bidi="ar"/>
              </w:rPr>
              <w:t>计）、乙酰甲胺磷、毒死蜱</w:t>
            </w:r>
          </w:p>
        </w:tc>
        <w:tc>
          <w:tcPr>
            <w:tcW w:w="2956" w:type="dxa"/>
            <w:tcBorders>
              <w:tl2br w:val="nil"/>
              <w:tr2bl w:val="nil"/>
            </w:tcBorders>
            <w:vAlign w:val="center"/>
          </w:tcPr>
          <w:p w14:paraId="5E1BD523">
            <w:pPr>
              <w:widowControl/>
              <w:jc w:val="left"/>
              <w:textAlignment w:val="center"/>
              <w:rPr>
                <w:rFonts w:eastAsia="等线"/>
                <w:color w:val="auto"/>
                <w:kern w:val="0"/>
                <w:szCs w:val="28"/>
                <w:highlight w:val="none"/>
              </w:rPr>
            </w:pPr>
            <w:r>
              <w:rPr>
                <w:rFonts w:hint="eastAsia" w:ascii="宋体" w:hAnsi="宋体" w:cs="宋体"/>
                <w:color w:val="auto"/>
                <w:kern w:val="0"/>
                <w:sz w:val="18"/>
                <w:szCs w:val="18"/>
                <w:highlight w:val="none"/>
                <w:lang w:bidi="ar"/>
              </w:rPr>
              <w:t>三氯杀螨醇、甲胺磷、铅（以Pb计）、腐霉利、氧乐果、水胺硫磷、氯氰菊酯和高效氯氰菊酯、敌敌畏、三唑磷、甲拌磷、多菌灵、克百威、乐果、二甲戊灵、阿维菌素、氟虫腈、六六六、辛硫磷、氯氟氰菊酯和高效氯氟氰菊酯</w:t>
            </w:r>
          </w:p>
        </w:tc>
      </w:tr>
      <w:tr w14:paraId="4D03753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78" w:hRule="atLeast"/>
        </w:trPr>
        <w:tc>
          <w:tcPr>
            <w:tcW w:w="953" w:type="dxa"/>
            <w:vMerge w:val="continue"/>
            <w:tcBorders>
              <w:tl2br w:val="nil"/>
              <w:tr2bl w:val="nil"/>
            </w:tcBorders>
            <w:vAlign w:val="center"/>
          </w:tcPr>
          <w:p w14:paraId="36F09540">
            <w:pPr>
              <w:jc w:val="center"/>
              <w:rPr>
                <w:rFonts w:eastAsia="等线"/>
                <w:color w:val="auto"/>
                <w:kern w:val="0"/>
                <w:sz w:val="18"/>
                <w:szCs w:val="18"/>
                <w:highlight w:val="none"/>
              </w:rPr>
            </w:pPr>
          </w:p>
        </w:tc>
        <w:tc>
          <w:tcPr>
            <w:tcW w:w="796" w:type="dxa"/>
            <w:vMerge w:val="continue"/>
            <w:tcBorders>
              <w:tl2br w:val="nil"/>
              <w:tr2bl w:val="nil"/>
            </w:tcBorders>
            <w:vAlign w:val="center"/>
          </w:tcPr>
          <w:p w14:paraId="49BBC556">
            <w:pPr>
              <w:jc w:val="center"/>
              <w:rPr>
                <w:rFonts w:ascii="宋体" w:hAnsi="宋体" w:cs="宋体"/>
                <w:color w:val="auto"/>
                <w:kern w:val="0"/>
                <w:sz w:val="18"/>
                <w:szCs w:val="18"/>
                <w:highlight w:val="none"/>
              </w:rPr>
            </w:pPr>
          </w:p>
        </w:tc>
        <w:tc>
          <w:tcPr>
            <w:tcW w:w="797" w:type="dxa"/>
            <w:vMerge w:val="continue"/>
            <w:tcBorders>
              <w:tl2br w:val="nil"/>
              <w:tr2bl w:val="nil"/>
            </w:tcBorders>
            <w:vAlign w:val="center"/>
          </w:tcPr>
          <w:p w14:paraId="011DF9CD">
            <w:pPr>
              <w:jc w:val="center"/>
              <w:rPr>
                <w:rFonts w:ascii="宋体" w:hAnsi="宋体" w:cs="宋体"/>
                <w:color w:val="auto"/>
                <w:kern w:val="0"/>
                <w:sz w:val="18"/>
                <w:szCs w:val="18"/>
                <w:highlight w:val="none"/>
              </w:rPr>
            </w:pPr>
          </w:p>
        </w:tc>
        <w:tc>
          <w:tcPr>
            <w:tcW w:w="797" w:type="dxa"/>
            <w:vMerge w:val="continue"/>
            <w:tcBorders>
              <w:tl2br w:val="nil"/>
              <w:tr2bl w:val="nil"/>
            </w:tcBorders>
            <w:vAlign w:val="center"/>
          </w:tcPr>
          <w:p w14:paraId="4FC698E3">
            <w:pPr>
              <w:jc w:val="center"/>
              <w:rPr>
                <w:rFonts w:ascii="宋体" w:hAnsi="宋体" w:cs="宋体"/>
                <w:color w:val="auto"/>
                <w:kern w:val="0"/>
                <w:sz w:val="18"/>
                <w:szCs w:val="18"/>
                <w:highlight w:val="none"/>
              </w:rPr>
            </w:pPr>
          </w:p>
        </w:tc>
        <w:tc>
          <w:tcPr>
            <w:tcW w:w="953" w:type="dxa"/>
            <w:tcBorders>
              <w:tl2br w:val="nil"/>
              <w:tr2bl w:val="nil"/>
            </w:tcBorders>
            <w:vAlign w:val="center"/>
          </w:tcPr>
          <w:p w14:paraId="7389157C">
            <w:pPr>
              <w:widowControl/>
              <w:jc w:val="center"/>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葱</w:t>
            </w:r>
          </w:p>
        </w:tc>
        <w:tc>
          <w:tcPr>
            <w:tcW w:w="1896" w:type="dxa"/>
            <w:tcBorders>
              <w:tl2br w:val="nil"/>
              <w:tr2bl w:val="nil"/>
            </w:tcBorders>
            <w:vAlign w:val="center"/>
          </w:tcPr>
          <w:p w14:paraId="61DE02C5">
            <w:pPr>
              <w:widowControl/>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镉（以Cd计）、噻虫嗪</w:t>
            </w:r>
          </w:p>
        </w:tc>
        <w:tc>
          <w:tcPr>
            <w:tcW w:w="2956" w:type="dxa"/>
            <w:tcBorders>
              <w:tl2br w:val="nil"/>
              <w:tr2bl w:val="nil"/>
            </w:tcBorders>
            <w:vAlign w:val="center"/>
          </w:tcPr>
          <w:p w14:paraId="2C38C191">
            <w:pPr>
              <w:widowControl/>
              <w:jc w:val="center"/>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乙酰甲胺磷、毒死蜱、水胺硫磷、氯氟氰菊酯和高效氯氟氰菊酯、克百威、铅（以Pb计）、甲基异柳磷、氧乐果、甲拌磷、三唑磷、戊唑醇、丙环唑</w:t>
            </w:r>
          </w:p>
        </w:tc>
      </w:tr>
      <w:tr w14:paraId="0465EB4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76" w:hRule="atLeast"/>
        </w:trPr>
        <w:tc>
          <w:tcPr>
            <w:tcW w:w="953" w:type="dxa"/>
            <w:vMerge w:val="continue"/>
            <w:tcBorders>
              <w:tl2br w:val="nil"/>
              <w:tr2bl w:val="nil"/>
            </w:tcBorders>
            <w:vAlign w:val="center"/>
          </w:tcPr>
          <w:p w14:paraId="3C619FED">
            <w:pPr>
              <w:jc w:val="center"/>
              <w:rPr>
                <w:rFonts w:eastAsia="等线"/>
                <w:color w:val="auto"/>
                <w:kern w:val="0"/>
                <w:sz w:val="18"/>
                <w:szCs w:val="18"/>
                <w:highlight w:val="none"/>
              </w:rPr>
            </w:pPr>
          </w:p>
        </w:tc>
        <w:tc>
          <w:tcPr>
            <w:tcW w:w="796" w:type="dxa"/>
            <w:vMerge w:val="continue"/>
            <w:tcBorders>
              <w:tl2br w:val="nil"/>
              <w:tr2bl w:val="nil"/>
            </w:tcBorders>
            <w:vAlign w:val="center"/>
          </w:tcPr>
          <w:p w14:paraId="66329868">
            <w:pPr>
              <w:jc w:val="center"/>
              <w:rPr>
                <w:rFonts w:ascii="宋体" w:hAnsi="宋体" w:cs="宋体"/>
                <w:color w:val="auto"/>
                <w:kern w:val="0"/>
                <w:sz w:val="18"/>
                <w:szCs w:val="18"/>
                <w:highlight w:val="none"/>
              </w:rPr>
            </w:pPr>
          </w:p>
        </w:tc>
        <w:tc>
          <w:tcPr>
            <w:tcW w:w="797" w:type="dxa"/>
            <w:vMerge w:val="continue"/>
            <w:tcBorders>
              <w:tl2br w:val="nil"/>
              <w:tr2bl w:val="nil"/>
            </w:tcBorders>
            <w:vAlign w:val="center"/>
          </w:tcPr>
          <w:p w14:paraId="398E0534">
            <w:pPr>
              <w:jc w:val="center"/>
              <w:rPr>
                <w:rFonts w:ascii="宋体" w:hAnsi="宋体" w:cs="宋体"/>
                <w:color w:val="auto"/>
                <w:kern w:val="0"/>
                <w:sz w:val="18"/>
                <w:szCs w:val="18"/>
                <w:highlight w:val="none"/>
              </w:rPr>
            </w:pPr>
          </w:p>
        </w:tc>
        <w:tc>
          <w:tcPr>
            <w:tcW w:w="797" w:type="dxa"/>
            <w:vMerge w:val="restart"/>
            <w:tcBorders>
              <w:tl2br w:val="nil"/>
              <w:tr2bl w:val="nil"/>
            </w:tcBorders>
            <w:vAlign w:val="center"/>
          </w:tcPr>
          <w:p w14:paraId="34660D92">
            <w:pPr>
              <w:widowControl/>
              <w:jc w:val="center"/>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芸薹属类蔬菜</w:t>
            </w:r>
          </w:p>
        </w:tc>
        <w:tc>
          <w:tcPr>
            <w:tcW w:w="953" w:type="dxa"/>
            <w:tcBorders>
              <w:tl2br w:val="nil"/>
              <w:tr2bl w:val="nil"/>
            </w:tcBorders>
            <w:vAlign w:val="center"/>
          </w:tcPr>
          <w:p w14:paraId="71A47308">
            <w:pPr>
              <w:widowControl/>
              <w:jc w:val="center"/>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菜薹</w:t>
            </w:r>
          </w:p>
        </w:tc>
        <w:tc>
          <w:tcPr>
            <w:tcW w:w="1896" w:type="dxa"/>
            <w:tcBorders>
              <w:tl2br w:val="nil"/>
              <w:tr2bl w:val="nil"/>
            </w:tcBorders>
            <w:vAlign w:val="center"/>
          </w:tcPr>
          <w:p w14:paraId="295B9F35">
            <w:pPr>
              <w:widowControl/>
              <w:jc w:val="left"/>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毒死蜱、啶虫脒</w:t>
            </w:r>
          </w:p>
        </w:tc>
        <w:tc>
          <w:tcPr>
            <w:tcW w:w="2956" w:type="dxa"/>
            <w:tcBorders>
              <w:tl2br w:val="nil"/>
              <w:tr2bl w:val="nil"/>
            </w:tcBorders>
            <w:vAlign w:val="center"/>
          </w:tcPr>
          <w:p w14:paraId="5176FFC9">
            <w:pPr>
              <w:widowControl/>
              <w:jc w:val="left"/>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噻虫胺、联苯菊酯、镉（以Cd计）、吡虫啉、氟虫腈</w:t>
            </w:r>
          </w:p>
        </w:tc>
      </w:tr>
      <w:tr w14:paraId="0E0D207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471" w:hRule="atLeast"/>
        </w:trPr>
        <w:tc>
          <w:tcPr>
            <w:tcW w:w="953" w:type="dxa"/>
            <w:vMerge w:val="continue"/>
            <w:tcBorders>
              <w:tl2br w:val="nil"/>
              <w:tr2bl w:val="nil"/>
            </w:tcBorders>
            <w:vAlign w:val="center"/>
          </w:tcPr>
          <w:p w14:paraId="3AF5498A">
            <w:pPr>
              <w:jc w:val="center"/>
              <w:rPr>
                <w:rFonts w:eastAsia="等线"/>
                <w:color w:val="auto"/>
                <w:kern w:val="0"/>
                <w:sz w:val="18"/>
                <w:szCs w:val="18"/>
                <w:highlight w:val="none"/>
              </w:rPr>
            </w:pPr>
          </w:p>
        </w:tc>
        <w:tc>
          <w:tcPr>
            <w:tcW w:w="796" w:type="dxa"/>
            <w:vMerge w:val="continue"/>
            <w:tcBorders>
              <w:tl2br w:val="nil"/>
              <w:tr2bl w:val="nil"/>
            </w:tcBorders>
            <w:vAlign w:val="center"/>
          </w:tcPr>
          <w:p w14:paraId="7F8B363F">
            <w:pPr>
              <w:jc w:val="center"/>
              <w:rPr>
                <w:rFonts w:ascii="宋体" w:hAnsi="宋体" w:cs="宋体"/>
                <w:color w:val="auto"/>
                <w:kern w:val="0"/>
                <w:sz w:val="18"/>
                <w:szCs w:val="18"/>
                <w:highlight w:val="none"/>
              </w:rPr>
            </w:pPr>
          </w:p>
        </w:tc>
        <w:tc>
          <w:tcPr>
            <w:tcW w:w="797" w:type="dxa"/>
            <w:vMerge w:val="continue"/>
            <w:tcBorders>
              <w:tl2br w:val="nil"/>
              <w:tr2bl w:val="nil"/>
            </w:tcBorders>
            <w:vAlign w:val="center"/>
          </w:tcPr>
          <w:p w14:paraId="2F8B21D8">
            <w:pPr>
              <w:jc w:val="center"/>
              <w:rPr>
                <w:rFonts w:ascii="宋体" w:hAnsi="宋体" w:cs="宋体"/>
                <w:color w:val="auto"/>
                <w:kern w:val="0"/>
                <w:sz w:val="18"/>
                <w:szCs w:val="18"/>
                <w:highlight w:val="none"/>
              </w:rPr>
            </w:pPr>
          </w:p>
        </w:tc>
        <w:tc>
          <w:tcPr>
            <w:tcW w:w="797" w:type="dxa"/>
            <w:vMerge w:val="continue"/>
            <w:tcBorders>
              <w:tl2br w:val="nil"/>
              <w:tr2bl w:val="nil"/>
            </w:tcBorders>
            <w:vAlign w:val="center"/>
          </w:tcPr>
          <w:p w14:paraId="3F9DC1C5">
            <w:pPr>
              <w:jc w:val="center"/>
              <w:rPr>
                <w:rFonts w:ascii="宋体" w:hAnsi="宋体" w:cs="宋体"/>
                <w:color w:val="auto"/>
                <w:kern w:val="0"/>
                <w:sz w:val="18"/>
                <w:szCs w:val="18"/>
                <w:highlight w:val="none"/>
              </w:rPr>
            </w:pPr>
          </w:p>
        </w:tc>
        <w:tc>
          <w:tcPr>
            <w:tcW w:w="953" w:type="dxa"/>
            <w:tcBorders>
              <w:tl2br w:val="nil"/>
              <w:tr2bl w:val="nil"/>
            </w:tcBorders>
            <w:vAlign w:val="center"/>
          </w:tcPr>
          <w:p w14:paraId="31FCF3D1">
            <w:pPr>
              <w:widowControl/>
              <w:jc w:val="center"/>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结球甘蓝</w:t>
            </w:r>
          </w:p>
        </w:tc>
        <w:tc>
          <w:tcPr>
            <w:tcW w:w="1896" w:type="dxa"/>
            <w:tcBorders>
              <w:tl2br w:val="nil"/>
              <w:tr2bl w:val="nil"/>
            </w:tcBorders>
            <w:vAlign w:val="center"/>
          </w:tcPr>
          <w:p w14:paraId="0263EFB3">
            <w:pPr>
              <w:widowControl/>
              <w:jc w:val="left"/>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甲胺磷、乙酰甲胺磷</w:t>
            </w:r>
          </w:p>
        </w:tc>
        <w:tc>
          <w:tcPr>
            <w:tcW w:w="2956" w:type="dxa"/>
            <w:tcBorders>
              <w:tl2br w:val="nil"/>
              <w:tr2bl w:val="nil"/>
            </w:tcBorders>
            <w:vAlign w:val="center"/>
          </w:tcPr>
          <w:p w14:paraId="0604F7E7">
            <w:pPr>
              <w:widowControl/>
              <w:jc w:val="left"/>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毒死蜱、氧乐果</w:t>
            </w:r>
          </w:p>
        </w:tc>
      </w:tr>
      <w:tr w14:paraId="7BF02B0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811" w:hRule="atLeast"/>
        </w:trPr>
        <w:tc>
          <w:tcPr>
            <w:tcW w:w="953" w:type="dxa"/>
            <w:vMerge w:val="continue"/>
            <w:tcBorders>
              <w:tl2br w:val="nil"/>
              <w:tr2bl w:val="nil"/>
            </w:tcBorders>
            <w:vAlign w:val="center"/>
          </w:tcPr>
          <w:p w14:paraId="5C528D4D">
            <w:pPr>
              <w:jc w:val="center"/>
              <w:rPr>
                <w:rFonts w:eastAsia="等线"/>
                <w:color w:val="auto"/>
                <w:kern w:val="0"/>
                <w:sz w:val="18"/>
                <w:szCs w:val="18"/>
                <w:highlight w:val="none"/>
              </w:rPr>
            </w:pPr>
          </w:p>
        </w:tc>
        <w:tc>
          <w:tcPr>
            <w:tcW w:w="796" w:type="dxa"/>
            <w:vMerge w:val="continue"/>
            <w:tcBorders>
              <w:tl2br w:val="nil"/>
              <w:tr2bl w:val="nil"/>
            </w:tcBorders>
            <w:vAlign w:val="center"/>
          </w:tcPr>
          <w:p w14:paraId="74C08343">
            <w:pPr>
              <w:jc w:val="center"/>
              <w:rPr>
                <w:rFonts w:ascii="宋体" w:hAnsi="宋体" w:cs="宋体"/>
                <w:color w:val="auto"/>
                <w:kern w:val="0"/>
                <w:sz w:val="18"/>
                <w:szCs w:val="18"/>
                <w:highlight w:val="none"/>
              </w:rPr>
            </w:pPr>
          </w:p>
        </w:tc>
        <w:tc>
          <w:tcPr>
            <w:tcW w:w="797" w:type="dxa"/>
            <w:vMerge w:val="continue"/>
            <w:tcBorders>
              <w:tl2br w:val="nil"/>
              <w:tr2bl w:val="nil"/>
            </w:tcBorders>
            <w:vAlign w:val="center"/>
          </w:tcPr>
          <w:p w14:paraId="01968F84">
            <w:pPr>
              <w:jc w:val="center"/>
              <w:rPr>
                <w:rFonts w:ascii="宋体" w:hAnsi="宋体" w:cs="宋体"/>
                <w:color w:val="auto"/>
                <w:kern w:val="0"/>
                <w:sz w:val="18"/>
                <w:szCs w:val="18"/>
                <w:highlight w:val="none"/>
              </w:rPr>
            </w:pPr>
          </w:p>
        </w:tc>
        <w:tc>
          <w:tcPr>
            <w:tcW w:w="797" w:type="dxa"/>
            <w:vMerge w:val="restart"/>
            <w:tcBorders>
              <w:tl2br w:val="nil"/>
              <w:tr2bl w:val="nil"/>
            </w:tcBorders>
            <w:vAlign w:val="center"/>
          </w:tcPr>
          <w:p w14:paraId="17C9756A">
            <w:pPr>
              <w:widowControl/>
              <w:jc w:val="center"/>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叶菜类蔬菜</w:t>
            </w:r>
          </w:p>
        </w:tc>
        <w:tc>
          <w:tcPr>
            <w:tcW w:w="953" w:type="dxa"/>
            <w:tcBorders>
              <w:tl2br w:val="nil"/>
              <w:tr2bl w:val="nil"/>
            </w:tcBorders>
            <w:vAlign w:val="center"/>
          </w:tcPr>
          <w:p w14:paraId="0EB15203">
            <w:pPr>
              <w:widowControl/>
              <w:jc w:val="center"/>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菠菜</w:t>
            </w:r>
          </w:p>
        </w:tc>
        <w:tc>
          <w:tcPr>
            <w:tcW w:w="1896" w:type="dxa"/>
            <w:tcBorders>
              <w:tl2br w:val="nil"/>
              <w:tr2bl w:val="nil"/>
            </w:tcBorders>
            <w:vAlign w:val="center"/>
          </w:tcPr>
          <w:p w14:paraId="7BBA1337">
            <w:pPr>
              <w:widowControl/>
              <w:jc w:val="center"/>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毒死蜱</w:t>
            </w:r>
          </w:p>
        </w:tc>
        <w:tc>
          <w:tcPr>
            <w:tcW w:w="2956" w:type="dxa"/>
            <w:tcBorders>
              <w:tl2br w:val="nil"/>
              <w:tr2bl w:val="nil"/>
            </w:tcBorders>
            <w:vAlign w:val="center"/>
          </w:tcPr>
          <w:p w14:paraId="31F04505">
            <w:pPr>
              <w:widowControl/>
              <w:jc w:val="center"/>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水胺硫磷、乙酰甲胺磷、铬（以Cr计）、氟虫腈、氯氟氰菊酯和高效氯氟氰菊酯、阿维菌素、氧乐果、腐霉利、甲拌磷、乐果、</w:t>
            </w:r>
            <w:r>
              <w:rPr>
                <w:rFonts w:hint="eastAsia" w:ascii="宋体" w:hAnsi="宋体" w:cs="宋体"/>
                <w:color w:val="auto"/>
                <w:kern w:val="0"/>
                <w:sz w:val="22"/>
                <w:szCs w:val="22"/>
                <w:highlight w:val="none"/>
                <w:lang w:bidi="ar"/>
              </w:rPr>
              <w:t>克百威</w:t>
            </w:r>
            <w:r>
              <w:rPr>
                <w:rFonts w:hint="eastAsia" w:ascii="宋体" w:hAnsi="宋体" w:cs="宋体"/>
                <w:color w:val="auto"/>
                <w:kern w:val="0"/>
                <w:sz w:val="18"/>
                <w:szCs w:val="18"/>
                <w:highlight w:val="none"/>
                <w:lang w:bidi="ar"/>
              </w:rPr>
              <w:t>、甲氨基阿维菌素苯甲酸盐、铅（以Pb计）、镉（以Cd计）</w:t>
            </w:r>
          </w:p>
        </w:tc>
      </w:tr>
      <w:tr w14:paraId="7A0B9B3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015" w:hRule="atLeast"/>
        </w:trPr>
        <w:tc>
          <w:tcPr>
            <w:tcW w:w="953" w:type="dxa"/>
            <w:vMerge w:val="continue"/>
            <w:tcBorders>
              <w:tl2br w:val="nil"/>
              <w:tr2bl w:val="nil"/>
            </w:tcBorders>
            <w:vAlign w:val="center"/>
          </w:tcPr>
          <w:p w14:paraId="0376C623">
            <w:pPr>
              <w:jc w:val="center"/>
              <w:rPr>
                <w:rFonts w:eastAsia="等线"/>
                <w:color w:val="auto"/>
                <w:kern w:val="0"/>
                <w:sz w:val="18"/>
                <w:szCs w:val="18"/>
                <w:highlight w:val="none"/>
              </w:rPr>
            </w:pPr>
          </w:p>
        </w:tc>
        <w:tc>
          <w:tcPr>
            <w:tcW w:w="796" w:type="dxa"/>
            <w:vMerge w:val="continue"/>
            <w:tcBorders>
              <w:tl2br w:val="nil"/>
              <w:tr2bl w:val="nil"/>
            </w:tcBorders>
            <w:vAlign w:val="center"/>
          </w:tcPr>
          <w:p w14:paraId="710628F6">
            <w:pPr>
              <w:jc w:val="center"/>
              <w:rPr>
                <w:rFonts w:ascii="宋体" w:hAnsi="宋体" w:cs="宋体"/>
                <w:color w:val="auto"/>
                <w:kern w:val="0"/>
                <w:sz w:val="18"/>
                <w:szCs w:val="18"/>
                <w:highlight w:val="none"/>
              </w:rPr>
            </w:pPr>
          </w:p>
        </w:tc>
        <w:tc>
          <w:tcPr>
            <w:tcW w:w="797" w:type="dxa"/>
            <w:vMerge w:val="continue"/>
            <w:tcBorders>
              <w:tl2br w:val="nil"/>
              <w:tr2bl w:val="nil"/>
            </w:tcBorders>
            <w:vAlign w:val="center"/>
          </w:tcPr>
          <w:p w14:paraId="23FCDF50">
            <w:pPr>
              <w:jc w:val="center"/>
              <w:rPr>
                <w:rFonts w:ascii="宋体" w:hAnsi="宋体" w:cs="宋体"/>
                <w:color w:val="auto"/>
                <w:kern w:val="0"/>
                <w:sz w:val="18"/>
                <w:szCs w:val="18"/>
                <w:highlight w:val="none"/>
              </w:rPr>
            </w:pPr>
          </w:p>
        </w:tc>
        <w:tc>
          <w:tcPr>
            <w:tcW w:w="797" w:type="dxa"/>
            <w:vMerge w:val="continue"/>
            <w:tcBorders>
              <w:tl2br w:val="nil"/>
              <w:tr2bl w:val="nil"/>
            </w:tcBorders>
            <w:vAlign w:val="center"/>
          </w:tcPr>
          <w:p w14:paraId="45F16E61">
            <w:pPr>
              <w:jc w:val="center"/>
              <w:rPr>
                <w:rFonts w:ascii="宋体" w:hAnsi="宋体" w:cs="宋体"/>
                <w:color w:val="auto"/>
                <w:kern w:val="0"/>
                <w:sz w:val="18"/>
                <w:szCs w:val="18"/>
                <w:highlight w:val="none"/>
              </w:rPr>
            </w:pPr>
          </w:p>
        </w:tc>
        <w:tc>
          <w:tcPr>
            <w:tcW w:w="953" w:type="dxa"/>
            <w:tcBorders>
              <w:tl2br w:val="nil"/>
              <w:tr2bl w:val="nil"/>
            </w:tcBorders>
            <w:vAlign w:val="center"/>
          </w:tcPr>
          <w:p w14:paraId="1326EA38">
            <w:pPr>
              <w:widowControl/>
              <w:jc w:val="center"/>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大白菜</w:t>
            </w:r>
          </w:p>
        </w:tc>
        <w:tc>
          <w:tcPr>
            <w:tcW w:w="1896" w:type="dxa"/>
            <w:tcBorders>
              <w:tl2br w:val="nil"/>
              <w:tr2bl w:val="nil"/>
            </w:tcBorders>
            <w:vAlign w:val="center"/>
          </w:tcPr>
          <w:p w14:paraId="6E89ADAD">
            <w:pPr>
              <w:widowControl/>
              <w:jc w:val="left"/>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毒死蜱、氧乐果</w:t>
            </w:r>
          </w:p>
        </w:tc>
        <w:tc>
          <w:tcPr>
            <w:tcW w:w="2956" w:type="dxa"/>
            <w:tcBorders>
              <w:tl2br w:val="nil"/>
              <w:tr2bl w:val="nil"/>
            </w:tcBorders>
            <w:vAlign w:val="center"/>
          </w:tcPr>
          <w:p w14:paraId="46D8E75E">
            <w:pPr>
              <w:widowControl/>
              <w:jc w:val="left"/>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镉（以</w:t>
            </w:r>
            <w:r>
              <w:rPr>
                <w:color w:val="auto"/>
                <w:kern w:val="0"/>
                <w:sz w:val="18"/>
                <w:szCs w:val="18"/>
                <w:highlight w:val="none"/>
                <w:lang w:bidi="ar"/>
              </w:rPr>
              <w:t>Cd</w:t>
            </w:r>
            <w:r>
              <w:rPr>
                <w:rFonts w:hint="eastAsia" w:ascii="宋体" w:hAnsi="宋体" w:cs="宋体"/>
                <w:color w:val="auto"/>
                <w:kern w:val="0"/>
                <w:sz w:val="18"/>
                <w:szCs w:val="18"/>
                <w:highlight w:val="none"/>
                <w:lang w:bidi="ar"/>
              </w:rPr>
              <w:t>计）、阿维菌素、吡虫啉、敌敌畏、氟虫腈、甲胺磷、甲拌磷、克百威、乐果、水胺硫磷、乙酰甲胺磷</w:t>
            </w:r>
          </w:p>
        </w:tc>
      </w:tr>
      <w:tr w14:paraId="3A1E1AC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386" w:hRule="atLeast"/>
        </w:trPr>
        <w:tc>
          <w:tcPr>
            <w:tcW w:w="953" w:type="dxa"/>
            <w:vMerge w:val="continue"/>
            <w:tcBorders>
              <w:tl2br w:val="nil"/>
              <w:tr2bl w:val="nil"/>
            </w:tcBorders>
            <w:vAlign w:val="center"/>
          </w:tcPr>
          <w:p w14:paraId="456794B0">
            <w:pPr>
              <w:jc w:val="center"/>
              <w:rPr>
                <w:rFonts w:eastAsia="等线"/>
                <w:color w:val="auto"/>
                <w:kern w:val="0"/>
                <w:sz w:val="18"/>
                <w:szCs w:val="18"/>
                <w:highlight w:val="none"/>
              </w:rPr>
            </w:pPr>
          </w:p>
        </w:tc>
        <w:tc>
          <w:tcPr>
            <w:tcW w:w="796" w:type="dxa"/>
            <w:vMerge w:val="continue"/>
            <w:tcBorders>
              <w:tl2br w:val="nil"/>
              <w:tr2bl w:val="nil"/>
            </w:tcBorders>
            <w:vAlign w:val="center"/>
          </w:tcPr>
          <w:p w14:paraId="0952BF73">
            <w:pPr>
              <w:jc w:val="center"/>
              <w:rPr>
                <w:rFonts w:ascii="宋体" w:hAnsi="宋体" w:cs="宋体"/>
                <w:color w:val="auto"/>
                <w:kern w:val="0"/>
                <w:sz w:val="18"/>
                <w:szCs w:val="18"/>
                <w:highlight w:val="none"/>
              </w:rPr>
            </w:pPr>
          </w:p>
        </w:tc>
        <w:tc>
          <w:tcPr>
            <w:tcW w:w="797" w:type="dxa"/>
            <w:vMerge w:val="continue"/>
            <w:tcBorders>
              <w:tl2br w:val="nil"/>
              <w:tr2bl w:val="nil"/>
            </w:tcBorders>
            <w:vAlign w:val="center"/>
          </w:tcPr>
          <w:p w14:paraId="50B50AD9">
            <w:pPr>
              <w:jc w:val="center"/>
              <w:rPr>
                <w:rFonts w:ascii="宋体" w:hAnsi="宋体" w:cs="宋体"/>
                <w:color w:val="auto"/>
                <w:kern w:val="0"/>
                <w:sz w:val="18"/>
                <w:szCs w:val="18"/>
                <w:highlight w:val="none"/>
              </w:rPr>
            </w:pPr>
          </w:p>
        </w:tc>
        <w:tc>
          <w:tcPr>
            <w:tcW w:w="797" w:type="dxa"/>
            <w:vMerge w:val="continue"/>
            <w:tcBorders>
              <w:tl2br w:val="nil"/>
              <w:tr2bl w:val="nil"/>
            </w:tcBorders>
            <w:vAlign w:val="center"/>
          </w:tcPr>
          <w:p w14:paraId="280B81EB">
            <w:pPr>
              <w:jc w:val="center"/>
              <w:rPr>
                <w:rFonts w:ascii="宋体" w:hAnsi="宋体" w:cs="宋体"/>
                <w:color w:val="auto"/>
                <w:kern w:val="0"/>
                <w:sz w:val="18"/>
                <w:szCs w:val="18"/>
                <w:highlight w:val="none"/>
              </w:rPr>
            </w:pPr>
          </w:p>
        </w:tc>
        <w:tc>
          <w:tcPr>
            <w:tcW w:w="953" w:type="dxa"/>
            <w:tcBorders>
              <w:tl2br w:val="nil"/>
              <w:tr2bl w:val="nil"/>
            </w:tcBorders>
            <w:vAlign w:val="center"/>
          </w:tcPr>
          <w:p w14:paraId="1FAAF78C">
            <w:pPr>
              <w:widowControl/>
              <w:jc w:val="center"/>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普通白菜（小白菜、小油菜、青菜）</w:t>
            </w:r>
          </w:p>
        </w:tc>
        <w:tc>
          <w:tcPr>
            <w:tcW w:w="1896" w:type="dxa"/>
            <w:tcBorders>
              <w:tl2br w:val="nil"/>
              <w:tr2bl w:val="nil"/>
            </w:tcBorders>
            <w:vAlign w:val="center"/>
          </w:tcPr>
          <w:p w14:paraId="46F80362">
            <w:pPr>
              <w:widowControl/>
              <w:jc w:val="left"/>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毒死蜱</w:t>
            </w:r>
          </w:p>
        </w:tc>
        <w:tc>
          <w:tcPr>
            <w:tcW w:w="2956" w:type="dxa"/>
            <w:tcBorders>
              <w:tl2br w:val="nil"/>
              <w:tr2bl w:val="nil"/>
            </w:tcBorders>
            <w:vAlign w:val="center"/>
          </w:tcPr>
          <w:p w14:paraId="61146D8B">
            <w:pPr>
              <w:widowControl/>
              <w:jc w:val="left"/>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镉（以</w:t>
            </w:r>
            <w:r>
              <w:rPr>
                <w:color w:val="auto"/>
                <w:kern w:val="0"/>
                <w:sz w:val="18"/>
                <w:szCs w:val="18"/>
                <w:highlight w:val="none"/>
                <w:lang w:bidi="ar"/>
              </w:rPr>
              <w:t>Cd</w:t>
            </w:r>
            <w:r>
              <w:rPr>
                <w:rFonts w:hint="eastAsia" w:ascii="宋体" w:hAnsi="宋体" w:cs="宋体"/>
                <w:color w:val="auto"/>
                <w:kern w:val="0"/>
                <w:sz w:val="18"/>
                <w:szCs w:val="18"/>
                <w:highlight w:val="none"/>
                <w:lang w:bidi="ar"/>
              </w:rPr>
              <w:t>计）、阿维菌素、吡虫啉、啶虫脒、氟虫腈、甲氨基阿维菌素苯甲酸盐、甲拌磷、甲基异柳磷、克百威、氯氟氰菊酯和高效氯氟氰菊酯、氯氰菊酯和高效氯氰菊酯、水胺硫磷、氧乐果、乙酰甲胺磷</w:t>
            </w:r>
          </w:p>
        </w:tc>
      </w:tr>
      <w:tr w14:paraId="14A628D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907" w:hRule="atLeast"/>
        </w:trPr>
        <w:tc>
          <w:tcPr>
            <w:tcW w:w="953" w:type="dxa"/>
            <w:vMerge w:val="continue"/>
            <w:tcBorders>
              <w:tl2br w:val="nil"/>
              <w:tr2bl w:val="nil"/>
            </w:tcBorders>
            <w:vAlign w:val="center"/>
          </w:tcPr>
          <w:p w14:paraId="3E9F6F7F">
            <w:pPr>
              <w:jc w:val="center"/>
              <w:rPr>
                <w:rFonts w:eastAsia="等线"/>
                <w:color w:val="auto"/>
                <w:kern w:val="0"/>
                <w:sz w:val="18"/>
                <w:szCs w:val="18"/>
                <w:highlight w:val="none"/>
              </w:rPr>
            </w:pPr>
          </w:p>
        </w:tc>
        <w:tc>
          <w:tcPr>
            <w:tcW w:w="796" w:type="dxa"/>
            <w:vMerge w:val="continue"/>
            <w:tcBorders>
              <w:tl2br w:val="nil"/>
              <w:tr2bl w:val="nil"/>
            </w:tcBorders>
            <w:vAlign w:val="center"/>
          </w:tcPr>
          <w:p w14:paraId="3FFC0DEC">
            <w:pPr>
              <w:jc w:val="center"/>
              <w:rPr>
                <w:rFonts w:ascii="宋体" w:hAnsi="宋体" w:cs="宋体"/>
                <w:color w:val="auto"/>
                <w:kern w:val="0"/>
                <w:sz w:val="18"/>
                <w:szCs w:val="18"/>
                <w:highlight w:val="none"/>
              </w:rPr>
            </w:pPr>
          </w:p>
        </w:tc>
        <w:tc>
          <w:tcPr>
            <w:tcW w:w="797" w:type="dxa"/>
            <w:vMerge w:val="continue"/>
            <w:tcBorders>
              <w:tl2br w:val="nil"/>
              <w:tr2bl w:val="nil"/>
            </w:tcBorders>
            <w:vAlign w:val="center"/>
          </w:tcPr>
          <w:p w14:paraId="36443318">
            <w:pPr>
              <w:jc w:val="center"/>
              <w:rPr>
                <w:rFonts w:ascii="宋体" w:hAnsi="宋体" w:cs="宋体"/>
                <w:color w:val="auto"/>
                <w:kern w:val="0"/>
                <w:sz w:val="18"/>
                <w:szCs w:val="18"/>
                <w:highlight w:val="none"/>
              </w:rPr>
            </w:pPr>
          </w:p>
        </w:tc>
        <w:tc>
          <w:tcPr>
            <w:tcW w:w="797" w:type="dxa"/>
            <w:vMerge w:val="continue"/>
            <w:tcBorders>
              <w:tl2br w:val="nil"/>
              <w:tr2bl w:val="nil"/>
            </w:tcBorders>
            <w:vAlign w:val="center"/>
          </w:tcPr>
          <w:p w14:paraId="2095C036">
            <w:pPr>
              <w:jc w:val="center"/>
              <w:rPr>
                <w:rFonts w:ascii="宋体" w:hAnsi="宋体" w:cs="宋体"/>
                <w:color w:val="auto"/>
                <w:kern w:val="0"/>
                <w:sz w:val="18"/>
                <w:szCs w:val="18"/>
                <w:highlight w:val="none"/>
              </w:rPr>
            </w:pPr>
          </w:p>
        </w:tc>
        <w:tc>
          <w:tcPr>
            <w:tcW w:w="953" w:type="dxa"/>
            <w:tcBorders>
              <w:tl2br w:val="nil"/>
              <w:tr2bl w:val="nil"/>
            </w:tcBorders>
            <w:vAlign w:val="center"/>
          </w:tcPr>
          <w:p w14:paraId="511E98A6">
            <w:pPr>
              <w:widowControl/>
              <w:jc w:val="center"/>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芹菜</w:t>
            </w:r>
          </w:p>
        </w:tc>
        <w:tc>
          <w:tcPr>
            <w:tcW w:w="1896" w:type="dxa"/>
            <w:tcBorders>
              <w:tl2br w:val="nil"/>
              <w:tr2bl w:val="nil"/>
            </w:tcBorders>
            <w:vAlign w:val="center"/>
          </w:tcPr>
          <w:p w14:paraId="64D8B40D">
            <w:pPr>
              <w:widowControl/>
              <w:jc w:val="left"/>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毒死蜱、噻虫胺</w:t>
            </w:r>
          </w:p>
        </w:tc>
        <w:tc>
          <w:tcPr>
            <w:tcW w:w="2956" w:type="dxa"/>
            <w:tcBorders>
              <w:tl2br w:val="nil"/>
              <w:tr2bl w:val="nil"/>
            </w:tcBorders>
            <w:vAlign w:val="center"/>
          </w:tcPr>
          <w:p w14:paraId="492203D9">
            <w:pPr>
              <w:widowControl/>
              <w:jc w:val="left"/>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甲拌磷、克百威、铅（以Pb计）、腈菌唑、苯醚甲环唑、氯氟氰菊酯和高效氯氟氰菊酯、辛硫磷、乙酰甲胺磷、乐果、镉（以Cd计）、噻虫嗪、氧乐果、甲基异柳磷、阿维菌素、水胺硫磷、敌敌畏、啶虫脒、百菌清、二甲戊灵、氟虫腈、三氯杀螨醇、氯氰菊酯和高效氯氰菊酯</w:t>
            </w:r>
          </w:p>
        </w:tc>
      </w:tr>
      <w:tr w14:paraId="2F28B8F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631" w:hRule="atLeast"/>
        </w:trPr>
        <w:tc>
          <w:tcPr>
            <w:tcW w:w="953" w:type="dxa"/>
            <w:vMerge w:val="continue"/>
            <w:tcBorders>
              <w:tl2br w:val="nil"/>
              <w:tr2bl w:val="nil"/>
            </w:tcBorders>
            <w:vAlign w:val="center"/>
          </w:tcPr>
          <w:p w14:paraId="41FD042E">
            <w:pPr>
              <w:jc w:val="center"/>
              <w:rPr>
                <w:rFonts w:eastAsia="等线"/>
                <w:color w:val="auto"/>
                <w:kern w:val="0"/>
                <w:sz w:val="18"/>
                <w:szCs w:val="18"/>
                <w:highlight w:val="none"/>
              </w:rPr>
            </w:pPr>
          </w:p>
        </w:tc>
        <w:tc>
          <w:tcPr>
            <w:tcW w:w="796" w:type="dxa"/>
            <w:vMerge w:val="continue"/>
            <w:tcBorders>
              <w:tl2br w:val="nil"/>
              <w:tr2bl w:val="nil"/>
            </w:tcBorders>
            <w:vAlign w:val="center"/>
          </w:tcPr>
          <w:p w14:paraId="753F25CC">
            <w:pPr>
              <w:jc w:val="center"/>
              <w:rPr>
                <w:rFonts w:ascii="宋体" w:hAnsi="宋体" w:cs="宋体"/>
                <w:color w:val="auto"/>
                <w:kern w:val="0"/>
                <w:sz w:val="18"/>
                <w:szCs w:val="18"/>
                <w:highlight w:val="none"/>
              </w:rPr>
            </w:pPr>
          </w:p>
        </w:tc>
        <w:tc>
          <w:tcPr>
            <w:tcW w:w="797" w:type="dxa"/>
            <w:vMerge w:val="continue"/>
            <w:tcBorders>
              <w:tl2br w:val="nil"/>
              <w:tr2bl w:val="nil"/>
            </w:tcBorders>
            <w:vAlign w:val="center"/>
          </w:tcPr>
          <w:p w14:paraId="08CEA759">
            <w:pPr>
              <w:jc w:val="center"/>
              <w:rPr>
                <w:rFonts w:ascii="宋体" w:hAnsi="宋体" w:cs="宋体"/>
                <w:color w:val="auto"/>
                <w:kern w:val="0"/>
                <w:sz w:val="18"/>
                <w:szCs w:val="18"/>
                <w:highlight w:val="none"/>
              </w:rPr>
            </w:pPr>
          </w:p>
        </w:tc>
        <w:tc>
          <w:tcPr>
            <w:tcW w:w="797" w:type="dxa"/>
            <w:vMerge w:val="continue"/>
            <w:tcBorders>
              <w:tl2br w:val="nil"/>
              <w:tr2bl w:val="nil"/>
            </w:tcBorders>
            <w:vAlign w:val="center"/>
          </w:tcPr>
          <w:p w14:paraId="03DCB4C1">
            <w:pPr>
              <w:jc w:val="center"/>
              <w:rPr>
                <w:rFonts w:ascii="宋体" w:hAnsi="宋体" w:cs="宋体"/>
                <w:color w:val="auto"/>
                <w:kern w:val="0"/>
                <w:sz w:val="18"/>
                <w:szCs w:val="18"/>
                <w:highlight w:val="none"/>
              </w:rPr>
            </w:pPr>
          </w:p>
        </w:tc>
        <w:tc>
          <w:tcPr>
            <w:tcW w:w="953" w:type="dxa"/>
            <w:tcBorders>
              <w:tl2br w:val="nil"/>
              <w:tr2bl w:val="nil"/>
            </w:tcBorders>
            <w:vAlign w:val="center"/>
          </w:tcPr>
          <w:p w14:paraId="4DA5D9A4">
            <w:pPr>
              <w:widowControl/>
              <w:jc w:val="center"/>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油麦菜</w:t>
            </w:r>
          </w:p>
        </w:tc>
        <w:tc>
          <w:tcPr>
            <w:tcW w:w="1896" w:type="dxa"/>
            <w:tcBorders>
              <w:tl2br w:val="nil"/>
              <w:tr2bl w:val="nil"/>
            </w:tcBorders>
            <w:vAlign w:val="center"/>
          </w:tcPr>
          <w:p w14:paraId="06EB2E77">
            <w:pPr>
              <w:widowControl/>
              <w:jc w:val="left"/>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阿维菌素、毒死蜱</w:t>
            </w:r>
          </w:p>
        </w:tc>
        <w:tc>
          <w:tcPr>
            <w:tcW w:w="2956" w:type="dxa"/>
            <w:tcBorders>
              <w:tl2br w:val="nil"/>
              <w:tr2bl w:val="nil"/>
            </w:tcBorders>
            <w:vAlign w:val="center"/>
          </w:tcPr>
          <w:p w14:paraId="2B743A33">
            <w:pPr>
              <w:widowControl/>
              <w:jc w:val="left"/>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吡虫啉、啶虫脒、氟虫腈、甲氨基阿维菌素苯甲酸盐、甲胺磷、甲拌磷、克百威、氯氟氰菊酯和高效氯氟氰菊酯、灭多威、三氯杀螨醇、氧乐果、乙酰甲胺磷、噻虫嗪</w:t>
            </w:r>
          </w:p>
        </w:tc>
      </w:tr>
      <w:tr w14:paraId="1F420D5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869" w:hRule="atLeast"/>
        </w:trPr>
        <w:tc>
          <w:tcPr>
            <w:tcW w:w="953" w:type="dxa"/>
            <w:vMerge w:val="restart"/>
            <w:tcBorders>
              <w:tl2br w:val="nil"/>
              <w:tr2bl w:val="nil"/>
            </w:tcBorders>
            <w:vAlign w:val="center"/>
          </w:tcPr>
          <w:p w14:paraId="281E44D8">
            <w:pPr>
              <w:widowControl/>
              <w:jc w:val="center"/>
              <w:textAlignment w:val="center"/>
              <w:rPr>
                <w:rFonts w:hint="default" w:eastAsia="等线"/>
                <w:color w:val="auto"/>
                <w:kern w:val="0"/>
                <w:sz w:val="18"/>
                <w:szCs w:val="18"/>
                <w:highlight w:val="none"/>
                <w:lang w:val="en-US" w:eastAsia="zh-CN"/>
              </w:rPr>
            </w:pPr>
            <w:r>
              <w:rPr>
                <w:rFonts w:hint="eastAsia" w:eastAsia="等线"/>
                <w:color w:val="auto"/>
                <w:kern w:val="0"/>
                <w:sz w:val="18"/>
                <w:szCs w:val="18"/>
                <w:highlight w:val="none"/>
                <w:lang w:val="en-US" w:eastAsia="zh-CN" w:bidi="ar"/>
              </w:rPr>
              <w:t>34</w:t>
            </w:r>
          </w:p>
        </w:tc>
        <w:tc>
          <w:tcPr>
            <w:tcW w:w="796" w:type="dxa"/>
            <w:vMerge w:val="restart"/>
            <w:tcBorders>
              <w:tl2br w:val="nil"/>
              <w:tr2bl w:val="nil"/>
            </w:tcBorders>
            <w:vAlign w:val="center"/>
          </w:tcPr>
          <w:p w14:paraId="5F5740BB">
            <w:pPr>
              <w:widowControl/>
              <w:jc w:val="center"/>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蔬菜</w:t>
            </w:r>
          </w:p>
        </w:tc>
        <w:tc>
          <w:tcPr>
            <w:tcW w:w="797" w:type="dxa"/>
            <w:vMerge w:val="restart"/>
            <w:tcBorders>
              <w:tl2br w:val="nil"/>
              <w:tr2bl w:val="nil"/>
            </w:tcBorders>
            <w:vAlign w:val="center"/>
          </w:tcPr>
          <w:p w14:paraId="45B5212C">
            <w:pPr>
              <w:widowControl/>
              <w:jc w:val="center"/>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蔬菜</w:t>
            </w:r>
          </w:p>
        </w:tc>
        <w:tc>
          <w:tcPr>
            <w:tcW w:w="797" w:type="dxa"/>
            <w:vMerge w:val="restart"/>
            <w:tcBorders>
              <w:tl2br w:val="nil"/>
              <w:tr2bl w:val="nil"/>
            </w:tcBorders>
            <w:vAlign w:val="center"/>
          </w:tcPr>
          <w:p w14:paraId="31A33082">
            <w:pPr>
              <w:widowControl/>
              <w:jc w:val="center"/>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茄果类蔬菜</w:t>
            </w:r>
          </w:p>
        </w:tc>
        <w:tc>
          <w:tcPr>
            <w:tcW w:w="953" w:type="dxa"/>
            <w:tcBorders>
              <w:tl2br w:val="nil"/>
              <w:tr2bl w:val="nil"/>
            </w:tcBorders>
            <w:vAlign w:val="center"/>
          </w:tcPr>
          <w:p w14:paraId="6E675E41">
            <w:pPr>
              <w:widowControl/>
              <w:jc w:val="center"/>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番茄</w:t>
            </w:r>
          </w:p>
        </w:tc>
        <w:tc>
          <w:tcPr>
            <w:tcW w:w="1896" w:type="dxa"/>
            <w:tcBorders>
              <w:tl2br w:val="nil"/>
              <w:tr2bl w:val="nil"/>
            </w:tcBorders>
            <w:vAlign w:val="center"/>
          </w:tcPr>
          <w:p w14:paraId="49F5CB2C">
            <w:pPr>
              <w:widowControl/>
              <w:jc w:val="left"/>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镉（以</w:t>
            </w:r>
            <w:r>
              <w:rPr>
                <w:color w:val="auto"/>
                <w:kern w:val="0"/>
                <w:sz w:val="18"/>
                <w:szCs w:val="18"/>
                <w:highlight w:val="none"/>
                <w:lang w:bidi="ar"/>
              </w:rPr>
              <w:t>Cd</w:t>
            </w:r>
            <w:r>
              <w:rPr>
                <w:rFonts w:hint="eastAsia" w:ascii="宋体" w:hAnsi="宋体" w:cs="宋体"/>
                <w:color w:val="auto"/>
                <w:kern w:val="0"/>
                <w:sz w:val="18"/>
                <w:szCs w:val="18"/>
                <w:highlight w:val="none"/>
                <w:lang w:bidi="ar"/>
              </w:rPr>
              <w:t>计）、毒死蜱</w:t>
            </w:r>
          </w:p>
        </w:tc>
        <w:tc>
          <w:tcPr>
            <w:tcW w:w="2956" w:type="dxa"/>
            <w:tcBorders>
              <w:tl2br w:val="nil"/>
              <w:tr2bl w:val="nil"/>
            </w:tcBorders>
            <w:vAlign w:val="center"/>
          </w:tcPr>
          <w:p w14:paraId="25DE9E7A">
            <w:pPr>
              <w:widowControl/>
              <w:jc w:val="left"/>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铅（以</w:t>
            </w:r>
            <w:r>
              <w:rPr>
                <w:color w:val="auto"/>
                <w:kern w:val="0"/>
                <w:sz w:val="18"/>
                <w:szCs w:val="18"/>
                <w:highlight w:val="none"/>
                <w:lang w:bidi="ar"/>
              </w:rPr>
              <w:t>Pb</w:t>
            </w:r>
            <w:r>
              <w:rPr>
                <w:rFonts w:hint="eastAsia" w:ascii="宋体" w:hAnsi="宋体" w:cs="宋体"/>
                <w:color w:val="auto"/>
                <w:kern w:val="0"/>
                <w:sz w:val="18"/>
                <w:szCs w:val="18"/>
                <w:highlight w:val="none"/>
                <w:lang w:bidi="ar"/>
              </w:rPr>
              <w:t>计）、吡唑醚菌酯、敌敌畏、腐霉利、甲拌磷、氯氟氰菊酯和高效氯氟氰菊酯、噻虫嗪、烯酰吗啉、氧乐果、乙酰甲胺磷</w:t>
            </w:r>
          </w:p>
        </w:tc>
      </w:tr>
      <w:tr w14:paraId="2BBE1B2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360" w:hRule="atLeast"/>
        </w:trPr>
        <w:tc>
          <w:tcPr>
            <w:tcW w:w="953" w:type="dxa"/>
            <w:vMerge w:val="continue"/>
            <w:tcBorders>
              <w:tl2br w:val="nil"/>
              <w:tr2bl w:val="nil"/>
            </w:tcBorders>
            <w:vAlign w:val="center"/>
          </w:tcPr>
          <w:p w14:paraId="5027F4BF">
            <w:pPr>
              <w:jc w:val="center"/>
              <w:rPr>
                <w:rFonts w:eastAsia="等线"/>
                <w:color w:val="auto"/>
                <w:kern w:val="0"/>
                <w:sz w:val="18"/>
                <w:szCs w:val="18"/>
                <w:highlight w:val="none"/>
              </w:rPr>
            </w:pPr>
          </w:p>
        </w:tc>
        <w:tc>
          <w:tcPr>
            <w:tcW w:w="796" w:type="dxa"/>
            <w:vMerge w:val="continue"/>
            <w:tcBorders>
              <w:tl2br w:val="nil"/>
              <w:tr2bl w:val="nil"/>
            </w:tcBorders>
            <w:vAlign w:val="center"/>
          </w:tcPr>
          <w:p w14:paraId="6104018B">
            <w:pPr>
              <w:jc w:val="center"/>
              <w:rPr>
                <w:rFonts w:ascii="宋体" w:hAnsi="宋体" w:cs="宋体"/>
                <w:color w:val="auto"/>
                <w:kern w:val="0"/>
                <w:sz w:val="18"/>
                <w:szCs w:val="18"/>
                <w:highlight w:val="none"/>
              </w:rPr>
            </w:pPr>
          </w:p>
        </w:tc>
        <w:tc>
          <w:tcPr>
            <w:tcW w:w="797" w:type="dxa"/>
            <w:vMerge w:val="continue"/>
            <w:tcBorders>
              <w:tl2br w:val="nil"/>
              <w:tr2bl w:val="nil"/>
            </w:tcBorders>
            <w:vAlign w:val="center"/>
          </w:tcPr>
          <w:p w14:paraId="3B433A82">
            <w:pPr>
              <w:jc w:val="center"/>
              <w:rPr>
                <w:rFonts w:ascii="宋体" w:hAnsi="宋体" w:cs="宋体"/>
                <w:color w:val="auto"/>
                <w:kern w:val="0"/>
                <w:sz w:val="18"/>
                <w:szCs w:val="18"/>
                <w:highlight w:val="none"/>
              </w:rPr>
            </w:pPr>
          </w:p>
        </w:tc>
        <w:tc>
          <w:tcPr>
            <w:tcW w:w="797" w:type="dxa"/>
            <w:vMerge w:val="continue"/>
            <w:tcBorders>
              <w:tl2br w:val="nil"/>
              <w:tr2bl w:val="nil"/>
            </w:tcBorders>
            <w:vAlign w:val="center"/>
          </w:tcPr>
          <w:p w14:paraId="71317DE8">
            <w:pPr>
              <w:jc w:val="center"/>
              <w:rPr>
                <w:rFonts w:ascii="宋体" w:hAnsi="宋体" w:cs="宋体"/>
                <w:color w:val="auto"/>
                <w:kern w:val="0"/>
                <w:sz w:val="18"/>
                <w:szCs w:val="18"/>
                <w:highlight w:val="none"/>
              </w:rPr>
            </w:pPr>
          </w:p>
        </w:tc>
        <w:tc>
          <w:tcPr>
            <w:tcW w:w="953" w:type="dxa"/>
            <w:tcBorders>
              <w:tl2br w:val="nil"/>
              <w:tr2bl w:val="nil"/>
            </w:tcBorders>
            <w:vAlign w:val="center"/>
          </w:tcPr>
          <w:p w14:paraId="21FAB6CF">
            <w:pPr>
              <w:widowControl/>
              <w:jc w:val="center"/>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辣椒</w:t>
            </w:r>
          </w:p>
        </w:tc>
        <w:tc>
          <w:tcPr>
            <w:tcW w:w="1896" w:type="dxa"/>
            <w:tcBorders>
              <w:tl2br w:val="nil"/>
              <w:tr2bl w:val="nil"/>
            </w:tcBorders>
            <w:vAlign w:val="center"/>
          </w:tcPr>
          <w:p w14:paraId="22DBDE21">
            <w:pPr>
              <w:widowControl/>
              <w:jc w:val="center"/>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镉（以Cd计）、噻虫胺、毒死蜱、啶虫脒</w:t>
            </w:r>
          </w:p>
        </w:tc>
        <w:tc>
          <w:tcPr>
            <w:tcW w:w="2956" w:type="dxa"/>
            <w:tcBorders>
              <w:tl2br w:val="nil"/>
              <w:tr2bl w:val="nil"/>
            </w:tcBorders>
            <w:vAlign w:val="center"/>
          </w:tcPr>
          <w:p w14:paraId="42281B9D">
            <w:pPr>
              <w:widowControl/>
              <w:jc w:val="center"/>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呋虫胺、氟吡菌胺、氯氟氰菊酯和高效氯氟氰菊酯、倍硫磷、乙酰甲胺磷、氧乐果、吡唑醚菌酯、水胺硫磷、克百威、联苯菊酯、乐果、噻虫嗪、甲胺磷、吡虫啉、铅（以Pb计）、敌敌畏、杀扑磷、甲氨基阿维菌素苯甲酸盐、甲拌磷、氟虫腈、三唑磷、丙溴磷</w:t>
            </w:r>
          </w:p>
        </w:tc>
      </w:tr>
      <w:tr w14:paraId="490A4BB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080" w:hRule="atLeast"/>
        </w:trPr>
        <w:tc>
          <w:tcPr>
            <w:tcW w:w="953" w:type="dxa"/>
            <w:vMerge w:val="continue"/>
            <w:tcBorders>
              <w:tl2br w:val="nil"/>
              <w:tr2bl w:val="nil"/>
            </w:tcBorders>
            <w:vAlign w:val="center"/>
          </w:tcPr>
          <w:p w14:paraId="7622CA26">
            <w:pPr>
              <w:jc w:val="center"/>
              <w:rPr>
                <w:rFonts w:eastAsia="等线"/>
                <w:color w:val="auto"/>
                <w:kern w:val="0"/>
                <w:sz w:val="18"/>
                <w:szCs w:val="18"/>
                <w:highlight w:val="none"/>
              </w:rPr>
            </w:pPr>
          </w:p>
        </w:tc>
        <w:tc>
          <w:tcPr>
            <w:tcW w:w="796" w:type="dxa"/>
            <w:vMerge w:val="continue"/>
            <w:tcBorders>
              <w:tl2br w:val="nil"/>
              <w:tr2bl w:val="nil"/>
            </w:tcBorders>
            <w:vAlign w:val="center"/>
          </w:tcPr>
          <w:p w14:paraId="71EC1744">
            <w:pPr>
              <w:jc w:val="center"/>
              <w:rPr>
                <w:rFonts w:ascii="宋体" w:hAnsi="宋体" w:cs="宋体"/>
                <w:color w:val="auto"/>
                <w:kern w:val="0"/>
                <w:sz w:val="18"/>
                <w:szCs w:val="18"/>
                <w:highlight w:val="none"/>
              </w:rPr>
            </w:pPr>
          </w:p>
        </w:tc>
        <w:tc>
          <w:tcPr>
            <w:tcW w:w="797" w:type="dxa"/>
            <w:vMerge w:val="continue"/>
            <w:tcBorders>
              <w:tl2br w:val="nil"/>
              <w:tr2bl w:val="nil"/>
            </w:tcBorders>
            <w:vAlign w:val="center"/>
          </w:tcPr>
          <w:p w14:paraId="0C77FC8C">
            <w:pPr>
              <w:jc w:val="center"/>
              <w:rPr>
                <w:rFonts w:ascii="宋体" w:hAnsi="宋体" w:cs="宋体"/>
                <w:color w:val="auto"/>
                <w:kern w:val="0"/>
                <w:sz w:val="18"/>
                <w:szCs w:val="18"/>
                <w:highlight w:val="none"/>
              </w:rPr>
            </w:pPr>
          </w:p>
        </w:tc>
        <w:tc>
          <w:tcPr>
            <w:tcW w:w="797" w:type="dxa"/>
            <w:vMerge w:val="continue"/>
            <w:tcBorders>
              <w:tl2br w:val="nil"/>
              <w:tr2bl w:val="nil"/>
            </w:tcBorders>
            <w:vAlign w:val="center"/>
          </w:tcPr>
          <w:p w14:paraId="77041A72">
            <w:pPr>
              <w:jc w:val="center"/>
              <w:rPr>
                <w:rFonts w:ascii="宋体" w:hAnsi="宋体" w:cs="宋体"/>
                <w:color w:val="auto"/>
                <w:kern w:val="0"/>
                <w:sz w:val="18"/>
                <w:szCs w:val="18"/>
                <w:highlight w:val="none"/>
              </w:rPr>
            </w:pPr>
          </w:p>
        </w:tc>
        <w:tc>
          <w:tcPr>
            <w:tcW w:w="953" w:type="dxa"/>
            <w:tcBorders>
              <w:tl2br w:val="nil"/>
              <w:tr2bl w:val="nil"/>
            </w:tcBorders>
            <w:vAlign w:val="center"/>
          </w:tcPr>
          <w:p w14:paraId="1E0C2B15">
            <w:pPr>
              <w:widowControl/>
              <w:jc w:val="center"/>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茄子</w:t>
            </w:r>
          </w:p>
        </w:tc>
        <w:tc>
          <w:tcPr>
            <w:tcW w:w="1896" w:type="dxa"/>
            <w:tcBorders>
              <w:tl2br w:val="nil"/>
              <w:tr2bl w:val="nil"/>
            </w:tcBorders>
            <w:vAlign w:val="center"/>
          </w:tcPr>
          <w:p w14:paraId="1ED22B81">
            <w:pPr>
              <w:widowControl/>
              <w:jc w:val="left"/>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镉（以Cd计）</w:t>
            </w:r>
          </w:p>
        </w:tc>
        <w:tc>
          <w:tcPr>
            <w:tcW w:w="2956" w:type="dxa"/>
            <w:tcBorders>
              <w:tl2br w:val="nil"/>
              <w:tr2bl w:val="nil"/>
            </w:tcBorders>
            <w:vAlign w:val="center"/>
          </w:tcPr>
          <w:p w14:paraId="09FE05E7">
            <w:pPr>
              <w:widowControl/>
              <w:jc w:val="left"/>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铅（以Pb计）、吡唑醚菌酯、毒死蜱、氟虫腈、甲氨基阿维菌素苯甲酸盐、甲胺磷、甲拌磷、克百威、噻虫胺、噻虫嗪、霜霉威和霜霉威盐酸盐、水胺硫磷、氧乐果、乙酰甲胺磷</w:t>
            </w:r>
          </w:p>
        </w:tc>
      </w:tr>
      <w:tr w14:paraId="16D0E10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932" w:hRule="atLeast"/>
        </w:trPr>
        <w:tc>
          <w:tcPr>
            <w:tcW w:w="953" w:type="dxa"/>
            <w:vMerge w:val="continue"/>
            <w:tcBorders>
              <w:tl2br w:val="nil"/>
              <w:tr2bl w:val="nil"/>
            </w:tcBorders>
            <w:vAlign w:val="center"/>
          </w:tcPr>
          <w:p w14:paraId="0087D00F">
            <w:pPr>
              <w:jc w:val="center"/>
              <w:rPr>
                <w:rFonts w:eastAsia="等线"/>
                <w:color w:val="auto"/>
                <w:kern w:val="0"/>
                <w:sz w:val="18"/>
                <w:szCs w:val="18"/>
                <w:highlight w:val="none"/>
              </w:rPr>
            </w:pPr>
          </w:p>
        </w:tc>
        <w:tc>
          <w:tcPr>
            <w:tcW w:w="796" w:type="dxa"/>
            <w:vMerge w:val="continue"/>
            <w:tcBorders>
              <w:tl2br w:val="nil"/>
              <w:tr2bl w:val="nil"/>
            </w:tcBorders>
            <w:vAlign w:val="center"/>
          </w:tcPr>
          <w:p w14:paraId="3E12272C">
            <w:pPr>
              <w:jc w:val="center"/>
              <w:rPr>
                <w:rFonts w:ascii="宋体" w:hAnsi="宋体" w:cs="宋体"/>
                <w:color w:val="auto"/>
                <w:kern w:val="0"/>
                <w:sz w:val="18"/>
                <w:szCs w:val="18"/>
                <w:highlight w:val="none"/>
              </w:rPr>
            </w:pPr>
          </w:p>
        </w:tc>
        <w:tc>
          <w:tcPr>
            <w:tcW w:w="797" w:type="dxa"/>
            <w:vMerge w:val="continue"/>
            <w:tcBorders>
              <w:tl2br w:val="nil"/>
              <w:tr2bl w:val="nil"/>
            </w:tcBorders>
            <w:vAlign w:val="center"/>
          </w:tcPr>
          <w:p w14:paraId="7E224E99">
            <w:pPr>
              <w:jc w:val="center"/>
              <w:rPr>
                <w:rFonts w:ascii="宋体" w:hAnsi="宋体" w:cs="宋体"/>
                <w:color w:val="auto"/>
                <w:kern w:val="0"/>
                <w:sz w:val="18"/>
                <w:szCs w:val="18"/>
                <w:highlight w:val="none"/>
              </w:rPr>
            </w:pPr>
          </w:p>
        </w:tc>
        <w:tc>
          <w:tcPr>
            <w:tcW w:w="797" w:type="dxa"/>
            <w:vMerge w:val="continue"/>
            <w:tcBorders>
              <w:tl2br w:val="nil"/>
              <w:tr2bl w:val="nil"/>
            </w:tcBorders>
            <w:vAlign w:val="center"/>
          </w:tcPr>
          <w:p w14:paraId="57F4D69B">
            <w:pPr>
              <w:jc w:val="center"/>
              <w:rPr>
                <w:rFonts w:ascii="宋体" w:hAnsi="宋体" w:cs="宋体"/>
                <w:color w:val="auto"/>
                <w:kern w:val="0"/>
                <w:sz w:val="18"/>
                <w:szCs w:val="18"/>
                <w:highlight w:val="none"/>
              </w:rPr>
            </w:pPr>
          </w:p>
        </w:tc>
        <w:tc>
          <w:tcPr>
            <w:tcW w:w="953" w:type="dxa"/>
            <w:tcBorders>
              <w:tl2br w:val="nil"/>
              <w:tr2bl w:val="nil"/>
            </w:tcBorders>
            <w:vAlign w:val="center"/>
          </w:tcPr>
          <w:p w14:paraId="0968C87E">
            <w:pPr>
              <w:widowControl/>
              <w:jc w:val="center"/>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甜椒</w:t>
            </w:r>
          </w:p>
        </w:tc>
        <w:tc>
          <w:tcPr>
            <w:tcW w:w="1896" w:type="dxa"/>
            <w:tcBorders>
              <w:tl2br w:val="nil"/>
              <w:tr2bl w:val="nil"/>
            </w:tcBorders>
            <w:vAlign w:val="center"/>
          </w:tcPr>
          <w:p w14:paraId="5FECB89E">
            <w:pPr>
              <w:widowControl/>
              <w:jc w:val="left"/>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噻虫胺、吡虫啉</w:t>
            </w:r>
          </w:p>
        </w:tc>
        <w:tc>
          <w:tcPr>
            <w:tcW w:w="2956" w:type="dxa"/>
            <w:tcBorders>
              <w:tl2br w:val="nil"/>
              <w:tr2bl w:val="nil"/>
            </w:tcBorders>
            <w:vAlign w:val="center"/>
          </w:tcPr>
          <w:p w14:paraId="5309B8CD">
            <w:pPr>
              <w:widowControl/>
              <w:jc w:val="left"/>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毒死蜱、氧乐果、镉（以Cd计）、噻虫嗪、倍硫磷、克百威、吡唑醚菌酯、阿维菌素</w:t>
            </w:r>
          </w:p>
        </w:tc>
      </w:tr>
      <w:tr w14:paraId="1891995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913" w:hRule="atLeast"/>
        </w:trPr>
        <w:tc>
          <w:tcPr>
            <w:tcW w:w="953" w:type="dxa"/>
            <w:vMerge w:val="continue"/>
            <w:tcBorders>
              <w:tl2br w:val="nil"/>
              <w:tr2bl w:val="nil"/>
            </w:tcBorders>
            <w:vAlign w:val="center"/>
          </w:tcPr>
          <w:p w14:paraId="5C489117">
            <w:pPr>
              <w:jc w:val="center"/>
              <w:rPr>
                <w:rFonts w:eastAsia="等线"/>
                <w:color w:val="auto"/>
                <w:kern w:val="0"/>
                <w:sz w:val="18"/>
                <w:szCs w:val="18"/>
                <w:highlight w:val="none"/>
              </w:rPr>
            </w:pPr>
          </w:p>
        </w:tc>
        <w:tc>
          <w:tcPr>
            <w:tcW w:w="796" w:type="dxa"/>
            <w:vMerge w:val="continue"/>
            <w:tcBorders>
              <w:tl2br w:val="nil"/>
              <w:tr2bl w:val="nil"/>
            </w:tcBorders>
            <w:vAlign w:val="center"/>
          </w:tcPr>
          <w:p w14:paraId="71CC8982">
            <w:pPr>
              <w:jc w:val="center"/>
              <w:rPr>
                <w:rFonts w:ascii="宋体" w:hAnsi="宋体" w:cs="宋体"/>
                <w:color w:val="auto"/>
                <w:kern w:val="0"/>
                <w:sz w:val="18"/>
                <w:szCs w:val="18"/>
                <w:highlight w:val="none"/>
              </w:rPr>
            </w:pPr>
          </w:p>
        </w:tc>
        <w:tc>
          <w:tcPr>
            <w:tcW w:w="797" w:type="dxa"/>
            <w:vMerge w:val="continue"/>
            <w:tcBorders>
              <w:tl2br w:val="nil"/>
              <w:tr2bl w:val="nil"/>
            </w:tcBorders>
            <w:vAlign w:val="center"/>
          </w:tcPr>
          <w:p w14:paraId="23275088">
            <w:pPr>
              <w:jc w:val="center"/>
              <w:rPr>
                <w:rFonts w:ascii="宋体" w:hAnsi="宋体" w:cs="宋体"/>
                <w:color w:val="auto"/>
                <w:kern w:val="0"/>
                <w:sz w:val="18"/>
                <w:szCs w:val="18"/>
                <w:highlight w:val="none"/>
              </w:rPr>
            </w:pPr>
          </w:p>
        </w:tc>
        <w:tc>
          <w:tcPr>
            <w:tcW w:w="797" w:type="dxa"/>
            <w:tcBorders>
              <w:tl2br w:val="nil"/>
              <w:tr2bl w:val="nil"/>
            </w:tcBorders>
            <w:vAlign w:val="center"/>
          </w:tcPr>
          <w:p w14:paraId="4FB4A881">
            <w:pPr>
              <w:widowControl/>
              <w:jc w:val="center"/>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瓜类蔬菜</w:t>
            </w:r>
          </w:p>
        </w:tc>
        <w:tc>
          <w:tcPr>
            <w:tcW w:w="953" w:type="dxa"/>
            <w:tcBorders>
              <w:tl2br w:val="nil"/>
              <w:tr2bl w:val="nil"/>
            </w:tcBorders>
            <w:vAlign w:val="center"/>
          </w:tcPr>
          <w:p w14:paraId="09979584">
            <w:pPr>
              <w:widowControl/>
              <w:jc w:val="center"/>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黄瓜</w:t>
            </w:r>
          </w:p>
        </w:tc>
        <w:tc>
          <w:tcPr>
            <w:tcW w:w="1896" w:type="dxa"/>
            <w:tcBorders>
              <w:tl2br w:val="nil"/>
              <w:tr2bl w:val="nil"/>
            </w:tcBorders>
            <w:vAlign w:val="center"/>
          </w:tcPr>
          <w:p w14:paraId="59028DD9">
            <w:pPr>
              <w:widowControl/>
              <w:jc w:val="left"/>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毒死蜱</w:t>
            </w:r>
          </w:p>
        </w:tc>
        <w:tc>
          <w:tcPr>
            <w:tcW w:w="2956" w:type="dxa"/>
            <w:tcBorders>
              <w:tl2br w:val="nil"/>
              <w:tr2bl w:val="nil"/>
            </w:tcBorders>
            <w:vAlign w:val="center"/>
          </w:tcPr>
          <w:p w14:paraId="44E02F1A">
            <w:pPr>
              <w:widowControl/>
              <w:jc w:val="left"/>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阿维菌素、哒螨灵、敌敌畏、腐霉利、甲氨基阿维菌素苯甲酸盐、甲拌磷、克百威、乐果、噻虫嗪、氧乐果、乙螨唑、乙酰甲胺磷、异丙威</w:t>
            </w:r>
          </w:p>
        </w:tc>
      </w:tr>
      <w:tr w14:paraId="585627F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463" w:hRule="atLeast"/>
        </w:trPr>
        <w:tc>
          <w:tcPr>
            <w:tcW w:w="953" w:type="dxa"/>
            <w:vMerge w:val="continue"/>
            <w:tcBorders>
              <w:tl2br w:val="nil"/>
              <w:tr2bl w:val="nil"/>
            </w:tcBorders>
            <w:vAlign w:val="center"/>
          </w:tcPr>
          <w:p w14:paraId="169A7D52">
            <w:pPr>
              <w:jc w:val="center"/>
              <w:rPr>
                <w:rFonts w:eastAsia="等线"/>
                <w:color w:val="auto"/>
                <w:kern w:val="0"/>
                <w:sz w:val="18"/>
                <w:szCs w:val="18"/>
                <w:highlight w:val="none"/>
              </w:rPr>
            </w:pPr>
          </w:p>
        </w:tc>
        <w:tc>
          <w:tcPr>
            <w:tcW w:w="796" w:type="dxa"/>
            <w:vMerge w:val="continue"/>
            <w:tcBorders>
              <w:tl2br w:val="nil"/>
              <w:tr2bl w:val="nil"/>
            </w:tcBorders>
            <w:vAlign w:val="center"/>
          </w:tcPr>
          <w:p w14:paraId="47127AF9">
            <w:pPr>
              <w:jc w:val="center"/>
              <w:rPr>
                <w:rFonts w:ascii="宋体" w:hAnsi="宋体" w:cs="宋体"/>
                <w:color w:val="auto"/>
                <w:kern w:val="0"/>
                <w:sz w:val="18"/>
                <w:szCs w:val="18"/>
                <w:highlight w:val="none"/>
              </w:rPr>
            </w:pPr>
          </w:p>
        </w:tc>
        <w:tc>
          <w:tcPr>
            <w:tcW w:w="797" w:type="dxa"/>
            <w:vMerge w:val="continue"/>
            <w:tcBorders>
              <w:tl2br w:val="nil"/>
              <w:tr2bl w:val="nil"/>
            </w:tcBorders>
            <w:vAlign w:val="center"/>
          </w:tcPr>
          <w:p w14:paraId="7A1C7365">
            <w:pPr>
              <w:jc w:val="center"/>
              <w:rPr>
                <w:rFonts w:ascii="宋体" w:hAnsi="宋体" w:cs="宋体"/>
                <w:color w:val="auto"/>
                <w:kern w:val="0"/>
                <w:sz w:val="18"/>
                <w:szCs w:val="18"/>
                <w:highlight w:val="none"/>
              </w:rPr>
            </w:pPr>
          </w:p>
        </w:tc>
        <w:tc>
          <w:tcPr>
            <w:tcW w:w="797" w:type="dxa"/>
            <w:vMerge w:val="restart"/>
            <w:tcBorders>
              <w:tl2br w:val="nil"/>
              <w:tr2bl w:val="nil"/>
            </w:tcBorders>
            <w:vAlign w:val="center"/>
          </w:tcPr>
          <w:p w14:paraId="4D5B4EFA">
            <w:pPr>
              <w:widowControl/>
              <w:jc w:val="center"/>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豆类蔬菜</w:t>
            </w:r>
          </w:p>
        </w:tc>
        <w:tc>
          <w:tcPr>
            <w:tcW w:w="953" w:type="dxa"/>
            <w:tcBorders>
              <w:tl2br w:val="nil"/>
              <w:tr2bl w:val="nil"/>
            </w:tcBorders>
            <w:vAlign w:val="center"/>
          </w:tcPr>
          <w:p w14:paraId="3E81CE69">
            <w:pPr>
              <w:widowControl/>
              <w:jc w:val="center"/>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菜豆</w:t>
            </w:r>
          </w:p>
        </w:tc>
        <w:tc>
          <w:tcPr>
            <w:tcW w:w="1896" w:type="dxa"/>
            <w:tcBorders>
              <w:tl2br w:val="nil"/>
              <w:tr2bl w:val="nil"/>
            </w:tcBorders>
            <w:vAlign w:val="center"/>
          </w:tcPr>
          <w:p w14:paraId="4C352455">
            <w:pPr>
              <w:widowControl/>
              <w:jc w:val="left"/>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噻虫胺、乙酰甲胺磷、克百威</w:t>
            </w:r>
          </w:p>
        </w:tc>
        <w:tc>
          <w:tcPr>
            <w:tcW w:w="2956" w:type="dxa"/>
            <w:tcBorders>
              <w:tl2br w:val="nil"/>
              <w:tr2bl w:val="nil"/>
            </w:tcBorders>
            <w:vAlign w:val="center"/>
          </w:tcPr>
          <w:p w14:paraId="0846E5F2">
            <w:pPr>
              <w:widowControl/>
              <w:jc w:val="left"/>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吡虫啉、毒死蜱、多菌灵、甲氨基阿维菌素苯甲酸盐、氯氟氰菊酯和高效氯氟氰菊酯、灭蝇胺、三唑磷、水胺硫磷、氧乐果、甲胺磷</w:t>
            </w:r>
          </w:p>
        </w:tc>
      </w:tr>
      <w:tr w14:paraId="0E130F9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946" w:hRule="atLeast"/>
        </w:trPr>
        <w:tc>
          <w:tcPr>
            <w:tcW w:w="953" w:type="dxa"/>
            <w:vMerge w:val="continue"/>
            <w:tcBorders>
              <w:tl2br w:val="nil"/>
              <w:tr2bl w:val="nil"/>
            </w:tcBorders>
            <w:vAlign w:val="center"/>
          </w:tcPr>
          <w:p w14:paraId="4CB860E3">
            <w:pPr>
              <w:jc w:val="center"/>
              <w:rPr>
                <w:rFonts w:eastAsia="等线"/>
                <w:color w:val="auto"/>
                <w:kern w:val="0"/>
                <w:sz w:val="18"/>
                <w:szCs w:val="18"/>
                <w:highlight w:val="none"/>
              </w:rPr>
            </w:pPr>
          </w:p>
        </w:tc>
        <w:tc>
          <w:tcPr>
            <w:tcW w:w="796" w:type="dxa"/>
            <w:vMerge w:val="continue"/>
            <w:tcBorders>
              <w:tl2br w:val="nil"/>
              <w:tr2bl w:val="nil"/>
            </w:tcBorders>
            <w:vAlign w:val="center"/>
          </w:tcPr>
          <w:p w14:paraId="11A8D2DE">
            <w:pPr>
              <w:jc w:val="center"/>
              <w:rPr>
                <w:rFonts w:ascii="宋体" w:hAnsi="宋体" w:cs="宋体"/>
                <w:color w:val="auto"/>
                <w:kern w:val="0"/>
                <w:sz w:val="18"/>
                <w:szCs w:val="18"/>
                <w:highlight w:val="none"/>
              </w:rPr>
            </w:pPr>
          </w:p>
        </w:tc>
        <w:tc>
          <w:tcPr>
            <w:tcW w:w="797" w:type="dxa"/>
            <w:vMerge w:val="continue"/>
            <w:tcBorders>
              <w:tl2br w:val="nil"/>
              <w:tr2bl w:val="nil"/>
            </w:tcBorders>
            <w:vAlign w:val="center"/>
          </w:tcPr>
          <w:p w14:paraId="1C74D23A">
            <w:pPr>
              <w:jc w:val="center"/>
              <w:rPr>
                <w:rFonts w:ascii="宋体" w:hAnsi="宋体" w:cs="宋体"/>
                <w:color w:val="auto"/>
                <w:kern w:val="0"/>
                <w:sz w:val="18"/>
                <w:szCs w:val="18"/>
                <w:highlight w:val="none"/>
              </w:rPr>
            </w:pPr>
          </w:p>
        </w:tc>
        <w:tc>
          <w:tcPr>
            <w:tcW w:w="797" w:type="dxa"/>
            <w:vMerge w:val="continue"/>
            <w:tcBorders>
              <w:tl2br w:val="nil"/>
              <w:tr2bl w:val="nil"/>
            </w:tcBorders>
            <w:vAlign w:val="center"/>
          </w:tcPr>
          <w:p w14:paraId="41298204">
            <w:pPr>
              <w:jc w:val="center"/>
              <w:rPr>
                <w:rFonts w:ascii="宋体" w:hAnsi="宋体" w:cs="宋体"/>
                <w:color w:val="auto"/>
                <w:kern w:val="0"/>
                <w:sz w:val="18"/>
                <w:szCs w:val="18"/>
                <w:highlight w:val="none"/>
              </w:rPr>
            </w:pPr>
          </w:p>
        </w:tc>
        <w:tc>
          <w:tcPr>
            <w:tcW w:w="953" w:type="dxa"/>
            <w:tcBorders>
              <w:tl2br w:val="nil"/>
              <w:tr2bl w:val="nil"/>
            </w:tcBorders>
            <w:vAlign w:val="center"/>
          </w:tcPr>
          <w:p w14:paraId="08BB3F39">
            <w:pPr>
              <w:widowControl/>
              <w:jc w:val="center"/>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豇豆</w:t>
            </w:r>
          </w:p>
        </w:tc>
        <w:tc>
          <w:tcPr>
            <w:tcW w:w="1896" w:type="dxa"/>
            <w:tcBorders>
              <w:tl2br w:val="nil"/>
              <w:tr2bl w:val="nil"/>
            </w:tcBorders>
            <w:vAlign w:val="center"/>
          </w:tcPr>
          <w:p w14:paraId="3E811075">
            <w:pPr>
              <w:widowControl/>
              <w:jc w:val="left"/>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噻虫胺、噻虫嗪</w:t>
            </w:r>
          </w:p>
        </w:tc>
        <w:tc>
          <w:tcPr>
            <w:tcW w:w="2956" w:type="dxa"/>
            <w:tcBorders>
              <w:tl2br w:val="nil"/>
              <w:tr2bl w:val="nil"/>
            </w:tcBorders>
            <w:vAlign w:val="center"/>
          </w:tcPr>
          <w:p w14:paraId="3B94C8D9">
            <w:pPr>
              <w:widowControl/>
              <w:jc w:val="left"/>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倍硫磷、阿维菌素、啶虫脒、氯氟氰菊酯和高效氯氟氰菊酯、毒死蜱、乙酰甲胺磷、克百威、氧乐果、灭蝇胺、甲胺磷、水胺硫磷、三唑磷、甲基异柳磷、乐果、甲拌磷、氟虫腈、甲氨基阿维菌素苯甲酸盐、氯氰菊酯和高效氯氰菊酯</w:t>
            </w:r>
          </w:p>
        </w:tc>
      </w:tr>
      <w:tr w14:paraId="7849C01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961" w:hRule="atLeast"/>
        </w:trPr>
        <w:tc>
          <w:tcPr>
            <w:tcW w:w="953" w:type="dxa"/>
            <w:vMerge w:val="continue"/>
            <w:tcBorders>
              <w:tl2br w:val="nil"/>
              <w:tr2bl w:val="nil"/>
            </w:tcBorders>
            <w:vAlign w:val="center"/>
          </w:tcPr>
          <w:p w14:paraId="080BB641">
            <w:pPr>
              <w:jc w:val="center"/>
              <w:rPr>
                <w:rFonts w:eastAsia="等线"/>
                <w:color w:val="auto"/>
                <w:kern w:val="0"/>
                <w:sz w:val="18"/>
                <w:szCs w:val="18"/>
                <w:highlight w:val="none"/>
              </w:rPr>
            </w:pPr>
          </w:p>
        </w:tc>
        <w:tc>
          <w:tcPr>
            <w:tcW w:w="796" w:type="dxa"/>
            <w:vMerge w:val="continue"/>
            <w:tcBorders>
              <w:tl2br w:val="nil"/>
              <w:tr2bl w:val="nil"/>
            </w:tcBorders>
            <w:vAlign w:val="center"/>
          </w:tcPr>
          <w:p w14:paraId="7A0155A4">
            <w:pPr>
              <w:jc w:val="center"/>
              <w:rPr>
                <w:rFonts w:ascii="宋体" w:hAnsi="宋体" w:cs="宋体"/>
                <w:color w:val="auto"/>
                <w:kern w:val="0"/>
                <w:sz w:val="18"/>
                <w:szCs w:val="18"/>
                <w:highlight w:val="none"/>
              </w:rPr>
            </w:pPr>
          </w:p>
        </w:tc>
        <w:tc>
          <w:tcPr>
            <w:tcW w:w="797" w:type="dxa"/>
            <w:vMerge w:val="continue"/>
            <w:tcBorders>
              <w:tl2br w:val="nil"/>
              <w:tr2bl w:val="nil"/>
            </w:tcBorders>
            <w:vAlign w:val="center"/>
          </w:tcPr>
          <w:p w14:paraId="0611FEE3">
            <w:pPr>
              <w:jc w:val="center"/>
              <w:rPr>
                <w:rFonts w:ascii="宋体" w:hAnsi="宋体" w:cs="宋体"/>
                <w:color w:val="auto"/>
                <w:kern w:val="0"/>
                <w:sz w:val="18"/>
                <w:szCs w:val="18"/>
                <w:highlight w:val="none"/>
              </w:rPr>
            </w:pPr>
          </w:p>
        </w:tc>
        <w:tc>
          <w:tcPr>
            <w:tcW w:w="797" w:type="dxa"/>
            <w:vMerge w:val="continue"/>
            <w:tcBorders>
              <w:tl2br w:val="nil"/>
              <w:tr2bl w:val="nil"/>
            </w:tcBorders>
            <w:vAlign w:val="center"/>
          </w:tcPr>
          <w:p w14:paraId="7DCC0EA1">
            <w:pPr>
              <w:jc w:val="center"/>
              <w:rPr>
                <w:rFonts w:ascii="宋体" w:hAnsi="宋体" w:cs="宋体"/>
                <w:color w:val="auto"/>
                <w:kern w:val="0"/>
                <w:sz w:val="18"/>
                <w:szCs w:val="18"/>
                <w:highlight w:val="none"/>
              </w:rPr>
            </w:pPr>
          </w:p>
        </w:tc>
        <w:tc>
          <w:tcPr>
            <w:tcW w:w="953" w:type="dxa"/>
            <w:tcBorders>
              <w:tl2br w:val="nil"/>
              <w:tr2bl w:val="nil"/>
            </w:tcBorders>
            <w:vAlign w:val="center"/>
          </w:tcPr>
          <w:p w14:paraId="19D189ED">
            <w:pPr>
              <w:widowControl/>
              <w:jc w:val="center"/>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食荚豌豆</w:t>
            </w:r>
          </w:p>
        </w:tc>
        <w:tc>
          <w:tcPr>
            <w:tcW w:w="1896" w:type="dxa"/>
            <w:tcBorders>
              <w:tl2br w:val="nil"/>
              <w:tr2bl w:val="nil"/>
            </w:tcBorders>
            <w:vAlign w:val="center"/>
          </w:tcPr>
          <w:p w14:paraId="767096AC">
            <w:pPr>
              <w:widowControl/>
              <w:jc w:val="left"/>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吡唑醚菌酯、烯酰吗啉、多菌灵、噻虫胺</w:t>
            </w:r>
          </w:p>
        </w:tc>
        <w:tc>
          <w:tcPr>
            <w:tcW w:w="2956" w:type="dxa"/>
            <w:tcBorders>
              <w:tl2br w:val="nil"/>
              <w:tr2bl w:val="nil"/>
            </w:tcBorders>
            <w:vAlign w:val="center"/>
          </w:tcPr>
          <w:p w14:paraId="2ADE5310">
            <w:pPr>
              <w:widowControl/>
              <w:jc w:val="left"/>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阿维菌素、毒死蜱、甲氨基阿维菌素苯甲酸盐、灭蝇胺、乙酰甲胺磷 、氧乐果</w:t>
            </w:r>
          </w:p>
        </w:tc>
      </w:tr>
      <w:tr w14:paraId="14FF2CE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016" w:hRule="atLeast"/>
        </w:trPr>
        <w:tc>
          <w:tcPr>
            <w:tcW w:w="953" w:type="dxa"/>
            <w:vMerge w:val="continue"/>
            <w:tcBorders>
              <w:tl2br w:val="nil"/>
              <w:tr2bl w:val="nil"/>
            </w:tcBorders>
            <w:vAlign w:val="center"/>
          </w:tcPr>
          <w:p w14:paraId="05AB6C48">
            <w:pPr>
              <w:jc w:val="center"/>
              <w:rPr>
                <w:rFonts w:eastAsia="等线"/>
                <w:color w:val="auto"/>
                <w:kern w:val="0"/>
                <w:sz w:val="18"/>
                <w:szCs w:val="18"/>
                <w:highlight w:val="none"/>
              </w:rPr>
            </w:pPr>
          </w:p>
        </w:tc>
        <w:tc>
          <w:tcPr>
            <w:tcW w:w="796" w:type="dxa"/>
            <w:vMerge w:val="continue"/>
            <w:tcBorders>
              <w:tl2br w:val="nil"/>
              <w:tr2bl w:val="nil"/>
            </w:tcBorders>
            <w:vAlign w:val="center"/>
          </w:tcPr>
          <w:p w14:paraId="6004C20F">
            <w:pPr>
              <w:jc w:val="center"/>
              <w:rPr>
                <w:rFonts w:ascii="宋体" w:hAnsi="宋体" w:cs="宋体"/>
                <w:color w:val="auto"/>
                <w:kern w:val="0"/>
                <w:sz w:val="18"/>
                <w:szCs w:val="18"/>
                <w:highlight w:val="none"/>
              </w:rPr>
            </w:pPr>
          </w:p>
        </w:tc>
        <w:tc>
          <w:tcPr>
            <w:tcW w:w="797" w:type="dxa"/>
            <w:vMerge w:val="continue"/>
            <w:tcBorders>
              <w:tl2br w:val="nil"/>
              <w:tr2bl w:val="nil"/>
            </w:tcBorders>
            <w:vAlign w:val="center"/>
          </w:tcPr>
          <w:p w14:paraId="772FAE63">
            <w:pPr>
              <w:jc w:val="center"/>
              <w:rPr>
                <w:rFonts w:ascii="宋体" w:hAnsi="宋体" w:cs="宋体"/>
                <w:color w:val="auto"/>
                <w:kern w:val="0"/>
                <w:sz w:val="18"/>
                <w:szCs w:val="18"/>
                <w:highlight w:val="none"/>
              </w:rPr>
            </w:pPr>
          </w:p>
        </w:tc>
        <w:tc>
          <w:tcPr>
            <w:tcW w:w="797" w:type="dxa"/>
            <w:vMerge w:val="restart"/>
            <w:tcBorders>
              <w:tl2br w:val="nil"/>
              <w:tr2bl w:val="nil"/>
            </w:tcBorders>
            <w:vAlign w:val="center"/>
          </w:tcPr>
          <w:p w14:paraId="250FCE90">
            <w:pPr>
              <w:widowControl/>
              <w:jc w:val="center"/>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根茎类和薯芋类蔬菜</w:t>
            </w:r>
          </w:p>
        </w:tc>
        <w:tc>
          <w:tcPr>
            <w:tcW w:w="953" w:type="dxa"/>
            <w:tcBorders>
              <w:tl2br w:val="nil"/>
              <w:tr2bl w:val="nil"/>
            </w:tcBorders>
            <w:vAlign w:val="center"/>
          </w:tcPr>
          <w:p w14:paraId="658419C2">
            <w:pPr>
              <w:widowControl/>
              <w:jc w:val="center"/>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胡萝卜</w:t>
            </w:r>
          </w:p>
        </w:tc>
        <w:tc>
          <w:tcPr>
            <w:tcW w:w="1896" w:type="dxa"/>
            <w:tcBorders>
              <w:tl2br w:val="nil"/>
              <w:tr2bl w:val="nil"/>
            </w:tcBorders>
            <w:vAlign w:val="center"/>
          </w:tcPr>
          <w:p w14:paraId="188F503E">
            <w:pPr>
              <w:widowControl/>
              <w:jc w:val="left"/>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甲拌磷、毒死蜱</w:t>
            </w:r>
          </w:p>
        </w:tc>
        <w:tc>
          <w:tcPr>
            <w:tcW w:w="2956" w:type="dxa"/>
            <w:tcBorders>
              <w:tl2br w:val="nil"/>
              <w:tr2bl w:val="nil"/>
            </w:tcBorders>
            <w:vAlign w:val="center"/>
          </w:tcPr>
          <w:p w14:paraId="5DE271A4">
            <w:pPr>
              <w:widowControl/>
              <w:jc w:val="left"/>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铅（以</w:t>
            </w:r>
            <w:r>
              <w:rPr>
                <w:color w:val="auto"/>
                <w:kern w:val="0"/>
                <w:sz w:val="18"/>
                <w:szCs w:val="18"/>
                <w:highlight w:val="none"/>
                <w:lang w:bidi="ar"/>
              </w:rPr>
              <w:t>Pb</w:t>
            </w:r>
            <w:r>
              <w:rPr>
                <w:rFonts w:hint="eastAsia" w:ascii="宋体" w:hAnsi="宋体" w:cs="宋体"/>
                <w:color w:val="auto"/>
                <w:kern w:val="0"/>
                <w:sz w:val="18"/>
                <w:szCs w:val="18"/>
                <w:highlight w:val="none"/>
                <w:lang w:bidi="ar"/>
              </w:rPr>
              <w:t>计）、氟虫腈、氯氟氰菊酯和高效氯氟氰菊酯、噻虫胺、乙酰甲胺磷</w:t>
            </w:r>
          </w:p>
        </w:tc>
      </w:tr>
      <w:tr w14:paraId="605F6EE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827" w:hRule="atLeast"/>
        </w:trPr>
        <w:tc>
          <w:tcPr>
            <w:tcW w:w="953" w:type="dxa"/>
            <w:vMerge w:val="continue"/>
            <w:tcBorders>
              <w:tl2br w:val="nil"/>
              <w:tr2bl w:val="nil"/>
            </w:tcBorders>
            <w:vAlign w:val="center"/>
          </w:tcPr>
          <w:p w14:paraId="7FFD1124">
            <w:pPr>
              <w:jc w:val="center"/>
              <w:rPr>
                <w:rFonts w:eastAsia="等线"/>
                <w:color w:val="auto"/>
                <w:kern w:val="0"/>
                <w:sz w:val="18"/>
                <w:szCs w:val="18"/>
                <w:highlight w:val="none"/>
              </w:rPr>
            </w:pPr>
          </w:p>
        </w:tc>
        <w:tc>
          <w:tcPr>
            <w:tcW w:w="796" w:type="dxa"/>
            <w:vMerge w:val="continue"/>
            <w:tcBorders>
              <w:tl2br w:val="nil"/>
              <w:tr2bl w:val="nil"/>
            </w:tcBorders>
            <w:vAlign w:val="center"/>
          </w:tcPr>
          <w:p w14:paraId="5076927F">
            <w:pPr>
              <w:jc w:val="center"/>
              <w:rPr>
                <w:rFonts w:ascii="宋体" w:hAnsi="宋体" w:cs="宋体"/>
                <w:color w:val="auto"/>
                <w:kern w:val="0"/>
                <w:sz w:val="18"/>
                <w:szCs w:val="18"/>
                <w:highlight w:val="none"/>
              </w:rPr>
            </w:pPr>
          </w:p>
        </w:tc>
        <w:tc>
          <w:tcPr>
            <w:tcW w:w="797" w:type="dxa"/>
            <w:vMerge w:val="continue"/>
            <w:tcBorders>
              <w:tl2br w:val="nil"/>
              <w:tr2bl w:val="nil"/>
            </w:tcBorders>
            <w:vAlign w:val="center"/>
          </w:tcPr>
          <w:p w14:paraId="58B87B4E">
            <w:pPr>
              <w:jc w:val="center"/>
              <w:rPr>
                <w:rFonts w:ascii="宋体" w:hAnsi="宋体" w:cs="宋体"/>
                <w:color w:val="auto"/>
                <w:kern w:val="0"/>
                <w:sz w:val="18"/>
                <w:szCs w:val="18"/>
                <w:highlight w:val="none"/>
              </w:rPr>
            </w:pPr>
          </w:p>
        </w:tc>
        <w:tc>
          <w:tcPr>
            <w:tcW w:w="797" w:type="dxa"/>
            <w:vMerge w:val="continue"/>
            <w:tcBorders>
              <w:tl2br w:val="nil"/>
              <w:tr2bl w:val="nil"/>
            </w:tcBorders>
            <w:vAlign w:val="center"/>
          </w:tcPr>
          <w:p w14:paraId="507A053B">
            <w:pPr>
              <w:jc w:val="center"/>
              <w:rPr>
                <w:rFonts w:ascii="宋体" w:hAnsi="宋体" w:cs="宋体"/>
                <w:color w:val="auto"/>
                <w:kern w:val="0"/>
                <w:sz w:val="18"/>
                <w:szCs w:val="18"/>
                <w:highlight w:val="none"/>
              </w:rPr>
            </w:pPr>
          </w:p>
        </w:tc>
        <w:tc>
          <w:tcPr>
            <w:tcW w:w="953" w:type="dxa"/>
            <w:tcBorders>
              <w:tl2br w:val="nil"/>
              <w:tr2bl w:val="nil"/>
            </w:tcBorders>
            <w:vAlign w:val="center"/>
          </w:tcPr>
          <w:p w14:paraId="439F7CBD">
            <w:pPr>
              <w:widowControl/>
              <w:jc w:val="center"/>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姜</w:t>
            </w:r>
          </w:p>
        </w:tc>
        <w:tc>
          <w:tcPr>
            <w:tcW w:w="1896" w:type="dxa"/>
            <w:tcBorders>
              <w:tl2br w:val="nil"/>
              <w:tr2bl w:val="nil"/>
            </w:tcBorders>
            <w:vAlign w:val="center"/>
          </w:tcPr>
          <w:p w14:paraId="0A4DA7A3">
            <w:pPr>
              <w:widowControl/>
              <w:jc w:val="left"/>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镉（以Cd计）、铅（以Pb计）、噻虫胺</w:t>
            </w:r>
          </w:p>
        </w:tc>
        <w:tc>
          <w:tcPr>
            <w:tcW w:w="2956" w:type="dxa"/>
            <w:tcBorders>
              <w:tl2br w:val="nil"/>
              <w:tr2bl w:val="nil"/>
            </w:tcBorders>
            <w:vAlign w:val="center"/>
          </w:tcPr>
          <w:p w14:paraId="51CE5E72">
            <w:pPr>
              <w:widowControl/>
              <w:jc w:val="left"/>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吡唑醚菌酯、咪鲜胺和咪鲜胺锰盐、甲胺磷、氯氰菊酯和高效氯氰菊酯、二氧化硫残留量、克百威、毒死蜱、噻虫嗪、吡虫啉、甲拌磷、氯氟氰菊酯和高效氯氟氰菊酯、敌敌畏、氯唑磷、六六六</w:t>
            </w:r>
          </w:p>
        </w:tc>
      </w:tr>
      <w:tr w14:paraId="2EBCDF6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080" w:hRule="atLeast"/>
        </w:trPr>
        <w:tc>
          <w:tcPr>
            <w:tcW w:w="953" w:type="dxa"/>
            <w:vMerge w:val="continue"/>
            <w:tcBorders>
              <w:tl2br w:val="nil"/>
              <w:tr2bl w:val="nil"/>
            </w:tcBorders>
            <w:vAlign w:val="center"/>
          </w:tcPr>
          <w:p w14:paraId="188DA5C0">
            <w:pPr>
              <w:jc w:val="center"/>
              <w:rPr>
                <w:rFonts w:eastAsia="等线"/>
                <w:color w:val="auto"/>
                <w:kern w:val="0"/>
                <w:sz w:val="18"/>
                <w:szCs w:val="18"/>
                <w:highlight w:val="none"/>
              </w:rPr>
            </w:pPr>
          </w:p>
        </w:tc>
        <w:tc>
          <w:tcPr>
            <w:tcW w:w="796" w:type="dxa"/>
            <w:vMerge w:val="continue"/>
            <w:tcBorders>
              <w:tl2br w:val="nil"/>
              <w:tr2bl w:val="nil"/>
            </w:tcBorders>
            <w:vAlign w:val="center"/>
          </w:tcPr>
          <w:p w14:paraId="5C80096A">
            <w:pPr>
              <w:jc w:val="center"/>
              <w:rPr>
                <w:rFonts w:ascii="宋体" w:hAnsi="宋体" w:cs="宋体"/>
                <w:color w:val="auto"/>
                <w:kern w:val="0"/>
                <w:sz w:val="18"/>
                <w:szCs w:val="18"/>
                <w:highlight w:val="none"/>
              </w:rPr>
            </w:pPr>
          </w:p>
        </w:tc>
        <w:tc>
          <w:tcPr>
            <w:tcW w:w="797" w:type="dxa"/>
            <w:vMerge w:val="continue"/>
            <w:tcBorders>
              <w:tl2br w:val="nil"/>
              <w:tr2bl w:val="nil"/>
            </w:tcBorders>
            <w:vAlign w:val="center"/>
          </w:tcPr>
          <w:p w14:paraId="0A49680B">
            <w:pPr>
              <w:jc w:val="center"/>
              <w:rPr>
                <w:rFonts w:ascii="宋体" w:hAnsi="宋体" w:cs="宋体"/>
                <w:color w:val="auto"/>
                <w:kern w:val="0"/>
                <w:sz w:val="18"/>
                <w:szCs w:val="18"/>
                <w:highlight w:val="none"/>
              </w:rPr>
            </w:pPr>
          </w:p>
        </w:tc>
        <w:tc>
          <w:tcPr>
            <w:tcW w:w="797" w:type="dxa"/>
            <w:vMerge w:val="continue"/>
            <w:tcBorders>
              <w:tl2br w:val="nil"/>
              <w:tr2bl w:val="nil"/>
            </w:tcBorders>
            <w:vAlign w:val="center"/>
          </w:tcPr>
          <w:p w14:paraId="30B19FAC">
            <w:pPr>
              <w:jc w:val="center"/>
              <w:rPr>
                <w:rFonts w:ascii="宋体" w:hAnsi="宋体" w:cs="宋体"/>
                <w:color w:val="auto"/>
                <w:kern w:val="0"/>
                <w:sz w:val="18"/>
                <w:szCs w:val="18"/>
                <w:highlight w:val="none"/>
              </w:rPr>
            </w:pPr>
          </w:p>
        </w:tc>
        <w:tc>
          <w:tcPr>
            <w:tcW w:w="953" w:type="dxa"/>
            <w:tcBorders>
              <w:tl2br w:val="nil"/>
              <w:tr2bl w:val="nil"/>
            </w:tcBorders>
            <w:vAlign w:val="center"/>
          </w:tcPr>
          <w:p w14:paraId="55FE23E5">
            <w:pPr>
              <w:widowControl/>
              <w:jc w:val="center"/>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山药</w:t>
            </w:r>
          </w:p>
        </w:tc>
        <w:tc>
          <w:tcPr>
            <w:tcW w:w="1896" w:type="dxa"/>
            <w:tcBorders>
              <w:tl2br w:val="nil"/>
              <w:tr2bl w:val="nil"/>
            </w:tcBorders>
            <w:vAlign w:val="center"/>
          </w:tcPr>
          <w:p w14:paraId="0B7D8831">
            <w:pPr>
              <w:widowControl/>
              <w:jc w:val="left"/>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咪鲜胺和咪鲜胺锰盐、涕灭威</w:t>
            </w:r>
          </w:p>
        </w:tc>
        <w:tc>
          <w:tcPr>
            <w:tcW w:w="2956" w:type="dxa"/>
            <w:tcBorders>
              <w:tl2br w:val="nil"/>
              <w:tr2bl w:val="nil"/>
            </w:tcBorders>
            <w:vAlign w:val="center"/>
          </w:tcPr>
          <w:p w14:paraId="67D67E22">
            <w:pPr>
              <w:widowControl/>
              <w:jc w:val="left"/>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铅（以</w:t>
            </w:r>
            <w:r>
              <w:rPr>
                <w:color w:val="auto"/>
                <w:kern w:val="0"/>
                <w:sz w:val="18"/>
                <w:szCs w:val="18"/>
                <w:highlight w:val="none"/>
                <w:lang w:bidi="ar"/>
              </w:rPr>
              <w:t>Pb</w:t>
            </w:r>
            <w:r>
              <w:rPr>
                <w:rFonts w:hint="eastAsia" w:ascii="宋体" w:hAnsi="宋体" w:cs="宋体"/>
                <w:color w:val="auto"/>
                <w:kern w:val="0"/>
                <w:sz w:val="18"/>
                <w:szCs w:val="18"/>
                <w:highlight w:val="none"/>
                <w:lang w:bidi="ar"/>
              </w:rPr>
              <w:t>计）、毒死蜱、克百威、氯氟氰菊酯和高效氯氟氰菊酯</w:t>
            </w:r>
          </w:p>
        </w:tc>
      </w:tr>
      <w:tr w14:paraId="72710A9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44" w:hRule="atLeast"/>
        </w:trPr>
        <w:tc>
          <w:tcPr>
            <w:tcW w:w="953" w:type="dxa"/>
            <w:vMerge w:val="continue"/>
            <w:tcBorders>
              <w:tl2br w:val="nil"/>
              <w:tr2bl w:val="nil"/>
            </w:tcBorders>
            <w:vAlign w:val="center"/>
          </w:tcPr>
          <w:p w14:paraId="41CE9D8F">
            <w:pPr>
              <w:jc w:val="center"/>
              <w:rPr>
                <w:rFonts w:eastAsia="等线"/>
                <w:color w:val="auto"/>
                <w:kern w:val="0"/>
                <w:sz w:val="18"/>
                <w:szCs w:val="18"/>
                <w:highlight w:val="none"/>
              </w:rPr>
            </w:pPr>
          </w:p>
        </w:tc>
        <w:tc>
          <w:tcPr>
            <w:tcW w:w="796" w:type="dxa"/>
            <w:vMerge w:val="continue"/>
            <w:tcBorders>
              <w:tl2br w:val="nil"/>
              <w:tr2bl w:val="nil"/>
            </w:tcBorders>
            <w:vAlign w:val="center"/>
          </w:tcPr>
          <w:p w14:paraId="46C1594A">
            <w:pPr>
              <w:jc w:val="center"/>
              <w:rPr>
                <w:rFonts w:ascii="宋体" w:hAnsi="宋体" w:cs="宋体"/>
                <w:color w:val="auto"/>
                <w:kern w:val="0"/>
                <w:sz w:val="18"/>
                <w:szCs w:val="18"/>
                <w:highlight w:val="none"/>
              </w:rPr>
            </w:pPr>
          </w:p>
        </w:tc>
        <w:tc>
          <w:tcPr>
            <w:tcW w:w="797" w:type="dxa"/>
            <w:vMerge w:val="continue"/>
            <w:tcBorders>
              <w:tl2br w:val="nil"/>
              <w:tr2bl w:val="nil"/>
            </w:tcBorders>
            <w:vAlign w:val="center"/>
          </w:tcPr>
          <w:p w14:paraId="492B970F">
            <w:pPr>
              <w:jc w:val="center"/>
              <w:rPr>
                <w:rFonts w:ascii="宋体" w:hAnsi="宋体" w:cs="宋体"/>
                <w:color w:val="auto"/>
                <w:kern w:val="0"/>
                <w:sz w:val="18"/>
                <w:szCs w:val="18"/>
                <w:highlight w:val="none"/>
              </w:rPr>
            </w:pPr>
          </w:p>
        </w:tc>
        <w:tc>
          <w:tcPr>
            <w:tcW w:w="797" w:type="dxa"/>
            <w:vMerge w:val="continue"/>
            <w:tcBorders>
              <w:tl2br w:val="nil"/>
              <w:tr2bl w:val="nil"/>
            </w:tcBorders>
            <w:vAlign w:val="center"/>
          </w:tcPr>
          <w:p w14:paraId="4199002B">
            <w:pPr>
              <w:jc w:val="center"/>
              <w:rPr>
                <w:rFonts w:ascii="宋体" w:hAnsi="宋体" w:cs="宋体"/>
                <w:color w:val="auto"/>
                <w:kern w:val="0"/>
                <w:sz w:val="18"/>
                <w:szCs w:val="18"/>
                <w:highlight w:val="none"/>
              </w:rPr>
            </w:pPr>
          </w:p>
        </w:tc>
        <w:tc>
          <w:tcPr>
            <w:tcW w:w="953" w:type="dxa"/>
            <w:tcBorders>
              <w:tl2br w:val="nil"/>
              <w:tr2bl w:val="nil"/>
            </w:tcBorders>
            <w:vAlign w:val="center"/>
          </w:tcPr>
          <w:p w14:paraId="4CFE450E">
            <w:pPr>
              <w:widowControl/>
              <w:jc w:val="center"/>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甘薯</w:t>
            </w:r>
          </w:p>
        </w:tc>
        <w:tc>
          <w:tcPr>
            <w:tcW w:w="1896" w:type="dxa"/>
            <w:tcBorders>
              <w:tl2br w:val="nil"/>
              <w:tr2bl w:val="nil"/>
            </w:tcBorders>
            <w:vAlign w:val="center"/>
          </w:tcPr>
          <w:p w14:paraId="7EBD46DA">
            <w:pPr>
              <w:widowControl/>
              <w:jc w:val="center"/>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氯氟氰菊酯和高效氯氟氰菊酯、毒死蜱</w:t>
            </w:r>
          </w:p>
        </w:tc>
        <w:tc>
          <w:tcPr>
            <w:tcW w:w="2956" w:type="dxa"/>
            <w:tcBorders>
              <w:tl2br w:val="nil"/>
              <w:tr2bl w:val="nil"/>
            </w:tcBorders>
            <w:vAlign w:val="center"/>
          </w:tcPr>
          <w:p w14:paraId="226C87A5">
            <w:pPr>
              <w:widowControl/>
              <w:jc w:val="center"/>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杀扑磷、噻虫嗪、甲拌磷、氟虫腈、氯氰菊酯和高效氯氰菊酯、铅（以Pb计）</w:t>
            </w:r>
          </w:p>
        </w:tc>
      </w:tr>
      <w:tr w14:paraId="26C16A3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130" w:hRule="atLeast"/>
        </w:trPr>
        <w:tc>
          <w:tcPr>
            <w:tcW w:w="953" w:type="dxa"/>
            <w:vMerge w:val="continue"/>
            <w:tcBorders>
              <w:tl2br w:val="nil"/>
              <w:tr2bl w:val="nil"/>
            </w:tcBorders>
            <w:vAlign w:val="center"/>
          </w:tcPr>
          <w:p w14:paraId="08BA05DB">
            <w:pPr>
              <w:jc w:val="center"/>
              <w:rPr>
                <w:rFonts w:eastAsia="等线"/>
                <w:color w:val="auto"/>
                <w:kern w:val="0"/>
                <w:sz w:val="18"/>
                <w:szCs w:val="18"/>
                <w:highlight w:val="none"/>
              </w:rPr>
            </w:pPr>
          </w:p>
        </w:tc>
        <w:tc>
          <w:tcPr>
            <w:tcW w:w="796" w:type="dxa"/>
            <w:vMerge w:val="continue"/>
            <w:tcBorders>
              <w:tl2br w:val="nil"/>
              <w:tr2bl w:val="nil"/>
            </w:tcBorders>
            <w:vAlign w:val="center"/>
          </w:tcPr>
          <w:p w14:paraId="7ACD820F">
            <w:pPr>
              <w:jc w:val="center"/>
              <w:rPr>
                <w:rFonts w:ascii="宋体" w:hAnsi="宋体" w:cs="宋体"/>
                <w:color w:val="auto"/>
                <w:kern w:val="0"/>
                <w:sz w:val="18"/>
                <w:szCs w:val="18"/>
                <w:highlight w:val="none"/>
              </w:rPr>
            </w:pPr>
          </w:p>
        </w:tc>
        <w:tc>
          <w:tcPr>
            <w:tcW w:w="797" w:type="dxa"/>
            <w:vMerge w:val="continue"/>
            <w:tcBorders>
              <w:tl2br w:val="nil"/>
              <w:tr2bl w:val="nil"/>
            </w:tcBorders>
            <w:vAlign w:val="center"/>
          </w:tcPr>
          <w:p w14:paraId="462D3385">
            <w:pPr>
              <w:jc w:val="center"/>
              <w:rPr>
                <w:rFonts w:ascii="宋体" w:hAnsi="宋体" w:cs="宋体"/>
                <w:color w:val="auto"/>
                <w:kern w:val="0"/>
                <w:sz w:val="18"/>
                <w:szCs w:val="18"/>
                <w:highlight w:val="none"/>
              </w:rPr>
            </w:pPr>
          </w:p>
        </w:tc>
        <w:tc>
          <w:tcPr>
            <w:tcW w:w="797" w:type="dxa"/>
            <w:tcBorders>
              <w:tl2br w:val="nil"/>
              <w:tr2bl w:val="nil"/>
            </w:tcBorders>
            <w:vAlign w:val="center"/>
          </w:tcPr>
          <w:p w14:paraId="56CC7F19">
            <w:pPr>
              <w:widowControl/>
              <w:jc w:val="center"/>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水生类蔬菜</w:t>
            </w:r>
          </w:p>
        </w:tc>
        <w:tc>
          <w:tcPr>
            <w:tcW w:w="953" w:type="dxa"/>
            <w:tcBorders>
              <w:tl2br w:val="nil"/>
              <w:tr2bl w:val="nil"/>
            </w:tcBorders>
            <w:vAlign w:val="center"/>
          </w:tcPr>
          <w:p w14:paraId="67563595">
            <w:pPr>
              <w:widowControl/>
              <w:jc w:val="center"/>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莲藕</w:t>
            </w:r>
          </w:p>
        </w:tc>
        <w:tc>
          <w:tcPr>
            <w:tcW w:w="1896" w:type="dxa"/>
            <w:tcBorders>
              <w:tl2br w:val="nil"/>
              <w:tr2bl w:val="nil"/>
            </w:tcBorders>
            <w:vAlign w:val="center"/>
          </w:tcPr>
          <w:p w14:paraId="776D4D7F">
            <w:pPr>
              <w:widowControl/>
              <w:jc w:val="left"/>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铅(以Pb计)、镉(以Cd计)、氧乐果</w:t>
            </w:r>
          </w:p>
        </w:tc>
        <w:tc>
          <w:tcPr>
            <w:tcW w:w="2956" w:type="dxa"/>
            <w:tcBorders>
              <w:tl2br w:val="nil"/>
              <w:tr2bl w:val="nil"/>
            </w:tcBorders>
            <w:vAlign w:val="center"/>
          </w:tcPr>
          <w:p w14:paraId="1E3A9A60">
            <w:pPr>
              <w:widowControl/>
              <w:jc w:val="left"/>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克百威、总砷(以As计)、铬(以Cr计)</w:t>
            </w:r>
          </w:p>
        </w:tc>
      </w:tr>
      <w:tr w14:paraId="2DFDE95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887" w:hRule="atLeast"/>
        </w:trPr>
        <w:tc>
          <w:tcPr>
            <w:tcW w:w="953" w:type="dxa"/>
            <w:vMerge w:val="restart"/>
            <w:tcBorders>
              <w:tl2br w:val="nil"/>
              <w:tr2bl w:val="nil"/>
            </w:tcBorders>
            <w:vAlign w:val="center"/>
          </w:tcPr>
          <w:p w14:paraId="0D66F4A2">
            <w:pPr>
              <w:widowControl/>
              <w:jc w:val="center"/>
              <w:textAlignment w:val="center"/>
              <w:rPr>
                <w:rFonts w:hint="default" w:eastAsia="等线"/>
                <w:color w:val="auto"/>
                <w:kern w:val="0"/>
                <w:sz w:val="18"/>
                <w:szCs w:val="18"/>
                <w:highlight w:val="none"/>
                <w:lang w:val="en-US" w:eastAsia="zh-CN"/>
              </w:rPr>
            </w:pPr>
            <w:r>
              <w:rPr>
                <w:rFonts w:hint="eastAsia" w:eastAsia="等线"/>
                <w:color w:val="auto"/>
                <w:kern w:val="0"/>
                <w:sz w:val="18"/>
                <w:szCs w:val="18"/>
                <w:highlight w:val="none"/>
                <w:lang w:val="en-US" w:eastAsia="zh-CN" w:bidi="ar"/>
              </w:rPr>
              <w:t>35</w:t>
            </w:r>
          </w:p>
        </w:tc>
        <w:tc>
          <w:tcPr>
            <w:tcW w:w="796" w:type="dxa"/>
            <w:vMerge w:val="restart"/>
            <w:tcBorders>
              <w:tl2br w:val="nil"/>
              <w:tr2bl w:val="nil"/>
            </w:tcBorders>
            <w:vAlign w:val="center"/>
          </w:tcPr>
          <w:p w14:paraId="52CC3FD8">
            <w:pPr>
              <w:widowControl/>
              <w:jc w:val="center"/>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水产品</w:t>
            </w:r>
          </w:p>
        </w:tc>
        <w:tc>
          <w:tcPr>
            <w:tcW w:w="797" w:type="dxa"/>
            <w:vMerge w:val="restart"/>
            <w:tcBorders>
              <w:tl2br w:val="nil"/>
              <w:tr2bl w:val="nil"/>
            </w:tcBorders>
            <w:vAlign w:val="center"/>
          </w:tcPr>
          <w:p w14:paraId="0687682A">
            <w:pPr>
              <w:widowControl/>
              <w:jc w:val="center"/>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水产品</w:t>
            </w:r>
          </w:p>
        </w:tc>
        <w:tc>
          <w:tcPr>
            <w:tcW w:w="797" w:type="dxa"/>
            <w:vMerge w:val="restart"/>
            <w:tcBorders>
              <w:tl2br w:val="nil"/>
              <w:tr2bl w:val="nil"/>
            </w:tcBorders>
            <w:vAlign w:val="center"/>
          </w:tcPr>
          <w:p w14:paraId="36A63319">
            <w:pPr>
              <w:widowControl/>
              <w:jc w:val="center"/>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淡水产品</w:t>
            </w:r>
          </w:p>
        </w:tc>
        <w:tc>
          <w:tcPr>
            <w:tcW w:w="953" w:type="dxa"/>
            <w:tcBorders>
              <w:tl2br w:val="nil"/>
              <w:tr2bl w:val="nil"/>
            </w:tcBorders>
            <w:vAlign w:val="center"/>
          </w:tcPr>
          <w:p w14:paraId="3B43E082">
            <w:pPr>
              <w:widowControl/>
              <w:jc w:val="center"/>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淡水鱼</w:t>
            </w:r>
          </w:p>
        </w:tc>
        <w:tc>
          <w:tcPr>
            <w:tcW w:w="1896" w:type="dxa"/>
            <w:tcBorders>
              <w:tl2br w:val="nil"/>
              <w:tr2bl w:val="nil"/>
            </w:tcBorders>
            <w:vAlign w:val="center"/>
          </w:tcPr>
          <w:p w14:paraId="100BFED2">
            <w:pPr>
              <w:widowControl/>
              <w:jc w:val="left"/>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恩诺沙星、地西泮、孔雀石绿、磺胺类（总量）、氧氟沙星</w:t>
            </w:r>
          </w:p>
        </w:tc>
        <w:tc>
          <w:tcPr>
            <w:tcW w:w="2956" w:type="dxa"/>
            <w:tcBorders>
              <w:tl2br w:val="nil"/>
              <w:tr2bl w:val="nil"/>
            </w:tcBorders>
            <w:vAlign w:val="center"/>
          </w:tcPr>
          <w:p w14:paraId="1C09675C">
            <w:pPr>
              <w:widowControl/>
              <w:jc w:val="left"/>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挥发性盐基氮、镉（以Cd计）、氯霉素、呋喃唑酮代谢物、呋喃西林代谢物、呋喃妥因代谢物、五氯酚酸钠、沙拉沙星、甲氧苄啶、氟苯尼考、甲硝唑、诺氟沙星、培氟沙星</w:t>
            </w:r>
          </w:p>
        </w:tc>
      </w:tr>
      <w:tr w14:paraId="150544C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812" w:hRule="atLeast"/>
        </w:trPr>
        <w:tc>
          <w:tcPr>
            <w:tcW w:w="953" w:type="dxa"/>
            <w:vMerge w:val="continue"/>
            <w:tcBorders>
              <w:tl2br w:val="nil"/>
              <w:tr2bl w:val="nil"/>
            </w:tcBorders>
            <w:vAlign w:val="center"/>
          </w:tcPr>
          <w:p w14:paraId="1852CE85">
            <w:pPr>
              <w:jc w:val="center"/>
              <w:rPr>
                <w:rFonts w:eastAsia="等线"/>
                <w:color w:val="auto"/>
                <w:kern w:val="0"/>
                <w:sz w:val="18"/>
                <w:szCs w:val="18"/>
                <w:highlight w:val="none"/>
              </w:rPr>
            </w:pPr>
          </w:p>
        </w:tc>
        <w:tc>
          <w:tcPr>
            <w:tcW w:w="796" w:type="dxa"/>
            <w:vMerge w:val="continue"/>
            <w:tcBorders>
              <w:tl2br w:val="nil"/>
              <w:tr2bl w:val="nil"/>
            </w:tcBorders>
            <w:vAlign w:val="center"/>
          </w:tcPr>
          <w:p w14:paraId="18D8D0D0">
            <w:pPr>
              <w:jc w:val="center"/>
              <w:rPr>
                <w:rFonts w:ascii="宋体" w:hAnsi="宋体" w:cs="宋体"/>
                <w:color w:val="auto"/>
                <w:kern w:val="0"/>
                <w:sz w:val="18"/>
                <w:szCs w:val="18"/>
                <w:highlight w:val="none"/>
              </w:rPr>
            </w:pPr>
          </w:p>
        </w:tc>
        <w:tc>
          <w:tcPr>
            <w:tcW w:w="797" w:type="dxa"/>
            <w:vMerge w:val="continue"/>
            <w:tcBorders>
              <w:tl2br w:val="nil"/>
              <w:tr2bl w:val="nil"/>
            </w:tcBorders>
            <w:vAlign w:val="center"/>
          </w:tcPr>
          <w:p w14:paraId="1F3CDC63">
            <w:pPr>
              <w:jc w:val="center"/>
              <w:rPr>
                <w:rFonts w:ascii="宋体" w:hAnsi="宋体" w:cs="宋体"/>
                <w:color w:val="auto"/>
                <w:kern w:val="0"/>
                <w:sz w:val="18"/>
                <w:szCs w:val="18"/>
                <w:highlight w:val="none"/>
              </w:rPr>
            </w:pPr>
          </w:p>
        </w:tc>
        <w:tc>
          <w:tcPr>
            <w:tcW w:w="797" w:type="dxa"/>
            <w:vMerge w:val="continue"/>
            <w:tcBorders>
              <w:tl2br w:val="nil"/>
              <w:tr2bl w:val="nil"/>
            </w:tcBorders>
            <w:vAlign w:val="center"/>
          </w:tcPr>
          <w:p w14:paraId="13754F68">
            <w:pPr>
              <w:jc w:val="center"/>
              <w:rPr>
                <w:rFonts w:ascii="宋体" w:hAnsi="宋体" w:cs="宋体"/>
                <w:color w:val="auto"/>
                <w:kern w:val="0"/>
                <w:sz w:val="18"/>
                <w:szCs w:val="18"/>
                <w:highlight w:val="none"/>
              </w:rPr>
            </w:pPr>
          </w:p>
        </w:tc>
        <w:tc>
          <w:tcPr>
            <w:tcW w:w="953" w:type="dxa"/>
            <w:tcBorders>
              <w:tl2br w:val="nil"/>
              <w:tr2bl w:val="nil"/>
            </w:tcBorders>
            <w:vAlign w:val="center"/>
          </w:tcPr>
          <w:p w14:paraId="68FA36B2">
            <w:pPr>
              <w:widowControl/>
              <w:jc w:val="center"/>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淡水虾</w:t>
            </w:r>
          </w:p>
        </w:tc>
        <w:tc>
          <w:tcPr>
            <w:tcW w:w="1896" w:type="dxa"/>
            <w:tcBorders>
              <w:tl2br w:val="nil"/>
              <w:tr2bl w:val="nil"/>
            </w:tcBorders>
            <w:vAlign w:val="center"/>
          </w:tcPr>
          <w:p w14:paraId="30EA1743">
            <w:pPr>
              <w:widowControl/>
              <w:jc w:val="left"/>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镉（以Cd计）、孔雀石绿</w:t>
            </w:r>
          </w:p>
        </w:tc>
        <w:tc>
          <w:tcPr>
            <w:tcW w:w="2956" w:type="dxa"/>
            <w:tcBorders>
              <w:tl2br w:val="nil"/>
              <w:tr2bl w:val="nil"/>
            </w:tcBorders>
            <w:vAlign w:val="center"/>
          </w:tcPr>
          <w:p w14:paraId="2C7BE2D8">
            <w:pPr>
              <w:widowControl/>
              <w:jc w:val="left"/>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氯霉素、呋喃唑酮代谢物、呋喃妥因代谢物、恩诺沙星、磺胺类（总量）、土霉素</w:t>
            </w:r>
            <w:r>
              <w:rPr>
                <w:color w:val="auto"/>
                <w:kern w:val="0"/>
                <w:sz w:val="18"/>
                <w:szCs w:val="18"/>
                <w:highlight w:val="none"/>
                <w:lang w:bidi="ar"/>
              </w:rPr>
              <w:t>/</w:t>
            </w:r>
            <w:r>
              <w:rPr>
                <w:rFonts w:hint="eastAsia" w:ascii="宋体" w:hAnsi="宋体" w:cs="宋体"/>
                <w:color w:val="auto"/>
                <w:kern w:val="0"/>
                <w:sz w:val="18"/>
                <w:szCs w:val="18"/>
                <w:highlight w:val="none"/>
                <w:lang w:bidi="ar"/>
              </w:rPr>
              <w:t>金霉素</w:t>
            </w:r>
            <w:r>
              <w:rPr>
                <w:color w:val="auto"/>
                <w:kern w:val="0"/>
                <w:sz w:val="18"/>
                <w:szCs w:val="18"/>
                <w:highlight w:val="none"/>
                <w:lang w:bidi="ar"/>
              </w:rPr>
              <w:t>/</w:t>
            </w:r>
            <w:r>
              <w:rPr>
                <w:rFonts w:hint="eastAsia" w:ascii="宋体" w:hAnsi="宋体" w:cs="宋体"/>
                <w:color w:val="auto"/>
                <w:kern w:val="0"/>
                <w:sz w:val="18"/>
                <w:szCs w:val="18"/>
                <w:highlight w:val="none"/>
                <w:lang w:bidi="ar"/>
              </w:rPr>
              <w:t>四环素（组合含量）、五氯酚酸钠（以五氯酚计）、氧氟沙星、诺氟沙星</w:t>
            </w:r>
          </w:p>
        </w:tc>
      </w:tr>
      <w:tr w14:paraId="54ECE6F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216" w:hRule="atLeast"/>
        </w:trPr>
        <w:tc>
          <w:tcPr>
            <w:tcW w:w="953" w:type="dxa"/>
            <w:vMerge w:val="continue"/>
            <w:tcBorders>
              <w:tl2br w:val="nil"/>
              <w:tr2bl w:val="nil"/>
            </w:tcBorders>
            <w:vAlign w:val="center"/>
          </w:tcPr>
          <w:p w14:paraId="284070E8">
            <w:pPr>
              <w:jc w:val="center"/>
              <w:rPr>
                <w:rFonts w:eastAsia="等线"/>
                <w:color w:val="auto"/>
                <w:kern w:val="0"/>
                <w:sz w:val="18"/>
                <w:szCs w:val="18"/>
                <w:highlight w:val="none"/>
              </w:rPr>
            </w:pPr>
          </w:p>
        </w:tc>
        <w:tc>
          <w:tcPr>
            <w:tcW w:w="796" w:type="dxa"/>
            <w:vMerge w:val="continue"/>
            <w:tcBorders>
              <w:tl2br w:val="nil"/>
              <w:tr2bl w:val="nil"/>
            </w:tcBorders>
            <w:vAlign w:val="center"/>
          </w:tcPr>
          <w:p w14:paraId="16C671D6">
            <w:pPr>
              <w:jc w:val="center"/>
              <w:rPr>
                <w:rFonts w:ascii="宋体" w:hAnsi="宋体" w:cs="宋体"/>
                <w:color w:val="auto"/>
                <w:kern w:val="0"/>
                <w:sz w:val="18"/>
                <w:szCs w:val="18"/>
                <w:highlight w:val="none"/>
              </w:rPr>
            </w:pPr>
          </w:p>
        </w:tc>
        <w:tc>
          <w:tcPr>
            <w:tcW w:w="797" w:type="dxa"/>
            <w:vMerge w:val="continue"/>
            <w:tcBorders>
              <w:tl2br w:val="nil"/>
              <w:tr2bl w:val="nil"/>
            </w:tcBorders>
            <w:vAlign w:val="center"/>
          </w:tcPr>
          <w:p w14:paraId="643931BB">
            <w:pPr>
              <w:jc w:val="center"/>
              <w:rPr>
                <w:rFonts w:ascii="宋体" w:hAnsi="宋体" w:cs="宋体"/>
                <w:color w:val="auto"/>
                <w:kern w:val="0"/>
                <w:sz w:val="18"/>
                <w:szCs w:val="18"/>
                <w:highlight w:val="none"/>
              </w:rPr>
            </w:pPr>
          </w:p>
        </w:tc>
        <w:tc>
          <w:tcPr>
            <w:tcW w:w="797" w:type="dxa"/>
            <w:vMerge w:val="continue"/>
            <w:tcBorders>
              <w:tl2br w:val="nil"/>
              <w:tr2bl w:val="nil"/>
            </w:tcBorders>
            <w:vAlign w:val="center"/>
          </w:tcPr>
          <w:p w14:paraId="2EC36B8C">
            <w:pPr>
              <w:jc w:val="center"/>
              <w:rPr>
                <w:rFonts w:ascii="宋体" w:hAnsi="宋体" w:cs="宋体"/>
                <w:color w:val="auto"/>
                <w:kern w:val="0"/>
                <w:sz w:val="18"/>
                <w:szCs w:val="18"/>
                <w:highlight w:val="none"/>
              </w:rPr>
            </w:pPr>
          </w:p>
        </w:tc>
        <w:tc>
          <w:tcPr>
            <w:tcW w:w="953" w:type="dxa"/>
            <w:tcBorders>
              <w:tl2br w:val="nil"/>
              <w:tr2bl w:val="nil"/>
            </w:tcBorders>
            <w:vAlign w:val="center"/>
          </w:tcPr>
          <w:p w14:paraId="1D375A21">
            <w:pPr>
              <w:widowControl/>
              <w:jc w:val="center"/>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淡水蟹</w:t>
            </w:r>
          </w:p>
        </w:tc>
        <w:tc>
          <w:tcPr>
            <w:tcW w:w="1896" w:type="dxa"/>
            <w:tcBorders>
              <w:tl2br w:val="nil"/>
              <w:tr2bl w:val="nil"/>
            </w:tcBorders>
            <w:vAlign w:val="center"/>
          </w:tcPr>
          <w:p w14:paraId="707D2D69">
            <w:pPr>
              <w:widowControl/>
              <w:jc w:val="left"/>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镉（以Cd计）、孔雀石绿</w:t>
            </w:r>
          </w:p>
        </w:tc>
        <w:tc>
          <w:tcPr>
            <w:tcW w:w="2956" w:type="dxa"/>
            <w:tcBorders>
              <w:tl2br w:val="nil"/>
              <w:tr2bl w:val="nil"/>
            </w:tcBorders>
            <w:vAlign w:val="center"/>
          </w:tcPr>
          <w:p w14:paraId="2ECBE6CB">
            <w:pPr>
              <w:widowControl/>
              <w:jc w:val="left"/>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氯霉素、五氯酚酸钠（以五氯酚计）、呋喃唑酮代谢物、氧氟沙星</w:t>
            </w:r>
          </w:p>
        </w:tc>
      </w:tr>
      <w:tr w14:paraId="25A565E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781" w:hRule="atLeast"/>
        </w:trPr>
        <w:tc>
          <w:tcPr>
            <w:tcW w:w="953" w:type="dxa"/>
            <w:vMerge w:val="continue"/>
            <w:tcBorders>
              <w:tl2br w:val="nil"/>
              <w:tr2bl w:val="nil"/>
            </w:tcBorders>
            <w:vAlign w:val="center"/>
          </w:tcPr>
          <w:p w14:paraId="6C94C479">
            <w:pPr>
              <w:jc w:val="center"/>
              <w:rPr>
                <w:rFonts w:eastAsia="等线"/>
                <w:color w:val="auto"/>
                <w:kern w:val="0"/>
                <w:sz w:val="18"/>
                <w:szCs w:val="18"/>
                <w:highlight w:val="none"/>
              </w:rPr>
            </w:pPr>
          </w:p>
        </w:tc>
        <w:tc>
          <w:tcPr>
            <w:tcW w:w="796" w:type="dxa"/>
            <w:vMerge w:val="continue"/>
            <w:tcBorders>
              <w:tl2br w:val="nil"/>
              <w:tr2bl w:val="nil"/>
            </w:tcBorders>
            <w:vAlign w:val="center"/>
          </w:tcPr>
          <w:p w14:paraId="1E79F82B">
            <w:pPr>
              <w:jc w:val="center"/>
              <w:rPr>
                <w:rFonts w:ascii="宋体" w:hAnsi="宋体" w:cs="宋体"/>
                <w:color w:val="auto"/>
                <w:kern w:val="0"/>
                <w:sz w:val="18"/>
                <w:szCs w:val="18"/>
                <w:highlight w:val="none"/>
              </w:rPr>
            </w:pPr>
          </w:p>
        </w:tc>
        <w:tc>
          <w:tcPr>
            <w:tcW w:w="797" w:type="dxa"/>
            <w:vMerge w:val="continue"/>
            <w:tcBorders>
              <w:tl2br w:val="nil"/>
              <w:tr2bl w:val="nil"/>
            </w:tcBorders>
            <w:vAlign w:val="center"/>
          </w:tcPr>
          <w:p w14:paraId="5E333E70">
            <w:pPr>
              <w:jc w:val="center"/>
              <w:rPr>
                <w:rFonts w:ascii="宋体" w:hAnsi="宋体" w:cs="宋体"/>
                <w:color w:val="auto"/>
                <w:kern w:val="0"/>
                <w:sz w:val="18"/>
                <w:szCs w:val="18"/>
                <w:highlight w:val="none"/>
              </w:rPr>
            </w:pPr>
          </w:p>
        </w:tc>
        <w:tc>
          <w:tcPr>
            <w:tcW w:w="797" w:type="dxa"/>
            <w:vMerge w:val="restart"/>
            <w:tcBorders>
              <w:tl2br w:val="nil"/>
              <w:tr2bl w:val="nil"/>
            </w:tcBorders>
            <w:vAlign w:val="center"/>
          </w:tcPr>
          <w:p w14:paraId="3EB43056">
            <w:pPr>
              <w:widowControl/>
              <w:jc w:val="center"/>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海水产品</w:t>
            </w:r>
          </w:p>
        </w:tc>
        <w:tc>
          <w:tcPr>
            <w:tcW w:w="953" w:type="dxa"/>
            <w:tcBorders>
              <w:tl2br w:val="nil"/>
              <w:tr2bl w:val="nil"/>
            </w:tcBorders>
            <w:vAlign w:val="center"/>
          </w:tcPr>
          <w:p w14:paraId="4F4D2CBE">
            <w:pPr>
              <w:widowControl/>
              <w:jc w:val="center"/>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海水鱼</w:t>
            </w:r>
          </w:p>
        </w:tc>
        <w:tc>
          <w:tcPr>
            <w:tcW w:w="1896" w:type="dxa"/>
            <w:tcBorders>
              <w:tl2br w:val="nil"/>
              <w:tr2bl w:val="nil"/>
            </w:tcBorders>
            <w:vAlign w:val="center"/>
          </w:tcPr>
          <w:p w14:paraId="49C4D5B2">
            <w:pPr>
              <w:widowControl/>
              <w:jc w:val="left"/>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恩诺沙星</w:t>
            </w:r>
          </w:p>
        </w:tc>
        <w:tc>
          <w:tcPr>
            <w:tcW w:w="2956" w:type="dxa"/>
            <w:tcBorders>
              <w:tl2br w:val="nil"/>
              <w:tr2bl w:val="nil"/>
            </w:tcBorders>
            <w:vAlign w:val="center"/>
          </w:tcPr>
          <w:p w14:paraId="5D1A5620">
            <w:pPr>
              <w:widowControl/>
              <w:jc w:val="left"/>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镉（以</w:t>
            </w:r>
            <w:r>
              <w:rPr>
                <w:color w:val="auto"/>
                <w:kern w:val="0"/>
                <w:sz w:val="18"/>
                <w:szCs w:val="18"/>
                <w:highlight w:val="none"/>
                <w:lang w:bidi="ar"/>
              </w:rPr>
              <w:t>Cd</w:t>
            </w:r>
            <w:r>
              <w:rPr>
                <w:rFonts w:hint="eastAsia" w:ascii="宋体" w:hAnsi="宋体" w:cs="宋体"/>
                <w:color w:val="auto"/>
                <w:kern w:val="0"/>
                <w:sz w:val="18"/>
                <w:szCs w:val="18"/>
                <w:highlight w:val="none"/>
                <w:lang w:bidi="ar"/>
              </w:rPr>
              <w:t>计）、孔雀石绿、氯霉素、呋喃唑酮代谢物、呋喃它酮代谢物、呋喃西林代谢物、磺胺类（总量）、土霉素</w:t>
            </w:r>
            <w:r>
              <w:rPr>
                <w:color w:val="auto"/>
                <w:kern w:val="0"/>
                <w:sz w:val="18"/>
                <w:szCs w:val="18"/>
                <w:highlight w:val="none"/>
                <w:lang w:bidi="ar"/>
              </w:rPr>
              <w:t>/</w:t>
            </w:r>
            <w:r>
              <w:rPr>
                <w:rFonts w:hint="eastAsia" w:ascii="宋体" w:hAnsi="宋体" w:cs="宋体"/>
                <w:color w:val="auto"/>
                <w:kern w:val="0"/>
                <w:sz w:val="18"/>
                <w:szCs w:val="18"/>
                <w:highlight w:val="none"/>
                <w:lang w:bidi="ar"/>
              </w:rPr>
              <w:t>金霉素</w:t>
            </w:r>
            <w:r>
              <w:rPr>
                <w:color w:val="auto"/>
                <w:kern w:val="0"/>
                <w:sz w:val="18"/>
                <w:szCs w:val="18"/>
                <w:highlight w:val="none"/>
                <w:lang w:bidi="ar"/>
              </w:rPr>
              <w:t>/</w:t>
            </w:r>
            <w:r>
              <w:rPr>
                <w:rFonts w:hint="eastAsia" w:ascii="宋体" w:hAnsi="宋体" w:cs="宋体"/>
                <w:color w:val="auto"/>
                <w:kern w:val="0"/>
                <w:sz w:val="18"/>
                <w:szCs w:val="18"/>
                <w:highlight w:val="none"/>
                <w:lang w:bidi="ar"/>
              </w:rPr>
              <w:t>四环素（组合含量）、甲氧苄啶、甲硝唑、五氯酚酸钠（以五氯酚计）、氧氟沙星、培氟沙星、诺氟沙星</w:t>
            </w:r>
          </w:p>
        </w:tc>
      </w:tr>
      <w:tr w14:paraId="5577E60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78" w:hRule="atLeast"/>
        </w:trPr>
        <w:tc>
          <w:tcPr>
            <w:tcW w:w="953" w:type="dxa"/>
            <w:vMerge w:val="continue"/>
            <w:tcBorders>
              <w:tl2br w:val="nil"/>
              <w:tr2bl w:val="nil"/>
            </w:tcBorders>
            <w:vAlign w:val="center"/>
          </w:tcPr>
          <w:p w14:paraId="0654FCED">
            <w:pPr>
              <w:jc w:val="center"/>
              <w:rPr>
                <w:rFonts w:eastAsia="等线"/>
                <w:color w:val="auto"/>
                <w:kern w:val="0"/>
                <w:sz w:val="18"/>
                <w:szCs w:val="18"/>
                <w:highlight w:val="none"/>
              </w:rPr>
            </w:pPr>
          </w:p>
        </w:tc>
        <w:tc>
          <w:tcPr>
            <w:tcW w:w="796" w:type="dxa"/>
            <w:vMerge w:val="continue"/>
            <w:tcBorders>
              <w:tl2br w:val="nil"/>
              <w:tr2bl w:val="nil"/>
            </w:tcBorders>
            <w:vAlign w:val="center"/>
          </w:tcPr>
          <w:p w14:paraId="3281054E">
            <w:pPr>
              <w:jc w:val="center"/>
              <w:rPr>
                <w:rFonts w:ascii="宋体" w:hAnsi="宋体" w:cs="宋体"/>
                <w:color w:val="auto"/>
                <w:kern w:val="0"/>
                <w:sz w:val="18"/>
                <w:szCs w:val="18"/>
                <w:highlight w:val="none"/>
              </w:rPr>
            </w:pPr>
          </w:p>
        </w:tc>
        <w:tc>
          <w:tcPr>
            <w:tcW w:w="797" w:type="dxa"/>
            <w:vMerge w:val="continue"/>
            <w:tcBorders>
              <w:tl2br w:val="nil"/>
              <w:tr2bl w:val="nil"/>
            </w:tcBorders>
            <w:vAlign w:val="center"/>
          </w:tcPr>
          <w:p w14:paraId="7810C16F">
            <w:pPr>
              <w:jc w:val="center"/>
              <w:rPr>
                <w:rFonts w:ascii="宋体" w:hAnsi="宋体" w:cs="宋体"/>
                <w:color w:val="auto"/>
                <w:kern w:val="0"/>
                <w:sz w:val="18"/>
                <w:szCs w:val="18"/>
                <w:highlight w:val="none"/>
              </w:rPr>
            </w:pPr>
          </w:p>
        </w:tc>
        <w:tc>
          <w:tcPr>
            <w:tcW w:w="797" w:type="dxa"/>
            <w:vMerge w:val="continue"/>
            <w:tcBorders>
              <w:tl2br w:val="nil"/>
              <w:tr2bl w:val="nil"/>
            </w:tcBorders>
            <w:vAlign w:val="center"/>
          </w:tcPr>
          <w:p w14:paraId="452D2C98">
            <w:pPr>
              <w:jc w:val="center"/>
              <w:rPr>
                <w:rFonts w:ascii="宋体" w:hAnsi="宋体" w:cs="宋体"/>
                <w:color w:val="auto"/>
                <w:kern w:val="0"/>
                <w:sz w:val="18"/>
                <w:szCs w:val="18"/>
                <w:highlight w:val="none"/>
              </w:rPr>
            </w:pPr>
          </w:p>
        </w:tc>
        <w:tc>
          <w:tcPr>
            <w:tcW w:w="953" w:type="dxa"/>
            <w:tcBorders>
              <w:tl2br w:val="nil"/>
              <w:tr2bl w:val="nil"/>
            </w:tcBorders>
            <w:vAlign w:val="center"/>
          </w:tcPr>
          <w:p w14:paraId="67A81709">
            <w:pPr>
              <w:widowControl/>
              <w:jc w:val="center"/>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海水虾</w:t>
            </w:r>
          </w:p>
        </w:tc>
        <w:tc>
          <w:tcPr>
            <w:tcW w:w="1896" w:type="dxa"/>
            <w:tcBorders>
              <w:tl2br w:val="nil"/>
              <w:tr2bl w:val="nil"/>
            </w:tcBorders>
            <w:vAlign w:val="center"/>
          </w:tcPr>
          <w:p w14:paraId="6D581FBA">
            <w:pPr>
              <w:widowControl/>
              <w:jc w:val="left"/>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镉（以Cd计）、挥发性盐基氮</w:t>
            </w:r>
          </w:p>
        </w:tc>
        <w:tc>
          <w:tcPr>
            <w:tcW w:w="2956" w:type="dxa"/>
            <w:tcBorders>
              <w:tl2br w:val="nil"/>
              <w:tr2bl w:val="nil"/>
            </w:tcBorders>
            <w:vAlign w:val="center"/>
          </w:tcPr>
          <w:p w14:paraId="58A41FA8">
            <w:pPr>
              <w:widowControl/>
              <w:jc w:val="left"/>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二氧化硫残留量、孔雀石绿、氯霉素、呋喃唑酮代谢物、呋喃它酮代谢物、呋喃妥因代谢物、恩诺沙星、土霉素</w:t>
            </w:r>
            <w:r>
              <w:rPr>
                <w:color w:val="auto"/>
                <w:kern w:val="0"/>
                <w:sz w:val="18"/>
                <w:szCs w:val="18"/>
                <w:highlight w:val="none"/>
                <w:lang w:bidi="ar"/>
              </w:rPr>
              <w:t>/</w:t>
            </w:r>
            <w:r>
              <w:rPr>
                <w:rFonts w:hint="eastAsia" w:ascii="宋体" w:hAnsi="宋体" w:cs="宋体"/>
                <w:color w:val="auto"/>
                <w:kern w:val="0"/>
                <w:sz w:val="18"/>
                <w:szCs w:val="18"/>
                <w:highlight w:val="none"/>
                <w:lang w:bidi="ar"/>
              </w:rPr>
              <w:t>金霉素</w:t>
            </w:r>
            <w:r>
              <w:rPr>
                <w:color w:val="auto"/>
                <w:kern w:val="0"/>
                <w:sz w:val="18"/>
                <w:szCs w:val="18"/>
                <w:highlight w:val="none"/>
                <w:lang w:bidi="ar"/>
              </w:rPr>
              <w:t>/</w:t>
            </w:r>
            <w:r>
              <w:rPr>
                <w:rFonts w:hint="eastAsia" w:ascii="宋体" w:hAnsi="宋体" w:cs="宋体"/>
                <w:color w:val="auto"/>
                <w:kern w:val="0"/>
                <w:sz w:val="18"/>
                <w:szCs w:val="18"/>
                <w:highlight w:val="none"/>
                <w:lang w:bidi="ar"/>
              </w:rPr>
              <w:t>四环素（组合含量）、磺胺类（总量）、五氯酚酸钠（以五氯酚计）、诺氟沙星</w:t>
            </w:r>
          </w:p>
        </w:tc>
      </w:tr>
      <w:tr w14:paraId="3FBC218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090" w:hRule="atLeast"/>
        </w:trPr>
        <w:tc>
          <w:tcPr>
            <w:tcW w:w="953" w:type="dxa"/>
            <w:vMerge w:val="continue"/>
            <w:tcBorders>
              <w:tl2br w:val="nil"/>
              <w:tr2bl w:val="nil"/>
            </w:tcBorders>
            <w:vAlign w:val="center"/>
          </w:tcPr>
          <w:p w14:paraId="738B7CD9">
            <w:pPr>
              <w:jc w:val="center"/>
              <w:rPr>
                <w:rFonts w:eastAsia="等线"/>
                <w:color w:val="auto"/>
                <w:kern w:val="0"/>
                <w:sz w:val="18"/>
                <w:szCs w:val="18"/>
                <w:highlight w:val="none"/>
              </w:rPr>
            </w:pPr>
          </w:p>
        </w:tc>
        <w:tc>
          <w:tcPr>
            <w:tcW w:w="796" w:type="dxa"/>
            <w:vMerge w:val="continue"/>
            <w:tcBorders>
              <w:tl2br w:val="nil"/>
              <w:tr2bl w:val="nil"/>
            </w:tcBorders>
            <w:vAlign w:val="center"/>
          </w:tcPr>
          <w:p w14:paraId="7727B739">
            <w:pPr>
              <w:jc w:val="center"/>
              <w:rPr>
                <w:rFonts w:ascii="宋体" w:hAnsi="宋体" w:cs="宋体"/>
                <w:color w:val="auto"/>
                <w:kern w:val="0"/>
                <w:sz w:val="18"/>
                <w:szCs w:val="18"/>
                <w:highlight w:val="none"/>
              </w:rPr>
            </w:pPr>
          </w:p>
        </w:tc>
        <w:tc>
          <w:tcPr>
            <w:tcW w:w="797" w:type="dxa"/>
            <w:vMerge w:val="continue"/>
            <w:tcBorders>
              <w:tl2br w:val="nil"/>
              <w:tr2bl w:val="nil"/>
            </w:tcBorders>
            <w:vAlign w:val="center"/>
          </w:tcPr>
          <w:p w14:paraId="5D30E6BB">
            <w:pPr>
              <w:jc w:val="center"/>
              <w:rPr>
                <w:rFonts w:ascii="宋体" w:hAnsi="宋体" w:cs="宋体"/>
                <w:color w:val="auto"/>
                <w:kern w:val="0"/>
                <w:sz w:val="18"/>
                <w:szCs w:val="18"/>
                <w:highlight w:val="none"/>
              </w:rPr>
            </w:pPr>
          </w:p>
        </w:tc>
        <w:tc>
          <w:tcPr>
            <w:tcW w:w="797" w:type="dxa"/>
            <w:vMerge w:val="continue"/>
            <w:tcBorders>
              <w:tl2br w:val="nil"/>
              <w:tr2bl w:val="nil"/>
            </w:tcBorders>
            <w:vAlign w:val="center"/>
          </w:tcPr>
          <w:p w14:paraId="18E4F911">
            <w:pPr>
              <w:jc w:val="center"/>
              <w:rPr>
                <w:rFonts w:ascii="宋体" w:hAnsi="宋体" w:cs="宋体"/>
                <w:color w:val="auto"/>
                <w:kern w:val="0"/>
                <w:sz w:val="18"/>
                <w:szCs w:val="18"/>
                <w:highlight w:val="none"/>
              </w:rPr>
            </w:pPr>
          </w:p>
        </w:tc>
        <w:tc>
          <w:tcPr>
            <w:tcW w:w="953" w:type="dxa"/>
            <w:tcBorders>
              <w:tl2br w:val="nil"/>
              <w:tr2bl w:val="nil"/>
            </w:tcBorders>
            <w:vAlign w:val="center"/>
          </w:tcPr>
          <w:p w14:paraId="30B29E62">
            <w:pPr>
              <w:widowControl/>
              <w:jc w:val="center"/>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海水蟹</w:t>
            </w:r>
          </w:p>
        </w:tc>
        <w:tc>
          <w:tcPr>
            <w:tcW w:w="1896" w:type="dxa"/>
            <w:tcBorders>
              <w:tl2br w:val="nil"/>
              <w:tr2bl w:val="nil"/>
            </w:tcBorders>
            <w:vAlign w:val="center"/>
          </w:tcPr>
          <w:p w14:paraId="12212FE3">
            <w:pPr>
              <w:widowControl/>
              <w:jc w:val="left"/>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镉（以Cd计）、二氧化硫残留量</w:t>
            </w:r>
          </w:p>
        </w:tc>
        <w:tc>
          <w:tcPr>
            <w:tcW w:w="2956" w:type="dxa"/>
            <w:tcBorders>
              <w:tl2br w:val="nil"/>
              <w:tr2bl w:val="nil"/>
            </w:tcBorders>
            <w:vAlign w:val="center"/>
          </w:tcPr>
          <w:p w14:paraId="093473E3">
            <w:pPr>
              <w:widowControl/>
              <w:jc w:val="left"/>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孔雀石绿、氯霉素、呋喃妥因代谢物、诺氟沙星</w:t>
            </w:r>
          </w:p>
        </w:tc>
      </w:tr>
      <w:tr w14:paraId="5277532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720" w:hRule="atLeast"/>
        </w:trPr>
        <w:tc>
          <w:tcPr>
            <w:tcW w:w="953" w:type="dxa"/>
            <w:vMerge w:val="continue"/>
            <w:tcBorders>
              <w:tl2br w:val="nil"/>
              <w:tr2bl w:val="nil"/>
            </w:tcBorders>
            <w:vAlign w:val="center"/>
          </w:tcPr>
          <w:p w14:paraId="2A05D5C3">
            <w:pPr>
              <w:jc w:val="center"/>
              <w:rPr>
                <w:rFonts w:eastAsia="等线"/>
                <w:color w:val="auto"/>
                <w:kern w:val="0"/>
                <w:sz w:val="18"/>
                <w:szCs w:val="18"/>
                <w:highlight w:val="none"/>
              </w:rPr>
            </w:pPr>
          </w:p>
        </w:tc>
        <w:tc>
          <w:tcPr>
            <w:tcW w:w="796" w:type="dxa"/>
            <w:vMerge w:val="continue"/>
            <w:tcBorders>
              <w:tl2br w:val="nil"/>
              <w:tr2bl w:val="nil"/>
            </w:tcBorders>
            <w:vAlign w:val="center"/>
          </w:tcPr>
          <w:p w14:paraId="7823FC94">
            <w:pPr>
              <w:jc w:val="center"/>
              <w:rPr>
                <w:rFonts w:ascii="宋体" w:hAnsi="宋体" w:cs="宋体"/>
                <w:color w:val="auto"/>
                <w:kern w:val="0"/>
                <w:sz w:val="18"/>
                <w:szCs w:val="18"/>
                <w:highlight w:val="none"/>
              </w:rPr>
            </w:pPr>
          </w:p>
        </w:tc>
        <w:tc>
          <w:tcPr>
            <w:tcW w:w="797" w:type="dxa"/>
            <w:vMerge w:val="continue"/>
            <w:tcBorders>
              <w:tl2br w:val="nil"/>
              <w:tr2bl w:val="nil"/>
            </w:tcBorders>
            <w:vAlign w:val="center"/>
          </w:tcPr>
          <w:p w14:paraId="2DC19321">
            <w:pPr>
              <w:jc w:val="center"/>
              <w:rPr>
                <w:rFonts w:ascii="宋体" w:hAnsi="宋体" w:cs="宋体"/>
                <w:color w:val="auto"/>
                <w:kern w:val="0"/>
                <w:sz w:val="18"/>
                <w:szCs w:val="18"/>
                <w:highlight w:val="none"/>
              </w:rPr>
            </w:pPr>
          </w:p>
        </w:tc>
        <w:tc>
          <w:tcPr>
            <w:tcW w:w="797" w:type="dxa"/>
            <w:tcBorders>
              <w:tl2br w:val="nil"/>
              <w:tr2bl w:val="nil"/>
            </w:tcBorders>
            <w:vAlign w:val="center"/>
          </w:tcPr>
          <w:p w14:paraId="75903FFB">
            <w:pPr>
              <w:widowControl/>
              <w:jc w:val="center"/>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贝类</w:t>
            </w:r>
          </w:p>
        </w:tc>
        <w:tc>
          <w:tcPr>
            <w:tcW w:w="953" w:type="dxa"/>
            <w:tcBorders>
              <w:tl2br w:val="nil"/>
              <w:tr2bl w:val="nil"/>
            </w:tcBorders>
            <w:vAlign w:val="center"/>
          </w:tcPr>
          <w:p w14:paraId="0FEED054">
            <w:pPr>
              <w:widowControl/>
              <w:jc w:val="center"/>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贝类</w:t>
            </w:r>
          </w:p>
        </w:tc>
        <w:tc>
          <w:tcPr>
            <w:tcW w:w="1896" w:type="dxa"/>
            <w:tcBorders>
              <w:tl2br w:val="nil"/>
              <w:tr2bl w:val="nil"/>
            </w:tcBorders>
            <w:vAlign w:val="center"/>
          </w:tcPr>
          <w:p w14:paraId="20855D47">
            <w:pPr>
              <w:widowControl/>
              <w:jc w:val="left"/>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镉（以Cd计）</w:t>
            </w:r>
          </w:p>
        </w:tc>
        <w:tc>
          <w:tcPr>
            <w:tcW w:w="2956" w:type="dxa"/>
            <w:tcBorders>
              <w:tl2br w:val="nil"/>
              <w:tr2bl w:val="nil"/>
            </w:tcBorders>
            <w:vAlign w:val="center"/>
          </w:tcPr>
          <w:p w14:paraId="0560AE4D">
            <w:pPr>
              <w:widowControl/>
              <w:jc w:val="left"/>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无机砷（以</w:t>
            </w:r>
            <w:r>
              <w:rPr>
                <w:color w:val="auto"/>
                <w:kern w:val="0"/>
                <w:sz w:val="18"/>
                <w:szCs w:val="18"/>
                <w:highlight w:val="none"/>
                <w:lang w:bidi="ar"/>
              </w:rPr>
              <w:t>As</w:t>
            </w:r>
            <w:r>
              <w:rPr>
                <w:rFonts w:hint="eastAsia" w:ascii="宋体" w:hAnsi="宋体" w:cs="宋体"/>
                <w:color w:val="auto"/>
                <w:kern w:val="0"/>
                <w:sz w:val="18"/>
                <w:szCs w:val="18"/>
                <w:highlight w:val="none"/>
                <w:lang w:bidi="ar"/>
              </w:rPr>
              <w:t>计）、孔雀石绿、氯霉素、氟苯尼考、呋喃西林代谢物、呋喃妥因代谢物、恩诺沙星、磺胺类（总量）、氧氟沙星、五氯酚酸钠（以五氯酚计）</w:t>
            </w:r>
          </w:p>
        </w:tc>
      </w:tr>
      <w:tr w14:paraId="6592300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78" w:hRule="atLeast"/>
        </w:trPr>
        <w:tc>
          <w:tcPr>
            <w:tcW w:w="953" w:type="dxa"/>
            <w:vMerge w:val="continue"/>
            <w:tcBorders>
              <w:tl2br w:val="nil"/>
              <w:tr2bl w:val="nil"/>
            </w:tcBorders>
            <w:vAlign w:val="center"/>
          </w:tcPr>
          <w:p w14:paraId="44D55A49">
            <w:pPr>
              <w:widowControl/>
              <w:jc w:val="center"/>
              <w:textAlignment w:val="center"/>
              <w:rPr>
                <w:rFonts w:eastAsia="等线"/>
                <w:color w:val="auto"/>
                <w:kern w:val="0"/>
                <w:sz w:val="18"/>
                <w:szCs w:val="18"/>
                <w:highlight w:val="none"/>
              </w:rPr>
            </w:pPr>
          </w:p>
        </w:tc>
        <w:tc>
          <w:tcPr>
            <w:tcW w:w="796" w:type="dxa"/>
            <w:vMerge w:val="continue"/>
            <w:tcBorders>
              <w:tl2br w:val="nil"/>
              <w:tr2bl w:val="nil"/>
            </w:tcBorders>
            <w:vAlign w:val="center"/>
          </w:tcPr>
          <w:p w14:paraId="1D51D004">
            <w:pPr>
              <w:widowControl/>
              <w:jc w:val="center"/>
              <w:textAlignment w:val="center"/>
              <w:rPr>
                <w:rFonts w:ascii="宋体" w:hAnsi="宋体" w:cs="宋体"/>
                <w:color w:val="auto"/>
                <w:kern w:val="0"/>
                <w:sz w:val="18"/>
                <w:szCs w:val="18"/>
                <w:highlight w:val="none"/>
              </w:rPr>
            </w:pPr>
          </w:p>
        </w:tc>
        <w:tc>
          <w:tcPr>
            <w:tcW w:w="797" w:type="dxa"/>
            <w:vMerge w:val="continue"/>
            <w:tcBorders>
              <w:tl2br w:val="nil"/>
              <w:tr2bl w:val="nil"/>
            </w:tcBorders>
            <w:vAlign w:val="center"/>
          </w:tcPr>
          <w:p w14:paraId="2E38C583">
            <w:pPr>
              <w:widowControl/>
              <w:jc w:val="center"/>
              <w:textAlignment w:val="center"/>
              <w:rPr>
                <w:rFonts w:ascii="宋体" w:hAnsi="宋体" w:cs="宋体"/>
                <w:color w:val="auto"/>
                <w:kern w:val="0"/>
                <w:sz w:val="18"/>
                <w:szCs w:val="18"/>
                <w:highlight w:val="none"/>
              </w:rPr>
            </w:pPr>
          </w:p>
        </w:tc>
        <w:tc>
          <w:tcPr>
            <w:tcW w:w="797" w:type="dxa"/>
            <w:tcBorders>
              <w:tl2br w:val="nil"/>
              <w:tr2bl w:val="nil"/>
            </w:tcBorders>
            <w:vAlign w:val="center"/>
          </w:tcPr>
          <w:p w14:paraId="37CD1F7F">
            <w:pPr>
              <w:widowControl/>
              <w:jc w:val="center"/>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其他水产品</w:t>
            </w:r>
          </w:p>
        </w:tc>
        <w:tc>
          <w:tcPr>
            <w:tcW w:w="953" w:type="dxa"/>
            <w:tcBorders>
              <w:tl2br w:val="nil"/>
              <w:tr2bl w:val="nil"/>
            </w:tcBorders>
            <w:vAlign w:val="center"/>
          </w:tcPr>
          <w:p w14:paraId="0BA9AC19">
            <w:pPr>
              <w:widowControl/>
              <w:jc w:val="center"/>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其他水产品</w:t>
            </w:r>
          </w:p>
        </w:tc>
        <w:tc>
          <w:tcPr>
            <w:tcW w:w="1896" w:type="dxa"/>
            <w:tcBorders>
              <w:tl2br w:val="nil"/>
              <w:tr2bl w:val="nil"/>
            </w:tcBorders>
            <w:vAlign w:val="center"/>
          </w:tcPr>
          <w:p w14:paraId="36A2F4FF">
            <w:pPr>
              <w:widowControl/>
              <w:jc w:val="left"/>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恩诺沙星、呋喃西林代谢物、氟苯尼考</w:t>
            </w:r>
          </w:p>
        </w:tc>
        <w:tc>
          <w:tcPr>
            <w:tcW w:w="2956" w:type="dxa"/>
            <w:tcBorders>
              <w:tl2br w:val="nil"/>
              <w:tr2bl w:val="nil"/>
            </w:tcBorders>
            <w:vAlign w:val="center"/>
          </w:tcPr>
          <w:p w14:paraId="72D77457">
            <w:pPr>
              <w:widowControl/>
              <w:jc w:val="left"/>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镉（以Cd计）、孔雀石绿、氯霉素、呋喃唑酮代谢物、呋喃妥因代谢物、五氯酚酸钠（以五氯酚计）、磺胺类（总量）、甲硝唑、氧氟沙星、诺氟沙星</w:t>
            </w:r>
          </w:p>
        </w:tc>
      </w:tr>
      <w:tr w14:paraId="794E718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851" w:hRule="atLeast"/>
        </w:trPr>
        <w:tc>
          <w:tcPr>
            <w:tcW w:w="953" w:type="dxa"/>
            <w:vMerge w:val="restart"/>
            <w:tcBorders>
              <w:tl2br w:val="nil"/>
              <w:tr2bl w:val="nil"/>
            </w:tcBorders>
            <w:vAlign w:val="center"/>
          </w:tcPr>
          <w:p w14:paraId="20A59980">
            <w:pPr>
              <w:widowControl/>
              <w:jc w:val="center"/>
              <w:textAlignment w:val="center"/>
              <w:rPr>
                <w:rFonts w:hint="default" w:eastAsia="等线"/>
                <w:color w:val="auto"/>
                <w:kern w:val="0"/>
                <w:sz w:val="18"/>
                <w:szCs w:val="18"/>
                <w:highlight w:val="none"/>
                <w:lang w:val="en-US" w:eastAsia="zh-CN"/>
              </w:rPr>
            </w:pPr>
            <w:r>
              <w:rPr>
                <w:rFonts w:hint="eastAsia" w:eastAsia="等线"/>
                <w:color w:val="auto"/>
                <w:kern w:val="0"/>
                <w:sz w:val="18"/>
                <w:szCs w:val="18"/>
                <w:highlight w:val="none"/>
                <w:lang w:val="en-US" w:eastAsia="zh-CN" w:bidi="ar"/>
              </w:rPr>
              <w:t>36</w:t>
            </w:r>
          </w:p>
        </w:tc>
        <w:tc>
          <w:tcPr>
            <w:tcW w:w="796" w:type="dxa"/>
            <w:vMerge w:val="restart"/>
            <w:tcBorders>
              <w:tl2br w:val="nil"/>
              <w:tr2bl w:val="nil"/>
            </w:tcBorders>
            <w:vAlign w:val="center"/>
          </w:tcPr>
          <w:p w14:paraId="1BCD51D3">
            <w:pPr>
              <w:widowControl/>
              <w:jc w:val="center"/>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水果类</w:t>
            </w:r>
          </w:p>
        </w:tc>
        <w:tc>
          <w:tcPr>
            <w:tcW w:w="797" w:type="dxa"/>
            <w:vMerge w:val="restart"/>
            <w:tcBorders>
              <w:tl2br w:val="nil"/>
              <w:tr2bl w:val="nil"/>
            </w:tcBorders>
            <w:vAlign w:val="center"/>
          </w:tcPr>
          <w:p w14:paraId="379B1FFD">
            <w:pPr>
              <w:widowControl/>
              <w:jc w:val="center"/>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水果类</w:t>
            </w:r>
          </w:p>
        </w:tc>
        <w:tc>
          <w:tcPr>
            <w:tcW w:w="797" w:type="dxa"/>
            <w:vMerge w:val="restart"/>
            <w:tcBorders>
              <w:tl2br w:val="nil"/>
              <w:tr2bl w:val="nil"/>
            </w:tcBorders>
            <w:vAlign w:val="center"/>
          </w:tcPr>
          <w:p w14:paraId="16C29D66">
            <w:pPr>
              <w:widowControl/>
              <w:jc w:val="center"/>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仁果类水果</w:t>
            </w:r>
          </w:p>
        </w:tc>
        <w:tc>
          <w:tcPr>
            <w:tcW w:w="953" w:type="dxa"/>
            <w:tcBorders>
              <w:tl2br w:val="nil"/>
              <w:tr2bl w:val="nil"/>
            </w:tcBorders>
            <w:vAlign w:val="center"/>
          </w:tcPr>
          <w:p w14:paraId="50E0AAC0">
            <w:pPr>
              <w:widowControl/>
              <w:jc w:val="center"/>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苹果</w:t>
            </w:r>
          </w:p>
        </w:tc>
        <w:tc>
          <w:tcPr>
            <w:tcW w:w="1896" w:type="dxa"/>
            <w:tcBorders>
              <w:tl2br w:val="nil"/>
              <w:tr2bl w:val="nil"/>
            </w:tcBorders>
            <w:vAlign w:val="center"/>
          </w:tcPr>
          <w:p w14:paraId="45C5AD21">
            <w:pPr>
              <w:widowControl/>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敌敌畏</w:t>
            </w:r>
          </w:p>
        </w:tc>
        <w:tc>
          <w:tcPr>
            <w:tcW w:w="2956" w:type="dxa"/>
            <w:tcBorders>
              <w:tl2br w:val="nil"/>
              <w:tr2bl w:val="nil"/>
            </w:tcBorders>
            <w:vAlign w:val="center"/>
          </w:tcPr>
          <w:p w14:paraId="5778B924">
            <w:pPr>
              <w:widowControl/>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毒死蜱、甲拌磷、克百威、氧乐果、三氯杀螨醇、啶虫脒</w:t>
            </w:r>
          </w:p>
        </w:tc>
      </w:tr>
      <w:tr w14:paraId="3221920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10" w:hRule="atLeast"/>
        </w:trPr>
        <w:tc>
          <w:tcPr>
            <w:tcW w:w="953" w:type="dxa"/>
            <w:vMerge w:val="continue"/>
            <w:tcBorders>
              <w:tl2br w:val="nil"/>
              <w:tr2bl w:val="nil"/>
            </w:tcBorders>
            <w:vAlign w:val="center"/>
          </w:tcPr>
          <w:p w14:paraId="4C21A882">
            <w:pPr>
              <w:jc w:val="center"/>
              <w:rPr>
                <w:rFonts w:eastAsia="等线"/>
                <w:color w:val="auto"/>
                <w:kern w:val="0"/>
                <w:sz w:val="18"/>
                <w:szCs w:val="18"/>
                <w:highlight w:val="none"/>
              </w:rPr>
            </w:pPr>
          </w:p>
        </w:tc>
        <w:tc>
          <w:tcPr>
            <w:tcW w:w="796" w:type="dxa"/>
            <w:vMerge w:val="continue"/>
            <w:tcBorders>
              <w:tl2br w:val="nil"/>
              <w:tr2bl w:val="nil"/>
            </w:tcBorders>
            <w:vAlign w:val="center"/>
          </w:tcPr>
          <w:p w14:paraId="1DF198D3">
            <w:pPr>
              <w:jc w:val="center"/>
              <w:rPr>
                <w:rFonts w:ascii="宋体" w:hAnsi="宋体" w:cs="宋体"/>
                <w:color w:val="auto"/>
                <w:kern w:val="0"/>
                <w:sz w:val="18"/>
                <w:szCs w:val="18"/>
                <w:highlight w:val="none"/>
              </w:rPr>
            </w:pPr>
          </w:p>
        </w:tc>
        <w:tc>
          <w:tcPr>
            <w:tcW w:w="797" w:type="dxa"/>
            <w:vMerge w:val="continue"/>
            <w:tcBorders>
              <w:tl2br w:val="nil"/>
              <w:tr2bl w:val="nil"/>
            </w:tcBorders>
            <w:vAlign w:val="center"/>
          </w:tcPr>
          <w:p w14:paraId="53AB3BAD">
            <w:pPr>
              <w:jc w:val="center"/>
              <w:rPr>
                <w:rFonts w:ascii="宋体" w:hAnsi="宋体" w:cs="宋体"/>
                <w:color w:val="auto"/>
                <w:kern w:val="0"/>
                <w:sz w:val="18"/>
                <w:szCs w:val="18"/>
                <w:highlight w:val="none"/>
              </w:rPr>
            </w:pPr>
          </w:p>
        </w:tc>
        <w:tc>
          <w:tcPr>
            <w:tcW w:w="797" w:type="dxa"/>
            <w:vMerge w:val="continue"/>
            <w:tcBorders>
              <w:tl2br w:val="nil"/>
              <w:tr2bl w:val="nil"/>
            </w:tcBorders>
            <w:vAlign w:val="center"/>
          </w:tcPr>
          <w:p w14:paraId="111CB780">
            <w:pPr>
              <w:jc w:val="center"/>
              <w:rPr>
                <w:rFonts w:ascii="宋体" w:hAnsi="宋体" w:cs="宋体"/>
                <w:color w:val="auto"/>
                <w:kern w:val="0"/>
                <w:sz w:val="18"/>
                <w:szCs w:val="18"/>
                <w:highlight w:val="none"/>
              </w:rPr>
            </w:pPr>
          </w:p>
        </w:tc>
        <w:tc>
          <w:tcPr>
            <w:tcW w:w="953" w:type="dxa"/>
            <w:tcBorders>
              <w:tl2br w:val="nil"/>
              <w:tr2bl w:val="nil"/>
            </w:tcBorders>
            <w:vAlign w:val="center"/>
          </w:tcPr>
          <w:p w14:paraId="0B390617">
            <w:pPr>
              <w:widowControl/>
              <w:jc w:val="center"/>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梨</w:t>
            </w:r>
          </w:p>
        </w:tc>
        <w:tc>
          <w:tcPr>
            <w:tcW w:w="1896" w:type="dxa"/>
            <w:tcBorders>
              <w:tl2br w:val="nil"/>
              <w:tr2bl w:val="nil"/>
            </w:tcBorders>
            <w:vAlign w:val="center"/>
          </w:tcPr>
          <w:p w14:paraId="5AA72AD0">
            <w:pPr>
              <w:widowControl/>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水胺硫磷、多菌灵</w:t>
            </w:r>
          </w:p>
        </w:tc>
        <w:tc>
          <w:tcPr>
            <w:tcW w:w="2956" w:type="dxa"/>
            <w:tcBorders>
              <w:tl2br w:val="nil"/>
              <w:tr2bl w:val="nil"/>
            </w:tcBorders>
            <w:vAlign w:val="center"/>
          </w:tcPr>
          <w:p w14:paraId="110C6618">
            <w:pPr>
              <w:widowControl/>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吡虫啉、敌敌畏、毒死蜱、氯氟氰菊酯和高效氯氟氰菊酯、氧乐果、苯醚甲环唑、咪鲜胺和咪鲜胺锰盐、噻虫嗪、乙螨唑、克百威</w:t>
            </w:r>
          </w:p>
        </w:tc>
      </w:tr>
      <w:tr w14:paraId="5D47496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812" w:hRule="atLeast"/>
        </w:trPr>
        <w:tc>
          <w:tcPr>
            <w:tcW w:w="953" w:type="dxa"/>
            <w:vMerge w:val="continue"/>
            <w:tcBorders>
              <w:tl2br w:val="nil"/>
              <w:tr2bl w:val="nil"/>
            </w:tcBorders>
            <w:vAlign w:val="center"/>
          </w:tcPr>
          <w:p w14:paraId="5BEF44B7">
            <w:pPr>
              <w:jc w:val="center"/>
              <w:rPr>
                <w:rFonts w:eastAsia="等线"/>
                <w:color w:val="auto"/>
                <w:kern w:val="0"/>
                <w:sz w:val="18"/>
                <w:szCs w:val="18"/>
                <w:highlight w:val="none"/>
              </w:rPr>
            </w:pPr>
          </w:p>
        </w:tc>
        <w:tc>
          <w:tcPr>
            <w:tcW w:w="796" w:type="dxa"/>
            <w:vMerge w:val="continue"/>
            <w:tcBorders>
              <w:tl2br w:val="nil"/>
              <w:tr2bl w:val="nil"/>
            </w:tcBorders>
            <w:vAlign w:val="center"/>
          </w:tcPr>
          <w:p w14:paraId="68E26372">
            <w:pPr>
              <w:jc w:val="center"/>
              <w:rPr>
                <w:rFonts w:ascii="宋体" w:hAnsi="宋体" w:cs="宋体"/>
                <w:color w:val="auto"/>
                <w:kern w:val="0"/>
                <w:sz w:val="18"/>
                <w:szCs w:val="18"/>
                <w:highlight w:val="none"/>
              </w:rPr>
            </w:pPr>
          </w:p>
        </w:tc>
        <w:tc>
          <w:tcPr>
            <w:tcW w:w="797" w:type="dxa"/>
            <w:vMerge w:val="continue"/>
            <w:tcBorders>
              <w:tl2br w:val="nil"/>
              <w:tr2bl w:val="nil"/>
            </w:tcBorders>
            <w:vAlign w:val="center"/>
          </w:tcPr>
          <w:p w14:paraId="073CBD6C">
            <w:pPr>
              <w:jc w:val="center"/>
              <w:rPr>
                <w:rFonts w:ascii="宋体" w:hAnsi="宋体" w:cs="宋体"/>
                <w:color w:val="auto"/>
                <w:kern w:val="0"/>
                <w:sz w:val="18"/>
                <w:szCs w:val="18"/>
                <w:highlight w:val="none"/>
              </w:rPr>
            </w:pPr>
          </w:p>
        </w:tc>
        <w:tc>
          <w:tcPr>
            <w:tcW w:w="797" w:type="dxa"/>
            <w:vMerge w:val="continue"/>
            <w:tcBorders>
              <w:tl2br w:val="nil"/>
              <w:tr2bl w:val="nil"/>
            </w:tcBorders>
            <w:vAlign w:val="center"/>
          </w:tcPr>
          <w:p w14:paraId="7E5FCA9E">
            <w:pPr>
              <w:jc w:val="center"/>
              <w:rPr>
                <w:rFonts w:ascii="宋体" w:hAnsi="宋体" w:cs="宋体"/>
                <w:color w:val="auto"/>
                <w:kern w:val="0"/>
                <w:sz w:val="18"/>
                <w:szCs w:val="18"/>
                <w:highlight w:val="none"/>
              </w:rPr>
            </w:pPr>
          </w:p>
        </w:tc>
        <w:tc>
          <w:tcPr>
            <w:tcW w:w="953" w:type="dxa"/>
            <w:tcBorders>
              <w:tl2br w:val="nil"/>
              <w:tr2bl w:val="nil"/>
            </w:tcBorders>
            <w:vAlign w:val="center"/>
          </w:tcPr>
          <w:p w14:paraId="30D2E18F">
            <w:pPr>
              <w:widowControl/>
              <w:jc w:val="center"/>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枇杷</w:t>
            </w:r>
          </w:p>
        </w:tc>
        <w:tc>
          <w:tcPr>
            <w:tcW w:w="1896" w:type="dxa"/>
            <w:tcBorders>
              <w:tl2br w:val="nil"/>
              <w:tr2bl w:val="nil"/>
            </w:tcBorders>
            <w:vAlign w:val="center"/>
          </w:tcPr>
          <w:p w14:paraId="5085CD59">
            <w:pPr>
              <w:widowControl/>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毒死蜱、敌敌畏、氧乐果</w:t>
            </w:r>
          </w:p>
        </w:tc>
        <w:tc>
          <w:tcPr>
            <w:tcW w:w="2956" w:type="dxa"/>
            <w:tcBorders>
              <w:tl2br w:val="nil"/>
              <w:tr2bl w:val="nil"/>
            </w:tcBorders>
            <w:vAlign w:val="center"/>
          </w:tcPr>
          <w:p w14:paraId="704161DA">
            <w:pPr>
              <w:widowControl/>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啶虫脒、吡虫啉、戊唑醇</w:t>
            </w:r>
          </w:p>
        </w:tc>
      </w:tr>
      <w:tr w14:paraId="476D54B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812" w:hRule="atLeast"/>
        </w:trPr>
        <w:tc>
          <w:tcPr>
            <w:tcW w:w="953" w:type="dxa"/>
            <w:vMerge w:val="continue"/>
            <w:tcBorders>
              <w:tl2br w:val="nil"/>
              <w:tr2bl w:val="nil"/>
            </w:tcBorders>
            <w:vAlign w:val="center"/>
          </w:tcPr>
          <w:p w14:paraId="31263CE3">
            <w:pPr>
              <w:jc w:val="center"/>
              <w:rPr>
                <w:rFonts w:eastAsia="等线"/>
                <w:color w:val="auto"/>
                <w:kern w:val="0"/>
                <w:sz w:val="18"/>
                <w:szCs w:val="18"/>
                <w:highlight w:val="none"/>
              </w:rPr>
            </w:pPr>
          </w:p>
        </w:tc>
        <w:tc>
          <w:tcPr>
            <w:tcW w:w="796" w:type="dxa"/>
            <w:vMerge w:val="continue"/>
            <w:tcBorders>
              <w:tl2br w:val="nil"/>
              <w:tr2bl w:val="nil"/>
            </w:tcBorders>
            <w:vAlign w:val="center"/>
          </w:tcPr>
          <w:p w14:paraId="3923BE30">
            <w:pPr>
              <w:jc w:val="center"/>
              <w:rPr>
                <w:rFonts w:ascii="宋体" w:hAnsi="宋体" w:cs="宋体"/>
                <w:color w:val="auto"/>
                <w:kern w:val="0"/>
                <w:sz w:val="18"/>
                <w:szCs w:val="18"/>
                <w:highlight w:val="none"/>
              </w:rPr>
            </w:pPr>
          </w:p>
        </w:tc>
        <w:tc>
          <w:tcPr>
            <w:tcW w:w="797" w:type="dxa"/>
            <w:vMerge w:val="continue"/>
            <w:tcBorders>
              <w:tl2br w:val="nil"/>
              <w:tr2bl w:val="nil"/>
            </w:tcBorders>
            <w:vAlign w:val="center"/>
          </w:tcPr>
          <w:p w14:paraId="71CAFC49">
            <w:pPr>
              <w:jc w:val="center"/>
              <w:rPr>
                <w:rFonts w:ascii="宋体" w:hAnsi="宋体" w:cs="宋体"/>
                <w:color w:val="auto"/>
                <w:kern w:val="0"/>
                <w:sz w:val="18"/>
                <w:szCs w:val="18"/>
                <w:highlight w:val="none"/>
              </w:rPr>
            </w:pPr>
          </w:p>
        </w:tc>
        <w:tc>
          <w:tcPr>
            <w:tcW w:w="797" w:type="dxa"/>
            <w:vMerge w:val="restart"/>
            <w:tcBorders>
              <w:tl2br w:val="nil"/>
              <w:tr2bl w:val="nil"/>
            </w:tcBorders>
            <w:vAlign w:val="center"/>
          </w:tcPr>
          <w:p w14:paraId="7FAE9D43">
            <w:pPr>
              <w:widowControl/>
              <w:jc w:val="center"/>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核果类水果</w:t>
            </w:r>
          </w:p>
        </w:tc>
        <w:tc>
          <w:tcPr>
            <w:tcW w:w="953" w:type="dxa"/>
            <w:tcBorders>
              <w:tl2br w:val="nil"/>
              <w:tr2bl w:val="nil"/>
            </w:tcBorders>
            <w:vAlign w:val="center"/>
          </w:tcPr>
          <w:p w14:paraId="65A129A8">
            <w:pPr>
              <w:widowControl/>
              <w:jc w:val="center"/>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枣</w:t>
            </w:r>
          </w:p>
        </w:tc>
        <w:tc>
          <w:tcPr>
            <w:tcW w:w="1896" w:type="dxa"/>
            <w:tcBorders>
              <w:tl2br w:val="nil"/>
              <w:tr2bl w:val="nil"/>
            </w:tcBorders>
            <w:vAlign w:val="center"/>
          </w:tcPr>
          <w:p w14:paraId="4F451F6E">
            <w:pPr>
              <w:widowControl/>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氟虫腈</w:t>
            </w:r>
          </w:p>
        </w:tc>
        <w:tc>
          <w:tcPr>
            <w:tcW w:w="2956" w:type="dxa"/>
            <w:tcBorders>
              <w:tl2br w:val="nil"/>
              <w:tr2bl w:val="nil"/>
            </w:tcBorders>
            <w:vAlign w:val="center"/>
          </w:tcPr>
          <w:p w14:paraId="37D3738A">
            <w:pPr>
              <w:widowControl/>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多菌灵、氧乐果、氰戊菊酯和S-氰戊菊酯、糖精钠（以糖精计）</w:t>
            </w:r>
          </w:p>
        </w:tc>
      </w:tr>
      <w:tr w14:paraId="246B7CF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78" w:hRule="atLeast"/>
        </w:trPr>
        <w:tc>
          <w:tcPr>
            <w:tcW w:w="953" w:type="dxa"/>
            <w:vMerge w:val="continue"/>
            <w:tcBorders>
              <w:tl2br w:val="nil"/>
              <w:tr2bl w:val="nil"/>
            </w:tcBorders>
            <w:vAlign w:val="center"/>
          </w:tcPr>
          <w:p w14:paraId="5F937012">
            <w:pPr>
              <w:jc w:val="center"/>
              <w:rPr>
                <w:rFonts w:eastAsia="等线"/>
                <w:color w:val="auto"/>
                <w:kern w:val="0"/>
                <w:sz w:val="18"/>
                <w:szCs w:val="18"/>
                <w:highlight w:val="none"/>
              </w:rPr>
            </w:pPr>
          </w:p>
        </w:tc>
        <w:tc>
          <w:tcPr>
            <w:tcW w:w="796" w:type="dxa"/>
            <w:vMerge w:val="continue"/>
            <w:tcBorders>
              <w:tl2br w:val="nil"/>
              <w:tr2bl w:val="nil"/>
            </w:tcBorders>
            <w:vAlign w:val="center"/>
          </w:tcPr>
          <w:p w14:paraId="2B597BC3">
            <w:pPr>
              <w:jc w:val="center"/>
              <w:rPr>
                <w:rFonts w:ascii="宋体" w:hAnsi="宋体" w:cs="宋体"/>
                <w:color w:val="auto"/>
                <w:kern w:val="0"/>
                <w:sz w:val="18"/>
                <w:szCs w:val="18"/>
                <w:highlight w:val="none"/>
              </w:rPr>
            </w:pPr>
          </w:p>
        </w:tc>
        <w:tc>
          <w:tcPr>
            <w:tcW w:w="797" w:type="dxa"/>
            <w:vMerge w:val="continue"/>
            <w:tcBorders>
              <w:tl2br w:val="nil"/>
              <w:tr2bl w:val="nil"/>
            </w:tcBorders>
            <w:vAlign w:val="center"/>
          </w:tcPr>
          <w:p w14:paraId="06D802EA">
            <w:pPr>
              <w:jc w:val="center"/>
              <w:rPr>
                <w:rFonts w:ascii="宋体" w:hAnsi="宋体" w:cs="宋体"/>
                <w:color w:val="auto"/>
                <w:kern w:val="0"/>
                <w:sz w:val="18"/>
                <w:szCs w:val="18"/>
                <w:highlight w:val="none"/>
              </w:rPr>
            </w:pPr>
          </w:p>
        </w:tc>
        <w:tc>
          <w:tcPr>
            <w:tcW w:w="797" w:type="dxa"/>
            <w:vMerge w:val="continue"/>
            <w:tcBorders>
              <w:tl2br w:val="nil"/>
              <w:tr2bl w:val="nil"/>
            </w:tcBorders>
            <w:vAlign w:val="center"/>
          </w:tcPr>
          <w:p w14:paraId="02466545">
            <w:pPr>
              <w:jc w:val="center"/>
              <w:rPr>
                <w:rFonts w:ascii="宋体" w:hAnsi="宋体" w:cs="宋体"/>
                <w:color w:val="auto"/>
                <w:kern w:val="0"/>
                <w:sz w:val="18"/>
                <w:szCs w:val="18"/>
                <w:highlight w:val="none"/>
              </w:rPr>
            </w:pPr>
          </w:p>
        </w:tc>
        <w:tc>
          <w:tcPr>
            <w:tcW w:w="953" w:type="dxa"/>
            <w:tcBorders>
              <w:tl2br w:val="nil"/>
              <w:tr2bl w:val="nil"/>
            </w:tcBorders>
            <w:vAlign w:val="center"/>
          </w:tcPr>
          <w:p w14:paraId="15A17345">
            <w:pPr>
              <w:widowControl/>
              <w:jc w:val="center"/>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桃</w:t>
            </w:r>
          </w:p>
        </w:tc>
        <w:tc>
          <w:tcPr>
            <w:tcW w:w="1896" w:type="dxa"/>
            <w:tcBorders>
              <w:tl2br w:val="nil"/>
              <w:tr2bl w:val="nil"/>
            </w:tcBorders>
            <w:vAlign w:val="center"/>
          </w:tcPr>
          <w:p w14:paraId="74D0C643">
            <w:pPr>
              <w:widowControl/>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苯醚甲环唑、甲胺磷</w:t>
            </w:r>
          </w:p>
        </w:tc>
        <w:tc>
          <w:tcPr>
            <w:tcW w:w="2956" w:type="dxa"/>
            <w:tcBorders>
              <w:tl2br w:val="nil"/>
              <w:tr2bl w:val="nil"/>
            </w:tcBorders>
            <w:vAlign w:val="center"/>
          </w:tcPr>
          <w:p w14:paraId="76AA0FD3">
            <w:pPr>
              <w:widowControl/>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敌敌畏、多菌灵、氟硅唑、克百威、氧乐果、溴氰菊酯、吡虫啉</w:t>
            </w:r>
          </w:p>
        </w:tc>
      </w:tr>
      <w:tr w14:paraId="0AD3966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10" w:hRule="atLeast"/>
        </w:trPr>
        <w:tc>
          <w:tcPr>
            <w:tcW w:w="953" w:type="dxa"/>
            <w:vMerge w:val="continue"/>
            <w:tcBorders>
              <w:tl2br w:val="nil"/>
              <w:tr2bl w:val="nil"/>
            </w:tcBorders>
            <w:vAlign w:val="center"/>
          </w:tcPr>
          <w:p w14:paraId="157D4618">
            <w:pPr>
              <w:jc w:val="center"/>
              <w:rPr>
                <w:rFonts w:eastAsia="等线"/>
                <w:color w:val="auto"/>
                <w:kern w:val="0"/>
                <w:sz w:val="18"/>
                <w:szCs w:val="18"/>
                <w:highlight w:val="none"/>
              </w:rPr>
            </w:pPr>
          </w:p>
        </w:tc>
        <w:tc>
          <w:tcPr>
            <w:tcW w:w="796" w:type="dxa"/>
            <w:vMerge w:val="continue"/>
            <w:tcBorders>
              <w:tl2br w:val="nil"/>
              <w:tr2bl w:val="nil"/>
            </w:tcBorders>
            <w:vAlign w:val="center"/>
          </w:tcPr>
          <w:p w14:paraId="4691A37C">
            <w:pPr>
              <w:jc w:val="center"/>
              <w:rPr>
                <w:rFonts w:ascii="宋体" w:hAnsi="宋体" w:cs="宋体"/>
                <w:color w:val="auto"/>
                <w:kern w:val="0"/>
                <w:sz w:val="18"/>
                <w:szCs w:val="18"/>
                <w:highlight w:val="none"/>
              </w:rPr>
            </w:pPr>
          </w:p>
        </w:tc>
        <w:tc>
          <w:tcPr>
            <w:tcW w:w="797" w:type="dxa"/>
            <w:vMerge w:val="continue"/>
            <w:tcBorders>
              <w:tl2br w:val="nil"/>
              <w:tr2bl w:val="nil"/>
            </w:tcBorders>
            <w:vAlign w:val="center"/>
          </w:tcPr>
          <w:p w14:paraId="0EA7C43E">
            <w:pPr>
              <w:jc w:val="center"/>
              <w:rPr>
                <w:rFonts w:ascii="宋体" w:hAnsi="宋体" w:cs="宋体"/>
                <w:color w:val="auto"/>
                <w:kern w:val="0"/>
                <w:sz w:val="18"/>
                <w:szCs w:val="18"/>
                <w:highlight w:val="none"/>
              </w:rPr>
            </w:pPr>
          </w:p>
        </w:tc>
        <w:tc>
          <w:tcPr>
            <w:tcW w:w="797" w:type="dxa"/>
            <w:vMerge w:val="continue"/>
            <w:tcBorders>
              <w:tl2br w:val="nil"/>
              <w:tr2bl w:val="nil"/>
            </w:tcBorders>
            <w:vAlign w:val="center"/>
          </w:tcPr>
          <w:p w14:paraId="3BDC3E72">
            <w:pPr>
              <w:jc w:val="center"/>
              <w:rPr>
                <w:rFonts w:ascii="宋体" w:hAnsi="宋体" w:cs="宋体"/>
                <w:color w:val="auto"/>
                <w:kern w:val="0"/>
                <w:sz w:val="18"/>
                <w:szCs w:val="18"/>
                <w:highlight w:val="none"/>
              </w:rPr>
            </w:pPr>
          </w:p>
        </w:tc>
        <w:tc>
          <w:tcPr>
            <w:tcW w:w="953" w:type="dxa"/>
            <w:tcBorders>
              <w:tl2br w:val="nil"/>
              <w:tr2bl w:val="nil"/>
            </w:tcBorders>
            <w:vAlign w:val="center"/>
          </w:tcPr>
          <w:p w14:paraId="2EE194A5">
            <w:pPr>
              <w:widowControl/>
              <w:jc w:val="center"/>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油桃</w:t>
            </w:r>
          </w:p>
        </w:tc>
        <w:tc>
          <w:tcPr>
            <w:tcW w:w="1896" w:type="dxa"/>
            <w:tcBorders>
              <w:tl2br w:val="nil"/>
              <w:tr2bl w:val="nil"/>
            </w:tcBorders>
            <w:vAlign w:val="center"/>
          </w:tcPr>
          <w:p w14:paraId="17567053">
            <w:pPr>
              <w:widowControl/>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多菌灵</w:t>
            </w:r>
          </w:p>
        </w:tc>
        <w:tc>
          <w:tcPr>
            <w:tcW w:w="2956" w:type="dxa"/>
            <w:tcBorders>
              <w:tl2br w:val="nil"/>
              <w:tr2bl w:val="nil"/>
            </w:tcBorders>
            <w:vAlign w:val="center"/>
          </w:tcPr>
          <w:p w14:paraId="78EDCEF9">
            <w:pPr>
              <w:widowControl/>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甲胺磷、克百威、氧乐果、敌敌畏、苯醚甲环唑、噻虫胺</w:t>
            </w:r>
          </w:p>
        </w:tc>
      </w:tr>
      <w:tr w14:paraId="689FF16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077" w:hRule="atLeast"/>
        </w:trPr>
        <w:tc>
          <w:tcPr>
            <w:tcW w:w="953" w:type="dxa"/>
            <w:vMerge w:val="continue"/>
            <w:tcBorders>
              <w:tl2br w:val="nil"/>
              <w:tr2bl w:val="nil"/>
            </w:tcBorders>
            <w:vAlign w:val="center"/>
          </w:tcPr>
          <w:p w14:paraId="0CCDC1CC">
            <w:pPr>
              <w:jc w:val="center"/>
              <w:rPr>
                <w:rFonts w:eastAsia="等线"/>
                <w:color w:val="auto"/>
                <w:kern w:val="0"/>
                <w:sz w:val="18"/>
                <w:szCs w:val="18"/>
                <w:highlight w:val="none"/>
              </w:rPr>
            </w:pPr>
          </w:p>
        </w:tc>
        <w:tc>
          <w:tcPr>
            <w:tcW w:w="796" w:type="dxa"/>
            <w:vMerge w:val="continue"/>
            <w:tcBorders>
              <w:tl2br w:val="nil"/>
              <w:tr2bl w:val="nil"/>
            </w:tcBorders>
            <w:vAlign w:val="center"/>
          </w:tcPr>
          <w:p w14:paraId="32013C7A">
            <w:pPr>
              <w:jc w:val="center"/>
              <w:rPr>
                <w:rFonts w:ascii="宋体" w:hAnsi="宋体" w:cs="宋体"/>
                <w:color w:val="auto"/>
                <w:kern w:val="0"/>
                <w:sz w:val="18"/>
                <w:szCs w:val="18"/>
                <w:highlight w:val="none"/>
              </w:rPr>
            </w:pPr>
          </w:p>
        </w:tc>
        <w:tc>
          <w:tcPr>
            <w:tcW w:w="797" w:type="dxa"/>
            <w:vMerge w:val="continue"/>
            <w:tcBorders>
              <w:tl2br w:val="nil"/>
              <w:tr2bl w:val="nil"/>
            </w:tcBorders>
            <w:vAlign w:val="center"/>
          </w:tcPr>
          <w:p w14:paraId="53991A5D">
            <w:pPr>
              <w:jc w:val="center"/>
              <w:rPr>
                <w:rFonts w:ascii="宋体" w:hAnsi="宋体" w:cs="宋体"/>
                <w:color w:val="auto"/>
                <w:kern w:val="0"/>
                <w:sz w:val="18"/>
                <w:szCs w:val="18"/>
                <w:highlight w:val="none"/>
              </w:rPr>
            </w:pPr>
          </w:p>
        </w:tc>
        <w:tc>
          <w:tcPr>
            <w:tcW w:w="797" w:type="dxa"/>
            <w:vMerge w:val="continue"/>
            <w:tcBorders>
              <w:tl2br w:val="nil"/>
              <w:tr2bl w:val="nil"/>
            </w:tcBorders>
            <w:vAlign w:val="center"/>
          </w:tcPr>
          <w:p w14:paraId="69594359">
            <w:pPr>
              <w:jc w:val="center"/>
              <w:rPr>
                <w:rFonts w:ascii="宋体" w:hAnsi="宋体" w:cs="宋体"/>
                <w:color w:val="auto"/>
                <w:kern w:val="0"/>
                <w:sz w:val="18"/>
                <w:szCs w:val="18"/>
                <w:highlight w:val="none"/>
              </w:rPr>
            </w:pPr>
          </w:p>
        </w:tc>
        <w:tc>
          <w:tcPr>
            <w:tcW w:w="953" w:type="dxa"/>
            <w:tcBorders>
              <w:tl2br w:val="nil"/>
              <w:tr2bl w:val="nil"/>
            </w:tcBorders>
            <w:vAlign w:val="center"/>
          </w:tcPr>
          <w:p w14:paraId="5403B6AC">
            <w:pPr>
              <w:widowControl/>
              <w:jc w:val="center"/>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樱桃</w:t>
            </w:r>
          </w:p>
        </w:tc>
        <w:tc>
          <w:tcPr>
            <w:tcW w:w="1896" w:type="dxa"/>
            <w:tcBorders>
              <w:tl2br w:val="nil"/>
              <w:tr2bl w:val="nil"/>
            </w:tcBorders>
            <w:vAlign w:val="center"/>
          </w:tcPr>
          <w:p w14:paraId="086F09BB">
            <w:pPr>
              <w:widowControl/>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敌敌畏、氧乐果、甲胺磷</w:t>
            </w:r>
          </w:p>
        </w:tc>
        <w:tc>
          <w:tcPr>
            <w:tcW w:w="2956" w:type="dxa"/>
            <w:tcBorders>
              <w:tl2br w:val="nil"/>
              <w:tr2bl w:val="nil"/>
            </w:tcBorders>
            <w:vAlign w:val="center"/>
          </w:tcPr>
          <w:p w14:paraId="472E125D">
            <w:pPr>
              <w:widowControl/>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吡虫啉、噻虫嗪</w:t>
            </w:r>
          </w:p>
        </w:tc>
      </w:tr>
      <w:tr w14:paraId="4319FDA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78" w:hRule="atLeast"/>
        </w:trPr>
        <w:tc>
          <w:tcPr>
            <w:tcW w:w="953" w:type="dxa"/>
            <w:vMerge w:val="continue"/>
            <w:tcBorders>
              <w:tl2br w:val="nil"/>
              <w:tr2bl w:val="nil"/>
            </w:tcBorders>
            <w:vAlign w:val="center"/>
          </w:tcPr>
          <w:p w14:paraId="73B962A1">
            <w:pPr>
              <w:jc w:val="center"/>
              <w:rPr>
                <w:rFonts w:eastAsia="等线"/>
                <w:color w:val="auto"/>
                <w:kern w:val="0"/>
                <w:sz w:val="18"/>
                <w:szCs w:val="18"/>
                <w:highlight w:val="none"/>
              </w:rPr>
            </w:pPr>
          </w:p>
        </w:tc>
        <w:tc>
          <w:tcPr>
            <w:tcW w:w="796" w:type="dxa"/>
            <w:vMerge w:val="continue"/>
            <w:tcBorders>
              <w:tl2br w:val="nil"/>
              <w:tr2bl w:val="nil"/>
            </w:tcBorders>
            <w:vAlign w:val="center"/>
          </w:tcPr>
          <w:p w14:paraId="1441EBA9">
            <w:pPr>
              <w:jc w:val="center"/>
              <w:rPr>
                <w:rFonts w:ascii="宋体" w:hAnsi="宋体" w:cs="宋体"/>
                <w:color w:val="auto"/>
                <w:kern w:val="0"/>
                <w:sz w:val="18"/>
                <w:szCs w:val="18"/>
                <w:highlight w:val="none"/>
              </w:rPr>
            </w:pPr>
          </w:p>
        </w:tc>
        <w:tc>
          <w:tcPr>
            <w:tcW w:w="797" w:type="dxa"/>
            <w:vMerge w:val="continue"/>
            <w:tcBorders>
              <w:tl2br w:val="nil"/>
              <w:tr2bl w:val="nil"/>
            </w:tcBorders>
            <w:vAlign w:val="center"/>
          </w:tcPr>
          <w:p w14:paraId="2F64586D">
            <w:pPr>
              <w:jc w:val="center"/>
              <w:rPr>
                <w:rFonts w:ascii="宋体" w:hAnsi="宋体" w:cs="宋体"/>
                <w:color w:val="auto"/>
                <w:kern w:val="0"/>
                <w:sz w:val="18"/>
                <w:szCs w:val="18"/>
                <w:highlight w:val="none"/>
              </w:rPr>
            </w:pPr>
          </w:p>
        </w:tc>
        <w:tc>
          <w:tcPr>
            <w:tcW w:w="797" w:type="dxa"/>
            <w:vMerge w:val="restart"/>
            <w:tcBorders>
              <w:tl2br w:val="nil"/>
              <w:tr2bl w:val="nil"/>
            </w:tcBorders>
            <w:vAlign w:val="center"/>
          </w:tcPr>
          <w:p w14:paraId="7E1E4F80">
            <w:pPr>
              <w:widowControl/>
              <w:jc w:val="center"/>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柑橘类水果</w:t>
            </w:r>
          </w:p>
        </w:tc>
        <w:tc>
          <w:tcPr>
            <w:tcW w:w="953" w:type="dxa"/>
            <w:tcBorders>
              <w:tl2br w:val="nil"/>
              <w:tr2bl w:val="nil"/>
            </w:tcBorders>
            <w:vAlign w:val="center"/>
          </w:tcPr>
          <w:p w14:paraId="3EA4ABBD">
            <w:pPr>
              <w:widowControl/>
              <w:jc w:val="center"/>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柑、橘</w:t>
            </w:r>
          </w:p>
        </w:tc>
        <w:tc>
          <w:tcPr>
            <w:tcW w:w="1896" w:type="dxa"/>
            <w:tcBorders>
              <w:tl2br w:val="nil"/>
              <w:tr2bl w:val="nil"/>
            </w:tcBorders>
            <w:vAlign w:val="center"/>
          </w:tcPr>
          <w:p w14:paraId="6F329574">
            <w:pPr>
              <w:widowControl/>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苯醚甲环唑、联苯菊酯</w:t>
            </w:r>
          </w:p>
        </w:tc>
        <w:tc>
          <w:tcPr>
            <w:tcW w:w="2956" w:type="dxa"/>
            <w:tcBorders>
              <w:tl2br w:val="nil"/>
              <w:tr2bl w:val="nil"/>
            </w:tcBorders>
            <w:vAlign w:val="center"/>
          </w:tcPr>
          <w:p w14:paraId="0DF4812B">
            <w:pPr>
              <w:widowControl/>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丙溴磷、克百威、氯唑磷、三唑磷、水胺硫磷、氧乐果、氯氟氰菊酯和高效氯氟氰菊酯、甲拌磷、2,4-滴和2,4-滴钠盐、狄氏剂、毒死蜱、杀扑磷、敌敌畏、联苯肼酯</w:t>
            </w:r>
          </w:p>
        </w:tc>
      </w:tr>
      <w:tr w14:paraId="519674B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44" w:hRule="atLeast"/>
        </w:trPr>
        <w:tc>
          <w:tcPr>
            <w:tcW w:w="953" w:type="dxa"/>
            <w:vMerge w:val="continue"/>
            <w:tcBorders>
              <w:tl2br w:val="nil"/>
              <w:tr2bl w:val="nil"/>
            </w:tcBorders>
            <w:vAlign w:val="center"/>
          </w:tcPr>
          <w:p w14:paraId="7ED4B583">
            <w:pPr>
              <w:jc w:val="center"/>
              <w:rPr>
                <w:rFonts w:eastAsia="等线"/>
                <w:color w:val="auto"/>
                <w:kern w:val="0"/>
                <w:sz w:val="18"/>
                <w:szCs w:val="18"/>
                <w:highlight w:val="none"/>
              </w:rPr>
            </w:pPr>
          </w:p>
        </w:tc>
        <w:tc>
          <w:tcPr>
            <w:tcW w:w="796" w:type="dxa"/>
            <w:vMerge w:val="continue"/>
            <w:tcBorders>
              <w:tl2br w:val="nil"/>
              <w:tr2bl w:val="nil"/>
            </w:tcBorders>
            <w:vAlign w:val="center"/>
          </w:tcPr>
          <w:p w14:paraId="1E80D391">
            <w:pPr>
              <w:jc w:val="center"/>
              <w:rPr>
                <w:rFonts w:ascii="宋体" w:hAnsi="宋体" w:cs="宋体"/>
                <w:color w:val="auto"/>
                <w:kern w:val="0"/>
                <w:sz w:val="18"/>
                <w:szCs w:val="18"/>
                <w:highlight w:val="none"/>
              </w:rPr>
            </w:pPr>
          </w:p>
        </w:tc>
        <w:tc>
          <w:tcPr>
            <w:tcW w:w="797" w:type="dxa"/>
            <w:vMerge w:val="continue"/>
            <w:tcBorders>
              <w:tl2br w:val="nil"/>
              <w:tr2bl w:val="nil"/>
            </w:tcBorders>
            <w:vAlign w:val="center"/>
          </w:tcPr>
          <w:p w14:paraId="561D7EFB">
            <w:pPr>
              <w:jc w:val="center"/>
              <w:rPr>
                <w:rFonts w:ascii="宋体" w:hAnsi="宋体" w:cs="宋体"/>
                <w:color w:val="auto"/>
                <w:kern w:val="0"/>
                <w:sz w:val="18"/>
                <w:szCs w:val="18"/>
                <w:highlight w:val="none"/>
              </w:rPr>
            </w:pPr>
          </w:p>
        </w:tc>
        <w:tc>
          <w:tcPr>
            <w:tcW w:w="797" w:type="dxa"/>
            <w:vMerge w:val="continue"/>
            <w:tcBorders>
              <w:tl2br w:val="nil"/>
              <w:tr2bl w:val="nil"/>
            </w:tcBorders>
            <w:vAlign w:val="center"/>
          </w:tcPr>
          <w:p w14:paraId="7D72D793">
            <w:pPr>
              <w:jc w:val="center"/>
              <w:rPr>
                <w:rFonts w:ascii="宋体" w:hAnsi="宋体" w:cs="宋体"/>
                <w:color w:val="auto"/>
                <w:kern w:val="0"/>
                <w:sz w:val="18"/>
                <w:szCs w:val="18"/>
                <w:highlight w:val="none"/>
              </w:rPr>
            </w:pPr>
          </w:p>
        </w:tc>
        <w:tc>
          <w:tcPr>
            <w:tcW w:w="953" w:type="dxa"/>
            <w:tcBorders>
              <w:tl2br w:val="nil"/>
              <w:tr2bl w:val="nil"/>
            </w:tcBorders>
            <w:vAlign w:val="center"/>
          </w:tcPr>
          <w:p w14:paraId="6E51293B">
            <w:pPr>
              <w:widowControl/>
              <w:jc w:val="center"/>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柚</w:t>
            </w:r>
          </w:p>
        </w:tc>
        <w:tc>
          <w:tcPr>
            <w:tcW w:w="1896" w:type="dxa"/>
            <w:tcBorders>
              <w:tl2br w:val="nil"/>
              <w:tr2bl w:val="nil"/>
            </w:tcBorders>
            <w:vAlign w:val="center"/>
          </w:tcPr>
          <w:p w14:paraId="56F8494B">
            <w:pPr>
              <w:widowControl/>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氯氟氰菊酯和高效氯氟氰菊酯</w:t>
            </w:r>
          </w:p>
        </w:tc>
        <w:tc>
          <w:tcPr>
            <w:tcW w:w="2956" w:type="dxa"/>
            <w:tcBorders>
              <w:tl2br w:val="nil"/>
              <w:tr2bl w:val="nil"/>
            </w:tcBorders>
            <w:vAlign w:val="center"/>
          </w:tcPr>
          <w:p w14:paraId="3CD541F6">
            <w:pPr>
              <w:widowControl/>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水胺硫磷、联苯菊酯、多菌灵、克百威、氯唑磷</w:t>
            </w:r>
          </w:p>
        </w:tc>
      </w:tr>
      <w:tr w14:paraId="56C55ED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110" w:hRule="atLeast"/>
        </w:trPr>
        <w:tc>
          <w:tcPr>
            <w:tcW w:w="953" w:type="dxa"/>
            <w:vMerge w:val="continue"/>
            <w:tcBorders>
              <w:tl2br w:val="nil"/>
              <w:tr2bl w:val="nil"/>
            </w:tcBorders>
            <w:vAlign w:val="center"/>
          </w:tcPr>
          <w:p w14:paraId="499D45DC">
            <w:pPr>
              <w:jc w:val="center"/>
              <w:rPr>
                <w:rFonts w:eastAsia="等线"/>
                <w:color w:val="auto"/>
                <w:kern w:val="0"/>
                <w:sz w:val="18"/>
                <w:szCs w:val="18"/>
                <w:highlight w:val="none"/>
              </w:rPr>
            </w:pPr>
          </w:p>
        </w:tc>
        <w:tc>
          <w:tcPr>
            <w:tcW w:w="796" w:type="dxa"/>
            <w:vMerge w:val="continue"/>
            <w:tcBorders>
              <w:tl2br w:val="nil"/>
              <w:tr2bl w:val="nil"/>
            </w:tcBorders>
            <w:vAlign w:val="center"/>
          </w:tcPr>
          <w:p w14:paraId="0B907199">
            <w:pPr>
              <w:jc w:val="center"/>
              <w:rPr>
                <w:rFonts w:ascii="宋体" w:hAnsi="宋体" w:cs="宋体"/>
                <w:color w:val="auto"/>
                <w:kern w:val="0"/>
                <w:sz w:val="18"/>
                <w:szCs w:val="18"/>
                <w:highlight w:val="none"/>
              </w:rPr>
            </w:pPr>
          </w:p>
        </w:tc>
        <w:tc>
          <w:tcPr>
            <w:tcW w:w="797" w:type="dxa"/>
            <w:vMerge w:val="continue"/>
            <w:tcBorders>
              <w:tl2br w:val="nil"/>
              <w:tr2bl w:val="nil"/>
            </w:tcBorders>
            <w:vAlign w:val="center"/>
          </w:tcPr>
          <w:p w14:paraId="3DBCB0A6">
            <w:pPr>
              <w:jc w:val="center"/>
              <w:rPr>
                <w:rFonts w:ascii="宋体" w:hAnsi="宋体" w:cs="宋体"/>
                <w:color w:val="auto"/>
                <w:kern w:val="0"/>
                <w:sz w:val="18"/>
                <w:szCs w:val="18"/>
                <w:highlight w:val="none"/>
              </w:rPr>
            </w:pPr>
          </w:p>
        </w:tc>
        <w:tc>
          <w:tcPr>
            <w:tcW w:w="797" w:type="dxa"/>
            <w:vMerge w:val="continue"/>
            <w:tcBorders>
              <w:tl2br w:val="nil"/>
              <w:tr2bl w:val="nil"/>
            </w:tcBorders>
            <w:vAlign w:val="center"/>
          </w:tcPr>
          <w:p w14:paraId="6D0D6FE9">
            <w:pPr>
              <w:jc w:val="center"/>
              <w:rPr>
                <w:rFonts w:ascii="宋体" w:hAnsi="宋体" w:cs="宋体"/>
                <w:color w:val="auto"/>
                <w:kern w:val="0"/>
                <w:sz w:val="18"/>
                <w:szCs w:val="18"/>
                <w:highlight w:val="none"/>
              </w:rPr>
            </w:pPr>
          </w:p>
        </w:tc>
        <w:tc>
          <w:tcPr>
            <w:tcW w:w="953" w:type="dxa"/>
            <w:tcBorders>
              <w:tl2br w:val="nil"/>
              <w:tr2bl w:val="nil"/>
            </w:tcBorders>
            <w:vAlign w:val="center"/>
          </w:tcPr>
          <w:p w14:paraId="2C32F49A">
            <w:pPr>
              <w:widowControl/>
              <w:jc w:val="center"/>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柠檬</w:t>
            </w:r>
          </w:p>
        </w:tc>
        <w:tc>
          <w:tcPr>
            <w:tcW w:w="1896" w:type="dxa"/>
            <w:tcBorders>
              <w:tl2br w:val="nil"/>
              <w:tr2bl w:val="nil"/>
            </w:tcBorders>
            <w:vAlign w:val="center"/>
          </w:tcPr>
          <w:p w14:paraId="3F7AFDAF">
            <w:pPr>
              <w:widowControl/>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氯唑磷、水胺硫磷</w:t>
            </w:r>
          </w:p>
        </w:tc>
        <w:tc>
          <w:tcPr>
            <w:tcW w:w="2956" w:type="dxa"/>
            <w:tcBorders>
              <w:tl2br w:val="nil"/>
              <w:tr2bl w:val="nil"/>
            </w:tcBorders>
            <w:vAlign w:val="center"/>
          </w:tcPr>
          <w:p w14:paraId="36A5437F">
            <w:pPr>
              <w:widowControl/>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多菌灵、克百威、联苯菊酯、乙螨唑</w:t>
            </w:r>
          </w:p>
        </w:tc>
      </w:tr>
      <w:tr w14:paraId="1469C63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56" w:hRule="atLeast"/>
        </w:trPr>
        <w:tc>
          <w:tcPr>
            <w:tcW w:w="953" w:type="dxa"/>
            <w:vMerge w:val="continue"/>
            <w:tcBorders>
              <w:tl2br w:val="nil"/>
              <w:tr2bl w:val="nil"/>
            </w:tcBorders>
            <w:vAlign w:val="center"/>
          </w:tcPr>
          <w:p w14:paraId="45F3E93D">
            <w:pPr>
              <w:jc w:val="center"/>
              <w:rPr>
                <w:rFonts w:eastAsia="等线"/>
                <w:color w:val="auto"/>
                <w:kern w:val="0"/>
                <w:sz w:val="18"/>
                <w:szCs w:val="18"/>
                <w:highlight w:val="none"/>
              </w:rPr>
            </w:pPr>
          </w:p>
        </w:tc>
        <w:tc>
          <w:tcPr>
            <w:tcW w:w="796" w:type="dxa"/>
            <w:vMerge w:val="continue"/>
            <w:tcBorders>
              <w:tl2br w:val="nil"/>
              <w:tr2bl w:val="nil"/>
            </w:tcBorders>
            <w:vAlign w:val="center"/>
          </w:tcPr>
          <w:p w14:paraId="4EA1ADFB">
            <w:pPr>
              <w:jc w:val="center"/>
              <w:rPr>
                <w:rFonts w:ascii="宋体" w:hAnsi="宋体" w:cs="宋体"/>
                <w:color w:val="auto"/>
                <w:kern w:val="0"/>
                <w:sz w:val="18"/>
                <w:szCs w:val="18"/>
                <w:highlight w:val="none"/>
              </w:rPr>
            </w:pPr>
          </w:p>
        </w:tc>
        <w:tc>
          <w:tcPr>
            <w:tcW w:w="797" w:type="dxa"/>
            <w:vMerge w:val="continue"/>
            <w:tcBorders>
              <w:tl2br w:val="nil"/>
              <w:tr2bl w:val="nil"/>
            </w:tcBorders>
            <w:vAlign w:val="center"/>
          </w:tcPr>
          <w:p w14:paraId="5D70B322">
            <w:pPr>
              <w:jc w:val="center"/>
              <w:rPr>
                <w:rFonts w:ascii="宋体" w:hAnsi="宋体" w:cs="宋体"/>
                <w:color w:val="auto"/>
                <w:kern w:val="0"/>
                <w:sz w:val="18"/>
                <w:szCs w:val="18"/>
                <w:highlight w:val="none"/>
              </w:rPr>
            </w:pPr>
          </w:p>
        </w:tc>
        <w:tc>
          <w:tcPr>
            <w:tcW w:w="797" w:type="dxa"/>
            <w:vMerge w:val="continue"/>
            <w:tcBorders>
              <w:tl2br w:val="nil"/>
              <w:tr2bl w:val="nil"/>
            </w:tcBorders>
            <w:vAlign w:val="center"/>
          </w:tcPr>
          <w:p w14:paraId="148AC408">
            <w:pPr>
              <w:jc w:val="center"/>
              <w:rPr>
                <w:rFonts w:ascii="宋体" w:hAnsi="宋体" w:cs="宋体"/>
                <w:color w:val="auto"/>
                <w:kern w:val="0"/>
                <w:sz w:val="18"/>
                <w:szCs w:val="18"/>
                <w:highlight w:val="none"/>
              </w:rPr>
            </w:pPr>
          </w:p>
        </w:tc>
        <w:tc>
          <w:tcPr>
            <w:tcW w:w="953" w:type="dxa"/>
            <w:tcBorders>
              <w:tl2br w:val="nil"/>
              <w:tr2bl w:val="nil"/>
            </w:tcBorders>
            <w:vAlign w:val="center"/>
          </w:tcPr>
          <w:p w14:paraId="4FAE932C">
            <w:pPr>
              <w:widowControl/>
              <w:jc w:val="center"/>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橙</w:t>
            </w:r>
          </w:p>
        </w:tc>
        <w:tc>
          <w:tcPr>
            <w:tcW w:w="1896" w:type="dxa"/>
            <w:tcBorders>
              <w:tl2br w:val="nil"/>
              <w:tr2bl w:val="nil"/>
            </w:tcBorders>
            <w:vAlign w:val="center"/>
          </w:tcPr>
          <w:p w14:paraId="0775F1A2">
            <w:pPr>
              <w:widowControl/>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联苯菊酯、丙溴磷</w:t>
            </w:r>
          </w:p>
        </w:tc>
        <w:tc>
          <w:tcPr>
            <w:tcW w:w="2956" w:type="dxa"/>
            <w:tcBorders>
              <w:tl2br w:val="nil"/>
              <w:tr2bl w:val="nil"/>
            </w:tcBorders>
            <w:vAlign w:val="center"/>
          </w:tcPr>
          <w:p w14:paraId="032D1876">
            <w:pPr>
              <w:widowControl/>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克百威、三唑磷、杀扑磷、水胺硫磷、氧乐果、</w:t>
            </w:r>
            <w:r>
              <w:rPr>
                <w:color w:val="auto"/>
                <w:kern w:val="0"/>
                <w:sz w:val="18"/>
                <w:szCs w:val="18"/>
                <w:highlight w:val="none"/>
                <w:lang w:bidi="ar"/>
              </w:rPr>
              <w:t>2,4-</w:t>
            </w:r>
            <w:r>
              <w:rPr>
                <w:rFonts w:hint="eastAsia" w:ascii="宋体" w:hAnsi="宋体" w:cs="宋体"/>
                <w:color w:val="auto"/>
                <w:kern w:val="0"/>
                <w:sz w:val="18"/>
                <w:szCs w:val="18"/>
                <w:highlight w:val="none"/>
                <w:lang w:bidi="ar"/>
              </w:rPr>
              <w:t>滴和</w:t>
            </w:r>
            <w:r>
              <w:rPr>
                <w:color w:val="auto"/>
                <w:kern w:val="0"/>
                <w:sz w:val="18"/>
                <w:szCs w:val="18"/>
                <w:highlight w:val="none"/>
                <w:lang w:bidi="ar"/>
              </w:rPr>
              <w:t>2,4-</w:t>
            </w:r>
            <w:r>
              <w:rPr>
                <w:rFonts w:hint="eastAsia" w:ascii="宋体" w:hAnsi="宋体" w:cs="宋体"/>
                <w:color w:val="auto"/>
                <w:kern w:val="0"/>
                <w:sz w:val="18"/>
                <w:szCs w:val="18"/>
                <w:highlight w:val="none"/>
                <w:lang w:bidi="ar"/>
              </w:rPr>
              <w:t>滴钠盐、苯醚甲环唑、氯唑磷</w:t>
            </w:r>
          </w:p>
        </w:tc>
      </w:tr>
      <w:tr w14:paraId="7ACB371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946" w:hRule="atLeast"/>
        </w:trPr>
        <w:tc>
          <w:tcPr>
            <w:tcW w:w="953" w:type="dxa"/>
            <w:vMerge w:val="continue"/>
            <w:tcBorders>
              <w:tl2br w:val="nil"/>
              <w:tr2bl w:val="nil"/>
            </w:tcBorders>
            <w:vAlign w:val="center"/>
          </w:tcPr>
          <w:p w14:paraId="1C086830">
            <w:pPr>
              <w:jc w:val="center"/>
              <w:rPr>
                <w:rFonts w:eastAsia="等线"/>
                <w:color w:val="auto"/>
                <w:kern w:val="0"/>
                <w:sz w:val="18"/>
                <w:szCs w:val="18"/>
                <w:highlight w:val="none"/>
              </w:rPr>
            </w:pPr>
          </w:p>
        </w:tc>
        <w:tc>
          <w:tcPr>
            <w:tcW w:w="796" w:type="dxa"/>
            <w:vMerge w:val="continue"/>
            <w:tcBorders>
              <w:tl2br w:val="nil"/>
              <w:tr2bl w:val="nil"/>
            </w:tcBorders>
            <w:vAlign w:val="center"/>
          </w:tcPr>
          <w:p w14:paraId="3005A497">
            <w:pPr>
              <w:jc w:val="center"/>
              <w:rPr>
                <w:rFonts w:ascii="宋体" w:hAnsi="宋体" w:cs="宋体"/>
                <w:color w:val="auto"/>
                <w:kern w:val="0"/>
                <w:sz w:val="18"/>
                <w:szCs w:val="18"/>
                <w:highlight w:val="none"/>
              </w:rPr>
            </w:pPr>
          </w:p>
        </w:tc>
        <w:tc>
          <w:tcPr>
            <w:tcW w:w="797" w:type="dxa"/>
            <w:vMerge w:val="continue"/>
            <w:tcBorders>
              <w:tl2br w:val="nil"/>
              <w:tr2bl w:val="nil"/>
            </w:tcBorders>
            <w:vAlign w:val="center"/>
          </w:tcPr>
          <w:p w14:paraId="68D85218">
            <w:pPr>
              <w:jc w:val="center"/>
              <w:rPr>
                <w:rFonts w:ascii="宋体" w:hAnsi="宋体" w:cs="宋体"/>
                <w:color w:val="auto"/>
                <w:kern w:val="0"/>
                <w:sz w:val="18"/>
                <w:szCs w:val="18"/>
                <w:highlight w:val="none"/>
              </w:rPr>
            </w:pPr>
          </w:p>
        </w:tc>
        <w:tc>
          <w:tcPr>
            <w:tcW w:w="797" w:type="dxa"/>
            <w:vMerge w:val="restart"/>
            <w:tcBorders>
              <w:tl2br w:val="nil"/>
              <w:tr2bl w:val="nil"/>
            </w:tcBorders>
            <w:vAlign w:val="center"/>
          </w:tcPr>
          <w:p w14:paraId="0904BE67">
            <w:pPr>
              <w:widowControl/>
              <w:jc w:val="center"/>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浆果和其他小型水果</w:t>
            </w:r>
          </w:p>
        </w:tc>
        <w:tc>
          <w:tcPr>
            <w:tcW w:w="953" w:type="dxa"/>
            <w:tcBorders>
              <w:tl2br w:val="nil"/>
              <w:tr2bl w:val="nil"/>
            </w:tcBorders>
            <w:vAlign w:val="center"/>
          </w:tcPr>
          <w:p w14:paraId="2859BE4F">
            <w:pPr>
              <w:widowControl/>
              <w:jc w:val="center"/>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葡萄</w:t>
            </w:r>
          </w:p>
        </w:tc>
        <w:tc>
          <w:tcPr>
            <w:tcW w:w="1896" w:type="dxa"/>
            <w:tcBorders>
              <w:tl2br w:val="nil"/>
              <w:tr2bl w:val="nil"/>
            </w:tcBorders>
            <w:vAlign w:val="center"/>
          </w:tcPr>
          <w:p w14:paraId="346BFFA8">
            <w:pPr>
              <w:widowControl/>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苯醚甲环唑、氧乐果</w:t>
            </w:r>
          </w:p>
        </w:tc>
        <w:tc>
          <w:tcPr>
            <w:tcW w:w="2956" w:type="dxa"/>
            <w:tcBorders>
              <w:tl2br w:val="nil"/>
              <w:tr2bl w:val="nil"/>
            </w:tcBorders>
            <w:vAlign w:val="center"/>
          </w:tcPr>
          <w:p w14:paraId="155C63FF">
            <w:pPr>
              <w:widowControl/>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己唑醇、克百威、氯氰菊酯和高效氯氰菊酯、霜霉威和霜霉威盐酸盐、氯氟氰菊酯和高效氯氟氰菊酯、氟虫腈、氯吡脲、联苯菊酯</w:t>
            </w:r>
          </w:p>
        </w:tc>
      </w:tr>
      <w:tr w14:paraId="4837B7F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10" w:hRule="atLeast"/>
        </w:trPr>
        <w:tc>
          <w:tcPr>
            <w:tcW w:w="953" w:type="dxa"/>
            <w:vMerge w:val="continue"/>
            <w:tcBorders>
              <w:tl2br w:val="nil"/>
              <w:tr2bl w:val="nil"/>
            </w:tcBorders>
            <w:vAlign w:val="center"/>
          </w:tcPr>
          <w:p w14:paraId="78D8EEE8">
            <w:pPr>
              <w:jc w:val="center"/>
              <w:rPr>
                <w:rFonts w:eastAsia="等线"/>
                <w:color w:val="auto"/>
                <w:kern w:val="0"/>
                <w:sz w:val="18"/>
                <w:szCs w:val="18"/>
                <w:highlight w:val="none"/>
              </w:rPr>
            </w:pPr>
          </w:p>
        </w:tc>
        <w:tc>
          <w:tcPr>
            <w:tcW w:w="796" w:type="dxa"/>
            <w:vMerge w:val="continue"/>
            <w:tcBorders>
              <w:tl2br w:val="nil"/>
              <w:tr2bl w:val="nil"/>
            </w:tcBorders>
            <w:vAlign w:val="center"/>
          </w:tcPr>
          <w:p w14:paraId="618BA07E">
            <w:pPr>
              <w:jc w:val="center"/>
              <w:rPr>
                <w:rFonts w:ascii="宋体" w:hAnsi="宋体" w:cs="宋体"/>
                <w:color w:val="auto"/>
                <w:kern w:val="0"/>
                <w:sz w:val="18"/>
                <w:szCs w:val="18"/>
                <w:highlight w:val="none"/>
              </w:rPr>
            </w:pPr>
          </w:p>
        </w:tc>
        <w:tc>
          <w:tcPr>
            <w:tcW w:w="797" w:type="dxa"/>
            <w:vMerge w:val="continue"/>
            <w:tcBorders>
              <w:tl2br w:val="nil"/>
              <w:tr2bl w:val="nil"/>
            </w:tcBorders>
            <w:vAlign w:val="center"/>
          </w:tcPr>
          <w:p w14:paraId="7364EB62">
            <w:pPr>
              <w:jc w:val="center"/>
              <w:rPr>
                <w:rFonts w:ascii="宋体" w:hAnsi="宋体" w:cs="宋体"/>
                <w:color w:val="auto"/>
                <w:kern w:val="0"/>
                <w:sz w:val="18"/>
                <w:szCs w:val="18"/>
                <w:highlight w:val="none"/>
              </w:rPr>
            </w:pPr>
          </w:p>
        </w:tc>
        <w:tc>
          <w:tcPr>
            <w:tcW w:w="797" w:type="dxa"/>
            <w:vMerge w:val="continue"/>
            <w:tcBorders>
              <w:tl2br w:val="nil"/>
              <w:tr2bl w:val="nil"/>
            </w:tcBorders>
            <w:vAlign w:val="center"/>
          </w:tcPr>
          <w:p w14:paraId="6F3C739C">
            <w:pPr>
              <w:jc w:val="center"/>
              <w:rPr>
                <w:rFonts w:ascii="宋体" w:hAnsi="宋体" w:cs="宋体"/>
                <w:color w:val="auto"/>
                <w:kern w:val="0"/>
                <w:sz w:val="18"/>
                <w:szCs w:val="18"/>
                <w:highlight w:val="none"/>
              </w:rPr>
            </w:pPr>
          </w:p>
        </w:tc>
        <w:tc>
          <w:tcPr>
            <w:tcW w:w="953" w:type="dxa"/>
            <w:tcBorders>
              <w:tl2br w:val="nil"/>
              <w:tr2bl w:val="nil"/>
            </w:tcBorders>
            <w:vAlign w:val="center"/>
          </w:tcPr>
          <w:p w14:paraId="662C9475">
            <w:pPr>
              <w:widowControl/>
              <w:jc w:val="center"/>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草莓</w:t>
            </w:r>
          </w:p>
        </w:tc>
        <w:tc>
          <w:tcPr>
            <w:tcW w:w="1896" w:type="dxa"/>
            <w:tcBorders>
              <w:tl2br w:val="nil"/>
              <w:tr2bl w:val="nil"/>
            </w:tcBorders>
            <w:vAlign w:val="center"/>
          </w:tcPr>
          <w:p w14:paraId="7C03DE49">
            <w:pPr>
              <w:widowControl/>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阿维菌素</w:t>
            </w:r>
          </w:p>
        </w:tc>
        <w:tc>
          <w:tcPr>
            <w:tcW w:w="2956" w:type="dxa"/>
            <w:tcBorders>
              <w:tl2br w:val="nil"/>
              <w:tr2bl w:val="nil"/>
            </w:tcBorders>
            <w:vAlign w:val="center"/>
          </w:tcPr>
          <w:p w14:paraId="32DAD24D">
            <w:pPr>
              <w:widowControl/>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敌敌畏、多菌灵、克百威、烯酰吗啉、氧乐果、戊菌唑、吡虫啉、乙酰甲胺磷</w:t>
            </w:r>
          </w:p>
        </w:tc>
      </w:tr>
      <w:tr w14:paraId="79618F2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348" w:hRule="atLeast"/>
        </w:trPr>
        <w:tc>
          <w:tcPr>
            <w:tcW w:w="953" w:type="dxa"/>
            <w:vMerge w:val="continue"/>
            <w:tcBorders>
              <w:tl2br w:val="nil"/>
              <w:tr2bl w:val="nil"/>
            </w:tcBorders>
            <w:vAlign w:val="center"/>
          </w:tcPr>
          <w:p w14:paraId="67C9DF4E">
            <w:pPr>
              <w:widowControl/>
              <w:jc w:val="center"/>
              <w:textAlignment w:val="center"/>
              <w:rPr>
                <w:rFonts w:eastAsia="等线"/>
                <w:color w:val="auto"/>
                <w:kern w:val="0"/>
                <w:sz w:val="18"/>
                <w:szCs w:val="18"/>
                <w:highlight w:val="none"/>
              </w:rPr>
            </w:pPr>
          </w:p>
        </w:tc>
        <w:tc>
          <w:tcPr>
            <w:tcW w:w="796" w:type="dxa"/>
            <w:vMerge w:val="continue"/>
            <w:tcBorders>
              <w:tl2br w:val="nil"/>
              <w:tr2bl w:val="nil"/>
            </w:tcBorders>
            <w:vAlign w:val="center"/>
          </w:tcPr>
          <w:p w14:paraId="061FFBDA">
            <w:pPr>
              <w:widowControl/>
              <w:jc w:val="center"/>
              <w:textAlignment w:val="center"/>
              <w:rPr>
                <w:rFonts w:ascii="宋体" w:hAnsi="宋体" w:cs="宋体"/>
                <w:color w:val="auto"/>
                <w:kern w:val="0"/>
                <w:sz w:val="18"/>
                <w:szCs w:val="18"/>
                <w:highlight w:val="none"/>
              </w:rPr>
            </w:pPr>
          </w:p>
        </w:tc>
        <w:tc>
          <w:tcPr>
            <w:tcW w:w="797" w:type="dxa"/>
            <w:vMerge w:val="continue"/>
            <w:tcBorders>
              <w:tl2br w:val="nil"/>
              <w:tr2bl w:val="nil"/>
            </w:tcBorders>
            <w:vAlign w:val="center"/>
          </w:tcPr>
          <w:p w14:paraId="3DDE3702">
            <w:pPr>
              <w:widowControl/>
              <w:jc w:val="center"/>
              <w:textAlignment w:val="center"/>
              <w:rPr>
                <w:rFonts w:ascii="宋体" w:hAnsi="宋体" w:cs="宋体"/>
                <w:color w:val="auto"/>
                <w:kern w:val="0"/>
                <w:sz w:val="18"/>
                <w:szCs w:val="18"/>
                <w:highlight w:val="none"/>
              </w:rPr>
            </w:pPr>
          </w:p>
        </w:tc>
        <w:tc>
          <w:tcPr>
            <w:tcW w:w="797" w:type="dxa"/>
            <w:vMerge w:val="restart"/>
            <w:tcBorders>
              <w:tl2br w:val="nil"/>
              <w:tr2bl w:val="nil"/>
            </w:tcBorders>
            <w:vAlign w:val="center"/>
          </w:tcPr>
          <w:p w14:paraId="1B54BDBE">
            <w:pPr>
              <w:widowControl/>
              <w:jc w:val="center"/>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浆果和其他小型水果</w:t>
            </w:r>
          </w:p>
        </w:tc>
        <w:tc>
          <w:tcPr>
            <w:tcW w:w="953" w:type="dxa"/>
            <w:tcBorders>
              <w:tl2br w:val="nil"/>
              <w:tr2bl w:val="nil"/>
            </w:tcBorders>
            <w:vAlign w:val="center"/>
          </w:tcPr>
          <w:p w14:paraId="2BE4343F">
            <w:pPr>
              <w:widowControl/>
              <w:jc w:val="center"/>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猕猴桃</w:t>
            </w:r>
          </w:p>
        </w:tc>
        <w:tc>
          <w:tcPr>
            <w:tcW w:w="1896" w:type="dxa"/>
            <w:tcBorders>
              <w:tl2br w:val="nil"/>
              <w:tr2bl w:val="nil"/>
            </w:tcBorders>
            <w:vAlign w:val="center"/>
          </w:tcPr>
          <w:p w14:paraId="27EA0C77">
            <w:pPr>
              <w:widowControl/>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氯吡脲</w:t>
            </w:r>
          </w:p>
        </w:tc>
        <w:tc>
          <w:tcPr>
            <w:tcW w:w="2956" w:type="dxa"/>
            <w:tcBorders>
              <w:tl2br w:val="nil"/>
              <w:tr2bl w:val="nil"/>
            </w:tcBorders>
            <w:vAlign w:val="center"/>
          </w:tcPr>
          <w:p w14:paraId="6305D382">
            <w:pPr>
              <w:widowControl/>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敌敌畏、多菌灵、氧乐果</w:t>
            </w:r>
          </w:p>
        </w:tc>
      </w:tr>
      <w:tr w14:paraId="1F2BEB6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812" w:hRule="atLeast"/>
        </w:trPr>
        <w:tc>
          <w:tcPr>
            <w:tcW w:w="953" w:type="dxa"/>
            <w:vMerge w:val="continue"/>
            <w:tcBorders>
              <w:tl2br w:val="nil"/>
              <w:tr2bl w:val="nil"/>
            </w:tcBorders>
            <w:vAlign w:val="center"/>
          </w:tcPr>
          <w:p w14:paraId="2D15736B">
            <w:pPr>
              <w:jc w:val="center"/>
              <w:rPr>
                <w:rFonts w:eastAsia="等线"/>
                <w:color w:val="auto"/>
                <w:kern w:val="0"/>
                <w:sz w:val="18"/>
                <w:szCs w:val="18"/>
                <w:highlight w:val="none"/>
              </w:rPr>
            </w:pPr>
          </w:p>
        </w:tc>
        <w:tc>
          <w:tcPr>
            <w:tcW w:w="796" w:type="dxa"/>
            <w:vMerge w:val="continue"/>
            <w:tcBorders>
              <w:tl2br w:val="nil"/>
              <w:tr2bl w:val="nil"/>
            </w:tcBorders>
            <w:vAlign w:val="center"/>
          </w:tcPr>
          <w:p w14:paraId="0C5BECB4">
            <w:pPr>
              <w:jc w:val="center"/>
              <w:rPr>
                <w:rFonts w:ascii="宋体" w:hAnsi="宋体" w:cs="宋体"/>
                <w:color w:val="auto"/>
                <w:kern w:val="0"/>
                <w:sz w:val="18"/>
                <w:szCs w:val="18"/>
                <w:highlight w:val="none"/>
              </w:rPr>
            </w:pPr>
          </w:p>
        </w:tc>
        <w:tc>
          <w:tcPr>
            <w:tcW w:w="797" w:type="dxa"/>
            <w:vMerge w:val="continue"/>
            <w:tcBorders>
              <w:tl2br w:val="nil"/>
              <w:tr2bl w:val="nil"/>
            </w:tcBorders>
            <w:vAlign w:val="center"/>
          </w:tcPr>
          <w:p w14:paraId="2553CAAC">
            <w:pPr>
              <w:jc w:val="center"/>
              <w:rPr>
                <w:rFonts w:ascii="宋体" w:hAnsi="宋体" w:cs="宋体"/>
                <w:color w:val="auto"/>
                <w:kern w:val="0"/>
                <w:sz w:val="18"/>
                <w:szCs w:val="18"/>
                <w:highlight w:val="none"/>
              </w:rPr>
            </w:pPr>
          </w:p>
        </w:tc>
        <w:tc>
          <w:tcPr>
            <w:tcW w:w="797" w:type="dxa"/>
            <w:vMerge w:val="continue"/>
            <w:tcBorders>
              <w:tl2br w:val="nil"/>
              <w:tr2bl w:val="nil"/>
            </w:tcBorders>
            <w:vAlign w:val="center"/>
          </w:tcPr>
          <w:p w14:paraId="313518DB">
            <w:pPr>
              <w:jc w:val="center"/>
              <w:rPr>
                <w:rFonts w:ascii="宋体" w:hAnsi="宋体" w:cs="宋体"/>
                <w:color w:val="auto"/>
                <w:kern w:val="0"/>
                <w:sz w:val="18"/>
                <w:szCs w:val="18"/>
                <w:highlight w:val="none"/>
              </w:rPr>
            </w:pPr>
          </w:p>
        </w:tc>
        <w:tc>
          <w:tcPr>
            <w:tcW w:w="953" w:type="dxa"/>
            <w:tcBorders>
              <w:tl2br w:val="nil"/>
              <w:tr2bl w:val="nil"/>
            </w:tcBorders>
            <w:vAlign w:val="center"/>
          </w:tcPr>
          <w:p w14:paraId="12612E9C">
            <w:pPr>
              <w:widowControl/>
              <w:jc w:val="center"/>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桑葚</w:t>
            </w:r>
          </w:p>
        </w:tc>
        <w:tc>
          <w:tcPr>
            <w:tcW w:w="1896" w:type="dxa"/>
            <w:tcBorders>
              <w:tl2br w:val="nil"/>
              <w:tr2bl w:val="nil"/>
            </w:tcBorders>
            <w:vAlign w:val="center"/>
          </w:tcPr>
          <w:p w14:paraId="6CAC2571">
            <w:pPr>
              <w:widowControl/>
              <w:jc w:val="left"/>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脱氢乙酸及其钠盐（以脱氢乙酸计）、甜蜜素（以环己基氨基磺酸计）</w:t>
            </w:r>
          </w:p>
        </w:tc>
        <w:tc>
          <w:tcPr>
            <w:tcW w:w="2956" w:type="dxa"/>
            <w:tcBorders>
              <w:tl2br w:val="nil"/>
              <w:tr2bl w:val="nil"/>
            </w:tcBorders>
            <w:vAlign w:val="center"/>
          </w:tcPr>
          <w:p w14:paraId="1908E696">
            <w:pPr>
              <w:widowControl/>
              <w:jc w:val="left"/>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苯甲酸及其钠盐（以苯甲酸计）、山梨酸及其钾盐（以山梨酸计）、糖精钠（以糖精计）、三氯蔗糖、多菌灵</w:t>
            </w:r>
          </w:p>
        </w:tc>
      </w:tr>
      <w:tr w14:paraId="0F8C174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79" w:hRule="atLeast"/>
        </w:trPr>
        <w:tc>
          <w:tcPr>
            <w:tcW w:w="953" w:type="dxa"/>
            <w:vMerge w:val="continue"/>
            <w:tcBorders>
              <w:tl2br w:val="nil"/>
              <w:tr2bl w:val="nil"/>
            </w:tcBorders>
            <w:vAlign w:val="center"/>
          </w:tcPr>
          <w:p w14:paraId="2921C8CC">
            <w:pPr>
              <w:jc w:val="center"/>
              <w:rPr>
                <w:rFonts w:eastAsia="等线"/>
                <w:color w:val="auto"/>
                <w:kern w:val="0"/>
                <w:sz w:val="18"/>
                <w:szCs w:val="18"/>
                <w:highlight w:val="none"/>
              </w:rPr>
            </w:pPr>
          </w:p>
        </w:tc>
        <w:tc>
          <w:tcPr>
            <w:tcW w:w="796" w:type="dxa"/>
            <w:vMerge w:val="continue"/>
            <w:tcBorders>
              <w:tl2br w:val="nil"/>
              <w:tr2bl w:val="nil"/>
            </w:tcBorders>
            <w:vAlign w:val="center"/>
          </w:tcPr>
          <w:p w14:paraId="5294B14E">
            <w:pPr>
              <w:jc w:val="center"/>
              <w:rPr>
                <w:rFonts w:ascii="宋体" w:hAnsi="宋体" w:cs="宋体"/>
                <w:color w:val="auto"/>
                <w:kern w:val="0"/>
                <w:sz w:val="18"/>
                <w:szCs w:val="18"/>
                <w:highlight w:val="none"/>
              </w:rPr>
            </w:pPr>
          </w:p>
        </w:tc>
        <w:tc>
          <w:tcPr>
            <w:tcW w:w="797" w:type="dxa"/>
            <w:vMerge w:val="continue"/>
            <w:tcBorders>
              <w:tl2br w:val="nil"/>
              <w:tr2bl w:val="nil"/>
            </w:tcBorders>
            <w:vAlign w:val="center"/>
          </w:tcPr>
          <w:p w14:paraId="15056000">
            <w:pPr>
              <w:jc w:val="center"/>
              <w:rPr>
                <w:rFonts w:ascii="宋体" w:hAnsi="宋体" w:cs="宋体"/>
                <w:color w:val="auto"/>
                <w:kern w:val="0"/>
                <w:sz w:val="18"/>
                <w:szCs w:val="18"/>
                <w:highlight w:val="none"/>
              </w:rPr>
            </w:pPr>
          </w:p>
        </w:tc>
        <w:tc>
          <w:tcPr>
            <w:tcW w:w="797" w:type="dxa"/>
            <w:vMerge w:val="continue"/>
            <w:tcBorders>
              <w:tl2br w:val="nil"/>
              <w:tr2bl w:val="nil"/>
            </w:tcBorders>
            <w:vAlign w:val="center"/>
          </w:tcPr>
          <w:p w14:paraId="5118EAB3">
            <w:pPr>
              <w:jc w:val="center"/>
              <w:rPr>
                <w:rFonts w:ascii="宋体" w:hAnsi="宋体" w:cs="宋体"/>
                <w:color w:val="auto"/>
                <w:kern w:val="0"/>
                <w:sz w:val="18"/>
                <w:szCs w:val="18"/>
                <w:highlight w:val="none"/>
              </w:rPr>
            </w:pPr>
          </w:p>
        </w:tc>
        <w:tc>
          <w:tcPr>
            <w:tcW w:w="953" w:type="dxa"/>
            <w:tcBorders>
              <w:tl2br w:val="nil"/>
              <w:tr2bl w:val="nil"/>
            </w:tcBorders>
            <w:vAlign w:val="center"/>
          </w:tcPr>
          <w:p w14:paraId="06D45242">
            <w:pPr>
              <w:widowControl/>
              <w:jc w:val="center"/>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蓝莓</w:t>
            </w:r>
          </w:p>
        </w:tc>
        <w:tc>
          <w:tcPr>
            <w:tcW w:w="1896" w:type="dxa"/>
            <w:tcBorders>
              <w:tl2br w:val="nil"/>
              <w:tr2bl w:val="nil"/>
            </w:tcBorders>
            <w:vAlign w:val="center"/>
          </w:tcPr>
          <w:p w14:paraId="42A4A486">
            <w:pPr>
              <w:widowControl/>
              <w:jc w:val="left"/>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脱氢乙酸及其钠盐(以脱氢乙酸计)、甲胺磷、乐果</w:t>
            </w:r>
          </w:p>
        </w:tc>
        <w:tc>
          <w:tcPr>
            <w:tcW w:w="2956" w:type="dxa"/>
            <w:tcBorders>
              <w:tl2br w:val="nil"/>
              <w:tr2bl w:val="nil"/>
            </w:tcBorders>
            <w:vAlign w:val="center"/>
          </w:tcPr>
          <w:p w14:paraId="2E18A6D1">
            <w:pPr>
              <w:widowControl/>
              <w:jc w:val="left"/>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三氯蔗糖、糖精钠(以糖精计)、联苯菊酯、甲拌磷、甲拌磷</w:t>
            </w:r>
          </w:p>
        </w:tc>
      </w:tr>
      <w:tr w14:paraId="3C7A25C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812" w:hRule="atLeast"/>
        </w:trPr>
        <w:tc>
          <w:tcPr>
            <w:tcW w:w="953" w:type="dxa"/>
            <w:vMerge w:val="continue"/>
            <w:tcBorders>
              <w:tl2br w:val="nil"/>
              <w:tr2bl w:val="nil"/>
            </w:tcBorders>
            <w:vAlign w:val="center"/>
          </w:tcPr>
          <w:p w14:paraId="0B8DC3BC">
            <w:pPr>
              <w:jc w:val="center"/>
              <w:rPr>
                <w:rFonts w:eastAsia="等线"/>
                <w:color w:val="auto"/>
                <w:kern w:val="0"/>
                <w:sz w:val="18"/>
                <w:szCs w:val="18"/>
                <w:highlight w:val="none"/>
              </w:rPr>
            </w:pPr>
          </w:p>
        </w:tc>
        <w:tc>
          <w:tcPr>
            <w:tcW w:w="796" w:type="dxa"/>
            <w:vMerge w:val="continue"/>
            <w:tcBorders>
              <w:tl2br w:val="nil"/>
              <w:tr2bl w:val="nil"/>
            </w:tcBorders>
            <w:vAlign w:val="center"/>
          </w:tcPr>
          <w:p w14:paraId="38F43BEB">
            <w:pPr>
              <w:jc w:val="center"/>
              <w:rPr>
                <w:rFonts w:ascii="宋体" w:hAnsi="宋体" w:cs="宋体"/>
                <w:color w:val="auto"/>
                <w:kern w:val="0"/>
                <w:sz w:val="18"/>
                <w:szCs w:val="18"/>
                <w:highlight w:val="none"/>
              </w:rPr>
            </w:pPr>
          </w:p>
        </w:tc>
        <w:tc>
          <w:tcPr>
            <w:tcW w:w="797" w:type="dxa"/>
            <w:vMerge w:val="continue"/>
            <w:tcBorders>
              <w:tl2br w:val="nil"/>
              <w:tr2bl w:val="nil"/>
            </w:tcBorders>
            <w:vAlign w:val="center"/>
          </w:tcPr>
          <w:p w14:paraId="29FB32E5">
            <w:pPr>
              <w:jc w:val="center"/>
              <w:rPr>
                <w:rFonts w:ascii="宋体" w:hAnsi="宋体" w:cs="宋体"/>
                <w:color w:val="auto"/>
                <w:kern w:val="0"/>
                <w:sz w:val="18"/>
                <w:szCs w:val="18"/>
                <w:highlight w:val="none"/>
              </w:rPr>
            </w:pPr>
          </w:p>
        </w:tc>
        <w:tc>
          <w:tcPr>
            <w:tcW w:w="797" w:type="dxa"/>
            <w:vMerge w:val="restart"/>
            <w:tcBorders>
              <w:tl2br w:val="nil"/>
              <w:tr2bl w:val="nil"/>
            </w:tcBorders>
            <w:vAlign w:val="center"/>
          </w:tcPr>
          <w:p w14:paraId="70FECDAB">
            <w:pPr>
              <w:widowControl/>
              <w:jc w:val="center"/>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热带和亚热带水果</w:t>
            </w:r>
          </w:p>
        </w:tc>
        <w:tc>
          <w:tcPr>
            <w:tcW w:w="953" w:type="dxa"/>
            <w:tcBorders>
              <w:tl2br w:val="nil"/>
              <w:tr2bl w:val="nil"/>
            </w:tcBorders>
            <w:vAlign w:val="center"/>
          </w:tcPr>
          <w:p w14:paraId="64968EAE">
            <w:pPr>
              <w:widowControl/>
              <w:jc w:val="center"/>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香蕉</w:t>
            </w:r>
          </w:p>
        </w:tc>
        <w:tc>
          <w:tcPr>
            <w:tcW w:w="1896" w:type="dxa"/>
            <w:tcBorders>
              <w:tl2br w:val="nil"/>
              <w:tr2bl w:val="nil"/>
            </w:tcBorders>
            <w:vAlign w:val="center"/>
          </w:tcPr>
          <w:p w14:paraId="6F1F527B">
            <w:pPr>
              <w:widowControl/>
              <w:jc w:val="left"/>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吡虫啉、噻虫胺、噻虫嗪、腈苯唑</w:t>
            </w:r>
          </w:p>
        </w:tc>
        <w:tc>
          <w:tcPr>
            <w:tcW w:w="2956" w:type="dxa"/>
            <w:tcBorders>
              <w:tl2br w:val="nil"/>
              <w:tr2bl w:val="nil"/>
            </w:tcBorders>
            <w:vAlign w:val="center"/>
          </w:tcPr>
          <w:p w14:paraId="6F01842E">
            <w:pPr>
              <w:widowControl/>
              <w:jc w:val="left"/>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苯醚甲环唑、吡唑醚菌酯、多菌灵、氟虫腈、甲拌磷、联苯菊酯、烯唑醇、百菌清、噻唑膦、氟唑菌酰胺</w:t>
            </w:r>
          </w:p>
        </w:tc>
      </w:tr>
      <w:tr w14:paraId="28B7697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10" w:hRule="atLeast"/>
        </w:trPr>
        <w:tc>
          <w:tcPr>
            <w:tcW w:w="953" w:type="dxa"/>
            <w:vMerge w:val="continue"/>
            <w:tcBorders>
              <w:tl2br w:val="nil"/>
              <w:tr2bl w:val="nil"/>
            </w:tcBorders>
            <w:vAlign w:val="center"/>
          </w:tcPr>
          <w:p w14:paraId="3783EB30">
            <w:pPr>
              <w:jc w:val="center"/>
              <w:rPr>
                <w:rFonts w:eastAsia="等线"/>
                <w:color w:val="auto"/>
                <w:kern w:val="0"/>
                <w:sz w:val="18"/>
                <w:szCs w:val="18"/>
                <w:highlight w:val="none"/>
              </w:rPr>
            </w:pPr>
          </w:p>
        </w:tc>
        <w:tc>
          <w:tcPr>
            <w:tcW w:w="796" w:type="dxa"/>
            <w:vMerge w:val="continue"/>
            <w:tcBorders>
              <w:tl2br w:val="nil"/>
              <w:tr2bl w:val="nil"/>
            </w:tcBorders>
            <w:vAlign w:val="center"/>
          </w:tcPr>
          <w:p w14:paraId="242A49E0">
            <w:pPr>
              <w:jc w:val="center"/>
              <w:rPr>
                <w:rFonts w:ascii="宋体" w:hAnsi="宋体" w:cs="宋体"/>
                <w:color w:val="auto"/>
                <w:kern w:val="0"/>
                <w:sz w:val="18"/>
                <w:szCs w:val="18"/>
                <w:highlight w:val="none"/>
              </w:rPr>
            </w:pPr>
          </w:p>
        </w:tc>
        <w:tc>
          <w:tcPr>
            <w:tcW w:w="797" w:type="dxa"/>
            <w:vMerge w:val="continue"/>
            <w:tcBorders>
              <w:tl2br w:val="nil"/>
              <w:tr2bl w:val="nil"/>
            </w:tcBorders>
            <w:vAlign w:val="center"/>
          </w:tcPr>
          <w:p w14:paraId="7F2E6C5D">
            <w:pPr>
              <w:jc w:val="center"/>
              <w:rPr>
                <w:rFonts w:ascii="宋体" w:hAnsi="宋体" w:cs="宋体"/>
                <w:color w:val="auto"/>
                <w:kern w:val="0"/>
                <w:sz w:val="18"/>
                <w:szCs w:val="18"/>
                <w:highlight w:val="none"/>
              </w:rPr>
            </w:pPr>
          </w:p>
        </w:tc>
        <w:tc>
          <w:tcPr>
            <w:tcW w:w="797" w:type="dxa"/>
            <w:vMerge w:val="continue"/>
            <w:tcBorders>
              <w:tl2br w:val="nil"/>
              <w:tr2bl w:val="nil"/>
            </w:tcBorders>
            <w:vAlign w:val="center"/>
          </w:tcPr>
          <w:p w14:paraId="447B2DE0">
            <w:pPr>
              <w:jc w:val="center"/>
              <w:rPr>
                <w:rFonts w:ascii="宋体" w:hAnsi="宋体" w:cs="宋体"/>
                <w:color w:val="auto"/>
                <w:kern w:val="0"/>
                <w:sz w:val="18"/>
                <w:szCs w:val="18"/>
                <w:highlight w:val="none"/>
              </w:rPr>
            </w:pPr>
          </w:p>
        </w:tc>
        <w:tc>
          <w:tcPr>
            <w:tcW w:w="953" w:type="dxa"/>
            <w:tcBorders>
              <w:tl2br w:val="nil"/>
              <w:tr2bl w:val="nil"/>
            </w:tcBorders>
            <w:vAlign w:val="center"/>
          </w:tcPr>
          <w:p w14:paraId="7466C151">
            <w:pPr>
              <w:widowControl/>
              <w:jc w:val="center"/>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芒果</w:t>
            </w:r>
          </w:p>
        </w:tc>
        <w:tc>
          <w:tcPr>
            <w:tcW w:w="1896" w:type="dxa"/>
            <w:tcBorders>
              <w:tl2br w:val="nil"/>
              <w:tr2bl w:val="nil"/>
            </w:tcBorders>
            <w:vAlign w:val="center"/>
          </w:tcPr>
          <w:p w14:paraId="7E1F6431">
            <w:pPr>
              <w:widowControl/>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吡唑醚菌酯、戊唑醇、噻虫胺</w:t>
            </w:r>
          </w:p>
        </w:tc>
        <w:tc>
          <w:tcPr>
            <w:tcW w:w="2956" w:type="dxa"/>
            <w:tcBorders>
              <w:tl2br w:val="nil"/>
              <w:tr2bl w:val="nil"/>
            </w:tcBorders>
            <w:vAlign w:val="center"/>
          </w:tcPr>
          <w:p w14:paraId="48019A81">
            <w:pPr>
              <w:widowControl/>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苯醚甲环唑、氧乐果、乙酰甲胺磷、吡虫啉、噻虫嗪、噻嗪酮</w:t>
            </w:r>
          </w:p>
        </w:tc>
      </w:tr>
      <w:tr w14:paraId="3DBFB3D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348" w:hRule="atLeast"/>
        </w:trPr>
        <w:tc>
          <w:tcPr>
            <w:tcW w:w="953" w:type="dxa"/>
            <w:vMerge w:val="continue"/>
            <w:tcBorders>
              <w:tl2br w:val="nil"/>
              <w:tr2bl w:val="nil"/>
            </w:tcBorders>
            <w:vAlign w:val="center"/>
          </w:tcPr>
          <w:p w14:paraId="5D5A1141">
            <w:pPr>
              <w:jc w:val="center"/>
              <w:rPr>
                <w:rFonts w:eastAsia="等线"/>
                <w:color w:val="auto"/>
                <w:kern w:val="0"/>
                <w:sz w:val="18"/>
                <w:szCs w:val="18"/>
                <w:highlight w:val="none"/>
              </w:rPr>
            </w:pPr>
          </w:p>
        </w:tc>
        <w:tc>
          <w:tcPr>
            <w:tcW w:w="796" w:type="dxa"/>
            <w:vMerge w:val="continue"/>
            <w:tcBorders>
              <w:tl2br w:val="nil"/>
              <w:tr2bl w:val="nil"/>
            </w:tcBorders>
            <w:vAlign w:val="center"/>
          </w:tcPr>
          <w:p w14:paraId="290F7EFF">
            <w:pPr>
              <w:jc w:val="center"/>
              <w:rPr>
                <w:rFonts w:ascii="宋体" w:hAnsi="宋体" w:cs="宋体"/>
                <w:color w:val="auto"/>
                <w:kern w:val="0"/>
                <w:sz w:val="18"/>
                <w:szCs w:val="18"/>
                <w:highlight w:val="none"/>
              </w:rPr>
            </w:pPr>
          </w:p>
        </w:tc>
        <w:tc>
          <w:tcPr>
            <w:tcW w:w="797" w:type="dxa"/>
            <w:vMerge w:val="continue"/>
            <w:tcBorders>
              <w:tl2br w:val="nil"/>
              <w:tr2bl w:val="nil"/>
            </w:tcBorders>
            <w:vAlign w:val="center"/>
          </w:tcPr>
          <w:p w14:paraId="46E6F031">
            <w:pPr>
              <w:jc w:val="center"/>
              <w:rPr>
                <w:rFonts w:ascii="宋体" w:hAnsi="宋体" w:cs="宋体"/>
                <w:color w:val="auto"/>
                <w:kern w:val="0"/>
                <w:sz w:val="18"/>
                <w:szCs w:val="18"/>
                <w:highlight w:val="none"/>
              </w:rPr>
            </w:pPr>
          </w:p>
        </w:tc>
        <w:tc>
          <w:tcPr>
            <w:tcW w:w="797" w:type="dxa"/>
            <w:vMerge w:val="continue"/>
            <w:tcBorders>
              <w:tl2br w:val="nil"/>
              <w:tr2bl w:val="nil"/>
            </w:tcBorders>
            <w:vAlign w:val="center"/>
          </w:tcPr>
          <w:p w14:paraId="7902CD64">
            <w:pPr>
              <w:jc w:val="center"/>
              <w:rPr>
                <w:rFonts w:ascii="宋体" w:hAnsi="宋体" w:cs="宋体"/>
                <w:color w:val="auto"/>
                <w:kern w:val="0"/>
                <w:sz w:val="18"/>
                <w:szCs w:val="18"/>
                <w:highlight w:val="none"/>
              </w:rPr>
            </w:pPr>
          </w:p>
        </w:tc>
        <w:tc>
          <w:tcPr>
            <w:tcW w:w="953" w:type="dxa"/>
            <w:tcBorders>
              <w:tl2br w:val="nil"/>
              <w:tr2bl w:val="nil"/>
            </w:tcBorders>
            <w:vAlign w:val="center"/>
          </w:tcPr>
          <w:p w14:paraId="0FF6E2BC">
            <w:pPr>
              <w:widowControl/>
              <w:jc w:val="center"/>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火龙果</w:t>
            </w:r>
          </w:p>
        </w:tc>
        <w:tc>
          <w:tcPr>
            <w:tcW w:w="1896" w:type="dxa"/>
            <w:tcBorders>
              <w:tl2br w:val="nil"/>
              <w:tr2bl w:val="nil"/>
            </w:tcBorders>
            <w:vAlign w:val="center"/>
          </w:tcPr>
          <w:p w14:paraId="700040E2">
            <w:pPr>
              <w:widowControl/>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乙酰甲胺磷、甲胺磷、克百威</w:t>
            </w:r>
          </w:p>
        </w:tc>
        <w:tc>
          <w:tcPr>
            <w:tcW w:w="2956" w:type="dxa"/>
            <w:tcBorders>
              <w:tl2br w:val="nil"/>
              <w:tr2bl w:val="nil"/>
            </w:tcBorders>
            <w:vAlign w:val="center"/>
          </w:tcPr>
          <w:p w14:paraId="3A8EEE7F">
            <w:pPr>
              <w:widowControl/>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氟虫腈、氧乐果</w:t>
            </w:r>
          </w:p>
        </w:tc>
      </w:tr>
      <w:tr w14:paraId="30DB731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616" w:hRule="atLeast"/>
        </w:trPr>
        <w:tc>
          <w:tcPr>
            <w:tcW w:w="953" w:type="dxa"/>
            <w:vMerge w:val="continue"/>
            <w:tcBorders>
              <w:tl2br w:val="nil"/>
              <w:tr2bl w:val="nil"/>
            </w:tcBorders>
            <w:vAlign w:val="center"/>
          </w:tcPr>
          <w:p w14:paraId="5115376B">
            <w:pPr>
              <w:jc w:val="center"/>
              <w:rPr>
                <w:rFonts w:eastAsia="等线"/>
                <w:color w:val="auto"/>
                <w:kern w:val="0"/>
                <w:sz w:val="18"/>
                <w:szCs w:val="18"/>
                <w:highlight w:val="none"/>
              </w:rPr>
            </w:pPr>
          </w:p>
        </w:tc>
        <w:tc>
          <w:tcPr>
            <w:tcW w:w="796" w:type="dxa"/>
            <w:vMerge w:val="continue"/>
            <w:tcBorders>
              <w:tl2br w:val="nil"/>
              <w:tr2bl w:val="nil"/>
            </w:tcBorders>
            <w:vAlign w:val="center"/>
          </w:tcPr>
          <w:p w14:paraId="7302EF38">
            <w:pPr>
              <w:jc w:val="center"/>
              <w:rPr>
                <w:rFonts w:ascii="宋体" w:hAnsi="宋体" w:cs="宋体"/>
                <w:color w:val="auto"/>
                <w:kern w:val="0"/>
                <w:sz w:val="18"/>
                <w:szCs w:val="18"/>
                <w:highlight w:val="none"/>
              </w:rPr>
            </w:pPr>
          </w:p>
        </w:tc>
        <w:tc>
          <w:tcPr>
            <w:tcW w:w="797" w:type="dxa"/>
            <w:vMerge w:val="continue"/>
            <w:tcBorders>
              <w:tl2br w:val="nil"/>
              <w:tr2bl w:val="nil"/>
            </w:tcBorders>
            <w:vAlign w:val="center"/>
          </w:tcPr>
          <w:p w14:paraId="21D757C1">
            <w:pPr>
              <w:jc w:val="center"/>
              <w:rPr>
                <w:rFonts w:ascii="宋体" w:hAnsi="宋体" w:cs="宋体"/>
                <w:color w:val="auto"/>
                <w:kern w:val="0"/>
                <w:sz w:val="18"/>
                <w:szCs w:val="18"/>
                <w:highlight w:val="none"/>
              </w:rPr>
            </w:pPr>
          </w:p>
        </w:tc>
        <w:tc>
          <w:tcPr>
            <w:tcW w:w="797" w:type="dxa"/>
            <w:vMerge w:val="continue"/>
            <w:tcBorders>
              <w:tl2br w:val="nil"/>
              <w:tr2bl w:val="nil"/>
            </w:tcBorders>
            <w:vAlign w:val="center"/>
          </w:tcPr>
          <w:p w14:paraId="71363FC6">
            <w:pPr>
              <w:jc w:val="center"/>
              <w:rPr>
                <w:rFonts w:ascii="宋体" w:hAnsi="宋体" w:cs="宋体"/>
                <w:color w:val="auto"/>
                <w:kern w:val="0"/>
                <w:sz w:val="18"/>
                <w:szCs w:val="18"/>
                <w:highlight w:val="none"/>
              </w:rPr>
            </w:pPr>
          </w:p>
        </w:tc>
        <w:tc>
          <w:tcPr>
            <w:tcW w:w="953" w:type="dxa"/>
            <w:tcBorders>
              <w:tl2br w:val="nil"/>
              <w:tr2bl w:val="nil"/>
            </w:tcBorders>
            <w:vAlign w:val="center"/>
          </w:tcPr>
          <w:p w14:paraId="13722C1C">
            <w:pPr>
              <w:widowControl/>
              <w:jc w:val="center"/>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荔枝</w:t>
            </w:r>
          </w:p>
        </w:tc>
        <w:tc>
          <w:tcPr>
            <w:tcW w:w="1896" w:type="dxa"/>
            <w:tcBorders>
              <w:tl2br w:val="nil"/>
              <w:tr2bl w:val="nil"/>
            </w:tcBorders>
            <w:vAlign w:val="center"/>
          </w:tcPr>
          <w:p w14:paraId="0309B1A3">
            <w:pPr>
              <w:widowControl/>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氯氟氰菊酯和高效氯氟氰菊酯、吡唑醚菌酯、除虫脲</w:t>
            </w:r>
          </w:p>
        </w:tc>
        <w:tc>
          <w:tcPr>
            <w:tcW w:w="2956" w:type="dxa"/>
            <w:tcBorders>
              <w:tl2br w:val="nil"/>
              <w:tr2bl w:val="nil"/>
            </w:tcBorders>
            <w:vAlign w:val="center"/>
          </w:tcPr>
          <w:p w14:paraId="039E28AB">
            <w:pPr>
              <w:widowControl/>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多菌灵、氧乐果、毒死蜱、苯醚甲环唑、氯氰菊酯和高效氯氰菊酯、氰霜唑、氟吗啉、咪鲜胺和咪鲜胺锰盐、乐果</w:t>
            </w:r>
          </w:p>
        </w:tc>
      </w:tr>
      <w:tr w14:paraId="4413C2B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44" w:hRule="atLeast"/>
        </w:trPr>
        <w:tc>
          <w:tcPr>
            <w:tcW w:w="953" w:type="dxa"/>
            <w:vMerge w:val="continue"/>
            <w:tcBorders>
              <w:tl2br w:val="nil"/>
              <w:tr2bl w:val="nil"/>
            </w:tcBorders>
            <w:vAlign w:val="center"/>
          </w:tcPr>
          <w:p w14:paraId="51E8124C">
            <w:pPr>
              <w:jc w:val="center"/>
              <w:rPr>
                <w:rFonts w:eastAsia="等线"/>
                <w:color w:val="auto"/>
                <w:kern w:val="0"/>
                <w:sz w:val="18"/>
                <w:szCs w:val="18"/>
                <w:highlight w:val="none"/>
              </w:rPr>
            </w:pPr>
          </w:p>
        </w:tc>
        <w:tc>
          <w:tcPr>
            <w:tcW w:w="796" w:type="dxa"/>
            <w:vMerge w:val="continue"/>
            <w:tcBorders>
              <w:tl2br w:val="nil"/>
              <w:tr2bl w:val="nil"/>
            </w:tcBorders>
            <w:vAlign w:val="center"/>
          </w:tcPr>
          <w:p w14:paraId="547EF757">
            <w:pPr>
              <w:jc w:val="center"/>
              <w:rPr>
                <w:rFonts w:ascii="宋体" w:hAnsi="宋体" w:cs="宋体"/>
                <w:color w:val="auto"/>
                <w:kern w:val="0"/>
                <w:sz w:val="18"/>
                <w:szCs w:val="18"/>
                <w:highlight w:val="none"/>
              </w:rPr>
            </w:pPr>
          </w:p>
        </w:tc>
        <w:tc>
          <w:tcPr>
            <w:tcW w:w="797" w:type="dxa"/>
            <w:vMerge w:val="continue"/>
            <w:tcBorders>
              <w:tl2br w:val="nil"/>
              <w:tr2bl w:val="nil"/>
            </w:tcBorders>
            <w:vAlign w:val="center"/>
          </w:tcPr>
          <w:p w14:paraId="2140E971">
            <w:pPr>
              <w:jc w:val="center"/>
              <w:rPr>
                <w:rFonts w:ascii="宋体" w:hAnsi="宋体" w:cs="宋体"/>
                <w:color w:val="auto"/>
                <w:kern w:val="0"/>
                <w:sz w:val="18"/>
                <w:szCs w:val="18"/>
                <w:highlight w:val="none"/>
              </w:rPr>
            </w:pPr>
          </w:p>
        </w:tc>
        <w:tc>
          <w:tcPr>
            <w:tcW w:w="797" w:type="dxa"/>
            <w:vMerge w:val="continue"/>
            <w:tcBorders>
              <w:tl2br w:val="nil"/>
              <w:tr2bl w:val="nil"/>
            </w:tcBorders>
            <w:vAlign w:val="center"/>
          </w:tcPr>
          <w:p w14:paraId="7E65A34B">
            <w:pPr>
              <w:jc w:val="center"/>
              <w:rPr>
                <w:rFonts w:ascii="宋体" w:hAnsi="宋体" w:cs="宋体"/>
                <w:color w:val="auto"/>
                <w:kern w:val="0"/>
                <w:sz w:val="18"/>
                <w:szCs w:val="18"/>
                <w:highlight w:val="none"/>
              </w:rPr>
            </w:pPr>
          </w:p>
        </w:tc>
        <w:tc>
          <w:tcPr>
            <w:tcW w:w="953" w:type="dxa"/>
            <w:tcBorders>
              <w:tl2br w:val="nil"/>
              <w:tr2bl w:val="nil"/>
            </w:tcBorders>
            <w:vAlign w:val="center"/>
          </w:tcPr>
          <w:p w14:paraId="7FEAC90B">
            <w:pPr>
              <w:widowControl/>
              <w:jc w:val="center"/>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杨梅</w:t>
            </w:r>
          </w:p>
        </w:tc>
        <w:tc>
          <w:tcPr>
            <w:tcW w:w="1896" w:type="dxa"/>
            <w:tcBorders>
              <w:tl2br w:val="nil"/>
              <w:tr2bl w:val="nil"/>
            </w:tcBorders>
            <w:vAlign w:val="center"/>
          </w:tcPr>
          <w:p w14:paraId="009965F6">
            <w:pPr>
              <w:widowControl/>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脱氢乙酸及其钠盐（以脱氢乙酸计）、甜蜜素（以环己基氨基磺酸计）</w:t>
            </w:r>
          </w:p>
        </w:tc>
        <w:tc>
          <w:tcPr>
            <w:tcW w:w="2956" w:type="dxa"/>
            <w:tcBorders>
              <w:tl2br w:val="nil"/>
              <w:tr2bl w:val="nil"/>
            </w:tcBorders>
            <w:vAlign w:val="center"/>
          </w:tcPr>
          <w:p w14:paraId="56EBCF39">
            <w:pPr>
              <w:widowControl/>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苯甲酸及其钠盐（以苯甲酸计）、山梨酸及其钾盐（以山梨酸计）、糖精钠（以糖精计）、三氯蔗糖、敌敌畏、氧乐果、啶虫脒</w:t>
            </w:r>
          </w:p>
        </w:tc>
      </w:tr>
      <w:tr w14:paraId="264FD0B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812" w:hRule="atLeast"/>
        </w:trPr>
        <w:tc>
          <w:tcPr>
            <w:tcW w:w="953" w:type="dxa"/>
            <w:vMerge w:val="continue"/>
            <w:tcBorders>
              <w:tl2br w:val="nil"/>
              <w:tr2bl w:val="nil"/>
            </w:tcBorders>
            <w:vAlign w:val="center"/>
          </w:tcPr>
          <w:p w14:paraId="364E54C7">
            <w:pPr>
              <w:jc w:val="center"/>
              <w:rPr>
                <w:rFonts w:eastAsia="等线"/>
                <w:color w:val="auto"/>
                <w:kern w:val="0"/>
                <w:sz w:val="18"/>
                <w:szCs w:val="18"/>
                <w:highlight w:val="none"/>
              </w:rPr>
            </w:pPr>
          </w:p>
        </w:tc>
        <w:tc>
          <w:tcPr>
            <w:tcW w:w="796" w:type="dxa"/>
            <w:vMerge w:val="continue"/>
            <w:tcBorders>
              <w:tl2br w:val="nil"/>
              <w:tr2bl w:val="nil"/>
            </w:tcBorders>
            <w:vAlign w:val="center"/>
          </w:tcPr>
          <w:p w14:paraId="701DBF7F">
            <w:pPr>
              <w:jc w:val="center"/>
              <w:rPr>
                <w:rFonts w:ascii="宋体" w:hAnsi="宋体" w:cs="宋体"/>
                <w:color w:val="auto"/>
                <w:kern w:val="0"/>
                <w:sz w:val="18"/>
                <w:szCs w:val="18"/>
                <w:highlight w:val="none"/>
              </w:rPr>
            </w:pPr>
          </w:p>
        </w:tc>
        <w:tc>
          <w:tcPr>
            <w:tcW w:w="797" w:type="dxa"/>
            <w:vMerge w:val="continue"/>
            <w:tcBorders>
              <w:tl2br w:val="nil"/>
              <w:tr2bl w:val="nil"/>
            </w:tcBorders>
            <w:vAlign w:val="center"/>
          </w:tcPr>
          <w:p w14:paraId="1EC40325">
            <w:pPr>
              <w:jc w:val="center"/>
              <w:rPr>
                <w:rFonts w:ascii="宋体" w:hAnsi="宋体" w:cs="宋体"/>
                <w:color w:val="auto"/>
                <w:kern w:val="0"/>
                <w:sz w:val="18"/>
                <w:szCs w:val="18"/>
                <w:highlight w:val="none"/>
              </w:rPr>
            </w:pPr>
          </w:p>
        </w:tc>
        <w:tc>
          <w:tcPr>
            <w:tcW w:w="797" w:type="dxa"/>
            <w:vMerge w:val="continue"/>
            <w:tcBorders>
              <w:tl2br w:val="nil"/>
              <w:tr2bl w:val="nil"/>
            </w:tcBorders>
            <w:vAlign w:val="center"/>
          </w:tcPr>
          <w:p w14:paraId="7FFC91A9">
            <w:pPr>
              <w:jc w:val="center"/>
              <w:rPr>
                <w:rFonts w:ascii="宋体" w:hAnsi="宋体" w:cs="宋体"/>
                <w:color w:val="auto"/>
                <w:kern w:val="0"/>
                <w:sz w:val="18"/>
                <w:szCs w:val="18"/>
                <w:highlight w:val="none"/>
              </w:rPr>
            </w:pPr>
          </w:p>
        </w:tc>
        <w:tc>
          <w:tcPr>
            <w:tcW w:w="953" w:type="dxa"/>
            <w:tcBorders>
              <w:tl2br w:val="nil"/>
              <w:tr2bl w:val="nil"/>
            </w:tcBorders>
            <w:vAlign w:val="center"/>
          </w:tcPr>
          <w:p w14:paraId="0FFBBDFE">
            <w:pPr>
              <w:widowControl/>
              <w:jc w:val="center"/>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龙眼</w:t>
            </w:r>
          </w:p>
        </w:tc>
        <w:tc>
          <w:tcPr>
            <w:tcW w:w="1896" w:type="dxa"/>
            <w:tcBorders>
              <w:tl2br w:val="nil"/>
              <w:tr2bl w:val="nil"/>
            </w:tcBorders>
            <w:vAlign w:val="center"/>
          </w:tcPr>
          <w:p w14:paraId="52896DB6">
            <w:pPr>
              <w:widowControl/>
              <w:jc w:val="left"/>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二氧化硫残留量</w:t>
            </w:r>
          </w:p>
        </w:tc>
        <w:tc>
          <w:tcPr>
            <w:tcW w:w="2956" w:type="dxa"/>
            <w:tcBorders>
              <w:tl2br w:val="nil"/>
              <w:tr2bl w:val="nil"/>
            </w:tcBorders>
            <w:vAlign w:val="center"/>
          </w:tcPr>
          <w:p w14:paraId="3FC9A7CF">
            <w:pPr>
              <w:widowControl/>
              <w:jc w:val="left"/>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克百威、氯氰菊酯和高效氯氰菊酯、氧乐果</w:t>
            </w:r>
          </w:p>
        </w:tc>
      </w:tr>
      <w:tr w14:paraId="293C7B1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79" w:hRule="atLeast"/>
        </w:trPr>
        <w:tc>
          <w:tcPr>
            <w:tcW w:w="953" w:type="dxa"/>
            <w:vMerge w:val="continue"/>
            <w:tcBorders>
              <w:tl2br w:val="nil"/>
              <w:tr2bl w:val="nil"/>
            </w:tcBorders>
            <w:vAlign w:val="center"/>
          </w:tcPr>
          <w:p w14:paraId="3AB978C3">
            <w:pPr>
              <w:jc w:val="center"/>
              <w:rPr>
                <w:rFonts w:eastAsia="等线"/>
                <w:color w:val="auto"/>
                <w:kern w:val="0"/>
                <w:sz w:val="18"/>
                <w:szCs w:val="18"/>
                <w:highlight w:val="none"/>
              </w:rPr>
            </w:pPr>
          </w:p>
        </w:tc>
        <w:tc>
          <w:tcPr>
            <w:tcW w:w="796" w:type="dxa"/>
            <w:vMerge w:val="continue"/>
            <w:tcBorders>
              <w:tl2br w:val="nil"/>
              <w:tr2bl w:val="nil"/>
            </w:tcBorders>
            <w:vAlign w:val="center"/>
          </w:tcPr>
          <w:p w14:paraId="6C9F37CB">
            <w:pPr>
              <w:jc w:val="center"/>
              <w:rPr>
                <w:rFonts w:ascii="宋体" w:hAnsi="宋体" w:cs="宋体"/>
                <w:color w:val="auto"/>
                <w:kern w:val="0"/>
                <w:sz w:val="18"/>
                <w:szCs w:val="18"/>
                <w:highlight w:val="none"/>
              </w:rPr>
            </w:pPr>
          </w:p>
        </w:tc>
        <w:tc>
          <w:tcPr>
            <w:tcW w:w="797" w:type="dxa"/>
            <w:vMerge w:val="continue"/>
            <w:tcBorders>
              <w:tl2br w:val="nil"/>
              <w:tr2bl w:val="nil"/>
            </w:tcBorders>
            <w:vAlign w:val="center"/>
          </w:tcPr>
          <w:p w14:paraId="2C881944">
            <w:pPr>
              <w:jc w:val="center"/>
              <w:rPr>
                <w:rFonts w:ascii="宋体" w:hAnsi="宋体" w:cs="宋体"/>
                <w:color w:val="auto"/>
                <w:kern w:val="0"/>
                <w:sz w:val="18"/>
                <w:szCs w:val="18"/>
                <w:highlight w:val="none"/>
              </w:rPr>
            </w:pPr>
          </w:p>
        </w:tc>
        <w:tc>
          <w:tcPr>
            <w:tcW w:w="797" w:type="dxa"/>
            <w:vMerge w:val="continue"/>
            <w:tcBorders>
              <w:tl2br w:val="nil"/>
              <w:tr2bl w:val="nil"/>
            </w:tcBorders>
            <w:vAlign w:val="center"/>
          </w:tcPr>
          <w:p w14:paraId="5BF633B9">
            <w:pPr>
              <w:jc w:val="center"/>
              <w:rPr>
                <w:rFonts w:ascii="宋体" w:hAnsi="宋体" w:cs="宋体"/>
                <w:color w:val="auto"/>
                <w:kern w:val="0"/>
                <w:sz w:val="18"/>
                <w:szCs w:val="18"/>
                <w:highlight w:val="none"/>
              </w:rPr>
            </w:pPr>
          </w:p>
        </w:tc>
        <w:tc>
          <w:tcPr>
            <w:tcW w:w="953" w:type="dxa"/>
            <w:tcBorders>
              <w:tl2br w:val="nil"/>
              <w:tr2bl w:val="nil"/>
            </w:tcBorders>
            <w:vAlign w:val="center"/>
          </w:tcPr>
          <w:p w14:paraId="0CFCA09C">
            <w:pPr>
              <w:widowControl/>
              <w:jc w:val="center"/>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橄榄</w:t>
            </w:r>
          </w:p>
        </w:tc>
        <w:tc>
          <w:tcPr>
            <w:tcW w:w="1896" w:type="dxa"/>
            <w:tcBorders>
              <w:tl2br w:val="nil"/>
              <w:tr2bl w:val="nil"/>
            </w:tcBorders>
            <w:vAlign w:val="center"/>
          </w:tcPr>
          <w:p w14:paraId="19E843A9">
            <w:pPr>
              <w:widowControl/>
              <w:jc w:val="left"/>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三氯蔗糖、</w:t>
            </w:r>
          </w:p>
        </w:tc>
        <w:tc>
          <w:tcPr>
            <w:tcW w:w="2956" w:type="dxa"/>
            <w:tcBorders>
              <w:tl2br w:val="nil"/>
              <w:tr2bl w:val="nil"/>
            </w:tcBorders>
            <w:vAlign w:val="center"/>
          </w:tcPr>
          <w:p w14:paraId="2E44FA95">
            <w:pPr>
              <w:widowControl/>
              <w:jc w:val="left"/>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糖精钠（以糖精计）、甜蜜素（以环己基氨基磺酸计）、多菌灵</w:t>
            </w:r>
          </w:p>
        </w:tc>
      </w:tr>
      <w:tr w14:paraId="1EEA539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79" w:hRule="atLeast"/>
        </w:trPr>
        <w:tc>
          <w:tcPr>
            <w:tcW w:w="953" w:type="dxa"/>
            <w:vMerge w:val="continue"/>
            <w:tcBorders>
              <w:tl2br w:val="nil"/>
              <w:tr2bl w:val="nil"/>
            </w:tcBorders>
            <w:vAlign w:val="center"/>
          </w:tcPr>
          <w:p w14:paraId="214FDF6E">
            <w:pPr>
              <w:jc w:val="center"/>
              <w:rPr>
                <w:rFonts w:eastAsia="等线"/>
                <w:color w:val="auto"/>
                <w:kern w:val="0"/>
                <w:sz w:val="18"/>
                <w:szCs w:val="18"/>
                <w:highlight w:val="none"/>
              </w:rPr>
            </w:pPr>
          </w:p>
        </w:tc>
        <w:tc>
          <w:tcPr>
            <w:tcW w:w="796" w:type="dxa"/>
            <w:vMerge w:val="continue"/>
            <w:tcBorders>
              <w:tl2br w:val="nil"/>
              <w:tr2bl w:val="nil"/>
            </w:tcBorders>
            <w:vAlign w:val="center"/>
          </w:tcPr>
          <w:p w14:paraId="18628800">
            <w:pPr>
              <w:jc w:val="center"/>
              <w:rPr>
                <w:rFonts w:ascii="宋体" w:hAnsi="宋体" w:cs="宋体"/>
                <w:color w:val="auto"/>
                <w:kern w:val="0"/>
                <w:sz w:val="18"/>
                <w:szCs w:val="18"/>
                <w:highlight w:val="none"/>
              </w:rPr>
            </w:pPr>
          </w:p>
        </w:tc>
        <w:tc>
          <w:tcPr>
            <w:tcW w:w="797" w:type="dxa"/>
            <w:vMerge w:val="continue"/>
            <w:tcBorders>
              <w:tl2br w:val="nil"/>
              <w:tr2bl w:val="nil"/>
            </w:tcBorders>
            <w:vAlign w:val="center"/>
          </w:tcPr>
          <w:p w14:paraId="6C368D72">
            <w:pPr>
              <w:jc w:val="center"/>
              <w:rPr>
                <w:rFonts w:ascii="宋体" w:hAnsi="宋体" w:cs="宋体"/>
                <w:color w:val="auto"/>
                <w:kern w:val="0"/>
                <w:sz w:val="18"/>
                <w:szCs w:val="18"/>
                <w:highlight w:val="none"/>
              </w:rPr>
            </w:pPr>
          </w:p>
        </w:tc>
        <w:tc>
          <w:tcPr>
            <w:tcW w:w="797" w:type="dxa"/>
            <w:vMerge w:val="continue"/>
            <w:tcBorders>
              <w:tl2br w:val="nil"/>
              <w:tr2bl w:val="nil"/>
            </w:tcBorders>
            <w:vAlign w:val="center"/>
          </w:tcPr>
          <w:p w14:paraId="5348C573">
            <w:pPr>
              <w:jc w:val="center"/>
              <w:rPr>
                <w:rFonts w:ascii="宋体" w:hAnsi="宋体" w:cs="宋体"/>
                <w:color w:val="auto"/>
                <w:kern w:val="0"/>
                <w:sz w:val="18"/>
                <w:szCs w:val="18"/>
                <w:highlight w:val="none"/>
              </w:rPr>
            </w:pPr>
          </w:p>
        </w:tc>
        <w:tc>
          <w:tcPr>
            <w:tcW w:w="953" w:type="dxa"/>
            <w:tcBorders>
              <w:tl2br w:val="nil"/>
              <w:tr2bl w:val="nil"/>
            </w:tcBorders>
            <w:vAlign w:val="center"/>
          </w:tcPr>
          <w:p w14:paraId="4E5C2635">
            <w:pPr>
              <w:widowControl/>
              <w:jc w:val="center"/>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番木瓜</w:t>
            </w:r>
          </w:p>
        </w:tc>
        <w:tc>
          <w:tcPr>
            <w:tcW w:w="1896" w:type="dxa"/>
            <w:tcBorders>
              <w:tl2br w:val="nil"/>
              <w:tr2bl w:val="nil"/>
            </w:tcBorders>
            <w:vAlign w:val="center"/>
          </w:tcPr>
          <w:p w14:paraId="42D38231">
            <w:pPr>
              <w:widowControl/>
              <w:jc w:val="left"/>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噻虫胺、噻虫嗪</w:t>
            </w:r>
          </w:p>
        </w:tc>
        <w:tc>
          <w:tcPr>
            <w:tcW w:w="2956" w:type="dxa"/>
            <w:tcBorders>
              <w:tl2br w:val="nil"/>
              <w:tr2bl w:val="nil"/>
            </w:tcBorders>
            <w:vAlign w:val="center"/>
          </w:tcPr>
          <w:p w14:paraId="4C31FBB2">
            <w:pPr>
              <w:widowControl/>
              <w:jc w:val="left"/>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乙酰甲胺磷</w:t>
            </w:r>
          </w:p>
        </w:tc>
      </w:tr>
      <w:tr w14:paraId="1495B47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79" w:hRule="atLeast"/>
        </w:trPr>
        <w:tc>
          <w:tcPr>
            <w:tcW w:w="953" w:type="dxa"/>
            <w:vMerge w:val="continue"/>
            <w:tcBorders>
              <w:tl2br w:val="nil"/>
              <w:tr2bl w:val="nil"/>
            </w:tcBorders>
            <w:vAlign w:val="center"/>
          </w:tcPr>
          <w:p w14:paraId="0EB359EE">
            <w:pPr>
              <w:jc w:val="center"/>
              <w:rPr>
                <w:rFonts w:eastAsia="等线"/>
                <w:color w:val="auto"/>
                <w:kern w:val="0"/>
                <w:sz w:val="18"/>
                <w:szCs w:val="18"/>
                <w:highlight w:val="none"/>
              </w:rPr>
            </w:pPr>
          </w:p>
        </w:tc>
        <w:tc>
          <w:tcPr>
            <w:tcW w:w="796" w:type="dxa"/>
            <w:vMerge w:val="continue"/>
            <w:tcBorders>
              <w:tl2br w:val="nil"/>
              <w:tr2bl w:val="nil"/>
            </w:tcBorders>
            <w:vAlign w:val="center"/>
          </w:tcPr>
          <w:p w14:paraId="3E4E98CE">
            <w:pPr>
              <w:jc w:val="center"/>
              <w:rPr>
                <w:rFonts w:ascii="宋体" w:hAnsi="宋体" w:cs="宋体"/>
                <w:color w:val="auto"/>
                <w:kern w:val="0"/>
                <w:sz w:val="18"/>
                <w:szCs w:val="18"/>
                <w:highlight w:val="none"/>
              </w:rPr>
            </w:pPr>
          </w:p>
        </w:tc>
        <w:tc>
          <w:tcPr>
            <w:tcW w:w="797" w:type="dxa"/>
            <w:vMerge w:val="continue"/>
            <w:tcBorders>
              <w:tl2br w:val="nil"/>
              <w:tr2bl w:val="nil"/>
            </w:tcBorders>
            <w:vAlign w:val="center"/>
          </w:tcPr>
          <w:p w14:paraId="76B4E99D">
            <w:pPr>
              <w:jc w:val="center"/>
              <w:rPr>
                <w:rFonts w:ascii="宋体" w:hAnsi="宋体" w:cs="宋体"/>
                <w:color w:val="auto"/>
                <w:kern w:val="0"/>
                <w:sz w:val="18"/>
                <w:szCs w:val="18"/>
                <w:highlight w:val="none"/>
              </w:rPr>
            </w:pPr>
          </w:p>
        </w:tc>
        <w:tc>
          <w:tcPr>
            <w:tcW w:w="797" w:type="dxa"/>
            <w:vMerge w:val="restart"/>
            <w:tcBorders>
              <w:tl2br w:val="nil"/>
              <w:tr2bl w:val="nil"/>
            </w:tcBorders>
            <w:vAlign w:val="center"/>
          </w:tcPr>
          <w:p w14:paraId="6C29562A">
            <w:pPr>
              <w:widowControl/>
              <w:jc w:val="center"/>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瓜果类水果</w:t>
            </w:r>
          </w:p>
        </w:tc>
        <w:tc>
          <w:tcPr>
            <w:tcW w:w="953" w:type="dxa"/>
            <w:tcBorders>
              <w:tl2br w:val="nil"/>
              <w:tr2bl w:val="nil"/>
            </w:tcBorders>
            <w:vAlign w:val="center"/>
          </w:tcPr>
          <w:p w14:paraId="44D0C0E5">
            <w:pPr>
              <w:widowControl/>
              <w:jc w:val="center"/>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西瓜</w:t>
            </w:r>
          </w:p>
        </w:tc>
        <w:tc>
          <w:tcPr>
            <w:tcW w:w="1896" w:type="dxa"/>
            <w:tcBorders>
              <w:tl2br w:val="nil"/>
              <w:tr2bl w:val="nil"/>
            </w:tcBorders>
            <w:vAlign w:val="center"/>
          </w:tcPr>
          <w:p w14:paraId="2B00410C">
            <w:pPr>
              <w:widowControl/>
              <w:jc w:val="left"/>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苯醚甲环唑</w:t>
            </w:r>
          </w:p>
        </w:tc>
        <w:tc>
          <w:tcPr>
            <w:tcW w:w="2956" w:type="dxa"/>
            <w:tcBorders>
              <w:tl2br w:val="nil"/>
              <w:tr2bl w:val="nil"/>
            </w:tcBorders>
            <w:vAlign w:val="center"/>
          </w:tcPr>
          <w:p w14:paraId="0B926260">
            <w:pPr>
              <w:widowControl/>
              <w:jc w:val="left"/>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克百威、噻虫嗪、氧乐果、乙酰甲胺磷</w:t>
            </w:r>
          </w:p>
        </w:tc>
      </w:tr>
      <w:tr w14:paraId="31EA828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750" w:hRule="atLeast"/>
        </w:trPr>
        <w:tc>
          <w:tcPr>
            <w:tcW w:w="953" w:type="dxa"/>
            <w:vMerge w:val="continue"/>
            <w:tcBorders>
              <w:tl2br w:val="nil"/>
              <w:tr2bl w:val="nil"/>
            </w:tcBorders>
            <w:vAlign w:val="center"/>
          </w:tcPr>
          <w:p w14:paraId="1722034F">
            <w:pPr>
              <w:jc w:val="center"/>
              <w:rPr>
                <w:rFonts w:eastAsia="等线"/>
                <w:color w:val="auto"/>
                <w:kern w:val="0"/>
                <w:sz w:val="18"/>
                <w:szCs w:val="18"/>
                <w:highlight w:val="none"/>
              </w:rPr>
            </w:pPr>
          </w:p>
        </w:tc>
        <w:tc>
          <w:tcPr>
            <w:tcW w:w="796" w:type="dxa"/>
            <w:vMerge w:val="continue"/>
            <w:tcBorders>
              <w:tl2br w:val="nil"/>
              <w:tr2bl w:val="nil"/>
            </w:tcBorders>
            <w:vAlign w:val="center"/>
          </w:tcPr>
          <w:p w14:paraId="65715B32">
            <w:pPr>
              <w:jc w:val="center"/>
              <w:rPr>
                <w:rFonts w:ascii="宋体" w:hAnsi="宋体" w:cs="宋体"/>
                <w:color w:val="auto"/>
                <w:kern w:val="0"/>
                <w:sz w:val="18"/>
                <w:szCs w:val="18"/>
                <w:highlight w:val="none"/>
              </w:rPr>
            </w:pPr>
          </w:p>
        </w:tc>
        <w:tc>
          <w:tcPr>
            <w:tcW w:w="797" w:type="dxa"/>
            <w:vMerge w:val="continue"/>
            <w:tcBorders>
              <w:tl2br w:val="nil"/>
              <w:tr2bl w:val="nil"/>
            </w:tcBorders>
            <w:vAlign w:val="center"/>
          </w:tcPr>
          <w:p w14:paraId="3C9AEAEF">
            <w:pPr>
              <w:jc w:val="center"/>
              <w:rPr>
                <w:rFonts w:ascii="宋体" w:hAnsi="宋体" w:cs="宋体"/>
                <w:color w:val="auto"/>
                <w:kern w:val="0"/>
                <w:sz w:val="18"/>
                <w:szCs w:val="18"/>
                <w:highlight w:val="none"/>
              </w:rPr>
            </w:pPr>
          </w:p>
        </w:tc>
        <w:tc>
          <w:tcPr>
            <w:tcW w:w="797" w:type="dxa"/>
            <w:vMerge w:val="continue"/>
            <w:tcBorders>
              <w:tl2br w:val="nil"/>
              <w:tr2bl w:val="nil"/>
            </w:tcBorders>
            <w:vAlign w:val="center"/>
          </w:tcPr>
          <w:p w14:paraId="57CC91F7">
            <w:pPr>
              <w:jc w:val="center"/>
              <w:rPr>
                <w:rFonts w:ascii="宋体" w:hAnsi="宋体" w:cs="宋体"/>
                <w:color w:val="auto"/>
                <w:kern w:val="0"/>
                <w:sz w:val="18"/>
                <w:szCs w:val="18"/>
                <w:highlight w:val="none"/>
              </w:rPr>
            </w:pPr>
          </w:p>
        </w:tc>
        <w:tc>
          <w:tcPr>
            <w:tcW w:w="953" w:type="dxa"/>
            <w:tcBorders>
              <w:tl2br w:val="nil"/>
              <w:tr2bl w:val="nil"/>
            </w:tcBorders>
            <w:vAlign w:val="center"/>
          </w:tcPr>
          <w:p w14:paraId="2B2AA0E6">
            <w:pPr>
              <w:widowControl/>
              <w:jc w:val="center"/>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甜瓜类</w:t>
            </w:r>
          </w:p>
        </w:tc>
        <w:tc>
          <w:tcPr>
            <w:tcW w:w="1896" w:type="dxa"/>
            <w:tcBorders>
              <w:tl2br w:val="nil"/>
              <w:tr2bl w:val="nil"/>
            </w:tcBorders>
            <w:vAlign w:val="center"/>
          </w:tcPr>
          <w:p w14:paraId="2FDAD33F">
            <w:pPr>
              <w:widowControl/>
              <w:jc w:val="left"/>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乙酰甲胺磷</w:t>
            </w:r>
          </w:p>
        </w:tc>
        <w:tc>
          <w:tcPr>
            <w:tcW w:w="2956" w:type="dxa"/>
            <w:tcBorders>
              <w:tl2br w:val="nil"/>
              <w:tr2bl w:val="nil"/>
            </w:tcBorders>
            <w:vAlign w:val="center"/>
          </w:tcPr>
          <w:p w14:paraId="7A74DF13">
            <w:pPr>
              <w:widowControl/>
              <w:jc w:val="left"/>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克百威、烯酰吗啉、氧乐果</w:t>
            </w:r>
          </w:p>
        </w:tc>
      </w:tr>
      <w:tr w14:paraId="64A8CEC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10" w:hRule="atLeast"/>
        </w:trPr>
        <w:tc>
          <w:tcPr>
            <w:tcW w:w="953" w:type="dxa"/>
            <w:vMerge w:val="restart"/>
            <w:tcBorders>
              <w:tl2br w:val="nil"/>
              <w:tr2bl w:val="nil"/>
            </w:tcBorders>
            <w:vAlign w:val="center"/>
          </w:tcPr>
          <w:p w14:paraId="6B8F1A99">
            <w:pPr>
              <w:widowControl/>
              <w:jc w:val="center"/>
              <w:textAlignment w:val="center"/>
              <w:rPr>
                <w:rFonts w:hint="default" w:eastAsia="等线"/>
                <w:color w:val="auto"/>
                <w:kern w:val="0"/>
                <w:sz w:val="18"/>
                <w:szCs w:val="18"/>
                <w:highlight w:val="none"/>
                <w:lang w:val="en-US" w:eastAsia="zh-CN"/>
              </w:rPr>
            </w:pPr>
            <w:r>
              <w:rPr>
                <w:rFonts w:hint="eastAsia" w:eastAsia="等线"/>
                <w:color w:val="auto"/>
                <w:kern w:val="0"/>
                <w:sz w:val="18"/>
                <w:szCs w:val="18"/>
                <w:highlight w:val="none"/>
                <w:lang w:val="en-US" w:eastAsia="zh-CN" w:bidi="ar"/>
              </w:rPr>
              <w:t>37</w:t>
            </w:r>
          </w:p>
        </w:tc>
        <w:tc>
          <w:tcPr>
            <w:tcW w:w="796" w:type="dxa"/>
            <w:vMerge w:val="restart"/>
            <w:tcBorders>
              <w:tl2br w:val="nil"/>
              <w:tr2bl w:val="nil"/>
            </w:tcBorders>
            <w:vAlign w:val="center"/>
          </w:tcPr>
          <w:p w14:paraId="1B830856">
            <w:pPr>
              <w:widowControl/>
              <w:jc w:val="center"/>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鲜蛋</w:t>
            </w:r>
          </w:p>
        </w:tc>
        <w:tc>
          <w:tcPr>
            <w:tcW w:w="797" w:type="dxa"/>
            <w:vMerge w:val="restart"/>
            <w:tcBorders>
              <w:tl2br w:val="nil"/>
              <w:tr2bl w:val="nil"/>
            </w:tcBorders>
            <w:vAlign w:val="center"/>
          </w:tcPr>
          <w:p w14:paraId="296062B7">
            <w:pPr>
              <w:widowControl/>
              <w:jc w:val="center"/>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鲜蛋</w:t>
            </w:r>
          </w:p>
        </w:tc>
        <w:tc>
          <w:tcPr>
            <w:tcW w:w="797" w:type="dxa"/>
            <w:tcBorders>
              <w:tl2br w:val="nil"/>
              <w:tr2bl w:val="nil"/>
            </w:tcBorders>
            <w:vAlign w:val="center"/>
          </w:tcPr>
          <w:p w14:paraId="426BD717">
            <w:pPr>
              <w:widowControl/>
              <w:jc w:val="center"/>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鲜蛋</w:t>
            </w:r>
          </w:p>
        </w:tc>
        <w:tc>
          <w:tcPr>
            <w:tcW w:w="953" w:type="dxa"/>
            <w:tcBorders>
              <w:tl2br w:val="nil"/>
              <w:tr2bl w:val="nil"/>
            </w:tcBorders>
            <w:vAlign w:val="center"/>
          </w:tcPr>
          <w:p w14:paraId="39CF1A41">
            <w:pPr>
              <w:widowControl/>
              <w:jc w:val="center"/>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鸡蛋</w:t>
            </w:r>
          </w:p>
        </w:tc>
        <w:tc>
          <w:tcPr>
            <w:tcW w:w="1896" w:type="dxa"/>
            <w:tcBorders>
              <w:tl2br w:val="nil"/>
              <w:tr2bl w:val="nil"/>
            </w:tcBorders>
            <w:vAlign w:val="center"/>
          </w:tcPr>
          <w:p w14:paraId="21834167">
            <w:pPr>
              <w:widowControl/>
              <w:jc w:val="left"/>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磺胺类（总量）、甲氧苄啶</w:t>
            </w:r>
          </w:p>
        </w:tc>
        <w:tc>
          <w:tcPr>
            <w:tcW w:w="2956" w:type="dxa"/>
            <w:tcBorders>
              <w:tl2br w:val="nil"/>
              <w:tr2bl w:val="nil"/>
            </w:tcBorders>
            <w:vAlign w:val="center"/>
          </w:tcPr>
          <w:p w14:paraId="25182CE7">
            <w:pPr>
              <w:widowControl/>
              <w:jc w:val="left"/>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甲硝唑、地美硝唑、呋喃唑酮代谢物、氟虫腈、氯霉素、氟苯尼考、甲砜霉素、恩诺沙星、氧氟沙星、沙拉沙星、多西环素、地克珠利、托曲珠利</w:t>
            </w:r>
          </w:p>
        </w:tc>
      </w:tr>
      <w:tr w14:paraId="29585AD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707" w:hRule="atLeast"/>
        </w:trPr>
        <w:tc>
          <w:tcPr>
            <w:tcW w:w="953" w:type="dxa"/>
            <w:vMerge w:val="continue"/>
            <w:tcBorders>
              <w:tl2br w:val="nil"/>
              <w:tr2bl w:val="nil"/>
            </w:tcBorders>
            <w:vAlign w:val="center"/>
          </w:tcPr>
          <w:p w14:paraId="0C0043B7">
            <w:pPr>
              <w:jc w:val="center"/>
              <w:rPr>
                <w:rFonts w:eastAsia="等线"/>
                <w:color w:val="auto"/>
                <w:kern w:val="0"/>
                <w:sz w:val="18"/>
                <w:szCs w:val="18"/>
                <w:highlight w:val="none"/>
              </w:rPr>
            </w:pPr>
          </w:p>
        </w:tc>
        <w:tc>
          <w:tcPr>
            <w:tcW w:w="796" w:type="dxa"/>
            <w:vMerge w:val="continue"/>
            <w:tcBorders>
              <w:tl2br w:val="nil"/>
              <w:tr2bl w:val="nil"/>
            </w:tcBorders>
            <w:vAlign w:val="center"/>
          </w:tcPr>
          <w:p w14:paraId="04CF7EBA">
            <w:pPr>
              <w:jc w:val="center"/>
              <w:rPr>
                <w:rFonts w:ascii="宋体" w:hAnsi="宋体" w:cs="宋体"/>
                <w:color w:val="auto"/>
                <w:kern w:val="0"/>
                <w:sz w:val="18"/>
                <w:szCs w:val="18"/>
                <w:highlight w:val="none"/>
              </w:rPr>
            </w:pPr>
          </w:p>
        </w:tc>
        <w:tc>
          <w:tcPr>
            <w:tcW w:w="797" w:type="dxa"/>
            <w:vMerge w:val="continue"/>
            <w:tcBorders>
              <w:tl2br w:val="nil"/>
              <w:tr2bl w:val="nil"/>
            </w:tcBorders>
            <w:vAlign w:val="center"/>
          </w:tcPr>
          <w:p w14:paraId="203A840A">
            <w:pPr>
              <w:jc w:val="center"/>
              <w:rPr>
                <w:rFonts w:ascii="宋体" w:hAnsi="宋体" w:cs="宋体"/>
                <w:color w:val="auto"/>
                <w:kern w:val="0"/>
                <w:sz w:val="18"/>
                <w:szCs w:val="18"/>
                <w:highlight w:val="none"/>
              </w:rPr>
            </w:pPr>
          </w:p>
        </w:tc>
        <w:tc>
          <w:tcPr>
            <w:tcW w:w="797" w:type="dxa"/>
            <w:tcBorders>
              <w:tl2br w:val="nil"/>
              <w:tr2bl w:val="nil"/>
            </w:tcBorders>
            <w:vAlign w:val="center"/>
          </w:tcPr>
          <w:p w14:paraId="2B6D1D66">
            <w:pPr>
              <w:widowControl/>
              <w:jc w:val="center"/>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其他禽蛋</w:t>
            </w:r>
          </w:p>
        </w:tc>
        <w:tc>
          <w:tcPr>
            <w:tcW w:w="953" w:type="dxa"/>
            <w:tcBorders>
              <w:tl2br w:val="nil"/>
              <w:tr2bl w:val="nil"/>
            </w:tcBorders>
            <w:vAlign w:val="center"/>
          </w:tcPr>
          <w:p w14:paraId="56A9ADFD">
            <w:pPr>
              <w:widowControl/>
              <w:jc w:val="center"/>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其他禽蛋</w:t>
            </w:r>
          </w:p>
        </w:tc>
        <w:tc>
          <w:tcPr>
            <w:tcW w:w="1896" w:type="dxa"/>
            <w:tcBorders>
              <w:tl2br w:val="nil"/>
              <w:tr2bl w:val="nil"/>
            </w:tcBorders>
            <w:vAlign w:val="center"/>
          </w:tcPr>
          <w:p w14:paraId="02D60B88">
            <w:pPr>
              <w:widowControl/>
              <w:jc w:val="left"/>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多西环素</w:t>
            </w:r>
          </w:p>
        </w:tc>
        <w:tc>
          <w:tcPr>
            <w:tcW w:w="2956" w:type="dxa"/>
            <w:tcBorders>
              <w:tl2br w:val="nil"/>
              <w:tr2bl w:val="nil"/>
            </w:tcBorders>
            <w:vAlign w:val="center"/>
          </w:tcPr>
          <w:p w14:paraId="1CEF13A1">
            <w:pPr>
              <w:widowControl/>
              <w:jc w:val="left"/>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呋喃唑酮代谢物、磺胺类（总量）</w:t>
            </w:r>
          </w:p>
        </w:tc>
      </w:tr>
      <w:tr w14:paraId="41C6353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961" w:hRule="atLeast"/>
        </w:trPr>
        <w:tc>
          <w:tcPr>
            <w:tcW w:w="953" w:type="dxa"/>
            <w:tcBorders>
              <w:tl2br w:val="nil"/>
              <w:tr2bl w:val="nil"/>
            </w:tcBorders>
            <w:vAlign w:val="center"/>
          </w:tcPr>
          <w:p w14:paraId="6C5BB006">
            <w:pPr>
              <w:widowControl/>
              <w:jc w:val="center"/>
              <w:textAlignment w:val="center"/>
              <w:rPr>
                <w:rFonts w:hint="default" w:eastAsia="等线"/>
                <w:color w:val="auto"/>
                <w:kern w:val="0"/>
                <w:sz w:val="18"/>
                <w:szCs w:val="18"/>
                <w:highlight w:val="none"/>
                <w:lang w:val="en-US" w:eastAsia="zh-CN"/>
              </w:rPr>
            </w:pPr>
            <w:r>
              <w:rPr>
                <w:rFonts w:hint="eastAsia" w:eastAsia="等线"/>
                <w:color w:val="auto"/>
                <w:kern w:val="0"/>
                <w:sz w:val="18"/>
                <w:szCs w:val="18"/>
                <w:highlight w:val="none"/>
                <w:lang w:val="en-US" w:eastAsia="zh-CN" w:bidi="ar"/>
              </w:rPr>
              <w:t>38</w:t>
            </w:r>
          </w:p>
        </w:tc>
        <w:tc>
          <w:tcPr>
            <w:tcW w:w="796" w:type="dxa"/>
            <w:tcBorders>
              <w:tl2br w:val="nil"/>
              <w:tr2bl w:val="nil"/>
            </w:tcBorders>
            <w:vAlign w:val="center"/>
          </w:tcPr>
          <w:p w14:paraId="1B3E5A29">
            <w:pPr>
              <w:widowControl/>
              <w:jc w:val="center"/>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豆类</w:t>
            </w:r>
          </w:p>
        </w:tc>
        <w:tc>
          <w:tcPr>
            <w:tcW w:w="797" w:type="dxa"/>
            <w:tcBorders>
              <w:tl2br w:val="nil"/>
              <w:tr2bl w:val="nil"/>
            </w:tcBorders>
            <w:vAlign w:val="center"/>
          </w:tcPr>
          <w:p w14:paraId="45307CD4">
            <w:pPr>
              <w:widowControl/>
              <w:jc w:val="center"/>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豆类</w:t>
            </w:r>
          </w:p>
        </w:tc>
        <w:tc>
          <w:tcPr>
            <w:tcW w:w="797" w:type="dxa"/>
            <w:tcBorders>
              <w:tl2br w:val="nil"/>
              <w:tr2bl w:val="nil"/>
            </w:tcBorders>
            <w:vAlign w:val="center"/>
          </w:tcPr>
          <w:p w14:paraId="3086E580">
            <w:pPr>
              <w:widowControl/>
              <w:jc w:val="center"/>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豆类</w:t>
            </w:r>
          </w:p>
        </w:tc>
        <w:tc>
          <w:tcPr>
            <w:tcW w:w="953" w:type="dxa"/>
            <w:tcBorders>
              <w:tl2br w:val="nil"/>
              <w:tr2bl w:val="nil"/>
            </w:tcBorders>
            <w:vAlign w:val="center"/>
          </w:tcPr>
          <w:p w14:paraId="7D6B1B4A">
            <w:pPr>
              <w:widowControl/>
              <w:jc w:val="center"/>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豆类</w:t>
            </w:r>
          </w:p>
        </w:tc>
        <w:tc>
          <w:tcPr>
            <w:tcW w:w="1896" w:type="dxa"/>
            <w:tcBorders>
              <w:tl2br w:val="nil"/>
              <w:tr2bl w:val="nil"/>
            </w:tcBorders>
            <w:vAlign w:val="center"/>
          </w:tcPr>
          <w:p w14:paraId="1A1C472F">
            <w:pPr>
              <w:widowControl/>
              <w:jc w:val="left"/>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铅（以</w:t>
            </w:r>
            <w:r>
              <w:rPr>
                <w:color w:val="auto"/>
                <w:kern w:val="0"/>
                <w:sz w:val="18"/>
                <w:szCs w:val="18"/>
                <w:highlight w:val="none"/>
                <w:lang w:bidi="ar"/>
              </w:rPr>
              <w:t>Pb</w:t>
            </w:r>
            <w:r>
              <w:rPr>
                <w:rFonts w:hint="eastAsia" w:ascii="宋体" w:hAnsi="宋体" w:cs="宋体"/>
                <w:color w:val="auto"/>
                <w:kern w:val="0"/>
                <w:sz w:val="18"/>
                <w:szCs w:val="18"/>
                <w:highlight w:val="none"/>
                <w:lang w:bidi="ar"/>
              </w:rPr>
              <w:t>计）</w:t>
            </w:r>
          </w:p>
        </w:tc>
        <w:tc>
          <w:tcPr>
            <w:tcW w:w="2956" w:type="dxa"/>
            <w:tcBorders>
              <w:tl2br w:val="nil"/>
              <w:tr2bl w:val="nil"/>
            </w:tcBorders>
            <w:vAlign w:val="center"/>
          </w:tcPr>
          <w:p w14:paraId="1F424512">
            <w:pPr>
              <w:widowControl/>
              <w:jc w:val="left"/>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铬（以</w:t>
            </w:r>
            <w:r>
              <w:rPr>
                <w:color w:val="auto"/>
                <w:kern w:val="0"/>
                <w:sz w:val="18"/>
                <w:szCs w:val="18"/>
                <w:highlight w:val="none"/>
                <w:lang w:bidi="ar"/>
              </w:rPr>
              <w:t>Cr</w:t>
            </w:r>
            <w:r>
              <w:rPr>
                <w:rFonts w:hint="eastAsia" w:ascii="宋体" w:hAnsi="宋体" w:cs="宋体"/>
                <w:color w:val="auto"/>
                <w:kern w:val="0"/>
                <w:sz w:val="18"/>
                <w:szCs w:val="18"/>
                <w:highlight w:val="none"/>
                <w:lang w:bidi="ar"/>
              </w:rPr>
              <w:t>计）、赭曲霉毒素</w:t>
            </w:r>
            <w:r>
              <w:rPr>
                <w:color w:val="auto"/>
                <w:kern w:val="0"/>
                <w:sz w:val="18"/>
                <w:szCs w:val="18"/>
                <w:highlight w:val="none"/>
                <w:lang w:bidi="ar"/>
              </w:rPr>
              <w:t>A</w:t>
            </w:r>
            <w:r>
              <w:rPr>
                <w:rFonts w:hint="eastAsia" w:ascii="宋体" w:hAnsi="宋体" w:cs="宋体"/>
                <w:color w:val="auto"/>
                <w:kern w:val="0"/>
                <w:sz w:val="18"/>
                <w:szCs w:val="18"/>
                <w:highlight w:val="none"/>
                <w:lang w:bidi="ar"/>
              </w:rPr>
              <w:t>、吡虫啉、环丙唑醇</w:t>
            </w:r>
          </w:p>
        </w:tc>
      </w:tr>
      <w:tr w14:paraId="3FBA27C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229" w:hRule="atLeast"/>
        </w:trPr>
        <w:tc>
          <w:tcPr>
            <w:tcW w:w="953" w:type="dxa"/>
            <w:tcBorders>
              <w:tl2br w:val="nil"/>
              <w:tr2bl w:val="nil"/>
            </w:tcBorders>
            <w:vAlign w:val="center"/>
          </w:tcPr>
          <w:p w14:paraId="0CBA27D7">
            <w:pPr>
              <w:widowControl/>
              <w:jc w:val="center"/>
              <w:textAlignment w:val="center"/>
              <w:rPr>
                <w:rFonts w:hint="default" w:eastAsia="等线"/>
                <w:color w:val="auto"/>
                <w:kern w:val="0"/>
                <w:sz w:val="18"/>
                <w:szCs w:val="18"/>
                <w:highlight w:val="none"/>
                <w:lang w:val="en-US" w:eastAsia="zh-CN"/>
              </w:rPr>
            </w:pPr>
            <w:r>
              <w:rPr>
                <w:rFonts w:hint="eastAsia" w:eastAsia="等线"/>
                <w:color w:val="auto"/>
                <w:kern w:val="0"/>
                <w:sz w:val="18"/>
                <w:szCs w:val="18"/>
                <w:highlight w:val="none"/>
                <w:lang w:val="en-US" w:eastAsia="zh-CN" w:bidi="ar"/>
              </w:rPr>
              <w:t>39</w:t>
            </w:r>
          </w:p>
        </w:tc>
        <w:tc>
          <w:tcPr>
            <w:tcW w:w="796" w:type="dxa"/>
            <w:tcBorders>
              <w:tl2br w:val="nil"/>
              <w:tr2bl w:val="nil"/>
            </w:tcBorders>
            <w:vAlign w:val="center"/>
          </w:tcPr>
          <w:p w14:paraId="7AD8A45E">
            <w:pPr>
              <w:widowControl/>
              <w:jc w:val="center"/>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生干坚果与籽类食品</w:t>
            </w:r>
          </w:p>
        </w:tc>
        <w:tc>
          <w:tcPr>
            <w:tcW w:w="797" w:type="dxa"/>
            <w:tcBorders>
              <w:tl2br w:val="nil"/>
              <w:tr2bl w:val="nil"/>
            </w:tcBorders>
            <w:vAlign w:val="center"/>
          </w:tcPr>
          <w:p w14:paraId="0F13365E">
            <w:pPr>
              <w:widowControl/>
              <w:jc w:val="center"/>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生干坚果与籽类食品</w:t>
            </w:r>
          </w:p>
        </w:tc>
        <w:tc>
          <w:tcPr>
            <w:tcW w:w="797" w:type="dxa"/>
            <w:tcBorders>
              <w:tl2br w:val="nil"/>
              <w:tr2bl w:val="nil"/>
            </w:tcBorders>
            <w:vAlign w:val="center"/>
          </w:tcPr>
          <w:p w14:paraId="10592C1A">
            <w:pPr>
              <w:widowControl/>
              <w:jc w:val="center"/>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生干坚果与籽类食品</w:t>
            </w:r>
          </w:p>
        </w:tc>
        <w:tc>
          <w:tcPr>
            <w:tcW w:w="953" w:type="dxa"/>
            <w:tcBorders>
              <w:tl2br w:val="nil"/>
              <w:tr2bl w:val="nil"/>
            </w:tcBorders>
            <w:vAlign w:val="center"/>
          </w:tcPr>
          <w:p w14:paraId="0C78C2D2">
            <w:pPr>
              <w:widowControl/>
              <w:jc w:val="center"/>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生干坚果</w:t>
            </w:r>
          </w:p>
        </w:tc>
        <w:tc>
          <w:tcPr>
            <w:tcW w:w="1896" w:type="dxa"/>
            <w:tcBorders>
              <w:tl2br w:val="nil"/>
              <w:tr2bl w:val="nil"/>
            </w:tcBorders>
            <w:vAlign w:val="center"/>
          </w:tcPr>
          <w:p w14:paraId="385732B7">
            <w:pPr>
              <w:widowControl/>
              <w:jc w:val="left"/>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铅（以</w:t>
            </w:r>
            <w:r>
              <w:rPr>
                <w:color w:val="auto"/>
                <w:kern w:val="0"/>
                <w:sz w:val="18"/>
                <w:szCs w:val="18"/>
                <w:highlight w:val="none"/>
                <w:lang w:bidi="ar"/>
              </w:rPr>
              <w:t>Pb</w:t>
            </w:r>
            <w:r>
              <w:rPr>
                <w:rFonts w:hint="eastAsia" w:ascii="宋体" w:hAnsi="宋体" w:cs="宋体"/>
                <w:color w:val="auto"/>
                <w:kern w:val="0"/>
                <w:sz w:val="18"/>
                <w:szCs w:val="18"/>
                <w:highlight w:val="none"/>
                <w:lang w:bidi="ar"/>
              </w:rPr>
              <w:t>计）</w:t>
            </w:r>
          </w:p>
        </w:tc>
        <w:tc>
          <w:tcPr>
            <w:tcW w:w="2956" w:type="dxa"/>
            <w:tcBorders>
              <w:tl2br w:val="nil"/>
              <w:tr2bl w:val="nil"/>
            </w:tcBorders>
            <w:vAlign w:val="center"/>
          </w:tcPr>
          <w:p w14:paraId="3498D4E9">
            <w:pPr>
              <w:widowControl/>
              <w:jc w:val="left"/>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酸价（以脂肪计）（</w:t>
            </w:r>
            <w:r>
              <w:rPr>
                <w:color w:val="auto"/>
                <w:kern w:val="0"/>
                <w:sz w:val="18"/>
                <w:szCs w:val="18"/>
                <w:highlight w:val="none"/>
                <w:lang w:bidi="ar"/>
              </w:rPr>
              <w:t>KOH</w:t>
            </w:r>
            <w:r>
              <w:rPr>
                <w:rFonts w:hint="eastAsia" w:ascii="宋体" w:hAnsi="宋体" w:cs="宋体"/>
                <w:color w:val="auto"/>
                <w:kern w:val="0"/>
                <w:sz w:val="18"/>
                <w:szCs w:val="18"/>
                <w:highlight w:val="none"/>
                <w:lang w:bidi="ar"/>
              </w:rPr>
              <w:t>）、过氧化值（以脂肪计）、吡虫啉</w:t>
            </w:r>
          </w:p>
        </w:tc>
      </w:tr>
      <w:bookmarkEnd w:id="33"/>
      <w:bookmarkEnd w:id="34"/>
      <w:bookmarkEnd w:id="35"/>
      <w:bookmarkEnd w:id="36"/>
    </w:tbl>
    <w:p w14:paraId="13B0EEFC">
      <w:pPr>
        <w:pStyle w:val="51"/>
        <w:rPr>
          <w:color w:val="auto"/>
          <w:highlight w:val="none"/>
        </w:rPr>
        <w:sectPr>
          <w:headerReference r:id="rId8" w:type="default"/>
          <w:footerReference r:id="rId9" w:type="default"/>
          <w:pgSz w:w="11906" w:h="16839"/>
          <w:pgMar w:top="1101" w:right="1595" w:bottom="987" w:left="1012" w:header="850" w:footer="1531" w:gutter="0"/>
          <w:pgBorders>
            <w:top w:val="none" w:sz="0" w:space="0"/>
            <w:left w:val="none" w:sz="0" w:space="0"/>
            <w:bottom w:val="none" w:sz="0" w:space="0"/>
            <w:right w:val="none" w:sz="0" w:space="0"/>
          </w:pgBorders>
          <w:pgNumType w:fmt="decimal"/>
          <w:cols w:space="720" w:num="1"/>
        </w:sectPr>
      </w:pPr>
    </w:p>
    <w:p w14:paraId="6C949656">
      <w:pPr>
        <w:widowControl w:val="0"/>
        <w:numPr>
          <w:ilvl w:val="0"/>
          <w:numId w:val="0"/>
        </w:numPr>
        <w:spacing w:line="560" w:lineRule="exact"/>
        <w:jc w:val="both"/>
        <w:rPr>
          <w:rFonts w:hint="eastAsia" w:ascii="宋体" w:hAnsi="宋体" w:cs="宋体"/>
          <w:b/>
          <w:color w:val="auto"/>
          <w:sz w:val="24"/>
          <w:szCs w:val="22"/>
          <w:highlight w:val="none"/>
          <w:lang w:val="en-US" w:eastAsia="zh-CN"/>
        </w:rPr>
      </w:pPr>
    </w:p>
    <w:p w14:paraId="714D3218">
      <w:pPr>
        <w:pStyle w:val="4"/>
        <w:spacing w:before="0" w:after="0" w:line="360" w:lineRule="auto"/>
        <w:jc w:val="center"/>
        <w:rPr>
          <w:rFonts w:hint="eastAsia" w:ascii="仿宋" w:hAnsi="仿宋" w:eastAsia="仿宋"/>
          <w:b w:val="0"/>
          <w:color w:val="auto"/>
          <w:sz w:val="36"/>
          <w:szCs w:val="30"/>
          <w:highlight w:val="none"/>
        </w:rPr>
      </w:pPr>
      <w:bookmarkStart w:id="37" w:name="_Toc22534"/>
      <w:r>
        <w:rPr>
          <w:rFonts w:hint="eastAsia" w:ascii="仿宋" w:hAnsi="仿宋" w:eastAsia="仿宋"/>
          <w:b w:val="0"/>
          <w:color w:val="auto"/>
          <w:sz w:val="36"/>
          <w:szCs w:val="30"/>
          <w:highlight w:val="none"/>
        </w:rPr>
        <w:t>第三篇</w:t>
      </w:r>
      <w:bookmarkEnd w:id="31"/>
      <w:r>
        <w:rPr>
          <w:rFonts w:hint="eastAsia" w:ascii="仿宋" w:hAnsi="仿宋" w:eastAsia="仿宋"/>
          <w:b w:val="0"/>
          <w:color w:val="auto"/>
          <w:sz w:val="36"/>
          <w:szCs w:val="30"/>
          <w:highlight w:val="none"/>
        </w:rPr>
        <w:t xml:space="preserve"> 采购项目商务需求</w:t>
      </w:r>
      <w:bookmarkEnd w:id="32"/>
      <w:bookmarkEnd w:id="37"/>
    </w:p>
    <w:p w14:paraId="1E540DE2">
      <w:pPr>
        <w:snapToGrid w:val="0"/>
        <w:spacing w:line="400" w:lineRule="exact"/>
        <w:ind w:firstLine="480" w:firstLineChars="200"/>
        <w:rPr>
          <w:rFonts w:hint="eastAsia" w:ascii="仿宋" w:hAnsi="仿宋" w:eastAsia="仿宋" w:cs="仿宋"/>
          <w:color w:val="auto"/>
          <w:sz w:val="24"/>
          <w:szCs w:val="24"/>
          <w:highlight w:val="none"/>
        </w:rPr>
      </w:pPr>
      <w:bookmarkStart w:id="38" w:name="_Toc19343"/>
      <w:bookmarkStart w:id="39" w:name="_Toc28135"/>
      <w:bookmarkStart w:id="40" w:name="_Toc13038"/>
      <w:bookmarkStart w:id="41" w:name="_Toc20152"/>
      <w:r>
        <w:rPr>
          <w:rFonts w:hint="eastAsia" w:ascii="仿宋" w:hAnsi="仿宋" w:eastAsia="仿宋" w:cs="仿宋"/>
          <w:color w:val="auto"/>
          <w:sz w:val="24"/>
          <w:szCs w:val="28"/>
          <w:highlight w:val="none"/>
        </w:rPr>
        <w:t>商务要求为符合性审查中的实质性要求，投标文件若不满足按无效投标处理</w:t>
      </w:r>
    </w:p>
    <w:bookmarkEnd w:id="38"/>
    <w:bookmarkEnd w:id="39"/>
    <w:bookmarkEnd w:id="40"/>
    <w:p w14:paraId="53640AE3">
      <w:pPr>
        <w:pStyle w:val="5"/>
        <w:spacing w:before="240" w:beforeLines="100" w:after="0" w:line="360" w:lineRule="auto"/>
        <w:ind w:firstLine="241" w:firstLineChars="100"/>
        <w:rPr>
          <w:rFonts w:hint="eastAsia" w:ascii="仿宋" w:hAnsi="仿宋" w:eastAsia="仿宋"/>
          <w:color w:val="auto"/>
          <w:sz w:val="24"/>
          <w:szCs w:val="24"/>
          <w:highlight w:val="none"/>
        </w:rPr>
      </w:pPr>
      <w:bookmarkStart w:id="42" w:name="_Toc12145"/>
      <w:bookmarkStart w:id="43" w:name="_Toc19441"/>
      <w:bookmarkStart w:id="44" w:name="_Toc4622"/>
      <w:bookmarkStart w:id="45" w:name="_Toc30218"/>
      <w:bookmarkStart w:id="46" w:name="_Toc24209"/>
      <w:bookmarkStart w:id="47" w:name="_Toc506192852"/>
      <w:r>
        <w:rPr>
          <w:rFonts w:hint="eastAsia" w:ascii="仿宋" w:hAnsi="仿宋" w:eastAsia="仿宋"/>
          <w:color w:val="auto"/>
          <w:sz w:val="24"/>
          <w:szCs w:val="24"/>
          <w:highlight w:val="none"/>
        </w:rPr>
        <w:t>一、服务时间、地点及验收方式</w:t>
      </w:r>
      <w:bookmarkEnd w:id="42"/>
      <w:bookmarkEnd w:id="43"/>
      <w:bookmarkEnd w:id="44"/>
    </w:p>
    <w:p w14:paraId="3536BED4">
      <w:pPr>
        <w:pageBreakBefore w:val="0"/>
        <w:widowControl w:val="0"/>
        <w:kinsoku/>
        <w:wordWrap/>
        <w:overflowPunct/>
        <w:topLinePunct w:val="0"/>
        <w:autoSpaceDE/>
        <w:autoSpaceDN/>
        <w:bidi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仿宋" w:hAnsi="仿宋" w:eastAsia="仿宋"/>
          <w:color w:val="auto"/>
          <w:sz w:val="24"/>
          <w:szCs w:val="24"/>
          <w:highlight w:val="none"/>
        </w:rPr>
        <w:t>1、服务期限：</w:t>
      </w:r>
      <w:r>
        <w:rPr>
          <w:rFonts w:hint="eastAsia" w:ascii="仿宋" w:hAnsi="仿宋" w:eastAsia="仿宋" w:cs="仿宋"/>
          <w:color w:val="auto"/>
          <w:sz w:val="24"/>
          <w:szCs w:val="28"/>
          <w:highlight w:val="none"/>
          <w:lang w:val="en-US" w:eastAsia="zh-CN"/>
        </w:rPr>
        <w:t xml:space="preserve"> </w:t>
      </w:r>
      <w:r>
        <w:rPr>
          <w:rFonts w:hint="eastAsia" w:ascii="仿宋" w:hAnsi="仿宋" w:eastAsia="仿宋" w:cs="仿宋"/>
          <w:color w:val="auto"/>
          <w:sz w:val="24"/>
          <w:szCs w:val="28"/>
          <w:highlight w:val="none"/>
        </w:rPr>
        <w:t>中标人应于合同签订后202</w:t>
      </w:r>
      <w:r>
        <w:rPr>
          <w:rFonts w:hint="eastAsia" w:ascii="仿宋" w:hAnsi="仿宋" w:eastAsia="仿宋" w:cs="仿宋"/>
          <w:color w:val="auto"/>
          <w:sz w:val="24"/>
          <w:szCs w:val="28"/>
          <w:highlight w:val="none"/>
          <w:lang w:val="en-US" w:eastAsia="zh-CN"/>
        </w:rPr>
        <w:t>6</w:t>
      </w:r>
      <w:r>
        <w:rPr>
          <w:rFonts w:hint="eastAsia" w:ascii="仿宋" w:hAnsi="仿宋" w:eastAsia="仿宋" w:cs="仿宋"/>
          <w:color w:val="auto"/>
          <w:sz w:val="24"/>
          <w:szCs w:val="28"/>
          <w:highlight w:val="none"/>
        </w:rPr>
        <w:t>年11月30日之前完成全部任务，并于全部任务完成后的15天内向重庆市</w:t>
      </w:r>
      <w:r>
        <w:rPr>
          <w:rFonts w:hint="eastAsia" w:ascii="仿宋" w:hAnsi="仿宋" w:eastAsia="仿宋" w:cs="仿宋"/>
          <w:color w:val="auto"/>
          <w:sz w:val="24"/>
          <w:szCs w:val="28"/>
          <w:highlight w:val="none"/>
          <w:lang w:val="en-US" w:eastAsia="zh-CN"/>
        </w:rPr>
        <w:t>高新区</w:t>
      </w:r>
      <w:r>
        <w:rPr>
          <w:rFonts w:hint="eastAsia" w:ascii="仿宋" w:hAnsi="仿宋" w:eastAsia="仿宋" w:cs="仿宋"/>
          <w:color w:val="auto"/>
          <w:sz w:val="24"/>
          <w:szCs w:val="28"/>
          <w:highlight w:val="none"/>
        </w:rPr>
        <w:t>市场监督管理局报送检验结果汇总信息及食品</w:t>
      </w:r>
      <w:r>
        <w:rPr>
          <w:rFonts w:hint="eastAsia" w:ascii="仿宋" w:hAnsi="仿宋" w:eastAsia="仿宋" w:cs="仿宋"/>
          <w:color w:val="auto"/>
          <w:sz w:val="24"/>
          <w:szCs w:val="28"/>
          <w:highlight w:val="none"/>
          <w:lang w:val="en-US" w:eastAsia="zh-CN"/>
        </w:rPr>
        <w:t>监督</w:t>
      </w:r>
      <w:r>
        <w:rPr>
          <w:rFonts w:hint="eastAsia" w:ascii="仿宋" w:hAnsi="仿宋" w:eastAsia="仿宋" w:cs="仿宋"/>
          <w:color w:val="auto"/>
          <w:sz w:val="24"/>
          <w:szCs w:val="28"/>
          <w:highlight w:val="none"/>
        </w:rPr>
        <w:t>抽检分析</w:t>
      </w:r>
      <w:r>
        <w:rPr>
          <w:rFonts w:hint="eastAsia" w:ascii="仿宋" w:hAnsi="仿宋" w:eastAsia="仿宋" w:cs="仿宋"/>
          <w:color w:val="auto"/>
          <w:sz w:val="24"/>
          <w:szCs w:val="28"/>
          <w:highlight w:val="none"/>
          <w:lang w:val="en-US" w:eastAsia="zh-CN"/>
        </w:rPr>
        <w:t>报告</w:t>
      </w:r>
      <w:r>
        <w:rPr>
          <w:rFonts w:hint="eastAsia" w:ascii="仿宋" w:hAnsi="仿宋" w:eastAsia="仿宋" w:cs="仿宋"/>
          <w:color w:val="auto"/>
          <w:sz w:val="24"/>
          <w:szCs w:val="28"/>
          <w:highlight w:val="none"/>
        </w:rPr>
        <w:t>。</w:t>
      </w:r>
    </w:p>
    <w:p w14:paraId="2AE2C23D">
      <w:pPr>
        <w:pStyle w:val="269"/>
        <w:spacing w:line="360" w:lineRule="auto"/>
        <w:ind w:firstLine="420"/>
        <w:rPr>
          <w:rFonts w:hint="eastAsia" w:ascii="仿宋" w:hAnsi="仿宋" w:eastAsia="仿宋"/>
          <w:color w:val="auto"/>
          <w:sz w:val="24"/>
          <w:szCs w:val="24"/>
          <w:highlight w:val="none"/>
        </w:rPr>
      </w:pPr>
      <w:r>
        <w:rPr>
          <w:rFonts w:hint="eastAsia" w:ascii="仿宋" w:hAnsi="仿宋" w:eastAsia="仿宋"/>
          <w:color w:val="auto"/>
          <w:sz w:val="24"/>
          <w:szCs w:val="24"/>
          <w:highlight w:val="none"/>
        </w:rPr>
        <w:t>2、服务地点：采购人指定地点。</w:t>
      </w:r>
    </w:p>
    <w:p w14:paraId="6EE20BC9">
      <w:pPr>
        <w:pStyle w:val="269"/>
        <w:spacing w:line="360" w:lineRule="auto"/>
        <w:ind w:firstLine="420"/>
        <w:rPr>
          <w:rFonts w:hint="eastAsia" w:ascii="仿宋" w:hAnsi="仿宋" w:eastAsia="仿宋"/>
          <w:color w:val="auto"/>
          <w:sz w:val="24"/>
          <w:szCs w:val="24"/>
          <w:highlight w:val="none"/>
        </w:rPr>
      </w:pPr>
      <w:r>
        <w:rPr>
          <w:rFonts w:hint="eastAsia" w:ascii="仿宋" w:hAnsi="仿宋" w:eastAsia="仿宋"/>
          <w:color w:val="auto"/>
          <w:sz w:val="24"/>
          <w:szCs w:val="24"/>
          <w:highlight w:val="none"/>
        </w:rPr>
        <w:t>3、验收方式：由采购人按照采购文件相关要求自行组织验收。</w:t>
      </w:r>
    </w:p>
    <w:p w14:paraId="7709CDBF">
      <w:pPr>
        <w:pStyle w:val="5"/>
        <w:spacing w:before="0" w:after="0" w:line="360" w:lineRule="auto"/>
        <w:rPr>
          <w:rFonts w:hint="eastAsia" w:ascii="仿宋" w:hAnsi="仿宋" w:eastAsia="仿宋"/>
          <w:color w:val="auto"/>
          <w:sz w:val="24"/>
          <w:szCs w:val="24"/>
          <w:highlight w:val="none"/>
        </w:rPr>
      </w:pPr>
      <w:bookmarkStart w:id="48" w:name="_Toc22140"/>
      <w:r>
        <w:rPr>
          <w:rFonts w:hint="eastAsia" w:ascii="仿宋" w:hAnsi="仿宋" w:eastAsia="仿宋"/>
          <w:color w:val="auto"/>
          <w:sz w:val="24"/>
          <w:szCs w:val="24"/>
          <w:highlight w:val="none"/>
        </w:rPr>
        <w:t>二、报价方式</w:t>
      </w:r>
      <w:bookmarkEnd w:id="48"/>
      <w:bookmarkStart w:id="49" w:name="_Toc530694353"/>
    </w:p>
    <w:bookmarkEnd w:id="49"/>
    <w:p w14:paraId="09314A01">
      <w:pPr>
        <w:snapToGrid w:val="0"/>
        <w:spacing w:line="480" w:lineRule="exact"/>
        <w:ind w:firstLine="600" w:firstLineChars="250"/>
        <w:rPr>
          <w:rFonts w:hint="eastAsia" w:ascii="仿宋" w:hAnsi="仿宋" w:eastAsia="仿宋"/>
          <w:color w:val="auto"/>
          <w:sz w:val="24"/>
          <w:szCs w:val="24"/>
          <w:highlight w:val="none"/>
        </w:rPr>
      </w:pPr>
      <w:bookmarkStart w:id="50" w:name="_Toc8644"/>
      <w:bookmarkStart w:id="51" w:name="_Toc20611"/>
      <w:r>
        <w:rPr>
          <w:rFonts w:hint="eastAsia" w:ascii="仿宋" w:hAnsi="仿宋" w:eastAsia="仿宋" w:cs="Times New Roman"/>
          <w:color w:val="auto"/>
          <w:sz w:val="24"/>
          <w:szCs w:val="24"/>
          <w:highlight w:val="none"/>
        </w:rPr>
        <w:t>本项目</w:t>
      </w:r>
      <w:r>
        <w:rPr>
          <w:rFonts w:hint="eastAsia" w:ascii="仿宋" w:hAnsi="仿宋" w:eastAsia="仿宋" w:cs="Times New Roman"/>
          <w:color w:val="auto"/>
          <w:sz w:val="24"/>
          <w:szCs w:val="24"/>
          <w:highlight w:val="none"/>
          <w:lang w:val="en-US" w:eastAsia="zh-CN"/>
        </w:rPr>
        <w:t>为人民币报价</w:t>
      </w:r>
      <w:r>
        <w:rPr>
          <w:rFonts w:hint="eastAsia" w:ascii="仿宋" w:hAnsi="仿宋" w:eastAsia="仿宋"/>
          <w:color w:val="auto"/>
          <w:sz w:val="24"/>
          <w:szCs w:val="24"/>
          <w:highlight w:val="none"/>
        </w:rPr>
        <w:t>，报价为包含供应商完成本项目的成本、管理费、利润及各种应纳税费。报价包括完成本项目所需的服务费、人工费及提供服务所需的设备或货物购买（制造）费、辅材费、运输费、装卸费、安装调试费、培训费及各种应纳的税费为包含完成本项目的全部费用，因成交供应商自身原因造成漏报、少报皆由其自行承担责任，采购人不再补偿。</w:t>
      </w:r>
    </w:p>
    <w:p w14:paraId="6A060FB8">
      <w:pPr>
        <w:snapToGrid w:val="0"/>
        <w:spacing w:line="480" w:lineRule="exact"/>
        <w:ind w:firstLine="420"/>
        <w:rPr>
          <w:rFonts w:hint="eastAsia" w:ascii="仿宋" w:hAnsi="仿宋" w:eastAsia="仿宋"/>
          <w:color w:val="auto"/>
          <w:sz w:val="24"/>
          <w:szCs w:val="24"/>
          <w:highlight w:val="none"/>
        </w:rPr>
      </w:pPr>
      <w:r>
        <w:rPr>
          <w:rFonts w:hint="eastAsia" w:ascii="仿宋" w:hAnsi="仿宋" w:eastAsia="仿宋"/>
          <w:color w:val="auto"/>
          <w:sz w:val="24"/>
          <w:szCs w:val="24"/>
          <w:highlight w:val="none"/>
        </w:rPr>
        <w:t xml:space="preserve">  报价不得超过总价最高限价，否则按无效投标处理。</w:t>
      </w:r>
    </w:p>
    <w:p w14:paraId="5D401323">
      <w:pPr>
        <w:snapToGrid w:val="0"/>
        <w:spacing w:line="480" w:lineRule="exact"/>
        <w:rPr>
          <w:rFonts w:hint="eastAsia" w:ascii="仿宋" w:hAnsi="仿宋" w:eastAsia="仿宋"/>
          <w:b/>
          <w:color w:val="auto"/>
          <w:sz w:val="24"/>
          <w:szCs w:val="24"/>
          <w:highlight w:val="none"/>
        </w:rPr>
      </w:pPr>
      <w:r>
        <w:rPr>
          <w:rFonts w:hint="eastAsia" w:ascii="仿宋" w:hAnsi="仿宋" w:eastAsia="仿宋"/>
          <w:b/>
          <w:color w:val="auto"/>
          <w:sz w:val="24"/>
          <w:szCs w:val="24"/>
          <w:highlight w:val="none"/>
        </w:rPr>
        <w:t>三、付款方式</w:t>
      </w:r>
      <w:bookmarkEnd w:id="45"/>
      <w:bookmarkEnd w:id="46"/>
      <w:bookmarkEnd w:id="47"/>
      <w:bookmarkEnd w:id="50"/>
      <w:bookmarkEnd w:id="51"/>
    </w:p>
    <w:p w14:paraId="72E66E07">
      <w:pPr>
        <w:snapToGrid w:val="0"/>
        <w:spacing w:line="480" w:lineRule="exact"/>
        <w:ind w:firstLine="420"/>
        <w:rPr>
          <w:rFonts w:hint="eastAsia" w:ascii="仿宋" w:hAnsi="仿宋" w:eastAsia="仿宋" w:cs="Times New Roman"/>
          <w:color w:val="auto"/>
          <w:sz w:val="24"/>
          <w:szCs w:val="24"/>
          <w:highlight w:val="none"/>
        </w:rPr>
      </w:pPr>
      <w:bookmarkStart w:id="52" w:name="_Toc613"/>
      <w:bookmarkStart w:id="53" w:name="_Toc414610283"/>
      <w:bookmarkStart w:id="54" w:name="_Toc24069"/>
      <w:bookmarkStart w:id="55" w:name="_Toc506192854"/>
      <w:bookmarkStart w:id="56" w:name="_Toc16472"/>
      <w:bookmarkStart w:id="57" w:name="_Toc344475123"/>
      <w:bookmarkStart w:id="58" w:name="_Toc24177"/>
      <w:bookmarkStart w:id="59" w:name="_Toc27862"/>
      <w:r>
        <w:rPr>
          <w:rFonts w:hint="eastAsia" w:ascii="仿宋" w:hAnsi="仿宋" w:eastAsia="仿宋" w:cs="Times New Roman"/>
          <w:color w:val="auto"/>
          <w:sz w:val="24"/>
          <w:szCs w:val="24"/>
          <w:highlight w:val="none"/>
          <w:lang w:val="en-US" w:eastAsia="zh-CN"/>
        </w:rPr>
        <w:t>（1）</w:t>
      </w:r>
      <w:r>
        <w:rPr>
          <w:rFonts w:hint="eastAsia" w:ascii="仿宋" w:hAnsi="仿宋" w:eastAsia="仿宋" w:cs="Times New Roman"/>
          <w:color w:val="auto"/>
          <w:sz w:val="24"/>
          <w:szCs w:val="24"/>
          <w:highlight w:val="none"/>
        </w:rPr>
        <w:t>工作要求</w:t>
      </w:r>
    </w:p>
    <w:p w14:paraId="08B6DAE0">
      <w:pPr>
        <w:snapToGrid w:val="0"/>
        <w:spacing w:line="480" w:lineRule="exact"/>
        <w:ind w:firstLine="420"/>
        <w:rPr>
          <w:rFonts w:hint="eastAsia" w:ascii="仿宋" w:hAnsi="仿宋" w:eastAsia="仿宋" w:cs="Times New Roman"/>
          <w:color w:val="auto"/>
          <w:sz w:val="24"/>
          <w:szCs w:val="24"/>
          <w:highlight w:val="none"/>
          <w:lang w:val="en-US" w:eastAsia="zh-CN"/>
        </w:rPr>
      </w:pPr>
      <w:r>
        <w:rPr>
          <w:rFonts w:hint="eastAsia" w:ascii="仿宋" w:hAnsi="仿宋" w:eastAsia="仿宋" w:cs="仿宋"/>
          <w:color w:val="auto"/>
          <w:sz w:val="24"/>
          <w:szCs w:val="28"/>
          <w:highlight w:val="none"/>
        </w:rPr>
        <w:t>食品</w:t>
      </w:r>
      <w:r>
        <w:rPr>
          <w:rFonts w:hint="eastAsia" w:ascii="仿宋" w:hAnsi="仿宋" w:eastAsia="仿宋" w:cs="仿宋"/>
          <w:color w:val="auto"/>
          <w:sz w:val="24"/>
          <w:szCs w:val="28"/>
          <w:highlight w:val="none"/>
          <w:lang w:val="en-US" w:eastAsia="zh-CN"/>
        </w:rPr>
        <w:t>监督</w:t>
      </w:r>
      <w:r>
        <w:rPr>
          <w:rFonts w:hint="eastAsia" w:ascii="仿宋" w:hAnsi="仿宋" w:eastAsia="仿宋" w:cs="仿宋"/>
          <w:color w:val="auto"/>
          <w:sz w:val="24"/>
          <w:szCs w:val="28"/>
          <w:highlight w:val="none"/>
        </w:rPr>
        <w:t>抽检</w:t>
      </w:r>
      <w:r>
        <w:rPr>
          <w:rFonts w:hint="eastAsia" w:ascii="仿宋" w:hAnsi="仿宋" w:eastAsia="仿宋" w:cs="Times New Roman"/>
          <w:color w:val="auto"/>
          <w:sz w:val="24"/>
          <w:szCs w:val="24"/>
          <w:highlight w:val="none"/>
          <w:lang w:val="en-US" w:eastAsia="zh-CN"/>
        </w:rPr>
        <w:t>工作要求食品抽检不合格率不得低于3.5%。</w:t>
      </w:r>
    </w:p>
    <w:p w14:paraId="2EE5B3B7">
      <w:pPr>
        <w:snapToGrid w:val="0"/>
        <w:spacing w:line="480" w:lineRule="exact"/>
        <w:ind w:firstLine="420"/>
        <w:rPr>
          <w:rFonts w:hint="eastAsia" w:ascii="仿宋" w:hAnsi="仿宋" w:eastAsia="仿宋" w:cs="Times New Roman"/>
          <w:color w:val="auto"/>
          <w:sz w:val="24"/>
          <w:szCs w:val="24"/>
          <w:highlight w:val="none"/>
        </w:rPr>
      </w:pPr>
      <w:r>
        <w:rPr>
          <w:rFonts w:hint="eastAsia" w:ascii="仿宋" w:hAnsi="仿宋" w:eastAsia="仿宋" w:cs="Times New Roman"/>
          <w:color w:val="auto"/>
          <w:sz w:val="24"/>
          <w:szCs w:val="24"/>
          <w:highlight w:val="none"/>
        </w:rPr>
        <w:t>若中标人达到工作要求，则采购人支付全部中标金额。若中标人未达到工作要求，则采购人按比例支付部分中标金额（最少不低于中标金额的80%）。实际支付的中标金额比例与工作要求的对应关系见下表。</w:t>
      </w:r>
    </w:p>
    <w:tbl>
      <w:tblPr>
        <w:tblStyle w:val="63"/>
        <w:tblW w:w="9628" w:type="dxa"/>
        <w:tblInd w:w="-11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51"/>
        <w:gridCol w:w="4777"/>
      </w:tblGrid>
      <w:tr w14:paraId="0A73A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4851" w:type="dxa"/>
            <w:vAlign w:val="center"/>
          </w:tcPr>
          <w:p w14:paraId="464323C2">
            <w:pPr>
              <w:snapToGrid w:val="0"/>
              <w:spacing w:line="480" w:lineRule="exact"/>
              <w:ind w:firstLine="420"/>
              <w:rPr>
                <w:rFonts w:hint="eastAsia" w:ascii="仿宋" w:hAnsi="仿宋" w:eastAsia="仿宋" w:cs="Times New Roman"/>
                <w:color w:val="auto"/>
                <w:sz w:val="24"/>
                <w:szCs w:val="24"/>
                <w:highlight w:val="none"/>
              </w:rPr>
            </w:pPr>
            <w:r>
              <w:rPr>
                <w:rFonts w:hint="eastAsia" w:ascii="仿宋" w:hAnsi="仿宋" w:eastAsia="仿宋" w:cs="Times New Roman"/>
                <w:color w:val="auto"/>
                <w:sz w:val="24"/>
                <w:szCs w:val="24"/>
                <w:highlight w:val="none"/>
              </w:rPr>
              <w:t>食品抽检不合格率</w:t>
            </w:r>
          </w:p>
        </w:tc>
        <w:tc>
          <w:tcPr>
            <w:tcW w:w="4777" w:type="dxa"/>
            <w:vAlign w:val="center"/>
          </w:tcPr>
          <w:p w14:paraId="4D2F9B0D">
            <w:pPr>
              <w:snapToGrid w:val="0"/>
              <w:spacing w:line="480" w:lineRule="exact"/>
              <w:ind w:firstLine="420"/>
              <w:rPr>
                <w:rFonts w:hint="eastAsia" w:ascii="仿宋" w:hAnsi="仿宋" w:eastAsia="仿宋" w:cs="Times New Roman"/>
                <w:color w:val="auto"/>
                <w:sz w:val="24"/>
                <w:szCs w:val="24"/>
                <w:highlight w:val="none"/>
              </w:rPr>
            </w:pPr>
            <w:r>
              <w:rPr>
                <w:rFonts w:hint="eastAsia" w:ascii="仿宋" w:hAnsi="仿宋" w:eastAsia="仿宋" w:cs="Times New Roman"/>
                <w:color w:val="auto"/>
                <w:sz w:val="24"/>
                <w:szCs w:val="24"/>
                <w:highlight w:val="none"/>
              </w:rPr>
              <w:t>实际支付中标金额比例</w:t>
            </w:r>
          </w:p>
        </w:tc>
      </w:tr>
      <w:tr w14:paraId="2C5FEC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4851" w:type="dxa"/>
            <w:vAlign w:val="center"/>
          </w:tcPr>
          <w:p w14:paraId="74536C1C">
            <w:pPr>
              <w:adjustRightInd w:val="0"/>
              <w:snapToGrid w:val="0"/>
              <w:spacing w:line="360" w:lineRule="exact"/>
              <w:jc w:val="center"/>
              <w:rPr>
                <w:rFonts w:hint="default" w:ascii="仿宋" w:hAnsi="仿宋" w:eastAsia="仿宋" w:cs="Times New Roman"/>
                <w:color w:val="auto"/>
                <w:sz w:val="24"/>
                <w:szCs w:val="24"/>
                <w:highlight w:val="none"/>
                <w:lang w:val="en-US" w:eastAsia="zh-CN"/>
              </w:rPr>
            </w:pPr>
            <w:r>
              <w:rPr>
                <w:rFonts w:hint="eastAsia" w:ascii="宋体" w:hAnsi="宋体" w:eastAsia="宋体" w:cs="宋体"/>
                <w:color w:val="auto"/>
                <w:sz w:val="21"/>
                <w:szCs w:val="21"/>
                <w:highlight w:val="none"/>
                <w:lang w:val="en-US" w:eastAsia="zh-CN"/>
              </w:rPr>
              <w:t>3.5</w:t>
            </w:r>
            <w:r>
              <w:rPr>
                <w:rFonts w:hint="eastAsia" w:ascii="宋体" w:hAnsi="宋体" w:eastAsia="宋体" w:cs="宋体"/>
                <w:color w:val="auto"/>
                <w:sz w:val="21"/>
                <w:szCs w:val="21"/>
                <w:highlight w:val="none"/>
              </w:rPr>
              <w:t>%（含）以上</w:t>
            </w:r>
          </w:p>
        </w:tc>
        <w:tc>
          <w:tcPr>
            <w:tcW w:w="4777" w:type="dxa"/>
            <w:vAlign w:val="center"/>
          </w:tcPr>
          <w:p w14:paraId="59521C30">
            <w:pPr>
              <w:adjustRightInd w:val="0"/>
              <w:snapToGrid w:val="0"/>
              <w:spacing w:line="360" w:lineRule="exact"/>
              <w:jc w:val="center"/>
              <w:rPr>
                <w:rFonts w:hint="eastAsia" w:ascii="仿宋" w:hAnsi="仿宋" w:eastAsia="仿宋" w:cs="Times New Roman"/>
                <w:color w:val="auto"/>
                <w:sz w:val="24"/>
                <w:szCs w:val="24"/>
                <w:highlight w:val="none"/>
              </w:rPr>
            </w:pPr>
            <w:r>
              <w:rPr>
                <w:rFonts w:hint="eastAsia" w:ascii="宋体" w:hAnsi="宋体" w:eastAsia="宋体" w:cs="宋体"/>
                <w:color w:val="auto"/>
                <w:sz w:val="21"/>
                <w:szCs w:val="21"/>
                <w:highlight w:val="none"/>
              </w:rPr>
              <w:t>100%</w:t>
            </w:r>
          </w:p>
        </w:tc>
      </w:tr>
      <w:tr w14:paraId="4DDA53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4851" w:type="dxa"/>
            <w:vAlign w:val="center"/>
          </w:tcPr>
          <w:p w14:paraId="7918BFF0">
            <w:pPr>
              <w:adjustRightInd w:val="0"/>
              <w:snapToGrid w:val="0"/>
              <w:spacing w:line="360" w:lineRule="exact"/>
              <w:jc w:val="center"/>
              <w:rPr>
                <w:rFonts w:hint="eastAsia" w:ascii="仿宋" w:hAnsi="仿宋" w:eastAsia="仿宋" w:cs="Times New Roman"/>
                <w:color w:val="auto"/>
                <w:sz w:val="24"/>
                <w:szCs w:val="24"/>
                <w:highlight w:val="none"/>
              </w:rPr>
            </w:pPr>
            <w:r>
              <w:rPr>
                <w:rFonts w:hint="eastAsia" w:ascii="宋体" w:hAnsi="宋体" w:eastAsia="宋体" w:cs="宋体"/>
                <w:color w:val="auto"/>
                <w:sz w:val="21"/>
                <w:szCs w:val="21"/>
                <w:highlight w:val="none"/>
              </w:rPr>
              <w:t xml:space="preserve">3%（含） ~ </w:t>
            </w:r>
            <w:r>
              <w:rPr>
                <w:rFonts w:hint="eastAsia" w:ascii="宋体" w:hAnsi="宋体" w:eastAsia="宋体" w:cs="宋体"/>
                <w:color w:val="auto"/>
                <w:sz w:val="21"/>
                <w:szCs w:val="21"/>
                <w:highlight w:val="none"/>
                <w:lang w:val="en-US" w:eastAsia="zh-CN"/>
              </w:rPr>
              <w:t>3.5</w:t>
            </w:r>
            <w:r>
              <w:rPr>
                <w:rFonts w:hint="eastAsia" w:ascii="宋体" w:hAnsi="宋体" w:eastAsia="宋体" w:cs="宋体"/>
                <w:color w:val="auto"/>
                <w:sz w:val="21"/>
                <w:szCs w:val="21"/>
                <w:highlight w:val="none"/>
              </w:rPr>
              <w:t>%（不含）</w:t>
            </w:r>
          </w:p>
        </w:tc>
        <w:tc>
          <w:tcPr>
            <w:tcW w:w="4777" w:type="dxa"/>
            <w:vAlign w:val="center"/>
          </w:tcPr>
          <w:p w14:paraId="3D7AD3AF">
            <w:pPr>
              <w:adjustRightInd w:val="0"/>
              <w:snapToGrid w:val="0"/>
              <w:spacing w:line="360" w:lineRule="exact"/>
              <w:jc w:val="center"/>
              <w:rPr>
                <w:rFonts w:hint="eastAsia" w:ascii="仿宋" w:hAnsi="仿宋" w:eastAsia="仿宋" w:cs="Times New Roman"/>
                <w:color w:val="auto"/>
                <w:sz w:val="24"/>
                <w:szCs w:val="24"/>
                <w:highlight w:val="none"/>
              </w:rPr>
            </w:pPr>
            <w:r>
              <w:rPr>
                <w:rFonts w:hint="eastAsia" w:ascii="宋体" w:hAnsi="宋体" w:eastAsia="宋体" w:cs="宋体"/>
                <w:color w:val="auto"/>
                <w:sz w:val="21"/>
                <w:szCs w:val="21"/>
                <w:highlight w:val="none"/>
              </w:rPr>
              <w:t>95%</w:t>
            </w:r>
          </w:p>
        </w:tc>
      </w:tr>
      <w:tr w14:paraId="3A2846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4851" w:type="dxa"/>
            <w:vAlign w:val="center"/>
          </w:tcPr>
          <w:p w14:paraId="1ED53A76">
            <w:pPr>
              <w:adjustRightInd w:val="0"/>
              <w:snapToGrid w:val="0"/>
              <w:spacing w:line="360" w:lineRule="exact"/>
              <w:jc w:val="center"/>
              <w:rPr>
                <w:rFonts w:hint="eastAsia" w:ascii="仿宋" w:hAnsi="仿宋" w:eastAsia="仿宋" w:cs="Times New Roman"/>
                <w:color w:val="auto"/>
                <w:sz w:val="24"/>
                <w:szCs w:val="24"/>
                <w:highlight w:val="none"/>
              </w:rPr>
            </w:pPr>
            <w:r>
              <w:rPr>
                <w:rFonts w:hint="eastAsia" w:ascii="宋体" w:hAnsi="宋体" w:eastAsia="宋体" w:cs="宋体"/>
                <w:color w:val="auto"/>
                <w:sz w:val="21"/>
                <w:szCs w:val="21"/>
                <w:highlight w:val="none"/>
                <w:lang w:val="en-US" w:eastAsia="zh-CN"/>
              </w:rPr>
              <w:t>2.5</w:t>
            </w:r>
            <w:r>
              <w:rPr>
                <w:rFonts w:hint="eastAsia" w:ascii="宋体" w:hAnsi="宋体" w:eastAsia="宋体" w:cs="宋体"/>
                <w:color w:val="auto"/>
                <w:sz w:val="21"/>
                <w:szCs w:val="21"/>
                <w:highlight w:val="none"/>
              </w:rPr>
              <w:t>%（含） ~ 3%（不含）</w:t>
            </w:r>
          </w:p>
        </w:tc>
        <w:tc>
          <w:tcPr>
            <w:tcW w:w="4777" w:type="dxa"/>
            <w:vAlign w:val="center"/>
          </w:tcPr>
          <w:p w14:paraId="4C7A944C">
            <w:pPr>
              <w:adjustRightInd w:val="0"/>
              <w:snapToGrid w:val="0"/>
              <w:spacing w:line="360" w:lineRule="exact"/>
              <w:jc w:val="center"/>
              <w:rPr>
                <w:rFonts w:hint="eastAsia" w:ascii="仿宋" w:hAnsi="仿宋" w:eastAsia="仿宋" w:cs="Times New Roman"/>
                <w:color w:val="auto"/>
                <w:sz w:val="24"/>
                <w:szCs w:val="24"/>
                <w:highlight w:val="none"/>
              </w:rPr>
            </w:pPr>
            <w:r>
              <w:rPr>
                <w:rFonts w:hint="eastAsia" w:ascii="宋体" w:hAnsi="宋体" w:eastAsia="宋体" w:cs="宋体"/>
                <w:color w:val="auto"/>
                <w:sz w:val="21"/>
                <w:szCs w:val="21"/>
                <w:highlight w:val="none"/>
              </w:rPr>
              <w:t>90%</w:t>
            </w:r>
          </w:p>
        </w:tc>
      </w:tr>
      <w:tr w14:paraId="4D867A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4851" w:type="dxa"/>
            <w:vAlign w:val="center"/>
          </w:tcPr>
          <w:p w14:paraId="603986BB">
            <w:pPr>
              <w:adjustRightInd w:val="0"/>
              <w:snapToGrid w:val="0"/>
              <w:spacing w:line="360" w:lineRule="exact"/>
              <w:jc w:val="center"/>
              <w:rPr>
                <w:rFonts w:hint="eastAsia" w:ascii="仿宋" w:hAnsi="仿宋" w:eastAsia="仿宋" w:cs="Times New Roman"/>
                <w:color w:val="auto"/>
                <w:sz w:val="24"/>
                <w:szCs w:val="24"/>
                <w:highlight w:val="none"/>
              </w:rPr>
            </w:pPr>
            <w:r>
              <w:rPr>
                <w:rFonts w:hint="eastAsia" w:ascii="宋体" w:hAnsi="宋体" w:eastAsia="宋体" w:cs="宋体"/>
                <w:color w:val="auto"/>
                <w:sz w:val="21"/>
                <w:szCs w:val="21"/>
                <w:highlight w:val="none"/>
              </w:rPr>
              <w:t xml:space="preserve">2%（含） ~ </w:t>
            </w:r>
            <w:r>
              <w:rPr>
                <w:rFonts w:hint="eastAsia" w:ascii="宋体" w:hAnsi="宋体" w:eastAsia="宋体" w:cs="宋体"/>
                <w:color w:val="auto"/>
                <w:sz w:val="21"/>
                <w:szCs w:val="21"/>
                <w:highlight w:val="none"/>
                <w:lang w:val="en-US" w:eastAsia="zh-CN"/>
              </w:rPr>
              <w:t>2.5</w:t>
            </w:r>
            <w:r>
              <w:rPr>
                <w:rFonts w:hint="eastAsia" w:ascii="宋体" w:hAnsi="宋体" w:eastAsia="宋体" w:cs="宋体"/>
                <w:color w:val="auto"/>
                <w:sz w:val="21"/>
                <w:szCs w:val="21"/>
                <w:highlight w:val="none"/>
              </w:rPr>
              <w:t>%（不含）</w:t>
            </w:r>
          </w:p>
        </w:tc>
        <w:tc>
          <w:tcPr>
            <w:tcW w:w="4777" w:type="dxa"/>
            <w:vAlign w:val="center"/>
          </w:tcPr>
          <w:p w14:paraId="77B301B5">
            <w:pPr>
              <w:adjustRightInd w:val="0"/>
              <w:snapToGrid w:val="0"/>
              <w:spacing w:line="360" w:lineRule="exact"/>
              <w:jc w:val="center"/>
              <w:rPr>
                <w:rFonts w:hint="eastAsia" w:ascii="仿宋" w:hAnsi="仿宋" w:eastAsia="仿宋" w:cs="Times New Roman"/>
                <w:color w:val="auto"/>
                <w:sz w:val="24"/>
                <w:szCs w:val="24"/>
                <w:highlight w:val="none"/>
              </w:rPr>
            </w:pPr>
            <w:r>
              <w:rPr>
                <w:rFonts w:hint="eastAsia" w:ascii="宋体" w:hAnsi="宋体" w:eastAsia="宋体" w:cs="宋体"/>
                <w:color w:val="auto"/>
                <w:sz w:val="21"/>
                <w:szCs w:val="21"/>
                <w:highlight w:val="none"/>
              </w:rPr>
              <w:t>85%</w:t>
            </w:r>
          </w:p>
        </w:tc>
      </w:tr>
    </w:tbl>
    <w:p w14:paraId="3F44DD33">
      <w:pPr>
        <w:snapToGrid w:val="0"/>
        <w:spacing w:line="480" w:lineRule="exact"/>
        <w:ind w:firstLine="420"/>
        <w:rPr>
          <w:rFonts w:hint="eastAsia" w:ascii="仿宋" w:hAnsi="仿宋" w:eastAsia="仿宋" w:cs="Times New Roman"/>
          <w:color w:val="auto"/>
          <w:sz w:val="24"/>
          <w:szCs w:val="24"/>
          <w:highlight w:val="none"/>
          <w:lang w:val="en-US" w:eastAsia="zh-CN"/>
        </w:rPr>
      </w:pPr>
    </w:p>
    <w:p w14:paraId="0C98A848">
      <w:pPr>
        <w:snapToGrid w:val="0"/>
        <w:spacing w:line="480" w:lineRule="exact"/>
        <w:ind w:firstLine="420"/>
        <w:rPr>
          <w:rFonts w:hint="eastAsia" w:ascii="仿宋" w:hAnsi="仿宋" w:eastAsia="仿宋" w:cs="Times New Roman"/>
          <w:color w:val="auto"/>
          <w:sz w:val="24"/>
          <w:szCs w:val="24"/>
          <w:highlight w:val="none"/>
        </w:rPr>
      </w:pPr>
      <w:r>
        <w:rPr>
          <w:rFonts w:hint="eastAsia" w:ascii="仿宋" w:hAnsi="仿宋" w:eastAsia="仿宋" w:cs="Times New Roman"/>
          <w:color w:val="auto"/>
          <w:sz w:val="24"/>
          <w:szCs w:val="24"/>
          <w:highlight w:val="none"/>
          <w:lang w:val="en-US" w:eastAsia="zh-CN"/>
        </w:rPr>
        <w:t>（2）</w:t>
      </w:r>
      <w:r>
        <w:rPr>
          <w:rFonts w:hint="eastAsia" w:ascii="仿宋" w:hAnsi="仿宋" w:eastAsia="仿宋" w:cs="Times New Roman"/>
          <w:color w:val="auto"/>
          <w:sz w:val="24"/>
          <w:szCs w:val="24"/>
          <w:highlight w:val="none"/>
        </w:rPr>
        <w:t>支付条款</w:t>
      </w:r>
    </w:p>
    <w:bookmarkEnd w:id="52"/>
    <w:bookmarkEnd w:id="53"/>
    <w:bookmarkEnd w:id="54"/>
    <w:bookmarkEnd w:id="55"/>
    <w:bookmarkEnd w:id="56"/>
    <w:bookmarkEnd w:id="57"/>
    <w:bookmarkEnd w:id="58"/>
    <w:bookmarkEnd w:id="59"/>
    <w:p w14:paraId="18F7550A">
      <w:pPr>
        <w:snapToGrid w:val="0"/>
        <w:spacing w:line="480" w:lineRule="exact"/>
        <w:ind w:firstLine="420"/>
        <w:rPr>
          <w:rFonts w:hint="eastAsia" w:ascii="仿宋" w:hAnsi="仿宋" w:eastAsia="仿宋" w:cs="Times New Roman"/>
          <w:color w:val="auto"/>
          <w:sz w:val="24"/>
          <w:szCs w:val="24"/>
          <w:highlight w:val="none"/>
          <w:lang w:val="en-US" w:eastAsia="zh-CN"/>
        </w:rPr>
      </w:pPr>
      <w:bookmarkStart w:id="60" w:name="_Toc22554"/>
      <w:r>
        <w:rPr>
          <w:rFonts w:hint="eastAsia" w:ascii="仿宋" w:hAnsi="仿宋" w:eastAsia="仿宋" w:cs="Times New Roman"/>
          <w:color w:val="auto"/>
          <w:sz w:val="24"/>
          <w:szCs w:val="24"/>
          <w:highlight w:val="none"/>
          <w:lang w:val="en-US" w:eastAsia="zh-CN"/>
        </w:rPr>
        <w:t>本项目无预付款。中标人完成所有检测任务后（按出具不合格/合格检验报告计），采购人根据中标人提交的所有档案资料和项目验收情况，并按《实际支付的中标金额比例与工作要求的对应关系》向中标人支付剩余合同金额，中标人应向采购人提供与支付金额同等的发票。</w:t>
      </w:r>
    </w:p>
    <w:p w14:paraId="2ECF4979">
      <w:pPr>
        <w:snapToGrid w:val="0"/>
        <w:spacing w:line="480" w:lineRule="exact"/>
        <w:rPr>
          <w:rFonts w:hint="default" w:ascii="仿宋" w:hAnsi="仿宋" w:eastAsia="仿宋" w:cs="Times New Roman"/>
          <w:b/>
          <w:color w:val="auto"/>
          <w:sz w:val="24"/>
          <w:szCs w:val="24"/>
          <w:highlight w:val="none"/>
          <w:lang w:val="en-US" w:eastAsia="zh-CN"/>
        </w:rPr>
      </w:pPr>
      <w:r>
        <w:rPr>
          <w:rFonts w:hint="eastAsia" w:ascii="仿宋" w:hAnsi="仿宋" w:eastAsia="仿宋" w:cs="Times New Roman"/>
          <w:b/>
          <w:color w:val="auto"/>
          <w:sz w:val="24"/>
          <w:szCs w:val="24"/>
          <w:highlight w:val="none"/>
          <w:lang w:val="en-US" w:eastAsia="zh-CN"/>
        </w:rPr>
        <w:t>四、违约责任</w:t>
      </w:r>
    </w:p>
    <w:p w14:paraId="00F1F520">
      <w:pPr>
        <w:snapToGrid w:val="0"/>
        <w:spacing w:line="480" w:lineRule="exact"/>
        <w:ind w:firstLine="420"/>
        <w:rPr>
          <w:rFonts w:hint="eastAsia" w:ascii="仿宋" w:hAnsi="仿宋" w:eastAsia="仿宋" w:cs="Times New Roman"/>
          <w:color w:val="auto"/>
          <w:sz w:val="24"/>
          <w:szCs w:val="24"/>
          <w:highlight w:val="none"/>
          <w:lang w:val="en-US" w:eastAsia="zh-CN"/>
        </w:rPr>
      </w:pPr>
      <w:r>
        <w:rPr>
          <w:rFonts w:hint="eastAsia" w:ascii="仿宋" w:hAnsi="仿宋" w:eastAsia="仿宋" w:cs="Times New Roman"/>
          <w:color w:val="auto"/>
          <w:sz w:val="24"/>
          <w:szCs w:val="24"/>
          <w:highlight w:val="none"/>
          <w:lang w:val="en-US" w:eastAsia="zh-CN"/>
        </w:rPr>
        <w:t>1.违约责任按《中华人民共和国民法典》、《中华人民共和国政府采购法》执行。如发生以下情形的，采购人有权终止合同。若给采购人造成的损失，采购人有权向中标人索赔。对违约情节严重者，采购人有权禁止违约方再次合作机会，并将违约行为呈报国家市场监管总局，通报承检机构所在地省级市场监管局。此外，中标人还需承担其他相应的法律责任:</w:t>
      </w:r>
    </w:p>
    <w:p w14:paraId="2D6C8536">
      <w:pPr>
        <w:snapToGrid w:val="0"/>
        <w:spacing w:line="480" w:lineRule="exact"/>
        <w:ind w:firstLine="420"/>
        <w:rPr>
          <w:rFonts w:hint="eastAsia" w:ascii="仿宋" w:hAnsi="仿宋" w:eastAsia="仿宋" w:cs="Times New Roman"/>
          <w:color w:val="auto"/>
          <w:sz w:val="24"/>
          <w:szCs w:val="24"/>
          <w:highlight w:val="none"/>
          <w:lang w:val="en-US" w:eastAsia="zh-CN"/>
        </w:rPr>
      </w:pPr>
      <w:r>
        <w:rPr>
          <w:rFonts w:hint="default" w:ascii="仿宋" w:hAnsi="仿宋" w:eastAsia="仿宋" w:cs="Times New Roman"/>
          <w:color w:val="auto"/>
          <w:sz w:val="24"/>
          <w:szCs w:val="24"/>
          <w:highlight w:val="none"/>
          <w:lang w:val="en-US" w:eastAsia="zh-CN"/>
        </w:rPr>
        <w:t>①</w:t>
      </w:r>
      <w:r>
        <w:rPr>
          <w:rFonts w:hint="eastAsia" w:ascii="仿宋" w:hAnsi="仿宋" w:eastAsia="仿宋" w:cs="Times New Roman"/>
          <w:color w:val="auto"/>
          <w:sz w:val="24"/>
          <w:szCs w:val="24"/>
          <w:highlight w:val="none"/>
          <w:lang w:val="en-US" w:eastAsia="zh-CN"/>
        </w:rPr>
        <w:t>中标人是否存在违反纪律要求的情形;</w:t>
      </w:r>
    </w:p>
    <w:p w14:paraId="50DBBC18">
      <w:pPr>
        <w:snapToGrid w:val="0"/>
        <w:spacing w:line="480" w:lineRule="exact"/>
        <w:ind w:firstLine="420"/>
        <w:rPr>
          <w:rFonts w:hint="eastAsia" w:ascii="仿宋" w:hAnsi="仿宋" w:eastAsia="仿宋" w:cs="Times New Roman"/>
          <w:color w:val="auto"/>
          <w:sz w:val="24"/>
          <w:szCs w:val="24"/>
          <w:highlight w:val="none"/>
          <w:lang w:val="en-US" w:eastAsia="zh-CN"/>
        </w:rPr>
      </w:pPr>
      <w:r>
        <w:rPr>
          <w:rFonts w:hint="default" w:ascii="仿宋" w:hAnsi="仿宋" w:eastAsia="仿宋" w:cs="Times New Roman"/>
          <w:color w:val="auto"/>
          <w:sz w:val="24"/>
          <w:szCs w:val="24"/>
          <w:highlight w:val="none"/>
          <w:lang w:val="en-US" w:eastAsia="zh-CN"/>
        </w:rPr>
        <w:t>②</w:t>
      </w:r>
      <w:r>
        <w:rPr>
          <w:rFonts w:hint="eastAsia" w:ascii="仿宋" w:hAnsi="仿宋" w:eastAsia="仿宋" w:cs="Times New Roman"/>
          <w:color w:val="auto"/>
          <w:sz w:val="24"/>
          <w:szCs w:val="24"/>
          <w:highlight w:val="none"/>
          <w:lang w:val="en-US" w:eastAsia="zh-CN"/>
        </w:rPr>
        <w:t>中标人是否按时完成食品监督抽检任务；</w:t>
      </w:r>
    </w:p>
    <w:p w14:paraId="0ACE735B">
      <w:pPr>
        <w:snapToGrid w:val="0"/>
        <w:spacing w:line="480" w:lineRule="exact"/>
        <w:ind w:firstLine="420"/>
        <w:rPr>
          <w:rFonts w:hint="eastAsia" w:ascii="仿宋" w:hAnsi="仿宋" w:eastAsia="仿宋" w:cs="Times New Roman"/>
          <w:color w:val="auto"/>
          <w:sz w:val="24"/>
          <w:szCs w:val="24"/>
          <w:highlight w:val="none"/>
          <w:lang w:val="en-US" w:eastAsia="zh-CN"/>
        </w:rPr>
      </w:pPr>
      <w:r>
        <w:rPr>
          <w:rFonts w:hint="eastAsia" w:ascii="仿宋" w:hAnsi="仿宋" w:eastAsia="仿宋" w:cs="Times New Roman"/>
          <w:color w:val="auto"/>
          <w:sz w:val="24"/>
          <w:szCs w:val="24"/>
          <w:highlight w:val="none"/>
          <w:lang w:val="en-US" w:eastAsia="zh-CN"/>
        </w:rPr>
        <w:t>③中标人是否按照招标要求开展抽检工作，是否存在出具虚假、错误检测数据和结论的违规行为；</w:t>
      </w:r>
    </w:p>
    <w:p w14:paraId="641194F2">
      <w:pPr>
        <w:snapToGrid w:val="0"/>
        <w:spacing w:line="480" w:lineRule="exact"/>
        <w:ind w:firstLine="420"/>
        <w:rPr>
          <w:rFonts w:hint="eastAsia" w:ascii="仿宋" w:hAnsi="仿宋" w:eastAsia="仿宋" w:cs="Times New Roman"/>
          <w:color w:val="auto"/>
          <w:sz w:val="24"/>
          <w:szCs w:val="24"/>
          <w:highlight w:val="none"/>
          <w:lang w:val="en-US" w:eastAsia="zh-CN"/>
        </w:rPr>
      </w:pPr>
      <w:r>
        <w:rPr>
          <w:rFonts w:hint="eastAsia" w:ascii="仿宋" w:hAnsi="仿宋" w:eastAsia="仿宋" w:cs="Times New Roman"/>
          <w:color w:val="auto"/>
          <w:sz w:val="24"/>
          <w:szCs w:val="24"/>
          <w:highlight w:val="none"/>
          <w:lang w:val="en-US" w:eastAsia="zh-CN"/>
        </w:rPr>
        <w:t>④采购人对备样再测后发现是否存在与初检结论不一致的情形；</w:t>
      </w:r>
    </w:p>
    <w:p w14:paraId="13A9D60A">
      <w:pPr>
        <w:snapToGrid w:val="0"/>
        <w:spacing w:line="480" w:lineRule="exact"/>
        <w:ind w:firstLine="420"/>
        <w:rPr>
          <w:rFonts w:hint="eastAsia" w:ascii="仿宋" w:hAnsi="仿宋" w:eastAsia="仿宋" w:cs="Times New Roman"/>
          <w:color w:val="auto"/>
          <w:sz w:val="24"/>
          <w:szCs w:val="24"/>
          <w:highlight w:val="none"/>
          <w:lang w:val="en-US" w:eastAsia="zh-CN"/>
        </w:rPr>
      </w:pPr>
      <w:r>
        <w:rPr>
          <w:rFonts w:hint="eastAsia" w:ascii="仿宋" w:hAnsi="仿宋" w:eastAsia="仿宋" w:cs="Times New Roman"/>
          <w:color w:val="auto"/>
          <w:sz w:val="24"/>
          <w:szCs w:val="24"/>
          <w:highlight w:val="none"/>
          <w:lang w:val="en-US" w:eastAsia="zh-CN"/>
        </w:rPr>
        <w:t>⑤中标人是否存在以任何形式泄露抽检信息以及数据的情形。</w:t>
      </w:r>
    </w:p>
    <w:p w14:paraId="248B6405">
      <w:pPr>
        <w:snapToGrid w:val="0"/>
        <w:spacing w:line="480" w:lineRule="exact"/>
        <w:rPr>
          <w:rFonts w:hint="eastAsia" w:ascii="仿宋" w:hAnsi="仿宋" w:eastAsia="仿宋" w:cs="Times New Roman"/>
          <w:b/>
          <w:color w:val="auto"/>
          <w:sz w:val="24"/>
          <w:szCs w:val="24"/>
          <w:highlight w:val="none"/>
          <w:lang w:val="en-US" w:eastAsia="zh-CN"/>
        </w:rPr>
      </w:pPr>
      <w:bookmarkStart w:id="61" w:name="_Toc19456"/>
      <w:r>
        <w:rPr>
          <w:rFonts w:hint="eastAsia" w:ascii="仿宋" w:hAnsi="仿宋" w:eastAsia="仿宋" w:cs="Times New Roman"/>
          <w:b/>
          <w:color w:val="auto"/>
          <w:sz w:val="24"/>
          <w:szCs w:val="24"/>
          <w:highlight w:val="none"/>
          <w:lang w:val="en-US" w:eastAsia="zh-CN"/>
        </w:rPr>
        <w:t>五、知识产权</w:t>
      </w:r>
      <w:bookmarkEnd w:id="61"/>
    </w:p>
    <w:p w14:paraId="3C681F73">
      <w:pPr>
        <w:snapToGrid w:val="0"/>
        <w:spacing w:line="480" w:lineRule="exact"/>
        <w:ind w:firstLine="420"/>
        <w:rPr>
          <w:rFonts w:hint="eastAsia" w:ascii="仿宋" w:hAnsi="仿宋" w:eastAsia="仿宋" w:cs="Times New Roman"/>
          <w:color w:val="auto"/>
          <w:sz w:val="24"/>
          <w:szCs w:val="24"/>
          <w:highlight w:val="none"/>
          <w:lang w:val="en-US" w:eastAsia="zh-CN"/>
        </w:rPr>
      </w:pPr>
      <w:r>
        <w:rPr>
          <w:rFonts w:hint="eastAsia" w:ascii="仿宋" w:hAnsi="仿宋" w:eastAsia="仿宋" w:cs="Times New Roman"/>
          <w:color w:val="auto"/>
          <w:sz w:val="24"/>
          <w:szCs w:val="24"/>
          <w:highlight w:val="none"/>
          <w:lang w:val="en-US" w:eastAsia="zh-CN"/>
        </w:rPr>
        <w:t>采购人在中华人民共和国境内使用投标人提供的货物及服务时免受第三方提出的侵犯其专利权或其它知识产权的起诉。如果第三方提出侵权指控，中标人应承担由此而引起的一切法律责任和费用。</w:t>
      </w:r>
    </w:p>
    <w:p w14:paraId="531A6D51">
      <w:pPr>
        <w:snapToGrid w:val="0"/>
        <w:spacing w:line="480" w:lineRule="exact"/>
        <w:rPr>
          <w:rFonts w:hint="eastAsia" w:ascii="仿宋" w:hAnsi="仿宋" w:eastAsia="仿宋" w:cs="Times New Roman"/>
          <w:b/>
          <w:color w:val="auto"/>
          <w:sz w:val="24"/>
          <w:szCs w:val="24"/>
          <w:highlight w:val="none"/>
          <w:lang w:val="en-US" w:eastAsia="zh-CN"/>
        </w:rPr>
      </w:pPr>
      <w:bookmarkStart w:id="62" w:name="_Toc10273"/>
      <w:r>
        <w:rPr>
          <w:rFonts w:hint="eastAsia" w:ascii="仿宋" w:hAnsi="仿宋" w:eastAsia="仿宋" w:cs="Times New Roman"/>
          <w:b/>
          <w:color w:val="auto"/>
          <w:sz w:val="24"/>
          <w:szCs w:val="24"/>
          <w:highlight w:val="none"/>
          <w:lang w:val="en-US" w:eastAsia="zh-CN"/>
        </w:rPr>
        <w:t>六、其他商务要求内容</w:t>
      </w:r>
      <w:bookmarkEnd w:id="62"/>
    </w:p>
    <w:p w14:paraId="26D4DF2C">
      <w:pPr>
        <w:snapToGrid w:val="0"/>
        <w:spacing w:line="480" w:lineRule="exact"/>
        <w:ind w:firstLine="420"/>
        <w:rPr>
          <w:rFonts w:hint="eastAsia" w:ascii="仿宋" w:hAnsi="仿宋" w:eastAsia="仿宋" w:cs="Times New Roman"/>
          <w:color w:val="auto"/>
          <w:sz w:val="24"/>
          <w:szCs w:val="24"/>
          <w:highlight w:val="none"/>
          <w:lang w:val="en-US" w:eastAsia="zh-CN"/>
        </w:rPr>
      </w:pPr>
      <w:r>
        <w:rPr>
          <w:rFonts w:hint="eastAsia" w:ascii="仿宋" w:hAnsi="仿宋" w:eastAsia="仿宋" w:cs="Times New Roman"/>
          <w:color w:val="auto"/>
          <w:sz w:val="24"/>
          <w:szCs w:val="24"/>
          <w:highlight w:val="none"/>
          <w:lang w:val="en-US" w:eastAsia="zh-CN"/>
        </w:rPr>
        <w:t>（一）投标人必须在投标文件中对以上条款和服务承诺明确列出，承诺内容必须达到本篇及招标文件其他条款的要求。（承诺格式自拟）</w:t>
      </w:r>
    </w:p>
    <w:p w14:paraId="31B7E3EE">
      <w:pPr>
        <w:snapToGrid w:val="0"/>
        <w:spacing w:line="480" w:lineRule="exact"/>
        <w:ind w:firstLine="420"/>
        <w:rPr>
          <w:rFonts w:hint="eastAsia" w:ascii="仿宋" w:hAnsi="仿宋" w:eastAsia="仿宋" w:cs="Times New Roman"/>
          <w:color w:val="auto"/>
          <w:sz w:val="24"/>
          <w:szCs w:val="24"/>
          <w:highlight w:val="none"/>
          <w:lang w:val="en-US" w:eastAsia="zh-CN"/>
        </w:rPr>
      </w:pPr>
      <w:r>
        <w:rPr>
          <w:rFonts w:hint="eastAsia" w:ascii="仿宋" w:hAnsi="仿宋" w:eastAsia="仿宋" w:cs="Times New Roman"/>
          <w:color w:val="auto"/>
          <w:sz w:val="24"/>
          <w:szCs w:val="24"/>
          <w:highlight w:val="none"/>
          <w:lang w:val="en-US" w:eastAsia="zh-CN"/>
        </w:rPr>
        <w:t>（二）其他未尽事宜由供需双方在采购合同中详细约定。</w:t>
      </w:r>
    </w:p>
    <w:p w14:paraId="3DEC639B">
      <w:pPr>
        <w:snapToGrid w:val="0"/>
        <w:spacing w:line="480" w:lineRule="exact"/>
        <w:ind w:firstLine="420"/>
        <w:rPr>
          <w:rFonts w:hint="eastAsia" w:ascii="仿宋" w:hAnsi="仿宋" w:eastAsia="仿宋" w:cs="Times New Roman"/>
          <w:color w:val="auto"/>
          <w:sz w:val="24"/>
          <w:szCs w:val="24"/>
          <w:highlight w:val="none"/>
          <w:lang w:val="en-US" w:eastAsia="zh-CN"/>
        </w:rPr>
      </w:pPr>
    </w:p>
    <w:p w14:paraId="2C724CE7">
      <w:pPr>
        <w:pStyle w:val="4"/>
        <w:pageBreakBefore/>
        <w:spacing w:before="0" w:after="0" w:line="360" w:lineRule="auto"/>
        <w:rPr>
          <w:rFonts w:hint="eastAsia" w:ascii="仿宋" w:hAnsi="仿宋" w:eastAsia="仿宋"/>
          <w:b w:val="0"/>
          <w:color w:val="auto"/>
          <w:spacing w:val="-11"/>
          <w:sz w:val="36"/>
          <w:szCs w:val="30"/>
          <w:highlight w:val="none"/>
        </w:rPr>
      </w:pPr>
      <w:r>
        <w:rPr>
          <w:rFonts w:hint="eastAsia" w:ascii="仿宋" w:hAnsi="仿宋" w:eastAsia="仿宋"/>
          <w:b w:val="0"/>
          <w:color w:val="auto"/>
          <w:spacing w:val="-11"/>
          <w:sz w:val="36"/>
          <w:szCs w:val="30"/>
          <w:highlight w:val="none"/>
        </w:rPr>
        <w:t>第四篇 网上竞采程序及方法、评审标准、响应无效和</w:t>
      </w:r>
      <w:r>
        <w:rPr>
          <w:rFonts w:hint="eastAsia" w:ascii="仿宋" w:hAnsi="仿宋" w:eastAsia="仿宋"/>
          <w:b w:val="0"/>
          <w:color w:val="auto"/>
          <w:spacing w:val="-11"/>
          <w:sz w:val="36"/>
          <w:szCs w:val="36"/>
          <w:highlight w:val="none"/>
        </w:rPr>
        <w:t>采购终止</w:t>
      </w:r>
      <w:bookmarkEnd w:id="41"/>
      <w:bookmarkEnd w:id="60"/>
    </w:p>
    <w:p w14:paraId="6513B7CC">
      <w:pPr>
        <w:pStyle w:val="5"/>
        <w:spacing w:before="0" w:after="0" w:line="360" w:lineRule="auto"/>
        <w:rPr>
          <w:rFonts w:hint="eastAsia" w:ascii="仿宋" w:hAnsi="仿宋" w:eastAsia="仿宋"/>
          <w:color w:val="auto"/>
          <w:sz w:val="24"/>
          <w:szCs w:val="24"/>
          <w:highlight w:val="none"/>
        </w:rPr>
      </w:pPr>
      <w:bookmarkStart w:id="63" w:name="_Toc28408"/>
      <w:bookmarkStart w:id="64" w:name="_Toc13797"/>
      <w:r>
        <w:rPr>
          <w:rFonts w:hint="eastAsia" w:ascii="仿宋" w:hAnsi="仿宋" w:eastAsia="仿宋"/>
          <w:color w:val="auto"/>
          <w:sz w:val="24"/>
          <w:szCs w:val="24"/>
          <w:highlight w:val="none"/>
        </w:rPr>
        <w:t>一、网上竞采程序及方法</w:t>
      </w:r>
      <w:bookmarkEnd w:id="63"/>
      <w:bookmarkEnd w:id="64"/>
    </w:p>
    <w:p w14:paraId="17173E1B">
      <w:pPr>
        <w:spacing w:line="360" w:lineRule="auto"/>
        <w:ind w:firstLine="480" w:firstLineChars="200"/>
        <w:rPr>
          <w:rFonts w:hint="eastAsia" w:ascii="仿宋" w:hAnsi="仿宋" w:eastAsia="仿宋"/>
          <w:color w:val="auto"/>
          <w:sz w:val="24"/>
          <w:szCs w:val="24"/>
          <w:highlight w:val="none"/>
        </w:rPr>
      </w:pPr>
      <w:r>
        <w:rPr>
          <w:rFonts w:hint="eastAsia" w:ascii="仿宋" w:hAnsi="仿宋" w:eastAsia="仿宋"/>
          <w:color w:val="auto"/>
          <w:sz w:val="24"/>
          <w:szCs w:val="24"/>
          <w:highlight w:val="none"/>
        </w:rPr>
        <w:t>（一）评审小组对各供应商的资格条件、响应文件的有效性、完整性和响应程度进行审查。各供应商只有在完全符合要求的前提下，才能参与正式网上竞采。</w:t>
      </w:r>
    </w:p>
    <w:p w14:paraId="58F31283">
      <w:pPr>
        <w:snapToGrid w:val="0"/>
        <w:spacing w:line="360" w:lineRule="auto"/>
        <w:ind w:firstLine="480" w:firstLineChars="200"/>
        <w:rPr>
          <w:rFonts w:hint="eastAsia" w:ascii="仿宋" w:hAnsi="仿宋" w:eastAsia="仿宋" w:cs="宋体"/>
          <w:color w:val="auto"/>
          <w:kern w:val="0"/>
          <w:sz w:val="24"/>
          <w:szCs w:val="24"/>
          <w:highlight w:val="none"/>
        </w:rPr>
      </w:pPr>
      <w:r>
        <w:rPr>
          <w:rFonts w:hint="eastAsia" w:ascii="仿宋" w:hAnsi="仿宋" w:eastAsia="仿宋"/>
          <w:color w:val="auto"/>
          <w:sz w:val="24"/>
          <w:szCs w:val="24"/>
          <w:highlight w:val="none"/>
        </w:rPr>
        <w:t>1.</w:t>
      </w:r>
      <w:r>
        <w:rPr>
          <w:rFonts w:hint="eastAsia" w:ascii="仿宋" w:hAnsi="仿宋" w:eastAsia="仿宋" w:cs="宋体"/>
          <w:color w:val="auto"/>
          <w:kern w:val="0"/>
          <w:sz w:val="24"/>
          <w:szCs w:val="24"/>
          <w:highlight w:val="none"/>
        </w:rPr>
        <w:t>资格性检查。依据法律法规和网上竞采文件的规定，对响应文件中的资格证明、进行审查，以确定供应商是否具备网上竞采资格。资格性检查资料表如下：</w:t>
      </w:r>
    </w:p>
    <w:tbl>
      <w:tblPr>
        <w:tblStyle w:val="63"/>
        <w:tblW w:w="96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6"/>
        <w:gridCol w:w="709"/>
        <w:gridCol w:w="3685"/>
        <w:gridCol w:w="4558"/>
      </w:tblGrid>
      <w:tr w14:paraId="7F3568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6" w:type="dxa"/>
            <w:vAlign w:val="center"/>
          </w:tcPr>
          <w:p w14:paraId="52C81C67">
            <w:pPr>
              <w:spacing w:line="240" w:lineRule="exact"/>
              <w:jc w:val="center"/>
              <w:rPr>
                <w:rFonts w:hint="eastAsia" w:ascii="仿宋" w:hAnsi="仿宋" w:eastAsia="仿宋" w:cs="宋体"/>
                <w:b/>
                <w:color w:val="auto"/>
                <w:kern w:val="0"/>
                <w:sz w:val="24"/>
                <w:szCs w:val="24"/>
                <w:highlight w:val="none"/>
              </w:rPr>
            </w:pPr>
            <w:r>
              <w:rPr>
                <w:rFonts w:ascii="仿宋" w:hAnsi="仿宋" w:eastAsia="仿宋" w:cs="宋体"/>
                <w:b/>
                <w:color w:val="auto"/>
                <w:kern w:val="0"/>
                <w:sz w:val="24"/>
                <w:szCs w:val="24"/>
                <w:highlight w:val="none"/>
              </w:rPr>
              <w:t>序号</w:t>
            </w:r>
          </w:p>
        </w:tc>
        <w:tc>
          <w:tcPr>
            <w:tcW w:w="4394" w:type="dxa"/>
            <w:gridSpan w:val="2"/>
            <w:vAlign w:val="center"/>
          </w:tcPr>
          <w:p w14:paraId="7ADB27DC">
            <w:pPr>
              <w:spacing w:line="240" w:lineRule="exact"/>
              <w:jc w:val="center"/>
              <w:rPr>
                <w:rFonts w:hint="eastAsia" w:ascii="仿宋" w:hAnsi="仿宋" w:eastAsia="仿宋" w:cs="宋体"/>
                <w:b/>
                <w:color w:val="auto"/>
                <w:kern w:val="0"/>
                <w:sz w:val="24"/>
                <w:szCs w:val="24"/>
                <w:highlight w:val="none"/>
              </w:rPr>
            </w:pPr>
            <w:r>
              <w:rPr>
                <w:rFonts w:ascii="仿宋" w:hAnsi="仿宋" w:eastAsia="仿宋" w:cs="宋体"/>
                <w:b/>
                <w:color w:val="auto"/>
                <w:kern w:val="0"/>
                <w:sz w:val="24"/>
                <w:szCs w:val="24"/>
                <w:highlight w:val="none"/>
              </w:rPr>
              <w:t>检查因素</w:t>
            </w:r>
          </w:p>
        </w:tc>
        <w:tc>
          <w:tcPr>
            <w:tcW w:w="4558" w:type="dxa"/>
            <w:vAlign w:val="center"/>
          </w:tcPr>
          <w:p w14:paraId="352FFC1A">
            <w:pPr>
              <w:spacing w:line="240" w:lineRule="exact"/>
              <w:jc w:val="center"/>
              <w:rPr>
                <w:rFonts w:hint="eastAsia" w:ascii="仿宋" w:hAnsi="仿宋" w:eastAsia="仿宋" w:cs="宋体"/>
                <w:b/>
                <w:color w:val="auto"/>
                <w:kern w:val="0"/>
                <w:sz w:val="24"/>
                <w:szCs w:val="24"/>
                <w:highlight w:val="none"/>
              </w:rPr>
            </w:pPr>
            <w:r>
              <w:rPr>
                <w:rFonts w:ascii="仿宋" w:hAnsi="仿宋" w:eastAsia="仿宋" w:cs="宋体"/>
                <w:b/>
                <w:color w:val="auto"/>
                <w:kern w:val="0"/>
                <w:sz w:val="24"/>
                <w:szCs w:val="24"/>
                <w:highlight w:val="none"/>
              </w:rPr>
              <w:t>检查内容</w:t>
            </w:r>
          </w:p>
        </w:tc>
      </w:tr>
      <w:tr w14:paraId="0EA82B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6" w:type="dxa"/>
            <w:vMerge w:val="restart"/>
            <w:vAlign w:val="center"/>
          </w:tcPr>
          <w:p w14:paraId="6CD9893A">
            <w:pPr>
              <w:spacing w:line="240" w:lineRule="exact"/>
              <w:jc w:val="center"/>
              <w:rPr>
                <w:rFonts w:hint="eastAsia" w:ascii="仿宋" w:hAnsi="仿宋" w:eastAsia="仿宋"/>
                <w:color w:val="auto"/>
                <w:sz w:val="24"/>
                <w:szCs w:val="24"/>
                <w:highlight w:val="none"/>
              </w:rPr>
            </w:pPr>
            <w:r>
              <w:rPr>
                <w:rFonts w:ascii="仿宋" w:hAnsi="仿宋" w:eastAsia="仿宋"/>
                <w:color w:val="auto"/>
                <w:sz w:val="24"/>
                <w:szCs w:val="24"/>
                <w:highlight w:val="none"/>
              </w:rPr>
              <w:t>1</w:t>
            </w:r>
          </w:p>
        </w:tc>
        <w:tc>
          <w:tcPr>
            <w:tcW w:w="709" w:type="dxa"/>
            <w:vMerge w:val="restart"/>
            <w:vAlign w:val="center"/>
          </w:tcPr>
          <w:p w14:paraId="517D4655">
            <w:pPr>
              <w:spacing w:line="240" w:lineRule="exact"/>
              <w:rPr>
                <w:rFonts w:hint="eastAsia" w:ascii="仿宋" w:hAnsi="仿宋" w:eastAsia="仿宋" w:cs="仿宋_GB2312"/>
                <w:color w:val="auto"/>
                <w:sz w:val="24"/>
                <w:szCs w:val="24"/>
                <w:highlight w:val="none"/>
                <w:lang w:val="zh-CN"/>
              </w:rPr>
            </w:pPr>
            <w:r>
              <w:rPr>
                <w:rFonts w:hint="eastAsia" w:ascii="仿宋" w:hAnsi="仿宋" w:eastAsia="仿宋"/>
                <w:color w:val="auto"/>
                <w:sz w:val="24"/>
                <w:szCs w:val="24"/>
                <w:highlight w:val="none"/>
                <w:lang w:val="zh-CN"/>
              </w:rPr>
              <w:t>《中华人民共和国政府采购法》第二十二条规定</w:t>
            </w:r>
          </w:p>
        </w:tc>
        <w:tc>
          <w:tcPr>
            <w:tcW w:w="3685" w:type="dxa"/>
            <w:vAlign w:val="center"/>
          </w:tcPr>
          <w:p w14:paraId="6A863163">
            <w:pPr>
              <w:spacing w:line="240" w:lineRule="exact"/>
              <w:rPr>
                <w:rFonts w:hint="eastAsia" w:ascii="仿宋" w:hAnsi="仿宋" w:eastAsia="仿宋"/>
                <w:color w:val="auto"/>
                <w:sz w:val="24"/>
                <w:szCs w:val="24"/>
                <w:highlight w:val="none"/>
              </w:rPr>
            </w:pPr>
            <w:r>
              <w:rPr>
                <w:rFonts w:ascii="仿宋" w:hAnsi="仿宋" w:eastAsia="仿宋"/>
                <w:color w:val="auto"/>
                <w:sz w:val="24"/>
                <w:szCs w:val="24"/>
                <w:highlight w:val="none"/>
              </w:rPr>
              <w:t>（1）具有独立承担民事责任的能力</w:t>
            </w:r>
          </w:p>
        </w:tc>
        <w:tc>
          <w:tcPr>
            <w:tcW w:w="4558" w:type="dxa"/>
            <w:vAlign w:val="center"/>
          </w:tcPr>
          <w:p w14:paraId="4FD0F44F">
            <w:pPr>
              <w:spacing w:line="240" w:lineRule="exact"/>
              <w:rPr>
                <w:rFonts w:hint="eastAsia" w:ascii="仿宋" w:hAnsi="仿宋" w:eastAsia="仿宋"/>
                <w:color w:val="auto"/>
                <w:sz w:val="24"/>
                <w:szCs w:val="24"/>
                <w:highlight w:val="none"/>
              </w:rPr>
            </w:pPr>
            <w:r>
              <w:rPr>
                <w:rFonts w:hint="eastAsia" w:ascii="仿宋" w:hAnsi="仿宋" w:eastAsia="仿宋"/>
                <w:color w:val="auto"/>
                <w:sz w:val="24"/>
                <w:szCs w:val="24"/>
                <w:highlight w:val="none"/>
              </w:rPr>
              <w:t xml:space="preserve">1.供应商法人营业执照（副本）或事业单位法人证书（副本）或个体工商户营业执照或有效的自然人身份证明或社会团体法人登记证书（提供复印件）。 </w:t>
            </w:r>
          </w:p>
          <w:p w14:paraId="00C39BFE">
            <w:pPr>
              <w:spacing w:line="240" w:lineRule="exact"/>
              <w:rPr>
                <w:rFonts w:hint="eastAsia" w:ascii="仿宋" w:hAnsi="仿宋" w:eastAsia="仿宋"/>
                <w:color w:val="auto"/>
                <w:sz w:val="24"/>
                <w:szCs w:val="24"/>
                <w:highlight w:val="none"/>
              </w:rPr>
            </w:pPr>
            <w:r>
              <w:rPr>
                <w:rFonts w:hint="eastAsia" w:ascii="仿宋" w:hAnsi="仿宋" w:eastAsia="仿宋"/>
                <w:color w:val="auto"/>
                <w:sz w:val="24"/>
                <w:szCs w:val="24"/>
                <w:highlight w:val="none"/>
              </w:rPr>
              <w:t>2.供应商法定代表人身份证明和法定代表人授权代表委托书。</w:t>
            </w:r>
          </w:p>
        </w:tc>
      </w:tr>
      <w:tr w14:paraId="039189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6" w:type="dxa"/>
            <w:vMerge w:val="continue"/>
            <w:vAlign w:val="center"/>
          </w:tcPr>
          <w:p w14:paraId="6C81AFC8">
            <w:pPr>
              <w:spacing w:line="240" w:lineRule="exact"/>
              <w:jc w:val="center"/>
              <w:rPr>
                <w:rFonts w:hint="eastAsia" w:ascii="仿宋" w:hAnsi="仿宋" w:eastAsia="仿宋"/>
                <w:color w:val="auto"/>
                <w:sz w:val="24"/>
                <w:szCs w:val="24"/>
                <w:highlight w:val="none"/>
              </w:rPr>
            </w:pPr>
          </w:p>
        </w:tc>
        <w:tc>
          <w:tcPr>
            <w:tcW w:w="709" w:type="dxa"/>
            <w:vMerge w:val="continue"/>
            <w:vAlign w:val="center"/>
          </w:tcPr>
          <w:p w14:paraId="4D76D7D4">
            <w:pPr>
              <w:spacing w:line="240" w:lineRule="exact"/>
              <w:rPr>
                <w:rFonts w:hint="eastAsia" w:ascii="仿宋" w:hAnsi="仿宋" w:eastAsia="仿宋" w:cs="仿宋_GB2312"/>
                <w:color w:val="auto"/>
                <w:sz w:val="24"/>
                <w:szCs w:val="24"/>
                <w:highlight w:val="none"/>
                <w:lang w:val="zh-CN"/>
              </w:rPr>
            </w:pPr>
          </w:p>
        </w:tc>
        <w:tc>
          <w:tcPr>
            <w:tcW w:w="3685" w:type="dxa"/>
            <w:vAlign w:val="center"/>
          </w:tcPr>
          <w:p w14:paraId="7E215C8A">
            <w:pPr>
              <w:spacing w:line="240" w:lineRule="exact"/>
              <w:rPr>
                <w:rFonts w:hint="eastAsia" w:ascii="仿宋" w:hAnsi="仿宋" w:eastAsia="仿宋"/>
                <w:color w:val="auto"/>
                <w:sz w:val="24"/>
                <w:szCs w:val="24"/>
                <w:highlight w:val="none"/>
              </w:rPr>
            </w:pPr>
            <w:r>
              <w:rPr>
                <w:rFonts w:ascii="仿宋" w:hAnsi="仿宋" w:eastAsia="仿宋" w:cs="仿宋_GB2312"/>
                <w:color w:val="auto"/>
                <w:sz w:val="24"/>
                <w:szCs w:val="24"/>
                <w:highlight w:val="none"/>
                <w:lang w:val="zh-CN"/>
              </w:rPr>
              <w:t>（2）</w:t>
            </w:r>
            <w:r>
              <w:rPr>
                <w:rFonts w:ascii="仿宋" w:hAnsi="仿宋" w:eastAsia="仿宋"/>
                <w:color w:val="auto"/>
                <w:sz w:val="24"/>
                <w:szCs w:val="24"/>
                <w:highlight w:val="none"/>
              </w:rPr>
              <w:t>具有良好的商业信誉和健全的财务会计制度</w:t>
            </w:r>
          </w:p>
        </w:tc>
        <w:tc>
          <w:tcPr>
            <w:tcW w:w="4558" w:type="dxa"/>
            <w:vMerge w:val="restart"/>
            <w:vAlign w:val="center"/>
          </w:tcPr>
          <w:p w14:paraId="731B0555">
            <w:pPr>
              <w:tabs>
                <w:tab w:val="left" w:pos="6300"/>
              </w:tabs>
              <w:snapToGrid w:val="0"/>
              <w:jc w:val="left"/>
              <w:rPr>
                <w:rFonts w:hint="eastAsia" w:ascii="仿宋" w:hAnsi="仿宋" w:eastAsia="仿宋"/>
                <w:color w:val="auto"/>
                <w:sz w:val="24"/>
                <w:szCs w:val="24"/>
                <w:highlight w:val="none"/>
              </w:rPr>
            </w:pPr>
            <w:r>
              <w:rPr>
                <w:rFonts w:hint="eastAsia" w:ascii="仿宋" w:hAnsi="仿宋" w:eastAsia="仿宋"/>
                <w:color w:val="auto"/>
                <w:sz w:val="24"/>
                <w:szCs w:val="24"/>
                <w:highlight w:val="none"/>
              </w:rPr>
              <w:t>供应商提供“基本资格条件承诺函”（详见第七篇）。</w:t>
            </w:r>
          </w:p>
          <w:p w14:paraId="3E0DD9C9">
            <w:pPr>
              <w:spacing w:line="240" w:lineRule="exact"/>
              <w:jc w:val="left"/>
              <w:rPr>
                <w:rFonts w:hint="eastAsia" w:ascii="仿宋" w:hAnsi="仿宋" w:eastAsia="仿宋"/>
                <w:color w:val="auto"/>
                <w:sz w:val="24"/>
                <w:szCs w:val="24"/>
                <w:highlight w:val="none"/>
              </w:rPr>
            </w:pPr>
          </w:p>
        </w:tc>
      </w:tr>
      <w:tr w14:paraId="409A43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76" w:type="dxa"/>
            <w:vMerge w:val="continue"/>
            <w:vAlign w:val="center"/>
          </w:tcPr>
          <w:p w14:paraId="211055DD">
            <w:pPr>
              <w:spacing w:line="240" w:lineRule="exact"/>
              <w:jc w:val="center"/>
              <w:rPr>
                <w:rFonts w:hint="eastAsia" w:ascii="仿宋" w:hAnsi="仿宋" w:eastAsia="仿宋"/>
                <w:color w:val="auto"/>
                <w:sz w:val="24"/>
                <w:szCs w:val="24"/>
                <w:highlight w:val="none"/>
              </w:rPr>
            </w:pPr>
          </w:p>
        </w:tc>
        <w:tc>
          <w:tcPr>
            <w:tcW w:w="709" w:type="dxa"/>
            <w:vMerge w:val="continue"/>
            <w:vAlign w:val="center"/>
          </w:tcPr>
          <w:p w14:paraId="3CABF033">
            <w:pPr>
              <w:spacing w:line="240" w:lineRule="exact"/>
              <w:rPr>
                <w:rFonts w:hint="eastAsia" w:ascii="仿宋" w:hAnsi="仿宋" w:eastAsia="仿宋" w:cs="仿宋_GB2312"/>
                <w:color w:val="auto"/>
                <w:sz w:val="24"/>
                <w:szCs w:val="24"/>
                <w:highlight w:val="none"/>
                <w:lang w:val="zh-CN"/>
              </w:rPr>
            </w:pPr>
          </w:p>
        </w:tc>
        <w:tc>
          <w:tcPr>
            <w:tcW w:w="3685" w:type="dxa"/>
            <w:vAlign w:val="center"/>
          </w:tcPr>
          <w:p w14:paraId="7D6E77D1">
            <w:pPr>
              <w:spacing w:line="240" w:lineRule="exact"/>
              <w:rPr>
                <w:rFonts w:hint="eastAsia" w:ascii="仿宋" w:hAnsi="仿宋" w:eastAsia="仿宋" w:cs="仿宋_GB2312"/>
                <w:color w:val="auto"/>
                <w:sz w:val="24"/>
                <w:szCs w:val="24"/>
                <w:highlight w:val="none"/>
                <w:lang w:val="zh-CN"/>
              </w:rPr>
            </w:pPr>
            <w:r>
              <w:rPr>
                <w:rFonts w:ascii="仿宋" w:hAnsi="仿宋" w:eastAsia="仿宋" w:cs="仿宋_GB2312"/>
                <w:color w:val="auto"/>
                <w:sz w:val="24"/>
                <w:szCs w:val="24"/>
                <w:highlight w:val="none"/>
                <w:lang w:val="zh-CN"/>
              </w:rPr>
              <w:t>（3）具有履行合同所必需的设备和专业技术能力</w:t>
            </w:r>
          </w:p>
        </w:tc>
        <w:tc>
          <w:tcPr>
            <w:tcW w:w="4558" w:type="dxa"/>
            <w:vMerge w:val="continue"/>
            <w:vAlign w:val="center"/>
          </w:tcPr>
          <w:p w14:paraId="66C3C906">
            <w:pPr>
              <w:spacing w:line="240" w:lineRule="exact"/>
              <w:rPr>
                <w:rFonts w:hint="eastAsia" w:ascii="仿宋" w:hAnsi="仿宋" w:eastAsia="仿宋"/>
                <w:color w:val="auto"/>
                <w:sz w:val="24"/>
                <w:szCs w:val="24"/>
                <w:highlight w:val="none"/>
              </w:rPr>
            </w:pPr>
          </w:p>
        </w:tc>
      </w:tr>
      <w:tr w14:paraId="4556F7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atLeast"/>
        </w:trPr>
        <w:tc>
          <w:tcPr>
            <w:tcW w:w="676" w:type="dxa"/>
            <w:vMerge w:val="continue"/>
            <w:vAlign w:val="center"/>
          </w:tcPr>
          <w:p w14:paraId="60ADB401">
            <w:pPr>
              <w:spacing w:line="240" w:lineRule="exact"/>
              <w:jc w:val="center"/>
              <w:rPr>
                <w:rFonts w:hint="eastAsia" w:ascii="仿宋" w:hAnsi="仿宋" w:eastAsia="仿宋"/>
                <w:color w:val="auto"/>
                <w:sz w:val="24"/>
                <w:szCs w:val="24"/>
                <w:highlight w:val="none"/>
              </w:rPr>
            </w:pPr>
          </w:p>
        </w:tc>
        <w:tc>
          <w:tcPr>
            <w:tcW w:w="709" w:type="dxa"/>
            <w:vMerge w:val="continue"/>
            <w:vAlign w:val="center"/>
          </w:tcPr>
          <w:p w14:paraId="64921686">
            <w:pPr>
              <w:spacing w:line="240" w:lineRule="exact"/>
              <w:rPr>
                <w:rFonts w:hint="eastAsia" w:ascii="仿宋" w:hAnsi="仿宋" w:eastAsia="仿宋" w:cs="仿宋_GB2312"/>
                <w:color w:val="auto"/>
                <w:sz w:val="24"/>
                <w:szCs w:val="24"/>
                <w:highlight w:val="none"/>
                <w:lang w:val="zh-CN"/>
              </w:rPr>
            </w:pPr>
          </w:p>
        </w:tc>
        <w:tc>
          <w:tcPr>
            <w:tcW w:w="3685" w:type="dxa"/>
            <w:vAlign w:val="center"/>
          </w:tcPr>
          <w:p w14:paraId="1E9D1A48">
            <w:pPr>
              <w:spacing w:line="240" w:lineRule="exact"/>
              <w:rPr>
                <w:rFonts w:hint="eastAsia" w:ascii="仿宋" w:hAnsi="仿宋" w:eastAsia="仿宋" w:cs="仿宋_GB2312"/>
                <w:color w:val="auto"/>
                <w:sz w:val="24"/>
                <w:szCs w:val="24"/>
                <w:highlight w:val="none"/>
                <w:lang w:val="zh-CN"/>
              </w:rPr>
            </w:pPr>
            <w:r>
              <w:rPr>
                <w:rFonts w:ascii="仿宋" w:hAnsi="仿宋" w:eastAsia="仿宋" w:cs="仿宋_GB2312"/>
                <w:color w:val="auto"/>
                <w:sz w:val="24"/>
                <w:szCs w:val="24"/>
                <w:highlight w:val="none"/>
                <w:lang w:val="zh-CN"/>
              </w:rPr>
              <w:t>（4）有依法缴纳税收和社会保障金的良好记录</w:t>
            </w:r>
          </w:p>
        </w:tc>
        <w:tc>
          <w:tcPr>
            <w:tcW w:w="4558" w:type="dxa"/>
            <w:vMerge w:val="continue"/>
            <w:vAlign w:val="center"/>
          </w:tcPr>
          <w:p w14:paraId="57C9BCF8">
            <w:pPr>
              <w:spacing w:line="240" w:lineRule="exact"/>
              <w:rPr>
                <w:rFonts w:hint="eastAsia" w:ascii="仿宋" w:hAnsi="仿宋" w:eastAsia="仿宋"/>
                <w:color w:val="auto"/>
                <w:sz w:val="24"/>
                <w:szCs w:val="24"/>
                <w:highlight w:val="none"/>
              </w:rPr>
            </w:pPr>
          </w:p>
        </w:tc>
      </w:tr>
      <w:tr w14:paraId="72900B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6" w:type="dxa"/>
            <w:vMerge w:val="continue"/>
            <w:vAlign w:val="center"/>
          </w:tcPr>
          <w:p w14:paraId="700DDB20">
            <w:pPr>
              <w:spacing w:line="240" w:lineRule="exact"/>
              <w:jc w:val="center"/>
              <w:rPr>
                <w:rFonts w:hint="eastAsia" w:ascii="仿宋" w:hAnsi="仿宋" w:eastAsia="仿宋"/>
                <w:color w:val="auto"/>
                <w:sz w:val="24"/>
                <w:szCs w:val="24"/>
                <w:highlight w:val="none"/>
              </w:rPr>
            </w:pPr>
          </w:p>
        </w:tc>
        <w:tc>
          <w:tcPr>
            <w:tcW w:w="709" w:type="dxa"/>
            <w:vMerge w:val="continue"/>
            <w:vAlign w:val="center"/>
          </w:tcPr>
          <w:p w14:paraId="7ACDDD84">
            <w:pPr>
              <w:spacing w:line="240" w:lineRule="exact"/>
              <w:rPr>
                <w:rFonts w:hint="eastAsia" w:ascii="仿宋" w:hAnsi="仿宋" w:eastAsia="仿宋" w:cs="仿宋_GB2312"/>
                <w:color w:val="auto"/>
                <w:sz w:val="24"/>
                <w:szCs w:val="24"/>
                <w:highlight w:val="none"/>
                <w:lang w:val="zh-CN"/>
              </w:rPr>
            </w:pPr>
          </w:p>
        </w:tc>
        <w:tc>
          <w:tcPr>
            <w:tcW w:w="3685" w:type="dxa"/>
            <w:vAlign w:val="center"/>
          </w:tcPr>
          <w:p w14:paraId="1664E2CD">
            <w:pPr>
              <w:spacing w:line="240" w:lineRule="exact"/>
              <w:rPr>
                <w:rFonts w:hint="eastAsia" w:ascii="仿宋" w:hAnsi="仿宋" w:eastAsia="仿宋" w:cs="仿宋_GB2312"/>
                <w:color w:val="auto"/>
                <w:sz w:val="24"/>
                <w:szCs w:val="24"/>
                <w:highlight w:val="none"/>
                <w:lang w:val="zh-CN"/>
              </w:rPr>
            </w:pPr>
            <w:r>
              <w:rPr>
                <w:rFonts w:ascii="仿宋" w:hAnsi="仿宋" w:eastAsia="仿宋"/>
                <w:color w:val="auto"/>
                <w:sz w:val="24"/>
                <w:szCs w:val="24"/>
                <w:highlight w:val="none"/>
              </w:rPr>
              <w:t>（5）参加政府采购活动前三年内，在经营活动中没有重大违法记录（注</w:t>
            </w:r>
            <w:r>
              <w:rPr>
                <w:rFonts w:hint="eastAsia" w:ascii="仿宋" w:hAnsi="仿宋" w:eastAsia="仿宋"/>
                <w:color w:val="auto"/>
                <w:sz w:val="24"/>
                <w:szCs w:val="24"/>
                <w:highlight w:val="none"/>
              </w:rPr>
              <w:t>①</w:t>
            </w:r>
            <w:r>
              <w:rPr>
                <w:rFonts w:ascii="仿宋" w:hAnsi="仿宋" w:eastAsia="仿宋"/>
                <w:color w:val="auto"/>
                <w:sz w:val="24"/>
                <w:szCs w:val="24"/>
                <w:highlight w:val="none"/>
              </w:rPr>
              <w:t>）</w:t>
            </w:r>
          </w:p>
        </w:tc>
        <w:tc>
          <w:tcPr>
            <w:tcW w:w="4558" w:type="dxa"/>
            <w:vMerge w:val="continue"/>
            <w:vAlign w:val="center"/>
          </w:tcPr>
          <w:p w14:paraId="1E0ADE8E">
            <w:pPr>
              <w:spacing w:line="240" w:lineRule="exact"/>
              <w:rPr>
                <w:rFonts w:hint="eastAsia" w:ascii="仿宋" w:hAnsi="仿宋" w:eastAsia="仿宋"/>
                <w:color w:val="auto"/>
                <w:sz w:val="24"/>
                <w:szCs w:val="24"/>
                <w:highlight w:val="none"/>
              </w:rPr>
            </w:pPr>
          </w:p>
        </w:tc>
      </w:tr>
      <w:tr w14:paraId="3DB3C6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trPr>
        <w:tc>
          <w:tcPr>
            <w:tcW w:w="676" w:type="dxa"/>
            <w:vMerge w:val="continue"/>
            <w:vAlign w:val="center"/>
          </w:tcPr>
          <w:p w14:paraId="442C2FD1">
            <w:pPr>
              <w:spacing w:line="240" w:lineRule="exact"/>
              <w:jc w:val="center"/>
              <w:rPr>
                <w:rFonts w:hint="eastAsia" w:ascii="仿宋" w:hAnsi="仿宋" w:eastAsia="仿宋"/>
                <w:color w:val="auto"/>
                <w:sz w:val="24"/>
                <w:szCs w:val="24"/>
                <w:highlight w:val="none"/>
              </w:rPr>
            </w:pPr>
          </w:p>
        </w:tc>
        <w:tc>
          <w:tcPr>
            <w:tcW w:w="709" w:type="dxa"/>
            <w:vMerge w:val="continue"/>
            <w:vAlign w:val="center"/>
          </w:tcPr>
          <w:p w14:paraId="04A8C505">
            <w:pPr>
              <w:spacing w:line="240" w:lineRule="exact"/>
              <w:rPr>
                <w:rFonts w:hint="eastAsia" w:ascii="仿宋" w:hAnsi="仿宋" w:eastAsia="仿宋" w:cs="仿宋_GB2312"/>
                <w:color w:val="auto"/>
                <w:sz w:val="24"/>
                <w:szCs w:val="24"/>
                <w:highlight w:val="none"/>
                <w:lang w:val="zh-CN"/>
              </w:rPr>
            </w:pPr>
          </w:p>
        </w:tc>
        <w:tc>
          <w:tcPr>
            <w:tcW w:w="3685" w:type="dxa"/>
            <w:vAlign w:val="center"/>
          </w:tcPr>
          <w:p w14:paraId="4AB9DE08">
            <w:pPr>
              <w:spacing w:line="240" w:lineRule="exact"/>
              <w:rPr>
                <w:rFonts w:hint="eastAsia" w:ascii="仿宋" w:hAnsi="仿宋" w:eastAsia="仿宋"/>
                <w:color w:val="auto"/>
                <w:sz w:val="24"/>
                <w:szCs w:val="24"/>
                <w:highlight w:val="none"/>
              </w:rPr>
            </w:pPr>
            <w:r>
              <w:rPr>
                <w:rFonts w:ascii="仿宋" w:hAnsi="仿宋" w:eastAsia="仿宋"/>
                <w:color w:val="auto"/>
                <w:sz w:val="24"/>
                <w:szCs w:val="24"/>
                <w:highlight w:val="none"/>
              </w:rPr>
              <w:t>（6）法律、行政法规规定的其他条件</w:t>
            </w:r>
          </w:p>
        </w:tc>
        <w:tc>
          <w:tcPr>
            <w:tcW w:w="4558" w:type="dxa"/>
            <w:vAlign w:val="center"/>
          </w:tcPr>
          <w:p w14:paraId="13760C20">
            <w:pPr>
              <w:spacing w:line="240" w:lineRule="exact"/>
              <w:rPr>
                <w:rFonts w:hint="eastAsia" w:ascii="仿宋" w:hAnsi="仿宋" w:eastAsia="仿宋"/>
                <w:color w:val="auto"/>
                <w:sz w:val="24"/>
                <w:szCs w:val="24"/>
                <w:highlight w:val="none"/>
              </w:rPr>
            </w:pPr>
          </w:p>
        </w:tc>
      </w:tr>
      <w:tr w14:paraId="578BA0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trPr>
        <w:tc>
          <w:tcPr>
            <w:tcW w:w="676" w:type="dxa"/>
            <w:vMerge w:val="continue"/>
            <w:vAlign w:val="center"/>
          </w:tcPr>
          <w:p w14:paraId="2B2B30F8">
            <w:pPr>
              <w:spacing w:line="240" w:lineRule="exact"/>
              <w:jc w:val="center"/>
              <w:rPr>
                <w:rFonts w:hint="eastAsia" w:ascii="仿宋" w:hAnsi="仿宋" w:eastAsia="仿宋"/>
                <w:color w:val="auto"/>
                <w:sz w:val="24"/>
                <w:szCs w:val="24"/>
                <w:highlight w:val="none"/>
              </w:rPr>
            </w:pPr>
          </w:p>
        </w:tc>
        <w:tc>
          <w:tcPr>
            <w:tcW w:w="709" w:type="dxa"/>
            <w:vMerge w:val="continue"/>
            <w:vAlign w:val="center"/>
          </w:tcPr>
          <w:p w14:paraId="6E74ADCD">
            <w:pPr>
              <w:spacing w:line="240" w:lineRule="exact"/>
              <w:rPr>
                <w:rFonts w:hint="eastAsia" w:ascii="仿宋" w:hAnsi="仿宋" w:eastAsia="仿宋" w:cs="仿宋_GB2312"/>
                <w:color w:val="auto"/>
                <w:sz w:val="24"/>
                <w:szCs w:val="24"/>
                <w:highlight w:val="none"/>
                <w:lang w:val="zh-CN"/>
              </w:rPr>
            </w:pPr>
          </w:p>
        </w:tc>
        <w:tc>
          <w:tcPr>
            <w:tcW w:w="3685" w:type="dxa"/>
            <w:vAlign w:val="center"/>
          </w:tcPr>
          <w:p w14:paraId="3530DD43">
            <w:pPr>
              <w:spacing w:line="240" w:lineRule="exact"/>
              <w:rPr>
                <w:rFonts w:hint="eastAsia" w:ascii="仿宋" w:hAnsi="仿宋" w:eastAsia="仿宋"/>
                <w:color w:val="auto"/>
                <w:sz w:val="24"/>
                <w:szCs w:val="24"/>
                <w:highlight w:val="none"/>
              </w:rPr>
            </w:pPr>
            <w:r>
              <w:rPr>
                <w:rFonts w:hint="eastAsia" w:ascii="仿宋" w:hAnsi="仿宋" w:eastAsia="仿宋"/>
                <w:color w:val="auto"/>
                <w:sz w:val="24"/>
                <w:szCs w:val="24"/>
                <w:highlight w:val="none"/>
              </w:rPr>
              <w:t>（7）本项目的特定资格要求</w:t>
            </w:r>
          </w:p>
        </w:tc>
        <w:tc>
          <w:tcPr>
            <w:tcW w:w="4558" w:type="dxa"/>
            <w:vAlign w:val="center"/>
          </w:tcPr>
          <w:p w14:paraId="73E1FCDF">
            <w:pPr>
              <w:spacing w:line="240" w:lineRule="exact"/>
              <w:rPr>
                <w:rFonts w:hint="eastAsia" w:ascii="仿宋" w:hAnsi="仿宋" w:eastAsia="仿宋"/>
                <w:color w:val="auto"/>
                <w:sz w:val="24"/>
                <w:szCs w:val="24"/>
                <w:highlight w:val="none"/>
              </w:rPr>
            </w:pPr>
            <w:r>
              <w:rPr>
                <w:rFonts w:hint="eastAsia" w:ascii="仿宋" w:hAnsi="仿宋" w:eastAsia="仿宋"/>
                <w:color w:val="auto"/>
                <w:sz w:val="24"/>
                <w:szCs w:val="24"/>
                <w:highlight w:val="none"/>
              </w:rPr>
              <w:t>按第一篇“三、供应商资格条件（二）本项目的特定资格要求”的要求提交（如果有）。</w:t>
            </w:r>
          </w:p>
        </w:tc>
      </w:tr>
      <w:tr w14:paraId="7ACDDE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trPr>
        <w:tc>
          <w:tcPr>
            <w:tcW w:w="676" w:type="dxa"/>
            <w:vAlign w:val="center"/>
          </w:tcPr>
          <w:p w14:paraId="575293E2">
            <w:pPr>
              <w:spacing w:line="240" w:lineRule="exact"/>
              <w:jc w:val="center"/>
              <w:rPr>
                <w:rFonts w:hint="eastAsia" w:ascii="仿宋" w:hAnsi="仿宋" w:eastAsia="仿宋"/>
                <w:color w:val="auto"/>
                <w:sz w:val="24"/>
                <w:szCs w:val="24"/>
                <w:highlight w:val="none"/>
              </w:rPr>
            </w:pPr>
            <w:r>
              <w:rPr>
                <w:rFonts w:hint="eastAsia" w:ascii="仿宋" w:hAnsi="仿宋" w:eastAsia="仿宋"/>
                <w:color w:val="auto"/>
                <w:sz w:val="24"/>
                <w:szCs w:val="24"/>
                <w:highlight w:val="none"/>
              </w:rPr>
              <w:t>2</w:t>
            </w:r>
          </w:p>
        </w:tc>
        <w:tc>
          <w:tcPr>
            <w:tcW w:w="4394" w:type="dxa"/>
            <w:gridSpan w:val="2"/>
            <w:vAlign w:val="center"/>
          </w:tcPr>
          <w:p w14:paraId="29E2289F">
            <w:pPr>
              <w:spacing w:line="240" w:lineRule="exact"/>
              <w:rPr>
                <w:rFonts w:hint="eastAsia" w:ascii="仿宋" w:hAnsi="仿宋" w:eastAsia="仿宋"/>
                <w:color w:val="auto"/>
                <w:sz w:val="24"/>
                <w:szCs w:val="24"/>
                <w:highlight w:val="none"/>
              </w:rPr>
            </w:pPr>
            <w:r>
              <w:rPr>
                <w:rFonts w:ascii="仿宋" w:hAnsi="仿宋" w:eastAsia="仿宋"/>
                <w:color w:val="auto"/>
                <w:sz w:val="24"/>
                <w:szCs w:val="24"/>
                <w:highlight w:val="none"/>
              </w:rPr>
              <w:t>保证金</w:t>
            </w:r>
          </w:p>
        </w:tc>
        <w:tc>
          <w:tcPr>
            <w:tcW w:w="4558" w:type="dxa"/>
            <w:vAlign w:val="center"/>
          </w:tcPr>
          <w:p w14:paraId="3D31F50C">
            <w:pPr>
              <w:spacing w:line="240" w:lineRule="exact"/>
              <w:rPr>
                <w:rFonts w:hint="eastAsia" w:ascii="仿宋" w:hAnsi="仿宋" w:eastAsia="仿宋"/>
                <w:color w:val="auto"/>
                <w:sz w:val="24"/>
                <w:szCs w:val="24"/>
                <w:highlight w:val="none"/>
              </w:rPr>
            </w:pPr>
            <w:r>
              <w:rPr>
                <w:rFonts w:hint="eastAsia" w:ascii="仿宋" w:hAnsi="仿宋" w:eastAsia="仿宋"/>
                <w:color w:val="auto"/>
                <w:sz w:val="24"/>
                <w:szCs w:val="24"/>
                <w:highlight w:val="none"/>
              </w:rPr>
              <w:t>本项目免收</w:t>
            </w:r>
            <w:r>
              <w:rPr>
                <w:rFonts w:ascii="仿宋" w:hAnsi="仿宋" w:eastAsia="仿宋"/>
                <w:color w:val="auto"/>
                <w:sz w:val="24"/>
                <w:szCs w:val="24"/>
                <w:highlight w:val="none"/>
              </w:rPr>
              <w:t>保证金</w:t>
            </w:r>
            <w:r>
              <w:rPr>
                <w:rFonts w:hint="eastAsia" w:ascii="仿宋" w:hAnsi="仿宋" w:eastAsia="仿宋"/>
                <w:color w:val="auto"/>
                <w:sz w:val="24"/>
                <w:szCs w:val="24"/>
                <w:highlight w:val="none"/>
              </w:rPr>
              <w:t>。</w:t>
            </w:r>
          </w:p>
        </w:tc>
      </w:tr>
    </w:tbl>
    <w:p w14:paraId="164FB439">
      <w:pPr>
        <w:spacing w:line="360" w:lineRule="auto"/>
        <w:ind w:firstLine="480" w:firstLineChars="200"/>
        <w:rPr>
          <w:rFonts w:hint="eastAsia" w:ascii="仿宋" w:hAnsi="仿宋" w:eastAsia="仿宋"/>
          <w:color w:val="auto"/>
          <w:sz w:val="24"/>
          <w:szCs w:val="24"/>
          <w:highlight w:val="none"/>
        </w:rPr>
      </w:pPr>
      <w:r>
        <w:rPr>
          <w:rFonts w:hint="eastAsia" w:ascii="仿宋" w:hAnsi="仿宋" w:eastAsia="仿宋"/>
          <w:color w:val="auto"/>
          <w:sz w:val="24"/>
          <w:szCs w:val="24"/>
          <w:highlight w:val="none"/>
        </w:rPr>
        <w:t>注：</w:t>
      </w:r>
    </w:p>
    <w:p w14:paraId="38C0D3BD">
      <w:pPr>
        <w:spacing w:line="360" w:lineRule="auto"/>
        <w:ind w:firstLine="480" w:firstLineChars="200"/>
        <w:rPr>
          <w:rFonts w:hint="eastAsia" w:ascii="仿宋" w:hAnsi="仿宋" w:eastAsia="仿宋"/>
          <w:color w:val="auto"/>
          <w:sz w:val="24"/>
          <w:szCs w:val="24"/>
          <w:highlight w:val="none"/>
        </w:rPr>
      </w:pPr>
      <w:r>
        <w:rPr>
          <w:rFonts w:hint="eastAsia" w:ascii="仿宋" w:hAnsi="仿宋" w:eastAsia="仿宋"/>
          <w:color w:val="auto"/>
          <w:sz w:val="24"/>
          <w:szCs w:val="24"/>
          <w:highlight w:val="none"/>
        </w:rPr>
        <w:t>①根据《中华人民共和国政府采购法实施条例》第十九条“参加政府采购活动前三年内，在经营活动中没有重大违法记录”中“重大违法记录”，是指供应商因违法经营受到刑事处罚或者责令停产停业、吊销许可证或者执照、较大数额罚款等行政处罚。行政处罚中“较大数额”的认定标准，按照“财政部关于《中华人民共和国政府采购法实施条例》第十九条第一款“较大数额罚款”具体适用问题的意见（财库〔2022〕3 号）”执行。</w:t>
      </w:r>
    </w:p>
    <w:p w14:paraId="5E2D6823">
      <w:pPr>
        <w:numPr>
          <w:ilvl w:val="0"/>
          <w:numId w:val="0"/>
        </w:numPr>
        <w:spacing w:line="360" w:lineRule="auto"/>
        <w:ind w:firstLine="560" w:firstLineChars="200"/>
        <w:rPr>
          <w:rFonts w:hint="eastAsia"/>
          <w:color w:val="auto"/>
          <w:highlight w:val="none"/>
        </w:rPr>
      </w:pPr>
      <w:r>
        <w:rPr>
          <w:rFonts w:hint="eastAsia" w:ascii="Calibri" w:hAnsi="Calibri" w:eastAsia="宋体" w:cs="Times New Roman"/>
          <w:color w:val="auto"/>
          <w:kern w:val="2"/>
          <w:sz w:val="28"/>
          <w:highlight w:val="none"/>
          <w:lang w:val="en-US" w:eastAsia="zh-CN" w:bidi="ar-SA"/>
        </w:rPr>
        <w:t>2.</w:t>
      </w:r>
      <w:r>
        <w:rPr>
          <w:rFonts w:hint="eastAsia" w:ascii="仿宋" w:hAnsi="仿宋" w:eastAsia="仿宋"/>
          <w:color w:val="auto"/>
          <w:sz w:val="24"/>
          <w:szCs w:val="24"/>
          <w:highlight w:val="none"/>
        </w:rPr>
        <w:t>符合性检查。依据网上竞采文件的规定，从响应文件的有效性、完整性和对网上竞采文件的响应程度进行审查，以确定是否对网上竞采文件的实质性要求作出响应。符合性检查资料表如下：</w:t>
      </w:r>
    </w:p>
    <w:tbl>
      <w:tblPr>
        <w:tblStyle w:val="63"/>
        <w:tblW w:w="96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1560"/>
        <w:gridCol w:w="1984"/>
        <w:gridCol w:w="5409"/>
      </w:tblGrid>
      <w:tr w14:paraId="124A39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675" w:type="dxa"/>
            <w:vAlign w:val="center"/>
          </w:tcPr>
          <w:p w14:paraId="55627A38">
            <w:pPr>
              <w:spacing w:line="240" w:lineRule="exact"/>
              <w:jc w:val="center"/>
              <w:rPr>
                <w:rFonts w:hint="eastAsia" w:ascii="仿宋" w:hAnsi="仿宋" w:eastAsia="仿宋" w:cs="宋体"/>
                <w:b/>
                <w:color w:val="auto"/>
                <w:kern w:val="0"/>
                <w:sz w:val="24"/>
                <w:szCs w:val="24"/>
                <w:highlight w:val="none"/>
              </w:rPr>
            </w:pPr>
            <w:r>
              <w:rPr>
                <w:rFonts w:hint="eastAsia" w:ascii="仿宋" w:hAnsi="仿宋" w:eastAsia="仿宋" w:cs="宋体"/>
                <w:b/>
                <w:color w:val="auto"/>
                <w:kern w:val="0"/>
                <w:sz w:val="24"/>
                <w:szCs w:val="24"/>
                <w:highlight w:val="none"/>
              </w:rPr>
              <w:t>序号</w:t>
            </w:r>
          </w:p>
        </w:tc>
        <w:tc>
          <w:tcPr>
            <w:tcW w:w="3544" w:type="dxa"/>
            <w:gridSpan w:val="2"/>
            <w:vAlign w:val="center"/>
          </w:tcPr>
          <w:p w14:paraId="3E801E7F">
            <w:pPr>
              <w:spacing w:line="240" w:lineRule="exact"/>
              <w:jc w:val="center"/>
              <w:rPr>
                <w:rFonts w:hint="eastAsia" w:ascii="仿宋" w:hAnsi="仿宋" w:eastAsia="仿宋" w:cs="宋体"/>
                <w:b/>
                <w:color w:val="auto"/>
                <w:kern w:val="0"/>
                <w:sz w:val="24"/>
                <w:szCs w:val="24"/>
                <w:highlight w:val="none"/>
              </w:rPr>
            </w:pPr>
            <w:r>
              <w:rPr>
                <w:rFonts w:hint="eastAsia" w:ascii="仿宋" w:hAnsi="仿宋" w:eastAsia="仿宋" w:cs="宋体"/>
                <w:b/>
                <w:color w:val="auto"/>
                <w:kern w:val="0"/>
                <w:sz w:val="24"/>
                <w:szCs w:val="24"/>
                <w:highlight w:val="none"/>
              </w:rPr>
              <w:t>评审因素</w:t>
            </w:r>
          </w:p>
        </w:tc>
        <w:tc>
          <w:tcPr>
            <w:tcW w:w="5409" w:type="dxa"/>
            <w:vAlign w:val="center"/>
          </w:tcPr>
          <w:p w14:paraId="5DD1962F">
            <w:pPr>
              <w:spacing w:line="240" w:lineRule="exact"/>
              <w:jc w:val="center"/>
              <w:rPr>
                <w:rFonts w:hint="eastAsia" w:ascii="仿宋" w:hAnsi="仿宋" w:eastAsia="仿宋" w:cs="宋体"/>
                <w:b/>
                <w:color w:val="auto"/>
                <w:kern w:val="0"/>
                <w:sz w:val="24"/>
                <w:szCs w:val="24"/>
                <w:highlight w:val="none"/>
              </w:rPr>
            </w:pPr>
            <w:r>
              <w:rPr>
                <w:rFonts w:hint="eastAsia" w:ascii="仿宋" w:hAnsi="仿宋" w:eastAsia="仿宋" w:cs="宋体"/>
                <w:b/>
                <w:color w:val="auto"/>
                <w:kern w:val="0"/>
                <w:sz w:val="24"/>
                <w:szCs w:val="24"/>
                <w:highlight w:val="none"/>
              </w:rPr>
              <w:t>评审标准</w:t>
            </w:r>
          </w:p>
        </w:tc>
      </w:tr>
      <w:tr w14:paraId="4751C1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trPr>
        <w:tc>
          <w:tcPr>
            <w:tcW w:w="675" w:type="dxa"/>
            <w:vMerge w:val="restart"/>
            <w:vAlign w:val="center"/>
          </w:tcPr>
          <w:p w14:paraId="0DBE7F85">
            <w:pPr>
              <w:spacing w:line="240" w:lineRule="exact"/>
              <w:jc w:val="center"/>
              <w:rPr>
                <w:rFonts w:hint="eastAsia" w:ascii="仿宋" w:hAnsi="仿宋" w:eastAsia="仿宋" w:cs="宋体"/>
                <w:color w:val="auto"/>
                <w:kern w:val="0"/>
                <w:sz w:val="24"/>
                <w:szCs w:val="24"/>
                <w:highlight w:val="none"/>
              </w:rPr>
            </w:pPr>
            <w:r>
              <w:rPr>
                <w:rFonts w:hint="eastAsia" w:ascii="仿宋" w:hAnsi="仿宋" w:eastAsia="仿宋" w:cs="宋体"/>
                <w:color w:val="auto"/>
                <w:kern w:val="0"/>
                <w:sz w:val="24"/>
                <w:szCs w:val="24"/>
                <w:highlight w:val="none"/>
              </w:rPr>
              <w:t>1</w:t>
            </w:r>
          </w:p>
        </w:tc>
        <w:tc>
          <w:tcPr>
            <w:tcW w:w="1560" w:type="dxa"/>
            <w:vMerge w:val="restart"/>
            <w:vAlign w:val="center"/>
          </w:tcPr>
          <w:p w14:paraId="463FAB58">
            <w:pPr>
              <w:spacing w:line="240" w:lineRule="exact"/>
              <w:rPr>
                <w:rFonts w:hint="eastAsia" w:ascii="仿宋" w:hAnsi="仿宋" w:eastAsia="仿宋"/>
                <w:color w:val="auto"/>
                <w:sz w:val="24"/>
                <w:szCs w:val="24"/>
                <w:highlight w:val="none"/>
              </w:rPr>
            </w:pPr>
            <w:r>
              <w:rPr>
                <w:rFonts w:hint="eastAsia" w:ascii="仿宋" w:hAnsi="仿宋" w:eastAsia="仿宋"/>
                <w:color w:val="auto"/>
                <w:sz w:val="24"/>
                <w:szCs w:val="24"/>
                <w:highlight w:val="none"/>
              </w:rPr>
              <w:t>有效性审查</w:t>
            </w:r>
          </w:p>
        </w:tc>
        <w:tc>
          <w:tcPr>
            <w:tcW w:w="1984" w:type="dxa"/>
            <w:vAlign w:val="center"/>
          </w:tcPr>
          <w:p w14:paraId="617935E7">
            <w:pPr>
              <w:spacing w:line="240" w:lineRule="exact"/>
              <w:rPr>
                <w:rFonts w:hint="eastAsia" w:ascii="仿宋" w:hAnsi="仿宋" w:eastAsia="仿宋"/>
                <w:color w:val="auto"/>
                <w:sz w:val="24"/>
                <w:szCs w:val="24"/>
                <w:highlight w:val="none"/>
              </w:rPr>
            </w:pPr>
            <w:r>
              <w:rPr>
                <w:rFonts w:hint="eastAsia" w:ascii="仿宋" w:hAnsi="仿宋" w:eastAsia="仿宋"/>
                <w:color w:val="auto"/>
                <w:sz w:val="24"/>
                <w:szCs w:val="24"/>
                <w:highlight w:val="none"/>
              </w:rPr>
              <w:t>响应文件签署</w:t>
            </w:r>
          </w:p>
        </w:tc>
        <w:tc>
          <w:tcPr>
            <w:tcW w:w="5409" w:type="dxa"/>
            <w:vAlign w:val="center"/>
          </w:tcPr>
          <w:p w14:paraId="6F75EB6F">
            <w:pPr>
              <w:spacing w:line="240" w:lineRule="exact"/>
              <w:rPr>
                <w:rFonts w:hint="eastAsia" w:ascii="仿宋" w:hAnsi="仿宋" w:eastAsia="仿宋" w:cs="宋体"/>
                <w:color w:val="auto"/>
                <w:kern w:val="0"/>
                <w:sz w:val="24"/>
                <w:szCs w:val="24"/>
                <w:highlight w:val="none"/>
              </w:rPr>
            </w:pPr>
            <w:r>
              <w:rPr>
                <w:rFonts w:hint="eastAsia" w:ascii="仿宋" w:hAnsi="仿宋" w:eastAsia="仿宋"/>
                <w:color w:val="auto"/>
                <w:sz w:val="24"/>
                <w:szCs w:val="24"/>
                <w:highlight w:val="none"/>
              </w:rPr>
              <w:t>按竞采文件“第七篇 响应文件格式”要求签署、盖章。</w:t>
            </w:r>
          </w:p>
        </w:tc>
      </w:tr>
      <w:tr w14:paraId="60111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trPr>
        <w:tc>
          <w:tcPr>
            <w:tcW w:w="675" w:type="dxa"/>
            <w:vMerge w:val="continue"/>
            <w:vAlign w:val="center"/>
          </w:tcPr>
          <w:p w14:paraId="3EEA5FE8">
            <w:pPr>
              <w:spacing w:line="240" w:lineRule="exact"/>
              <w:jc w:val="center"/>
              <w:rPr>
                <w:rFonts w:hint="eastAsia" w:ascii="仿宋" w:hAnsi="仿宋" w:eastAsia="仿宋" w:cs="宋体"/>
                <w:color w:val="auto"/>
                <w:kern w:val="0"/>
                <w:sz w:val="24"/>
                <w:szCs w:val="24"/>
                <w:highlight w:val="none"/>
              </w:rPr>
            </w:pPr>
          </w:p>
        </w:tc>
        <w:tc>
          <w:tcPr>
            <w:tcW w:w="1560" w:type="dxa"/>
            <w:vMerge w:val="continue"/>
            <w:vAlign w:val="center"/>
          </w:tcPr>
          <w:p w14:paraId="58E56031">
            <w:pPr>
              <w:spacing w:line="240" w:lineRule="exact"/>
              <w:rPr>
                <w:rFonts w:hint="eastAsia" w:ascii="仿宋" w:hAnsi="仿宋" w:eastAsia="仿宋"/>
                <w:color w:val="auto"/>
                <w:sz w:val="24"/>
                <w:szCs w:val="24"/>
                <w:highlight w:val="none"/>
              </w:rPr>
            </w:pPr>
          </w:p>
        </w:tc>
        <w:tc>
          <w:tcPr>
            <w:tcW w:w="1984" w:type="dxa"/>
            <w:vAlign w:val="center"/>
          </w:tcPr>
          <w:p w14:paraId="4D3646DF">
            <w:pPr>
              <w:spacing w:line="240" w:lineRule="exact"/>
              <w:rPr>
                <w:rFonts w:hint="eastAsia" w:ascii="仿宋" w:hAnsi="仿宋" w:eastAsia="仿宋"/>
                <w:color w:val="auto"/>
                <w:sz w:val="24"/>
                <w:szCs w:val="24"/>
                <w:highlight w:val="none"/>
              </w:rPr>
            </w:pPr>
            <w:r>
              <w:rPr>
                <w:rFonts w:hint="eastAsia" w:ascii="仿宋" w:hAnsi="仿宋" w:eastAsia="仿宋"/>
                <w:color w:val="auto"/>
                <w:sz w:val="24"/>
                <w:szCs w:val="24"/>
                <w:highlight w:val="none"/>
              </w:rPr>
              <w:t>法定代表人身份证明及授权委托书</w:t>
            </w:r>
          </w:p>
        </w:tc>
        <w:tc>
          <w:tcPr>
            <w:tcW w:w="5409" w:type="dxa"/>
            <w:vAlign w:val="center"/>
          </w:tcPr>
          <w:p w14:paraId="73ECA3AF">
            <w:pPr>
              <w:spacing w:line="240" w:lineRule="exact"/>
              <w:rPr>
                <w:rFonts w:hint="eastAsia" w:ascii="仿宋" w:hAnsi="仿宋" w:eastAsia="仿宋"/>
                <w:color w:val="auto"/>
                <w:sz w:val="24"/>
                <w:szCs w:val="24"/>
                <w:highlight w:val="none"/>
              </w:rPr>
            </w:pPr>
            <w:r>
              <w:rPr>
                <w:rFonts w:hint="eastAsia" w:ascii="仿宋" w:hAnsi="仿宋" w:eastAsia="仿宋"/>
                <w:color w:val="auto"/>
                <w:sz w:val="24"/>
                <w:szCs w:val="24"/>
                <w:highlight w:val="none"/>
              </w:rPr>
              <w:t>法定代表人身份证明及授权委托书有效，符合网上竞采文件规定的格式，签字或盖章齐全。</w:t>
            </w:r>
          </w:p>
        </w:tc>
      </w:tr>
      <w:tr w14:paraId="661F4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trPr>
        <w:tc>
          <w:tcPr>
            <w:tcW w:w="675" w:type="dxa"/>
            <w:vMerge w:val="continue"/>
            <w:vAlign w:val="center"/>
          </w:tcPr>
          <w:p w14:paraId="6A1895B6">
            <w:pPr>
              <w:spacing w:line="240" w:lineRule="exact"/>
              <w:jc w:val="center"/>
              <w:rPr>
                <w:rFonts w:hint="eastAsia" w:ascii="仿宋" w:hAnsi="仿宋" w:eastAsia="仿宋" w:cs="宋体"/>
                <w:color w:val="auto"/>
                <w:kern w:val="0"/>
                <w:sz w:val="24"/>
                <w:szCs w:val="24"/>
                <w:highlight w:val="none"/>
              </w:rPr>
            </w:pPr>
          </w:p>
        </w:tc>
        <w:tc>
          <w:tcPr>
            <w:tcW w:w="1560" w:type="dxa"/>
            <w:vMerge w:val="continue"/>
            <w:vAlign w:val="center"/>
          </w:tcPr>
          <w:p w14:paraId="3086F281">
            <w:pPr>
              <w:spacing w:line="240" w:lineRule="exact"/>
              <w:rPr>
                <w:rFonts w:hint="eastAsia" w:ascii="仿宋" w:hAnsi="仿宋" w:eastAsia="仿宋" w:cs="宋体"/>
                <w:color w:val="auto"/>
                <w:kern w:val="0"/>
                <w:sz w:val="24"/>
                <w:szCs w:val="24"/>
                <w:highlight w:val="none"/>
              </w:rPr>
            </w:pPr>
          </w:p>
        </w:tc>
        <w:tc>
          <w:tcPr>
            <w:tcW w:w="1984" w:type="dxa"/>
            <w:vAlign w:val="center"/>
          </w:tcPr>
          <w:p w14:paraId="321B55B0">
            <w:pPr>
              <w:spacing w:line="240" w:lineRule="exact"/>
              <w:rPr>
                <w:rFonts w:hint="eastAsia" w:ascii="仿宋" w:hAnsi="仿宋" w:eastAsia="仿宋" w:cs="仿宋_GB2312"/>
                <w:color w:val="auto"/>
                <w:sz w:val="24"/>
                <w:szCs w:val="24"/>
                <w:highlight w:val="none"/>
                <w:lang w:val="zh-CN"/>
              </w:rPr>
            </w:pPr>
            <w:r>
              <w:rPr>
                <w:rFonts w:hint="eastAsia" w:ascii="仿宋" w:hAnsi="仿宋" w:eastAsia="仿宋" w:cs="仿宋_GB2312"/>
                <w:color w:val="auto"/>
                <w:sz w:val="24"/>
                <w:szCs w:val="24"/>
                <w:highlight w:val="none"/>
              </w:rPr>
              <w:t>响应</w:t>
            </w:r>
            <w:r>
              <w:rPr>
                <w:rFonts w:hint="eastAsia" w:ascii="仿宋" w:hAnsi="仿宋" w:eastAsia="仿宋" w:cs="仿宋_GB2312"/>
                <w:color w:val="auto"/>
                <w:sz w:val="24"/>
                <w:szCs w:val="24"/>
                <w:highlight w:val="none"/>
                <w:lang w:val="zh-CN"/>
              </w:rPr>
              <w:t>方案</w:t>
            </w:r>
          </w:p>
        </w:tc>
        <w:tc>
          <w:tcPr>
            <w:tcW w:w="5409" w:type="dxa"/>
            <w:vAlign w:val="center"/>
          </w:tcPr>
          <w:p w14:paraId="0DAE7563">
            <w:pPr>
              <w:spacing w:line="240" w:lineRule="exact"/>
              <w:rPr>
                <w:rFonts w:hint="eastAsia" w:ascii="仿宋" w:hAnsi="仿宋" w:eastAsia="仿宋" w:cs="宋体"/>
                <w:color w:val="auto"/>
                <w:kern w:val="0"/>
                <w:sz w:val="24"/>
                <w:szCs w:val="24"/>
                <w:highlight w:val="none"/>
              </w:rPr>
            </w:pPr>
            <w:r>
              <w:rPr>
                <w:rFonts w:hint="eastAsia" w:ascii="仿宋" w:hAnsi="仿宋" w:eastAsia="仿宋" w:cs="仿宋_GB2312"/>
                <w:color w:val="auto"/>
                <w:sz w:val="24"/>
                <w:szCs w:val="24"/>
                <w:highlight w:val="none"/>
                <w:lang w:val="zh-CN"/>
              </w:rPr>
              <w:t>每个分包只能有一个</w:t>
            </w:r>
            <w:r>
              <w:rPr>
                <w:rFonts w:hint="eastAsia" w:ascii="仿宋" w:hAnsi="仿宋" w:eastAsia="仿宋" w:cs="仿宋_GB2312"/>
                <w:color w:val="auto"/>
                <w:sz w:val="24"/>
                <w:szCs w:val="24"/>
                <w:highlight w:val="none"/>
              </w:rPr>
              <w:t>响应</w:t>
            </w:r>
            <w:r>
              <w:rPr>
                <w:rFonts w:hint="eastAsia" w:ascii="仿宋" w:hAnsi="仿宋" w:eastAsia="仿宋" w:cs="仿宋_GB2312"/>
                <w:color w:val="auto"/>
                <w:sz w:val="24"/>
                <w:szCs w:val="24"/>
                <w:highlight w:val="none"/>
                <w:lang w:val="zh-CN"/>
              </w:rPr>
              <w:t>方案。</w:t>
            </w:r>
          </w:p>
        </w:tc>
      </w:tr>
      <w:tr w14:paraId="74A79A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675" w:type="dxa"/>
            <w:vMerge w:val="continue"/>
            <w:vAlign w:val="center"/>
          </w:tcPr>
          <w:p w14:paraId="2B7CA4B6">
            <w:pPr>
              <w:spacing w:line="240" w:lineRule="exact"/>
              <w:jc w:val="center"/>
              <w:rPr>
                <w:rFonts w:hint="eastAsia" w:ascii="仿宋" w:hAnsi="仿宋" w:eastAsia="仿宋" w:cs="宋体"/>
                <w:color w:val="auto"/>
                <w:kern w:val="0"/>
                <w:sz w:val="24"/>
                <w:szCs w:val="24"/>
                <w:highlight w:val="none"/>
              </w:rPr>
            </w:pPr>
          </w:p>
        </w:tc>
        <w:tc>
          <w:tcPr>
            <w:tcW w:w="1560" w:type="dxa"/>
            <w:vMerge w:val="continue"/>
            <w:vAlign w:val="center"/>
          </w:tcPr>
          <w:p w14:paraId="6564C5F4">
            <w:pPr>
              <w:spacing w:line="240" w:lineRule="exact"/>
              <w:rPr>
                <w:rFonts w:hint="eastAsia" w:ascii="仿宋" w:hAnsi="仿宋" w:eastAsia="仿宋" w:cs="宋体"/>
                <w:color w:val="auto"/>
                <w:kern w:val="0"/>
                <w:sz w:val="24"/>
                <w:szCs w:val="24"/>
                <w:highlight w:val="none"/>
              </w:rPr>
            </w:pPr>
          </w:p>
        </w:tc>
        <w:tc>
          <w:tcPr>
            <w:tcW w:w="1984" w:type="dxa"/>
            <w:vAlign w:val="center"/>
          </w:tcPr>
          <w:p w14:paraId="078DBDD3">
            <w:pPr>
              <w:spacing w:line="240" w:lineRule="exact"/>
              <w:rPr>
                <w:rFonts w:hint="eastAsia" w:ascii="仿宋" w:hAnsi="仿宋" w:eastAsia="仿宋" w:cs="仿宋_GB2312"/>
                <w:color w:val="auto"/>
                <w:sz w:val="24"/>
                <w:szCs w:val="24"/>
                <w:highlight w:val="none"/>
                <w:lang w:val="zh-CN"/>
              </w:rPr>
            </w:pPr>
            <w:r>
              <w:rPr>
                <w:rFonts w:hint="eastAsia" w:ascii="仿宋" w:hAnsi="仿宋" w:eastAsia="仿宋"/>
                <w:color w:val="auto"/>
                <w:sz w:val="24"/>
                <w:szCs w:val="24"/>
                <w:highlight w:val="none"/>
              </w:rPr>
              <w:t>报价唯一</w:t>
            </w:r>
          </w:p>
        </w:tc>
        <w:tc>
          <w:tcPr>
            <w:tcW w:w="5409" w:type="dxa"/>
            <w:vAlign w:val="center"/>
          </w:tcPr>
          <w:p w14:paraId="7B291553">
            <w:pPr>
              <w:spacing w:line="240" w:lineRule="exact"/>
              <w:rPr>
                <w:rFonts w:hint="eastAsia" w:ascii="仿宋" w:hAnsi="仿宋" w:eastAsia="仿宋" w:cs="宋体"/>
                <w:color w:val="auto"/>
                <w:kern w:val="0"/>
                <w:sz w:val="24"/>
                <w:szCs w:val="24"/>
                <w:highlight w:val="none"/>
              </w:rPr>
            </w:pPr>
            <w:r>
              <w:rPr>
                <w:rFonts w:hint="eastAsia" w:ascii="仿宋" w:hAnsi="仿宋" w:eastAsia="仿宋" w:cs="仿宋_GB2312"/>
                <w:color w:val="auto"/>
                <w:sz w:val="24"/>
                <w:szCs w:val="24"/>
                <w:highlight w:val="none"/>
                <w:lang w:val="zh-CN"/>
              </w:rPr>
              <w:t>只能在采购预算范围内报价，</w:t>
            </w:r>
            <w:r>
              <w:rPr>
                <w:rFonts w:hint="eastAsia" w:ascii="仿宋" w:hAnsi="仿宋" w:eastAsia="仿宋"/>
                <w:color w:val="auto"/>
                <w:sz w:val="24"/>
                <w:szCs w:val="24"/>
                <w:highlight w:val="none"/>
              </w:rPr>
              <w:t>只能有一个有效报价，不得提交选择性报价。</w:t>
            </w:r>
          </w:p>
        </w:tc>
      </w:tr>
      <w:tr w14:paraId="5644B0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trPr>
        <w:tc>
          <w:tcPr>
            <w:tcW w:w="675" w:type="dxa"/>
            <w:shd w:val="clear" w:color="auto" w:fill="auto"/>
            <w:vAlign w:val="center"/>
          </w:tcPr>
          <w:p w14:paraId="77C117EB">
            <w:pPr>
              <w:spacing w:line="240" w:lineRule="exact"/>
              <w:rPr>
                <w:rFonts w:hint="eastAsia" w:ascii="仿宋" w:hAnsi="仿宋" w:eastAsia="仿宋" w:cs="宋体"/>
                <w:color w:val="auto"/>
                <w:kern w:val="0"/>
                <w:sz w:val="24"/>
                <w:szCs w:val="24"/>
                <w:highlight w:val="none"/>
                <w:lang w:val="en-US" w:eastAsia="zh-CN"/>
              </w:rPr>
            </w:pPr>
            <w:r>
              <w:rPr>
                <w:rFonts w:hint="eastAsia" w:ascii="仿宋" w:hAnsi="仿宋" w:eastAsia="仿宋" w:cs="宋体"/>
                <w:color w:val="auto"/>
                <w:kern w:val="0"/>
                <w:sz w:val="24"/>
                <w:szCs w:val="24"/>
                <w:highlight w:val="none"/>
              </w:rPr>
              <w:t>2</w:t>
            </w:r>
          </w:p>
        </w:tc>
        <w:tc>
          <w:tcPr>
            <w:tcW w:w="1560" w:type="dxa"/>
            <w:shd w:val="clear" w:color="auto" w:fill="auto"/>
            <w:vAlign w:val="center"/>
          </w:tcPr>
          <w:p w14:paraId="36077FF1">
            <w:pPr>
              <w:spacing w:line="240" w:lineRule="exact"/>
              <w:rPr>
                <w:rFonts w:hint="eastAsia" w:ascii="仿宋" w:hAnsi="仿宋" w:eastAsia="仿宋" w:cs="宋体"/>
                <w:color w:val="auto"/>
                <w:kern w:val="0"/>
                <w:sz w:val="24"/>
                <w:szCs w:val="24"/>
                <w:highlight w:val="none"/>
                <w:lang w:val="en-US" w:eastAsia="zh-CN"/>
              </w:rPr>
            </w:pPr>
            <w:r>
              <w:rPr>
                <w:rFonts w:hint="eastAsia" w:ascii="仿宋" w:hAnsi="仿宋" w:eastAsia="仿宋" w:cs="宋体"/>
                <w:color w:val="auto"/>
                <w:kern w:val="0"/>
                <w:sz w:val="24"/>
                <w:szCs w:val="24"/>
                <w:highlight w:val="none"/>
              </w:rPr>
              <w:t>完整性审查</w:t>
            </w:r>
          </w:p>
        </w:tc>
        <w:tc>
          <w:tcPr>
            <w:tcW w:w="1984" w:type="dxa"/>
            <w:shd w:val="clear" w:color="auto" w:fill="auto"/>
            <w:vAlign w:val="center"/>
          </w:tcPr>
          <w:p w14:paraId="6891E09F">
            <w:pPr>
              <w:spacing w:line="240" w:lineRule="exact"/>
              <w:rPr>
                <w:rFonts w:hint="eastAsia" w:ascii="仿宋" w:hAnsi="仿宋" w:eastAsia="仿宋" w:cs="宋体"/>
                <w:color w:val="auto"/>
                <w:kern w:val="0"/>
                <w:sz w:val="24"/>
                <w:szCs w:val="24"/>
                <w:highlight w:val="none"/>
                <w:lang w:val="en-US" w:eastAsia="zh-CN"/>
              </w:rPr>
            </w:pPr>
            <w:r>
              <w:rPr>
                <w:rFonts w:hint="eastAsia" w:ascii="仿宋" w:hAnsi="仿宋" w:eastAsia="仿宋" w:cs="宋体"/>
                <w:color w:val="auto"/>
                <w:kern w:val="0"/>
                <w:sz w:val="24"/>
                <w:szCs w:val="24"/>
                <w:highlight w:val="none"/>
                <w:lang w:val="zh-CN"/>
              </w:rPr>
              <w:t>投标文件份数</w:t>
            </w:r>
          </w:p>
        </w:tc>
        <w:tc>
          <w:tcPr>
            <w:tcW w:w="5409" w:type="dxa"/>
            <w:shd w:val="clear" w:color="auto" w:fill="auto"/>
            <w:vAlign w:val="center"/>
          </w:tcPr>
          <w:p w14:paraId="46E55E32">
            <w:pPr>
              <w:spacing w:line="240" w:lineRule="exact"/>
              <w:rPr>
                <w:rFonts w:hint="eastAsia" w:ascii="仿宋" w:hAnsi="仿宋" w:eastAsia="仿宋" w:cs="宋体"/>
                <w:color w:val="auto"/>
                <w:kern w:val="0"/>
                <w:sz w:val="24"/>
                <w:szCs w:val="24"/>
                <w:highlight w:val="none"/>
                <w:lang w:val="en-US" w:eastAsia="zh-CN"/>
              </w:rPr>
            </w:pPr>
            <w:r>
              <w:rPr>
                <w:rFonts w:hint="eastAsia" w:ascii="仿宋" w:hAnsi="仿宋" w:eastAsia="仿宋" w:cs="宋体"/>
                <w:color w:val="auto"/>
                <w:kern w:val="0"/>
                <w:sz w:val="24"/>
                <w:szCs w:val="24"/>
                <w:highlight w:val="none"/>
              </w:rPr>
              <w:t>电子投标文件数量符合招标文件要求。</w:t>
            </w:r>
          </w:p>
        </w:tc>
      </w:tr>
      <w:tr w14:paraId="400497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trPr>
        <w:tc>
          <w:tcPr>
            <w:tcW w:w="675" w:type="dxa"/>
            <w:vMerge w:val="restart"/>
            <w:vAlign w:val="center"/>
          </w:tcPr>
          <w:p w14:paraId="3F47C0AF">
            <w:pPr>
              <w:spacing w:line="240" w:lineRule="exact"/>
              <w:jc w:val="center"/>
              <w:rPr>
                <w:rFonts w:hint="eastAsia" w:ascii="仿宋" w:hAnsi="仿宋" w:eastAsia="仿宋" w:cs="宋体"/>
                <w:color w:val="auto"/>
                <w:kern w:val="0"/>
                <w:sz w:val="24"/>
                <w:szCs w:val="24"/>
                <w:highlight w:val="none"/>
                <w:lang w:eastAsia="zh-CN"/>
              </w:rPr>
            </w:pPr>
            <w:r>
              <w:rPr>
                <w:rFonts w:hint="eastAsia" w:ascii="仿宋" w:hAnsi="仿宋" w:eastAsia="仿宋" w:cs="宋体"/>
                <w:color w:val="auto"/>
                <w:kern w:val="0"/>
                <w:sz w:val="24"/>
                <w:szCs w:val="24"/>
                <w:highlight w:val="none"/>
                <w:lang w:val="en-US" w:eastAsia="zh-CN"/>
              </w:rPr>
              <w:t>3</w:t>
            </w:r>
          </w:p>
        </w:tc>
        <w:tc>
          <w:tcPr>
            <w:tcW w:w="1560" w:type="dxa"/>
            <w:vMerge w:val="restart"/>
            <w:vAlign w:val="center"/>
          </w:tcPr>
          <w:p w14:paraId="239D3456">
            <w:pPr>
              <w:spacing w:line="240" w:lineRule="exact"/>
              <w:rPr>
                <w:rFonts w:hint="eastAsia" w:ascii="仿宋" w:hAnsi="仿宋" w:eastAsia="仿宋" w:cs="仿宋_GB2312"/>
                <w:color w:val="auto"/>
                <w:sz w:val="24"/>
                <w:szCs w:val="24"/>
                <w:highlight w:val="none"/>
                <w:lang w:val="zh-CN"/>
              </w:rPr>
            </w:pPr>
            <w:r>
              <w:rPr>
                <w:rFonts w:hint="eastAsia" w:ascii="仿宋" w:hAnsi="仿宋" w:eastAsia="仿宋" w:cs="宋体"/>
                <w:color w:val="auto"/>
                <w:kern w:val="0"/>
                <w:sz w:val="24"/>
                <w:szCs w:val="24"/>
                <w:highlight w:val="none"/>
              </w:rPr>
              <w:t>网上竞采文件的响应程度审查</w:t>
            </w:r>
          </w:p>
        </w:tc>
        <w:tc>
          <w:tcPr>
            <w:tcW w:w="1984" w:type="dxa"/>
            <w:vAlign w:val="center"/>
          </w:tcPr>
          <w:p w14:paraId="674DC5A4">
            <w:pPr>
              <w:spacing w:line="240" w:lineRule="exact"/>
              <w:rPr>
                <w:rFonts w:hint="eastAsia" w:ascii="仿宋" w:hAnsi="仿宋" w:eastAsia="仿宋" w:cs="宋体"/>
                <w:color w:val="auto"/>
                <w:kern w:val="0"/>
                <w:sz w:val="24"/>
                <w:szCs w:val="24"/>
                <w:highlight w:val="none"/>
              </w:rPr>
            </w:pPr>
            <w:r>
              <w:rPr>
                <w:rFonts w:hint="eastAsia" w:ascii="仿宋" w:hAnsi="仿宋" w:eastAsia="仿宋" w:cs="宋体"/>
                <w:color w:val="auto"/>
                <w:kern w:val="0"/>
                <w:sz w:val="24"/>
                <w:szCs w:val="24"/>
                <w:highlight w:val="none"/>
              </w:rPr>
              <w:t>响应文件内容</w:t>
            </w:r>
          </w:p>
        </w:tc>
        <w:tc>
          <w:tcPr>
            <w:tcW w:w="5409" w:type="dxa"/>
            <w:vAlign w:val="center"/>
          </w:tcPr>
          <w:p w14:paraId="614B85C9">
            <w:pPr>
              <w:pStyle w:val="35"/>
              <w:spacing w:line="240" w:lineRule="exact"/>
              <w:rPr>
                <w:rFonts w:hint="eastAsia" w:ascii="仿宋" w:hAnsi="仿宋" w:eastAsia="仿宋" w:cs="宋体"/>
                <w:color w:val="auto"/>
                <w:kern w:val="0"/>
                <w:sz w:val="24"/>
                <w:szCs w:val="24"/>
                <w:highlight w:val="none"/>
              </w:rPr>
            </w:pPr>
            <w:r>
              <w:rPr>
                <w:rFonts w:hint="eastAsia" w:ascii="仿宋" w:hAnsi="仿宋" w:eastAsia="仿宋" w:cs="宋体"/>
                <w:color w:val="auto"/>
                <w:kern w:val="0"/>
                <w:sz w:val="24"/>
                <w:szCs w:val="24"/>
                <w:highlight w:val="none"/>
              </w:rPr>
              <w:t>对网上竞采文件第二篇、第三篇规定的网上竞采内容作出响应。</w:t>
            </w:r>
          </w:p>
        </w:tc>
      </w:tr>
      <w:tr w14:paraId="14C13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trPr>
        <w:tc>
          <w:tcPr>
            <w:tcW w:w="675" w:type="dxa"/>
            <w:vMerge w:val="continue"/>
            <w:vAlign w:val="center"/>
          </w:tcPr>
          <w:p w14:paraId="34EF8324">
            <w:pPr>
              <w:spacing w:line="240" w:lineRule="exact"/>
              <w:jc w:val="center"/>
              <w:rPr>
                <w:rFonts w:hint="eastAsia" w:ascii="仿宋" w:hAnsi="仿宋" w:eastAsia="仿宋" w:cs="宋体"/>
                <w:color w:val="auto"/>
                <w:kern w:val="0"/>
                <w:sz w:val="24"/>
                <w:szCs w:val="24"/>
                <w:highlight w:val="none"/>
              </w:rPr>
            </w:pPr>
          </w:p>
        </w:tc>
        <w:tc>
          <w:tcPr>
            <w:tcW w:w="1560" w:type="dxa"/>
            <w:vMerge w:val="continue"/>
            <w:vAlign w:val="center"/>
          </w:tcPr>
          <w:p w14:paraId="5A5B4433">
            <w:pPr>
              <w:spacing w:line="240" w:lineRule="exact"/>
              <w:rPr>
                <w:rFonts w:hint="eastAsia" w:ascii="仿宋" w:hAnsi="仿宋" w:eastAsia="仿宋" w:cs="仿宋_GB2312"/>
                <w:color w:val="auto"/>
                <w:sz w:val="24"/>
                <w:szCs w:val="24"/>
                <w:highlight w:val="none"/>
                <w:lang w:val="zh-CN"/>
              </w:rPr>
            </w:pPr>
          </w:p>
        </w:tc>
        <w:tc>
          <w:tcPr>
            <w:tcW w:w="1984" w:type="dxa"/>
            <w:vAlign w:val="center"/>
          </w:tcPr>
          <w:p w14:paraId="7BB395AA">
            <w:pPr>
              <w:spacing w:line="240" w:lineRule="exact"/>
              <w:rPr>
                <w:rFonts w:hint="eastAsia" w:ascii="仿宋" w:hAnsi="仿宋" w:eastAsia="仿宋" w:cs="宋体"/>
                <w:color w:val="auto"/>
                <w:kern w:val="0"/>
                <w:sz w:val="24"/>
                <w:szCs w:val="24"/>
                <w:highlight w:val="none"/>
              </w:rPr>
            </w:pPr>
            <w:r>
              <w:rPr>
                <w:rFonts w:hint="eastAsia" w:ascii="仿宋" w:hAnsi="仿宋" w:eastAsia="仿宋" w:cs="宋体"/>
                <w:color w:val="auto"/>
                <w:kern w:val="0"/>
                <w:sz w:val="24"/>
                <w:szCs w:val="24"/>
                <w:highlight w:val="none"/>
              </w:rPr>
              <w:t>网上竞采有效期</w:t>
            </w:r>
          </w:p>
        </w:tc>
        <w:tc>
          <w:tcPr>
            <w:tcW w:w="5409" w:type="dxa"/>
            <w:vAlign w:val="center"/>
          </w:tcPr>
          <w:p w14:paraId="1B997671">
            <w:pPr>
              <w:spacing w:line="240" w:lineRule="exact"/>
              <w:rPr>
                <w:rFonts w:hint="eastAsia" w:ascii="仿宋" w:hAnsi="仿宋" w:eastAsia="仿宋" w:cs="宋体"/>
                <w:color w:val="auto"/>
                <w:kern w:val="0"/>
                <w:sz w:val="24"/>
                <w:szCs w:val="24"/>
                <w:highlight w:val="none"/>
              </w:rPr>
            </w:pPr>
            <w:r>
              <w:rPr>
                <w:rFonts w:hint="eastAsia" w:ascii="仿宋" w:hAnsi="仿宋" w:eastAsia="仿宋" w:cs="宋体"/>
                <w:color w:val="auto"/>
                <w:kern w:val="0"/>
                <w:sz w:val="24"/>
                <w:szCs w:val="24"/>
                <w:highlight w:val="none"/>
              </w:rPr>
              <w:t>满足网上竞采文件</w:t>
            </w:r>
            <w:r>
              <w:rPr>
                <w:rFonts w:hint="eastAsia" w:ascii="仿宋" w:hAnsi="仿宋" w:eastAsia="仿宋" w:cs="仿宋_GB2312"/>
                <w:color w:val="auto"/>
                <w:sz w:val="24"/>
                <w:szCs w:val="24"/>
                <w:highlight w:val="none"/>
                <w:lang w:val="zh-CN"/>
              </w:rPr>
              <w:t>规定。</w:t>
            </w:r>
          </w:p>
        </w:tc>
      </w:tr>
    </w:tbl>
    <w:p w14:paraId="3303B511">
      <w:pPr>
        <w:spacing w:line="360" w:lineRule="auto"/>
        <w:ind w:firstLine="480" w:firstLineChars="200"/>
        <w:rPr>
          <w:rFonts w:hint="eastAsia" w:ascii="仿宋" w:hAnsi="仿宋" w:eastAsia="仿宋"/>
          <w:color w:val="auto"/>
          <w:sz w:val="24"/>
          <w:szCs w:val="24"/>
          <w:highlight w:val="none"/>
        </w:rPr>
      </w:pPr>
      <w:r>
        <w:rPr>
          <w:rFonts w:hint="eastAsia" w:ascii="仿宋" w:hAnsi="仿宋" w:eastAsia="仿宋"/>
          <w:color w:val="auto"/>
          <w:sz w:val="24"/>
          <w:szCs w:val="24"/>
          <w:highlight w:val="none"/>
        </w:rPr>
        <w:t>（二）澄清有关问题。评审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5158C269">
      <w:pPr>
        <w:spacing w:line="360" w:lineRule="auto"/>
        <w:ind w:firstLine="480" w:firstLineChars="200"/>
        <w:rPr>
          <w:rFonts w:hint="eastAsia" w:ascii="仿宋" w:hAnsi="仿宋" w:eastAsia="仿宋"/>
          <w:color w:val="auto"/>
          <w:sz w:val="24"/>
          <w:szCs w:val="24"/>
          <w:highlight w:val="none"/>
        </w:rPr>
      </w:pPr>
      <w:r>
        <w:rPr>
          <w:rFonts w:hint="eastAsia" w:ascii="仿宋" w:hAnsi="仿宋" w:eastAsia="仿宋"/>
          <w:color w:val="auto"/>
          <w:sz w:val="24"/>
          <w:szCs w:val="24"/>
          <w:highlight w:val="none"/>
        </w:rPr>
        <w:t>（三）评审小组要求供应商澄清、说明或者更正响应文件应当以书面形式作出。供应商的澄清、说明或者更正应当由法定代表人或其授权代表签字或者加盖公章。由授权代表签字的，应当附法定代表人授权书。供应商为自然人的，应当由本人签字并附身份证明。</w:t>
      </w:r>
    </w:p>
    <w:p w14:paraId="501D1B37">
      <w:pPr>
        <w:spacing w:line="360" w:lineRule="auto"/>
        <w:ind w:firstLine="480" w:firstLineChars="200"/>
        <w:rPr>
          <w:rFonts w:hint="eastAsia" w:ascii="仿宋" w:hAnsi="仿宋" w:eastAsia="仿宋"/>
          <w:color w:val="auto"/>
          <w:sz w:val="24"/>
          <w:szCs w:val="24"/>
          <w:highlight w:val="none"/>
        </w:rPr>
      </w:pPr>
      <w:r>
        <w:rPr>
          <w:rFonts w:hint="eastAsia" w:ascii="仿宋" w:hAnsi="仿宋" w:eastAsia="仿宋"/>
          <w:color w:val="auto"/>
          <w:sz w:val="24"/>
          <w:szCs w:val="24"/>
          <w:highlight w:val="none"/>
        </w:rPr>
        <w:t>（四）在网上竞采过程中网上竞采的任何一方不得向他人透露与网上竞采有关的服务资料、价格或其他信息。</w:t>
      </w:r>
    </w:p>
    <w:p w14:paraId="12ED57AC">
      <w:pPr>
        <w:spacing w:line="360" w:lineRule="auto"/>
        <w:ind w:firstLine="480" w:firstLineChars="200"/>
        <w:rPr>
          <w:rFonts w:hint="eastAsia" w:ascii="仿宋" w:hAnsi="仿宋" w:eastAsia="仿宋"/>
          <w:color w:val="auto"/>
          <w:sz w:val="24"/>
          <w:szCs w:val="24"/>
          <w:highlight w:val="none"/>
        </w:rPr>
      </w:pPr>
      <w:r>
        <w:rPr>
          <w:rFonts w:hint="eastAsia" w:ascii="仿宋" w:hAnsi="仿宋" w:eastAsia="仿宋"/>
          <w:color w:val="auto"/>
          <w:sz w:val="24"/>
          <w:szCs w:val="24"/>
          <w:highlight w:val="none"/>
        </w:rPr>
        <w:t>（五）在网上竞采过程中，网上竞采小组可以根据网上竞采文件和网上竞采情况实质性变动采购需求中的技术、商务要求以及合同草案条款，但不得变动网上竞采文件中的其他内容。实质性变动的内容，须经采购人代表确认。对网上竞采文件作出的实质性变动是网上竞采文件的有效组成部分，网上竞采小组应当及时以书面形式同时通知所有参加网上竞采的供应商。</w:t>
      </w:r>
    </w:p>
    <w:p w14:paraId="3D554F1F">
      <w:pPr>
        <w:spacing w:line="360" w:lineRule="auto"/>
        <w:ind w:firstLine="480" w:firstLineChars="200"/>
        <w:rPr>
          <w:rFonts w:hint="eastAsia" w:ascii="仿宋" w:hAnsi="仿宋" w:eastAsia="仿宋"/>
          <w:color w:val="auto"/>
          <w:sz w:val="24"/>
          <w:szCs w:val="24"/>
          <w:highlight w:val="none"/>
        </w:rPr>
      </w:pPr>
      <w:r>
        <w:rPr>
          <w:rFonts w:hint="eastAsia" w:ascii="仿宋" w:hAnsi="仿宋" w:eastAsia="仿宋"/>
          <w:color w:val="auto"/>
          <w:sz w:val="24"/>
          <w:szCs w:val="24"/>
          <w:highlight w:val="none"/>
        </w:rPr>
        <w:t>（六）供应商在网上竞采时作出的所有书面承诺须由法定代表人或其授权代表签字。</w:t>
      </w:r>
    </w:p>
    <w:p w14:paraId="3C7BE21F">
      <w:pPr>
        <w:spacing w:line="360" w:lineRule="auto"/>
        <w:ind w:firstLine="480" w:firstLineChars="200"/>
        <w:rPr>
          <w:rFonts w:hint="eastAsia" w:ascii="仿宋" w:hAnsi="仿宋" w:eastAsia="仿宋"/>
          <w:color w:val="auto"/>
          <w:sz w:val="24"/>
          <w:szCs w:val="24"/>
          <w:highlight w:val="none"/>
        </w:rPr>
      </w:pPr>
      <w:r>
        <w:rPr>
          <w:rFonts w:hint="eastAsia" w:ascii="仿宋" w:hAnsi="仿宋" w:eastAsia="仿宋"/>
          <w:color w:val="auto"/>
          <w:sz w:val="24"/>
          <w:szCs w:val="24"/>
          <w:highlight w:val="none"/>
        </w:rPr>
        <w:t>（七）评审小组采用综合评分法对合格的供应商的响应文件进行综合评分。</w:t>
      </w:r>
      <w:r>
        <w:rPr>
          <w:rFonts w:hint="eastAsia" w:ascii="仿宋" w:hAnsi="仿宋" w:eastAsia="仿宋" w:cs="宋体"/>
          <w:color w:val="auto"/>
          <w:kern w:val="0"/>
          <w:sz w:val="24"/>
          <w:szCs w:val="24"/>
          <w:highlight w:val="none"/>
        </w:rPr>
        <w:t>综合评分法，是指响应</w:t>
      </w:r>
      <w:r>
        <w:rPr>
          <w:rFonts w:ascii="仿宋" w:hAnsi="仿宋" w:eastAsia="仿宋" w:cs="宋体"/>
          <w:color w:val="auto"/>
          <w:kern w:val="0"/>
          <w:sz w:val="24"/>
          <w:szCs w:val="24"/>
          <w:highlight w:val="none"/>
        </w:rPr>
        <w:t>文件满足</w:t>
      </w:r>
      <w:r>
        <w:rPr>
          <w:rFonts w:hint="eastAsia" w:ascii="仿宋" w:hAnsi="仿宋" w:eastAsia="仿宋" w:cs="宋体"/>
          <w:color w:val="auto"/>
          <w:kern w:val="0"/>
          <w:sz w:val="24"/>
          <w:szCs w:val="24"/>
          <w:highlight w:val="none"/>
        </w:rPr>
        <w:t>网上竞采</w:t>
      </w:r>
      <w:r>
        <w:rPr>
          <w:rFonts w:ascii="仿宋" w:hAnsi="仿宋" w:eastAsia="仿宋" w:cs="宋体"/>
          <w:color w:val="auto"/>
          <w:kern w:val="0"/>
          <w:sz w:val="24"/>
          <w:szCs w:val="24"/>
          <w:highlight w:val="none"/>
        </w:rPr>
        <w:t>文件全部实质性要求且按照评审因素的量化指标评审得分最高的供应商为</w:t>
      </w:r>
      <w:r>
        <w:rPr>
          <w:rFonts w:hint="eastAsia" w:ascii="仿宋" w:hAnsi="仿宋" w:eastAsia="仿宋" w:cs="宋体"/>
          <w:color w:val="auto"/>
          <w:kern w:val="0"/>
          <w:sz w:val="24"/>
          <w:szCs w:val="24"/>
          <w:highlight w:val="none"/>
        </w:rPr>
        <w:t>成交</w:t>
      </w:r>
      <w:r>
        <w:rPr>
          <w:rFonts w:ascii="仿宋" w:hAnsi="仿宋" w:eastAsia="仿宋" w:cs="宋体"/>
          <w:color w:val="auto"/>
          <w:kern w:val="0"/>
          <w:sz w:val="24"/>
          <w:szCs w:val="24"/>
          <w:highlight w:val="none"/>
        </w:rPr>
        <w:t>候选</w:t>
      </w:r>
      <w:r>
        <w:rPr>
          <w:rFonts w:hint="eastAsia" w:ascii="仿宋" w:hAnsi="仿宋" w:eastAsia="仿宋" w:cs="宋体"/>
          <w:color w:val="auto"/>
          <w:kern w:val="0"/>
          <w:sz w:val="24"/>
          <w:szCs w:val="24"/>
          <w:highlight w:val="none"/>
        </w:rPr>
        <w:t>供应商</w:t>
      </w:r>
      <w:r>
        <w:rPr>
          <w:rFonts w:ascii="仿宋" w:hAnsi="仿宋" w:eastAsia="仿宋" w:cs="宋体"/>
          <w:color w:val="auto"/>
          <w:kern w:val="0"/>
          <w:sz w:val="24"/>
          <w:szCs w:val="24"/>
          <w:highlight w:val="none"/>
        </w:rPr>
        <w:t>的</w:t>
      </w:r>
      <w:r>
        <w:rPr>
          <w:rFonts w:hint="eastAsia" w:ascii="仿宋" w:hAnsi="仿宋" w:eastAsia="仿宋" w:cs="宋体"/>
          <w:color w:val="auto"/>
          <w:kern w:val="0"/>
          <w:sz w:val="24"/>
          <w:szCs w:val="24"/>
          <w:highlight w:val="none"/>
        </w:rPr>
        <w:t>评审</w:t>
      </w:r>
      <w:r>
        <w:rPr>
          <w:rFonts w:ascii="仿宋" w:hAnsi="仿宋" w:eastAsia="仿宋" w:cs="宋体"/>
          <w:color w:val="auto"/>
          <w:kern w:val="0"/>
          <w:sz w:val="24"/>
          <w:szCs w:val="24"/>
          <w:highlight w:val="none"/>
        </w:rPr>
        <w:t>方法</w:t>
      </w:r>
      <w:r>
        <w:rPr>
          <w:rFonts w:hint="eastAsia" w:ascii="仿宋" w:hAnsi="仿宋" w:eastAsia="仿宋" w:cs="宋体"/>
          <w:color w:val="auto"/>
          <w:kern w:val="0"/>
          <w:sz w:val="24"/>
          <w:szCs w:val="24"/>
          <w:highlight w:val="none"/>
        </w:rPr>
        <w:t>。供应商总得分为价格、技术、商务等评定因素分别按照相应权重值计算分项得分后相加，满分为100分</w:t>
      </w:r>
      <w:r>
        <w:rPr>
          <w:rFonts w:hint="eastAsia" w:ascii="仿宋" w:hAnsi="仿宋" w:eastAsia="仿宋"/>
          <w:color w:val="auto"/>
          <w:sz w:val="24"/>
          <w:szCs w:val="24"/>
          <w:highlight w:val="none"/>
        </w:rPr>
        <w:t>。</w:t>
      </w:r>
    </w:p>
    <w:p w14:paraId="1CA7C954">
      <w:pPr>
        <w:spacing w:line="360" w:lineRule="auto"/>
        <w:ind w:firstLine="480" w:firstLineChars="200"/>
        <w:rPr>
          <w:rFonts w:hint="eastAsia" w:ascii="仿宋" w:hAnsi="仿宋" w:eastAsia="仿宋"/>
          <w:color w:val="auto"/>
          <w:sz w:val="24"/>
          <w:szCs w:val="24"/>
          <w:highlight w:val="none"/>
        </w:rPr>
      </w:pPr>
      <w:r>
        <w:rPr>
          <w:rFonts w:hint="eastAsia" w:ascii="仿宋" w:hAnsi="仿宋" w:eastAsia="仿宋"/>
          <w:color w:val="auto"/>
          <w:sz w:val="24"/>
          <w:szCs w:val="24"/>
          <w:highlight w:val="none"/>
        </w:rPr>
        <w:t>（八）评审小组各成员独立对每个有效响应（通过资格性检查、</w:t>
      </w:r>
      <w:r>
        <w:rPr>
          <w:rFonts w:hint="eastAsia" w:ascii="仿宋" w:hAnsi="仿宋" w:eastAsia="仿宋" w:cs="宋体"/>
          <w:color w:val="auto"/>
          <w:kern w:val="0"/>
          <w:sz w:val="24"/>
          <w:szCs w:val="24"/>
          <w:highlight w:val="none"/>
        </w:rPr>
        <w:t>符合性检查的供应商</w:t>
      </w:r>
      <w:r>
        <w:rPr>
          <w:rFonts w:hint="eastAsia" w:ascii="仿宋" w:hAnsi="仿宋" w:eastAsia="仿宋"/>
          <w:color w:val="auto"/>
          <w:sz w:val="24"/>
          <w:szCs w:val="24"/>
          <w:highlight w:val="none"/>
        </w:rPr>
        <w:t>）的文件进行评价、打分，然后汇总每个供应商每项评分因素的得分，并根据综合评分情况按照评审得分由高到低顺序推荐3名以上成交候选供应商，并编写评审报告。若供应商的评审得分相同的，按照竞采报价由低到高的顺序排列推荐。评审得分且竞采报价相同的，按照技术部分得分高低顺序排列推荐。以上都相同的，按商务部分得分高低顺序排列推荐。</w:t>
      </w:r>
    </w:p>
    <w:p w14:paraId="4D2C9F67">
      <w:pPr>
        <w:pStyle w:val="4"/>
        <w:adjustRightInd w:val="0"/>
        <w:snapToGrid w:val="0"/>
        <w:spacing w:before="0" w:after="0" w:line="400" w:lineRule="exact"/>
        <w:rPr>
          <w:rFonts w:hint="eastAsia" w:ascii="仿宋" w:hAnsi="仿宋" w:eastAsia="仿宋" w:cs="仿宋"/>
          <w:color w:val="auto"/>
          <w:sz w:val="24"/>
          <w:highlight w:val="none"/>
        </w:rPr>
      </w:pPr>
      <w:bookmarkStart w:id="65" w:name="_Toc76462334"/>
      <w:bookmarkStart w:id="66" w:name="_Toc4350"/>
      <w:bookmarkStart w:id="67" w:name="_Toc4851"/>
      <w:r>
        <w:rPr>
          <w:rFonts w:hint="eastAsia" w:ascii="仿宋" w:hAnsi="仿宋" w:eastAsia="仿宋" w:cs="仿宋"/>
          <w:color w:val="auto"/>
          <w:sz w:val="24"/>
          <w:highlight w:val="none"/>
        </w:rPr>
        <w:t>二、评审标准</w:t>
      </w:r>
      <w:bookmarkEnd w:id="65"/>
      <w:bookmarkEnd w:id="66"/>
      <w:bookmarkEnd w:id="67"/>
    </w:p>
    <w:tbl>
      <w:tblPr>
        <w:tblStyle w:val="64"/>
        <w:tblW w:w="1029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9"/>
        <w:gridCol w:w="968"/>
        <w:gridCol w:w="1193"/>
        <w:gridCol w:w="5242"/>
        <w:gridCol w:w="2516"/>
      </w:tblGrid>
      <w:tr w14:paraId="0F7612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6" w:hRule="atLeast"/>
        </w:trPr>
        <w:tc>
          <w:tcPr>
            <w:tcW w:w="379" w:type="dxa"/>
            <w:vAlign w:val="center"/>
          </w:tcPr>
          <w:p w14:paraId="0D3F92A9">
            <w:pPr>
              <w:snapToGrid w:val="0"/>
              <w:spacing w:line="240" w:lineRule="auto"/>
              <w:jc w:val="center"/>
              <w:rPr>
                <w:rFonts w:hint="eastAsia" w:ascii="仿宋" w:hAnsi="仿宋" w:eastAsia="仿宋" w:cs="仿宋"/>
                <w:color w:val="auto"/>
                <w:sz w:val="21"/>
                <w:szCs w:val="21"/>
                <w:highlight w:val="none"/>
              </w:rPr>
            </w:pPr>
            <w:bookmarkStart w:id="68" w:name="_Toc32110"/>
            <w:bookmarkStart w:id="69" w:name="_Toc102227320"/>
            <w:bookmarkStart w:id="70" w:name="_Toc342913394"/>
            <w:r>
              <w:rPr>
                <w:rFonts w:hint="eastAsia" w:ascii="仿宋" w:hAnsi="仿宋" w:eastAsia="仿宋" w:cs="仿宋"/>
                <w:color w:val="auto"/>
                <w:sz w:val="21"/>
                <w:szCs w:val="21"/>
                <w:highlight w:val="none"/>
              </w:rPr>
              <w:t>序号</w:t>
            </w:r>
          </w:p>
        </w:tc>
        <w:tc>
          <w:tcPr>
            <w:tcW w:w="968" w:type="dxa"/>
            <w:vAlign w:val="center"/>
          </w:tcPr>
          <w:p w14:paraId="1A678915">
            <w:pPr>
              <w:snapToGrid w:val="0"/>
              <w:spacing w:line="240" w:lineRule="auto"/>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评分因素</w:t>
            </w:r>
          </w:p>
          <w:p w14:paraId="7CD7C204">
            <w:pPr>
              <w:snapToGrid w:val="0"/>
              <w:spacing w:line="240" w:lineRule="auto"/>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及权重</w:t>
            </w:r>
          </w:p>
        </w:tc>
        <w:tc>
          <w:tcPr>
            <w:tcW w:w="1193" w:type="dxa"/>
            <w:vAlign w:val="center"/>
          </w:tcPr>
          <w:p w14:paraId="7C287C6E">
            <w:pPr>
              <w:snapToGrid w:val="0"/>
              <w:spacing w:line="240" w:lineRule="auto"/>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分值</w:t>
            </w:r>
          </w:p>
        </w:tc>
        <w:tc>
          <w:tcPr>
            <w:tcW w:w="5242" w:type="dxa"/>
            <w:vAlign w:val="center"/>
          </w:tcPr>
          <w:p w14:paraId="5D434199">
            <w:pPr>
              <w:snapToGrid w:val="0"/>
              <w:spacing w:line="240" w:lineRule="auto"/>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评分标准</w:t>
            </w:r>
          </w:p>
        </w:tc>
        <w:tc>
          <w:tcPr>
            <w:tcW w:w="2516" w:type="dxa"/>
            <w:vAlign w:val="center"/>
          </w:tcPr>
          <w:p w14:paraId="010D2D50">
            <w:pPr>
              <w:snapToGrid w:val="0"/>
              <w:spacing w:line="240" w:lineRule="auto"/>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说明</w:t>
            </w:r>
          </w:p>
        </w:tc>
      </w:tr>
      <w:tr w14:paraId="36E14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0" w:hRule="atLeast"/>
        </w:trPr>
        <w:tc>
          <w:tcPr>
            <w:tcW w:w="379" w:type="dxa"/>
            <w:vAlign w:val="center"/>
          </w:tcPr>
          <w:p w14:paraId="591B94CD">
            <w:pPr>
              <w:snapToGrid w:val="0"/>
              <w:spacing w:line="240" w:lineRule="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1</w:t>
            </w:r>
          </w:p>
        </w:tc>
        <w:tc>
          <w:tcPr>
            <w:tcW w:w="968" w:type="dxa"/>
            <w:vAlign w:val="center"/>
          </w:tcPr>
          <w:p w14:paraId="3F122678">
            <w:pPr>
              <w:snapToGrid w:val="0"/>
              <w:spacing w:line="240" w:lineRule="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lang w:val="en-US" w:eastAsia="zh-CN"/>
              </w:rPr>
              <w:t>投标</w:t>
            </w:r>
            <w:r>
              <w:rPr>
                <w:rFonts w:hint="eastAsia" w:ascii="仿宋" w:hAnsi="仿宋" w:eastAsia="仿宋" w:cs="仿宋"/>
                <w:color w:val="auto"/>
                <w:sz w:val="21"/>
                <w:szCs w:val="21"/>
                <w:highlight w:val="none"/>
              </w:rPr>
              <w:t>报价（</w:t>
            </w:r>
            <w:r>
              <w:rPr>
                <w:rFonts w:hint="eastAsia" w:ascii="仿宋" w:hAnsi="仿宋" w:eastAsia="仿宋" w:cs="仿宋"/>
                <w:color w:val="auto"/>
                <w:sz w:val="21"/>
                <w:szCs w:val="21"/>
                <w:highlight w:val="none"/>
                <w:lang w:val="en-US" w:eastAsia="zh-CN"/>
              </w:rPr>
              <w:t>15</w:t>
            </w:r>
            <w:r>
              <w:rPr>
                <w:rFonts w:hint="eastAsia" w:ascii="仿宋" w:hAnsi="仿宋" w:eastAsia="仿宋" w:cs="仿宋"/>
                <w:color w:val="auto"/>
                <w:sz w:val="21"/>
                <w:szCs w:val="21"/>
                <w:highlight w:val="none"/>
              </w:rPr>
              <w:t>%）</w:t>
            </w:r>
          </w:p>
        </w:tc>
        <w:tc>
          <w:tcPr>
            <w:tcW w:w="1193" w:type="dxa"/>
            <w:vAlign w:val="center"/>
          </w:tcPr>
          <w:p w14:paraId="0144D78D">
            <w:pPr>
              <w:snapToGrid w:val="0"/>
              <w:spacing w:line="240" w:lineRule="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lang w:val="en-US" w:eastAsia="zh-CN"/>
              </w:rPr>
              <w:t>15</w:t>
            </w:r>
            <w:r>
              <w:rPr>
                <w:rFonts w:hint="eastAsia" w:ascii="仿宋" w:hAnsi="仿宋" w:eastAsia="仿宋" w:cs="仿宋"/>
                <w:color w:val="auto"/>
                <w:sz w:val="21"/>
                <w:szCs w:val="21"/>
                <w:highlight w:val="none"/>
              </w:rPr>
              <w:t>分</w:t>
            </w:r>
          </w:p>
        </w:tc>
        <w:tc>
          <w:tcPr>
            <w:tcW w:w="5242" w:type="dxa"/>
            <w:vAlign w:val="center"/>
          </w:tcPr>
          <w:p w14:paraId="7FE3AAE5">
            <w:pPr>
              <w:snapToGrid w:val="0"/>
              <w:spacing w:line="240" w:lineRule="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有效的竞采报价中最低价为评审基准价，其价格分为满分。其他</w:t>
            </w:r>
            <w:r>
              <w:rPr>
                <w:rFonts w:hint="eastAsia" w:ascii="仿宋" w:hAnsi="仿宋" w:eastAsia="仿宋" w:cs="仿宋"/>
                <w:color w:val="auto"/>
                <w:sz w:val="21"/>
                <w:szCs w:val="21"/>
                <w:highlight w:val="none"/>
                <w:lang w:eastAsia="zh-CN"/>
              </w:rPr>
              <w:t>投标人</w:t>
            </w:r>
            <w:r>
              <w:rPr>
                <w:rFonts w:hint="eastAsia" w:ascii="仿宋" w:hAnsi="仿宋" w:eastAsia="仿宋" w:cs="仿宋"/>
                <w:color w:val="auto"/>
                <w:sz w:val="21"/>
                <w:szCs w:val="21"/>
                <w:highlight w:val="none"/>
              </w:rPr>
              <w:t>的价格分别统一按照下列公式计算：</w:t>
            </w:r>
          </w:p>
          <w:p w14:paraId="686DDAA4">
            <w:pPr>
              <w:snapToGrid w:val="0"/>
              <w:spacing w:line="240" w:lineRule="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竞采报价得分＝（评审基准价/竞采报价）×价格权重×100。（按四舍五入法保留两位小数）</w:t>
            </w:r>
          </w:p>
        </w:tc>
        <w:tc>
          <w:tcPr>
            <w:tcW w:w="2516" w:type="dxa"/>
            <w:vAlign w:val="center"/>
          </w:tcPr>
          <w:p w14:paraId="7EA29E2D">
            <w:pPr>
              <w:snapToGrid w:val="0"/>
              <w:spacing w:line="240" w:lineRule="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超过采购预算的报价为无效响应</w:t>
            </w:r>
          </w:p>
        </w:tc>
      </w:tr>
      <w:tr w14:paraId="44382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9" w:type="dxa"/>
            <w:vMerge w:val="restart"/>
            <w:vAlign w:val="center"/>
          </w:tcPr>
          <w:p w14:paraId="1B078800">
            <w:pPr>
              <w:snapToGrid w:val="0"/>
              <w:spacing w:line="240" w:lineRule="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2</w:t>
            </w:r>
          </w:p>
        </w:tc>
        <w:tc>
          <w:tcPr>
            <w:tcW w:w="968" w:type="dxa"/>
            <w:vMerge w:val="restart"/>
            <w:vAlign w:val="center"/>
          </w:tcPr>
          <w:p w14:paraId="04686753">
            <w:pPr>
              <w:snapToGrid w:val="0"/>
              <w:spacing w:line="240" w:lineRule="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技术部分（</w:t>
            </w:r>
            <w:r>
              <w:rPr>
                <w:rFonts w:hint="eastAsia" w:ascii="仿宋" w:hAnsi="仿宋" w:eastAsia="仿宋" w:cs="仿宋"/>
                <w:color w:val="auto"/>
                <w:sz w:val="21"/>
                <w:szCs w:val="21"/>
                <w:highlight w:val="none"/>
                <w:lang w:val="en-US" w:eastAsia="zh-CN"/>
              </w:rPr>
              <w:t>65</w:t>
            </w:r>
            <w:r>
              <w:rPr>
                <w:rFonts w:hint="eastAsia" w:ascii="仿宋" w:hAnsi="仿宋" w:eastAsia="仿宋" w:cs="仿宋"/>
                <w:color w:val="auto"/>
                <w:sz w:val="21"/>
                <w:szCs w:val="21"/>
                <w:highlight w:val="none"/>
              </w:rPr>
              <w:t>%）</w:t>
            </w:r>
          </w:p>
        </w:tc>
        <w:tc>
          <w:tcPr>
            <w:tcW w:w="1193" w:type="dxa"/>
            <w:vAlign w:val="center"/>
          </w:tcPr>
          <w:p w14:paraId="6D249647">
            <w:pPr>
              <w:snapToGrid w:val="0"/>
              <w:spacing w:line="240" w:lineRule="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2</w:t>
            </w:r>
            <w:r>
              <w:rPr>
                <w:rFonts w:hint="eastAsia" w:ascii="仿宋" w:hAnsi="仿宋" w:eastAsia="仿宋" w:cs="仿宋"/>
                <w:color w:val="auto"/>
                <w:sz w:val="21"/>
                <w:szCs w:val="21"/>
                <w:highlight w:val="none"/>
                <w:lang w:val="en-US" w:eastAsia="zh-CN"/>
              </w:rPr>
              <w:t>5</w:t>
            </w:r>
            <w:r>
              <w:rPr>
                <w:rFonts w:hint="eastAsia" w:ascii="仿宋" w:hAnsi="仿宋" w:eastAsia="仿宋" w:cs="仿宋"/>
                <w:color w:val="auto"/>
                <w:sz w:val="21"/>
                <w:szCs w:val="21"/>
                <w:highlight w:val="none"/>
              </w:rPr>
              <w:t>分</w:t>
            </w:r>
          </w:p>
        </w:tc>
        <w:tc>
          <w:tcPr>
            <w:tcW w:w="5242" w:type="dxa"/>
            <w:vAlign w:val="center"/>
          </w:tcPr>
          <w:p w14:paraId="2B558B8F">
            <w:pPr>
              <w:snapToGrid w:val="0"/>
              <w:spacing w:line="240" w:lineRule="auto"/>
              <w:rPr>
                <w:rFonts w:hint="eastAsia" w:ascii="仿宋" w:hAnsi="仿宋" w:eastAsia="仿宋" w:cs="仿宋"/>
                <w:b/>
                <w:bCs/>
                <w:color w:val="auto"/>
                <w:sz w:val="21"/>
                <w:szCs w:val="21"/>
                <w:highlight w:val="none"/>
              </w:rPr>
            </w:pPr>
            <w:r>
              <w:rPr>
                <w:rFonts w:hint="eastAsia" w:ascii="仿宋" w:hAnsi="仿宋" w:eastAsia="仿宋" w:cs="仿宋"/>
                <w:b/>
                <w:bCs/>
                <w:color w:val="auto"/>
                <w:sz w:val="21"/>
                <w:szCs w:val="21"/>
                <w:highlight w:val="none"/>
              </w:rPr>
              <w:t>1、</w:t>
            </w:r>
            <w:r>
              <w:rPr>
                <w:rFonts w:hint="eastAsia" w:ascii="仿宋" w:hAnsi="仿宋" w:eastAsia="仿宋" w:cs="仿宋"/>
                <w:b/>
                <w:bCs/>
                <w:color w:val="auto"/>
                <w:sz w:val="21"/>
                <w:szCs w:val="21"/>
                <w:highlight w:val="none"/>
                <w:lang w:val="en-US" w:eastAsia="zh-CN"/>
              </w:rPr>
              <w:t>技术团队配置</w:t>
            </w:r>
            <w:r>
              <w:rPr>
                <w:rFonts w:hint="eastAsia" w:ascii="仿宋" w:hAnsi="仿宋" w:eastAsia="仿宋" w:cs="仿宋"/>
                <w:b/>
                <w:bCs/>
                <w:color w:val="auto"/>
                <w:sz w:val="21"/>
                <w:szCs w:val="21"/>
                <w:highlight w:val="none"/>
              </w:rPr>
              <w:t>（2</w:t>
            </w:r>
            <w:r>
              <w:rPr>
                <w:rFonts w:hint="eastAsia" w:ascii="仿宋" w:hAnsi="仿宋" w:eastAsia="仿宋" w:cs="仿宋"/>
                <w:b/>
                <w:bCs/>
                <w:color w:val="auto"/>
                <w:sz w:val="21"/>
                <w:szCs w:val="21"/>
                <w:highlight w:val="none"/>
                <w:lang w:val="en-US" w:eastAsia="zh-CN"/>
              </w:rPr>
              <w:t>5</w:t>
            </w:r>
            <w:r>
              <w:rPr>
                <w:rFonts w:hint="eastAsia" w:ascii="仿宋" w:hAnsi="仿宋" w:eastAsia="仿宋" w:cs="仿宋"/>
                <w:b/>
                <w:bCs/>
                <w:color w:val="auto"/>
                <w:sz w:val="21"/>
                <w:szCs w:val="21"/>
                <w:highlight w:val="none"/>
              </w:rPr>
              <w:t>分）</w:t>
            </w:r>
          </w:p>
          <w:p w14:paraId="4E50339B">
            <w:pPr>
              <w:snapToGrid w:val="0"/>
              <w:spacing w:line="240" w:lineRule="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lang w:eastAsia="zh-CN"/>
              </w:rPr>
              <w:t>投标人</w:t>
            </w:r>
            <w:r>
              <w:rPr>
                <w:rFonts w:hint="eastAsia" w:ascii="仿宋" w:hAnsi="仿宋" w:eastAsia="仿宋" w:cs="仿宋"/>
                <w:color w:val="auto"/>
                <w:sz w:val="21"/>
                <w:szCs w:val="21"/>
                <w:highlight w:val="none"/>
              </w:rPr>
              <w:t>提供针对本项目的</w:t>
            </w:r>
            <w:r>
              <w:rPr>
                <w:rFonts w:hint="eastAsia" w:ascii="仿宋" w:hAnsi="仿宋" w:eastAsia="仿宋" w:cs="仿宋"/>
                <w:color w:val="auto"/>
                <w:sz w:val="21"/>
                <w:szCs w:val="21"/>
                <w:highlight w:val="none"/>
                <w:lang w:val="en-US" w:eastAsia="zh-CN"/>
              </w:rPr>
              <w:t>技术团队配置</w:t>
            </w:r>
            <w:r>
              <w:rPr>
                <w:rFonts w:hint="eastAsia" w:ascii="仿宋" w:hAnsi="仿宋" w:eastAsia="仿宋" w:cs="仿宋"/>
                <w:color w:val="auto"/>
                <w:sz w:val="21"/>
                <w:szCs w:val="21"/>
                <w:highlight w:val="none"/>
              </w:rPr>
              <w:t>，包括但不限于</w:t>
            </w:r>
            <w:r>
              <w:rPr>
                <w:rFonts w:hint="eastAsia" w:ascii="仿宋" w:hAnsi="仿宋" w:eastAsia="仿宋" w:cs="仿宋"/>
                <w:color w:val="auto"/>
                <w:sz w:val="21"/>
                <w:szCs w:val="21"/>
                <w:highlight w:val="none"/>
                <w:lang w:val="en-US" w:eastAsia="zh-CN"/>
              </w:rPr>
              <w:t>技术团队名单、岗位分工职责、人员资质经验等</w:t>
            </w:r>
            <w:r>
              <w:rPr>
                <w:rFonts w:hint="eastAsia" w:ascii="仿宋" w:hAnsi="仿宋" w:eastAsia="仿宋" w:cs="仿宋"/>
                <w:color w:val="auto"/>
                <w:sz w:val="21"/>
                <w:szCs w:val="21"/>
                <w:highlight w:val="none"/>
              </w:rPr>
              <w:t>。</w:t>
            </w:r>
          </w:p>
          <w:p w14:paraId="6AA9BE8C">
            <w:pPr>
              <w:snapToGrid w:val="0"/>
              <w:spacing w:line="240" w:lineRule="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方案内容不存在瑕疵，得2</w:t>
            </w:r>
            <w:r>
              <w:rPr>
                <w:rFonts w:hint="eastAsia" w:ascii="仿宋" w:hAnsi="仿宋" w:eastAsia="仿宋" w:cs="仿宋"/>
                <w:color w:val="auto"/>
                <w:sz w:val="21"/>
                <w:szCs w:val="21"/>
                <w:highlight w:val="none"/>
                <w:lang w:val="en-US" w:eastAsia="zh-CN"/>
              </w:rPr>
              <w:t>5</w:t>
            </w:r>
            <w:r>
              <w:rPr>
                <w:rFonts w:hint="eastAsia" w:ascii="仿宋" w:hAnsi="仿宋" w:eastAsia="仿宋" w:cs="仿宋"/>
                <w:color w:val="auto"/>
                <w:sz w:val="21"/>
                <w:szCs w:val="21"/>
                <w:highlight w:val="none"/>
              </w:rPr>
              <w:t>分，</w:t>
            </w:r>
          </w:p>
          <w:p w14:paraId="0857F365">
            <w:pPr>
              <w:snapToGrid w:val="0"/>
              <w:spacing w:line="240" w:lineRule="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方案内容存在1处瑕疵，得</w:t>
            </w:r>
            <w:r>
              <w:rPr>
                <w:rFonts w:hint="eastAsia" w:ascii="仿宋" w:hAnsi="仿宋" w:eastAsia="仿宋" w:cs="仿宋"/>
                <w:color w:val="auto"/>
                <w:sz w:val="21"/>
                <w:szCs w:val="21"/>
                <w:highlight w:val="none"/>
                <w:lang w:val="en-US" w:eastAsia="zh-CN"/>
              </w:rPr>
              <w:t>21</w:t>
            </w:r>
            <w:r>
              <w:rPr>
                <w:rFonts w:hint="eastAsia" w:ascii="仿宋" w:hAnsi="仿宋" w:eastAsia="仿宋" w:cs="仿宋"/>
                <w:color w:val="auto"/>
                <w:sz w:val="21"/>
                <w:szCs w:val="21"/>
                <w:highlight w:val="none"/>
              </w:rPr>
              <w:t>分，</w:t>
            </w:r>
          </w:p>
          <w:p w14:paraId="2E495B7D">
            <w:pPr>
              <w:snapToGrid w:val="0"/>
              <w:spacing w:line="240" w:lineRule="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方案内容存在2处瑕疵，得</w:t>
            </w:r>
            <w:r>
              <w:rPr>
                <w:rFonts w:hint="eastAsia" w:ascii="仿宋" w:hAnsi="仿宋" w:eastAsia="仿宋" w:cs="仿宋"/>
                <w:color w:val="auto"/>
                <w:sz w:val="21"/>
                <w:szCs w:val="21"/>
                <w:highlight w:val="none"/>
                <w:lang w:val="en-US" w:eastAsia="zh-CN"/>
              </w:rPr>
              <w:t>17</w:t>
            </w:r>
            <w:r>
              <w:rPr>
                <w:rFonts w:hint="eastAsia" w:ascii="仿宋" w:hAnsi="仿宋" w:eastAsia="仿宋" w:cs="仿宋"/>
                <w:color w:val="auto"/>
                <w:sz w:val="21"/>
                <w:szCs w:val="21"/>
                <w:highlight w:val="none"/>
              </w:rPr>
              <w:t>分，</w:t>
            </w:r>
          </w:p>
          <w:p w14:paraId="6A2BB1A4">
            <w:pPr>
              <w:snapToGrid w:val="0"/>
              <w:spacing w:line="240" w:lineRule="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方案内容存在3处瑕疵，得</w:t>
            </w:r>
            <w:r>
              <w:rPr>
                <w:rFonts w:hint="eastAsia" w:ascii="仿宋" w:hAnsi="仿宋" w:eastAsia="仿宋" w:cs="仿宋"/>
                <w:color w:val="auto"/>
                <w:sz w:val="21"/>
                <w:szCs w:val="21"/>
                <w:highlight w:val="none"/>
                <w:lang w:val="en-US" w:eastAsia="zh-CN"/>
              </w:rPr>
              <w:t>13</w:t>
            </w:r>
            <w:r>
              <w:rPr>
                <w:rFonts w:hint="eastAsia" w:ascii="仿宋" w:hAnsi="仿宋" w:eastAsia="仿宋" w:cs="仿宋"/>
                <w:color w:val="auto"/>
                <w:sz w:val="21"/>
                <w:szCs w:val="21"/>
                <w:highlight w:val="none"/>
              </w:rPr>
              <w:t>分，</w:t>
            </w:r>
          </w:p>
          <w:p w14:paraId="35E0BAB6">
            <w:pPr>
              <w:snapToGrid w:val="0"/>
              <w:spacing w:line="240" w:lineRule="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方案内容存在4处及以上瑕疵或未提供方案得0分。</w:t>
            </w:r>
          </w:p>
          <w:p w14:paraId="54E752B4">
            <w:pPr>
              <w:snapToGrid w:val="0"/>
              <w:spacing w:line="240" w:lineRule="auto"/>
              <w:rPr>
                <w:rFonts w:hint="default"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提供人员花名册、资质证书、简历、聘书或社保证明等材料。</w:t>
            </w:r>
          </w:p>
        </w:tc>
        <w:tc>
          <w:tcPr>
            <w:tcW w:w="2516" w:type="dxa"/>
            <w:vMerge w:val="restart"/>
            <w:shd w:val="clear" w:color="auto" w:fill="auto"/>
            <w:vAlign w:val="center"/>
          </w:tcPr>
          <w:p w14:paraId="304E4427">
            <w:pPr>
              <w:snapToGrid w:val="0"/>
              <w:spacing w:line="240" w:lineRule="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提供方案，格式自拟。</w:t>
            </w:r>
          </w:p>
          <w:p w14:paraId="2D70E53B">
            <w:pPr>
              <w:snapToGrid w:val="0"/>
              <w:spacing w:line="240" w:lineRule="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注：本项内容中所称的“瑕疵”指以下任意一种情形：①方案内容缺项、内容表述不完整或缺少关键分析点，②方案内容表述前后矛盾不合理、无连贯性，③内容存在逻辑漏洞、无实用性、常识错误、服务方案没有科学性，④服务的方式方法不切实际、不适用本项目特性或非专门针对本项目制定、也不适用于采购人的项目实施环境，⑤方案中提出的相关措施举措不利于本项目目标的实现、现有技术条件下不可能实现的情形。</w:t>
            </w:r>
          </w:p>
          <w:p w14:paraId="4C6B4CA2">
            <w:pPr>
              <w:snapToGrid w:val="0"/>
              <w:spacing w:line="240" w:lineRule="auto"/>
              <w:rPr>
                <w:rFonts w:hint="eastAsia" w:ascii="仿宋" w:hAnsi="仿宋" w:eastAsia="仿宋" w:cs="仿宋"/>
                <w:color w:val="auto"/>
                <w:sz w:val="21"/>
                <w:szCs w:val="21"/>
                <w:highlight w:val="none"/>
              </w:rPr>
            </w:pPr>
          </w:p>
          <w:p w14:paraId="1FBBF313">
            <w:pPr>
              <w:snapToGrid w:val="0"/>
              <w:spacing w:line="240" w:lineRule="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lang w:eastAsia="zh-CN"/>
              </w:rPr>
              <w:t>（</w:t>
            </w:r>
            <w:r>
              <w:rPr>
                <w:rFonts w:hint="eastAsia" w:ascii="仿宋" w:hAnsi="仿宋" w:eastAsia="仿宋" w:cs="仿宋"/>
                <w:color w:val="auto"/>
                <w:sz w:val="21"/>
                <w:szCs w:val="21"/>
                <w:highlight w:val="none"/>
              </w:rPr>
              <w:t>评审小组各成员对方案部分每项独立进行评审打分，取算术平均值为该</w:t>
            </w:r>
            <w:r>
              <w:rPr>
                <w:rFonts w:hint="eastAsia" w:ascii="仿宋" w:hAnsi="仿宋" w:eastAsia="仿宋" w:cs="仿宋"/>
                <w:color w:val="auto"/>
                <w:sz w:val="21"/>
                <w:szCs w:val="21"/>
                <w:highlight w:val="none"/>
                <w:lang w:eastAsia="zh-CN"/>
              </w:rPr>
              <w:t>投标人</w:t>
            </w:r>
            <w:r>
              <w:rPr>
                <w:rFonts w:hint="eastAsia" w:ascii="仿宋" w:hAnsi="仿宋" w:eastAsia="仿宋" w:cs="仿宋"/>
                <w:color w:val="auto"/>
                <w:sz w:val="21"/>
                <w:szCs w:val="21"/>
                <w:highlight w:val="none"/>
              </w:rPr>
              <w:t>方案得分。得分保留至小数点后两位四舍五入。</w:t>
            </w:r>
            <w:r>
              <w:rPr>
                <w:rFonts w:hint="eastAsia" w:ascii="仿宋" w:hAnsi="仿宋" w:eastAsia="仿宋" w:cs="仿宋"/>
                <w:color w:val="auto"/>
                <w:sz w:val="21"/>
                <w:szCs w:val="21"/>
                <w:highlight w:val="none"/>
                <w:lang w:eastAsia="zh-CN"/>
              </w:rPr>
              <w:t>）</w:t>
            </w:r>
          </w:p>
        </w:tc>
      </w:tr>
      <w:tr w14:paraId="1ECCF2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7" w:hRule="atLeast"/>
        </w:trPr>
        <w:tc>
          <w:tcPr>
            <w:tcW w:w="379" w:type="dxa"/>
            <w:vMerge w:val="continue"/>
            <w:vAlign w:val="center"/>
          </w:tcPr>
          <w:p w14:paraId="71A628D3">
            <w:pPr>
              <w:snapToGrid w:val="0"/>
              <w:spacing w:line="240" w:lineRule="auto"/>
              <w:rPr>
                <w:rFonts w:hint="eastAsia" w:ascii="仿宋" w:hAnsi="仿宋" w:eastAsia="仿宋" w:cs="仿宋"/>
                <w:color w:val="auto"/>
                <w:sz w:val="21"/>
                <w:szCs w:val="21"/>
                <w:highlight w:val="none"/>
              </w:rPr>
            </w:pPr>
          </w:p>
        </w:tc>
        <w:tc>
          <w:tcPr>
            <w:tcW w:w="968" w:type="dxa"/>
            <w:vMerge w:val="continue"/>
            <w:vAlign w:val="center"/>
          </w:tcPr>
          <w:p w14:paraId="6AC0EB34">
            <w:pPr>
              <w:snapToGrid w:val="0"/>
              <w:spacing w:line="240" w:lineRule="auto"/>
              <w:rPr>
                <w:rFonts w:hint="eastAsia" w:ascii="仿宋" w:hAnsi="仿宋" w:eastAsia="仿宋" w:cs="仿宋"/>
                <w:color w:val="auto"/>
                <w:sz w:val="21"/>
                <w:szCs w:val="21"/>
                <w:highlight w:val="none"/>
              </w:rPr>
            </w:pPr>
          </w:p>
        </w:tc>
        <w:tc>
          <w:tcPr>
            <w:tcW w:w="1193" w:type="dxa"/>
            <w:vAlign w:val="center"/>
          </w:tcPr>
          <w:p w14:paraId="290FC530">
            <w:pPr>
              <w:snapToGrid w:val="0"/>
              <w:spacing w:line="240" w:lineRule="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20分</w:t>
            </w:r>
          </w:p>
        </w:tc>
        <w:tc>
          <w:tcPr>
            <w:tcW w:w="5242" w:type="dxa"/>
            <w:vAlign w:val="center"/>
          </w:tcPr>
          <w:p w14:paraId="20A35E1A">
            <w:pPr>
              <w:snapToGrid w:val="0"/>
              <w:spacing w:line="240" w:lineRule="auto"/>
              <w:rPr>
                <w:rFonts w:hint="eastAsia" w:ascii="仿宋" w:hAnsi="仿宋" w:eastAsia="仿宋" w:cs="仿宋"/>
                <w:b/>
                <w:bCs/>
                <w:color w:val="auto"/>
                <w:sz w:val="21"/>
                <w:szCs w:val="21"/>
                <w:highlight w:val="none"/>
              </w:rPr>
            </w:pPr>
            <w:r>
              <w:rPr>
                <w:rFonts w:hint="eastAsia" w:ascii="仿宋" w:hAnsi="仿宋" w:eastAsia="仿宋" w:cs="仿宋"/>
                <w:b/>
                <w:bCs/>
                <w:color w:val="auto"/>
                <w:sz w:val="21"/>
                <w:szCs w:val="21"/>
                <w:highlight w:val="none"/>
              </w:rPr>
              <w:t>2、服务实施预案（20分）</w:t>
            </w:r>
          </w:p>
          <w:p w14:paraId="6FAE6511">
            <w:pPr>
              <w:snapToGrid w:val="0"/>
              <w:spacing w:line="240" w:lineRule="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lang w:eastAsia="zh-CN"/>
              </w:rPr>
              <w:t>投标人</w:t>
            </w:r>
            <w:r>
              <w:rPr>
                <w:rFonts w:hint="eastAsia" w:ascii="仿宋" w:hAnsi="仿宋" w:eastAsia="仿宋" w:cs="仿宋"/>
                <w:color w:val="auto"/>
                <w:sz w:val="21"/>
                <w:szCs w:val="21"/>
                <w:highlight w:val="none"/>
              </w:rPr>
              <w:t>提供针对本项目的服务实施预案，包括但不限于</w:t>
            </w:r>
            <w:r>
              <w:rPr>
                <w:rFonts w:hint="eastAsia" w:ascii="仿宋" w:hAnsi="仿宋" w:eastAsia="仿宋" w:cs="仿宋"/>
                <w:color w:val="auto"/>
                <w:sz w:val="21"/>
                <w:szCs w:val="21"/>
                <w:highlight w:val="none"/>
                <w:lang w:val="en-US" w:eastAsia="zh-CN"/>
              </w:rPr>
              <w:t>进度计划安排、工作流程方案、实施要点措施</w:t>
            </w:r>
            <w:r>
              <w:rPr>
                <w:rFonts w:hint="eastAsia" w:ascii="仿宋" w:hAnsi="仿宋" w:eastAsia="仿宋" w:cs="仿宋"/>
                <w:color w:val="auto"/>
                <w:sz w:val="21"/>
                <w:szCs w:val="21"/>
                <w:highlight w:val="none"/>
              </w:rPr>
              <w:t>等。</w:t>
            </w:r>
          </w:p>
          <w:p w14:paraId="60CBC7AC">
            <w:pPr>
              <w:snapToGrid w:val="0"/>
              <w:spacing w:line="240" w:lineRule="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方案内容不存在瑕疵，得2</w:t>
            </w:r>
            <w:r>
              <w:rPr>
                <w:rFonts w:hint="eastAsia" w:ascii="仿宋" w:hAnsi="仿宋" w:eastAsia="仿宋" w:cs="仿宋"/>
                <w:color w:val="auto"/>
                <w:sz w:val="21"/>
                <w:szCs w:val="21"/>
                <w:highlight w:val="none"/>
                <w:lang w:val="en-US" w:eastAsia="zh-CN"/>
              </w:rPr>
              <w:t>0</w:t>
            </w:r>
            <w:r>
              <w:rPr>
                <w:rFonts w:hint="eastAsia" w:ascii="仿宋" w:hAnsi="仿宋" w:eastAsia="仿宋" w:cs="仿宋"/>
                <w:color w:val="auto"/>
                <w:sz w:val="21"/>
                <w:szCs w:val="21"/>
                <w:highlight w:val="none"/>
              </w:rPr>
              <w:t>分，</w:t>
            </w:r>
          </w:p>
          <w:p w14:paraId="6DFA5E35">
            <w:pPr>
              <w:snapToGrid w:val="0"/>
              <w:spacing w:line="240" w:lineRule="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方案内容存在1处瑕疵，得1</w:t>
            </w:r>
            <w:r>
              <w:rPr>
                <w:rFonts w:hint="eastAsia" w:ascii="仿宋" w:hAnsi="仿宋" w:eastAsia="仿宋" w:cs="仿宋"/>
                <w:color w:val="auto"/>
                <w:sz w:val="21"/>
                <w:szCs w:val="21"/>
                <w:highlight w:val="none"/>
                <w:lang w:val="en-US" w:eastAsia="zh-CN"/>
              </w:rPr>
              <w:t>6</w:t>
            </w:r>
            <w:r>
              <w:rPr>
                <w:rFonts w:hint="eastAsia" w:ascii="仿宋" w:hAnsi="仿宋" w:eastAsia="仿宋" w:cs="仿宋"/>
                <w:color w:val="auto"/>
                <w:sz w:val="21"/>
                <w:szCs w:val="21"/>
                <w:highlight w:val="none"/>
              </w:rPr>
              <w:t>分，</w:t>
            </w:r>
          </w:p>
          <w:p w14:paraId="6BAC8E2A">
            <w:pPr>
              <w:snapToGrid w:val="0"/>
              <w:spacing w:line="240" w:lineRule="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方案内容存在2处瑕疵，得1</w:t>
            </w:r>
            <w:r>
              <w:rPr>
                <w:rFonts w:hint="eastAsia" w:ascii="仿宋" w:hAnsi="仿宋" w:eastAsia="仿宋" w:cs="仿宋"/>
                <w:color w:val="auto"/>
                <w:sz w:val="21"/>
                <w:szCs w:val="21"/>
                <w:highlight w:val="none"/>
                <w:lang w:val="en-US" w:eastAsia="zh-CN"/>
              </w:rPr>
              <w:t>2</w:t>
            </w:r>
            <w:r>
              <w:rPr>
                <w:rFonts w:hint="eastAsia" w:ascii="仿宋" w:hAnsi="仿宋" w:eastAsia="仿宋" w:cs="仿宋"/>
                <w:color w:val="auto"/>
                <w:sz w:val="21"/>
                <w:szCs w:val="21"/>
                <w:highlight w:val="none"/>
              </w:rPr>
              <w:t>分，</w:t>
            </w:r>
          </w:p>
          <w:p w14:paraId="6856E116">
            <w:pPr>
              <w:snapToGrid w:val="0"/>
              <w:spacing w:line="240" w:lineRule="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方案内容存在3处瑕疵，得</w:t>
            </w:r>
            <w:r>
              <w:rPr>
                <w:rFonts w:hint="eastAsia" w:ascii="仿宋" w:hAnsi="仿宋" w:eastAsia="仿宋" w:cs="仿宋"/>
                <w:color w:val="auto"/>
                <w:sz w:val="21"/>
                <w:szCs w:val="21"/>
                <w:highlight w:val="none"/>
                <w:lang w:val="en-US" w:eastAsia="zh-CN"/>
              </w:rPr>
              <w:t>8</w:t>
            </w:r>
            <w:r>
              <w:rPr>
                <w:rFonts w:hint="eastAsia" w:ascii="仿宋" w:hAnsi="仿宋" w:eastAsia="仿宋" w:cs="仿宋"/>
                <w:color w:val="auto"/>
                <w:sz w:val="21"/>
                <w:szCs w:val="21"/>
                <w:highlight w:val="none"/>
              </w:rPr>
              <w:t>分，</w:t>
            </w:r>
          </w:p>
          <w:p w14:paraId="39AB32F3">
            <w:pPr>
              <w:snapToGrid w:val="0"/>
              <w:spacing w:line="240" w:lineRule="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方案内容存在4处及以上瑕疵或未提供方案得0分。</w:t>
            </w:r>
          </w:p>
        </w:tc>
        <w:tc>
          <w:tcPr>
            <w:tcW w:w="2516" w:type="dxa"/>
            <w:vMerge w:val="continue"/>
            <w:vAlign w:val="center"/>
          </w:tcPr>
          <w:p w14:paraId="7435BFD8">
            <w:pPr>
              <w:snapToGrid w:val="0"/>
              <w:spacing w:line="240" w:lineRule="auto"/>
              <w:rPr>
                <w:rFonts w:hint="eastAsia" w:ascii="仿宋" w:hAnsi="仿宋" w:eastAsia="仿宋" w:cs="仿宋"/>
                <w:color w:val="auto"/>
                <w:sz w:val="21"/>
                <w:szCs w:val="21"/>
                <w:highlight w:val="none"/>
              </w:rPr>
            </w:pPr>
          </w:p>
        </w:tc>
      </w:tr>
      <w:tr w14:paraId="62AFA8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21" w:hRule="atLeast"/>
        </w:trPr>
        <w:tc>
          <w:tcPr>
            <w:tcW w:w="379" w:type="dxa"/>
            <w:vMerge w:val="continue"/>
            <w:vAlign w:val="center"/>
          </w:tcPr>
          <w:p w14:paraId="487F6719">
            <w:pPr>
              <w:snapToGrid w:val="0"/>
              <w:spacing w:line="240" w:lineRule="auto"/>
              <w:rPr>
                <w:rFonts w:hint="eastAsia" w:ascii="仿宋" w:hAnsi="仿宋" w:eastAsia="仿宋" w:cs="仿宋"/>
                <w:color w:val="auto"/>
                <w:sz w:val="21"/>
                <w:szCs w:val="21"/>
                <w:highlight w:val="none"/>
              </w:rPr>
            </w:pPr>
          </w:p>
        </w:tc>
        <w:tc>
          <w:tcPr>
            <w:tcW w:w="968" w:type="dxa"/>
            <w:vMerge w:val="continue"/>
            <w:vAlign w:val="center"/>
          </w:tcPr>
          <w:p w14:paraId="03EC1D4D">
            <w:pPr>
              <w:snapToGrid w:val="0"/>
              <w:spacing w:line="240" w:lineRule="auto"/>
              <w:rPr>
                <w:rFonts w:hint="eastAsia" w:ascii="仿宋" w:hAnsi="仿宋" w:eastAsia="仿宋" w:cs="仿宋"/>
                <w:color w:val="auto"/>
                <w:sz w:val="21"/>
                <w:szCs w:val="21"/>
                <w:highlight w:val="none"/>
              </w:rPr>
            </w:pPr>
          </w:p>
        </w:tc>
        <w:tc>
          <w:tcPr>
            <w:tcW w:w="1193" w:type="dxa"/>
            <w:vAlign w:val="center"/>
          </w:tcPr>
          <w:p w14:paraId="56AEF338">
            <w:pPr>
              <w:snapToGrid w:val="0"/>
              <w:spacing w:line="240" w:lineRule="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lang w:val="en-US" w:eastAsia="zh-CN"/>
              </w:rPr>
              <w:t>20</w:t>
            </w:r>
            <w:r>
              <w:rPr>
                <w:rFonts w:hint="eastAsia" w:ascii="仿宋" w:hAnsi="仿宋" w:eastAsia="仿宋" w:cs="仿宋"/>
                <w:color w:val="auto"/>
                <w:sz w:val="21"/>
                <w:szCs w:val="21"/>
                <w:highlight w:val="none"/>
              </w:rPr>
              <w:t>分</w:t>
            </w:r>
          </w:p>
        </w:tc>
        <w:tc>
          <w:tcPr>
            <w:tcW w:w="5242" w:type="dxa"/>
            <w:vAlign w:val="center"/>
          </w:tcPr>
          <w:p w14:paraId="3EEB1883">
            <w:pPr>
              <w:snapToGrid w:val="0"/>
              <w:spacing w:line="240" w:lineRule="auto"/>
              <w:rPr>
                <w:rFonts w:hint="eastAsia" w:ascii="仿宋" w:hAnsi="仿宋" w:eastAsia="仿宋" w:cs="仿宋"/>
                <w:b/>
                <w:bCs/>
                <w:color w:val="auto"/>
                <w:sz w:val="21"/>
                <w:szCs w:val="21"/>
                <w:highlight w:val="none"/>
              </w:rPr>
            </w:pPr>
            <w:r>
              <w:rPr>
                <w:rFonts w:hint="eastAsia" w:ascii="仿宋" w:hAnsi="仿宋" w:eastAsia="仿宋" w:cs="仿宋"/>
                <w:b/>
                <w:bCs/>
                <w:color w:val="auto"/>
                <w:sz w:val="21"/>
                <w:szCs w:val="21"/>
                <w:highlight w:val="none"/>
              </w:rPr>
              <w:t>3、服务保障方案（</w:t>
            </w:r>
            <w:r>
              <w:rPr>
                <w:rFonts w:hint="eastAsia" w:ascii="仿宋" w:hAnsi="仿宋" w:eastAsia="仿宋" w:cs="仿宋"/>
                <w:b/>
                <w:bCs/>
                <w:color w:val="auto"/>
                <w:sz w:val="21"/>
                <w:szCs w:val="21"/>
                <w:highlight w:val="none"/>
                <w:lang w:val="en-US" w:eastAsia="zh-CN"/>
              </w:rPr>
              <w:t>20</w:t>
            </w:r>
            <w:r>
              <w:rPr>
                <w:rFonts w:hint="eastAsia" w:ascii="仿宋" w:hAnsi="仿宋" w:eastAsia="仿宋" w:cs="仿宋"/>
                <w:b/>
                <w:bCs/>
                <w:color w:val="auto"/>
                <w:sz w:val="21"/>
                <w:szCs w:val="21"/>
                <w:highlight w:val="none"/>
              </w:rPr>
              <w:t>分）</w:t>
            </w:r>
          </w:p>
          <w:p w14:paraId="1964D002">
            <w:pPr>
              <w:snapToGrid w:val="0"/>
              <w:spacing w:line="240" w:lineRule="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lang w:eastAsia="zh-CN"/>
              </w:rPr>
              <w:t>投标人</w:t>
            </w:r>
            <w:r>
              <w:rPr>
                <w:rFonts w:hint="eastAsia" w:ascii="仿宋" w:hAnsi="仿宋" w:eastAsia="仿宋" w:cs="仿宋"/>
                <w:color w:val="auto"/>
                <w:sz w:val="21"/>
                <w:szCs w:val="21"/>
                <w:highlight w:val="none"/>
              </w:rPr>
              <w:t>提供针对本项目的服务保障方案，包括但不限于</w:t>
            </w:r>
            <w:r>
              <w:rPr>
                <w:rFonts w:hint="eastAsia" w:ascii="仿宋" w:hAnsi="仿宋" w:eastAsia="仿宋" w:cs="仿宋"/>
                <w:color w:val="auto"/>
                <w:sz w:val="21"/>
                <w:szCs w:val="21"/>
                <w:highlight w:val="none"/>
                <w:lang w:val="en-US" w:eastAsia="zh-CN"/>
              </w:rPr>
              <w:t>时间进度保障、质量保障措施、保密管理方案</w:t>
            </w:r>
            <w:r>
              <w:rPr>
                <w:rFonts w:hint="eastAsia" w:ascii="仿宋" w:hAnsi="仿宋" w:eastAsia="仿宋" w:cs="仿宋"/>
                <w:color w:val="auto"/>
                <w:sz w:val="21"/>
                <w:szCs w:val="21"/>
                <w:highlight w:val="none"/>
              </w:rPr>
              <w:t>等。</w:t>
            </w:r>
          </w:p>
          <w:p w14:paraId="77F542D4">
            <w:pPr>
              <w:snapToGrid w:val="0"/>
              <w:spacing w:line="240" w:lineRule="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方案内容不存在瑕疵，得2</w:t>
            </w:r>
            <w:r>
              <w:rPr>
                <w:rFonts w:hint="eastAsia" w:ascii="仿宋" w:hAnsi="仿宋" w:eastAsia="仿宋" w:cs="仿宋"/>
                <w:color w:val="auto"/>
                <w:sz w:val="21"/>
                <w:szCs w:val="21"/>
                <w:highlight w:val="none"/>
                <w:lang w:val="en-US" w:eastAsia="zh-CN"/>
              </w:rPr>
              <w:t>0</w:t>
            </w:r>
            <w:r>
              <w:rPr>
                <w:rFonts w:hint="eastAsia" w:ascii="仿宋" w:hAnsi="仿宋" w:eastAsia="仿宋" w:cs="仿宋"/>
                <w:color w:val="auto"/>
                <w:sz w:val="21"/>
                <w:szCs w:val="21"/>
                <w:highlight w:val="none"/>
              </w:rPr>
              <w:t>分，</w:t>
            </w:r>
          </w:p>
          <w:p w14:paraId="57D29E51">
            <w:pPr>
              <w:snapToGrid w:val="0"/>
              <w:spacing w:line="240" w:lineRule="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方案内容存在1处瑕疵，得1</w:t>
            </w:r>
            <w:r>
              <w:rPr>
                <w:rFonts w:hint="eastAsia" w:ascii="仿宋" w:hAnsi="仿宋" w:eastAsia="仿宋" w:cs="仿宋"/>
                <w:color w:val="auto"/>
                <w:sz w:val="21"/>
                <w:szCs w:val="21"/>
                <w:highlight w:val="none"/>
                <w:lang w:val="en-US" w:eastAsia="zh-CN"/>
              </w:rPr>
              <w:t>6</w:t>
            </w:r>
            <w:r>
              <w:rPr>
                <w:rFonts w:hint="eastAsia" w:ascii="仿宋" w:hAnsi="仿宋" w:eastAsia="仿宋" w:cs="仿宋"/>
                <w:color w:val="auto"/>
                <w:sz w:val="21"/>
                <w:szCs w:val="21"/>
                <w:highlight w:val="none"/>
              </w:rPr>
              <w:t>分，</w:t>
            </w:r>
          </w:p>
          <w:p w14:paraId="030A7439">
            <w:pPr>
              <w:snapToGrid w:val="0"/>
              <w:spacing w:line="240" w:lineRule="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方案内容存在2处瑕疵，得1</w:t>
            </w:r>
            <w:r>
              <w:rPr>
                <w:rFonts w:hint="eastAsia" w:ascii="仿宋" w:hAnsi="仿宋" w:eastAsia="仿宋" w:cs="仿宋"/>
                <w:color w:val="auto"/>
                <w:sz w:val="21"/>
                <w:szCs w:val="21"/>
                <w:highlight w:val="none"/>
                <w:lang w:val="en-US" w:eastAsia="zh-CN"/>
              </w:rPr>
              <w:t>2</w:t>
            </w:r>
            <w:r>
              <w:rPr>
                <w:rFonts w:hint="eastAsia" w:ascii="仿宋" w:hAnsi="仿宋" w:eastAsia="仿宋" w:cs="仿宋"/>
                <w:color w:val="auto"/>
                <w:sz w:val="21"/>
                <w:szCs w:val="21"/>
                <w:highlight w:val="none"/>
              </w:rPr>
              <w:t>分，</w:t>
            </w:r>
          </w:p>
          <w:p w14:paraId="65F9A214">
            <w:pPr>
              <w:snapToGrid w:val="0"/>
              <w:spacing w:line="240" w:lineRule="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方案内容存在3处瑕疵，得</w:t>
            </w:r>
            <w:r>
              <w:rPr>
                <w:rFonts w:hint="eastAsia" w:ascii="仿宋" w:hAnsi="仿宋" w:eastAsia="仿宋" w:cs="仿宋"/>
                <w:color w:val="auto"/>
                <w:sz w:val="21"/>
                <w:szCs w:val="21"/>
                <w:highlight w:val="none"/>
                <w:lang w:val="en-US" w:eastAsia="zh-CN"/>
              </w:rPr>
              <w:t>8</w:t>
            </w:r>
            <w:r>
              <w:rPr>
                <w:rFonts w:hint="eastAsia" w:ascii="仿宋" w:hAnsi="仿宋" w:eastAsia="仿宋" w:cs="仿宋"/>
                <w:color w:val="auto"/>
                <w:sz w:val="21"/>
                <w:szCs w:val="21"/>
                <w:highlight w:val="none"/>
              </w:rPr>
              <w:t>分，</w:t>
            </w:r>
          </w:p>
          <w:p w14:paraId="3D588926">
            <w:pPr>
              <w:snapToGrid w:val="0"/>
              <w:spacing w:line="240" w:lineRule="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方案内容存在4处及以上瑕疵或未提供方案得0分。</w:t>
            </w:r>
          </w:p>
        </w:tc>
        <w:tc>
          <w:tcPr>
            <w:tcW w:w="2516" w:type="dxa"/>
            <w:vMerge w:val="continue"/>
            <w:vAlign w:val="center"/>
          </w:tcPr>
          <w:p w14:paraId="3FC1E856">
            <w:pPr>
              <w:snapToGrid w:val="0"/>
              <w:spacing w:line="240" w:lineRule="auto"/>
              <w:rPr>
                <w:rFonts w:hint="eastAsia" w:ascii="仿宋" w:hAnsi="仿宋" w:eastAsia="仿宋" w:cs="仿宋"/>
                <w:color w:val="auto"/>
                <w:sz w:val="21"/>
                <w:szCs w:val="21"/>
                <w:highlight w:val="none"/>
              </w:rPr>
            </w:pPr>
          </w:p>
        </w:tc>
      </w:tr>
      <w:tr w14:paraId="66A1A9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9" w:type="dxa"/>
            <w:vMerge w:val="restart"/>
            <w:vAlign w:val="center"/>
          </w:tcPr>
          <w:p w14:paraId="7C3494FE">
            <w:pPr>
              <w:snapToGrid w:val="0"/>
              <w:spacing w:line="240" w:lineRule="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3</w:t>
            </w:r>
          </w:p>
        </w:tc>
        <w:tc>
          <w:tcPr>
            <w:tcW w:w="968" w:type="dxa"/>
            <w:vMerge w:val="restart"/>
            <w:vAlign w:val="center"/>
          </w:tcPr>
          <w:p w14:paraId="7A091DD8">
            <w:pPr>
              <w:snapToGrid w:val="0"/>
              <w:spacing w:line="240" w:lineRule="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商务部分</w:t>
            </w:r>
          </w:p>
          <w:p w14:paraId="79E46FA5">
            <w:pPr>
              <w:snapToGrid w:val="0"/>
              <w:spacing w:line="240" w:lineRule="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20</w:t>
            </w:r>
            <w:r>
              <w:rPr>
                <w:rFonts w:hint="eastAsia" w:ascii="仿宋" w:hAnsi="仿宋" w:eastAsia="仿宋" w:cs="仿宋"/>
                <w:color w:val="auto"/>
                <w:sz w:val="21"/>
                <w:szCs w:val="21"/>
                <w:highlight w:val="none"/>
              </w:rPr>
              <w:t>%)</w:t>
            </w:r>
          </w:p>
        </w:tc>
        <w:tc>
          <w:tcPr>
            <w:tcW w:w="1193" w:type="dxa"/>
            <w:vAlign w:val="center"/>
          </w:tcPr>
          <w:p w14:paraId="2DF17FF3">
            <w:pPr>
              <w:snapToGrid w:val="0"/>
              <w:spacing w:line="240" w:lineRule="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机构检验资质水平（5分）</w:t>
            </w:r>
          </w:p>
        </w:tc>
        <w:tc>
          <w:tcPr>
            <w:tcW w:w="5242" w:type="dxa"/>
            <w:vAlign w:val="center"/>
          </w:tcPr>
          <w:p w14:paraId="0F0AAFB0">
            <w:pPr>
              <w:snapToGrid w:val="0"/>
              <w:spacing w:line="240" w:lineRule="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1.投标人具有食品相关产品国家质验中心得2.5分；</w:t>
            </w:r>
          </w:p>
          <w:p w14:paraId="0627BFA7">
            <w:pPr>
              <w:snapToGrid w:val="0"/>
              <w:spacing w:line="240" w:lineRule="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2.投标人具有有效的CNAS证书的得2.5分。</w:t>
            </w:r>
          </w:p>
          <w:p w14:paraId="2CD565A8">
            <w:pPr>
              <w:snapToGrid w:val="0"/>
              <w:spacing w:line="240" w:lineRule="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本项最多得5分，不满足的不得分。</w:t>
            </w:r>
          </w:p>
        </w:tc>
        <w:tc>
          <w:tcPr>
            <w:tcW w:w="2516" w:type="dxa"/>
            <w:vAlign w:val="center"/>
          </w:tcPr>
          <w:p w14:paraId="2CA6128C">
            <w:pPr>
              <w:snapToGrid w:val="0"/>
              <w:spacing w:line="240" w:lineRule="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第1项：提供国家市场监管总局或其他部委出具的有效认定文件并加盖投标人单位公章。</w:t>
            </w:r>
          </w:p>
          <w:p w14:paraId="54D695CC">
            <w:pPr>
              <w:snapToGrid w:val="0"/>
              <w:spacing w:line="240" w:lineRule="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第2项：提供有效期内的实验室认可证书复印件并加盖投标人单位公章。</w:t>
            </w:r>
          </w:p>
        </w:tc>
      </w:tr>
      <w:tr w14:paraId="74BB9B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1" w:hRule="atLeast"/>
        </w:trPr>
        <w:tc>
          <w:tcPr>
            <w:tcW w:w="379" w:type="dxa"/>
            <w:vMerge w:val="continue"/>
            <w:vAlign w:val="center"/>
          </w:tcPr>
          <w:p w14:paraId="2ED913B1">
            <w:pPr>
              <w:snapToGrid w:val="0"/>
              <w:spacing w:line="240" w:lineRule="auto"/>
              <w:rPr>
                <w:rFonts w:hint="eastAsia" w:ascii="仿宋" w:hAnsi="仿宋" w:eastAsia="仿宋" w:cs="仿宋"/>
                <w:color w:val="auto"/>
                <w:sz w:val="21"/>
                <w:szCs w:val="21"/>
                <w:highlight w:val="none"/>
              </w:rPr>
            </w:pPr>
          </w:p>
        </w:tc>
        <w:tc>
          <w:tcPr>
            <w:tcW w:w="968" w:type="dxa"/>
            <w:vMerge w:val="continue"/>
            <w:vAlign w:val="center"/>
          </w:tcPr>
          <w:p w14:paraId="268018FE">
            <w:pPr>
              <w:snapToGrid w:val="0"/>
              <w:spacing w:line="240" w:lineRule="auto"/>
              <w:rPr>
                <w:rFonts w:hint="eastAsia" w:ascii="仿宋" w:hAnsi="仿宋" w:eastAsia="仿宋" w:cs="仿宋"/>
                <w:color w:val="auto"/>
                <w:sz w:val="21"/>
                <w:szCs w:val="21"/>
                <w:highlight w:val="none"/>
              </w:rPr>
            </w:pPr>
          </w:p>
        </w:tc>
        <w:tc>
          <w:tcPr>
            <w:tcW w:w="1193" w:type="dxa"/>
            <w:vAlign w:val="center"/>
          </w:tcPr>
          <w:p w14:paraId="72181B08">
            <w:pPr>
              <w:snapToGrid w:val="0"/>
              <w:spacing w:line="240" w:lineRule="auto"/>
              <w:rPr>
                <w:rFonts w:hint="default"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类似业绩（12分）</w:t>
            </w:r>
          </w:p>
        </w:tc>
        <w:tc>
          <w:tcPr>
            <w:tcW w:w="5242" w:type="dxa"/>
            <w:vAlign w:val="center"/>
          </w:tcPr>
          <w:p w14:paraId="5BF34BA4">
            <w:pPr>
              <w:snapToGrid w:val="0"/>
              <w:spacing w:line="240" w:lineRule="auto"/>
              <w:rPr>
                <w:rFonts w:hint="default"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完成过一个类似食品专项抽检的业绩的得3分。本项最多得12分。</w:t>
            </w:r>
          </w:p>
        </w:tc>
        <w:tc>
          <w:tcPr>
            <w:tcW w:w="2516" w:type="dxa"/>
            <w:vAlign w:val="center"/>
          </w:tcPr>
          <w:p w14:paraId="532101D8">
            <w:pPr>
              <w:snapToGrid w:val="0"/>
              <w:spacing w:line="240" w:lineRule="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提供任务中标通知书复印件或合同并加盖投标人单位公章</w:t>
            </w:r>
            <w:r>
              <w:rPr>
                <w:rFonts w:hint="eastAsia" w:ascii="仿宋" w:hAnsi="仿宋" w:eastAsia="仿宋" w:cs="仿宋"/>
                <w:color w:val="auto"/>
                <w:sz w:val="21"/>
                <w:szCs w:val="21"/>
                <w:highlight w:val="none"/>
                <w:lang w:val="en-US" w:eastAsia="zh-CN"/>
              </w:rPr>
              <w:t>。</w:t>
            </w:r>
          </w:p>
          <w:p w14:paraId="1E1344BB">
            <w:pPr>
              <w:snapToGrid w:val="0"/>
              <w:spacing w:line="240" w:lineRule="auto"/>
              <w:rPr>
                <w:rFonts w:hint="eastAsia" w:ascii="仿宋" w:hAnsi="仿宋" w:eastAsia="仿宋" w:cs="仿宋"/>
                <w:color w:val="auto"/>
                <w:sz w:val="21"/>
                <w:szCs w:val="21"/>
                <w:highlight w:val="none"/>
                <w:lang w:val="en-US" w:eastAsia="zh-CN"/>
              </w:rPr>
            </w:pPr>
          </w:p>
        </w:tc>
      </w:tr>
      <w:tr w14:paraId="4F5B9E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9" w:type="dxa"/>
            <w:vMerge w:val="continue"/>
            <w:vAlign w:val="center"/>
          </w:tcPr>
          <w:p w14:paraId="514D35B2">
            <w:pPr>
              <w:snapToGrid w:val="0"/>
              <w:spacing w:line="240" w:lineRule="auto"/>
              <w:rPr>
                <w:rFonts w:hint="eastAsia" w:ascii="仿宋" w:hAnsi="仿宋" w:eastAsia="仿宋" w:cs="仿宋"/>
                <w:color w:val="auto"/>
                <w:sz w:val="21"/>
                <w:szCs w:val="21"/>
                <w:highlight w:val="none"/>
              </w:rPr>
            </w:pPr>
          </w:p>
        </w:tc>
        <w:tc>
          <w:tcPr>
            <w:tcW w:w="968" w:type="dxa"/>
            <w:vMerge w:val="continue"/>
            <w:vAlign w:val="center"/>
          </w:tcPr>
          <w:p w14:paraId="4AB1775E">
            <w:pPr>
              <w:snapToGrid w:val="0"/>
              <w:spacing w:line="240" w:lineRule="auto"/>
              <w:rPr>
                <w:rFonts w:hint="eastAsia" w:ascii="仿宋" w:hAnsi="仿宋" w:eastAsia="仿宋" w:cs="仿宋"/>
                <w:color w:val="auto"/>
                <w:sz w:val="21"/>
                <w:szCs w:val="21"/>
                <w:highlight w:val="none"/>
              </w:rPr>
            </w:pPr>
          </w:p>
        </w:tc>
        <w:tc>
          <w:tcPr>
            <w:tcW w:w="1193" w:type="dxa"/>
            <w:vAlign w:val="center"/>
          </w:tcPr>
          <w:p w14:paraId="7BF04836">
            <w:pPr>
              <w:snapToGrid w:val="0"/>
              <w:spacing w:line="240" w:lineRule="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应急响应</w:t>
            </w:r>
          </w:p>
          <w:p w14:paraId="441396D6">
            <w:pPr>
              <w:snapToGrid w:val="0"/>
              <w:spacing w:line="240" w:lineRule="auto"/>
              <w:rPr>
                <w:rFonts w:hint="default"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（3分）</w:t>
            </w:r>
          </w:p>
        </w:tc>
        <w:tc>
          <w:tcPr>
            <w:tcW w:w="5242" w:type="dxa"/>
            <w:vAlign w:val="center"/>
          </w:tcPr>
          <w:p w14:paraId="05FAF197">
            <w:pPr>
              <w:snapToGrid w:val="0"/>
              <w:spacing w:line="240" w:lineRule="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为保证紧急任务的抽检，投标人接到采购人抽检任务后的应急响应时间情况，其中：</w:t>
            </w:r>
          </w:p>
          <w:p w14:paraId="132D8506">
            <w:pPr>
              <w:snapToGrid w:val="0"/>
              <w:spacing w:line="240" w:lineRule="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承诺1个小时内到达抽检点的，得3分；</w:t>
            </w:r>
          </w:p>
          <w:p w14:paraId="59A63D36">
            <w:pPr>
              <w:snapToGrid w:val="0"/>
              <w:spacing w:line="240" w:lineRule="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承诺2个小时内到达抽检点的，得2分;</w:t>
            </w:r>
          </w:p>
          <w:p w14:paraId="5351F13A">
            <w:pPr>
              <w:snapToGrid w:val="0"/>
              <w:spacing w:line="240" w:lineRule="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本项最多得3分</w:t>
            </w:r>
          </w:p>
        </w:tc>
        <w:tc>
          <w:tcPr>
            <w:tcW w:w="2516" w:type="dxa"/>
            <w:vAlign w:val="center"/>
          </w:tcPr>
          <w:p w14:paraId="408FCBC0">
            <w:pPr>
              <w:snapToGrid w:val="0"/>
              <w:spacing w:line="240" w:lineRule="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投标人提供承诺书，格式自拟，并加盖供应商公章。</w:t>
            </w:r>
          </w:p>
        </w:tc>
      </w:tr>
    </w:tbl>
    <w:p w14:paraId="283663D2">
      <w:pPr>
        <w:pStyle w:val="5"/>
        <w:spacing w:before="0" w:after="0" w:line="360" w:lineRule="auto"/>
        <w:rPr>
          <w:rFonts w:hint="eastAsia" w:ascii="仿宋" w:hAnsi="仿宋" w:eastAsia="仿宋"/>
          <w:color w:val="auto"/>
          <w:sz w:val="24"/>
          <w:szCs w:val="24"/>
          <w:highlight w:val="none"/>
        </w:rPr>
      </w:pPr>
    </w:p>
    <w:p w14:paraId="628B70C7">
      <w:pPr>
        <w:pStyle w:val="5"/>
        <w:spacing w:before="0" w:after="0" w:line="360" w:lineRule="auto"/>
        <w:rPr>
          <w:rFonts w:hint="eastAsia" w:ascii="仿宋" w:hAnsi="仿宋" w:eastAsia="仿宋"/>
          <w:color w:val="auto"/>
          <w:sz w:val="24"/>
          <w:szCs w:val="24"/>
          <w:highlight w:val="none"/>
        </w:rPr>
      </w:pPr>
      <w:bookmarkStart w:id="71" w:name="_Toc3709"/>
      <w:r>
        <w:rPr>
          <w:rFonts w:hint="eastAsia" w:ascii="仿宋" w:hAnsi="仿宋" w:eastAsia="仿宋"/>
          <w:color w:val="auto"/>
          <w:sz w:val="24"/>
          <w:szCs w:val="24"/>
          <w:highlight w:val="none"/>
        </w:rPr>
        <w:t>三、响应无效</w:t>
      </w:r>
      <w:bookmarkEnd w:id="68"/>
      <w:bookmarkEnd w:id="71"/>
    </w:p>
    <w:p w14:paraId="7AF9025D">
      <w:pPr>
        <w:snapToGrid w:val="0"/>
        <w:spacing w:line="360" w:lineRule="auto"/>
        <w:ind w:firstLine="465"/>
        <w:rPr>
          <w:rFonts w:hint="eastAsia" w:ascii="仿宋" w:hAnsi="仿宋" w:eastAsia="仿宋"/>
          <w:color w:val="auto"/>
          <w:sz w:val="24"/>
          <w:szCs w:val="24"/>
          <w:highlight w:val="none"/>
        </w:rPr>
      </w:pPr>
      <w:r>
        <w:rPr>
          <w:rFonts w:hint="eastAsia" w:ascii="仿宋" w:hAnsi="仿宋" w:eastAsia="仿宋"/>
          <w:color w:val="auto"/>
          <w:sz w:val="24"/>
          <w:szCs w:val="24"/>
          <w:highlight w:val="none"/>
        </w:rPr>
        <w:t>供应商发生以下条款情况之一者，视为响应无效，其响应文件将被拒绝：</w:t>
      </w:r>
    </w:p>
    <w:p w14:paraId="3A9BCB94">
      <w:pPr>
        <w:snapToGrid w:val="0"/>
        <w:spacing w:line="360" w:lineRule="auto"/>
        <w:ind w:firstLine="465"/>
        <w:rPr>
          <w:rFonts w:hint="eastAsia" w:ascii="仿宋" w:hAnsi="仿宋" w:eastAsia="仿宋"/>
          <w:color w:val="auto"/>
          <w:sz w:val="24"/>
          <w:szCs w:val="24"/>
          <w:highlight w:val="none"/>
        </w:rPr>
      </w:pPr>
      <w:r>
        <w:rPr>
          <w:rFonts w:hint="eastAsia" w:ascii="仿宋" w:hAnsi="仿宋" w:eastAsia="仿宋"/>
          <w:color w:val="auto"/>
          <w:sz w:val="24"/>
          <w:szCs w:val="24"/>
          <w:highlight w:val="none"/>
        </w:rPr>
        <w:t>（一）供应商不符合规定的资格条件的。</w:t>
      </w:r>
    </w:p>
    <w:p w14:paraId="061D7759">
      <w:pPr>
        <w:snapToGrid w:val="0"/>
        <w:spacing w:line="360" w:lineRule="auto"/>
        <w:ind w:firstLine="465"/>
        <w:rPr>
          <w:rFonts w:hint="eastAsia" w:ascii="仿宋" w:hAnsi="仿宋" w:eastAsia="仿宋"/>
          <w:color w:val="auto"/>
          <w:sz w:val="24"/>
          <w:szCs w:val="24"/>
          <w:highlight w:val="none"/>
        </w:rPr>
      </w:pPr>
      <w:r>
        <w:rPr>
          <w:rFonts w:hint="eastAsia" w:ascii="仿宋" w:hAnsi="仿宋" w:eastAsia="仿宋"/>
          <w:color w:val="auto"/>
          <w:sz w:val="24"/>
          <w:szCs w:val="24"/>
          <w:highlight w:val="none"/>
        </w:rPr>
        <w:t>（二）供应商所提交的响应文件不按第七篇“响应文件编制要求”规定签字、盖章。</w:t>
      </w:r>
    </w:p>
    <w:p w14:paraId="097F4546">
      <w:pPr>
        <w:snapToGrid w:val="0"/>
        <w:spacing w:line="360" w:lineRule="auto"/>
        <w:ind w:firstLine="465"/>
        <w:rPr>
          <w:rFonts w:hint="eastAsia" w:ascii="仿宋" w:hAnsi="仿宋" w:eastAsia="仿宋"/>
          <w:color w:val="auto"/>
          <w:sz w:val="24"/>
          <w:szCs w:val="24"/>
          <w:highlight w:val="none"/>
        </w:rPr>
      </w:pPr>
      <w:r>
        <w:rPr>
          <w:rFonts w:hint="eastAsia" w:ascii="仿宋" w:hAnsi="仿宋" w:eastAsia="仿宋"/>
          <w:color w:val="auto"/>
          <w:sz w:val="24"/>
          <w:szCs w:val="24"/>
          <w:highlight w:val="none"/>
        </w:rPr>
        <w:t>（三）供应商的报价超过采购预算的。</w:t>
      </w:r>
    </w:p>
    <w:p w14:paraId="5679D2D2">
      <w:pPr>
        <w:snapToGrid w:val="0"/>
        <w:spacing w:line="360" w:lineRule="auto"/>
        <w:ind w:firstLine="465"/>
        <w:rPr>
          <w:rFonts w:hint="eastAsia" w:ascii="仿宋" w:hAnsi="仿宋" w:eastAsia="仿宋"/>
          <w:color w:val="auto"/>
          <w:sz w:val="24"/>
          <w:szCs w:val="24"/>
          <w:highlight w:val="none"/>
        </w:rPr>
      </w:pPr>
      <w:r>
        <w:rPr>
          <w:rFonts w:hint="eastAsia" w:ascii="仿宋" w:hAnsi="仿宋" w:eastAsia="仿宋"/>
          <w:color w:val="auto"/>
          <w:sz w:val="24"/>
          <w:szCs w:val="24"/>
          <w:highlight w:val="none"/>
        </w:rPr>
        <w:t>（四）供应商的平台报价与网上电子文档网上竞采报价函中的报价不一致的。</w:t>
      </w:r>
    </w:p>
    <w:p w14:paraId="455A3D94">
      <w:pPr>
        <w:snapToGrid w:val="0"/>
        <w:spacing w:line="360" w:lineRule="auto"/>
        <w:ind w:firstLine="465"/>
        <w:rPr>
          <w:rFonts w:hint="eastAsia" w:ascii="仿宋" w:hAnsi="仿宋" w:eastAsia="仿宋"/>
          <w:color w:val="auto"/>
          <w:sz w:val="24"/>
          <w:szCs w:val="24"/>
          <w:highlight w:val="none"/>
        </w:rPr>
      </w:pPr>
      <w:r>
        <w:rPr>
          <w:rFonts w:hint="eastAsia" w:ascii="仿宋" w:hAnsi="仿宋" w:eastAsia="仿宋"/>
          <w:color w:val="auto"/>
          <w:sz w:val="24"/>
          <w:szCs w:val="24"/>
          <w:highlight w:val="none"/>
        </w:rPr>
        <w:t>（五）法定代表人为同一个人的两个及两个以上法人，母公司、全资子公司及其控股公司，在同一分包采购中同时参与网上竞采。</w:t>
      </w:r>
    </w:p>
    <w:p w14:paraId="3D445D9C">
      <w:pPr>
        <w:snapToGrid w:val="0"/>
        <w:spacing w:line="360" w:lineRule="auto"/>
        <w:ind w:firstLine="465"/>
        <w:rPr>
          <w:rFonts w:hint="eastAsia" w:ascii="仿宋" w:hAnsi="仿宋" w:eastAsia="仿宋"/>
          <w:color w:val="auto"/>
          <w:sz w:val="24"/>
          <w:szCs w:val="24"/>
          <w:highlight w:val="none"/>
        </w:rPr>
      </w:pPr>
      <w:r>
        <w:rPr>
          <w:rFonts w:hint="eastAsia" w:ascii="仿宋" w:hAnsi="仿宋" w:eastAsia="仿宋"/>
          <w:color w:val="auto"/>
          <w:sz w:val="24"/>
          <w:szCs w:val="24"/>
          <w:highlight w:val="none"/>
        </w:rPr>
        <w:t>（六）单位负责人为同一人或者存在直接控股、管理关系的不同供应商，参加同一合同项下的采购活动的。</w:t>
      </w:r>
    </w:p>
    <w:p w14:paraId="14C54D91">
      <w:pPr>
        <w:snapToGrid w:val="0"/>
        <w:spacing w:line="360" w:lineRule="auto"/>
        <w:ind w:firstLine="465"/>
        <w:rPr>
          <w:rFonts w:hint="eastAsia" w:ascii="仿宋" w:hAnsi="仿宋" w:eastAsia="仿宋"/>
          <w:color w:val="auto"/>
          <w:sz w:val="24"/>
          <w:szCs w:val="24"/>
          <w:highlight w:val="none"/>
        </w:rPr>
      </w:pPr>
      <w:r>
        <w:rPr>
          <w:rFonts w:hint="eastAsia" w:ascii="仿宋" w:hAnsi="仿宋" w:eastAsia="仿宋"/>
          <w:color w:val="auto"/>
          <w:sz w:val="24"/>
          <w:szCs w:val="24"/>
          <w:highlight w:val="none"/>
        </w:rPr>
        <w:t>（七）</w:t>
      </w:r>
      <w:r>
        <w:rPr>
          <w:rFonts w:ascii="仿宋" w:hAnsi="仿宋" w:eastAsia="仿宋"/>
          <w:color w:val="auto"/>
          <w:sz w:val="24"/>
          <w:szCs w:val="24"/>
          <w:highlight w:val="none"/>
        </w:rPr>
        <w:t>为采购项目提供整体设计、规范编制或者项目管理、监理、检测等服务的供应商，再参加</w:t>
      </w:r>
      <w:r>
        <w:rPr>
          <w:rFonts w:hint="eastAsia" w:ascii="仿宋" w:hAnsi="仿宋" w:eastAsia="仿宋"/>
          <w:color w:val="auto"/>
          <w:sz w:val="24"/>
          <w:szCs w:val="24"/>
          <w:highlight w:val="none"/>
        </w:rPr>
        <w:t>该采购</w:t>
      </w:r>
      <w:r>
        <w:rPr>
          <w:rFonts w:ascii="仿宋" w:hAnsi="仿宋" w:eastAsia="仿宋"/>
          <w:color w:val="auto"/>
          <w:sz w:val="24"/>
          <w:szCs w:val="24"/>
          <w:highlight w:val="none"/>
        </w:rPr>
        <w:t>项目的</w:t>
      </w:r>
      <w:r>
        <w:rPr>
          <w:rFonts w:hint="eastAsia" w:ascii="仿宋" w:hAnsi="仿宋" w:eastAsia="仿宋"/>
          <w:color w:val="auto"/>
          <w:sz w:val="24"/>
          <w:szCs w:val="24"/>
          <w:highlight w:val="none"/>
        </w:rPr>
        <w:t>其他</w:t>
      </w:r>
      <w:r>
        <w:rPr>
          <w:rFonts w:ascii="仿宋" w:hAnsi="仿宋" w:eastAsia="仿宋"/>
          <w:color w:val="auto"/>
          <w:sz w:val="24"/>
          <w:szCs w:val="24"/>
          <w:highlight w:val="none"/>
        </w:rPr>
        <w:t>采购活动</w:t>
      </w:r>
      <w:r>
        <w:rPr>
          <w:rFonts w:hint="eastAsia" w:ascii="仿宋" w:hAnsi="仿宋" w:eastAsia="仿宋"/>
          <w:color w:val="auto"/>
          <w:sz w:val="24"/>
          <w:szCs w:val="24"/>
          <w:highlight w:val="none"/>
        </w:rPr>
        <w:t>。</w:t>
      </w:r>
    </w:p>
    <w:p w14:paraId="218A11C2">
      <w:pPr>
        <w:snapToGrid w:val="0"/>
        <w:spacing w:line="360" w:lineRule="auto"/>
        <w:ind w:firstLine="465"/>
        <w:rPr>
          <w:rFonts w:hint="eastAsia" w:ascii="仿宋" w:hAnsi="仿宋" w:eastAsia="仿宋"/>
          <w:color w:val="auto"/>
          <w:sz w:val="24"/>
          <w:szCs w:val="24"/>
          <w:highlight w:val="none"/>
        </w:rPr>
      </w:pPr>
      <w:r>
        <w:rPr>
          <w:rFonts w:hint="eastAsia" w:ascii="仿宋" w:hAnsi="仿宋" w:eastAsia="仿宋"/>
          <w:color w:val="auto"/>
          <w:sz w:val="24"/>
          <w:szCs w:val="24"/>
          <w:highlight w:val="none"/>
        </w:rPr>
        <w:t>（八）供应商的服务期、质量保证期及网上竞采有效期不满足网上竞采文件要求的。</w:t>
      </w:r>
    </w:p>
    <w:p w14:paraId="65A4A48B">
      <w:pPr>
        <w:snapToGrid w:val="0"/>
        <w:spacing w:line="360" w:lineRule="auto"/>
        <w:ind w:firstLine="465"/>
        <w:rPr>
          <w:rFonts w:hint="eastAsia" w:ascii="仿宋" w:hAnsi="仿宋" w:eastAsia="仿宋"/>
          <w:color w:val="auto"/>
          <w:sz w:val="24"/>
          <w:szCs w:val="24"/>
          <w:highlight w:val="none"/>
        </w:rPr>
      </w:pPr>
      <w:r>
        <w:rPr>
          <w:rFonts w:hint="eastAsia" w:ascii="仿宋" w:hAnsi="仿宋" w:eastAsia="仿宋"/>
          <w:color w:val="auto"/>
          <w:sz w:val="24"/>
          <w:szCs w:val="24"/>
          <w:highlight w:val="none"/>
        </w:rPr>
        <w:t>（九）供应商响应文件内容有与国家现行法律法规相违背的内容，或附有采购人无法接受的条件。</w:t>
      </w:r>
    </w:p>
    <w:p w14:paraId="0C55FB46">
      <w:pPr>
        <w:snapToGrid w:val="0"/>
        <w:spacing w:line="360" w:lineRule="auto"/>
        <w:ind w:firstLine="465"/>
        <w:rPr>
          <w:rFonts w:hint="eastAsia" w:ascii="仿宋" w:hAnsi="仿宋" w:eastAsia="仿宋"/>
          <w:color w:val="auto"/>
          <w:sz w:val="24"/>
          <w:szCs w:val="24"/>
          <w:highlight w:val="none"/>
        </w:rPr>
      </w:pPr>
      <w:r>
        <w:rPr>
          <w:rFonts w:hint="eastAsia" w:ascii="仿宋" w:hAnsi="仿宋" w:eastAsia="仿宋"/>
          <w:color w:val="auto"/>
          <w:sz w:val="24"/>
          <w:szCs w:val="24"/>
          <w:highlight w:val="none"/>
        </w:rPr>
        <w:t>（十）供应商被列入失信被执行人、重大税收违法案件当事人名单、政府采购严重违法失信行为记录名单及其他不符合《中华人民共和国政府采购法》第二十二条规定条件的。</w:t>
      </w:r>
    </w:p>
    <w:p w14:paraId="44E48370">
      <w:pPr>
        <w:snapToGrid w:val="0"/>
        <w:spacing w:line="360" w:lineRule="auto"/>
        <w:ind w:firstLine="465"/>
        <w:rPr>
          <w:rFonts w:hint="eastAsia" w:ascii="仿宋" w:hAnsi="仿宋" w:eastAsia="仿宋"/>
          <w:color w:val="auto"/>
          <w:sz w:val="24"/>
          <w:szCs w:val="24"/>
          <w:highlight w:val="none"/>
        </w:rPr>
      </w:pPr>
      <w:r>
        <w:rPr>
          <w:rFonts w:hint="eastAsia" w:ascii="仿宋" w:hAnsi="仿宋" w:eastAsia="仿宋"/>
          <w:color w:val="auto"/>
          <w:sz w:val="24"/>
          <w:szCs w:val="24"/>
          <w:highlight w:val="none"/>
        </w:rPr>
        <w:t>（十一）供应商串通投标的；</w:t>
      </w:r>
    </w:p>
    <w:p w14:paraId="6AB1FA0E">
      <w:pPr>
        <w:snapToGrid w:val="0"/>
        <w:spacing w:line="360" w:lineRule="auto"/>
        <w:ind w:firstLine="465"/>
        <w:rPr>
          <w:rFonts w:hint="eastAsia" w:ascii="仿宋" w:hAnsi="仿宋" w:eastAsia="仿宋"/>
          <w:color w:val="auto"/>
          <w:sz w:val="24"/>
          <w:szCs w:val="24"/>
          <w:highlight w:val="none"/>
        </w:rPr>
      </w:pPr>
      <w:r>
        <w:rPr>
          <w:rFonts w:hint="eastAsia" w:ascii="仿宋" w:hAnsi="仿宋" w:eastAsia="仿宋"/>
          <w:color w:val="auto"/>
          <w:sz w:val="24"/>
          <w:szCs w:val="24"/>
          <w:highlight w:val="none"/>
        </w:rPr>
        <w:t>（十二）供应商组成联合体投标的；</w:t>
      </w:r>
    </w:p>
    <w:p w14:paraId="41E3F097">
      <w:pPr>
        <w:snapToGrid w:val="0"/>
        <w:spacing w:line="400" w:lineRule="exact"/>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注：政府采购异常低价问题有关事项的说明</w:t>
      </w:r>
    </w:p>
    <w:p w14:paraId="68D65875">
      <w:pPr>
        <w:snapToGrid w:val="0"/>
        <w:spacing w:line="400" w:lineRule="exact"/>
        <w:ind w:firstLine="465"/>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1.根据《关于推动解决政府采购异常低价问题的通知》财库〔2026〕2号文件规定，政府采购评审中出现下列情形之一的，评审委员会应当启动异常低价投标审查程序：</w:t>
      </w:r>
    </w:p>
    <w:p w14:paraId="1D8F1B02">
      <w:pPr>
        <w:snapToGrid w:val="0"/>
        <w:spacing w:line="400" w:lineRule="exact"/>
        <w:ind w:firstLine="465"/>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1.1 投标报价低于全部通过符合性审查投标人投标报价平均值50%的，即投标报价＜全部通过符合性审查投标人投标报价平均值×50%；</w:t>
      </w:r>
    </w:p>
    <w:p w14:paraId="62E66B22">
      <w:pPr>
        <w:snapToGrid w:val="0"/>
        <w:spacing w:line="400" w:lineRule="exact"/>
        <w:ind w:firstLine="465"/>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1.2 投标报价低于通过符合性审查的次低报价投标人投标报价50%的，即投标报价＜通过符合性审查的次低报价投标人投标报价×50%；</w:t>
      </w:r>
    </w:p>
    <w:p w14:paraId="15CB9C33">
      <w:pPr>
        <w:snapToGrid w:val="0"/>
        <w:spacing w:line="400" w:lineRule="exact"/>
        <w:ind w:firstLine="465"/>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1.3 投标报价低于采购项目最高限价45%的，即投标报价＜采购项目最高限价×45%；</w:t>
      </w:r>
    </w:p>
    <w:p w14:paraId="0872418F">
      <w:pPr>
        <w:snapToGrid w:val="0"/>
        <w:spacing w:line="400" w:lineRule="exact"/>
        <w:ind w:firstLine="465"/>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1.4 评审委员会基于专业判断，认为投标人报价过低，有可能影响产品质量或者不能诚信履约的其他情形。</w:t>
      </w:r>
    </w:p>
    <w:p w14:paraId="7BCFD4AA">
      <w:pPr>
        <w:snapToGrid w:val="0"/>
        <w:spacing w:line="400" w:lineRule="exact"/>
        <w:ind w:firstLine="465"/>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2.评审委员会启动异常低价投标审查后，属于前述第1项至第4项情形的，应当要求相关投标人在评审现场合理的时间内对投标价格作出解释，提供项目具体成本测算等与报价合理性相关的书面说明及必要的证明材料，包括但不限于原材料成本、人工成本、制造费用等，给予相关投标人的合理时间一般不少于30分钟。其中，属于第3项情形，投标人已随投标文件一并提交相关书面说明及必要的证明材料的，在评审现场可不再重复提交。</w:t>
      </w:r>
    </w:p>
    <w:p w14:paraId="3AF4FB82">
      <w:pPr>
        <w:snapToGrid w:val="0"/>
        <w:spacing w:line="400" w:lineRule="exact"/>
        <w:ind w:firstLine="465"/>
        <w:rPr>
          <w:rFonts w:hint="eastAsia" w:ascii="仿宋" w:hAnsi="仿宋" w:eastAsia="仿宋" w:cs="仿宋"/>
          <w:color w:val="auto"/>
          <w:sz w:val="24"/>
          <w:szCs w:val="24"/>
          <w:highlight w:val="none"/>
        </w:rPr>
      </w:pPr>
      <w:r>
        <w:rPr>
          <w:rFonts w:hint="eastAsia" w:ascii="仿宋" w:hAnsi="仿宋" w:eastAsia="仿宋" w:cs="仿宋"/>
          <w:color w:val="auto"/>
          <w:kern w:val="2"/>
          <w:sz w:val="24"/>
          <w:szCs w:val="24"/>
          <w:highlight w:val="none"/>
          <w:lang w:val="en-US" w:eastAsia="zh-CN" w:bidi="ar-SA"/>
        </w:rPr>
        <w:t>评审委员会依据专业经验，参考同类项目中标价格、类似产品市场价格水平、行业人工费用标准、国家有关部门指导行业协会发布的行业平均成本等情况，对报价合理性进行判断。投标人不能提供书面说明、证明材料，或者提供的书面说明、证明材料不能证明其报价合理性的，评审委员会应当将其作为无效投标处理。</w:t>
      </w:r>
    </w:p>
    <w:p w14:paraId="68C4D0D8">
      <w:pPr>
        <w:snapToGrid w:val="0"/>
        <w:spacing w:line="360" w:lineRule="auto"/>
        <w:ind w:firstLine="465"/>
        <w:rPr>
          <w:rFonts w:hint="eastAsia" w:ascii="仿宋" w:hAnsi="仿宋" w:eastAsia="仿宋"/>
          <w:color w:val="auto"/>
          <w:sz w:val="24"/>
          <w:szCs w:val="24"/>
          <w:highlight w:val="none"/>
        </w:rPr>
      </w:pPr>
    </w:p>
    <w:p w14:paraId="75D50BF1">
      <w:pPr>
        <w:pStyle w:val="5"/>
        <w:spacing w:before="0" w:after="0" w:line="360" w:lineRule="auto"/>
        <w:rPr>
          <w:rFonts w:hint="eastAsia" w:ascii="仿宋" w:hAnsi="仿宋" w:eastAsia="仿宋"/>
          <w:color w:val="auto"/>
          <w:sz w:val="24"/>
          <w:szCs w:val="24"/>
          <w:highlight w:val="none"/>
        </w:rPr>
      </w:pPr>
      <w:bookmarkStart w:id="72" w:name="_Toc18788"/>
      <w:bookmarkStart w:id="73" w:name="_Toc25848"/>
      <w:r>
        <w:rPr>
          <w:rFonts w:hint="eastAsia" w:ascii="仿宋" w:hAnsi="仿宋" w:eastAsia="仿宋"/>
          <w:color w:val="auto"/>
          <w:sz w:val="24"/>
          <w:szCs w:val="24"/>
          <w:highlight w:val="none"/>
        </w:rPr>
        <w:t>四、</w:t>
      </w:r>
      <w:bookmarkEnd w:id="69"/>
      <w:bookmarkEnd w:id="70"/>
      <w:r>
        <w:rPr>
          <w:rFonts w:hint="eastAsia" w:ascii="仿宋" w:hAnsi="仿宋" w:eastAsia="仿宋"/>
          <w:color w:val="auto"/>
          <w:sz w:val="24"/>
          <w:szCs w:val="24"/>
          <w:highlight w:val="none"/>
        </w:rPr>
        <w:t>采购终止</w:t>
      </w:r>
      <w:bookmarkEnd w:id="72"/>
      <w:bookmarkEnd w:id="73"/>
    </w:p>
    <w:p w14:paraId="4A18C928">
      <w:pPr>
        <w:snapToGrid w:val="0"/>
        <w:spacing w:line="360" w:lineRule="auto"/>
        <w:ind w:firstLine="465"/>
        <w:rPr>
          <w:rFonts w:hint="eastAsia" w:ascii="仿宋" w:hAnsi="仿宋" w:eastAsia="仿宋"/>
          <w:color w:val="auto"/>
          <w:sz w:val="24"/>
          <w:szCs w:val="24"/>
          <w:highlight w:val="none"/>
        </w:rPr>
      </w:pPr>
      <w:r>
        <w:rPr>
          <w:rFonts w:hint="eastAsia" w:ascii="仿宋" w:hAnsi="仿宋" w:eastAsia="仿宋"/>
          <w:color w:val="auto"/>
          <w:sz w:val="24"/>
          <w:szCs w:val="24"/>
          <w:highlight w:val="none"/>
        </w:rPr>
        <w:t>出现下列情形之一的，采购人或者采购代理机构应当终止网上竞采活动，发布项目终止公告并说明原因，重新开展采购活动：</w:t>
      </w:r>
    </w:p>
    <w:p w14:paraId="7EEE42C3">
      <w:pPr>
        <w:snapToGrid w:val="0"/>
        <w:spacing w:line="360" w:lineRule="auto"/>
        <w:ind w:firstLine="465"/>
        <w:rPr>
          <w:rFonts w:hint="eastAsia" w:ascii="仿宋" w:hAnsi="仿宋" w:eastAsia="仿宋"/>
          <w:color w:val="auto"/>
          <w:sz w:val="24"/>
          <w:szCs w:val="24"/>
          <w:highlight w:val="none"/>
        </w:rPr>
      </w:pPr>
      <w:r>
        <w:rPr>
          <w:rFonts w:hint="eastAsia" w:ascii="仿宋" w:hAnsi="仿宋" w:eastAsia="仿宋"/>
          <w:color w:val="auto"/>
          <w:sz w:val="24"/>
          <w:szCs w:val="24"/>
          <w:highlight w:val="none"/>
        </w:rPr>
        <w:t>（一）因情况变化，不再符合规定的网上竞采采购方式适用情形的。</w:t>
      </w:r>
    </w:p>
    <w:p w14:paraId="11D211D0">
      <w:pPr>
        <w:snapToGrid w:val="0"/>
        <w:spacing w:line="360" w:lineRule="auto"/>
        <w:ind w:firstLine="465"/>
        <w:rPr>
          <w:rFonts w:hint="eastAsia" w:ascii="仿宋" w:hAnsi="仿宋" w:eastAsia="仿宋"/>
          <w:color w:val="auto"/>
          <w:sz w:val="24"/>
          <w:szCs w:val="24"/>
          <w:highlight w:val="none"/>
        </w:rPr>
      </w:pPr>
      <w:r>
        <w:rPr>
          <w:rFonts w:hint="eastAsia" w:ascii="仿宋" w:hAnsi="仿宋" w:eastAsia="仿宋"/>
          <w:color w:val="auto"/>
          <w:sz w:val="24"/>
          <w:szCs w:val="24"/>
          <w:highlight w:val="none"/>
        </w:rPr>
        <w:t>（二）出现影响采购公正的违法、违规行为的。</w:t>
      </w:r>
    </w:p>
    <w:p w14:paraId="13B27FBC">
      <w:pPr>
        <w:snapToGrid w:val="0"/>
        <w:spacing w:line="360" w:lineRule="auto"/>
        <w:ind w:left="0" w:leftChars="0" w:right="0" w:rightChars="0" w:firstLine="0" w:firstLineChars="0"/>
        <w:jc w:val="center"/>
        <w:rPr>
          <w:rFonts w:hint="eastAsia" w:ascii="仿宋" w:hAnsi="仿宋" w:eastAsia="仿宋"/>
          <w:b w:val="0"/>
          <w:color w:val="auto"/>
          <w:szCs w:val="30"/>
          <w:highlight w:val="none"/>
        </w:rPr>
      </w:pPr>
      <w:r>
        <w:rPr>
          <w:rFonts w:hint="eastAsia" w:ascii="仿宋" w:hAnsi="仿宋" w:eastAsia="仿宋"/>
          <w:color w:val="auto"/>
          <w:sz w:val="24"/>
          <w:szCs w:val="24"/>
          <w:highlight w:val="none"/>
        </w:rPr>
        <w:t>（三）通过资格性审查的供应商不足</w:t>
      </w:r>
      <w:r>
        <w:rPr>
          <w:rFonts w:hint="eastAsia" w:ascii="仿宋" w:hAnsi="仿宋" w:eastAsia="仿宋"/>
          <w:color w:val="auto"/>
          <w:sz w:val="24"/>
          <w:szCs w:val="24"/>
          <w:highlight w:val="none"/>
          <w:lang w:val="en-US" w:eastAsia="zh-CN"/>
        </w:rPr>
        <w:t>3</w:t>
      </w:r>
      <w:r>
        <w:rPr>
          <w:rFonts w:hint="eastAsia" w:ascii="仿宋" w:hAnsi="仿宋" w:eastAsia="仿宋"/>
          <w:color w:val="auto"/>
          <w:sz w:val="24"/>
          <w:szCs w:val="24"/>
          <w:highlight w:val="none"/>
        </w:rPr>
        <w:t>家的，终止本次采购活动，并发布终止采购活动公告</w:t>
      </w:r>
      <w:bookmarkStart w:id="74" w:name="_Toc102227313"/>
      <w:r>
        <w:rPr>
          <w:rFonts w:hint="eastAsia" w:ascii="仿宋" w:hAnsi="仿宋" w:eastAsia="仿宋"/>
          <w:color w:val="auto"/>
          <w:sz w:val="24"/>
          <w:szCs w:val="24"/>
          <w:highlight w:val="none"/>
        </w:rPr>
        <w:t>。</w:t>
      </w:r>
      <w:r>
        <w:rPr>
          <w:rFonts w:hint="eastAsia" w:ascii="仿宋" w:hAnsi="仿宋" w:eastAsia="仿宋"/>
          <w:b w:val="0"/>
          <w:color w:val="auto"/>
          <w:sz w:val="36"/>
          <w:szCs w:val="30"/>
          <w:highlight w:val="none"/>
        </w:rPr>
        <w:br w:type="page"/>
      </w:r>
      <w:bookmarkStart w:id="75" w:name="_Toc18319"/>
      <w:bookmarkStart w:id="76" w:name="_Toc21054"/>
      <w:r>
        <w:rPr>
          <w:rFonts w:hint="eastAsia" w:ascii="仿宋" w:hAnsi="仿宋" w:eastAsia="仿宋"/>
          <w:b w:val="0"/>
          <w:color w:val="auto"/>
          <w:sz w:val="36"/>
          <w:szCs w:val="30"/>
          <w:highlight w:val="none"/>
        </w:rPr>
        <w:t>第五篇 供应商须知</w:t>
      </w:r>
      <w:bookmarkEnd w:id="74"/>
      <w:bookmarkEnd w:id="75"/>
      <w:bookmarkEnd w:id="76"/>
    </w:p>
    <w:p w14:paraId="7C4CF440">
      <w:pPr>
        <w:pStyle w:val="5"/>
        <w:spacing w:before="0" w:after="0" w:line="360" w:lineRule="auto"/>
        <w:rPr>
          <w:rFonts w:hint="eastAsia" w:ascii="仿宋" w:hAnsi="仿宋" w:eastAsia="仿宋"/>
          <w:color w:val="auto"/>
          <w:sz w:val="24"/>
          <w:szCs w:val="24"/>
          <w:highlight w:val="none"/>
        </w:rPr>
      </w:pPr>
      <w:bookmarkStart w:id="77" w:name="_Toc13537"/>
      <w:bookmarkStart w:id="78" w:name="_Toc18927"/>
      <w:bookmarkStart w:id="79" w:name="_Toc342913389"/>
      <w:r>
        <w:rPr>
          <w:rFonts w:hint="eastAsia" w:ascii="仿宋" w:hAnsi="仿宋" w:eastAsia="仿宋"/>
          <w:color w:val="auto"/>
          <w:sz w:val="24"/>
          <w:szCs w:val="24"/>
          <w:highlight w:val="none"/>
        </w:rPr>
        <w:t>一、网上竞采费用</w:t>
      </w:r>
      <w:bookmarkEnd w:id="77"/>
      <w:bookmarkEnd w:id="78"/>
      <w:bookmarkEnd w:id="79"/>
    </w:p>
    <w:p w14:paraId="7BAB9C6A">
      <w:pPr>
        <w:pStyle w:val="269"/>
        <w:spacing w:line="360" w:lineRule="auto"/>
        <w:ind w:firstLine="480" w:firstLineChars="200"/>
        <w:rPr>
          <w:rFonts w:hint="eastAsia" w:ascii="仿宋" w:hAnsi="仿宋" w:eastAsia="仿宋"/>
          <w:color w:val="auto"/>
          <w:sz w:val="24"/>
          <w:szCs w:val="24"/>
          <w:highlight w:val="none"/>
        </w:rPr>
      </w:pPr>
      <w:r>
        <w:rPr>
          <w:rFonts w:hint="eastAsia" w:ascii="仿宋" w:hAnsi="仿宋" w:eastAsia="仿宋"/>
          <w:color w:val="auto"/>
          <w:sz w:val="24"/>
          <w:szCs w:val="24"/>
          <w:highlight w:val="none"/>
        </w:rPr>
        <w:t>参与网上竞采的供应商应承担其编制响应文件所涉及的一切费用，不论网上竞采结果如何，采购人和采购代理机构在任何情况下无义务也无责任承担这些费用。</w:t>
      </w:r>
    </w:p>
    <w:p w14:paraId="11E6AD79">
      <w:pPr>
        <w:pStyle w:val="5"/>
        <w:tabs>
          <w:tab w:val="left" w:pos="2640"/>
        </w:tabs>
        <w:spacing w:before="0" w:after="0" w:line="360" w:lineRule="auto"/>
        <w:rPr>
          <w:rFonts w:hint="eastAsia" w:ascii="仿宋" w:hAnsi="仿宋" w:eastAsia="仿宋"/>
          <w:color w:val="auto"/>
          <w:sz w:val="24"/>
          <w:szCs w:val="24"/>
          <w:highlight w:val="none"/>
        </w:rPr>
      </w:pPr>
      <w:bookmarkStart w:id="80" w:name="_Toc342913391"/>
      <w:bookmarkStart w:id="81" w:name="_Toc6164"/>
      <w:bookmarkStart w:id="82" w:name="_Toc25299"/>
      <w:r>
        <w:rPr>
          <w:rFonts w:hint="eastAsia" w:ascii="仿宋" w:hAnsi="仿宋" w:eastAsia="仿宋"/>
          <w:color w:val="auto"/>
          <w:sz w:val="24"/>
          <w:szCs w:val="24"/>
          <w:highlight w:val="none"/>
        </w:rPr>
        <w:t>二、网上竞采文件</w:t>
      </w:r>
      <w:bookmarkEnd w:id="80"/>
      <w:bookmarkEnd w:id="81"/>
      <w:bookmarkEnd w:id="82"/>
    </w:p>
    <w:p w14:paraId="56D8C524">
      <w:pPr>
        <w:snapToGrid w:val="0"/>
        <w:spacing w:line="360" w:lineRule="auto"/>
        <w:ind w:firstLine="480" w:firstLineChars="200"/>
        <w:rPr>
          <w:rFonts w:hint="eastAsia" w:ascii="仿宋" w:hAnsi="仿宋" w:eastAsia="仿宋"/>
          <w:color w:val="auto"/>
          <w:sz w:val="24"/>
          <w:szCs w:val="24"/>
          <w:highlight w:val="none"/>
        </w:rPr>
      </w:pPr>
      <w:r>
        <w:rPr>
          <w:rFonts w:hint="eastAsia" w:ascii="仿宋" w:hAnsi="仿宋" w:eastAsia="仿宋"/>
          <w:color w:val="auto"/>
          <w:sz w:val="24"/>
          <w:szCs w:val="24"/>
          <w:highlight w:val="none"/>
        </w:rPr>
        <w:t>（一）网上竞采文件由采购邀请书、采购项目技术需求、采购项目商务需求、网上竞采程序及方法、评审标准、响应无效和采购终止、供应商须知</w:t>
      </w:r>
      <w:r>
        <w:rPr>
          <w:rFonts w:hint="eastAsia" w:ascii="仿宋" w:hAnsi="仿宋" w:eastAsia="仿宋"/>
          <w:b/>
          <w:color w:val="auto"/>
          <w:sz w:val="24"/>
          <w:szCs w:val="24"/>
          <w:highlight w:val="none"/>
        </w:rPr>
        <w:t>、</w:t>
      </w:r>
      <w:r>
        <w:rPr>
          <w:rFonts w:hint="eastAsia" w:ascii="仿宋" w:hAnsi="仿宋" w:eastAsia="仿宋"/>
          <w:color w:val="auto"/>
          <w:sz w:val="24"/>
          <w:szCs w:val="24"/>
          <w:highlight w:val="none"/>
        </w:rPr>
        <w:t>合同主要条款和格式合同</w:t>
      </w:r>
      <w:r>
        <w:rPr>
          <w:rFonts w:hint="eastAsia" w:ascii="仿宋" w:hAnsi="仿宋" w:eastAsia="仿宋"/>
          <w:b/>
          <w:color w:val="auto"/>
          <w:sz w:val="24"/>
          <w:szCs w:val="24"/>
          <w:highlight w:val="none"/>
        </w:rPr>
        <w:t>、</w:t>
      </w:r>
      <w:r>
        <w:rPr>
          <w:rFonts w:hint="eastAsia" w:ascii="仿宋" w:hAnsi="仿宋" w:eastAsia="仿宋"/>
          <w:color w:val="auto"/>
          <w:sz w:val="24"/>
          <w:szCs w:val="24"/>
          <w:highlight w:val="none"/>
        </w:rPr>
        <w:t>响应文件编制要求七部分组成。</w:t>
      </w:r>
    </w:p>
    <w:p w14:paraId="61335701">
      <w:pPr>
        <w:snapToGrid w:val="0"/>
        <w:spacing w:line="360" w:lineRule="auto"/>
        <w:ind w:firstLine="480" w:firstLineChars="200"/>
        <w:rPr>
          <w:rFonts w:hint="eastAsia" w:ascii="仿宋" w:hAnsi="仿宋" w:eastAsia="仿宋"/>
          <w:color w:val="auto"/>
          <w:sz w:val="24"/>
          <w:szCs w:val="24"/>
          <w:highlight w:val="none"/>
        </w:rPr>
      </w:pPr>
      <w:r>
        <w:rPr>
          <w:rFonts w:hint="eastAsia" w:ascii="仿宋" w:hAnsi="仿宋" w:eastAsia="仿宋"/>
          <w:color w:val="auto"/>
          <w:sz w:val="24"/>
          <w:szCs w:val="24"/>
          <w:highlight w:val="none"/>
        </w:rPr>
        <w:t>（二）采购人（或采购代理机构）所作的一切有效的书面通知、修改及补充，都是网上竞采文件不可分割的部分。</w:t>
      </w:r>
    </w:p>
    <w:p w14:paraId="639F4AF3">
      <w:pPr>
        <w:spacing w:line="360" w:lineRule="auto"/>
        <w:ind w:firstLine="480" w:firstLineChars="200"/>
        <w:rPr>
          <w:rFonts w:hint="eastAsia" w:ascii="仿宋" w:hAnsi="仿宋" w:eastAsia="仿宋"/>
          <w:color w:val="auto"/>
          <w:sz w:val="24"/>
          <w:szCs w:val="24"/>
          <w:highlight w:val="none"/>
        </w:rPr>
      </w:pPr>
      <w:bookmarkStart w:id="83" w:name="_Toc318159160"/>
      <w:bookmarkStart w:id="84" w:name="_Toc318166429"/>
      <w:bookmarkStart w:id="85" w:name="_Toc318159780"/>
      <w:bookmarkStart w:id="86" w:name="_Toc318159349"/>
      <w:r>
        <w:rPr>
          <w:rFonts w:hint="eastAsia" w:ascii="仿宋" w:hAnsi="仿宋" w:eastAsia="仿宋"/>
          <w:color w:val="auto"/>
          <w:sz w:val="24"/>
          <w:szCs w:val="24"/>
          <w:highlight w:val="none"/>
        </w:rPr>
        <w:t>（三）评审的依据为网上竞采文件。评审小组判断响应文件对网上竞采文件的响应，仅基于响应文件本身而不靠外部证据。</w:t>
      </w:r>
    </w:p>
    <w:bookmarkEnd w:id="83"/>
    <w:bookmarkEnd w:id="84"/>
    <w:bookmarkEnd w:id="85"/>
    <w:bookmarkEnd w:id="86"/>
    <w:p w14:paraId="668CCAF9">
      <w:pPr>
        <w:pStyle w:val="5"/>
        <w:spacing w:before="0" w:after="0" w:line="360" w:lineRule="auto"/>
        <w:rPr>
          <w:rFonts w:hint="eastAsia" w:ascii="仿宋" w:hAnsi="仿宋" w:eastAsia="仿宋"/>
          <w:color w:val="auto"/>
          <w:sz w:val="24"/>
          <w:szCs w:val="24"/>
          <w:highlight w:val="none"/>
        </w:rPr>
      </w:pPr>
      <w:bookmarkStart w:id="87" w:name="_Toc102227318"/>
      <w:bookmarkStart w:id="88" w:name="_Toc342913392"/>
      <w:bookmarkStart w:id="89" w:name="_Toc28083"/>
      <w:bookmarkStart w:id="90" w:name="_Toc13364"/>
      <w:bookmarkStart w:id="91" w:name="_Toc179714297"/>
      <w:r>
        <w:rPr>
          <w:rFonts w:hint="eastAsia" w:ascii="仿宋" w:hAnsi="仿宋" w:eastAsia="仿宋"/>
          <w:color w:val="auto"/>
          <w:sz w:val="24"/>
          <w:szCs w:val="24"/>
          <w:highlight w:val="none"/>
        </w:rPr>
        <w:t>三、竞采要求</w:t>
      </w:r>
      <w:bookmarkEnd w:id="87"/>
      <w:bookmarkEnd w:id="88"/>
      <w:bookmarkEnd w:id="89"/>
      <w:bookmarkEnd w:id="90"/>
      <w:bookmarkEnd w:id="91"/>
    </w:p>
    <w:p w14:paraId="2AFCDD53">
      <w:pPr>
        <w:spacing w:line="360" w:lineRule="auto"/>
        <w:ind w:firstLine="480" w:firstLineChars="200"/>
        <w:rPr>
          <w:rFonts w:hint="eastAsia" w:ascii="仿宋" w:hAnsi="仿宋" w:eastAsia="仿宋"/>
          <w:color w:val="auto"/>
          <w:sz w:val="24"/>
          <w:szCs w:val="24"/>
          <w:highlight w:val="none"/>
        </w:rPr>
      </w:pPr>
      <w:r>
        <w:rPr>
          <w:rFonts w:hint="eastAsia" w:ascii="仿宋" w:hAnsi="仿宋" w:eastAsia="仿宋"/>
          <w:color w:val="auto"/>
          <w:sz w:val="24"/>
          <w:szCs w:val="24"/>
          <w:highlight w:val="none"/>
        </w:rPr>
        <w:t>（一）响应文件</w:t>
      </w:r>
    </w:p>
    <w:p w14:paraId="63A5C921">
      <w:pPr>
        <w:spacing w:line="360" w:lineRule="auto"/>
        <w:ind w:firstLine="480" w:firstLineChars="200"/>
        <w:rPr>
          <w:rFonts w:hint="eastAsia" w:ascii="仿宋" w:hAnsi="仿宋" w:eastAsia="仿宋"/>
          <w:color w:val="auto"/>
          <w:sz w:val="24"/>
          <w:szCs w:val="24"/>
          <w:highlight w:val="none"/>
        </w:rPr>
      </w:pPr>
      <w:r>
        <w:rPr>
          <w:rFonts w:hint="eastAsia" w:ascii="仿宋" w:hAnsi="仿宋" w:eastAsia="仿宋"/>
          <w:color w:val="auto"/>
          <w:sz w:val="24"/>
          <w:szCs w:val="24"/>
          <w:highlight w:val="none"/>
        </w:rPr>
        <w:t>1.供应商应当按照网上竞采文件的要求编制响应文件，并对网上竞采文件提出的要求和条件作出实质性响应。</w:t>
      </w:r>
    </w:p>
    <w:p w14:paraId="560AB253">
      <w:pPr>
        <w:spacing w:line="360" w:lineRule="auto"/>
        <w:ind w:firstLine="480" w:firstLineChars="200"/>
        <w:rPr>
          <w:rFonts w:hint="eastAsia" w:ascii="仿宋" w:hAnsi="仿宋" w:eastAsia="仿宋"/>
          <w:color w:val="auto"/>
          <w:sz w:val="24"/>
          <w:szCs w:val="24"/>
          <w:highlight w:val="none"/>
        </w:rPr>
      </w:pPr>
      <w:r>
        <w:rPr>
          <w:rFonts w:hint="eastAsia" w:ascii="仿宋" w:hAnsi="仿宋" w:eastAsia="仿宋"/>
          <w:color w:val="auto"/>
          <w:sz w:val="24"/>
          <w:szCs w:val="24"/>
          <w:highlight w:val="none"/>
        </w:rPr>
        <w:t>2.响应文件组成</w:t>
      </w:r>
    </w:p>
    <w:p w14:paraId="0054A2D1">
      <w:pPr>
        <w:spacing w:line="360" w:lineRule="auto"/>
        <w:ind w:firstLine="480" w:firstLineChars="200"/>
        <w:rPr>
          <w:rFonts w:hint="eastAsia" w:ascii="仿宋" w:hAnsi="仿宋" w:eastAsia="仿宋"/>
          <w:color w:val="auto"/>
          <w:sz w:val="24"/>
          <w:szCs w:val="24"/>
          <w:highlight w:val="none"/>
        </w:rPr>
      </w:pPr>
      <w:r>
        <w:rPr>
          <w:rFonts w:hint="eastAsia" w:ascii="仿宋" w:hAnsi="仿宋" w:eastAsia="仿宋"/>
          <w:color w:val="auto"/>
          <w:sz w:val="24"/>
          <w:szCs w:val="24"/>
          <w:highlight w:val="none"/>
        </w:rPr>
        <w:t>响应文件由第七篇“响应文件编制要求”规定的部分和供应商所作的一切有效补充、修改和承诺等文件组成，供应商应按照第七篇“响应文件编制要求”规定的目录顺序组织编写，也可在基本格式基础上对表格进行扩展，未规定格式的由供应商自定格式。</w:t>
      </w:r>
    </w:p>
    <w:p w14:paraId="07E8B3CB">
      <w:pPr>
        <w:spacing w:line="360" w:lineRule="auto"/>
        <w:ind w:firstLine="480" w:firstLineChars="200"/>
        <w:rPr>
          <w:rFonts w:hint="eastAsia" w:ascii="仿宋" w:hAnsi="仿宋" w:eastAsia="仿宋"/>
          <w:color w:val="auto"/>
          <w:sz w:val="24"/>
          <w:szCs w:val="24"/>
          <w:highlight w:val="none"/>
        </w:rPr>
      </w:pPr>
      <w:r>
        <w:rPr>
          <w:rFonts w:hint="eastAsia" w:ascii="仿宋" w:hAnsi="仿宋" w:eastAsia="仿宋"/>
          <w:color w:val="auto"/>
          <w:sz w:val="24"/>
          <w:szCs w:val="24"/>
          <w:highlight w:val="none"/>
        </w:rPr>
        <w:t>（二）联合体</w:t>
      </w:r>
    </w:p>
    <w:p w14:paraId="60C3BA71">
      <w:pPr>
        <w:spacing w:line="360" w:lineRule="auto"/>
        <w:ind w:firstLine="482" w:firstLineChars="200"/>
        <w:rPr>
          <w:rFonts w:hint="eastAsia" w:ascii="仿宋" w:hAnsi="仿宋" w:eastAsia="仿宋"/>
          <w:b/>
          <w:color w:val="auto"/>
          <w:sz w:val="24"/>
          <w:szCs w:val="24"/>
          <w:highlight w:val="none"/>
        </w:rPr>
      </w:pPr>
      <w:r>
        <w:rPr>
          <w:rFonts w:hint="eastAsia" w:ascii="仿宋" w:hAnsi="仿宋" w:eastAsia="仿宋"/>
          <w:b/>
          <w:color w:val="auto"/>
          <w:sz w:val="24"/>
          <w:szCs w:val="24"/>
          <w:highlight w:val="none"/>
        </w:rPr>
        <w:t>本项目不接受联合体竞标。</w:t>
      </w:r>
    </w:p>
    <w:p w14:paraId="66ABEF6F">
      <w:pPr>
        <w:spacing w:line="360" w:lineRule="auto"/>
        <w:ind w:firstLine="480" w:firstLineChars="200"/>
        <w:rPr>
          <w:rFonts w:hint="eastAsia" w:ascii="仿宋" w:hAnsi="仿宋" w:eastAsia="仿宋"/>
          <w:color w:val="auto"/>
          <w:sz w:val="24"/>
          <w:szCs w:val="24"/>
          <w:highlight w:val="none"/>
        </w:rPr>
      </w:pPr>
      <w:r>
        <w:rPr>
          <w:rFonts w:hint="eastAsia" w:ascii="仿宋" w:hAnsi="仿宋" w:eastAsia="仿宋"/>
          <w:color w:val="auto"/>
          <w:sz w:val="24"/>
          <w:szCs w:val="24"/>
          <w:highlight w:val="none"/>
        </w:rPr>
        <w:t>（三）网上竞采有效期：响应文件及有关承诺文件有效期为提交响应文件截止时间起90天。</w:t>
      </w:r>
    </w:p>
    <w:p w14:paraId="04D2E801">
      <w:pPr>
        <w:snapToGrid w:val="0"/>
        <w:spacing w:line="360" w:lineRule="auto"/>
        <w:ind w:firstLine="480" w:firstLineChars="200"/>
        <w:rPr>
          <w:rFonts w:hint="eastAsia" w:ascii="仿宋" w:hAnsi="仿宋" w:eastAsia="仿宋"/>
          <w:color w:val="auto"/>
          <w:sz w:val="24"/>
          <w:szCs w:val="24"/>
          <w:highlight w:val="none"/>
        </w:rPr>
      </w:pPr>
      <w:r>
        <w:rPr>
          <w:rFonts w:hint="eastAsia" w:ascii="仿宋" w:hAnsi="仿宋" w:eastAsia="仿宋"/>
          <w:color w:val="auto"/>
          <w:sz w:val="24"/>
          <w:szCs w:val="24"/>
          <w:highlight w:val="none"/>
        </w:rPr>
        <w:t>（四）提交响应文件的份数和签署</w:t>
      </w:r>
    </w:p>
    <w:p w14:paraId="1AB0566C">
      <w:pPr>
        <w:snapToGrid w:val="0"/>
        <w:spacing w:line="360" w:lineRule="auto"/>
        <w:ind w:firstLine="480" w:firstLineChars="200"/>
        <w:rPr>
          <w:rFonts w:hint="eastAsia" w:ascii="仿宋" w:hAnsi="仿宋" w:eastAsia="仿宋"/>
          <w:color w:val="auto"/>
          <w:sz w:val="24"/>
          <w:highlight w:val="none"/>
        </w:rPr>
      </w:pPr>
      <w:r>
        <w:rPr>
          <w:rFonts w:hint="eastAsia" w:ascii="仿宋" w:hAnsi="仿宋" w:eastAsia="仿宋"/>
          <w:color w:val="auto"/>
          <w:sz w:val="24"/>
          <w:szCs w:val="24"/>
          <w:highlight w:val="none"/>
        </w:rPr>
        <w:t>1.供应</w:t>
      </w:r>
      <w:r>
        <w:rPr>
          <w:rFonts w:hint="eastAsia" w:ascii="仿宋" w:hAnsi="仿宋" w:eastAsia="仿宋"/>
          <w:color w:val="auto"/>
          <w:sz w:val="24"/>
          <w:highlight w:val="none"/>
        </w:rPr>
        <w:t>商线上报价时须上传一份PDF格式响应文件。</w:t>
      </w:r>
    </w:p>
    <w:p w14:paraId="569E9F6E">
      <w:pPr>
        <w:snapToGrid w:val="0"/>
        <w:spacing w:line="360" w:lineRule="auto"/>
        <w:ind w:firstLine="482" w:firstLineChars="200"/>
        <w:rPr>
          <w:rFonts w:hint="eastAsia" w:ascii="仿宋" w:hAnsi="仿宋" w:eastAsia="仿宋"/>
          <w:color w:val="auto"/>
          <w:sz w:val="24"/>
          <w:szCs w:val="24"/>
          <w:highlight w:val="none"/>
        </w:rPr>
      </w:pPr>
      <w:r>
        <w:rPr>
          <w:rFonts w:hint="eastAsia" w:ascii="仿宋" w:hAnsi="仿宋" w:eastAsia="仿宋"/>
          <w:b/>
          <w:bCs/>
          <w:color w:val="auto"/>
          <w:sz w:val="24"/>
          <w:szCs w:val="24"/>
          <w:highlight w:val="none"/>
        </w:rPr>
        <w:t>注：若供应商的平台报价与网上电子文档网上竞采报价函中的报价不一致，按响应无效处理。</w:t>
      </w:r>
    </w:p>
    <w:p w14:paraId="4311B789">
      <w:pPr>
        <w:snapToGrid w:val="0"/>
        <w:spacing w:line="360" w:lineRule="auto"/>
        <w:ind w:firstLine="480" w:firstLineChars="200"/>
        <w:rPr>
          <w:rFonts w:hint="eastAsia" w:ascii="仿宋" w:hAnsi="仿宋" w:eastAsia="仿宋"/>
          <w:color w:val="auto"/>
          <w:sz w:val="24"/>
          <w:szCs w:val="24"/>
          <w:highlight w:val="none"/>
        </w:rPr>
      </w:pPr>
      <w:r>
        <w:rPr>
          <w:rFonts w:hint="eastAsia" w:ascii="仿宋" w:hAnsi="仿宋" w:eastAsia="仿宋"/>
          <w:color w:val="auto"/>
          <w:sz w:val="24"/>
          <w:szCs w:val="24"/>
          <w:highlight w:val="none"/>
        </w:rPr>
        <w:t>2.</w:t>
      </w:r>
      <w:r>
        <w:rPr>
          <w:rFonts w:hint="eastAsia" w:ascii="仿宋" w:hAnsi="仿宋" w:eastAsia="仿宋"/>
          <w:color w:val="auto"/>
          <w:sz w:val="24"/>
          <w:highlight w:val="none"/>
        </w:rPr>
        <w:t>网上竞采文件第七篇响应文件编制要求中规定签字、盖章的地方必须按其规定签字、盖章。</w:t>
      </w:r>
    </w:p>
    <w:p w14:paraId="509584BD">
      <w:pPr>
        <w:pStyle w:val="5"/>
        <w:spacing w:before="0" w:after="0" w:line="360" w:lineRule="auto"/>
        <w:rPr>
          <w:rFonts w:hint="eastAsia" w:ascii="仿宋" w:hAnsi="仿宋" w:eastAsia="仿宋"/>
          <w:color w:val="auto"/>
          <w:sz w:val="24"/>
          <w:szCs w:val="24"/>
          <w:highlight w:val="none"/>
        </w:rPr>
      </w:pPr>
      <w:bookmarkStart w:id="92" w:name="_Toc11553"/>
      <w:bookmarkStart w:id="93" w:name="_Toc22553"/>
      <w:r>
        <w:rPr>
          <w:rFonts w:hint="eastAsia" w:ascii="仿宋" w:hAnsi="仿宋" w:eastAsia="仿宋"/>
          <w:color w:val="auto"/>
          <w:sz w:val="24"/>
          <w:szCs w:val="24"/>
          <w:highlight w:val="none"/>
        </w:rPr>
        <w:t>四、成交供应商的确认和变更</w:t>
      </w:r>
      <w:bookmarkEnd w:id="92"/>
      <w:bookmarkEnd w:id="93"/>
    </w:p>
    <w:p w14:paraId="1177873B">
      <w:pPr>
        <w:snapToGrid w:val="0"/>
        <w:spacing w:line="360" w:lineRule="auto"/>
        <w:ind w:firstLine="480" w:firstLineChars="200"/>
        <w:rPr>
          <w:rFonts w:hint="eastAsia" w:ascii="仿宋" w:hAnsi="仿宋" w:eastAsia="仿宋"/>
          <w:color w:val="auto"/>
          <w:sz w:val="24"/>
          <w:szCs w:val="24"/>
          <w:highlight w:val="none"/>
        </w:rPr>
      </w:pPr>
      <w:r>
        <w:rPr>
          <w:rFonts w:hint="eastAsia" w:ascii="仿宋" w:hAnsi="仿宋" w:eastAsia="仿宋"/>
          <w:color w:val="auto"/>
          <w:sz w:val="24"/>
          <w:szCs w:val="24"/>
          <w:highlight w:val="none"/>
        </w:rPr>
        <w:t>（一）成交供应商的确认</w:t>
      </w:r>
    </w:p>
    <w:p w14:paraId="5E36B44F">
      <w:pPr>
        <w:snapToGrid w:val="0"/>
        <w:spacing w:line="360" w:lineRule="auto"/>
        <w:ind w:firstLine="480" w:firstLineChars="200"/>
        <w:rPr>
          <w:rFonts w:hint="eastAsia" w:ascii="仿宋" w:hAnsi="仿宋" w:eastAsia="仿宋"/>
          <w:color w:val="auto"/>
          <w:sz w:val="24"/>
          <w:szCs w:val="24"/>
          <w:highlight w:val="none"/>
        </w:rPr>
      </w:pPr>
      <w:r>
        <w:rPr>
          <w:rFonts w:ascii="仿宋" w:hAnsi="仿宋" w:eastAsia="仿宋"/>
          <w:color w:val="auto"/>
          <w:sz w:val="24"/>
          <w:szCs w:val="24"/>
          <w:highlight w:val="none"/>
        </w:rPr>
        <w:t>采购代理机构应当在评审结束后2个工作日内将评审报告送采购人确认。采购人应当在收到评审报告后5个工作日内</w:t>
      </w:r>
      <w:r>
        <w:rPr>
          <w:rFonts w:hint="eastAsia" w:ascii="仿宋" w:hAnsi="仿宋" w:eastAsia="仿宋"/>
          <w:color w:val="auto"/>
          <w:sz w:val="24"/>
          <w:szCs w:val="24"/>
          <w:highlight w:val="none"/>
        </w:rPr>
        <w:t>，从评审报告提出的成交候选供应商中，按照排序由高到低的原则确定成交供应商，也可以书面授权评审小组直接确定成交供应商。采购人逾期未确定成交供应商且不提出异议的，视为确定评审报告提出的排序第一的供应商为成交供应商。</w:t>
      </w:r>
    </w:p>
    <w:p w14:paraId="0E5EBCCC">
      <w:pPr>
        <w:snapToGrid w:val="0"/>
        <w:spacing w:line="360" w:lineRule="auto"/>
        <w:ind w:firstLine="480" w:firstLineChars="200"/>
        <w:rPr>
          <w:rFonts w:hint="eastAsia" w:ascii="仿宋" w:hAnsi="仿宋" w:eastAsia="仿宋"/>
          <w:color w:val="auto"/>
          <w:sz w:val="24"/>
          <w:szCs w:val="24"/>
          <w:highlight w:val="none"/>
        </w:rPr>
      </w:pPr>
      <w:r>
        <w:rPr>
          <w:rFonts w:hint="eastAsia" w:ascii="仿宋" w:hAnsi="仿宋" w:eastAsia="仿宋"/>
          <w:color w:val="auto"/>
          <w:sz w:val="24"/>
          <w:szCs w:val="24"/>
          <w:highlight w:val="none"/>
        </w:rPr>
        <w:t>（二）成交供应商的变更</w:t>
      </w:r>
    </w:p>
    <w:p w14:paraId="0951D910">
      <w:pPr>
        <w:snapToGrid w:val="0"/>
        <w:spacing w:line="360" w:lineRule="auto"/>
        <w:ind w:firstLine="480" w:firstLineChars="200"/>
        <w:rPr>
          <w:rFonts w:hint="eastAsia" w:ascii="仿宋" w:hAnsi="仿宋" w:eastAsia="仿宋"/>
          <w:color w:val="auto"/>
          <w:sz w:val="24"/>
          <w:szCs w:val="24"/>
          <w:highlight w:val="none"/>
        </w:rPr>
      </w:pPr>
      <w:r>
        <w:rPr>
          <w:rFonts w:hint="eastAsia" w:ascii="仿宋" w:hAnsi="仿宋" w:eastAsia="仿宋"/>
          <w:color w:val="auto"/>
          <w:sz w:val="24"/>
          <w:highlight w:val="none"/>
        </w:rPr>
        <w:t>成交供应商拒绝与采购人签订合同的，采购人可以按照评标报告推荐的成交候选供应商顺序，确定排名下一位的候选人为成交供应商，也可以重新开展采购活动。</w:t>
      </w:r>
    </w:p>
    <w:p w14:paraId="50EDCCCA">
      <w:pPr>
        <w:pStyle w:val="5"/>
        <w:spacing w:before="0" w:after="0" w:line="360" w:lineRule="auto"/>
        <w:rPr>
          <w:rFonts w:hint="eastAsia" w:ascii="仿宋" w:hAnsi="仿宋" w:eastAsia="仿宋"/>
          <w:color w:val="auto"/>
          <w:sz w:val="24"/>
          <w:szCs w:val="24"/>
          <w:highlight w:val="none"/>
        </w:rPr>
      </w:pPr>
      <w:bookmarkStart w:id="94" w:name="_Toc13347"/>
      <w:bookmarkStart w:id="95" w:name="_Toc102227321"/>
      <w:bookmarkStart w:id="96" w:name="_Toc8128"/>
      <w:bookmarkStart w:id="97" w:name="_Toc342913395"/>
      <w:r>
        <w:rPr>
          <w:rFonts w:hint="eastAsia" w:ascii="仿宋" w:hAnsi="仿宋" w:eastAsia="仿宋"/>
          <w:color w:val="auto"/>
          <w:sz w:val="24"/>
          <w:szCs w:val="24"/>
          <w:highlight w:val="none"/>
        </w:rPr>
        <w:t>五、成交通知</w:t>
      </w:r>
      <w:bookmarkEnd w:id="94"/>
      <w:bookmarkEnd w:id="95"/>
      <w:bookmarkEnd w:id="96"/>
      <w:bookmarkEnd w:id="97"/>
    </w:p>
    <w:p w14:paraId="5D566752">
      <w:pPr>
        <w:spacing w:line="360" w:lineRule="auto"/>
        <w:ind w:firstLine="480" w:firstLineChars="200"/>
        <w:rPr>
          <w:rFonts w:hint="eastAsia" w:ascii="仿宋" w:hAnsi="仿宋" w:eastAsia="仿宋"/>
          <w:color w:val="auto"/>
          <w:sz w:val="24"/>
          <w:szCs w:val="24"/>
          <w:highlight w:val="none"/>
        </w:rPr>
      </w:pPr>
      <w:r>
        <w:rPr>
          <w:rFonts w:hint="eastAsia" w:ascii="仿宋" w:hAnsi="仿宋" w:eastAsia="仿宋"/>
          <w:color w:val="auto"/>
          <w:sz w:val="24"/>
          <w:szCs w:val="24"/>
          <w:highlight w:val="none"/>
        </w:rPr>
        <w:t>（一）成交供应商确定后，采购人或采购代理机构将在</w:t>
      </w:r>
      <w:r>
        <w:rPr>
          <w:rFonts w:hint="eastAsia" w:ascii="仿宋" w:hAnsi="仿宋" w:eastAsia="仿宋"/>
          <w:color w:val="auto"/>
          <w:sz w:val="24"/>
          <w:szCs w:val="24"/>
          <w:highlight w:val="none"/>
          <w:lang w:eastAsia="zh-CN"/>
        </w:rPr>
        <w:t>“</w:t>
      </w:r>
      <w:r>
        <w:rPr>
          <w:rFonts w:hint="eastAsia" w:ascii="仿宋" w:hAnsi="仿宋" w:eastAsia="仿宋" w:cs="仿宋"/>
          <w:color w:val="auto"/>
          <w:sz w:val="24"/>
          <w:szCs w:val="24"/>
          <w:highlight w:val="none"/>
          <w:lang w:eastAsia="zh-CN"/>
        </w:rPr>
        <w:t>“行采家”（ https://www.gec123.com/）</w:t>
      </w:r>
      <w:r>
        <w:rPr>
          <w:rFonts w:hint="eastAsia" w:ascii="仿宋" w:hAnsi="仿宋" w:eastAsia="仿宋"/>
          <w:color w:val="auto"/>
          <w:sz w:val="24"/>
          <w:szCs w:val="24"/>
          <w:highlight w:val="none"/>
        </w:rPr>
        <w:t>上发布成交结果公告。</w:t>
      </w:r>
    </w:p>
    <w:p w14:paraId="1DAEA2BD">
      <w:pPr>
        <w:spacing w:line="360" w:lineRule="auto"/>
        <w:ind w:firstLine="480" w:firstLineChars="200"/>
        <w:rPr>
          <w:rFonts w:hint="eastAsia" w:ascii="仿宋" w:hAnsi="仿宋" w:eastAsia="仿宋"/>
          <w:color w:val="auto"/>
          <w:sz w:val="24"/>
          <w:szCs w:val="24"/>
          <w:highlight w:val="none"/>
        </w:rPr>
      </w:pPr>
      <w:r>
        <w:rPr>
          <w:rFonts w:hint="eastAsia" w:ascii="仿宋" w:hAnsi="仿宋" w:eastAsia="仿宋"/>
          <w:color w:val="auto"/>
          <w:sz w:val="24"/>
          <w:szCs w:val="24"/>
          <w:highlight w:val="none"/>
        </w:rPr>
        <w:t>（二）结果公告发出同时，采购代理机构将以书面形式发出《成交通知书》。《成交通知书》一经发出即发生法律效力。</w:t>
      </w:r>
    </w:p>
    <w:p w14:paraId="579D1F03">
      <w:pPr>
        <w:spacing w:line="360" w:lineRule="auto"/>
        <w:ind w:firstLine="480" w:firstLineChars="200"/>
        <w:rPr>
          <w:rFonts w:hint="eastAsia" w:ascii="仿宋" w:hAnsi="仿宋" w:eastAsia="仿宋"/>
          <w:color w:val="auto"/>
          <w:sz w:val="24"/>
          <w:szCs w:val="24"/>
          <w:highlight w:val="none"/>
        </w:rPr>
      </w:pPr>
      <w:r>
        <w:rPr>
          <w:rFonts w:hint="eastAsia" w:ascii="仿宋" w:hAnsi="仿宋" w:eastAsia="仿宋"/>
          <w:color w:val="auto"/>
          <w:sz w:val="24"/>
          <w:szCs w:val="24"/>
          <w:highlight w:val="none"/>
        </w:rPr>
        <w:t>（三）《成交通知书》将作为签订合同的依据。</w:t>
      </w:r>
    </w:p>
    <w:p w14:paraId="7A9989B5">
      <w:pPr>
        <w:spacing w:line="360" w:lineRule="auto"/>
        <w:ind w:firstLine="480" w:firstLineChars="200"/>
        <w:rPr>
          <w:rFonts w:hint="eastAsia" w:ascii="仿宋" w:hAnsi="仿宋" w:eastAsia="仿宋"/>
          <w:color w:val="auto"/>
          <w:sz w:val="24"/>
          <w:szCs w:val="24"/>
          <w:highlight w:val="none"/>
        </w:rPr>
      </w:pPr>
      <w:r>
        <w:rPr>
          <w:rFonts w:hint="eastAsia" w:ascii="仿宋" w:hAnsi="仿宋" w:eastAsia="仿宋"/>
          <w:color w:val="auto"/>
          <w:sz w:val="24"/>
          <w:szCs w:val="24"/>
          <w:highlight w:val="none"/>
        </w:rPr>
        <w:t>（四）如有供应商对成交结果提出质疑的，在质疑处理完毕后发出成交通知书。</w:t>
      </w:r>
    </w:p>
    <w:p w14:paraId="7DFDACD6">
      <w:pPr>
        <w:pStyle w:val="5"/>
        <w:spacing w:before="0" w:after="0" w:line="360" w:lineRule="auto"/>
        <w:rPr>
          <w:rFonts w:hint="eastAsia" w:ascii="仿宋" w:hAnsi="仿宋" w:eastAsia="仿宋"/>
          <w:color w:val="auto"/>
          <w:sz w:val="24"/>
          <w:szCs w:val="24"/>
          <w:highlight w:val="none"/>
        </w:rPr>
      </w:pPr>
      <w:bookmarkStart w:id="98" w:name="_Toc31912"/>
      <w:bookmarkStart w:id="99" w:name="_Toc31861"/>
      <w:r>
        <w:rPr>
          <w:rFonts w:hint="eastAsia" w:ascii="仿宋" w:hAnsi="仿宋" w:eastAsia="仿宋"/>
          <w:color w:val="auto"/>
          <w:sz w:val="24"/>
          <w:szCs w:val="24"/>
          <w:highlight w:val="none"/>
        </w:rPr>
        <w:t>六、采购代理服务费</w:t>
      </w:r>
      <w:bookmarkEnd w:id="98"/>
      <w:bookmarkEnd w:id="99"/>
    </w:p>
    <w:p w14:paraId="5C74F12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eastAsia="仿宋"/>
          <w:b w:val="0"/>
          <w:bCs/>
          <w:color w:val="auto"/>
          <w:highlight w:val="none"/>
          <w:lang w:val="en-US" w:eastAsia="zh-CN"/>
        </w:rPr>
      </w:pPr>
      <w:r>
        <w:rPr>
          <w:rFonts w:hint="eastAsia" w:ascii="仿宋" w:hAnsi="仿宋" w:eastAsia="仿宋"/>
          <w:color w:val="auto"/>
          <w:sz w:val="24"/>
          <w:szCs w:val="24"/>
          <w:highlight w:val="none"/>
        </w:rPr>
        <w:t>（</w:t>
      </w:r>
      <w:r>
        <w:rPr>
          <w:rFonts w:hint="eastAsia" w:ascii="仿宋" w:hAnsi="仿宋" w:eastAsia="仿宋"/>
          <w:color w:val="auto"/>
          <w:sz w:val="24"/>
          <w:szCs w:val="24"/>
          <w:highlight w:val="none"/>
          <w:lang w:val="en-US" w:eastAsia="zh-CN"/>
        </w:rPr>
        <w:t>一</w:t>
      </w:r>
      <w:r>
        <w:rPr>
          <w:rFonts w:hint="eastAsia" w:ascii="仿宋" w:hAnsi="仿宋" w:eastAsia="仿宋"/>
          <w:color w:val="auto"/>
          <w:sz w:val="24"/>
          <w:szCs w:val="24"/>
          <w:highlight w:val="none"/>
        </w:rPr>
        <w:t>）</w:t>
      </w:r>
      <w:r>
        <w:rPr>
          <w:rFonts w:hint="eastAsia" w:ascii="仿宋" w:hAnsi="仿宋" w:eastAsia="仿宋"/>
          <w:color w:val="auto"/>
          <w:sz w:val="24"/>
          <w:szCs w:val="24"/>
          <w:highlight w:val="none"/>
          <w:lang w:val="en-US" w:eastAsia="zh-CN"/>
        </w:rPr>
        <w:t>本项目招标代理服务费参照原国家计委</w:t>
      </w:r>
      <w:r>
        <w:rPr>
          <w:rFonts w:hint="eastAsia" w:ascii="仿宋" w:hAnsi="仿宋" w:eastAsia="仿宋" w:cs="Times New Roman"/>
          <w:b w:val="0"/>
          <w:bCs/>
          <w:color w:val="auto"/>
          <w:kern w:val="2"/>
          <w:sz w:val="24"/>
          <w:szCs w:val="24"/>
          <w:highlight w:val="none"/>
          <w:lang w:val="en-US" w:eastAsia="zh-CN" w:bidi="ar-SA"/>
        </w:rPr>
        <w:t>《招标代理服务收费管理暂行办法》{（2022）1980号}附件规定执行，不足3000元的项目按3000元收取。</w:t>
      </w:r>
    </w:p>
    <w:p w14:paraId="6C575C1F">
      <w:pPr>
        <w:spacing w:line="360" w:lineRule="auto"/>
        <w:ind w:firstLine="480" w:firstLineChars="200"/>
        <w:rPr>
          <w:rFonts w:hint="eastAsia" w:ascii="仿宋" w:hAnsi="仿宋" w:eastAsia="仿宋"/>
          <w:color w:val="auto"/>
          <w:sz w:val="24"/>
          <w:szCs w:val="24"/>
          <w:highlight w:val="none"/>
        </w:rPr>
      </w:pPr>
      <w:r>
        <w:rPr>
          <w:rFonts w:hint="eastAsia" w:ascii="仿宋" w:hAnsi="仿宋" w:eastAsia="仿宋"/>
          <w:color w:val="auto"/>
          <w:sz w:val="24"/>
          <w:szCs w:val="24"/>
          <w:highlight w:val="none"/>
          <w:lang w:eastAsia="zh-CN"/>
        </w:rPr>
        <w:t>（</w:t>
      </w:r>
      <w:r>
        <w:rPr>
          <w:rFonts w:hint="eastAsia" w:ascii="仿宋" w:hAnsi="仿宋" w:eastAsia="仿宋"/>
          <w:color w:val="auto"/>
          <w:sz w:val="24"/>
          <w:szCs w:val="24"/>
          <w:highlight w:val="none"/>
          <w:lang w:val="en-US" w:eastAsia="zh-CN"/>
        </w:rPr>
        <w:t>二</w:t>
      </w:r>
      <w:r>
        <w:rPr>
          <w:rFonts w:hint="eastAsia" w:ascii="仿宋" w:hAnsi="仿宋" w:eastAsia="仿宋"/>
          <w:color w:val="auto"/>
          <w:sz w:val="24"/>
          <w:szCs w:val="24"/>
          <w:highlight w:val="none"/>
          <w:lang w:eastAsia="zh-CN"/>
        </w:rPr>
        <w:t>）</w:t>
      </w:r>
      <w:r>
        <w:rPr>
          <w:rFonts w:hint="eastAsia" w:ascii="仿宋" w:hAnsi="仿宋" w:eastAsia="仿宋"/>
          <w:color w:val="auto"/>
          <w:sz w:val="24"/>
          <w:szCs w:val="24"/>
          <w:highlight w:val="none"/>
        </w:rPr>
        <w:t>供应商成交后，由成交供应商向采购代理机构缴纳采购代理服务费，本项目采购代理服务费按照定额</w:t>
      </w:r>
      <w:r>
        <w:rPr>
          <w:rFonts w:hint="eastAsia" w:ascii="仿宋" w:hAnsi="仿宋" w:eastAsia="仿宋"/>
          <w:color w:val="auto"/>
          <w:sz w:val="24"/>
          <w:szCs w:val="24"/>
          <w:highlight w:val="none"/>
          <w:lang w:val="en-US" w:eastAsia="zh-CN"/>
        </w:rPr>
        <w:t>7000</w:t>
      </w:r>
      <w:r>
        <w:rPr>
          <w:rFonts w:hint="eastAsia" w:ascii="仿宋" w:hAnsi="仿宋" w:eastAsia="仿宋"/>
          <w:color w:val="auto"/>
          <w:sz w:val="24"/>
          <w:szCs w:val="24"/>
          <w:highlight w:val="none"/>
        </w:rPr>
        <w:t>元整收取。</w:t>
      </w:r>
    </w:p>
    <w:p w14:paraId="022AA917">
      <w:pPr>
        <w:spacing w:line="360" w:lineRule="auto"/>
        <w:ind w:firstLine="480" w:firstLineChars="200"/>
        <w:rPr>
          <w:rFonts w:hint="eastAsia" w:ascii="仿宋" w:hAnsi="仿宋" w:eastAsia="仿宋"/>
          <w:color w:val="auto"/>
          <w:sz w:val="24"/>
          <w:szCs w:val="24"/>
          <w:highlight w:val="none"/>
          <w:lang w:val="en-US" w:eastAsia="zh-CN"/>
        </w:rPr>
      </w:pPr>
      <w:r>
        <w:rPr>
          <w:rFonts w:hint="eastAsia" w:ascii="仿宋" w:hAnsi="仿宋" w:eastAsia="仿宋"/>
          <w:color w:val="auto"/>
          <w:sz w:val="24"/>
          <w:szCs w:val="24"/>
          <w:highlight w:val="none"/>
          <w:lang w:val="en-US" w:eastAsia="zh-CN"/>
        </w:rPr>
        <w:t>（三）缴费账号：户名:重庆同皓工程项目管理有限公司</w:t>
      </w:r>
    </w:p>
    <w:p w14:paraId="79EC2B16">
      <w:pPr>
        <w:spacing w:line="360" w:lineRule="auto"/>
        <w:ind w:firstLine="1200" w:firstLineChars="500"/>
        <w:rPr>
          <w:rFonts w:hint="eastAsia" w:ascii="仿宋" w:hAnsi="仿宋" w:eastAsia="仿宋"/>
          <w:color w:val="auto"/>
          <w:sz w:val="24"/>
          <w:szCs w:val="24"/>
          <w:highlight w:val="none"/>
          <w:lang w:val="en-US" w:eastAsia="zh-CN"/>
        </w:rPr>
      </w:pPr>
      <w:r>
        <w:rPr>
          <w:rFonts w:hint="eastAsia" w:ascii="仿宋" w:hAnsi="仿宋" w:eastAsia="仿宋"/>
          <w:color w:val="auto"/>
          <w:sz w:val="24"/>
          <w:szCs w:val="24"/>
          <w:highlight w:val="none"/>
          <w:lang w:val="en-US" w:eastAsia="zh-CN"/>
        </w:rPr>
        <w:t>开户银行：中国建设银行渝北红锦支行</w:t>
      </w:r>
    </w:p>
    <w:p w14:paraId="40F7C3E7">
      <w:pPr>
        <w:spacing w:line="360" w:lineRule="auto"/>
        <w:ind w:firstLine="1440" w:firstLineChars="600"/>
        <w:rPr>
          <w:rFonts w:hint="eastAsia" w:ascii="仿宋" w:hAnsi="仿宋" w:eastAsia="仿宋"/>
          <w:color w:val="auto"/>
          <w:sz w:val="24"/>
          <w:szCs w:val="24"/>
          <w:highlight w:val="none"/>
        </w:rPr>
      </w:pPr>
      <w:r>
        <w:rPr>
          <w:rFonts w:hint="eastAsia" w:ascii="仿宋" w:hAnsi="仿宋" w:eastAsia="仿宋"/>
          <w:color w:val="auto"/>
          <w:sz w:val="24"/>
          <w:szCs w:val="24"/>
          <w:highlight w:val="none"/>
          <w:lang w:val="en-US" w:eastAsia="zh-CN"/>
        </w:rPr>
        <w:t>账  号：50050106450009456789</w:t>
      </w:r>
    </w:p>
    <w:p w14:paraId="12B32F00">
      <w:pPr>
        <w:spacing w:line="360" w:lineRule="auto"/>
        <w:ind w:firstLine="480" w:firstLineChars="200"/>
        <w:rPr>
          <w:rFonts w:hint="eastAsia" w:ascii="仿宋" w:hAnsi="仿宋" w:eastAsia="仿宋"/>
          <w:color w:val="auto"/>
          <w:sz w:val="24"/>
          <w:szCs w:val="24"/>
          <w:highlight w:val="none"/>
        </w:rPr>
      </w:pPr>
      <w:bookmarkStart w:id="100" w:name="_Toc8778"/>
      <w:r>
        <w:rPr>
          <w:rFonts w:hint="eastAsia" w:ascii="仿宋" w:hAnsi="仿宋" w:eastAsia="仿宋"/>
          <w:color w:val="auto"/>
          <w:sz w:val="24"/>
          <w:szCs w:val="24"/>
          <w:highlight w:val="none"/>
        </w:rPr>
        <w:t>七、关于质疑和投诉</w:t>
      </w:r>
      <w:bookmarkEnd w:id="100"/>
    </w:p>
    <w:p w14:paraId="1A7927A9">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（一）质疑</w:t>
      </w:r>
    </w:p>
    <w:p w14:paraId="3A13A28D">
      <w:pPr>
        <w:spacing w:line="360" w:lineRule="auto"/>
        <w:ind w:right="12" w:firstLine="480"/>
        <w:rPr>
          <w:rFonts w:hint="eastAsia" w:ascii="仿宋" w:hAnsi="仿宋" w:eastAsia="仿宋" w:cs="仿宋"/>
          <w:color w:val="auto"/>
          <w:sz w:val="24"/>
          <w:highlight w:val="none"/>
        </w:rPr>
      </w:pPr>
      <w:r>
        <w:rPr>
          <w:rFonts w:hint="eastAsia" w:ascii="仿宋" w:hAnsi="仿宋" w:eastAsia="仿宋" w:cs="仿宋"/>
          <w:color w:val="auto"/>
          <w:sz w:val="24"/>
          <w:highlight w:val="none"/>
        </w:rPr>
        <w:t>供应商认为采购文件、采购过程和成交结果使自己的权益受到伤害的，可向采购人或采购代理机构以书面形式提出质疑。</w:t>
      </w:r>
    </w:p>
    <w:p w14:paraId="2BF76463">
      <w:pPr>
        <w:spacing w:line="360" w:lineRule="auto"/>
        <w:ind w:right="12" w:firstLine="480"/>
        <w:rPr>
          <w:rFonts w:hint="eastAsia" w:ascii="仿宋" w:hAnsi="仿宋" w:eastAsia="仿宋" w:cs="仿宋"/>
          <w:color w:val="auto"/>
          <w:sz w:val="24"/>
          <w:highlight w:val="none"/>
        </w:rPr>
      </w:pPr>
      <w:r>
        <w:rPr>
          <w:rFonts w:hint="eastAsia" w:ascii="仿宋" w:hAnsi="仿宋" w:eastAsia="仿宋" w:cs="仿宋"/>
          <w:color w:val="auto"/>
          <w:sz w:val="24"/>
          <w:highlight w:val="none"/>
        </w:rPr>
        <w:t>提出质疑的应当是参与所质疑项目采购活动的供应商。</w:t>
      </w:r>
    </w:p>
    <w:p w14:paraId="5505A3CA">
      <w:pPr>
        <w:spacing w:line="360" w:lineRule="auto"/>
        <w:ind w:right="12" w:firstLine="480"/>
        <w:rPr>
          <w:rFonts w:hint="eastAsia" w:ascii="仿宋" w:hAnsi="仿宋" w:eastAsia="仿宋" w:cs="仿宋"/>
          <w:color w:val="auto"/>
          <w:sz w:val="24"/>
          <w:highlight w:val="none"/>
        </w:rPr>
      </w:pPr>
      <w:r>
        <w:rPr>
          <w:rFonts w:hint="eastAsia" w:ascii="仿宋" w:hAnsi="仿宋" w:eastAsia="仿宋" w:cs="仿宋"/>
          <w:color w:val="auto"/>
          <w:sz w:val="24"/>
          <w:highlight w:val="none"/>
        </w:rPr>
        <w:t>1.质疑时限、内容</w:t>
      </w:r>
    </w:p>
    <w:p w14:paraId="3590C36D">
      <w:pPr>
        <w:spacing w:line="360" w:lineRule="auto"/>
        <w:ind w:right="12" w:firstLine="480"/>
        <w:rPr>
          <w:rFonts w:hint="eastAsia" w:ascii="仿宋" w:hAnsi="仿宋" w:eastAsia="仿宋" w:cs="仿宋"/>
          <w:color w:val="auto"/>
          <w:sz w:val="24"/>
          <w:highlight w:val="none"/>
        </w:rPr>
      </w:pPr>
      <w:r>
        <w:rPr>
          <w:rFonts w:hint="eastAsia" w:ascii="仿宋" w:hAnsi="仿宋" w:eastAsia="仿宋" w:cs="仿宋"/>
          <w:color w:val="auto"/>
          <w:sz w:val="24"/>
          <w:highlight w:val="none"/>
        </w:rPr>
        <w:t>1.1供应商认为采购文件、采购过程、成交结果使自己的权益受到损害的，可以在知道或者应知其权益受到损害之日起7个工作日内，以书面形式向采购人、采购代理机构提出质疑。</w:t>
      </w:r>
    </w:p>
    <w:p w14:paraId="120DF1A2">
      <w:pPr>
        <w:spacing w:line="360" w:lineRule="auto"/>
        <w:ind w:right="12" w:firstLine="480"/>
        <w:rPr>
          <w:rFonts w:hint="eastAsia" w:ascii="仿宋" w:hAnsi="仿宋" w:eastAsia="仿宋" w:cs="仿宋"/>
          <w:color w:val="auto"/>
          <w:sz w:val="24"/>
          <w:highlight w:val="none"/>
        </w:rPr>
      </w:pPr>
      <w:r>
        <w:rPr>
          <w:rFonts w:hint="eastAsia" w:ascii="仿宋" w:hAnsi="仿宋" w:eastAsia="仿宋" w:cs="仿宋"/>
          <w:color w:val="auto"/>
          <w:sz w:val="24"/>
          <w:highlight w:val="none"/>
        </w:rPr>
        <w:t>1.2 供应商对采购过程提出质疑的，应在各采购程序环节结束之日起七个工作日内提出。</w:t>
      </w:r>
    </w:p>
    <w:p w14:paraId="1F6E9E6B">
      <w:pPr>
        <w:spacing w:line="360" w:lineRule="auto"/>
        <w:ind w:right="12" w:firstLine="480"/>
        <w:rPr>
          <w:rFonts w:hint="eastAsia" w:ascii="仿宋" w:hAnsi="仿宋" w:eastAsia="仿宋" w:cs="仿宋"/>
          <w:color w:val="auto"/>
          <w:sz w:val="24"/>
          <w:highlight w:val="none"/>
        </w:rPr>
      </w:pPr>
      <w:r>
        <w:rPr>
          <w:rFonts w:hint="eastAsia" w:ascii="仿宋" w:hAnsi="仿宋" w:eastAsia="仿宋" w:cs="仿宋"/>
          <w:color w:val="auto"/>
          <w:sz w:val="24"/>
          <w:highlight w:val="none"/>
        </w:rPr>
        <w:t>1.3供应商对成交结果提出质疑的，应当在成交结果公告期限届满之日起七个工作日内提出。</w:t>
      </w:r>
    </w:p>
    <w:p w14:paraId="182CF3F7">
      <w:pPr>
        <w:spacing w:line="360" w:lineRule="auto"/>
        <w:ind w:right="12" w:firstLine="480"/>
        <w:rPr>
          <w:rFonts w:hint="eastAsia" w:ascii="仿宋" w:hAnsi="仿宋" w:eastAsia="仿宋" w:cs="仿宋"/>
          <w:color w:val="auto"/>
          <w:sz w:val="24"/>
          <w:highlight w:val="none"/>
        </w:rPr>
      </w:pPr>
      <w:r>
        <w:rPr>
          <w:rFonts w:hint="eastAsia" w:ascii="仿宋" w:hAnsi="仿宋" w:eastAsia="仿宋" w:cs="仿宋"/>
          <w:color w:val="auto"/>
          <w:sz w:val="24"/>
          <w:highlight w:val="none"/>
        </w:rPr>
        <w:t>1.4供应商提出质疑应当提交质疑函和必要的证明材料，质疑函应当包括下列内容：</w:t>
      </w:r>
    </w:p>
    <w:p w14:paraId="5533E18A">
      <w:pPr>
        <w:spacing w:line="360" w:lineRule="auto"/>
        <w:ind w:right="12" w:firstLine="480"/>
        <w:rPr>
          <w:rFonts w:hint="eastAsia" w:ascii="仿宋" w:hAnsi="仿宋" w:eastAsia="仿宋" w:cs="仿宋"/>
          <w:color w:val="auto"/>
          <w:sz w:val="24"/>
          <w:highlight w:val="none"/>
        </w:rPr>
      </w:pPr>
      <w:r>
        <w:rPr>
          <w:rFonts w:hint="eastAsia" w:ascii="仿宋" w:hAnsi="仿宋" w:eastAsia="仿宋" w:cs="仿宋"/>
          <w:color w:val="auto"/>
          <w:sz w:val="24"/>
          <w:highlight w:val="none"/>
        </w:rPr>
        <w:t>1.4.1供应商的姓名或者名称、地址、邮编、联系人及联系电话；</w:t>
      </w:r>
    </w:p>
    <w:p w14:paraId="6811B9EC">
      <w:pPr>
        <w:spacing w:line="360" w:lineRule="auto"/>
        <w:ind w:right="12" w:firstLine="480"/>
        <w:rPr>
          <w:rFonts w:hint="eastAsia" w:ascii="仿宋" w:hAnsi="仿宋" w:eastAsia="仿宋" w:cs="仿宋"/>
          <w:color w:val="auto"/>
          <w:sz w:val="24"/>
          <w:highlight w:val="none"/>
        </w:rPr>
      </w:pPr>
      <w:r>
        <w:rPr>
          <w:rFonts w:hint="eastAsia" w:ascii="仿宋" w:hAnsi="仿宋" w:eastAsia="仿宋" w:cs="仿宋"/>
          <w:color w:val="auto"/>
          <w:sz w:val="24"/>
          <w:highlight w:val="none"/>
        </w:rPr>
        <w:t>1.4.2质疑项目的名称、项目号以及项目编号；</w:t>
      </w:r>
    </w:p>
    <w:p w14:paraId="0FA5206B">
      <w:pPr>
        <w:spacing w:line="360" w:lineRule="auto"/>
        <w:ind w:right="12" w:firstLine="480"/>
        <w:rPr>
          <w:rFonts w:hint="eastAsia" w:ascii="仿宋" w:hAnsi="仿宋" w:eastAsia="仿宋" w:cs="仿宋"/>
          <w:color w:val="auto"/>
          <w:sz w:val="24"/>
          <w:highlight w:val="none"/>
        </w:rPr>
      </w:pPr>
      <w:r>
        <w:rPr>
          <w:rFonts w:hint="eastAsia" w:ascii="仿宋" w:hAnsi="仿宋" w:eastAsia="仿宋" w:cs="仿宋"/>
          <w:color w:val="auto"/>
          <w:sz w:val="24"/>
          <w:highlight w:val="none"/>
        </w:rPr>
        <w:t>1.4.3具体、明确的质疑事项和与质疑事项相关的请求；</w:t>
      </w:r>
    </w:p>
    <w:p w14:paraId="2435B35C">
      <w:pPr>
        <w:spacing w:line="360" w:lineRule="auto"/>
        <w:ind w:right="12" w:firstLine="480"/>
        <w:rPr>
          <w:rFonts w:hint="eastAsia" w:ascii="仿宋" w:hAnsi="仿宋" w:eastAsia="仿宋" w:cs="仿宋"/>
          <w:color w:val="auto"/>
          <w:sz w:val="24"/>
          <w:highlight w:val="none"/>
        </w:rPr>
      </w:pPr>
      <w:r>
        <w:rPr>
          <w:rFonts w:hint="eastAsia" w:ascii="仿宋" w:hAnsi="仿宋" w:eastAsia="仿宋" w:cs="仿宋"/>
          <w:color w:val="auto"/>
          <w:sz w:val="24"/>
          <w:highlight w:val="none"/>
        </w:rPr>
        <w:t>1.4.4事实依据；</w:t>
      </w:r>
    </w:p>
    <w:p w14:paraId="524835EE">
      <w:pPr>
        <w:spacing w:line="360" w:lineRule="auto"/>
        <w:ind w:right="12" w:firstLine="480"/>
        <w:rPr>
          <w:rFonts w:hint="eastAsia" w:ascii="仿宋" w:hAnsi="仿宋" w:eastAsia="仿宋" w:cs="仿宋"/>
          <w:color w:val="auto"/>
          <w:sz w:val="24"/>
          <w:highlight w:val="none"/>
        </w:rPr>
      </w:pPr>
      <w:r>
        <w:rPr>
          <w:rFonts w:hint="eastAsia" w:ascii="仿宋" w:hAnsi="仿宋" w:eastAsia="仿宋" w:cs="仿宋"/>
          <w:color w:val="auto"/>
          <w:sz w:val="24"/>
          <w:highlight w:val="none"/>
        </w:rPr>
        <w:t>1.4.5必要的法律依据；</w:t>
      </w:r>
    </w:p>
    <w:p w14:paraId="1E3F3F72">
      <w:pPr>
        <w:spacing w:line="360" w:lineRule="auto"/>
        <w:ind w:right="12" w:firstLine="480"/>
        <w:rPr>
          <w:rFonts w:hint="eastAsia" w:ascii="仿宋" w:hAnsi="仿宋" w:eastAsia="仿宋" w:cs="仿宋"/>
          <w:color w:val="auto"/>
          <w:sz w:val="24"/>
          <w:highlight w:val="none"/>
        </w:rPr>
      </w:pPr>
      <w:r>
        <w:rPr>
          <w:rFonts w:hint="eastAsia" w:ascii="仿宋" w:hAnsi="仿宋" w:eastAsia="仿宋" w:cs="仿宋"/>
          <w:color w:val="auto"/>
          <w:sz w:val="24"/>
          <w:highlight w:val="none"/>
        </w:rPr>
        <w:t>1.4.6提出质疑的日期；</w:t>
      </w:r>
    </w:p>
    <w:p w14:paraId="26E1DEF2">
      <w:pPr>
        <w:spacing w:line="360" w:lineRule="auto"/>
        <w:ind w:right="12" w:firstLine="480"/>
        <w:rPr>
          <w:rFonts w:hint="eastAsia" w:ascii="仿宋" w:hAnsi="仿宋" w:eastAsia="仿宋" w:cs="仿宋"/>
          <w:color w:val="auto"/>
          <w:sz w:val="24"/>
          <w:highlight w:val="none"/>
        </w:rPr>
      </w:pPr>
      <w:r>
        <w:rPr>
          <w:rFonts w:hint="eastAsia" w:ascii="仿宋" w:hAnsi="仿宋" w:eastAsia="仿宋" w:cs="仿宋"/>
          <w:color w:val="auto"/>
          <w:sz w:val="24"/>
          <w:highlight w:val="none"/>
        </w:rPr>
        <w:t>1.4.7营业执照（或事业单位法人证书，或个体工商户营业执照或有效的自然人身份证明、组织机构代码证）复印件；</w:t>
      </w:r>
    </w:p>
    <w:p w14:paraId="78AD5F4E">
      <w:pPr>
        <w:spacing w:line="360" w:lineRule="auto"/>
        <w:ind w:right="12" w:firstLine="480"/>
        <w:rPr>
          <w:rFonts w:hint="eastAsia" w:ascii="仿宋" w:hAnsi="仿宋" w:eastAsia="仿宋" w:cs="仿宋"/>
          <w:color w:val="auto"/>
          <w:sz w:val="24"/>
          <w:highlight w:val="none"/>
        </w:rPr>
      </w:pPr>
      <w:r>
        <w:rPr>
          <w:rFonts w:hint="eastAsia" w:ascii="仿宋" w:hAnsi="仿宋" w:eastAsia="仿宋" w:cs="仿宋"/>
          <w:color w:val="auto"/>
          <w:sz w:val="24"/>
          <w:highlight w:val="none"/>
        </w:rPr>
        <w:t>1.4.8法定代表人授权委托书原件、法定代表人身份证复印件和其授权代表的身份证复印件（供应商为自然人的提供自然人身份证复印件）；</w:t>
      </w:r>
    </w:p>
    <w:p w14:paraId="2CAB1334">
      <w:pPr>
        <w:spacing w:line="360" w:lineRule="auto"/>
        <w:ind w:right="12" w:firstLine="480"/>
        <w:rPr>
          <w:rFonts w:hint="eastAsia" w:ascii="仿宋" w:hAnsi="仿宋" w:eastAsia="仿宋" w:cs="仿宋"/>
          <w:color w:val="auto"/>
          <w:sz w:val="24"/>
          <w:highlight w:val="none"/>
        </w:rPr>
      </w:pPr>
      <w:r>
        <w:rPr>
          <w:rFonts w:hint="eastAsia" w:ascii="仿宋" w:hAnsi="仿宋" w:eastAsia="仿宋" w:cs="仿宋"/>
          <w:color w:val="auto"/>
          <w:sz w:val="24"/>
          <w:highlight w:val="none"/>
        </w:rPr>
        <w:t>1.5供应商为自然人的，质疑函应当由本人签字；供应商为法人或者其他组织的，质疑函应当由法定代表人、主要负责人，或者其授权代表签字或者盖章，并加盖公章。</w:t>
      </w:r>
    </w:p>
    <w:p w14:paraId="66EF78B4">
      <w:pPr>
        <w:spacing w:line="360" w:lineRule="auto"/>
        <w:ind w:right="12" w:firstLine="480"/>
        <w:rPr>
          <w:rFonts w:hint="eastAsia" w:ascii="仿宋" w:hAnsi="仿宋" w:eastAsia="仿宋" w:cs="仿宋"/>
          <w:color w:val="auto"/>
          <w:sz w:val="24"/>
          <w:highlight w:val="none"/>
        </w:rPr>
      </w:pPr>
      <w:r>
        <w:rPr>
          <w:rFonts w:hint="eastAsia" w:ascii="仿宋" w:hAnsi="仿宋" w:eastAsia="仿宋" w:cs="仿宋"/>
          <w:color w:val="auto"/>
          <w:sz w:val="24"/>
          <w:highlight w:val="none"/>
        </w:rPr>
        <w:t>2.质疑答复</w:t>
      </w:r>
    </w:p>
    <w:p w14:paraId="2A224064">
      <w:pPr>
        <w:spacing w:line="360" w:lineRule="auto"/>
        <w:ind w:right="12" w:firstLine="480"/>
        <w:rPr>
          <w:rFonts w:hint="eastAsia" w:ascii="仿宋" w:hAnsi="仿宋" w:eastAsia="仿宋" w:cs="仿宋"/>
          <w:color w:val="auto"/>
          <w:sz w:val="24"/>
          <w:highlight w:val="none"/>
        </w:rPr>
      </w:pPr>
      <w:r>
        <w:rPr>
          <w:rFonts w:hint="eastAsia" w:ascii="仿宋" w:hAnsi="仿宋" w:eastAsia="仿宋" w:cs="仿宋"/>
          <w:color w:val="auto"/>
          <w:sz w:val="24"/>
          <w:highlight w:val="none"/>
        </w:rPr>
        <w:t>采购人、采购代理机构应当在收到供应商的书面质疑后七个工作日内作出答复，并以书面形式通知质疑供应商和其他有关供应商。</w:t>
      </w:r>
    </w:p>
    <w:p w14:paraId="6AF6224B">
      <w:pPr>
        <w:spacing w:line="360" w:lineRule="auto"/>
        <w:ind w:right="12" w:firstLine="480"/>
        <w:rPr>
          <w:rFonts w:hint="eastAsia" w:ascii="仿宋" w:hAnsi="仿宋" w:eastAsia="仿宋" w:cs="仿宋"/>
          <w:color w:val="auto"/>
          <w:sz w:val="24"/>
          <w:highlight w:val="none"/>
        </w:rPr>
      </w:pPr>
      <w:r>
        <w:rPr>
          <w:rFonts w:hint="eastAsia" w:ascii="仿宋" w:hAnsi="仿宋" w:eastAsia="仿宋" w:cs="仿宋"/>
          <w:color w:val="auto"/>
          <w:sz w:val="24"/>
          <w:highlight w:val="none"/>
        </w:rPr>
        <w:t>3.其他</w:t>
      </w:r>
    </w:p>
    <w:p w14:paraId="7B7D914D">
      <w:pPr>
        <w:spacing w:line="360" w:lineRule="auto"/>
        <w:ind w:right="12" w:firstLine="480"/>
        <w:rPr>
          <w:rFonts w:hint="eastAsia" w:ascii="仿宋" w:hAnsi="仿宋" w:eastAsia="仿宋" w:cs="仿宋"/>
          <w:color w:val="auto"/>
          <w:sz w:val="24"/>
          <w:highlight w:val="none"/>
        </w:rPr>
      </w:pPr>
      <w:r>
        <w:rPr>
          <w:rFonts w:hint="eastAsia" w:ascii="仿宋" w:hAnsi="仿宋" w:eastAsia="仿宋" w:cs="仿宋"/>
          <w:color w:val="auto"/>
          <w:sz w:val="24"/>
          <w:highlight w:val="none"/>
        </w:rPr>
        <w:t>3.1供应商应按照《政府采购质疑和投诉办法》（财政部令第94号）及相关法律法规要求，在法定质疑期内一次性提出针对同一采购程序环节的质疑。</w:t>
      </w:r>
    </w:p>
    <w:p w14:paraId="6DF12906">
      <w:pPr>
        <w:spacing w:line="360" w:lineRule="auto"/>
        <w:ind w:right="12" w:firstLine="480"/>
        <w:rPr>
          <w:rFonts w:hint="eastAsia" w:ascii="仿宋" w:hAnsi="仿宋" w:eastAsia="仿宋" w:cs="仿宋"/>
          <w:color w:val="auto"/>
          <w:sz w:val="24"/>
          <w:highlight w:val="none"/>
        </w:rPr>
      </w:pPr>
      <w:r>
        <w:rPr>
          <w:rFonts w:hint="eastAsia" w:ascii="仿宋" w:hAnsi="仿宋" w:eastAsia="仿宋" w:cs="仿宋"/>
          <w:color w:val="auto"/>
          <w:sz w:val="24"/>
          <w:highlight w:val="none"/>
        </w:rPr>
        <w:t>3.2质疑函范本可在财政部门户网站和中国政府采购网下载。</w:t>
      </w:r>
    </w:p>
    <w:p w14:paraId="469EFD2A">
      <w:pPr>
        <w:spacing w:line="360" w:lineRule="auto"/>
        <w:ind w:right="12" w:firstLine="480"/>
        <w:rPr>
          <w:rFonts w:hint="eastAsia" w:ascii="仿宋" w:hAnsi="仿宋" w:eastAsia="仿宋" w:cs="仿宋"/>
          <w:color w:val="auto"/>
          <w:sz w:val="24"/>
          <w:highlight w:val="none"/>
        </w:rPr>
      </w:pPr>
      <w:r>
        <w:rPr>
          <w:rFonts w:hint="eastAsia" w:ascii="仿宋" w:hAnsi="仿宋" w:eastAsia="仿宋" w:cs="仿宋"/>
          <w:color w:val="auto"/>
          <w:sz w:val="24"/>
          <w:highlight w:val="none"/>
        </w:rPr>
        <w:t>（二）投诉</w:t>
      </w:r>
    </w:p>
    <w:p w14:paraId="3EAD3AA6">
      <w:pPr>
        <w:spacing w:line="360" w:lineRule="auto"/>
        <w:ind w:right="12" w:firstLine="480"/>
        <w:rPr>
          <w:rFonts w:hint="eastAsia" w:ascii="仿宋" w:hAnsi="仿宋" w:eastAsia="仿宋" w:cs="仿宋"/>
          <w:color w:val="auto"/>
          <w:sz w:val="24"/>
          <w:highlight w:val="none"/>
        </w:rPr>
      </w:pPr>
      <w:r>
        <w:rPr>
          <w:rFonts w:hint="eastAsia" w:ascii="仿宋" w:hAnsi="仿宋" w:eastAsia="仿宋" w:cs="仿宋"/>
          <w:color w:val="auto"/>
          <w:sz w:val="24"/>
          <w:highlight w:val="none"/>
        </w:rPr>
        <w:t>1.供应商对采购人、采购代理机构的答复不满意，或者采购人、采购代理机构未在规定时间内作出答复的，可以在答复期满后15个工作日内按照相关法律法规向采购人监督部门提起投诉。</w:t>
      </w:r>
    </w:p>
    <w:p w14:paraId="536F1239">
      <w:pPr>
        <w:spacing w:line="360" w:lineRule="auto"/>
        <w:ind w:right="12" w:firstLine="480"/>
        <w:rPr>
          <w:rFonts w:hint="eastAsia" w:ascii="仿宋" w:hAnsi="仿宋" w:eastAsia="仿宋" w:cs="仿宋"/>
          <w:color w:val="auto"/>
          <w:sz w:val="24"/>
          <w:highlight w:val="none"/>
        </w:rPr>
      </w:pPr>
      <w:r>
        <w:rPr>
          <w:rFonts w:hint="eastAsia" w:ascii="仿宋" w:hAnsi="仿宋" w:eastAsia="仿宋" w:cs="仿宋"/>
          <w:color w:val="auto"/>
          <w:sz w:val="24"/>
          <w:highlight w:val="none"/>
        </w:rPr>
        <w:t>2.供应商应按照《政府采购质疑和投诉办法》（财政部令第94号）及相关法律法规要求递交投诉书和必要的证明材料。投诉书范本可在财政部门户网站和中国政府采购网下载。</w:t>
      </w:r>
    </w:p>
    <w:p w14:paraId="3417E48D">
      <w:pPr>
        <w:spacing w:line="360" w:lineRule="auto"/>
        <w:ind w:right="12" w:firstLine="480"/>
        <w:rPr>
          <w:rFonts w:hint="eastAsia" w:ascii="仿宋" w:hAnsi="仿宋" w:eastAsia="仿宋" w:cs="仿宋"/>
          <w:color w:val="auto"/>
          <w:sz w:val="24"/>
          <w:highlight w:val="none"/>
        </w:rPr>
      </w:pPr>
      <w:r>
        <w:rPr>
          <w:rFonts w:hint="eastAsia" w:ascii="仿宋" w:hAnsi="仿宋" w:eastAsia="仿宋" w:cs="仿宋"/>
          <w:color w:val="auto"/>
          <w:sz w:val="24"/>
          <w:highlight w:val="none"/>
        </w:rPr>
        <w:t>3.投诉书应当使用中文，相关当事人提供外文书证或者外国语视听资料的，应当附有中文译本，由翻译机构盖章或者翻译人员签名；相关当事人向监督部门提供的在中华人民共和国领域外形成的证据，应当说明来源，经所在国公证机关证明，并经中华人民共和国驻该国使领馆认证，或者履行中华人民共和国与证据所在国订立的有关条约中规定的证明手续；相关当事人提供的在香港特别行政区、澳门特别行政区和</w:t>
      </w:r>
      <w:r>
        <w:rPr>
          <w:rFonts w:hint="eastAsia" w:ascii="仿宋" w:hAnsi="仿宋" w:eastAsia="仿宋" w:cs="仿宋"/>
          <w:color w:val="auto"/>
          <w:sz w:val="24"/>
          <w:highlight w:val="none"/>
          <w:lang w:val="en-US" w:eastAsia="zh-CN"/>
        </w:rPr>
        <w:t>中国</w:t>
      </w:r>
      <w:r>
        <w:rPr>
          <w:rFonts w:hint="eastAsia" w:ascii="仿宋" w:hAnsi="仿宋" w:eastAsia="仿宋" w:cs="仿宋"/>
          <w:color w:val="auto"/>
          <w:sz w:val="24"/>
          <w:highlight w:val="none"/>
        </w:rPr>
        <w:t>台湾地区内形成的证据，应当履行相关的证明手续。</w:t>
      </w:r>
    </w:p>
    <w:p w14:paraId="68536C2F">
      <w:pPr>
        <w:spacing w:line="360" w:lineRule="auto"/>
        <w:ind w:firstLine="480" w:firstLineChars="200"/>
        <w:rPr>
          <w:rFonts w:hint="eastAsia" w:ascii="仿宋" w:hAnsi="仿宋" w:eastAsia="仿宋"/>
          <w:color w:val="auto"/>
          <w:sz w:val="24"/>
          <w:szCs w:val="24"/>
          <w:highlight w:val="none"/>
        </w:rPr>
      </w:pPr>
      <w:r>
        <w:rPr>
          <w:rFonts w:hint="eastAsia" w:ascii="仿宋" w:hAnsi="仿宋" w:eastAsia="仿宋" w:cs="仿宋"/>
          <w:color w:val="auto"/>
          <w:sz w:val="24"/>
          <w:highlight w:val="none"/>
        </w:rPr>
        <w:t>4.在确定受理投诉后，监督部门自受理投诉之日起30个工作日内（需要检验、检测、鉴定、专家评审以及需要投诉人补正材料的，所需时间不计算在投诉处理期限内）对投诉事项做出处理决定。</w:t>
      </w:r>
    </w:p>
    <w:p w14:paraId="5DC68B0A">
      <w:pPr>
        <w:pStyle w:val="5"/>
        <w:spacing w:before="0" w:after="0" w:line="360" w:lineRule="auto"/>
        <w:rPr>
          <w:rFonts w:hint="eastAsia" w:ascii="仿宋" w:hAnsi="仿宋" w:eastAsia="仿宋"/>
          <w:color w:val="auto"/>
          <w:sz w:val="24"/>
          <w:szCs w:val="24"/>
          <w:highlight w:val="none"/>
        </w:rPr>
      </w:pPr>
      <w:bookmarkStart w:id="101" w:name="_Toc102227322"/>
      <w:bookmarkStart w:id="102" w:name="_Toc16938"/>
      <w:bookmarkStart w:id="103" w:name="_Toc342913396"/>
      <w:bookmarkStart w:id="104" w:name="_Toc14365"/>
      <w:bookmarkStart w:id="105" w:name="_Toc11641055"/>
      <w:bookmarkStart w:id="106" w:name="_Toc12789059"/>
      <w:r>
        <w:rPr>
          <w:rFonts w:hint="eastAsia" w:ascii="仿宋" w:hAnsi="仿宋" w:eastAsia="仿宋"/>
          <w:color w:val="auto"/>
          <w:sz w:val="24"/>
          <w:szCs w:val="24"/>
          <w:highlight w:val="none"/>
        </w:rPr>
        <w:t>八、签订</w:t>
      </w:r>
      <w:bookmarkEnd w:id="101"/>
      <w:r>
        <w:rPr>
          <w:rFonts w:hint="eastAsia" w:ascii="仿宋" w:hAnsi="仿宋" w:eastAsia="仿宋"/>
          <w:color w:val="auto"/>
          <w:sz w:val="24"/>
          <w:szCs w:val="24"/>
          <w:highlight w:val="none"/>
        </w:rPr>
        <w:t>合同</w:t>
      </w:r>
      <w:bookmarkEnd w:id="102"/>
      <w:bookmarkEnd w:id="103"/>
      <w:bookmarkEnd w:id="104"/>
    </w:p>
    <w:bookmarkEnd w:id="105"/>
    <w:bookmarkEnd w:id="106"/>
    <w:p w14:paraId="5DFB7004">
      <w:pPr>
        <w:spacing w:line="360" w:lineRule="auto"/>
        <w:ind w:firstLine="360" w:firstLineChars="150"/>
        <w:rPr>
          <w:rFonts w:hint="eastAsia" w:ascii="仿宋" w:hAnsi="仿宋" w:eastAsia="仿宋"/>
          <w:color w:val="auto"/>
          <w:sz w:val="24"/>
          <w:szCs w:val="24"/>
          <w:highlight w:val="none"/>
        </w:rPr>
      </w:pPr>
      <w:bookmarkStart w:id="107" w:name="_Toc27139866"/>
      <w:r>
        <w:rPr>
          <w:rFonts w:hint="eastAsia" w:ascii="仿宋" w:hAnsi="仿宋" w:eastAsia="仿宋"/>
          <w:color w:val="auto"/>
          <w:sz w:val="24"/>
          <w:szCs w:val="24"/>
          <w:highlight w:val="none"/>
        </w:rPr>
        <w:t>（一）采购人应当自成交通知书发出之日起二十日内和成交供应商签订采购合同，无正当理由不得拒绝或拖延合同签订。所签订的合同不得对网上竞采文件和供应商的响应文件作实质性修改。其他未尽事宜由采购人和成交供应商在采购合同中详细约定。</w:t>
      </w:r>
    </w:p>
    <w:p w14:paraId="47578720">
      <w:pPr>
        <w:spacing w:line="360" w:lineRule="auto"/>
        <w:ind w:firstLine="360" w:firstLineChars="150"/>
        <w:rPr>
          <w:rFonts w:hint="eastAsia" w:ascii="仿宋" w:hAnsi="仿宋" w:eastAsia="仿宋"/>
          <w:color w:val="auto"/>
          <w:sz w:val="24"/>
          <w:szCs w:val="24"/>
          <w:highlight w:val="none"/>
        </w:rPr>
      </w:pPr>
      <w:r>
        <w:rPr>
          <w:rFonts w:hint="eastAsia" w:ascii="仿宋" w:hAnsi="仿宋" w:eastAsia="仿宋"/>
          <w:color w:val="auto"/>
          <w:sz w:val="24"/>
          <w:szCs w:val="24"/>
          <w:highlight w:val="none"/>
        </w:rPr>
        <w:t>（二）网上竞采文件、供应商的响应文件及澄清文件等，均为签订采购合同的依据。</w:t>
      </w:r>
    </w:p>
    <w:p w14:paraId="0E487DB4">
      <w:pPr>
        <w:spacing w:line="360" w:lineRule="auto"/>
        <w:ind w:firstLine="360" w:firstLineChars="150"/>
        <w:rPr>
          <w:rFonts w:hint="eastAsia" w:ascii="仿宋" w:hAnsi="仿宋" w:eastAsia="仿宋"/>
          <w:color w:val="auto"/>
          <w:sz w:val="24"/>
          <w:szCs w:val="24"/>
          <w:highlight w:val="none"/>
        </w:rPr>
      </w:pPr>
      <w:r>
        <w:rPr>
          <w:rFonts w:hint="eastAsia" w:ascii="仿宋" w:hAnsi="仿宋" w:eastAsia="仿宋"/>
          <w:color w:val="auto"/>
          <w:sz w:val="24"/>
          <w:szCs w:val="24"/>
          <w:highlight w:val="none"/>
        </w:rPr>
        <w:t>（三）合同生效条款由供需双方约定，法律、行政法规规定应当办理批准、登记等手续后生效的合同，依照其规定。</w:t>
      </w:r>
    </w:p>
    <w:p w14:paraId="65CEE228">
      <w:pPr>
        <w:spacing w:line="360" w:lineRule="auto"/>
        <w:ind w:firstLine="360" w:firstLineChars="150"/>
        <w:rPr>
          <w:rFonts w:hint="eastAsia" w:ascii="仿宋" w:hAnsi="仿宋" w:eastAsia="仿宋"/>
          <w:color w:val="auto"/>
          <w:sz w:val="24"/>
          <w:szCs w:val="24"/>
          <w:highlight w:val="none"/>
        </w:rPr>
      </w:pPr>
      <w:r>
        <w:rPr>
          <w:rFonts w:hint="eastAsia" w:ascii="仿宋" w:hAnsi="仿宋" w:eastAsia="仿宋"/>
          <w:color w:val="auto"/>
          <w:sz w:val="24"/>
          <w:szCs w:val="24"/>
          <w:highlight w:val="none"/>
        </w:rPr>
        <w:t>（四）合同原则上应按照《采购合同》签订，相关单位要求适用合同通用格式版本的，应按其要求另行签订其他合同。</w:t>
      </w:r>
    </w:p>
    <w:p w14:paraId="715469B2">
      <w:pPr>
        <w:spacing w:line="360" w:lineRule="auto"/>
        <w:ind w:firstLine="360" w:firstLineChars="150"/>
        <w:rPr>
          <w:rFonts w:hint="eastAsia" w:ascii="仿宋" w:hAnsi="仿宋" w:eastAsia="仿宋"/>
          <w:color w:val="auto"/>
          <w:sz w:val="24"/>
          <w:szCs w:val="24"/>
          <w:highlight w:val="none"/>
        </w:rPr>
      </w:pPr>
      <w:r>
        <w:rPr>
          <w:rFonts w:hint="eastAsia" w:ascii="仿宋" w:hAnsi="仿宋" w:eastAsia="仿宋"/>
          <w:color w:val="auto"/>
          <w:sz w:val="24"/>
          <w:szCs w:val="24"/>
          <w:highlight w:val="none"/>
        </w:rPr>
        <w:t>（五）采购人要求成交供应商提供履约保证金的，应当在网上竞采文件中予以约定。成交供应商履约完毕并验收合格后，采购人应于3个工作日内按程序办理退还手续。</w:t>
      </w:r>
    </w:p>
    <w:p w14:paraId="410C1AA8">
      <w:pPr>
        <w:pStyle w:val="4"/>
        <w:spacing w:line="360" w:lineRule="auto"/>
        <w:jc w:val="center"/>
        <w:rPr>
          <w:rFonts w:hint="eastAsia" w:ascii="仿宋" w:hAnsi="仿宋" w:eastAsia="仿宋"/>
          <w:color w:val="auto"/>
          <w:sz w:val="36"/>
          <w:szCs w:val="30"/>
          <w:highlight w:val="none"/>
        </w:rPr>
      </w:pPr>
    </w:p>
    <w:p w14:paraId="7EBDE1E9">
      <w:pPr>
        <w:widowControl/>
        <w:jc w:val="left"/>
        <w:rPr>
          <w:rFonts w:hint="eastAsia" w:ascii="仿宋" w:hAnsi="仿宋" w:eastAsia="仿宋"/>
          <w:b/>
          <w:color w:val="auto"/>
          <w:sz w:val="36"/>
          <w:szCs w:val="30"/>
          <w:highlight w:val="none"/>
        </w:rPr>
      </w:pPr>
      <w:bookmarkStart w:id="108" w:name="_Toc28449"/>
      <w:r>
        <w:rPr>
          <w:rFonts w:ascii="仿宋" w:hAnsi="仿宋" w:eastAsia="仿宋"/>
          <w:color w:val="auto"/>
          <w:sz w:val="36"/>
          <w:szCs w:val="30"/>
          <w:highlight w:val="none"/>
        </w:rPr>
        <w:br w:type="page"/>
      </w:r>
    </w:p>
    <w:p w14:paraId="0A0A31D3">
      <w:pPr>
        <w:pStyle w:val="4"/>
        <w:spacing w:line="360" w:lineRule="auto"/>
        <w:jc w:val="center"/>
        <w:rPr>
          <w:rFonts w:hint="eastAsia" w:ascii="仿宋" w:hAnsi="仿宋" w:eastAsia="仿宋"/>
          <w:color w:val="auto"/>
          <w:sz w:val="36"/>
          <w:szCs w:val="30"/>
          <w:highlight w:val="none"/>
        </w:rPr>
      </w:pPr>
      <w:bookmarkStart w:id="109" w:name="_Toc11616"/>
      <w:r>
        <w:rPr>
          <w:rFonts w:hint="eastAsia" w:ascii="仿宋" w:hAnsi="仿宋" w:eastAsia="仿宋"/>
          <w:color w:val="auto"/>
          <w:sz w:val="36"/>
          <w:szCs w:val="30"/>
          <w:highlight w:val="none"/>
        </w:rPr>
        <w:t>第六篇</w:t>
      </w:r>
      <w:bookmarkEnd w:id="107"/>
      <w:r>
        <w:rPr>
          <w:rFonts w:hint="eastAsia" w:ascii="仿宋" w:hAnsi="仿宋" w:eastAsia="仿宋"/>
          <w:color w:val="auto"/>
          <w:sz w:val="36"/>
          <w:szCs w:val="30"/>
          <w:highlight w:val="none"/>
        </w:rPr>
        <w:t xml:space="preserve"> 格式合同</w:t>
      </w:r>
      <w:bookmarkEnd w:id="108"/>
      <w:bookmarkEnd w:id="109"/>
      <w:bookmarkStart w:id="110" w:name="_Toc30030"/>
    </w:p>
    <w:p w14:paraId="076CA3F0">
      <w:pPr>
        <w:rPr>
          <w:color w:val="auto"/>
          <w:highlight w:val="none"/>
        </w:rPr>
      </w:pPr>
      <w:r>
        <w:rPr>
          <w:rFonts w:hint="eastAsia" w:ascii="宋体" w:hAnsi="宋体"/>
          <w:b w:val="0"/>
          <w:bCs/>
          <w:color w:val="auto"/>
          <w:sz w:val="24"/>
          <w:szCs w:val="24"/>
          <w:highlight w:val="none"/>
          <w:lang w:eastAsia="zh-CN"/>
        </w:rPr>
        <w:t>（本</w:t>
      </w:r>
      <w:r>
        <w:rPr>
          <w:rFonts w:hint="eastAsia" w:ascii="宋体" w:hAnsi="宋体"/>
          <w:b w:val="0"/>
          <w:bCs/>
          <w:color w:val="auto"/>
          <w:sz w:val="24"/>
          <w:szCs w:val="24"/>
          <w:highlight w:val="none"/>
          <w:lang w:val="en-US" w:eastAsia="zh-CN"/>
        </w:rPr>
        <w:t>篇</w:t>
      </w:r>
      <w:r>
        <w:rPr>
          <w:rFonts w:hint="eastAsia" w:ascii="宋体" w:hAnsi="宋体"/>
          <w:b w:val="0"/>
          <w:bCs/>
          <w:color w:val="auto"/>
          <w:sz w:val="24"/>
          <w:szCs w:val="24"/>
          <w:highlight w:val="none"/>
          <w:lang w:eastAsia="zh-CN"/>
        </w:rPr>
        <w:t>合同条款为主要参考条款，</w:t>
      </w:r>
      <w:r>
        <w:rPr>
          <w:rFonts w:hint="eastAsia" w:ascii="宋体" w:hAnsi="宋体"/>
          <w:b w:val="0"/>
          <w:bCs/>
          <w:color w:val="auto"/>
          <w:sz w:val="24"/>
          <w:szCs w:val="24"/>
          <w:highlight w:val="none"/>
          <w:lang w:val="en-US" w:eastAsia="zh-CN"/>
        </w:rPr>
        <w:t>供应商</w:t>
      </w:r>
      <w:r>
        <w:rPr>
          <w:rFonts w:hint="eastAsia" w:ascii="宋体" w:hAnsi="宋体"/>
          <w:b w:val="0"/>
          <w:bCs/>
          <w:color w:val="auto"/>
          <w:sz w:val="24"/>
          <w:szCs w:val="24"/>
          <w:highlight w:val="none"/>
          <w:lang w:eastAsia="zh-CN"/>
        </w:rPr>
        <w:t>需接受其内容</w:t>
      </w:r>
      <w:r>
        <w:rPr>
          <w:rFonts w:hint="eastAsia" w:ascii="宋体" w:hAnsi="宋体"/>
          <w:b w:val="0"/>
          <w:bCs/>
          <w:color w:val="auto"/>
          <w:sz w:val="24"/>
          <w:szCs w:val="24"/>
          <w:highlight w:val="none"/>
          <w:lang w:val="en-US" w:eastAsia="zh-CN"/>
        </w:rPr>
        <w:t>并</w:t>
      </w:r>
      <w:r>
        <w:rPr>
          <w:rFonts w:hint="eastAsia" w:ascii="宋体" w:hAnsi="宋体"/>
          <w:b w:val="0"/>
          <w:bCs/>
          <w:color w:val="auto"/>
          <w:sz w:val="24"/>
          <w:szCs w:val="24"/>
          <w:highlight w:val="none"/>
          <w:lang w:eastAsia="zh-CN"/>
        </w:rPr>
        <w:t>接受签订合同前</w:t>
      </w:r>
      <w:r>
        <w:rPr>
          <w:rFonts w:hint="eastAsia" w:ascii="宋体" w:hAnsi="宋体"/>
          <w:b w:val="0"/>
          <w:bCs/>
          <w:color w:val="auto"/>
          <w:sz w:val="24"/>
          <w:szCs w:val="24"/>
          <w:highlight w:val="none"/>
          <w:lang w:val="en-US" w:eastAsia="zh-CN"/>
        </w:rPr>
        <w:t>采购人对合同</w:t>
      </w:r>
      <w:r>
        <w:rPr>
          <w:rFonts w:hint="eastAsia" w:ascii="宋体" w:hAnsi="宋体"/>
          <w:b w:val="0"/>
          <w:bCs/>
          <w:color w:val="auto"/>
          <w:sz w:val="24"/>
          <w:szCs w:val="24"/>
          <w:highlight w:val="none"/>
          <w:lang w:eastAsia="zh-CN"/>
        </w:rPr>
        <w:t>的</w:t>
      </w:r>
      <w:r>
        <w:rPr>
          <w:rFonts w:hint="eastAsia" w:ascii="宋体" w:hAnsi="宋体"/>
          <w:b w:val="0"/>
          <w:bCs/>
          <w:color w:val="auto"/>
          <w:sz w:val="24"/>
          <w:szCs w:val="24"/>
          <w:highlight w:val="none"/>
          <w:lang w:val="en-US" w:eastAsia="zh-CN"/>
        </w:rPr>
        <w:t>全部</w:t>
      </w:r>
      <w:r>
        <w:rPr>
          <w:rFonts w:hint="eastAsia" w:ascii="宋体" w:hAnsi="宋体"/>
          <w:b w:val="0"/>
          <w:bCs/>
          <w:color w:val="auto"/>
          <w:sz w:val="24"/>
          <w:szCs w:val="24"/>
          <w:highlight w:val="none"/>
          <w:lang w:eastAsia="zh-CN"/>
        </w:rPr>
        <w:t>修订）</w:t>
      </w:r>
    </w:p>
    <w:p w14:paraId="7A3F27B6">
      <w:pPr>
        <w:spacing w:line="500" w:lineRule="exact"/>
        <w:jc w:val="center"/>
        <w:rPr>
          <w:rFonts w:hint="eastAsia" w:ascii="宋体" w:hAnsi="宋体"/>
          <w:b/>
          <w:color w:val="auto"/>
          <w:sz w:val="44"/>
          <w:highlight w:val="none"/>
        </w:rPr>
      </w:pPr>
      <w:r>
        <w:rPr>
          <w:rFonts w:hint="eastAsia" w:ascii="宋体" w:hAnsi="宋体"/>
          <w:b/>
          <w:color w:val="auto"/>
          <w:sz w:val="44"/>
          <w:highlight w:val="none"/>
        </w:rPr>
        <w:t>采购合同</w:t>
      </w:r>
    </w:p>
    <w:p w14:paraId="38360FD2">
      <w:pPr>
        <w:spacing w:line="500" w:lineRule="exact"/>
        <w:rPr>
          <w:rFonts w:hint="eastAsia" w:ascii="宋体" w:hAnsi="宋体"/>
          <w:color w:val="auto"/>
          <w:sz w:val="24"/>
          <w:szCs w:val="24"/>
          <w:highlight w:val="none"/>
        </w:rPr>
      </w:pPr>
      <w:r>
        <w:rPr>
          <w:rFonts w:hint="eastAsia" w:ascii="宋体" w:hAnsi="宋体"/>
          <w:color w:val="auto"/>
          <w:sz w:val="24"/>
          <w:szCs w:val="24"/>
          <w:highlight w:val="none"/>
        </w:rPr>
        <w:t>甲方（需方）：___________________________      计价单位：____________</w:t>
      </w:r>
    </w:p>
    <w:p w14:paraId="4D7B45F1">
      <w:pPr>
        <w:spacing w:line="500" w:lineRule="exact"/>
        <w:rPr>
          <w:rFonts w:hint="eastAsia" w:ascii="宋体" w:hAnsi="宋体"/>
          <w:color w:val="auto"/>
          <w:sz w:val="24"/>
          <w:szCs w:val="24"/>
          <w:highlight w:val="none"/>
        </w:rPr>
      </w:pPr>
      <w:r>
        <w:rPr>
          <w:rFonts w:hint="eastAsia" w:ascii="宋体" w:hAnsi="宋体"/>
          <w:color w:val="auto"/>
          <w:sz w:val="24"/>
          <w:szCs w:val="24"/>
          <w:highlight w:val="none"/>
        </w:rPr>
        <w:t>乙方（供方）：___________________________      计量单位：_____________</w:t>
      </w:r>
    </w:p>
    <w:tbl>
      <w:tblPr>
        <w:tblStyle w:val="63"/>
        <w:tblpPr w:leftFromText="180" w:rightFromText="180" w:vertAnchor="text" w:horzAnchor="page" w:tblpX="834" w:tblpY="729"/>
        <w:tblOverlap w:val="never"/>
        <w:tblW w:w="1059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71"/>
        <w:gridCol w:w="1006"/>
        <w:gridCol w:w="976"/>
        <w:gridCol w:w="300"/>
        <w:gridCol w:w="1134"/>
        <w:gridCol w:w="4111"/>
      </w:tblGrid>
      <w:tr w14:paraId="2738B9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trPr>
        <w:tc>
          <w:tcPr>
            <w:tcW w:w="3071" w:type="dxa"/>
            <w:vAlign w:val="center"/>
          </w:tcPr>
          <w:p w14:paraId="456FFDDA">
            <w:pPr>
              <w:spacing w:line="240" w:lineRule="atLeast"/>
              <w:jc w:val="center"/>
              <w:rPr>
                <w:rFonts w:hint="eastAsia" w:ascii="宋体" w:hAnsi="宋体"/>
                <w:color w:val="auto"/>
                <w:sz w:val="24"/>
                <w:szCs w:val="24"/>
                <w:highlight w:val="none"/>
              </w:rPr>
            </w:pPr>
            <w:r>
              <w:rPr>
                <w:rFonts w:hint="eastAsia" w:ascii="宋体" w:hAnsi="宋体"/>
                <w:color w:val="auto"/>
                <w:sz w:val="24"/>
                <w:szCs w:val="24"/>
                <w:highlight w:val="none"/>
              </w:rPr>
              <w:t>项目名称</w:t>
            </w:r>
          </w:p>
        </w:tc>
        <w:tc>
          <w:tcPr>
            <w:tcW w:w="1006" w:type="dxa"/>
            <w:vAlign w:val="center"/>
          </w:tcPr>
          <w:p w14:paraId="13289E65">
            <w:pPr>
              <w:spacing w:line="240" w:lineRule="atLeast"/>
              <w:jc w:val="center"/>
              <w:rPr>
                <w:rFonts w:hint="eastAsia" w:ascii="宋体" w:hAnsi="宋体"/>
                <w:color w:val="auto"/>
                <w:sz w:val="24"/>
                <w:szCs w:val="24"/>
                <w:highlight w:val="none"/>
              </w:rPr>
            </w:pPr>
            <w:r>
              <w:rPr>
                <w:rFonts w:hint="eastAsia" w:ascii="宋体" w:hAnsi="宋体"/>
                <w:color w:val="auto"/>
                <w:sz w:val="24"/>
                <w:szCs w:val="24"/>
                <w:highlight w:val="none"/>
              </w:rPr>
              <w:t>数量</w:t>
            </w:r>
          </w:p>
        </w:tc>
        <w:tc>
          <w:tcPr>
            <w:tcW w:w="1276" w:type="dxa"/>
            <w:gridSpan w:val="2"/>
            <w:vAlign w:val="center"/>
          </w:tcPr>
          <w:p w14:paraId="4F5566CF">
            <w:pPr>
              <w:spacing w:line="240" w:lineRule="atLeast"/>
              <w:jc w:val="center"/>
              <w:rPr>
                <w:rFonts w:hint="eastAsia" w:ascii="宋体" w:hAnsi="宋体"/>
                <w:color w:val="auto"/>
                <w:sz w:val="24"/>
                <w:szCs w:val="24"/>
                <w:highlight w:val="none"/>
              </w:rPr>
            </w:pPr>
            <w:r>
              <w:rPr>
                <w:rFonts w:hint="eastAsia" w:ascii="宋体" w:hAnsi="宋体"/>
                <w:color w:val="auto"/>
                <w:sz w:val="24"/>
                <w:szCs w:val="24"/>
                <w:highlight w:val="none"/>
              </w:rPr>
              <w:t>单位</w:t>
            </w:r>
          </w:p>
        </w:tc>
        <w:tc>
          <w:tcPr>
            <w:tcW w:w="1134" w:type="dxa"/>
            <w:vAlign w:val="center"/>
          </w:tcPr>
          <w:p w14:paraId="620C25B6">
            <w:pPr>
              <w:spacing w:line="240" w:lineRule="atLeast"/>
              <w:jc w:val="center"/>
              <w:rPr>
                <w:rFonts w:hint="eastAsia" w:ascii="宋体" w:hAnsi="宋体"/>
                <w:color w:val="auto"/>
                <w:sz w:val="24"/>
                <w:szCs w:val="24"/>
                <w:highlight w:val="none"/>
              </w:rPr>
            </w:pPr>
            <w:r>
              <w:rPr>
                <w:rFonts w:hint="eastAsia" w:ascii="宋体" w:hAnsi="宋体"/>
                <w:color w:val="auto"/>
                <w:sz w:val="24"/>
                <w:szCs w:val="24"/>
                <w:highlight w:val="none"/>
              </w:rPr>
              <w:t>金额</w:t>
            </w:r>
          </w:p>
        </w:tc>
        <w:tc>
          <w:tcPr>
            <w:tcW w:w="4111" w:type="dxa"/>
            <w:vAlign w:val="center"/>
          </w:tcPr>
          <w:p w14:paraId="45F168D7">
            <w:pPr>
              <w:spacing w:line="240" w:lineRule="atLeast"/>
              <w:jc w:val="center"/>
              <w:rPr>
                <w:rFonts w:hint="eastAsia" w:ascii="宋体" w:hAnsi="宋体"/>
                <w:color w:val="auto"/>
                <w:sz w:val="24"/>
                <w:szCs w:val="24"/>
                <w:highlight w:val="none"/>
              </w:rPr>
            </w:pPr>
            <w:r>
              <w:rPr>
                <w:rFonts w:hint="eastAsia" w:ascii="宋体" w:hAnsi="宋体"/>
                <w:color w:val="auto"/>
                <w:sz w:val="24"/>
                <w:szCs w:val="24"/>
                <w:highlight w:val="none"/>
              </w:rPr>
              <w:t>备注</w:t>
            </w:r>
          </w:p>
        </w:tc>
      </w:tr>
      <w:tr w14:paraId="2FFC94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71" w:type="dxa"/>
            <w:vAlign w:val="center"/>
          </w:tcPr>
          <w:p w14:paraId="55FB8B63">
            <w:pPr>
              <w:spacing w:line="240" w:lineRule="atLeast"/>
              <w:jc w:val="center"/>
              <w:rPr>
                <w:rFonts w:hint="eastAsia" w:ascii="宋体" w:hAnsi="宋体"/>
                <w:color w:val="auto"/>
                <w:sz w:val="24"/>
                <w:szCs w:val="24"/>
                <w:highlight w:val="none"/>
              </w:rPr>
            </w:pPr>
          </w:p>
        </w:tc>
        <w:tc>
          <w:tcPr>
            <w:tcW w:w="1006" w:type="dxa"/>
            <w:vAlign w:val="center"/>
          </w:tcPr>
          <w:p w14:paraId="4E1314C1">
            <w:pPr>
              <w:spacing w:line="240" w:lineRule="atLeast"/>
              <w:jc w:val="center"/>
              <w:rPr>
                <w:rFonts w:hint="eastAsia" w:ascii="宋体" w:hAnsi="宋体"/>
                <w:color w:val="auto"/>
                <w:sz w:val="24"/>
                <w:szCs w:val="24"/>
                <w:highlight w:val="none"/>
              </w:rPr>
            </w:pPr>
          </w:p>
        </w:tc>
        <w:tc>
          <w:tcPr>
            <w:tcW w:w="1276" w:type="dxa"/>
            <w:gridSpan w:val="2"/>
            <w:vAlign w:val="center"/>
          </w:tcPr>
          <w:p w14:paraId="0962358F">
            <w:pPr>
              <w:spacing w:line="240" w:lineRule="atLeast"/>
              <w:jc w:val="center"/>
              <w:rPr>
                <w:rFonts w:hint="eastAsia" w:ascii="宋体" w:hAnsi="宋体"/>
                <w:color w:val="auto"/>
                <w:sz w:val="24"/>
                <w:szCs w:val="24"/>
                <w:highlight w:val="none"/>
              </w:rPr>
            </w:pPr>
          </w:p>
        </w:tc>
        <w:tc>
          <w:tcPr>
            <w:tcW w:w="1134" w:type="dxa"/>
            <w:vAlign w:val="center"/>
          </w:tcPr>
          <w:p w14:paraId="20572F0A">
            <w:pPr>
              <w:spacing w:line="240" w:lineRule="atLeast"/>
              <w:jc w:val="center"/>
              <w:rPr>
                <w:rFonts w:hint="eastAsia" w:ascii="宋体" w:hAnsi="宋体"/>
                <w:color w:val="auto"/>
                <w:sz w:val="24"/>
                <w:szCs w:val="24"/>
                <w:highlight w:val="none"/>
              </w:rPr>
            </w:pPr>
          </w:p>
        </w:tc>
        <w:tc>
          <w:tcPr>
            <w:tcW w:w="4111" w:type="dxa"/>
            <w:vAlign w:val="center"/>
          </w:tcPr>
          <w:p w14:paraId="684A7258">
            <w:pPr>
              <w:spacing w:line="240" w:lineRule="atLeast"/>
              <w:jc w:val="center"/>
              <w:rPr>
                <w:rFonts w:hint="eastAsia" w:ascii="宋体" w:hAnsi="宋体"/>
                <w:color w:val="auto"/>
                <w:sz w:val="24"/>
                <w:szCs w:val="24"/>
                <w:highlight w:val="none"/>
              </w:rPr>
            </w:pPr>
          </w:p>
        </w:tc>
      </w:tr>
      <w:tr w14:paraId="56E30D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98" w:type="dxa"/>
            <w:gridSpan w:val="6"/>
            <w:vAlign w:val="center"/>
          </w:tcPr>
          <w:p w14:paraId="7E56B00A">
            <w:pPr>
              <w:spacing w:line="240" w:lineRule="atLeast"/>
              <w:rPr>
                <w:rFonts w:hint="eastAsia" w:ascii="宋体" w:hAnsi="宋体"/>
                <w:color w:val="auto"/>
                <w:sz w:val="24"/>
                <w:szCs w:val="24"/>
                <w:highlight w:val="none"/>
              </w:rPr>
            </w:pPr>
            <w:r>
              <w:rPr>
                <w:rFonts w:hint="eastAsia" w:ascii="宋体" w:hAnsi="宋体"/>
                <w:color w:val="auto"/>
                <w:sz w:val="24"/>
                <w:szCs w:val="24"/>
                <w:highlight w:val="none"/>
              </w:rPr>
              <w:t>合计人民币（小写）：</w:t>
            </w:r>
          </w:p>
        </w:tc>
      </w:tr>
      <w:tr w14:paraId="5CECFE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98" w:type="dxa"/>
            <w:gridSpan w:val="6"/>
            <w:vAlign w:val="center"/>
          </w:tcPr>
          <w:p w14:paraId="38A71D63">
            <w:pPr>
              <w:spacing w:line="240" w:lineRule="atLeast"/>
              <w:rPr>
                <w:rFonts w:hint="eastAsia" w:ascii="宋体" w:hAnsi="宋体"/>
                <w:color w:val="auto"/>
                <w:sz w:val="24"/>
                <w:szCs w:val="24"/>
                <w:highlight w:val="none"/>
              </w:rPr>
            </w:pPr>
            <w:r>
              <w:rPr>
                <w:rFonts w:hint="eastAsia" w:ascii="宋体" w:hAnsi="宋体"/>
                <w:color w:val="auto"/>
                <w:sz w:val="24"/>
                <w:szCs w:val="24"/>
                <w:highlight w:val="none"/>
              </w:rPr>
              <w:t>合计人民币（大写）：</w:t>
            </w:r>
          </w:p>
        </w:tc>
      </w:tr>
      <w:tr w14:paraId="3E649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98" w:type="dxa"/>
            <w:gridSpan w:val="6"/>
            <w:vAlign w:val="center"/>
          </w:tcPr>
          <w:p w14:paraId="4E50AC73">
            <w:pPr>
              <w:spacing w:line="240" w:lineRule="atLeast"/>
              <w:rPr>
                <w:rFonts w:hint="eastAsia" w:ascii="宋体" w:hAnsi="宋体"/>
                <w:color w:val="auto"/>
                <w:sz w:val="24"/>
                <w:szCs w:val="24"/>
                <w:highlight w:val="none"/>
              </w:rPr>
            </w:pPr>
            <w:r>
              <w:rPr>
                <w:rFonts w:hint="eastAsia" w:ascii="宋体" w:hAnsi="宋体"/>
                <w:color w:val="auto"/>
                <w:sz w:val="24"/>
                <w:szCs w:val="24"/>
                <w:highlight w:val="none"/>
              </w:rPr>
              <w:t>一、服务时间：</w:t>
            </w:r>
          </w:p>
        </w:tc>
      </w:tr>
      <w:tr w14:paraId="050319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 w:hRule="atLeast"/>
        </w:trPr>
        <w:tc>
          <w:tcPr>
            <w:tcW w:w="10598" w:type="dxa"/>
            <w:gridSpan w:val="6"/>
          </w:tcPr>
          <w:p w14:paraId="2959F0DB">
            <w:pPr>
              <w:spacing w:line="240" w:lineRule="atLeast"/>
              <w:rPr>
                <w:rFonts w:hint="eastAsia" w:ascii="宋体" w:hAnsi="宋体"/>
                <w:color w:val="auto"/>
                <w:sz w:val="24"/>
                <w:szCs w:val="24"/>
                <w:highlight w:val="none"/>
              </w:rPr>
            </w:pPr>
            <w:r>
              <w:rPr>
                <w:rFonts w:hint="eastAsia" w:ascii="宋体" w:hAnsi="宋体"/>
                <w:color w:val="auto"/>
                <w:sz w:val="24"/>
                <w:szCs w:val="24"/>
                <w:highlight w:val="none"/>
              </w:rPr>
              <w:t>二、验收方式：</w:t>
            </w:r>
          </w:p>
        </w:tc>
      </w:tr>
      <w:tr w14:paraId="7312B3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2" w:hRule="atLeast"/>
        </w:trPr>
        <w:tc>
          <w:tcPr>
            <w:tcW w:w="10598" w:type="dxa"/>
            <w:gridSpan w:val="6"/>
          </w:tcPr>
          <w:p w14:paraId="534A8002">
            <w:pPr>
              <w:spacing w:line="240" w:lineRule="atLeast"/>
              <w:rPr>
                <w:rFonts w:hint="eastAsia" w:ascii="宋体" w:hAnsi="宋体"/>
                <w:color w:val="auto"/>
                <w:sz w:val="24"/>
                <w:szCs w:val="24"/>
                <w:highlight w:val="none"/>
              </w:rPr>
            </w:pPr>
            <w:r>
              <w:rPr>
                <w:rFonts w:hint="eastAsia" w:ascii="宋体" w:hAnsi="宋体"/>
                <w:color w:val="auto"/>
                <w:sz w:val="24"/>
                <w:szCs w:val="24"/>
                <w:highlight w:val="none"/>
              </w:rPr>
              <w:t>三、付款方式：</w:t>
            </w:r>
          </w:p>
        </w:tc>
      </w:tr>
      <w:tr w14:paraId="28D7DE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98" w:type="dxa"/>
            <w:gridSpan w:val="6"/>
          </w:tcPr>
          <w:p w14:paraId="197D1603">
            <w:pPr>
              <w:spacing w:line="240" w:lineRule="atLeast"/>
              <w:rPr>
                <w:rFonts w:hint="eastAsia" w:ascii="宋体" w:hAnsi="宋体"/>
                <w:color w:val="auto"/>
                <w:sz w:val="24"/>
                <w:szCs w:val="24"/>
                <w:highlight w:val="none"/>
              </w:rPr>
            </w:pPr>
            <w:r>
              <w:rPr>
                <w:rFonts w:hint="eastAsia" w:ascii="宋体" w:hAnsi="宋体"/>
                <w:color w:val="auto"/>
                <w:sz w:val="24"/>
                <w:szCs w:val="24"/>
                <w:highlight w:val="none"/>
              </w:rPr>
              <w:t>四、违约责任：</w:t>
            </w:r>
          </w:p>
          <w:p w14:paraId="5915423F">
            <w:pPr>
              <w:spacing w:line="240" w:lineRule="atLeast"/>
              <w:rPr>
                <w:rFonts w:hint="eastAsia" w:ascii="宋体" w:hAnsi="宋体"/>
                <w:color w:val="auto"/>
                <w:sz w:val="24"/>
                <w:szCs w:val="24"/>
                <w:highlight w:val="none"/>
              </w:rPr>
            </w:pPr>
            <w:r>
              <w:rPr>
                <w:rFonts w:hint="eastAsia" w:ascii="宋体" w:hAnsi="宋体"/>
                <w:color w:val="auto"/>
                <w:sz w:val="24"/>
                <w:szCs w:val="24"/>
                <w:highlight w:val="none"/>
              </w:rPr>
              <w:t>按《中华人民共和国民法典》、《中华人民共和国政府采购法》执行，或按双方约定。</w:t>
            </w:r>
          </w:p>
        </w:tc>
      </w:tr>
      <w:tr w14:paraId="486BCD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98" w:type="dxa"/>
            <w:gridSpan w:val="6"/>
          </w:tcPr>
          <w:p w14:paraId="4D0C56BA">
            <w:pPr>
              <w:spacing w:line="240" w:lineRule="atLeast"/>
              <w:rPr>
                <w:rFonts w:hint="eastAsia" w:ascii="宋体" w:hAnsi="宋体"/>
                <w:color w:val="auto"/>
                <w:sz w:val="24"/>
                <w:szCs w:val="24"/>
                <w:highlight w:val="none"/>
              </w:rPr>
            </w:pPr>
            <w:r>
              <w:rPr>
                <w:rFonts w:hint="eastAsia" w:ascii="宋体" w:hAnsi="宋体"/>
                <w:color w:val="auto"/>
                <w:sz w:val="24"/>
                <w:szCs w:val="24"/>
                <w:highlight w:val="none"/>
              </w:rPr>
              <w:t>五、其他约定事项：</w:t>
            </w:r>
          </w:p>
          <w:p w14:paraId="7761E901">
            <w:pPr>
              <w:spacing w:line="240" w:lineRule="atLeast"/>
              <w:rPr>
                <w:rFonts w:hint="eastAsia" w:ascii="宋体" w:hAnsi="宋体"/>
                <w:color w:val="auto"/>
                <w:sz w:val="24"/>
                <w:szCs w:val="24"/>
                <w:highlight w:val="none"/>
              </w:rPr>
            </w:pPr>
            <w:r>
              <w:rPr>
                <w:rFonts w:hint="eastAsia" w:ascii="宋体" w:hAnsi="宋体"/>
                <w:color w:val="auto"/>
                <w:sz w:val="24"/>
                <w:szCs w:val="24"/>
                <w:highlight w:val="none"/>
              </w:rPr>
              <w:t>1.采购文件及其澄清文件、投标文件和承诺是本合同不可分割的部分。</w:t>
            </w:r>
          </w:p>
          <w:p w14:paraId="01B4BB40">
            <w:pPr>
              <w:spacing w:line="240" w:lineRule="atLeast"/>
              <w:rPr>
                <w:rFonts w:hint="eastAsia" w:ascii="宋体" w:hAnsi="宋体"/>
                <w:color w:val="auto"/>
                <w:sz w:val="24"/>
                <w:szCs w:val="24"/>
                <w:highlight w:val="none"/>
              </w:rPr>
            </w:pPr>
            <w:r>
              <w:rPr>
                <w:rFonts w:hint="eastAsia" w:ascii="宋体" w:hAnsi="宋体"/>
                <w:color w:val="auto"/>
                <w:sz w:val="24"/>
                <w:szCs w:val="24"/>
                <w:highlight w:val="none"/>
              </w:rPr>
              <w:t>2.本合同如发生争议由双方协商解决，协商不成向需方所在人民法院提请诉讼。</w:t>
            </w:r>
          </w:p>
          <w:p w14:paraId="41B1ECE7">
            <w:pPr>
              <w:spacing w:line="240" w:lineRule="atLeast"/>
              <w:rPr>
                <w:rFonts w:hint="eastAsia" w:ascii="宋体" w:hAnsi="宋体"/>
                <w:color w:val="auto"/>
                <w:sz w:val="24"/>
                <w:szCs w:val="24"/>
                <w:highlight w:val="none"/>
              </w:rPr>
            </w:pPr>
            <w:r>
              <w:rPr>
                <w:rFonts w:hint="eastAsia" w:ascii="宋体" w:hAnsi="宋体"/>
                <w:color w:val="auto"/>
                <w:sz w:val="24"/>
                <w:szCs w:val="24"/>
                <w:highlight w:val="none"/>
              </w:rPr>
              <w:t>3.本合同一式</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份， 需方 份，供方 份，具同等法律效力。</w:t>
            </w:r>
          </w:p>
          <w:p w14:paraId="5C38A859">
            <w:pPr>
              <w:spacing w:line="240" w:lineRule="atLeast"/>
              <w:rPr>
                <w:rFonts w:hint="eastAsia" w:ascii="宋体" w:hAnsi="宋体"/>
                <w:color w:val="auto"/>
                <w:sz w:val="24"/>
                <w:szCs w:val="24"/>
                <w:highlight w:val="none"/>
              </w:rPr>
            </w:pPr>
            <w:r>
              <w:rPr>
                <w:rFonts w:hint="eastAsia" w:ascii="宋体" w:hAnsi="宋体"/>
                <w:color w:val="auto"/>
                <w:sz w:val="24"/>
                <w:szCs w:val="24"/>
                <w:highlight w:val="none"/>
              </w:rPr>
              <w:t>4.其他：</w:t>
            </w:r>
          </w:p>
        </w:tc>
      </w:tr>
      <w:tr w14:paraId="5C76BA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53" w:type="dxa"/>
            <w:gridSpan w:val="3"/>
          </w:tcPr>
          <w:p w14:paraId="78AC8663">
            <w:pPr>
              <w:spacing w:line="240" w:lineRule="atLeast"/>
              <w:jc w:val="center"/>
              <w:rPr>
                <w:rFonts w:hint="eastAsia" w:ascii="宋体" w:hAnsi="宋体"/>
                <w:color w:val="auto"/>
                <w:sz w:val="24"/>
                <w:szCs w:val="24"/>
                <w:highlight w:val="none"/>
              </w:rPr>
            </w:pPr>
            <w:r>
              <w:rPr>
                <w:rFonts w:hint="eastAsia" w:ascii="宋体" w:hAnsi="宋体"/>
                <w:color w:val="auto"/>
                <w:sz w:val="24"/>
                <w:szCs w:val="24"/>
                <w:highlight w:val="none"/>
              </w:rPr>
              <w:t>甲方</w:t>
            </w:r>
          </w:p>
        </w:tc>
        <w:tc>
          <w:tcPr>
            <w:tcW w:w="5545" w:type="dxa"/>
            <w:gridSpan w:val="3"/>
          </w:tcPr>
          <w:p w14:paraId="67D48378">
            <w:pPr>
              <w:spacing w:line="240" w:lineRule="atLeast"/>
              <w:jc w:val="center"/>
              <w:rPr>
                <w:rFonts w:hint="eastAsia" w:ascii="宋体" w:hAnsi="宋体"/>
                <w:color w:val="auto"/>
                <w:sz w:val="24"/>
                <w:szCs w:val="24"/>
                <w:highlight w:val="none"/>
              </w:rPr>
            </w:pPr>
            <w:r>
              <w:rPr>
                <w:rFonts w:hint="eastAsia" w:ascii="宋体" w:hAnsi="宋体"/>
                <w:color w:val="auto"/>
                <w:sz w:val="24"/>
                <w:szCs w:val="24"/>
                <w:highlight w:val="none"/>
              </w:rPr>
              <w:t>乙方</w:t>
            </w:r>
          </w:p>
        </w:tc>
      </w:tr>
      <w:tr w14:paraId="3ECD15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53" w:type="dxa"/>
            <w:gridSpan w:val="3"/>
          </w:tcPr>
          <w:p w14:paraId="3DF35D95">
            <w:pPr>
              <w:spacing w:line="240" w:lineRule="atLeast"/>
              <w:rPr>
                <w:rFonts w:hint="eastAsia" w:ascii="宋体" w:hAnsi="宋体"/>
                <w:color w:val="auto"/>
                <w:sz w:val="24"/>
                <w:szCs w:val="24"/>
                <w:highlight w:val="none"/>
              </w:rPr>
            </w:pPr>
            <w:r>
              <w:rPr>
                <w:rFonts w:hint="eastAsia" w:ascii="宋体" w:hAnsi="宋体"/>
                <w:color w:val="auto"/>
                <w:sz w:val="24"/>
                <w:szCs w:val="24"/>
                <w:highlight w:val="none"/>
              </w:rPr>
              <w:t xml:space="preserve">单位名称（公章）： </w:t>
            </w:r>
          </w:p>
          <w:p w14:paraId="7191C1AD">
            <w:pPr>
              <w:spacing w:line="240" w:lineRule="atLeast"/>
              <w:rPr>
                <w:rFonts w:hint="eastAsia" w:ascii="宋体" w:hAnsi="宋体"/>
                <w:color w:val="auto"/>
                <w:sz w:val="24"/>
                <w:szCs w:val="24"/>
                <w:highlight w:val="none"/>
              </w:rPr>
            </w:pPr>
            <w:r>
              <w:rPr>
                <w:rFonts w:hint="eastAsia" w:ascii="宋体" w:hAnsi="宋体"/>
                <w:color w:val="auto"/>
                <w:sz w:val="24"/>
                <w:szCs w:val="24"/>
                <w:highlight w:val="none"/>
              </w:rPr>
              <w:t xml:space="preserve">单位地址： </w:t>
            </w:r>
          </w:p>
          <w:p w14:paraId="281A9D1D">
            <w:pPr>
              <w:spacing w:line="240" w:lineRule="atLeast"/>
              <w:rPr>
                <w:rFonts w:hint="eastAsia" w:ascii="宋体" w:hAnsi="宋体"/>
                <w:color w:val="auto"/>
                <w:sz w:val="24"/>
                <w:szCs w:val="24"/>
                <w:highlight w:val="none"/>
              </w:rPr>
            </w:pPr>
            <w:r>
              <w:rPr>
                <w:rFonts w:hint="eastAsia" w:ascii="宋体" w:hAnsi="宋体"/>
                <w:color w:val="auto"/>
                <w:sz w:val="24"/>
                <w:szCs w:val="24"/>
                <w:highlight w:val="none"/>
              </w:rPr>
              <w:t>联系电话：</w:t>
            </w:r>
          </w:p>
          <w:p w14:paraId="14BBD6FE">
            <w:pPr>
              <w:spacing w:line="240" w:lineRule="atLeast"/>
              <w:rPr>
                <w:rFonts w:hint="eastAsia" w:ascii="宋体" w:hAnsi="宋体"/>
                <w:color w:val="auto"/>
                <w:sz w:val="24"/>
                <w:szCs w:val="24"/>
                <w:highlight w:val="none"/>
              </w:rPr>
            </w:pPr>
            <w:r>
              <w:rPr>
                <w:rFonts w:hint="eastAsia" w:ascii="宋体" w:hAnsi="宋体"/>
                <w:color w:val="auto"/>
                <w:sz w:val="24"/>
                <w:szCs w:val="24"/>
                <w:highlight w:val="none"/>
              </w:rPr>
              <w:t>法定代表人：</w:t>
            </w:r>
          </w:p>
          <w:p w14:paraId="25487E8A">
            <w:pPr>
              <w:spacing w:line="240" w:lineRule="atLeast"/>
              <w:rPr>
                <w:rFonts w:hint="eastAsia" w:ascii="宋体" w:hAnsi="宋体"/>
                <w:color w:val="auto"/>
                <w:sz w:val="24"/>
                <w:szCs w:val="24"/>
                <w:highlight w:val="none"/>
              </w:rPr>
            </w:pPr>
            <w:r>
              <w:rPr>
                <w:rFonts w:hint="eastAsia" w:ascii="宋体" w:hAnsi="宋体"/>
                <w:color w:val="auto"/>
                <w:sz w:val="24"/>
                <w:szCs w:val="24"/>
                <w:highlight w:val="none"/>
              </w:rPr>
              <w:t>法人委托代理人：</w:t>
            </w:r>
          </w:p>
          <w:p w14:paraId="376013ED">
            <w:pPr>
              <w:spacing w:line="240" w:lineRule="atLeast"/>
              <w:rPr>
                <w:rFonts w:hint="eastAsia" w:ascii="宋体" w:hAnsi="宋体"/>
                <w:color w:val="auto"/>
                <w:sz w:val="24"/>
                <w:szCs w:val="24"/>
                <w:highlight w:val="none"/>
              </w:rPr>
            </w:pPr>
            <w:r>
              <w:rPr>
                <w:rFonts w:hint="eastAsia" w:ascii="宋体" w:hAnsi="宋体"/>
                <w:color w:val="auto"/>
                <w:sz w:val="24"/>
                <w:szCs w:val="24"/>
                <w:highlight w:val="none"/>
              </w:rPr>
              <w:t xml:space="preserve">日期： </w:t>
            </w:r>
          </w:p>
        </w:tc>
        <w:tc>
          <w:tcPr>
            <w:tcW w:w="5545" w:type="dxa"/>
            <w:gridSpan w:val="3"/>
          </w:tcPr>
          <w:p w14:paraId="121C1C09">
            <w:pPr>
              <w:spacing w:line="240" w:lineRule="atLeast"/>
              <w:rPr>
                <w:rFonts w:hint="eastAsia" w:ascii="宋体" w:hAnsi="宋体"/>
                <w:color w:val="auto"/>
                <w:sz w:val="24"/>
                <w:szCs w:val="24"/>
                <w:highlight w:val="none"/>
              </w:rPr>
            </w:pPr>
            <w:r>
              <w:rPr>
                <w:rFonts w:hint="eastAsia" w:ascii="宋体" w:hAnsi="宋体"/>
                <w:color w:val="auto"/>
                <w:sz w:val="24"/>
                <w:szCs w:val="24"/>
                <w:highlight w:val="none"/>
              </w:rPr>
              <w:t xml:space="preserve">单位名称（公章）: </w:t>
            </w:r>
          </w:p>
          <w:p w14:paraId="7987A3C9">
            <w:pPr>
              <w:spacing w:line="240" w:lineRule="atLeast"/>
              <w:rPr>
                <w:rFonts w:hint="eastAsia" w:ascii="宋体" w:hAnsi="宋体"/>
                <w:color w:val="auto"/>
                <w:sz w:val="24"/>
                <w:szCs w:val="24"/>
                <w:highlight w:val="none"/>
              </w:rPr>
            </w:pPr>
            <w:r>
              <w:rPr>
                <w:rFonts w:hint="eastAsia" w:ascii="宋体" w:hAnsi="宋体"/>
                <w:color w:val="auto"/>
                <w:sz w:val="24"/>
                <w:szCs w:val="24"/>
                <w:highlight w:val="none"/>
              </w:rPr>
              <w:t>单位地址：（必填）</w:t>
            </w:r>
          </w:p>
          <w:p w14:paraId="1279544B">
            <w:pPr>
              <w:spacing w:line="240" w:lineRule="atLeast"/>
              <w:rPr>
                <w:rFonts w:hint="eastAsia" w:ascii="宋体" w:hAnsi="宋体"/>
                <w:color w:val="auto"/>
                <w:sz w:val="24"/>
                <w:szCs w:val="24"/>
                <w:highlight w:val="none"/>
              </w:rPr>
            </w:pPr>
            <w:r>
              <w:rPr>
                <w:rFonts w:hint="eastAsia" w:ascii="宋体" w:hAnsi="宋体"/>
                <w:color w:val="auto"/>
                <w:sz w:val="24"/>
                <w:szCs w:val="24"/>
                <w:highlight w:val="none"/>
              </w:rPr>
              <w:t>联系电话：（必填）</w:t>
            </w:r>
          </w:p>
          <w:p w14:paraId="1A2A957B">
            <w:pPr>
              <w:spacing w:line="240" w:lineRule="atLeast"/>
              <w:rPr>
                <w:rFonts w:hint="eastAsia" w:ascii="宋体" w:hAnsi="宋体"/>
                <w:color w:val="auto"/>
                <w:sz w:val="24"/>
                <w:szCs w:val="24"/>
                <w:highlight w:val="none"/>
              </w:rPr>
            </w:pPr>
            <w:r>
              <w:rPr>
                <w:rFonts w:hint="eastAsia" w:ascii="宋体" w:hAnsi="宋体"/>
                <w:color w:val="auto"/>
                <w:sz w:val="24"/>
                <w:szCs w:val="24"/>
                <w:highlight w:val="none"/>
              </w:rPr>
              <w:t>法定代表人：（手签或盖章）</w:t>
            </w:r>
          </w:p>
          <w:p w14:paraId="4D5EDAFD">
            <w:pPr>
              <w:spacing w:line="240" w:lineRule="atLeast"/>
              <w:rPr>
                <w:rFonts w:hint="eastAsia" w:ascii="宋体" w:hAnsi="宋体"/>
                <w:color w:val="auto"/>
                <w:sz w:val="24"/>
                <w:szCs w:val="24"/>
                <w:highlight w:val="none"/>
              </w:rPr>
            </w:pPr>
            <w:r>
              <w:rPr>
                <w:rFonts w:hint="eastAsia" w:ascii="宋体" w:hAnsi="宋体"/>
                <w:color w:val="auto"/>
                <w:sz w:val="24"/>
                <w:szCs w:val="24"/>
                <w:highlight w:val="none"/>
              </w:rPr>
              <w:t>法人委托代理人：（手签）</w:t>
            </w:r>
          </w:p>
          <w:p w14:paraId="757D344D">
            <w:pPr>
              <w:spacing w:line="240" w:lineRule="atLeast"/>
              <w:rPr>
                <w:rFonts w:hint="eastAsia" w:ascii="宋体" w:hAnsi="宋体"/>
                <w:color w:val="auto"/>
                <w:sz w:val="24"/>
                <w:szCs w:val="24"/>
                <w:highlight w:val="none"/>
              </w:rPr>
            </w:pPr>
            <w:r>
              <w:rPr>
                <w:rFonts w:hint="eastAsia" w:ascii="宋体" w:hAnsi="宋体"/>
                <w:color w:val="auto"/>
                <w:sz w:val="24"/>
                <w:szCs w:val="24"/>
                <w:highlight w:val="none"/>
              </w:rPr>
              <w:t>开户银行（必填）：</w:t>
            </w:r>
          </w:p>
          <w:p w14:paraId="5AC2A5C7">
            <w:pPr>
              <w:spacing w:line="240" w:lineRule="atLeast"/>
              <w:rPr>
                <w:rFonts w:hint="eastAsia" w:ascii="宋体" w:hAnsi="宋体"/>
                <w:color w:val="auto"/>
                <w:sz w:val="24"/>
                <w:szCs w:val="24"/>
                <w:highlight w:val="none"/>
              </w:rPr>
            </w:pPr>
            <w:r>
              <w:rPr>
                <w:rFonts w:hint="eastAsia" w:ascii="宋体" w:hAnsi="宋体"/>
                <w:color w:val="auto"/>
                <w:sz w:val="24"/>
                <w:szCs w:val="24"/>
                <w:highlight w:val="none"/>
              </w:rPr>
              <w:t>帐号：（必填）</w:t>
            </w:r>
          </w:p>
          <w:p w14:paraId="24872E6A">
            <w:pPr>
              <w:spacing w:line="240" w:lineRule="atLeast"/>
              <w:rPr>
                <w:rFonts w:hint="eastAsia" w:ascii="宋体" w:hAnsi="宋体"/>
                <w:color w:val="auto"/>
                <w:sz w:val="24"/>
                <w:szCs w:val="24"/>
                <w:highlight w:val="none"/>
              </w:rPr>
            </w:pPr>
            <w:r>
              <w:rPr>
                <w:rFonts w:hint="eastAsia" w:ascii="宋体" w:hAnsi="宋体"/>
                <w:color w:val="auto"/>
                <w:sz w:val="24"/>
                <w:szCs w:val="24"/>
                <w:highlight w:val="none"/>
              </w:rPr>
              <w:t xml:space="preserve">日期： </w:t>
            </w:r>
          </w:p>
        </w:tc>
      </w:tr>
    </w:tbl>
    <w:p w14:paraId="2ECE1CC3">
      <w:pPr>
        <w:pStyle w:val="73"/>
        <w:rPr>
          <w:rFonts w:hint="eastAsia" w:hAnsi="宋体" w:cs="宋体"/>
          <w:b/>
          <w:color w:val="auto"/>
          <w:sz w:val="48"/>
          <w:szCs w:val="48"/>
          <w:highlight w:val="none"/>
        </w:rPr>
      </w:pPr>
    </w:p>
    <w:p w14:paraId="54D2D402">
      <w:pPr>
        <w:rPr>
          <w:color w:val="auto"/>
          <w:highlight w:val="none"/>
        </w:rPr>
      </w:pPr>
    </w:p>
    <w:p w14:paraId="73475B37">
      <w:pPr>
        <w:pStyle w:val="73"/>
        <w:rPr>
          <w:rFonts w:hint="eastAsia" w:hAnsi="宋体" w:cs="仿宋"/>
          <w:color w:val="auto"/>
          <w:highlight w:val="none"/>
        </w:rPr>
      </w:pPr>
      <w:r>
        <w:rPr>
          <w:rFonts w:hint="eastAsia" w:hAnsi="宋体" w:cs="仿宋"/>
          <w:color w:val="auto"/>
          <w:highlight w:val="none"/>
        </w:rPr>
        <w:t xml:space="preserve">签约地点： </w:t>
      </w:r>
    </w:p>
    <w:p w14:paraId="3E2C1F17">
      <w:pPr>
        <w:pStyle w:val="4"/>
        <w:spacing w:before="0" w:after="0" w:line="360" w:lineRule="auto"/>
        <w:ind w:firstLine="2168" w:firstLineChars="600"/>
        <w:rPr>
          <w:rFonts w:hint="eastAsia" w:ascii="仿宋" w:hAnsi="仿宋" w:eastAsia="仿宋"/>
          <w:bCs/>
          <w:color w:val="auto"/>
          <w:sz w:val="36"/>
          <w:szCs w:val="30"/>
          <w:highlight w:val="none"/>
        </w:rPr>
      </w:pPr>
    </w:p>
    <w:p w14:paraId="62F02E9B">
      <w:pPr>
        <w:rPr>
          <w:rFonts w:hint="eastAsia" w:ascii="仿宋" w:hAnsi="仿宋" w:eastAsia="仿宋"/>
          <w:bCs/>
          <w:color w:val="auto"/>
          <w:sz w:val="36"/>
          <w:szCs w:val="30"/>
          <w:highlight w:val="none"/>
        </w:rPr>
      </w:pPr>
    </w:p>
    <w:p w14:paraId="168766A7">
      <w:pPr>
        <w:rPr>
          <w:rFonts w:hint="eastAsia" w:ascii="仿宋" w:hAnsi="仿宋" w:eastAsia="仿宋"/>
          <w:bCs/>
          <w:color w:val="auto"/>
          <w:sz w:val="36"/>
          <w:szCs w:val="30"/>
          <w:highlight w:val="none"/>
        </w:rPr>
      </w:pPr>
    </w:p>
    <w:p w14:paraId="2C6DECAB">
      <w:pPr>
        <w:pStyle w:val="4"/>
        <w:spacing w:before="0" w:after="0" w:line="360" w:lineRule="auto"/>
        <w:ind w:firstLine="2168" w:firstLineChars="600"/>
        <w:rPr>
          <w:rFonts w:hint="eastAsia" w:ascii="仿宋" w:hAnsi="仿宋" w:eastAsia="仿宋"/>
          <w:bCs/>
          <w:color w:val="auto"/>
          <w:sz w:val="36"/>
          <w:szCs w:val="30"/>
          <w:highlight w:val="none"/>
        </w:rPr>
      </w:pPr>
      <w:bookmarkStart w:id="111" w:name="_Toc11707"/>
      <w:r>
        <w:rPr>
          <w:rFonts w:hint="eastAsia" w:ascii="仿宋" w:hAnsi="仿宋" w:eastAsia="仿宋"/>
          <w:bCs/>
          <w:color w:val="auto"/>
          <w:sz w:val="36"/>
          <w:szCs w:val="30"/>
          <w:highlight w:val="none"/>
        </w:rPr>
        <w:t>第七篇 响应文件编制要求</w:t>
      </w:r>
      <w:bookmarkEnd w:id="110"/>
      <w:bookmarkEnd w:id="111"/>
    </w:p>
    <w:p w14:paraId="264ECAC4">
      <w:pPr>
        <w:pStyle w:val="3"/>
        <w:tabs>
          <w:tab w:val="left" w:pos="3360"/>
        </w:tabs>
        <w:spacing w:before="380" w:after="190"/>
        <w:rPr>
          <w:rFonts w:hint="eastAsia" w:hAnsi="宋体"/>
          <w:b/>
          <w:color w:val="auto"/>
          <w:sz w:val="44"/>
          <w:szCs w:val="30"/>
          <w:highlight w:val="none"/>
        </w:rPr>
      </w:pPr>
      <w:bookmarkStart w:id="112" w:name="_Toc18211"/>
      <w:r>
        <w:rPr>
          <w:rFonts w:hint="eastAsia" w:hAnsi="宋体" w:cs="宋体"/>
          <w:b/>
          <w:color w:val="auto"/>
          <w:sz w:val="48"/>
          <w:szCs w:val="48"/>
          <w:highlight w:val="none"/>
        </w:rPr>
        <w:t>致</w:t>
      </w:r>
      <w:r>
        <w:rPr>
          <w:rFonts w:hint="eastAsia" w:hAnsi="宋体" w:cs="宋体"/>
          <w:b/>
          <w:color w:val="auto"/>
          <w:sz w:val="48"/>
          <w:szCs w:val="48"/>
          <w:highlight w:val="none"/>
          <w:lang w:eastAsia="zh-CN"/>
        </w:rPr>
        <w:t>重庆高新技术产业开发区管理委员会市场监督管理局</w:t>
      </w:r>
      <w:r>
        <w:rPr>
          <w:rFonts w:hint="eastAsia" w:hAnsi="宋体"/>
          <w:b/>
          <w:color w:val="auto"/>
          <w:sz w:val="44"/>
          <w:szCs w:val="30"/>
          <w:highlight w:val="none"/>
        </w:rPr>
        <w:t>：</w:t>
      </w:r>
      <w:bookmarkEnd w:id="112"/>
    </w:p>
    <w:p w14:paraId="08733811">
      <w:pPr>
        <w:spacing w:line="540" w:lineRule="exact"/>
        <w:jc w:val="center"/>
        <w:rPr>
          <w:rFonts w:hint="eastAsia" w:ascii="宋体" w:hAnsi="宋体"/>
          <w:b/>
          <w:color w:val="auto"/>
          <w:sz w:val="56"/>
          <w:szCs w:val="30"/>
          <w:highlight w:val="none"/>
        </w:rPr>
      </w:pPr>
    </w:p>
    <w:p w14:paraId="26833BC8">
      <w:pPr>
        <w:spacing w:line="360" w:lineRule="auto"/>
        <w:ind w:firstLine="3855" w:firstLineChars="400"/>
        <w:rPr>
          <w:rFonts w:hint="eastAsia" w:ascii="宋体" w:hAnsi="宋体"/>
          <w:b/>
          <w:color w:val="auto"/>
          <w:sz w:val="96"/>
          <w:szCs w:val="30"/>
          <w:highlight w:val="none"/>
        </w:rPr>
      </w:pPr>
      <w:r>
        <w:rPr>
          <w:rFonts w:hint="eastAsia" w:ascii="宋体" w:hAnsi="宋体"/>
          <w:b/>
          <w:color w:val="auto"/>
          <w:sz w:val="96"/>
          <w:szCs w:val="30"/>
          <w:highlight w:val="none"/>
        </w:rPr>
        <w:t>响</w:t>
      </w:r>
    </w:p>
    <w:p w14:paraId="4FC92675">
      <w:pPr>
        <w:spacing w:line="360" w:lineRule="auto"/>
        <w:ind w:firstLine="3855" w:firstLineChars="400"/>
        <w:rPr>
          <w:rFonts w:hint="eastAsia" w:ascii="宋体" w:hAnsi="宋体"/>
          <w:b/>
          <w:color w:val="auto"/>
          <w:sz w:val="96"/>
          <w:szCs w:val="30"/>
          <w:highlight w:val="none"/>
        </w:rPr>
      </w:pPr>
      <w:r>
        <w:rPr>
          <w:rFonts w:hint="eastAsia" w:ascii="宋体" w:hAnsi="宋体"/>
          <w:b/>
          <w:color w:val="auto"/>
          <w:sz w:val="96"/>
          <w:szCs w:val="30"/>
          <w:highlight w:val="none"/>
        </w:rPr>
        <w:t>应</w:t>
      </w:r>
    </w:p>
    <w:p w14:paraId="0B1A2B4B">
      <w:pPr>
        <w:spacing w:line="360" w:lineRule="auto"/>
        <w:ind w:firstLine="3855" w:firstLineChars="400"/>
        <w:rPr>
          <w:rFonts w:hint="eastAsia" w:ascii="宋体" w:hAnsi="宋体"/>
          <w:b/>
          <w:color w:val="auto"/>
          <w:sz w:val="96"/>
          <w:szCs w:val="30"/>
          <w:highlight w:val="none"/>
        </w:rPr>
      </w:pPr>
      <w:r>
        <w:rPr>
          <w:rFonts w:hint="eastAsia" w:ascii="宋体" w:hAnsi="宋体"/>
          <w:b/>
          <w:color w:val="auto"/>
          <w:sz w:val="96"/>
          <w:szCs w:val="30"/>
          <w:highlight w:val="none"/>
        </w:rPr>
        <w:t>文</w:t>
      </w:r>
    </w:p>
    <w:p w14:paraId="6A01D6B7">
      <w:pPr>
        <w:spacing w:line="360" w:lineRule="auto"/>
        <w:ind w:firstLine="3855" w:firstLineChars="400"/>
        <w:rPr>
          <w:rFonts w:hint="eastAsia" w:ascii="宋体" w:hAnsi="宋体"/>
          <w:b/>
          <w:color w:val="auto"/>
          <w:sz w:val="96"/>
          <w:szCs w:val="30"/>
          <w:highlight w:val="none"/>
        </w:rPr>
      </w:pPr>
      <w:r>
        <w:rPr>
          <w:rFonts w:hint="eastAsia" w:ascii="宋体" w:hAnsi="宋体"/>
          <w:b/>
          <w:color w:val="auto"/>
          <w:sz w:val="96"/>
          <w:szCs w:val="30"/>
          <w:highlight w:val="none"/>
        </w:rPr>
        <w:t>件</w:t>
      </w:r>
    </w:p>
    <w:p w14:paraId="64F2617B">
      <w:pPr>
        <w:spacing w:line="540" w:lineRule="exact"/>
        <w:jc w:val="left"/>
        <w:rPr>
          <w:rFonts w:hint="eastAsia" w:ascii="宋体" w:hAnsi="宋体"/>
          <w:b/>
          <w:color w:val="auto"/>
          <w:sz w:val="44"/>
          <w:szCs w:val="30"/>
          <w:highlight w:val="none"/>
        </w:rPr>
      </w:pPr>
      <w:r>
        <w:rPr>
          <w:rFonts w:hint="eastAsia" w:ascii="宋体" w:hAnsi="宋体"/>
          <w:b/>
          <w:color w:val="auto"/>
          <w:sz w:val="44"/>
          <w:szCs w:val="30"/>
          <w:highlight w:val="none"/>
        </w:rPr>
        <w:t>项目名称：</w:t>
      </w:r>
    </w:p>
    <w:p w14:paraId="2F764CE7">
      <w:pPr>
        <w:spacing w:line="540" w:lineRule="exact"/>
        <w:jc w:val="left"/>
        <w:rPr>
          <w:rFonts w:hint="eastAsia" w:ascii="宋体" w:hAnsi="宋体"/>
          <w:b/>
          <w:color w:val="auto"/>
          <w:sz w:val="44"/>
          <w:szCs w:val="30"/>
          <w:highlight w:val="none"/>
        </w:rPr>
      </w:pPr>
    </w:p>
    <w:p w14:paraId="42E54780">
      <w:pPr>
        <w:spacing w:line="540" w:lineRule="exact"/>
        <w:jc w:val="left"/>
        <w:rPr>
          <w:rFonts w:hint="eastAsia" w:ascii="宋体" w:hAnsi="宋体"/>
          <w:b/>
          <w:color w:val="auto"/>
          <w:sz w:val="44"/>
          <w:szCs w:val="30"/>
          <w:highlight w:val="none"/>
        </w:rPr>
      </w:pPr>
      <w:r>
        <w:rPr>
          <w:rFonts w:hint="eastAsia" w:ascii="宋体" w:hAnsi="宋体"/>
          <w:b/>
          <w:color w:val="auto"/>
          <w:sz w:val="44"/>
          <w:szCs w:val="30"/>
          <w:highlight w:val="none"/>
        </w:rPr>
        <w:t>供应商（盖章）：</w:t>
      </w:r>
    </w:p>
    <w:p w14:paraId="398D70C8">
      <w:pPr>
        <w:spacing w:line="540" w:lineRule="exact"/>
        <w:jc w:val="left"/>
        <w:rPr>
          <w:rFonts w:hint="eastAsia" w:ascii="宋体" w:hAnsi="宋体"/>
          <w:b/>
          <w:color w:val="auto"/>
          <w:sz w:val="44"/>
          <w:szCs w:val="30"/>
          <w:highlight w:val="none"/>
        </w:rPr>
      </w:pPr>
    </w:p>
    <w:p w14:paraId="52BFFBC9">
      <w:pPr>
        <w:spacing w:line="540" w:lineRule="exact"/>
        <w:jc w:val="left"/>
        <w:rPr>
          <w:rFonts w:hint="eastAsia" w:ascii="宋体" w:hAnsi="宋体"/>
          <w:b/>
          <w:color w:val="auto"/>
          <w:sz w:val="44"/>
          <w:szCs w:val="30"/>
          <w:highlight w:val="none"/>
        </w:rPr>
      </w:pPr>
      <w:r>
        <w:rPr>
          <w:rFonts w:hint="eastAsia" w:ascii="宋体" w:hAnsi="宋体"/>
          <w:b/>
          <w:color w:val="auto"/>
          <w:sz w:val="44"/>
          <w:szCs w:val="30"/>
          <w:highlight w:val="none"/>
        </w:rPr>
        <w:t>联系人：</w:t>
      </w:r>
    </w:p>
    <w:p w14:paraId="424EB567">
      <w:pPr>
        <w:spacing w:line="540" w:lineRule="exact"/>
        <w:jc w:val="left"/>
        <w:rPr>
          <w:rFonts w:hint="eastAsia" w:ascii="宋体" w:hAnsi="宋体"/>
          <w:b/>
          <w:color w:val="auto"/>
          <w:sz w:val="44"/>
          <w:szCs w:val="30"/>
          <w:highlight w:val="none"/>
        </w:rPr>
      </w:pPr>
    </w:p>
    <w:p w14:paraId="70335596">
      <w:pPr>
        <w:spacing w:line="540" w:lineRule="exact"/>
        <w:jc w:val="left"/>
        <w:rPr>
          <w:rFonts w:hint="eastAsia" w:ascii="宋体" w:hAnsi="宋体"/>
          <w:b/>
          <w:color w:val="auto"/>
          <w:sz w:val="44"/>
          <w:szCs w:val="30"/>
          <w:highlight w:val="none"/>
        </w:rPr>
      </w:pPr>
      <w:r>
        <w:rPr>
          <w:rFonts w:hint="eastAsia" w:ascii="宋体" w:hAnsi="宋体"/>
          <w:b/>
          <w:color w:val="auto"/>
          <w:sz w:val="44"/>
          <w:szCs w:val="30"/>
          <w:highlight w:val="none"/>
        </w:rPr>
        <w:t>联系电话：</w:t>
      </w:r>
    </w:p>
    <w:p w14:paraId="60889965">
      <w:pPr>
        <w:spacing w:line="440" w:lineRule="exact"/>
        <w:rPr>
          <w:rFonts w:hint="eastAsia" w:ascii="仿宋" w:hAnsi="仿宋" w:eastAsia="仿宋"/>
          <w:color w:val="auto"/>
          <w:sz w:val="24"/>
          <w:szCs w:val="24"/>
          <w:highlight w:val="none"/>
        </w:rPr>
      </w:pPr>
    </w:p>
    <w:p w14:paraId="375651B7">
      <w:pPr>
        <w:spacing w:line="440" w:lineRule="exact"/>
        <w:ind w:firstLine="480" w:firstLineChars="200"/>
        <w:rPr>
          <w:rFonts w:hint="eastAsia" w:ascii="仿宋" w:hAnsi="仿宋" w:eastAsia="仿宋"/>
          <w:color w:val="auto"/>
          <w:sz w:val="24"/>
          <w:szCs w:val="24"/>
          <w:highlight w:val="none"/>
        </w:rPr>
      </w:pPr>
      <w:r>
        <w:rPr>
          <w:rFonts w:hint="eastAsia" w:ascii="仿宋" w:hAnsi="仿宋" w:eastAsia="仿宋"/>
          <w:color w:val="auto"/>
          <w:sz w:val="24"/>
          <w:szCs w:val="24"/>
          <w:highlight w:val="none"/>
        </w:rPr>
        <w:t>一、经济部分</w:t>
      </w:r>
    </w:p>
    <w:p w14:paraId="1E5EBAFA">
      <w:pPr>
        <w:snapToGrid w:val="0"/>
        <w:spacing w:line="400" w:lineRule="exact"/>
        <w:ind w:firstLine="480" w:firstLineChars="200"/>
        <w:rPr>
          <w:rFonts w:hint="eastAsia" w:ascii="仿宋" w:hAnsi="仿宋" w:eastAsia="仿宋"/>
          <w:color w:val="auto"/>
          <w:sz w:val="24"/>
          <w:szCs w:val="24"/>
          <w:highlight w:val="none"/>
        </w:rPr>
      </w:pPr>
      <w:r>
        <w:rPr>
          <w:rFonts w:hint="eastAsia" w:ascii="仿宋" w:hAnsi="仿宋" w:eastAsia="仿宋"/>
          <w:color w:val="auto"/>
          <w:sz w:val="24"/>
          <w:szCs w:val="24"/>
          <w:highlight w:val="none"/>
        </w:rPr>
        <w:t>（一）网上竞采报价函</w:t>
      </w:r>
    </w:p>
    <w:p w14:paraId="200FDF1F">
      <w:pPr>
        <w:snapToGrid w:val="0"/>
        <w:spacing w:line="400" w:lineRule="exact"/>
        <w:ind w:firstLine="480" w:firstLineChars="200"/>
        <w:rPr>
          <w:rFonts w:hint="eastAsia" w:ascii="仿宋" w:hAnsi="仿宋" w:eastAsia="仿宋"/>
          <w:color w:val="auto"/>
          <w:sz w:val="24"/>
          <w:szCs w:val="24"/>
          <w:highlight w:val="none"/>
        </w:rPr>
      </w:pPr>
      <w:r>
        <w:rPr>
          <w:rFonts w:hint="eastAsia" w:ascii="仿宋" w:hAnsi="仿宋" w:eastAsia="仿宋"/>
          <w:color w:val="auto"/>
          <w:sz w:val="24"/>
          <w:szCs w:val="24"/>
          <w:highlight w:val="none"/>
        </w:rPr>
        <w:t>（二）分项报价明细表</w:t>
      </w:r>
    </w:p>
    <w:p w14:paraId="6DF4F665">
      <w:pPr>
        <w:spacing w:line="440" w:lineRule="exact"/>
        <w:ind w:firstLine="480" w:firstLineChars="200"/>
        <w:rPr>
          <w:rFonts w:hint="eastAsia" w:ascii="仿宋" w:hAnsi="仿宋" w:eastAsia="仿宋"/>
          <w:color w:val="auto"/>
          <w:sz w:val="24"/>
          <w:szCs w:val="24"/>
          <w:highlight w:val="none"/>
        </w:rPr>
      </w:pPr>
      <w:r>
        <w:rPr>
          <w:rFonts w:hint="eastAsia" w:ascii="仿宋" w:hAnsi="仿宋" w:eastAsia="仿宋"/>
          <w:color w:val="auto"/>
          <w:sz w:val="24"/>
          <w:szCs w:val="24"/>
          <w:highlight w:val="none"/>
        </w:rPr>
        <w:t>二、技术部分</w:t>
      </w:r>
    </w:p>
    <w:p w14:paraId="1E223436">
      <w:pPr>
        <w:spacing w:line="440" w:lineRule="exact"/>
        <w:ind w:firstLine="480" w:firstLineChars="200"/>
        <w:rPr>
          <w:rFonts w:hint="eastAsia" w:ascii="仿宋" w:hAnsi="仿宋" w:eastAsia="仿宋"/>
          <w:color w:val="auto"/>
          <w:sz w:val="24"/>
          <w:szCs w:val="24"/>
          <w:highlight w:val="none"/>
        </w:rPr>
      </w:pPr>
      <w:r>
        <w:rPr>
          <w:rFonts w:hint="eastAsia" w:ascii="仿宋" w:hAnsi="仿宋" w:eastAsia="仿宋"/>
          <w:color w:val="auto"/>
          <w:sz w:val="24"/>
          <w:szCs w:val="24"/>
          <w:highlight w:val="none"/>
        </w:rPr>
        <w:t>（一）技术响应偏离表</w:t>
      </w:r>
    </w:p>
    <w:p w14:paraId="4DBC6CC9">
      <w:pPr>
        <w:spacing w:line="440" w:lineRule="exact"/>
        <w:ind w:firstLine="480" w:firstLineChars="200"/>
        <w:rPr>
          <w:rFonts w:hint="eastAsia" w:ascii="仿宋" w:hAnsi="仿宋" w:eastAsia="仿宋"/>
          <w:color w:val="auto"/>
          <w:sz w:val="24"/>
          <w:szCs w:val="24"/>
          <w:highlight w:val="none"/>
        </w:rPr>
      </w:pPr>
      <w:r>
        <w:rPr>
          <w:rFonts w:hint="eastAsia" w:ascii="仿宋" w:hAnsi="仿宋" w:eastAsia="仿宋"/>
          <w:color w:val="auto"/>
          <w:sz w:val="24"/>
          <w:szCs w:val="24"/>
          <w:highlight w:val="none"/>
        </w:rPr>
        <w:t>（二）书面方案</w:t>
      </w:r>
    </w:p>
    <w:p w14:paraId="7F75554D">
      <w:pPr>
        <w:spacing w:line="440" w:lineRule="exact"/>
        <w:ind w:firstLine="480" w:firstLineChars="200"/>
        <w:rPr>
          <w:rFonts w:hint="eastAsia" w:ascii="仿宋" w:hAnsi="仿宋" w:eastAsia="仿宋"/>
          <w:color w:val="auto"/>
          <w:sz w:val="24"/>
          <w:szCs w:val="24"/>
          <w:highlight w:val="none"/>
        </w:rPr>
      </w:pPr>
      <w:r>
        <w:rPr>
          <w:rFonts w:hint="eastAsia" w:ascii="仿宋" w:hAnsi="仿宋" w:eastAsia="仿宋"/>
          <w:color w:val="auto"/>
          <w:sz w:val="24"/>
          <w:szCs w:val="24"/>
          <w:highlight w:val="none"/>
        </w:rPr>
        <w:t>三、商务部分</w:t>
      </w:r>
    </w:p>
    <w:p w14:paraId="783F293B">
      <w:pPr>
        <w:spacing w:line="440" w:lineRule="exact"/>
        <w:ind w:firstLine="480" w:firstLineChars="200"/>
        <w:rPr>
          <w:rFonts w:hint="eastAsia" w:ascii="仿宋" w:hAnsi="仿宋" w:eastAsia="仿宋"/>
          <w:color w:val="auto"/>
          <w:sz w:val="24"/>
          <w:szCs w:val="24"/>
          <w:highlight w:val="none"/>
        </w:rPr>
      </w:pPr>
      <w:r>
        <w:rPr>
          <w:rFonts w:hint="eastAsia" w:ascii="仿宋" w:hAnsi="仿宋" w:eastAsia="仿宋"/>
          <w:color w:val="auto"/>
          <w:sz w:val="24"/>
          <w:szCs w:val="24"/>
          <w:highlight w:val="none"/>
        </w:rPr>
        <w:t>（一）商务响应偏离表</w:t>
      </w:r>
    </w:p>
    <w:p w14:paraId="0A22D6E4">
      <w:pPr>
        <w:spacing w:line="440" w:lineRule="exact"/>
        <w:ind w:firstLine="480" w:firstLineChars="200"/>
        <w:rPr>
          <w:rFonts w:hint="eastAsia" w:ascii="仿宋" w:hAnsi="仿宋" w:eastAsia="仿宋"/>
          <w:color w:val="auto"/>
          <w:sz w:val="24"/>
          <w:szCs w:val="24"/>
          <w:highlight w:val="none"/>
        </w:rPr>
      </w:pPr>
      <w:r>
        <w:rPr>
          <w:rFonts w:hint="eastAsia" w:ascii="仿宋" w:hAnsi="仿宋" w:eastAsia="仿宋"/>
          <w:color w:val="auto"/>
          <w:sz w:val="24"/>
          <w:szCs w:val="24"/>
          <w:highlight w:val="none"/>
        </w:rPr>
        <w:t>（二）其它优惠服务承诺</w:t>
      </w:r>
    </w:p>
    <w:p w14:paraId="58DD3364">
      <w:pPr>
        <w:spacing w:line="440" w:lineRule="exact"/>
        <w:ind w:firstLine="480" w:firstLineChars="200"/>
        <w:rPr>
          <w:rFonts w:hint="eastAsia" w:ascii="仿宋" w:hAnsi="仿宋" w:eastAsia="仿宋"/>
          <w:color w:val="auto"/>
          <w:sz w:val="24"/>
          <w:szCs w:val="24"/>
          <w:highlight w:val="none"/>
        </w:rPr>
      </w:pPr>
      <w:r>
        <w:rPr>
          <w:rFonts w:hint="eastAsia" w:ascii="仿宋" w:hAnsi="仿宋" w:eastAsia="仿宋"/>
          <w:color w:val="auto"/>
          <w:sz w:val="24"/>
          <w:szCs w:val="24"/>
          <w:highlight w:val="none"/>
        </w:rPr>
        <w:t>四、资格条件及其他</w:t>
      </w:r>
    </w:p>
    <w:p w14:paraId="2376D2ED">
      <w:pPr>
        <w:snapToGrid w:val="0"/>
        <w:spacing w:line="400" w:lineRule="exact"/>
        <w:ind w:firstLine="480" w:firstLineChars="200"/>
        <w:rPr>
          <w:rFonts w:hint="eastAsia" w:ascii="仿宋" w:hAnsi="仿宋" w:eastAsia="仿宋"/>
          <w:color w:val="auto"/>
          <w:sz w:val="24"/>
          <w:szCs w:val="24"/>
          <w:highlight w:val="none"/>
        </w:rPr>
      </w:pPr>
      <w:r>
        <w:rPr>
          <w:rFonts w:hint="eastAsia" w:ascii="仿宋" w:hAnsi="仿宋" w:eastAsia="仿宋"/>
          <w:color w:val="auto"/>
          <w:sz w:val="24"/>
          <w:szCs w:val="24"/>
          <w:highlight w:val="none"/>
        </w:rPr>
        <w:t>（一）法人营业执照（副本）或事业单位法人证书（副本）或个体工商户营业执照或有效的自然人身份证明或社会团体法人登记证书复印件</w:t>
      </w:r>
    </w:p>
    <w:p w14:paraId="1470EB3C">
      <w:pPr>
        <w:snapToGrid w:val="0"/>
        <w:spacing w:line="400" w:lineRule="exact"/>
        <w:ind w:firstLine="480" w:firstLineChars="200"/>
        <w:rPr>
          <w:rFonts w:hint="eastAsia" w:ascii="仿宋" w:hAnsi="仿宋" w:eastAsia="仿宋"/>
          <w:color w:val="auto"/>
          <w:sz w:val="24"/>
          <w:szCs w:val="24"/>
          <w:highlight w:val="none"/>
        </w:rPr>
      </w:pPr>
      <w:r>
        <w:rPr>
          <w:rFonts w:hint="eastAsia" w:ascii="仿宋" w:hAnsi="仿宋" w:eastAsia="仿宋"/>
          <w:color w:val="auto"/>
          <w:sz w:val="24"/>
          <w:szCs w:val="24"/>
          <w:highlight w:val="none"/>
        </w:rPr>
        <w:t>（二）法定代表人身份证明书（格式）</w:t>
      </w:r>
    </w:p>
    <w:p w14:paraId="0F3ECCA1">
      <w:pPr>
        <w:snapToGrid w:val="0"/>
        <w:spacing w:line="400" w:lineRule="exact"/>
        <w:ind w:firstLine="480" w:firstLineChars="200"/>
        <w:rPr>
          <w:rFonts w:hint="eastAsia" w:ascii="仿宋" w:hAnsi="仿宋" w:eastAsia="仿宋"/>
          <w:color w:val="auto"/>
          <w:sz w:val="24"/>
          <w:szCs w:val="24"/>
          <w:highlight w:val="none"/>
        </w:rPr>
      </w:pPr>
      <w:r>
        <w:rPr>
          <w:rFonts w:hint="eastAsia" w:ascii="仿宋" w:hAnsi="仿宋" w:eastAsia="仿宋"/>
          <w:color w:val="auto"/>
          <w:sz w:val="24"/>
          <w:szCs w:val="24"/>
          <w:highlight w:val="none"/>
        </w:rPr>
        <w:t>（三）法定代表人授权委托书（格式）</w:t>
      </w:r>
    </w:p>
    <w:p w14:paraId="6A3B5F42">
      <w:pPr>
        <w:snapToGrid w:val="0"/>
        <w:spacing w:line="400" w:lineRule="exact"/>
        <w:ind w:firstLine="480" w:firstLineChars="200"/>
        <w:rPr>
          <w:rFonts w:hint="eastAsia" w:ascii="仿宋" w:hAnsi="仿宋" w:eastAsia="仿宋"/>
          <w:color w:val="auto"/>
          <w:sz w:val="24"/>
          <w:szCs w:val="24"/>
          <w:highlight w:val="none"/>
        </w:rPr>
      </w:pPr>
      <w:r>
        <w:rPr>
          <w:rFonts w:hint="eastAsia" w:ascii="仿宋" w:hAnsi="仿宋" w:eastAsia="仿宋"/>
          <w:color w:val="auto"/>
          <w:sz w:val="24"/>
          <w:szCs w:val="24"/>
          <w:highlight w:val="none"/>
        </w:rPr>
        <w:t>（四）基本资格条件承诺函（格式）</w:t>
      </w:r>
    </w:p>
    <w:p w14:paraId="6C3F968B">
      <w:pPr>
        <w:snapToGrid w:val="0"/>
        <w:spacing w:line="400" w:lineRule="exact"/>
        <w:ind w:firstLine="480" w:firstLineChars="200"/>
        <w:rPr>
          <w:rFonts w:hint="eastAsia" w:ascii="仿宋" w:hAnsi="仿宋" w:eastAsia="仿宋"/>
          <w:color w:val="auto"/>
          <w:sz w:val="24"/>
          <w:szCs w:val="24"/>
          <w:highlight w:val="none"/>
        </w:rPr>
      </w:pPr>
      <w:r>
        <w:rPr>
          <w:rFonts w:hint="eastAsia" w:ascii="仿宋" w:hAnsi="仿宋" w:eastAsia="仿宋"/>
          <w:color w:val="auto"/>
          <w:sz w:val="24"/>
          <w:szCs w:val="24"/>
          <w:highlight w:val="none"/>
        </w:rPr>
        <w:t>（五）特定资格条件证明文件（如果有）</w:t>
      </w:r>
    </w:p>
    <w:p w14:paraId="028B7318">
      <w:pPr>
        <w:spacing w:line="440" w:lineRule="exact"/>
        <w:ind w:firstLine="480" w:firstLineChars="200"/>
        <w:rPr>
          <w:rFonts w:hint="eastAsia" w:ascii="仿宋" w:hAnsi="仿宋" w:eastAsia="仿宋"/>
          <w:color w:val="auto"/>
          <w:sz w:val="24"/>
          <w:szCs w:val="24"/>
          <w:highlight w:val="none"/>
        </w:rPr>
      </w:pPr>
      <w:r>
        <w:rPr>
          <w:rFonts w:hint="eastAsia" w:ascii="仿宋" w:hAnsi="仿宋" w:eastAsia="仿宋"/>
          <w:color w:val="auto"/>
          <w:sz w:val="24"/>
          <w:szCs w:val="24"/>
          <w:highlight w:val="none"/>
        </w:rPr>
        <w:t>五、其他应提供的资料</w:t>
      </w:r>
    </w:p>
    <w:p w14:paraId="6B139B5B">
      <w:pPr>
        <w:snapToGrid w:val="0"/>
        <w:spacing w:line="400" w:lineRule="exact"/>
        <w:ind w:firstLine="480" w:firstLineChars="200"/>
        <w:rPr>
          <w:rFonts w:hint="eastAsia" w:ascii="仿宋" w:hAnsi="仿宋" w:eastAsia="仿宋"/>
          <w:color w:val="auto"/>
          <w:sz w:val="24"/>
          <w:szCs w:val="24"/>
          <w:highlight w:val="none"/>
        </w:rPr>
      </w:pPr>
      <w:bookmarkStart w:id="113" w:name="_Toc313888360"/>
      <w:bookmarkStart w:id="114" w:name="_Toc313008356"/>
      <w:bookmarkStart w:id="115" w:name="_Toc342913419"/>
      <w:bookmarkStart w:id="116" w:name="_Toc12789073"/>
      <w:bookmarkStart w:id="117" w:name="_Toc283382454"/>
      <w:r>
        <w:rPr>
          <w:rFonts w:hint="eastAsia" w:ascii="仿宋" w:hAnsi="仿宋" w:eastAsia="仿宋"/>
          <w:color w:val="auto"/>
          <w:sz w:val="24"/>
          <w:szCs w:val="24"/>
          <w:highlight w:val="none"/>
        </w:rPr>
        <w:t>其他与项目有关的资料（自附）</w:t>
      </w:r>
    </w:p>
    <w:p w14:paraId="5B6A0CE4">
      <w:pPr>
        <w:snapToGrid w:val="0"/>
        <w:spacing w:line="360" w:lineRule="auto"/>
        <w:rPr>
          <w:rFonts w:hint="eastAsia" w:ascii="仿宋" w:hAnsi="仿宋" w:eastAsia="仿宋"/>
          <w:color w:val="auto"/>
          <w:sz w:val="24"/>
          <w:szCs w:val="24"/>
          <w:highlight w:val="none"/>
          <w:bdr w:val="single" w:color="auto" w:sz="4" w:space="0"/>
        </w:rPr>
        <w:sectPr>
          <w:headerReference r:id="rId10" w:type="default"/>
          <w:footerReference r:id="rId11" w:type="default"/>
          <w:pgSz w:w="11907" w:h="16840"/>
          <w:pgMar w:top="1134" w:right="1191" w:bottom="1134" w:left="1304" w:header="851" w:footer="992" w:gutter="0"/>
          <w:pgNumType w:fmt="numberInDash"/>
          <w:cols w:space="720" w:num="1"/>
          <w:docGrid w:linePitch="380" w:charSpace="-5735"/>
        </w:sectPr>
      </w:pPr>
    </w:p>
    <w:p w14:paraId="2DCDCEC7">
      <w:pPr>
        <w:pStyle w:val="5"/>
        <w:spacing w:before="0" w:after="0" w:line="360" w:lineRule="auto"/>
        <w:rPr>
          <w:rFonts w:hint="eastAsia" w:ascii="仿宋" w:hAnsi="仿宋" w:eastAsia="仿宋"/>
          <w:color w:val="auto"/>
          <w:sz w:val="24"/>
          <w:szCs w:val="24"/>
          <w:highlight w:val="none"/>
        </w:rPr>
      </w:pPr>
      <w:bookmarkStart w:id="118" w:name="_Toc18994"/>
      <w:bookmarkStart w:id="119" w:name="_Toc25359"/>
      <w:r>
        <w:rPr>
          <w:rFonts w:hint="eastAsia" w:ascii="仿宋" w:hAnsi="仿宋" w:eastAsia="仿宋"/>
          <w:color w:val="auto"/>
          <w:sz w:val="24"/>
          <w:szCs w:val="24"/>
          <w:highlight w:val="none"/>
        </w:rPr>
        <w:t>一、经济部分</w:t>
      </w:r>
      <w:bookmarkEnd w:id="113"/>
      <w:bookmarkEnd w:id="114"/>
      <w:bookmarkEnd w:id="115"/>
      <w:bookmarkEnd w:id="118"/>
      <w:bookmarkEnd w:id="119"/>
    </w:p>
    <w:bookmarkEnd w:id="116"/>
    <w:bookmarkEnd w:id="117"/>
    <w:p w14:paraId="0D96BA55">
      <w:pPr>
        <w:tabs>
          <w:tab w:val="left" w:pos="6300"/>
        </w:tabs>
        <w:snapToGrid w:val="0"/>
        <w:spacing w:line="312" w:lineRule="auto"/>
        <w:jc w:val="left"/>
        <w:outlineLvl w:val="0"/>
        <w:rPr>
          <w:rFonts w:hint="eastAsia" w:ascii="仿宋" w:hAnsi="仿宋" w:eastAsia="仿宋"/>
          <w:b/>
          <w:color w:val="auto"/>
          <w:sz w:val="24"/>
          <w:szCs w:val="24"/>
          <w:highlight w:val="none"/>
        </w:rPr>
      </w:pPr>
      <w:r>
        <w:rPr>
          <w:rFonts w:hint="eastAsia" w:ascii="仿宋" w:hAnsi="仿宋" w:eastAsia="仿宋"/>
          <w:b/>
          <w:color w:val="auto"/>
          <w:sz w:val="24"/>
          <w:szCs w:val="24"/>
          <w:highlight w:val="none"/>
        </w:rPr>
        <w:t>（一）网上竞采报价函</w:t>
      </w:r>
    </w:p>
    <w:p w14:paraId="5CB6A236">
      <w:pPr>
        <w:tabs>
          <w:tab w:val="left" w:pos="6300"/>
        </w:tabs>
        <w:snapToGrid w:val="0"/>
        <w:spacing w:line="312" w:lineRule="auto"/>
        <w:jc w:val="center"/>
        <w:outlineLvl w:val="0"/>
        <w:rPr>
          <w:rFonts w:hint="eastAsia" w:ascii="仿宋" w:hAnsi="仿宋" w:eastAsia="仿宋"/>
          <w:bCs/>
          <w:color w:val="auto"/>
          <w:sz w:val="24"/>
          <w:szCs w:val="24"/>
          <w:highlight w:val="none"/>
        </w:rPr>
      </w:pPr>
      <w:r>
        <w:rPr>
          <w:rFonts w:hint="eastAsia" w:ascii="仿宋" w:hAnsi="仿宋" w:eastAsia="仿宋"/>
          <w:bCs/>
          <w:color w:val="auto"/>
          <w:sz w:val="24"/>
          <w:szCs w:val="24"/>
          <w:highlight w:val="none"/>
        </w:rPr>
        <w:t>网上竞采报价函</w:t>
      </w:r>
    </w:p>
    <w:p w14:paraId="2146225A">
      <w:pPr>
        <w:tabs>
          <w:tab w:val="left" w:pos="6300"/>
        </w:tabs>
        <w:snapToGrid w:val="0"/>
        <w:spacing w:line="312" w:lineRule="auto"/>
        <w:rPr>
          <w:rFonts w:hint="eastAsia" w:ascii="仿宋" w:hAnsi="仿宋" w:eastAsia="仿宋"/>
          <w:color w:val="auto"/>
          <w:sz w:val="24"/>
          <w:szCs w:val="24"/>
          <w:highlight w:val="none"/>
        </w:rPr>
      </w:pPr>
      <w:r>
        <w:rPr>
          <w:rFonts w:hint="eastAsia" w:ascii="仿宋" w:hAnsi="仿宋" w:eastAsia="仿宋"/>
          <w:color w:val="auto"/>
          <w:sz w:val="24"/>
          <w:szCs w:val="24"/>
          <w:highlight w:val="none"/>
          <w:u w:val="single"/>
        </w:rPr>
        <w:t>（采购代理机构名称）</w:t>
      </w:r>
      <w:r>
        <w:rPr>
          <w:rFonts w:hint="eastAsia" w:ascii="仿宋" w:hAnsi="仿宋" w:eastAsia="仿宋"/>
          <w:color w:val="auto"/>
          <w:sz w:val="24"/>
          <w:szCs w:val="24"/>
          <w:highlight w:val="none"/>
        </w:rPr>
        <w:t>：</w:t>
      </w:r>
    </w:p>
    <w:p w14:paraId="7CDEF51E">
      <w:pPr>
        <w:tabs>
          <w:tab w:val="left" w:pos="6300"/>
        </w:tabs>
        <w:snapToGrid w:val="0"/>
        <w:spacing w:line="312" w:lineRule="auto"/>
        <w:ind w:firstLine="480" w:firstLineChars="200"/>
        <w:rPr>
          <w:rFonts w:hint="eastAsia" w:ascii="仿宋" w:hAnsi="仿宋" w:eastAsia="仿宋"/>
          <w:color w:val="auto"/>
          <w:sz w:val="24"/>
          <w:szCs w:val="24"/>
          <w:highlight w:val="none"/>
        </w:rPr>
      </w:pPr>
      <w:r>
        <w:rPr>
          <w:rFonts w:hint="eastAsia" w:ascii="仿宋" w:hAnsi="仿宋" w:eastAsia="仿宋"/>
          <w:color w:val="auto"/>
          <w:sz w:val="24"/>
          <w:szCs w:val="24"/>
          <w:highlight w:val="none"/>
        </w:rPr>
        <w:t>我方收到____________________________（项目名称）的网上竞采文件，经详细研究，决定参加该项目的网上竞采。</w:t>
      </w:r>
    </w:p>
    <w:p w14:paraId="741B6E0E">
      <w:pPr>
        <w:spacing w:line="400" w:lineRule="exact"/>
        <w:rPr>
          <w:rFonts w:hint="eastAsia" w:ascii="仿宋" w:hAnsi="仿宋" w:eastAsia="仿宋"/>
          <w:color w:val="auto"/>
          <w:sz w:val="24"/>
          <w:szCs w:val="24"/>
          <w:highlight w:val="none"/>
        </w:rPr>
      </w:pPr>
      <w:r>
        <w:rPr>
          <w:rFonts w:hint="eastAsia" w:ascii="仿宋" w:hAnsi="仿宋" w:eastAsia="仿宋"/>
          <w:color w:val="auto"/>
          <w:sz w:val="24"/>
          <w:szCs w:val="24"/>
          <w:highlight w:val="none"/>
        </w:rPr>
        <w:t>1.愿意按照网上竞采文件中的一切要求，提供本项目采购内容及相关服务，投标报价为人民币大写：</w:t>
      </w:r>
      <w:r>
        <w:rPr>
          <w:rFonts w:hint="eastAsia" w:ascii="仿宋" w:hAnsi="仿宋" w:eastAsia="仿宋"/>
          <w:color w:val="auto"/>
          <w:sz w:val="24"/>
          <w:szCs w:val="24"/>
          <w:highlight w:val="none"/>
          <w:u w:val="single"/>
        </w:rPr>
        <w:t xml:space="preserve">     </w:t>
      </w:r>
      <w:r>
        <w:rPr>
          <w:rFonts w:hint="eastAsia" w:ascii="仿宋" w:hAnsi="仿宋" w:eastAsia="仿宋"/>
          <w:color w:val="auto"/>
          <w:sz w:val="24"/>
          <w:szCs w:val="24"/>
          <w:highlight w:val="none"/>
        </w:rPr>
        <w:t>；人民币小写：</w:t>
      </w:r>
      <w:r>
        <w:rPr>
          <w:rFonts w:hint="eastAsia" w:ascii="仿宋" w:hAnsi="仿宋" w:eastAsia="仿宋"/>
          <w:color w:val="auto"/>
          <w:sz w:val="24"/>
          <w:szCs w:val="24"/>
          <w:highlight w:val="none"/>
          <w:u w:val="single"/>
        </w:rPr>
        <w:t xml:space="preserve">      </w:t>
      </w:r>
      <w:r>
        <w:rPr>
          <w:rFonts w:hint="eastAsia" w:ascii="仿宋" w:hAnsi="仿宋" w:eastAsia="仿宋"/>
          <w:color w:val="auto"/>
          <w:sz w:val="24"/>
          <w:szCs w:val="24"/>
          <w:highlight w:val="none"/>
        </w:rPr>
        <w:t>。</w:t>
      </w:r>
    </w:p>
    <w:p w14:paraId="0A456D33">
      <w:pPr>
        <w:tabs>
          <w:tab w:val="left" w:pos="6300"/>
        </w:tabs>
        <w:snapToGrid w:val="0"/>
        <w:spacing w:line="312" w:lineRule="auto"/>
        <w:ind w:firstLine="480" w:firstLineChars="200"/>
        <w:rPr>
          <w:rFonts w:hint="eastAsia" w:ascii="仿宋" w:hAnsi="仿宋" w:eastAsia="仿宋"/>
          <w:color w:val="auto"/>
          <w:sz w:val="24"/>
          <w:szCs w:val="24"/>
          <w:highlight w:val="none"/>
        </w:rPr>
      </w:pPr>
      <w:r>
        <w:rPr>
          <w:rFonts w:hint="eastAsia" w:ascii="仿宋" w:hAnsi="仿宋" w:eastAsia="仿宋"/>
          <w:color w:val="auto"/>
          <w:sz w:val="24"/>
          <w:szCs w:val="24"/>
          <w:highlight w:val="none"/>
        </w:rPr>
        <w:t>2.我方现网上提交的响应文件为：电子文档  份。</w:t>
      </w:r>
    </w:p>
    <w:p w14:paraId="39A16652">
      <w:pPr>
        <w:tabs>
          <w:tab w:val="left" w:pos="6300"/>
        </w:tabs>
        <w:snapToGrid w:val="0"/>
        <w:spacing w:line="312" w:lineRule="auto"/>
        <w:ind w:firstLine="480" w:firstLineChars="200"/>
        <w:rPr>
          <w:rFonts w:hint="eastAsia" w:ascii="仿宋" w:hAnsi="仿宋" w:eastAsia="仿宋"/>
          <w:color w:val="auto"/>
          <w:sz w:val="24"/>
          <w:szCs w:val="24"/>
          <w:highlight w:val="none"/>
        </w:rPr>
      </w:pPr>
      <w:r>
        <w:rPr>
          <w:rFonts w:hint="eastAsia" w:ascii="仿宋" w:hAnsi="仿宋" w:eastAsia="仿宋"/>
          <w:color w:val="auto"/>
          <w:sz w:val="24"/>
          <w:szCs w:val="24"/>
          <w:highlight w:val="none"/>
        </w:rPr>
        <w:t>3.我方承诺：本次网上竞采的有效期为90天。</w:t>
      </w:r>
    </w:p>
    <w:p w14:paraId="52999FBF">
      <w:pPr>
        <w:tabs>
          <w:tab w:val="left" w:pos="6300"/>
        </w:tabs>
        <w:snapToGrid w:val="0"/>
        <w:spacing w:line="312" w:lineRule="auto"/>
        <w:ind w:firstLine="480" w:firstLineChars="200"/>
        <w:rPr>
          <w:rFonts w:hint="eastAsia" w:ascii="仿宋" w:hAnsi="仿宋" w:eastAsia="仿宋"/>
          <w:color w:val="auto"/>
          <w:sz w:val="24"/>
          <w:szCs w:val="24"/>
          <w:highlight w:val="none"/>
        </w:rPr>
      </w:pPr>
      <w:r>
        <w:rPr>
          <w:rFonts w:hint="eastAsia" w:ascii="仿宋" w:hAnsi="仿宋" w:eastAsia="仿宋"/>
          <w:color w:val="auto"/>
          <w:sz w:val="24"/>
          <w:szCs w:val="24"/>
          <w:highlight w:val="none"/>
        </w:rPr>
        <w:t>4.我方完全理解和接受贵方网上竞采文件的一切规定和要求及评审办法。</w:t>
      </w:r>
    </w:p>
    <w:p w14:paraId="16567C63">
      <w:pPr>
        <w:tabs>
          <w:tab w:val="left" w:pos="6300"/>
        </w:tabs>
        <w:snapToGrid w:val="0"/>
        <w:spacing w:line="312" w:lineRule="auto"/>
        <w:ind w:firstLine="480" w:firstLineChars="200"/>
        <w:rPr>
          <w:rFonts w:hint="eastAsia" w:ascii="仿宋" w:hAnsi="仿宋" w:eastAsia="仿宋"/>
          <w:color w:val="auto"/>
          <w:sz w:val="24"/>
          <w:szCs w:val="24"/>
          <w:highlight w:val="none"/>
        </w:rPr>
      </w:pPr>
      <w:r>
        <w:rPr>
          <w:rFonts w:hint="eastAsia" w:ascii="仿宋" w:hAnsi="仿宋" w:eastAsia="仿宋"/>
          <w:color w:val="auto"/>
          <w:sz w:val="24"/>
          <w:szCs w:val="24"/>
          <w:highlight w:val="none"/>
        </w:rPr>
        <w:t>5.在整个网上竞采过程中，我方若有违规行为，接受按照《中华人民共和国政府采购法》和《网上竞采文件》之规定给予惩罚。</w:t>
      </w:r>
    </w:p>
    <w:p w14:paraId="16A57712">
      <w:pPr>
        <w:tabs>
          <w:tab w:val="left" w:pos="6300"/>
        </w:tabs>
        <w:snapToGrid w:val="0"/>
        <w:spacing w:line="312" w:lineRule="auto"/>
        <w:ind w:firstLine="480" w:firstLineChars="200"/>
        <w:rPr>
          <w:rFonts w:hint="eastAsia" w:ascii="仿宋" w:hAnsi="仿宋" w:eastAsia="仿宋"/>
          <w:color w:val="auto"/>
          <w:sz w:val="24"/>
          <w:szCs w:val="24"/>
          <w:highlight w:val="none"/>
        </w:rPr>
      </w:pPr>
      <w:r>
        <w:rPr>
          <w:rFonts w:hint="eastAsia" w:ascii="仿宋" w:hAnsi="仿宋" w:eastAsia="仿宋"/>
          <w:color w:val="auto"/>
          <w:sz w:val="24"/>
          <w:szCs w:val="24"/>
          <w:highlight w:val="none"/>
        </w:rPr>
        <w:t>6.我方若成为成交供应商，将按照最终网上竞采结果签订合同，并且严格履行合同义务。本承诺函将成为合同不可分割的一部分，与合同具有同等的法律效力。</w:t>
      </w:r>
    </w:p>
    <w:p w14:paraId="241CB5D5">
      <w:pPr>
        <w:tabs>
          <w:tab w:val="left" w:pos="6300"/>
        </w:tabs>
        <w:snapToGrid w:val="0"/>
        <w:spacing w:line="312" w:lineRule="auto"/>
        <w:ind w:firstLine="480" w:firstLineChars="200"/>
        <w:rPr>
          <w:rFonts w:hint="eastAsia" w:ascii="仿宋" w:hAnsi="仿宋" w:eastAsia="仿宋"/>
          <w:color w:val="auto"/>
          <w:sz w:val="24"/>
          <w:szCs w:val="24"/>
          <w:highlight w:val="none"/>
        </w:rPr>
      </w:pPr>
      <w:r>
        <w:rPr>
          <w:rFonts w:hint="eastAsia" w:ascii="仿宋" w:hAnsi="仿宋" w:eastAsia="仿宋"/>
          <w:color w:val="auto"/>
          <w:sz w:val="24"/>
          <w:szCs w:val="24"/>
          <w:highlight w:val="none"/>
        </w:rPr>
        <w:t>7.我方同意按网上竞采文件规定。如果我方成为成交供应商，保证在接到成交通知书前，向采购代理机构缴纳网上竞采文件规定的采购代理服务费。</w:t>
      </w:r>
    </w:p>
    <w:p w14:paraId="4D07C4FB">
      <w:pPr>
        <w:tabs>
          <w:tab w:val="left" w:pos="6300"/>
        </w:tabs>
        <w:snapToGrid w:val="0"/>
        <w:spacing w:line="312" w:lineRule="auto"/>
        <w:ind w:firstLine="480" w:firstLineChars="200"/>
        <w:rPr>
          <w:rFonts w:hint="eastAsia" w:ascii="仿宋" w:hAnsi="仿宋" w:eastAsia="仿宋"/>
          <w:color w:val="auto"/>
          <w:sz w:val="24"/>
          <w:szCs w:val="24"/>
          <w:highlight w:val="none"/>
        </w:rPr>
      </w:pPr>
      <w:r>
        <w:rPr>
          <w:rFonts w:hint="eastAsia" w:ascii="仿宋" w:hAnsi="仿宋" w:eastAsia="仿宋"/>
          <w:color w:val="auto"/>
          <w:sz w:val="24"/>
          <w:szCs w:val="24"/>
          <w:highlight w:val="none"/>
        </w:rPr>
        <w:t>8.</w:t>
      </w:r>
      <w:r>
        <w:rPr>
          <w:rFonts w:hint="eastAsia" w:ascii="仿宋" w:hAnsi="仿宋" w:eastAsia="仿宋"/>
          <w:color w:val="auto"/>
          <w:sz w:val="24"/>
          <w:szCs w:val="28"/>
          <w:highlight w:val="none"/>
        </w:rPr>
        <w:t>我方未</w:t>
      </w:r>
      <w:r>
        <w:rPr>
          <w:rFonts w:ascii="仿宋" w:hAnsi="仿宋" w:eastAsia="仿宋"/>
          <w:color w:val="auto"/>
          <w:sz w:val="24"/>
          <w:szCs w:val="24"/>
          <w:highlight w:val="none"/>
        </w:rPr>
        <w:t>为采购项目提供整体设计、规范编制或者项目管理、监理、检测等服务。</w:t>
      </w:r>
    </w:p>
    <w:p w14:paraId="54186BAC">
      <w:pPr>
        <w:tabs>
          <w:tab w:val="left" w:pos="6300"/>
        </w:tabs>
        <w:snapToGrid w:val="0"/>
        <w:spacing w:line="312" w:lineRule="auto"/>
        <w:ind w:firstLine="480" w:firstLineChars="200"/>
        <w:rPr>
          <w:rFonts w:hint="eastAsia" w:ascii="仿宋" w:hAnsi="仿宋" w:eastAsia="仿宋"/>
          <w:color w:val="auto"/>
          <w:sz w:val="24"/>
          <w:szCs w:val="24"/>
          <w:highlight w:val="none"/>
        </w:rPr>
      </w:pPr>
      <w:r>
        <w:rPr>
          <w:rFonts w:hint="eastAsia" w:ascii="仿宋" w:hAnsi="仿宋" w:eastAsia="仿宋"/>
          <w:color w:val="auto"/>
          <w:sz w:val="24"/>
          <w:szCs w:val="24"/>
          <w:highlight w:val="none"/>
        </w:rPr>
        <w:t>9、我方理解，最低报价不是成交的唯一条件。</w:t>
      </w:r>
    </w:p>
    <w:p w14:paraId="10BF7B70">
      <w:pPr>
        <w:pStyle w:val="40"/>
        <w:rPr>
          <w:color w:val="auto"/>
          <w:highlight w:val="none"/>
        </w:rPr>
      </w:pPr>
    </w:p>
    <w:p w14:paraId="3E736DC7">
      <w:pPr>
        <w:tabs>
          <w:tab w:val="left" w:pos="6300"/>
        </w:tabs>
        <w:snapToGrid w:val="0"/>
        <w:spacing w:line="312" w:lineRule="auto"/>
        <w:ind w:firstLine="570"/>
        <w:rPr>
          <w:rFonts w:hint="eastAsia" w:ascii="仿宋" w:hAnsi="仿宋" w:eastAsia="仿宋"/>
          <w:color w:val="auto"/>
          <w:sz w:val="24"/>
          <w:szCs w:val="24"/>
          <w:highlight w:val="none"/>
        </w:rPr>
      </w:pPr>
      <w:r>
        <w:rPr>
          <w:rFonts w:hint="eastAsia" w:ascii="仿宋" w:hAnsi="仿宋" w:eastAsia="仿宋"/>
          <w:color w:val="auto"/>
          <w:sz w:val="24"/>
          <w:szCs w:val="24"/>
          <w:highlight w:val="none"/>
        </w:rPr>
        <w:t>供应商（公章）：</w:t>
      </w:r>
    </w:p>
    <w:p w14:paraId="52A7238E">
      <w:pPr>
        <w:tabs>
          <w:tab w:val="left" w:pos="6300"/>
        </w:tabs>
        <w:snapToGrid w:val="0"/>
        <w:spacing w:line="312" w:lineRule="auto"/>
        <w:ind w:firstLine="570"/>
        <w:rPr>
          <w:rFonts w:hint="eastAsia" w:ascii="仿宋" w:hAnsi="仿宋" w:eastAsia="仿宋"/>
          <w:color w:val="auto"/>
          <w:sz w:val="24"/>
          <w:szCs w:val="24"/>
          <w:highlight w:val="none"/>
        </w:rPr>
      </w:pPr>
      <w:r>
        <w:rPr>
          <w:rFonts w:hint="eastAsia" w:ascii="仿宋" w:hAnsi="仿宋" w:eastAsia="仿宋"/>
          <w:color w:val="auto"/>
          <w:sz w:val="24"/>
          <w:szCs w:val="24"/>
          <w:highlight w:val="none"/>
        </w:rPr>
        <w:t>地址：</w:t>
      </w:r>
    </w:p>
    <w:p w14:paraId="7C3DDBA9">
      <w:pPr>
        <w:tabs>
          <w:tab w:val="left" w:pos="6300"/>
        </w:tabs>
        <w:snapToGrid w:val="0"/>
        <w:spacing w:line="312" w:lineRule="auto"/>
        <w:ind w:firstLine="570"/>
        <w:rPr>
          <w:rFonts w:hint="eastAsia" w:ascii="仿宋" w:hAnsi="仿宋" w:eastAsia="仿宋"/>
          <w:color w:val="auto"/>
          <w:sz w:val="24"/>
          <w:szCs w:val="24"/>
          <w:highlight w:val="none"/>
        </w:rPr>
      </w:pPr>
      <w:r>
        <w:rPr>
          <w:rFonts w:hint="eastAsia" w:ascii="仿宋" w:hAnsi="仿宋" w:eastAsia="仿宋"/>
          <w:color w:val="auto"/>
          <w:sz w:val="24"/>
          <w:szCs w:val="24"/>
          <w:highlight w:val="none"/>
        </w:rPr>
        <w:t>电话：                                 传真：</w:t>
      </w:r>
    </w:p>
    <w:p w14:paraId="6E5BCF80">
      <w:pPr>
        <w:tabs>
          <w:tab w:val="left" w:pos="6300"/>
        </w:tabs>
        <w:snapToGrid w:val="0"/>
        <w:spacing w:line="312" w:lineRule="auto"/>
        <w:ind w:firstLine="570"/>
        <w:rPr>
          <w:rFonts w:hint="eastAsia" w:ascii="仿宋" w:hAnsi="仿宋" w:eastAsia="仿宋"/>
          <w:color w:val="auto"/>
          <w:sz w:val="24"/>
          <w:szCs w:val="24"/>
          <w:highlight w:val="none"/>
        </w:rPr>
      </w:pPr>
      <w:r>
        <w:rPr>
          <w:rFonts w:hint="eastAsia" w:ascii="仿宋" w:hAnsi="仿宋" w:eastAsia="仿宋"/>
          <w:color w:val="auto"/>
          <w:sz w:val="24"/>
          <w:szCs w:val="24"/>
          <w:highlight w:val="none"/>
        </w:rPr>
        <w:t>网址：                                 邮编：</w:t>
      </w:r>
    </w:p>
    <w:p w14:paraId="1A66A077">
      <w:pPr>
        <w:tabs>
          <w:tab w:val="left" w:pos="6300"/>
        </w:tabs>
        <w:snapToGrid w:val="0"/>
        <w:spacing w:line="312" w:lineRule="auto"/>
        <w:ind w:firstLine="570"/>
        <w:rPr>
          <w:rFonts w:hint="eastAsia" w:ascii="仿宋" w:hAnsi="仿宋" w:eastAsia="仿宋"/>
          <w:color w:val="auto"/>
          <w:sz w:val="24"/>
          <w:szCs w:val="24"/>
          <w:highlight w:val="none"/>
        </w:rPr>
      </w:pPr>
      <w:r>
        <w:rPr>
          <w:rFonts w:hint="eastAsia" w:ascii="仿宋" w:hAnsi="仿宋" w:eastAsia="仿宋"/>
          <w:color w:val="auto"/>
          <w:sz w:val="24"/>
          <w:szCs w:val="24"/>
          <w:highlight w:val="none"/>
        </w:rPr>
        <w:t>联系人：</w:t>
      </w:r>
    </w:p>
    <w:p w14:paraId="414C127D">
      <w:pPr>
        <w:snapToGrid w:val="0"/>
        <w:spacing w:line="312" w:lineRule="auto"/>
        <w:ind w:firstLine="5280" w:firstLineChars="2200"/>
        <w:rPr>
          <w:rFonts w:hint="eastAsia" w:ascii="仿宋" w:hAnsi="仿宋" w:eastAsia="仿宋"/>
          <w:color w:val="auto"/>
          <w:sz w:val="24"/>
          <w:szCs w:val="24"/>
          <w:highlight w:val="none"/>
        </w:rPr>
      </w:pPr>
      <w:r>
        <w:rPr>
          <w:rFonts w:hint="eastAsia" w:ascii="仿宋" w:hAnsi="仿宋" w:eastAsia="仿宋"/>
          <w:color w:val="auto"/>
          <w:sz w:val="24"/>
          <w:szCs w:val="24"/>
          <w:highlight w:val="none"/>
        </w:rPr>
        <w:t>年 月 日</w:t>
      </w:r>
    </w:p>
    <w:p w14:paraId="48B2F51E">
      <w:pPr>
        <w:pStyle w:val="78"/>
        <w:rPr>
          <w:rFonts w:eastAsia="仿宋"/>
          <w:color w:val="auto"/>
          <w:highlight w:val="none"/>
        </w:rPr>
      </w:pPr>
    </w:p>
    <w:p w14:paraId="3DEFF6E0">
      <w:pPr>
        <w:pStyle w:val="78"/>
        <w:rPr>
          <w:rFonts w:eastAsia="仿宋"/>
          <w:color w:val="auto"/>
          <w:highlight w:val="none"/>
        </w:rPr>
      </w:pPr>
    </w:p>
    <w:p w14:paraId="706C9722">
      <w:pPr>
        <w:pStyle w:val="78"/>
        <w:rPr>
          <w:rFonts w:eastAsia="仿宋"/>
          <w:color w:val="auto"/>
          <w:highlight w:val="none"/>
        </w:rPr>
      </w:pPr>
    </w:p>
    <w:p w14:paraId="182E7782">
      <w:pPr>
        <w:pStyle w:val="78"/>
        <w:rPr>
          <w:rFonts w:eastAsia="仿宋"/>
          <w:color w:val="auto"/>
          <w:highlight w:val="none"/>
        </w:rPr>
      </w:pPr>
    </w:p>
    <w:p w14:paraId="7C368A62">
      <w:pPr>
        <w:pStyle w:val="78"/>
        <w:rPr>
          <w:rFonts w:eastAsia="仿宋"/>
          <w:color w:val="auto"/>
          <w:highlight w:val="none"/>
        </w:rPr>
      </w:pPr>
    </w:p>
    <w:p w14:paraId="2C631AA3">
      <w:pPr>
        <w:pStyle w:val="78"/>
        <w:rPr>
          <w:rFonts w:eastAsia="仿宋"/>
          <w:color w:val="auto"/>
          <w:highlight w:val="none"/>
        </w:rPr>
      </w:pPr>
    </w:p>
    <w:p w14:paraId="67A4BBDB">
      <w:pPr>
        <w:pStyle w:val="78"/>
        <w:rPr>
          <w:rFonts w:eastAsia="仿宋"/>
          <w:color w:val="auto"/>
          <w:highlight w:val="none"/>
        </w:rPr>
      </w:pPr>
    </w:p>
    <w:p w14:paraId="6134E88C">
      <w:pPr>
        <w:pStyle w:val="78"/>
        <w:rPr>
          <w:rFonts w:eastAsia="仿宋"/>
          <w:color w:val="auto"/>
          <w:highlight w:val="none"/>
        </w:rPr>
      </w:pPr>
    </w:p>
    <w:p w14:paraId="5D8EF398">
      <w:pPr>
        <w:pStyle w:val="78"/>
        <w:rPr>
          <w:rFonts w:eastAsia="仿宋"/>
          <w:color w:val="auto"/>
          <w:highlight w:val="none"/>
        </w:rPr>
      </w:pPr>
    </w:p>
    <w:p w14:paraId="07604F27">
      <w:pPr>
        <w:pStyle w:val="78"/>
        <w:rPr>
          <w:rFonts w:eastAsia="仿宋"/>
          <w:color w:val="auto"/>
          <w:highlight w:val="none"/>
        </w:rPr>
      </w:pPr>
    </w:p>
    <w:p w14:paraId="639CA55D">
      <w:pPr>
        <w:pStyle w:val="78"/>
        <w:rPr>
          <w:rFonts w:eastAsia="仿宋"/>
          <w:color w:val="auto"/>
          <w:highlight w:val="none"/>
        </w:rPr>
      </w:pPr>
    </w:p>
    <w:p w14:paraId="12A20E59">
      <w:pPr>
        <w:pStyle w:val="78"/>
        <w:rPr>
          <w:rFonts w:eastAsia="仿宋"/>
          <w:color w:val="auto"/>
          <w:highlight w:val="none"/>
        </w:rPr>
      </w:pPr>
    </w:p>
    <w:p w14:paraId="600C024E">
      <w:pPr>
        <w:pStyle w:val="78"/>
        <w:rPr>
          <w:rFonts w:eastAsia="仿宋"/>
          <w:color w:val="auto"/>
          <w:highlight w:val="none"/>
        </w:rPr>
      </w:pPr>
    </w:p>
    <w:p w14:paraId="0BCF2B7E">
      <w:pPr>
        <w:pStyle w:val="78"/>
        <w:rPr>
          <w:rFonts w:eastAsia="仿宋"/>
          <w:color w:val="auto"/>
          <w:highlight w:val="none"/>
        </w:rPr>
      </w:pPr>
    </w:p>
    <w:p w14:paraId="732B8DAE">
      <w:pPr>
        <w:pStyle w:val="78"/>
        <w:rPr>
          <w:rFonts w:eastAsia="仿宋"/>
          <w:color w:val="auto"/>
          <w:highlight w:val="none"/>
        </w:rPr>
      </w:pPr>
    </w:p>
    <w:p w14:paraId="10231CED">
      <w:pPr>
        <w:pStyle w:val="78"/>
        <w:rPr>
          <w:rFonts w:eastAsia="仿宋"/>
          <w:color w:val="auto"/>
          <w:highlight w:val="none"/>
        </w:rPr>
      </w:pPr>
    </w:p>
    <w:p w14:paraId="7EB9DED9">
      <w:pPr>
        <w:rPr>
          <w:color w:val="auto"/>
          <w:highlight w:val="none"/>
        </w:rPr>
      </w:pPr>
    </w:p>
    <w:p w14:paraId="33318858">
      <w:pPr>
        <w:snapToGrid w:val="0"/>
        <w:spacing w:line="500" w:lineRule="exact"/>
        <w:ind w:firstLine="560"/>
        <w:rPr>
          <w:rFonts w:hint="eastAsia" w:ascii="仿宋" w:hAnsi="仿宋" w:eastAsia="仿宋"/>
          <w:b/>
          <w:color w:val="auto"/>
          <w:szCs w:val="22"/>
          <w:highlight w:val="none"/>
        </w:rPr>
      </w:pPr>
      <w:r>
        <w:rPr>
          <w:rFonts w:hint="eastAsia" w:ascii="仿宋" w:hAnsi="仿宋" w:eastAsia="仿宋"/>
          <w:b/>
          <w:color w:val="auto"/>
          <w:highlight w:val="none"/>
        </w:rPr>
        <w:t>（二）分项报价明细表</w:t>
      </w:r>
    </w:p>
    <w:p w14:paraId="009E61D5">
      <w:pPr>
        <w:snapToGrid w:val="0"/>
        <w:spacing w:line="500" w:lineRule="exact"/>
        <w:jc w:val="center"/>
        <w:rPr>
          <w:rFonts w:hint="eastAsia" w:ascii="仿宋" w:hAnsi="仿宋" w:eastAsia="仿宋"/>
          <w:color w:val="auto"/>
          <w:sz w:val="24"/>
          <w:highlight w:val="none"/>
        </w:rPr>
      </w:pPr>
      <w:r>
        <w:rPr>
          <w:rFonts w:hint="eastAsia" w:ascii="仿宋" w:hAnsi="仿宋" w:eastAsia="仿宋"/>
          <w:color w:val="auto"/>
          <w:sz w:val="24"/>
          <w:highlight w:val="none"/>
        </w:rPr>
        <w:t>分项报价明细表</w:t>
      </w:r>
    </w:p>
    <w:p w14:paraId="179A0040">
      <w:pPr>
        <w:snapToGrid w:val="0"/>
        <w:spacing w:line="500" w:lineRule="exact"/>
        <w:rPr>
          <w:rFonts w:hint="eastAsia" w:ascii="仿宋" w:hAnsi="仿宋" w:eastAsia="仿宋"/>
          <w:color w:val="auto"/>
          <w:sz w:val="24"/>
          <w:highlight w:val="none"/>
        </w:rPr>
      </w:pPr>
      <w:r>
        <w:rPr>
          <w:rFonts w:hint="eastAsia" w:ascii="仿宋" w:hAnsi="仿宋" w:eastAsia="仿宋"/>
          <w:color w:val="auto"/>
          <w:sz w:val="24"/>
          <w:highlight w:val="none"/>
        </w:rPr>
        <w:t>采购项目名称：</w:t>
      </w:r>
    </w:p>
    <w:p w14:paraId="7F9D8B53">
      <w:pPr>
        <w:snapToGrid w:val="0"/>
        <w:spacing w:line="500" w:lineRule="exact"/>
        <w:jc w:val="right"/>
        <w:rPr>
          <w:rFonts w:hint="eastAsia" w:ascii="仿宋" w:hAnsi="仿宋" w:eastAsia="仿宋"/>
          <w:color w:val="auto"/>
          <w:sz w:val="24"/>
          <w:highlight w:val="none"/>
        </w:rPr>
      </w:pPr>
      <w:r>
        <w:rPr>
          <w:rFonts w:hint="eastAsia" w:ascii="仿宋" w:hAnsi="仿宋" w:eastAsia="仿宋"/>
          <w:color w:val="auto"/>
          <w:sz w:val="24"/>
          <w:highlight w:val="none"/>
        </w:rPr>
        <w:t>单位：元</w:t>
      </w:r>
    </w:p>
    <w:tbl>
      <w:tblPr>
        <w:tblStyle w:val="63"/>
        <w:tblW w:w="9628" w:type="dxa"/>
        <w:jc w:val="center"/>
        <w:tblLayout w:type="fixed"/>
        <w:tblCellMar>
          <w:top w:w="0" w:type="dxa"/>
          <w:left w:w="0" w:type="dxa"/>
          <w:bottom w:w="0" w:type="dxa"/>
          <w:right w:w="0" w:type="dxa"/>
        </w:tblCellMar>
      </w:tblPr>
      <w:tblGrid>
        <w:gridCol w:w="934"/>
        <w:gridCol w:w="934"/>
        <w:gridCol w:w="4958"/>
        <w:gridCol w:w="934"/>
        <w:gridCol w:w="934"/>
        <w:gridCol w:w="934"/>
      </w:tblGrid>
      <w:tr w14:paraId="2C7A55F7">
        <w:tblPrEx>
          <w:tblCellMar>
            <w:top w:w="0" w:type="dxa"/>
            <w:left w:w="0" w:type="dxa"/>
            <w:bottom w:w="0" w:type="dxa"/>
            <w:right w:w="0" w:type="dxa"/>
          </w:tblCellMar>
        </w:tblPrEx>
        <w:trPr>
          <w:trHeight w:val="535" w:hRule="exact"/>
          <w:jc w:val="center"/>
        </w:trPr>
        <w:tc>
          <w:tcPr>
            <w:tcW w:w="93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2E15FD70">
            <w:pPr>
              <w:snapToGrid w:val="0"/>
              <w:jc w:val="center"/>
              <w:rPr>
                <w:rFonts w:hint="eastAsia" w:ascii="仿宋" w:hAnsi="仿宋" w:eastAsia="仿宋"/>
                <w:bCs/>
                <w:color w:val="auto"/>
                <w:sz w:val="24"/>
                <w:szCs w:val="24"/>
                <w:highlight w:val="none"/>
              </w:rPr>
            </w:pPr>
            <w:r>
              <w:rPr>
                <w:rFonts w:hint="eastAsia" w:ascii="仿宋" w:hAnsi="仿宋" w:eastAsia="仿宋"/>
                <w:bCs/>
                <w:color w:val="auto"/>
                <w:sz w:val="24"/>
                <w:szCs w:val="24"/>
                <w:highlight w:val="none"/>
              </w:rPr>
              <w:t>序号</w:t>
            </w:r>
          </w:p>
        </w:tc>
        <w:tc>
          <w:tcPr>
            <w:tcW w:w="93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9846736">
            <w:pPr>
              <w:snapToGrid w:val="0"/>
              <w:jc w:val="center"/>
              <w:rPr>
                <w:rFonts w:hint="eastAsia" w:ascii="仿宋" w:hAnsi="仿宋" w:eastAsia="仿宋"/>
                <w:bCs/>
                <w:color w:val="auto"/>
                <w:sz w:val="24"/>
                <w:szCs w:val="24"/>
                <w:highlight w:val="none"/>
              </w:rPr>
            </w:pPr>
            <w:r>
              <w:rPr>
                <w:rFonts w:hint="eastAsia" w:ascii="仿宋" w:hAnsi="仿宋" w:eastAsia="仿宋"/>
                <w:bCs/>
                <w:color w:val="auto"/>
                <w:sz w:val="24"/>
                <w:szCs w:val="24"/>
                <w:highlight w:val="none"/>
              </w:rPr>
              <w:t>名称</w:t>
            </w:r>
          </w:p>
        </w:tc>
        <w:tc>
          <w:tcPr>
            <w:tcW w:w="49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3F86B10B">
            <w:pPr>
              <w:snapToGrid w:val="0"/>
              <w:jc w:val="center"/>
              <w:rPr>
                <w:rFonts w:hint="eastAsia" w:ascii="仿宋" w:hAnsi="仿宋" w:eastAsia="仿宋"/>
                <w:bCs/>
                <w:color w:val="auto"/>
                <w:sz w:val="24"/>
                <w:szCs w:val="24"/>
                <w:highlight w:val="none"/>
              </w:rPr>
            </w:pPr>
            <w:r>
              <w:rPr>
                <w:rFonts w:hint="eastAsia" w:ascii="仿宋" w:hAnsi="仿宋" w:eastAsia="仿宋"/>
                <w:bCs/>
                <w:color w:val="auto"/>
                <w:sz w:val="24"/>
                <w:szCs w:val="24"/>
                <w:highlight w:val="none"/>
              </w:rPr>
              <w:t>相关信息</w:t>
            </w:r>
          </w:p>
        </w:tc>
        <w:tc>
          <w:tcPr>
            <w:tcW w:w="93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CE06338">
            <w:pPr>
              <w:snapToGrid w:val="0"/>
              <w:jc w:val="center"/>
              <w:rPr>
                <w:rFonts w:hint="eastAsia" w:ascii="仿宋" w:hAnsi="仿宋" w:eastAsia="仿宋"/>
                <w:bCs/>
                <w:color w:val="auto"/>
                <w:sz w:val="24"/>
                <w:szCs w:val="24"/>
                <w:highlight w:val="none"/>
              </w:rPr>
            </w:pPr>
            <w:r>
              <w:rPr>
                <w:rFonts w:hint="eastAsia" w:ascii="仿宋" w:hAnsi="仿宋" w:eastAsia="仿宋"/>
                <w:bCs/>
                <w:color w:val="auto"/>
                <w:sz w:val="24"/>
                <w:szCs w:val="24"/>
                <w:highlight w:val="none"/>
              </w:rPr>
              <w:t>数量</w:t>
            </w:r>
          </w:p>
        </w:tc>
        <w:tc>
          <w:tcPr>
            <w:tcW w:w="93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AF942BF">
            <w:pPr>
              <w:snapToGrid w:val="0"/>
              <w:jc w:val="center"/>
              <w:rPr>
                <w:rFonts w:hint="eastAsia" w:ascii="仿宋" w:hAnsi="仿宋" w:eastAsia="仿宋"/>
                <w:bCs/>
                <w:color w:val="auto"/>
                <w:sz w:val="24"/>
                <w:szCs w:val="24"/>
                <w:highlight w:val="none"/>
              </w:rPr>
            </w:pPr>
            <w:r>
              <w:rPr>
                <w:rFonts w:hint="eastAsia" w:ascii="仿宋" w:hAnsi="仿宋" w:eastAsia="仿宋"/>
                <w:bCs/>
                <w:color w:val="auto"/>
                <w:sz w:val="24"/>
                <w:szCs w:val="24"/>
                <w:highlight w:val="none"/>
              </w:rPr>
              <w:t>单价</w:t>
            </w:r>
          </w:p>
        </w:tc>
        <w:tc>
          <w:tcPr>
            <w:tcW w:w="93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CA5763E">
            <w:pPr>
              <w:snapToGrid w:val="0"/>
              <w:jc w:val="center"/>
              <w:rPr>
                <w:rFonts w:hint="eastAsia" w:ascii="仿宋" w:hAnsi="仿宋" w:eastAsia="仿宋"/>
                <w:bCs/>
                <w:color w:val="auto"/>
                <w:sz w:val="24"/>
                <w:szCs w:val="24"/>
                <w:highlight w:val="none"/>
              </w:rPr>
            </w:pPr>
            <w:r>
              <w:rPr>
                <w:rFonts w:hint="eastAsia" w:ascii="仿宋" w:hAnsi="仿宋" w:eastAsia="仿宋"/>
                <w:bCs/>
                <w:color w:val="auto"/>
                <w:sz w:val="24"/>
                <w:szCs w:val="24"/>
                <w:highlight w:val="none"/>
              </w:rPr>
              <w:t>合计</w:t>
            </w:r>
          </w:p>
        </w:tc>
      </w:tr>
      <w:tr w14:paraId="6CF68F36">
        <w:tblPrEx>
          <w:tblCellMar>
            <w:top w:w="0" w:type="dxa"/>
            <w:left w:w="0" w:type="dxa"/>
            <w:bottom w:w="0" w:type="dxa"/>
            <w:right w:w="0" w:type="dxa"/>
          </w:tblCellMar>
        </w:tblPrEx>
        <w:trPr>
          <w:trHeight w:val="397" w:hRule="exact"/>
          <w:jc w:val="center"/>
        </w:trPr>
        <w:tc>
          <w:tcPr>
            <w:tcW w:w="93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3F3215B9">
            <w:pPr>
              <w:snapToGrid w:val="0"/>
              <w:spacing w:line="240" w:lineRule="atLeast"/>
              <w:jc w:val="center"/>
              <w:rPr>
                <w:rFonts w:hint="eastAsia" w:ascii="仿宋" w:hAnsi="仿宋" w:eastAsia="仿宋"/>
                <w:bCs/>
                <w:color w:val="auto"/>
                <w:sz w:val="24"/>
                <w:szCs w:val="24"/>
                <w:highlight w:val="none"/>
              </w:rPr>
            </w:pPr>
            <w:r>
              <w:rPr>
                <w:rFonts w:hint="eastAsia" w:ascii="仿宋" w:hAnsi="仿宋" w:eastAsia="仿宋"/>
                <w:bCs/>
                <w:color w:val="auto"/>
                <w:sz w:val="24"/>
                <w:szCs w:val="24"/>
                <w:highlight w:val="none"/>
              </w:rPr>
              <w:t>1</w:t>
            </w:r>
          </w:p>
        </w:tc>
        <w:tc>
          <w:tcPr>
            <w:tcW w:w="93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53AC62F2">
            <w:pPr>
              <w:snapToGrid w:val="0"/>
              <w:jc w:val="center"/>
              <w:rPr>
                <w:rFonts w:hint="eastAsia" w:ascii="仿宋" w:hAnsi="仿宋" w:eastAsia="仿宋"/>
                <w:bCs/>
                <w:color w:val="auto"/>
                <w:sz w:val="24"/>
                <w:szCs w:val="24"/>
                <w:highlight w:val="none"/>
              </w:rPr>
            </w:pPr>
          </w:p>
        </w:tc>
        <w:tc>
          <w:tcPr>
            <w:tcW w:w="49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73BB91CF">
            <w:pPr>
              <w:snapToGrid w:val="0"/>
              <w:jc w:val="center"/>
              <w:rPr>
                <w:rFonts w:hint="eastAsia" w:ascii="仿宋" w:hAnsi="仿宋" w:eastAsia="仿宋"/>
                <w:bCs/>
                <w:color w:val="auto"/>
                <w:sz w:val="24"/>
                <w:szCs w:val="24"/>
                <w:highlight w:val="none"/>
              </w:rPr>
            </w:pPr>
          </w:p>
        </w:tc>
        <w:tc>
          <w:tcPr>
            <w:tcW w:w="93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22D033A">
            <w:pPr>
              <w:snapToGrid w:val="0"/>
              <w:jc w:val="center"/>
              <w:rPr>
                <w:rFonts w:hint="eastAsia" w:ascii="仿宋" w:hAnsi="仿宋" w:eastAsia="仿宋"/>
                <w:bCs/>
                <w:color w:val="auto"/>
                <w:sz w:val="24"/>
                <w:szCs w:val="24"/>
                <w:highlight w:val="none"/>
              </w:rPr>
            </w:pPr>
          </w:p>
        </w:tc>
        <w:tc>
          <w:tcPr>
            <w:tcW w:w="93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45647658">
            <w:pPr>
              <w:snapToGrid w:val="0"/>
              <w:jc w:val="center"/>
              <w:rPr>
                <w:rFonts w:hint="eastAsia" w:ascii="仿宋" w:hAnsi="仿宋" w:eastAsia="仿宋"/>
                <w:bCs/>
                <w:color w:val="auto"/>
                <w:sz w:val="24"/>
                <w:szCs w:val="24"/>
                <w:highlight w:val="none"/>
              </w:rPr>
            </w:pPr>
          </w:p>
        </w:tc>
        <w:tc>
          <w:tcPr>
            <w:tcW w:w="93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69DD1419">
            <w:pPr>
              <w:snapToGrid w:val="0"/>
              <w:jc w:val="center"/>
              <w:rPr>
                <w:rFonts w:hint="eastAsia" w:ascii="仿宋" w:hAnsi="仿宋" w:eastAsia="仿宋"/>
                <w:bCs/>
                <w:color w:val="auto"/>
                <w:sz w:val="24"/>
                <w:szCs w:val="24"/>
                <w:highlight w:val="none"/>
              </w:rPr>
            </w:pPr>
          </w:p>
        </w:tc>
      </w:tr>
      <w:tr w14:paraId="15E5FBA3">
        <w:tblPrEx>
          <w:tblCellMar>
            <w:top w:w="0" w:type="dxa"/>
            <w:left w:w="0" w:type="dxa"/>
            <w:bottom w:w="0" w:type="dxa"/>
            <w:right w:w="0" w:type="dxa"/>
          </w:tblCellMar>
        </w:tblPrEx>
        <w:trPr>
          <w:trHeight w:val="397" w:hRule="exact"/>
          <w:jc w:val="center"/>
        </w:trPr>
        <w:tc>
          <w:tcPr>
            <w:tcW w:w="93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28AF52F">
            <w:pPr>
              <w:snapToGrid w:val="0"/>
              <w:spacing w:line="240" w:lineRule="atLeast"/>
              <w:jc w:val="center"/>
              <w:rPr>
                <w:rFonts w:hint="eastAsia" w:ascii="仿宋" w:hAnsi="仿宋" w:eastAsia="仿宋"/>
                <w:bCs/>
                <w:color w:val="auto"/>
                <w:sz w:val="24"/>
                <w:szCs w:val="24"/>
                <w:highlight w:val="none"/>
              </w:rPr>
            </w:pPr>
            <w:r>
              <w:rPr>
                <w:rFonts w:hint="eastAsia" w:ascii="仿宋" w:hAnsi="仿宋" w:eastAsia="仿宋"/>
                <w:bCs/>
                <w:color w:val="auto"/>
                <w:sz w:val="24"/>
                <w:szCs w:val="24"/>
                <w:highlight w:val="none"/>
              </w:rPr>
              <w:t>2</w:t>
            </w:r>
          </w:p>
        </w:tc>
        <w:tc>
          <w:tcPr>
            <w:tcW w:w="93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F1DA652">
            <w:pPr>
              <w:snapToGrid w:val="0"/>
              <w:jc w:val="center"/>
              <w:rPr>
                <w:rFonts w:hint="eastAsia" w:ascii="仿宋" w:hAnsi="仿宋" w:eastAsia="仿宋"/>
                <w:bCs/>
                <w:color w:val="auto"/>
                <w:sz w:val="24"/>
                <w:szCs w:val="24"/>
                <w:highlight w:val="none"/>
              </w:rPr>
            </w:pPr>
          </w:p>
        </w:tc>
        <w:tc>
          <w:tcPr>
            <w:tcW w:w="49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4A489795">
            <w:pPr>
              <w:snapToGrid w:val="0"/>
              <w:jc w:val="center"/>
              <w:rPr>
                <w:rFonts w:hint="eastAsia" w:ascii="仿宋" w:hAnsi="仿宋" w:eastAsia="仿宋"/>
                <w:bCs/>
                <w:color w:val="auto"/>
                <w:sz w:val="24"/>
                <w:szCs w:val="24"/>
                <w:highlight w:val="none"/>
              </w:rPr>
            </w:pPr>
          </w:p>
        </w:tc>
        <w:tc>
          <w:tcPr>
            <w:tcW w:w="93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20FC9E6C">
            <w:pPr>
              <w:snapToGrid w:val="0"/>
              <w:jc w:val="center"/>
              <w:rPr>
                <w:rFonts w:hint="eastAsia" w:ascii="仿宋" w:hAnsi="仿宋" w:eastAsia="仿宋"/>
                <w:bCs/>
                <w:color w:val="auto"/>
                <w:sz w:val="24"/>
                <w:szCs w:val="24"/>
                <w:highlight w:val="none"/>
              </w:rPr>
            </w:pPr>
          </w:p>
        </w:tc>
        <w:tc>
          <w:tcPr>
            <w:tcW w:w="93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45EDCF11">
            <w:pPr>
              <w:snapToGrid w:val="0"/>
              <w:jc w:val="center"/>
              <w:rPr>
                <w:rFonts w:hint="eastAsia" w:ascii="仿宋" w:hAnsi="仿宋" w:eastAsia="仿宋"/>
                <w:bCs/>
                <w:color w:val="auto"/>
                <w:sz w:val="24"/>
                <w:szCs w:val="24"/>
                <w:highlight w:val="none"/>
              </w:rPr>
            </w:pPr>
          </w:p>
        </w:tc>
        <w:tc>
          <w:tcPr>
            <w:tcW w:w="93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03FA45F0">
            <w:pPr>
              <w:snapToGrid w:val="0"/>
              <w:jc w:val="center"/>
              <w:rPr>
                <w:rFonts w:hint="eastAsia" w:ascii="仿宋" w:hAnsi="仿宋" w:eastAsia="仿宋"/>
                <w:bCs/>
                <w:color w:val="auto"/>
                <w:sz w:val="24"/>
                <w:szCs w:val="24"/>
                <w:highlight w:val="none"/>
              </w:rPr>
            </w:pPr>
          </w:p>
        </w:tc>
      </w:tr>
      <w:tr w14:paraId="4B91CF9C">
        <w:tblPrEx>
          <w:tblCellMar>
            <w:top w:w="0" w:type="dxa"/>
            <w:left w:w="0" w:type="dxa"/>
            <w:bottom w:w="0" w:type="dxa"/>
            <w:right w:w="0" w:type="dxa"/>
          </w:tblCellMar>
        </w:tblPrEx>
        <w:trPr>
          <w:trHeight w:val="397" w:hRule="exact"/>
          <w:jc w:val="center"/>
        </w:trPr>
        <w:tc>
          <w:tcPr>
            <w:tcW w:w="93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5F3445A">
            <w:pPr>
              <w:snapToGrid w:val="0"/>
              <w:spacing w:line="240" w:lineRule="atLeast"/>
              <w:jc w:val="center"/>
              <w:rPr>
                <w:rFonts w:hint="eastAsia" w:ascii="仿宋" w:hAnsi="仿宋" w:eastAsia="仿宋"/>
                <w:bCs/>
                <w:color w:val="auto"/>
                <w:sz w:val="24"/>
                <w:szCs w:val="24"/>
                <w:highlight w:val="none"/>
              </w:rPr>
            </w:pPr>
            <w:r>
              <w:rPr>
                <w:rFonts w:hint="eastAsia" w:ascii="仿宋" w:hAnsi="仿宋" w:eastAsia="仿宋"/>
                <w:bCs/>
                <w:color w:val="auto"/>
                <w:sz w:val="24"/>
                <w:szCs w:val="24"/>
                <w:highlight w:val="none"/>
              </w:rPr>
              <w:t>3</w:t>
            </w:r>
          </w:p>
        </w:tc>
        <w:tc>
          <w:tcPr>
            <w:tcW w:w="93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4AF53A8F">
            <w:pPr>
              <w:snapToGrid w:val="0"/>
              <w:jc w:val="center"/>
              <w:rPr>
                <w:rFonts w:hint="eastAsia" w:ascii="仿宋" w:hAnsi="仿宋" w:eastAsia="仿宋"/>
                <w:bCs/>
                <w:color w:val="auto"/>
                <w:sz w:val="24"/>
                <w:szCs w:val="24"/>
                <w:highlight w:val="none"/>
              </w:rPr>
            </w:pPr>
          </w:p>
        </w:tc>
        <w:tc>
          <w:tcPr>
            <w:tcW w:w="49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3D9352EC">
            <w:pPr>
              <w:snapToGrid w:val="0"/>
              <w:jc w:val="center"/>
              <w:rPr>
                <w:rFonts w:hint="eastAsia" w:ascii="仿宋" w:hAnsi="仿宋" w:eastAsia="仿宋"/>
                <w:bCs/>
                <w:color w:val="auto"/>
                <w:sz w:val="24"/>
                <w:szCs w:val="24"/>
                <w:highlight w:val="none"/>
              </w:rPr>
            </w:pPr>
          </w:p>
        </w:tc>
        <w:tc>
          <w:tcPr>
            <w:tcW w:w="93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2B96502D">
            <w:pPr>
              <w:snapToGrid w:val="0"/>
              <w:jc w:val="center"/>
              <w:rPr>
                <w:rFonts w:hint="eastAsia" w:ascii="仿宋" w:hAnsi="仿宋" w:eastAsia="仿宋"/>
                <w:bCs/>
                <w:color w:val="auto"/>
                <w:sz w:val="24"/>
                <w:szCs w:val="24"/>
                <w:highlight w:val="none"/>
              </w:rPr>
            </w:pPr>
          </w:p>
        </w:tc>
        <w:tc>
          <w:tcPr>
            <w:tcW w:w="93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0E4043B6">
            <w:pPr>
              <w:snapToGrid w:val="0"/>
              <w:jc w:val="center"/>
              <w:rPr>
                <w:rFonts w:hint="eastAsia" w:ascii="仿宋" w:hAnsi="仿宋" w:eastAsia="仿宋"/>
                <w:bCs/>
                <w:color w:val="auto"/>
                <w:sz w:val="24"/>
                <w:szCs w:val="24"/>
                <w:highlight w:val="none"/>
              </w:rPr>
            </w:pPr>
          </w:p>
        </w:tc>
        <w:tc>
          <w:tcPr>
            <w:tcW w:w="93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1447A5DA">
            <w:pPr>
              <w:snapToGrid w:val="0"/>
              <w:jc w:val="center"/>
              <w:rPr>
                <w:rFonts w:hint="eastAsia" w:ascii="仿宋" w:hAnsi="仿宋" w:eastAsia="仿宋"/>
                <w:bCs/>
                <w:color w:val="auto"/>
                <w:sz w:val="24"/>
                <w:szCs w:val="24"/>
                <w:highlight w:val="none"/>
              </w:rPr>
            </w:pPr>
          </w:p>
        </w:tc>
      </w:tr>
      <w:tr w14:paraId="565AD167">
        <w:tblPrEx>
          <w:tblCellMar>
            <w:top w:w="0" w:type="dxa"/>
            <w:left w:w="0" w:type="dxa"/>
            <w:bottom w:w="0" w:type="dxa"/>
            <w:right w:w="0" w:type="dxa"/>
          </w:tblCellMar>
        </w:tblPrEx>
        <w:trPr>
          <w:trHeight w:val="397" w:hRule="exact"/>
          <w:jc w:val="center"/>
        </w:trPr>
        <w:tc>
          <w:tcPr>
            <w:tcW w:w="93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EB383E4">
            <w:pPr>
              <w:snapToGrid w:val="0"/>
              <w:spacing w:line="240" w:lineRule="atLeast"/>
              <w:jc w:val="center"/>
              <w:rPr>
                <w:rFonts w:hint="eastAsia" w:ascii="仿宋" w:hAnsi="仿宋" w:eastAsia="仿宋"/>
                <w:bCs/>
                <w:color w:val="auto"/>
                <w:sz w:val="24"/>
                <w:szCs w:val="24"/>
                <w:highlight w:val="none"/>
              </w:rPr>
            </w:pPr>
            <w:r>
              <w:rPr>
                <w:rFonts w:hint="eastAsia" w:ascii="仿宋" w:hAnsi="仿宋" w:eastAsia="仿宋"/>
                <w:bCs/>
                <w:color w:val="auto"/>
                <w:sz w:val="24"/>
                <w:szCs w:val="24"/>
                <w:highlight w:val="none"/>
              </w:rPr>
              <w:t>4</w:t>
            </w:r>
          </w:p>
        </w:tc>
        <w:tc>
          <w:tcPr>
            <w:tcW w:w="93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3269317E">
            <w:pPr>
              <w:snapToGrid w:val="0"/>
              <w:jc w:val="center"/>
              <w:rPr>
                <w:rFonts w:hint="eastAsia" w:ascii="仿宋" w:hAnsi="仿宋" w:eastAsia="仿宋"/>
                <w:bCs/>
                <w:color w:val="auto"/>
                <w:sz w:val="24"/>
                <w:szCs w:val="24"/>
                <w:highlight w:val="none"/>
              </w:rPr>
            </w:pPr>
          </w:p>
        </w:tc>
        <w:tc>
          <w:tcPr>
            <w:tcW w:w="49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550454EE">
            <w:pPr>
              <w:snapToGrid w:val="0"/>
              <w:jc w:val="center"/>
              <w:rPr>
                <w:rFonts w:hint="eastAsia" w:ascii="仿宋" w:hAnsi="仿宋" w:eastAsia="仿宋"/>
                <w:bCs/>
                <w:color w:val="auto"/>
                <w:sz w:val="24"/>
                <w:szCs w:val="24"/>
                <w:highlight w:val="none"/>
              </w:rPr>
            </w:pPr>
          </w:p>
        </w:tc>
        <w:tc>
          <w:tcPr>
            <w:tcW w:w="93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EB8FE7F">
            <w:pPr>
              <w:snapToGrid w:val="0"/>
              <w:jc w:val="center"/>
              <w:rPr>
                <w:rFonts w:hint="eastAsia" w:ascii="仿宋" w:hAnsi="仿宋" w:eastAsia="仿宋"/>
                <w:bCs/>
                <w:color w:val="auto"/>
                <w:sz w:val="24"/>
                <w:szCs w:val="24"/>
                <w:highlight w:val="none"/>
              </w:rPr>
            </w:pPr>
          </w:p>
        </w:tc>
        <w:tc>
          <w:tcPr>
            <w:tcW w:w="93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23DAED4B">
            <w:pPr>
              <w:snapToGrid w:val="0"/>
              <w:jc w:val="center"/>
              <w:rPr>
                <w:rFonts w:hint="eastAsia" w:ascii="仿宋" w:hAnsi="仿宋" w:eastAsia="仿宋"/>
                <w:bCs/>
                <w:color w:val="auto"/>
                <w:sz w:val="24"/>
                <w:szCs w:val="24"/>
                <w:highlight w:val="none"/>
              </w:rPr>
            </w:pPr>
          </w:p>
        </w:tc>
        <w:tc>
          <w:tcPr>
            <w:tcW w:w="93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763684BF">
            <w:pPr>
              <w:snapToGrid w:val="0"/>
              <w:jc w:val="center"/>
              <w:rPr>
                <w:rFonts w:hint="eastAsia" w:ascii="仿宋" w:hAnsi="仿宋" w:eastAsia="仿宋"/>
                <w:bCs/>
                <w:color w:val="auto"/>
                <w:sz w:val="24"/>
                <w:szCs w:val="24"/>
                <w:highlight w:val="none"/>
              </w:rPr>
            </w:pPr>
          </w:p>
        </w:tc>
      </w:tr>
      <w:tr w14:paraId="716B4286">
        <w:tblPrEx>
          <w:tblCellMar>
            <w:top w:w="0" w:type="dxa"/>
            <w:left w:w="0" w:type="dxa"/>
            <w:bottom w:w="0" w:type="dxa"/>
            <w:right w:w="0" w:type="dxa"/>
          </w:tblCellMar>
        </w:tblPrEx>
        <w:trPr>
          <w:trHeight w:val="397" w:hRule="exact"/>
          <w:jc w:val="center"/>
        </w:trPr>
        <w:tc>
          <w:tcPr>
            <w:tcW w:w="93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5CEA258">
            <w:pPr>
              <w:snapToGrid w:val="0"/>
              <w:spacing w:line="240" w:lineRule="atLeast"/>
              <w:jc w:val="center"/>
              <w:rPr>
                <w:rFonts w:hint="eastAsia" w:ascii="仿宋" w:hAnsi="仿宋" w:eastAsia="仿宋"/>
                <w:bCs/>
                <w:color w:val="auto"/>
                <w:sz w:val="24"/>
                <w:szCs w:val="24"/>
                <w:highlight w:val="none"/>
              </w:rPr>
            </w:pPr>
            <w:r>
              <w:rPr>
                <w:rFonts w:hint="eastAsia" w:ascii="仿宋" w:hAnsi="仿宋" w:eastAsia="仿宋"/>
                <w:bCs/>
                <w:color w:val="auto"/>
                <w:sz w:val="24"/>
                <w:szCs w:val="24"/>
                <w:highlight w:val="none"/>
              </w:rPr>
              <w:t>5</w:t>
            </w:r>
          </w:p>
        </w:tc>
        <w:tc>
          <w:tcPr>
            <w:tcW w:w="93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57FFD9C3">
            <w:pPr>
              <w:snapToGrid w:val="0"/>
              <w:jc w:val="center"/>
              <w:rPr>
                <w:rFonts w:hint="eastAsia" w:ascii="仿宋" w:hAnsi="仿宋" w:eastAsia="仿宋"/>
                <w:bCs/>
                <w:color w:val="auto"/>
                <w:sz w:val="24"/>
                <w:szCs w:val="24"/>
                <w:highlight w:val="none"/>
              </w:rPr>
            </w:pPr>
          </w:p>
        </w:tc>
        <w:tc>
          <w:tcPr>
            <w:tcW w:w="49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02FCD920">
            <w:pPr>
              <w:snapToGrid w:val="0"/>
              <w:jc w:val="center"/>
              <w:rPr>
                <w:rFonts w:hint="eastAsia" w:ascii="仿宋" w:hAnsi="仿宋" w:eastAsia="仿宋"/>
                <w:bCs/>
                <w:color w:val="auto"/>
                <w:sz w:val="24"/>
                <w:szCs w:val="24"/>
                <w:highlight w:val="none"/>
              </w:rPr>
            </w:pPr>
          </w:p>
        </w:tc>
        <w:tc>
          <w:tcPr>
            <w:tcW w:w="93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3C4D21DB">
            <w:pPr>
              <w:snapToGrid w:val="0"/>
              <w:jc w:val="center"/>
              <w:rPr>
                <w:rFonts w:hint="eastAsia" w:ascii="仿宋" w:hAnsi="仿宋" w:eastAsia="仿宋"/>
                <w:bCs/>
                <w:color w:val="auto"/>
                <w:sz w:val="24"/>
                <w:szCs w:val="24"/>
                <w:highlight w:val="none"/>
              </w:rPr>
            </w:pPr>
          </w:p>
        </w:tc>
        <w:tc>
          <w:tcPr>
            <w:tcW w:w="93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1CBBC25C">
            <w:pPr>
              <w:snapToGrid w:val="0"/>
              <w:jc w:val="center"/>
              <w:rPr>
                <w:rFonts w:hint="eastAsia" w:ascii="仿宋" w:hAnsi="仿宋" w:eastAsia="仿宋"/>
                <w:bCs/>
                <w:color w:val="auto"/>
                <w:sz w:val="24"/>
                <w:szCs w:val="24"/>
                <w:highlight w:val="none"/>
              </w:rPr>
            </w:pPr>
          </w:p>
        </w:tc>
        <w:tc>
          <w:tcPr>
            <w:tcW w:w="93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6CF51098">
            <w:pPr>
              <w:snapToGrid w:val="0"/>
              <w:jc w:val="center"/>
              <w:rPr>
                <w:rFonts w:hint="eastAsia" w:ascii="仿宋" w:hAnsi="仿宋" w:eastAsia="仿宋"/>
                <w:bCs/>
                <w:color w:val="auto"/>
                <w:sz w:val="24"/>
                <w:szCs w:val="24"/>
                <w:highlight w:val="none"/>
              </w:rPr>
            </w:pPr>
          </w:p>
        </w:tc>
      </w:tr>
      <w:tr w14:paraId="0445525B">
        <w:tblPrEx>
          <w:tblCellMar>
            <w:top w:w="0" w:type="dxa"/>
            <w:left w:w="0" w:type="dxa"/>
            <w:bottom w:w="0" w:type="dxa"/>
            <w:right w:w="0" w:type="dxa"/>
          </w:tblCellMar>
        </w:tblPrEx>
        <w:trPr>
          <w:trHeight w:val="397" w:hRule="exact"/>
          <w:jc w:val="center"/>
        </w:trPr>
        <w:tc>
          <w:tcPr>
            <w:tcW w:w="93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421F4C16">
            <w:pPr>
              <w:snapToGrid w:val="0"/>
              <w:spacing w:line="240" w:lineRule="atLeast"/>
              <w:jc w:val="center"/>
              <w:rPr>
                <w:rFonts w:hint="eastAsia" w:ascii="仿宋" w:hAnsi="仿宋" w:eastAsia="仿宋"/>
                <w:bCs/>
                <w:color w:val="auto"/>
                <w:sz w:val="24"/>
                <w:szCs w:val="24"/>
                <w:highlight w:val="none"/>
              </w:rPr>
            </w:pPr>
            <w:r>
              <w:rPr>
                <w:rFonts w:hint="eastAsia" w:ascii="仿宋" w:hAnsi="仿宋" w:eastAsia="仿宋"/>
                <w:bCs/>
                <w:color w:val="auto"/>
                <w:sz w:val="24"/>
                <w:szCs w:val="24"/>
                <w:highlight w:val="none"/>
              </w:rPr>
              <w:t>6</w:t>
            </w:r>
          </w:p>
        </w:tc>
        <w:tc>
          <w:tcPr>
            <w:tcW w:w="93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722632B">
            <w:pPr>
              <w:snapToGrid w:val="0"/>
              <w:jc w:val="center"/>
              <w:rPr>
                <w:rFonts w:hint="eastAsia" w:ascii="仿宋" w:hAnsi="仿宋" w:eastAsia="仿宋"/>
                <w:bCs/>
                <w:color w:val="auto"/>
                <w:sz w:val="24"/>
                <w:szCs w:val="24"/>
                <w:highlight w:val="none"/>
              </w:rPr>
            </w:pPr>
          </w:p>
        </w:tc>
        <w:tc>
          <w:tcPr>
            <w:tcW w:w="49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283BC72F">
            <w:pPr>
              <w:snapToGrid w:val="0"/>
              <w:jc w:val="center"/>
              <w:rPr>
                <w:rFonts w:hint="eastAsia" w:ascii="仿宋" w:hAnsi="仿宋" w:eastAsia="仿宋"/>
                <w:bCs/>
                <w:color w:val="auto"/>
                <w:sz w:val="24"/>
                <w:szCs w:val="24"/>
                <w:highlight w:val="none"/>
              </w:rPr>
            </w:pPr>
          </w:p>
        </w:tc>
        <w:tc>
          <w:tcPr>
            <w:tcW w:w="93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238C5D9">
            <w:pPr>
              <w:snapToGrid w:val="0"/>
              <w:jc w:val="center"/>
              <w:rPr>
                <w:rFonts w:hint="eastAsia" w:ascii="仿宋" w:hAnsi="仿宋" w:eastAsia="仿宋"/>
                <w:bCs/>
                <w:color w:val="auto"/>
                <w:sz w:val="24"/>
                <w:szCs w:val="24"/>
                <w:highlight w:val="none"/>
              </w:rPr>
            </w:pPr>
          </w:p>
        </w:tc>
        <w:tc>
          <w:tcPr>
            <w:tcW w:w="93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39F049B5">
            <w:pPr>
              <w:snapToGrid w:val="0"/>
              <w:jc w:val="center"/>
              <w:rPr>
                <w:rFonts w:hint="eastAsia" w:ascii="仿宋" w:hAnsi="仿宋" w:eastAsia="仿宋"/>
                <w:bCs/>
                <w:color w:val="auto"/>
                <w:sz w:val="24"/>
                <w:szCs w:val="24"/>
                <w:highlight w:val="none"/>
              </w:rPr>
            </w:pPr>
          </w:p>
        </w:tc>
        <w:tc>
          <w:tcPr>
            <w:tcW w:w="93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550915EE">
            <w:pPr>
              <w:snapToGrid w:val="0"/>
              <w:jc w:val="center"/>
              <w:rPr>
                <w:rFonts w:hint="eastAsia" w:ascii="仿宋" w:hAnsi="仿宋" w:eastAsia="仿宋"/>
                <w:bCs/>
                <w:color w:val="auto"/>
                <w:sz w:val="24"/>
                <w:szCs w:val="24"/>
                <w:highlight w:val="none"/>
              </w:rPr>
            </w:pPr>
          </w:p>
        </w:tc>
      </w:tr>
      <w:tr w14:paraId="62D922FF">
        <w:tblPrEx>
          <w:tblCellMar>
            <w:top w:w="0" w:type="dxa"/>
            <w:left w:w="0" w:type="dxa"/>
            <w:bottom w:w="0" w:type="dxa"/>
            <w:right w:w="0" w:type="dxa"/>
          </w:tblCellMar>
        </w:tblPrEx>
        <w:trPr>
          <w:trHeight w:val="397" w:hRule="exact"/>
          <w:jc w:val="center"/>
        </w:trPr>
        <w:tc>
          <w:tcPr>
            <w:tcW w:w="93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55BB2800">
            <w:pPr>
              <w:snapToGrid w:val="0"/>
              <w:spacing w:line="240" w:lineRule="atLeast"/>
              <w:jc w:val="center"/>
              <w:rPr>
                <w:rFonts w:hint="eastAsia" w:ascii="仿宋" w:hAnsi="仿宋" w:eastAsia="仿宋"/>
                <w:bCs/>
                <w:color w:val="auto"/>
                <w:sz w:val="24"/>
                <w:szCs w:val="24"/>
                <w:highlight w:val="none"/>
              </w:rPr>
            </w:pPr>
            <w:r>
              <w:rPr>
                <w:rFonts w:hint="eastAsia" w:ascii="仿宋" w:hAnsi="仿宋" w:eastAsia="仿宋"/>
                <w:bCs/>
                <w:color w:val="auto"/>
                <w:sz w:val="24"/>
                <w:szCs w:val="24"/>
                <w:highlight w:val="none"/>
              </w:rPr>
              <w:t>7</w:t>
            </w:r>
          </w:p>
        </w:tc>
        <w:tc>
          <w:tcPr>
            <w:tcW w:w="93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595FCF8">
            <w:pPr>
              <w:snapToGrid w:val="0"/>
              <w:jc w:val="center"/>
              <w:rPr>
                <w:rFonts w:hint="eastAsia" w:ascii="仿宋" w:hAnsi="仿宋" w:eastAsia="仿宋"/>
                <w:bCs/>
                <w:color w:val="auto"/>
                <w:sz w:val="24"/>
                <w:szCs w:val="24"/>
                <w:highlight w:val="none"/>
              </w:rPr>
            </w:pPr>
          </w:p>
        </w:tc>
        <w:tc>
          <w:tcPr>
            <w:tcW w:w="49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6A1A55EF">
            <w:pPr>
              <w:snapToGrid w:val="0"/>
              <w:jc w:val="center"/>
              <w:rPr>
                <w:rFonts w:hint="eastAsia" w:ascii="仿宋" w:hAnsi="仿宋" w:eastAsia="仿宋"/>
                <w:bCs/>
                <w:color w:val="auto"/>
                <w:sz w:val="24"/>
                <w:szCs w:val="24"/>
                <w:highlight w:val="none"/>
              </w:rPr>
            </w:pPr>
          </w:p>
        </w:tc>
        <w:tc>
          <w:tcPr>
            <w:tcW w:w="93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2AED00BA">
            <w:pPr>
              <w:snapToGrid w:val="0"/>
              <w:jc w:val="center"/>
              <w:rPr>
                <w:rFonts w:hint="eastAsia" w:ascii="仿宋" w:hAnsi="仿宋" w:eastAsia="仿宋"/>
                <w:bCs/>
                <w:color w:val="auto"/>
                <w:sz w:val="24"/>
                <w:szCs w:val="24"/>
                <w:highlight w:val="none"/>
              </w:rPr>
            </w:pPr>
          </w:p>
        </w:tc>
        <w:tc>
          <w:tcPr>
            <w:tcW w:w="93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73DAC45A">
            <w:pPr>
              <w:snapToGrid w:val="0"/>
              <w:jc w:val="center"/>
              <w:rPr>
                <w:rFonts w:hint="eastAsia" w:ascii="仿宋" w:hAnsi="仿宋" w:eastAsia="仿宋"/>
                <w:bCs/>
                <w:color w:val="auto"/>
                <w:sz w:val="24"/>
                <w:szCs w:val="24"/>
                <w:highlight w:val="none"/>
              </w:rPr>
            </w:pPr>
          </w:p>
        </w:tc>
        <w:tc>
          <w:tcPr>
            <w:tcW w:w="93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3340F819">
            <w:pPr>
              <w:snapToGrid w:val="0"/>
              <w:jc w:val="center"/>
              <w:rPr>
                <w:rFonts w:hint="eastAsia" w:ascii="仿宋" w:hAnsi="仿宋" w:eastAsia="仿宋"/>
                <w:bCs/>
                <w:color w:val="auto"/>
                <w:sz w:val="24"/>
                <w:szCs w:val="24"/>
                <w:highlight w:val="none"/>
              </w:rPr>
            </w:pPr>
          </w:p>
        </w:tc>
      </w:tr>
      <w:tr w14:paraId="0C759CB1">
        <w:tblPrEx>
          <w:tblCellMar>
            <w:top w:w="0" w:type="dxa"/>
            <w:left w:w="0" w:type="dxa"/>
            <w:bottom w:w="0" w:type="dxa"/>
            <w:right w:w="0" w:type="dxa"/>
          </w:tblCellMar>
        </w:tblPrEx>
        <w:trPr>
          <w:trHeight w:val="397" w:hRule="exact"/>
          <w:jc w:val="center"/>
        </w:trPr>
        <w:tc>
          <w:tcPr>
            <w:tcW w:w="93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8298423">
            <w:pPr>
              <w:snapToGrid w:val="0"/>
              <w:spacing w:line="240" w:lineRule="atLeast"/>
              <w:jc w:val="center"/>
              <w:rPr>
                <w:rFonts w:hint="eastAsia" w:ascii="仿宋" w:hAnsi="仿宋" w:eastAsia="仿宋"/>
                <w:bCs/>
                <w:color w:val="auto"/>
                <w:sz w:val="24"/>
                <w:szCs w:val="24"/>
                <w:highlight w:val="none"/>
              </w:rPr>
            </w:pPr>
            <w:r>
              <w:rPr>
                <w:rFonts w:hint="eastAsia" w:ascii="仿宋" w:hAnsi="仿宋" w:eastAsia="仿宋"/>
                <w:bCs/>
                <w:color w:val="auto"/>
                <w:sz w:val="24"/>
                <w:szCs w:val="24"/>
                <w:highlight w:val="none"/>
              </w:rPr>
              <w:t>8</w:t>
            </w:r>
          </w:p>
        </w:tc>
        <w:tc>
          <w:tcPr>
            <w:tcW w:w="93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4EFBA2FC">
            <w:pPr>
              <w:snapToGrid w:val="0"/>
              <w:jc w:val="center"/>
              <w:rPr>
                <w:rFonts w:hint="eastAsia" w:ascii="仿宋" w:hAnsi="仿宋" w:eastAsia="仿宋"/>
                <w:bCs/>
                <w:color w:val="auto"/>
                <w:sz w:val="24"/>
                <w:szCs w:val="24"/>
                <w:highlight w:val="none"/>
              </w:rPr>
            </w:pPr>
          </w:p>
        </w:tc>
        <w:tc>
          <w:tcPr>
            <w:tcW w:w="49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1018EC56">
            <w:pPr>
              <w:snapToGrid w:val="0"/>
              <w:jc w:val="center"/>
              <w:rPr>
                <w:rFonts w:hint="eastAsia" w:ascii="仿宋" w:hAnsi="仿宋" w:eastAsia="仿宋"/>
                <w:bCs/>
                <w:color w:val="auto"/>
                <w:sz w:val="24"/>
                <w:szCs w:val="24"/>
                <w:highlight w:val="none"/>
              </w:rPr>
            </w:pPr>
          </w:p>
        </w:tc>
        <w:tc>
          <w:tcPr>
            <w:tcW w:w="93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B06B305">
            <w:pPr>
              <w:snapToGrid w:val="0"/>
              <w:jc w:val="center"/>
              <w:rPr>
                <w:rFonts w:hint="eastAsia" w:ascii="仿宋" w:hAnsi="仿宋" w:eastAsia="仿宋"/>
                <w:bCs/>
                <w:color w:val="auto"/>
                <w:sz w:val="24"/>
                <w:szCs w:val="24"/>
                <w:highlight w:val="none"/>
              </w:rPr>
            </w:pPr>
            <w:r>
              <w:rPr>
                <w:rFonts w:hint="eastAsia" w:ascii="仿宋" w:hAnsi="仿宋" w:eastAsia="仿宋"/>
                <w:bCs/>
                <w:color w:val="auto"/>
                <w:sz w:val="24"/>
                <w:szCs w:val="24"/>
                <w:highlight w:val="none"/>
              </w:rPr>
              <w:t>/</w:t>
            </w:r>
          </w:p>
        </w:tc>
        <w:tc>
          <w:tcPr>
            <w:tcW w:w="93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17776556">
            <w:pPr>
              <w:snapToGrid w:val="0"/>
              <w:jc w:val="center"/>
              <w:rPr>
                <w:rFonts w:hint="eastAsia" w:ascii="仿宋" w:hAnsi="仿宋" w:eastAsia="仿宋"/>
                <w:bCs/>
                <w:color w:val="auto"/>
                <w:sz w:val="24"/>
                <w:szCs w:val="24"/>
                <w:highlight w:val="none"/>
              </w:rPr>
            </w:pPr>
          </w:p>
        </w:tc>
        <w:tc>
          <w:tcPr>
            <w:tcW w:w="93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15157482">
            <w:pPr>
              <w:snapToGrid w:val="0"/>
              <w:jc w:val="center"/>
              <w:rPr>
                <w:rFonts w:hint="eastAsia" w:ascii="仿宋" w:hAnsi="仿宋" w:eastAsia="仿宋"/>
                <w:bCs/>
                <w:color w:val="auto"/>
                <w:sz w:val="24"/>
                <w:szCs w:val="24"/>
                <w:highlight w:val="none"/>
              </w:rPr>
            </w:pPr>
          </w:p>
        </w:tc>
      </w:tr>
      <w:tr w14:paraId="37CAC4DF">
        <w:tblPrEx>
          <w:tblCellMar>
            <w:top w:w="0" w:type="dxa"/>
            <w:left w:w="0" w:type="dxa"/>
            <w:bottom w:w="0" w:type="dxa"/>
            <w:right w:w="0" w:type="dxa"/>
          </w:tblCellMar>
        </w:tblPrEx>
        <w:trPr>
          <w:trHeight w:val="397" w:hRule="exact"/>
          <w:jc w:val="center"/>
        </w:trPr>
        <w:tc>
          <w:tcPr>
            <w:tcW w:w="93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5643C0B9">
            <w:pPr>
              <w:snapToGrid w:val="0"/>
              <w:spacing w:line="240" w:lineRule="atLeast"/>
              <w:jc w:val="center"/>
              <w:rPr>
                <w:rFonts w:hint="eastAsia" w:ascii="仿宋" w:hAnsi="仿宋" w:eastAsia="仿宋"/>
                <w:bCs/>
                <w:color w:val="auto"/>
                <w:sz w:val="24"/>
                <w:szCs w:val="24"/>
                <w:highlight w:val="none"/>
              </w:rPr>
            </w:pPr>
            <w:r>
              <w:rPr>
                <w:rFonts w:hint="eastAsia" w:ascii="仿宋" w:hAnsi="仿宋" w:eastAsia="仿宋"/>
                <w:bCs/>
                <w:color w:val="auto"/>
                <w:sz w:val="24"/>
                <w:szCs w:val="24"/>
                <w:highlight w:val="none"/>
              </w:rPr>
              <w:t>9</w:t>
            </w:r>
          </w:p>
        </w:tc>
        <w:tc>
          <w:tcPr>
            <w:tcW w:w="93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684F0C9F">
            <w:pPr>
              <w:snapToGrid w:val="0"/>
              <w:jc w:val="center"/>
              <w:rPr>
                <w:rFonts w:hint="eastAsia" w:ascii="仿宋" w:hAnsi="仿宋" w:eastAsia="仿宋"/>
                <w:bCs/>
                <w:color w:val="auto"/>
                <w:sz w:val="24"/>
                <w:szCs w:val="24"/>
                <w:highlight w:val="none"/>
              </w:rPr>
            </w:pPr>
          </w:p>
        </w:tc>
        <w:tc>
          <w:tcPr>
            <w:tcW w:w="49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0B1103C6">
            <w:pPr>
              <w:snapToGrid w:val="0"/>
              <w:jc w:val="center"/>
              <w:rPr>
                <w:rFonts w:hint="eastAsia" w:ascii="仿宋" w:hAnsi="仿宋" w:eastAsia="仿宋"/>
                <w:bCs/>
                <w:color w:val="auto"/>
                <w:sz w:val="24"/>
                <w:szCs w:val="24"/>
                <w:highlight w:val="none"/>
              </w:rPr>
            </w:pPr>
          </w:p>
        </w:tc>
        <w:tc>
          <w:tcPr>
            <w:tcW w:w="93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BCEFCC8">
            <w:pPr>
              <w:snapToGrid w:val="0"/>
              <w:jc w:val="center"/>
              <w:rPr>
                <w:rFonts w:hint="eastAsia" w:ascii="仿宋" w:hAnsi="仿宋" w:eastAsia="仿宋"/>
                <w:bCs/>
                <w:color w:val="auto"/>
                <w:sz w:val="24"/>
                <w:szCs w:val="24"/>
                <w:highlight w:val="none"/>
              </w:rPr>
            </w:pPr>
            <w:r>
              <w:rPr>
                <w:rFonts w:hint="eastAsia" w:ascii="仿宋" w:hAnsi="仿宋" w:eastAsia="仿宋"/>
                <w:bCs/>
                <w:color w:val="auto"/>
                <w:sz w:val="24"/>
                <w:szCs w:val="24"/>
                <w:highlight w:val="none"/>
              </w:rPr>
              <w:t>/</w:t>
            </w:r>
          </w:p>
        </w:tc>
        <w:tc>
          <w:tcPr>
            <w:tcW w:w="93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6255FC61">
            <w:pPr>
              <w:snapToGrid w:val="0"/>
              <w:jc w:val="center"/>
              <w:rPr>
                <w:rFonts w:hint="eastAsia" w:ascii="仿宋" w:hAnsi="仿宋" w:eastAsia="仿宋"/>
                <w:bCs/>
                <w:color w:val="auto"/>
                <w:sz w:val="24"/>
                <w:szCs w:val="24"/>
                <w:highlight w:val="none"/>
              </w:rPr>
            </w:pPr>
          </w:p>
        </w:tc>
        <w:tc>
          <w:tcPr>
            <w:tcW w:w="93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237D2E25">
            <w:pPr>
              <w:snapToGrid w:val="0"/>
              <w:jc w:val="center"/>
              <w:rPr>
                <w:rFonts w:hint="eastAsia" w:ascii="仿宋" w:hAnsi="仿宋" w:eastAsia="仿宋"/>
                <w:bCs/>
                <w:color w:val="auto"/>
                <w:sz w:val="24"/>
                <w:szCs w:val="24"/>
                <w:highlight w:val="none"/>
              </w:rPr>
            </w:pPr>
          </w:p>
        </w:tc>
      </w:tr>
      <w:tr w14:paraId="55423710">
        <w:tblPrEx>
          <w:tblCellMar>
            <w:top w:w="0" w:type="dxa"/>
            <w:left w:w="0" w:type="dxa"/>
            <w:bottom w:w="0" w:type="dxa"/>
            <w:right w:w="0" w:type="dxa"/>
          </w:tblCellMar>
        </w:tblPrEx>
        <w:trPr>
          <w:trHeight w:val="397" w:hRule="exact"/>
          <w:jc w:val="center"/>
        </w:trPr>
        <w:tc>
          <w:tcPr>
            <w:tcW w:w="93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567C2C47">
            <w:pPr>
              <w:snapToGrid w:val="0"/>
              <w:spacing w:line="240" w:lineRule="atLeast"/>
              <w:jc w:val="center"/>
              <w:rPr>
                <w:rFonts w:hint="eastAsia" w:ascii="仿宋" w:hAnsi="仿宋" w:eastAsia="仿宋"/>
                <w:bCs/>
                <w:color w:val="auto"/>
                <w:sz w:val="24"/>
                <w:szCs w:val="24"/>
                <w:highlight w:val="none"/>
              </w:rPr>
            </w:pPr>
            <w:r>
              <w:rPr>
                <w:rFonts w:hint="eastAsia" w:ascii="仿宋" w:hAnsi="仿宋" w:eastAsia="仿宋"/>
                <w:bCs/>
                <w:color w:val="auto"/>
                <w:sz w:val="24"/>
                <w:szCs w:val="24"/>
                <w:highlight w:val="none"/>
              </w:rPr>
              <w:t>10</w:t>
            </w:r>
          </w:p>
        </w:tc>
        <w:tc>
          <w:tcPr>
            <w:tcW w:w="93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4990B9D0">
            <w:pPr>
              <w:snapToGrid w:val="0"/>
              <w:jc w:val="center"/>
              <w:rPr>
                <w:rFonts w:hint="eastAsia" w:ascii="仿宋" w:hAnsi="仿宋" w:eastAsia="仿宋"/>
                <w:bCs/>
                <w:color w:val="auto"/>
                <w:sz w:val="24"/>
                <w:szCs w:val="24"/>
                <w:highlight w:val="none"/>
              </w:rPr>
            </w:pPr>
          </w:p>
        </w:tc>
        <w:tc>
          <w:tcPr>
            <w:tcW w:w="49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799D8C2C">
            <w:pPr>
              <w:snapToGrid w:val="0"/>
              <w:jc w:val="center"/>
              <w:rPr>
                <w:rFonts w:hint="eastAsia" w:ascii="仿宋" w:hAnsi="仿宋" w:eastAsia="仿宋"/>
                <w:bCs/>
                <w:color w:val="auto"/>
                <w:sz w:val="24"/>
                <w:szCs w:val="24"/>
                <w:highlight w:val="none"/>
              </w:rPr>
            </w:pPr>
          </w:p>
        </w:tc>
        <w:tc>
          <w:tcPr>
            <w:tcW w:w="93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E8E9326">
            <w:pPr>
              <w:snapToGrid w:val="0"/>
              <w:jc w:val="center"/>
              <w:rPr>
                <w:rFonts w:hint="eastAsia" w:ascii="仿宋" w:hAnsi="仿宋" w:eastAsia="仿宋"/>
                <w:bCs/>
                <w:color w:val="auto"/>
                <w:sz w:val="24"/>
                <w:szCs w:val="24"/>
                <w:highlight w:val="none"/>
              </w:rPr>
            </w:pPr>
            <w:r>
              <w:rPr>
                <w:rFonts w:hint="eastAsia" w:ascii="仿宋" w:hAnsi="仿宋" w:eastAsia="仿宋"/>
                <w:bCs/>
                <w:color w:val="auto"/>
                <w:sz w:val="24"/>
                <w:szCs w:val="24"/>
                <w:highlight w:val="none"/>
              </w:rPr>
              <w:t>/</w:t>
            </w:r>
          </w:p>
        </w:tc>
        <w:tc>
          <w:tcPr>
            <w:tcW w:w="93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3E935497">
            <w:pPr>
              <w:snapToGrid w:val="0"/>
              <w:jc w:val="center"/>
              <w:rPr>
                <w:rFonts w:hint="eastAsia" w:ascii="仿宋" w:hAnsi="仿宋" w:eastAsia="仿宋"/>
                <w:bCs/>
                <w:color w:val="auto"/>
                <w:sz w:val="24"/>
                <w:szCs w:val="24"/>
                <w:highlight w:val="none"/>
              </w:rPr>
            </w:pPr>
          </w:p>
        </w:tc>
        <w:tc>
          <w:tcPr>
            <w:tcW w:w="93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59D5A4C0">
            <w:pPr>
              <w:snapToGrid w:val="0"/>
              <w:jc w:val="center"/>
              <w:rPr>
                <w:rFonts w:hint="eastAsia" w:ascii="仿宋" w:hAnsi="仿宋" w:eastAsia="仿宋"/>
                <w:bCs/>
                <w:color w:val="auto"/>
                <w:sz w:val="24"/>
                <w:szCs w:val="24"/>
                <w:highlight w:val="none"/>
              </w:rPr>
            </w:pPr>
          </w:p>
        </w:tc>
      </w:tr>
      <w:tr w14:paraId="5062F9C5">
        <w:tblPrEx>
          <w:tblCellMar>
            <w:top w:w="0" w:type="dxa"/>
            <w:left w:w="0" w:type="dxa"/>
            <w:bottom w:w="0" w:type="dxa"/>
            <w:right w:w="0" w:type="dxa"/>
          </w:tblCellMar>
        </w:tblPrEx>
        <w:trPr>
          <w:trHeight w:val="397" w:hRule="exact"/>
          <w:jc w:val="center"/>
        </w:trPr>
        <w:tc>
          <w:tcPr>
            <w:tcW w:w="93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6E9128C8">
            <w:pPr>
              <w:snapToGrid w:val="0"/>
              <w:spacing w:line="240" w:lineRule="atLeast"/>
              <w:jc w:val="center"/>
              <w:rPr>
                <w:rFonts w:hint="eastAsia" w:ascii="仿宋" w:hAnsi="仿宋" w:eastAsia="仿宋"/>
                <w:bCs/>
                <w:color w:val="auto"/>
                <w:sz w:val="24"/>
                <w:szCs w:val="24"/>
                <w:highlight w:val="none"/>
              </w:rPr>
            </w:pPr>
            <w:r>
              <w:rPr>
                <w:rFonts w:hint="eastAsia" w:ascii="仿宋" w:hAnsi="仿宋" w:eastAsia="仿宋"/>
                <w:bCs/>
                <w:color w:val="auto"/>
                <w:sz w:val="24"/>
                <w:szCs w:val="24"/>
                <w:highlight w:val="none"/>
              </w:rPr>
              <w:t>11</w:t>
            </w:r>
          </w:p>
        </w:tc>
        <w:tc>
          <w:tcPr>
            <w:tcW w:w="93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86C0542">
            <w:pPr>
              <w:snapToGrid w:val="0"/>
              <w:jc w:val="center"/>
              <w:rPr>
                <w:rFonts w:hint="eastAsia" w:ascii="仿宋" w:hAnsi="仿宋" w:eastAsia="仿宋"/>
                <w:bCs/>
                <w:color w:val="auto"/>
                <w:sz w:val="24"/>
                <w:szCs w:val="24"/>
                <w:highlight w:val="none"/>
              </w:rPr>
            </w:pPr>
            <w:r>
              <w:rPr>
                <w:rFonts w:hint="eastAsia" w:ascii="仿宋" w:hAnsi="仿宋" w:eastAsia="仿宋"/>
                <w:bCs/>
                <w:color w:val="auto"/>
                <w:sz w:val="24"/>
                <w:szCs w:val="24"/>
                <w:highlight w:val="none"/>
              </w:rPr>
              <w:t>……</w:t>
            </w:r>
          </w:p>
        </w:tc>
        <w:tc>
          <w:tcPr>
            <w:tcW w:w="49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1A67BD46">
            <w:pPr>
              <w:snapToGrid w:val="0"/>
              <w:jc w:val="center"/>
              <w:rPr>
                <w:rFonts w:hint="eastAsia" w:ascii="仿宋" w:hAnsi="仿宋" w:eastAsia="仿宋"/>
                <w:bCs/>
                <w:color w:val="auto"/>
                <w:sz w:val="24"/>
                <w:szCs w:val="24"/>
                <w:highlight w:val="none"/>
              </w:rPr>
            </w:pPr>
          </w:p>
        </w:tc>
        <w:tc>
          <w:tcPr>
            <w:tcW w:w="93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4747F33F">
            <w:pPr>
              <w:snapToGrid w:val="0"/>
              <w:jc w:val="center"/>
              <w:rPr>
                <w:rFonts w:hint="eastAsia" w:ascii="仿宋" w:hAnsi="仿宋" w:eastAsia="仿宋"/>
                <w:bCs/>
                <w:color w:val="auto"/>
                <w:sz w:val="24"/>
                <w:szCs w:val="24"/>
                <w:highlight w:val="none"/>
              </w:rPr>
            </w:pPr>
            <w:r>
              <w:rPr>
                <w:rFonts w:hint="eastAsia" w:ascii="仿宋" w:hAnsi="仿宋" w:eastAsia="仿宋"/>
                <w:bCs/>
                <w:color w:val="auto"/>
                <w:sz w:val="24"/>
                <w:szCs w:val="24"/>
                <w:highlight w:val="none"/>
              </w:rPr>
              <w:t>/</w:t>
            </w:r>
          </w:p>
        </w:tc>
        <w:tc>
          <w:tcPr>
            <w:tcW w:w="93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5C036C40">
            <w:pPr>
              <w:snapToGrid w:val="0"/>
              <w:jc w:val="center"/>
              <w:rPr>
                <w:rFonts w:hint="eastAsia" w:ascii="仿宋" w:hAnsi="仿宋" w:eastAsia="仿宋"/>
                <w:bCs/>
                <w:color w:val="auto"/>
                <w:sz w:val="24"/>
                <w:szCs w:val="24"/>
                <w:highlight w:val="none"/>
              </w:rPr>
            </w:pPr>
          </w:p>
        </w:tc>
        <w:tc>
          <w:tcPr>
            <w:tcW w:w="93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09497ACC">
            <w:pPr>
              <w:snapToGrid w:val="0"/>
              <w:jc w:val="center"/>
              <w:rPr>
                <w:rFonts w:hint="eastAsia" w:ascii="仿宋" w:hAnsi="仿宋" w:eastAsia="仿宋"/>
                <w:bCs/>
                <w:color w:val="auto"/>
                <w:sz w:val="24"/>
                <w:szCs w:val="24"/>
                <w:highlight w:val="none"/>
              </w:rPr>
            </w:pPr>
          </w:p>
        </w:tc>
      </w:tr>
      <w:tr w14:paraId="10FCB99A">
        <w:tblPrEx>
          <w:tblCellMar>
            <w:top w:w="0" w:type="dxa"/>
            <w:left w:w="0" w:type="dxa"/>
            <w:bottom w:w="0" w:type="dxa"/>
            <w:right w:w="0" w:type="dxa"/>
          </w:tblCellMar>
        </w:tblPrEx>
        <w:trPr>
          <w:trHeight w:val="397" w:hRule="exact"/>
          <w:jc w:val="center"/>
        </w:trPr>
        <w:tc>
          <w:tcPr>
            <w:tcW w:w="93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5077C062">
            <w:pPr>
              <w:snapToGrid w:val="0"/>
              <w:spacing w:line="240" w:lineRule="atLeast"/>
              <w:jc w:val="center"/>
              <w:rPr>
                <w:rFonts w:hint="eastAsia" w:ascii="仿宋" w:hAnsi="仿宋" w:eastAsia="仿宋"/>
                <w:bCs/>
                <w:color w:val="auto"/>
                <w:sz w:val="24"/>
                <w:szCs w:val="24"/>
                <w:highlight w:val="none"/>
              </w:rPr>
            </w:pPr>
            <w:r>
              <w:rPr>
                <w:rFonts w:hint="eastAsia" w:ascii="仿宋" w:hAnsi="仿宋" w:eastAsia="仿宋"/>
                <w:bCs/>
                <w:color w:val="auto"/>
                <w:sz w:val="24"/>
                <w:szCs w:val="24"/>
                <w:highlight w:val="none"/>
              </w:rPr>
              <w:t>12</w:t>
            </w:r>
          </w:p>
        </w:tc>
        <w:tc>
          <w:tcPr>
            <w:tcW w:w="93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51DBB943">
            <w:pPr>
              <w:snapToGrid w:val="0"/>
              <w:jc w:val="center"/>
              <w:rPr>
                <w:rFonts w:hint="eastAsia" w:ascii="仿宋" w:hAnsi="仿宋" w:eastAsia="仿宋"/>
                <w:bCs/>
                <w:color w:val="auto"/>
                <w:sz w:val="24"/>
                <w:szCs w:val="24"/>
                <w:highlight w:val="none"/>
              </w:rPr>
            </w:pPr>
            <w:r>
              <w:rPr>
                <w:rFonts w:hint="eastAsia" w:ascii="仿宋" w:hAnsi="仿宋" w:eastAsia="仿宋"/>
                <w:bCs/>
                <w:color w:val="auto"/>
                <w:sz w:val="24"/>
                <w:szCs w:val="24"/>
                <w:highlight w:val="none"/>
              </w:rPr>
              <w:t>总计</w:t>
            </w:r>
          </w:p>
        </w:tc>
        <w:tc>
          <w:tcPr>
            <w:tcW w:w="7760" w:type="dxa"/>
            <w:gridSpan w:val="4"/>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6E909FF4">
            <w:pPr>
              <w:snapToGrid w:val="0"/>
              <w:rPr>
                <w:rFonts w:hint="eastAsia" w:ascii="仿宋" w:hAnsi="仿宋" w:eastAsia="仿宋"/>
                <w:bCs/>
                <w:color w:val="auto"/>
                <w:sz w:val="24"/>
                <w:szCs w:val="24"/>
                <w:highlight w:val="none"/>
              </w:rPr>
            </w:pPr>
          </w:p>
        </w:tc>
      </w:tr>
    </w:tbl>
    <w:p w14:paraId="6A99BAC5">
      <w:pPr>
        <w:snapToGrid w:val="0"/>
        <w:spacing w:line="500" w:lineRule="exact"/>
        <w:ind w:firstLine="480"/>
        <w:rPr>
          <w:rFonts w:hint="eastAsia" w:ascii="仿宋" w:hAnsi="仿宋" w:eastAsia="仿宋"/>
          <w:color w:val="auto"/>
          <w:sz w:val="24"/>
          <w:highlight w:val="none"/>
        </w:rPr>
      </w:pPr>
    </w:p>
    <w:p w14:paraId="458AC281">
      <w:pPr>
        <w:snapToGrid w:val="0"/>
        <w:spacing w:line="500" w:lineRule="exact"/>
        <w:ind w:firstLine="600"/>
        <w:rPr>
          <w:rFonts w:hint="eastAsia" w:ascii="仿宋" w:hAnsi="仿宋" w:eastAsia="仿宋"/>
          <w:color w:val="auto"/>
          <w:sz w:val="24"/>
          <w:highlight w:val="none"/>
        </w:rPr>
      </w:pPr>
      <w:r>
        <w:rPr>
          <w:rFonts w:hint="eastAsia" w:ascii="仿宋" w:hAnsi="仿宋" w:eastAsia="仿宋"/>
          <w:color w:val="auto"/>
          <w:sz w:val="24"/>
          <w:highlight w:val="none"/>
        </w:rPr>
        <w:t>供应商：                             法定代表人或法定代表人授权代表：</w:t>
      </w:r>
    </w:p>
    <w:p w14:paraId="716E709D">
      <w:pPr>
        <w:snapToGrid w:val="0"/>
        <w:spacing w:line="500" w:lineRule="exact"/>
        <w:rPr>
          <w:rFonts w:hint="eastAsia" w:ascii="仿宋" w:hAnsi="仿宋" w:eastAsia="仿宋"/>
          <w:color w:val="auto"/>
          <w:sz w:val="24"/>
          <w:highlight w:val="none"/>
        </w:rPr>
      </w:pPr>
      <w:r>
        <w:rPr>
          <w:rFonts w:hint="eastAsia" w:ascii="仿宋" w:hAnsi="仿宋" w:eastAsia="仿宋"/>
          <w:color w:val="auto"/>
          <w:sz w:val="24"/>
          <w:highlight w:val="none"/>
        </w:rPr>
        <w:t>（供应商公章）                                  （签字或盖章）</w:t>
      </w:r>
    </w:p>
    <w:p w14:paraId="335F3132">
      <w:pPr>
        <w:snapToGrid w:val="0"/>
        <w:spacing w:line="500" w:lineRule="exact"/>
        <w:rPr>
          <w:rFonts w:hint="eastAsia" w:ascii="仿宋" w:hAnsi="仿宋" w:eastAsia="仿宋"/>
          <w:color w:val="auto"/>
          <w:sz w:val="24"/>
          <w:highlight w:val="none"/>
        </w:rPr>
      </w:pPr>
    </w:p>
    <w:p w14:paraId="6F05709B">
      <w:pPr>
        <w:snapToGrid w:val="0"/>
        <w:spacing w:line="500" w:lineRule="exact"/>
        <w:rPr>
          <w:rFonts w:hint="eastAsia" w:ascii="仿宋" w:hAnsi="仿宋" w:eastAsia="仿宋"/>
          <w:color w:val="auto"/>
          <w:sz w:val="24"/>
          <w:highlight w:val="none"/>
        </w:rPr>
      </w:pPr>
    </w:p>
    <w:p w14:paraId="19CEA415">
      <w:pPr>
        <w:snapToGrid w:val="0"/>
        <w:spacing w:line="500" w:lineRule="exact"/>
        <w:ind w:firstLine="7128" w:firstLineChars="2970"/>
        <w:jc w:val="left"/>
        <w:rPr>
          <w:rFonts w:hint="eastAsia" w:ascii="仿宋" w:hAnsi="仿宋" w:eastAsia="仿宋"/>
          <w:color w:val="auto"/>
          <w:sz w:val="24"/>
          <w:highlight w:val="none"/>
        </w:rPr>
      </w:pPr>
      <w:r>
        <w:rPr>
          <w:rFonts w:hint="eastAsia" w:ascii="仿宋" w:hAnsi="仿宋" w:eastAsia="仿宋"/>
          <w:color w:val="auto"/>
          <w:sz w:val="24"/>
          <w:highlight w:val="none"/>
        </w:rPr>
        <w:t>年   月   日</w:t>
      </w:r>
    </w:p>
    <w:p w14:paraId="4E80F138">
      <w:pPr>
        <w:snapToGrid w:val="0"/>
        <w:spacing w:line="500" w:lineRule="exact"/>
        <w:ind w:firstLine="480"/>
        <w:rPr>
          <w:rFonts w:hint="eastAsia" w:ascii="仿宋" w:hAnsi="仿宋" w:eastAsia="仿宋"/>
          <w:color w:val="auto"/>
          <w:sz w:val="24"/>
          <w:highlight w:val="none"/>
        </w:rPr>
      </w:pPr>
    </w:p>
    <w:p w14:paraId="4DDE0EB3">
      <w:pPr>
        <w:snapToGrid w:val="0"/>
        <w:spacing w:line="360" w:lineRule="auto"/>
        <w:ind w:firstLine="480"/>
        <w:rPr>
          <w:rFonts w:hint="eastAsia" w:ascii="仿宋" w:hAnsi="仿宋" w:eastAsia="仿宋"/>
          <w:color w:val="auto"/>
          <w:sz w:val="24"/>
          <w:highlight w:val="none"/>
        </w:rPr>
      </w:pPr>
      <w:r>
        <w:rPr>
          <w:rFonts w:hint="eastAsia" w:ascii="仿宋" w:hAnsi="仿宋" w:eastAsia="仿宋"/>
          <w:color w:val="auto"/>
          <w:sz w:val="24"/>
          <w:highlight w:val="none"/>
        </w:rPr>
        <w:t>注：</w:t>
      </w:r>
    </w:p>
    <w:p w14:paraId="5F10EFC2">
      <w:pPr>
        <w:snapToGrid w:val="0"/>
        <w:spacing w:line="360" w:lineRule="auto"/>
        <w:ind w:firstLine="480"/>
        <w:rPr>
          <w:rFonts w:hint="eastAsia" w:ascii="仿宋" w:hAnsi="仿宋" w:eastAsia="仿宋"/>
          <w:color w:val="auto"/>
          <w:sz w:val="24"/>
          <w:highlight w:val="none"/>
        </w:rPr>
      </w:pPr>
      <w:r>
        <w:rPr>
          <w:rFonts w:hint="eastAsia" w:ascii="仿宋" w:hAnsi="仿宋" w:eastAsia="仿宋"/>
          <w:color w:val="auto"/>
          <w:sz w:val="24"/>
          <w:highlight w:val="none"/>
        </w:rPr>
        <w:t>1.请供应商完整填写本表；</w:t>
      </w:r>
    </w:p>
    <w:p w14:paraId="60B69FFA">
      <w:pPr>
        <w:pStyle w:val="78"/>
        <w:spacing w:line="360" w:lineRule="auto"/>
        <w:ind w:firstLine="480" w:firstLineChars="200"/>
        <w:rPr>
          <w:rFonts w:hint="eastAsia" w:ascii="仿宋" w:hAnsi="仿宋" w:eastAsia="仿宋"/>
          <w:color w:val="auto"/>
          <w:sz w:val="24"/>
          <w:highlight w:val="none"/>
        </w:rPr>
      </w:pPr>
      <w:r>
        <w:rPr>
          <w:rFonts w:hint="eastAsia" w:ascii="仿宋" w:hAnsi="仿宋" w:eastAsia="仿宋"/>
          <w:color w:val="auto"/>
          <w:sz w:val="24"/>
          <w:highlight w:val="none"/>
        </w:rPr>
        <w:t>2.该表可扩展，并逐页签字或盖章。</w:t>
      </w:r>
    </w:p>
    <w:p w14:paraId="3816C22F">
      <w:pPr>
        <w:tabs>
          <w:tab w:val="center" w:pos="4706"/>
        </w:tabs>
        <w:jc w:val="left"/>
        <w:rPr>
          <w:color w:val="auto"/>
          <w:highlight w:val="none"/>
        </w:rPr>
        <w:sectPr>
          <w:footerReference r:id="rId12" w:type="default"/>
          <w:pgSz w:w="11907" w:h="16840"/>
          <w:pgMar w:top="1134" w:right="1191" w:bottom="1134" w:left="1304" w:header="851" w:footer="992" w:gutter="0"/>
          <w:pgNumType w:fmt="numberInDash"/>
          <w:cols w:space="720" w:num="1"/>
          <w:docGrid w:linePitch="380" w:charSpace="-5735"/>
        </w:sectPr>
      </w:pPr>
    </w:p>
    <w:p w14:paraId="612EB118">
      <w:pPr>
        <w:pStyle w:val="5"/>
        <w:spacing w:before="0" w:after="0" w:line="360" w:lineRule="auto"/>
        <w:rPr>
          <w:rFonts w:hint="eastAsia" w:ascii="仿宋" w:hAnsi="仿宋" w:eastAsia="仿宋" w:cs="仿宋"/>
          <w:b w:val="0"/>
          <w:bCs/>
          <w:color w:val="auto"/>
          <w:szCs w:val="28"/>
          <w:highlight w:val="none"/>
        </w:rPr>
      </w:pPr>
      <w:bookmarkStart w:id="120" w:name="_Toc342913420"/>
      <w:bookmarkStart w:id="121" w:name="_Toc21280"/>
      <w:bookmarkStart w:id="122" w:name="_Toc313888361"/>
      <w:bookmarkStart w:id="123" w:name="_Toc14108"/>
      <w:bookmarkStart w:id="124" w:name="_Toc313008357"/>
      <w:r>
        <w:rPr>
          <w:rFonts w:hint="eastAsia" w:ascii="仿宋" w:hAnsi="仿宋" w:eastAsia="仿宋"/>
          <w:color w:val="auto"/>
          <w:sz w:val="24"/>
          <w:szCs w:val="24"/>
          <w:highlight w:val="none"/>
        </w:rPr>
        <w:t>二、技术部分</w:t>
      </w:r>
      <w:bookmarkEnd w:id="120"/>
      <w:bookmarkEnd w:id="121"/>
      <w:bookmarkEnd w:id="122"/>
      <w:bookmarkEnd w:id="123"/>
      <w:bookmarkEnd w:id="124"/>
    </w:p>
    <w:p w14:paraId="111D1664">
      <w:pPr>
        <w:pStyle w:val="78"/>
        <w:rPr>
          <w:rFonts w:hint="eastAsia" w:ascii="仿宋" w:hAnsi="仿宋" w:eastAsia="仿宋" w:cs="仿宋"/>
          <w:b/>
          <w:bCs/>
          <w:color w:val="auto"/>
          <w:szCs w:val="28"/>
          <w:highlight w:val="none"/>
        </w:rPr>
      </w:pPr>
    </w:p>
    <w:p w14:paraId="23EEC165">
      <w:pPr>
        <w:snapToGrid w:val="0"/>
        <w:spacing w:line="360" w:lineRule="auto"/>
        <w:jc w:val="left"/>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（一）技术响应偏离表</w:t>
      </w:r>
    </w:p>
    <w:p w14:paraId="341140C5">
      <w:pPr>
        <w:snapToGrid w:val="0"/>
        <w:spacing w:line="360" w:lineRule="auto"/>
        <w:jc w:val="center"/>
        <w:rPr>
          <w:rFonts w:hint="eastAsia" w:ascii="仿宋" w:hAnsi="仿宋" w:eastAsia="仿宋"/>
          <w:bCs/>
          <w:color w:val="auto"/>
          <w:sz w:val="24"/>
          <w:szCs w:val="24"/>
          <w:highlight w:val="none"/>
        </w:rPr>
      </w:pPr>
      <w:r>
        <w:rPr>
          <w:rFonts w:hint="eastAsia" w:ascii="仿宋" w:hAnsi="仿宋" w:eastAsia="仿宋"/>
          <w:bCs/>
          <w:color w:val="auto"/>
          <w:sz w:val="24"/>
          <w:szCs w:val="24"/>
          <w:highlight w:val="none"/>
        </w:rPr>
        <w:t>技术响应偏离表</w:t>
      </w:r>
    </w:p>
    <w:p w14:paraId="7E4535D0">
      <w:pPr>
        <w:snapToGrid w:val="0"/>
        <w:spacing w:line="360" w:lineRule="auto"/>
        <w:ind w:firstLine="465"/>
        <w:rPr>
          <w:rFonts w:hint="eastAsia" w:ascii="仿宋" w:hAnsi="仿宋" w:eastAsia="仿宋"/>
          <w:color w:val="auto"/>
          <w:sz w:val="24"/>
          <w:szCs w:val="24"/>
          <w:highlight w:val="none"/>
        </w:rPr>
      </w:pPr>
      <w:r>
        <w:rPr>
          <w:rFonts w:hint="eastAsia" w:ascii="仿宋" w:hAnsi="仿宋" w:eastAsia="仿宋"/>
          <w:color w:val="auto"/>
          <w:sz w:val="24"/>
          <w:szCs w:val="24"/>
          <w:highlight w:val="none"/>
        </w:rPr>
        <w:t>对于网上竞采文件的技术要求，如有任何偏离请如实填写下表：</w:t>
      </w:r>
    </w:p>
    <w:tbl>
      <w:tblPr>
        <w:tblStyle w:val="63"/>
        <w:tblW w:w="9478"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10"/>
        <w:gridCol w:w="3179"/>
        <w:gridCol w:w="2434"/>
        <w:gridCol w:w="2355"/>
      </w:tblGrid>
      <w:tr w14:paraId="1F4EE6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trPr>
        <w:tc>
          <w:tcPr>
            <w:tcW w:w="1510" w:type="dxa"/>
            <w:vAlign w:val="center"/>
          </w:tcPr>
          <w:p w14:paraId="29880DE0">
            <w:pPr>
              <w:tabs>
                <w:tab w:val="left" w:pos="6300"/>
              </w:tabs>
              <w:snapToGrid w:val="0"/>
              <w:spacing w:line="360" w:lineRule="auto"/>
              <w:jc w:val="center"/>
              <w:outlineLvl w:val="0"/>
              <w:rPr>
                <w:rFonts w:hint="eastAsia" w:ascii="仿宋" w:hAnsi="仿宋" w:eastAsia="仿宋"/>
                <w:color w:val="auto"/>
                <w:sz w:val="21"/>
                <w:szCs w:val="24"/>
                <w:highlight w:val="none"/>
              </w:rPr>
            </w:pPr>
            <w:r>
              <w:rPr>
                <w:rFonts w:hint="eastAsia" w:ascii="仿宋" w:hAnsi="仿宋" w:eastAsia="仿宋"/>
                <w:color w:val="auto"/>
                <w:sz w:val="21"/>
                <w:szCs w:val="24"/>
                <w:highlight w:val="none"/>
              </w:rPr>
              <w:t>序号</w:t>
            </w:r>
          </w:p>
        </w:tc>
        <w:tc>
          <w:tcPr>
            <w:tcW w:w="3179" w:type="dxa"/>
            <w:vAlign w:val="center"/>
          </w:tcPr>
          <w:p w14:paraId="6244641A">
            <w:pPr>
              <w:tabs>
                <w:tab w:val="left" w:pos="6300"/>
              </w:tabs>
              <w:snapToGrid w:val="0"/>
              <w:spacing w:line="360" w:lineRule="auto"/>
              <w:jc w:val="center"/>
              <w:outlineLvl w:val="0"/>
              <w:rPr>
                <w:rFonts w:hint="eastAsia" w:ascii="仿宋" w:hAnsi="仿宋" w:eastAsia="仿宋"/>
                <w:color w:val="auto"/>
                <w:sz w:val="21"/>
                <w:szCs w:val="24"/>
                <w:highlight w:val="none"/>
              </w:rPr>
            </w:pPr>
            <w:r>
              <w:rPr>
                <w:rFonts w:hint="eastAsia" w:ascii="仿宋" w:hAnsi="仿宋" w:eastAsia="仿宋"/>
                <w:color w:val="auto"/>
                <w:sz w:val="21"/>
                <w:szCs w:val="24"/>
                <w:highlight w:val="none"/>
              </w:rPr>
              <w:t>采购项目需求</w:t>
            </w:r>
          </w:p>
        </w:tc>
        <w:tc>
          <w:tcPr>
            <w:tcW w:w="2434" w:type="dxa"/>
            <w:vAlign w:val="center"/>
          </w:tcPr>
          <w:p w14:paraId="32CAB8E7">
            <w:pPr>
              <w:tabs>
                <w:tab w:val="left" w:pos="6300"/>
              </w:tabs>
              <w:snapToGrid w:val="0"/>
              <w:spacing w:line="360" w:lineRule="auto"/>
              <w:jc w:val="center"/>
              <w:outlineLvl w:val="0"/>
              <w:rPr>
                <w:rFonts w:hint="eastAsia" w:ascii="仿宋" w:hAnsi="仿宋" w:eastAsia="仿宋"/>
                <w:color w:val="auto"/>
                <w:sz w:val="21"/>
                <w:szCs w:val="24"/>
                <w:highlight w:val="none"/>
              </w:rPr>
            </w:pPr>
            <w:r>
              <w:rPr>
                <w:rFonts w:hint="eastAsia" w:ascii="仿宋" w:hAnsi="仿宋" w:eastAsia="仿宋"/>
                <w:color w:val="auto"/>
                <w:sz w:val="21"/>
                <w:szCs w:val="24"/>
                <w:highlight w:val="none"/>
              </w:rPr>
              <w:t>响应情况</w:t>
            </w:r>
          </w:p>
        </w:tc>
        <w:tc>
          <w:tcPr>
            <w:tcW w:w="2355" w:type="dxa"/>
            <w:vAlign w:val="center"/>
          </w:tcPr>
          <w:p w14:paraId="20CA6D85">
            <w:pPr>
              <w:tabs>
                <w:tab w:val="left" w:pos="6300"/>
              </w:tabs>
              <w:snapToGrid w:val="0"/>
              <w:spacing w:line="360" w:lineRule="auto"/>
              <w:jc w:val="center"/>
              <w:outlineLvl w:val="0"/>
              <w:rPr>
                <w:rFonts w:hint="eastAsia" w:ascii="仿宋" w:hAnsi="仿宋" w:eastAsia="仿宋"/>
                <w:color w:val="auto"/>
                <w:sz w:val="21"/>
                <w:szCs w:val="24"/>
                <w:highlight w:val="none"/>
              </w:rPr>
            </w:pPr>
            <w:r>
              <w:rPr>
                <w:rFonts w:hint="eastAsia" w:ascii="仿宋" w:hAnsi="仿宋" w:eastAsia="仿宋"/>
                <w:color w:val="auto"/>
                <w:sz w:val="21"/>
                <w:szCs w:val="24"/>
                <w:highlight w:val="none"/>
              </w:rPr>
              <w:t>差异说明</w:t>
            </w:r>
          </w:p>
        </w:tc>
      </w:tr>
      <w:tr w14:paraId="716F3C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5F6FC579">
            <w:pPr>
              <w:tabs>
                <w:tab w:val="left" w:pos="6300"/>
              </w:tabs>
              <w:snapToGrid w:val="0"/>
              <w:spacing w:line="360" w:lineRule="auto"/>
              <w:jc w:val="center"/>
              <w:outlineLvl w:val="0"/>
              <w:rPr>
                <w:rFonts w:hint="eastAsia" w:ascii="仿宋" w:hAnsi="仿宋" w:eastAsia="仿宋"/>
                <w:color w:val="auto"/>
                <w:sz w:val="21"/>
                <w:szCs w:val="24"/>
                <w:highlight w:val="none"/>
              </w:rPr>
            </w:pPr>
          </w:p>
        </w:tc>
        <w:tc>
          <w:tcPr>
            <w:tcW w:w="3179" w:type="dxa"/>
            <w:vAlign w:val="center"/>
          </w:tcPr>
          <w:p w14:paraId="59773B54">
            <w:pPr>
              <w:tabs>
                <w:tab w:val="left" w:pos="6300"/>
              </w:tabs>
              <w:snapToGrid w:val="0"/>
              <w:spacing w:line="360" w:lineRule="auto"/>
              <w:jc w:val="center"/>
              <w:outlineLvl w:val="0"/>
              <w:rPr>
                <w:rFonts w:hint="eastAsia" w:ascii="仿宋" w:hAnsi="仿宋" w:eastAsia="仿宋"/>
                <w:color w:val="auto"/>
                <w:sz w:val="21"/>
                <w:szCs w:val="24"/>
                <w:highlight w:val="none"/>
              </w:rPr>
            </w:pPr>
          </w:p>
        </w:tc>
        <w:tc>
          <w:tcPr>
            <w:tcW w:w="2434" w:type="dxa"/>
            <w:vAlign w:val="center"/>
          </w:tcPr>
          <w:p w14:paraId="41828DEF">
            <w:pPr>
              <w:tabs>
                <w:tab w:val="left" w:pos="6300"/>
              </w:tabs>
              <w:snapToGrid w:val="0"/>
              <w:spacing w:line="360" w:lineRule="auto"/>
              <w:jc w:val="center"/>
              <w:outlineLvl w:val="0"/>
              <w:rPr>
                <w:rFonts w:hint="eastAsia" w:ascii="仿宋" w:hAnsi="仿宋" w:eastAsia="仿宋"/>
                <w:color w:val="auto"/>
                <w:sz w:val="21"/>
                <w:szCs w:val="24"/>
                <w:highlight w:val="none"/>
              </w:rPr>
            </w:pPr>
          </w:p>
        </w:tc>
        <w:tc>
          <w:tcPr>
            <w:tcW w:w="2355" w:type="dxa"/>
            <w:vAlign w:val="center"/>
          </w:tcPr>
          <w:p w14:paraId="6DCB6CF1">
            <w:pPr>
              <w:tabs>
                <w:tab w:val="left" w:pos="6300"/>
              </w:tabs>
              <w:snapToGrid w:val="0"/>
              <w:spacing w:line="360" w:lineRule="auto"/>
              <w:jc w:val="center"/>
              <w:outlineLvl w:val="0"/>
              <w:rPr>
                <w:rFonts w:hint="eastAsia" w:ascii="仿宋" w:hAnsi="仿宋" w:eastAsia="仿宋"/>
                <w:color w:val="auto"/>
                <w:sz w:val="21"/>
                <w:szCs w:val="24"/>
                <w:highlight w:val="none"/>
              </w:rPr>
            </w:pPr>
          </w:p>
        </w:tc>
      </w:tr>
      <w:tr w14:paraId="475350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6EBABD60">
            <w:pPr>
              <w:tabs>
                <w:tab w:val="left" w:pos="6300"/>
              </w:tabs>
              <w:snapToGrid w:val="0"/>
              <w:spacing w:line="360" w:lineRule="auto"/>
              <w:jc w:val="center"/>
              <w:outlineLvl w:val="0"/>
              <w:rPr>
                <w:rFonts w:hint="eastAsia" w:ascii="仿宋" w:hAnsi="仿宋" w:eastAsia="仿宋"/>
                <w:color w:val="auto"/>
                <w:sz w:val="21"/>
                <w:szCs w:val="24"/>
                <w:highlight w:val="none"/>
              </w:rPr>
            </w:pPr>
          </w:p>
        </w:tc>
        <w:tc>
          <w:tcPr>
            <w:tcW w:w="3179" w:type="dxa"/>
            <w:vAlign w:val="center"/>
          </w:tcPr>
          <w:p w14:paraId="595CAE54">
            <w:pPr>
              <w:tabs>
                <w:tab w:val="left" w:pos="6300"/>
              </w:tabs>
              <w:snapToGrid w:val="0"/>
              <w:spacing w:line="360" w:lineRule="auto"/>
              <w:jc w:val="center"/>
              <w:outlineLvl w:val="0"/>
              <w:rPr>
                <w:rFonts w:hint="eastAsia" w:ascii="仿宋" w:hAnsi="仿宋" w:eastAsia="仿宋"/>
                <w:color w:val="auto"/>
                <w:sz w:val="21"/>
                <w:szCs w:val="24"/>
                <w:highlight w:val="none"/>
              </w:rPr>
            </w:pPr>
          </w:p>
        </w:tc>
        <w:tc>
          <w:tcPr>
            <w:tcW w:w="2434" w:type="dxa"/>
            <w:vAlign w:val="center"/>
          </w:tcPr>
          <w:p w14:paraId="52EC24CA">
            <w:pPr>
              <w:tabs>
                <w:tab w:val="left" w:pos="6300"/>
              </w:tabs>
              <w:snapToGrid w:val="0"/>
              <w:spacing w:line="360" w:lineRule="auto"/>
              <w:jc w:val="center"/>
              <w:outlineLvl w:val="0"/>
              <w:rPr>
                <w:rFonts w:hint="eastAsia" w:ascii="仿宋" w:hAnsi="仿宋" w:eastAsia="仿宋"/>
                <w:color w:val="auto"/>
                <w:sz w:val="21"/>
                <w:szCs w:val="24"/>
                <w:highlight w:val="none"/>
              </w:rPr>
            </w:pPr>
          </w:p>
        </w:tc>
        <w:tc>
          <w:tcPr>
            <w:tcW w:w="2355" w:type="dxa"/>
            <w:vAlign w:val="center"/>
          </w:tcPr>
          <w:p w14:paraId="03D505D8">
            <w:pPr>
              <w:tabs>
                <w:tab w:val="left" w:pos="6300"/>
              </w:tabs>
              <w:snapToGrid w:val="0"/>
              <w:spacing w:line="360" w:lineRule="auto"/>
              <w:jc w:val="center"/>
              <w:outlineLvl w:val="0"/>
              <w:rPr>
                <w:rFonts w:hint="eastAsia" w:ascii="仿宋" w:hAnsi="仿宋" w:eastAsia="仿宋"/>
                <w:color w:val="auto"/>
                <w:sz w:val="21"/>
                <w:szCs w:val="24"/>
                <w:highlight w:val="none"/>
              </w:rPr>
            </w:pPr>
          </w:p>
        </w:tc>
      </w:tr>
      <w:tr w14:paraId="7EE429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2EAF5A68">
            <w:pPr>
              <w:tabs>
                <w:tab w:val="left" w:pos="6300"/>
              </w:tabs>
              <w:snapToGrid w:val="0"/>
              <w:spacing w:line="360" w:lineRule="auto"/>
              <w:jc w:val="center"/>
              <w:outlineLvl w:val="0"/>
              <w:rPr>
                <w:rFonts w:hint="eastAsia" w:ascii="仿宋" w:hAnsi="仿宋" w:eastAsia="仿宋"/>
                <w:color w:val="auto"/>
                <w:sz w:val="21"/>
                <w:szCs w:val="24"/>
                <w:highlight w:val="none"/>
              </w:rPr>
            </w:pPr>
          </w:p>
        </w:tc>
        <w:tc>
          <w:tcPr>
            <w:tcW w:w="3179" w:type="dxa"/>
            <w:vAlign w:val="center"/>
          </w:tcPr>
          <w:p w14:paraId="4E5B1905">
            <w:pPr>
              <w:tabs>
                <w:tab w:val="left" w:pos="6300"/>
              </w:tabs>
              <w:snapToGrid w:val="0"/>
              <w:spacing w:line="360" w:lineRule="auto"/>
              <w:jc w:val="center"/>
              <w:outlineLvl w:val="0"/>
              <w:rPr>
                <w:rFonts w:hint="eastAsia" w:ascii="仿宋" w:hAnsi="仿宋" w:eastAsia="仿宋"/>
                <w:color w:val="auto"/>
                <w:sz w:val="21"/>
                <w:szCs w:val="24"/>
                <w:highlight w:val="none"/>
              </w:rPr>
            </w:pPr>
          </w:p>
        </w:tc>
        <w:tc>
          <w:tcPr>
            <w:tcW w:w="2434" w:type="dxa"/>
            <w:vAlign w:val="center"/>
          </w:tcPr>
          <w:p w14:paraId="1D920577">
            <w:pPr>
              <w:tabs>
                <w:tab w:val="left" w:pos="6300"/>
              </w:tabs>
              <w:snapToGrid w:val="0"/>
              <w:spacing w:line="360" w:lineRule="auto"/>
              <w:jc w:val="center"/>
              <w:outlineLvl w:val="0"/>
              <w:rPr>
                <w:rFonts w:hint="eastAsia" w:ascii="仿宋" w:hAnsi="仿宋" w:eastAsia="仿宋"/>
                <w:color w:val="auto"/>
                <w:sz w:val="21"/>
                <w:szCs w:val="24"/>
                <w:highlight w:val="none"/>
              </w:rPr>
            </w:pPr>
          </w:p>
        </w:tc>
        <w:tc>
          <w:tcPr>
            <w:tcW w:w="2355" w:type="dxa"/>
            <w:vAlign w:val="center"/>
          </w:tcPr>
          <w:p w14:paraId="5B1B6B2C">
            <w:pPr>
              <w:tabs>
                <w:tab w:val="left" w:pos="6300"/>
              </w:tabs>
              <w:snapToGrid w:val="0"/>
              <w:spacing w:line="360" w:lineRule="auto"/>
              <w:jc w:val="center"/>
              <w:outlineLvl w:val="0"/>
              <w:rPr>
                <w:rFonts w:hint="eastAsia" w:ascii="仿宋" w:hAnsi="仿宋" w:eastAsia="仿宋"/>
                <w:color w:val="auto"/>
                <w:sz w:val="21"/>
                <w:szCs w:val="24"/>
                <w:highlight w:val="none"/>
              </w:rPr>
            </w:pPr>
          </w:p>
        </w:tc>
      </w:tr>
      <w:tr w14:paraId="13DCE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3585EE23">
            <w:pPr>
              <w:tabs>
                <w:tab w:val="left" w:pos="6300"/>
              </w:tabs>
              <w:snapToGrid w:val="0"/>
              <w:spacing w:line="360" w:lineRule="auto"/>
              <w:jc w:val="center"/>
              <w:outlineLvl w:val="0"/>
              <w:rPr>
                <w:rFonts w:hint="eastAsia" w:ascii="仿宋" w:hAnsi="仿宋" w:eastAsia="仿宋"/>
                <w:color w:val="auto"/>
                <w:sz w:val="21"/>
                <w:szCs w:val="24"/>
                <w:highlight w:val="none"/>
              </w:rPr>
            </w:pPr>
          </w:p>
        </w:tc>
        <w:tc>
          <w:tcPr>
            <w:tcW w:w="3179" w:type="dxa"/>
            <w:vAlign w:val="center"/>
          </w:tcPr>
          <w:p w14:paraId="0F6C4E5A">
            <w:pPr>
              <w:tabs>
                <w:tab w:val="left" w:pos="6300"/>
              </w:tabs>
              <w:snapToGrid w:val="0"/>
              <w:spacing w:line="360" w:lineRule="auto"/>
              <w:jc w:val="center"/>
              <w:outlineLvl w:val="0"/>
              <w:rPr>
                <w:rFonts w:hint="eastAsia" w:ascii="仿宋" w:hAnsi="仿宋" w:eastAsia="仿宋"/>
                <w:color w:val="auto"/>
                <w:sz w:val="21"/>
                <w:szCs w:val="24"/>
                <w:highlight w:val="none"/>
              </w:rPr>
            </w:pPr>
          </w:p>
        </w:tc>
        <w:tc>
          <w:tcPr>
            <w:tcW w:w="2434" w:type="dxa"/>
            <w:vAlign w:val="center"/>
          </w:tcPr>
          <w:p w14:paraId="31445E7F">
            <w:pPr>
              <w:tabs>
                <w:tab w:val="left" w:pos="6300"/>
              </w:tabs>
              <w:snapToGrid w:val="0"/>
              <w:spacing w:line="360" w:lineRule="auto"/>
              <w:jc w:val="center"/>
              <w:outlineLvl w:val="0"/>
              <w:rPr>
                <w:rFonts w:hint="eastAsia" w:ascii="仿宋" w:hAnsi="仿宋" w:eastAsia="仿宋"/>
                <w:color w:val="auto"/>
                <w:sz w:val="21"/>
                <w:szCs w:val="24"/>
                <w:highlight w:val="none"/>
              </w:rPr>
            </w:pPr>
          </w:p>
        </w:tc>
        <w:tc>
          <w:tcPr>
            <w:tcW w:w="2355" w:type="dxa"/>
            <w:vAlign w:val="center"/>
          </w:tcPr>
          <w:p w14:paraId="1086BE4D">
            <w:pPr>
              <w:tabs>
                <w:tab w:val="left" w:pos="6300"/>
              </w:tabs>
              <w:snapToGrid w:val="0"/>
              <w:spacing w:line="360" w:lineRule="auto"/>
              <w:jc w:val="center"/>
              <w:outlineLvl w:val="0"/>
              <w:rPr>
                <w:rFonts w:hint="eastAsia" w:ascii="仿宋" w:hAnsi="仿宋" w:eastAsia="仿宋"/>
                <w:color w:val="auto"/>
                <w:sz w:val="21"/>
                <w:szCs w:val="24"/>
                <w:highlight w:val="none"/>
              </w:rPr>
            </w:pPr>
          </w:p>
        </w:tc>
      </w:tr>
      <w:tr w14:paraId="59CD30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0EE18392">
            <w:pPr>
              <w:tabs>
                <w:tab w:val="left" w:pos="6300"/>
              </w:tabs>
              <w:snapToGrid w:val="0"/>
              <w:spacing w:line="360" w:lineRule="auto"/>
              <w:jc w:val="center"/>
              <w:outlineLvl w:val="0"/>
              <w:rPr>
                <w:rFonts w:hint="eastAsia" w:ascii="仿宋" w:hAnsi="仿宋" w:eastAsia="仿宋"/>
                <w:color w:val="auto"/>
                <w:sz w:val="21"/>
                <w:szCs w:val="24"/>
                <w:highlight w:val="none"/>
              </w:rPr>
            </w:pPr>
          </w:p>
        </w:tc>
        <w:tc>
          <w:tcPr>
            <w:tcW w:w="3179" w:type="dxa"/>
            <w:vAlign w:val="center"/>
          </w:tcPr>
          <w:p w14:paraId="7D56AF2C">
            <w:pPr>
              <w:tabs>
                <w:tab w:val="left" w:pos="6300"/>
              </w:tabs>
              <w:snapToGrid w:val="0"/>
              <w:spacing w:line="360" w:lineRule="auto"/>
              <w:jc w:val="center"/>
              <w:outlineLvl w:val="0"/>
              <w:rPr>
                <w:rFonts w:hint="eastAsia" w:ascii="仿宋" w:hAnsi="仿宋" w:eastAsia="仿宋"/>
                <w:color w:val="auto"/>
                <w:sz w:val="21"/>
                <w:szCs w:val="24"/>
                <w:highlight w:val="none"/>
              </w:rPr>
            </w:pPr>
          </w:p>
        </w:tc>
        <w:tc>
          <w:tcPr>
            <w:tcW w:w="2434" w:type="dxa"/>
            <w:vAlign w:val="center"/>
          </w:tcPr>
          <w:p w14:paraId="1D5052F3">
            <w:pPr>
              <w:tabs>
                <w:tab w:val="left" w:pos="6300"/>
              </w:tabs>
              <w:snapToGrid w:val="0"/>
              <w:spacing w:line="360" w:lineRule="auto"/>
              <w:jc w:val="center"/>
              <w:outlineLvl w:val="0"/>
              <w:rPr>
                <w:rFonts w:hint="eastAsia" w:ascii="仿宋" w:hAnsi="仿宋" w:eastAsia="仿宋"/>
                <w:color w:val="auto"/>
                <w:sz w:val="21"/>
                <w:szCs w:val="24"/>
                <w:highlight w:val="none"/>
              </w:rPr>
            </w:pPr>
          </w:p>
        </w:tc>
        <w:tc>
          <w:tcPr>
            <w:tcW w:w="2355" w:type="dxa"/>
            <w:vAlign w:val="center"/>
          </w:tcPr>
          <w:p w14:paraId="7202D10D">
            <w:pPr>
              <w:tabs>
                <w:tab w:val="left" w:pos="6300"/>
              </w:tabs>
              <w:snapToGrid w:val="0"/>
              <w:spacing w:line="360" w:lineRule="auto"/>
              <w:jc w:val="center"/>
              <w:outlineLvl w:val="0"/>
              <w:rPr>
                <w:rFonts w:hint="eastAsia" w:ascii="仿宋" w:hAnsi="仿宋" w:eastAsia="仿宋"/>
                <w:color w:val="auto"/>
                <w:sz w:val="21"/>
                <w:szCs w:val="24"/>
                <w:highlight w:val="none"/>
              </w:rPr>
            </w:pPr>
          </w:p>
        </w:tc>
      </w:tr>
      <w:tr w14:paraId="7093A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1345A757">
            <w:pPr>
              <w:tabs>
                <w:tab w:val="left" w:pos="6300"/>
              </w:tabs>
              <w:snapToGrid w:val="0"/>
              <w:spacing w:line="360" w:lineRule="auto"/>
              <w:jc w:val="center"/>
              <w:outlineLvl w:val="0"/>
              <w:rPr>
                <w:rFonts w:hint="eastAsia" w:ascii="仿宋" w:hAnsi="仿宋" w:eastAsia="仿宋"/>
                <w:color w:val="auto"/>
                <w:sz w:val="21"/>
                <w:szCs w:val="24"/>
                <w:highlight w:val="none"/>
              </w:rPr>
            </w:pPr>
          </w:p>
        </w:tc>
        <w:tc>
          <w:tcPr>
            <w:tcW w:w="3179" w:type="dxa"/>
            <w:vAlign w:val="center"/>
          </w:tcPr>
          <w:p w14:paraId="4EAB5FF3">
            <w:pPr>
              <w:tabs>
                <w:tab w:val="left" w:pos="6300"/>
              </w:tabs>
              <w:snapToGrid w:val="0"/>
              <w:spacing w:line="360" w:lineRule="auto"/>
              <w:jc w:val="center"/>
              <w:outlineLvl w:val="0"/>
              <w:rPr>
                <w:rFonts w:hint="eastAsia" w:ascii="仿宋" w:hAnsi="仿宋" w:eastAsia="仿宋"/>
                <w:color w:val="auto"/>
                <w:sz w:val="21"/>
                <w:szCs w:val="24"/>
                <w:highlight w:val="none"/>
              </w:rPr>
            </w:pPr>
          </w:p>
        </w:tc>
        <w:tc>
          <w:tcPr>
            <w:tcW w:w="2434" w:type="dxa"/>
            <w:vAlign w:val="center"/>
          </w:tcPr>
          <w:p w14:paraId="334CF80A">
            <w:pPr>
              <w:tabs>
                <w:tab w:val="left" w:pos="6300"/>
              </w:tabs>
              <w:snapToGrid w:val="0"/>
              <w:spacing w:line="360" w:lineRule="auto"/>
              <w:jc w:val="center"/>
              <w:outlineLvl w:val="0"/>
              <w:rPr>
                <w:rFonts w:hint="eastAsia" w:ascii="仿宋" w:hAnsi="仿宋" w:eastAsia="仿宋"/>
                <w:color w:val="auto"/>
                <w:sz w:val="21"/>
                <w:szCs w:val="24"/>
                <w:highlight w:val="none"/>
              </w:rPr>
            </w:pPr>
          </w:p>
        </w:tc>
        <w:tc>
          <w:tcPr>
            <w:tcW w:w="2355" w:type="dxa"/>
            <w:vAlign w:val="center"/>
          </w:tcPr>
          <w:p w14:paraId="7C59533D">
            <w:pPr>
              <w:tabs>
                <w:tab w:val="left" w:pos="6300"/>
              </w:tabs>
              <w:snapToGrid w:val="0"/>
              <w:spacing w:line="360" w:lineRule="auto"/>
              <w:jc w:val="center"/>
              <w:outlineLvl w:val="0"/>
              <w:rPr>
                <w:rFonts w:hint="eastAsia" w:ascii="仿宋" w:hAnsi="仿宋" w:eastAsia="仿宋"/>
                <w:color w:val="auto"/>
                <w:sz w:val="21"/>
                <w:szCs w:val="24"/>
                <w:highlight w:val="none"/>
              </w:rPr>
            </w:pPr>
          </w:p>
        </w:tc>
      </w:tr>
    </w:tbl>
    <w:p w14:paraId="1C13EBE1">
      <w:pPr>
        <w:snapToGrid w:val="0"/>
        <w:spacing w:line="360" w:lineRule="auto"/>
        <w:ind w:firstLine="465"/>
        <w:rPr>
          <w:rFonts w:hint="eastAsia" w:ascii="仿宋" w:hAnsi="仿宋" w:eastAsia="仿宋"/>
          <w:color w:val="auto"/>
          <w:sz w:val="24"/>
          <w:szCs w:val="24"/>
          <w:highlight w:val="none"/>
        </w:rPr>
      </w:pPr>
    </w:p>
    <w:p w14:paraId="0FA2CB7B">
      <w:pPr>
        <w:spacing w:line="500" w:lineRule="exact"/>
        <w:ind w:firstLine="600" w:firstLineChars="250"/>
        <w:rPr>
          <w:rFonts w:hint="eastAsia" w:ascii="仿宋" w:hAnsi="仿宋" w:eastAsia="仿宋"/>
          <w:color w:val="auto"/>
          <w:sz w:val="24"/>
          <w:szCs w:val="28"/>
          <w:highlight w:val="none"/>
        </w:rPr>
      </w:pPr>
      <w:r>
        <w:rPr>
          <w:rFonts w:hint="eastAsia" w:ascii="仿宋" w:hAnsi="仿宋" w:eastAsia="仿宋"/>
          <w:color w:val="auto"/>
          <w:sz w:val="24"/>
          <w:szCs w:val="28"/>
          <w:highlight w:val="none"/>
        </w:rPr>
        <w:t>供应商：                                      法定代表人</w:t>
      </w:r>
      <w:r>
        <w:rPr>
          <w:rFonts w:hint="eastAsia" w:ascii="仿宋" w:hAnsi="仿宋" w:eastAsia="仿宋"/>
          <w:color w:val="auto"/>
          <w:sz w:val="24"/>
          <w:szCs w:val="28"/>
          <w:highlight w:val="none"/>
          <w:lang w:val="en-US" w:eastAsia="zh-CN"/>
        </w:rPr>
        <w:t>或</w:t>
      </w:r>
      <w:r>
        <w:rPr>
          <w:rFonts w:hint="eastAsia" w:ascii="仿宋" w:hAnsi="仿宋" w:eastAsia="仿宋"/>
          <w:color w:val="auto"/>
          <w:sz w:val="24"/>
          <w:szCs w:val="28"/>
          <w:highlight w:val="none"/>
        </w:rPr>
        <w:t>授权代表：</w:t>
      </w:r>
    </w:p>
    <w:p w14:paraId="484D00BD">
      <w:pPr>
        <w:spacing w:line="500" w:lineRule="exact"/>
        <w:rPr>
          <w:rFonts w:hint="eastAsia" w:ascii="仿宋" w:hAnsi="仿宋" w:eastAsia="仿宋"/>
          <w:color w:val="auto"/>
          <w:sz w:val="24"/>
          <w:szCs w:val="28"/>
          <w:highlight w:val="none"/>
        </w:rPr>
      </w:pPr>
    </w:p>
    <w:p w14:paraId="5E13AE37">
      <w:pPr>
        <w:spacing w:line="500" w:lineRule="exact"/>
        <w:ind w:firstLine="360" w:firstLineChars="150"/>
        <w:rPr>
          <w:rFonts w:hint="eastAsia" w:ascii="仿宋" w:hAnsi="仿宋" w:eastAsia="仿宋"/>
          <w:color w:val="auto"/>
          <w:sz w:val="24"/>
          <w:szCs w:val="28"/>
          <w:highlight w:val="none"/>
        </w:rPr>
      </w:pPr>
      <w:r>
        <w:rPr>
          <w:rFonts w:hint="eastAsia" w:ascii="仿宋" w:hAnsi="仿宋" w:eastAsia="仿宋"/>
          <w:color w:val="auto"/>
          <w:sz w:val="24"/>
          <w:szCs w:val="28"/>
          <w:highlight w:val="none"/>
        </w:rPr>
        <w:t>（供应商公章）                                      （签字或盖章）</w:t>
      </w:r>
    </w:p>
    <w:p w14:paraId="7522D9C3">
      <w:pPr>
        <w:pStyle w:val="37"/>
        <w:rPr>
          <w:color w:val="auto"/>
          <w:highlight w:val="none"/>
        </w:rPr>
      </w:pPr>
    </w:p>
    <w:p w14:paraId="1E0BA0E6">
      <w:pPr>
        <w:tabs>
          <w:tab w:val="left" w:pos="6300"/>
        </w:tabs>
        <w:snapToGrid w:val="0"/>
        <w:spacing w:line="500" w:lineRule="exact"/>
        <w:ind w:firstLine="570"/>
        <w:jc w:val="center"/>
        <w:rPr>
          <w:rFonts w:hint="eastAsia" w:ascii="仿宋" w:hAnsi="仿宋" w:eastAsia="仿宋"/>
          <w:color w:val="auto"/>
          <w:sz w:val="24"/>
          <w:szCs w:val="28"/>
          <w:highlight w:val="none"/>
        </w:rPr>
      </w:pPr>
      <w:r>
        <w:rPr>
          <w:rFonts w:hint="eastAsia" w:ascii="仿宋" w:hAnsi="仿宋" w:eastAsia="仿宋"/>
          <w:color w:val="auto"/>
          <w:sz w:val="24"/>
          <w:szCs w:val="28"/>
          <w:highlight w:val="none"/>
        </w:rPr>
        <w:t xml:space="preserve">                                年    月    日</w:t>
      </w:r>
    </w:p>
    <w:p w14:paraId="6F5CE06C">
      <w:pPr>
        <w:pStyle w:val="37"/>
        <w:rPr>
          <w:color w:val="auto"/>
          <w:highlight w:val="none"/>
        </w:rPr>
      </w:pPr>
    </w:p>
    <w:p w14:paraId="1E8D7EDF">
      <w:pPr>
        <w:tabs>
          <w:tab w:val="left" w:pos="6300"/>
        </w:tabs>
        <w:snapToGrid w:val="0"/>
        <w:spacing w:line="500" w:lineRule="exact"/>
        <w:ind w:firstLine="480" w:firstLineChars="200"/>
        <w:rPr>
          <w:rFonts w:hint="eastAsia" w:ascii="仿宋" w:hAnsi="仿宋" w:eastAsia="仿宋"/>
          <w:color w:val="auto"/>
          <w:sz w:val="24"/>
          <w:highlight w:val="none"/>
        </w:rPr>
      </w:pPr>
      <w:r>
        <w:rPr>
          <w:rFonts w:hint="eastAsia" w:ascii="仿宋" w:hAnsi="仿宋" w:eastAsia="仿宋"/>
          <w:color w:val="auto"/>
          <w:sz w:val="24"/>
          <w:highlight w:val="none"/>
        </w:rPr>
        <w:t>注：</w:t>
      </w:r>
    </w:p>
    <w:p w14:paraId="5D484085">
      <w:pPr>
        <w:tabs>
          <w:tab w:val="left" w:pos="6300"/>
        </w:tabs>
        <w:snapToGrid w:val="0"/>
        <w:spacing w:line="500" w:lineRule="exact"/>
        <w:ind w:firstLine="480" w:firstLineChars="200"/>
        <w:rPr>
          <w:rFonts w:hint="eastAsia" w:ascii="仿宋" w:hAnsi="仿宋" w:eastAsia="仿宋"/>
          <w:color w:val="auto"/>
          <w:sz w:val="24"/>
          <w:szCs w:val="24"/>
          <w:highlight w:val="none"/>
        </w:rPr>
      </w:pPr>
      <w:r>
        <w:rPr>
          <w:rFonts w:hint="eastAsia" w:ascii="仿宋" w:hAnsi="仿宋" w:eastAsia="仿宋"/>
          <w:color w:val="auto"/>
          <w:sz w:val="24"/>
          <w:szCs w:val="24"/>
          <w:highlight w:val="none"/>
        </w:rPr>
        <w:t>1.本表即为对本项目“</w:t>
      </w:r>
      <w:r>
        <w:rPr>
          <w:rFonts w:hint="eastAsia" w:ascii="仿宋" w:hAnsi="仿宋" w:eastAsia="仿宋"/>
          <w:color w:val="auto"/>
          <w:sz w:val="24"/>
          <w:highlight w:val="none"/>
        </w:rPr>
        <w:t>第二篇 采购项目技术需求</w:t>
      </w:r>
      <w:r>
        <w:rPr>
          <w:rFonts w:hint="eastAsia" w:ascii="仿宋" w:hAnsi="仿宋" w:eastAsia="仿宋"/>
          <w:color w:val="auto"/>
          <w:sz w:val="24"/>
          <w:szCs w:val="24"/>
          <w:highlight w:val="none"/>
        </w:rPr>
        <w:t>”中所列条款进行比较和响应；</w:t>
      </w:r>
    </w:p>
    <w:p w14:paraId="27BFCBD8">
      <w:pPr>
        <w:tabs>
          <w:tab w:val="left" w:pos="6300"/>
        </w:tabs>
        <w:snapToGrid w:val="0"/>
        <w:spacing w:line="500" w:lineRule="exact"/>
        <w:ind w:firstLine="480" w:firstLineChars="200"/>
        <w:rPr>
          <w:rFonts w:hint="eastAsia" w:ascii="仿宋" w:hAnsi="仿宋" w:eastAsia="仿宋"/>
          <w:color w:val="auto"/>
          <w:sz w:val="24"/>
          <w:szCs w:val="24"/>
          <w:highlight w:val="none"/>
        </w:rPr>
      </w:pPr>
      <w:r>
        <w:rPr>
          <w:rFonts w:hint="eastAsia" w:ascii="仿宋" w:hAnsi="仿宋" w:eastAsia="仿宋"/>
          <w:color w:val="auto"/>
          <w:sz w:val="24"/>
          <w:szCs w:val="24"/>
          <w:highlight w:val="none"/>
        </w:rPr>
        <w:t>2.本表可扩展；</w:t>
      </w:r>
    </w:p>
    <w:p w14:paraId="2A2F2437">
      <w:pPr>
        <w:tabs>
          <w:tab w:val="left" w:pos="6300"/>
        </w:tabs>
        <w:snapToGrid w:val="0"/>
        <w:spacing w:line="500" w:lineRule="exact"/>
        <w:ind w:firstLine="480" w:firstLineChars="200"/>
        <w:rPr>
          <w:rFonts w:hint="eastAsia" w:ascii="仿宋" w:hAnsi="仿宋" w:eastAsia="仿宋"/>
          <w:color w:val="auto"/>
          <w:sz w:val="24"/>
          <w:szCs w:val="22"/>
          <w:highlight w:val="none"/>
        </w:rPr>
        <w:sectPr>
          <w:headerReference r:id="rId13" w:type="default"/>
          <w:pgSz w:w="11907" w:h="16840"/>
          <w:pgMar w:top="1134" w:right="1191" w:bottom="1134" w:left="1304" w:header="851" w:footer="992" w:gutter="0"/>
          <w:pgNumType w:fmt="numberInDash"/>
          <w:cols w:space="720" w:num="1"/>
          <w:docGrid w:linePitch="380" w:charSpace="-5735"/>
        </w:sectPr>
      </w:pPr>
      <w:r>
        <w:rPr>
          <w:rFonts w:hint="eastAsia" w:ascii="仿宋" w:hAnsi="仿宋" w:eastAsia="仿宋"/>
          <w:color w:val="auto"/>
          <w:sz w:val="24"/>
          <w:szCs w:val="24"/>
          <w:highlight w:val="none"/>
        </w:rPr>
        <w:t>3.可附相关技术支撑材料。（格式自定）</w:t>
      </w:r>
    </w:p>
    <w:p w14:paraId="4FF65CE3">
      <w:pPr>
        <w:snapToGrid w:val="0"/>
        <w:spacing w:line="360" w:lineRule="auto"/>
        <w:jc w:val="center"/>
        <w:rPr>
          <w:rFonts w:hint="default"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承诺书（格式自拟）</w:t>
      </w:r>
    </w:p>
    <w:p w14:paraId="1E1EBF4A">
      <w:pPr>
        <w:snapToGrid w:val="0"/>
        <w:spacing w:line="360" w:lineRule="auto"/>
        <w:jc w:val="left"/>
        <w:rPr>
          <w:rFonts w:hint="eastAsia" w:ascii="仿宋" w:hAnsi="仿宋" w:eastAsia="仿宋" w:cs="仿宋"/>
          <w:b/>
          <w:bCs/>
          <w:color w:val="auto"/>
          <w:sz w:val="24"/>
          <w:szCs w:val="24"/>
          <w:highlight w:val="none"/>
        </w:rPr>
      </w:pPr>
    </w:p>
    <w:p w14:paraId="67E36A12">
      <w:pPr>
        <w:snapToGrid w:val="0"/>
        <w:spacing w:line="360" w:lineRule="auto"/>
        <w:jc w:val="left"/>
        <w:rPr>
          <w:rFonts w:hint="eastAsia" w:ascii="仿宋" w:hAnsi="仿宋" w:eastAsia="仿宋" w:cs="仿宋"/>
          <w:b/>
          <w:bCs/>
          <w:color w:val="auto"/>
          <w:sz w:val="24"/>
          <w:szCs w:val="24"/>
          <w:highlight w:val="none"/>
        </w:rPr>
      </w:pPr>
    </w:p>
    <w:p w14:paraId="4052FAC5">
      <w:pPr>
        <w:snapToGrid w:val="0"/>
        <w:spacing w:line="360" w:lineRule="auto"/>
        <w:jc w:val="left"/>
        <w:rPr>
          <w:rFonts w:hint="eastAsia" w:ascii="仿宋" w:hAnsi="仿宋" w:eastAsia="仿宋" w:cs="仿宋"/>
          <w:b/>
          <w:bCs/>
          <w:color w:val="auto"/>
          <w:sz w:val="24"/>
          <w:szCs w:val="24"/>
          <w:highlight w:val="none"/>
        </w:rPr>
      </w:pPr>
    </w:p>
    <w:p w14:paraId="2A963D85">
      <w:pPr>
        <w:snapToGrid w:val="0"/>
        <w:spacing w:line="360" w:lineRule="auto"/>
        <w:jc w:val="left"/>
        <w:rPr>
          <w:rFonts w:hint="eastAsia" w:ascii="仿宋" w:hAnsi="仿宋" w:eastAsia="仿宋" w:cs="仿宋"/>
          <w:b/>
          <w:bCs/>
          <w:color w:val="auto"/>
          <w:sz w:val="24"/>
          <w:szCs w:val="24"/>
          <w:highlight w:val="none"/>
        </w:rPr>
      </w:pPr>
    </w:p>
    <w:p w14:paraId="4E9AF82D">
      <w:pPr>
        <w:snapToGrid w:val="0"/>
        <w:spacing w:line="360" w:lineRule="auto"/>
        <w:jc w:val="left"/>
        <w:rPr>
          <w:rFonts w:hint="eastAsia" w:ascii="仿宋" w:hAnsi="仿宋" w:eastAsia="仿宋" w:cs="仿宋"/>
          <w:b/>
          <w:bCs/>
          <w:color w:val="auto"/>
          <w:sz w:val="24"/>
          <w:szCs w:val="24"/>
          <w:highlight w:val="none"/>
        </w:rPr>
      </w:pPr>
    </w:p>
    <w:p w14:paraId="7B616267">
      <w:pPr>
        <w:snapToGrid w:val="0"/>
        <w:spacing w:line="360" w:lineRule="auto"/>
        <w:jc w:val="left"/>
        <w:rPr>
          <w:rFonts w:hint="eastAsia" w:ascii="仿宋" w:hAnsi="仿宋" w:eastAsia="仿宋" w:cs="仿宋"/>
          <w:b/>
          <w:bCs/>
          <w:color w:val="auto"/>
          <w:sz w:val="24"/>
          <w:szCs w:val="24"/>
          <w:highlight w:val="none"/>
        </w:rPr>
      </w:pPr>
    </w:p>
    <w:p w14:paraId="011E96B6">
      <w:pPr>
        <w:snapToGrid w:val="0"/>
        <w:spacing w:line="360" w:lineRule="auto"/>
        <w:jc w:val="left"/>
        <w:rPr>
          <w:rFonts w:hint="eastAsia" w:ascii="仿宋" w:hAnsi="仿宋" w:eastAsia="仿宋" w:cs="仿宋"/>
          <w:b/>
          <w:bCs/>
          <w:color w:val="auto"/>
          <w:sz w:val="24"/>
          <w:szCs w:val="24"/>
          <w:highlight w:val="none"/>
        </w:rPr>
      </w:pPr>
    </w:p>
    <w:p w14:paraId="618A2C6E">
      <w:pPr>
        <w:snapToGrid w:val="0"/>
        <w:spacing w:line="360" w:lineRule="auto"/>
        <w:jc w:val="left"/>
        <w:rPr>
          <w:rFonts w:hint="eastAsia" w:ascii="仿宋" w:hAnsi="仿宋" w:eastAsia="仿宋" w:cs="仿宋"/>
          <w:b/>
          <w:bCs/>
          <w:color w:val="auto"/>
          <w:sz w:val="24"/>
          <w:szCs w:val="24"/>
          <w:highlight w:val="none"/>
        </w:rPr>
      </w:pPr>
    </w:p>
    <w:p w14:paraId="5CD1A6C9">
      <w:pPr>
        <w:snapToGrid w:val="0"/>
        <w:spacing w:line="360" w:lineRule="auto"/>
        <w:jc w:val="left"/>
        <w:rPr>
          <w:rFonts w:hint="eastAsia" w:ascii="仿宋" w:hAnsi="仿宋" w:eastAsia="仿宋" w:cs="仿宋"/>
          <w:b/>
          <w:bCs/>
          <w:color w:val="auto"/>
          <w:sz w:val="24"/>
          <w:szCs w:val="24"/>
          <w:highlight w:val="none"/>
        </w:rPr>
      </w:pPr>
    </w:p>
    <w:p w14:paraId="1E9DCD88">
      <w:pPr>
        <w:snapToGrid w:val="0"/>
        <w:spacing w:line="360" w:lineRule="auto"/>
        <w:jc w:val="left"/>
        <w:rPr>
          <w:rFonts w:hint="eastAsia" w:ascii="仿宋" w:hAnsi="仿宋" w:eastAsia="仿宋" w:cs="仿宋"/>
          <w:b/>
          <w:bCs/>
          <w:color w:val="auto"/>
          <w:sz w:val="24"/>
          <w:szCs w:val="24"/>
          <w:highlight w:val="none"/>
        </w:rPr>
      </w:pPr>
    </w:p>
    <w:p w14:paraId="490C8125">
      <w:pPr>
        <w:snapToGrid w:val="0"/>
        <w:spacing w:line="360" w:lineRule="auto"/>
        <w:jc w:val="left"/>
        <w:rPr>
          <w:rFonts w:hint="eastAsia" w:ascii="仿宋" w:hAnsi="仿宋" w:eastAsia="仿宋" w:cs="仿宋"/>
          <w:b/>
          <w:bCs/>
          <w:color w:val="auto"/>
          <w:sz w:val="24"/>
          <w:szCs w:val="24"/>
          <w:highlight w:val="none"/>
        </w:rPr>
      </w:pPr>
    </w:p>
    <w:p w14:paraId="06A92FF9">
      <w:pPr>
        <w:snapToGrid w:val="0"/>
        <w:spacing w:line="360" w:lineRule="auto"/>
        <w:jc w:val="left"/>
        <w:rPr>
          <w:rFonts w:hint="eastAsia" w:ascii="仿宋" w:hAnsi="仿宋" w:eastAsia="仿宋" w:cs="仿宋"/>
          <w:b/>
          <w:bCs/>
          <w:color w:val="auto"/>
          <w:sz w:val="24"/>
          <w:szCs w:val="24"/>
          <w:highlight w:val="none"/>
        </w:rPr>
      </w:pPr>
    </w:p>
    <w:p w14:paraId="1E6B3924">
      <w:pPr>
        <w:snapToGrid w:val="0"/>
        <w:spacing w:line="360" w:lineRule="auto"/>
        <w:jc w:val="left"/>
        <w:rPr>
          <w:rFonts w:hint="eastAsia" w:ascii="仿宋" w:hAnsi="仿宋" w:eastAsia="仿宋" w:cs="仿宋"/>
          <w:b/>
          <w:bCs/>
          <w:color w:val="auto"/>
          <w:sz w:val="24"/>
          <w:szCs w:val="24"/>
          <w:highlight w:val="none"/>
        </w:rPr>
      </w:pPr>
    </w:p>
    <w:p w14:paraId="4D0B61D8">
      <w:pPr>
        <w:snapToGrid w:val="0"/>
        <w:spacing w:line="360" w:lineRule="auto"/>
        <w:jc w:val="left"/>
        <w:rPr>
          <w:rFonts w:hint="eastAsia" w:ascii="仿宋" w:hAnsi="仿宋" w:eastAsia="仿宋" w:cs="仿宋"/>
          <w:b/>
          <w:bCs/>
          <w:color w:val="auto"/>
          <w:sz w:val="24"/>
          <w:szCs w:val="24"/>
          <w:highlight w:val="none"/>
        </w:rPr>
      </w:pPr>
    </w:p>
    <w:p w14:paraId="33D898D3">
      <w:pPr>
        <w:snapToGrid w:val="0"/>
        <w:spacing w:line="360" w:lineRule="auto"/>
        <w:jc w:val="left"/>
        <w:rPr>
          <w:rFonts w:hint="eastAsia" w:ascii="仿宋" w:hAnsi="仿宋" w:eastAsia="仿宋" w:cs="仿宋"/>
          <w:b/>
          <w:bCs/>
          <w:color w:val="auto"/>
          <w:sz w:val="24"/>
          <w:szCs w:val="24"/>
          <w:highlight w:val="none"/>
        </w:rPr>
      </w:pPr>
    </w:p>
    <w:p w14:paraId="162EA4E1">
      <w:pPr>
        <w:snapToGrid w:val="0"/>
        <w:spacing w:line="360" w:lineRule="auto"/>
        <w:jc w:val="left"/>
        <w:rPr>
          <w:rFonts w:hint="eastAsia" w:ascii="仿宋" w:hAnsi="仿宋" w:eastAsia="仿宋" w:cs="仿宋"/>
          <w:b/>
          <w:bCs/>
          <w:color w:val="auto"/>
          <w:sz w:val="24"/>
          <w:szCs w:val="24"/>
          <w:highlight w:val="none"/>
        </w:rPr>
      </w:pPr>
    </w:p>
    <w:p w14:paraId="06B88600">
      <w:pPr>
        <w:snapToGrid w:val="0"/>
        <w:spacing w:line="360" w:lineRule="auto"/>
        <w:jc w:val="left"/>
        <w:rPr>
          <w:rFonts w:hint="eastAsia" w:ascii="仿宋" w:hAnsi="仿宋" w:eastAsia="仿宋" w:cs="仿宋"/>
          <w:b/>
          <w:bCs/>
          <w:color w:val="auto"/>
          <w:sz w:val="24"/>
          <w:szCs w:val="24"/>
          <w:highlight w:val="none"/>
        </w:rPr>
      </w:pPr>
    </w:p>
    <w:p w14:paraId="3DC26812">
      <w:pPr>
        <w:snapToGrid w:val="0"/>
        <w:spacing w:line="360" w:lineRule="auto"/>
        <w:jc w:val="left"/>
        <w:rPr>
          <w:rFonts w:hint="eastAsia" w:ascii="仿宋" w:hAnsi="仿宋" w:eastAsia="仿宋" w:cs="仿宋"/>
          <w:b/>
          <w:bCs/>
          <w:color w:val="auto"/>
          <w:sz w:val="24"/>
          <w:szCs w:val="24"/>
          <w:highlight w:val="none"/>
        </w:rPr>
      </w:pPr>
    </w:p>
    <w:p w14:paraId="1C61FBD8">
      <w:pPr>
        <w:snapToGrid w:val="0"/>
        <w:spacing w:line="360" w:lineRule="auto"/>
        <w:jc w:val="left"/>
        <w:rPr>
          <w:rFonts w:hint="eastAsia" w:ascii="仿宋" w:hAnsi="仿宋" w:eastAsia="仿宋" w:cs="仿宋"/>
          <w:b/>
          <w:bCs/>
          <w:color w:val="auto"/>
          <w:sz w:val="24"/>
          <w:szCs w:val="24"/>
          <w:highlight w:val="none"/>
        </w:rPr>
      </w:pPr>
    </w:p>
    <w:p w14:paraId="2EC9C079">
      <w:pPr>
        <w:snapToGrid w:val="0"/>
        <w:spacing w:line="360" w:lineRule="auto"/>
        <w:jc w:val="left"/>
        <w:rPr>
          <w:rFonts w:hint="eastAsia" w:ascii="仿宋" w:hAnsi="仿宋" w:eastAsia="仿宋" w:cs="仿宋"/>
          <w:b/>
          <w:bCs/>
          <w:color w:val="auto"/>
          <w:sz w:val="24"/>
          <w:szCs w:val="24"/>
          <w:highlight w:val="none"/>
        </w:rPr>
      </w:pPr>
    </w:p>
    <w:p w14:paraId="7EB9C715">
      <w:pPr>
        <w:snapToGrid w:val="0"/>
        <w:spacing w:line="360" w:lineRule="auto"/>
        <w:jc w:val="left"/>
        <w:rPr>
          <w:rFonts w:hint="eastAsia" w:ascii="仿宋" w:hAnsi="仿宋" w:eastAsia="仿宋" w:cs="仿宋"/>
          <w:b/>
          <w:bCs/>
          <w:color w:val="auto"/>
          <w:sz w:val="24"/>
          <w:szCs w:val="24"/>
          <w:highlight w:val="none"/>
        </w:rPr>
      </w:pPr>
    </w:p>
    <w:p w14:paraId="41095D51">
      <w:pPr>
        <w:snapToGrid w:val="0"/>
        <w:spacing w:line="360" w:lineRule="auto"/>
        <w:jc w:val="left"/>
        <w:rPr>
          <w:rFonts w:hint="eastAsia" w:ascii="仿宋" w:hAnsi="仿宋" w:eastAsia="仿宋" w:cs="仿宋"/>
          <w:b/>
          <w:bCs/>
          <w:color w:val="auto"/>
          <w:sz w:val="24"/>
          <w:szCs w:val="24"/>
          <w:highlight w:val="none"/>
        </w:rPr>
      </w:pPr>
    </w:p>
    <w:p w14:paraId="2D4B2954">
      <w:pPr>
        <w:snapToGrid w:val="0"/>
        <w:spacing w:line="360" w:lineRule="auto"/>
        <w:jc w:val="left"/>
        <w:rPr>
          <w:rFonts w:hint="eastAsia" w:ascii="仿宋" w:hAnsi="仿宋" w:eastAsia="仿宋" w:cs="仿宋"/>
          <w:b/>
          <w:bCs/>
          <w:color w:val="auto"/>
          <w:sz w:val="24"/>
          <w:szCs w:val="24"/>
          <w:highlight w:val="none"/>
        </w:rPr>
      </w:pPr>
    </w:p>
    <w:p w14:paraId="62EA55E7">
      <w:pPr>
        <w:snapToGrid w:val="0"/>
        <w:spacing w:line="360" w:lineRule="auto"/>
        <w:jc w:val="left"/>
        <w:rPr>
          <w:rFonts w:hint="eastAsia" w:ascii="仿宋" w:hAnsi="仿宋" w:eastAsia="仿宋" w:cs="仿宋"/>
          <w:b/>
          <w:bCs/>
          <w:color w:val="auto"/>
          <w:sz w:val="24"/>
          <w:szCs w:val="24"/>
          <w:highlight w:val="none"/>
        </w:rPr>
      </w:pPr>
    </w:p>
    <w:p w14:paraId="7F0454E6">
      <w:pPr>
        <w:snapToGrid w:val="0"/>
        <w:spacing w:line="360" w:lineRule="auto"/>
        <w:jc w:val="left"/>
        <w:rPr>
          <w:rFonts w:hint="eastAsia" w:ascii="仿宋" w:hAnsi="仿宋" w:eastAsia="仿宋" w:cs="仿宋"/>
          <w:b/>
          <w:bCs/>
          <w:color w:val="auto"/>
          <w:sz w:val="24"/>
          <w:szCs w:val="24"/>
          <w:highlight w:val="none"/>
        </w:rPr>
      </w:pPr>
    </w:p>
    <w:p w14:paraId="4F4B7C88">
      <w:pPr>
        <w:snapToGrid w:val="0"/>
        <w:spacing w:line="360" w:lineRule="auto"/>
        <w:jc w:val="left"/>
        <w:rPr>
          <w:rFonts w:hint="eastAsia" w:ascii="仿宋" w:hAnsi="仿宋" w:eastAsia="仿宋" w:cs="仿宋"/>
          <w:b/>
          <w:bCs/>
          <w:color w:val="auto"/>
          <w:sz w:val="24"/>
          <w:szCs w:val="24"/>
          <w:highlight w:val="none"/>
        </w:rPr>
      </w:pPr>
    </w:p>
    <w:p w14:paraId="4F01D5CE">
      <w:pPr>
        <w:snapToGrid w:val="0"/>
        <w:spacing w:line="360" w:lineRule="auto"/>
        <w:jc w:val="left"/>
        <w:rPr>
          <w:rFonts w:hint="eastAsia" w:ascii="仿宋" w:hAnsi="仿宋" w:eastAsia="仿宋" w:cs="仿宋"/>
          <w:b/>
          <w:bCs/>
          <w:color w:val="auto"/>
          <w:sz w:val="24"/>
          <w:szCs w:val="24"/>
          <w:highlight w:val="none"/>
        </w:rPr>
      </w:pPr>
    </w:p>
    <w:p w14:paraId="4E6B4AEA">
      <w:pPr>
        <w:snapToGrid w:val="0"/>
        <w:spacing w:line="360" w:lineRule="auto"/>
        <w:jc w:val="left"/>
        <w:rPr>
          <w:rFonts w:hint="eastAsia" w:ascii="仿宋" w:hAnsi="仿宋" w:eastAsia="仿宋" w:cs="仿宋"/>
          <w:b/>
          <w:bCs/>
          <w:color w:val="auto"/>
          <w:sz w:val="24"/>
          <w:szCs w:val="24"/>
          <w:highlight w:val="none"/>
        </w:rPr>
      </w:pPr>
    </w:p>
    <w:p w14:paraId="0A4593BB">
      <w:pPr>
        <w:snapToGrid w:val="0"/>
        <w:spacing w:line="360" w:lineRule="auto"/>
        <w:jc w:val="left"/>
        <w:rPr>
          <w:rFonts w:hint="eastAsia" w:ascii="仿宋" w:hAnsi="仿宋" w:eastAsia="仿宋" w:cs="仿宋"/>
          <w:b/>
          <w:bCs/>
          <w:color w:val="auto"/>
          <w:sz w:val="24"/>
          <w:szCs w:val="24"/>
          <w:highlight w:val="none"/>
        </w:rPr>
      </w:pPr>
    </w:p>
    <w:p w14:paraId="76DF53A9">
      <w:pPr>
        <w:snapToGrid w:val="0"/>
        <w:spacing w:line="360" w:lineRule="auto"/>
        <w:jc w:val="left"/>
        <w:rPr>
          <w:rFonts w:hint="eastAsia" w:ascii="仿宋" w:hAnsi="仿宋" w:eastAsia="仿宋" w:cs="仿宋"/>
          <w:b/>
          <w:bCs/>
          <w:color w:val="auto"/>
          <w:sz w:val="24"/>
          <w:szCs w:val="24"/>
          <w:highlight w:val="none"/>
        </w:rPr>
      </w:pPr>
    </w:p>
    <w:p w14:paraId="7F726D1C">
      <w:pPr>
        <w:snapToGrid w:val="0"/>
        <w:spacing w:line="360" w:lineRule="auto"/>
        <w:jc w:val="left"/>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（二）书面方案（格式自定，建议按照评审标准技术部分内容编写）</w:t>
      </w:r>
    </w:p>
    <w:p w14:paraId="4CE84521">
      <w:pPr>
        <w:pStyle w:val="78"/>
        <w:rPr>
          <w:color w:val="auto"/>
          <w:highlight w:val="none"/>
        </w:rPr>
        <w:sectPr>
          <w:headerReference r:id="rId14" w:type="default"/>
          <w:pgSz w:w="11907" w:h="16840"/>
          <w:pgMar w:top="1134" w:right="1191" w:bottom="1134" w:left="1304" w:header="851" w:footer="992" w:gutter="0"/>
          <w:pgNumType w:fmt="numberInDash"/>
          <w:cols w:space="720" w:num="1"/>
          <w:docGrid w:linePitch="380" w:charSpace="-5735"/>
        </w:sectPr>
      </w:pPr>
    </w:p>
    <w:p w14:paraId="6D9CBDA2">
      <w:pPr>
        <w:pStyle w:val="5"/>
        <w:rPr>
          <w:rFonts w:hint="eastAsia" w:ascii="仿宋" w:hAnsi="仿宋" w:eastAsia="仿宋" w:cs="仿宋"/>
          <w:color w:val="auto"/>
          <w:sz w:val="24"/>
          <w:szCs w:val="24"/>
          <w:highlight w:val="none"/>
        </w:rPr>
      </w:pPr>
      <w:bookmarkStart w:id="125" w:name="_Toc8777"/>
      <w:bookmarkStart w:id="126" w:name="_Toc313888362"/>
      <w:bookmarkStart w:id="127" w:name="_Toc26718"/>
      <w:bookmarkStart w:id="128" w:name="_Toc313008358"/>
      <w:bookmarkStart w:id="129" w:name="_Toc342913421"/>
      <w:r>
        <w:rPr>
          <w:rFonts w:hint="eastAsia" w:ascii="仿宋" w:hAnsi="仿宋" w:eastAsia="仿宋" w:cs="仿宋"/>
          <w:color w:val="auto"/>
          <w:sz w:val="24"/>
          <w:szCs w:val="24"/>
          <w:highlight w:val="none"/>
        </w:rPr>
        <w:t>三、商务部分</w:t>
      </w:r>
      <w:bookmarkEnd w:id="125"/>
      <w:bookmarkEnd w:id="126"/>
      <w:bookmarkEnd w:id="127"/>
      <w:bookmarkEnd w:id="128"/>
      <w:bookmarkEnd w:id="129"/>
    </w:p>
    <w:p w14:paraId="48EF3E29">
      <w:pPr>
        <w:spacing w:line="360" w:lineRule="auto"/>
        <w:ind w:firstLine="482" w:firstLineChars="200"/>
        <w:rPr>
          <w:rFonts w:hint="eastAsia" w:ascii="仿宋" w:hAnsi="仿宋" w:eastAsia="仿宋"/>
          <w:b/>
          <w:bCs/>
          <w:color w:val="auto"/>
          <w:sz w:val="24"/>
          <w:szCs w:val="24"/>
          <w:highlight w:val="none"/>
        </w:rPr>
      </w:pPr>
      <w:bookmarkStart w:id="130" w:name="_Toc283382459"/>
      <w:r>
        <w:rPr>
          <w:rFonts w:hint="eastAsia" w:ascii="仿宋" w:hAnsi="仿宋" w:eastAsia="仿宋"/>
          <w:b/>
          <w:bCs/>
          <w:color w:val="auto"/>
          <w:sz w:val="24"/>
          <w:szCs w:val="24"/>
          <w:highlight w:val="none"/>
        </w:rPr>
        <w:t>（一）商务响应偏离表</w:t>
      </w:r>
    </w:p>
    <w:p w14:paraId="07DE36C9">
      <w:pPr>
        <w:snapToGrid w:val="0"/>
        <w:spacing w:line="360" w:lineRule="auto"/>
        <w:jc w:val="center"/>
        <w:rPr>
          <w:rFonts w:hint="eastAsia" w:ascii="仿宋" w:hAnsi="仿宋" w:eastAsia="仿宋"/>
          <w:bCs/>
          <w:color w:val="auto"/>
          <w:szCs w:val="28"/>
          <w:highlight w:val="none"/>
        </w:rPr>
      </w:pPr>
      <w:r>
        <w:rPr>
          <w:rFonts w:hint="eastAsia" w:ascii="仿宋" w:hAnsi="仿宋" w:eastAsia="仿宋"/>
          <w:bCs/>
          <w:color w:val="auto"/>
          <w:szCs w:val="28"/>
          <w:highlight w:val="none"/>
        </w:rPr>
        <w:t>商务响应偏离表</w:t>
      </w:r>
    </w:p>
    <w:p w14:paraId="16D9ED02">
      <w:pPr>
        <w:snapToGrid w:val="0"/>
        <w:spacing w:line="360" w:lineRule="auto"/>
        <w:ind w:firstLine="465"/>
        <w:rPr>
          <w:rFonts w:hint="eastAsia" w:ascii="仿宋" w:hAnsi="仿宋" w:eastAsia="仿宋"/>
          <w:color w:val="auto"/>
          <w:sz w:val="24"/>
          <w:szCs w:val="24"/>
          <w:highlight w:val="none"/>
        </w:rPr>
      </w:pPr>
      <w:r>
        <w:rPr>
          <w:rFonts w:hint="eastAsia" w:ascii="仿宋" w:hAnsi="仿宋" w:eastAsia="仿宋"/>
          <w:color w:val="auto"/>
          <w:sz w:val="24"/>
          <w:szCs w:val="24"/>
          <w:highlight w:val="none"/>
        </w:rPr>
        <w:t>对于网上竞采文件的商务要求，如有任何偏离请如实填写下表：</w:t>
      </w:r>
    </w:p>
    <w:tbl>
      <w:tblPr>
        <w:tblStyle w:val="63"/>
        <w:tblW w:w="9478"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10"/>
        <w:gridCol w:w="3179"/>
        <w:gridCol w:w="2434"/>
        <w:gridCol w:w="2355"/>
      </w:tblGrid>
      <w:tr w14:paraId="4750B5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trPr>
        <w:tc>
          <w:tcPr>
            <w:tcW w:w="1510" w:type="dxa"/>
            <w:vAlign w:val="center"/>
          </w:tcPr>
          <w:p w14:paraId="3092E61E">
            <w:pPr>
              <w:tabs>
                <w:tab w:val="left" w:pos="6300"/>
              </w:tabs>
              <w:snapToGrid w:val="0"/>
              <w:spacing w:line="360" w:lineRule="auto"/>
              <w:jc w:val="center"/>
              <w:outlineLvl w:val="0"/>
              <w:rPr>
                <w:rFonts w:hint="eastAsia" w:ascii="仿宋" w:hAnsi="仿宋" w:eastAsia="仿宋"/>
                <w:color w:val="auto"/>
                <w:sz w:val="21"/>
                <w:szCs w:val="24"/>
                <w:highlight w:val="none"/>
              </w:rPr>
            </w:pPr>
            <w:r>
              <w:rPr>
                <w:rFonts w:hint="eastAsia" w:ascii="仿宋" w:hAnsi="仿宋" w:eastAsia="仿宋"/>
                <w:color w:val="auto"/>
                <w:sz w:val="21"/>
                <w:szCs w:val="24"/>
                <w:highlight w:val="none"/>
              </w:rPr>
              <w:t>序号</w:t>
            </w:r>
          </w:p>
        </w:tc>
        <w:tc>
          <w:tcPr>
            <w:tcW w:w="3179" w:type="dxa"/>
            <w:vAlign w:val="center"/>
          </w:tcPr>
          <w:p w14:paraId="681C479A">
            <w:pPr>
              <w:tabs>
                <w:tab w:val="left" w:pos="6300"/>
              </w:tabs>
              <w:snapToGrid w:val="0"/>
              <w:spacing w:line="360" w:lineRule="auto"/>
              <w:jc w:val="center"/>
              <w:outlineLvl w:val="0"/>
              <w:rPr>
                <w:rFonts w:hint="eastAsia" w:ascii="仿宋" w:hAnsi="仿宋" w:eastAsia="仿宋"/>
                <w:color w:val="auto"/>
                <w:sz w:val="21"/>
                <w:szCs w:val="24"/>
                <w:highlight w:val="none"/>
              </w:rPr>
            </w:pPr>
            <w:r>
              <w:rPr>
                <w:rFonts w:hint="eastAsia" w:ascii="仿宋" w:hAnsi="仿宋" w:eastAsia="仿宋"/>
                <w:color w:val="auto"/>
                <w:sz w:val="21"/>
                <w:szCs w:val="24"/>
                <w:highlight w:val="none"/>
              </w:rPr>
              <w:t>采购项目需求</w:t>
            </w:r>
          </w:p>
        </w:tc>
        <w:tc>
          <w:tcPr>
            <w:tcW w:w="2434" w:type="dxa"/>
            <w:vAlign w:val="center"/>
          </w:tcPr>
          <w:p w14:paraId="40E62113">
            <w:pPr>
              <w:tabs>
                <w:tab w:val="left" w:pos="6300"/>
              </w:tabs>
              <w:snapToGrid w:val="0"/>
              <w:spacing w:line="360" w:lineRule="auto"/>
              <w:jc w:val="center"/>
              <w:outlineLvl w:val="0"/>
              <w:rPr>
                <w:rFonts w:hint="eastAsia" w:ascii="仿宋" w:hAnsi="仿宋" w:eastAsia="仿宋"/>
                <w:color w:val="auto"/>
                <w:sz w:val="21"/>
                <w:szCs w:val="24"/>
                <w:highlight w:val="none"/>
              </w:rPr>
            </w:pPr>
            <w:r>
              <w:rPr>
                <w:rFonts w:hint="eastAsia" w:ascii="仿宋" w:hAnsi="仿宋" w:eastAsia="仿宋"/>
                <w:color w:val="auto"/>
                <w:sz w:val="21"/>
                <w:szCs w:val="24"/>
                <w:highlight w:val="none"/>
              </w:rPr>
              <w:t>响应情况</w:t>
            </w:r>
          </w:p>
        </w:tc>
        <w:tc>
          <w:tcPr>
            <w:tcW w:w="2355" w:type="dxa"/>
            <w:vAlign w:val="center"/>
          </w:tcPr>
          <w:p w14:paraId="754FF728">
            <w:pPr>
              <w:tabs>
                <w:tab w:val="left" w:pos="6300"/>
              </w:tabs>
              <w:snapToGrid w:val="0"/>
              <w:spacing w:line="360" w:lineRule="auto"/>
              <w:jc w:val="center"/>
              <w:outlineLvl w:val="0"/>
              <w:rPr>
                <w:rFonts w:hint="eastAsia" w:ascii="仿宋" w:hAnsi="仿宋" w:eastAsia="仿宋"/>
                <w:color w:val="auto"/>
                <w:sz w:val="21"/>
                <w:szCs w:val="24"/>
                <w:highlight w:val="none"/>
              </w:rPr>
            </w:pPr>
            <w:r>
              <w:rPr>
                <w:rFonts w:hint="eastAsia" w:ascii="仿宋" w:hAnsi="仿宋" w:eastAsia="仿宋"/>
                <w:color w:val="auto"/>
                <w:sz w:val="21"/>
                <w:szCs w:val="24"/>
                <w:highlight w:val="none"/>
              </w:rPr>
              <w:t>差异说明</w:t>
            </w:r>
          </w:p>
        </w:tc>
      </w:tr>
      <w:tr w14:paraId="17105C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4F40ECD3">
            <w:pPr>
              <w:tabs>
                <w:tab w:val="left" w:pos="6300"/>
              </w:tabs>
              <w:snapToGrid w:val="0"/>
              <w:spacing w:line="360" w:lineRule="auto"/>
              <w:jc w:val="center"/>
              <w:outlineLvl w:val="0"/>
              <w:rPr>
                <w:rFonts w:hint="eastAsia" w:ascii="仿宋" w:hAnsi="仿宋" w:eastAsia="仿宋"/>
                <w:color w:val="auto"/>
                <w:sz w:val="21"/>
                <w:szCs w:val="24"/>
                <w:highlight w:val="none"/>
              </w:rPr>
            </w:pPr>
          </w:p>
        </w:tc>
        <w:tc>
          <w:tcPr>
            <w:tcW w:w="3179" w:type="dxa"/>
            <w:vAlign w:val="center"/>
          </w:tcPr>
          <w:p w14:paraId="4A0E2609">
            <w:pPr>
              <w:tabs>
                <w:tab w:val="left" w:pos="6300"/>
              </w:tabs>
              <w:snapToGrid w:val="0"/>
              <w:spacing w:line="360" w:lineRule="auto"/>
              <w:jc w:val="center"/>
              <w:outlineLvl w:val="0"/>
              <w:rPr>
                <w:rFonts w:hint="eastAsia" w:ascii="仿宋" w:hAnsi="仿宋" w:eastAsia="仿宋"/>
                <w:color w:val="auto"/>
                <w:sz w:val="21"/>
                <w:szCs w:val="24"/>
                <w:highlight w:val="none"/>
              </w:rPr>
            </w:pPr>
          </w:p>
        </w:tc>
        <w:tc>
          <w:tcPr>
            <w:tcW w:w="2434" w:type="dxa"/>
            <w:vAlign w:val="center"/>
          </w:tcPr>
          <w:p w14:paraId="130D36F3">
            <w:pPr>
              <w:tabs>
                <w:tab w:val="left" w:pos="6300"/>
              </w:tabs>
              <w:snapToGrid w:val="0"/>
              <w:spacing w:line="360" w:lineRule="auto"/>
              <w:jc w:val="center"/>
              <w:outlineLvl w:val="0"/>
              <w:rPr>
                <w:rFonts w:hint="eastAsia" w:ascii="仿宋" w:hAnsi="仿宋" w:eastAsia="仿宋"/>
                <w:color w:val="auto"/>
                <w:sz w:val="21"/>
                <w:szCs w:val="24"/>
                <w:highlight w:val="none"/>
              </w:rPr>
            </w:pPr>
          </w:p>
        </w:tc>
        <w:tc>
          <w:tcPr>
            <w:tcW w:w="2355" w:type="dxa"/>
            <w:vAlign w:val="center"/>
          </w:tcPr>
          <w:p w14:paraId="41F61D78">
            <w:pPr>
              <w:tabs>
                <w:tab w:val="left" w:pos="6300"/>
              </w:tabs>
              <w:snapToGrid w:val="0"/>
              <w:spacing w:line="360" w:lineRule="auto"/>
              <w:jc w:val="center"/>
              <w:outlineLvl w:val="0"/>
              <w:rPr>
                <w:rFonts w:hint="eastAsia" w:ascii="仿宋" w:hAnsi="仿宋" w:eastAsia="仿宋"/>
                <w:color w:val="auto"/>
                <w:sz w:val="21"/>
                <w:szCs w:val="24"/>
                <w:highlight w:val="none"/>
              </w:rPr>
            </w:pPr>
          </w:p>
        </w:tc>
      </w:tr>
      <w:tr w14:paraId="59DBE0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0E1C08DE">
            <w:pPr>
              <w:tabs>
                <w:tab w:val="left" w:pos="6300"/>
              </w:tabs>
              <w:snapToGrid w:val="0"/>
              <w:spacing w:line="360" w:lineRule="auto"/>
              <w:jc w:val="center"/>
              <w:outlineLvl w:val="0"/>
              <w:rPr>
                <w:rFonts w:hint="eastAsia" w:ascii="仿宋" w:hAnsi="仿宋" w:eastAsia="仿宋"/>
                <w:color w:val="auto"/>
                <w:sz w:val="21"/>
                <w:szCs w:val="24"/>
                <w:highlight w:val="none"/>
              </w:rPr>
            </w:pPr>
          </w:p>
        </w:tc>
        <w:tc>
          <w:tcPr>
            <w:tcW w:w="3179" w:type="dxa"/>
            <w:vAlign w:val="center"/>
          </w:tcPr>
          <w:p w14:paraId="24F1E81B">
            <w:pPr>
              <w:tabs>
                <w:tab w:val="left" w:pos="6300"/>
              </w:tabs>
              <w:snapToGrid w:val="0"/>
              <w:spacing w:line="360" w:lineRule="auto"/>
              <w:jc w:val="center"/>
              <w:outlineLvl w:val="0"/>
              <w:rPr>
                <w:rFonts w:hint="eastAsia" w:ascii="仿宋" w:hAnsi="仿宋" w:eastAsia="仿宋"/>
                <w:color w:val="auto"/>
                <w:sz w:val="21"/>
                <w:szCs w:val="24"/>
                <w:highlight w:val="none"/>
              </w:rPr>
            </w:pPr>
          </w:p>
        </w:tc>
        <w:tc>
          <w:tcPr>
            <w:tcW w:w="2434" w:type="dxa"/>
            <w:vAlign w:val="center"/>
          </w:tcPr>
          <w:p w14:paraId="74B231E0">
            <w:pPr>
              <w:tabs>
                <w:tab w:val="left" w:pos="6300"/>
              </w:tabs>
              <w:snapToGrid w:val="0"/>
              <w:spacing w:line="360" w:lineRule="auto"/>
              <w:jc w:val="center"/>
              <w:outlineLvl w:val="0"/>
              <w:rPr>
                <w:rFonts w:hint="eastAsia" w:ascii="仿宋" w:hAnsi="仿宋" w:eastAsia="仿宋"/>
                <w:color w:val="auto"/>
                <w:sz w:val="21"/>
                <w:szCs w:val="24"/>
                <w:highlight w:val="none"/>
              </w:rPr>
            </w:pPr>
          </w:p>
        </w:tc>
        <w:tc>
          <w:tcPr>
            <w:tcW w:w="2355" w:type="dxa"/>
            <w:vAlign w:val="center"/>
          </w:tcPr>
          <w:p w14:paraId="298E8CD1">
            <w:pPr>
              <w:tabs>
                <w:tab w:val="left" w:pos="6300"/>
              </w:tabs>
              <w:snapToGrid w:val="0"/>
              <w:spacing w:line="360" w:lineRule="auto"/>
              <w:jc w:val="center"/>
              <w:outlineLvl w:val="0"/>
              <w:rPr>
                <w:rFonts w:hint="eastAsia" w:ascii="仿宋" w:hAnsi="仿宋" w:eastAsia="仿宋"/>
                <w:color w:val="auto"/>
                <w:sz w:val="21"/>
                <w:szCs w:val="24"/>
                <w:highlight w:val="none"/>
              </w:rPr>
            </w:pPr>
          </w:p>
        </w:tc>
      </w:tr>
      <w:tr w14:paraId="446937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727B225B">
            <w:pPr>
              <w:tabs>
                <w:tab w:val="left" w:pos="6300"/>
              </w:tabs>
              <w:snapToGrid w:val="0"/>
              <w:spacing w:line="360" w:lineRule="auto"/>
              <w:jc w:val="center"/>
              <w:outlineLvl w:val="0"/>
              <w:rPr>
                <w:rFonts w:hint="eastAsia" w:ascii="仿宋" w:hAnsi="仿宋" w:eastAsia="仿宋"/>
                <w:color w:val="auto"/>
                <w:sz w:val="21"/>
                <w:szCs w:val="24"/>
                <w:highlight w:val="none"/>
              </w:rPr>
            </w:pPr>
          </w:p>
        </w:tc>
        <w:tc>
          <w:tcPr>
            <w:tcW w:w="3179" w:type="dxa"/>
            <w:vAlign w:val="center"/>
          </w:tcPr>
          <w:p w14:paraId="2EC6C5B0">
            <w:pPr>
              <w:tabs>
                <w:tab w:val="left" w:pos="6300"/>
              </w:tabs>
              <w:snapToGrid w:val="0"/>
              <w:spacing w:line="360" w:lineRule="auto"/>
              <w:jc w:val="center"/>
              <w:outlineLvl w:val="0"/>
              <w:rPr>
                <w:rFonts w:hint="eastAsia" w:ascii="仿宋" w:hAnsi="仿宋" w:eastAsia="仿宋"/>
                <w:color w:val="auto"/>
                <w:sz w:val="21"/>
                <w:szCs w:val="24"/>
                <w:highlight w:val="none"/>
              </w:rPr>
            </w:pPr>
          </w:p>
        </w:tc>
        <w:tc>
          <w:tcPr>
            <w:tcW w:w="2434" w:type="dxa"/>
            <w:vAlign w:val="center"/>
          </w:tcPr>
          <w:p w14:paraId="492FBCFD">
            <w:pPr>
              <w:tabs>
                <w:tab w:val="left" w:pos="6300"/>
              </w:tabs>
              <w:snapToGrid w:val="0"/>
              <w:spacing w:line="360" w:lineRule="auto"/>
              <w:jc w:val="center"/>
              <w:outlineLvl w:val="0"/>
              <w:rPr>
                <w:rFonts w:hint="eastAsia" w:ascii="仿宋" w:hAnsi="仿宋" w:eastAsia="仿宋"/>
                <w:color w:val="auto"/>
                <w:sz w:val="21"/>
                <w:szCs w:val="24"/>
                <w:highlight w:val="none"/>
              </w:rPr>
            </w:pPr>
          </w:p>
        </w:tc>
        <w:tc>
          <w:tcPr>
            <w:tcW w:w="2355" w:type="dxa"/>
            <w:vAlign w:val="center"/>
          </w:tcPr>
          <w:p w14:paraId="57A8F691">
            <w:pPr>
              <w:tabs>
                <w:tab w:val="left" w:pos="6300"/>
              </w:tabs>
              <w:snapToGrid w:val="0"/>
              <w:spacing w:line="360" w:lineRule="auto"/>
              <w:jc w:val="center"/>
              <w:outlineLvl w:val="0"/>
              <w:rPr>
                <w:rFonts w:hint="eastAsia" w:ascii="仿宋" w:hAnsi="仿宋" w:eastAsia="仿宋"/>
                <w:color w:val="auto"/>
                <w:sz w:val="21"/>
                <w:szCs w:val="24"/>
                <w:highlight w:val="none"/>
              </w:rPr>
            </w:pPr>
          </w:p>
        </w:tc>
      </w:tr>
      <w:tr w14:paraId="498247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064B3D66">
            <w:pPr>
              <w:tabs>
                <w:tab w:val="left" w:pos="6300"/>
              </w:tabs>
              <w:snapToGrid w:val="0"/>
              <w:spacing w:line="360" w:lineRule="auto"/>
              <w:jc w:val="center"/>
              <w:outlineLvl w:val="0"/>
              <w:rPr>
                <w:rFonts w:hint="eastAsia" w:ascii="仿宋" w:hAnsi="仿宋" w:eastAsia="仿宋"/>
                <w:color w:val="auto"/>
                <w:sz w:val="21"/>
                <w:szCs w:val="24"/>
                <w:highlight w:val="none"/>
              </w:rPr>
            </w:pPr>
          </w:p>
        </w:tc>
        <w:tc>
          <w:tcPr>
            <w:tcW w:w="3179" w:type="dxa"/>
            <w:vAlign w:val="center"/>
          </w:tcPr>
          <w:p w14:paraId="41C8CD69">
            <w:pPr>
              <w:tabs>
                <w:tab w:val="left" w:pos="6300"/>
              </w:tabs>
              <w:snapToGrid w:val="0"/>
              <w:spacing w:line="360" w:lineRule="auto"/>
              <w:jc w:val="center"/>
              <w:outlineLvl w:val="0"/>
              <w:rPr>
                <w:rFonts w:hint="eastAsia" w:ascii="仿宋" w:hAnsi="仿宋" w:eastAsia="仿宋"/>
                <w:color w:val="auto"/>
                <w:sz w:val="21"/>
                <w:szCs w:val="24"/>
                <w:highlight w:val="none"/>
              </w:rPr>
            </w:pPr>
          </w:p>
        </w:tc>
        <w:tc>
          <w:tcPr>
            <w:tcW w:w="2434" w:type="dxa"/>
            <w:vAlign w:val="center"/>
          </w:tcPr>
          <w:p w14:paraId="217699FC">
            <w:pPr>
              <w:tabs>
                <w:tab w:val="left" w:pos="6300"/>
              </w:tabs>
              <w:snapToGrid w:val="0"/>
              <w:spacing w:line="360" w:lineRule="auto"/>
              <w:jc w:val="center"/>
              <w:outlineLvl w:val="0"/>
              <w:rPr>
                <w:rFonts w:hint="eastAsia" w:ascii="仿宋" w:hAnsi="仿宋" w:eastAsia="仿宋"/>
                <w:color w:val="auto"/>
                <w:sz w:val="21"/>
                <w:szCs w:val="24"/>
                <w:highlight w:val="none"/>
              </w:rPr>
            </w:pPr>
          </w:p>
        </w:tc>
        <w:tc>
          <w:tcPr>
            <w:tcW w:w="2355" w:type="dxa"/>
            <w:vAlign w:val="center"/>
          </w:tcPr>
          <w:p w14:paraId="0E255CE6">
            <w:pPr>
              <w:tabs>
                <w:tab w:val="left" w:pos="6300"/>
              </w:tabs>
              <w:snapToGrid w:val="0"/>
              <w:spacing w:line="360" w:lineRule="auto"/>
              <w:jc w:val="center"/>
              <w:outlineLvl w:val="0"/>
              <w:rPr>
                <w:rFonts w:hint="eastAsia" w:ascii="仿宋" w:hAnsi="仿宋" w:eastAsia="仿宋"/>
                <w:color w:val="auto"/>
                <w:sz w:val="21"/>
                <w:szCs w:val="24"/>
                <w:highlight w:val="none"/>
              </w:rPr>
            </w:pPr>
          </w:p>
        </w:tc>
      </w:tr>
      <w:tr w14:paraId="187D37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3CFCDD76">
            <w:pPr>
              <w:tabs>
                <w:tab w:val="left" w:pos="6300"/>
              </w:tabs>
              <w:snapToGrid w:val="0"/>
              <w:spacing w:line="360" w:lineRule="auto"/>
              <w:jc w:val="center"/>
              <w:outlineLvl w:val="0"/>
              <w:rPr>
                <w:rFonts w:hint="eastAsia" w:ascii="仿宋" w:hAnsi="仿宋" w:eastAsia="仿宋"/>
                <w:color w:val="auto"/>
                <w:sz w:val="21"/>
                <w:szCs w:val="24"/>
                <w:highlight w:val="none"/>
              </w:rPr>
            </w:pPr>
          </w:p>
        </w:tc>
        <w:tc>
          <w:tcPr>
            <w:tcW w:w="3179" w:type="dxa"/>
            <w:vAlign w:val="center"/>
          </w:tcPr>
          <w:p w14:paraId="1F4F1599">
            <w:pPr>
              <w:tabs>
                <w:tab w:val="left" w:pos="6300"/>
              </w:tabs>
              <w:snapToGrid w:val="0"/>
              <w:spacing w:line="360" w:lineRule="auto"/>
              <w:jc w:val="center"/>
              <w:outlineLvl w:val="0"/>
              <w:rPr>
                <w:rFonts w:hint="eastAsia" w:ascii="仿宋" w:hAnsi="仿宋" w:eastAsia="仿宋"/>
                <w:color w:val="auto"/>
                <w:sz w:val="21"/>
                <w:szCs w:val="24"/>
                <w:highlight w:val="none"/>
              </w:rPr>
            </w:pPr>
          </w:p>
        </w:tc>
        <w:tc>
          <w:tcPr>
            <w:tcW w:w="2434" w:type="dxa"/>
            <w:vAlign w:val="center"/>
          </w:tcPr>
          <w:p w14:paraId="2A2FECF0">
            <w:pPr>
              <w:tabs>
                <w:tab w:val="left" w:pos="6300"/>
              </w:tabs>
              <w:snapToGrid w:val="0"/>
              <w:spacing w:line="360" w:lineRule="auto"/>
              <w:jc w:val="center"/>
              <w:outlineLvl w:val="0"/>
              <w:rPr>
                <w:rFonts w:hint="eastAsia" w:ascii="仿宋" w:hAnsi="仿宋" w:eastAsia="仿宋"/>
                <w:color w:val="auto"/>
                <w:sz w:val="21"/>
                <w:szCs w:val="24"/>
                <w:highlight w:val="none"/>
              </w:rPr>
            </w:pPr>
          </w:p>
        </w:tc>
        <w:tc>
          <w:tcPr>
            <w:tcW w:w="2355" w:type="dxa"/>
            <w:vAlign w:val="center"/>
          </w:tcPr>
          <w:p w14:paraId="24BEF77A">
            <w:pPr>
              <w:tabs>
                <w:tab w:val="left" w:pos="6300"/>
              </w:tabs>
              <w:snapToGrid w:val="0"/>
              <w:spacing w:line="360" w:lineRule="auto"/>
              <w:jc w:val="center"/>
              <w:outlineLvl w:val="0"/>
              <w:rPr>
                <w:rFonts w:hint="eastAsia" w:ascii="仿宋" w:hAnsi="仿宋" w:eastAsia="仿宋"/>
                <w:color w:val="auto"/>
                <w:sz w:val="21"/>
                <w:szCs w:val="24"/>
                <w:highlight w:val="none"/>
              </w:rPr>
            </w:pPr>
          </w:p>
        </w:tc>
      </w:tr>
      <w:tr w14:paraId="2D8AA4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514A9494">
            <w:pPr>
              <w:tabs>
                <w:tab w:val="left" w:pos="6300"/>
              </w:tabs>
              <w:snapToGrid w:val="0"/>
              <w:spacing w:line="360" w:lineRule="auto"/>
              <w:jc w:val="center"/>
              <w:outlineLvl w:val="0"/>
              <w:rPr>
                <w:rFonts w:hint="eastAsia" w:ascii="仿宋" w:hAnsi="仿宋" w:eastAsia="仿宋"/>
                <w:color w:val="auto"/>
                <w:sz w:val="21"/>
                <w:szCs w:val="24"/>
                <w:highlight w:val="none"/>
              </w:rPr>
            </w:pPr>
          </w:p>
        </w:tc>
        <w:tc>
          <w:tcPr>
            <w:tcW w:w="3179" w:type="dxa"/>
            <w:vAlign w:val="center"/>
          </w:tcPr>
          <w:p w14:paraId="2F89918D">
            <w:pPr>
              <w:tabs>
                <w:tab w:val="left" w:pos="6300"/>
              </w:tabs>
              <w:snapToGrid w:val="0"/>
              <w:spacing w:line="360" w:lineRule="auto"/>
              <w:jc w:val="center"/>
              <w:outlineLvl w:val="0"/>
              <w:rPr>
                <w:rFonts w:hint="eastAsia" w:ascii="仿宋" w:hAnsi="仿宋" w:eastAsia="仿宋"/>
                <w:color w:val="auto"/>
                <w:sz w:val="21"/>
                <w:szCs w:val="24"/>
                <w:highlight w:val="none"/>
              </w:rPr>
            </w:pPr>
          </w:p>
        </w:tc>
        <w:tc>
          <w:tcPr>
            <w:tcW w:w="2434" w:type="dxa"/>
            <w:vAlign w:val="center"/>
          </w:tcPr>
          <w:p w14:paraId="65A7382E">
            <w:pPr>
              <w:tabs>
                <w:tab w:val="left" w:pos="6300"/>
              </w:tabs>
              <w:snapToGrid w:val="0"/>
              <w:spacing w:line="360" w:lineRule="auto"/>
              <w:jc w:val="center"/>
              <w:outlineLvl w:val="0"/>
              <w:rPr>
                <w:rFonts w:hint="eastAsia" w:ascii="仿宋" w:hAnsi="仿宋" w:eastAsia="仿宋"/>
                <w:color w:val="auto"/>
                <w:sz w:val="21"/>
                <w:szCs w:val="24"/>
                <w:highlight w:val="none"/>
              </w:rPr>
            </w:pPr>
          </w:p>
        </w:tc>
        <w:tc>
          <w:tcPr>
            <w:tcW w:w="2355" w:type="dxa"/>
            <w:vAlign w:val="center"/>
          </w:tcPr>
          <w:p w14:paraId="69C56185">
            <w:pPr>
              <w:tabs>
                <w:tab w:val="left" w:pos="6300"/>
              </w:tabs>
              <w:snapToGrid w:val="0"/>
              <w:spacing w:line="360" w:lineRule="auto"/>
              <w:jc w:val="center"/>
              <w:outlineLvl w:val="0"/>
              <w:rPr>
                <w:rFonts w:hint="eastAsia" w:ascii="仿宋" w:hAnsi="仿宋" w:eastAsia="仿宋"/>
                <w:color w:val="auto"/>
                <w:sz w:val="21"/>
                <w:szCs w:val="24"/>
                <w:highlight w:val="none"/>
              </w:rPr>
            </w:pPr>
          </w:p>
        </w:tc>
      </w:tr>
    </w:tbl>
    <w:p w14:paraId="287F26ED">
      <w:pPr>
        <w:snapToGrid w:val="0"/>
        <w:spacing w:line="360" w:lineRule="auto"/>
        <w:ind w:firstLine="465"/>
        <w:rPr>
          <w:rFonts w:hint="eastAsia" w:ascii="仿宋" w:hAnsi="仿宋" w:eastAsia="仿宋"/>
          <w:color w:val="auto"/>
          <w:sz w:val="24"/>
          <w:szCs w:val="24"/>
          <w:highlight w:val="none"/>
        </w:rPr>
      </w:pPr>
    </w:p>
    <w:p w14:paraId="14FBFEB2">
      <w:pPr>
        <w:spacing w:line="500" w:lineRule="exact"/>
        <w:ind w:firstLine="600" w:firstLineChars="250"/>
        <w:rPr>
          <w:rFonts w:hint="eastAsia" w:ascii="仿宋" w:hAnsi="仿宋" w:eastAsia="仿宋"/>
          <w:color w:val="auto"/>
          <w:sz w:val="24"/>
          <w:szCs w:val="28"/>
          <w:highlight w:val="none"/>
        </w:rPr>
      </w:pPr>
      <w:r>
        <w:rPr>
          <w:rFonts w:hint="eastAsia" w:ascii="仿宋" w:hAnsi="仿宋" w:eastAsia="仿宋"/>
          <w:color w:val="auto"/>
          <w:sz w:val="24"/>
          <w:szCs w:val="28"/>
          <w:highlight w:val="none"/>
        </w:rPr>
        <w:t>供应商：                               法定代表人</w:t>
      </w:r>
      <w:r>
        <w:rPr>
          <w:rFonts w:hint="eastAsia" w:ascii="仿宋" w:hAnsi="仿宋" w:eastAsia="仿宋"/>
          <w:color w:val="auto"/>
          <w:sz w:val="24"/>
          <w:szCs w:val="28"/>
          <w:highlight w:val="none"/>
          <w:lang w:val="en-US" w:eastAsia="zh-CN"/>
        </w:rPr>
        <w:t>或</w:t>
      </w:r>
      <w:r>
        <w:rPr>
          <w:rFonts w:hint="eastAsia" w:ascii="仿宋" w:hAnsi="仿宋" w:eastAsia="仿宋"/>
          <w:color w:val="auto"/>
          <w:sz w:val="24"/>
          <w:szCs w:val="28"/>
          <w:highlight w:val="none"/>
        </w:rPr>
        <w:t>授权代表：</w:t>
      </w:r>
    </w:p>
    <w:p w14:paraId="65F93374">
      <w:pPr>
        <w:spacing w:line="500" w:lineRule="exact"/>
        <w:rPr>
          <w:rFonts w:hint="eastAsia" w:ascii="仿宋" w:hAnsi="仿宋" w:eastAsia="仿宋"/>
          <w:color w:val="auto"/>
          <w:sz w:val="24"/>
          <w:szCs w:val="28"/>
          <w:highlight w:val="none"/>
        </w:rPr>
      </w:pPr>
    </w:p>
    <w:p w14:paraId="15118865">
      <w:pPr>
        <w:spacing w:line="500" w:lineRule="exact"/>
        <w:ind w:firstLine="360" w:firstLineChars="150"/>
        <w:rPr>
          <w:rFonts w:hint="eastAsia" w:ascii="仿宋" w:hAnsi="仿宋" w:eastAsia="仿宋"/>
          <w:color w:val="auto"/>
          <w:sz w:val="24"/>
          <w:szCs w:val="28"/>
          <w:highlight w:val="none"/>
        </w:rPr>
      </w:pPr>
      <w:r>
        <w:rPr>
          <w:rFonts w:hint="eastAsia" w:ascii="仿宋" w:hAnsi="仿宋" w:eastAsia="仿宋"/>
          <w:color w:val="auto"/>
          <w:sz w:val="24"/>
          <w:szCs w:val="28"/>
          <w:highlight w:val="none"/>
        </w:rPr>
        <w:t>（供应商公章）                            （签字或盖章）</w:t>
      </w:r>
    </w:p>
    <w:p w14:paraId="02BE2A9C">
      <w:pPr>
        <w:tabs>
          <w:tab w:val="left" w:pos="6300"/>
        </w:tabs>
        <w:snapToGrid w:val="0"/>
        <w:spacing w:line="500" w:lineRule="exact"/>
        <w:ind w:firstLine="570"/>
        <w:rPr>
          <w:rFonts w:hint="eastAsia" w:ascii="仿宋" w:hAnsi="仿宋" w:eastAsia="仿宋"/>
          <w:color w:val="auto"/>
          <w:sz w:val="24"/>
          <w:highlight w:val="none"/>
        </w:rPr>
      </w:pPr>
      <w:r>
        <w:rPr>
          <w:rFonts w:hint="eastAsia" w:ascii="仿宋" w:hAnsi="仿宋" w:eastAsia="仿宋"/>
          <w:color w:val="auto"/>
          <w:sz w:val="24"/>
          <w:szCs w:val="28"/>
          <w:highlight w:val="none"/>
        </w:rPr>
        <w:t xml:space="preserve">                                            年     月     日</w:t>
      </w:r>
    </w:p>
    <w:p w14:paraId="59226CA4">
      <w:pPr>
        <w:tabs>
          <w:tab w:val="left" w:pos="6300"/>
        </w:tabs>
        <w:snapToGrid w:val="0"/>
        <w:spacing w:line="500" w:lineRule="exact"/>
        <w:ind w:firstLine="480" w:firstLineChars="200"/>
        <w:rPr>
          <w:rFonts w:hint="eastAsia" w:ascii="仿宋" w:hAnsi="仿宋" w:eastAsia="仿宋"/>
          <w:color w:val="auto"/>
          <w:sz w:val="24"/>
          <w:highlight w:val="none"/>
        </w:rPr>
      </w:pPr>
      <w:r>
        <w:rPr>
          <w:rFonts w:hint="eastAsia" w:ascii="仿宋" w:hAnsi="仿宋" w:eastAsia="仿宋"/>
          <w:color w:val="auto"/>
          <w:sz w:val="24"/>
          <w:highlight w:val="none"/>
        </w:rPr>
        <w:t>注：</w:t>
      </w:r>
    </w:p>
    <w:p w14:paraId="73C26043">
      <w:pPr>
        <w:tabs>
          <w:tab w:val="left" w:pos="6300"/>
        </w:tabs>
        <w:snapToGrid w:val="0"/>
        <w:spacing w:line="500" w:lineRule="exact"/>
        <w:ind w:firstLine="480" w:firstLineChars="200"/>
        <w:rPr>
          <w:rFonts w:hint="eastAsia" w:ascii="仿宋" w:hAnsi="仿宋" w:eastAsia="仿宋"/>
          <w:color w:val="auto"/>
          <w:sz w:val="24"/>
          <w:szCs w:val="24"/>
          <w:highlight w:val="none"/>
        </w:rPr>
      </w:pPr>
      <w:r>
        <w:rPr>
          <w:rFonts w:hint="eastAsia" w:ascii="仿宋" w:hAnsi="仿宋" w:eastAsia="仿宋"/>
          <w:color w:val="auto"/>
          <w:sz w:val="24"/>
          <w:szCs w:val="24"/>
          <w:highlight w:val="none"/>
        </w:rPr>
        <w:t xml:space="preserve">1.本表即为对本项目“第三篇 </w:t>
      </w:r>
      <w:r>
        <w:rPr>
          <w:rFonts w:hint="eastAsia" w:ascii="仿宋" w:hAnsi="仿宋" w:eastAsia="仿宋"/>
          <w:color w:val="auto"/>
          <w:sz w:val="24"/>
          <w:highlight w:val="none"/>
        </w:rPr>
        <w:t>采购项目商务需求</w:t>
      </w:r>
      <w:r>
        <w:rPr>
          <w:rFonts w:hint="eastAsia" w:ascii="仿宋" w:hAnsi="仿宋" w:eastAsia="仿宋"/>
          <w:color w:val="auto"/>
          <w:sz w:val="24"/>
          <w:szCs w:val="24"/>
          <w:highlight w:val="none"/>
        </w:rPr>
        <w:t>”中所列条款进行比较和响应；</w:t>
      </w:r>
    </w:p>
    <w:p w14:paraId="4A4460FE">
      <w:pPr>
        <w:tabs>
          <w:tab w:val="left" w:pos="6300"/>
        </w:tabs>
        <w:snapToGrid w:val="0"/>
        <w:spacing w:line="500" w:lineRule="exact"/>
        <w:ind w:firstLine="480" w:firstLineChars="200"/>
        <w:rPr>
          <w:rFonts w:hint="eastAsia" w:ascii="仿宋" w:hAnsi="仿宋" w:eastAsia="仿宋"/>
          <w:color w:val="auto"/>
          <w:sz w:val="24"/>
          <w:szCs w:val="24"/>
          <w:highlight w:val="none"/>
        </w:rPr>
      </w:pPr>
      <w:r>
        <w:rPr>
          <w:rFonts w:hint="eastAsia" w:ascii="仿宋" w:hAnsi="仿宋" w:eastAsia="仿宋"/>
          <w:color w:val="auto"/>
          <w:sz w:val="24"/>
          <w:szCs w:val="24"/>
          <w:highlight w:val="none"/>
        </w:rPr>
        <w:t>2.本表可扩展。</w:t>
      </w:r>
    </w:p>
    <w:p w14:paraId="4D0EB926">
      <w:pPr>
        <w:tabs>
          <w:tab w:val="left" w:pos="6300"/>
        </w:tabs>
        <w:snapToGrid w:val="0"/>
        <w:spacing w:line="500" w:lineRule="exact"/>
        <w:ind w:firstLine="480" w:firstLineChars="200"/>
        <w:rPr>
          <w:rFonts w:hint="eastAsia" w:ascii="仿宋" w:hAnsi="仿宋" w:eastAsia="仿宋"/>
          <w:color w:val="auto"/>
          <w:sz w:val="24"/>
          <w:highlight w:val="none"/>
        </w:rPr>
      </w:pPr>
      <w:r>
        <w:rPr>
          <w:rFonts w:hint="eastAsia" w:ascii="仿宋" w:hAnsi="仿宋" w:eastAsia="仿宋"/>
          <w:color w:val="auto"/>
          <w:sz w:val="24"/>
          <w:szCs w:val="24"/>
          <w:highlight w:val="none"/>
        </w:rPr>
        <w:t>3.响应情况栏中应当注明具体内容。</w:t>
      </w:r>
    </w:p>
    <w:p w14:paraId="15AA6CC7">
      <w:pPr>
        <w:spacing w:line="360" w:lineRule="auto"/>
        <w:ind w:firstLine="560" w:firstLineChars="200"/>
        <w:rPr>
          <w:rFonts w:hint="eastAsia" w:ascii="仿宋" w:hAnsi="仿宋" w:eastAsia="仿宋"/>
          <w:color w:val="auto"/>
          <w:sz w:val="24"/>
          <w:szCs w:val="24"/>
          <w:highlight w:val="none"/>
        </w:rPr>
      </w:pPr>
      <w:r>
        <w:rPr>
          <w:rFonts w:ascii="仿宋" w:hAnsi="仿宋" w:eastAsia="仿宋"/>
          <w:color w:val="auto"/>
          <w:highlight w:val="none"/>
        </w:rPr>
        <w:br w:type="page"/>
      </w:r>
      <w:r>
        <w:rPr>
          <w:rFonts w:hint="eastAsia" w:ascii="仿宋" w:hAnsi="仿宋" w:eastAsia="仿宋"/>
          <w:b/>
          <w:bCs/>
          <w:color w:val="auto"/>
          <w:sz w:val="24"/>
          <w:szCs w:val="24"/>
          <w:highlight w:val="none"/>
        </w:rPr>
        <w:t>（二）其它优惠服务承诺（格式自定）</w:t>
      </w:r>
    </w:p>
    <w:p w14:paraId="477A7B49">
      <w:pPr>
        <w:pStyle w:val="5"/>
        <w:spacing w:before="0" w:after="0" w:line="360" w:lineRule="auto"/>
        <w:rPr>
          <w:rFonts w:hint="eastAsia" w:ascii="仿宋" w:hAnsi="仿宋" w:eastAsia="仿宋"/>
          <w:color w:val="auto"/>
          <w:sz w:val="24"/>
          <w:szCs w:val="24"/>
          <w:highlight w:val="none"/>
        </w:rPr>
      </w:pPr>
      <w:r>
        <w:rPr>
          <w:rFonts w:ascii="仿宋" w:hAnsi="仿宋" w:eastAsia="仿宋"/>
          <w:color w:val="auto"/>
          <w:sz w:val="24"/>
          <w:szCs w:val="24"/>
          <w:highlight w:val="none"/>
        </w:rPr>
        <w:br w:type="page"/>
      </w:r>
      <w:bookmarkEnd w:id="130"/>
      <w:bookmarkStart w:id="131" w:name="_Toc20085"/>
      <w:bookmarkStart w:id="132" w:name="_Toc342913422"/>
      <w:bookmarkStart w:id="133" w:name="_Toc1030"/>
      <w:bookmarkStart w:id="134" w:name="_Toc313888363"/>
      <w:bookmarkStart w:id="135" w:name="_Toc313008359"/>
      <w:r>
        <w:rPr>
          <w:rFonts w:hint="eastAsia" w:ascii="仿宋" w:hAnsi="仿宋" w:eastAsia="仿宋"/>
          <w:color w:val="auto"/>
          <w:sz w:val="24"/>
          <w:szCs w:val="24"/>
          <w:highlight w:val="none"/>
        </w:rPr>
        <w:t>四、资格条件及其他</w:t>
      </w:r>
      <w:bookmarkEnd w:id="131"/>
      <w:bookmarkEnd w:id="132"/>
      <w:bookmarkEnd w:id="133"/>
      <w:bookmarkEnd w:id="134"/>
      <w:bookmarkEnd w:id="135"/>
    </w:p>
    <w:p w14:paraId="0EEA56D8">
      <w:pPr>
        <w:tabs>
          <w:tab w:val="left" w:pos="6300"/>
        </w:tabs>
        <w:snapToGrid w:val="0"/>
        <w:spacing w:line="500" w:lineRule="exact"/>
        <w:ind w:firstLine="570"/>
        <w:rPr>
          <w:rFonts w:hint="eastAsia" w:ascii="仿宋" w:hAnsi="仿宋" w:eastAsia="仿宋"/>
          <w:color w:val="auto"/>
          <w:sz w:val="24"/>
          <w:szCs w:val="24"/>
          <w:highlight w:val="none"/>
        </w:rPr>
      </w:pPr>
      <w:r>
        <w:rPr>
          <w:rFonts w:hint="eastAsia" w:ascii="仿宋" w:hAnsi="仿宋" w:eastAsia="仿宋"/>
          <w:color w:val="auto"/>
          <w:sz w:val="24"/>
          <w:szCs w:val="24"/>
          <w:highlight w:val="none"/>
        </w:rPr>
        <w:t>（一）法人营业执照（副本）或事业单位法人证书（副本）或个体工商户营业执照或有效的自然人身份证明或社会团体法人登记证书复印件</w:t>
      </w:r>
    </w:p>
    <w:p w14:paraId="7177567D">
      <w:pPr>
        <w:tabs>
          <w:tab w:val="left" w:pos="6300"/>
        </w:tabs>
        <w:snapToGrid w:val="0"/>
        <w:spacing w:line="500" w:lineRule="exact"/>
        <w:ind w:firstLine="570"/>
        <w:rPr>
          <w:rFonts w:hint="eastAsia" w:ascii="仿宋" w:hAnsi="仿宋" w:eastAsia="仿宋"/>
          <w:color w:val="auto"/>
          <w:sz w:val="24"/>
          <w:szCs w:val="24"/>
          <w:highlight w:val="none"/>
        </w:rPr>
      </w:pPr>
    </w:p>
    <w:p w14:paraId="06F7D034">
      <w:pPr>
        <w:tabs>
          <w:tab w:val="left" w:pos="6300"/>
        </w:tabs>
        <w:snapToGrid w:val="0"/>
        <w:spacing w:line="500" w:lineRule="exact"/>
        <w:ind w:firstLine="570"/>
        <w:rPr>
          <w:rFonts w:hint="eastAsia" w:ascii="仿宋" w:hAnsi="仿宋" w:eastAsia="仿宋"/>
          <w:color w:val="auto"/>
          <w:highlight w:val="none"/>
        </w:rPr>
      </w:pPr>
    </w:p>
    <w:p w14:paraId="46E28D0B">
      <w:pPr>
        <w:tabs>
          <w:tab w:val="left" w:pos="6300"/>
        </w:tabs>
        <w:snapToGrid w:val="0"/>
        <w:spacing w:line="500" w:lineRule="exact"/>
        <w:ind w:firstLine="570"/>
        <w:rPr>
          <w:rFonts w:hint="eastAsia" w:ascii="仿宋" w:hAnsi="仿宋" w:eastAsia="仿宋"/>
          <w:color w:val="auto"/>
          <w:highlight w:val="none"/>
        </w:rPr>
      </w:pPr>
    </w:p>
    <w:p w14:paraId="24969679">
      <w:pPr>
        <w:widowControl/>
        <w:ind w:firstLine="560" w:firstLineChars="200"/>
        <w:jc w:val="left"/>
        <w:rPr>
          <w:rFonts w:hint="eastAsia" w:ascii="仿宋" w:hAnsi="仿宋" w:eastAsia="仿宋"/>
          <w:color w:val="auto"/>
          <w:highlight w:val="none"/>
        </w:rPr>
      </w:pPr>
      <w:r>
        <w:rPr>
          <w:rFonts w:ascii="仿宋" w:hAnsi="仿宋" w:eastAsia="仿宋"/>
          <w:color w:val="auto"/>
          <w:highlight w:val="none"/>
        </w:rPr>
        <w:br w:type="page"/>
      </w:r>
      <w:r>
        <w:rPr>
          <w:rFonts w:hint="eastAsia" w:ascii="仿宋" w:hAnsi="仿宋" w:eastAsia="仿宋"/>
          <w:color w:val="auto"/>
          <w:highlight w:val="none"/>
        </w:rPr>
        <w:t>（二）法定代表人身份证明书（格式）</w:t>
      </w:r>
    </w:p>
    <w:p w14:paraId="34305114">
      <w:pPr>
        <w:tabs>
          <w:tab w:val="left" w:pos="6300"/>
        </w:tabs>
        <w:snapToGrid w:val="0"/>
        <w:spacing w:line="500" w:lineRule="exact"/>
        <w:ind w:firstLine="570"/>
        <w:rPr>
          <w:rFonts w:hint="eastAsia" w:ascii="仿宋" w:hAnsi="仿宋" w:eastAsia="仿宋"/>
          <w:color w:val="auto"/>
          <w:sz w:val="24"/>
          <w:highlight w:val="none"/>
        </w:rPr>
      </w:pPr>
    </w:p>
    <w:p w14:paraId="676FB27A">
      <w:pPr>
        <w:tabs>
          <w:tab w:val="left" w:pos="6300"/>
        </w:tabs>
        <w:snapToGrid w:val="0"/>
        <w:spacing w:line="500" w:lineRule="exact"/>
        <w:ind w:firstLine="570"/>
        <w:rPr>
          <w:rFonts w:hint="eastAsia" w:ascii="仿宋" w:hAnsi="仿宋" w:eastAsia="仿宋"/>
          <w:color w:val="auto"/>
          <w:sz w:val="24"/>
          <w:highlight w:val="none"/>
        </w:rPr>
      </w:pPr>
      <w:r>
        <w:rPr>
          <w:rFonts w:hint="eastAsia" w:ascii="仿宋" w:hAnsi="仿宋" w:eastAsia="仿宋"/>
          <w:color w:val="auto"/>
          <w:sz w:val="24"/>
          <w:highlight w:val="none"/>
        </w:rPr>
        <w:t>项目名称：</w:t>
      </w:r>
    </w:p>
    <w:p w14:paraId="51246D9C">
      <w:pPr>
        <w:tabs>
          <w:tab w:val="left" w:pos="6300"/>
        </w:tabs>
        <w:snapToGrid w:val="0"/>
        <w:spacing w:line="500" w:lineRule="exact"/>
        <w:ind w:firstLine="570"/>
        <w:rPr>
          <w:rFonts w:hint="eastAsia" w:ascii="仿宋" w:hAnsi="仿宋" w:eastAsia="仿宋"/>
          <w:color w:val="auto"/>
          <w:sz w:val="24"/>
          <w:highlight w:val="none"/>
        </w:rPr>
      </w:pPr>
    </w:p>
    <w:p w14:paraId="58290C7B">
      <w:pPr>
        <w:tabs>
          <w:tab w:val="left" w:pos="6300"/>
        </w:tabs>
        <w:snapToGrid w:val="0"/>
        <w:spacing w:line="500" w:lineRule="exact"/>
        <w:ind w:firstLine="570"/>
        <w:rPr>
          <w:rFonts w:hint="eastAsia" w:ascii="仿宋" w:hAnsi="仿宋" w:eastAsia="仿宋"/>
          <w:color w:val="auto"/>
          <w:sz w:val="24"/>
          <w:highlight w:val="none"/>
        </w:rPr>
      </w:pPr>
      <w:r>
        <w:rPr>
          <w:rFonts w:hint="eastAsia" w:ascii="仿宋" w:hAnsi="仿宋" w:eastAsia="仿宋"/>
          <w:color w:val="auto"/>
          <w:sz w:val="24"/>
          <w:highlight w:val="none"/>
        </w:rPr>
        <w:t>致：（采购代理机构名称）：</w:t>
      </w:r>
    </w:p>
    <w:p w14:paraId="66C34227">
      <w:pPr>
        <w:tabs>
          <w:tab w:val="left" w:pos="6300"/>
        </w:tabs>
        <w:snapToGrid w:val="0"/>
        <w:spacing w:line="500" w:lineRule="exact"/>
        <w:ind w:firstLine="570"/>
        <w:rPr>
          <w:rFonts w:hint="eastAsia" w:ascii="仿宋" w:hAnsi="仿宋" w:eastAsia="仿宋"/>
          <w:color w:val="auto"/>
          <w:sz w:val="24"/>
          <w:highlight w:val="none"/>
        </w:rPr>
      </w:pPr>
      <w:r>
        <w:rPr>
          <w:rFonts w:hint="eastAsia" w:ascii="仿宋" w:hAnsi="仿宋" w:eastAsia="仿宋"/>
          <w:color w:val="auto"/>
          <w:sz w:val="24"/>
          <w:highlight w:val="none"/>
        </w:rPr>
        <w:t>（法定代表人姓名）在（供应商名称）任（职务名称）职务，是（供应商名称）的法定代表人。</w:t>
      </w:r>
    </w:p>
    <w:p w14:paraId="49BCC989">
      <w:pPr>
        <w:tabs>
          <w:tab w:val="left" w:pos="6300"/>
        </w:tabs>
        <w:snapToGrid w:val="0"/>
        <w:spacing w:line="500" w:lineRule="exact"/>
        <w:ind w:firstLine="570"/>
        <w:rPr>
          <w:rFonts w:hint="eastAsia" w:ascii="仿宋" w:hAnsi="仿宋" w:eastAsia="仿宋"/>
          <w:color w:val="auto"/>
          <w:sz w:val="24"/>
          <w:highlight w:val="none"/>
        </w:rPr>
      </w:pPr>
    </w:p>
    <w:p w14:paraId="6C79B6BE">
      <w:pPr>
        <w:tabs>
          <w:tab w:val="left" w:pos="6300"/>
        </w:tabs>
        <w:snapToGrid w:val="0"/>
        <w:spacing w:line="500" w:lineRule="exact"/>
        <w:ind w:firstLine="570"/>
        <w:rPr>
          <w:rFonts w:hint="eastAsia" w:ascii="仿宋" w:hAnsi="仿宋" w:eastAsia="仿宋"/>
          <w:color w:val="auto"/>
          <w:sz w:val="24"/>
          <w:highlight w:val="none"/>
        </w:rPr>
      </w:pPr>
      <w:r>
        <w:rPr>
          <w:rFonts w:hint="eastAsia" w:ascii="仿宋" w:hAnsi="仿宋" w:eastAsia="仿宋"/>
          <w:color w:val="auto"/>
          <w:sz w:val="24"/>
          <w:highlight w:val="none"/>
        </w:rPr>
        <w:t>特此证明。</w:t>
      </w:r>
    </w:p>
    <w:p w14:paraId="554253C5">
      <w:pPr>
        <w:tabs>
          <w:tab w:val="left" w:pos="6300"/>
        </w:tabs>
        <w:snapToGrid w:val="0"/>
        <w:spacing w:line="500" w:lineRule="exact"/>
        <w:ind w:firstLine="570"/>
        <w:rPr>
          <w:rFonts w:hint="eastAsia" w:ascii="仿宋" w:hAnsi="仿宋" w:eastAsia="仿宋"/>
          <w:color w:val="auto"/>
          <w:sz w:val="24"/>
          <w:highlight w:val="none"/>
        </w:rPr>
      </w:pPr>
    </w:p>
    <w:p w14:paraId="489C9260">
      <w:pPr>
        <w:tabs>
          <w:tab w:val="left" w:pos="6300"/>
        </w:tabs>
        <w:snapToGrid w:val="0"/>
        <w:spacing w:line="500" w:lineRule="exact"/>
        <w:ind w:firstLine="570"/>
        <w:rPr>
          <w:rFonts w:hint="eastAsia" w:ascii="仿宋" w:hAnsi="仿宋" w:eastAsia="仿宋"/>
          <w:color w:val="auto"/>
          <w:sz w:val="24"/>
          <w:highlight w:val="none"/>
        </w:rPr>
      </w:pPr>
    </w:p>
    <w:p w14:paraId="1EC72ED1">
      <w:pPr>
        <w:tabs>
          <w:tab w:val="left" w:pos="6300"/>
        </w:tabs>
        <w:snapToGrid w:val="0"/>
        <w:spacing w:line="500" w:lineRule="exact"/>
        <w:ind w:firstLine="570"/>
        <w:rPr>
          <w:rFonts w:hint="eastAsia" w:ascii="仿宋" w:hAnsi="仿宋" w:eastAsia="仿宋"/>
          <w:color w:val="auto"/>
          <w:sz w:val="24"/>
          <w:highlight w:val="none"/>
        </w:rPr>
      </w:pPr>
    </w:p>
    <w:p w14:paraId="671CA4CA">
      <w:pPr>
        <w:tabs>
          <w:tab w:val="left" w:pos="6300"/>
        </w:tabs>
        <w:snapToGrid w:val="0"/>
        <w:spacing w:line="500" w:lineRule="exact"/>
        <w:ind w:firstLine="570"/>
        <w:rPr>
          <w:rFonts w:hint="eastAsia" w:ascii="仿宋" w:hAnsi="仿宋" w:eastAsia="仿宋"/>
          <w:color w:val="auto"/>
          <w:sz w:val="24"/>
          <w:highlight w:val="none"/>
        </w:rPr>
      </w:pPr>
      <w:r>
        <w:rPr>
          <w:rFonts w:hint="eastAsia" w:ascii="仿宋" w:hAnsi="仿宋" w:eastAsia="仿宋"/>
          <w:color w:val="auto"/>
          <w:sz w:val="24"/>
          <w:highlight w:val="none"/>
        </w:rPr>
        <w:t xml:space="preserve">                                             （供应商公章）</w:t>
      </w:r>
    </w:p>
    <w:p w14:paraId="5C981D6C">
      <w:pPr>
        <w:tabs>
          <w:tab w:val="left" w:pos="6300"/>
        </w:tabs>
        <w:snapToGrid w:val="0"/>
        <w:spacing w:line="500" w:lineRule="exact"/>
        <w:ind w:firstLine="570"/>
        <w:rPr>
          <w:rFonts w:hint="eastAsia" w:ascii="仿宋" w:hAnsi="仿宋" w:eastAsia="仿宋"/>
          <w:color w:val="auto"/>
          <w:sz w:val="24"/>
          <w:highlight w:val="none"/>
        </w:rPr>
      </w:pPr>
    </w:p>
    <w:p w14:paraId="0473EAAF">
      <w:pPr>
        <w:tabs>
          <w:tab w:val="left" w:pos="6300"/>
        </w:tabs>
        <w:snapToGrid w:val="0"/>
        <w:spacing w:line="500" w:lineRule="exact"/>
        <w:ind w:firstLine="570"/>
        <w:rPr>
          <w:rFonts w:hint="eastAsia" w:ascii="仿宋" w:hAnsi="仿宋" w:eastAsia="仿宋"/>
          <w:color w:val="auto"/>
          <w:sz w:val="24"/>
          <w:highlight w:val="none"/>
        </w:rPr>
      </w:pPr>
      <w:r>
        <w:rPr>
          <w:rFonts w:hint="eastAsia" w:ascii="仿宋" w:hAnsi="仿宋" w:eastAsia="仿宋"/>
          <w:color w:val="auto"/>
          <w:sz w:val="24"/>
          <w:highlight w:val="none"/>
        </w:rPr>
        <w:t xml:space="preserve">                                             年   月   日</w:t>
      </w:r>
    </w:p>
    <w:p w14:paraId="086DE15C">
      <w:pPr>
        <w:tabs>
          <w:tab w:val="left" w:pos="6300"/>
        </w:tabs>
        <w:snapToGrid w:val="0"/>
        <w:spacing w:line="500" w:lineRule="exact"/>
        <w:ind w:firstLine="570"/>
        <w:rPr>
          <w:rFonts w:hint="eastAsia" w:ascii="仿宋" w:hAnsi="仿宋" w:eastAsia="仿宋"/>
          <w:color w:val="auto"/>
          <w:sz w:val="24"/>
          <w:highlight w:val="none"/>
        </w:rPr>
      </w:pPr>
    </w:p>
    <w:p w14:paraId="60097F81">
      <w:pPr>
        <w:tabs>
          <w:tab w:val="left" w:pos="6300"/>
        </w:tabs>
        <w:snapToGrid w:val="0"/>
        <w:spacing w:line="500" w:lineRule="exact"/>
        <w:ind w:firstLine="570"/>
        <w:rPr>
          <w:rFonts w:hint="eastAsia" w:ascii="仿宋" w:hAnsi="仿宋" w:eastAsia="仿宋"/>
          <w:color w:val="auto"/>
          <w:sz w:val="24"/>
          <w:szCs w:val="22"/>
          <w:highlight w:val="none"/>
        </w:rPr>
      </w:pPr>
      <w:r>
        <w:rPr>
          <w:rFonts w:hint="eastAsia" w:ascii="仿宋" w:hAnsi="仿宋" w:eastAsia="仿宋"/>
          <w:color w:val="auto"/>
          <w:sz w:val="24"/>
          <w:szCs w:val="22"/>
          <w:highlight w:val="none"/>
        </w:rPr>
        <w:t>法定代表人电话：XXXXXXX      电子邮箱：XXXXXX@XXXXX（若授权他人办理并签署响应文件的可不填写）</w:t>
      </w:r>
    </w:p>
    <w:p w14:paraId="6523EA3E">
      <w:pPr>
        <w:tabs>
          <w:tab w:val="left" w:pos="6300"/>
        </w:tabs>
        <w:snapToGrid w:val="0"/>
        <w:spacing w:line="500" w:lineRule="exact"/>
        <w:ind w:firstLine="570"/>
        <w:rPr>
          <w:rFonts w:hint="eastAsia" w:ascii="仿宋" w:hAnsi="仿宋" w:eastAsia="仿宋"/>
          <w:color w:val="auto"/>
          <w:sz w:val="24"/>
          <w:highlight w:val="none"/>
        </w:rPr>
      </w:pPr>
    </w:p>
    <w:p w14:paraId="3924D1F2">
      <w:pPr>
        <w:tabs>
          <w:tab w:val="left" w:pos="6300"/>
        </w:tabs>
        <w:snapToGrid w:val="0"/>
        <w:spacing w:line="500" w:lineRule="exact"/>
        <w:ind w:firstLine="570"/>
        <w:rPr>
          <w:rFonts w:hint="eastAsia" w:ascii="仿宋" w:hAnsi="仿宋" w:eastAsia="仿宋"/>
          <w:color w:val="auto"/>
          <w:sz w:val="24"/>
          <w:highlight w:val="none"/>
        </w:rPr>
      </w:pPr>
      <w:r>
        <w:rPr>
          <w:rFonts w:hint="eastAsia" w:ascii="仿宋" w:hAnsi="仿宋" w:eastAsia="仿宋"/>
          <w:color w:val="auto"/>
          <w:sz w:val="24"/>
          <w:highlight w:val="none"/>
        </w:rPr>
        <w:t>（附：法定代表人身份证正反面复印件）</w:t>
      </w:r>
    </w:p>
    <w:p w14:paraId="4E829203">
      <w:pPr>
        <w:tabs>
          <w:tab w:val="left" w:pos="6300"/>
        </w:tabs>
        <w:snapToGrid w:val="0"/>
        <w:spacing w:line="500" w:lineRule="exact"/>
        <w:ind w:firstLine="570"/>
        <w:rPr>
          <w:rFonts w:hint="eastAsia" w:ascii="仿宋" w:hAnsi="仿宋" w:eastAsia="仿宋"/>
          <w:color w:val="auto"/>
          <w:sz w:val="24"/>
          <w:highlight w:val="none"/>
        </w:rPr>
      </w:pPr>
    </w:p>
    <w:p w14:paraId="3583D71C">
      <w:pPr>
        <w:tabs>
          <w:tab w:val="left" w:pos="6300"/>
        </w:tabs>
        <w:snapToGrid w:val="0"/>
        <w:spacing w:line="500" w:lineRule="exact"/>
        <w:ind w:firstLine="570"/>
        <w:rPr>
          <w:rFonts w:hint="eastAsia" w:ascii="仿宋" w:hAnsi="仿宋" w:eastAsia="仿宋"/>
          <w:color w:val="auto"/>
          <w:sz w:val="24"/>
          <w:highlight w:val="none"/>
        </w:rPr>
      </w:pPr>
    </w:p>
    <w:p w14:paraId="5036BF21">
      <w:pPr>
        <w:tabs>
          <w:tab w:val="left" w:pos="6300"/>
        </w:tabs>
        <w:snapToGrid w:val="0"/>
        <w:spacing w:line="500" w:lineRule="exact"/>
        <w:ind w:firstLine="570"/>
        <w:rPr>
          <w:rFonts w:hint="eastAsia" w:ascii="仿宋" w:hAnsi="仿宋" w:eastAsia="仿宋"/>
          <w:color w:val="auto"/>
          <w:sz w:val="24"/>
          <w:highlight w:val="none"/>
        </w:rPr>
      </w:pPr>
    </w:p>
    <w:p w14:paraId="2B92BFE6">
      <w:pPr>
        <w:tabs>
          <w:tab w:val="left" w:pos="6300"/>
        </w:tabs>
        <w:snapToGrid w:val="0"/>
        <w:spacing w:line="500" w:lineRule="exact"/>
        <w:ind w:firstLine="570"/>
        <w:rPr>
          <w:rFonts w:hint="eastAsia" w:ascii="仿宋" w:hAnsi="仿宋" w:eastAsia="仿宋"/>
          <w:color w:val="auto"/>
          <w:sz w:val="24"/>
          <w:highlight w:val="none"/>
        </w:rPr>
      </w:pPr>
    </w:p>
    <w:p w14:paraId="0B9D869B">
      <w:pPr>
        <w:tabs>
          <w:tab w:val="left" w:pos="6300"/>
        </w:tabs>
        <w:snapToGrid w:val="0"/>
        <w:spacing w:line="500" w:lineRule="exact"/>
        <w:ind w:firstLine="570"/>
        <w:rPr>
          <w:rFonts w:hint="eastAsia" w:ascii="仿宋" w:hAnsi="仿宋" w:eastAsia="仿宋"/>
          <w:color w:val="auto"/>
          <w:sz w:val="24"/>
          <w:highlight w:val="none"/>
        </w:rPr>
      </w:pPr>
    </w:p>
    <w:p w14:paraId="78354E56">
      <w:pPr>
        <w:tabs>
          <w:tab w:val="left" w:pos="6300"/>
        </w:tabs>
        <w:snapToGrid w:val="0"/>
        <w:spacing w:line="500" w:lineRule="exact"/>
        <w:ind w:firstLine="570"/>
        <w:rPr>
          <w:rFonts w:hint="eastAsia" w:ascii="仿宋" w:hAnsi="仿宋" w:eastAsia="仿宋"/>
          <w:color w:val="auto"/>
          <w:sz w:val="24"/>
          <w:highlight w:val="none"/>
        </w:rPr>
      </w:pPr>
    </w:p>
    <w:p w14:paraId="2D824BFA">
      <w:pPr>
        <w:tabs>
          <w:tab w:val="left" w:pos="6300"/>
        </w:tabs>
        <w:snapToGrid w:val="0"/>
        <w:spacing w:line="500" w:lineRule="exact"/>
        <w:ind w:firstLine="570"/>
        <w:rPr>
          <w:rFonts w:hint="eastAsia" w:ascii="仿宋" w:hAnsi="仿宋" w:eastAsia="仿宋"/>
          <w:color w:val="auto"/>
          <w:sz w:val="24"/>
          <w:highlight w:val="none"/>
        </w:rPr>
      </w:pPr>
    </w:p>
    <w:p w14:paraId="70F9D741">
      <w:pPr>
        <w:tabs>
          <w:tab w:val="left" w:pos="6300"/>
        </w:tabs>
        <w:snapToGrid w:val="0"/>
        <w:spacing w:line="500" w:lineRule="exact"/>
        <w:ind w:firstLine="570"/>
        <w:rPr>
          <w:rFonts w:hint="eastAsia" w:ascii="仿宋" w:hAnsi="仿宋" w:eastAsia="仿宋"/>
          <w:color w:val="auto"/>
          <w:sz w:val="24"/>
          <w:highlight w:val="none"/>
        </w:rPr>
      </w:pPr>
    </w:p>
    <w:p w14:paraId="1F61B653">
      <w:pPr>
        <w:tabs>
          <w:tab w:val="left" w:pos="6300"/>
        </w:tabs>
        <w:snapToGrid w:val="0"/>
        <w:spacing w:line="500" w:lineRule="exact"/>
        <w:ind w:firstLine="570"/>
        <w:rPr>
          <w:rFonts w:hint="eastAsia" w:ascii="仿宋" w:hAnsi="仿宋" w:eastAsia="仿宋"/>
          <w:color w:val="auto"/>
          <w:highlight w:val="none"/>
        </w:rPr>
      </w:pPr>
      <w:r>
        <w:rPr>
          <w:rFonts w:ascii="仿宋" w:hAnsi="仿宋" w:eastAsia="仿宋"/>
          <w:color w:val="auto"/>
          <w:highlight w:val="none"/>
        </w:rPr>
        <w:br w:type="column"/>
      </w:r>
      <w:r>
        <w:rPr>
          <w:rFonts w:hint="eastAsia" w:ascii="仿宋" w:hAnsi="仿宋" w:eastAsia="仿宋"/>
          <w:color w:val="auto"/>
          <w:highlight w:val="none"/>
        </w:rPr>
        <w:t>（三）法定代表人授权委托书（格式）</w:t>
      </w:r>
    </w:p>
    <w:p w14:paraId="4B3DFB6F">
      <w:pPr>
        <w:tabs>
          <w:tab w:val="left" w:pos="6300"/>
        </w:tabs>
        <w:snapToGrid w:val="0"/>
        <w:spacing w:line="500" w:lineRule="exact"/>
        <w:ind w:firstLine="570"/>
        <w:rPr>
          <w:rFonts w:hint="eastAsia" w:ascii="仿宋" w:hAnsi="仿宋" w:eastAsia="仿宋"/>
          <w:color w:val="auto"/>
          <w:sz w:val="24"/>
          <w:highlight w:val="none"/>
        </w:rPr>
      </w:pPr>
    </w:p>
    <w:p w14:paraId="70D3A7BC">
      <w:pPr>
        <w:tabs>
          <w:tab w:val="left" w:pos="6300"/>
        </w:tabs>
        <w:snapToGrid w:val="0"/>
        <w:spacing w:line="500" w:lineRule="exact"/>
        <w:ind w:firstLine="480" w:firstLineChars="200"/>
        <w:rPr>
          <w:rFonts w:hint="eastAsia" w:ascii="仿宋" w:hAnsi="仿宋" w:eastAsia="仿宋"/>
          <w:color w:val="auto"/>
          <w:sz w:val="24"/>
          <w:highlight w:val="none"/>
        </w:rPr>
      </w:pPr>
      <w:r>
        <w:rPr>
          <w:rFonts w:hint="eastAsia" w:ascii="仿宋" w:hAnsi="仿宋" w:eastAsia="仿宋"/>
          <w:color w:val="auto"/>
          <w:sz w:val="24"/>
          <w:szCs w:val="28"/>
          <w:highlight w:val="none"/>
        </w:rPr>
        <w:t>项目名称</w:t>
      </w:r>
      <w:r>
        <w:rPr>
          <w:rFonts w:hint="eastAsia" w:ascii="仿宋" w:hAnsi="仿宋" w:eastAsia="仿宋"/>
          <w:color w:val="auto"/>
          <w:sz w:val="24"/>
          <w:highlight w:val="none"/>
        </w:rPr>
        <w:t>：</w:t>
      </w:r>
    </w:p>
    <w:p w14:paraId="1FE8F559">
      <w:pPr>
        <w:tabs>
          <w:tab w:val="left" w:pos="6300"/>
        </w:tabs>
        <w:snapToGrid w:val="0"/>
        <w:spacing w:line="500" w:lineRule="exact"/>
        <w:ind w:firstLine="570"/>
        <w:rPr>
          <w:rFonts w:hint="eastAsia" w:ascii="仿宋" w:hAnsi="仿宋" w:eastAsia="仿宋"/>
          <w:color w:val="auto"/>
          <w:sz w:val="24"/>
          <w:highlight w:val="none"/>
        </w:rPr>
      </w:pPr>
    </w:p>
    <w:p w14:paraId="05E53632">
      <w:pPr>
        <w:tabs>
          <w:tab w:val="left" w:pos="6300"/>
        </w:tabs>
        <w:snapToGrid w:val="0"/>
        <w:spacing w:line="500" w:lineRule="exact"/>
        <w:ind w:firstLine="480" w:firstLineChars="200"/>
        <w:rPr>
          <w:rFonts w:hint="eastAsia" w:ascii="仿宋" w:hAnsi="仿宋" w:eastAsia="仿宋"/>
          <w:color w:val="auto"/>
          <w:sz w:val="24"/>
          <w:highlight w:val="none"/>
        </w:rPr>
      </w:pPr>
      <w:r>
        <w:rPr>
          <w:rFonts w:hint="eastAsia" w:ascii="仿宋" w:hAnsi="仿宋" w:eastAsia="仿宋"/>
          <w:color w:val="auto"/>
          <w:sz w:val="24"/>
          <w:highlight w:val="none"/>
        </w:rPr>
        <w:t>致：（采购代理机构名称）：</w:t>
      </w:r>
    </w:p>
    <w:p w14:paraId="23D155BF">
      <w:pPr>
        <w:tabs>
          <w:tab w:val="left" w:pos="6300"/>
        </w:tabs>
        <w:snapToGrid w:val="0"/>
        <w:spacing w:line="500" w:lineRule="exact"/>
        <w:ind w:firstLine="480" w:firstLineChars="200"/>
        <w:rPr>
          <w:rFonts w:hint="eastAsia" w:ascii="仿宋" w:hAnsi="仿宋" w:eastAsia="仿宋"/>
          <w:color w:val="auto"/>
          <w:sz w:val="24"/>
          <w:highlight w:val="none"/>
        </w:rPr>
      </w:pPr>
      <w:r>
        <w:rPr>
          <w:rFonts w:hint="eastAsia" w:ascii="仿宋" w:hAnsi="仿宋" w:eastAsia="仿宋"/>
          <w:color w:val="auto"/>
          <w:sz w:val="24"/>
          <w:highlight w:val="none"/>
        </w:rPr>
        <w:t>（供应商法定代表人名称）是（供应商名称）的法定代表人，特授权（被授权人姓名及身份证号码）代表我单位全权办理上述项目的磋商、签约等具体工作，并签署全部有关文件、协议及合同。</w:t>
      </w:r>
    </w:p>
    <w:p w14:paraId="62C34A6F">
      <w:pPr>
        <w:tabs>
          <w:tab w:val="left" w:pos="6300"/>
        </w:tabs>
        <w:snapToGrid w:val="0"/>
        <w:spacing w:line="500" w:lineRule="exact"/>
        <w:ind w:firstLine="480" w:firstLineChars="200"/>
        <w:rPr>
          <w:rFonts w:hint="eastAsia" w:ascii="仿宋" w:hAnsi="仿宋" w:eastAsia="仿宋"/>
          <w:color w:val="auto"/>
          <w:sz w:val="24"/>
          <w:highlight w:val="none"/>
        </w:rPr>
      </w:pPr>
      <w:r>
        <w:rPr>
          <w:rFonts w:hint="eastAsia" w:ascii="仿宋" w:hAnsi="仿宋" w:eastAsia="仿宋"/>
          <w:color w:val="auto"/>
          <w:sz w:val="24"/>
          <w:highlight w:val="none"/>
        </w:rPr>
        <w:t>我单位对被授权人的签字负全部责任。</w:t>
      </w:r>
    </w:p>
    <w:p w14:paraId="4F31F6E9">
      <w:pPr>
        <w:tabs>
          <w:tab w:val="left" w:pos="6300"/>
        </w:tabs>
        <w:snapToGrid w:val="0"/>
        <w:spacing w:line="500" w:lineRule="exact"/>
        <w:ind w:firstLine="480" w:firstLineChars="200"/>
        <w:rPr>
          <w:rFonts w:hint="eastAsia" w:ascii="仿宋" w:hAnsi="仿宋" w:eastAsia="仿宋"/>
          <w:color w:val="auto"/>
          <w:sz w:val="24"/>
          <w:highlight w:val="none"/>
        </w:rPr>
      </w:pPr>
      <w:r>
        <w:rPr>
          <w:rFonts w:hint="eastAsia" w:ascii="仿宋" w:hAnsi="仿宋" w:eastAsia="仿宋"/>
          <w:color w:val="auto"/>
          <w:sz w:val="24"/>
          <w:highlight w:val="none"/>
        </w:rPr>
        <w:t>在撤消授权的书面通知以前，本授权书一直有效。被授权人在授权书有效期内签署的所有文件不因授权的撤消而失效。</w:t>
      </w:r>
    </w:p>
    <w:p w14:paraId="547B4DCB">
      <w:pPr>
        <w:tabs>
          <w:tab w:val="left" w:pos="6300"/>
        </w:tabs>
        <w:snapToGrid w:val="0"/>
        <w:spacing w:line="500" w:lineRule="exact"/>
        <w:ind w:firstLine="570"/>
        <w:rPr>
          <w:rFonts w:hint="eastAsia" w:ascii="仿宋" w:hAnsi="仿宋" w:eastAsia="仿宋"/>
          <w:color w:val="auto"/>
          <w:sz w:val="24"/>
          <w:highlight w:val="none"/>
        </w:rPr>
      </w:pPr>
    </w:p>
    <w:p w14:paraId="220E3C94">
      <w:pPr>
        <w:tabs>
          <w:tab w:val="left" w:pos="6300"/>
        </w:tabs>
        <w:snapToGrid w:val="0"/>
        <w:spacing w:line="500" w:lineRule="exact"/>
        <w:ind w:firstLine="570"/>
        <w:rPr>
          <w:rFonts w:hint="eastAsia" w:ascii="仿宋" w:hAnsi="仿宋" w:eastAsia="仿宋"/>
          <w:color w:val="auto"/>
          <w:sz w:val="24"/>
          <w:highlight w:val="none"/>
        </w:rPr>
      </w:pPr>
    </w:p>
    <w:p w14:paraId="63566131">
      <w:pPr>
        <w:tabs>
          <w:tab w:val="left" w:pos="6300"/>
        </w:tabs>
        <w:snapToGrid w:val="0"/>
        <w:spacing w:line="500" w:lineRule="exact"/>
        <w:ind w:firstLine="570"/>
        <w:rPr>
          <w:rFonts w:hint="eastAsia" w:ascii="仿宋" w:hAnsi="仿宋" w:eastAsia="仿宋"/>
          <w:color w:val="auto"/>
          <w:sz w:val="24"/>
          <w:highlight w:val="none"/>
        </w:rPr>
      </w:pPr>
      <w:r>
        <w:rPr>
          <w:rFonts w:hint="eastAsia" w:ascii="仿宋" w:hAnsi="仿宋" w:eastAsia="仿宋"/>
          <w:color w:val="auto"/>
          <w:sz w:val="24"/>
          <w:highlight w:val="none"/>
        </w:rPr>
        <w:t>被授权人：                                 供应商法定代表人：</w:t>
      </w:r>
    </w:p>
    <w:p w14:paraId="549C7CD8">
      <w:pPr>
        <w:tabs>
          <w:tab w:val="left" w:pos="6300"/>
        </w:tabs>
        <w:snapToGrid w:val="0"/>
        <w:spacing w:line="500" w:lineRule="exact"/>
        <w:ind w:firstLine="570"/>
        <w:rPr>
          <w:rFonts w:hint="eastAsia" w:ascii="仿宋" w:hAnsi="仿宋" w:eastAsia="仿宋"/>
          <w:color w:val="auto"/>
          <w:sz w:val="24"/>
          <w:szCs w:val="28"/>
          <w:highlight w:val="none"/>
        </w:rPr>
      </w:pPr>
      <w:r>
        <w:rPr>
          <w:rFonts w:hint="eastAsia" w:ascii="仿宋" w:hAnsi="仿宋" w:eastAsia="仿宋"/>
          <w:color w:val="auto"/>
          <w:sz w:val="24"/>
          <w:szCs w:val="28"/>
          <w:highlight w:val="none"/>
        </w:rPr>
        <w:t>（签字或盖章）                                （签字或盖章）</w:t>
      </w:r>
    </w:p>
    <w:p w14:paraId="2F54CED7">
      <w:pPr>
        <w:tabs>
          <w:tab w:val="left" w:pos="6300"/>
        </w:tabs>
        <w:snapToGrid w:val="0"/>
        <w:spacing w:line="500" w:lineRule="exact"/>
        <w:ind w:firstLine="570"/>
        <w:rPr>
          <w:rFonts w:hint="eastAsia" w:ascii="仿宋" w:hAnsi="仿宋" w:eastAsia="仿宋"/>
          <w:color w:val="auto"/>
          <w:sz w:val="24"/>
          <w:szCs w:val="28"/>
          <w:highlight w:val="none"/>
        </w:rPr>
      </w:pPr>
    </w:p>
    <w:p w14:paraId="785A88F2">
      <w:pPr>
        <w:tabs>
          <w:tab w:val="left" w:pos="6300"/>
        </w:tabs>
        <w:snapToGrid w:val="0"/>
        <w:spacing w:line="500" w:lineRule="exact"/>
        <w:ind w:firstLine="570"/>
        <w:rPr>
          <w:rFonts w:hint="eastAsia" w:ascii="仿宋" w:hAnsi="仿宋" w:eastAsia="仿宋"/>
          <w:color w:val="auto"/>
          <w:sz w:val="24"/>
          <w:highlight w:val="none"/>
        </w:rPr>
      </w:pPr>
    </w:p>
    <w:p w14:paraId="0B2A6D8E">
      <w:pPr>
        <w:tabs>
          <w:tab w:val="left" w:pos="6300"/>
        </w:tabs>
        <w:snapToGrid w:val="0"/>
        <w:spacing w:line="500" w:lineRule="exact"/>
        <w:ind w:firstLine="570"/>
        <w:rPr>
          <w:rFonts w:hint="eastAsia" w:ascii="仿宋" w:hAnsi="仿宋" w:eastAsia="仿宋"/>
          <w:color w:val="auto"/>
          <w:sz w:val="24"/>
          <w:highlight w:val="none"/>
        </w:rPr>
      </w:pPr>
      <w:r>
        <w:rPr>
          <w:rFonts w:hint="eastAsia" w:ascii="仿宋" w:hAnsi="仿宋" w:eastAsia="仿宋"/>
          <w:color w:val="auto"/>
          <w:sz w:val="24"/>
          <w:szCs w:val="22"/>
          <w:highlight w:val="none"/>
        </w:rPr>
        <w:t>被授权人电话：XXXXXXX     电子邮箱：XXXXXX@XXXXX（若法定代表人办理并签署响应文件的可不填写）</w:t>
      </w:r>
    </w:p>
    <w:p w14:paraId="0B94E403">
      <w:pPr>
        <w:tabs>
          <w:tab w:val="left" w:pos="6300"/>
        </w:tabs>
        <w:snapToGrid w:val="0"/>
        <w:spacing w:line="500" w:lineRule="exact"/>
        <w:ind w:firstLine="570"/>
        <w:rPr>
          <w:rFonts w:hint="eastAsia" w:ascii="仿宋" w:hAnsi="仿宋" w:eastAsia="仿宋"/>
          <w:color w:val="auto"/>
          <w:sz w:val="24"/>
          <w:highlight w:val="none"/>
        </w:rPr>
      </w:pPr>
      <w:r>
        <w:rPr>
          <w:rFonts w:hint="eastAsia" w:ascii="仿宋" w:hAnsi="仿宋" w:eastAsia="仿宋"/>
          <w:color w:val="auto"/>
          <w:sz w:val="24"/>
          <w:highlight w:val="none"/>
        </w:rPr>
        <w:t>（附：被授权人身份证正反面复印件）</w:t>
      </w:r>
    </w:p>
    <w:p w14:paraId="4B7B2BCA">
      <w:pPr>
        <w:tabs>
          <w:tab w:val="left" w:pos="6300"/>
        </w:tabs>
        <w:snapToGrid w:val="0"/>
        <w:spacing w:line="500" w:lineRule="exact"/>
        <w:ind w:firstLine="570"/>
        <w:rPr>
          <w:rFonts w:hint="eastAsia" w:ascii="仿宋" w:hAnsi="仿宋" w:eastAsia="仿宋"/>
          <w:color w:val="auto"/>
          <w:sz w:val="24"/>
          <w:highlight w:val="none"/>
        </w:rPr>
      </w:pPr>
    </w:p>
    <w:p w14:paraId="2EDB3C03">
      <w:pPr>
        <w:tabs>
          <w:tab w:val="left" w:pos="6300"/>
        </w:tabs>
        <w:snapToGrid w:val="0"/>
        <w:spacing w:line="500" w:lineRule="exact"/>
        <w:ind w:firstLine="570"/>
        <w:rPr>
          <w:rFonts w:hint="eastAsia" w:ascii="仿宋" w:hAnsi="仿宋" w:eastAsia="仿宋"/>
          <w:color w:val="auto"/>
          <w:sz w:val="24"/>
          <w:highlight w:val="none"/>
        </w:rPr>
      </w:pPr>
    </w:p>
    <w:p w14:paraId="16FE2485">
      <w:pPr>
        <w:tabs>
          <w:tab w:val="left" w:pos="6300"/>
        </w:tabs>
        <w:snapToGrid w:val="0"/>
        <w:spacing w:line="500" w:lineRule="exact"/>
        <w:ind w:firstLine="570"/>
        <w:rPr>
          <w:rFonts w:hint="eastAsia" w:ascii="仿宋" w:hAnsi="仿宋" w:eastAsia="仿宋"/>
          <w:color w:val="auto"/>
          <w:sz w:val="24"/>
          <w:highlight w:val="none"/>
        </w:rPr>
      </w:pPr>
    </w:p>
    <w:p w14:paraId="40DBBFB3">
      <w:pPr>
        <w:tabs>
          <w:tab w:val="left" w:pos="6300"/>
        </w:tabs>
        <w:snapToGrid w:val="0"/>
        <w:spacing w:line="500" w:lineRule="exact"/>
        <w:ind w:right="480" w:firstLine="570"/>
        <w:jc w:val="right"/>
        <w:rPr>
          <w:rFonts w:hint="eastAsia" w:ascii="仿宋" w:hAnsi="仿宋" w:eastAsia="仿宋"/>
          <w:color w:val="auto"/>
          <w:sz w:val="24"/>
          <w:highlight w:val="none"/>
        </w:rPr>
      </w:pPr>
      <w:r>
        <w:rPr>
          <w:rFonts w:hint="eastAsia" w:ascii="仿宋" w:hAnsi="仿宋" w:eastAsia="仿宋"/>
          <w:color w:val="auto"/>
          <w:sz w:val="24"/>
          <w:highlight w:val="none"/>
        </w:rPr>
        <w:t>（供应商公章）</w:t>
      </w:r>
    </w:p>
    <w:p w14:paraId="71A29B98">
      <w:pPr>
        <w:tabs>
          <w:tab w:val="left" w:pos="6300"/>
        </w:tabs>
        <w:snapToGrid w:val="0"/>
        <w:spacing w:line="500" w:lineRule="exact"/>
        <w:ind w:right="480" w:firstLine="570"/>
        <w:jc w:val="right"/>
        <w:rPr>
          <w:rFonts w:hint="eastAsia" w:ascii="仿宋" w:hAnsi="仿宋" w:eastAsia="仿宋"/>
          <w:color w:val="auto"/>
          <w:sz w:val="24"/>
          <w:highlight w:val="none"/>
        </w:rPr>
      </w:pPr>
      <w:r>
        <w:rPr>
          <w:rFonts w:hint="eastAsia" w:ascii="仿宋" w:hAnsi="仿宋" w:eastAsia="仿宋"/>
          <w:color w:val="auto"/>
          <w:sz w:val="24"/>
          <w:highlight w:val="none"/>
        </w:rPr>
        <w:t>年   月   日</w:t>
      </w:r>
    </w:p>
    <w:p w14:paraId="6BED301D">
      <w:pPr>
        <w:tabs>
          <w:tab w:val="left" w:pos="6300"/>
        </w:tabs>
        <w:snapToGrid w:val="0"/>
        <w:spacing w:line="500" w:lineRule="exact"/>
        <w:ind w:firstLine="570"/>
        <w:rPr>
          <w:rFonts w:hint="eastAsia" w:ascii="仿宋" w:hAnsi="仿宋" w:eastAsia="仿宋"/>
          <w:color w:val="auto"/>
          <w:sz w:val="24"/>
          <w:szCs w:val="22"/>
          <w:highlight w:val="none"/>
        </w:rPr>
      </w:pPr>
      <w:r>
        <w:rPr>
          <w:rFonts w:hint="eastAsia" w:ascii="仿宋" w:hAnsi="仿宋" w:eastAsia="仿宋"/>
          <w:color w:val="auto"/>
          <w:sz w:val="24"/>
          <w:szCs w:val="22"/>
          <w:highlight w:val="none"/>
        </w:rPr>
        <w:t>注：若为法定代表人办理并签署响应文件的，不提供此文件。</w:t>
      </w:r>
    </w:p>
    <w:p w14:paraId="53D40146">
      <w:pPr>
        <w:tabs>
          <w:tab w:val="left" w:pos="6300"/>
        </w:tabs>
        <w:snapToGrid w:val="0"/>
        <w:spacing w:line="500" w:lineRule="exact"/>
        <w:ind w:right="480" w:firstLine="570"/>
        <w:jc w:val="right"/>
        <w:rPr>
          <w:rFonts w:hint="eastAsia" w:ascii="仿宋" w:hAnsi="仿宋" w:eastAsia="仿宋"/>
          <w:color w:val="auto"/>
          <w:sz w:val="24"/>
          <w:highlight w:val="none"/>
        </w:rPr>
      </w:pPr>
    </w:p>
    <w:p w14:paraId="1A3EEBA7">
      <w:pPr>
        <w:tabs>
          <w:tab w:val="left" w:pos="6300"/>
        </w:tabs>
        <w:snapToGrid w:val="0"/>
        <w:spacing w:line="500" w:lineRule="exact"/>
        <w:rPr>
          <w:rFonts w:hint="eastAsia" w:ascii="仿宋" w:hAnsi="仿宋" w:eastAsia="仿宋"/>
          <w:color w:val="auto"/>
          <w:sz w:val="24"/>
          <w:szCs w:val="24"/>
          <w:highlight w:val="none"/>
        </w:rPr>
      </w:pPr>
    </w:p>
    <w:p w14:paraId="3E066187">
      <w:pPr>
        <w:tabs>
          <w:tab w:val="left" w:pos="6300"/>
        </w:tabs>
        <w:snapToGrid w:val="0"/>
        <w:spacing w:line="500" w:lineRule="exact"/>
        <w:rPr>
          <w:rFonts w:hint="eastAsia" w:ascii="仿宋" w:hAnsi="仿宋" w:eastAsia="仿宋"/>
          <w:color w:val="auto"/>
          <w:sz w:val="24"/>
          <w:highlight w:val="none"/>
        </w:rPr>
      </w:pPr>
      <w:r>
        <w:rPr>
          <w:rFonts w:ascii="仿宋" w:hAnsi="仿宋" w:eastAsia="仿宋"/>
          <w:color w:val="auto"/>
          <w:sz w:val="24"/>
          <w:szCs w:val="24"/>
          <w:highlight w:val="none"/>
        </w:rPr>
        <w:br w:type="page"/>
      </w:r>
      <w:r>
        <w:rPr>
          <w:rFonts w:hint="eastAsia" w:ascii="仿宋" w:hAnsi="仿宋" w:eastAsia="仿宋"/>
          <w:color w:val="auto"/>
          <w:sz w:val="24"/>
          <w:szCs w:val="24"/>
          <w:highlight w:val="none"/>
        </w:rPr>
        <w:t>（四）基本资格条件承诺函（格式）</w:t>
      </w:r>
    </w:p>
    <w:p w14:paraId="1A703F47">
      <w:pPr>
        <w:tabs>
          <w:tab w:val="left" w:pos="6300"/>
        </w:tabs>
        <w:snapToGrid w:val="0"/>
        <w:spacing w:line="500" w:lineRule="exact"/>
        <w:ind w:firstLine="570"/>
        <w:rPr>
          <w:rFonts w:hint="eastAsia" w:ascii="仿宋" w:hAnsi="仿宋" w:eastAsia="仿宋"/>
          <w:color w:val="auto"/>
          <w:sz w:val="24"/>
          <w:highlight w:val="none"/>
        </w:rPr>
      </w:pPr>
    </w:p>
    <w:p w14:paraId="0B4701EB">
      <w:pPr>
        <w:tabs>
          <w:tab w:val="left" w:pos="6300"/>
        </w:tabs>
        <w:snapToGrid w:val="0"/>
        <w:spacing w:line="53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基本资格条件承诺函</w:t>
      </w:r>
    </w:p>
    <w:p w14:paraId="76340851">
      <w:pPr>
        <w:tabs>
          <w:tab w:val="left" w:pos="6300"/>
        </w:tabs>
        <w:snapToGrid w:val="0"/>
        <w:spacing w:line="530" w:lineRule="exact"/>
        <w:rPr>
          <w:rFonts w:hint="eastAsia" w:ascii="仿宋" w:hAnsi="仿宋" w:eastAsia="仿宋" w:cs="仿宋"/>
          <w:color w:val="auto"/>
          <w:sz w:val="24"/>
          <w:szCs w:val="24"/>
          <w:highlight w:val="none"/>
        </w:rPr>
      </w:pPr>
    </w:p>
    <w:p w14:paraId="7B754DE0">
      <w:pPr>
        <w:tabs>
          <w:tab w:val="left" w:pos="6300"/>
        </w:tabs>
        <w:snapToGrid w:val="0"/>
        <w:spacing w:line="530" w:lineRule="exac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致（采购代理机构名称）：</w:t>
      </w:r>
    </w:p>
    <w:p w14:paraId="19625775">
      <w:pPr>
        <w:tabs>
          <w:tab w:val="left" w:pos="6300"/>
        </w:tabs>
        <w:snapToGrid w:val="0"/>
        <w:spacing w:line="53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（供应商名称）郑重承诺：</w:t>
      </w:r>
    </w:p>
    <w:p w14:paraId="4B7B8C51">
      <w:pPr>
        <w:spacing w:line="53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1.我方具有良好的商业信誉和健全的财务会计制度，具有履行合同所必需的设备和专业技术能力，具</w:t>
      </w:r>
      <w:r>
        <w:rPr>
          <w:rFonts w:hint="eastAsia" w:ascii="仿宋" w:hAnsi="仿宋" w:eastAsia="仿宋" w:cs="仿宋"/>
          <w:color w:val="auto"/>
          <w:sz w:val="24"/>
          <w:szCs w:val="24"/>
          <w:highlight w:val="none"/>
          <w:lang w:val="zh-CN"/>
        </w:rPr>
        <w:t>有依法缴纳税收和社会保障金的良好记录</w:t>
      </w:r>
      <w:r>
        <w:rPr>
          <w:rFonts w:hint="eastAsia" w:ascii="仿宋" w:hAnsi="仿宋" w:eastAsia="仿宋" w:cs="仿宋"/>
          <w:color w:val="auto"/>
          <w:sz w:val="24"/>
          <w:szCs w:val="24"/>
          <w:highlight w:val="none"/>
        </w:rPr>
        <w:t>，参加本项目采购活动前三年内无重大违法活动记录。</w:t>
      </w:r>
    </w:p>
    <w:p w14:paraId="4D60BECD">
      <w:pPr>
        <w:spacing w:line="53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2.我方未列入在信用中国网站（www.creditchina.gov.cn）“失信被执行人”、“重大税收违法案件当事人名单”中，也未列入中国政府采购网（www.ccgp.gov.cn）“政府采购严重违法失信行为记录名单”中。</w:t>
      </w:r>
    </w:p>
    <w:p w14:paraId="4182FA18">
      <w:pPr>
        <w:spacing w:line="53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3.我方在采购项目评审（评标）环节结束后，随时接受采购人、采购代理机构的检查验证，配合提供相关证明材料，证明符合《中华人民共和国政府采购法》规定的供应商基本资格条件。</w:t>
      </w:r>
    </w:p>
    <w:p w14:paraId="539D4B3E">
      <w:pPr>
        <w:tabs>
          <w:tab w:val="left" w:pos="6300"/>
        </w:tabs>
        <w:snapToGrid w:val="0"/>
        <w:spacing w:line="53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我方对以上承诺负全部法律责任。</w:t>
      </w:r>
    </w:p>
    <w:p w14:paraId="4E73DC96">
      <w:pPr>
        <w:tabs>
          <w:tab w:val="left" w:pos="6300"/>
        </w:tabs>
        <w:snapToGrid w:val="0"/>
        <w:spacing w:line="53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特此承诺。</w:t>
      </w:r>
    </w:p>
    <w:p w14:paraId="7D906402">
      <w:pPr>
        <w:tabs>
          <w:tab w:val="left" w:pos="6300"/>
        </w:tabs>
        <w:snapToGrid w:val="0"/>
        <w:spacing w:line="530" w:lineRule="exact"/>
        <w:rPr>
          <w:rFonts w:hint="eastAsia" w:ascii="仿宋" w:hAnsi="仿宋" w:eastAsia="仿宋" w:cs="仿宋"/>
          <w:color w:val="auto"/>
          <w:sz w:val="24"/>
          <w:szCs w:val="24"/>
          <w:highlight w:val="none"/>
        </w:rPr>
      </w:pPr>
    </w:p>
    <w:p w14:paraId="2CF696AE">
      <w:pPr>
        <w:tabs>
          <w:tab w:val="left" w:pos="6300"/>
        </w:tabs>
        <w:snapToGrid w:val="0"/>
        <w:spacing w:line="530" w:lineRule="exact"/>
        <w:ind w:right="424" w:firstLine="570"/>
        <w:jc w:val="righ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（供应商公章）</w:t>
      </w:r>
    </w:p>
    <w:p w14:paraId="17D17787">
      <w:pPr>
        <w:tabs>
          <w:tab w:val="left" w:pos="6300"/>
        </w:tabs>
        <w:snapToGrid w:val="0"/>
        <w:spacing w:line="500" w:lineRule="exact"/>
        <w:ind w:firstLine="7680" w:firstLineChars="3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年   月   日</w:t>
      </w:r>
    </w:p>
    <w:p w14:paraId="37CD6206">
      <w:pPr>
        <w:tabs>
          <w:tab w:val="left" w:pos="6300"/>
        </w:tabs>
        <w:snapToGrid w:val="0"/>
        <w:spacing w:line="500" w:lineRule="exact"/>
        <w:ind w:right="424" w:firstLine="570"/>
        <w:jc w:val="right"/>
        <w:rPr>
          <w:rFonts w:hint="eastAsia" w:ascii="仿宋" w:hAnsi="仿宋" w:eastAsia="仿宋" w:cs="仿宋"/>
          <w:color w:val="auto"/>
          <w:sz w:val="24"/>
          <w:szCs w:val="24"/>
          <w:highlight w:val="none"/>
        </w:rPr>
      </w:pPr>
    </w:p>
    <w:p w14:paraId="1ECF29A7">
      <w:pPr>
        <w:tabs>
          <w:tab w:val="left" w:pos="6300"/>
        </w:tabs>
        <w:snapToGrid w:val="0"/>
        <w:spacing w:line="500" w:lineRule="exact"/>
        <w:ind w:right="1680"/>
        <w:rPr>
          <w:rFonts w:hint="eastAsia" w:ascii="仿宋" w:hAnsi="仿宋" w:eastAsia="仿宋"/>
          <w:color w:val="auto"/>
          <w:sz w:val="24"/>
          <w:highlight w:val="none"/>
        </w:rPr>
      </w:pPr>
    </w:p>
    <w:p w14:paraId="2548BEDF">
      <w:pPr>
        <w:tabs>
          <w:tab w:val="left" w:pos="6300"/>
        </w:tabs>
        <w:snapToGrid w:val="0"/>
        <w:spacing w:line="360" w:lineRule="auto"/>
        <w:ind w:firstLine="560" w:firstLineChars="200"/>
        <w:rPr>
          <w:rFonts w:hint="eastAsia" w:ascii="仿宋" w:hAnsi="仿宋" w:eastAsia="仿宋"/>
          <w:color w:val="auto"/>
          <w:sz w:val="24"/>
          <w:szCs w:val="24"/>
          <w:highlight w:val="none"/>
        </w:rPr>
      </w:pPr>
      <w:r>
        <w:rPr>
          <w:rFonts w:ascii="仿宋" w:hAnsi="仿宋" w:eastAsia="仿宋"/>
          <w:color w:val="auto"/>
          <w:highlight w:val="none"/>
        </w:rPr>
        <w:br w:type="page"/>
      </w:r>
    </w:p>
    <w:p w14:paraId="4A4CA9C0">
      <w:pPr>
        <w:rPr>
          <w:rFonts w:hint="eastAsia" w:ascii="仿宋" w:hAnsi="仿宋" w:eastAsia="仿宋"/>
          <w:color w:val="auto"/>
          <w:sz w:val="24"/>
          <w:szCs w:val="24"/>
          <w:highlight w:val="none"/>
        </w:rPr>
      </w:pPr>
      <w:bookmarkStart w:id="136" w:name="_Toc14422"/>
      <w:r>
        <w:rPr>
          <w:rFonts w:hint="eastAsia" w:ascii="仿宋" w:hAnsi="仿宋" w:eastAsia="仿宋"/>
          <w:color w:val="auto"/>
          <w:sz w:val="24"/>
          <w:szCs w:val="24"/>
          <w:highlight w:val="none"/>
        </w:rPr>
        <w:t>（五）特定资格条件证明文件（如果有）</w:t>
      </w:r>
    </w:p>
    <w:p w14:paraId="4A5383A9">
      <w:pPr>
        <w:pStyle w:val="5"/>
        <w:spacing w:before="0" w:after="0" w:line="360" w:lineRule="auto"/>
        <w:rPr>
          <w:rFonts w:hint="eastAsia" w:ascii="仿宋" w:hAnsi="仿宋" w:eastAsia="仿宋"/>
          <w:color w:val="auto"/>
          <w:sz w:val="24"/>
          <w:szCs w:val="24"/>
          <w:highlight w:val="none"/>
        </w:rPr>
      </w:pPr>
      <w:r>
        <w:rPr>
          <w:rFonts w:ascii="仿宋" w:hAnsi="仿宋" w:eastAsia="仿宋"/>
          <w:b w:val="0"/>
          <w:color w:val="auto"/>
          <w:sz w:val="28"/>
          <w:highlight w:val="none"/>
        </w:rPr>
        <w:br w:type="page"/>
      </w:r>
      <w:bookmarkStart w:id="137" w:name="_Toc15318"/>
      <w:bookmarkStart w:id="138" w:name="_Toc13964"/>
      <w:r>
        <w:rPr>
          <w:rFonts w:hint="eastAsia" w:ascii="仿宋" w:hAnsi="仿宋" w:eastAsia="仿宋"/>
          <w:color w:val="auto"/>
          <w:sz w:val="24"/>
          <w:szCs w:val="24"/>
          <w:highlight w:val="none"/>
        </w:rPr>
        <w:t>五、其他应提供的资料</w:t>
      </w:r>
      <w:bookmarkEnd w:id="136"/>
      <w:bookmarkEnd w:id="137"/>
      <w:bookmarkEnd w:id="138"/>
    </w:p>
    <w:p w14:paraId="27BA6978">
      <w:pPr>
        <w:snapToGrid w:val="0"/>
        <w:spacing w:line="400" w:lineRule="exact"/>
        <w:ind w:firstLine="480" w:firstLineChars="200"/>
        <w:rPr>
          <w:rFonts w:hint="eastAsia" w:ascii="仿宋" w:hAnsi="仿宋" w:eastAsia="仿宋"/>
          <w:color w:val="auto"/>
          <w:sz w:val="24"/>
          <w:szCs w:val="24"/>
          <w:highlight w:val="none"/>
        </w:rPr>
      </w:pPr>
      <w:r>
        <w:rPr>
          <w:rFonts w:hint="eastAsia" w:ascii="仿宋" w:hAnsi="仿宋" w:eastAsia="仿宋"/>
          <w:color w:val="auto"/>
          <w:sz w:val="24"/>
          <w:szCs w:val="24"/>
          <w:highlight w:val="none"/>
        </w:rPr>
        <w:t>其他与项目有关的资料（自附）</w:t>
      </w:r>
    </w:p>
    <w:p w14:paraId="67901324">
      <w:pPr>
        <w:pStyle w:val="78"/>
        <w:rPr>
          <w:rFonts w:hint="eastAsia" w:ascii="仿宋" w:hAnsi="仿宋" w:eastAsia="仿宋"/>
          <w:color w:val="auto"/>
          <w:sz w:val="24"/>
          <w:szCs w:val="24"/>
          <w:highlight w:val="none"/>
        </w:rPr>
      </w:pPr>
    </w:p>
    <w:p w14:paraId="2097643B">
      <w:pPr>
        <w:pStyle w:val="78"/>
        <w:rPr>
          <w:rFonts w:hint="eastAsia" w:ascii="仿宋" w:hAnsi="仿宋" w:eastAsia="仿宋"/>
          <w:color w:val="auto"/>
          <w:sz w:val="24"/>
          <w:szCs w:val="24"/>
          <w:highlight w:val="none"/>
        </w:rPr>
      </w:pPr>
    </w:p>
    <w:p w14:paraId="317F47C0">
      <w:pPr>
        <w:pStyle w:val="78"/>
        <w:rPr>
          <w:rFonts w:hint="eastAsia" w:ascii="仿宋" w:hAnsi="仿宋" w:eastAsia="仿宋"/>
          <w:color w:val="auto"/>
          <w:sz w:val="24"/>
          <w:szCs w:val="24"/>
          <w:highlight w:val="none"/>
        </w:rPr>
      </w:pPr>
    </w:p>
    <w:p w14:paraId="4917CFBB">
      <w:pPr>
        <w:pStyle w:val="78"/>
        <w:rPr>
          <w:rFonts w:hint="eastAsia" w:ascii="仿宋" w:hAnsi="仿宋" w:eastAsia="仿宋"/>
          <w:color w:val="auto"/>
          <w:sz w:val="24"/>
          <w:szCs w:val="24"/>
          <w:highlight w:val="none"/>
        </w:rPr>
      </w:pPr>
    </w:p>
    <w:p w14:paraId="54B00511">
      <w:pPr>
        <w:pStyle w:val="78"/>
        <w:rPr>
          <w:rFonts w:hint="eastAsia" w:ascii="仿宋" w:hAnsi="仿宋" w:eastAsia="仿宋"/>
          <w:color w:val="auto"/>
          <w:sz w:val="24"/>
          <w:szCs w:val="24"/>
          <w:highlight w:val="none"/>
        </w:rPr>
      </w:pPr>
    </w:p>
    <w:p w14:paraId="2AA68C89">
      <w:pPr>
        <w:pStyle w:val="78"/>
        <w:rPr>
          <w:rFonts w:hint="eastAsia" w:ascii="仿宋" w:hAnsi="仿宋" w:eastAsia="仿宋"/>
          <w:color w:val="auto"/>
          <w:sz w:val="24"/>
          <w:szCs w:val="24"/>
          <w:highlight w:val="none"/>
        </w:rPr>
      </w:pPr>
    </w:p>
    <w:p w14:paraId="2686E1AE">
      <w:pPr>
        <w:pStyle w:val="78"/>
        <w:rPr>
          <w:rFonts w:hint="eastAsia" w:ascii="仿宋" w:hAnsi="仿宋" w:eastAsia="仿宋"/>
          <w:color w:val="auto"/>
          <w:sz w:val="24"/>
          <w:szCs w:val="24"/>
          <w:highlight w:val="none"/>
        </w:rPr>
      </w:pPr>
    </w:p>
    <w:p w14:paraId="3B88F951">
      <w:pPr>
        <w:pStyle w:val="78"/>
        <w:rPr>
          <w:rFonts w:hint="eastAsia" w:ascii="仿宋" w:hAnsi="仿宋" w:eastAsia="仿宋"/>
          <w:color w:val="auto"/>
          <w:sz w:val="24"/>
          <w:szCs w:val="24"/>
          <w:highlight w:val="none"/>
        </w:rPr>
      </w:pPr>
    </w:p>
    <w:p w14:paraId="667442E1">
      <w:pPr>
        <w:pStyle w:val="78"/>
        <w:rPr>
          <w:rFonts w:hint="eastAsia" w:ascii="仿宋" w:hAnsi="仿宋" w:eastAsia="仿宋"/>
          <w:color w:val="auto"/>
          <w:sz w:val="24"/>
          <w:szCs w:val="24"/>
          <w:highlight w:val="none"/>
        </w:rPr>
      </w:pPr>
    </w:p>
    <w:p w14:paraId="6F9541CF">
      <w:pPr>
        <w:pStyle w:val="78"/>
        <w:rPr>
          <w:rFonts w:hint="eastAsia" w:ascii="仿宋" w:hAnsi="仿宋" w:eastAsia="仿宋"/>
          <w:color w:val="auto"/>
          <w:sz w:val="24"/>
          <w:szCs w:val="24"/>
          <w:highlight w:val="none"/>
        </w:rPr>
      </w:pPr>
    </w:p>
    <w:p w14:paraId="3974B73B">
      <w:pPr>
        <w:pStyle w:val="78"/>
        <w:rPr>
          <w:rFonts w:hint="eastAsia" w:ascii="仿宋" w:hAnsi="仿宋" w:eastAsia="仿宋"/>
          <w:color w:val="auto"/>
          <w:sz w:val="24"/>
          <w:szCs w:val="24"/>
          <w:highlight w:val="none"/>
        </w:rPr>
      </w:pPr>
    </w:p>
    <w:p w14:paraId="4A633D9D">
      <w:pPr>
        <w:pStyle w:val="78"/>
        <w:rPr>
          <w:rFonts w:hint="eastAsia" w:ascii="仿宋" w:hAnsi="仿宋" w:eastAsia="仿宋"/>
          <w:color w:val="auto"/>
          <w:sz w:val="24"/>
          <w:szCs w:val="24"/>
          <w:highlight w:val="none"/>
        </w:rPr>
      </w:pPr>
    </w:p>
    <w:p w14:paraId="4D8837BD">
      <w:pPr>
        <w:pStyle w:val="78"/>
        <w:rPr>
          <w:rFonts w:hint="eastAsia" w:ascii="仿宋" w:hAnsi="仿宋" w:eastAsia="仿宋"/>
          <w:color w:val="auto"/>
          <w:sz w:val="24"/>
          <w:szCs w:val="24"/>
          <w:highlight w:val="none"/>
        </w:rPr>
      </w:pPr>
    </w:p>
    <w:p w14:paraId="7752F1D4">
      <w:pPr>
        <w:pStyle w:val="78"/>
        <w:rPr>
          <w:rFonts w:hint="eastAsia" w:ascii="仿宋" w:hAnsi="仿宋" w:eastAsia="仿宋"/>
          <w:color w:val="auto"/>
          <w:sz w:val="24"/>
          <w:szCs w:val="24"/>
          <w:highlight w:val="none"/>
        </w:rPr>
      </w:pPr>
    </w:p>
    <w:p w14:paraId="1FF91E32">
      <w:pPr>
        <w:pStyle w:val="78"/>
        <w:rPr>
          <w:rFonts w:hint="eastAsia" w:ascii="仿宋" w:hAnsi="仿宋" w:eastAsia="仿宋"/>
          <w:color w:val="auto"/>
          <w:sz w:val="24"/>
          <w:szCs w:val="24"/>
          <w:highlight w:val="none"/>
        </w:rPr>
      </w:pPr>
    </w:p>
    <w:p w14:paraId="38034ACB">
      <w:pPr>
        <w:pStyle w:val="78"/>
        <w:rPr>
          <w:rFonts w:hint="eastAsia" w:ascii="仿宋" w:hAnsi="仿宋" w:eastAsia="仿宋"/>
          <w:color w:val="auto"/>
          <w:sz w:val="24"/>
          <w:szCs w:val="24"/>
          <w:highlight w:val="none"/>
        </w:rPr>
      </w:pPr>
    </w:p>
    <w:p w14:paraId="62C88BC3">
      <w:pPr>
        <w:pStyle w:val="78"/>
        <w:rPr>
          <w:rFonts w:hint="eastAsia" w:ascii="仿宋" w:hAnsi="仿宋" w:eastAsia="仿宋"/>
          <w:color w:val="auto"/>
          <w:sz w:val="24"/>
          <w:szCs w:val="24"/>
          <w:highlight w:val="none"/>
        </w:rPr>
      </w:pPr>
    </w:p>
    <w:p w14:paraId="0C2786EE">
      <w:pPr>
        <w:pStyle w:val="78"/>
        <w:rPr>
          <w:rFonts w:hint="eastAsia" w:ascii="仿宋" w:hAnsi="仿宋" w:eastAsia="仿宋"/>
          <w:color w:val="auto"/>
          <w:sz w:val="24"/>
          <w:szCs w:val="24"/>
          <w:highlight w:val="none"/>
        </w:rPr>
      </w:pPr>
    </w:p>
    <w:p w14:paraId="186E3F76">
      <w:pPr>
        <w:pStyle w:val="78"/>
        <w:rPr>
          <w:rFonts w:hint="eastAsia" w:ascii="仿宋" w:hAnsi="仿宋" w:eastAsia="仿宋"/>
          <w:color w:val="auto"/>
          <w:sz w:val="24"/>
          <w:szCs w:val="24"/>
          <w:highlight w:val="none"/>
        </w:rPr>
      </w:pPr>
    </w:p>
    <w:p w14:paraId="0AFF3FEA">
      <w:pPr>
        <w:pStyle w:val="78"/>
        <w:rPr>
          <w:rFonts w:hint="eastAsia" w:ascii="仿宋" w:hAnsi="仿宋" w:eastAsia="仿宋"/>
          <w:color w:val="auto"/>
          <w:sz w:val="24"/>
          <w:szCs w:val="24"/>
          <w:highlight w:val="none"/>
        </w:rPr>
      </w:pPr>
    </w:p>
    <w:p w14:paraId="6F52FBFC">
      <w:pPr>
        <w:pStyle w:val="78"/>
        <w:rPr>
          <w:rFonts w:hint="eastAsia" w:ascii="仿宋" w:hAnsi="仿宋" w:eastAsia="仿宋"/>
          <w:color w:val="auto"/>
          <w:sz w:val="24"/>
          <w:szCs w:val="24"/>
          <w:highlight w:val="none"/>
        </w:rPr>
      </w:pPr>
    </w:p>
    <w:p w14:paraId="4CC482D6">
      <w:pPr>
        <w:pStyle w:val="78"/>
        <w:rPr>
          <w:rFonts w:hint="eastAsia" w:ascii="仿宋" w:hAnsi="仿宋" w:eastAsia="仿宋"/>
          <w:color w:val="auto"/>
          <w:sz w:val="24"/>
          <w:szCs w:val="24"/>
          <w:highlight w:val="none"/>
        </w:rPr>
      </w:pPr>
    </w:p>
    <w:p w14:paraId="5EBA000B">
      <w:pPr>
        <w:pStyle w:val="78"/>
        <w:rPr>
          <w:rFonts w:hint="eastAsia" w:ascii="仿宋" w:hAnsi="仿宋" w:eastAsia="仿宋"/>
          <w:color w:val="auto"/>
          <w:sz w:val="24"/>
          <w:szCs w:val="24"/>
          <w:highlight w:val="none"/>
        </w:rPr>
      </w:pPr>
    </w:p>
    <w:p w14:paraId="6865F9C8">
      <w:pPr>
        <w:pStyle w:val="78"/>
        <w:rPr>
          <w:rFonts w:hint="eastAsia" w:ascii="仿宋" w:hAnsi="仿宋" w:eastAsia="仿宋"/>
          <w:color w:val="auto"/>
          <w:sz w:val="24"/>
          <w:szCs w:val="24"/>
          <w:highlight w:val="none"/>
        </w:rPr>
      </w:pPr>
    </w:p>
    <w:p w14:paraId="3809979D">
      <w:pPr>
        <w:pStyle w:val="78"/>
        <w:rPr>
          <w:rFonts w:hint="eastAsia" w:ascii="仿宋" w:hAnsi="仿宋" w:eastAsia="仿宋"/>
          <w:color w:val="auto"/>
          <w:sz w:val="24"/>
          <w:szCs w:val="24"/>
          <w:highlight w:val="none"/>
        </w:rPr>
      </w:pPr>
    </w:p>
    <w:p w14:paraId="00A3F274">
      <w:pPr>
        <w:pStyle w:val="78"/>
        <w:rPr>
          <w:rFonts w:hint="eastAsia" w:ascii="仿宋" w:hAnsi="仿宋" w:eastAsia="仿宋"/>
          <w:color w:val="auto"/>
          <w:sz w:val="24"/>
          <w:szCs w:val="24"/>
          <w:highlight w:val="none"/>
        </w:rPr>
      </w:pPr>
    </w:p>
    <w:p w14:paraId="63DDB838">
      <w:pPr>
        <w:pStyle w:val="78"/>
        <w:rPr>
          <w:rFonts w:hint="eastAsia" w:ascii="仿宋" w:hAnsi="仿宋" w:eastAsia="仿宋"/>
          <w:color w:val="auto"/>
          <w:sz w:val="24"/>
          <w:szCs w:val="24"/>
          <w:highlight w:val="none"/>
        </w:rPr>
      </w:pPr>
    </w:p>
    <w:p w14:paraId="2E842024">
      <w:pPr>
        <w:pStyle w:val="78"/>
        <w:rPr>
          <w:rFonts w:hint="eastAsia" w:ascii="仿宋" w:hAnsi="仿宋" w:eastAsia="仿宋"/>
          <w:color w:val="auto"/>
          <w:sz w:val="24"/>
          <w:szCs w:val="24"/>
          <w:highlight w:val="none"/>
        </w:rPr>
      </w:pPr>
    </w:p>
    <w:p w14:paraId="72D2A149">
      <w:pPr>
        <w:pStyle w:val="78"/>
        <w:rPr>
          <w:rFonts w:hint="eastAsia" w:ascii="仿宋" w:hAnsi="仿宋" w:eastAsia="仿宋"/>
          <w:color w:val="auto"/>
          <w:sz w:val="24"/>
          <w:szCs w:val="24"/>
          <w:highlight w:val="none"/>
        </w:rPr>
      </w:pPr>
    </w:p>
    <w:p w14:paraId="6DBA3B09">
      <w:pPr>
        <w:pStyle w:val="78"/>
        <w:rPr>
          <w:rFonts w:hint="eastAsia" w:ascii="仿宋" w:hAnsi="仿宋" w:eastAsia="仿宋"/>
          <w:color w:val="auto"/>
          <w:sz w:val="24"/>
          <w:szCs w:val="24"/>
          <w:highlight w:val="none"/>
        </w:rPr>
      </w:pPr>
    </w:p>
    <w:p w14:paraId="2F57BDE4">
      <w:pPr>
        <w:pStyle w:val="78"/>
        <w:rPr>
          <w:rFonts w:hint="eastAsia" w:ascii="仿宋" w:hAnsi="仿宋" w:eastAsia="仿宋"/>
          <w:color w:val="auto"/>
          <w:sz w:val="24"/>
          <w:szCs w:val="24"/>
          <w:highlight w:val="none"/>
        </w:rPr>
      </w:pPr>
    </w:p>
    <w:p w14:paraId="47996291">
      <w:pPr>
        <w:pStyle w:val="78"/>
        <w:rPr>
          <w:rFonts w:hint="eastAsia" w:ascii="仿宋" w:hAnsi="仿宋" w:eastAsia="仿宋"/>
          <w:color w:val="auto"/>
          <w:sz w:val="24"/>
          <w:szCs w:val="24"/>
          <w:highlight w:val="none"/>
        </w:rPr>
      </w:pPr>
    </w:p>
    <w:p w14:paraId="1CF24E6A">
      <w:pPr>
        <w:pStyle w:val="78"/>
        <w:rPr>
          <w:rFonts w:hint="eastAsia" w:ascii="仿宋" w:hAnsi="仿宋" w:eastAsia="仿宋"/>
          <w:color w:val="auto"/>
          <w:sz w:val="24"/>
          <w:szCs w:val="24"/>
          <w:highlight w:val="none"/>
        </w:rPr>
      </w:pPr>
    </w:p>
    <w:p w14:paraId="6DFA01D7">
      <w:pPr>
        <w:pStyle w:val="78"/>
        <w:rPr>
          <w:rFonts w:hint="eastAsia" w:ascii="仿宋" w:hAnsi="仿宋" w:eastAsia="仿宋"/>
          <w:color w:val="auto"/>
          <w:sz w:val="24"/>
          <w:szCs w:val="24"/>
          <w:highlight w:val="none"/>
        </w:rPr>
      </w:pPr>
    </w:p>
    <w:p w14:paraId="6EEAAAC5">
      <w:pPr>
        <w:pStyle w:val="78"/>
        <w:rPr>
          <w:rFonts w:hint="eastAsia" w:ascii="仿宋" w:hAnsi="仿宋" w:eastAsia="仿宋"/>
          <w:color w:val="auto"/>
          <w:sz w:val="24"/>
          <w:szCs w:val="24"/>
          <w:highlight w:val="none"/>
        </w:rPr>
      </w:pPr>
    </w:p>
    <w:p w14:paraId="1B166DB2">
      <w:pPr>
        <w:pStyle w:val="78"/>
        <w:rPr>
          <w:rFonts w:hint="eastAsia" w:ascii="仿宋" w:hAnsi="仿宋" w:eastAsia="仿宋"/>
          <w:color w:val="auto"/>
          <w:sz w:val="24"/>
          <w:szCs w:val="24"/>
          <w:highlight w:val="none"/>
        </w:rPr>
      </w:pPr>
    </w:p>
    <w:p w14:paraId="201232A1">
      <w:pPr>
        <w:pStyle w:val="78"/>
        <w:rPr>
          <w:rFonts w:hint="eastAsia" w:ascii="仿宋" w:hAnsi="仿宋" w:eastAsia="仿宋"/>
          <w:color w:val="auto"/>
          <w:sz w:val="24"/>
          <w:szCs w:val="24"/>
          <w:highlight w:val="none"/>
        </w:rPr>
      </w:pPr>
    </w:p>
    <w:p w14:paraId="6B2D53E2">
      <w:pPr>
        <w:pStyle w:val="78"/>
        <w:rPr>
          <w:rFonts w:hint="eastAsia" w:ascii="仿宋" w:hAnsi="仿宋" w:eastAsia="仿宋"/>
          <w:color w:val="auto"/>
          <w:sz w:val="24"/>
          <w:szCs w:val="24"/>
          <w:highlight w:val="none"/>
        </w:rPr>
      </w:pPr>
    </w:p>
    <w:p w14:paraId="3D19F0D2">
      <w:pPr>
        <w:pStyle w:val="78"/>
        <w:rPr>
          <w:rFonts w:hint="eastAsia" w:ascii="仿宋" w:hAnsi="仿宋" w:eastAsia="仿宋"/>
          <w:color w:val="auto"/>
          <w:sz w:val="24"/>
          <w:szCs w:val="24"/>
          <w:highlight w:val="none"/>
        </w:rPr>
      </w:pPr>
    </w:p>
    <w:p w14:paraId="6EDB484E">
      <w:pPr>
        <w:pStyle w:val="78"/>
        <w:rPr>
          <w:rFonts w:hint="eastAsia" w:ascii="仿宋" w:hAnsi="仿宋" w:eastAsia="仿宋"/>
          <w:color w:val="auto"/>
          <w:sz w:val="24"/>
          <w:szCs w:val="24"/>
          <w:highlight w:val="none"/>
        </w:rPr>
      </w:pPr>
    </w:p>
    <w:p w14:paraId="07BB516B">
      <w:pPr>
        <w:pStyle w:val="78"/>
        <w:rPr>
          <w:rFonts w:hint="eastAsia" w:ascii="仿宋" w:hAnsi="仿宋" w:eastAsia="仿宋"/>
          <w:color w:val="auto"/>
          <w:sz w:val="24"/>
          <w:szCs w:val="24"/>
          <w:highlight w:val="none"/>
        </w:rPr>
      </w:pPr>
    </w:p>
    <w:tbl>
      <w:tblPr>
        <w:tblStyle w:val="63"/>
        <w:tblpPr w:leftFromText="180" w:rightFromText="180" w:vertAnchor="text" w:horzAnchor="page" w:tblpX="2027" w:tblpY="294"/>
        <w:tblOverlap w:val="never"/>
        <w:tblW w:w="0" w:type="auto"/>
        <w:tblInd w:w="0" w:type="dxa"/>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70"/>
        <w:gridCol w:w="1882"/>
        <w:gridCol w:w="1302"/>
        <w:gridCol w:w="3574"/>
      </w:tblGrid>
      <w:tr w14:paraId="3FEEE72D">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PrEx>
        <w:trPr>
          <w:trHeight w:val="922" w:hRule="atLeast"/>
        </w:trPr>
        <w:tc>
          <w:tcPr>
            <w:tcW w:w="1770" w:type="dxa"/>
            <w:vAlign w:val="center"/>
          </w:tcPr>
          <w:p w14:paraId="3DE25C7B">
            <w:pPr>
              <w:jc w:val="center"/>
              <w:rPr>
                <w:color w:val="auto"/>
                <w:sz w:val="30"/>
                <w:szCs w:val="30"/>
                <w:highlight w:val="none"/>
              </w:rPr>
            </w:pPr>
            <w:r>
              <w:rPr>
                <w:rFonts w:hint="eastAsia"/>
                <w:color w:val="auto"/>
                <w:sz w:val="30"/>
                <w:szCs w:val="30"/>
                <w:highlight w:val="none"/>
              </w:rPr>
              <w:t>项目名称</w:t>
            </w:r>
          </w:p>
        </w:tc>
        <w:tc>
          <w:tcPr>
            <w:tcW w:w="6758" w:type="dxa"/>
            <w:gridSpan w:val="3"/>
            <w:vAlign w:val="center"/>
          </w:tcPr>
          <w:p w14:paraId="1EDB2ACE">
            <w:pPr>
              <w:jc w:val="center"/>
              <w:rPr>
                <w:color w:val="auto"/>
                <w:sz w:val="30"/>
                <w:szCs w:val="30"/>
                <w:highlight w:val="none"/>
              </w:rPr>
            </w:pPr>
            <w:r>
              <w:rPr>
                <w:rFonts w:hint="eastAsia"/>
                <w:color w:val="auto"/>
                <w:sz w:val="30"/>
                <w:szCs w:val="30"/>
                <w:highlight w:val="none"/>
              </w:rPr>
              <w:t xml:space="preserve"> </w:t>
            </w:r>
          </w:p>
        </w:tc>
      </w:tr>
      <w:tr w14:paraId="7D2E4BE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557" w:hRule="atLeast"/>
        </w:trPr>
        <w:tc>
          <w:tcPr>
            <w:tcW w:w="1770" w:type="dxa"/>
            <w:vAlign w:val="center"/>
          </w:tcPr>
          <w:p w14:paraId="7797B8CF">
            <w:pPr>
              <w:jc w:val="center"/>
              <w:rPr>
                <w:color w:val="auto"/>
                <w:sz w:val="30"/>
                <w:szCs w:val="30"/>
                <w:highlight w:val="none"/>
              </w:rPr>
            </w:pPr>
            <w:r>
              <w:rPr>
                <w:rFonts w:hint="eastAsia"/>
                <w:color w:val="auto"/>
                <w:sz w:val="30"/>
                <w:szCs w:val="30"/>
                <w:highlight w:val="none"/>
              </w:rPr>
              <w:t>供</w:t>
            </w:r>
            <w:r>
              <w:rPr>
                <w:color w:val="auto"/>
                <w:sz w:val="30"/>
                <w:szCs w:val="30"/>
                <w:highlight w:val="none"/>
              </w:rPr>
              <w:t>应商</w:t>
            </w:r>
            <w:r>
              <w:rPr>
                <w:rFonts w:hint="eastAsia"/>
                <w:color w:val="auto"/>
                <w:sz w:val="30"/>
                <w:szCs w:val="30"/>
                <w:highlight w:val="none"/>
              </w:rPr>
              <w:t>名称</w:t>
            </w:r>
          </w:p>
        </w:tc>
        <w:tc>
          <w:tcPr>
            <w:tcW w:w="6758" w:type="dxa"/>
            <w:gridSpan w:val="3"/>
            <w:vAlign w:val="bottom"/>
          </w:tcPr>
          <w:p w14:paraId="2A342351">
            <w:pPr>
              <w:jc w:val="right"/>
              <w:rPr>
                <w:color w:val="auto"/>
                <w:sz w:val="30"/>
                <w:szCs w:val="30"/>
                <w:highlight w:val="none"/>
              </w:rPr>
            </w:pPr>
          </w:p>
          <w:p w14:paraId="465FDBE7">
            <w:pPr>
              <w:jc w:val="right"/>
              <w:rPr>
                <w:color w:val="auto"/>
                <w:sz w:val="30"/>
                <w:szCs w:val="30"/>
                <w:highlight w:val="none"/>
              </w:rPr>
            </w:pPr>
          </w:p>
          <w:p w14:paraId="139E0DF7">
            <w:pPr>
              <w:jc w:val="right"/>
              <w:rPr>
                <w:color w:val="auto"/>
                <w:sz w:val="30"/>
                <w:szCs w:val="30"/>
                <w:highlight w:val="none"/>
              </w:rPr>
            </w:pPr>
          </w:p>
          <w:p w14:paraId="7BF49D5C">
            <w:pPr>
              <w:jc w:val="right"/>
              <w:rPr>
                <w:color w:val="auto"/>
                <w:sz w:val="30"/>
                <w:szCs w:val="30"/>
                <w:highlight w:val="none"/>
              </w:rPr>
            </w:pPr>
          </w:p>
          <w:p w14:paraId="052FF166">
            <w:pPr>
              <w:jc w:val="right"/>
              <w:rPr>
                <w:color w:val="auto"/>
                <w:sz w:val="30"/>
                <w:szCs w:val="30"/>
                <w:highlight w:val="none"/>
              </w:rPr>
            </w:pPr>
            <w:r>
              <w:rPr>
                <w:rFonts w:hint="eastAsia"/>
                <w:color w:val="auto"/>
                <w:sz w:val="30"/>
                <w:szCs w:val="30"/>
                <w:highlight w:val="none"/>
              </w:rPr>
              <w:t>（供应商公章）</w:t>
            </w:r>
          </w:p>
        </w:tc>
      </w:tr>
      <w:tr w14:paraId="651E900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66" w:hRule="atLeast"/>
        </w:trPr>
        <w:tc>
          <w:tcPr>
            <w:tcW w:w="1770" w:type="dxa"/>
            <w:vAlign w:val="center"/>
          </w:tcPr>
          <w:p w14:paraId="117F80E6">
            <w:pPr>
              <w:jc w:val="center"/>
              <w:rPr>
                <w:color w:val="auto"/>
                <w:sz w:val="30"/>
                <w:szCs w:val="30"/>
                <w:highlight w:val="none"/>
              </w:rPr>
            </w:pPr>
            <w:r>
              <w:rPr>
                <w:rFonts w:hint="eastAsia"/>
                <w:color w:val="auto"/>
                <w:sz w:val="30"/>
                <w:szCs w:val="30"/>
                <w:highlight w:val="none"/>
              </w:rPr>
              <w:t>联系人</w:t>
            </w:r>
          </w:p>
        </w:tc>
        <w:tc>
          <w:tcPr>
            <w:tcW w:w="1882" w:type="dxa"/>
            <w:vAlign w:val="center"/>
          </w:tcPr>
          <w:p w14:paraId="3F6FFB9A">
            <w:pPr>
              <w:jc w:val="left"/>
              <w:rPr>
                <w:color w:val="auto"/>
                <w:sz w:val="30"/>
                <w:szCs w:val="30"/>
                <w:highlight w:val="none"/>
              </w:rPr>
            </w:pPr>
          </w:p>
        </w:tc>
        <w:tc>
          <w:tcPr>
            <w:tcW w:w="1302" w:type="dxa"/>
            <w:vAlign w:val="center"/>
          </w:tcPr>
          <w:p w14:paraId="0052A179">
            <w:pPr>
              <w:jc w:val="left"/>
              <w:rPr>
                <w:color w:val="auto"/>
                <w:sz w:val="30"/>
                <w:szCs w:val="30"/>
                <w:highlight w:val="none"/>
              </w:rPr>
            </w:pPr>
            <w:r>
              <w:rPr>
                <w:rFonts w:hint="eastAsia"/>
                <w:color w:val="auto"/>
                <w:sz w:val="30"/>
                <w:szCs w:val="30"/>
                <w:highlight w:val="none"/>
              </w:rPr>
              <w:t>手机</w:t>
            </w:r>
          </w:p>
        </w:tc>
        <w:tc>
          <w:tcPr>
            <w:tcW w:w="3574" w:type="dxa"/>
            <w:vAlign w:val="center"/>
          </w:tcPr>
          <w:p w14:paraId="06AADECB">
            <w:pPr>
              <w:jc w:val="left"/>
              <w:rPr>
                <w:color w:val="auto"/>
                <w:sz w:val="30"/>
                <w:szCs w:val="30"/>
                <w:highlight w:val="none"/>
              </w:rPr>
            </w:pPr>
          </w:p>
        </w:tc>
      </w:tr>
      <w:tr w14:paraId="585B7D18">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66" w:hRule="atLeast"/>
        </w:trPr>
        <w:tc>
          <w:tcPr>
            <w:tcW w:w="1770" w:type="dxa"/>
            <w:vAlign w:val="center"/>
          </w:tcPr>
          <w:p w14:paraId="2E14104D">
            <w:pPr>
              <w:jc w:val="center"/>
              <w:rPr>
                <w:color w:val="auto"/>
                <w:sz w:val="30"/>
                <w:szCs w:val="30"/>
                <w:highlight w:val="none"/>
              </w:rPr>
            </w:pPr>
            <w:r>
              <w:rPr>
                <w:rFonts w:hint="eastAsia"/>
                <w:color w:val="auto"/>
                <w:sz w:val="30"/>
                <w:szCs w:val="30"/>
                <w:highlight w:val="none"/>
              </w:rPr>
              <w:t>E-mail</w:t>
            </w:r>
          </w:p>
        </w:tc>
        <w:tc>
          <w:tcPr>
            <w:tcW w:w="6758" w:type="dxa"/>
            <w:gridSpan w:val="3"/>
            <w:vAlign w:val="center"/>
          </w:tcPr>
          <w:p w14:paraId="5CE57D61">
            <w:pPr>
              <w:jc w:val="left"/>
              <w:rPr>
                <w:color w:val="auto"/>
                <w:sz w:val="30"/>
                <w:szCs w:val="30"/>
                <w:highlight w:val="none"/>
              </w:rPr>
            </w:pPr>
          </w:p>
          <w:p w14:paraId="4432D9B2">
            <w:pPr>
              <w:jc w:val="left"/>
              <w:rPr>
                <w:color w:val="auto"/>
                <w:sz w:val="30"/>
                <w:szCs w:val="30"/>
                <w:highlight w:val="none"/>
              </w:rPr>
            </w:pPr>
          </w:p>
          <w:p w14:paraId="246E3936">
            <w:pPr>
              <w:jc w:val="left"/>
              <w:rPr>
                <w:color w:val="auto"/>
                <w:sz w:val="30"/>
                <w:szCs w:val="30"/>
                <w:highlight w:val="none"/>
              </w:rPr>
            </w:pPr>
          </w:p>
        </w:tc>
      </w:tr>
      <w:tr w14:paraId="32572B4D">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838" w:hRule="atLeast"/>
        </w:trPr>
        <w:tc>
          <w:tcPr>
            <w:tcW w:w="1770" w:type="dxa"/>
            <w:vAlign w:val="center"/>
          </w:tcPr>
          <w:p w14:paraId="515E79B6">
            <w:pPr>
              <w:jc w:val="center"/>
              <w:rPr>
                <w:color w:val="auto"/>
                <w:sz w:val="30"/>
                <w:szCs w:val="30"/>
                <w:highlight w:val="none"/>
              </w:rPr>
            </w:pPr>
            <w:r>
              <w:rPr>
                <w:rFonts w:hint="eastAsia"/>
                <w:color w:val="auto"/>
                <w:sz w:val="30"/>
                <w:szCs w:val="30"/>
                <w:highlight w:val="none"/>
              </w:rPr>
              <w:t>购买时间</w:t>
            </w:r>
          </w:p>
        </w:tc>
        <w:tc>
          <w:tcPr>
            <w:tcW w:w="6758" w:type="dxa"/>
            <w:gridSpan w:val="3"/>
            <w:vAlign w:val="center"/>
          </w:tcPr>
          <w:p w14:paraId="31E08AF2">
            <w:pPr>
              <w:jc w:val="center"/>
              <w:rPr>
                <w:color w:val="auto"/>
                <w:sz w:val="30"/>
                <w:szCs w:val="30"/>
                <w:highlight w:val="none"/>
              </w:rPr>
            </w:pPr>
            <w:r>
              <w:rPr>
                <w:rFonts w:hint="eastAsia"/>
                <w:color w:val="auto"/>
                <w:sz w:val="30"/>
                <w:szCs w:val="30"/>
                <w:highlight w:val="none"/>
              </w:rPr>
              <w:t>年   月   日</w:t>
            </w:r>
          </w:p>
        </w:tc>
      </w:tr>
      <w:tr w14:paraId="1E26096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846" w:hRule="atLeast"/>
        </w:trPr>
        <w:tc>
          <w:tcPr>
            <w:tcW w:w="1770" w:type="dxa"/>
            <w:vAlign w:val="center"/>
          </w:tcPr>
          <w:p w14:paraId="3C6E7FAB">
            <w:pPr>
              <w:jc w:val="center"/>
              <w:rPr>
                <w:color w:val="auto"/>
                <w:sz w:val="30"/>
                <w:szCs w:val="30"/>
                <w:highlight w:val="none"/>
              </w:rPr>
            </w:pPr>
            <w:r>
              <w:rPr>
                <w:rFonts w:hint="eastAsia"/>
                <w:color w:val="auto"/>
                <w:sz w:val="30"/>
                <w:szCs w:val="30"/>
                <w:highlight w:val="none"/>
              </w:rPr>
              <w:t>文件售价</w:t>
            </w:r>
          </w:p>
        </w:tc>
        <w:tc>
          <w:tcPr>
            <w:tcW w:w="6758" w:type="dxa"/>
            <w:gridSpan w:val="3"/>
            <w:vAlign w:val="center"/>
          </w:tcPr>
          <w:p w14:paraId="6B46EF7F">
            <w:pPr>
              <w:jc w:val="center"/>
              <w:rPr>
                <w:color w:val="auto"/>
                <w:sz w:val="30"/>
                <w:szCs w:val="30"/>
                <w:highlight w:val="none"/>
              </w:rPr>
            </w:pPr>
            <w:r>
              <w:rPr>
                <w:rFonts w:hint="eastAsia"/>
                <w:color w:val="auto"/>
                <w:sz w:val="30"/>
                <w:szCs w:val="30"/>
                <w:highlight w:val="none"/>
              </w:rPr>
              <w:t>人民币：</w:t>
            </w:r>
            <w:r>
              <w:rPr>
                <w:color w:val="auto"/>
                <w:sz w:val="30"/>
                <w:szCs w:val="30"/>
                <w:highlight w:val="none"/>
              </w:rPr>
              <w:t>300</w:t>
            </w:r>
            <w:r>
              <w:rPr>
                <w:rFonts w:hint="eastAsia"/>
                <w:color w:val="auto"/>
                <w:sz w:val="30"/>
                <w:szCs w:val="30"/>
                <w:highlight w:val="none"/>
              </w:rPr>
              <w:t>元/份（售后不退）</w:t>
            </w:r>
          </w:p>
        </w:tc>
      </w:tr>
      <w:tr w14:paraId="6DBB511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trPr>
        <w:tc>
          <w:tcPr>
            <w:tcW w:w="1770" w:type="dxa"/>
            <w:vAlign w:val="center"/>
          </w:tcPr>
          <w:p w14:paraId="03355310">
            <w:pPr>
              <w:jc w:val="center"/>
              <w:rPr>
                <w:color w:val="auto"/>
                <w:sz w:val="30"/>
                <w:szCs w:val="30"/>
                <w:highlight w:val="none"/>
              </w:rPr>
            </w:pPr>
            <w:r>
              <w:rPr>
                <w:rFonts w:hint="eastAsia"/>
                <w:color w:val="auto"/>
                <w:sz w:val="30"/>
                <w:szCs w:val="30"/>
                <w:highlight w:val="none"/>
              </w:rPr>
              <w:t>备注</w:t>
            </w:r>
          </w:p>
        </w:tc>
        <w:tc>
          <w:tcPr>
            <w:tcW w:w="6758" w:type="dxa"/>
            <w:gridSpan w:val="3"/>
            <w:vAlign w:val="center"/>
          </w:tcPr>
          <w:p w14:paraId="15AD760C">
            <w:pPr>
              <w:jc w:val="center"/>
              <w:rPr>
                <w:color w:val="auto"/>
                <w:sz w:val="30"/>
                <w:szCs w:val="30"/>
                <w:highlight w:val="none"/>
              </w:rPr>
            </w:pPr>
          </w:p>
          <w:p w14:paraId="05DF1B91">
            <w:pPr>
              <w:jc w:val="center"/>
              <w:rPr>
                <w:color w:val="auto"/>
                <w:sz w:val="30"/>
                <w:szCs w:val="30"/>
                <w:highlight w:val="none"/>
              </w:rPr>
            </w:pPr>
          </w:p>
          <w:p w14:paraId="473B63A0">
            <w:pPr>
              <w:jc w:val="center"/>
              <w:rPr>
                <w:color w:val="auto"/>
                <w:sz w:val="30"/>
                <w:szCs w:val="30"/>
                <w:highlight w:val="none"/>
              </w:rPr>
            </w:pPr>
          </w:p>
          <w:p w14:paraId="4A9A9098">
            <w:pPr>
              <w:jc w:val="center"/>
              <w:rPr>
                <w:color w:val="auto"/>
                <w:sz w:val="30"/>
                <w:szCs w:val="30"/>
                <w:highlight w:val="none"/>
              </w:rPr>
            </w:pPr>
          </w:p>
          <w:p w14:paraId="2E716533">
            <w:pPr>
              <w:jc w:val="center"/>
              <w:rPr>
                <w:color w:val="auto"/>
                <w:sz w:val="30"/>
                <w:szCs w:val="30"/>
                <w:highlight w:val="none"/>
              </w:rPr>
            </w:pPr>
          </w:p>
          <w:p w14:paraId="38C094ED">
            <w:pPr>
              <w:jc w:val="center"/>
              <w:rPr>
                <w:color w:val="auto"/>
                <w:sz w:val="30"/>
                <w:szCs w:val="30"/>
                <w:highlight w:val="none"/>
              </w:rPr>
            </w:pPr>
          </w:p>
          <w:p w14:paraId="67538562">
            <w:pPr>
              <w:jc w:val="center"/>
              <w:rPr>
                <w:color w:val="auto"/>
                <w:sz w:val="30"/>
                <w:szCs w:val="30"/>
                <w:highlight w:val="none"/>
              </w:rPr>
            </w:pPr>
          </w:p>
        </w:tc>
      </w:tr>
    </w:tbl>
    <w:p w14:paraId="01D52E46">
      <w:pPr>
        <w:pStyle w:val="78"/>
        <w:rPr>
          <w:rFonts w:hint="eastAsia" w:ascii="仿宋" w:hAnsi="仿宋" w:eastAsia="仿宋"/>
          <w:color w:val="auto"/>
          <w:sz w:val="24"/>
          <w:szCs w:val="24"/>
          <w:highlight w:val="none"/>
        </w:rPr>
      </w:pPr>
    </w:p>
    <w:p w14:paraId="4B001E0A">
      <w:pPr>
        <w:pStyle w:val="78"/>
        <w:rPr>
          <w:rFonts w:hint="eastAsia" w:ascii="仿宋" w:hAnsi="仿宋" w:eastAsia="仿宋"/>
          <w:color w:val="auto"/>
          <w:sz w:val="24"/>
          <w:szCs w:val="24"/>
          <w:highlight w:val="none"/>
        </w:rPr>
      </w:pPr>
    </w:p>
    <w:p w14:paraId="33E7DEF0">
      <w:pPr>
        <w:pStyle w:val="78"/>
        <w:rPr>
          <w:rFonts w:hint="eastAsia" w:ascii="仿宋" w:hAnsi="仿宋" w:eastAsia="仿宋"/>
          <w:color w:val="auto"/>
          <w:sz w:val="24"/>
          <w:szCs w:val="24"/>
          <w:highlight w:val="none"/>
        </w:rPr>
      </w:pPr>
    </w:p>
    <w:p w14:paraId="44B75DA5">
      <w:pPr>
        <w:pStyle w:val="78"/>
        <w:rPr>
          <w:rFonts w:hint="eastAsia" w:ascii="仿宋" w:hAnsi="仿宋" w:eastAsia="仿宋"/>
          <w:color w:val="auto"/>
          <w:sz w:val="24"/>
          <w:szCs w:val="24"/>
          <w:highlight w:val="none"/>
        </w:rPr>
      </w:pPr>
    </w:p>
    <w:p w14:paraId="6380AD8C">
      <w:pPr>
        <w:pStyle w:val="78"/>
        <w:rPr>
          <w:rFonts w:hint="eastAsia" w:ascii="仿宋" w:hAnsi="仿宋" w:eastAsia="仿宋"/>
          <w:color w:val="auto"/>
          <w:sz w:val="24"/>
          <w:szCs w:val="24"/>
          <w:highlight w:val="none"/>
        </w:rPr>
      </w:pPr>
    </w:p>
    <w:p w14:paraId="38245A06">
      <w:pPr>
        <w:pStyle w:val="78"/>
        <w:rPr>
          <w:rFonts w:hint="eastAsia" w:ascii="仿宋" w:hAnsi="仿宋" w:eastAsia="仿宋"/>
          <w:color w:val="auto"/>
          <w:sz w:val="24"/>
          <w:szCs w:val="24"/>
          <w:highlight w:val="none"/>
        </w:rPr>
      </w:pPr>
    </w:p>
    <w:p w14:paraId="490A67F0">
      <w:pPr>
        <w:pStyle w:val="78"/>
        <w:rPr>
          <w:rFonts w:hint="eastAsia" w:ascii="仿宋" w:hAnsi="仿宋" w:eastAsia="仿宋"/>
          <w:color w:val="auto"/>
          <w:sz w:val="24"/>
          <w:szCs w:val="24"/>
          <w:highlight w:val="none"/>
        </w:rPr>
      </w:pPr>
    </w:p>
    <w:p w14:paraId="5B073D1D">
      <w:pPr>
        <w:pStyle w:val="78"/>
        <w:rPr>
          <w:rFonts w:hint="eastAsia" w:ascii="仿宋" w:hAnsi="仿宋" w:eastAsia="仿宋"/>
          <w:color w:val="auto"/>
          <w:sz w:val="24"/>
          <w:szCs w:val="24"/>
          <w:highlight w:val="none"/>
        </w:rPr>
      </w:pPr>
    </w:p>
    <w:p w14:paraId="0ACEF162">
      <w:pPr>
        <w:pStyle w:val="78"/>
        <w:rPr>
          <w:rFonts w:hint="eastAsia" w:ascii="仿宋" w:hAnsi="仿宋" w:eastAsia="仿宋"/>
          <w:color w:val="auto"/>
          <w:sz w:val="24"/>
          <w:szCs w:val="24"/>
          <w:highlight w:val="none"/>
        </w:rPr>
      </w:pPr>
    </w:p>
    <w:p w14:paraId="2280BEC2">
      <w:pPr>
        <w:pStyle w:val="78"/>
        <w:rPr>
          <w:rFonts w:hint="eastAsia" w:ascii="仿宋" w:hAnsi="仿宋" w:eastAsia="仿宋"/>
          <w:color w:val="auto"/>
          <w:sz w:val="24"/>
          <w:szCs w:val="24"/>
          <w:highlight w:val="none"/>
        </w:rPr>
      </w:pPr>
    </w:p>
    <w:p w14:paraId="102863E6">
      <w:pPr>
        <w:pStyle w:val="78"/>
        <w:rPr>
          <w:rFonts w:hint="eastAsia" w:ascii="仿宋" w:hAnsi="仿宋" w:eastAsia="仿宋"/>
          <w:color w:val="auto"/>
          <w:sz w:val="24"/>
          <w:szCs w:val="24"/>
          <w:highlight w:val="none"/>
        </w:rPr>
      </w:pPr>
    </w:p>
    <w:p w14:paraId="33EADBDC">
      <w:pPr>
        <w:pStyle w:val="78"/>
        <w:rPr>
          <w:rFonts w:hint="eastAsia" w:ascii="仿宋" w:hAnsi="仿宋" w:eastAsia="仿宋"/>
          <w:color w:val="auto"/>
          <w:sz w:val="24"/>
          <w:szCs w:val="24"/>
          <w:highlight w:val="none"/>
        </w:rPr>
      </w:pPr>
    </w:p>
    <w:p w14:paraId="1C5EA62B">
      <w:pPr>
        <w:pStyle w:val="78"/>
        <w:rPr>
          <w:rFonts w:hint="eastAsia" w:ascii="仿宋" w:hAnsi="仿宋" w:eastAsia="仿宋"/>
          <w:color w:val="auto"/>
          <w:sz w:val="24"/>
          <w:szCs w:val="24"/>
          <w:highlight w:val="none"/>
        </w:rPr>
      </w:pPr>
    </w:p>
    <w:p w14:paraId="142243B9">
      <w:pPr>
        <w:pStyle w:val="78"/>
        <w:rPr>
          <w:rFonts w:hint="eastAsia" w:ascii="仿宋" w:hAnsi="仿宋" w:eastAsia="仿宋"/>
          <w:color w:val="auto"/>
          <w:sz w:val="24"/>
          <w:szCs w:val="24"/>
          <w:highlight w:val="none"/>
        </w:rPr>
      </w:pPr>
    </w:p>
    <w:p w14:paraId="6E8429E0">
      <w:pPr>
        <w:pStyle w:val="78"/>
        <w:rPr>
          <w:rFonts w:hint="eastAsia" w:ascii="仿宋" w:hAnsi="仿宋" w:eastAsia="仿宋"/>
          <w:color w:val="auto"/>
          <w:sz w:val="24"/>
          <w:szCs w:val="24"/>
          <w:highlight w:val="none"/>
        </w:rPr>
      </w:pPr>
    </w:p>
    <w:p w14:paraId="197D0616">
      <w:pPr>
        <w:pStyle w:val="78"/>
        <w:rPr>
          <w:rFonts w:hint="eastAsia" w:ascii="仿宋" w:hAnsi="仿宋" w:eastAsia="仿宋"/>
          <w:color w:val="auto"/>
          <w:sz w:val="24"/>
          <w:szCs w:val="24"/>
          <w:highlight w:val="none"/>
        </w:rPr>
      </w:pPr>
    </w:p>
    <w:p w14:paraId="2672B7A5">
      <w:pPr>
        <w:pStyle w:val="78"/>
        <w:rPr>
          <w:rFonts w:hint="eastAsia" w:ascii="仿宋" w:hAnsi="仿宋" w:eastAsia="仿宋"/>
          <w:color w:val="auto"/>
          <w:sz w:val="24"/>
          <w:szCs w:val="24"/>
          <w:highlight w:val="none"/>
        </w:rPr>
      </w:pPr>
    </w:p>
    <w:p w14:paraId="6306C148">
      <w:pPr>
        <w:pStyle w:val="78"/>
        <w:rPr>
          <w:rFonts w:hint="eastAsia" w:ascii="仿宋" w:hAnsi="仿宋" w:eastAsia="仿宋"/>
          <w:color w:val="auto"/>
          <w:sz w:val="24"/>
          <w:szCs w:val="24"/>
          <w:highlight w:val="none"/>
        </w:rPr>
      </w:pPr>
    </w:p>
    <w:p w14:paraId="23E920B8">
      <w:pPr>
        <w:pStyle w:val="78"/>
        <w:rPr>
          <w:rFonts w:hint="eastAsia" w:ascii="仿宋" w:hAnsi="仿宋" w:eastAsia="仿宋"/>
          <w:color w:val="auto"/>
          <w:sz w:val="24"/>
          <w:szCs w:val="24"/>
          <w:highlight w:val="none"/>
        </w:rPr>
      </w:pPr>
    </w:p>
    <w:p w14:paraId="58FB9A3B">
      <w:pPr>
        <w:pStyle w:val="78"/>
        <w:rPr>
          <w:rFonts w:hint="eastAsia" w:ascii="仿宋" w:hAnsi="仿宋" w:eastAsia="仿宋"/>
          <w:color w:val="auto"/>
          <w:sz w:val="24"/>
          <w:szCs w:val="24"/>
          <w:highlight w:val="none"/>
        </w:rPr>
      </w:pPr>
    </w:p>
    <w:p w14:paraId="77763F51">
      <w:pPr>
        <w:pStyle w:val="78"/>
        <w:rPr>
          <w:rFonts w:hint="eastAsia" w:ascii="仿宋" w:hAnsi="仿宋" w:eastAsia="仿宋"/>
          <w:color w:val="auto"/>
          <w:sz w:val="24"/>
          <w:szCs w:val="24"/>
          <w:highlight w:val="none"/>
        </w:rPr>
      </w:pPr>
    </w:p>
    <w:p w14:paraId="43A371B7">
      <w:pPr>
        <w:pStyle w:val="78"/>
        <w:rPr>
          <w:rFonts w:hint="eastAsia" w:ascii="仿宋" w:hAnsi="仿宋" w:eastAsia="仿宋"/>
          <w:color w:val="auto"/>
          <w:sz w:val="24"/>
          <w:szCs w:val="24"/>
          <w:highlight w:val="none"/>
        </w:rPr>
      </w:pPr>
    </w:p>
    <w:p w14:paraId="392C584C">
      <w:pPr>
        <w:pStyle w:val="78"/>
        <w:rPr>
          <w:rFonts w:hint="eastAsia" w:ascii="仿宋" w:hAnsi="仿宋" w:eastAsia="仿宋"/>
          <w:color w:val="auto"/>
          <w:sz w:val="24"/>
          <w:szCs w:val="24"/>
          <w:highlight w:val="none"/>
        </w:rPr>
      </w:pPr>
    </w:p>
    <w:p w14:paraId="2C2DCADC">
      <w:pPr>
        <w:pStyle w:val="78"/>
        <w:rPr>
          <w:rFonts w:hint="eastAsia" w:ascii="仿宋" w:hAnsi="仿宋" w:eastAsia="仿宋"/>
          <w:color w:val="auto"/>
          <w:sz w:val="24"/>
          <w:szCs w:val="24"/>
          <w:highlight w:val="none"/>
        </w:rPr>
      </w:pPr>
    </w:p>
    <w:p w14:paraId="19D93A8D">
      <w:pPr>
        <w:pStyle w:val="78"/>
        <w:rPr>
          <w:rFonts w:hint="eastAsia" w:ascii="仿宋" w:hAnsi="仿宋" w:eastAsia="仿宋"/>
          <w:color w:val="auto"/>
          <w:sz w:val="24"/>
          <w:szCs w:val="24"/>
          <w:highlight w:val="none"/>
        </w:rPr>
      </w:pPr>
    </w:p>
    <w:p w14:paraId="40E96BE4">
      <w:pPr>
        <w:pStyle w:val="78"/>
        <w:rPr>
          <w:rFonts w:hint="eastAsia" w:ascii="仿宋" w:hAnsi="仿宋" w:eastAsia="仿宋"/>
          <w:color w:val="auto"/>
          <w:sz w:val="24"/>
          <w:szCs w:val="24"/>
          <w:highlight w:val="none"/>
        </w:rPr>
      </w:pPr>
    </w:p>
    <w:p w14:paraId="0D5B3943">
      <w:pPr>
        <w:pStyle w:val="78"/>
        <w:spacing w:line="20" w:lineRule="atLeast"/>
        <w:jc w:val="center"/>
        <w:rPr>
          <w:rFonts w:hint="eastAsia" w:ascii="仿宋" w:hAnsi="仿宋" w:eastAsia="仿宋"/>
          <w:color w:val="auto"/>
          <w:sz w:val="24"/>
          <w:szCs w:val="24"/>
          <w:highlight w:val="none"/>
        </w:rPr>
      </w:pPr>
    </w:p>
    <w:p w14:paraId="4BB43E45">
      <w:pPr>
        <w:pStyle w:val="78"/>
        <w:spacing w:line="20" w:lineRule="atLeast"/>
        <w:jc w:val="center"/>
        <w:rPr>
          <w:rFonts w:hint="eastAsia" w:ascii="仿宋" w:hAnsi="仿宋" w:eastAsia="仿宋"/>
          <w:color w:val="auto"/>
          <w:sz w:val="24"/>
          <w:szCs w:val="24"/>
          <w:highlight w:val="none"/>
        </w:rPr>
      </w:pPr>
    </w:p>
    <w:p w14:paraId="1F5ED400">
      <w:pPr>
        <w:pStyle w:val="78"/>
        <w:spacing w:line="20" w:lineRule="atLeast"/>
        <w:jc w:val="center"/>
        <w:rPr>
          <w:rFonts w:hint="eastAsia" w:ascii="仿宋" w:hAnsi="仿宋" w:eastAsia="仿宋"/>
          <w:color w:val="auto"/>
          <w:sz w:val="24"/>
          <w:szCs w:val="24"/>
          <w:highlight w:val="none"/>
        </w:rPr>
      </w:pPr>
    </w:p>
    <w:p w14:paraId="6C1D1771">
      <w:pPr>
        <w:pStyle w:val="78"/>
        <w:spacing w:line="20" w:lineRule="atLeast"/>
        <w:jc w:val="center"/>
        <w:rPr>
          <w:rFonts w:hint="eastAsia" w:ascii="仿宋" w:hAnsi="仿宋" w:eastAsia="仿宋"/>
          <w:color w:val="auto"/>
          <w:sz w:val="24"/>
          <w:szCs w:val="24"/>
          <w:highlight w:val="none"/>
        </w:rPr>
      </w:pPr>
    </w:p>
    <w:p w14:paraId="27FAC6CE">
      <w:pPr>
        <w:pStyle w:val="78"/>
        <w:spacing w:line="20" w:lineRule="atLeast"/>
        <w:jc w:val="center"/>
        <w:rPr>
          <w:rFonts w:hint="eastAsia" w:ascii="仿宋" w:hAnsi="仿宋" w:eastAsia="仿宋"/>
          <w:color w:val="auto"/>
          <w:sz w:val="24"/>
          <w:szCs w:val="24"/>
          <w:highlight w:val="none"/>
        </w:rPr>
      </w:pPr>
    </w:p>
    <w:p w14:paraId="0EBF8E6F">
      <w:pPr>
        <w:pStyle w:val="78"/>
        <w:spacing w:line="20" w:lineRule="atLeast"/>
        <w:rPr>
          <w:rFonts w:hint="eastAsia" w:ascii="仿宋" w:hAnsi="仿宋" w:eastAsia="仿宋"/>
          <w:color w:val="auto"/>
          <w:sz w:val="24"/>
          <w:szCs w:val="24"/>
          <w:highlight w:val="none"/>
        </w:rPr>
      </w:pPr>
    </w:p>
    <w:p w14:paraId="43D8B484">
      <w:pPr>
        <w:pStyle w:val="78"/>
        <w:spacing w:line="20" w:lineRule="atLeast"/>
        <w:jc w:val="center"/>
        <w:rPr>
          <w:rFonts w:hint="eastAsia" w:ascii="仿宋" w:hAnsi="仿宋" w:eastAsia="仿宋"/>
          <w:color w:val="auto"/>
          <w:sz w:val="24"/>
          <w:szCs w:val="24"/>
          <w:highlight w:val="none"/>
        </w:rPr>
      </w:pPr>
      <w:r>
        <w:rPr>
          <w:rFonts w:hint="eastAsia" w:ascii="仿宋" w:hAnsi="仿宋" w:eastAsia="仿宋"/>
          <w:color w:val="auto"/>
          <w:sz w:val="24"/>
          <w:szCs w:val="24"/>
          <w:highlight w:val="none"/>
        </w:rPr>
        <w:t>（结束）</w:t>
      </w:r>
    </w:p>
    <w:p w14:paraId="795E6DA4">
      <w:pPr>
        <w:pStyle w:val="78"/>
        <w:spacing w:line="20" w:lineRule="atLeast"/>
        <w:jc w:val="center"/>
        <w:rPr>
          <w:rFonts w:hint="eastAsia" w:ascii="仿宋" w:hAnsi="仿宋" w:eastAsia="仿宋"/>
          <w:color w:val="auto"/>
          <w:sz w:val="24"/>
          <w:szCs w:val="24"/>
          <w:highlight w:val="none"/>
        </w:rPr>
      </w:pPr>
    </w:p>
    <w:p w14:paraId="11B74AFA">
      <w:pPr>
        <w:pStyle w:val="78"/>
        <w:spacing w:line="20" w:lineRule="atLeast"/>
        <w:jc w:val="center"/>
        <w:rPr>
          <w:rFonts w:hint="eastAsia" w:ascii="仿宋" w:hAnsi="仿宋" w:eastAsia="仿宋"/>
          <w:color w:val="auto"/>
          <w:sz w:val="24"/>
          <w:szCs w:val="24"/>
          <w:highlight w:val="none"/>
        </w:rPr>
      </w:pPr>
    </w:p>
    <w:p w14:paraId="7C789639">
      <w:pPr>
        <w:pStyle w:val="78"/>
        <w:spacing w:line="20" w:lineRule="atLeast"/>
        <w:jc w:val="center"/>
        <w:rPr>
          <w:rFonts w:hint="eastAsia" w:ascii="仿宋" w:hAnsi="仿宋" w:eastAsia="仿宋"/>
          <w:color w:val="auto"/>
          <w:sz w:val="24"/>
          <w:szCs w:val="24"/>
          <w:highlight w:val="none"/>
        </w:rPr>
      </w:pPr>
    </w:p>
    <w:p w14:paraId="7B050518">
      <w:pPr>
        <w:pStyle w:val="78"/>
        <w:spacing w:line="20" w:lineRule="atLeast"/>
        <w:jc w:val="center"/>
        <w:rPr>
          <w:rFonts w:hint="eastAsia" w:ascii="仿宋" w:hAnsi="仿宋" w:eastAsia="仿宋"/>
          <w:color w:val="auto"/>
          <w:sz w:val="24"/>
          <w:szCs w:val="24"/>
          <w:highlight w:val="none"/>
        </w:rPr>
      </w:pPr>
    </w:p>
    <w:p w14:paraId="19A8D943">
      <w:pPr>
        <w:pStyle w:val="78"/>
        <w:spacing w:line="20" w:lineRule="atLeast"/>
        <w:jc w:val="center"/>
        <w:rPr>
          <w:rFonts w:hint="eastAsia" w:ascii="仿宋" w:hAnsi="仿宋" w:eastAsia="仿宋"/>
          <w:color w:val="auto"/>
          <w:sz w:val="24"/>
          <w:szCs w:val="24"/>
          <w:highlight w:val="none"/>
        </w:rPr>
      </w:pPr>
    </w:p>
    <w:p w14:paraId="33E32110">
      <w:pPr>
        <w:pStyle w:val="78"/>
        <w:spacing w:line="20" w:lineRule="atLeast"/>
        <w:jc w:val="center"/>
        <w:rPr>
          <w:rFonts w:hint="eastAsia" w:ascii="仿宋" w:hAnsi="仿宋" w:eastAsia="仿宋"/>
          <w:color w:val="auto"/>
          <w:sz w:val="24"/>
          <w:szCs w:val="24"/>
          <w:highlight w:val="none"/>
        </w:rPr>
      </w:pPr>
    </w:p>
    <w:p w14:paraId="0E76C874">
      <w:pPr>
        <w:pStyle w:val="78"/>
        <w:spacing w:line="20" w:lineRule="atLeast"/>
        <w:jc w:val="center"/>
        <w:rPr>
          <w:rFonts w:hint="eastAsia" w:ascii="仿宋" w:hAnsi="仿宋" w:eastAsia="仿宋"/>
          <w:color w:val="auto"/>
          <w:sz w:val="24"/>
          <w:szCs w:val="24"/>
          <w:highlight w:val="none"/>
        </w:rPr>
      </w:pPr>
    </w:p>
    <w:p w14:paraId="4BD5922B">
      <w:pPr>
        <w:pStyle w:val="78"/>
        <w:spacing w:line="20" w:lineRule="atLeast"/>
        <w:jc w:val="center"/>
        <w:rPr>
          <w:rFonts w:hint="eastAsia" w:ascii="仿宋" w:hAnsi="仿宋" w:eastAsia="仿宋"/>
          <w:color w:val="auto"/>
          <w:sz w:val="24"/>
          <w:szCs w:val="24"/>
          <w:highlight w:val="none"/>
        </w:rPr>
      </w:pPr>
    </w:p>
    <w:p w14:paraId="28240AB4">
      <w:pPr>
        <w:pStyle w:val="78"/>
        <w:spacing w:line="20" w:lineRule="atLeast"/>
        <w:jc w:val="center"/>
        <w:rPr>
          <w:rFonts w:hint="eastAsia" w:ascii="仿宋" w:hAnsi="仿宋" w:eastAsia="仿宋"/>
          <w:color w:val="auto"/>
          <w:sz w:val="24"/>
          <w:szCs w:val="24"/>
          <w:highlight w:val="none"/>
        </w:rPr>
      </w:pPr>
    </w:p>
    <w:p w14:paraId="09FE6BFE">
      <w:pPr>
        <w:pStyle w:val="78"/>
        <w:spacing w:line="20" w:lineRule="atLeast"/>
        <w:rPr>
          <w:rFonts w:hint="eastAsia" w:ascii="仿宋" w:hAnsi="仿宋" w:eastAsia="仿宋"/>
          <w:color w:val="auto"/>
          <w:sz w:val="24"/>
          <w:szCs w:val="24"/>
          <w:highlight w:val="none"/>
        </w:rPr>
      </w:pPr>
    </w:p>
    <w:sectPr>
      <w:headerReference r:id="rId15" w:type="default"/>
      <w:pgSz w:w="11907" w:h="16840"/>
      <w:pgMar w:top="1134" w:right="1191" w:bottom="1134" w:left="1304" w:header="851" w:footer="992" w:gutter="0"/>
      <w:pgNumType w:fmt="numberInDash"/>
      <w:cols w:space="720" w:num="1"/>
      <w:docGrid w:linePitch="380" w:charSpace="-573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PMingLiU">
    <w:altName w:val="Microsoft JhengHei UI"/>
    <w:panose1 w:val="02010601000101010101"/>
    <w:charset w:val="88"/>
    <w:family w:val="roman"/>
    <w:pitch w:val="default"/>
    <w:sig w:usb0="00000000" w:usb1="00000000" w:usb2="00000016" w:usb3="00000000" w:csb0="00100001" w:csb1="00000000"/>
  </w:font>
  <w:font w:name="Microsoft JhengHei UI">
    <w:panose1 w:val="020B0604030504040204"/>
    <w:charset w:val="88"/>
    <w:family w:val="auto"/>
    <w:pitch w:val="default"/>
    <w:sig w:usb0="000002A7" w:usb1="28CF4400" w:usb2="00000016" w:usb3="00000000" w:csb0="00100009" w:csb1="00000000"/>
  </w:font>
  <w:font w:name="方正仿宋_GBK">
    <w:altName w:val="微软雅黑"/>
    <w:panose1 w:val="02000000000000000000"/>
    <w:charset w:val="86"/>
    <w:family w:val="script"/>
    <w:pitch w:val="default"/>
    <w:sig w:usb0="00000000" w:usb1="00000000" w:usb2="00082016" w:usb3="00000000" w:csb0="00040001" w:csb1="00000000"/>
  </w:font>
  <w:font w:name="微软雅黑">
    <w:panose1 w:val="020B0503020204020204"/>
    <w:charset w:val="86"/>
    <w:family w:val="auto"/>
    <w:pitch w:val="default"/>
    <w:sig w:usb0="80000287" w:usb1="2ACF3C50" w:usb2="00000016" w:usb3="00000000" w:csb0="0004001F" w:csb1="00000000"/>
  </w:font>
  <w:font w:name="Calibri Light">
    <w:panose1 w:val="020F0302020204030204"/>
    <w:charset w:val="00"/>
    <w:family w:val="swiss"/>
    <w:pitch w:val="default"/>
    <w:sig w:usb0="E4002EFF" w:usb1="C000247B" w:usb2="00000009" w:usb3="00000000" w:csb0="200001FF" w:csb1="00000000"/>
  </w:font>
  <w:font w:name="昆仑楷体">
    <w:altName w:val="宋体"/>
    <w:panose1 w:val="00000000000000000000"/>
    <w:charset w:val="86"/>
    <w:family w:val="modern"/>
    <w:pitch w:val="default"/>
    <w:sig w:usb0="00000000" w:usb1="00000000" w:usb2="00000010" w:usb3="00000000" w:csb0="00040000"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Arial Narrow">
    <w:altName w:val="Arial"/>
    <w:panose1 w:val="020B0606020202030204"/>
    <w:charset w:val="00"/>
    <w:family w:val="swiss"/>
    <w:pitch w:val="default"/>
    <w:sig w:usb0="00000000" w:usb1="00000000" w:usb2="00000000" w:usb3="00000000" w:csb0="2000009F" w:csb1="DFD7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00006FF" w:usb1="4000205B" w:usb2="00000010" w:usb3="00000000" w:csb0="2000019F" w:csb1="00000000"/>
  </w:font>
  <w:font w:name="等线">
    <w:panose1 w:val="02010600030101010101"/>
    <w:charset w:val="86"/>
    <w:family w:val="auto"/>
    <w:pitch w:val="default"/>
    <w:sig w:usb0="A00002BF" w:usb1="38CF7CFA" w:usb2="00000016" w:usb3="00000000" w:csb0="0004000F" w:csb1="00000000"/>
  </w:font>
  <w:font w:name="文鼎粗黑">
    <w:altName w:val="黑体"/>
    <w:panose1 w:val="00000000000000000000"/>
    <w:charset w:val="86"/>
    <w:family w:val="modern"/>
    <w:pitch w:val="default"/>
    <w:sig w:usb0="00000000" w:usb1="00000000" w:usb2="00000010" w:usb3="00000000" w:csb0="00040000" w:csb1="00000000"/>
  </w:font>
  <w:font w:name="方正黑体_GBK">
    <w:altName w:val="微软雅黑"/>
    <w:panose1 w:val="03000509000000000000"/>
    <w:charset w:val="86"/>
    <w:family w:val="script"/>
    <w:pitch w:val="default"/>
    <w:sig w:usb0="00000000" w:usb1="00000000" w:usb2="00000000" w:usb3="00000000" w:csb0="00040000" w:csb1="00000000"/>
  </w:font>
  <w:font w:name="Cambria Math">
    <w:panose1 w:val="02040503050406030204"/>
    <w:charset w:val="00"/>
    <w:family w:val="roman"/>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BF9402">
    <w:pPr>
      <w:pStyle w:val="38"/>
      <w:framePr w:wrap="around" w:vAnchor="text" w:hAnchor="margin" w:xAlign="center" w:y="1"/>
      <w:jc w:val="center"/>
      <w:rPr>
        <w:rStyle w:val="67"/>
        <w:rFonts w:ascii="宋体"/>
        <w:sz w:val="21"/>
        <w:szCs w:val="21"/>
      </w:rPr>
    </w:pPr>
    <w:r>
      <w:rPr>
        <w:rFonts w:ascii="宋体"/>
        <w:sz w:val="21"/>
        <w:szCs w:val="21"/>
      </w:rPr>
      <w:fldChar w:fldCharType="begin"/>
    </w:r>
    <w:r>
      <w:rPr>
        <w:rStyle w:val="67"/>
        <w:rFonts w:ascii="宋体"/>
        <w:sz w:val="21"/>
        <w:szCs w:val="21"/>
      </w:rPr>
      <w:instrText xml:space="preserve">PAGE  </w:instrText>
    </w:r>
    <w:r>
      <w:rPr>
        <w:rFonts w:ascii="宋体"/>
        <w:sz w:val="21"/>
        <w:szCs w:val="21"/>
      </w:rPr>
      <w:fldChar w:fldCharType="separate"/>
    </w:r>
    <w:r>
      <w:rPr>
        <w:rStyle w:val="67"/>
        <w:rFonts w:ascii="宋体"/>
        <w:sz w:val="21"/>
        <w:szCs w:val="21"/>
      </w:rPr>
      <w:t>- 2 -</w:t>
    </w:r>
    <w:r>
      <w:rPr>
        <w:rFonts w:ascii="宋体"/>
        <w:sz w:val="21"/>
        <w:szCs w:val="21"/>
      </w:rPr>
      <w:fldChar w:fldCharType="end"/>
    </w:r>
  </w:p>
  <w:p w14:paraId="3043FA56">
    <w:pPr>
      <w:pStyle w:val="3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732D37">
    <w:pPr>
      <w:pStyle w:val="38"/>
      <w:framePr w:wrap="around" w:vAnchor="text" w:hAnchor="margin" w:xAlign="center" w:y="1"/>
      <w:rPr>
        <w:rStyle w:val="67"/>
      </w:rPr>
    </w:pPr>
    <w:r>
      <w:fldChar w:fldCharType="begin"/>
    </w:r>
    <w:r>
      <w:rPr>
        <w:rStyle w:val="67"/>
      </w:rPr>
      <w:instrText xml:space="preserve">PAGE  </w:instrText>
    </w:r>
    <w:r>
      <w:fldChar w:fldCharType="end"/>
    </w:r>
  </w:p>
  <w:p w14:paraId="01915462">
    <w:pPr>
      <w:pStyle w:val="3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F31D46">
    <w:pPr>
      <w:pStyle w:val="38"/>
      <w:framePr w:wrap="around" w:vAnchor="text" w:hAnchor="margin" w:xAlign="center" w:y="1"/>
      <w:rPr>
        <w:rStyle w:val="67"/>
      </w:rPr>
    </w:pPr>
  </w:p>
  <w:p w14:paraId="62296424">
    <w:pPr>
      <w:pStyle w:val="38"/>
      <w:jc w:val="center"/>
      <w:rPr>
        <w:rFonts w:hint="eastAsia" w:ascii="宋体" w:hAnsi="宋体"/>
        <w:sz w:val="28"/>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D998AA">
    <w:pPr>
      <w:pStyle w:val="38"/>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E5BAE32">
                          <w:pPr>
                            <w:pStyle w:val="38"/>
                            <w:rPr>
                              <w:rFonts w:hint="default" w:ascii="Times New Roman" w:hAnsi="Times New Roman" w:eastAsia="宋体" w:cs="Times New Roman"/>
                              <w:sz w:val="28"/>
                              <w:szCs w:val="28"/>
                              <w:lang w:eastAsia="zh-CN"/>
                            </w:rPr>
                          </w:pPr>
                          <w:r>
                            <w:rPr>
                              <w:rFonts w:hint="default" w:ascii="Times New Roman" w:hAnsi="Times New Roman" w:eastAsia="宋体" w:cs="Times New Roman"/>
                              <w:sz w:val="28"/>
                              <w:szCs w:val="28"/>
                              <w:lang w:eastAsia="zh-CN"/>
                            </w:rPr>
                            <w:t>—</w:t>
                          </w:r>
                          <w:r>
                            <w:rPr>
                              <w:rFonts w:hint="eastAsia" w:ascii="Times New Roman" w:hAnsi="Times New Roman" w:eastAsia="宋体" w:cs="Times New Roman"/>
                              <w:sz w:val="28"/>
                              <w:szCs w:val="28"/>
                              <w:lang w:val="en-US" w:eastAsia="zh-CN"/>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11</w:t>
                          </w:r>
                          <w:r>
                            <w:rPr>
                              <w:rFonts w:hint="default" w:ascii="Times New Roman" w:hAnsi="Times New Roman" w:cs="Times New Roman"/>
                              <w:sz w:val="28"/>
                              <w:szCs w:val="28"/>
                            </w:rPr>
                            <w:fldChar w:fldCharType="end"/>
                          </w:r>
                          <w:r>
                            <w:rPr>
                              <w:rFonts w:hint="eastAsia" w:ascii="Times New Roman" w:hAnsi="Times New Roman" w:eastAsia="宋体" w:cs="Times New Roman"/>
                              <w:sz w:val="28"/>
                              <w:szCs w:val="28"/>
                              <w:lang w:val="en-US" w:eastAsia="zh-CN"/>
                            </w:rPr>
                            <w:t xml:space="preserve"> </w:t>
                          </w:r>
                          <w:r>
                            <w:rPr>
                              <w:rFonts w:hint="default" w:ascii="Times New Roman" w:hAnsi="Times New Roman" w:eastAsia="宋体" w:cs="Times New Roman"/>
                              <w:sz w:val="28"/>
                              <w:szCs w:val="28"/>
                              <w:lang w:eastAsia="zh-CN"/>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E5BAE32">
                    <w:pPr>
                      <w:pStyle w:val="38"/>
                      <w:rPr>
                        <w:rFonts w:hint="default" w:ascii="Times New Roman" w:hAnsi="Times New Roman" w:eastAsia="宋体" w:cs="Times New Roman"/>
                        <w:sz w:val="28"/>
                        <w:szCs w:val="28"/>
                        <w:lang w:eastAsia="zh-CN"/>
                      </w:rPr>
                    </w:pPr>
                    <w:r>
                      <w:rPr>
                        <w:rFonts w:hint="default" w:ascii="Times New Roman" w:hAnsi="Times New Roman" w:eastAsia="宋体" w:cs="Times New Roman"/>
                        <w:sz w:val="28"/>
                        <w:szCs w:val="28"/>
                        <w:lang w:eastAsia="zh-CN"/>
                      </w:rPr>
                      <w:t>—</w:t>
                    </w:r>
                    <w:r>
                      <w:rPr>
                        <w:rFonts w:hint="eastAsia" w:ascii="Times New Roman" w:hAnsi="Times New Roman" w:eastAsia="宋体" w:cs="Times New Roman"/>
                        <w:sz w:val="28"/>
                        <w:szCs w:val="28"/>
                        <w:lang w:val="en-US" w:eastAsia="zh-CN"/>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11</w:t>
                    </w:r>
                    <w:r>
                      <w:rPr>
                        <w:rFonts w:hint="default" w:ascii="Times New Roman" w:hAnsi="Times New Roman" w:cs="Times New Roman"/>
                        <w:sz w:val="28"/>
                        <w:szCs w:val="28"/>
                      </w:rPr>
                      <w:fldChar w:fldCharType="end"/>
                    </w:r>
                    <w:r>
                      <w:rPr>
                        <w:rFonts w:hint="eastAsia" w:ascii="Times New Roman" w:hAnsi="Times New Roman" w:eastAsia="宋体" w:cs="Times New Roman"/>
                        <w:sz w:val="28"/>
                        <w:szCs w:val="28"/>
                        <w:lang w:val="en-US" w:eastAsia="zh-CN"/>
                      </w:rPr>
                      <w:t xml:space="preserve"> </w:t>
                    </w:r>
                    <w:r>
                      <w:rPr>
                        <w:rFonts w:hint="default" w:ascii="Times New Roman" w:hAnsi="Times New Roman" w:eastAsia="宋体" w:cs="Times New Roman"/>
                        <w:sz w:val="28"/>
                        <w:szCs w:val="28"/>
                        <w:lang w:eastAsia="zh-CN"/>
                      </w:rPr>
                      <w:t>—</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8D0653">
    <w:pPr>
      <w:pStyle w:val="38"/>
      <w:ind w:right="360"/>
      <w:jc w:val="center"/>
    </w:pPr>
    <w:r>
      <w:fldChar w:fldCharType="begin"/>
    </w:r>
    <w:r>
      <w:rPr>
        <w:rStyle w:val="67"/>
      </w:rPr>
      <w:instrText xml:space="preserve"> PAGE </w:instrText>
    </w:r>
    <w:r>
      <w:fldChar w:fldCharType="separate"/>
    </w:r>
    <w:r>
      <w:rPr>
        <w:rStyle w:val="67"/>
      </w:rPr>
      <w:t>- 31 -</w:t>
    </w:r>
    <w: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FC19D4">
    <w:pPr>
      <w:pStyle w:val="38"/>
      <w:jc w:val="center"/>
      <w:rPr>
        <w:rFonts w:hint="eastAsia" w:ascii="宋体" w:hAnsi="宋体"/>
        <w:sz w:val="21"/>
        <w:szCs w:val="21"/>
      </w:rPr>
    </w:pPr>
    <w:r>
      <w:rPr>
        <w:rFonts w:ascii="宋体" w:hAnsi="宋体"/>
        <w:sz w:val="21"/>
        <w:szCs w:val="21"/>
      </w:rPr>
      <w:fldChar w:fldCharType="begin"/>
    </w:r>
    <w:r>
      <w:rPr>
        <w:rStyle w:val="67"/>
        <w:rFonts w:ascii="宋体" w:hAnsi="宋体"/>
        <w:sz w:val="21"/>
        <w:szCs w:val="21"/>
      </w:rPr>
      <w:instrText xml:space="preserve"> PAGE </w:instrText>
    </w:r>
    <w:r>
      <w:rPr>
        <w:rFonts w:ascii="宋体" w:hAnsi="宋体"/>
        <w:sz w:val="21"/>
        <w:szCs w:val="21"/>
      </w:rPr>
      <w:fldChar w:fldCharType="separate"/>
    </w:r>
    <w:r>
      <w:rPr>
        <w:rStyle w:val="67"/>
        <w:rFonts w:ascii="宋体" w:hAnsi="宋体"/>
        <w:sz w:val="21"/>
        <w:szCs w:val="21"/>
      </w:rPr>
      <w:t>- 44 -</w:t>
    </w:r>
    <w:r>
      <w:rPr>
        <w:rFonts w:ascii="宋体" w:hAnsi="宋体"/>
        <w:sz w:val="21"/>
        <w:szCs w:val="21"/>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ED36F2">
    <w:pPr>
      <w:pStyle w:val="39"/>
      <w:jc w:val="left"/>
      <w:rPr>
        <w:rFonts w:hint="eastAsia" w:ascii="仿宋" w:hAnsi="仿宋" w:eastAsia="仿宋" w:cs="仿宋"/>
        <w:sz w:val="24"/>
        <w:szCs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19A3B5">
    <w:pPr>
      <w:pStyle w:val="39"/>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631FAB">
    <w:pPr>
      <w:pStyle w:val="39"/>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7D1C21">
    <w:pPr>
      <w:pStyle w:val="39"/>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B2B958">
    <w:pPr>
      <w:pStyle w:val="39"/>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0CCFEE">
    <w:pPr>
      <w:pStyle w:val="39"/>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042A82">
    <w:pPr>
      <w:pStyle w:val="39"/>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9"/>
    <w:multiLevelType w:val="multilevel"/>
    <w:tmpl w:val="00000009"/>
    <w:lvl w:ilvl="0" w:tentative="0">
      <w:start w:val="1"/>
      <w:numFmt w:val="upperLetter"/>
      <w:pStyle w:val="180"/>
      <w:suff w:val="nothing"/>
      <w:lvlText w:val="附　录　%1"/>
      <w:lvlJc w:val="left"/>
      <w:pPr>
        <w:ind w:left="0" w:firstLine="0"/>
      </w:pPr>
      <w:rPr>
        <w:rFonts w:hint="eastAsia" w:ascii="黑体" w:hAnsi="Times New Roman" w:eastAsia="黑体"/>
        <w:b w:val="0"/>
        <w:i w:val="0"/>
        <w:sz w:val="21"/>
      </w:rPr>
    </w:lvl>
    <w:lvl w:ilvl="1" w:tentative="0">
      <w:start w:val="1"/>
      <w:numFmt w:val="decimal"/>
      <w:pStyle w:val="198"/>
      <w:suff w:val="nothing"/>
      <w:lvlText w:val="%1.%2　"/>
      <w:lvlJc w:val="left"/>
      <w:pPr>
        <w:ind w:left="210" w:firstLine="0"/>
      </w:pPr>
      <w:rPr>
        <w:rFonts w:hint="eastAsia" w:ascii="黑体" w:hAnsi="Times New Roman" w:eastAsia="黑体"/>
        <w:b w:val="0"/>
        <w:i w:val="0"/>
        <w:spacing w:val="0"/>
        <w:w w:val="100"/>
        <w:kern w:val="21"/>
        <w:sz w:val="21"/>
      </w:rPr>
    </w:lvl>
    <w:lvl w:ilvl="2" w:tentative="0">
      <w:start w:val="1"/>
      <w:numFmt w:val="decimal"/>
      <w:suff w:val="nothing"/>
      <w:lvlText w:val="%1.%2.%3　"/>
      <w:lvlJc w:val="left"/>
      <w:pPr>
        <w:ind w:left="0" w:firstLine="0"/>
      </w:pPr>
      <w:rPr>
        <w:rFonts w:hint="eastAsia" w:ascii="黑体" w:hAnsi="Times New Roman" w:eastAsia="黑体"/>
        <w:b w:val="0"/>
        <w:i w:val="0"/>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1">
    <w:nsid w:val="0000000A"/>
    <w:multiLevelType w:val="multilevel"/>
    <w:tmpl w:val="0000000A"/>
    <w:lvl w:ilvl="0" w:tentative="0">
      <w:start w:val="1"/>
      <w:numFmt w:val="bullet"/>
      <w:pStyle w:val="171"/>
      <w:lvlText w:val=""/>
      <w:lvlJc w:val="left"/>
      <w:pPr>
        <w:tabs>
          <w:tab w:val="left" w:pos="987"/>
        </w:tabs>
        <w:ind w:left="987" w:hanging="420"/>
      </w:pPr>
      <w:rPr>
        <w:rFonts w:hint="default" w:ascii="Wingdings" w:hAnsi="Wingdings"/>
      </w:rPr>
    </w:lvl>
    <w:lvl w:ilvl="1" w:tentative="0">
      <w:start w:val="1"/>
      <w:numFmt w:val="lowerLetter"/>
      <w:lvlText w:val="%2)"/>
      <w:lvlJc w:val="left"/>
      <w:pPr>
        <w:tabs>
          <w:tab w:val="left" w:pos="840"/>
        </w:tabs>
        <w:ind w:left="840" w:hanging="420"/>
      </w:pPr>
    </w:lvl>
    <w:lvl w:ilvl="2" w:tentative="0">
      <w:start w:val="1"/>
      <w:numFmt w:val="decimal"/>
      <w:lvlText w:val="%3、"/>
      <w:lvlJc w:val="left"/>
      <w:pPr>
        <w:tabs>
          <w:tab w:val="left" w:pos="1200"/>
        </w:tabs>
        <w:ind w:left="1200" w:hanging="360"/>
      </w:pPr>
      <w:rPr>
        <w:rFonts w:hint="eastAsia"/>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
    <w:nsid w:val="0000000B"/>
    <w:multiLevelType w:val="singleLevel"/>
    <w:tmpl w:val="0000000B"/>
    <w:lvl w:ilvl="0" w:tentative="0">
      <w:start w:val="1"/>
      <w:numFmt w:val="bullet"/>
      <w:pStyle w:val="187"/>
      <w:lvlText w:val=""/>
      <w:lvlJc w:val="left"/>
      <w:pPr>
        <w:tabs>
          <w:tab w:val="left" w:pos="360"/>
        </w:tabs>
        <w:ind w:left="360" w:hanging="360"/>
      </w:pPr>
      <w:rPr>
        <w:rFonts w:hint="default" w:ascii="Wingdings" w:hAnsi="Wingdings"/>
      </w:rPr>
    </w:lvl>
  </w:abstractNum>
  <w:abstractNum w:abstractNumId="3">
    <w:nsid w:val="0000000D"/>
    <w:multiLevelType w:val="singleLevel"/>
    <w:tmpl w:val="0000000D"/>
    <w:lvl w:ilvl="0" w:tentative="0">
      <w:start w:val="1"/>
      <w:numFmt w:val="bullet"/>
      <w:pStyle w:val="245"/>
      <w:lvlText w:val=""/>
      <w:lvlJc w:val="left"/>
      <w:pPr>
        <w:tabs>
          <w:tab w:val="left" w:pos="1200"/>
        </w:tabs>
        <w:ind w:left="1200" w:hanging="360"/>
      </w:pPr>
      <w:rPr>
        <w:rFonts w:hint="default" w:ascii="Wingdings" w:hAnsi="Wingdings"/>
      </w:rPr>
    </w:lvl>
  </w:abstractNum>
  <w:abstractNum w:abstractNumId="4">
    <w:nsid w:val="0000000E"/>
    <w:multiLevelType w:val="multilevel"/>
    <w:tmpl w:val="0000000E"/>
    <w:lvl w:ilvl="0" w:tentative="0">
      <w:start w:val="1"/>
      <w:numFmt w:val="bullet"/>
      <w:pStyle w:val="149"/>
      <w:lvlText w:val=""/>
      <w:lvlJc w:val="left"/>
      <w:pPr>
        <w:tabs>
          <w:tab w:val="left" w:pos="540"/>
        </w:tabs>
        <w:ind w:left="540" w:firstLine="0"/>
      </w:pPr>
      <w:rPr>
        <w:rFonts w:hint="default" w:ascii="Wingdings" w:hAnsi="Wingdings"/>
        <w:sz w:val="16"/>
      </w:rPr>
    </w:lvl>
    <w:lvl w:ilvl="1" w:tentative="0">
      <w:start w:val="1"/>
      <w:numFmt w:val="bullet"/>
      <w:lvlText w:val=""/>
      <w:lvlJc w:val="left"/>
      <w:pPr>
        <w:tabs>
          <w:tab w:val="left" w:pos="1940"/>
        </w:tabs>
        <w:ind w:left="1940" w:hanging="420"/>
      </w:pPr>
      <w:rPr>
        <w:rFonts w:hint="default" w:ascii="Wingdings" w:hAnsi="Wingdings"/>
      </w:rPr>
    </w:lvl>
    <w:lvl w:ilvl="2" w:tentative="0">
      <w:start w:val="1"/>
      <w:numFmt w:val="bullet"/>
      <w:lvlText w:val=""/>
      <w:lvlJc w:val="left"/>
      <w:pPr>
        <w:tabs>
          <w:tab w:val="left" w:pos="2360"/>
        </w:tabs>
        <w:ind w:left="2360" w:hanging="420"/>
      </w:pPr>
      <w:rPr>
        <w:rFonts w:hint="default" w:ascii="Wingdings" w:hAnsi="Wingdings"/>
      </w:rPr>
    </w:lvl>
    <w:lvl w:ilvl="3" w:tentative="0">
      <w:start w:val="1"/>
      <w:numFmt w:val="bullet"/>
      <w:lvlText w:val=""/>
      <w:lvlJc w:val="left"/>
      <w:pPr>
        <w:tabs>
          <w:tab w:val="left" w:pos="2780"/>
        </w:tabs>
        <w:ind w:left="2780" w:hanging="420"/>
      </w:pPr>
      <w:rPr>
        <w:rFonts w:hint="default" w:ascii="Wingdings" w:hAnsi="Wingdings"/>
      </w:rPr>
    </w:lvl>
    <w:lvl w:ilvl="4" w:tentative="0">
      <w:start w:val="1"/>
      <w:numFmt w:val="bullet"/>
      <w:lvlText w:val=""/>
      <w:lvlJc w:val="left"/>
      <w:pPr>
        <w:tabs>
          <w:tab w:val="left" w:pos="3200"/>
        </w:tabs>
        <w:ind w:left="3200" w:hanging="420"/>
      </w:pPr>
      <w:rPr>
        <w:rFonts w:hint="default" w:ascii="Wingdings" w:hAnsi="Wingdings"/>
      </w:rPr>
    </w:lvl>
    <w:lvl w:ilvl="5" w:tentative="0">
      <w:start w:val="1"/>
      <w:numFmt w:val="bullet"/>
      <w:lvlText w:val=""/>
      <w:lvlJc w:val="left"/>
      <w:pPr>
        <w:tabs>
          <w:tab w:val="left" w:pos="3620"/>
        </w:tabs>
        <w:ind w:left="3620" w:hanging="420"/>
      </w:pPr>
      <w:rPr>
        <w:rFonts w:hint="default" w:ascii="Wingdings" w:hAnsi="Wingdings"/>
      </w:rPr>
    </w:lvl>
    <w:lvl w:ilvl="6" w:tentative="0">
      <w:start w:val="1"/>
      <w:numFmt w:val="bullet"/>
      <w:lvlText w:val=""/>
      <w:lvlJc w:val="left"/>
      <w:pPr>
        <w:tabs>
          <w:tab w:val="left" w:pos="4040"/>
        </w:tabs>
        <w:ind w:left="4040" w:hanging="420"/>
      </w:pPr>
      <w:rPr>
        <w:rFonts w:hint="default" w:ascii="Wingdings" w:hAnsi="Wingdings"/>
      </w:rPr>
    </w:lvl>
    <w:lvl w:ilvl="7" w:tentative="0">
      <w:start w:val="1"/>
      <w:numFmt w:val="bullet"/>
      <w:lvlText w:val=""/>
      <w:lvlJc w:val="left"/>
      <w:pPr>
        <w:tabs>
          <w:tab w:val="left" w:pos="4460"/>
        </w:tabs>
        <w:ind w:left="4460" w:hanging="420"/>
      </w:pPr>
      <w:rPr>
        <w:rFonts w:hint="default" w:ascii="Wingdings" w:hAnsi="Wingdings"/>
      </w:rPr>
    </w:lvl>
    <w:lvl w:ilvl="8" w:tentative="0">
      <w:start w:val="1"/>
      <w:numFmt w:val="bullet"/>
      <w:lvlText w:val=""/>
      <w:lvlJc w:val="left"/>
      <w:pPr>
        <w:tabs>
          <w:tab w:val="left" w:pos="4880"/>
        </w:tabs>
        <w:ind w:left="4880" w:hanging="420"/>
      </w:pPr>
      <w:rPr>
        <w:rFonts w:hint="default" w:ascii="Wingdings" w:hAnsi="Wingdings"/>
      </w:rPr>
    </w:lvl>
  </w:abstractNum>
  <w:abstractNum w:abstractNumId="5">
    <w:nsid w:val="00000010"/>
    <w:multiLevelType w:val="singleLevel"/>
    <w:tmpl w:val="00000010"/>
    <w:lvl w:ilvl="0" w:tentative="0">
      <w:start w:val="1"/>
      <w:numFmt w:val="bullet"/>
      <w:pStyle w:val="179"/>
      <w:lvlText w:val=""/>
      <w:lvlJc w:val="left"/>
      <w:pPr>
        <w:tabs>
          <w:tab w:val="left" w:pos="1620"/>
        </w:tabs>
        <w:ind w:left="1620" w:hanging="360"/>
      </w:pPr>
      <w:rPr>
        <w:rFonts w:hint="default" w:ascii="Wingdings" w:hAnsi="Wingdings"/>
      </w:rPr>
    </w:lvl>
  </w:abstractNum>
  <w:abstractNum w:abstractNumId="6">
    <w:nsid w:val="00000011"/>
    <w:multiLevelType w:val="multilevel"/>
    <w:tmpl w:val="00000011"/>
    <w:lvl w:ilvl="0" w:tentative="0">
      <w:start w:val="1"/>
      <w:numFmt w:val="decimal"/>
      <w:pStyle w:val="209"/>
      <w:lvlText w:val="（%1）"/>
      <w:lvlJc w:val="left"/>
      <w:pPr>
        <w:tabs>
          <w:tab w:val="left" w:pos="1230"/>
        </w:tabs>
        <w:ind w:left="0" w:firstLine="510"/>
      </w:pPr>
      <w:rPr>
        <w:rFonts w:hint="default" w:ascii="Arial" w:hAnsi="Arial"/>
        <w:b w:val="0"/>
        <w:i w:val="0"/>
        <w:sz w:val="24"/>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7">
    <w:nsid w:val="00000012"/>
    <w:multiLevelType w:val="multilevel"/>
    <w:tmpl w:val="00000012"/>
    <w:lvl w:ilvl="0" w:tentative="0">
      <w:start w:val="1"/>
      <w:numFmt w:val="bullet"/>
      <w:pStyle w:val="225"/>
      <w:lvlText w:val=""/>
      <w:lvlJc w:val="left"/>
      <w:pPr>
        <w:tabs>
          <w:tab w:val="left" w:pos="1644"/>
        </w:tabs>
        <w:ind w:left="1644" w:hanging="510"/>
      </w:pPr>
      <w:rPr>
        <w:rFonts w:hint="default" w:ascii="Wingdings" w:hAnsi="Wingdings"/>
        <w:color w:val="auto"/>
        <w:sz w:val="13"/>
        <w:u w:val="none"/>
      </w:rPr>
    </w:lvl>
    <w:lvl w:ilvl="1" w:tentative="0">
      <w:start w:val="1"/>
      <w:numFmt w:val="bullet"/>
      <w:lvlText w:val=""/>
      <w:lvlJc w:val="left"/>
      <w:pPr>
        <w:tabs>
          <w:tab w:val="left" w:pos="840"/>
        </w:tabs>
        <w:ind w:left="840" w:hanging="420"/>
      </w:pPr>
      <w:rPr>
        <w:rFonts w:hint="default" w:ascii="Wingdings" w:hAnsi="Wingdings"/>
        <w:color w:val="auto"/>
        <w:sz w:val="13"/>
        <w:u w:val="none"/>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8">
    <w:nsid w:val="00000013"/>
    <w:multiLevelType w:val="singleLevel"/>
    <w:tmpl w:val="00000013"/>
    <w:lvl w:ilvl="0" w:tentative="0">
      <w:start w:val="1"/>
      <w:numFmt w:val="decimal"/>
      <w:pStyle w:val="14"/>
      <w:lvlText w:val="%1."/>
      <w:lvlJc w:val="left"/>
      <w:pPr>
        <w:tabs>
          <w:tab w:val="left" w:pos="425"/>
        </w:tabs>
        <w:ind w:left="425" w:hanging="425"/>
      </w:pPr>
      <w:rPr>
        <w:rFonts w:hint="default"/>
      </w:rPr>
    </w:lvl>
  </w:abstractNum>
  <w:abstractNum w:abstractNumId="9">
    <w:nsid w:val="00000014"/>
    <w:multiLevelType w:val="singleLevel"/>
    <w:tmpl w:val="00000014"/>
    <w:lvl w:ilvl="0" w:tentative="0">
      <w:start w:val="1"/>
      <w:numFmt w:val="bullet"/>
      <w:pStyle w:val="30"/>
      <w:lvlText w:val=""/>
      <w:lvlJc w:val="left"/>
      <w:pPr>
        <w:tabs>
          <w:tab w:val="left" w:pos="780"/>
        </w:tabs>
        <w:ind w:left="780" w:hanging="360"/>
      </w:pPr>
      <w:rPr>
        <w:rFonts w:hint="default" w:ascii="Wingdings" w:hAnsi="Wingdings"/>
      </w:rPr>
    </w:lvl>
  </w:abstractNum>
  <w:abstractNum w:abstractNumId="10">
    <w:nsid w:val="00000016"/>
    <w:multiLevelType w:val="singleLevel"/>
    <w:tmpl w:val="00000016"/>
    <w:lvl w:ilvl="0" w:tentative="0">
      <w:start w:val="1"/>
      <w:numFmt w:val="decimal"/>
      <w:pStyle w:val="130"/>
      <w:lvlText w:val="%1)"/>
      <w:lvlJc w:val="left"/>
      <w:pPr>
        <w:tabs>
          <w:tab w:val="left" w:pos="425"/>
        </w:tabs>
        <w:ind w:left="425" w:hanging="425"/>
      </w:pPr>
      <w:rPr>
        <w:rFonts w:hint="eastAsia"/>
      </w:rPr>
    </w:lvl>
  </w:abstractNum>
  <w:abstractNum w:abstractNumId="11">
    <w:nsid w:val="00000017"/>
    <w:multiLevelType w:val="multilevel"/>
    <w:tmpl w:val="00000017"/>
    <w:lvl w:ilvl="0" w:tentative="0">
      <w:start w:val="1"/>
      <w:numFmt w:val="chineseCountingThousand"/>
      <w:pStyle w:val="255"/>
      <w:lvlText w:val="%1、"/>
      <w:lvlJc w:val="left"/>
      <w:pPr>
        <w:tabs>
          <w:tab w:val="left" w:pos="7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2">
    <w:nsid w:val="3EBB3C91"/>
    <w:multiLevelType w:val="multilevel"/>
    <w:tmpl w:val="3EBB3C91"/>
    <w:lvl w:ilvl="0" w:tentative="0">
      <w:start w:val="1"/>
      <w:numFmt w:val="chineseCountingThousand"/>
      <w:suff w:val="space"/>
      <w:lvlText w:val="%1. "/>
      <w:lvlJc w:val="left"/>
      <w:pPr>
        <w:ind w:left="907" w:hanging="907"/>
      </w:pPr>
      <w:rPr>
        <w:rFonts w:hint="eastAsia"/>
      </w:rPr>
    </w:lvl>
    <w:lvl w:ilvl="1" w:tentative="0">
      <w:start w:val="1"/>
      <w:numFmt w:val="decimal"/>
      <w:isLgl/>
      <w:suff w:val="space"/>
      <w:lvlText w:val="%1.%2 "/>
      <w:lvlJc w:val="left"/>
      <w:pPr>
        <w:ind w:left="794" w:hanging="794"/>
      </w:pPr>
    </w:lvl>
    <w:lvl w:ilvl="2" w:tentative="0">
      <w:start w:val="0"/>
      <w:numFmt w:val="none"/>
      <w:lvlText w:val=""/>
      <w:lvlJc w:val="left"/>
      <w:pPr>
        <w:tabs>
          <w:tab w:val="left" w:pos="360"/>
        </w:tabs>
      </w:pPr>
    </w:lvl>
    <w:lvl w:ilvl="3" w:tentative="0">
      <w:start w:val="0"/>
      <w:numFmt w:val="none"/>
      <w:lvlText w:val=""/>
      <w:lvlJc w:val="left"/>
      <w:pPr>
        <w:tabs>
          <w:tab w:val="left" w:pos="360"/>
        </w:tabs>
      </w:pPr>
    </w:lvl>
    <w:lvl w:ilvl="4" w:tentative="0">
      <w:start w:val="0"/>
      <w:numFmt w:val="decimal"/>
      <w:pStyle w:val="201"/>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num w:numId="1">
    <w:abstractNumId w:val="8"/>
  </w:num>
  <w:num w:numId="2">
    <w:abstractNumId w:val="9"/>
  </w:num>
  <w:num w:numId="3">
    <w:abstractNumId w:val="10"/>
  </w:num>
  <w:num w:numId="4">
    <w:abstractNumId w:val="4"/>
  </w:num>
  <w:num w:numId="5">
    <w:abstractNumId w:val="1"/>
  </w:num>
  <w:num w:numId="6">
    <w:abstractNumId w:val="5"/>
  </w:num>
  <w:num w:numId="7">
    <w:abstractNumId w:val="0"/>
  </w:num>
  <w:num w:numId="8">
    <w:abstractNumId w:val="2"/>
  </w:num>
  <w:num w:numId="9">
    <w:abstractNumId w:val="12"/>
  </w:num>
  <w:num w:numId="10">
    <w:abstractNumId w:val="6"/>
  </w:num>
  <w:num w:numId="11">
    <w:abstractNumId w:val="7"/>
  </w:num>
  <w:num w:numId="12">
    <w:abstractNumId w:val="3"/>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206050"/>
    <w:rsid w:val="007E4CA5"/>
    <w:rsid w:val="01664743"/>
    <w:rsid w:val="01B82438"/>
    <w:rsid w:val="020A2568"/>
    <w:rsid w:val="025E78B9"/>
    <w:rsid w:val="026E62EF"/>
    <w:rsid w:val="03240DF1"/>
    <w:rsid w:val="032B09E8"/>
    <w:rsid w:val="03A53282"/>
    <w:rsid w:val="04457BA6"/>
    <w:rsid w:val="05170A1B"/>
    <w:rsid w:val="062F11F8"/>
    <w:rsid w:val="081062FE"/>
    <w:rsid w:val="08316D1A"/>
    <w:rsid w:val="083E720D"/>
    <w:rsid w:val="09804B34"/>
    <w:rsid w:val="0A6D5EE7"/>
    <w:rsid w:val="0AB17995"/>
    <w:rsid w:val="0B5D195B"/>
    <w:rsid w:val="0B81389B"/>
    <w:rsid w:val="0BBF0360"/>
    <w:rsid w:val="0C040028"/>
    <w:rsid w:val="0CDA06F5"/>
    <w:rsid w:val="0D272220"/>
    <w:rsid w:val="0D42362D"/>
    <w:rsid w:val="0E3E10C3"/>
    <w:rsid w:val="0EAA4EB7"/>
    <w:rsid w:val="0EBD2E3C"/>
    <w:rsid w:val="0FDA7A1E"/>
    <w:rsid w:val="10390BE8"/>
    <w:rsid w:val="106D2009"/>
    <w:rsid w:val="10A02A15"/>
    <w:rsid w:val="10FC2BA6"/>
    <w:rsid w:val="114C494B"/>
    <w:rsid w:val="125D0492"/>
    <w:rsid w:val="13207E3D"/>
    <w:rsid w:val="144A1F71"/>
    <w:rsid w:val="147E3B44"/>
    <w:rsid w:val="14943C5A"/>
    <w:rsid w:val="14CD18FF"/>
    <w:rsid w:val="154D1E54"/>
    <w:rsid w:val="15584AC8"/>
    <w:rsid w:val="15D860E5"/>
    <w:rsid w:val="1666025D"/>
    <w:rsid w:val="16891BA6"/>
    <w:rsid w:val="16C0190D"/>
    <w:rsid w:val="17451C21"/>
    <w:rsid w:val="177118DD"/>
    <w:rsid w:val="18C90780"/>
    <w:rsid w:val="1959207F"/>
    <w:rsid w:val="195D0A7C"/>
    <w:rsid w:val="1976177A"/>
    <w:rsid w:val="1A9E4EF0"/>
    <w:rsid w:val="1B1A73EC"/>
    <w:rsid w:val="1BB0753E"/>
    <w:rsid w:val="1BC3591D"/>
    <w:rsid w:val="1C255BF2"/>
    <w:rsid w:val="1C347D9F"/>
    <w:rsid w:val="1C4667D7"/>
    <w:rsid w:val="1CBF5FD1"/>
    <w:rsid w:val="1D646B79"/>
    <w:rsid w:val="1FEF4E1F"/>
    <w:rsid w:val="21093CBF"/>
    <w:rsid w:val="219C4B33"/>
    <w:rsid w:val="21A93A5F"/>
    <w:rsid w:val="21D06ED2"/>
    <w:rsid w:val="225D311A"/>
    <w:rsid w:val="233D6034"/>
    <w:rsid w:val="24286B52"/>
    <w:rsid w:val="247F46B0"/>
    <w:rsid w:val="24A26904"/>
    <w:rsid w:val="24E52E58"/>
    <w:rsid w:val="24FF1799"/>
    <w:rsid w:val="253767F1"/>
    <w:rsid w:val="25757B75"/>
    <w:rsid w:val="267A740D"/>
    <w:rsid w:val="268838D8"/>
    <w:rsid w:val="269009DE"/>
    <w:rsid w:val="269C3827"/>
    <w:rsid w:val="28CC3A27"/>
    <w:rsid w:val="28E74987"/>
    <w:rsid w:val="28F53BE0"/>
    <w:rsid w:val="299619DE"/>
    <w:rsid w:val="29CB06AB"/>
    <w:rsid w:val="2A3D2C2B"/>
    <w:rsid w:val="2A4955DA"/>
    <w:rsid w:val="2B5E72FD"/>
    <w:rsid w:val="2C21378D"/>
    <w:rsid w:val="2C363DD6"/>
    <w:rsid w:val="2C8E62CA"/>
    <w:rsid w:val="2CFC0B7C"/>
    <w:rsid w:val="2D8F19F0"/>
    <w:rsid w:val="2E691161"/>
    <w:rsid w:val="2E723A8A"/>
    <w:rsid w:val="30C32114"/>
    <w:rsid w:val="311E37B6"/>
    <w:rsid w:val="315048A2"/>
    <w:rsid w:val="31B373CF"/>
    <w:rsid w:val="32D967FA"/>
    <w:rsid w:val="33432FFF"/>
    <w:rsid w:val="33492641"/>
    <w:rsid w:val="33E10A4D"/>
    <w:rsid w:val="358856A2"/>
    <w:rsid w:val="36162066"/>
    <w:rsid w:val="36BD137C"/>
    <w:rsid w:val="37490FD0"/>
    <w:rsid w:val="3787198A"/>
    <w:rsid w:val="37CB5DA3"/>
    <w:rsid w:val="37E82428"/>
    <w:rsid w:val="38295CCA"/>
    <w:rsid w:val="38AD022B"/>
    <w:rsid w:val="38AF1198"/>
    <w:rsid w:val="392F4087"/>
    <w:rsid w:val="39581830"/>
    <w:rsid w:val="3A2B2B31"/>
    <w:rsid w:val="3A6553B0"/>
    <w:rsid w:val="3AB30718"/>
    <w:rsid w:val="3ADB248C"/>
    <w:rsid w:val="3B286FE0"/>
    <w:rsid w:val="3B2D45F6"/>
    <w:rsid w:val="3C095928"/>
    <w:rsid w:val="3C30439E"/>
    <w:rsid w:val="3D687E03"/>
    <w:rsid w:val="3E06781D"/>
    <w:rsid w:val="3E401741"/>
    <w:rsid w:val="3E510064"/>
    <w:rsid w:val="3E911663"/>
    <w:rsid w:val="3ECD77F5"/>
    <w:rsid w:val="3F040AF2"/>
    <w:rsid w:val="3FAF01D3"/>
    <w:rsid w:val="40E439A9"/>
    <w:rsid w:val="41064298"/>
    <w:rsid w:val="41CA7043"/>
    <w:rsid w:val="41F5553B"/>
    <w:rsid w:val="421F2EEA"/>
    <w:rsid w:val="438150D5"/>
    <w:rsid w:val="439671DC"/>
    <w:rsid w:val="449D0A3E"/>
    <w:rsid w:val="449D459A"/>
    <w:rsid w:val="44DC0F53"/>
    <w:rsid w:val="44E579B8"/>
    <w:rsid w:val="44FF34A7"/>
    <w:rsid w:val="45085EB8"/>
    <w:rsid w:val="4514252F"/>
    <w:rsid w:val="456F454F"/>
    <w:rsid w:val="465C085B"/>
    <w:rsid w:val="46761B7E"/>
    <w:rsid w:val="46B972FF"/>
    <w:rsid w:val="47317A9B"/>
    <w:rsid w:val="47433B5B"/>
    <w:rsid w:val="47536798"/>
    <w:rsid w:val="477D340C"/>
    <w:rsid w:val="47DA45FF"/>
    <w:rsid w:val="494B0A69"/>
    <w:rsid w:val="49AC2D8E"/>
    <w:rsid w:val="49B52245"/>
    <w:rsid w:val="4A622179"/>
    <w:rsid w:val="4B8E07B1"/>
    <w:rsid w:val="4C4B0D80"/>
    <w:rsid w:val="4C583BC9"/>
    <w:rsid w:val="4C885F55"/>
    <w:rsid w:val="4DCB5D3F"/>
    <w:rsid w:val="4DDF789E"/>
    <w:rsid w:val="507B6D1B"/>
    <w:rsid w:val="509B44D5"/>
    <w:rsid w:val="50AA0681"/>
    <w:rsid w:val="51E63A25"/>
    <w:rsid w:val="5215377F"/>
    <w:rsid w:val="52763EC2"/>
    <w:rsid w:val="528172AA"/>
    <w:rsid w:val="528B637A"/>
    <w:rsid w:val="54456651"/>
    <w:rsid w:val="54686973"/>
    <w:rsid w:val="54C85664"/>
    <w:rsid w:val="54C9250E"/>
    <w:rsid w:val="55393C6A"/>
    <w:rsid w:val="55D5086D"/>
    <w:rsid w:val="56617B1E"/>
    <w:rsid w:val="56AF6998"/>
    <w:rsid w:val="570010E5"/>
    <w:rsid w:val="570F1328"/>
    <w:rsid w:val="57177B0E"/>
    <w:rsid w:val="59EC3952"/>
    <w:rsid w:val="5AB154C5"/>
    <w:rsid w:val="5B141DFE"/>
    <w:rsid w:val="5BA40A64"/>
    <w:rsid w:val="5BD4494F"/>
    <w:rsid w:val="5BFE38C4"/>
    <w:rsid w:val="5C7E3078"/>
    <w:rsid w:val="5D1C5001"/>
    <w:rsid w:val="5D2C18F8"/>
    <w:rsid w:val="5D6A36BF"/>
    <w:rsid w:val="5E693A13"/>
    <w:rsid w:val="5EC3645E"/>
    <w:rsid w:val="5F042A70"/>
    <w:rsid w:val="5FB031CA"/>
    <w:rsid w:val="5FCB425A"/>
    <w:rsid w:val="60196D73"/>
    <w:rsid w:val="60522285"/>
    <w:rsid w:val="60A70823"/>
    <w:rsid w:val="60E05AE3"/>
    <w:rsid w:val="61632313"/>
    <w:rsid w:val="62377985"/>
    <w:rsid w:val="62A91FDA"/>
    <w:rsid w:val="63C57572"/>
    <w:rsid w:val="63E91153"/>
    <w:rsid w:val="640B2E77"/>
    <w:rsid w:val="64DE3087"/>
    <w:rsid w:val="652A1A23"/>
    <w:rsid w:val="65D17F1D"/>
    <w:rsid w:val="661701F9"/>
    <w:rsid w:val="66355E66"/>
    <w:rsid w:val="66783C17"/>
    <w:rsid w:val="66D86D74"/>
    <w:rsid w:val="683934DD"/>
    <w:rsid w:val="689618A9"/>
    <w:rsid w:val="68EB3277"/>
    <w:rsid w:val="69180BE9"/>
    <w:rsid w:val="69273147"/>
    <w:rsid w:val="69485F32"/>
    <w:rsid w:val="69771DFD"/>
    <w:rsid w:val="69B1626F"/>
    <w:rsid w:val="6A613604"/>
    <w:rsid w:val="6B5F1CFB"/>
    <w:rsid w:val="6B741AFD"/>
    <w:rsid w:val="6C0B0EF6"/>
    <w:rsid w:val="6C2A5356"/>
    <w:rsid w:val="6E1B25FD"/>
    <w:rsid w:val="6E3A103C"/>
    <w:rsid w:val="6F3959D8"/>
    <w:rsid w:val="702A30A2"/>
    <w:rsid w:val="70470D8B"/>
    <w:rsid w:val="7068380B"/>
    <w:rsid w:val="708446DD"/>
    <w:rsid w:val="708A0FD3"/>
    <w:rsid w:val="70983CE4"/>
    <w:rsid w:val="70A24B63"/>
    <w:rsid w:val="71EF202A"/>
    <w:rsid w:val="72330169"/>
    <w:rsid w:val="72932792"/>
    <w:rsid w:val="730144F2"/>
    <w:rsid w:val="73315396"/>
    <w:rsid w:val="73442C9F"/>
    <w:rsid w:val="73862DC8"/>
    <w:rsid w:val="73A443B5"/>
    <w:rsid w:val="73CE37CB"/>
    <w:rsid w:val="747D5A82"/>
    <w:rsid w:val="74980757"/>
    <w:rsid w:val="75587EE6"/>
    <w:rsid w:val="77414717"/>
    <w:rsid w:val="77626DFA"/>
    <w:rsid w:val="784B0E08"/>
    <w:rsid w:val="79532E9E"/>
    <w:rsid w:val="795A5FDB"/>
    <w:rsid w:val="79FE105C"/>
    <w:rsid w:val="7A9E2E9A"/>
    <w:rsid w:val="7EA1645A"/>
    <w:rsid w:val="7EA4424B"/>
    <w:rsid w:val="7EB729D6"/>
    <w:rsid w:val="7F466EE5"/>
    <w:rsid w:val="7F5C63A8"/>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qFormat="1"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qFormat="1"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unhideWhenUsed="0" w:uiPriority="0" w:semiHidden="0" w:name="List Bullet 5"/>
    <w:lsdException w:qFormat="1" w:unhideWhenUsed="0" w:uiPriority="0" w:semiHidden="0" w:name="List Number 2"/>
    <w:lsdException w:qFormat="1"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qFormat="1" w:unhideWhenUsed="0" w:uiPriority="0" w:semiHidden="0" w:name="List Continue 4"/>
    <w:lsdException w:unhideWhenUsed="0" w:uiPriority="0" w:semiHidden="0" w:name="List Continue 5"/>
    <w:lsdException w:qFormat="1" w:uiPriority="99"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8"/>
      <w:lang w:val="en-US" w:eastAsia="zh-CN" w:bidi="ar-SA"/>
    </w:rPr>
  </w:style>
  <w:style w:type="paragraph" w:styleId="3">
    <w:name w:val="heading 1"/>
    <w:basedOn w:val="1"/>
    <w:next w:val="1"/>
    <w:qFormat/>
    <w:uiPriority w:val="0"/>
    <w:pPr>
      <w:keepNext/>
      <w:snapToGrid w:val="0"/>
      <w:spacing w:line="360" w:lineRule="atLeast"/>
      <w:outlineLvl w:val="0"/>
    </w:pPr>
    <w:rPr>
      <w:rFonts w:ascii="宋体"/>
    </w:rPr>
  </w:style>
  <w:style w:type="paragraph" w:styleId="4">
    <w:name w:val="heading 2"/>
    <w:basedOn w:val="1"/>
    <w:next w:val="1"/>
    <w:link w:val="107"/>
    <w:qFormat/>
    <w:uiPriority w:val="0"/>
    <w:pPr>
      <w:keepNext/>
      <w:keepLines/>
      <w:spacing w:before="260" w:after="260" w:line="413" w:lineRule="auto"/>
      <w:outlineLvl w:val="1"/>
    </w:pPr>
    <w:rPr>
      <w:rFonts w:ascii="Arial" w:hAnsi="Arial" w:eastAsia="黑体"/>
      <w:b/>
      <w:sz w:val="32"/>
    </w:rPr>
  </w:style>
  <w:style w:type="paragraph" w:styleId="5">
    <w:name w:val="heading 3"/>
    <w:basedOn w:val="1"/>
    <w:next w:val="1"/>
    <w:link w:val="111"/>
    <w:qFormat/>
    <w:uiPriority w:val="0"/>
    <w:pPr>
      <w:keepNext/>
      <w:keepLines/>
      <w:spacing w:before="260" w:after="260" w:line="413" w:lineRule="auto"/>
      <w:outlineLvl w:val="2"/>
    </w:pPr>
    <w:rPr>
      <w:b/>
      <w:sz w:val="32"/>
    </w:rPr>
  </w:style>
  <w:style w:type="paragraph" w:styleId="6">
    <w:name w:val="heading 4"/>
    <w:basedOn w:val="1"/>
    <w:next w:val="1"/>
    <w:qFormat/>
    <w:uiPriority w:val="0"/>
    <w:pPr>
      <w:spacing w:before="280" w:after="290" w:line="372" w:lineRule="auto"/>
      <w:outlineLvl w:val="3"/>
    </w:pPr>
  </w:style>
  <w:style w:type="paragraph" w:styleId="7">
    <w:name w:val="heading 5"/>
    <w:basedOn w:val="1"/>
    <w:next w:val="1"/>
    <w:qFormat/>
    <w:uiPriority w:val="0"/>
    <w:pPr>
      <w:keepNext/>
      <w:keepLines/>
      <w:tabs>
        <w:tab w:val="left" w:pos="2551"/>
      </w:tabs>
      <w:spacing w:before="280" w:after="290" w:line="372" w:lineRule="auto"/>
      <w:ind w:left="2551" w:hanging="850"/>
      <w:outlineLvl w:val="4"/>
    </w:pPr>
    <w:rPr>
      <w:b/>
    </w:rPr>
  </w:style>
  <w:style w:type="paragraph" w:styleId="8">
    <w:name w:val="heading 6"/>
    <w:basedOn w:val="1"/>
    <w:next w:val="1"/>
    <w:qFormat/>
    <w:uiPriority w:val="0"/>
    <w:pPr>
      <w:keepNext/>
      <w:keepLines/>
      <w:tabs>
        <w:tab w:val="left" w:pos="1152"/>
      </w:tabs>
      <w:adjustRightInd w:val="0"/>
      <w:snapToGrid w:val="0"/>
      <w:spacing w:before="240" w:after="64" w:line="317" w:lineRule="auto"/>
      <w:ind w:left="1152" w:hanging="1152"/>
      <w:outlineLvl w:val="5"/>
    </w:pPr>
    <w:rPr>
      <w:rFonts w:ascii="Arial" w:hAnsi="Arial" w:eastAsia="黑体"/>
      <w:b/>
      <w:sz w:val="24"/>
    </w:rPr>
  </w:style>
  <w:style w:type="paragraph" w:styleId="9">
    <w:name w:val="heading 7"/>
    <w:basedOn w:val="1"/>
    <w:next w:val="1"/>
    <w:qFormat/>
    <w:uiPriority w:val="0"/>
    <w:pPr>
      <w:keepNext/>
      <w:keepLines/>
      <w:tabs>
        <w:tab w:val="left" w:pos="1296"/>
      </w:tabs>
      <w:adjustRightInd w:val="0"/>
      <w:snapToGrid w:val="0"/>
      <w:spacing w:before="240" w:after="64" w:line="317" w:lineRule="auto"/>
      <w:ind w:left="1296" w:hanging="1296"/>
      <w:outlineLvl w:val="6"/>
    </w:pPr>
    <w:rPr>
      <w:rFonts w:ascii="Arial" w:hAnsi="Arial" w:eastAsia="黑体"/>
      <w:b/>
      <w:sz w:val="24"/>
    </w:rPr>
  </w:style>
  <w:style w:type="paragraph" w:styleId="10">
    <w:name w:val="heading 8"/>
    <w:basedOn w:val="1"/>
    <w:next w:val="1"/>
    <w:qFormat/>
    <w:uiPriority w:val="0"/>
    <w:pPr>
      <w:keepNext/>
      <w:keepLines/>
      <w:tabs>
        <w:tab w:val="left" w:pos="1440"/>
      </w:tabs>
      <w:adjustRightInd w:val="0"/>
      <w:snapToGrid w:val="0"/>
      <w:spacing w:before="240" w:after="64" w:line="317" w:lineRule="auto"/>
      <w:ind w:left="1440" w:hanging="1440"/>
      <w:outlineLvl w:val="7"/>
    </w:pPr>
    <w:rPr>
      <w:rFonts w:ascii="Arial" w:hAnsi="Arial" w:eastAsia="黑体"/>
      <w:b/>
      <w:sz w:val="24"/>
    </w:rPr>
  </w:style>
  <w:style w:type="paragraph" w:styleId="11">
    <w:name w:val="heading 9"/>
    <w:basedOn w:val="1"/>
    <w:next w:val="1"/>
    <w:qFormat/>
    <w:uiPriority w:val="0"/>
    <w:pPr>
      <w:keepNext/>
      <w:keepLines/>
      <w:tabs>
        <w:tab w:val="left" w:pos="1584"/>
      </w:tabs>
      <w:adjustRightInd w:val="0"/>
      <w:snapToGrid w:val="0"/>
      <w:spacing w:before="240" w:after="64" w:line="317" w:lineRule="auto"/>
      <w:ind w:left="1584" w:hanging="1584"/>
      <w:outlineLvl w:val="8"/>
    </w:pPr>
    <w:rPr>
      <w:rFonts w:ascii="Arial" w:hAnsi="Arial" w:eastAsia="黑体"/>
      <w:b/>
      <w:sz w:val="24"/>
    </w:rPr>
  </w:style>
  <w:style w:type="character" w:default="1" w:styleId="65">
    <w:name w:val="Default Paragraph Font"/>
    <w:unhideWhenUsed/>
    <w:qFormat/>
    <w:uiPriority w:val="1"/>
  </w:style>
  <w:style w:type="table" w:default="1" w:styleId="63">
    <w:name w:val="Normal Table"/>
    <w:unhideWhenUsed/>
    <w:qFormat/>
    <w:uiPriority w:val="99"/>
    <w:tblPr>
      <w:tblCellMar>
        <w:top w:w="0" w:type="dxa"/>
        <w:left w:w="108" w:type="dxa"/>
        <w:bottom w:w="0" w:type="dxa"/>
        <w:right w:w="108" w:type="dxa"/>
      </w:tblCellMar>
    </w:tblPr>
  </w:style>
  <w:style w:type="paragraph" w:styleId="2">
    <w:name w:val="table of authorities"/>
    <w:basedOn w:val="1"/>
    <w:next w:val="1"/>
    <w:qFormat/>
    <w:uiPriority w:val="0"/>
    <w:pPr>
      <w:ind w:left="420" w:leftChars="200"/>
    </w:pPr>
  </w:style>
  <w:style w:type="paragraph" w:styleId="12">
    <w:name w:val="List 3"/>
    <w:basedOn w:val="1"/>
    <w:next w:val="1"/>
    <w:qFormat/>
    <w:uiPriority w:val="0"/>
    <w:pPr>
      <w:adjustRightInd w:val="0"/>
      <w:snapToGrid w:val="0"/>
      <w:spacing w:line="360" w:lineRule="auto"/>
      <w:ind w:left="100" w:leftChars="400" w:hanging="200" w:hangingChars="200"/>
    </w:pPr>
    <w:rPr>
      <w:sz w:val="24"/>
    </w:rPr>
  </w:style>
  <w:style w:type="paragraph" w:styleId="13">
    <w:name w:val="toc 7"/>
    <w:basedOn w:val="1"/>
    <w:next w:val="1"/>
    <w:qFormat/>
    <w:uiPriority w:val="0"/>
    <w:pPr>
      <w:ind w:left="2520" w:leftChars="1200"/>
    </w:pPr>
  </w:style>
  <w:style w:type="paragraph" w:styleId="14">
    <w:name w:val="List Number 2"/>
    <w:basedOn w:val="1"/>
    <w:qFormat/>
    <w:uiPriority w:val="0"/>
    <w:pPr>
      <w:numPr>
        <w:ilvl w:val="0"/>
        <w:numId w:val="1"/>
      </w:numPr>
      <w:tabs>
        <w:tab w:val="left" w:pos="780"/>
      </w:tabs>
      <w:spacing w:line="360" w:lineRule="auto"/>
    </w:pPr>
    <w:rPr>
      <w:sz w:val="24"/>
    </w:rPr>
  </w:style>
  <w:style w:type="paragraph" w:styleId="15">
    <w:name w:val="List Bullet 4"/>
    <w:basedOn w:val="1"/>
    <w:qFormat/>
    <w:uiPriority w:val="0"/>
    <w:pPr>
      <w:widowControl/>
      <w:tabs>
        <w:tab w:val="left" w:pos="1134"/>
      </w:tabs>
      <w:adjustRightInd w:val="0"/>
      <w:snapToGrid w:val="0"/>
      <w:spacing w:before="120" w:line="280" w:lineRule="atLeast"/>
      <w:ind w:left="1418" w:hanging="284"/>
      <w:jc w:val="left"/>
    </w:pPr>
    <w:rPr>
      <w:rFonts w:ascii="宋体"/>
      <w:kern w:val="0"/>
      <w:sz w:val="22"/>
    </w:rPr>
  </w:style>
  <w:style w:type="paragraph" w:styleId="16">
    <w:name w:val="Normal Indent"/>
    <w:basedOn w:val="1"/>
    <w:next w:val="17"/>
    <w:qFormat/>
    <w:uiPriority w:val="0"/>
    <w:pPr>
      <w:adjustRightInd w:val="0"/>
      <w:snapToGrid w:val="0"/>
      <w:spacing w:line="360" w:lineRule="auto"/>
      <w:ind w:firstLine="420"/>
    </w:pPr>
    <w:rPr>
      <w:sz w:val="24"/>
    </w:rPr>
  </w:style>
  <w:style w:type="paragraph" w:styleId="17">
    <w:name w:val="Body Text"/>
    <w:basedOn w:val="1"/>
    <w:qFormat/>
    <w:uiPriority w:val="0"/>
    <w:rPr>
      <w:rFonts w:ascii="仿宋_GB2312" w:eastAsia="仿宋_GB2312"/>
      <w:sz w:val="32"/>
    </w:rPr>
  </w:style>
  <w:style w:type="paragraph" w:styleId="18">
    <w:name w:val="caption"/>
    <w:basedOn w:val="1"/>
    <w:next w:val="1"/>
    <w:qFormat/>
    <w:uiPriority w:val="0"/>
    <w:pPr>
      <w:widowControl/>
      <w:tabs>
        <w:tab w:val="left" w:pos="1134"/>
      </w:tabs>
      <w:adjustRightInd w:val="0"/>
      <w:snapToGrid w:val="0"/>
      <w:spacing w:line="280" w:lineRule="atLeast"/>
      <w:jc w:val="left"/>
    </w:pPr>
    <w:rPr>
      <w:rFonts w:eastAsia="PMingLiU"/>
      <w:b/>
      <w:kern w:val="0"/>
      <w:sz w:val="24"/>
      <w:lang w:eastAsia="zh-TW"/>
    </w:rPr>
  </w:style>
  <w:style w:type="paragraph" w:styleId="19">
    <w:name w:val="index 5"/>
    <w:basedOn w:val="1"/>
    <w:next w:val="1"/>
    <w:qFormat/>
    <w:uiPriority w:val="0"/>
    <w:pPr>
      <w:adjustRightInd w:val="0"/>
      <w:snapToGrid w:val="0"/>
      <w:spacing w:line="360" w:lineRule="auto"/>
      <w:jc w:val="center"/>
    </w:pPr>
    <w:rPr>
      <w:rFonts w:ascii="宋体" w:hAnsi="宋体" w:cs="宋体"/>
      <w:bCs/>
      <w:kern w:val="0"/>
      <w:szCs w:val="21"/>
    </w:rPr>
  </w:style>
  <w:style w:type="paragraph" w:styleId="20">
    <w:name w:val="Document Map"/>
    <w:basedOn w:val="1"/>
    <w:qFormat/>
    <w:uiPriority w:val="0"/>
    <w:pPr>
      <w:shd w:val="clear" w:color="auto" w:fill="000080"/>
    </w:pPr>
  </w:style>
  <w:style w:type="paragraph" w:styleId="21">
    <w:name w:val="toa heading"/>
    <w:basedOn w:val="1"/>
    <w:next w:val="1"/>
    <w:qFormat/>
    <w:uiPriority w:val="0"/>
    <w:pPr>
      <w:spacing w:before="120"/>
    </w:pPr>
    <w:rPr>
      <w:rFonts w:ascii="Arial" w:hAnsi="Arial"/>
      <w:sz w:val="24"/>
    </w:rPr>
  </w:style>
  <w:style w:type="paragraph" w:styleId="22">
    <w:name w:val="annotation text"/>
    <w:basedOn w:val="1"/>
    <w:link w:val="88"/>
    <w:qFormat/>
    <w:uiPriority w:val="0"/>
    <w:pPr>
      <w:adjustRightInd w:val="0"/>
      <w:spacing w:line="360" w:lineRule="atLeast"/>
      <w:jc w:val="left"/>
      <w:textAlignment w:val="baseline"/>
    </w:pPr>
    <w:rPr>
      <w:kern w:val="0"/>
      <w:sz w:val="24"/>
    </w:rPr>
  </w:style>
  <w:style w:type="paragraph" w:styleId="23">
    <w:name w:val="Body Text 3"/>
    <w:basedOn w:val="1"/>
    <w:qFormat/>
    <w:uiPriority w:val="0"/>
    <w:pPr>
      <w:adjustRightInd w:val="0"/>
      <w:snapToGrid w:val="0"/>
      <w:spacing w:after="120" w:line="360" w:lineRule="auto"/>
    </w:pPr>
    <w:rPr>
      <w:sz w:val="16"/>
    </w:rPr>
  </w:style>
  <w:style w:type="paragraph" w:styleId="24">
    <w:name w:val="List Bullet 3"/>
    <w:basedOn w:val="1"/>
    <w:qFormat/>
    <w:uiPriority w:val="0"/>
    <w:pPr>
      <w:tabs>
        <w:tab w:val="left" w:pos="1200"/>
      </w:tabs>
      <w:adjustRightInd w:val="0"/>
      <w:snapToGrid w:val="0"/>
      <w:spacing w:line="360" w:lineRule="auto"/>
      <w:ind w:left="1200" w:hanging="360"/>
    </w:pPr>
    <w:rPr>
      <w:sz w:val="24"/>
    </w:rPr>
  </w:style>
  <w:style w:type="paragraph" w:styleId="25">
    <w:name w:val="Body Text Indent"/>
    <w:basedOn w:val="1"/>
    <w:link w:val="90"/>
    <w:qFormat/>
    <w:uiPriority w:val="0"/>
    <w:pPr>
      <w:spacing w:line="700" w:lineRule="exact"/>
      <w:ind w:left="960"/>
    </w:pPr>
    <w:rPr>
      <w:sz w:val="44"/>
    </w:rPr>
  </w:style>
  <w:style w:type="paragraph" w:styleId="26">
    <w:name w:val="List Number 3"/>
    <w:basedOn w:val="1"/>
    <w:qFormat/>
    <w:uiPriority w:val="0"/>
    <w:pPr>
      <w:tabs>
        <w:tab w:val="left" w:pos="2120"/>
      </w:tabs>
      <w:adjustRightInd w:val="0"/>
      <w:snapToGrid w:val="0"/>
      <w:spacing w:line="360" w:lineRule="auto"/>
      <w:ind w:left="2120" w:hanging="720"/>
    </w:pPr>
    <w:rPr>
      <w:sz w:val="24"/>
    </w:rPr>
  </w:style>
  <w:style w:type="paragraph" w:styleId="27">
    <w:name w:val="List 2"/>
    <w:basedOn w:val="1"/>
    <w:qFormat/>
    <w:uiPriority w:val="0"/>
    <w:pPr>
      <w:adjustRightInd w:val="0"/>
      <w:snapToGrid w:val="0"/>
      <w:spacing w:line="360" w:lineRule="auto"/>
      <w:ind w:left="100" w:leftChars="200" w:hanging="200" w:hangingChars="200"/>
    </w:pPr>
    <w:rPr>
      <w:sz w:val="24"/>
    </w:rPr>
  </w:style>
  <w:style w:type="paragraph" w:styleId="28">
    <w:name w:val="List Continue"/>
    <w:basedOn w:val="1"/>
    <w:qFormat/>
    <w:uiPriority w:val="0"/>
    <w:pPr>
      <w:adjustRightInd w:val="0"/>
      <w:snapToGrid w:val="0"/>
      <w:spacing w:after="120" w:line="360" w:lineRule="auto"/>
      <w:ind w:left="420" w:leftChars="200"/>
    </w:pPr>
    <w:rPr>
      <w:sz w:val="24"/>
    </w:rPr>
  </w:style>
  <w:style w:type="paragraph" w:styleId="29">
    <w:name w:val="Block Text"/>
    <w:basedOn w:val="1"/>
    <w:qFormat/>
    <w:uiPriority w:val="0"/>
    <w:pPr>
      <w:spacing w:after="120"/>
      <w:ind w:left="1440" w:leftChars="700" w:right="1440" w:rightChars="700"/>
    </w:pPr>
  </w:style>
  <w:style w:type="paragraph" w:styleId="30">
    <w:name w:val="List Bullet 2"/>
    <w:basedOn w:val="1"/>
    <w:qFormat/>
    <w:uiPriority w:val="0"/>
    <w:pPr>
      <w:numPr>
        <w:ilvl w:val="0"/>
        <w:numId w:val="2"/>
      </w:numPr>
      <w:adjustRightInd w:val="0"/>
      <w:snapToGrid w:val="0"/>
      <w:spacing w:line="360" w:lineRule="auto"/>
    </w:pPr>
    <w:rPr>
      <w:sz w:val="24"/>
    </w:rPr>
  </w:style>
  <w:style w:type="paragraph" w:styleId="31">
    <w:name w:val="toc 5"/>
    <w:basedOn w:val="1"/>
    <w:next w:val="1"/>
    <w:qFormat/>
    <w:uiPriority w:val="0"/>
    <w:pPr>
      <w:ind w:left="1680" w:leftChars="800"/>
    </w:pPr>
  </w:style>
  <w:style w:type="paragraph" w:styleId="32">
    <w:name w:val="toc 3"/>
    <w:basedOn w:val="1"/>
    <w:next w:val="1"/>
    <w:qFormat/>
    <w:uiPriority w:val="39"/>
    <w:pPr>
      <w:ind w:left="840" w:leftChars="400"/>
    </w:pPr>
  </w:style>
  <w:style w:type="paragraph" w:styleId="33">
    <w:name w:val="Plain Text"/>
    <w:basedOn w:val="1"/>
    <w:qFormat/>
    <w:uiPriority w:val="0"/>
    <w:rPr>
      <w:rFonts w:ascii="宋体" w:hAnsi="Courier New"/>
      <w:sz w:val="21"/>
    </w:rPr>
  </w:style>
  <w:style w:type="paragraph" w:styleId="34">
    <w:name w:val="toc 8"/>
    <w:basedOn w:val="1"/>
    <w:next w:val="1"/>
    <w:qFormat/>
    <w:uiPriority w:val="0"/>
    <w:pPr>
      <w:ind w:left="2940" w:leftChars="1400"/>
    </w:pPr>
  </w:style>
  <w:style w:type="paragraph" w:styleId="35">
    <w:name w:val="Date"/>
    <w:basedOn w:val="1"/>
    <w:next w:val="1"/>
    <w:link w:val="116"/>
    <w:qFormat/>
    <w:uiPriority w:val="0"/>
  </w:style>
  <w:style w:type="paragraph" w:styleId="36">
    <w:name w:val="Body Text Indent 2"/>
    <w:basedOn w:val="1"/>
    <w:link w:val="85"/>
    <w:qFormat/>
    <w:uiPriority w:val="0"/>
    <w:pPr>
      <w:snapToGrid w:val="0"/>
      <w:spacing w:line="560" w:lineRule="atLeast"/>
      <w:ind w:firstLine="540"/>
    </w:pPr>
  </w:style>
  <w:style w:type="paragraph" w:styleId="37">
    <w:name w:val="Balloon Text"/>
    <w:basedOn w:val="1"/>
    <w:qFormat/>
    <w:uiPriority w:val="0"/>
    <w:rPr>
      <w:sz w:val="18"/>
    </w:rPr>
  </w:style>
  <w:style w:type="paragraph" w:styleId="38">
    <w:name w:val="footer"/>
    <w:basedOn w:val="1"/>
    <w:link w:val="123"/>
    <w:qFormat/>
    <w:uiPriority w:val="99"/>
    <w:pPr>
      <w:tabs>
        <w:tab w:val="center" w:pos="4153"/>
        <w:tab w:val="right" w:pos="8306"/>
      </w:tabs>
      <w:snapToGrid w:val="0"/>
      <w:jc w:val="left"/>
    </w:pPr>
    <w:rPr>
      <w:sz w:val="18"/>
    </w:rPr>
  </w:style>
  <w:style w:type="paragraph" w:styleId="39">
    <w:name w:val="header"/>
    <w:basedOn w:val="1"/>
    <w:qFormat/>
    <w:uiPriority w:val="0"/>
    <w:pPr>
      <w:pBdr>
        <w:bottom w:val="single" w:color="auto" w:sz="6" w:space="1"/>
      </w:pBdr>
      <w:tabs>
        <w:tab w:val="center" w:pos="4153"/>
        <w:tab w:val="right" w:pos="8306"/>
      </w:tabs>
      <w:snapToGrid w:val="0"/>
      <w:jc w:val="center"/>
    </w:pPr>
    <w:rPr>
      <w:sz w:val="18"/>
    </w:rPr>
  </w:style>
  <w:style w:type="paragraph" w:styleId="40">
    <w:name w:val="toc 1"/>
    <w:basedOn w:val="1"/>
    <w:next w:val="1"/>
    <w:qFormat/>
    <w:uiPriority w:val="39"/>
    <w:pPr>
      <w:spacing w:line="180" w:lineRule="auto"/>
      <w:jc w:val="center"/>
    </w:pPr>
    <w:rPr>
      <w:rFonts w:ascii="Times New Roman" w:hAnsi="Times New Roman" w:eastAsia="方正仿宋_GBK"/>
      <w:sz w:val="24"/>
      <w:szCs w:val="24"/>
    </w:rPr>
  </w:style>
  <w:style w:type="paragraph" w:styleId="41">
    <w:name w:val="List Continue 4"/>
    <w:basedOn w:val="1"/>
    <w:qFormat/>
    <w:uiPriority w:val="0"/>
    <w:pPr>
      <w:adjustRightInd w:val="0"/>
      <w:snapToGrid w:val="0"/>
      <w:spacing w:after="120" w:line="360" w:lineRule="auto"/>
      <w:ind w:left="1680" w:leftChars="800"/>
    </w:pPr>
    <w:rPr>
      <w:sz w:val="24"/>
    </w:rPr>
  </w:style>
  <w:style w:type="paragraph" w:styleId="42">
    <w:name w:val="toc 4"/>
    <w:basedOn w:val="1"/>
    <w:next w:val="1"/>
    <w:qFormat/>
    <w:uiPriority w:val="0"/>
    <w:pPr>
      <w:ind w:left="1260" w:leftChars="600"/>
    </w:pPr>
  </w:style>
  <w:style w:type="paragraph" w:styleId="43">
    <w:name w:val="footnote text"/>
    <w:basedOn w:val="1"/>
    <w:link w:val="96"/>
    <w:qFormat/>
    <w:uiPriority w:val="0"/>
    <w:pPr>
      <w:spacing w:line="360" w:lineRule="auto"/>
    </w:pPr>
    <w:rPr>
      <w:sz w:val="18"/>
    </w:rPr>
  </w:style>
  <w:style w:type="paragraph" w:styleId="44">
    <w:name w:val="toc 6"/>
    <w:basedOn w:val="1"/>
    <w:next w:val="1"/>
    <w:qFormat/>
    <w:uiPriority w:val="0"/>
    <w:pPr>
      <w:ind w:left="2100" w:leftChars="1000"/>
    </w:pPr>
  </w:style>
  <w:style w:type="paragraph" w:styleId="45">
    <w:name w:val="List 5"/>
    <w:basedOn w:val="1"/>
    <w:qFormat/>
    <w:uiPriority w:val="0"/>
    <w:pPr>
      <w:adjustRightInd w:val="0"/>
      <w:snapToGrid w:val="0"/>
      <w:spacing w:line="360" w:lineRule="auto"/>
      <w:ind w:left="100" w:leftChars="800" w:hanging="200" w:hangingChars="200"/>
    </w:pPr>
    <w:rPr>
      <w:sz w:val="24"/>
    </w:rPr>
  </w:style>
  <w:style w:type="paragraph" w:styleId="46">
    <w:name w:val="Body Text Indent 3"/>
    <w:basedOn w:val="1"/>
    <w:qFormat/>
    <w:uiPriority w:val="0"/>
    <w:pPr>
      <w:spacing w:line="360" w:lineRule="auto"/>
      <w:ind w:firstLine="632"/>
    </w:pPr>
    <w:rPr>
      <w:rFonts w:ascii="黑体" w:eastAsia="黑体"/>
    </w:rPr>
  </w:style>
  <w:style w:type="paragraph" w:styleId="47">
    <w:name w:val="index 7"/>
    <w:basedOn w:val="1"/>
    <w:next w:val="1"/>
    <w:qFormat/>
    <w:uiPriority w:val="0"/>
    <w:pPr>
      <w:ind w:left="2520"/>
    </w:pPr>
  </w:style>
  <w:style w:type="paragraph" w:styleId="48">
    <w:name w:val="table of figures"/>
    <w:basedOn w:val="1"/>
    <w:next w:val="1"/>
    <w:qFormat/>
    <w:uiPriority w:val="0"/>
    <w:pPr>
      <w:tabs>
        <w:tab w:val="right" w:leader="dot" w:pos="8640"/>
      </w:tabs>
      <w:spacing w:line="360" w:lineRule="auto"/>
      <w:ind w:left="400" w:hanging="400"/>
    </w:pPr>
    <w:rPr>
      <w:sz w:val="24"/>
    </w:rPr>
  </w:style>
  <w:style w:type="paragraph" w:styleId="49">
    <w:name w:val="toc 2"/>
    <w:basedOn w:val="1"/>
    <w:next w:val="1"/>
    <w:qFormat/>
    <w:uiPriority w:val="39"/>
    <w:pPr>
      <w:ind w:left="420" w:leftChars="200"/>
    </w:pPr>
  </w:style>
  <w:style w:type="paragraph" w:styleId="50">
    <w:name w:val="toc 9"/>
    <w:basedOn w:val="1"/>
    <w:next w:val="1"/>
    <w:qFormat/>
    <w:uiPriority w:val="0"/>
    <w:pPr>
      <w:ind w:left="3360" w:leftChars="1600"/>
    </w:pPr>
  </w:style>
  <w:style w:type="paragraph" w:styleId="51">
    <w:name w:val="Body Text 2"/>
    <w:basedOn w:val="1"/>
    <w:qFormat/>
    <w:uiPriority w:val="0"/>
    <w:pPr>
      <w:adjustRightInd w:val="0"/>
      <w:snapToGrid w:val="0"/>
      <w:spacing w:after="120" w:line="480" w:lineRule="auto"/>
    </w:pPr>
    <w:rPr>
      <w:sz w:val="24"/>
    </w:rPr>
  </w:style>
  <w:style w:type="paragraph" w:styleId="52">
    <w:name w:val="List 4"/>
    <w:basedOn w:val="1"/>
    <w:qFormat/>
    <w:uiPriority w:val="0"/>
    <w:pPr>
      <w:adjustRightInd w:val="0"/>
      <w:snapToGrid w:val="0"/>
      <w:spacing w:line="360" w:lineRule="auto"/>
      <w:ind w:left="100" w:leftChars="600" w:hanging="200" w:hangingChars="200"/>
    </w:pPr>
    <w:rPr>
      <w:sz w:val="24"/>
    </w:rPr>
  </w:style>
  <w:style w:type="paragraph" w:styleId="53">
    <w:name w:val="List Continue 2"/>
    <w:basedOn w:val="1"/>
    <w:qFormat/>
    <w:uiPriority w:val="0"/>
    <w:pPr>
      <w:adjustRightInd w:val="0"/>
      <w:snapToGrid w:val="0"/>
      <w:spacing w:after="120" w:line="360" w:lineRule="auto"/>
      <w:ind w:left="840" w:leftChars="400"/>
    </w:pPr>
    <w:rPr>
      <w:sz w:val="24"/>
    </w:rPr>
  </w:style>
  <w:style w:type="paragraph" w:styleId="54">
    <w:name w:val="Message Header"/>
    <w:basedOn w:val="1"/>
    <w:unhideWhenUsed/>
    <w:qFormat/>
    <w:uiPriority w:val="99"/>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Calibri Light" w:hAnsi="Calibri Light" w:eastAsia="宋体" w:cs="Times New Roman"/>
      <w:sz w:val="24"/>
      <w:szCs w:val="24"/>
    </w:rPr>
  </w:style>
  <w:style w:type="paragraph" w:styleId="55">
    <w:name w:val="HTML Preformatted"/>
    <w:basedOn w:val="1"/>
    <w:qFormat/>
    <w:uiPriority w:val="0"/>
    <w:rPr>
      <w:rFonts w:ascii="Courier New" w:hAnsi="Courier New"/>
      <w:sz w:val="20"/>
    </w:rPr>
  </w:style>
  <w:style w:type="paragraph" w:styleId="56">
    <w:name w:val="Normal (Web)"/>
    <w:basedOn w:val="1"/>
    <w:qFormat/>
    <w:uiPriority w:val="0"/>
    <w:pPr>
      <w:widowControl/>
      <w:spacing w:before="100" w:beforeAutospacing="1" w:after="100" w:afterAutospacing="1"/>
      <w:jc w:val="left"/>
    </w:pPr>
    <w:rPr>
      <w:rFonts w:ascii="宋体" w:hAnsi="宋体"/>
      <w:kern w:val="0"/>
      <w:sz w:val="24"/>
    </w:rPr>
  </w:style>
  <w:style w:type="paragraph" w:styleId="57">
    <w:name w:val="List Continue 3"/>
    <w:basedOn w:val="1"/>
    <w:qFormat/>
    <w:uiPriority w:val="0"/>
    <w:pPr>
      <w:adjustRightInd w:val="0"/>
      <w:snapToGrid w:val="0"/>
      <w:spacing w:after="120" w:line="360" w:lineRule="auto"/>
      <w:ind w:left="1260" w:leftChars="600"/>
    </w:pPr>
    <w:rPr>
      <w:sz w:val="24"/>
    </w:rPr>
  </w:style>
  <w:style w:type="paragraph" w:styleId="58">
    <w:name w:val="index 1"/>
    <w:basedOn w:val="1"/>
    <w:next w:val="1"/>
    <w:qFormat/>
    <w:uiPriority w:val="0"/>
    <w:pPr>
      <w:adjustRightInd w:val="0"/>
      <w:spacing w:line="240" w:lineRule="atLeast"/>
      <w:textAlignment w:val="baseline"/>
    </w:pPr>
    <w:rPr>
      <w:rFonts w:ascii="宋体"/>
      <w:kern w:val="0"/>
      <w:sz w:val="21"/>
    </w:rPr>
  </w:style>
  <w:style w:type="paragraph" w:styleId="59">
    <w:name w:val="Title"/>
    <w:basedOn w:val="1"/>
    <w:next w:val="1"/>
    <w:qFormat/>
    <w:uiPriority w:val="0"/>
    <w:pPr>
      <w:widowControl/>
      <w:spacing w:after="240" w:line="360" w:lineRule="auto"/>
      <w:jc w:val="center"/>
    </w:pPr>
    <w:rPr>
      <w:rFonts w:ascii="Arial" w:hAnsi="Arial"/>
      <w:b/>
      <w:smallCaps/>
      <w:kern w:val="28"/>
      <w:sz w:val="36"/>
      <w:lang w:eastAsia="en-US"/>
    </w:rPr>
  </w:style>
  <w:style w:type="paragraph" w:styleId="60">
    <w:name w:val="annotation subject"/>
    <w:basedOn w:val="22"/>
    <w:next w:val="22"/>
    <w:link w:val="87"/>
    <w:qFormat/>
    <w:uiPriority w:val="0"/>
    <w:pPr>
      <w:adjustRightInd/>
      <w:spacing w:line="240" w:lineRule="auto"/>
      <w:textAlignment w:val="auto"/>
    </w:pPr>
  </w:style>
  <w:style w:type="paragraph" w:styleId="61">
    <w:name w:val="Body Text First Indent"/>
    <w:basedOn w:val="1"/>
    <w:next w:val="12"/>
    <w:qFormat/>
    <w:uiPriority w:val="0"/>
    <w:pPr>
      <w:spacing w:line="360" w:lineRule="auto"/>
      <w:ind w:firstLine="420"/>
    </w:pPr>
    <w:rPr>
      <w:rFonts w:ascii="宋体" w:hAnsi="宋体"/>
      <w:sz w:val="24"/>
    </w:rPr>
  </w:style>
  <w:style w:type="paragraph" w:styleId="62">
    <w:name w:val="Body Text First Indent 2"/>
    <w:basedOn w:val="25"/>
    <w:link w:val="114"/>
    <w:qFormat/>
    <w:uiPriority w:val="0"/>
    <w:pPr>
      <w:spacing w:after="120" w:line="240" w:lineRule="auto"/>
      <w:ind w:left="420" w:leftChars="200" w:firstLine="420" w:firstLineChars="200"/>
    </w:pPr>
  </w:style>
  <w:style w:type="table" w:styleId="64">
    <w:name w:val="Table Grid"/>
    <w:basedOn w:val="63"/>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6">
    <w:name w:val="Strong"/>
    <w:qFormat/>
    <w:uiPriority w:val="0"/>
    <w:rPr>
      <w:b/>
    </w:rPr>
  </w:style>
  <w:style w:type="character" w:styleId="67">
    <w:name w:val="page number"/>
    <w:basedOn w:val="65"/>
    <w:qFormat/>
    <w:uiPriority w:val="0"/>
  </w:style>
  <w:style w:type="character" w:styleId="68">
    <w:name w:val="FollowedHyperlink"/>
    <w:qFormat/>
    <w:uiPriority w:val="0"/>
    <w:rPr>
      <w:color w:val="800080"/>
      <w:u w:val="single"/>
    </w:rPr>
  </w:style>
  <w:style w:type="character" w:styleId="69">
    <w:name w:val="Emphasis"/>
    <w:qFormat/>
    <w:uiPriority w:val="0"/>
    <w:rPr>
      <w:i/>
    </w:rPr>
  </w:style>
  <w:style w:type="character" w:styleId="70">
    <w:name w:val="Hyperlink"/>
    <w:qFormat/>
    <w:uiPriority w:val="99"/>
    <w:rPr>
      <w:color w:val="0000FF"/>
      <w:u w:val="single"/>
    </w:rPr>
  </w:style>
  <w:style w:type="character" w:styleId="71">
    <w:name w:val="annotation reference"/>
    <w:qFormat/>
    <w:uiPriority w:val="0"/>
    <w:rPr>
      <w:sz w:val="21"/>
      <w:szCs w:val="21"/>
    </w:rPr>
  </w:style>
  <w:style w:type="character" w:styleId="72">
    <w:name w:val="footnote reference"/>
    <w:qFormat/>
    <w:uiPriority w:val="0"/>
    <w:rPr>
      <w:position w:val="6"/>
      <w:sz w:val="14"/>
      <w:vertAlign w:val="superscript"/>
    </w:rPr>
  </w:style>
  <w:style w:type="paragraph" w:customStyle="1" w:styleId="73">
    <w:name w:val="Default"/>
    <w:qFormat/>
    <w:uiPriority w:val="0"/>
    <w:pPr>
      <w:widowControl w:val="0"/>
      <w:autoSpaceDE w:val="0"/>
      <w:autoSpaceDN w:val="0"/>
      <w:adjustRightInd w:val="0"/>
    </w:pPr>
    <w:rPr>
      <w:rFonts w:ascii="宋体" w:hAnsi="Calibri" w:eastAsia="宋体" w:cs="Times New Roman"/>
      <w:color w:val="000000"/>
      <w:sz w:val="24"/>
      <w:lang w:val="en-US" w:eastAsia="zh-CN" w:bidi="ar-SA"/>
    </w:rPr>
  </w:style>
  <w:style w:type="paragraph" w:customStyle="1" w:styleId="74">
    <w:name w:val="目录 83"/>
    <w:next w:val="1"/>
    <w:qFormat/>
    <w:uiPriority w:val="0"/>
    <w:pPr>
      <w:wordWrap w:val="0"/>
      <w:ind w:left="2550"/>
      <w:jc w:val="both"/>
    </w:pPr>
    <w:rPr>
      <w:rFonts w:ascii="Times New Roman" w:hAnsi="Times New Roman" w:eastAsia="宋体" w:cs="Times New Roman"/>
      <w:sz w:val="21"/>
      <w:lang w:val="en-US" w:eastAsia="zh-CN" w:bidi="ar-SA"/>
    </w:rPr>
  </w:style>
  <w:style w:type="paragraph" w:customStyle="1" w:styleId="75">
    <w:name w:val="正文1"/>
    <w:basedOn w:val="1"/>
    <w:next w:val="1"/>
    <w:qFormat/>
    <w:uiPriority w:val="0"/>
    <w:pPr>
      <w:spacing w:line="300" w:lineRule="auto"/>
      <w:ind w:firstLine="200" w:firstLineChars="200"/>
    </w:pPr>
    <w:rPr>
      <w:sz w:val="24"/>
    </w:rPr>
  </w:style>
  <w:style w:type="paragraph" w:customStyle="1" w:styleId="76">
    <w:name w:val="引用1"/>
    <w:next w:val="1"/>
    <w:qFormat/>
    <w:uiPriority w:val="0"/>
    <w:pPr>
      <w:wordWrap w:val="0"/>
      <w:spacing w:before="200" w:after="160"/>
      <w:ind w:left="864" w:right="864"/>
      <w:jc w:val="center"/>
    </w:pPr>
    <w:rPr>
      <w:rFonts w:ascii="Times New Roman" w:hAnsi="Times New Roman" w:eastAsia="宋体" w:cs="Times New Roman"/>
      <w:i/>
      <w:sz w:val="21"/>
      <w:lang w:val="en-US" w:eastAsia="zh-CN" w:bidi="ar-SA"/>
    </w:rPr>
  </w:style>
  <w:style w:type="paragraph" w:customStyle="1" w:styleId="77">
    <w:name w:val="目录 53"/>
    <w:next w:val="1"/>
    <w:qFormat/>
    <w:uiPriority w:val="0"/>
    <w:pPr>
      <w:wordWrap w:val="0"/>
      <w:ind w:left="1275"/>
      <w:jc w:val="both"/>
    </w:pPr>
    <w:rPr>
      <w:rFonts w:ascii="Times New Roman" w:hAnsi="Times New Roman" w:eastAsia="宋体" w:cs="Times New Roman"/>
      <w:sz w:val="21"/>
      <w:lang w:val="en-US" w:eastAsia="zh-CN" w:bidi="ar-SA"/>
    </w:rPr>
  </w:style>
  <w:style w:type="paragraph" w:customStyle="1" w:styleId="78">
    <w:name w:val="无间隔1"/>
    <w:qFormat/>
    <w:uiPriority w:val="1"/>
    <w:pPr>
      <w:jc w:val="both"/>
    </w:pPr>
    <w:rPr>
      <w:rFonts w:ascii="Calibri" w:hAnsi="Calibri" w:eastAsia="Times New Roman" w:cs="Times New Roman"/>
      <w:lang w:val="en-US" w:eastAsia="zh-CN" w:bidi="ar-SA"/>
    </w:rPr>
  </w:style>
  <w:style w:type="paragraph" w:customStyle="1" w:styleId="79">
    <w:name w:val="标书正文1"/>
    <w:basedOn w:val="1"/>
    <w:qFormat/>
    <w:uiPriority w:val="0"/>
    <w:pPr>
      <w:spacing w:line="520" w:lineRule="exact"/>
      <w:ind w:firstLine="640" w:firstLineChars="200"/>
    </w:pPr>
    <w:rPr>
      <w:rFonts w:ascii="Times New Roman" w:hAnsi="Times New Roman"/>
    </w:rPr>
  </w:style>
  <w:style w:type="character" w:customStyle="1" w:styleId="80">
    <w:name w:val="Char Char7"/>
    <w:qFormat/>
    <w:uiPriority w:val="0"/>
    <w:rPr>
      <w:rFonts w:ascii="宋体" w:hAnsi="宋体" w:eastAsia="宋体"/>
      <w:kern w:val="2"/>
      <w:sz w:val="28"/>
    </w:rPr>
  </w:style>
  <w:style w:type="character" w:customStyle="1" w:styleId="81">
    <w:name w:val="font91"/>
    <w:qFormat/>
    <w:uiPriority w:val="0"/>
    <w:rPr>
      <w:rFonts w:hint="eastAsia" w:ascii="宋体" w:hAnsi="宋体" w:eastAsia="宋体" w:cs="宋体"/>
      <w:color w:val="000000"/>
      <w:sz w:val="20"/>
      <w:szCs w:val="20"/>
      <w:u w:val="none"/>
    </w:rPr>
  </w:style>
  <w:style w:type="character" w:customStyle="1" w:styleId="82">
    <w:name w:val="未命名11"/>
    <w:qFormat/>
    <w:uiPriority w:val="0"/>
    <w:rPr>
      <w:color w:val="77FFFF"/>
      <w:sz w:val="24"/>
    </w:rPr>
  </w:style>
  <w:style w:type="character" w:customStyle="1" w:styleId="83">
    <w:name w:val="font51"/>
    <w:qFormat/>
    <w:uiPriority w:val="0"/>
    <w:rPr>
      <w:rFonts w:hint="eastAsia" w:ascii="宋体" w:hAnsi="宋体" w:eastAsia="宋体" w:cs="宋体"/>
      <w:color w:val="000000"/>
      <w:sz w:val="20"/>
      <w:szCs w:val="20"/>
      <w:u w:val="none"/>
      <w:vertAlign w:val="superscript"/>
    </w:rPr>
  </w:style>
  <w:style w:type="character" w:customStyle="1" w:styleId="84">
    <w:name w:val="content-white1"/>
    <w:qFormat/>
    <w:uiPriority w:val="0"/>
    <w:rPr>
      <w:color w:val="auto"/>
      <w:sz w:val="18"/>
      <w:u w:val="none"/>
    </w:rPr>
  </w:style>
  <w:style w:type="character" w:customStyle="1" w:styleId="85">
    <w:name w:val="正文文本缩进 2 字符"/>
    <w:link w:val="36"/>
    <w:qFormat/>
    <w:uiPriority w:val="0"/>
    <w:rPr>
      <w:kern w:val="2"/>
      <w:sz w:val="28"/>
    </w:rPr>
  </w:style>
  <w:style w:type="character" w:customStyle="1" w:styleId="86">
    <w:name w:val="Char Char11"/>
    <w:qFormat/>
    <w:uiPriority w:val="0"/>
    <w:rPr>
      <w:rFonts w:ascii="宋体"/>
      <w:kern w:val="2"/>
      <w:sz w:val="28"/>
    </w:rPr>
  </w:style>
  <w:style w:type="character" w:customStyle="1" w:styleId="87">
    <w:name w:val="批注主题 字符"/>
    <w:basedOn w:val="88"/>
    <w:link w:val="60"/>
    <w:qFormat/>
    <w:uiPriority w:val="0"/>
    <w:rPr>
      <w:sz w:val="24"/>
    </w:rPr>
  </w:style>
  <w:style w:type="character" w:customStyle="1" w:styleId="88">
    <w:name w:val="批注文字 字符"/>
    <w:link w:val="22"/>
    <w:qFormat/>
    <w:uiPriority w:val="0"/>
    <w:rPr>
      <w:sz w:val="24"/>
    </w:rPr>
  </w:style>
  <w:style w:type="character" w:customStyle="1" w:styleId="89">
    <w:name w:val="font41"/>
    <w:qFormat/>
    <w:uiPriority w:val="0"/>
    <w:rPr>
      <w:rFonts w:hint="eastAsia" w:ascii="宋体" w:hAnsi="宋体" w:eastAsia="宋体" w:cs="宋体"/>
      <w:color w:val="000000"/>
      <w:sz w:val="20"/>
      <w:szCs w:val="20"/>
      <w:u w:val="none"/>
    </w:rPr>
  </w:style>
  <w:style w:type="character" w:customStyle="1" w:styleId="90">
    <w:name w:val="正文文本缩进 字符"/>
    <w:link w:val="25"/>
    <w:qFormat/>
    <w:uiPriority w:val="0"/>
    <w:rPr>
      <w:kern w:val="2"/>
      <w:sz w:val="44"/>
    </w:rPr>
  </w:style>
  <w:style w:type="character" w:customStyle="1" w:styleId="91">
    <w:name w:val="Table Text Char"/>
    <w:link w:val="92"/>
    <w:qFormat/>
    <w:uiPriority w:val="0"/>
    <w:rPr>
      <w:rFonts w:ascii="Arial" w:hAnsi="Arial"/>
      <w:kern w:val="2"/>
      <w:sz w:val="18"/>
      <w:lang w:val="en-US" w:eastAsia="zh-CN" w:bidi="ar-SA"/>
    </w:rPr>
  </w:style>
  <w:style w:type="paragraph" w:customStyle="1" w:styleId="92">
    <w:name w:val="Table Text"/>
    <w:link w:val="91"/>
    <w:qFormat/>
    <w:uiPriority w:val="0"/>
    <w:pPr>
      <w:snapToGrid w:val="0"/>
      <w:spacing w:before="80" w:after="80"/>
    </w:pPr>
    <w:rPr>
      <w:rFonts w:ascii="Arial" w:hAnsi="Arial" w:eastAsia="宋体" w:cs="Times New Roman"/>
      <w:kern w:val="2"/>
      <w:sz w:val="18"/>
      <w:lang w:val="en-US" w:eastAsia="zh-CN" w:bidi="ar-SA"/>
    </w:rPr>
  </w:style>
  <w:style w:type="character" w:customStyle="1" w:styleId="93">
    <w:name w:val="v151"/>
    <w:qFormat/>
    <w:uiPriority w:val="0"/>
    <w:rPr>
      <w:sz w:val="18"/>
    </w:rPr>
  </w:style>
  <w:style w:type="character" w:customStyle="1" w:styleId="94">
    <w:name w:val="样式 宋体"/>
    <w:qFormat/>
    <w:uiPriority w:val="0"/>
    <w:rPr>
      <w:rFonts w:ascii="宋体" w:hAnsi="宋体" w:eastAsia="宋体"/>
      <w:sz w:val="28"/>
    </w:rPr>
  </w:style>
  <w:style w:type="character" w:customStyle="1" w:styleId="95">
    <w:name w:val="title_emph1"/>
    <w:qFormat/>
    <w:uiPriority w:val="0"/>
    <w:rPr>
      <w:rFonts w:hint="default" w:ascii="Arial" w:hAnsi="Arial"/>
      <w:b/>
      <w:sz w:val="20"/>
    </w:rPr>
  </w:style>
  <w:style w:type="character" w:customStyle="1" w:styleId="96">
    <w:name w:val="脚注文本 字符"/>
    <w:link w:val="43"/>
    <w:qFormat/>
    <w:uiPriority w:val="0"/>
    <w:rPr>
      <w:kern w:val="2"/>
      <w:sz w:val="18"/>
    </w:rPr>
  </w:style>
  <w:style w:type="character" w:customStyle="1" w:styleId="97">
    <w:name w:val="Char Char"/>
    <w:qFormat/>
    <w:uiPriority w:val="0"/>
    <w:rPr>
      <w:rFonts w:ascii="宋体" w:hAnsi="宋体" w:eastAsia="宋体"/>
      <w:kern w:val="2"/>
      <w:sz w:val="24"/>
      <w:lang w:val="en-US" w:eastAsia="zh-CN" w:bidi="ar-SA"/>
    </w:rPr>
  </w:style>
  <w:style w:type="character" w:customStyle="1" w:styleId="98">
    <w:name w:val="Table Heading Char Char"/>
    <w:qFormat/>
    <w:uiPriority w:val="0"/>
    <w:rPr>
      <w:rFonts w:ascii="Arial" w:hAnsi="Arial" w:eastAsia="黑体"/>
      <w:kern w:val="2"/>
      <w:sz w:val="18"/>
      <w:lang w:val="en-US" w:eastAsia="zh-CN"/>
    </w:rPr>
  </w:style>
  <w:style w:type="character" w:customStyle="1" w:styleId="99">
    <w:name w:val="正文 + 三号 Char"/>
    <w:qFormat/>
    <w:uiPriority w:val="0"/>
    <w:rPr>
      <w:rFonts w:eastAsia="宋体"/>
      <w:kern w:val="2"/>
      <w:sz w:val="21"/>
      <w:lang w:val="en-US" w:eastAsia="zh-CN"/>
    </w:rPr>
  </w:style>
  <w:style w:type="character" w:customStyle="1" w:styleId="100">
    <w:name w:val="Char Char5"/>
    <w:qFormat/>
    <w:uiPriority w:val="0"/>
    <w:rPr>
      <w:rFonts w:ascii="Arial" w:hAnsi="Arial" w:eastAsia="宋体"/>
      <w:b/>
      <w:smallCaps/>
      <w:kern w:val="28"/>
      <w:sz w:val="36"/>
      <w:lang w:val="en-US" w:eastAsia="en-US"/>
    </w:rPr>
  </w:style>
  <w:style w:type="character" w:customStyle="1" w:styleId="101">
    <w:name w:val="Table Text Char Char Char Char"/>
    <w:link w:val="102"/>
    <w:qFormat/>
    <w:uiPriority w:val="0"/>
    <w:rPr>
      <w:rFonts w:ascii="Arial" w:hAnsi="Arial"/>
      <w:kern w:val="2"/>
      <w:sz w:val="18"/>
      <w:lang w:val="en-US" w:eastAsia="zh-CN" w:bidi="ar-SA"/>
    </w:rPr>
  </w:style>
  <w:style w:type="paragraph" w:customStyle="1" w:styleId="102">
    <w:name w:val="Table Text Char Char Char"/>
    <w:link w:val="101"/>
    <w:qFormat/>
    <w:uiPriority w:val="0"/>
    <w:pPr>
      <w:snapToGrid w:val="0"/>
      <w:spacing w:before="80" w:after="80"/>
    </w:pPr>
    <w:rPr>
      <w:rFonts w:ascii="Arial" w:hAnsi="Arial" w:eastAsia="宋体" w:cs="Times New Roman"/>
      <w:kern w:val="2"/>
      <w:sz w:val="18"/>
      <w:lang w:val="en-US" w:eastAsia="zh-CN" w:bidi="ar-SA"/>
    </w:rPr>
  </w:style>
  <w:style w:type="character" w:customStyle="1" w:styleId="103">
    <w:name w:val="font01"/>
    <w:qFormat/>
    <w:uiPriority w:val="0"/>
    <w:rPr>
      <w:rFonts w:hint="default" w:ascii="Times New Roman" w:hAnsi="Times New Roman" w:cs="Times New Roman"/>
      <w:color w:val="000000"/>
      <w:sz w:val="20"/>
      <w:szCs w:val="20"/>
      <w:u w:val="none"/>
    </w:rPr>
  </w:style>
  <w:style w:type="character" w:customStyle="1" w:styleId="104">
    <w:name w:val="font101"/>
    <w:qFormat/>
    <w:uiPriority w:val="0"/>
    <w:rPr>
      <w:rFonts w:hint="default" w:ascii="Times New Roman" w:hAnsi="Times New Roman" w:cs="Times New Roman"/>
      <w:color w:val="000000"/>
      <w:sz w:val="20"/>
      <w:szCs w:val="20"/>
      <w:u w:val="none"/>
    </w:rPr>
  </w:style>
  <w:style w:type="character" w:customStyle="1" w:styleId="105">
    <w:name w:val="Table Text Char1 Char"/>
    <w:qFormat/>
    <w:uiPriority w:val="0"/>
    <w:rPr>
      <w:rFonts w:ascii="Arial" w:hAnsi="Arial"/>
      <w:kern w:val="2"/>
      <w:sz w:val="18"/>
      <w:lang w:val="en-US" w:eastAsia="zh-CN" w:bidi="ar-SA"/>
    </w:rPr>
  </w:style>
  <w:style w:type="character" w:customStyle="1" w:styleId="106">
    <w:name w:val="Char Char2"/>
    <w:qFormat/>
    <w:uiPriority w:val="0"/>
    <w:rPr>
      <w:rFonts w:eastAsia="宋体"/>
      <w:kern w:val="2"/>
      <w:sz w:val="18"/>
      <w:lang w:val="en-US" w:eastAsia="zh-CN"/>
    </w:rPr>
  </w:style>
  <w:style w:type="character" w:customStyle="1" w:styleId="107">
    <w:name w:val="标题 2 字符"/>
    <w:link w:val="4"/>
    <w:qFormat/>
    <w:uiPriority w:val="0"/>
    <w:rPr>
      <w:rFonts w:ascii="Arial" w:hAnsi="Arial" w:eastAsia="黑体"/>
      <w:b/>
      <w:kern w:val="2"/>
      <w:sz w:val="32"/>
    </w:rPr>
  </w:style>
  <w:style w:type="character" w:customStyle="1" w:styleId="108">
    <w:name w:val="font31"/>
    <w:qFormat/>
    <w:uiPriority w:val="0"/>
    <w:rPr>
      <w:rFonts w:hint="eastAsia" w:ascii="宋体" w:hAnsi="宋体" w:eastAsia="宋体" w:cs="宋体"/>
      <w:b/>
      <w:color w:val="000000"/>
      <w:sz w:val="20"/>
      <w:szCs w:val="20"/>
      <w:u w:val="none"/>
    </w:rPr>
  </w:style>
  <w:style w:type="character" w:customStyle="1" w:styleId="109">
    <w:name w:val="文字 Char"/>
    <w:link w:val="110"/>
    <w:qFormat/>
    <w:uiPriority w:val="0"/>
    <w:rPr>
      <w:rFonts w:ascii="宋体"/>
      <w:kern w:val="2"/>
      <w:sz w:val="28"/>
    </w:rPr>
  </w:style>
  <w:style w:type="paragraph" w:customStyle="1" w:styleId="110">
    <w:name w:val="文字"/>
    <w:basedOn w:val="1"/>
    <w:link w:val="109"/>
    <w:qFormat/>
    <w:uiPriority w:val="0"/>
    <w:pPr>
      <w:tabs>
        <w:tab w:val="left" w:pos="8520"/>
      </w:tabs>
      <w:spacing w:line="312" w:lineRule="auto"/>
      <w:ind w:right="-210" w:firstLine="556"/>
    </w:pPr>
    <w:rPr>
      <w:rFonts w:ascii="宋体"/>
    </w:rPr>
  </w:style>
  <w:style w:type="character" w:customStyle="1" w:styleId="111">
    <w:name w:val="标题 3 字符"/>
    <w:link w:val="5"/>
    <w:qFormat/>
    <w:uiPriority w:val="0"/>
    <w:rPr>
      <w:rFonts w:eastAsia="宋体"/>
      <w:b/>
      <w:kern w:val="2"/>
      <w:sz w:val="32"/>
      <w:lang w:val="en-US" w:eastAsia="zh-CN"/>
    </w:rPr>
  </w:style>
  <w:style w:type="character" w:customStyle="1" w:styleId="112">
    <w:name w:val="Char Char6"/>
    <w:qFormat/>
    <w:uiPriority w:val="0"/>
    <w:rPr>
      <w:rFonts w:ascii="仿宋_GB2312" w:eastAsia="仿宋_GB2312"/>
      <w:kern w:val="2"/>
      <w:sz w:val="32"/>
    </w:rPr>
  </w:style>
  <w:style w:type="character" w:customStyle="1" w:styleId="113">
    <w:name w:val="Char Char3"/>
    <w:qFormat/>
    <w:uiPriority w:val="0"/>
    <w:rPr>
      <w:rFonts w:eastAsia="宋体"/>
      <w:kern w:val="2"/>
      <w:sz w:val="18"/>
      <w:lang w:val="en-US" w:eastAsia="zh-CN"/>
    </w:rPr>
  </w:style>
  <w:style w:type="character" w:customStyle="1" w:styleId="114">
    <w:name w:val="正文文本首行缩进 2 字符"/>
    <w:basedOn w:val="90"/>
    <w:link w:val="62"/>
    <w:qFormat/>
    <w:uiPriority w:val="0"/>
    <w:rPr>
      <w:kern w:val="2"/>
      <w:sz w:val="44"/>
    </w:rPr>
  </w:style>
  <w:style w:type="character" w:customStyle="1" w:styleId="115">
    <w:name w:val="标书正文:  0.74 厘米 Char1"/>
    <w:qFormat/>
    <w:uiPriority w:val="0"/>
    <w:rPr>
      <w:rFonts w:eastAsia="宋体"/>
      <w:kern w:val="2"/>
      <w:sz w:val="24"/>
      <w:lang w:val="en-US" w:eastAsia="zh-CN"/>
    </w:rPr>
  </w:style>
  <w:style w:type="character" w:customStyle="1" w:styleId="116">
    <w:name w:val="日期 字符"/>
    <w:link w:val="35"/>
    <w:qFormat/>
    <w:uiPriority w:val="0"/>
    <w:rPr>
      <w:kern w:val="2"/>
      <w:sz w:val="28"/>
    </w:rPr>
  </w:style>
  <w:style w:type="character" w:customStyle="1" w:styleId="117">
    <w:name w:val="font1"/>
    <w:qFormat/>
    <w:uiPriority w:val="0"/>
    <w:rPr>
      <w:color w:val="000000"/>
      <w:sz w:val="18"/>
    </w:rPr>
  </w:style>
  <w:style w:type="character" w:customStyle="1" w:styleId="118">
    <w:name w:val="Char Char4"/>
    <w:qFormat/>
    <w:uiPriority w:val="0"/>
    <w:rPr>
      <w:rFonts w:eastAsia="宋体"/>
      <w:b/>
      <w:kern w:val="2"/>
      <w:sz w:val="21"/>
      <w:lang w:val="en-US" w:eastAsia="zh-CN"/>
    </w:rPr>
  </w:style>
  <w:style w:type="character" w:customStyle="1" w:styleId="119">
    <w:name w:val="top-det1"/>
    <w:qFormat/>
    <w:uiPriority w:val="0"/>
    <w:rPr>
      <w:b/>
      <w:color w:val="000000"/>
    </w:rPr>
  </w:style>
  <w:style w:type="character" w:customStyle="1" w:styleId="120">
    <w:name w:val="crowed11"/>
    <w:qFormat/>
    <w:uiPriority w:val="0"/>
    <w:rPr>
      <w:rFonts w:hint="default"/>
      <w:sz w:val="24"/>
    </w:rPr>
  </w:style>
  <w:style w:type="character" w:customStyle="1" w:styleId="121">
    <w:name w:val="H2 Char"/>
    <w:qFormat/>
    <w:uiPriority w:val="0"/>
    <w:rPr>
      <w:rFonts w:ascii="Arial" w:hAnsi="Arial" w:eastAsia="宋体"/>
      <w:kern w:val="2"/>
      <w:sz w:val="28"/>
      <w:lang w:val="en-US" w:eastAsia="zh-CN"/>
    </w:rPr>
  </w:style>
  <w:style w:type="character" w:customStyle="1" w:styleId="122">
    <w:name w:val="小 Char"/>
    <w:qFormat/>
    <w:uiPriority w:val="0"/>
    <w:rPr>
      <w:rFonts w:ascii="宋体" w:hAnsi="Courier New" w:eastAsia="宋体"/>
      <w:kern w:val="2"/>
      <w:sz w:val="21"/>
      <w:lang w:val="en-US" w:eastAsia="zh-CN" w:bidi="ar-SA"/>
    </w:rPr>
  </w:style>
  <w:style w:type="character" w:customStyle="1" w:styleId="123">
    <w:name w:val="页脚 字符"/>
    <w:link w:val="38"/>
    <w:qFormat/>
    <w:uiPriority w:val="99"/>
    <w:rPr>
      <w:kern w:val="2"/>
      <w:sz w:val="18"/>
    </w:rPr>
  </w:style>
  <w:style w:type="character" w:customStyle="1" w:styleId="124">
    <w:name w:val="font11"/>
    <w:qFormat/>
    <w:uiPriority w:val="0"/>
    <w:rPr>
      <w:rFonts w:hint="eastAsia" w:ascii="宋体" w:hAnsi="宋体" w:eastAsia="宋体" w:cs="宋体"/>
      <w:color w:val="000000"/>
      <w:sz w:val="20"/>
      <w:szCs w:val="20"/>
      <w:u w:val="none"/>
      <w:vertAlign w:val="superscript"/>
    </w:rPr>
  </w:style>
  <w:style w:type="paragraph" w:customStyle="1" w:styleId="125">
    <w:name w:val="样式 正文缩进正文（首行缩进两字）表正文正文非缩进特点标题4段1 + 首行缩进:  2 字符"/>
    <w:basedOn w:val="16"/>
    <w:qFormat/>
    <w:uiPriority w:val="0"/>
    <w:pPr>
      <w:ind w:firstLine="480" w:firstLineChars="200"/>
    </w:pPr>
  </w:style>
  <w:style w:type="paragraph" w:customStyle="1" w:styleId="126">
    <w:name w:val="xl53"/>
    <w:basedOn w:val="1"/>
    <w:qFormat/>
    <w:uiPriority w:val="0"/>
    <w:pPr>
      <w:widowControl/>
      <w:pBdr>
        <w:left w:val="single" w:color="auto" w:sz="4" w:space="0"/>
        <w:bottom w:val="single" w:color="auto" w:sz="4" w:space="0"/>
      </w:pBdr>
      <w:spacing w:before="100" w:beforeAutospacing="1" w:after="100" w:afterAutospacing="1"/>
      <w:jc w:val="center"/>
      <w:textAlignment w:val="center"/>
    </w:pPr>
    <w:rPr>
      <w:rFonts w:ascii="宋体" w:hAnsi="宋体"/>
      <w:kern w:val="0"/>
      <w:sz w:val="24"/>
    </w:rPr>
  </w:style>
  <w:style w:type="paragraph" w:customStyle="1" w:styleId="127">
    <w:name w:val="修订1"/>
    <w:qFormat/>
    <w:uiPriority w:val="0"/>
    <w:rPr>
      <w:rFonts w:ascii="Calibri" w:hAnsi="Calibri" w:eastAsia="宋体" w:cs="Times New Roman"/>
      <w:kern w:val="2"/>
      <w:sz w:val="21"/>
      <w:lang w:val="en-US" w:eastAsia="zh-CN" w:bidi="ar-SA"/>
    </w:rPr>
  </w:style>
  <w:style w:type="paragraph" w:customStyle="1" w:styleId="128">
    <w:name w:val="正文（首行不缩进）"/>
    <w:basedOn w:val="1"/>
    <w:qFormat/>
    <w:uiPriority w:val="0"/>
    <w:pPr>
      <w:autoSpaceDE w:val="0"/>
      <w:autoSpaceDN w:val="0"/>
      <w:adjustRightInd w:val="0"/>
      <w:spacing w:line="360" w:lineRule="auto"/>
      <w:jc w:val="left"/>
    </w:pPr>
    <w:rPr>
      <w:kern w:val="0"/>
      <w:sz w:val="21"/>
    </w:rPr>
  </w:style>
  <w:style w:type="paragraph" w:customStyle="1" w:styleId="129">
    <w:name w:val="content"/>
    <w:basedOn w:val="1"/>
    <w:qFormat/>
    <w:uiPriority w:val="0"/>
    <w:pPr>
      <w:widowControl/>
      <w:spacing w:before="100" w:beforeAutospacing="1" w:after="100" w:afterAutospacing="1" w:line="280" w:lineRule="atLeast"/>
      <w:ind w:firstLine="375"/>
      <w:jc w:val="left"/>
    </w:pPr>
    <w:rPr>
      <w:rFonts w:ascii="宋体" w:hAnsi="宋体"/>
      <w:color w:val="000000"/>
      <w:kern w:val="0"/>
      <w:sz w:val="18"/>
    </w:rPr>
  </w:style>
  <w:style w:type="paragraph" w:customStyle="1" w:styleId="130">
    <w:name w:val="操作步骤"/>
    <w:basedOn w:val="1"/>
    <w:qFormat/>
    <w:uiPriority w:val="0"/>
    <w:pPr>
      <w:numPr>
        <w:ilvl w:val="0"/>
        <w:numId w:val="3"/>
      </w:numPr>
      <w:autoSpaceDE w:val="0"/>
      <w:autoSpaceDN w:val="0"/>
      <w:adjustRightInd w:val="0"/>
      <w:snapToGrid w:val="0"/>
      <w:spacing w:line="40" w:lineRule="atLeast"/>
      <w:textAlignment w:val="bottom"/>
    </w:pPr>
    <w:rPr>
      <w:rFonts w:ascii="昆仑楷体" w:eastAsia="楷体_GB2312"/>
      <w:kern w:val="0"/>
      <w:sz w:val="21"/>
    </w:rPr>
  </w:style>
  <w:style w:type="paragraph" w:customStyle="1" w:styleId="131">
    <w:name w:val="Table Paragraph"/>
    <w:basedOn w:val="1"/>
    <w:qFormat/>
    <w:uiPriority w:val="1"/>
    <w:pPr>
      <w:autoSpaceDE w:val="0"/>
      <w:autoSpaceDN w:val="0"/>
      <w:adjustRightInd w:val="0"/>
    </w:pPr>
    <w:rPr>
      <w:sz w:val="24"/>
    </w:rPr>
  </w:style>
  <w:style w:type="paragraph" w:customStyle="1" w:styleId="132">
    <w:name w:val="正文格式 Char"/>
    <w:basedOn w:val="1"/>
    <w:qFormat/>
    <w:uiPriority w:val="0"/>
    <w:pPr>
      <w:widowControl/>
      <w:adjustRightInd w:val="0"/>
      <w:spacing w:line="440" w:lineRule="atLeast"/>
      <w:ind w:firstLine="510"/>
      <w:textAlignment w:val="baseline"/>
    </w:pPr>
    <w:rPr>
      <w:kern w:val="0"/>
      <w:sz w:val="24"/>
    </w:rPr>
  </w:style>
  <w:style w:type="paragraph" w:customStyle="1" w:styleId="133">
    <w:name w:val="样式5"/>
    <w:basedOn w:val="134"/>
    <w:next w:val="1"/>
    <w:qFormat/>
    <w:uiPriority w:val="0"/>
  </w:style>
  <w:style w:type="paragraph" w:customStyle="1" w:styleId="134">
    <w:name w:val="编号正文"/>
    <w:basedOn w:val="135"/>
    <w:qFormat/>
    <w:uiPriority w:val="0"/>
    <w:pPr>
      <w:snapToGrid/>
      <w:spacing w:line="360" w:lineRule="auto"/>
      <w:ind w:left="1407" w:hanging="1047"/>
      <w:jc w:val="left"/>
    </w:pPr>
    <w:rPr>
      <w:rFonts w:eastAsia="仿宋_GB2312"/>
    </w:rPr>
  </w:style>
  <w:style w:type="paragraph" w:customStyle="1" w:styleId="135">
    <w:name w:val="文档正文"/>
    <w:basedOn w:val="1"/>
    <w:qFormat/>
    <w:uiPriority w:val="0"/>
    <w:pPr>
      <w:adjustRightInd w:val="0"/>
      <w:snapToGrid w:val="0"/>
      <w:spacing w:line="440" w:lineRule="exact"/>
      <w:ind w:firstLine="567"/>
      <w:textAlignment w:val="baseline"/>
    </w:pPr>
    <w:rPr>
      <w:rFonts w:ascii="Arial Narrow" w:hAnsi="Arial Narrow"/>
      <w:kern w:val="0"/>
      <w:sz w:val="24"/>
    </w:rPr>
  </w:style>
  <w:style w:type="paragraph" w:customStyle="1" w:styleId="136">
    <w:name w:val="样式10"/>
    <w:basedOn w:val="1"/>
    <w:next w:val="1"/>
    <w:qFormat/>
    <w:uiPriority w:val="0"/>
    <w:rPr>
      <w:rFonts w:ascii="Times New Roman" w:hAnsi="Times New Roman" w:eastAsia="仿宋"/>
      <w:sz w:val="24"/>
    </w:rPr>
  </w:style>
  <w:style w:type="paragraph" w:customStyle="1" w:styleId="137">
    <w:name w:val="Item Step"/>
    <w:qFormat/>
    <w:uiPriority w:val="0"/>
    <w:pPr>
      <w:tabs>
        <w:tab w:val="left" w:pos="1644"/>
      </w:tabs>
      <w:ind w:left="1644" w:hanging="510"/>
      <w:outlineLvl w:val="4"/>
    </w:pPr>
    <w:rPr>
      <w:rFonts w:ascii="Arial" w:hAnsi="Arial" w:eastAsia="宋体" w:cs="Times New Roman"/>
      <w:sz w:val="21"/>
      <w:lang w:val="en-US" w:eastAsia="zh-CN" w:bidi="ar-SA"/>
    </w:rPr>
  </w:style>
  <w:style w:type="paragraph" w:customStyle="1" w:styleId="138">
    <w:name w:val="Char Char1 Char"/>
    <w:basedOn w:val="1"/>
    <w:qFormat/>
    <w:uiPriority w:val="0"/>
    <w:rPr>
      <w:rFonts w:ascii="Tahoma" w:hAnsi="Tahoma"/>
      <w:sz w:val="24"/>
      <w:szCs w:val="24"/>
    </w:rPr>
  </w:style>
  <w:style w:type="paragraph" w:customStyle="1" w:styleId="139">
    <w:name w:val="样式1xz"/>
    <w:basedOn w:val="1"/>
    <w:qFormat/>
    <w:uiPriority w:val="0"/>
    <w:pPr>
      <w:tabs>
        <w:tab w:val="left" w:pos="1050"/>
        <w:tab w:val="right" w:leader="dot" w:pos="8296"/>
      </w:tabs>
    </w:pPr>
    <w:rPr>
      <w:caps/>
      <w:spacing w:val="20"/>
      <w:sz w:val="24"/>
    </w:rPr>
  </w:style>
  <w:style w:type="paragraph" w:customStyle="1" w:styleId="140">
    <w:name w:val="_Style 19"/>
    <w:basedOn w:val="1"/>
    <w:next w:val="141"/>
    <w:qFormat/>
    <w:uiPriority w:val="0"/>
    <w:pPr>
      <w:ind w:firstLine="420" w:firstLineChars="200"/>
    </w:pPr>
    <w:rPr>
      <w:sz w:val="21"/>
      <w:szCs w:val="22"/>
    </w:rPr>
  </w:style>
  <w:style w:type="paragraph" w:customStyle="1" w:styleId="141">
    <w:name w:val="列出段落1"/>
    <w:basedOn w:val="1"/>
    <w:qFormat/>
    <w:uiPriority w:val="0"/>
    <w:pPr>
      <w:ind w:firstLine="420" w:firstLineChars="200"/>
    </w:pPr>
  </w:style>
  <w:style w:type="paragraph" w:customStyle="1" w:styleId="142">
    <w:name w:val="段 Char"/>
    <w:qFormat/>
    <w:uiPriority w:val="0"/>
    <w:pPr>
      <w:autoSpaceDE w:val="0"/>
      <w:autoSpaceDN w:val="0"/>
      <w:ind w:firstLine="200" w:firstLineChars="200"/>
      <w:jc w:val="both"/>
    </w:pPr>
    <w:rPr>
      <w:rFonts w:ascii="宋体" w:hAnsi="Calibri" w:eastAsia="宋体" w:cs="Times New Roman"/>
      <w:sz w:val="21"/>
      <w:lang w:val="en-US" w:eastAsia="zh-CN" w:bidi="ar-SA"/>
    </w:rPr>
  </w:style>
  <w:style w:type="paragraph" w:customStyle="1" w:styleId="143">
    <w:name w:val="样式 宋体 五号 两端对齐 行距: 单倍行距"/>
    <w:basedOn w:val="1"/>
    <w:qFormat/>
    <w:uiPriority w:val="0"/>
    <w:pPr>
      <w:adjustRightInd w:val="0"/>
      <w:textAlignment w:val="baseline"/>
    </w:pPr>
    <w:rPr>
      <w:rFonts w:ascii="宋体" w:hAnsi="宋体"/>
      <w:kern w:val="0"/>
      <w:sz w:val="21"/>
    </w:rPr>
  </w:style>
  <w:style w:type="paragraph" w:customStyle="1" w:styleId="144">
    <w:name w:val="普通正文"/>
    <w:basedOn w:val="1"/>
    <w:qFormat/>
    <w:uiPriority w:val="0"/>
    <w:pPr>
      <w:adjustRightInd w:val="0"/>
      <w:spacing w:before="120" w:after="120" w:line="360" w:lineRule="auto"/>
      <w:ind w:firstLine="480"/>
      <w:jc w:val="left"/>
      <w:textAlignment w:val="baseline"/>
    </w:pPr>
    <w:rPr>
      <w:rFonts w:ascii="Arial" w:hAnsi="Arial"/>
      <w:kern w:val="0"/>
      <w:sz w:val="24"/>
    </w:rPr>
  </w:style>
  <w:style w:type="paragraph" w:customStyle="1" w:styleId="145">
    <w:name w:val="Table Text Char Char"/>
    <w:qFormat/>
    <w:uiPriority w:val="0"/>
    <w:pPr>
      <w:snapToGrid w:val="0"/>
      <w:spacing w:before="80" w:after="80"/>
    </w:pPr>
    <w:rPr>
      <w:rFonts w:ascii="Arial" w:hAnsi="Arial" w:eastAsia="宋体" w:cs="Times New Roman"/>
      <w:kern w:val="2"/>
      <w:sz w:val="18"/>
      <w:lang w:val="en-US" w:eastAsia="zh-CN" w:bidi="ar-SA"/>
    </w:rPr>
  </w:style>
  <w:style w:type="paragraph" w:customStyle="1" w:styleId="146">
    <w:name w:val="司法正文"/>
    <w:qFormat/>
    <w:uiPriority w:val="0"/>
    <w:pPr>
      <w:widowControl w:val="0"/>
      <w:ind w:firstLine="200" w:firstLineChars="200"/>
      <w:jc w:val="both"/>
    </w:pPr>
    <w:rPr>
      <w:rFonts w:ascii="Calibri" w:hAnsi="Calibri" w:eastAsia="仿宋_GB2312" w:cs="Times New Roman"/>
      <w:sz w:val="32"/>
      <w:lang w:val="en-US" w:eastAsia="zh-CN" w:bidi="ar-SA"/>
    </w:rPr>
  </w:style>
  <w:style w:type="paragraph" w:customStyle="1" w:styleId="147">
    <w:name w:val="文档正文 Char Char Char Char"/>
    <w:basedOn w:val="1"/>
    <w:qFormat/>
    <w:uiPriority w:val="0"/>
    <w:pPr>
      <w:adjustRightInd w:val="0"/>
      <w:spacing w:line="440" w:lineRule="exact"/>
      <w:ind w:firstLine="420"/>
      <w:textAlignment w:val="baseline"/>
    </w:pPr>
    <w:rPr>
      <w:rFonts w:ascii="Arial Narrow" w:hAnsi="Arial Narrow"/>
      <w:kern w:val="0"/>
      <w:sz w:val="24"/>
    </w:rPr>
  </w:style>
  <w:style w:type="paragraph" w:customStyle="1" w:styleId="148">
    <w:name w:val="正文文本 21"/>
    <w:basedOn w:val="1"/>
    <w:qFormat/>
    <w:uiPriority w:val="0"/>
    <w:pPr>
      <w:adjustRightInd w:val="0"/>
      <w:spacing w:before="120" w:line="360" w:lineRule="auto"/>
      <w:ind w:firstLine="480"/>
      <w:textAlignment w:val="baseline"/>
    </w:pPr>
    <w:rPr>
      <w:sz w:val="24"/>
    </w:rPr>
  </w:style>
  <w:style w:type="paragraph" w:customStyle="1" w:styleId="149">
    <w:name w:val="首行缩进"/>
    <w:basedOn w:val="1"/>
    <w:qFormat/>
    <w:uiPriority w:val="0"/>
    <w:pPr>
      <w:numPr>
        <w:ilvl w:val="0"/>
        <w:numId w:val="4"/>
      </w:numPr>
      <w:spacing w:line="360" w:lineRule="auto"/>
    </w:pPr>
    <w:rPr>
      <w:rFonts w:eastAsia="仿宋_GB2312"/>
    </w:rPr>
  </w:style>
  <w:style w:type="paragraph" w:customStyle="1" w:styleId="150">
    <w:name w:val="简单回函地址"/>
    <w:basedOn w:val="1"/>
    <w:qFormat/>
    <w:uiPriority w:val="0"/>
    <w:pPr>
      <w:adjustRightInd w:val="0"/>
      <w:snapToGrid w:val="0"/>
      <w:spacing w:line="360" w:lineRule="auto"/>
    </w:pPr>
    <w:rPr>
      <w:sz w:val="24"/>
    </w:rPr>
  </w:style>
  <w:style w:type="paragraph" w:customStyle="1" w:styleId="151">
    <w:name w:val="二级列表"/>
    <w:basedOn w:val="152"/>
    <w:next w:val="152"/>
    <w:qFormat/>
    <w:uiPriority w:val="0"/>
    <w:pPr>
      <w:tabs>
        <w:tab w:val="left" w:pos="2120"/>
      </w:tabs>
      <w:ind w:firstLine="0" w:firstLineChars="0"/>
    </w:pPr>
    <w:rPr>
      <w:b/>
    </w:rPr>
  </w:style>
  <w:style w:type="paragraph" w:customStyle="1" w:styleId="152">
    <w:name w:val="段落正文"/>
    <w:basedOn w:val="1"/>
    <w:qFormat/>
    <w:uiPriority w:val="0"/>
    <w:pPr>
      <w:spacing w:beforeLines="50" w:line="360" w:lineRule="auto"/>
      <w:ind w:firstLine="200" w:firstLineChars="200"/>
    </w:pPr>
    <w:rPr>
      <w:spacing w:val="2"/>
      <w:sz w:val="24"/>
    </w:rPr>
  </w:style>
  <w:style w:type="paragraph" w:customStyle="1" w:styleId="153">
    <w:name w:val="标题无"/>
    <w:basedOn w:val="1"/>
    <w:qFormat/>
    <w:uiPriority w:val="0"/>
    <w:pPr>
      <w:spacing w:line="360" w:lineRule="auto"/>
    </w:pPr>
    <w:rPr>
      <w:sz w:val="24"/>
    </w:rPr>
  </w:style>
  <w:style w:type="paragraph" w:customStyle="1" w:styleId="154">
    <w:name w:val="没有缩进（为图形使用）"/>
    <w:basedOn w:val="1"/>
    <w:qFormat/>
    <w:uiPriority w:val="0"/>
    <w:pPr>
      <w:spacing w:before="120" w:after="120" w:line="360" w:lineRule="auto"/>
    </w:pPr>
    <w:rPr>
      <w:sz w:val="24"/>
    </w:rPr>
  </w:style>
  <w:style w:type="paragraph" w:customStyle="1" w:styleId="155">
    <w:name w:val="正文（绿盟科技）"/>
    <w:qFormat/>
    <w:uiPriority w:val="0"/>
    <w:pPr>
      <w:spacing w:line="300" w:lineRule="auto"/>
    </w:pPr>
    <w:rPr>
      <w:rFonts w:ascii="Arial" w:hAnsi="Arial" w:eastAsia="宋体" w:cs="Times New Roman"/>
      <w:sz w:val="21"/>
      <w:szCs w:val="21"/>
      <w:lang w:val="en-US" w:eastAsia="zh-CN" w:bidi="ar-SA"/>
    </w:rPr>
  </w:style>
  <w:style w:type="paragraph" w:customStyle="1" w:styleId="156">
    <w:name w:val="正文表格"/>
    <w:basedOn w:val="1"/>
    <w:qFormat/>
    <w:uiPriority w:val="0"/>
    <w:pPr>
      <w:adjustRightInd w:val="0"/>
      <w:spacing w:before="40" w:after="40"/>
    </w:pPr>
    <w:rPr>
      <w:sz w:val="24"/>
    </w:rPr>
  </w:style>
  <w:style w:type="paragraph" w:customStyle="1" w:styleId="157">
    <w:name w:val="È±Ê¡ÎÄ±¾"/>
    <w:basedOn w:val="1"/>
    <w:qFormat/>
    <w:uiPriority w:val="0"/>
    <w:pPr>
      <w:widowControl/>
      <w:overflowPunct w:val="0"/>
      <w:autoSpaceDE w:val="0"/>
      <w:autoSpaceDN w:val="0"/>
      <w:adjustRightInd w:val="0"/>
      <w:jc w:val="left"/>
      <w:textAlignment w:val="baseline"/>
    </w:pPr>
    <w:rPr>
      <w:kern w:val="0"/>
      <w:sz w:val="24"/>
    </w:rPr>
  </w:style>
  <w:style w:type="paragraph" w:customStyle="1" w:styleId="158">
    <w:name w:val="标书正文:  0.74 厘米"/>
    <w:basedOn w:val="1"/>
    <w:qFormat/>
    <w:uiPriority w:val="0"/>
    <w:pPr>
      <w:snapToGrid w:val="0"/>
      <w:spacing w:line="360" w:lineRule="auto"/>
      <w:ind w:firstLine="420"/>
    </w:pPr>
    <w:rPr>
      <w:sz w:val="24"/>
    </w:rPr>
  </w:style>
  <w:style w:type="paragraph" w:customStyle="1" w:styleId="159">
    <w:name w:val="Title - Date"/>
    <w:basedOn w:val="59"/>
    <w:next w:val="1"/>
    <w:qFormat/>
    <w:uiPriority w:val="0"/>
    <w:pPr>
      <w:spacing w:before="240" w:after="720"/>
    </w:pPr>
    <w:rPr>
      <w:sz w:val="28"/>
    </w:rPr>
  </w:style>
  <w:style w:type="paragraph" w:customStyle="1" w:styleId="160">
    <w:name w:val="样式 标题 6第五层条 + 三号 段前: 0.5 行"/>
    <w:basedOn w:val="8"/>
    <w:qFormat/>
    <w:uiPriority w:val="0"/>
    <w:pPr>
      <w:widowControl/>
      <w:adjustRightInd/>
      <w:snapToGrid/>
      <w:spacing w:beforeLines="50"/>
      <w:jc w:val="left"/>
    </w:pPr>
    <w:rPr>
      <w:snapToGrid w:val="0"/>
      <w:kern w:val="24"/>
      <w:sz w:val="28"/>
    </w:rPr>
  </w:style>
  <w:style w:type="paragraph" w:customStyle="1" w:styleId="161">
    <w:name w:val="样式11"/>
    <w:basedOn w:val="1"/>
    <w:next w:val="1"/>
    <w:qFormat/>
    <w:uiPriority w:val="0"/>
    <w:rPr>
      <w:rFonts w:ascii="Times New Roman" w:hAnsi="Times New Roman"/>
    </w:rPr>
  </w:style>
  <w:style w:type="paragraph" w:customStyle="1" w:styleId="162">
    <w:name w:val="Char Char14 Char Char"/>
    <w:basedOn w:val="1"/>
    <w:qFormat/>
    <w:uiPriority w:val="0"/>
    <w:rPr>
      <w:sz w:val="21"/>
      <w:szCs w:val="24"/>
    </w:rPr>
  </w:style>
  <w:style w:type="paragraph" w:customStyle="1" w:styleId="163">
    <w:name w:val="表头文本"/>
    <w:qFormat/>
    <w:uiPriority w:val="0"/>
    <w:pPr>
      <w:jc w:val="center"/>
    </w:pPr>
    <w:rPr>
      <w:rFonts w:ascii="Arial" w:hAnsi="Arial" w:eastAsia="宋体" w:cs="Times New Roman"/>
      <w:b/>
      <w:sz w:val="21"/>
      <w:lang w:val="en-US" w:eastAsia="zh-CN" w:bidi="ar-SA"/>
    </w:rPr>
  </w:style>
  <w:style w:type="paragraph" w:customStyle="1" w:styleId="164">
    <w:name w:val="Char Char Char Char Char Char Char"/>
    <w:basedOn w:val="1"/>
    <w:qFormat/>
    <w:uiPriority w:val="0"/>
    <w:rPr>
      <w:rFonts w:ascii="Tahoma" w:hAnsi="Tahoma"/>
      <w:sz w:val="24"/>
    </w:rPr>
  </w:style>
  <w:style w:type="paragraph" w:customStyle="1" w:styleId="165">
    <w:name w:val="xl40"/>
    <w:basedOn w:val="1"/>
    <w:qFormat/>
    <w:uiPriority w:val="0"/>
    <w:pPr>
      <w:widowControl/>
      <w:pBdr>
        <w:left w:val="single" w:color="auto" w:sz="4" w:space="0"/>
        <w:right w:val="single" w:color="auto" w:sz="4" w:space="0"/>
      </w:pBdr>
      <w:spacing w:before="100" w:beforeAutospacing="1" w:after="100" w:afterAutospacing="1"/>
      <w:jc w:val="center"/>
    </w:pPr>
    <w:rPr>
      <w:rFonts w:ascii="宋体" w:hAnsi="宋体"/>
      <w:kern w:val="0"/>
      <w:sz w:val="24"/>
    </w:rPr>
  </w:style>
  <w:style w:type="paragraph" w:customStyle="1" w:styleId="166">
    <w:name w:val="xl27"/>
    <w:basedOn w:val="1"/>
    <w:qFormat/>
    <w:uiPriority w:val="0"/>
    <w:pPr>
      <w:widowControl/>
      <w:pBdr>
        <w:left w:val="single" w:color="auto" w:sz="8" w:space="0"/>
        <w:bottom w:val="single" w:color="auto" w:sz="4" w:space="0"/>
        <w:right w:val="single" w:color="auto" w:sz="4" w:space="0"/>
      </w:pBdr>
      <w:spacing w:before="100" w:beforeAutospacing="1" w:after="100" w:afterAutospacing="1"/>
      <w:jc w:val="center"/>
      <w:textAlignment w:val="center"/>
    </w:pPr>
    <w:rPr>
      <w:rFonts w:ascii="宋体" w:hAnsi="宋体"/>
      <w:kern w:val="0"/>
      <w:sz w:val="21"/>
    </w:rPr>
  </w:style>
  <w:style w:type="paragraph" w:customStyle="1" w:styleId="167">
    <w:name w:val="Char Char Char1 Char Char Char Char Char Char Char Char Char Char Char Char Char"/>
    <w:basedOn w:val="1"/>
    <w:qFormat/>
    <w:uiPriority w:val="0"/>
    <w:pPr>
      <w:widowControl/>
      <w:spacing w:after="160" w:line="240" w:lineRule="exact"/>
      <w:jc w:val="left"/>
    </w:pPr>
    <w:rPr>
      <w:rFonts w:ascii="Verdana" w:hAnsi="Verdana"/>
      <w:kern w:val="0"/>
      <w:sz w:val="18"/>
      <w:lang w:eastAsia="en-US"/>
    </w:rPr>
  </w:style>
  <w:style w:type="paragraph" w:customStyle="1" w:styleId="168">
    <w:name w:val="正文文本缩进 21"/>
    <w:basedOn w:val="1"/>
    <w:qFormat/>
    <w:uiPriority w:val="0"/>
    <w:pPr>
      <w:adjustRightInd w:val="0"/>
      <w:spacing w:before="120"/>
      <w:ind w:firstLine="420"/>
      <w:textAlignment w:val="baseline"/>
    </w:pPr>
    <w:rPr>
      <w:sz w:val="24"/>
    </w:rPr>
  </w:style>
  <w:style w:type="paragraph" w:customStyle="1" w:styleId="169">
    <w:name w:val="tabletext"/>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170">
    <w:name w:val="Char Char Char Char Char Char Char Char Char Char Char Char Char"/>
    <w:basedOn w:val="1"/>
    <w:qFormat/>
    <w:uiPriority w:val="0"/>
    <w:pPr>
      <w:widowControl/>
      <w:spacing w:after="160" w:line="240" w:lineRule="exact"/>
      <w:jc w:val="left"/>
    </w:pPr>
    <w:rPr>
      <w:rFonts w:ascii="Verdana" w:hAnsi="Verdana" w:eastAsia="仿宋_GB2312"/>
      <w:kern w:val="0"/>
      <w:sz w:val="24"/>
      <w:lang w:eastAsia="en-US"/>
    </w:rPr>
  </w:style>
  <w:style w:type="paragraph" w:customStyle="1" w:styleId="171">
    <w:name w:val="样式 正文首行缩进 2 + 首行缩进:  2 字符"/>
    <w:basedOn w:val="1"/>
    <w:qFormat/>
    <w:uiPriority w:val="0"/>
    <w:pPr>
      <w:numPr>
        <w:ilvl w:val="0"/>
        <w:numId w:val="5"/>
      </w:numPr>
      <w:adjustRightInd w:val="0"/>
      <w:snapToGrid w:val="0"/>
      <w:spacing w:line="360" w:lineRule="auto"/>
    </w:pPr>
    <w:rPr>
      <w:rFonts w:ascii="Arial" w:hAnsi="Arial"/>
      <w:b/>
      <w:sz w:val="24"/>
    </w:rPr>
  </w:style>
  <w:style w:type="paragraph" w:customStyle="1" w:styleId="172">
    <w:name w:val="样式 首行缩进:  0.74 厘米"/>
    <w:basedOn w:val="1"/>
    <w:qFormat/>
    <w:uiPriority w:val="0"/>
    <w:pPr>
      <w:spacing w:line="360" w:lineRule="auto"/>
      <w:ind w:firstLine="420"/>
    </w:pPr>
    <w:rPr>
      <w:sz w:val="24"/>
    </w:rPr>
  </w:style>
  <w:style w:type="paragraph" w:customStyle="1" w:styleId="173">
    <w:name w:val="表格文本"/>
    <w:qFormat/>
    <w:uiPriority w:val="0"/>
    <w:pPr>
      <w:tabs>
        <w:tab w:val="decimal" w:pos="0"/>
      </w:tabs>
    </w:pPr>
    <w:rPr>
      <w:rFonts w:ascii="Arial" w:hAnsi="Arial" w:eastAsia="宋体" w:cs="Times New Roman"/>
      <w:sz w:val="21"/>
      <w:lang w:val="en-US" w:eastAsia="zh-CN" w:bidi="ar-SA"/>
    </w:rPr>
  </w:style>
  <w:style w:type="paragraph" w:customStyle="1" w:styleId="174">
    <w:name w:val="默认段落字体 Para Char Char Char Char Char Char Char"/>
    <w:basedOn w:val="1"/>
    <w:qFormat/>
    <w:uiPriority w:val="0"/>
    <w:rPr>
      <w:rFonts w:ascii="Tahoma" w:hAnsi="Tahoma"/>
      <w:sz w:val="24"/>
    </w:rPr>
  </w:style>
  <w:style w:type="paragraph" w:customStyle="1" w:styleId="175">
    <w:name w:val="正文格式"/>
    <w:basedOn w:val="1"/>
    <w:qFormat/>
    <w:uiPriority w:val="0"/>
    <w:pPr>
      <w:widowControl/>
      <w:adjustRightInd w:val="0"/>
      <w:snapToGrid w:val="0"/>
      <w:spacing w:before="60" w:line="360" w:lineRule="auto"/>
      <w:ind w:firstLine="480" w:firstLineChars="200"/>
      <w:jc w:val="left"/>
      <w:textAlignment w:val="baseline"/>
    </w:pPr>
    <w:rPr>
      <w:rFonts w:ascii="宋体" w:hAnsi="宋体"/>
      <w:color w:val="000000"/>
      <w:kern w:val="0"/>
      <w:sz w:val="24"/>
    </w:rPr>
  </w:style>
  <w:style w:type="paragraph" w:customStyle="1" w:styleId="176">
    <w:name w:val="Char1"/>
    <w:basedOn w:val="1"/>
    <w:qFormat/>
    <w:uiPriority w:val="0"/>
    <w:rPr>
      <w:sz w:val="21"/>
    </w:rPr>
  </w:style>
  <w:style w:type="paragraph" w:customStyle="1" w:styleId="177">
    <w:name w:val="样式 标题 1 + 居中 段前: 6 磅 段后: 6 磅 行距: 1.5 倍行距"/>
    <w:basedOn w:val="3"/>
    <w:qFormat/>
    <w:uiPriority w:val="0"/>
    <w:pPr>
      <w:keepLines/>
      <w:adjustRightInd w:val="0"/>
      <w:spacing w:before="120" w:after="120" w:line="360" w:lineRule="auto"/>
      <w:jc w:val="center"/>
    </w:pPr>
    <w:rPr>
      <w:rFonts w:ascii="Times New Roman"/>
      <w:b/>
      <w:kern w:val="44"/>
      <w:sz w:val="32"/>
    </w:rPr>
  </w:style>
  <w:style w:type="paragraph" w:customStyle="1" w:styleId="178">
    <w:name w:val="Char1 Char Char Char"/>
    <w:basedOn w:val="1"/>
    <w:qFormat/>
    <w:uiPriority w:val="0"/>
    <w:rPr>
      <w:rFonts w:ascii="Tahoma" w:hAnsi="Tahoma"/>
      <w:sz w:val="30"/>
    </w:rPr>
  </w:style>
  <w:style w:type="paragraph" w:customStyle="1" w:styleId="179">
    <w:name w:val="Char Char Char Char Char"/>
    <w:basedOn w:val="1"/>
    <w:qFormat/>
    <w:uiPriority w:val="0"/>
    <w:pPr>
      <w:numPr>
        <w:ilvl w:val="0"/>
        <w:numId w:val="6"/>
      </w:numPr>
      <w:tabs>
        <w:tab w:val="left" w:pos="425"/>
      </w:tabs>
    </w:pPr>
    <w:rPr>
      <w:rFonts w:ascii="Tahoma" w:hAnsi="Tahoma"/>
      <w:sz w:val="24"/>
    </w:rPr>
  </w:style>
  <w:style w:type="paragraph" w:customStyle="1" w:styleId="180">
    <w:name w:val="Item Step in Table"/>
    <w:qFormat/>
    <w:uiPriority w:val="0"/>
    <w:pPr>
      <w:numPr>
        <w:ilvl w:val="0"/>
        <w:numId w:val="7"/>
      </w:numPr>
      <w:tabs>
        <w:tab w:val="left" w:pos="397"/>
      </w:tabs>
      <w:spacing w:before="40" w:after="40"/>
      <w:jc w:val="both"/>
    </w:pPr>
    <w:rPr>
      <w:rFonts w:ascii="Arial" w:hAnsi="Arial" w:eastAsia="宋体" w:cs="Times New Roman"/>
      <w:sz w:val="18"/>
      <w:lang w:val="en-US" w:eastAsia="zh-CN" w:bidi="ar-SA"/>
    </w:rPr>
  </w:style>
  <w:style w:type="paragraph" w:customStyle="1" w:styleId="181">
    <w:name w:val="Table Contents"/>
    <w:basedOn w:val="17"/>
    <w:qFormat/>
    <w:uiPriority w:val="0"/>
    <w:pPr>
      <w:suppressAutoHyphens/>
      <w:jc w:val="left"/>
    </w:pPr>
    <w:rPr>
      <w:rFonts w:ascii="Times New Roman" w:eastAsia="Times New Roman"/>
      <w:kern w:val="0"/>
      <w:sz w:val="24"/>
    </w:rPr>
  </w:style>
  <w:style w:type="paragraph" w:customStyle="1" w:styleId="182">
    <w:name w:val="标题2"/>
    <w:basedOn w:val="4"/>
    <w:qFormat/>
    <w:uiPriority w:val="0"/>
    <w:pPr>
      <w:keepNext w:val="0"/>
      <w:keepLines w:val="0"/>
      <w:adjustRightInd w:val="0"/>
      <w:snapToGrid w:val="0"/>
      <w:spacing w:before="0" w:after="0" w:line="360" w:lineRule="auto"/>
      <w:ind w:firstLine="574" w:firstLineChars="196"/>
      <w:outlineLvl w:val="9"/>
    </w:pPr>
    <w:rPr>
      <w:rFonts w:ascii="宋体" w:hAnsi="宋体" w:eastAsia="宋体"/>
      <w:spacing w:val="6"/>
      <w:sz w:val="28"/>
      <w:u w:val="single"/>
    </w:rPr>
  </w:style>
  <w:style w:type="paragraph" w:customStyle="1" w:styleId="183">
    <w:name w:val="List Paragraph11"/>
    <w:basedOn w:val="1"/>
    <w:qFormat/>
    <w:uiPriority w:val="0"/>
    <w:pPr>
      <w:ind w:firstLine="420" w:firstLineChars="200"/>
    </w:pPr>
    <w:rPr>
      <w:rFonts w:ascii="等线" w:hAnsi="等线" w:eastAsia="等线"/>
      <w:sz w:val="21"/>
      <w:szCs w:val="22"/>
    </w:rPr>
  </w:style>
  <w:style w:type="paragraph" w:customStyle="1" w:styleId="184">
    <w:name w:val="附录3"/>
    <w:basedOn w:val="1"/>
    <w:next w:val="1"/>
    <w:qFormat/>
    <w:uiPriority w:val="0"/>
    <w:pPr>
      <w:tabs>
        <w:tab w:val="left" w:pos="851"/>
      </w:tabs>
      <w:ind w:left="425" w:hanging="425"/>
      <w:outlineLvl w:val="2"/>
    </w:pPr>
    <w:rPr>
      <w:rFonts w:eastAsia="黑体"/>
      <w:b/>
      <w:sz w:val="32"/>
    </w:rPr>
  </w:style>
  <w:style w:type="paragraph" w:customStyle="1" w:styleId="185">
    <w:name w:val="标题3——2"/>
    <w:basedOn w:val="5"/>
    <w:next w:val="61"/>
    <w:qFormat/>
    <w:uiPriority w:val="0"/>
    <w:pPr>
      <w:tabs>
        <w:tab w:val="left" w:pos="1280"/>
        <w:tab w:val="right" w:leader="dot" w:pos="8777"/>
      </w:tabs>
      <w:spacing w:beforeLines="100" w:after="0" w:line="240" w:lineRule="auto"/>
      <w:ind w:left="851" w:hanging="851"/>
      <w:outlineLvl w:val="9"/>
    </w:pPr>
    <w:rPr>
      <w:rFonts w:ascii="黑体" w:hAnsi="宋体" w:eastAsia="黑体"/>
      <w:sz w:val="30"/>
    </w:rPr>
  </w:style>
  <w:style w:type="paragraph" w:customStyle="1" w:styleId="186">
    <w:name w:val="项目"/>
    <w:basedOn w:val="1"/>
    <w:qFormat/>
    <w:uiPriority w:val="0"/>
    <w:pPr>
      <w:tabs>
        <w:tab w:val="left" w:pos="1280"/>
      </w:tabs>
      <w:spacing w:before="120" w:after="120" w:line="360" w:lineRule="auto"/>
      <w:ind w:left="-7" w:firstLine="567"/>
      <w:jc w:val="left"/>
      <w:textAlignment w:val="baseline"/>
    </w:pPr>
    <w:rPr>
      <w:rFonts w:ascii="宋体"/>
      <w:kern w:val="0"/>
      <w:sz w:val="24"/>
    </w:rPr>
  </w:style>
  <w:style w:type="paragraph" w:customStyle="1" w:styleId="187">
    <w:name w:val="表号"/>
    <w:basedOn w:val="1"/>
    <w:qFormat/>
    <w:uiPriority w:val="0"/>
    <w:pPr>
      <w:numPr>
        <w:ilvl w:val="0"/>
        <w:numId w:val="8"/>
      </w:numPr>
      <w:tabs>
        <w:tab w:val="left" w:pos="648"/>
      </w:tabs>
      <w:autoSpaceDE w:val="0"/>
      <w:autoSpaceDN w:val="0"/>
      <w:adjustRightInd w:val="0"/>
      <w:spacing w:before="210" w:after="210"/>
      <w:ind w:left="425" w:hanging="137"/>
      <w:jc w:val="center"/>
    </w:pPr>
    <w:rPr>
      <w:kern w:val="0"/>
      <w:sz w:val="21"/>
      <w:lang w:eastAsia="en-US"/>
    </w:rPr>
  </w:style>
  <w:style w:type="paragraph" w:customStyle="1" w:styleId="188">
    <w:name w:val="List Paragraph1"/>
    <w:basedOn w:val="1"/>
    <w:qFormat/>
    <w:uiPriority w:val="0"/>
    <w:pPr>
      <w:ind w:firstLine="420" w:firstLineChars="200"/>
    </w:pPr>
    <w:rPr>
      <w:sz w:val="21"/>
      <w:szCs w:val="22"/>
    </w:rPr>
  </w:style>
  <w:style w:type="paragraph" w:customStyle="1" w:styleId="189">
    <w:name w:val="af"/>
    <w:basedOn w:val="1"/>
    <w:qFormat/>
    <w:uiPriority w:val="0"/>
    <w:pPr>
      <w:widowControl/>
      <w:spacing w:line="300" w:lineRule="atLeast"/>
      <w:jc w:val="left"/>
    </w:pPr>
    <w:rPr>
      <w:rFonts w:ascii="宋体" w:hAnsi="宋体"/>
      <w:kern w:val="0"/>
      <w:sz w:val="18"/>
    </w:rPr>
  </w:style>
  <w:style w:type="paragraph" w:customStyle="1" w:styleId="190">
    <w:name w:val="样式8"/>
    <w:basedOn w:val="1"/>
    <w:next w:val="1"/>
    <w:qFormat/>
    <w:uiPriority w:val="0"/>
    <w:rPr>
      <w:rFonts w:ascii="Times New Roman" w:hAnsi="Times New Roman" w:eastAsia="仿宋"/>
      <w:sz w:val="24"/>
    </w:rPr>
  </w:style>
  <w:style w:type="paragraph" w:customStyle="1" w:styleId="191">
    <w:name w:val="bt"/>
    <w:basedOn w:val="1"/>
    <w:next w:val="17"/>
    <w:qFormat/>
    <w:uiPriority w:val="0"/>
    <w:pPr>
      <w:overflowPunct w:val="0"/>
      <w:autoSpaceDE w:val="0"/>
      <w:autoSpaceDN w:val="0"/>
      <w:adjustRightInd w:val="0"/>
      <w:snapToGrid w:val="0"/>
      <w:spacing w:before="100" w:after="100" w:line="240" w:lineRule="atLeast"/>
      <w:ind w:left="2880" w:hanging="360"/>
      <w:textAlignment w:val="baseline"/>
    </w:pPr>
    <w:rPr>
      <w:rFonts w:ascii="宋体"/>
      <w:kern w:val="0"/>
      <w:sz w:val="20"/>
    </w:rPr>
  </w:style>
  <w:style w:type="paragraph" w:customStyle="1" w:styleId="192">
    <w:name w:val="style1"/>
    <w:basedOn w:val="1"/>
    <w:qFormat/>
    <w:uiPriority w:val="0"/>
    <w:pPr>
      <w:widowControl/>
      <w:spacing w:before="100" w:beforeAutospacing="1" w:after="100" w:afterAutospacing="1"/>
      <w:jc w:val="left"/>
    </w:pPr>
    <w:rPr>
      <w:rFonts w:ascii="宋体" w:hAnsi="宋体"/>
      <w:kern w:val="0"/>
      <w:sz w:val="21"/>
    </w:rPr>
  </w:style>
  <w:style w:type="paragraph" w:customStyle="1" w:styleId="193">
    <w:name w:val="样式 标题 1章标题Heading 0Section HeadPIM 1H1h11st levell11H1..."/>
    <w:basedOn w:val="3"/>
    <w:qFormat/>
    <w:uiPriority w:val="0"/>
    <w:pPr>
      <w:keepLines/>
      <w:pageBreakBefore/>
      <w:tabs>
        <w:tab w:val="left" w:pos="432"/>
      </w:tabs>
      <w:autoSpaceDE w:val="0"/>
      <w:autoSpaceDN w:val="0"/>
      <w:adjustRightInd w:val="0"/>
      <w:spacing w:before="340" w:after="330" w:line="578" w:lineRule="atLeast"/>
      <w:textAlignment w:val="bottom"/>
    </w:pPr>
    <w:rPr>
      <w:rFonts w:hAnsi="宋体" w:eastAsia="黑体"/>
      <w:b/>
      <w:kern w:val="44"/>
      <w:sz w:val="36"/>
    </w:rPr>
  </w:style>
  <w:style w:type="paragraph" w:customStyle="1" w:styleId="194">
    <w:name w:val="图片文字"/>
    <w:basedOn w:val="1"/>
    <w:qFormat/>
    <w:uiPriority w:val="0"/>
    <w:pPr>
      <w:spacing w:line="240" w:lineRule="atLeast"/>
      <w:jc w:val="center"/>
    </w:pPr>
    <w:rPr>
      <w:sz w:val="21"/>
    </w:rPr>
  </w:style>
  <w:style w:type="paragraph" w:customStyle="1" w:styleId="195">
    <w:name w:val="表格内文字"/>
    <w:basedOn w:val="33"/>
    <w:qFormat/>
    <w:uiPriority w:val="0"/>
    <w:pPr>
      <w:adjustRightInd w:val="0"/>
    </w:pPr>
    <w:rPr>
      <w:color w:val="000000"/>
      <w:lang w:val="en-GB"/>
    </w:rPr>
  </w:style>
  <w:style w:type="paragraph" w:customStyle="1" w:styleId="196">
    <w:name w:val="二级条标题"/>
    <w:basedOn w:val="197"/>
    <w:next w:val="199"/>
    <w:qFormat/>
    <w:uiPriority w:val="0"/>
    <w:pPr>
      <w:ind w:left="840"/>
      <w:outlineLvl w:val="3"/>
    </w:pPr>
  </w:style>
  <w:style w:type="paragraph" w:customStyle="1" w:styleId="197">
    <w:name w:val="一级条标题"/>
    <w:basedOn w:val="198"/>
    <w:next w:val="199"/>
    <w:qFormat/>
    <w:uiPriority w:val="0"/>
    <w:pPr>
      <w:numPr>
        <w:numId w:val="0"/>
      </w:numPr>
      <w:spacing w:beforeLines="0" w:afterLines="0"/>
      <w:ind w:left="525"/>
      <w:outlineLvl w:val="2"/>
    </w:pPr>
    <w:rPr>
      <w:sz w:val="21"/>
    </w:rPr>
  </w:style>
  <w:style w:type="paragraph" w:customStyle="1" w:styleId="198">
    <w:name w:val="章标题"/>
    <w:next w:val="1"/>
    <w:qFormat/>
    <w:uiPriority w:val="0"/>
    <w:pPr>
      <w:numPr>
        <w:ilvl w:val="1"/>
        <w:numId w:val="7"/>
      </w:numPr>
      <w:spacing w:beforeLines="50" w:afterLines="50"/>
      <w:ind w:left="0"/>
      <w:jc w:val="both"/>
      <w:outlineLvl w:val="1"/>
    </w:pPr>
    <w:rPr>
      <w:rFonts w:ascii="黑体" w:hAnsi="Calibri" w:eastAsia="宋体" w:cs="Times New Roman"/>
      <w:sz w:val="24"/>
      <w:lang w:val="en-US" w:eastAsia="zh-CN" w:bidi="ar-SA"/>
    </w:rPr>
  </w:style>
  <w:style w:type="paragraph" w:customStyle="1" w:styleId="199">
    <w:name w:val="段"/>
    <w:qFormat/>
    <w:uiPriority w:val="0"/>
    <w:pPr>
      <w:autoSpaceDE w:val="0"/>
      <w:autoSpaceDN w:val="0"/>
      <w:ind w:firstLine="200" w:firstLineChars="200"/>
      <w:jc w:val="both"/>
    </w:pPr>
    <w:rPr>
      <w:rFonts w:ascii="宋体" w:hAnsi="Calibri" w:eastAsia="宋体" w:cs="Times New Roman"/>
      <w:sz w:val="21"/>
      <w:lang w:val="en-US" w:eastAsia="zh-CN" w:bidi="ar-SA"/>
    </w:rPr>
  </w:style>
  <w:style w:type="paragraph" w:customStyle="1" w:styleId="200">
    <w:name w:val="CSS1级正文 Char"/>
    <w:basedOn w:val="17"/>
    <w:qFormat/>
    <w:uiPriority w:val="0"/>
    <w:pPr>
      <w:adjustRightInd w:val="0"/>
      <w:snapToGrid w:val="0"/>
      <w:spacing w:line="360" w:lineRule="auto"/>
      <w:ind w:firstLine="480"/>
    </w:pPr>
    <w:rPr>
      <w:rFonts w:ascii="Times New Roman" w:eastAsia="宋体"/>
      <w:sz w:val="24"/>
    </w:rPr>
  </w:style>
  <w:style w:type="paragraph" w:customStyle="1" w:styleId="201">
    <w:name w:val="标题 5（有编号）（绿盟科技）"/>
    <w:basedOn w:val="1"/>
    <w:next w:val="155"/>
    <w:qFormat/>
    <w:uiPriority w:val="0"/>
    <w:pPr>
      <w:keepNext/>
      <w:keepLines/>
      <w:numPr>
        <w:ilvl w:val="4"/>
        <w:numId w:val="9"/>
      </w:numPr>
      <w:spacing w:before="280" w:after="156" w:line="377" w:lineRule="auto"/>
      <w:jc w:val="left"/>
      <w:outlineLvl w:val="4"/>
    </w:pPr>
    <w:rPr>
      <w:rFonts w:ascii="Arial" w:hAnsi="Arial" w:eastAsia="黑体"/>
      <w:b/>
      <w:kern w:val="0"/>
      <w:sz w:val="24"/>
      <w:szCs w:val="28"/>
    </w:rPr>
  </w:style>
  <w:style w:type="paragraph" w:customStyle="1" w:styleId="202">
    <w:name w:val="Char2 Char Char Char Char Char Char"/>
    <w:basedOn w:val="1"/>
    <w:qFormat/>
    <w:uiPriority w:val="0"/>
    <w:rPr>
      <w:rFonts w:ascii="仿宋_GB2312"/>
      <w:b/>
      <w:sz w:val="30"/>
    </w:rPr>
  </w:style>
  <w:style w:type="paragraph" w:customStyle="1" w:styleId="203">
    <w:name w:val="表头样式"/>
    <w:basedOn w:val="1"/>
    <w:qFormat/>
    <w:uiPriority w:val="0"/>
    <w:pPr>
      <w:autoSpaceDE w:val="0"/>
      <w:autoSpaceDN w:val="0"/>
      <w:adjustRightInd w:val="0"/>
      <w:spacing w:line="360" w:lineRule="auto"/>
      <w:jc w:val="left"/>
    </w:pPr>
    <w:rPr>
      <w:b/>
      <w:kern w:val="0"/>
      <w:sz w:val="21"/>
    </w:rPr>
  </w:style>
  <w:style w:type="paragraph" w:customStyle="1" w:styleId="204">
    <w:name w:val="文本框样式1"/>
    <w:basedOn w:val="1"/>
    <w:qFormat/>
    <w:uiPriority w:val="0"/>
    <w:pPr>
      <w:adjustRightInd w:val="0"/>
      <w:snapToGrid w:val="0"/>
      <w:spacing w:before="60" w:line="180" w:lineRule="exact"/>
      <w:jc w:val="center"/>
    </w:pPr>
    <w:rPr>
      <w:sz w:val="21"/>
    </w:rPr>
  </w:style>
  <w:style w:type="paragraph" w:customStyle="1" w:styleId="205">
    <w:name w:val="样式6"/>
    <w:basedOn w:val="1"/>
    <w:next w:val="1"/>
    <w:qFormat/>
    <w:uiPriority w:val="0"/>
    <w:rPr>
      <w:rFonts w:ascii="Times New Roman" w:hAnsi="Times New Roman"/>
    </w:rPr>
  </w:style>
  <w:style w:type="paragraph" w:customStyle="1" w:styleId="206">
    <w:name w:val="_"/>
    <w:basedOn w:val="1"/>
    <w:qFormat/>
    <w:uiPriority w:val="0"/>
    <w:pPr>
      <w:adjustRightInd w:val="0"/>
      <w:spacing w:line="360" w:lineRule="auto"/>
      <w:ind w:left="480" w:firstLine="200" w:firstLineChars="200"/>
      <w:textAlignment w:val="baseline"/>
    </w:pPr>
    <w:rPr>
      <w:kern w:val="0"/>
      <w:sz w:val="24"/>
    </w:rPr>
  </w:style>
  <w:style w:type="paragraph" w:customStyle="1" w:styleId="207">
    <w:name w:val="Pull Quote"/>
    <w:basedOn w:val="1"/>
    <w:qFormat/>
    <w:uiPriority w:val="0"/>
    <w:pPr>
      <w:pBdr>
        <w:top w:val="single" w:color="auto" w:sz="18" w:space="12"/>
        <w:left w:val="single" w:color="FFFFFF" w:sz="6" w:space="12"/>
        <w:bottom w:val="single" w:color="auto" w:sz="6" w:space="12"/>
        <w:right w:val="single" w:color="FFFFFF" w:sz="6" w:space="12"/>
      </w:pBdr>
      <w:shd w:val="pct10" w:color="auto" w:fill="auto"/>
      <w:spacing w:before="120" w:after="240" w:line="288" w:lineRule="auto"/>
      <w:ind w:left="144" w:right="144"/>
      <w:jc w:val="center"/>
    </w:pPr>
    <w:rPr>
      <w:b/>
      <w:i/>
      <w:sz w:val="24"/>
    </w:rPr>
  </w:style>
  <w:style w:type="paragraph" w:customStyle="1" w:styleId="208">
    <w:name w:val="表格1"/>
    <w:basedOn w:val="1"/>
    <w:next w:val="1"/>
    <w:qFormat/>
    <w:uiPriority w:val="0"/>
    <w:pPr>
      <w:kinsoku w:val="0"/>
      <w:wordWrap w:val="0"/>
      <w:overflowPunct w:val="0"/>
      <w:autoSpaceDE w:val="0"/>
      <w:autoSpaceDN w:val="0"/>
      <w:adjustRightInd w:val="0"/>
      <w:spacing w:line="288" w:lineRule="auto"/>
      <w:jc w:val="center"/>
      <w:textAlignment w:val="baseline"/>
    </w:pPr>
    <w:rPr>
      <w:rFonts w:ascii="宋体"/>
      <w:kern w:val="0"/>
      <w:sz w:val="18"/>
    </w:rPr>
  </w:style>
  <w:style w:type="paragraph" w:customStyle="1" w:styleId="209">
    <w:name w:val="样式 样式 首行缩进:  2 字符 + 首行缩进:  2 字符"/>
    <w:basedOn w:val="1"/>
    <w:qFormat/>
    <w:uiPriority w:val="0"/>
    <w:pPr>
      <w:numPr>
        <w:ilvl w:val="0"/>
        <w:numId w:val="10"/>
      </w:numPr>
      <w:spacing w:line="360" w:lineRule="auto"/>
      <w:ind w:firstLine="480" w:firstLineChars="200"/>
    </w:pPr>
    <w:rPr>
      <w:sz w:val="24"/>
    </w:rPr>
  </w:style>
  <w:style w:type="paragraph" w:customStyle="1" w:styleId="210">
    <w:name w:val="Table Text Char1"/>
    <w:qFormat/>
    <w:uiPriority w:val="0"/>
    <w:pPr>
      <w:snapToGrid w:val="0"/>
      <w:spacing w:before="80" w:after="80"/>
    </w:pPr>
    <w:rPr>
      <w:rFonts w:ascii="Arial" w:hAnsi="Arial" w:eastAsia="宋体" w:cs="Times New Roman"/>
      <w:kern w:val="2"/>
      <w:sz w:val="18"/>
      <w:lang w:val="en-US" w:eastAsia="zh-CN" w:bidi="ar-SA"/>
    </w:rPr>
  </w:style>
  <w:style w:type="paragraph" w:customStyle="1" w:styleId="211">
    <w:name w:val="Table Heading"/>
    <w:qFormat/>
    <w:uiPriority w:val="0"/>
    <w:pPr>
      <w:keepNext/>
      <w:snapToGrid w:val="0"/>
      <w:spacing w:before="80" w:after="80"/>
      <w:jc w:val="center"/>
    </w:pPr>
    <w:rPr>
      <w:rFonts w:ascii="Arial" w:hAnsi="Arial" w:eastAsia="宋体" w:cs="Times New Roman"/>
      <w:sz w:val="18"/>
      <w:lang w:val="en-US" w:eastAsia="zh-CN" w:bidi="ar-SA"/>
    </w:rPr>
  </w:style>
  <w:style w:type="paragraph" w:customStyle="1" w:styleId="212">
    <w:name w:val="文本1"/>
    <w:basedOn w:val="1"/>
    <w:qFormat/>
    <w:uiPriority w:val="0"/>
    <w:pPr>
      <w:adjustRightInd w:val="0"/>
      <w:spacing w:line="312" w:lineRule="atLeast"/>
      <w:jc w:val="center"/>
      <w:textAlignment w:val="baseline"/>
    </w:pPr>
    <w:rPr>
      <w:kern w:val="0"/>
      <w:sz w:val="18"/>
    </w:rPr>
  </w:style>
  <w:style w:type="paragraph" w:customStyle="1" w:styleId="213">
    <w:name w:val="IN Feature"/>
    <w:next w:val="214"/>
    <w:qFormat/>
    <w:uiPriority w:val="0"/>
    <w:pPr>
      <w:keepNext/>
      <w:keepLines/>
      <w:spacing w:before="240" w:after="240"/>
      <w:outlineLvl w:val="7"/>
    </w:pPr>
    <w:rPr>
      <w:rFonts w:ascii="Arial" w:hAnsi="Arial" w:eastAsia="宋体" w:cs="Times New Roman"/>
      <w:sz w:val="21"/>
      <w:lang w:val="en-US" w:eastAsia="zh-CN" w:bidi="ar-SA"/>
    </w:rPr>
  </w:style>
  <w:style w:type="paragraph" w:customStyle="1" w:styleId="214">
    <w:name w:val="IN Step"/>
    <w:basedOn w:val="1"/>
    <w:qFormat/>
    <w:uiPriority w:val="0"/>
    <w:pPr>
      <w:keepLines/>
      <w:widowControl/>
      <w:tabs>
        <w:tab w:val="left" w:pos="1134"/>
      </w:tabs>
      <w:spacing w:before="80" w:after="80" w:line="300" w:lineRule="auto"/>
      <w:ind w:left="1134" w:hanging="907"/>
      <w:outlineLvl w:val="8"/>
    </w:pPr>
    <w:rPr>
      <w:rFonts w:ascii="Arial" w:hAnsi="Arial"/>
      <w:kern w:val="0"/>
      <w:sz w:val="21"/>
    </w:rPr>
  </w:style>
  <w:style w:type="paragraph" w:customStyle="1" w:styleId="215">
    <w:name w:val="小标题 1"/>
    <w:basedOn w:val="1"/>
    <w:qFormat/>
    <w:uiPriority w:val="0"/>
    <w:pPr>
      <w:autoSpaceDE w:val="0"/>
      <w:autoSpaceDN w:val="0"/>
      <w:adjustRightInd w:val="0"/>
      <w:spacing w:line="360" w:lineRule="atLeast"/>
    </w:pPr>
    <w:rPr>
      <w:rFonts w:ascii="文鼎粗黑" w:eastAsia="文鼎粗黑"/>
      <w:kern w:val="0"/>
      <w:sz w:val="22"/>
    </w:rPr>
  </w:style>
  <w:style w:type="paragraph" w:customStyle="1" w:styleId="216">
    <w:name w:val="附录2"/>
    <w:basedOn w:val="1"/>
    <w:next w:val="1"/>
    <w:qFormat/>
    <w:uiPriority w:val="0"/>
    <w:pPr>
      <w:tabs>
        <w:tab w:val="left" w:pos="420"/>
        <w:tab w:val="left" w:pos="624"/>
      </w:tabs>
      <w:ind w:left="420" w:hanging="420"/>
      <w:outlineLvl w:val="1"/>
    </w:pPr>
    <w:rPr>
      <w:rFonts w:ascii="黑体" w:hAnsi="黑体" w:eastAsia="黑体"/>
      <w:b/>
      <w:sz w:val="32"/>
    </w:rPr>
  </w:style>
  <w:style w:type="paragraph" w:customStyle="1" w:styleId="217">
    <w:name w:val="正文字缩2字"/>
    <w:basedOn w:val="1"/>
    <w:qFormat/>
    <w:uiPriority w:val="0"/>
    <w:pPr>
      <w:spacing w:before="60" w:after="60" w:line="360" w:lineRule="auto"/>
      <w:ind w:left="200" w:leftChars="200" w:firstLine="200" w:firstLineChars="200"/>
    </w:pPr>
    <w:rPr>
      <w:sz w:val="24"/>
    </w:rPr>
  </w:style>
  <w:style w:type="paragraph" w:customStyle="1" w:styleId="218">
    <w:name w:val="附录1"/>
    <w:basedOn w:val="1"/>
    <w:next w:val="1"/>
    <w:qFormat/>
    <w:uiPriority w:val="0"/>
    <w:pPr>
      <w:tabs>
        <w:tab w:val="left" w:pos="1304"/>
      </w:tabs>
      <w:ind w:left="425" w:hanging="425"/>
      <w:outlineLvl w:val="0"/>
    </w:pPr>
    <w:rPr>
      <w:rFonts w:ascii="黑体" w:hAnsi="黑体" w:eastAsia="黑体"/>
      <w:b/>
      <w:sz w:val="44"/>
    </w:rPr>
  </w:style>
  <w:style w:type="paragraph" w:customStyle="1" w:styleId="219">
    <w:name w:val="样式4"/>
    <w:basedOn w:val="6"/>
    <w:qFormat/>
    <w:uiPriority w:val="0"/>
    <w:pPr>
      <w:adjustRightInd w:val="0"/>
      <w:snapToGrid w:val="0"/>
    </w:pPr>
  </w:style>
  <w:style w:type="paragraph" w:customStyle="1" w:styleId="220">
    <w:name w:val="样式 行距: 1.5 倍行距1"/>
    <w:basedOn w:val="1"/>
    <w:qFormat/>
    <w:uiPriority w:val="0"/>
    <w:pPr>
      <w:snapToGrid w:val="0"/>
    </w:pPr>
    <w:rPr>
      <w:sz w:val="21"/>
    </w:rPr>
  </w:style>
  <w:style w:type="paragraph" w:customStyle="1" w:styleId="221">
    <w:name w:val="Char"/>
    <w:basedOn w:val="1"/>
    <w:qFormat/>
    <w:uiPriority w:val="0"/>
    <w:pPr>
      <w:spacing w:line="240" w:lineRule="atLeast"/>
      <w:ind w:left="420" w:firstLine="420"/>
    </w:pPr>
    <w:rPr>
      <w:kern w:val="0"/>
      <w:sz w:val="21"/>
    </w:rPr>
  </w:style>
  <w:style w:type="paragraph" w:customStyle="1" w:styleId="222">
    <w:name w:val="样式1"/>
    <w:basedOn w:val="6"/>
    <w:qFormat/>
    <w:uiPriority w:val="0"/>
    <w:pPr>
      <w:tabs>
        <w:tab w:val="left" w:pos="720"/>
      </w:tabs>
      <w:spacing w:before="500" w:after="260" w:line="560" w:lineRule="atLeast"/>
      <w:ind w:left="420" w:hanging="420"/>
    </w:pPr>
  </w:style>
  <w:style w:type="paragraph" w:customStyle="1" w:styleId="223">
    <w:name w:val="标准正文"/>
    <w:basedOn w:val="25"/>
    <w:qFormat/>
    <w:uiPriority w:val="0"/>
    <w:pPr>
      <w:spacing w:before="60" w:after="60" w:line="360" w:lineRule="auto"/>
      <w:ind w:left="0" w:firstLine="482"/>
    </w:pPr>
    <w:rPr>
      <w:rFonts w:ascii="Arial" w:hAnsi="Arial"/>
      <w:sz w:val="24"/>
    </w:rPr>
  </w:style>
  <w:style w:type="paragraph" w:customStyle="1" w:styleId="224">
    <w:name w:val="Char Char Char Char"/>
    <w:basedOn w:val="1"/>
    <w:qFormat/>
    <w:uiPriority w:val="0"/>
    <w:pPr>
      <w:pageBreakBefore/>
      <w:widowControl/>
      <w:spacing w:after="160" w:line="240" w:lineRule="exact"/>
      <w:jc w:val="left"/>
    </w:pPr>
    <w:rPr>
      <w:rFonts w:ascii="Verdana" w:hAnsi="Verdana"/>
      <w:kern w:val="0"/>
      <w:sz w:val="20"/>
      <w:lang w:eastAsia="en-US"/>
    </w:rPr>
  </w:style>
  <w:style w:type="paragraph" w:customStyle="1" w:styleId="225">
    <w:name w:val="Item List"/>
    <w:qFormat/>
    <w:uiPriority w:val="0"/>
    <w:pPr>
      <w:numPr>
        <w:ilvl w:val="0"/>
        <w:numId w:val="11"/>
      </w:numPr>
      <w:spacing w:line="300" w:lineRule="auto"/>
      <w:jc w:val="both"/>
    </w:pPr>
    <w:rPr>
      <w:rFonts w:ascii="Arial" w:hAnsi="Arial" w:eastAsia="宋体" w:cs="Times New Roman"/>
      <w:sz w:val="21"/>
      <w:lang w:val="en-US" w:eastAsia="zh-CN" w:bidi="ar-SA"/>
    </w:rPr>
  </w:style>
  <w:style w:type="paragraph" w:customStyle="1" w:styleId="226">
    <w:name w:val="Figure Description"/>
    <w:next w:val="1"/>
    <w:qFormat/>
    <w:uiPriority w:val="0"/>
    <w:pPr>
      <w:snapToGrid w:val="0"/>
      <w:spacing w:before="80" w:after="320"/>
      <w:ind w:left="1134"/>
      <w:jc w:val="center"/>
    </w:pPr>
    <w:rPr>
      <w:rFonts w:ascii="Arial" w:hAnsi="Arial" w:eastAsia="宋体" w:cs="Times New Roman"/>
      <w:sz w:val="18"/>
      <w:lang w:val="en-US" w:eastAsia="zh-CN" w:bidi="ar-SA"/>
    </w:rPr>
  </w:style>
  <w:style w:type="paragraph" w:customStyle="1" w:styleId="227">
    <w:name w:val="样式7"/>
    <w:basedOn w:val="1"/>
    <w:next w:val="1"/>
    <w:qFormat/>
    <w:uiPriority w:val="0"/>
    <w:rPr>
      <w:rFonts w:ascii="Times New Roman" w:hAnsi="Times New Roman"/>
    </w:rPr>
  </w:style>
  <w:style w:type="paragraph" w:customStyle="1" w:styleId="228">
    <w:name w:val="正文 A"/>
    <w:qFormat/>
    <w:uiPriority w:val="0"/>
    <w:pPr>
      <w:framePr w:wrap="around" w:vAnchor="margin" w:hAnchor="text" w:y="1"/>
      <w:widowControl w:val="0"/>
      <w:jc w:val="both"/>
    </w:pPr>
    <w:rPr>
      <w:rFonts w:ascii="Calibri" w:hAnsi="Calibri" w:eastAsia="Times New Roman" w:cs="Times New Roman"/>
      <w:color w:val="000000"/>
      <w:kern w:val="2"/>
      <w:sz w:val="28"/>
      <w:szCs w:val="28"/>
      <w:lang w:val="en-US" w:eastAsia="zh-CN" w:bidi="ar-SA"/>
    </w:rPr>
  </w:style>
  <w:style w:type="paragraph" w:customStyle="1" w:styleId="229">
    <w:name w:val="样式 宋体 五号 行距: 单倍行距"/>
    <w:basedOn w:val="1"/>
    <w:qFormat/>
    <w:uiPriority w:val="0"/>
    <w:pPr>
      <w:adjustRightInd w:val="0"/>
      <w:jc w:val="left"/>
    </w:pPr>
    <w:rPr>
      <w:rFonts w:ascii="宋体" w:hAnsi="宋体"/>
      <w:kern w:val="0"/>
      <w:sz w:val="21"/>
    </w:rPr>
  </w:style>
  <w:style w:type="paragraph" w:customStyle="1" w:styleId="230">
    <w:name w:val="Table Description"/>
    <w:next w:val="1"/>
    <w:qFormat/>
    <w:uiPriority w:val="0"/>
    <w:pPr>
      <w:keepNext/>
      <w:snapToGrid w:val="0"/>
      <w:spacing w:before="160" w:after="80"/>
      <w:ind w:left="1134"/>
      <w:jc w:val="center"/>
    </w:pPr>
    <w:rPr>
      <w:rFonts w:ascii="Arial" w:hAnsi="Arial" w:eastAsia="宋体" w:cs="Times New Roman"/>
      <w:sz w:val="18"/>
      <w:lang w:val="en-US" w:eastAsia="zh-CN" w:bidi="ar-SA"/>
    </w:rPr>
  </w:style>
  <w:style w:type="paragraph" w:customStyle="1" w:styleId="231">
    <w:name w:val="Char Char 字元 字元 字元 Char Char Char Char"/>
    <w:basedOn w:val="1"/>
    <w:qFormat/>
    <w:uiPriority w:val="0"/>
    <w:pPr>
      <w:adjustRightInd w:val="0"/>
      <w:spacing w:line="360" w:lineRule="auto"/>
    </w:pPr>
    <w:rPr>
      <w:kern w:val="0"/>
      <w:sz w:val="24"/>
    </w:rPr>
  </w:style>
  <w:style w:type="paragraph" w:customStyle="1" w:styleId="232">
    <w:name w:val="内容标题"/>
    <w:basedOn w:val="20"/>
    <w:qFormat/>
    <w:uiPriority w:val="0"/>
    <w:rPr>
      <w:rFonts w:ascii="Tahoma" w:hAnsi="Tahoma"/>
      <w:sz w:val="24"/>
    </w:rPr>
  </w:style>
  <w:style w:type="paragraph" w:customStyle="1" w:styleId="233">
    <w:name w:val="Char Char Char Char Char Char Char Char Char Char Char Char Char Char Char Char"/>
    <w:basedOn w:val="1"/>
    <w:qFormat/>
    <w:uiPriority w:val="0"/>
    <w:pPr>
      <w:tabs>
        <w:tab w:val="left" w:pos="360"/>
      </w:tabs>
    </w:pPr>
    <w:rPr>
      <w:sz w:val="24"/>
    </w:rPr>
  </w:style>
  <w:style w:type="paragraph" w:customStyle="1" w:styleId="234">
    <w:name w:val="附录4"/>
    <w:basedOn w:val="1"/>
    <w:next w:val="1"/>
    <w:qFormat/>
    <w:uiPriority w:val="0"/>
    <w:pPr>
      <w:widowControl/>
      <w:tabs>
        <w:tab w:val="left" w:pos="1134"/>
      </w:tabs>
      <w:spacing w:line="300" w:lineRule="auto"/>
      <w:ind w:left="1361" w:hanging="1361"/>
      <w:outlineLvl w:val="3"/>
    </w:pPr>
    <w:rPr>
      <w:rFonts w:ascii="Arial" w:hAnsi="Arial" w:eastAsia="黑体"/>
      <w:kern w:val="0"/>
    </w:rPr>
  </w:style>
  <w:style w:type="paragraph" w:customStyle="1" w:styleId="235">
    <w:name w:val="AA Numbering"/>
    <w:basedOn w:val="1"/>
    <w:qFormat/>
    <w:uiPriority w:val="0"/>
    <w:pPr>
      <w:widowControl/>
      <w:tabs>
        <w:tab w:val="left" w:pos="1134"/>
        <w:tab w:val="left" w:pos="1280"/>
      </w:tabs>
      <w:adjustRightInd w:val="0"/>
      <w:snapToGrid w:val="0"/>
      <w:spacing w:line="280" w:lineRule="atLeast"/>
      <w:jc w:val="left"/>
    </w:pPr>
    <w:rPr>
      <w:rFonts w:eastAsia="PMingLiU"/>
      <w:kern w:val="0"/>
      <w:sz w:val="24"/>
      <w:lang w:eastAsia="zh-TW"/>
    </w:rPr>
  </w:style>
  <w:style w:type="paragraph" w:customStyle="1" w:styleId="236">
    <w:name w:val="图例"/>
    <w:basedOn w:val="1"/>
    <w:qFormat/>
    <w:uiPriority w:val="0"/>
    <w:pPr>
      <w:spacing w:before="120" w:after="120" w:line="360" w:lineRule="auto"/>
      <w:jc w:val="center"/>
    </w:pPr>
    <w:rPr>
      <w:rFonts w:eastAsia="仿宋_GB2312"/>
      <w:b/>
      <w:sz w:val="24"/>
    </w:rPr>
  </w:style>
  <w:style w:type="paragraph" w:customStyle="1" w:styleId="237">
    <w:name w:val="00"/>
    <w:basedOn w:val="1"/>
    <w:qFormat/>
    <w:uiPriority w:val="0"/>
    <w:pPr>
      <w:autoSpaceDE w:val="0"/>
      <w:autoSpaceDN w:val="0"/>
      <w:adjustRightInd w:val="0"/>
      <w:jc w:val="left"/>
    </w:pPr>
    <w:rPr>
      <w:rFonts w:ascii="黑体" w:eastAsia="黑体"/>
      <w:b/>
      <w:kern w:val="0"/>
      <w:sz w:val="20"/>
    </w:rPr>
  </w:style>
  <w:style w:type="paragraph" w:customStyle="1" w:styleId="238">
    <w:name w:val="Char1 Char Char Char1"/>
    <w:basedOn w:val="1"/>
    <w:qFormat/>
    <w:uiPriority w:val="0"/>
    <w:rPr>
      <w:rFonts w:ascii="Tahoma" w:hAnsi="Tahoma"/>
      <w:sz w:val="24"/>
    </w:rPr>
  </w:style>
  <w:style w:type="paragraph" w:customStyle="1" w:styleId="239">
    <w:name w:val="表文字"/>
    <w:qFormat/>
    <w:uiPriority w:val="0"/>
    <w:rPr>
      <w:rFonts w:ascii="宋体" w:hAnsi="Calibri" w:eastAsia="宋体" w:cs="Times New Roman"/>
      <w:kern w:val="2"/>
      <w:lang w:val="en-US" w:eastAsia="zh-CN" w:bidi="ar-SA"/>
    </w:rPr>
  </w:style>
  <w:style w:type="paragraph" w:customStyle="1" w:styleId="240">
    <w:name w:val="正文4"/>
    <w:basedOn w:val="1"/>
    <w:qFormat/>
    <w:uiPriority w:val="0"/>
    <w:pPr>
      <w:tabs>
        <w:tab w:val="left" w:pos="1275"/>
      </w:tabs>
      <w:spacing w:before="60" w:after="60" w:line="360" w:lineRule="auto"/>
      <w:ind w:left="820" w:leftChars="400" w:hanging="705"/>
    </w:pPr>
    <w:rPr>
      <w:sz w:val="24"/>
    </w:rPr>
  </w:style>
  <w:style w:type="paragraph" w:customStyle="1" w:styleId="241">
    <w:name w:val="可研正文"/>
    <w:basedOn w:val="17"/>
    <w:qFormat/>
    <w:uiPriority w:val="0"/>
    <w:pPr>
      <w:adjustRightInd w:val="0"/>
      <w:snapToGrid w:val="0"/>
      <w:spacing w:line="440" w:lineRule="exact"/>
      <w:ind w:firstLine="567"/>
    </w:pPr>
    <w:rPr>
      <w:sz w:val="28"/>
    </w:rPr>
  </w:style>
  <w:style w:type="paragraph" w:customStyle="1" w:styleId="242">
    <w:name w:val="缺省文本"/>
    <w:basedOn w:val="1"/>
    <w:qFormat/>
    <w:uiPriority w:val="0"/>
    <w:pPr>
      <w:tabs>
        <w:tab w:val="left" w:pos="1260"/>
      </w:tabs>
      <w:autoSpaceDE w:val="0"/>
      <w:autoSpaceDN w:val="0"/>
      <w:adjustRightInd w:val="0"/>
      <w:spacing w:line="360" w:lineRule="auto"/>
      <w:jc w:val="left"/>
    </w:pPr>
    <w:rPr>
      <w:kern w:val="0"/>
      <w:sz w:val="24"/>
    </w:rPr>
  </w:style>
  <w:style w:type="paragraph" w:customStyle="1" w:styleId="243">
    <w:name w:val="正文 + 三号"/>
    <w:basedOn w:val="1"/>
    <w:qFormat/>
    <w:uiPriority w:val="0"/>
    <w:rPr>
      <w:sz w:val="21"/>
    </w:rPr>
  </w:style>
  <w:style w:type="paragraph" w:customStyle="1" w:styleId="244">
    <w:name w:val="样式3"/>
    <w:basedOn w:val="3"/>
    <w:next w:val="3"/>
    <w:qFormat/>
    <w:uiPriority w:val="0"/>
    <w:pPr>
      <w:keepLines/>
      <w:adjustRightInd w:val="0"/>
      <w:spacing w:before="340" w:after="330" w:line="576" w:lineRule="auto"/>
    </w:pPr>
    <w:rPr>
      <w:rFonts w:ascii="Times New Roman" w:eastAsia="黑体"/>
      <w:b/>
      <w:kern w:val="44"/>
      <w:sz w:val="44"/>
    </w:rPr>
  </w:style>
  <w:style w:type="paragraph" w:customStyle="1" w:styleId="245">
    <w:name w:val="列表项目"/>
    <w:basedOn w:val="1"/>
    <w:qFormat/>
    <w:uiPriority w:val="0"/>
    <w:pPr>
      <w:numPr>
        <w:ilvl w:val="0"/>
        <w:numId w:val="12"/>
      </w:numPr>
      <w:tabs>
        <w:tab w:val="left" w:pos="420"/>
      </w:tabs>
      <w:spacing w:line="288" w:lineRule="auto"/>
      <w:ind w:left="840" w:leftChars="200" w:hanging="420" w:hangingChars="200"/>
    </w:pPr>
    <w:rPr>
      <w:sz w:val="21"/>
    </w:rPr>
  </w:style>
  <w:style w:type="paragraph" w:customStyle="1" w:styleId="246">
    <w:name w:val="标题1"/>
    <w:basedOn w:val="1"/>
    <w:next w:val="1"/>
    <w:qFormat/>
    <w:uiPriority w:val="0"/>
    <w:rPr>
      <w:rFonts w:ascii="Times New Roman" w:hAnsi="Times New Roman"/>
    </w:rPr>
  </w:style>
  <w:style w:type="paragraph" w:customStyle="1" w:styleId="247">
    <w:name w:val="xl23"/>
    <w:basedOn w:val="1"/>
    <w:qFormat/>
    <w:uiPriority w:val="0"/>
    <w:pPr>
      <w:widowControl/>
      <w:spacing w:before="100" w:beforeAutospacing="1" w:after="100" w:afterAutospacing="1" w:line="360" w:lineRule="auto"/>
      <w:textAlignment w:val="top"/>
    </w:pPr>
    <w:rPr>
      <w:kern w:val="0"/>
      <w:sz w:val="24"/>
    </w:rPr>
  </w:style>
  <w:style w:type="paragraph" w:customStyle="1" w:styleId="248">
    <w:name w:val="关键词"/>
    <w:basedOn w:val="1"/>
    <w:next w:val="1"/>
    <w:qFormat/>
    <w:uiPriority w:val="0"/>
    <w:pPr>
      <w:spacing w:line="360" w:lineRule="auto"/>
    </w:pPr>
    <w:rPr>
      <w:rFonts w:eastAsia="黑体"/>
      <w:sz w:val="20"/>
    </w:rPr>
  </w:style>
  <w:style w:type="paragraph" w:customStyle="1" w:styleId="249">
    <w:name w:val="Char Char Char Char Char Char Char1"/>
    <w:basedOn w:val="20"/>
    <w:qFormat/>
    <w:uiPriority w:val="0"/>
    <w:rPr>
      <w:rFonts w:ascii="宋体" w:hAnsi="Tahoma"/>
    </w:rPr>
  </w:style>
  <w:style w:type="paragraph" w:customStyle="1" w:styleId="250">
    <w:name w:val="普通(网站)1"/>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251">
    <w:name w:val="Char Char Char Char Char Char1 Char"/>
    <w:basedOn w:val="1"/>
    <w:qFormat/>
    <w:uiPriority w:val="0"/>
    <w:pPr>
      <w:widowControl/>
      <w:spacing w:after="160" w:line="240" w:lineRule="exact"/>
      <w:jc w:val="left"/>
    </w:pPr>
    <w:rPr>
      <w:rFonts w:ascii="Verdana" w:hAnsi="Verdana"/>
      <w:kern w:val="0"/>
      <w:sz w:val="21"/>
      <w:lang w:eastAsia="en-US"/>
    </w:rPr>
  </w:style>
  <w:style w:type="paragraph" w:customStyle="1" w:styleId="252">
    <w:name w:val="Char Char1"/>
    <w:basedOn w:val="1"/>
    <w:qFormat/>
    <w:uiPriority w:val="0"/>
    <w:pPr>
      <w:widowControl/>
      <w:spacing w:after="160" w:line="240" w:lineRule="exact"/>
      <w:jc w:val="left"/>
    </w:pPr>
    <w:rPr>
      <w:rFonts w:ascii="Verdana" w:hAnsi="Verdana"/>
      <w:kern w:val="0"/>
      <w:sz w:val="20"/>
      <w:lang w:eastAsia="en-US"/>
    </w:rPr>
  </w:style>
  <w:style w:type="paragraph" w:customStyle="1" w:styleId="253">
    <w:name w:val="Char2"/>
    <w:basedOn w:val="1"/>
    <w:qFormat/>
    <w:uiPriority w:val="0"/>
    <w:pPr>
      <w:spacing w:line="240" w:lineRule="atLeast"/>
      <w:ind w:left="420" w:firstLine="420"/>
    </w:pPr>
    <w:rPr>
      <w:kern w:val="0"/>
      <w:sz w:val="21"/>
    </w:rPr>
  </w:style>
  <w:style w:type="paragraph" w:customStyle="1" w:styleId="254">
    <w:name w:val="样式12"/>
    <w:basedOn w:val="1"/>
    <w:next w:val="1"/>
    <w:qFormat/>
    <w:uiPriority w:val="0"/>
    <w:rPr>
      <w:rFonts w:ascii="Times New Roman" w:hAnsi="Times New Roman" w:eastAsia="仿宋"/>
      <w:sz w:val="24"/>
    </w:rPr>
  </w:style>
  <w:style w:type="paragraph" w:customStyle="1" w:styleId="255">
    <w:name w:val="样式2"/>
    <w:basedOn w:val="6"/>
    <w:qFormat/>
    <w:uiPriority w:val="0"/>
    <w:pPr>
      <w:numPr>
        <w:ilvl w:val="0"/>
        <w:numId w:val="13"/>
      </w:numPr>
      <w:spacing w:before="560" w:line="400" w:lineRule="exact"/>
      <w:jc w:val="center"/>
      <w:outlineLvl w:val="0"/>
    </w:pPr>
    <w:rPr>
      <w:sz w:val="44"/>
    </w:rPr>
  </w:style>
  <w:style w:type="paragraph" w:customStyle="1" w:styleId="256">
    <w:name w:val="标题5"/>
    <w:basedOn w:val="1"/>
    <w:qFormat/>
    <w:uiPriority w:val="0"/>
    <w:pPr>
      <w:tabs>
        <w:tab w:val="left" w:pos="0"/>
      </w:tabs>
      <w:autoSpaceDE w:val="0"/>
      <w:autoSpaceDN w:val="0"/>
      <w:adjustRightInd w:val="0"/>
      <w:snapToGrid w:val="0"/>
      <w:spacing w:line="320" w:lineRule="atLeast"/>
    </w:pPr>
    <w:rPr>
      <w:rFonts w:ascii="宋体"/>
      <w:kern w:val="0"/>
      <w:sz w:val="21"/>
    </w:rPr>
  </w:style>
  <w:style w:type="paragraph" w:customStyle="1" w:styleId="257">
    <w:name w:val="列出段落11"/>
    <w:qFormat/>
    <w:uiPriority w:val="0"/>
    <w:pPr>
      <w:framePr w:wrap="around" w:vAnchor="margin" w:hAnchor="text" w:y="1"/>
      <w:widowControl w:val="0"/>
      <w:ind w:firstLine="420"/>
      <w:jc w:val="both"/>
    </w:pPr>
    <w:rPr>
      <w:rFonts w:ascii="Calibri" w:hAnsi="Calibri" w:eastAsia="Times New Roman" w:cs="Calibri"/>
      <w:color w:val="000000"/>
      <w:kern w:val="2"/>
      <w:sz w:val="21"/>
      <w:szCs w:val="21"/>
      <w:u w:color="000000"/>
      <w:lang w:val="en-US" w:eastAsia="zh-CN" w:bidi="ar-SA"/>
    </w:rPr>
  </w:style>
  <w:style w:type="paragraph" w:customStyle="1" w:styleId="258">
    <w:name w:val="文章正文"/>
    <w:basedOn w:val="1"/>
    <w:qFormat/>
    <w:uiPriority w:val="0"/>
    <w:pPr>
      <w:ind w:firstLine="560" w:firstLineChars="200"/>
    </w:pPr>
    <w:rPr>
      <w:rFonts w:ascii="仿宋_GB2312" w:hAnsi="宋体" w:eastAsia="仿宋_GB2312"/>
      <w:color w:val="000000"/>
    </w:rPr>
  </w:style>
  <w:style w:type="paragraph" w:customStyle="1" w:styleId="259">
    <w:name w:val="默认段落字体 Para Char Char Char Char Char Char Char Char Char1 Char Char Char Char"/>
    <w:basedOn w:val="1"/>
    <w:qFormat/>
    <w:uiPriority w:val="0"/>
    <w:rPr>
      <w:rFonts w:ascii="Tahoma" w:hAnsi="Tahoma"/>
      <w:sz w:val="24"/>
    </w:rPr>
  </w:style>
  <w:style w:type="paragraph" w:customStyle="1" w:styleId="260">
    <w:name w:val="图标"/>
    <w:basedOn w:val="1"/>
    <w:next w:val="1"/>
    <w:qFormat/>
    <w:uiPriority w:val="0"/>
    <w:pPr>
      <w:tabs>
        <w:tab w:val="left" w:pos="420"/>
        <w:tab w:val="left" w:pos="567"/>
        <w:tab w:val="left" w:pos="720"/>
      </w:tabs>
      <w:autoSpaceDE w:val="0"/>
      <w:autoSpaceDN w:val="0"/>
      <w:adjustRightInd w:val="0"/>
      <w:snapToGrid w:val="0"/>
      <w:spacing w:before="120" w:after="120" w:line="320" w:lineRule="atLeast"/>
      <w:ind w:left="420" w:hanging="420"/>
      <w:jc w:val="center"/>
      <w:textAlignment w:val="baseline"/>
    </w:pPr>
    <w:rPr>
      <w:rFonts w:eastAsia="仿宋_GB2312"/>
      <w:kern w:val="0"/>
      <w:sz w:val="24"/>
    </w:rPr>
  </w:style>
  <w:style w:type="paragraph" w:customStyle="1" w:styleId="261">
    <w:name w:val="Title - Revision"/>
    <w:basedOn w:val="59"/>
    <w:qFormat/>
    <w:uiPriority w:val="0"/>
    <w:pPr>
      <w:spacing w:before="720"/>
    </w:pPr>
  </w:style>
  <w:style w:type="paragraph" w:customStyle="1" w:styleId="262">
    <w:name w:val="样式 仿宋_GB2312 首行缩进:  2 字符"/>
    <w:basedOn w:val="1"/>
    <w:qFormat/>
    <w:uiPriority w:val="0"/>
    <w:pPr>
      <w:spacing w:line="600" w:lineRule="exact"/>
      <w:ind w:firstLine="420" w:firstLineChars="150"/>
      <w:jc w:val="left"/>
    </w:pPr>
    <w:rPr>
      <w:rFonts w:ascii="仿宋_GB2312" w:hAnsi="Arial" w:eastAsia="仿宋_GB2312"/>
      <w:color w:val="000000"/>
      <w:kern w:val="0"/>
      <w:lang w:val="zh-CN"/>
    </w:rPr>
  </w:style>
  <w:style w:type="paragraph" w:customStyle="1" w:styleId="263">
    <w:name w:val="样式 样式 正文首行缩进 2 + 左  0 字符 + 首行缩进:  2.57 字符"/>
    <w:basedOn w:val="1"/>
    <w:next w:val="1"/>
    <w:qFormat/>
    <w:uiPriority w:val="0"/>
    <w:pPr>
      <w:adjustRightInd w:val="0"/>
      <w:snapToGrid w:val="0"/>
      <w:spacing w:after="120"/>
      <w:ind w:firstLine="540" w:firstLineChars="257"/>
    </w:pPr>
    <w:rPr>
      <w:sz w:val="21"/>
    </w:rPr>
  </w:style>
  <w:style w:type="paragraph" w:customStyle="1" w:styleId="264">
    <w:name w:val="Note"/>
    <w:basedOn w:val="1"/>
    <w:qFormat/>
    <w:uiPriority w:val="0"/>
    <w:pPr>
      <w:pBdr>
        <w:top w:val="single" w:color="auto" w:sz="12" w:space="3"/>
        <w:bottom w:val="single" w:color="auto" w:sz="12" w:space="3"/>
      </w:pBdr>
      <w:spacing w:line="360" w:lineRule="auto"/>
    </w:pPr>
    <w:rPr>
      <w:sz w:val="24"/>
    </w:rPr>
  </w:style>
  <w:style w:type="paragraph" w:customStyle="1" w:styleId="265">
    <w:name w:val="文档正文 Char Char Char Char Char"/>
    <w:basedOn w:val="1"/>
    <w:qFormat/>
    <w:uiPriority w:val="0"/>
    <w:pPr>
      <w:adjustRightInd w:val="0"/>
      <w:spacing w:line="440" w:lineRule="exact"/>
      <w:ind w:firstLine="420"/>
      <w:textAlignment w:val="baseline"/>
    </w:pPr>
    <w:rPr>
      <w:rFonts w:ascii="Arial Narrow" w:hAnsi="Arial Narrow"/>
      <w:kern w:val="0"/>
      <w:sz w:val="24"/>
    </w:rPr>
  </w:style>
  <w:style w:type="paragraph" w:customStyle="1" w:styleId="266">
    <w:name w:val="Char Char1 Char Char Char Char Char Char Char Char Char Char Char Char Char Char"/>
    <w:basedOn w:val="1"/>
    <w:qFormat/>
    <w:uiPriority w:val="0"/>
    <w:pPr>
      <w:widowControl/>
      <w:spacing w:after="160" w:line="240" w:lineRule="exact"/>
      <w:jc w:val="left"/>
    </w:pPr>
    <w:rPr>
      <w:rFonts w:ascii="Verdana" w:hAnsi="Verdana"/>
      <w:kern w:val="0"/>
      <w:sz w:val="20"/>
      <w:lang w:eastAsia="en-US"/>
    </w:rPr>
  </w:style>
  <w:style w:type="paragraph" w:customStyle="1" w:styleId="267">
    <w:name w:val="样式9"/>
    <w:basedOn w:val="1"/>
    <w:next w:val="1"/>
    <w:qFormat/>
    <w:uiPriority w:val="0"/>
    <w:rPr>
      <w:rFonts w:ascii="Times New Roman" w:hAnsi="Times New Roman" w:eastAsia="仿宋"/>
      <w:sz w:val="24"/>
    </w:rPr>
  </w:style>
  <w:style w:type="paragraph" w:customStyle="1" w:styleId="268">
    <w:name w:val="首行缩进 1"/>
    <w:basedOn w:val="1"/>
    <w:qFormat/>
    <w:uiPriority w:val="0"/>
    <w:pPr>
      <w:spacing w:after="120" w:line="360" w:lineRule="auto"/>
      <w:ind w:firstLine="200" w:firstLineChars="200"/>
    </w:pPr>
    <w:rPr>
      <w:sz w:val="24"/>
    </w:rPr>
  </w:style>
  <w:style w:type="paragraph" w:customStyle="1" w:styleId="269">
    <w:name w:val="1"/>
    <w:basedOn w:val="1"/>
    <w:next w:val="33"/>
    <w:qFormat/>
    <w:uiPriority w:val="0"/>
    <w:rPr>
      <w:rFonts w:ascii="宋体" w:hAnsi="Courier New"/>
      <w:sz w:val="21"/>
    </w:rPr>
  </w:style>
  <w:style w:type="paragraph" w:customStyle="1" w:styleId="270">
    <w:name w:val="1.正文"/>
    <w:basedOn w:val="1"/>
    <w:qFormat/>
    <w:uiPriority w:val="0"/>
    <w:pPr>
      <w:spacing w:line="360" w:lineRule="auto"/>
      <w:ind w:left="540" w:leftChars="225" w:firstLine="540" w:firstLineChars="225"/>
    </w:pPr>
    <w:rPr>
      <w:sz w:val="24"/>
    </w:rPr>
  </w:style>
  <w:style w:type="paragraph" w:customStyle="1" w:styleId="271">
    <w:name w:val="Style Heading 3h3Heading 3 - oldLevel 3 HeadH3level_3PIM 3se..."/>
    <w:basedOn w:val="5"/>
    <w:qFormat/>
    <w:uiPriority w:val="0"/>
    <w:pPr>
      <w:tabs>
        <w:tab w:val="left" w:pos="709"/>
        <w:tab w:val="left" w:pos="1620"/>
      </w:tabs>
      <w:ind w:left="1620" w:hanging="360"/>
    </w:pPr>
  </w:style>
  <w:style w:type="paragraph" w:customStyle="1" w:styleId="272">
    <w:name w:val="摘要"/>
    <w:basedOn w:val="1"/>
    <w:next w:val="4"/>
    <w:qFormat/>
    <w:uiPriority w:val="0"/>
    <w:pPr>
      <w:spacing w:line="360" w:lineRule="auto"/>
    </w:pPr>
    <w:rPr>
      <w:rFonts w:eastAsia="黑体"/>
      <w:sz w:val="20"/>
    </w:rPr>
  </w:style>
  <w:style w:type="paragraph" w:customStyle="1" w:styleId="273">
    <w:name w:val="Char Char Char"/>
    <w:basedOn w:val="1"/>
    <w:qFormat/>
    <w:uiPriority w:val="0"/>
    <w:rPr>
      <w:rFonts w:ascii="Tahoma" w:hAnsi="Tahoma"/>
      <w:sz w:val="24"/>
    </w:rPr>
  </w:style>
  <w:style w:type="paragraph" w:customStyle="1" w:styleId="274">
    <w:name w:val="引用11"/>
    <w:basedOn w:val="1"/>
    <w:next w:val="1"/>
    <w:qFormat/>
    <w:uiPriority w:val="29"/>
    <w:rPr>
      <w:i/>
      <w:iCs/>
      <w:color w:val="000000"/>
    </w:rPr>
  </w:style>
  <w:style w:type="paragraph" w:customStyle="1" w:styleId="275">
    <w:name w:val="西研院正文"/>
    <w:basedOn w:val="1"/>
    <w:qFormat/>
    <w:uiPriority w:val="0"/>
    <w:pPr>
      <w:spacing w:line="560" w:lineRule="exact"/>
      <w:ind w:firstLine="643" w:firstLineChars="200"/>
    </w:pPr>
    <w:rPr>
      <w:rFonts w:eastAsia="方正仿宋_GBK"/>
      <w:sz w:val="32"/>
    </w:rPr>
  </w:style>
  <w:style w:type="character" w:customStyle="1" w:styleId="276">
    <w:name w:val="NormalCharacter"/>
    <w:qFormat/>
    <w:uiPriority w:val="0"/>
  </w:style>
  <w:style w:type="character" w:customStyle="1" w:styleId="277">
    <w:name w:val="未处理的提及1"/>
    <w:basedOn w:val="65"/>
    <w:unhideWhenUsed/>
    <w:qFormat/>
    <w:uiPriority w:val="99"/>
    <w:rPr>
      <w:color w:val="605E5C"/>
      <w:shd w:val="clear" w:color="auto" w:fill="E1DFDD"/>
    </w:rPr>
  </w:style>
  <w:style w:type="character" w:customStyle="1" w:styleId="278">
    <w:name w:val="font61"/>
    <w:basedOn w:val="65"/>
    <w:qFormat/>
    <w:uiPriority w:val="0"/>
    <w:rPr>
      <w:rFonts w:hint="default" w:ascii="方正仿宋_GBK" w:hAnsi="方正仿宋_GBK" w:eastAsia="方正仿宋_GBK" w:cs="方正仿宋_GBK"/>
      <w:color w:val="000000"/>
      <w:sz w:val="32"/>
      <w:szCs w:val="32"/>
      <w:u w:val="none"/>
    </w:rPr>
  </w:style>
  <w:style w:type="paragraph" w:customStyle="1" w:styleId="279">
    <w:name w:val="附件"/>
    <w:next w:val="1"/>
    <w:qFormat/>
    <w:uiPriority w:val="0"/>
    <w:pPr>
      <w:tabs>
        <w:tab w:val="right" w:leader="dot" w:pos="9402"/>
      </w:tabs>
      <w:spacing w:line="400" w:lineRule="exact"/>
      <w:jc w:val="center"/>
      <w:outlineLvl w:val="0"/>
    </w:pPr>
    <w:rPr>
      <w:rFonts w:ascii="Times New Roman" w:hAnsi="Times New Roman" w:eastAsia="方正黑体_GBK" w:cs="Times New Roman"/>
      <w:b/>
      <w:bCs/>
      <w:smallCaps/>
      <w:kern w:val="2"/>
      <w:sz w:val="28"/>
      <w:lang w:val="en-US" w:eastAsia="zh-CN" w:bidi="ar-SA"/>
    </w:rPr>
  </w:style>
  <w:style w:type="paragraph" w:customStyle="1" w:styleId="280">
    <w:name w:val="List Paragraph"/>
    <w:basedOn w:val="1"/>
    <w:qFormat/>
    <w:uiPriority w:val="34"/>
    <w:pPr>
      <w:ind w:firstLine="420" w:firstLineChars="200"/>
    </w:pPr>
  </w:style>
  <w:style w:type="table" w:customStyle="1" w:styleId="281">
    <w:name w:val="Table Normal"/>
    <w:unhideWhenUsed/>
    <w:qFormat/>
    <w:uiPriority w:val="0"/>
    <w:rPr>
      <w:rFonts w:ascii="Arial" w:hAnsi="Arial" w:cs="Arial" w:eastAsiaTheme="minorEastAsia"/>
    </w:rPr>
    <w:tblPr>
      <w:tblCellMar>
        <w:top w:w="0" w:type="dxa"/>
        <w:left w:w="0" w:type="dxa"/>
        <w:bottom w:w="0" w:type="dxa"/>
        <w:right w:w="0" w:type="dxa"/>
      </w:tblCellMar>
    </w:tblPr>
  </w:style>
  <w:style w:type="paragraph" w:customStyle="1" w:styleId="282">
    <w:name w:val="Heading4"/>
    <w:next w:val="1"/>
    <w:qFormat/>
    <w:uiPriority w:val="0"/>
    <w:pPr>
      <w:keepNext/>
      <w:keepLines/>
      <w:spacing w:before="260" w:after="260" w:line="372" w:lineRule="auto"/>
      <w:jc w:val="both"/>
      <w:textAlignment w:val="baseline"/>
    </w:pPr>
    <w:rPr>
      <w:rFonts w:ascii="Arial" w:hAnsi="Arial" w:eastAsia="黑体" w:cs="Times New Roman"/>
      <w:b/>
      <w:bCs/>
      <w:kern w:val="2"/>
      <w:sz w:val="28"/>
      <w:szCs w:val="32"/>
      <w:lang w:val="en-US" w:eastAsia="en-US" w:bidi="ar-SA"/>
    </w:rPr>
  </w:style>
  <w:style w:type="character" w:customStyle="1" w:styleId="283">
    <w:name w:val="font21"/>
    <w:basedOn w:val="65"/>
    <w:qFormat/>
    <w:uiPriority w:val="0"/>
    <w:rPr>
      <w:rFonts w:ascii="Arial" w:hAnsi="Arial" w:cs="Arial"/>
      <w:color w:val="000000"/>
      <w:sz w:val="18"/>
      <w:szCs w:val="18"/>
      <w:u w:val="none"/>
    </w:rPr>
  </w:style>
  <w:style w:type="paragraph" w:customStyle="1" w:styleId="284">
    <w:name w:val="p0"/>
    <w:basedOn w:val="1"/>
    <w:qFormat/>
    <w:uiPriority w:val="0"/>
    <w:pPr>
      <w:widowControl/>
    </w:pPr>
    <w:rPr>
      <w:kern w:val="0"/>
      <w:sz w:val="21"/>
      <w:szCs w:val="21"/>
    </w:rPr>
  </w:style>
  <w:style w:type="paragraph" w:customStyle="1" w:styleId="285">
    <w:name w:val="Revision"/>
    <w:hidden/>
    <w:unhideWhenUsed/>
    <w:qFormat/>
    <w:uiPriority w:val="99"/>
    <w:rPr>
      <w:rFonts w:ascii="Calibri" w:hAnsi="Calibri" w:eastAsia="宋体" w:cs="Times New Roman"/>
      <w:kern w:val="2"/>
      <w:sz w:val="28"/>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theme" Target="theme/theme1.xml"/><Relationship Id="rId15" Type="http://schemas.openxmlformats.org/officeDocument/2006/relationships/header" Target="header7.xml"/><Relationship Id="rId14" Type="http://schemas.openxmlformats.org/officeDocument/2006/relationships/header" Target="header6.xml"/><Relationship Id="rId13" Type="http://schemas.openxmlformats.org/officeDocument/2006/relationships/header" Target="header5.xml"/><Relationship Id="rId12" Type="http://schemas.openxmlformats.org/officeDocument/2006/relationships/footer" Target="footer6.xml"/><Relationship Id="rId11" Type="http://schemas.openxmlformats.org/officeDocument/2006/relationships/footer" Target="footer5.xml"/><Relationship Id="rId10" Type="http://schemas.openxmlformats.org/officeDocument/2006/relationships/header" Target="header4.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Hewlett-Packard Company</Company>
  <Pages>59</Pages>
  <Words>3665</Words>
  <Characters>3946</Characters>
  <Lines>123</Lines>
  <Paragraphs>34</Paragraphs>
  <TotalTime>3</TotalTime>
  <ScaleCrop>false</ScaleCrop>
  <LinksUpToDate>false</LinksUpToDate>
  <CharactersWithSpaces>4088</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2025-05-27T15:20:00Z</dcterms:created>
  <dc:creator>刘胜仲</dc:creator>
  <cp:lastModifiedBy>罗</cp:lastModifiedBy>
  <cp:lastPrinted>2025-12-05T01:38:00Z</cp:lastPrinted>
  <dcterms:modified xsi:type="dcterms:W3CDTF">2026-04-30T06:50:45Z</dcterms:modified>
  <dc:title>竞争性谈判文件</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KSOSaveFontToCloudKey">
    <vt:lpwstr>7990579_cloud</vt:lpwstr>
  </property>
  <property fmtid="{D5CDD505-2E9C-101B-9397-08002B2CF9AE}" pid="4" name="ICV">
    <vt:lpwstr>3A643746DD2845FE852133AAE0A1848E_13</vt:lpwstr>
  </property>
  <property fmtid="{D5CDD505-2E9C-101B-9397-08002B2CF9AE}" pid="5" name="commondata">
    <vt:lpwstr>eyJoZGlkIjoiZDdiYjdhYmUyNjNhZjhhZWUwNGEwN2ZhNDNlYzkxN2UifQ==</vt:lpwstr>
  </property>
  <property fmtid="{D5CDD505-2E9C-101B-9397-08002B2CF9AE}" pid="6" name="KSOTemplateDocerSaveRecord">
    <vt:lpwstr>eyJoZGlkIjoiMmUwOTRiMmUwODZmZDc0NjBmNzlhYmExOTU0NWE1MzkiLCJ1c2VySWQiOiI0MTQ2OTY2NTgifQ==</vt:lpwstr>
  </property>
</Properties>
</file>