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213E3">
      <w:pPr>
        <w:snapToGrid w:val="0"/>
        <w:jc w:val="center"/>
        <w:rPr>
          <w:rFonts w:hint="eastAsia" w:ascii="宋体" w:hAnsi="宋体" w:eastAsia="宋体" w:cs="宋体"/>
          <w:b/>
          <w:bCs/>
          <w:color w:val="auto"/>
          <w:sz w:val="36"/>
          <w:szCs w:val="36"/>
          <w:highlight w:val="none"/>
        </w:rPr>
      </w:pPr>
    </w:p>
    <w:p w14:paraId="6C9947BC">
      <w:pPr>
        <w:snapToGrid w:val="0"/>
        <w:jc w:val="center"/>
        <w:rPr>
          <w:rFonts w:hint="eastAsia" w:ascii="宋体" w:hAnsi="宋体" w:eastAsia="宋体" w:cs="宋体"/>
          <w:color w:val="auto"/>
          <w:sz w:val="144"/>
          <w:szCs w:val="144"/>
          <w:highlight w:val="none"/>
          <w:lang w:val="en-US"/>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lang w:eastAsia="zh-CN"/>
        </w:rPr>
        <w:t>：</w:t>
      </w:r>
      <w:r>
        <w:rPr>
          <w:rFonts w:hint="eastAsia" w:ascii="宋体" w:hAnsi="宋体" w:cs="宋体"/>
          <w:b/>
          <w:bCs/>
          <w:color w:val="auto"/>
          <w:sz w:val="36"/>
          <w:szCs w:val="36"/>
          <w:highlight w:val="none"/>
          <w:lang w:val="en-US" w:eastAsia="zh-CN"/>
        </w:rPr>
        <w:t>重庆市南岸区南坪四海小学校风雨操场钢屋面防水改建工程</w:t>
      </w:r>
    </w:p>
    <w:p w14:paraId="75A34878">
      <w:pPr>
        <w:snapToGrid w:val="0"/>
        <w:jc w:val="center"/>
        <w:rPr>
          <w:rFonts w:hint="eastAsia" w:ascii="宋体" w:hAnsi="宋体" w:eastAsia="宋体" w:cs="宋体"/>
          <w:color w:val="auto"/>
          <w:sz w:val="110"/>
          <w:szCs w:val="110"/>
          <w:highlight w:val="none"/>
        </w:rPr>
      </w:pPr>
    </w:p>
    <w:p w14:paraId="5B938BBB">
      <w:pPr>
        <w:snapToGrid w:val="0"/>
        <w:jc w:val="center"/>
        <w:rPr>
          <w:rFonts w:hint="eastAsia" w:ascii="宋体" w:hAnsi="宋体" w:eastAsia="宋体" w:cs="宋体"/>
          <w:color w:val="auto"/>
          <w:sz w:val="110"/>
          <w:szCs w:val="110"/>
          <w:highlight w:val="none"/>
          <w:lang w:val="en-US" w:eastAsia="zh-CN"/>
        </w:rPr>
      </w:pPr>
    </w:p>
    <w:p w14:paraId="58C30196">
      <w:pPr>
        <w:pStyle w:val="3"/>
        <w:rPr>
          <w:rFonts w:hint="eastAsia"/>
          <w:highlight w:val="none"/>
          <w:lang w:val="en-US" w:eastAsia="zh-CN"/>
        </w:rPr>
      </w:pPr>
    </w:p>
    <w:p w14:paraId="60B38111">
      <w:pPr>
        <w:snapToGrid w:val="0"/>
        <w:jc w:val="center"/>
        <w:rPr>
          <w:rFonts w:hint="eastAsia" w:ascii="宋体" w:hAnsi="宋体" w:eastAsia="宋体" w:cs="宋体"/>
          <w:color w:val="auto"/>
          <w:sz w:val="110"/>
          <w:szCs w:val="110"/>
          <w:highlight w:val="none"/>
          <w:lang w:val="en-US" w:eastAsia="zh-CN"/>
        </w:rPr>
      </w:pPr>
      <w:r>
        <w:rPr>
          <w:rFonts w:hint="eastAsia" w:ascii="宋体" w:hAnsi="宋体" w:eastAsia="宋体" w:cs="宋体"/>
          <w:color w:val="auto"/>
          <w:sz w:val="110"/>
          <w:szCs w:val="110"/>
          <w:highlight w:val="none"/>
          <w:lang w:val="en-US" w:eastAsia="zh-CN"/>
        </w:rPr>
        <w:t>招标文件</w:t>
      </w:r>
    </w:p>
    <w:p w14:paraId="1FF34FAE">
      <w:pPr>
        <w:spacing w:line="700" w:lineRule="exact"/>
        <w:jc w:val="center"/>
        <w:rPr>
          <w:rFonts w:hint="eastAsia" w:ascii="宋体" w:hAnsi="宋体" w:eastAsia="宋体" w:cs="宋体"/>
          <w:color w:val="auto"/>
          <w:sz w:val="40"/>
          <w:szCs w:val="22"/>
          <w:highlight w:val="none"/>
        </w:rPr>
      </w:pPr>
    </w:p>
    <w:p w14:paraId="2827980F">
      <w:pPr>
        <w:spacing w:line="500" w:lineRule="exact"/>
        <w:outlineLvl w:val="0"/>
        <w:rPr>
          <w:rFonts w:hint="eastAsia" w:ascii="宋体" w:hAnsi="宋体" w:eastAsia="宋体" w:cs="宋体"/>
          <w:color w:val="auto"/>
          <w:sz w:val="44"/>
          <w:szCs w:val="22"/>
          <w:highlight w:val="none"/>
        </w:rPr>
      </w:pPr>
    </w:p>
    <w:p w14:paraId="0DF7E63A">
      <w:pPr>
        <w:pStyle w:val="31"/>
        <w:rPr>
          <w:rFonts w:hint="eastAsia" w:ascii="宋体" w:hAnsi="宋体" w:eastAsia="宋体" w:cs="宋体"/>
          <w:color w:val="auto"/>
          <w:highlight w:val="none"/>
        </w:rPr>
      </w:pPr>
    </w:p>
    <w:p w14:paraId="5A3283AE">
      <w:pPr>
        <w:rPr>
          <w:rFonts w:hint="eastAsia" w:ascii="宋体" w:hAnsi="宋体" w:eastAsia="宋体" w:cs="宋体"/>
          <w:color w:val="auto"/>
          <w:highlight w:val="none"/>
        </w:rPr>
      </w:pPr>
    </w:p>
    <w:p w14:paraId="37547414">
      <w:pPr>
        <w:pStyle w:val="3"/>
        <w:rPr>
          <w:rFonts w:hint="eastAsia"/>
          <w:highlight w:val="none"/>
        </w:rPr>
      </w:pPr>
    </w:p>
    <w:p w14:paraId="44685707">
      <w:pPr>
        <w:pStyle w:val="3"/>
        <w:rPr>
          <w:rFonts w:hint="eastAsia" w:ascii="宋体" w:hAnsi="宋体" w:eastAsia="宋体" w:cs="宋体"/>
          <w:color w:val="auto"/>
          <w:highlight w:val="none"/>
        </w:rPr>
      </w:pPr>
    </w:p>
    <w:p w14:paraId="0FA735CD">
      <w:pPr>
        <w:rPr>
          <w:rFonts w:hint="eastAsia" w:ascii="宋体" w:hAnsi="宋体" w:eastAsia="宋体" w:cs="宋体"/>
          <w:color w:val="auto"/>
          <w:highlight w:val="none"/>
        </w:rPr>
      </w:pPr>
    </w:p>
    <w:p w14:paraId="737095A7">
      <w:pPr>
        <w:spacing w:line="360" w:lineRule="auto"/>
        <w:ind w:firstLine="1920" w:firstLineChars="600"/>
        <w:jc w:val="both"/>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招   标   </w:t>
      </w:r>
      <w:r>
        <w:rPr>
          <w:rFonts w:hint="eastAsia" w:ascii="宋体" w:hAnsi="宋体" w:eastAsia="宋体" w:cs="宋体"/>
          <w:color w:val="auto"/>
          <w:sz w:val="32"/>
          <w:szCs w:val="32"/>
          <w:highlight w:val="none"/>
        </w:rPr>
        <w:t>人：</w:t>
      </w:r>
      <w:r>
        <w:rPr>
          <w:rFonts w:hint="eastAsia" w:ascii="宋体" w:hAnsi="宋体" w:eastAsia="宋体" w:cs="宋体"/>
          <w:color w:val="auto"/>
          <w:sz w:val="32"/>
          <w:szCs w:val="32"/>
          <w:highlight w:val="none"/>
          <w:lang w:val="en-US" w:eastAsia="zh-CN"/>
        </w:rPr>
        <w:t>重庆市南岸区南坪四海小学校</w:t>
      </w:r>
    </w:p>
    <w:p w14:paraId="5D937636">
      <w:pPr>
        <w:spacing w:line="360" w:lineRule="auto"/>
        <w:ind w:firstLine="1920" w:firstLineChars="600"/>
        <w:jc w:val="both"/>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招标代理机构：重庆筑之尚工程咨询有限公司</w:t>
      </w:r>
    </w:p>
    <w:p w14:paraId="0BADE79E">
      <w:pPr>
        <w:snapToGrid w:val="0"/>
        <w:spacing w:line="560" w:lineRule="exact"/>
        <w:jc w:val="center"/>
        <w:rPr>
          <w:rFonts w:hint="eastAsia" w:ascii="宋体" w:hAnsi="宋体" w:eastAsia="宋体" w:cs="宋体"/>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rPr>
        <w:t>月</w:t>
      </w:r>
    </w:p>
    <w:p w14:paraId="5CBC342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目   录</w:t>
      </w:r>
    </w:p>
    <w:p w14:paraId="3BA85195">
      <w:pPr>
        <w:pStyle w:val="19"/>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_Toc32491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招标公告</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_Toc32491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1</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31287D0D">
      <w:pPr>
        <w:pStyle w:val="19"/>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_Toc18443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8"/>
          <w:highlight w:val="none"/>
        </w:rPr>
        <w:t xml:space="preserve">第二篇  </w:t>
      </w: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lang w:val="en-US" w:eastAsia="zh-CN"/>
        </w:rPr>
        <w:t>服务需求</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_Toc18443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4</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16764AB8">
      <w:pPr>
        <w:pStyle w:val="19"/>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_Toc4743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36"/>
          <w:highlight w:val="none"/>
          <w:lang w:val="en-US" w:eastAsia="zh-CN"/>
        </w:rPr>
        <w:t>第三篇  项目商务需求</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_Toc4743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7</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5D78971D">
      <w:pPr>
        <w:pStyle w:val="19"/>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_Toc19698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36"/>
          <w:highlight w:val="none"/>
        </w:rPr>
        <w:t>第四篇  评审程序及方法、评审标准、无效响应和采购终止</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_Toc19698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16</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41787C2A">
      <w:pPr>
        <w:pStyle w:val="19"/>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_Toc8803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8"/>
          <w:highlight w:val="none"/>
        </w:rPr>
        <w:t xml:space="preserve">第五篇  </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须知</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_Toc8803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22</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4F6A62B7">
      <w:pPr>
        <w:pStyle w:val="19"/>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_Toc8319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32"/>
          <w:highlight w:val="none"/>
        </w:rPr>
        <w:t>第六篇  合同草案条款</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_Toc8319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25</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3BD9EE9E">
      <w:pPr>
        <w:pStyle w:val="19"/>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_Toc12120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32"/>
          <w:highlight w:val="none"/>
        </w:rPr>
        <w:t xml:space="preserve">第七篇  </w:t>
      </w:r>
      <w:r>
        <w:rPr>
          <w:rFonts w:hint="eastAsia" w:ascii="宋体" w:hAnsi="宋体" w:eastAsia="宋体" w:cs="宋体"/>
          <w:color w:val="auto"/>
          <w:sz w:val="28"/>
          <w:szCs w:val="32"/>
          <w:highlight w:val="none"/>
          <w:lang w:eastAsia="zh-CN"/>
        </w:rPr>
        <w:t>投标文件</w:t>
      </w:r>
      <w:r>
        <w:rPr>
          <w:rFonts w:hint="eastAsia" w:ascii="宋体" w:hAnsi="宋体" w:eastAsia="宋体" w:cs="宋体"/>
          <w:color w:val="auto"/>
          <w:sz w:val="28"/>
          <w:szCs w:val="32"/>
          <w:highlight w:val="none"/>
        </w:rPr>
        <w:t>格式要求</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_Toc12120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37</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12B1AD65">
      <w:pPr>
        <w:pStyle w:val="1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_Toc31231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32"/>
          <w:highlight w:val="none"/>
        </w:rPr>
        <w:t>一、经济部分</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_Toc31231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38</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21A2A28B">
      <w:pPr>
        <w:pStyle w:val="1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_Toc12453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32"/>
          <w:highlight w:val="none"/>
        </w:rPr>
        <w:t>二、技术</w:t>
      </w:r>
      <w:r>
        <w:rPr>
          <w:rFonts w:hint="eastAsia" w:ascii="宋体" w:hAnsi="宋体" w:eastAsia="宋体" w:cs="宋体"/>
          <w:color w:val="auto"/>
          <w:sz w:val="28"/>
          <w:szCs w:val="32"/>
          <w:highlight w:val="none"/>
          <w:lang w:eastAsia="zh-CN"/>
        </w:rPr>
        <w:t>部分</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_Toc12453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40</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6F38FCD7">
      <w:pPr>
        <w:pStyle w:val="1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_Toc5199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32"/>
          <w:highlight w:val="none"/>
        </w:rPr>
        <w:t>三、商务部分</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_Toc5199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41</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63B70F88">
      <w:pPr>
        <w:pStyle w:val="1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0"/>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_Toc12335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32"/>
          <w:highlight w:val="none"/>
        </w:rPr>
        <w:t>四、资格条件</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_Toc12335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43</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5380F9BC">
      <w:pPr>
        <w:pStyle w:val="10"/>
        <w:keepNext w:val="0"/>
        <w:keepLines w:val="0"/>
        <w:pageBreakBefore w:val="0"/>
        <w:widowControl w:val="0"/>
        <w:tabs>
          <w:tab w:val="right" w:leader="dot" w:pos="9412"/>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HYPERLINK \l _Toc12008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8"/>
          <w:highlight w:val="none"/>
        </w:rPr>
        <w:t>五、其他应提供的资料</w:t>
      </w:r>
      <w:r>
        <w:rPr>
          <w:rFonts w:hint="eastAsia" w:ascii="宋体" w:hAnsi="宋体" w:eastAsia="宋体" w:cs="宋体"/>
          <w:color w:val="auto"/>
          <w:sz w:val="28"/>
          <w:szCs w:val="20"/>
          <w:highlight w:val="none"/>
        </w:rPr>
        <w:tab/>
      </w:r>
      <w:r>
        <w:rPr>
          <w:rFonts w:hint="eastAsia" w:ascii="宋体" w:hAnsi="宋体" w:eastAsia="宋体" w:cs="宋体"/>
          <w:color w:val="auto"/>
          <w:sz w:val="28"/>
          <w:szCs w:val="20"/>
          <w:highlight w:val="none"/>
        </w:rPr>
        <w:fldChar w:fldCharType="begin"/>
      </w:r>
      <w:r>
        <w:rPr>
          <w:rFonts w:hint="eastAsia" w:ascii="宋体" w:hAnsi="宋体" w:eastAsia="宋体" w:cs="宋体"/>
          <w:color w:val="auto"/>
          <w:sz w:val="28"/>
          <w:szCs w:val="20"/>
          <w:highlight w:val="none"/>
        </w:rPr>
        <w:instrText xml:space="preserve"> PAGEREF _Toc12008 \h </w:instrText>
      </w:r>
      <w:r>
        <w:rPr>
          <w:rFonts w:hint="eastAsia" w:ascii="宋体" w:hAnsi="宋体" w:eastAsia="宋体" w:cs="宋体"/>
          <w:color w:val="auto"/>
          <w:sz w:val="28"/>
          <w:szCs w:val="20"/>
          <w:highlight w:val="none"/>
        </w:rPr>
        <w:fldChar w:fldCharType="separate"/>
      </w:r>
      <w:r>
        <w:rPr>
          <w:rFonts w:hint="eastAsia" w:ascii="宋体" w:hAnsi="宋体" w:eastAsia="宋体" w:cs="宋体"/>
          <w:color w:val="auto"/>
          <w:sz w:val="28"/>
          <w:szCs w:val="20"/>
          <w:highlight w:val="none"/>
        </w:rPr>
        <w:t>49</w:t>
      </w:r>
      <w:r>
        <w:rPr>
          <w:rFonts w:hint="eastAsia" w:ascii="宋体" w:hAnsi="宋体" w:eastAsia="宋体" w:cs="宋体"/>
          <w:color w:val="auto"/>
          <w:sz w:val="28"/>
          <w:szCs w:val="20"/>
          <w:highlight w:val="none"/>
        </w:rPr>
        <w:fldChar w:fldCharType="end"/>
      </w:r>
      <w:r>
        <w:rPr>
          <w:rFonts w:hint="eastAsia" w:ascii="宋体" w:hAnsi="宋体" w:eastAsia="宋体" w:cs="宋体"/>
          <w:color w:val="auto"/>
          <w:sz w:val="28"/>
          <w:szCs w:val="24"/>
          <w:highlight w:val="none"/>
        </w:rPr>
        <w:fldChar w:fldCharType="end"/>
      </w:r>
    </w:p>
    <w:p w14:paraId="7B16CFEB">
      <w:pPr>
        <w:pStyle w:val="19"/>
        <w:keepNext w:val="0"/>
        <w:keepLines w:val="0"/>
        <w:pageBreakBefore w:val="0"/>
        <w:widowControl w:val="0"/>
        <w:tabs>
          <w:tab w:val="right" w:leader="dot" w:pos="9402"/>
        </w:tabs>
        <w:kinsoku/>
        <w:wordWrap/>
        <w:overflowPunct/>
        <w:topLinePunct w:val="0"/>
        <w:autoSpaceDE/>
        <w:autoSpaceDN/>
        <w:bidi w:val="0"/>
        <w:adjustRightInd/>
        <w:snapToGrid/>
        <w:spacing w:line="480" w:lineRule="exact"/>
        <w:ind w:left="560"/>
        <w:textAlignment w:val="auto"/>
        <w:rPr>
          <w:rFonts w:hint="eastAsia" w:ascii="宋体" w:hAnsi="宋体" w:eastAsia="宋体" w:cs="宋体"/>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1B8478A7">
      <w:pPr>
        <w:pStyle w:val="2"/>
        <w:pageBreakBefore w:val="0"/>
        <w:widowControl w:val="0"/>
        <w:kinsoku/>
        <w:wordWrap/>
        <w:overflowPunct/>
        <w:topLinePunct w:val="0"/>
        <w:autoSpaceDE/>
        <w:autoSpaceDN/>
        <w:bidi w:val="0"/>
        <w:adjustRightInd/>
        <w:snapToGrid w:val="0"/>
        <w:spacing w:before="0" w:after="0" w:line="440" w:lineRule="exact"/>
        <w:jc w:val="center"/>
        <w:textAlignment w:val="auto"/>
        <w:rPr>
          <w:rFonts w:hint="eastAsia" w:ascii="宋体" w:hAnsi="宋体" w:eastAsia="宋体" w:cs="宋体"/>
          <w:color w:val="auto"/>
          <w:sz w:val="36"/>
          <w:szCs w:val="28"/>
          <w:highlight w:val="none"/>
          <w:lang w:val="en-US"/>
        </w:rPr>
      </w:pPr>
      <w:bookmarkStart w:id="0" w:name="_Toc32491"/>
      <w:bookmarkStart w:id="1" w:name="_Toc11641050"/>
      <w:bookmarkStart w:id="2" w:name="_Toc12789052"/>
      <w:r>
        <w:rPr>
          <w:rFonts w:hint="eastAsia" w:ascii="宋体" w:hAnsi="宋体" w:eastAsia="宋体" w:cs="宋体"/>
          <w:color w:val="auto"/>
          <w:sz w:val="36"/>
          <w:szCs w:val="28"/>
          <w:highlight w:val="none"/>
        </w:rPr>
        <w:t xml:space="preserve">第一篇  </w:t>
      </w:r>
      <w:bookmarkEnd w:id="0"/>
      <w:bookmarkEnd w:id="1"/>
      <w:bookmarkEnd w:id="2"/>
      <w:r>
        <w:rPr>
          <w:rFonts w:hint="eastAsia" w:ascii="宋体" w:hAnsi="宋体" w:eastAsia="宋体" w:cs="宋体"/>
          <w:color w:val="auto"/>
          <w:sz w:val="36"/>
          <w:szCs w:val="28"/>
          <w:highlight w:val="none"/>
          <w:lang w:val="en-US" w:eastAsia="zh-CN"/>
        </w:rPr>
        <w:t>招标公告</w:t>
      </w:r>
    </w:p>
    <w:p w14:paraId="72653E5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bookmarkStart w:id="3" w:name="_Toc317775175"/>
      <w:bookmarkStart w:id="4" w:name="_Toc313893526"/>
      <w:r>
        <w:rPr>
          <w:rFonts w:hint="eastAsia" w:ascii="宋体" w:hAnsi="宋体" w:eastAsia="宋体" w:cs="宋体"/>
          <w:color w:val="auto"/>
          <w:sz w:val="24"/>
          <w:szCs w:val="24"/>
          <w:highlight w:val="none"/>
          <w:u w:val="single"/>
          <w:lang w:val="en-US" w:eastAsia="zh-CN"/>
        </w:rPr>
        <w:t>重庆筑之尚工程咨询有限公司</w:t>
      </w:r>
      <w:r>
        <w:rPr>
          <w:rFonts w:hint="eastAsia" w:ascii="宋体" w:hAnsi="宋体" w:eastAsia="宋体" w:cs="宋体"/>
          <w:color w:val="auto"/>
          <w:sz w:val="24"/>
          <w:szCs w:val="24"/>
          <w:highlight w:val="none"/>
        </w:rPr>
        <w:t>（以下简称：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代理机构）接受</w:t>
      </w:r>
      <w:r>
        <w:rPr>
          <w:rFonts w:hint="eastAsia" w:ascii="宋体" w:hAnsi="宋体" w:eastAsia="宋体" w:cs="宋体"/>
          <w:color w:val="auto"/>
          <w:sz w:val="24"/>
          <w:szCs w:val="24"/>
          <w:highlight w:val="none"/>
          <w:u w:val="single"/>
          <w:lang w:val="en-US" w:eastAsia="zh-CN"/>
        </w:rPr>
        <w:t>重庆市南岸区南坪四海小学校</w:t>
      </w:r>
      <w:r>
        <w:rPr>
          <w:rFonts w:hint="eastAsia" w:ascii="宋体" w:hAnsi="宋体" w:eastAsia="宋体" w:cs="宋体"/>
          <w:color w:val="auto"/>
          <w:sz w:val="24"/>
          <w:szCs w:val="24"/>
          <w:highlight w:val="none"/>
        </w:rPr>
        <w:t>（以下简称：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人）的委托，对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重庆市南岸区南坪四海小学校风雨操场钢屋面防水改建工程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，欢迎有资格的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w:t>
      </w:r>
    </w:p>
    <w:tbl>
      <w:tblPr>
        <w:tblStyle w:val="22"/>
        <w:tblpPr w:leftFromText="180" w:rightFromText="180" w:vertAnchor="text" w:horzAnchor="margin" w:tblpXSpec="center" w:tblpY="596"/>
        <w:tblOverlap w:val="never"/>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2083"/>
        <w:gridCol w:w="2183"/>
        <w:gridCol w:w="1558"/>
      </w:tblGrid>
      <w:tr w14:paraId="573F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431" w:type="dxa"/>
            <w:noWrap w:val="0"/>
            <w:vAlign w:val="center"/>
          </w:tcPr>
          <w:p w14:paraId="36F35361">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2083" w:type="dxa"/>
            <w:noWrap w:val="0"/>
            <w:vAlign w:val="center"/>
          </w:tcPr>
          <w:p w14:paraId="7773F4C8">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最高限价</w:t>
            </w:r>
            <w:r>
              <w:rPr>
                <w:rFonts w:hint="eastAsia" w:ascii="宋体" w:hAnsi="宋体" w:eastAsia="宋体" w:cs="宋体"/>
                <w:b/>
                <w:color w:val="auto"/>
                <w:sz w:val="24"/>
                <w:szCs w:val="24"/>
                <w:highlight w:val="none"/>
              </w:rPr>
              <w:t>（元）</w:t>
            </w:r>
          </w:p>
        </w:tc>
        <w:tc>
          <w:tcPr>
            <w:tcW w:w="2183" w:type="dxa"/>
            <w:noWrap w:val="0"/>
            <w:vAlign w:val="center"/>
          </w:tcPr>
          <w:p w14:paraId="161A5219">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中标人数量</w:t>
            </w:r>
            <w:r>
              <w:rPr>
                <w:rFonts w:hint="eastAsia" w:ascii="宋体" w:hAnsi="宋体" w:eastAsia="宋体" w:cs="宋体"/>
                <w:b/>
                <w:color w:val="auto"/>
                <w:sz w:val="24"/>
                <w:szCs w:val="24"/>
                <w:highlight w:val="none"/>
              </w:rPr>
              <w:t>（名）</w:t>
            </w:r>
          </w:p>
        </w:tc>
        <w:tc>
          <w:tcPr>
            <w:tcW w:w="1558" w:type="dxa"/>
            <w:noWrap w:val="0"/>
            <w:vAlign w:val="center"/>
          </w:tcPr>
          <w:p w14:paraId="5F83B211">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14:paraId="35DC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431" w:type="dxa"/>
            <w:noWrap w:val="0"/>
            <w:vAlign w:val="center"/>
          </w:tcPr>
          <w:p w14:paraId="248FA1C0">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重庆市南岸区南坪四海小学校风雨操场钢屋面防水改建工程</w:t>
            </w:r>
          </w:p>
        </w:tc>
        <w:tc>
          <w:tcPr>
            <w:tcW w:w="2083" w:type="dxa"/>
            <w:noWrap w:val="0"/>
            <w:vAlign w:val="center"/>
          </w:tcPr>
          <w:p w14:paraId="594BA9AF">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327151.95</w:t>
            </w:r>
          </w:p>
        </w:tc>
        <w:tc>
          <w:tcPr>
            <w:tcW w:w="2183" w:type="dxa"/>
            <w:noWrap w:val="0"/>
            <w:vAlign w:val="center"/>
          </w:tcPr>
          <w:p w14:paraId="450FFF99">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558" w:type="dxa"/>
            <w:noWrap w:val="0"/>
            <w:vAlign w:val="center"/>
          </w:tcPr>
          <w:p w14:paraId="524A2D51">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p>
        </w:tc>
      </w:tr>
    </w:tbl>
    <w:p w14:paraId="30BA5EAD">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rPr>
      </w:pPr>
      <w:bookmarkStart w:id="5" w:name="_Toc13873"/>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内容</w:t>
      </w:r>
      <w:bookmarkEnd w:id="3"/>
      <w:bookmarkEnd w:id="4"/>
      <w:bookmarkEnd w:id="5"/>
      <w:bookmarkStart w:id="6" w:name="_Toc403569770"/>
      <w:bookmarkStart w:id="7" w:name="_Toc19074"/>
      <w:bookmarkStart w:id="8" w:name="_Toc373860293"/>
      <w:bookmarkStart w:id="9" w:name="_Toc317775178"/>
    </w:p>
    <w:p w14:paraId="55CCE02B">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bookmarkEnd w:id="6"/>
      <w:r>
        <w:rPr>
          <w:rFonts w:hint="eastAsia" w:ascii="宋体" w:hAnsi="宋体" w:eastAsia="宋体" w:cs="宋体"/>
          <w:color w:val="auto"/>
          <w:sz w:val="24"/>
          <w:szCs w:val="24"/>
          <w:highlight w:val="none"/>
        </w:rPr>
        <w:t>资金来源及落实情况</w:t>
      </w:r>
      <w:bookmarkEnd w:id="7"/>
    </w:p>
    <w:p w14:paraId="6812B372">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中央及市级校舍维修资金</w:t>
      </w:r>
      <w:r>
        <w:rPr>
          <w:rFonts w:hint="eastAsia" w:ascii="宋体" w:hAnsi="宋体" w:cs="宋体"/>
          <w:color w:val="auto"/>
          <w:sz w:val="24"/>
          <w:szCs w:val="24"/>
          <w:highlight w:val="none"/>
          <w:lang w:val="en-US" w:eastAsia="zh-CN"/>
        </w:rPr>
        <w:t>和学校自筹资金</w:t>
      </w:r>
      <w:r>
        <w:rPr>
          <w:rFonts w:hint="eastAsia" w:ascii="宋体" w:hAnsi="宋体" w:eastAsia="宋体" w:cs="宋体"/>
          <w:color w:val="auto"/>
          <w:sz w:val="24"/>
          <w:szCs w:val="24"/>
          <w:highlight w:val="none"/>
        </w:rPr>
        <w:t>，采购预算金额为327151.95元。</w:t>
      </w:r>
      <w:r>
        <w:rPr>
          <w:rFonts w:hint="eastAsia" w:ascii="宋体" w:hAnsi="宋体" w:eastAsia="宋体" w:cs="宋体"/>
          <w:color w:val="auto"/>
          <w:sz w:val="24"/>
          <w:szCs w:val="24"/>
          <w:highlight w:val="none"/>
        </w:rPr>
        <w:tab/>
      </w:r>
    </w:p>
    <w:p w14:paraId="100F7313">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rPr>
      </w:pPr>
      <w:bookmarkStart w:id="10" w:name="_Toc403569771"/>
      <w:bookmarkStart w:id="11" w:name="_Toc11732"/>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w:t>
      </w:r>
      <w:bookmarkEnd w:id="10"/>
      <w:r>
        <w:rPr>
          <w:rFonts w:hint="eastAsia" w:ascii="宋体" w:hAnsi="宋体" w:eastAsia="宋体" w:cs="宋体"/>
          <w:color w:val="auto"/>
          <w:sz w:val="24"/>
          <w:szCs w:val="24"/>
          <w:highlight w:val="none"/>
        </w:rPr>
        <w:t>条件</w:t>
      </w:r>
      <w:bookmarkEnd w:id="11"/>
    </w:p>
    <w:bookmarkEnd w:id="8"/>
    <w:p w14:paraId="7AAA776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基本资格条件：</w:t>
      </w:r>
    </w:p>
    <w:p w14:paraId="2BF6EC78">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08A7BE0D">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65BAE8E">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E2172B7">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0C0F8CE">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1FD2400">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01D8BF0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）本项目的特定资格要求：</w:t>
      </w:r>
    </w:p>
    <w:p w14:paraId="0BC4219D">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须具备建设行政主管部门颁发的有效的</w:t>
      </w:r>
      <w:r>
        <w:rPr>
          <w:rFonts w:hint="eastAsia" w:ascii="宋体" w:hAnsi="宋体" w:eastAsia="宋体" w:cs="宋体"/>
          <w:b/>
          <w:bCs/>
          <w:color w:val="auto"/>
          <w:sz w:val="24"/>
          <w:szCs w:val="24"/>
          <w:highlight w:val="none"/>
          <w:lang w:val="en-US" w:eastAsia="zh-CN"/>
        </w:rPr>
        <w:t>建筑</w:t>
      </w:r>
      <w:r>
        <w:rPr>
          <w:rFonts w:hint="eastAsia" w:ascii="宋体" w:hAnsi="宋体" w:eastAsia="宋体" w:cs="宋体"/>
          <w:b/>
          <w:bCs/>
          <w:color w:val="auto"/>
          <w:sz w:val="24"/>
          <w:szCs w:val="24"/>
          <w:highlight w:val="none"/>
        </w:rPr>
        <w:t>工程施工总承包叁级</w:t>
      </w:r>
      <w:r>
        <w:rPr>
          <w:rFonts w:hint="eastAsia" w:ascii="宋体" w:hAnsi="宋体" w:eastAsia="宋体" w:cs="宋体"/>
          <w:b/>
          <w:bCs/>
          <w:color w:val="auto"/>
          <w:sz w:val="24"/>
          <w:szCs w:val="24"/>
          <w:highlight w:val="none"/>
          <w:lang w:val="en-US" w:eastAsia="zh-CN"/>
        </w:rPr>
        <w:t>及以上</w:t>
      </w:r>
      <w:r>
        <w:rPr>
          <w:rFonts w:hint="eastAsia" w:ascii="宋体" w:hAnsi="宋体" w:eastAsia="宋体" w:cs="宋体"/>
          <w:b/>
          <w:bCs/>
          <w:color w:val="auto"/>
          <w:sz w:val="24"/>
          <w:szCs w:val="24"/>
          <w:highlight w:val="none"/>
        </w:rPr>
        <w:t>资质</w:t>
      </w:r>
      <w:r>
        <w:rPr>
          <w:rFonts w:hint="eastAsia" w:ascii="宋体" w:hAnsi="宋体" w:eastAsia="宋体" w:cs="宋体"/>
          <w:color w:val="auto"/>
          <w:sz w:val="24"/>
          <w:szCs w:val="24"/>
          <w:highlight w:val="none"/>
        </w:rPr>
        <w:t>（须提供有效的资质证书复印件并加盖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40929E9E">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须具备建设行政主管部门颁发的有效的安全生产许可证（须提供有效的安全生产许可证复印件并加盖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19C1D0A4">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rPr>
      </w:pPr>
      <w:bookmarkStart w:id="12" w:name="_Toc30463"/>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有关说明</w:t>
      </w:r>
      <w:bookmarkEnd w:id="12"/>
    </w:p>
    <w:p w14:paraId="4D50D6C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需通过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https://www.gec123.com/</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进行注册，成为行采家平台供应商。</w:t>
      </w:r>
    </w:p>
    <w:p w14:paraId="4A5C765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，请在“行采家”（https://www.gec123.com/）采购公告发布之日起至提交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截止时间之前自行下载本项目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文件以及补遗等</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前公布的所有项目资料，无论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下载与否，均视为已知晓所有实质性要求内容。</w:t>
      </w:r>
    </w:p>
    <w:p w14:paraId="6DA270D4">
      <w:pPr>
        <w:pStyle w:val="7"/>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宋体" w:hAnsi="宋体" w:eastAsia="宋体" w:cs="宋体"/>
          <w:strike w:val="0"/>
          <w:dstrike w:val="0"/>
          <w:color w:val="auto"/>
          <w:sz w:val="24"/>
          <w:szCs w:val="24"/>
          <w:highlight w:val="none"/>
          <w:lang w:val="en-US" w:eastAsia="zh-CN"/>
        </w:rPr>
      </w:pPr>
      <w:bookmarkStart w:id="13" w:name="_Toc26901"/>
      <w:bookmarkStart w:id="14" w:name="_Toc27572"/>
      <w:bookmarkStart w:id="15" w:name="_Toc13746"/>
      <w:bookmarkStart w:id="16" w:name="_Toc403569774"/>
      <w:r>
        <w:rPr>
          <w:rFonts w:hint="eastAsia" w:ascii="宋体" w:hAnsi="宋体" w:eastAsia="宋体" w:cs="宋体"/>
          <w:strike w:val="0"/>
          <w:dstrike w:val="0"/>
          <w:color w:val="auto"/>
          <w:sz w:val="24"/>
          <w:szCs w:val="24"/>
          <w:highlight w:val="none"/>
          <w:lang w:val="en-US" w:eastAsia="zh-CN"/>
        </w:rPr>
        <w:t>（三）报名及招标文件发售</w:t>
      </w:r>
      <w:bookmarkEnd w:id="13"/>
    </w:p>
    <w:p w14:paraId="3AF353EF">
      <w:pPr>
        <w:pStyle w:val="7"/>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宋体" w:hAnsi="宋体" w:eastAsia="宋体" w:cs="宋体"/>
          <w:strike w:val="0"/>
          <w:dstrike w:val="0"/>
          <w:color w:val="auto"/>
          <w:sz w:val="24"/>
          <w:szCs w:val="24"/>
          <w:highlight w:val="none"/>
          <w:lang w:val="en-US" w:eastAsia="zh-CN"/>
        </w:rPr>
      </w:pPr>
      <w:bookmarkStart w:id="17" w:name="_Toc32516"/>
      <w:r>
        <w:rPr>
          <w:rFonts w:hint="eastAsia" w:ascii="宋体" w:hAnsi="宋体" w:eastAsia="宋体" w:cs="宋体"/>
          <w:strike w:val="0"/>
          <w:dstrike w:val="0"/>
          <w:color w:val="auto"/>
          <w:sz w:val="24"/>
          <w:szCs w:val="24"/>
          <w:highlight w:val="none"/>
          <w:lang w:val="en-US" w:eastAsia="zh-CN"/>
        </w:rPr>
        <w:t>1.报名和招标文件发售期：2025年6月30日-2025年7月3日17:00（工作时间）</w:t>
      </w:r>
      <w:bookmarkEnd w:id="17"/>
      <w:r>
        <w:rPr>
          <w:rFonts w:hint="eastAsia" w:ascii="宋体" w:hAnsi="宋体" w:eastAsia="宋体" w:cs="宋体"/>
          <w:strike w:val="0"/>
          <w:dstrike w:val="0"/>
          <w:color w:val="auto"/>
          <w:sz w:val="24"/>
          <w:szCs w:val="24"/>
          <w:highlight w:val="none"/>
          <w:lang w:val="en-US" w:eastAsia="zh-CN"/>
        </w:rPr>
        <w:t>。</w:t>
      </w:r>
    </w:p>
    <w:p w14:paraId="63BB9332">
      <w:pPr>
        <w:pStyle w:val="7"/>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宋体" w:hAnsi="宋体" w:eastAsia="宋体" w:cs="宋体"/>
          <w:strike w:val="0"/>
          <w:dstrike w:val="0"/>
          <w:color w:val="auto"/>
          <w:sz w:val="24"/>
          <w:szCs w:val="24"/>
          <w:highlight w:val="none"/>
          <w:lang w:val="en-US" w:eastAsia="zh-CN"/>
        </w:rPr>
      </w:pPr>
      <w:bookmarkStart w:id="18" w:name="_Toc9421"/>
      <w:r>
        <w:rPr>
          <w:rFonts w:hint="eastAsia" w:ascii="宋体" w:hAnsi="宋体" w:eastAsia="宋体" w:cs="宋体"/>
          <w:strike w:val="0"/>
          <w:dstrike w:val="0"/>
          <w:color w:val="auto"/>
          <w:sz w:val="24"/>
          <w:szCs w:val="24"/>
          <w:highlight w:val="none"/>
          <w:lang w:val="en-US" w:eastAsia="zh-CN"/>
        </w:rPr>
        <w:fldChar w:fldCharType="begin"/>
      </w:r>
      <w:r>
        <w:rPr>
          <w:rFonts w:hint="eastAsia" w:ascii="宋体" w:hAnsi="宋体" w:eastAsia="宋体" w:cs="宋体"/>
          <w:strike w:val="0"/>
          <w:dstrike w:val="0"/>
          <w:color w:val="auto"/>
          <w:sz w:val="24"/>
          <w:szCs w:val="24"/>
          <w:highlight w:val="none"/>
          <w:lang w:val="en-US" w:eastAsia="zh-CN"/>
        </w:rPr>
        <w:instrText xml:space="preserve"> HYPERLINK "mailto:（2）在比选文件发售期内，比选申请人将《比选文件发售登记表》加盖投标人公章鲜章扫描后发送至850742771@qq.com。" </w:instrText>
      </w:r>
      <w:r>
        <w:rPr>
          <w:rFonts w:hint="eastAsia" w:ascii="宋体" w:hAnsi="宋体" w:eastAsia="宋体" w:cs="宋体"/>
          <w:strike w:val="0"/>
          <w:dstrike w:val="0"/>
          <w:color w:val="auto"/>
          <w:sz w:val="24"/>
          <w:szCs w:val="24"/>
          <w:highlight w:val="none"/>
          <w:lang w:val="en-US" w:eastAsia="zh-CN"/>
        </w:rPr>
        <w:fldChar w:fldCharType="separate"/>
      </w:r>
      <w:r>
        <w:rPr>
          <w:rFonts w:hint="eastAsia" w:ascii="宋体" w:hAnsi="宋体" w:eastAsia="宋体" w:cs="宋体"/>
          <w:strike w:val="0"/>
          <w:dstrike w:val="0"/>
          <w:color w:val="auto"/>
          <w:sz w:val="24"/>
          <w:szCs w:val="24"/>
          <w:highlight w:val="none"/>
          <w:lang w:val="en-US" w:eastAsia="zh-CN"/>
        </w:rPr>
        <w:t>2.在招标文件发售期内，投标人将《招标文件发售登记表》加盖投标人公章扫描后发送至1153423197@qq.com，</w:t>
      </w:r>
      <w:r>
        <w:rPr>
          <w:rFonts w:hint="eastAsia" w:ascii="宋体" w:hAnsi="宋体" w:eastAsia="宋体" w:cs="宋体"/>
          <w:strike w:val="0"/>
          <w:dstrike w:val="0"/>
          <w:color w:val="auto"/>
          <w:sz w:val="24"/>
          <w:szCs w:val="24"/>
          <w:highlight w:val="none"/>
          <w:lang w:val="en-US" w:eastAsia="zh-CN"/>
        </w:rPr>
        <w:fldChar w:fldCharType="end"/>
      </w:r>
      <w:r>
        <w:rPr>
          <w:rFonts w:hint="eastAsia" w:ascii="宋体" w:hAnsi="宋体" w:eastAsia="宋体" w:cs="宋体"/>
          <w:strike w:val="0"/>
          <w:dstrike w:val="0"/>
          <w:color w:val="auto"/>
          <w:sz w:val="24"/>
          <w:szCs w:val="24"/>
          <w:highlight w:val="none"/>
          <w:lang w:val="en-US" w:eastAsia="zh-CN"/>
        </w:rPr>
        <w:t>并电话通知招标代理机构（联系人：龚女士 电话：15823997993）</w:t>
      </w:r>
      <w:bookmarkEnd w:id="18"/>
    </w:p>
    <w:p w14:paraId="1645C627">
      <w:pPr>
        <w:pStyle w:val="7"/>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宋体" w:hAnsi="宋体" w:eastAsia="宋体" w:cs="宋体"/>
          <w:color w:val="auto"/>
          <w:sz w:val="24"/>
          <w:szCs w:val="24"/>
          <w:highlight w:val="none"/>
          <w:lang w:val="en-US" w:eastAsia="zh-CN"/>
        </w:rPr>
      </w:pPr>
      <w:bookmarkStart w:id="19" w:name="_Toc8290"/>
      <w:r>
        <w:rPr>
          <w:rFonts w:hint="eastAsia" w:ascii="宋体" w:hAnsi="宋体" w:eastAsia="宋体" w:cs="宋体"/>
          <w:color w:val="auto"/>
          <w:sz w:val="24"/>
          <w:szCs w:val="24"/>
          <w:highlight w:val="none"/>
          <w:lang w:val="en-US" w:eastAsia="zh-CN"/>
        </w:rPr>
        <w:t>3.招标文件每套售价300.00元，在报名和招标文件发售期内报名的投标人，其投标文件才被接受。招标文件购买费用和投标文件一并递交。</w:t>
      </w:r>
      <w:bookmarkEnd w:id="19"/>
    </w:p>
    <w:p w14:paraId="4B18C71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（四）线上报价</w:t>
      </w:r>
    </w:p>
    <w:p w14:paraId="669C7AE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1.线上报价时间：按本项目网上公告规定的报价截止时间为准。</w:t>
      </w:r>
    </w:p>
    <w:p w14:paraId="6F6738A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2.线上报价要求：按本项目规定的时间在行采家（https://www.gec123.com/）进行网上报价，并在规定的时间内上传投标文件电子文档。未在规定时间内报价和上传投标文件电子文档的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不具备竞标资格。</w:t>
      </w:r>
    </w:p>
    <w:p w14:paraId="0736C40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（五）线下纸质文件的递交</w:t>
      </w:r>
    </w:p>
    <w:p w14:paraId="439210F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1.递交投标文件地点：重庆市南岸区南坪四海小学校</w:t>
      </w:r>
      <w:r>
        <w:rPr>
          <w:rFonts w:hint="eastAsia" w:ascii="宋体" w:hAnsi="宋体" w:cs="宋体"/>
          <w:color w:val="auto"/>
          <w:sz w:val="24"/>
          <w:szCs w:val="24"/>
          <w:highlight w:val="none"/>
          <w:lang w:val="en-US" w:eastAsia="zh-CN"/>
        </w:rPr>
        <w:t>会议室（重庆市南岸区辅向路10号）</w:t>
      </w:r>
      <w:r>
        <w:rPr>
          <w:rFonts w:hint="eastAsia" w:ascii="宋体" w:hAnsi="宋体" w:eastAsia="宋体" w:cs="宋体"/>
          <w:color w:val="auto"/>
          <w:sz w:val="24"/>
          <w:szCs w:val="24"/>
          <w:highlight w:val="none"/>
          <w:lang w:eastAsia="zh-CN"/>
        </w:rPr>
        <w:t>。</w:t>
      </w:r>
    </w:p>
    <w:p w14:paraId="639F1C0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2.投标文件递交开始时间：2025年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日北京时间14: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p>
    <w:p w14:paraId="7A3CD2AC">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投标文件递交截止时间：2025年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日北京时间1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p>
    <w:p w14:paraId="4F94087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3.现场递交纸质投标文件一式三份，其中正本一份，副本两份，副本可为正本的复印件。上传的投标文件电子文档内容应与纸质文件正本一致。如纸质投标文件正本与副本不一致，以正本为准。</w:t>
      </w:r>
    </w:p>
    <w:p w14:paraId="577A87C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4.已参与线上报价的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应在规定的时间内现场递交纸质投标文件，否则按无效投标处理</w:t>
      </w:r>
      <w:r>
        <w:rPr>
          <w:rFonts w:hint="eastAsia" w:ascii="宋体" w:hAnsi="宋体" w:eastAsia="宋体" w:cs="宋体"/>
          <w:color w:val="auto"/>
          <w:sz w:val="24"/>
          <w:szCs w:val="24"/>
          <w:highlight w:val="none"/>
        </w:rPr>
        <w:t>。</w:t>
      </w:r>
    </w:p>
    <w:p w14:paraId="68E47DC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3A384ED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（七）逾期送达或者未送达指定地点的投标文件，招标人不予受理。</w:t>
      </w:r>
    </w:p>
    <w:bookmarkEnd w:id="14"/>
    <w:bookmarkEnd w:id="15"/>
    <w:p w14:paraId="1777E4AB">
      <w:pPr>
        <w:pStyle w:val="3"/>
        <w:pageBreakBefore w:val="0"/>
        <w:widowControl w:val="0"/>
        <w:kinsoku/>
        <w:wordWrap/>
        <w:overflowPunct/>
        <w:topLinePunct w:val="0"/>
        <w:autoSpaceDE/>
        <w:autoSpaceDN/>
        <w:bidi w:val="0"/>
        <w:adjustRightInd/>
        <w:spacing w:before="0" w:after="0" w:line="440" w:lineRule="exact"/>
        <w:ind w:firstLine="241" w:firstLineChars="100"/>
        <w:textAlignment w:val="auto"/>
        <w:rPr>
          <w:rFonts w:hint="eastAsia" w:ascii="宋体" w:hAnsi="宋体" w:eastAsia="宋体" w:cs="宋体"/>
          <w:color w:val="auto"/>
          <w:sz w:val="24"/>
          <w:szCs w:val="24"/>
          <w:highlight w:val="none"/>
        </w:rPr>
      </w:pPr>
      <w:bookmarkStart w:id="20" w:name="_Toc1606"/>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、其它有关规定</w:t>
      </w:r>
      <w:bookmarkEnd w:id="16"/>
      <w:bookmarkEnd w:id="20"/>
    </w:p>
    <w:bookmarkEnd w:id="9"/>
    <w:p w14:paraId="7DF4C09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，不得参加同一合同项（分包）下的政府采购活动，否则均为无效响应。</w:t>
      </w:r>
    </w:p>
    <w:p w14:paraId="6145659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，不得再参加该采购项目的其他采购活动。</w:t>
      </w:r>
    </w:p>
    <w:p w14:paraId="006E826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（三）本项目的补遗文件（如果有）一律在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"https://www.gec123.com/" </w:instrText>
      </w:r>
      <w:r>
        <w:rPr>
          <w:rFonts w:hint="eastAsia" w:ascii="宋体" w:hAnsi="宋体" w:eastAsia="宋体" w:cs="宋体"/>
          <w:color w:val="auto"/>
          <w:sz w:val="24"/>
          <w:szCs w:val="24"/>
          <w:highlight w:val="none"/>
        </w:rPr>
        <w:fldChar w:fldCharType="separate"/>
      </w:r>
      <w:r>
        <w:rPr>
          <w:rStyle w:val="27"/>
          <w:rFonts w:hint="eastAsia" w:ascii="宋体" w:hAnsi="宋体" w:eastAsia="宋体" w:cs="宋体"/>
          <w:color w:val="auto"/>
          <w:sz w:val="24"/>
          <w:szCs w:val="24"/>
          <w:highlight w:val="none"/>
          <w:lang w:eastAsia="zh-CN"/>
        </w:rPr>
        <w:t>https://www.gec123.com/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发布，请各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注意下载；无论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已知晓本项目补遗文件（如果有）的内容。</w:t>
      </w:r>
    </w:p>
    <w:p w14:paraId="11B674B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投标有关</w:t>
      </w:r>
      <w:r>
        <w:rPr>
          <w:rFonts w:hint="eastAsia" w:ascii="宋体" w:hAnsi="宋体" w:eastAsia="宋体" w:cs="宋体"/>
          <w:color w:val="auto"/>
          <w:sz w:val="24"/>
          <w:szCs w:val="24"/>
          <w:highlight w:val="none"/>
        </w:rPr>
        <w:t>费用无论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结果如何，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的所有费用均应由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683BF3A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（五）本项目不接受联合体参与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w:t>
      </w:r>
    </w:p>
    <w:p w14:paraId="7F7EBCA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（六）按照《财政部关于在政府采购活动中查询及使用信用记录有关问题的通知》财库〔2016〕125号，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，将拒绝其参与政府采购活动。</w:t>
      </w:r>
    </w:p>
    <w:p w14:paraId="28594765">
      <w:pPr>
        <w:pStyle w:val="3"/>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color w:val="auto"/>
          <w:sz w:val="24"/>
          <w:szCs w:val="24"/>
          <w:highlight w:val="none"/>
        </w:rPr>
      </w:pPr>
      <w:bookmarkStart w:id="21" w:name="_Toc2959"/>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、联系方式</w:t>
      </w:r>
      <w:bookmarkEnd w:id="21"/>
    </w:p>
    <w:p w14:paraId="08B75DF2">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bookmarkStart w:id="22" w:name="_Toc24944"/>
      <w:bookmarkStart w:id="23" w:name="_Toc32633"/>
      <w:bookmarkStart w:id="24" w:name="_Toc102227313"/>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招标人：</w:t>
      </w:r>
      <w:bookmarkEnd w:id="22"/>
      <w:bookmarkEnd w:id="23"/>
      <w:r>
        <w:rPr>
          <w:rFonts w:hint="eastAsia" w:ascii="宋体" w:hAnsi="宋体" w:eastAsia="宋体" w:cs="宋体"/>
          <w:color w:val="auto"/>
          <w:sz w:val="24"/>
          <w:szCs w:val="24"/>
          <w:highlight w:val="none"/>
          <w:lang w:val="en-US" w:eastAsia="zh-CN"/>
        </w:rPr>
        <w:t>重庆市南岸区南坪四海小学校</w:t>
      </w:r>
    </w:p>
    <w:p w14:paraId="5662CD6E">
      <w:pPr>
        <w:pageBreakBefore w:val="0"/>
        <w:widowControl w:val="0"/>
        <w:tabs>
          <w:tab w:val="left" w:pos="3480"/>
        </w:tabs>
        <w:kinsoku/>
        <w:wordWrap/>
        <w:overflowPunct/>
        <w:topLinePunct w:val="0"/>
        <w:autoSpaceDE/>
        <w:autoSpaceDN/>
        <w:bidi w:val="0"/>
        <w:adjustRightInd/>
        <w:snapToGrid w:val="0"/>
        <w:spacing w:line="440" w:lineRule="exact"/>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联系人：余女士</w:t>
      </w:r>
    </w:p>
    <w:p w14:paraId="0906F75C">
      <w:pPr>
        <w:pageBreakBefore w:val="0"/>
        <w:widowControl w:val="0"/>
        <w:tabs>
          <w:tab w:val="left" w:pos="3480"/>
        </w:tabs>
        <w:kinsoku/>
        <w:wordWrap/>
        <w:overflowPunct/>
        <w:topLinePunct w:val="0"/>
        <w:autoSpaceDE/>
        <w:autoSpaceDN/>
        <w:bidi w:val="0"/>
        <w:adjustRightInd/>
        <w:snapToGrid w:val="0"/>
        <w:spacing w:line="440" w:lineRule="exact"/>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  话：13983022924 </w:t>
      </w:r>
    </w:p>
    <w:p w14:paraId="63C07947">
      <w:pPr>
        <w:pageBreakBefore w:val="0"/>
        <w:widowControl w:val="0"/>
        <w:tabs>
          <w:tab w:val="left" w:pos="3480"/>
        </w:tabs>
        <w:kinsoku/>
        <w:wordWrap/>
        <w:overflowPunct/>
        <w:topLinePunct w:val="0"/>
        <w:autoSpaceDE/>
        <w:autoSpaceDN/>
        <w:bidi w:val="0"/>
        <w:adjustRightInd/>
        <w:snapToGrid w:val="0"/>
        <w:spacing w:line="440" w:lineRule="exact"/>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重庆市南岸区辅向路10号</w:t>
      </w:r>
    </w:p>
    <w:p w14:paraId="4AD3470A">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color w:val="auto"/>
          <w:sz w:val="24"/>
          <w:szCs w:val="24"/>
          <w:highlight w:val="none"/>
        </w:rPr>
      </w:pPr>
      <w:bookmarkStart w:id="25" w:name="_Toc22583"/>
      <w:bookmarkStart w:id="26" w:name="_Toc27048"/>
    </w:p>
    <w:p w14:paraId="27C9722C">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招标代理机构：</w:t>
      </w:r>
      <w:bookmarkEnd w:id="25"/>
      <w:bookmarkEnd w:id="26"/>
      <w:r>
        <w:rPr>
          <w:rFonts w:hint="eastAsia" w:ascii="宋体" w:hAnsi="宋体" w:eastAsia="宋体" w:cs="宋体"/>
          <w:color w:val="auto"/>
          <w:sz w:val="24"/>
          <w:szCs w:val="24"/>
          <w:highlight w:val="none"/>
          <w:lang w:eastAsia="zh-CN"/>
        </w:rPr>
        <w:t>重庆筑之尚工程咨询有限公司</w:t>
      </w:r>
    </w:p>
    <w:p w14:paraId="7955CF5F">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龚女士</w:t>
      </w:r>
    </w:p>
    <w:p w14:paraId="4443A060">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  话：15823997993</w:t>
      </w:r>
    </w:p>
    <w:p w14:paraId="19909548">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宋体" w:hAnsi="宋体" w:eastAsia="宋体" w:cs="宋体"/>
          <w:color w:val="auto"/>
          <w:sz w:val="24"/>
          <w:szCs w:val="24"/>
          <w:highlight w:val="none"/>
          <w:lang w:eastAsia="zh-CN"/>
        </w:rPr>
        <w:sectPr>
          <w:footerReference r:id="rId10" w:type="default"/>
          <w:pgSz w:w="11907" w:h="16840"/>
          <w:pgMar w:top="1440" w:right="1080" w:bottom="1440" w:left="1080" w:header="397" w:footer="992" w:gutter="0"/>
          <w:pgNumType w:fmt="decimal" w:start="1"/>
          <w:cols w:space="720" w:num="1"/>
          <w:docGrid w:linePitch="312" w:charSpace="0"/>
        </w:sectPr>
      </w:pPr>
      <w:r>
        <w:rPr>
          <w:rFonts w:hint="eastAsia" w:ascii="宋体" w:hAnsi="宋体" w:eastAsia="宋体" w:cs="宋体"/>
          <w:color w:val="auto"/>
          <w:sz w:val="24"/>
          <w:szCs w:val="24"/>
          <w:highlight w:val="none"/>
          <w:lang w:eastAsia="zh-CN"/>
        </w:rPr>
        <w:t>地  址：重庆市北碚区新茂路1号（自贸区）</w:t>
      </w:r>
      <w:r>
        <w:rPr>
          <w:rFonts w:hint="eastAsia" w:ascii="宋体" w:hAnsi="宋体" w:eastAsia="宋体" w:cs="宋体"/>
          <w:color w:val="auto"/>
          <w:sz w:val="24"/>
          <w:szCs w:val="24"/>
          <w:highlight w:val="none"/>
          <w:lang w:val="en-US" w:eastAsia="zh-CN"/>
        </w:rPr>
        <w:t xml:space="preserve"> </w:t>
      </w:r>
    </w:p>
    <w:p w14:paraId="122C3293">
      <w:pPr>
        <w:pStyle w:val="2"/>
        <w:pageBreakBefore w:val="0"/>
        <w:widowControl w:val="0"/>
        <w:kinsoku/>
        <w:wordWrap/>
        <w:overflowPunct/>
        <w:topLinePunct w:val="0"/>
        <w:autoSpaceDE/>
        <w:autoSpaceDN/>
        <w:bidi w:val="0"/>
        <w:snapToGrid w:val="0"/>
        <w:spacing w:before="0" w:after="0" w:line="440" w:lineRule="exact"/>
        <w:jc w:val="center"/>
        <w:textAlignment w:val="auto"/>
        <w:rPr>
          <w:rFonts w:hint="eastAsia" w:ascii="宋体" w:hAnsi="宋体" w:eastAsia="宋体" w:cs="宋体"/>
          <w:color w:val="auto"/>
          <w:sz w:val="36"/>
          <w:szCs w:val="28"/>
          <w:highlight w:val="none"/>
          <w:lang w:eastAsia="zh-CN"/>
        </w:rPr>
      </w:pPr>
      <w:bookmarkStart w:id="27" w:name="_Toc18443"/>
      <w:r>
        <w:rPr>
          <w:rFonts w:hint="eastAsia" w:ascii="宋体" w:hAnsi="宋体" w:eastAsia="宋体" w:cs="宋体"/>
          <w:color w:val="auto"/>
          <w:sz w:val="36"/>
          <w:szCs w:val="28"/>
          <w:highlight w:val="none"/>
        </w:rPr>
        <w:t xml:space="preserve">第二篇  </w:t>
      </w:r>
      <w:r>
        <w:rPr>
          <w:rFonts w:hint="eastAsia" w:ascii="宋体" w:hAnsi="宋体" w:eastAsia="宋体" w:cs="宋体"/>
          <w:color w:val="auto"/>
          <w:sz w:val="36"/>
          <w:szCs w:val="28"/>
          <w:highlight w:val="none"/>
          <w:lang w:eastAsia="zh-CN"/>
        </w:rPr>
        <w:t>项目</w:t>
      </w:r>
      <w:r>
        <w:rPr>
          <w:rFonts w:hint="eastAsia" w:ascii="宋体" w:hAnsi="宋体" w:eastAsia="宋体" w:cs="宋体"/>
          <w:color w:val="auto"/>
          <w:sz w:val="36"/>
          <w:szCs w:val="28"/>
          <w:highlight w:val="none"/>
          <w:lang w:val="en-US" w:eastAsia="zh-CN"/>
        </w:rPr>
        <w:t>服务需求</w:t>
      </w:r>
      <w:bookmarkEnd w:id="27"/>
    </w:p>
    <w:p w14:paraId="46F1EC9E">
      <w:pPr>
        <w:pStyle w:val="2"/>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宋体" w:hAnsi="宋体" w:eastAsia="宋体" w:cs="宋体"/>
          <w:color w:val="auto"/>
          <w:sz w:val="24"/>
          <w:szCs w:val="16"/>
          <w:highlight w:val="none"/>
          <w:lang w:val="en-US" w:eastAsia="zh-CN"/>
        </w:rPr>
      </w:pPr>
      <w:bookmarkStart w:id="28" w:name="_Toc832"/>
      <w:bookmarkStart w:id="29" w:name="_Toc24430"/>
      <w:bookmarkStart w:id="30" w:name="_Toc16585"/>
      <w:bookmarkStart w:id="31" w:name="_Toc26338"/>
      <w:bookmarkStart w:id="32" w:name="_Toc12519"/>
      <w:bookmarkStart w:id="33" w:name="_Toc1794"/>
      <w:bookmarkStart w:id="34" w:name="_Toc12789059"/>
      <w:bookmarkStart w:id="35" w:name="_Toc11641055"/>
      <w:r>
        <w:rPr>
          <w:rFonts w:hint="eastAsia" w:ascii="宋体" w:hAnsi="宋体" w:eastAsia="宋体" w:cs="宋体"/>
          <w:color w:val="auto"/>
          <w:sz w:val="24"/>
          <w:szCs w:val="16"/>
          <w:highlight w:val="none"/>
          <w:lang w:val="en-US" w:eastAsia="zh-CN"/>
        </w:rPr>
        <w:t>一、项目概况</w:t>
      </w:r>
    </w:p>
    <w:p w14:paraId="608B863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（一）基本情况</w:t>
      </w:r>
    </w:p>
    <w:p w14:paraId="473BC80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建设地点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重庆市南岸区辅向路10号</w:t>
      </w:r>
      <w:r>
        <w:rPr>
          <w:rFonts w:hint="eastAsia" w:ascii="宋体" w:hAnsi="宋体" w:eastAsia="宋体" w:cs="宋体"/>
          <w:color w:val="auto"/>
          <w:sz w:val="24"/>
          <w:szCs w:val="24"/>
          <w:highlight w:val="none"/>
          <w:lang w:val="en-US" w:eastAsia="zh-CN"/>
        </w:rPr>
        <w:t>。</w:t>
      </w:r>
    </w:p>
    <w:p w14:paraId="64FE01C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建设内容：</w:t>
      </w:r>
      <w:r>
        <w:rPr>
          <w:rFonts w:hint="eastAsia" w:ascii="宋体" w:hAnsi="宋体" w:eastAsia="宋体" w:cs="宋体"/>
          <w:strike w:val="0"/>
          <w:dstrike w:val="0"/>
          <w:color w:val="auto"/>
          <w:sz w:val="24"/>
          <w:szCs w:val="24"/>
          <w:highlight w:val="none"/>
          <w:u w:val="single"/>
          <w:lang w:val="en-US" w:eastAsia="zh-CN"/>
        </w:rPr>
        <w:t>该项目改建面积约854</w:t>
      </w:r>
      <w:r>
        <w:rPr>
          <w:rFonts w:hint="eastAsia" w:ascii="宋体" w:hAnsi="宋体" w:cs="宋体"/>
          <w:strike w:val="0"/>
          <w:dstrike w:val="0"/>
          <w:color w:val="auto"/>
          <w:sz w:val="24"/>
          <w:szCs w:val="24"/>
          <w:highlight w:val="none"/>
          <w:u w:val="single"/>
          <w:lang w:val="en-US" w:eastAsia="zh-CN"/>
        </w:rPr>
        <w:t>㎡</w:t>
      </w:r>
      <w:r>
        <w:rPr>
          <w:rFonts w:hint="eastAsia" w:ascii="宋体" w:hAnsi="宋体" w:eastAsia="宋体" w:cs="宋体"/>
          <w:strike w:val="0"/>
          <w:dstrike w:val="0"/>
          <w:color w:val="auto"/>
          <w:sz w:val="24"/>
          <w:szCs w:val="24"/>
          <w:highlight w:val="none"/>
          <w:u w:val="single"/>
          <w:lang w:val="en-US" w:eastAsia="zh-CN"/>
        </w:rPr>
        <w:t>，主要建设内容包括钢屋面彩钢板更换、墙面翻新、排水疏导、管线及灯具安装</w:t>
      </w:r>
      <w:r>
        <w:rPr>
          <w:rFonts w:hint="eastAsia" w:ascii="宋体" w:hAnsi="宋体" w:eastAsia="宋体" w:cs="宋体"/>
          <w:color w:val="auto"/>
          <w:sz w:val="24"/>
          <w:szCs w:val="24"/>
          <w:highlight w:val="none"/>
          <w:u w:val="single"/>
          <w:lang w:val="en-US" w:eastAsia="zh-CN"/>
        </w:rPr>
        <w:t>等内容，具体建设内容详见发布的工程量清单</w:t>
      </w:r>
      <w:r>
        <w:rPr>
          <w:rFonts w:hint="eastAsia" w:ascii="宋体" w:hAnsi="宋体" w:eastAsia="宋体" w:cs="宋体"/>
          <w:color w:val="auto"/>
          <w:sz w:val="24"/>
          <w:szCs w:val="24"/>
          <w:highlight w:val="none"/>
          <w:lang w:val="en-US" w:eastAsia="zh-CN"/>
        </w:rPr>
        <w:t>。</w:t>
      </w:r>
    </w:p>
    <w:p w14:paraId="4231C2D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（二）招标范围</w:t>
      </w:r>
    </w:p>
    <w:p w14:paraId="2B3566B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提供的工程量清单、</w:t>
      </w:r>
      <w:r>
        <w:rPr>
          <w:rFonts w:hint="eastAsia" w:ascii="宋体" w:hAnsi="宋体" w:eastAsia="宋体" w:cs="宋体"/>
          <w:color w:val="auto"/>
          <w:sz w:val="24"/>
          <w:szCs w:val="24"/>
          <w:highlight w:val="none"/>
          <w:lang w:val="en-US" w:eastAsia="zh-CN"/>
        </w:rPr>
        <w:t>施工图、招标</w:t>
      </w:r>
      <w:r>
        <w:rPr>
          <w:rFonts w:hint="eastAsia" w:ascii="宋体" w:hAnsi="宋体" w:eastAsia="宋体" w:cs="宋体"/>
          <w:color w:val="auto"/>
          <w:sz w:val="24"/>
          <w:szCs w:val="24"/>
          <w:highlight w:val="none"/>
        </w:rPr>
        <w:t>文件以及</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补遗、答疑、澄清中补充的全部工程内容。</w:t>
      </w:r>
    </w:p>
    <w:p w14:paraId="27221643">
      <w:pPr>
        <w:pStyle w:val="2"/>
        <w:pageBreakBefore w:val="0"/>
        <w:widowControl w:val="0"/>
        <w:numPr>
          <w:ilvl w:val="0"/>
          <w:numId w:val="0"/>
        </w:numPr>
        <w:kinsoku/>
        <w:wordWrap/>
        <w:overflowPunct/>
        <w:topLinePunct w:val="0"/>
        <w:autoSpaceDE/>
        <w:autoSpaceDN/>
        <w:bidi w:val="0"/>
        <w:adjustRightInd w:val="0"/>
        <w:snapToGrid w:val="0"/>
        <w:spacing w:before="0" w:after="0" w:line="440" w:lineRule="exact"/>
        <w:ind w:left="0" w:leftChars="0" w:right="0" w:rightChars="0"/>
        <w:textAlignment w:val="auto"/>
        <w:rPr>
          <w:rFonts w:hint="eastAsia" w:ascii="宋体" w:hAnsi="宋体" w:eastAsia="宋体" w:cs="宋体"/>
          <w:color w:val="auto"/>
          <w:sz w:val="24"/>
          <w:szCs w:val="16"/>
          <w:highlight w:val="none"/>
        </w:rPr>
      </w:pPr>
      <w:r>
        <w:rPr>
          <w:rFonts w:hint="eastAsia" w:ascii="宋体" w:hAnsi="宋体" w:eastAsia="宋体" w:cs="宋体"/>
          <w:b/>
          <w:color w:val="auto"/>
          <w:kern w:val="2"/>
          <w:sz w:val="24"/>
          <w:szCs w:val="16"/>
          <w:highlight w:val="none"/>
          <w:lang w:val="en-US" w:eastAsia="zh-CN" w:bidi="ar-SA"/>
        </w:rPr>
        <w:t>二、</w:t>
      </w:r>
      <w:r>
        <w:rPr>
          <w:rFonts w:hint="eastAsia" w:ascii="宋体" w:hAnsi="宋体" w:eastAsia="宋体" w:cs="宋体"/>
          <w:color w:val="auto"/>
          <w:sz w:val="24"/>
          <w:szCs w:val="16"/>
          <w:highlight w:val="none"/>
        </w:rPr>
        <w:t>项目服务需求</w:t>
      </w:r>
    </w:p>
    <w:p w14:paraId="565ACBC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（一）质量要求：符合强制性质量标准，符合国家和重庆市现行有关施工质量验收规范要求，并达到合格标准。</w:t>
      </w:r>
    </w:p>
    <w:p w14:paraId="72A2E09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（二）工程量清单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施工图</w:t>
      </w:r>
      <w:r>
        <w:rPr>
          <w:rFonts w:hint="eastAsia" w:ascii="宋体" w:hAnsi="宋体" w:eastAsia="宋体" w:cs="宋体"/>
          <w:color w:val="auto"/>
          <w:sz w:val="24"/>
          <w:szCs w:val="24"/>
          <w:highlight w:val="none"/>
        </w:rPr>
        <w:t>：工程量清单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施工图</w:t>
      </w:r>
      <w:r>
        <w:rPr>
          <w:rFonts w:hint="eastAsia" w:ascii="宋体" w:hAnsi="宋体" w:eastAsia="宋体" w:cs="宋体"/>
          <w:color w:val="auto"/>
          <w:sz w:val="24"/>
          <w:szCs w:val="24"/>
          <w:highlight w:val="none"/>
        </w:rPr>
        <w:t>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"https://www.gec123.com/" </w:instrText>
      </w:r>
      <w:r>
        <w:rPr>
          <w:rFonts w:hint="eastAsia" w:ascii="宋体" w:hAnsi="宋体" w:eastAsia="宋体" w:cs="宋体"/>
          <w:color w:val="auto"/>
          <w:sz w:val="24"/>
          <w:szCs w:val="24"/>
          <w:highlight w:val="none"/>
        </w:rPr>
        <w:fldChar w:fldCharType="separate"/>
      </w:r>
      <w:r>
        <w:rPr>
          <w:rStyle w:val="27"/>
          <w:rFonts w:hint="eastAsia" w:ascii="宋体" w:hAnsi="宋体" w:eastAsia="宋体" w:cs="宋体"/>
          <w:color w:val="auto"/>
          <w:sz w:val="24"/>
          <w:szCs w:val="24"/>
          <w:highlight w:val="none"/>
          <w:lang w:eastAsia="zh-CN"/>
        </w:rPr>
        <w:t>https://www.gec123.com/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上自行下载。</w:t>
      </w:r>
    </w:p>
    <w:p w14:paraId="20B8CFA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（三）现场踏勘</w:t>
      </w:r>
    </w:p>
    <w:p w14:paraId="740B6D4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人不统一组织踏勘项目现场。</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可以在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递交截止时间之前自行对本项目现场进行踏勘、询问。无论</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是否踏勘过现场，均被视为在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递交截止时间之前对本项目潜在的风险和义务已完全了解，并在其</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中已充分考虑了本项目可能面临的不确定因素可能导致的风险。</w:t>
      </w:r>
    </w:p>
    <w:p w14:paraId="2EA1195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）计划工期与缺陷责任期：</w:t>
      </w:r>
    </w:p>
    <w:p w14:paraId="3BFAF09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1、计划工期：</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日历天；</w:t>
      </w:r>
    </w:p>
    <w:p w14:paraId="233B07E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2、缺陷责任期：24个月。</w:t>
      </w:r>
    </w:p>
    <w:p w14:paraId="4F16FA31">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）分包：本项目不允许分包。</w:t>
      </w:r>
    </w:p>
    <w:p w14:paraId="79A959F9">
      <w:pPr>
        <w:pStyle w:val="2"/>
        <w:pageBreakBefore w:val="0"/>
        <w:widowControl w:val="0"/>
        <w:numPr>
          <w:ilvl w:val="0"/>
          <w:numId w:val="0"/>
        </w:numPr>
        <w:kinsoku/>
        <w:wordWrap/>
        <w:overflowPunct/>
        <w:topLinePunct w:val="0"/>
        <w:autoSpaceDE/>
        <w:autoSpaceDN/>
        <w:bidi w:val="0"/>
        <w:adjustRightInd w:val="0"/>
        <w:snapToGrid w:val="0"/>
        <w:spacing w:before="0" w:after="0" w:line="440" w:lineRule="exact"/>
        <w:ind w:left="0" w:leftChars="0" w:right="0" w:rightChars="0"/>
        <w:textAlignment w:val="auto"/>
        <w:rPr>
          <w:rFonts w:hint="eastAsia" w:ascii="宋体" w:hAnsi="宋体" w:eastAsia="宋体" w:cs="宋体"/>
          <w:color w:val="auto"/>
          <w:sz w:val="24"/>
          <w:szCs w:val="16"/>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color w:val="auto"/>
          <w:kern w:val="2"/>
          <w:sz w:val="24"/>
          <w:szCs w:val="16"/>
          <w:highlight w:val="none"/>
          <w:lang w:val="en-US" w:eastAsia="zh-CN" w:bidi="ar-SA"/>
        </w:rPr>
        <w:t>、</w:t>
      </w:r>
      <w:r>
        <w:rPr>
          <w:rFonts w:hint="eastAsia" w:ascii="宋体" w:hAnsi="宋体" w:eastAsia="宋体" w:cs="宋体"/>
          <w:color w:val="auto"/>
          <w:sz w:val="24"/>
          <w:szCs w:val="16"/>
          <w:highlight w:val="none"/>
        </w:rPr>
        <w:t>人员要求</w:t>
      </w:r>
    </w:p>
    <w:p w14:paraId="1F91C946">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（一）项目经理（1人）</w:t>
      </w:r>
    </w:p>
    <w:p w14:paraId="49CB91AC">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拟派的项目经理必须已在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本单位注册并应具有</w:t>
      </w:r>
      <w:r>
        <w:rPr>
          <w:rFonts w:hint="eastAsia" w:ascii="宋体" w:hAnsi="宋体" w:eastAsia="宋体" w:cs="宋体"/>
          <w:b/>
          <w:bCs/>
          <w:color w:val="auto"/>
          <w:sz w:val="24"/>
          <w:szCs w:val="24"/>
          <w:highlight w:val="none"/>
          <w:lang w:val="en-US" w:eastAsia="zh-CN"/>
        </w:rPr>
        <w:t>建筑工程</w:t>
      </w:r>
      <w:r>
        <w:rPr>
          <w:rFonts w:hint="eastAsia" w:ascii="宋体" w:hAnsi="宋体" w:eastAsia="宋体" w:cs="宋体"/>
          <w:b/>
          <w:bCs/>
          <w:color w:val="auto"/>
          <w:sz w:val="24"/>
          <w:szCs w:val="24"/>
          <w:highlight w:val="none"/>
        </w:rPr>
        <w:t>专业贰级及以上</w:t>
      </w:r>
      <w:r>
        <w:rPr>
          <w:rFonts w:hint="eastAsia" w:ascii="宋体" w:hAnsi="宋体" w:eastAsia="宋体" w:cs="宋体"/>
          <w:color w:val="auto"/>
          <w:sz w:val="24"/>
          <w:szCs w:val="24"/>
          <w:highlight w:val="none"/>
        </w:rPr>
        <w:t>注册建造师执业资格</w:t>
      </w:r>
      <w:r>
        <w:rPr>
          <w:rFonts w:hint="eastAsia" w:ascii="宋体" w:hAnsi="宋体" w:cs="宋体"/>
          <w:color w:val="auto"/>
          <w:sz w:val="24"/>
          <w:szCs w:val="24"/>
          <w:highlight w:val="none"/>
          <w:lang w:eastAsia="zh-CN"/>
        </w:rPr>
        <w:t>，具有建设行政主管部门颁发的有效的安全生产考核合格证书（B证）</w:t>
      </w:r>
      <w:r>
        <w:rPr>
          <w:rFonts w:hint="eastAsia" w:ascii="宋体" w:hAnsi="宋体" w:eastAsia="宋体" w:cs="宋体"/>
          <w:color w:val="auto"/>
          <w:sz w:val="24"/>
          <w:szCs w:val="24"/>
          <w:highlight w:val="none"/>
        </w:rPr>
        <w:t>。</w:t>
      </w:r>
    </w:p>
    <w:p w14:paraId="562F1763">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w:t>
      </w:r>
      <w:r>
        <w:rPr>
          <w:rFonts w:hint="eastAsia" w:ascii="宋体" w:hAnsi="宋体" w:eastAsia="宋体" w:cs="宋体"/>
          <w:color w:val="auto"/>
          <w:sz w:val="24"/>
          <w:szCs w:val="24"/>
          <w:highlight w:val="none"/>
          <w:lang w:val="en-US" w:eastAsia="zh-CN"/>
        </w:rPr>
        <w:t>供拟派项目经理建造师注册证书（若为建造师电子注册证书，须在使用有效期内）、安全生产考核合格证书（B类），投标人本单位为其缴纳的养老保险证明材料复印件。以上证明材料均需加盖投标人公章。</w:t>
      </w:r>
    </w:p>
    <w:p w14:paraId="061799DB">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（二）项目技术负责人（1人）</w:t>
      </w:r>
    </w:p>
    <w:p w14:paraId="11A73A1F">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拟派的项目技术负责人应具有</w:t>
      </w:r>
      <w:r>
        <w:rPr>
          <w:rFonts w:hint="eastAsia" w:ascii="宋体" w:hAnsi="宋体" w:eastAsia="宋体" w:cs="宋体"/>
          <w:b/>
          <w:bCs/>
          <w:color w:val="auto"/>
          <w:sz w:val="24"/>
          <w:szCs w:val="24"/>
          <w:highlight w:val="none"/>
        </w:rPr>
        <w:t>工程类中级及以上</w:t>
      </w:r>
      <w:r>
        <w:rPr>
          <w:rFonts w:hint="eastAsia" w:ascii="宋体" w:hAnsi="宋体" w:eastAsia="宋体" w:cs="宋体"/>
          <w:b w:val="0"/>
          <w:bCs w:val="0"/>
          <w:color w:val="auto"/>
          <w:sz w:val="24"/>
          <w:szCs w:val="24"/>
          <w:highlight w:val="none"/>
          <w:lang w:val="en-US" w:eastAsia="zh-CN"/>
        </w:rPr>
        <w:t>技术</w:t>
      </w:r>
      <w:r>
        <w:rPr>
          <w:rFonts w:hint="eastAsia" w:ascii="宋体" w:hAnsi="宋体" w:eastAsia="宋体" w:cs="宋体"/>
          <w:color w:val="auto"/>
          <w:sz w:val="24"/>
          <w:szCs w:val="24"/>
          <w:highlight w:val="none"/>
        </w:rPr>
        <w:t>职称。</w:t>
      </w:r>
    </w:p>
    <w:p w14:paraId="56A72F9B">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须提供拟派技术负责人职称证、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本单位为其缴纳的养老保险证明材料复印件。以上证明材料均需加盖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024D7698">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（三）主要管理人员</w:t>
      </w:r>
    </w:p>
    <w:p w14:paraId="4F2D66FE">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自行承诺成交后在签订合同之前，须按照主管部门的要求组建施工项目部，配置项目管理班子，出具任命文件。</w:t>
      </w:r>
      <w:r>
        <w:rPr>
          <w:rFonts w:hint="eastAsia" w:ascii="宋体" w:hAnsi="宋体" w:eastAsia="宋体" w:cs="宋体"/>
          <w:b/>
          <w:bCs/>
          <w:color w:val="auto"/>
          <w:sz w:val="24"/>
          <w:szCs w:val="24"/>
          <w:highlight w:val="none"/>
        </w:rPr>
        <w:t>拟派的项目经理、项目技术负责人未经过</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同意，不得变更。</w:t>
      </w:r>
      <w:r>
        <w:rPr>
          <w:rFonts w:hint="eastAsia" w:ascii="宋体" w:hAnsi="宋体" w:eastAsia="宋体" w:cs="宋体"/>
          <w:color w:val="auto"/>
          <w:sz w:val="24"/>
          <w:szCs w:val="24"/>
          <w:highlight w:val="none"/>
        </w:rPr>
        <w:t>任命文件应当明确施工项目部的职责、岗位设置、人员配备，并书面通知</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。相关岗位管理人员应持有主管部门要求的岗位证书，并提供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本单位为其缴纳的养老保险证明材料复印件。成交后不能满足该要求的，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可取消其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造成损失的，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依法承担违约赔偿责任。</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须在</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rPr>
        <w:t>提供承诺并加盖</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公章（承诺格式自拟）</w:t>
      </w:r>
      <w:r>
        <w:rPr>
          <w:rFonts w:hint="eastAsia" w:ascii="宋体" w:hAnsi="宋体" w:eastAsia="宋体" w:cs="宋体"/>
          <w:b/>
          <w:bCs/>
          <w:color w:val="auto"/>
          <w:sz w:val="24"/>
          <w:szCs w:val="24"/>
          <w:highlight w:val="none"/>
          <w:lang w:eastAsia="zh-CN"/>
        </w:rPr>
        <w:t>。</w:t>
      </w:r>
    </w:p>
    <w:p w14:paraId="5F9F6894">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w:t>
      </w:r>
      <w:r>
        <w:rPr>
          <w:rFonts w:hint="eastAsia" w:ascii="宋体" w:hAnsi="宋体" w:eastAsia="宋体" w:cs="宋体"/>
          <w:color w:val="auto"/>
          <w:sz w:val="24"/>
          <w:szCs w:val="24"/>
          <w:highlight w:val="none"/>
          <w:lang w:val="en-US" w:eastAsia="zh-CN"/>
        </w:rPr>
        <w:t>自行</w:t>
      </w:r>
      <w:r>
        <w:rPr>
          <w:rFonts w:hint="eastAsia" w:ascii="宋体" w:hAnsi="宋体" w:eastAsia="宋体" w:cs="宋体"/>
          <w:color w:val="auto"/>
          <w:sz w:val="24"/>
          <w:szCs w:val="24"/>
          <w:highlight w:val="none"/>
        </w:rPr>
        <w:t>承诺，承诺严格按照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人给出的施工图及工程量清单施工，不得擅自增减项，若</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人后期对施工内容调整，</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承诺严格遵守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人的调整内容；项目经理未经</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人同意不得随意更换。</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须在</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rPr>
        <w:t>提供承诺并加盖</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公章（承诺格式自拟）</w:t>
      </w:r>
      <w:r>
        <w:rPr>
          <w:rFonts w:hint="eastAsia" w:ascii="宋体" w:hAnsi="宋体" w:eastAsia="宋体" w:cs="宋体"/>
          <w:b/>
          <w:bCs/>
          <w:color w:val="auto"/>
          <w:sz w:val="24"/>
          <w:szCs w:val="24"/>
          <w:highlight w:val="none"/>
          <w:lang w:eastAsia="zh-CN"/>
        </w:rPr>
        <w:t>。</w:t>
      </w:r>
    </w:p>
    <w:p w14:paraId="0EFC8F63">
      <w:pPr>
        <w:pageBreakBefore w:val="0"/>
        <w:widowControl w:val="0"/>
        <w:kinsoku/>
        <w:wordWrap/>
        <w:overflowPunct/>
        <w:topLinePunct w:val="0"/>
        <w:autoSpaceDE/>
        <w:autoSpaceDN/>
        <w:bidi w:val="0"/>
        <w:snapToGrid w:val="0"/>
        <w:spacing w:line="440" w:lineRule="exact"/>
        <w:ind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w:t>
      </w:r>
    </w:p>
    <w:p w14:paraId="0220AF71">
      <w:pPr>
        <w:pageBreakBefore w:val="0"/>
        <w:widowControl w:val="0"/>
        <w:numPr>
          <w:ilvl w:val="0"/>
          <w:numId w:val="0"/>
        </w:numPr>
        <w:kinsoku/>
        <w:wordWrap/>
        <w:overflowPunct/>
        <w:topLinePunct w:val="0"/>
        <w:autoSpaceDE/>
        <w:autoSpaceDN/>
        <w:bidi w:val="0"/>
        <w:snapToGrid w:val="0"/>
        <w:spacing w:line="440" w:lineRule="exact"/>
        <w:ind w:firstLine="720" w:firstLineChars="3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eastAsia="zh-CN"/>
        </w:rPr>
        <w:t>项目经理、项目技术负责人和主要管理人员不得相互兼任</w:t>
      </w:r>
      <w:r>
        <w:rPr>
          <w:rFonts w:hint="eastAsia" w:ascii="宋体" w:hAnsi="宋体" w:cs="宋体"/>
          <w:color w:val="auto"/>
          <w:sz w:val="24"/>
          <w:szCs w:val="24"/>
          <w:highlight w:val="none"/>
          <w:lang w:eastAsia="zh-CN"/>
        </w:rPr>
        <w:t>。</w:t>
      </w:r>
    </w:p>
    <w:p w14:paraId="41443D59">
      <w:pPr>
        <w:pageBreakBefore w:val="0"/>
        <w:widowControl w:val="0"/>
        <w:numPr>
          <w:ilvl w:val="0"/>
          <w:numId w:val="0"/>
        </w:numPr>
        <w:kinsoku/>
        <w:wordWrap/>
        <w:overflowPunct/>
        <w:topLinePunct w:val="0"/>
        <w:autoSpaceDE/>
        <w:autoSpaceDN/>
        <w:bidi w:val="0"/>
        <w:snapToGrid w:val="0"/>
        <w:spacing w:line="440" w:lineRule="exact"/>
        <w:ind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上述要求须提交的相关证明材料均为扫描件（原件或复印件的扫描件均可），扫描件须清晰可辨，有一条不满足，则</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作否决投标处理。</w:t>
      </w:r>
    </w:p>
    <w:p w14:paraId="4D86D0C5">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提供的上述相关证明材料真实有效，不存在弄虚作假情形。</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在合同签订前均有权对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提供的资料进行核实，若发现弄虚作假，按相关规定取消其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资格，并按相关法律法规报监督部门，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承担因此造成的相关责任并赔偿相应损失。</w:t>
      </w:r>
    </w:p>
    <w:p w14:paraId="21890A8F">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文件中所要求的人员养老保险证明要求如下：</w:t>
      </w:r>
    </w:p>
    <w:p w14:paraId="756643F6">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①企业提供养老保险证明，事业单位提供养老保险证明或行政主管部门在编证明。</w:t>
      </w:r>
    </w:p>
    <w:p w14:paraId="07DA80B5">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②项目经理、项目技术负责人的养老保险证明期限须包含 </w:t>
      </w:r>
      <w:r>
        <w:rPr>
          <w:rFonts w:hint="eastAsia" w:cs="宋体" w:asciiTheme="minorEastAsia" w:hAnsiTheme="minorEastAsia" w:eastAsiaTheme="minorEastAsia"/>
          <w:b/>
          <w:bCs/>
          <w:color w:val="auto"/>
          <w:sz w:val="24"/>
          <w:szCs w:val="24"/>
          <w:highlight w:val="none"/>
        </w:rPr>
        <w:t>202</w:t>
      </w:r>
      <w:r>
        <w:rPr>
          <w:rFonts w:hint="eastAsia" w:cs="宋体" w:asciiTheme="minorEastAsia" w:hAnsiTheme="minorEastAsia" w:eastAsiaTheme="minorEastAsia"/>
          <w:b/>
          <w:bCs/>
          <w:color w:val="auto"/>
          <w:sz w:val="24"/>
          <w:szCs w:val="24"/>
          <w:highlight w:val="none"/>
          <w:lang w:val="en-US" w:eastAsia="zh-CN"/>
        </w:rPr>
        <w:t>5</w:t>
      </w:r>
      <w:r>
        <w:rPr>
          <w:rFonts w:hint="eastAsia" w:cs="宋体" w:asciiTheme="minorEastAsia" w:hAnsiTheme="minorEastAsia" w:eastAsiaTheme="minorEastAsia"/>
          <w:b/>
          <w:bCs/>
          <w:color w:val="auto"/>
          <w:sz w:val="24"/>
          <w:szCs w:val="24"/>
          <w:highlight w:val="none"/>
        </w:rPr>
        <w:t xml:space="preserve"> 年任意一个月</w:t>
      </w:r>
      <w:r>
        <w:rPr>
          <w:rFonts w:hint="eastAsia" w:cs="宋体" w:asciiTheme="minorEastAsia" w:hAnsiTheme="minorEastAsia" w:eastAsiaTheme="minorEastAsia"/>
          <w:color w:val="auto"/>
          <w:sz w:val="24"/>
          <w:szCs w:val="24"/>
          <w:highlight w:val="none"/>
        </w:rPr>
        <w:t>，提供的养老保险参保证明须体现上述人员的姓名、身份证号（或社保号）、单位名称、本单位参保时间（或起始参保时间），并带有社保部门公章或社保部门的有效电子印章。</w:t>
      </w:r>
    </w:p>
    <w:p w14:paraId="10D7ECE6">
      <w:pPr>
        <w:numPr>
          <w:ilvl w:val="0"/>
          <w:numId w:val="0"/>
        </w:numPr>
        <w:snapToGrid w:val="0"/>
        <w:spacing w:line="440" w:lineRule="exact"/>
        <w:ind w:firstLine="720" w:firstLineChars="300"/>
        <w:jc w:val="left"/>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kern w:val="2"/>
          <w:sz w:val="24"/>
          <w:szCs w:val="24"/>
          <w:highlight w:val="none"/>
          <w:lang w:val="en-US" w:eastAsia="zh-CN" w:bidi="ar-SA"/>
        </w:rPr>
        <w:t>（5）</w:t>
      </w:r>
      <w:r>
        <w:rPr>
          <w:rFonts w:hint="eastAsia" w:cs="宋体" w:asciiTheme="minorEastAsia" w:hAnsiTheme="minorEastAsia" w:eastAsiaTheme="minorEastAsia"/>
          <w:color w:val="auto"/>
          <w:sz w:val="24"/>
          <w:szCs w:val="24"/>
          <w:highlight w:val="none"/>
          <w:lang w:val="en-US" w:eastAsia="zh-CN"/>
        </w:rPr>
        <w:t>投标人</w:t>
      </w:r>
      <w:r>
        <w:rPr>
          <w:rFonts w:hint="eastAsia" w:cs="宋体" w:asciiTheme="minorEastAsia" w:hAnsiTheme="minorEastAsia" w:eastAsiaTheme="minorEastAsia"/>
          <w:color w:val="auto"/>
          <w:sz w:val="24"/>
          <w:szCs w:val="24"/>
          <w:highlight w:val="none"/>
        </w:rPr>
        <w:t>成立日期在2025年</w:t>
      </w: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rPr>
        <w:t>月1日及以后或拟派的项目经理</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项目技术负责人</w:t>
      </w:r>
      <w:r>
        <w:rPr>
          <w:rFonts w:hint="eastAsia" w:cs="宋体" w:asciiTheme="minorEastAsia" w:hAnsiTheme="minorEastAsia" w:eastAsiaTheme="minorEastAsia"/>
          <w:color w:val="auto"/>
          <w:sz w:val="24"/>
          <w:szCs w:val="24"/>
          <w:highlight w:val="none"/>
        </w:rPr>
        <w:t>至</w:t>
      </w:r>
      <w:r>
        <w:rPr>
          <w:rFonts w:hint="eastAsia" w:cs="宋体" w:asciiTheme="minorEastAsia" w:hAnsiTheme="minorEastAsia" w:eastAsiaTheme="minorEastAsia"/>
          <w:color w:val="auto"/>
          <w:sz w:val="24"/>
          <w:szCs w:val="24"/>
          <w:highlight w:val="none"/>
          <w:lang w:val="en-US" w:eastAsia="zh-CN"/>
        </w:rPr>
        <w:t>投标</w:t>
      </w:r>
      <w:r>
        <w:rPr>
          <w:rFonts w:hint="eastAsia" w:cs="宋体" w:asciiTheme="minorEastAsia" w:hAnsiTheme="minorEastAsia" w:eastAsiaTheme="minorEastAsia"/>
          <w:color w:val="auto"/>
          <w:sz w:val="24"/>
          <w:szCs w:val="24"/>
          <w:highlight w:val="none"/>
        </w:rPr>
        <w:t>文件递交截止时间入职时间不足1个月，无法提供养老保险证明材料的，可提供</w:t>
      </w:r>
      <w:r>
        <w:rPr>
          <w:rFonts w:hint="eastAsia" w:cs="宋体" w:asciiTheme="minorEastAsia" w:hAnsiTheme="minorEastAsia" w:eastAsiaTheme="minorEastAsia"/>
          <w:color w:val="auto"/>
          <w:sz w:val="24"/>
          <w:szCs w:val="24"/>
          <w:highlight w:val="none"/>
          <w:lang w:val="en-US" w:eastAsia="zh-CN"/>
        </w:rPr>
        <w:t>投标人</w:t>
      </w:r>
      <w:r>
        <w:rPr>
          <w:rFonts w:hint="eastAsia" w:cs="宋体" w:asciiTheme="minorEastAsia" w:hAnsiTheme="minorEastAsia" w:eastAsiaTheme="minorEastAsia"/>
          <w:color w:val="auto"/>
          <w:sz w:val="24"/>
          <w:szCs w:val="24"/>
          <w:highlight w:val="none"/>
        </w:rPr>
        <w:t>与拟派的项目经理</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项目技术负责人</w:t>
      </w:r>
      <w:r>
        <w:rPr>
          <w:rFonts w:hint="eastAsia" w:cs="宋体" w:asciiTheme="minorEastAsia" w:hAnsiTheme="minorEastAsia" w:eastAsiaTheme="minorEastAsia"/>
          <w:color w:val="auto"/>
          <w:sz w:val="24"/>
          <w:szCs w:val="24"/>
          <w:highlight w:val="none"/>
        </w:rPr>
        <w:t>签订的劳动合同扫描件</w:t>
      </w:r>
      <w:r>
        <w:rPr>
          <w:rFonts w:hint="eastAsia" w:cs="宋体" w:asciiTheme="minorEastAsia" w:hAnsiTheme="minorEastAsia" w:eastAsiaTheme="minorEastAsia"/>
          <w:color w:val="auto"/>
          <w:sz w:val="24"/>
          <w:szCs w:val="24"/>
          <w:highlight w:val="none"/>
          <w:lang w:eastAsia="zh-CN"/>
        </w:rPr>
        <w:t>。</w:t>
      </w:r>
    </w:p>
    <w:p w14:paraId="15FBC4F1">
      <w:pPr>
        <w:pageBreakBefore w:val="0"/>
        <w:widowControl w:val="0"/>
        <w:kinsoku/>
        <w:wordWrap/>
        <w:overflowPunct/>
        <w:topLinePunct w:val="0"/>
        <w:autoSpaceDE/>
        <w:autoSpaceDN/>
        <w:bidi w:val="0"/>
        <w:snapToGrid w:val="0"/>
        <w:spacing w:line="440" w:lineRule="exact"/>
        <w:jc w:val="left"/>
        <w:textAlignment w:val="auto"/>
        <w:rPr>
          <w:rFonts w:hint="eastAsia" w:ascii="宋体" w:hAnsi="宋体" w:eastAsia="宋体" w:cs="宋体"/>
          <w:b/>
          <w:bCs/>
          <w:color w:val="auto"/>
          <w:sz w:val="24"/>
          <w:szCs w:val="24"/>
          <w:highlight w:val="none"/>
        </w:rPr>
      </w:pPr>
      <w:bookmarkStart w:id="36" w:name="_Toc2705"/>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、安全生产</w:t>
      </w:r>
      <w:bookmarkEnd w:id="36"/>
    </w:p>
    <w:p w14:paraId="11325BAA">
      <w:pPr>
        <w:pageBreakBefore w:val="0"/>
        <w:widowControl w:val="0"/>
        <w:kinsoku/>
        <w:wordWrap/>
        <w:overflowPunct/>
        <w:topLinePunct w:val="0"/>
        <w:autoSpaceDE/>
        <w:autoSpaceDN/>
        <w:bidi w:val="0"/>
        <w:spacing w:line="44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按国家及行业的相关规定做好安全文明施工管理工作，制定严格的安全防护措施，确保安全施工，若因</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原因（包括但不仅限于：①周边环境复杂，工程施工涉及用电安全，由此由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所引起的漏电导致自身员工伤亡、行人伤亡或财产损失；②</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自行承担。</w:t>
      </w:r>
      <w:r>
        <w:rPr>
          <w:rFonts w:hint="eastAsia" w:ascii="宋体" w:hAnsi="宋体" w:eastAsia="宋体" w:cs="宋体"/>
          <w:color w:val="auto"/>
          <w:sz w:val="24"/>
          <w:szCs w:val="24"/>
          <w:highlight w:val="none"/>
        </w:rPr>
        <w:t>由此给</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人造成损失的，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还应当赔偿。</w:t>
      </w:r>
    </w:p>
    <w:p w14:paraId="3B064BB7">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）在施工过程中，</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须做到安全施工、文明施工，并做好相应的施工安全公告及警戒标识，</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应当与其施工人员建立劳动关系，承担全部用人用工主体责任。</w:t>
      </w:r>
    </w:p>
    <w:p w14:paraId="43E495C6">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）施工中</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必须按照安全文明施工管理规定设置明显的标识标志。</w:t>
      </w:r>
    </w:p>
    <w:p w14:paraId="7F457CE7">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应做好文明施工，杜绝野蛮施工，及时做好施工现场的整理、整顿、清洁工作。</w:t>
      </w:r>
    </w:p>
    <w:p w14:paraId="7D8CB767">
      <w:pPr>
        <w:rPr>
          <w:rFonts w:hint="eastAsia" w:ascii="宋体" w:hAnsi="宋体" w:eastAsia="宋体" w:cs="宋体"/>
          <w:color w:val="auto"/>
          <w:sz w:val="36"/>
          <w:szCs w:val="36"/>
          <w:highlight w:val="none"/>
          <w:lang w:val="en-US" w:eastAsia="zh-CN"/>
        </w:rPr>
      </w:pPr>
      <w:bookmarkStart w:id="37" w:name="_Toc4743"/>
      <w:r>
        <w:rPr>
          <w:rFonts w:hint="eastAsia" w:ascii="宋体" w:hAnsi="宋体" w:eastAsia="宋体" w:cs="宋体"/>
          <w:color w:val="auto"/>
          <w:sz w:val="36"/>
          <w:szCs w:val="36"/>
          <w:highlight w:val="none"/>
          <w:lang w:val="en-US" w:eastAsia="zh-CN"/>
        </w:rPr>
        <w:br w:type="page"/>
      </w:r>
    </w:p>
    <w:p w14:paraId="5577CC6B">
      <w:pPr>
        <w:pStyle w:val="2"/>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 xml:space="preserve">第三篇  </w:t>
      </w:r>
      <w:bookmarkEnd w:id="28"/>
      <w:bookmarkEnd w:id="29"/>
      <w:bookmarkEnd w:id="30"/>
      <w:bookmarkEnd w:id="31"/>
      <w:bookmarkEnd w:id="32"/>
      <w:bookmarkEnd w:id="33"/>
      <w:r>
        <w:rPr>
          <w:rFonts w:hint="eastAsia" w:ascii="宋体" w:hAnsi="宋体" w:eastAsia="宋体" w:cs="宋体"/>
          <w:color w:val="auto"/>
          <w:sz w:val="36"/>
          <w:szCs w:val="36"/>
          <w:highlight w:val="none"/>
          <w:lang w:val="en-US" w:eastAsia="zh-CN"/>
        </w:rPr>
        <w:t>项目商务需求</w:t>
      </w:r>
      <w:bookmarkEnd w:id="37"/>
    </w:p>
    <w:bookmarkEnd w:id="24"/>
    <w:bookmarkEnd w:id="34"/>
    <w:bookmarkEnd w:id="35"/>
    <w:p w14:paraId="635EE59A">
      <w:pPr>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auto"/>
          <w:kern w:val="0"/>
          <w:sz w:val="24"/>
          <w:szCs w:val="24"/>
          <w:highlight w:val="none"/>
          <w:lang w:val="en-US" w:eastAsia="zh-CN"/>
        </w:rPr>
      </w:pPr>
      <w:bookmarkStart w:id="38" w:name="_Toc4837"/>
      <w:bookmarkStart w:id="39" w:name="_Toc342913393"/>
      <w:bookmarkStart w:id="40" w:name="_Toc525658704"/>
      <w:bookmarkStart w:id="41" w:name="_Toc8808"/>
      <w:bookmarkStart w:id="42" w:name="_Toc24569665"/>
      <w:bookmarkStart w:id="43" w:name="_Toc31319"/>
      <w:bookmarkStart w:id="44" w:name="_Toc179714298"/>
      <w:bookmarkStart w:id="45" w:name="_Toc516231412"/>
      <w:bookmarkStart w:id="46" w:name="_Toc102227319"/>
      <w:bookmarkStart w:id="47" w:name="_Toc267320051"/>
      <w:bookmarkStart w:id="48" w:name="_Toc21783685"/>
      <w:r>
        <w:rPr>
          <w:rFonts w:hint="eastAsia" w:ascii="宋体" w:hAnsi="宋体" w:eastAsia="宋体" w:cs="宋体"/>
          <w:b/>
          <w:bCs/>
          <w:color w:val="auto"/>
          <w:kern w:val="0"/>
          <w:sz w:val="24"/>
          <w:szCs w:val="24"/>
          <w:highlight w:val="none"/>
          <w:lang w:val="en-US" w:eastAsia="zh-CN"/>
        </w:rPr>
        <w:t>一、工期、地点及验收方式</w:t>
      </w:r>
      <w:bookmarkEnd w:id="38"/>
    </w:p>
    <w:bookmarkEnd w:id="39"/>
    <w:bookmarkEnd w:id="40"/>
    <w:bookmarkEnd w:id="41"/>
    <w:bookmarkEnd w:id="42"/>
    <w:bookmarkEnd w:id="43"/>
    <w:bookmarkEnd w:id="44"/>
    <w:bookmarkEnd w:id="45"/>
    <w:bookmarkEnd w:id="46"/>
    <w:bookmarkEnd w:id="47"/>
    <w:p w14:paraId="6A5724A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bookmarkStart w:id="49" w:name="_Toc267320050"/>
      <w:r>
        <w:rPr>
          <w:rFonts w:hint="eastAsia" w:ascii="宋体" w:hAnsi="宋体" w:eastAsia="宋体" w:cs="宋体"/>
          <w:color w:val="auto"/>
          <w:kern w:val="0"/>
          <w:sz w:val="24"/>
          <w:szCs w:val="24"/>
          <w:highlight w:val="none"/>
          <w:lang w:val="en-US" w:eastAsia="zh-CN"/>
        </w:rPr>
        <w:t>（一）工期：30日历天。</w:t>
      </w:r>
    </w:p>
    <w:p w14:paraId="53A04A1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（二）建设地点：</w:t>
      </w:r>
      <w:r>
        <w:rPr>
          <w:rFonts w:hint="eastAsia" w:ascii="宋体" w:hAnsi="宋体" w:cs="宋体"/>
          <w:color w:val="auto"/>
          <w:kern w:val="0"/>
          <w:sz w:val="24"/>
          <w:szCs w:val="24"/>
          <w:highlight w:val="none"/>
          <w:lang w:val="en-US" w:eastAsia="zh-CN"/>
        </w:rPr>
        <w:t>重庆市南岸区辅向路10号</w:t>
      </w:r>
      <w:r>
        <w:rPr>
          <w:rFonts w:hint="eastAsia" w:ascii="宋体" w:hAnsi="宋体" w:eastAsia="宋体" w:cs="宋体"/>
          <w:color w:val="auto"/>
          <w:kern w:val="0"/>
          <w:sz w:val="24"/>
          <w:szCs w:val="24"/>
          <w:highlight w:val="none"/>
          <w:lang w:val="en-US" w:eastAsia="zh-CN"/>
        </w:rPr>
        <w:t>。</w:t>
      </w:r>
    </w:p>
    <w:p w14:paraId="3CC0751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（三）验收方式</w:t>
      </w:r>
      <w:bookmarkEnd w:id="49"/>
    </w:p>
    <w:p w14:paraId="0E4ECB3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施工过程应遵照现行国家有关规范进行，招标人按照有关要求自行组织进行检查验收。中标人应保证工程质量，工程用建筑材料须符合国家及行业标准，项目工程达到国家现行有关施工质量验收规范要求，并达到合格标准。</w:t>
      </w:r>
    </w:p>
    <w:p w14:paraId="41C36E3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2.工程完工后，按国家相关标准验收程序和规程进行验收并签字确认。验收的相关费用由中标人承担。</w:t>
      </w:r>
    </w:p>
    <w:p w14:paraId="048EE6D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3.中标人未达到采购文件的要求，且对招标人造成损失的，由中标人承担一切责任，并赔偿所造成的损失。</w:t>
      </w:r>
    </w:p>
    <w:p w14:paraId="0DFE21CE">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rPr>
      </w:pPr>
      <w:bookmarkStart w:id="50" w:name="_Toc15594"/>
      <w:bookmarkStart w:id="51" w:name="_Toc8488"/>
      <w:bookmarkStart w:id="52" w:name="_Toc29345"/>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计价方式和</w:t>
      </w:r>
      <w:r>
        <w:rPr>
          <w:rFonts w:hint="eastAsia" w:ascii="宋体" w:hAnsi="宋体" w:eastAsia="宋体" w:cs="宋体"/>
          <w:color w:val="auto"/>
          <w:sz w:val="24"/>
          <w:szCs w:val="24"/>
          <w:highlight w:val="none"/>
        </w:rPr>
        <w:t>报价要求</w:t>
      </w:r>
      <w:bookmarkEnd w:id="50"/>
      <w:bookmarkEnd w:id="51"/>
      <w:bookmarkEnd w:id="52"/>
    </w:p>
    <w:p w14:paraId="34046B9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bookmarkStart w:id="53" w:name="_Toc8523"/>
      <w:bookmarkStart w:id="54" w:name="_Toc31674"/>
      <w:bookmarkStart w:id="55" w:name="_Toc344475121"/>
      <w:bookmarkStart w:id="56" w:name="_Toc24569666"/>
      <w:bookmarkStart w:id="57" w:name="_Toc30477"/>
      <w:bookmarkStart w:id="58" w:name="_Toc20397"/>
      <w:bookmarkStart w:id="59" w:name="_Toc403569791"/>
      <w:r>
        <w:rPr>
          <w:rFonts w:hint="eastAsia" w:ascii="宋体" w:hAnsi="宋体" w:eastAsia="宋体" w:cs="宋体"/>
          <w:color w:val="auto"/>
          <w:kern w:val="0"/>
          <w:sz w:val="24"/>
          <w:szCs w:val="24"/>
          <w:highlight w:val="none"/>
          <w:lang w:val="en-US" w:eastAsia="zh-CN"/>
        </w:rPr>
        <w:t>（一）计价方式：本项目实行工程量清单计价。</w:t>
      </w:r>
    </w:p>
    <w:p w14:paraId="048109C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bookmarkStart w:id="60" w:name="_Toc13734"/>
      <w:r>
        <w:rPr>
          <w:rFonts w:hint="eastAsia" w:ascii="宋体" w:hAnsi="宋体" w:eastAsia="宋体" w:cs="宋体"/>
          <w:color w:val="auto"/>
          <w:kern w:val="0"/>
          <w:sz w:val="24"/>
          <w:szCs w:val="24"/>
          <w:highlight w:val="none"/>
          <w:lang w:val="en-US" w:eastAsia="zh-CN"/>
        </w:rPr>
        <w:t>（二）报价要求</w:t>
      </w:r>
      <w:bookmarkEnd w:id="60"/>
    </w:p>
    <w:p w14:paraId="662E19F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次报价须为人民币报价，投标人以招标文件、工程量清单、国家技术和经济规范及标准为依据，由投标人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p>
    <w:p w14:paraId="4A25D32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bookmarkStart w:id="61" w:name="_Toc6412"/>
      <w:r>
        <w:rPr>
          <w:rFonts w:hint="eastAsia" w:ascii="宋体" w:hAnsi="宋体" w:eastAsia="宋体" w:cs="宋体"/>
          <w:color w:val="auto"/>
          <w:kern w:val="0"/>
          <w:sz w:val="24"/>
          <w:szCs w:val="24"/>
          <w:highlight w:val="none"/>
          <w:lang w:val="en-US" w:eastAsia="zh-CN"/>
        </w:rPr>
        <w:t>（三）报价依据：</w:t>
      </w:r>
      <w:bookmarkEnd w:id="61"/>
    </w:p>
    <w:p w14:paraId="59CDDDA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各投标人以招标文件、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宋体" w:hAnsi="宋体" w:eastAsia="宋体" w:cs="宋体"/>
          <w:color w:val="auto"/>
          <w:sz w:val="24"/>
          <w:szCs w:val="24"/>
          <w:highlight w:val="none"/>
          <w:lang w:val="zh-CN" w:eastAsia="zh-CN"/>
        </w:rPr>
        <w:t>《重庆市建设工程费用定额》（</w:t>
      </w:r>
      <w:r>
        <w:rPr>
          <w:rFonts w:hint="eastAsia" w:ascii="宋体" w:hAnsi="宋体" w:eastAsia="宋体" w:cs="宋体"/>
          <w:color w:val="auto"/>
          <w:sz w:val="24"/>
          <w:szCs w:val="24"/>
          <w:highlight w:val="none"/>
          <w:lang w:val="en-US" w:eastAsia="zh-CN"/>
        </w:rPr>
        <w:t>CQFYDE-2018</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kern w:val="0"/>
          <w:sz w:val="24"/>
          <w:szCs w:val="24"/>
          <w:highlight w:val="none"/>
          <w:lang w:val="en-US" w:eastAsia="zh-CN"/>
        </w:rPr>
        <w:t>及相关配套文件的规定，结合自身实力、市场行情自主合理报价。投标报价应包括完成采购范围内工程项目的人工费、材料费、机械费、企业管理费、利润、风险费用、措施费（含安全文明施工费）、规费、税金、并考虑政策性文件规定的费用，以及合同文件中应由中标人承担的所有责任、义务和一般风险等费用，招标人除此以外不支付其它费用。</w:t>
      </w:r>
    </w:p>
    <w:p w14:paraId="30BEB06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招标人将不予接受，并将被视为重大偏差，其投标文件将被否决。投标人须按招标人提供的工程量清单填报价格，不得随意更改工程量清单内的项目编码、项目名称、项目特征、计量单位、工程量（措施项目清单除外），否则作无效响应处理。</w:t>
      </w:r>
    </w:p>
    <w:p w14:paraId="4611871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3、报价函中的总报价必须与已标价工程量清单总报价一致，否则作无效响应处理。</w:t>
      </w:r>
    </w:p>
    <w:p w14:paraId="0858D9A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4、安全文明施工费</w:t>
      </w:r>
    </w:p>
    <w:p w14:paraId="00B93DE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4.1根据《重庆市建设工程费用定额》（CQFYDE-2018）规定，安全文明施工费由安全施工费、文明施工费、环境保护费及临时设施费四部分组成。</w:t>
      </w:r>
    </w:p>
    <w:p w14:paraId="7313BC7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本工程安全文明施工费由招标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重庆市</w:t>
      </w:r>
      <w:r>
        <w:rPr>
          <w:rFonts w:hint="eastAsia" w:ascii="宋体" w:hAnsi="宋体" w:eastAsia="宋体" w:cs="宋体"/>
          <w:color w:val="auto"/>
          <w:sz w:val="24"/>
          <w:szCs w:val="24"/>
          <w:highlight w:val="none"/>
        </w:rPr>
        <w:t>住房和城乡建设委员会关于</w:t>
      </w:r>
      <w:r>
        <w:rPr>
          <w:rFonts w:hint="eastAsia" w:ascii="宋体" w:hAnsi="宋体" w:eastAsia="宋体" w:cs="宋体"/>
          <w:color w:val="auto"/>
          <w:sz w:val="24"/>
          <w:szCs w:val="24"/>
          <w:highlight w:val="none"/>
          <w:lang w:val="en-US" w:eastAsia="zh-CN"/>
        </w:rPr>
        <w:t>修订发布&lt;重庆市建设工程安全文明施工费计取及使用管理规定&gt;的通知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渝建管</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的相关规定和费用标准单列计算，安全文明施工费为暂定金额，与最高限价一起公布。《报价函》中的安全文明施工费金额或工程量清单中安全文明施工费的汇总金额未按照招标人给出的暂定金额填报的，视为对招标文件不作实质性响应，其投标文件由评标委员会作否决投标处理。</w:t>
      </w:r>
    </w:p>
    <w:p w14:paraId="58A3539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4.3安全文明施工费的要求与内容、提取支付方法以及违反约定造成损失的赔偿等条款，按照现行规范性要求执行，做到专款专用。</w:t>
      </w:r>
    </w:p>
    <w:p w14:paraId="32C9751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本工程所需材料、设备由投标人参照重庆市建设工程造价管理总站发布的《重庆工程造价信息》或工程造价管理机构发布的工程造价信息（造价信息引用时限为招标文件发布日期前一期），并结合市场行情及自身实力进行自主报价。材料运输距离由投标人根据自身情况及踏勘现场情况自行确定并考虑在响应报价中。</w:t>
      </w:r>
    </w:p>
    <w:p w14:paraId="08EC916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人工费由投标人按重庆市建设工程造价管理总站发布的《重庆工程造价信息》或工程造价管理机构发布的工程造价信息（造价信息引用时限为招标文件发布日期前一期）公布的人工价并结合市场行情及自身实力进行自主报价，由各投标人结合市场行情自主测算计入各分部分项综合单价中。</w:t>
      </w:r>
    </w:p>
    <w:p w14:paraId="78E7845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7、措施项目费：措施项目费清单包括施工组织措施项目清单和施工技术措施项目清单两部分。</w:t>
      </w:r>
    </w:p>
    <w:p w14:paraId="2526BB2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7.1施工组织措施项目清单：投标人结合本工程的实际情况和国家及重庆市相关管理规定自行增减项目，并进行报价。如果漏项或不报价，视为已包含在其他项目清单综合单价内。</w:t>
      </w:r>
    </w:p>
    <w:p w14:paraId="5C030AD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施工技术措施项目清单：技术措施清单中以“项”计列的项目，由投标人根据现场踏勘情况及本工程的实际情况结合自身的施工组织设计，以“项”为单位按总价自行报价，一旦成交，不作调整（政府另有规定除外）；技术措施清单中以清单列项（项目编码、项目名称、项目特征、工程内容、工程量及计量单位）的项目，投标人必须按招标人给出的施工技术措施项目清单按单价进行报价，同时不得擅自变改招标人提供的施工技术措施项目清单中的序号、项目编码、项目名称、项目特征、工程内容、工程量及计量单位，否则视为对招标文件不作实质性响应。</w:t>
      </w:r>
    </w:p>
    <w:p w14:paraId="27D4DE0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8、规费：按照《重庆市建设工程费用定额》（CQFYDE-2018）所规定费率执行。</w:t>
      </w:r>
    </w:p>
    <w:p w14:paraId="08B7604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税金：按《重庆市城乡建设委员会关于建筑业营业税改征增值税调整建设工程计价依据的通知》（渝建（2016）35号）、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编制预算。</w:t>
      </w:r>
    </w:p>
    <w:p w14:paraId="42231900">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10.本工程招标将设置投标总报价最高限价，投标总报价最高限价为</w:t>
      </w:r>
      <w:r>
        <w:rPr>
          <w:rFonts w:hint="eastAsia" w:ascii="宋体" w:hAnsi="宋体" w:eastAsia="宋体" w:cs="宋体"/>
          <w:b/>
          <w:bCs/>
          <w:color w:val="auto"/>
          <w:kern w:val="0"/>
          <w:sz w:val="24"/>
          <w:szCs w:val="24"/>
          <w:highlight w:val="none"/>
          <w:u w:val="single"/>
          <w:lang w:val="en-US" w:eastAsia="zh-CN"/>
        </w:rPr>
        <w:t xml:space="preserve"> 327151.95</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lang w:val="en-US" w:eastAsia="zh-CN"/>
        </w:rPr>
        <w:t>元（大写：</w:t>
      </w:r>
      <w:r>
        <w:rPr>
          <w:rFonts w:hint="eastAsia" w:ascii="宋体" w:hAnsi="宋体" w:cs="宋体"/>
          <w:b/>
          <w:bCs/>
          <w:color w:val="auto"/>
          <w:kern w:val="0"/>
          <w:sz w:val="24"/>
          <w:szCs w:val="24"/>
          <w:highlight w:val="none"/>
          <w:u w:val="single"/>
          <w:lang w:val="en-US" w:eastAsia="zh-CN"/>
        </w:rPr>
        <w:t xml:space="preserve"> 叁拾贰万柒仟壹佰伍拾壹元玖角伍分 </w:t>
      </w:r>
      <w:r>
        <w:rPr>
          <w:rFonts w:hint="eastAsia" w:ascii="宋体" w:hAnsi="宋体" w:eastAsia="宋体" w:cs="宋体"/>
          <w:b/>
          <w:bCs/>
          <w:color w:val="auto"/>
          <w:kern w:val="0"/>
          <w:sz w:val="24"/>
          <w:szCs w:val="24"/>
          <w:highlight w:val="none"/>
          <w:lang w:val="en-US" w:eastAsia="zh-CN"/>
        </w:rPr>
        <w:t>），安全文明施工费暂定金额</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cs="宋体"/>
          <w:b/>
          <w:bCs/>
          <w:color w:val="auto"/>
          <w:kern w:val="0"/>
          <w:sz w:val="24"/>
          <w:szCs w:val="24"/>
          <w:highlight w:val="none"/>
          <w:u w:val="single"/>
          <w:lang w:val="en-US" w:eastAsia="zh-CN"/>
        </w:rPr>
        <w:t xml:space="preserve"> 9837.34 </w:t>
      </w:r>
      <w:r>
        <w:rPr>
          <w:rFonts w:hint="eastAsia" w:ascii="宋体" w:hAnsi="宋体" w:eastAsia="宋体" w:cs="宋体"/>
          <w:b/>
          <w:bCs/>
          <w:color w:val="auto"/>
          <w:kern w:val="0"/>
          <w:sz w:val="24"/>
          <w:szCs w:val="24"/>
          <w:highlight w:val="none"/>
          <w:lang w:val="en-US" w:eastAsia="zh-CN"/>
        </w:rPr>
        <w:t>元，投标人的投标总报价不得超过投标总报价最高限价，否则视为对招标文件不作实质性响应。</w:t>
      </w:r>
    </w:p>
    <w:p w14:paraId="64ED73E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本工程招标将设置全部清单综合单价最高限价，全部清单综合单价最高限价详见随本招标文件发出的附件，投标人的每项清单综合单价报价不得超过每项清单综合单价最高限价，否则视为对招标文件不作实质性响应。</w:t>
      </w:r>
    </w:p>
    <w:p w14:paraId="51FF5C5F">
      <w:pPr>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rPr>
        <w:t>招标人在工程量清单中所列出的安全文明施工费、暂列金额（如有）、暂估价（如有）等暂定金额，投标人不得修改，否则视为对招标文件不作实质性响应。</w:t>
      </w:r>
    </w:p>
    <w:p w14:paraId="7922921B">
      <w:pPr>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招标人</w:t>
      </w:r>
      <w:r>
        <w:rPr>
          <w:rFonts w:hint="eastAsia" w:ascii="宋体" w:hAnsi="宋体" w:eastAsia="宋体" w:cs="宋体"/>
          <w:color w:val="auto"/>
          <w:kern w:val="0"/>
          <w:sz w:val="24"/>
          <w:szCs w:val="24"/>
          <w:highlight w:val="none"/>
          <w:lang w:val="en-US" w:eastAsia="zh-CN" w:bidi="ar-SA"/>
        </w:rPr>
        <w:t>在合同签订前将对</w:t>
      </w:r>
      <w:r>
        <w:rPr>
          <w:rFonts w:hint="eastAsia" w:ascii="宋体" w:hAnsi="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en-US" w:eastAsia="zh-CN" w:bidi="ar-SA"/>
        </w:rPr>
        <w:t>已标价工程量清单进行清标。若发现</w:t>
      </w:r>
      <w:r>
        <w:rPr>
          <w:rFonts w:hint="eastAsia" w:ascii="宋体" w:hAnsi="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en-US" w:eastAsia="zh-CN" w:bidi="ar-SA"/>
        </w:rPr>
        <w:t>的工程量清单综合单价报价超过</w:t>
      </w:r>
      <w:r>
        <w:rPr>
          <w:rFonts w:hint="eastAsia" w:ascii="宋体" w:hAnsi="宋体" w:cs="宋体"/>
          <w:color w:val="auto"/>
          <w:kern w:val="0"/>
          <w:sz w:val="24"/>
          <w:szCs w:val="24"/>
          <w:highlight w:val="none"/>
          <w:lang w:val="en-US" w:eastAsia="zh-CN" w:bidi="ar-SA"/>
        </w:rPr>
        <w:t>开标</w:t>
      </w:r>
      <w:r>
        <w:rPr>
          <w:rFonts w:hint="eastAsia" w:ascii="宋体" w:hAnsi="宋体" w:eastAsia="宋体" w:cs="宋体"/>
          <w:color w:val="auto"/>
          <w:kern w:val="0"/>
          <w:sz w:val="24"/>
          <w:szCs w:val="24"/>
          <w:highlight w:val="none"/>
          <w:lang w:val="en-US" w:eastAsia="zh-CN" w:bidi="ar-SA"/>
        </w:rPr>
        <w:t>时给出的工程量清单综合单价最高限价的，在工程结算时</w:t>
      </w:r>
      <w:r>
        <w:rPr>
          <w:rFonts w:hint="eastAsia" w:ascii="宋体" w:hAnsi="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en-US" w:eastAsia="zh-CN" w:bidi="ar-SA"/>
        </w:rPr>
        <w:t>将以发出的工程量清单综合单价最高限价为基础，按照</w:t>
      </w:r>
      <w:r>
        <w:rPr>
          <w:rFonts w:hint="eastAsia" w:ascii="宋体" w:hAnsi="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en-US" w:eastAsia="zh-CN" w:bidi="ar-SA"/>
        </w:rPr>
        <w:t>所报总报价与本工程的总价最高限价的下浮比例进行同比例下调，</w:t>
      </w:r>
      <w:r>
        <w:rPr>
          <w:rFonts w:hint="eastAsia" w:ascii="宋体" w:hAnsi="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en-US" w:eastAsia="zh-CN" w:bidi="ar-SA"/>
        </w:rPr>
        <w:t>必须无条件接受，否则按</w:t>
      </w:r>
      <w:r>
        <w:rPr>
          <w:rFonts w:hint="eastAsia" w:ascii="宋体" w:hAnsi="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en-US" w:eastAsia="zh-CN" w:bidi="ar-SA"/>
        </w:rPr>
        <w:t>违约处理。</w:t>
      </w:r>
    </w:p>
    <w:p w14:paraId="6E62BD1C">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三、履约担保</w:t>
      </w:r>
    </w:p>
    <w:p w14:paraId="5D195FF3">
      <w:pPr>
        <w:pStyle w:val="11"/>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（一）履约担保的金额：中标合同金额的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19D9E1E6">
      <w:pPr>
        <w:pStyle w:val="11"/>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（二）履约担保的形式：</w:t>
      </w:r>
      <w:r>
        <w:rPr>
          <w:rFonts w:hint="eastAsia" w:ascii="宋体" w:hAnsi="宋体" w:eastAsia="宋体" w:cs="宋体"/>
          <w:color w:val="auto"/>
          <w:sz w:val="24"/>
          <w:szCs w:val="24"/>
          <w:highlight w:val="none"/>
          <w:lang w:val="en-US" w:eastAsia="zh-CN"/>
        </w:rPr>
        <w:t>转账</w:t>
      </w:r>
      <w:r>
        <w:rPr>
          <w:rFonts w:hint="eastAsia" w:ascii="宋体" w:hAnsi="宋体" w:eastAsia="宋体" w:cs="宋体"/>
          <w:color w:val="auto"/>
          <w:sz w:val="24"/>
          <w:szCs w:val="24"/>
          <w:highlight w:val="none"/>
        </w:rPr>
        <w:t>或履约保函，履约保函包括银行保函、保证保险和担保保函。</w:t>
      </w:r>
    </w:p>
    <w:p w14:paraId="69B2E81E">
      <w:pPr>
        <w:pStyle w:val="11"/>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1、采用转账形式缴纳履约担保的，必须从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的基本账户通过银行转账方式直接划付到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人提供的银行账户，其中产生的手续费由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w:t>
      </w:r>
    </w:p>
    <w:p w14:paraId="0A9A612A">
      <w:pPr>
        <w:pStyle w:val="11"/>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2、采用保函形式的，保函必须为不可撤销且见索即付。履约保函必须由合法经营的金融机构、担保机构出具，保函的内容必须符合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和投标承诺的要求。保函的受益人为</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，保函原件交</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保存。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对所提交的履约保函的真实性、合法性、有效性负责。</w:t>
      </w:r>
    </w:p>
    <w:p w14:paraId="7F965A23">
      <w:pPr>
        <w:pStyle w:val="11"/>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（三）履约担保的提交时间：</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应当自成交通知书（无论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领取与否，成交通知书发出时间以成交通知书签发的日期为准）签发后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日内，向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提交履约担保，</w:t>
      </w:r>
      <w:r>
        <w:rPr>
          <w:rFonts w:hint="eastAsia" w:ascii="宋体" w:hAnsi="宋体" w:eastAsia="宋体" w:cs="宋体"/>
          <w:color w:val="auto"/>
          <w:sz w:val="24"/>
          <w:szCs w:val="24"/>
          <w:highlight w:val="none"/>
          <w:lang w:val="en-US" w:eastAsia="zh-CN"/>
        </w:rPr>
        <w:t>主动联系并与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签订政府采购合同。如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未按上述要求及时办理，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有权取消其成交资格</w:t>
      </w:r>
      <w:r>
        <w:rPr>
          <w:rFonts w:hint="eastAsia" w:ascii="宋体" w:hAnsi="宋体" w:eastAsia="宋体" w:cs="宋体"/>
          <w:color w:val="auto"/>
          <w:sz w:val="24"/>
          <w:szCs w:val="24"/>
          <w:highlight w:val="none"/>
          <w:lang w:eastAsia="zh-CN"/>
        </w:rPr>
        <w:t>并上报政府采购主管部门，并追究其法律责任。</w:t>
      </w:r>
    </w:p>
    <w:p w14:paraId="77D28347">
      <w:pPr>
        <w:pStyle w:val="11"/>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bookmarkStart w:id="62" w:name="_Toc13388"/>
      <w:bookmarkStart w:id="63" w:name="_Toc16641"/>
      <w:bookmarkStart w:id="64" w:name="_Toc19136"/>
      <w:r>
        <w:rPr>
          <w:rFonts w:hint="eastAsia" w:ascii="宋体" w:hAnsi="宋体" w:eastAsia="宋体" w:cs="宋体"/>
          <w:color w:val="auto"/>
          <w:sz w:val="24"/>
          <w:szCs w:val="24"/>
          <w:highlight w:val="none"/>
        </w:rPr>
        <w:t>（四）履约担保的退还时间：工程竣工验收合格后14天内退还。</w:t>
      </w:r>
      <w:bookmarkEnd w:id="62"/>
      <w:bookmarkEnd w:id="63"/>
      <w:bookmarkEnd w:id="64"/>
    </w:p>
    <w:p w14:paraId="3DE5F32D">
      <w:pPr>
        <w:pageBreakBefore w:val="0"/>
        <w:widowControl w:val="0"/>
        <w:tabs>
          <w:tab w:val="left" w:pos="-280"/>
        </w:tabs>
        <w:kinsoku/>
        <w:wordWrap/>
        <w:overflowPunct/>
        <w:topLinePunct w:val="0"/>
        <w:autoSpaceDE/>
        <w:autoSpaceDN/>
        <w:bidi w:val="0"/>
        <w:adjustRightInd/>
        <w:snapToGrid w:val="0"/>
        <w:spacing w:line="440" w:lineRule="exact"/>
        <w:ind w:left="-115" w:leftChars="-41" w:firstLine="164" w:firstLineChars="68"/>
        <w:textAlignment w:val="auto"/>
        <w:rPr>
          <w:rFonts w:hint="eastAsia" w:ascii="宋体" w:hAnsi="宋体" w:eastAsia="宋体" w:cs="宋体"/>
          <w:b/>
          <w:bCs/>
          <w:color w:val="auto"/>
          <w:kern w:val="0"/>
          <w:sz w:val="24"/>
          <w:szCs w:val="24"/>
          <w:highlight w:val="none"/>
        </w:rPr>
      </w:pPr>
      <w:bookmarkStart w:id="65" w:name="_Toc500346129"/>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结算原则</w:t>
      </w:r>
      <w:bookmarkEnd w:id="65"/>
      <w:bookmarkStart w:id="66" w:name="_Toc396501789"/>
    </w:p>
    <w:bookmarkEnd w:id="66"/>
    <w:p w14:paraId="56FD02B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结算总价=分部分项工程量清单结算价+工程变更或增减部分结算+措施费（除安全文明施工费）+安全文明施工费+规费+税金+合同约定其它费用。</w:t>
      </w:r>
    </w:p>
    <w:p w14:paraId="12FEB2A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为实施和完成合同工程量清单项目所需的人工费、材料费、机械费、企业管理费、利润、风险费用。</w:t>
      </w:r>
    </w:p>
    <w:p w14:paraId="12D406E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（二）各部分的结算原则如下</w:t>
      </w:r>
    </w:p>
    <w:p w14:paraId="28748B3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1.分部分项工程量清单结算总价</w:t>
      </w:r>
    </w:p>
    <w:p w14:paraId="046DE07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分部分项工程结算价=综合单价×子项工程量</w:t>
      </w:r>
    </w:p>
    <w:p w14:paraId="58A022E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投标报价中分部分项清单中的综合单价</w:t>
      </w:r>
    </w:p>
    <w:p w14:paraId="7BC904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子项工程量:工程量计算以施工图、设计变更、有效签证资料(签字且盖章)及竣工图作为计算依据，按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房屋建筑与装饰工程工程量计算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854</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仿古建筑工程工程量计算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855</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通用安装工程工程量计算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856</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市政工程工程量计算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857</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园林绿化工程工程量计算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858</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构筑物工程工程量计算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860</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城市轨道交通工程工程量计算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861</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爆破工程工程量计算规范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（GB50</w:t>
      </w:r>
      <w:r>
        <w:rPr>
          <w:rFonts w:hint="eastAsia" w:ascii="宋体" w:hAnsi="宋体" w:eastAsia="宋体" w:cs="宋体"/>
          <w:color w:val="auto"/>
          <w:sz w:val="24"/>
          <w:szCs w:val="24"/>
          <w:highlight w:val="none"/>
          <w:lang w:val="en-US" w:eastAsia="zh-CN"/>
        </w:rPr>
        <w:t>862</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）、《重庆市建设工程工程量计算规则》（</w:t>
      </w:r>
      <w:r>
        <w:rPr>
          <w:rFonts w:hint="eastAsia" w:ascii="宋体" w:hAnsi="宋体" w:eastAsia="宋体" w:cs="宋体"/>
          <w:color w:val="auto"/>
          <w:sz w:val="24"/>
          <w:szCs w:val="24"/>
          <w:highlight w:val="none"/>
          <w:lang w:val="en-US" w:eastAsia="zh-CN"/>
        </w:rPr>
        <w:t>CQJLGZ</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《重庆市市政工程计价定额》（CQSZDE-2018）</w:t>
      </w:r>
      <w:r>
        <w:rPr>
          <w:rFonts w:hint="eastAsia" w:ascii="宋体" w:hAnsi="宋体" w:eastAsia="宋体" w:cs="宋体"/>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宋体" w:hAnsi="宋体" w:eastAsia="宋体" w:cs="宋体"/>
          <w:color w:val="auto"/>
          <w:sz w:val="24"/>
          <w:szCs w:val="24"/>
          <w:highlight w:val="none"/>
          <w:lang w:val="zh-CN" w:eastAsia="zh-CN"/>
        </w:rPr>
        <w:t>《重庆市建设工程费用定额》（</w:t>
      </w:r>
      <w:r>
        <w:rPr>
          <w:rFonts w:hint="eastAsia" w:ascii="宋体" w:hAnsi="宋体" w:eastAsia="宋体" w:cs="宋体"/>
          <w:color w:val="auto"/>
          <w:sz w:val="24"/>
          <w:szCs w:val="24"/>
          <w:highlight w:val="none"/>
          <w:lang w:val="en-US" w:eastAsia="zh-CN"/>
        </w:rPr>
        <w:t>CQFYDE-2018</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及其配套文件规定的</w:t>
      </w:r>
      <w:r>
        <w:rPr>
          <w:rFonts w:hint="eastAsia" w:ascii="宋体" w:hAnsi="宋体" w:eastAsia="宋体" w:cs="宋体"/>
          <w:color w:val="auto"/>
          <w:sz w:val="24"/>
          <w:szCs w:val="24"/>
          <w:highlight w:val="none"/>
        </w:rPr>
        <w:t>计量规则计算的合格工程量作为结算依据。</w:t>
      </w:r>
    </w:p>
    <w:p w14:paraId="101FC8B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2.设计变更、新增项目</w:t>
      </w:r>
    </w:p>
    <w:p w14:paraId="0487CE9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当发生设计变更或新增项目，</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及监理工程师按照下列计价原则结算：</w:t>
      </w:r>
    </w:p>
    <w:p w14:paraId="21DDB22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当发生设计变更或新增项，设计变更或新增项按《南岸区政府投资项目管理办法》（南岸府发【2017】29号文）执行，</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及监理工程师按照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房屋建筑与装饰工程工程量计算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854</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仿古建筑工程工程量计算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855</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通用安装工程工程量计算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856</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市政工程工程量计算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857</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园林绿化工程工程量计算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858</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构筑物工程工程量计算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860</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城市轨道交通工程工程量计算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861</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爆破工程工程量计算规范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（GB50</w:t>
      </w:r>
      <w:r>
        <w:rPr>
          <w:rFonts w:hint="eastAsia" w:ascii="宋体" w:hAnsi="宋体" w:eastAsia="宋体" w:cs="宋体"/>
          <w:color w:val="auto"/>
          <w:sz w:val="24"/>
          <w:szCs w:val="24"/>
          <w:highlight w:val="none"/>
          <w:lang w:val="en-US" w:eastAsia="zh-CN"/>
        </w:rPr>
        <w:t>862</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）、《重庆市建设工程工程量计算规则》（</w:t>
      </w:r>
      <w:r>
        <w:rPr>
          <w:rFonts w:hint="eastAsia" w:ascii="宋体" w:hAnsi="宋体" w:eastAsia="宋体" w:cs="宋体"/>
          <w:color w:val="auto"/>
          <w:sz w:val="24"/>
          <w:szCs w:val="24"/>
          <w:highlight w:val="none"/>
          <w:lang w:val="en-US" w:eastAsia="zh-CN"/>
        </w:rPr>
        <w:t>CQJLGZ</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《重庆市市政工程计价定额》（CQSZDE-2018）</w:t>
      </w:r>
      <w:r>
        <w:rPr>
          <w:rFonts w:hint="eastAsia" w:ascii="宋体" w:hAnsi="宋体" w:eastAsia="宋体" w:cs="宋体"/>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宋体" w:hAnsi="宋体" w:eastAsia="宋体" w:cs="宋体"/>
          <w:color w:val="auto"/>
          <w:sz w:val="24"/>
          <w:szCs w:val="24"/>
          <w:highlight w:val="none"/>
          <w:lang w:val="zh-CN" w:eastAsia="zh-CN"/>
        </w:rPr>
        <w:t>《重庆市建设工程费用定额》（</w:t>
      </w:r>
      <w:r>
        <w:rPr>
          <w:rFonts w:hint="eastAsia" w:ascii="宋体" w:hAnsi="宋体" w:eastAsia="宋体" w:cs="宋体"/>
          <w:color w:val="auto"/>
          <w:sz w:val="24"/>
          <w:szCs w:val="24"/>
          <w:highlight w:val="none"/>
          <w:lang w:val="en-US" w:eastAsia="zh-CN"/>
        </w:rPr>
        <w:t>CQFYDE-2018</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30F4BE3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A：已标价工程量清单中有适用于变更工作的子目，采用该子目的综合单价。</w:t>
      </w:r>
    </w:p>
    <w:p w14:paraId="391B3D1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信息》公布的信息价的低值，且不偏离市场行情；投标时没有的材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62ACBBD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C：已标价工程量清单中无适用或类似子目的综合单价，结算参照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房屋建筑与装饰工程工程量计算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854</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仿古建筑工程工程量计算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855</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通用安装工程工程量计算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856</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市政工程工程量计算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857</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园林绿化工程工程量计算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858</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构筑物工程工程量计算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860</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城市轨道交通工程工程量计算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861</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爆破工程工程量计算规范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（GB50</w:t>
      </w:r>
      <w:r>
        <w:rPr>
          <w:rFonts w:hint="eastAsia" w:ascii="宋体" w:hAnsi="宋体" w:eastAsia="宋体" w:cs="宋体"/>
          <w:color w:val="auto"/>
          <w:sz w:val="24"/>
          <w:szCs w:val="24"/>
          <w:highlight w:val="none"/>
          <w:lang w:val="en-US" w:eastAsia="zh-CN"/>
        </w:rPr>
        <w:t>862</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）、《重庆市建设工程工程量计算规则》（</w:t>
      </w:r>
      <w:r>
        <w:rPr>
          <w:rFonts w:hint="eastAsia" w:ascii="宋体" w:hAnsi="宋体" w:eastAsia="宋体" w:cs="宋体"/>
          <w:color w:val="auto"/>
          <w:sz w:val="24"/>
          <w:szCs w:val="24"/>
          <w:highlight w:val="none"/>
          <w:lang w:val="en-US" w:eastAsia="zh-CN"/>
        </w:rPr>
        <w:t>CQJLGZ</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《重庆市市政工程计价定额》（CQSZDE-2018）</w:t>
      </w:r>
      <w:r>
        <w:rPr>
          <w:rFonts w:hint="eastAsia" w:ascii="宋体" w:hAnsi="宋体" w:eastAsia="宋体" w:cs="宋体"/>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宋体" w:hAnsi="宋体" w:eastAsia="宋体" w:cs="宋体"/>
          <w:color w:val="auto"/>
          <w:sz w:val="24"/>
          <w:szCs w:val="24"/>
          <w:highlight w:val="none"/>
          <w:lang w:val="zh-CN" w:eastAsia="zh-CN"/>
        </w:rPr>
        <w:t>《重庆市建设工程费用定额》（</w:t>
      </w:r>
      <w:r>
        <w:rPr>
          <w:rFonts w:hint="eastAsia" w:ascii="宋体" w:hAnsi="宋体" w:eastAsia="宋体" w:cs="宋体"/>
          <w:color w:val="auto"/>
          <w:sz w:val="24"/>
          <w:szCs w:val="24"/>
          <w:highlight w:val="none"/>
          <w:lang w:val="en-US" w:eastAsia="zh-CN"/>
        </w:rPr>
        <w:t>CQFYDE-2018</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w:t>
      </w:r>
      <w:r>
        <w:rPr>
          <w:rFonts w:hint="eastAsia" w:ascii="宋体" w:hAnsi="宋体" w:eastAsia="宋体" w:cs="宋体"/>
          <w:b/>
          <w:bCs/>
          <w:color w:val="auto"/>
          <w:sz w:val="24"/>
          <w:szCs w:val="24"/>
          <w:highlight w:val="none"/>
          <w:lang w:val="en-US" w:eastAsia="zh-CN"/>
        </w:rPr>
        <w:t>及相关配套文件进行组价并按投标人报价浮动率下浮(人工价差、材料价差、未计价材料、认质核价的设备和材料不参与浮动)，经监理人、跟审单位、发包人审定后执行。</w:t>
      </w:r>
    </w:p>
    <w:p w14:paraId="43D10E3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投标人报价浮动率按下列公式计算</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投标人报价浮动率=(1-中标价/最高限价)</w:t>
      </w:r>
      <w:r>
        <w:rPr>
          <w:rFonts w:hint="default" w:ascii="Arial" w:hAnsi="Arial" w:eastAsia="宋体" w:cs="Arial"/>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100%。</w:t>
      </w:r>
    </w:p>
    <w:p w14:paraId="32F5FFEA">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其中人工工日、材料单价、施工机械使用费的确定原则：投标时有的材料按投标价执行，其中调入时取投标价和开标当期《重庆工程造价信息》公布的信息价的低值，且不偏离市场行情；投标时没有的材料，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56C6F52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w:t>
      </w:r>
    </w:p>
    <w:p w14:paraId="5569062C">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①已标价工程量清单范围内以项为计量单位的措施项目费（安全文明施工费除外）包干使用；不以项为计量单位的措施项目费包干使用。</w:t>
      </w:r>
    </w:p>
    <w:p w14:paraId="6808D9F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②工程变更引起施工方案改变使措施项目发生变化的，措施项目费不作调整。</w:t>
      </w:r>
    </w:p>
    <w:p w14:paraId="29CC130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重庆市</w:t>
      </w:r>
      <w:r>
        <w:rPr>
          <w:rFonts w:hint="eastAsia" w:ascii="宋体" w:hAnsi="宋体" w:eastAsia="宋体" w:cs="宋体"/>
          <w:color w:val="auto"/>
          <w:sz w:val="24"/>
          <w:szCs w:val="24"/>
          <w:highlight w:val="none"/>
        </w:rPr>
        <w:t>住房和城乡建设委员会关于</w:t>
      </w:r>
      <w:r>
        <w:rPr>
          <w:rFonts w:hint="eastAsia" w:ascii="宋体" w:hAnsi="宋体" w:eastAsia="宋体" w:cs="宋体"/>
          <w:color w:val="auto"/>
          <w:sz w:val="24"/>
          <w:szCs w:val="24"/>
          <w:highlight w:val="none"/>
          <w:lang w:val="en-US" w:eastAsia="zh-CN"/>
        </w:rPr>
        <w:t>修订发布&lt;重庆市建设工程安全文明施工费计取及使用管理规定&gt;的通知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渝建管</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的规定进行结算。</w:t>
      </w:r>
    </w:p>
    <w:p w14:paraId="6EE10E98">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4.其他项目：</w:t>
      </w:r>
    </w:p>
    <w:p w14:paraId="067C1EB4">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1EBECDD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②本工程采用专业工程暂估价或暂列金额采购的，结算时按实结算。其中以暂列金额采购的施工内容实施与否由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决定。</w:t>
      </w:r>
    </w:p>
    <w:p w14:paraId="632BB9ED">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5.规费：</w:t>
      </w:r>
      <w:r>
        <w:rPr>
          <w:rFonts w:hint="eastAsia" w:ascii="宋体" w:hAnsi="宋体" w:eastAsia="宋体" w:cs="宋体"/>
          <w:color w:val="auto"/>
          <w:sz w:val="24"/>
          <w:szCs w:val="24"/>
          <w:highlight w:val="none"/>
          <w:lang w:val="zh-CN"/>
        </w:rPr>
        <w:t>按《重庆市建设工程费用定额》（CQFYDE-2018）费用标准进行计算</w:t>
      </w:r>
      <w:r>
        <w:rPr>
          <w:rFonts w:hint="eastAsia" w:ascii="宋体" w:hAnsi="宋体" w:eastAsia="宋体" w:cs="宋体"/>
          <w:color w:val="auto"/>
          <w:sz w:val="24"/>
          <w:szCs w:val="24"/>
          <w:highlight w:val="none"/>
        </w:rPr>
        <w:t>。</w:t>
      </w:r>
    </w:p>
    <w:p w14:paraId="7FC9EE6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6.税金：</w:t>
      </w:r>
      <w:r>
        <w:rPr>
          <w:rFonts w:hint="eastAsia" w:ascii="宋体" w:hAnsi="宋体" w:eastAsia="宋体" w:cs="宋体"/>
          <w:color w:val="auto"/>
          <w:sz w:val="24"/>
          <w:szCs w:val="24"/>
          <w:highlight w:val="none"/>
          <w:lang w:val="zh-CN"/>
        </w:rPr>
        <w:t>包含增值税、城市维护建设税、教育费附加、地方教育附加以及环境保护税。其中增值税按《重庆市建设工程费用定额》（CQFYDE-2018）规定及配套文件执行</w:t>
      </w:r>
      <w:r>
        <w:rPr>
          <w:rFonts w:hint="eastAsia" w:ascii="宋体" w:hAnsi="宋体" w:eastAsia="宋体" w:cs="宋体"/>
          <w:color w:val="auto"/>
          <w:sz w:val="24"/>
          <w:szCs w:val="24"/>
          <w:highlight w:val="none"/>
        </w:rPr>
        <w:t>。</w:t>
      </w:r>
    </w:p>
    <w:p w14:paraId="7BE4B5F6">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7.本工程综合单价结算价和结算总价最终以南岸区相关审计部门审定的金额为准。</w:t>
      </w:r>
    </w:p>
    <w:p w14:paraId="1BDBD532">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04D0953C">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53"/>
      <w:bookmarkEnd w:id="54"/>
      <w:bookmarkEnd w:id="55"/>
      <w:bookmarkEnd w:id="56"/>
      <w:bookmarkEnd w:id="57"/>
      <w:bookmarkEnd w:id="58"/>
      <w:bookmarkEnd w:id="59"/>
      <w:bookmarkStart w:id="67" w:name="_Toc24569667"/>
      <w:bookmarkStart w:id="68" w:name="_Toc10176"/>
      <w:bookmarkStart w:id="69" w:name="_Toc19901"/>
      <w:bookmarkStart w:id="70" w:name="_Toc28250"/>
      <w:r>
        <w:rPr>
          <w:rFonts w:hint="eastAsia" w:ascii="宋体" w:hAnsi="宋体" w:eastAsia="宋体" w:cs="宋体"/>
          <w:b/>
          <w:bCs/>
          <w:color w:val="auto"/>
          <w:sz w:val="24"/>
          <w:szCs w:val="24"/>
          <w:highlight w:val="none"/>
        </w:rPr>
        <w:t>质量保修期</w:t>
      </w:r>
    </w:p>
    <w:p w14:paraId="47E7838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）根据《建设工程质量管理条例》及有关规定，本工程质量保修期约定如下：</w:t>
      </w:r>
    </w:p>
    <w:p w14:paraId="60368623">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1.基础设施工程、房屋建筑的地基基础工程和主体结构工程，为设计文件规定的该工程的合理使用年限；</w:t>
      </w:r>
    </w:p>
    <w:p w14:paraId="787930E1">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2.屋面防水工程、有防水要求的卫生间、房间和外墙面的防渗漏，为5年；</w:t>
      </w:r>
    </w:p>
    <w:p w14:paraId="4008F235">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3.供热与供冷系统，为2个采暖期、供冷期；</w:t>
      </w:r>
    </w:p>
    <w:p w14:paraId="1C5FE770">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4.电气管线、给排水管道、设备安装和装修工程，为2年；</w:t>
      </w:r>
    </w:p>
    <w:p w14:paraId="51248399">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5.其他项目保修期限：2年；</w:t>
      </w:r>
    </w:p>
    <w:p w14:paraId="120B8E32">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）建设工程的保修期，自工程竣工验收合格之日起计算。</w:t>
      </w:r>
    </w:p>
    <w:p w14:paraId="79E3CBB7">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）质量保修责任</w:t>
      </w:r>
    </w:p>
    <w:p w14:paraId="38CAA9FF">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1.属于保修范围、内容的项目，成交</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应当在接到保修通知之日起3天内派人保修。成交</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不在约定期限内派人保修的，采购人可以委托他人修理，维修费用由成交</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承担。</w:t>
      </w:r>
    </w:p>
    <w:p w14:paraId="50A1FE38">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2.发生紧急事故需抢修的，成交</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在接到事故通知后，应当立即到达事故现场抢修。</w:t>
      </w:r>
    </w:p>
    <w:p w14:paraId="665D52D8">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3.对于涉及结构安全的质量问题，应当按照《房屋建筑工程质量保修办法》的规定，立即向当地建设行政主管部门报告，采取安全防范措施；由原设计单位或者具有相应资质等级的设计单位提出保修方案，成交</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实施保修。</w:t>
      </w:r>
    </w:p>
    <w:p w14:paraId="413688FF">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4.质量保修完成后，由采购人组织验收。</w:t>
      </w:r>
    </w:p>
    <w:p w14:paraId="4F6F9CB0">
      <w:pPr>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、付款方式</w:t>
      </w:r>
      <w:bookmarkEnd w:id="67"/>
      <w:bookmarkEnd w:id="68"/>
      <w:bookmarkEnd w:id="69"/>
      <w:bookmarkEnd w:id="70"/>
    </w:p>
    <w:p w14:paraId="55B6E32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71" w:name="_Toc267320052"/>
      <w:bookmarkStart w:id="72" w:name="_Toc12794"/>
      <w:bookmarkStart w:id="73" w:name="_Toc13040"/>
      <w:bookmarkStart w:id="74" w:name="_Toc31427"/>
      <w:bookmarkStart w:id="75" w:name="_Toc4293"/>
      <w:bookmarkStart w:id="76" w:name="_Toc24569668"/>
      <w:bookmarkStart w:id="77" w:name="_Toc520204758"/>
      <w:r>
        <w:rPr>
          <w:rFonts w:hint="eastAsia" w:ascii="宋体" w:hAnsi="宋体" w:eastAsia="宋体" w:cs="宋体"/>
          <w:color w:val="auto"/>
          <w:sz w:val="24"/>
          <w:szCs w:val="24"/>
          <w:highlight w:val="none"/>
          <w:lang w:val="en-US" w:eastAsia="zh-CN"/>
        </w:rPr>
        <w:t>（一）本项目不支付预付款，竣工验收合格后，由中标人向招标人提出支付申请，招标人支付至合同总价的</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w:t>
      </w:r>
    </w:p>
    <w:p w14:paraId="16E9E4DE">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（二）办完竣工结算并经国家审计机关审计，中标人向招标人缴纳审定金额3%的质保金后，支付至工程审定金额的100%。</w:t>
      </w:r>
    </w:p>
    <w:p w14:paraId="71198C01">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（三）缺陷责任期为24个月，缺陷责任期满后1个月内无息退还工程质保金。</w:t>
      </w:r>
    </w:p>
    <w:p w14:paraId="2A164F44">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lang w:eastAsia="zh-CN"/>
        </w:rPr>
      </w:pPr>
      <w:bookmarkStart w:id="78" w:name="_Toc12582"/>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其他要求</w:t>
      </w:r>
    </w:p>
    <w:p w14:paraId="124679E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（一）中标人在项目施工、安装、维护等工作所涉及所有设备产品、主辅材料、施工工艺、项目管理均须符合国家相关技术规范、安全标准和环保要求。以及招标人合理的特有的管理要求。</w:t>
      </w:r>
    </w:p>
    <w:p w14:paraId="46B4ED4E">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（二）施工及维护过程中不得破坏招标人现有附属建筑物等设施设备，同时应加强招标人现有附属建筑物及成品保护，如因施工造成损坏的，由中标人承担由此造成的一切责任。</w:t>
      </w:r>
    </w:p>
    <w:p w14:paraId="0336D66F">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（三）涉及本次项目建设范围内设备（含附属设备、配件）的外观，要与招标人建筑、绿化、景观布局实际等方面要协调统一，招标人有权选择，中标人应予无条件支持配合。</w:t>
      </w:r>
    </w:p>
    <w:p w14:paraId="383D2872">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对于本项目建设</w:t>
      </w:r>
      <w:r>
        <w:rPr>
          <w:rFonts w:hint="eastAsia" w:ascii="宋体" w:hAnsi="宋体" w:eastAsia="宋体" w:cs="宋体"/>
          <w:color w:val="auto"/>
          <w:sz w:val="24"/>
          <w:highlight w:val="none"/>
          <w:lang w:val="en-US" w:eastAsia="zh-CN"/>
        </w:rPr>
        <w:t>内容及相关技术方案、建设方案等均属于保密信息，中标人应予以保密，不透露给任何其他方。</w:t>
      </w:r>
    </w:p>
    <w:p w14:paraId="78BFEFCA">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219CD359">
      <w:pPr>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（六）施工工期结束15日内将施工相关档案资料完善并提交，大于30万的工程项目按相关要求须进行财评的应报财评。</w:t>
      </w:r>
    </w:p>
    <w:p w14:paraId="1C4B5015">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、知识产权</w:t>
      </w:r>
      <w:bookmarkEnd w:id="71"/>
      <w:bookmarkEnd w:id="72"/>
      <w:bookmarkEnd w:id="73"/>
      <w:bookmarkEnd w:id="74"/>
      <w:bookmarkEnd w:id="75"/>
      <w:bookmarkEnd w:id="76"/>
      <w:bookmarkEnd w:id="77"/>
      <w:bookmarkEnd w:id="78"/>
    </w:p>
    <w:p w14:paraId="5AF6F76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在中华人民共和国境内使用</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提供的货物及服务时免受第三方提出的侵犯其专利权或其它知识产权的起诉。如果第三方提出侵权指控，</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应承担由此而引起的一切法律责任和费用。</w:t>
      </w:r>
    </w:p>
    <w:p w14:paraId="30E40247">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rPr>
      </w:pPr>
      <w:bookmarkStart w:id="79" w:name="_Toc24896"/>
      <w:bookmarkStart w:id="80" w:name="_Toc22916"/>
      <w:bookmarkStart w:id="81" w:name="_Toc23606"/>
      <w:bookmarkStart w:id="82" w:name="_Toc24569670"/>
      <w:bookmarkStart w:id="83" w:name="_Toc403569795"/>
      <w:bookmarkStart w:id="84" w:name="_Toc729"/>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bookmarkEnd w:id="79"/>
      <w:bookmarkEnd w:id="80"/>
      <w:bookmarkEnd w:id="81"/>
      <w:bookmarkStart w:id="85" w:name="_Toc22485"/>
      <w:bookmarkStart w:id="86" w:name="_Toc18376"/>
      <w:bookmarkStart w:id="87" w:name="_Toc16375"/>
      <w:bookmarkStart w:id="88" w:name="_Toc18676"/>
      <w:bookmarkStart w:id="89" w:name="_Toc344475125"/>
      <w:r>
        <w:rPr>
          <w:rFonts w:hint="eastAsia" w:ascii="宋体" w:hAnsi="宋体" w:eastAsia="宋体" w:cs="宋体"/>
          <w:color w:val="auto"/>
          <w:sz w:val="24"/>
          <w:szCs w:val="24"/>
          <w:highlight w:val="none"/>
        </w:rPr>
        <w:t>违约责任</w:t>
      </w:r>
      <w:bookmarkEnd w:id="85"/>
      <w:bookmarkEnd w:id="86"/>
      <w:bookmarkEnd w:id="87"/>
      <w:bookmarkEnd w:id="88"/>
    </w:p>
    <w:p w14:paraId="4955563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无正当理由逾期</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按要求向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支付违约金，具体金额由双方协商决定。如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逾期</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达10天，</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有权解除合同，</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解除合同的通知自到达</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时生效。</w:t>
      </w:r>
    </w:p>
    <w:p w14:paraId="05BA3424">
      <w:pPr>
        <w:pageBreakBefore w:val="0"/>
        <w:widowControl w:val="0"/>
        <w:numPr>
          <w:ilvl w:val="0"/>
          <w:numId w:val="1"/>
        </w:numPr>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所交付的货物不符合本合同规定的，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有权拒收，</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赔偿因此造成的损失。</w:t>
      </w:r>
    </w:p>
    <w:p w14:paraId="6EC9703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无正当理由不得拒收货物、拒付货款。</w:t>
      </w:r>
    </w:p>
    <w:p w14:paraId="23A07EE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（四）其他违约责任按照《中华人民共和国民法典》、《中华人民共和国产品质量法》等相关条款执行。</w:t>
      </w:r>
    </w:p>
    <w:p w14:paraId="1429797A">
      <w:pPr>
        <w:pStyle w:val="3"/>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rPr>
      </w:pPr>
      <w:bookmarkStart w:id="90" w:name="_Toc25408"/>
      <w:bookmarkStart w:id="91" w:name="_Toc21784"/>
      <w:bookmarkStart w:id="92" w:name="_Toc15269"/>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、其他</w:t>
      </w:r>
      <w:bookmarkEnd w:id="82"/>
      <w:bookmarkEnd w:id="83"/>
      <w:bookmarkEnd w:id="84"/>
      <w:bookmarkEnd w:id="90"/>
      <w:bookmarkEnd w:id="91"/>
      <w:bookmarkEnd w:id="92"/>
    </w:p>
    <w:bookmarkEnd w:id="89"/>
    <w:p w14:paraId="2AE9A9E3">
      <w:pPr>
        <w:pStyle w:val="11"/>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确定后，由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按照相关规定和程序办理有关手续，签订合同。</w:t>
      </w:r>
    </w:p>
    <w:p w14:paraId="5D565275">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b/>
          <w:bCs/>
          <w:color w:val="auto"/>
          <w:sz w:val="36"/>
          <w:szCs w:val="28"/>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）其他未尽事宜由供需双方在采购合同中详细约定。</w:t>
      </w:r>
    </w:p>
    <w:p w14:paraId="066870EA">
      <w:pPr>
        <w:pStyle w:val="7"/>
        <w:rPr>
          <w:rFonts w:hint="eastAsia" w:ascii="宋体" w:hAnsi="宋体" w:eastAsia="宋体" w:cs="宋体"/>
          <w:b/>
          <w:bCs/>
          <w:color w:val="auto"/>
          <w:sz w:val="36"/>
          <w:szCs w:val="28"/>
          <w:highlight w:val="none"/>
        </w:rPr>
      </w:pPr>
    </w:p>
    <w:p w14:paraId="0C4687A4">
      <w:pPr>
        <w:rPr>
          <w:rFonts w:hint="eastAsia" w:ascii="宋体" w:hAnsi="宋体" w:eastAsia="宋体" w:cs="宋体"/>
          <w:b/>
          <w:bCs/>
          <w:color w:val="auto"/>
          <w:sz w:val="36"/>
          <w:szCs w:val="28"/>
          <w:highlight w:val="none"/>
        </w:rPr>
      </w:pPr>
    </w:p>
    <w:p w14:paraId="452DAC43">
      <w:pPr>
        <w:rPr>
          <w:rFonts w:hint="eastAsia" w:ascii="宋体" w:hAnsi="宋体" w:eastAsia="宋体" w:cs="宋体"/>
          <w:color w:val="auto"/>
          <w:sz w:val="36"/>
          <w:szCs w:val="36"/>
          <w:highlight w:val="none"/>
        </w:rPr>
      </w:pPr>
      <w:bookmarkStart w:id="93" w:name="_Toc19698"/>
    </w:p>
    <w:p w14:paraId="4B9A2565">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0D32E8B1">
      <w:pPr>
        <w:pStyle w:val="2"/>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第四篇  </w:t>
      </w:r>
      <w:bookmarkEnd w:id="48"/>
      <w:r>
        <w:rPr>
          <w:rFonts w:hint="eastAsia" w:ascii="宋体" w:hAnsi="宋体" w:eastAsia="宋体" w:cs="宋体"/>
          <w:color w:val="auto"/>
          <w:sz w:val="36"/>
          <w:szCs w:val="36"/>
          <w:highlight w:val="none"/>
        </w:rPr>
        <w:t>评审程序及方法、评审标准、无效响应和采购终止</w:t>
      </w:r>
      <w:bookmarkEnd w:id="93"/>
    </w:p>
    <w:p w14:paraId="36CDBF47">
      <w:pPr>
        <w:pStyle w:val="3"/>
        <w:pageBreakBefore w:val="0"/>
        <w:widowControl w:val="0"/>
        <w:kinsoku/>
        <w:wordWrap/>
        <w:overflowPunct/>
        <w:topLinePunct w:val="0"/>
        <w:autoSpaceDE/>
        <w:autoSpaceDN/>
        <w:bidi w:val="0"/>
        <w:adjustRightInd/>
        <w:snapToGrid w:val="0"/>
        <w:spacing w:before="0" w:after="0" w:line="480" w:lineRule="exact"/>
        <w:textAlignment w:val="auto"/>
        <w:rPr>
          <w:rFonts w:hint="eastAsia" w:ascii="宋体" w:hAnsi="宋体" w:eastAsia="宋体" w:cs="宋体"/>
          <w:color w:val="auto"/>
          <w:sz w:val="24"/>
          <w:szCs w:val="24"/>
          <w:highlight w:val="none"/>
        </w:rPr>
      </w:pPr>
      <w:bookmarkStart w:id="94" w:name="_Toc9780"/>
      <w:r>
        <w:rPr>
          <w:rFonts w:hint="eastAsia" w:ascii="宋体" w:hAnsi="宋体" w:eastAsia="宋体" w:cs="宋体"/>
          <w:color w:val="auto"/>
          <w:sz w:val="24"/>
          <w:szCs w:val="24"/>
          <w:highlight w:val="none"/>
        </w:rPr>
        <w:t>一、评审程序及方法</w:t>
      </w:r>
      <w:bookmarkEnd w:id="94"/>
    </w:p>
    <w:p w14:paraId="43F194E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规定的评审方式进行，本项目依法组建的</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分别对各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进行综合评分。</w:t>
      </w:r>
    </w:p>
    <w:p w14:paraId="49CDDC1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的资格条件、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的有效性、完整性和响应程度进行审查，各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只有完全符合要求的前提下，才能参与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6607C542">
      <w:pPr>
        <w:pageBreakBefore w:val="0"/>
        <w:widowControl w:val="0"/>
        <w:kinsoku/>
        <w:wordWrap/>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1.资格审查。依据法律法规和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中的资格证明等进行审查，以确定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是否具备</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资格。资格性检查资料表如下：</w:t>
      </w:r>
    </w:p>
    <w:tbl>
      <w:tblPr>
        <w:tblStyle w:val="22"/>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5539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noWrap w:val="0"/>
            <w:vAlign w:val="center"/>
          </w:tcPr>
          <w:p w14:paraId="50A6F617">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720" w:type="dxa"/>
            <w:gridSpan w:val="2"/>
            <w:noWrap w:val="0"/>
            <w:vAlign w:val="center"/>
          </w:tcPr>
          <w:p w14:paraId="2F5F5646">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5635" w:type="dxa"/>
            <w:noWrap w:val="0"/>
            <w:vAlign w:val="center"/>
          </w:tcPr>
          <w:p w14:paraId="71D580BB">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222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14:paraId="65A70A0F">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（一）</w:t>
            </w:r>
          </w:p>
        </w:tc>
        <w:tc>
          <w:tcPr>
            <w:tcW w:w="814" w:type="dxa"/>
            <w:vMerge w:val="restart"/>
            <w:noWrap w:val="0"/>
            <w:vAlign w:val="center"/>
          </w:tcPr>
          <w:p w14:paraId="75715B44">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2906" w:type="dxa"/>
            <w:noWrap w:val="0"/>
            <w:vAlign w:val="center"/>
          </w:tcPr>
          <w:p w14:paraId="6241C612">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5635" w:type="dxa"/>
            <w:noWrap w:val="0"/>
            <w:vAlign w:val="center"/>
          </w:tcPr>
          <w:p w14:paraId="193CC5FB">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14:paraId="21B01618">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法定代表人身份证明和法定代表人授权代表委托书。</w:t>
            </w:r>
          </w:p>
        </w:tc>
      </w:tr>
      <w:tr w14:paraId="6A3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noWrap w:val="0"/>
            <w:vAlign w:val="center"/>
          </w:tcPr>
          <w:p w14:paraId="579F2968">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4"/>
                <w:szCs w:val="24"/>
                <w:highlight w:val="none"/>
              </w:rPr>
            </w:pPr>
          </w:p>
        </w:tc>
        <w:tc>
          <w:tcPr>
            <w:tcW w:w="814" w:type="dxa"/>
            <w:vMerge w:val="continue"/>
            <w:noWrap w:val="0"/>
            <w:vAlign w:val="center"/>
          </w:tcPr>
          <w:p w14:paraId="0368A044">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zh-CN"/>
              </w:rPr>
            </w:pPr>
          </w:p>
        </w:tc>
        <w:tc>
          <w:tcPr>
            <w:tcW w:w="2906" w:type="dxa"/>
            <w:noWrap w:val="0"/>
            <w:vAlign w:val="center"/>
          </w:tcPr>
          <w:p w14:paraId="60FB70E3">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5635" w:type="dxa"/>
            <w:vMerge w:val="restart"/>
            <w:noWrap w:val="0"/>
            <w:vAlign w:val="center"/>
          </w:tcPr>
          <w:p w14:paraId="2FB23470">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提供基本资格条件承诺函</w:t>
            </w:r>
            <w:r>
              <w:rPr>
                <w:rFonts w:hint="eastAsia" w:ascii="宋体" w:hAnsi="宋体" w:eastAsia="宋体" w:cs="宋体"/>
                <w:b/>
                <w:bCs/>
                <w:color w:val="auto"/>
                <w:sz w:val="24"/>
                <w:szCs w:val="24"/>
                <w:highlight w:val="none"/>
              </w:rPr>
              <w:t>（格式详见第七篇）</w:t>
            </w:r>
          </w:p>
        </w:tc>
      </w:tr>
      <w:tr w14:paraId="27C6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5A60C6D1">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4"/>
                <w:szCs w:val="24"/>
                <w:highlight w:val="none"/>
              </w:rPr>
            </w:pPr>
          </w:p>
        </w:tc>
        <w:tc>
          <w:tcPr>
            <w:tcW w:w="814" w:type="dxa"/>
            <w:vMerge w:val="continue"/>
            <w:noWrap w:val="0"/>
            <w:vAlign w:val="center"/>
          </w:tcPr>
          <w:p w14:paraId="700CF1B3">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zh-CN"/>
              </w:rPr>
            </w:pPr>
          </w:p>
        </w:tc>
        <w:tc>
          <w:tcPr>
            <w:tcW w:w="2906" w:type="dxa"/>
            <w:noWrap w:val="0"/>
            <w:vAlign w:val="center"/>
          </w:tcPr>
          <w:p w14:paraId="6AF6B661">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5635" w:type="dxa"/>
            <w:vMerge w:val="continue"/>
            <w:noWrap w:val="0"/>
            <w:vAlign w:val="center"/>
          </w:tcPr>
          <w:p w14:paraId="14476823">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p>
        </w:tc>
      </w:tr>
      <w:tr w14:paraId="30C8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noWrap w:val="0"/>
            <w:vAlign w:val="center"/>
          </w:tcPr>
          <w:p w14:paraId="031C7308">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4"/>
                <w:szCs w:val="24"/>
                <w:highlight w:val="none"/>
              </w:rPr>
            </w:pPr>
          </w:p>
        </w:tc>
        <w:tc>
          <w:tcPr>
            <w:tcW w:w="814" w:type="dxa"/>
            <w:vMerge w:val="continue"/>
            <w:noWrap w:val="0"/>
            <w:vAlign w:val="center"/>
          </w:tcPr>
          <w:p w14:paraId="476BD624">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zh-CN"/>
              </w:rPr>
            </w:pPr>
          </w:p>
        </w:tc>
        <w:tc>
          <w:tcPr>
            <w:tcW w:w="2906" w:type="dxa"/>
            <w:noWrap w:val="0"/>
            <w:vAlign w:val="center"/>
          </w:tcPr>
          <w:p w14:paraId="28F2EE12">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5635" w:type="dxa"/>
            <w:vMerge w:val="continue"/>
            <w:noWrap w:val="0"/>
            <w:vAlign w:val="center"/>
          </w:tcPr>
          <w:p w14:paraId="3960DC4D">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p>
        </w:tc>
      </w:tr>
      <w:tr w14:paraId="0F90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52194588">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4"/>
                <w:szCs w:val="24"/>
                <w:highlight w:val="none"/>
              </w:rPr>
            </w:pPr>
          </w:p>
        </w:tc>
        <w:tc>
          <w:tcPr>
            <w:tcW w:w="814" w:type="dxa"/>
            <w:vMerge w:val="continue"/>
            <w:noWrap w:val="0"/>
            <w:vAlign w:val="center"/>
          </w:tcPr>
          <w:p w14:paraId="656D0950">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zh-CN"/>
              </w:rPr>
            </w:pPr>
          </w:p>
        </w:tc>
        <w:tc>
          <w:tcPr>
            <w:tcW w:w="2906" w:type="dxa"/>
            <w:noWrap w:val="0"/>
            <w:vAlign w:val="center"/>
          </w:tcPr>
          <w:p w14:paraId="13365D5E">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\o\ac(○,1)</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tc>
        <w:tc>
          <w:tcPr>
            <w:tcW w:w="5635" w:type="dxa"/>
            <w:vMerge w:val="continue"/>
            <w:noWrap w:val="0"/>
            <w:vAlign w:val="center"/>
          </w:tcPr>
          <w:p w14:paraId="2DF799E1">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p>
        </w:tc>
      </w:tr>
      <w:tr w14:paraId="6F2B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35D2F9FB">
            <w:pPr>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4"/>
                <w:szCs w:val="24"/>
                <w:highlight w:val="none"/>
              </w:rPr>
            </w:pPr>
          </w:p>
        </w:tc>
        <w:tc>
          <w:tcPr>
            <w:tcW w:w="814" w:type="dxa"/>
            <w:vMerge w:val="continue"/>
            <w:noWrap w:val="0"/>
            <w:vAlign w:val="center"/>
          </w:tcPr>
          <w:p w14:paraId="7E79F836">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zh-CN"/>
              </w:rPr>
            </w:pPr>
          </w:p>
        </w:tc>
        <w:tc>
          <w:tcPr>
            <w:tcW w:w="2906" w:type="dxa"/>
            <w:noWrap w:val="0"/>
            <w:vAlign w:val="center"/>
          </w:tcPr>
          <w:p w14:paraId="09A2CB78">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5635" w:type="dxa"/>
            <w:vMerge w:val="continue"/>
            <w:noWrap w:val="0"/>
            <w:vAlign w:val="center"/>
          </w:tcPr>
          <w:p w14:paraId="647B7542">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p>
        </w:tc>
      </w:tr>
      <w:tr w14:paraId="50CC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noWrap w:val="0"/>
            <w:vAlign w:val="center"/>
          </w:tcPr>
          <w:p w14:paraId="62E208CB">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720" w:type="dxa"/>
            <w:gridSpan w:val="2"/>
            <w:noWrap w:val="0"/>
            <w:vAlign w:val="center"/>
          </w:tcPr>
          <w:p w14:paraId="0B3DECE9">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特定资格要求</w:t>
            </w:r>
          </w:p>
        </w:tc>
        <w:tc>
          <w:tcPr>
            <w:tcW w:w="5635" w:type="dxa"/>
            <w:noWrap w:val="0"/>
            <w:vAlign w:val="center"/>
          </w:tcPr>
          <w:p w14:paraId="6F8C3573">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按第一篇“三、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 （</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）本项目的特定资格要求”的要求提交（如果有）。</w:t>
            </w:r>
          </w:p>
        </w:tc>
      </w:tr>
    </w:tbl>
    <w:p w14:paraId="189DF064">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BD2A4FB">
      <w:pPr>
        <w:pageBreakBefore w:val="0"/>
        <w:widowControl w:val="0"/>
        <w:kinsoku/>
        <w:wordWrap/>
        <w:overflowPunct/>
        <w:topLinePunct w:val="0"/>
        <w:autoSpaceDE/>
        <w:autoSpaceDN/>
        <w:bidi w:val="0"/>
        <w:adjustRightInd/>
        <w:snapToGrid w:val="0"/>
        <w:spacing w:line="480" w:lineRule="exact"/>
        <w:ind w:firstLine="44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eq \o\ac(</w:instrText>
      </w:r>
      <w:r>
        <w:rPr>
          <w:rFonts w:hint="eastAsia" w:ascii="宋体" w:hAnsi="宋体" w:eastAsia="宋体" w:cs="宋体"/>
          <w:color w:val="auto"/>
          <w:kern w:val="0"/>
          <w:position w:val="-4"/>
          <w:sz w:val="33"/>
          <w:szCs w:val="22"/>
          <w:highlight w:val="none"/>
        </w:rPr>
        <w:instrText xml:space="preserve">○</w:instrText>
      </w:r>
      <w:r>
        <w:rPr>
          <w:rFonts w:hint="eastAsia" w:ascii="宋体" w:hAnsi="宋体" w:eastAsia="宋体" w:cs="宋体"/>
          <w:color w:val="auto"/>
          <w:kern w:val="0"/>
          <w:sz w:val="22"/>
          <w:szCs w:val="22"/>
          <w:highlight w:val="none"/>
        </w:rPr>
        <w:instrText xml:space="preserve">,1)</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按“多证合一”登记制度办理营业执照的，组织机构代码证、税务登记证（副本）和社会保险登记证以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所提供的营业执照（副本）复印件为准。</w:t>
      </w:r>
    </w:p>
    <w:p w14:paraId="1E2DF3A4">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03CA7260">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w:t>
      </w:r>
    </w:p>
    <w:p w14:paraId="0DBC07AE">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对符合资格的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进行符合性审查，以确定其是否满足</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的实质性要求。符合性审查资料表如下：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3B85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noWrap w:val="0"/>
            <w:vAlign w:val="center"/>
          </w:tcPr>
          <w:p w14:paraId="16E543F5">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kern w:val="0"/>
                <w:sz w:val="24"/>
                <w:szCs w:val="24"/>
                <w:highlight w:val="none"/>
              </w:rPr>
            </w:pPr>
            <w:bookmarkStart w:id="95" w:name="_Toc80104349"/>
            <w:r>
              <w:rPr>
                <w:rFonts w:hint="eastAsia" w:ascii="宋体" w:hAnsi="宋体" w:eastAsia="宋体" w:cs="宋体"/>
                <w:b/>
                <w:color w:val="auto"/>
                <w:kern w:val="0"/>
                <w:sz w:val="24"/>
                <w:szCs w:val="24"/>
                <w:highlight w:val="none"/>
              </w:rPr>
              <w:t>序号</w:t>
            </w:r>
          </w:p>
        </w:tc>
        <w:tc>
          <w:tcPr>
            <w:tcW w:w="4136" w:type="dxa"/>
            <w:gridSpan w:val="2"/>
            <w:noWrap w:val="0"/>
            <w:vAlign w:val="center"/>
          </w:tcPr>
          <w:p w14:paraId="30A6EB7B">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4968" w:type="dxa"/>
            <w:noWrap w:val="0"/>
            <w:vAlign w:val="center"/>
          </w:tcPr>
          <w:p w14:paraId="17252358">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3FBE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noWrap w:val="0"/>
            <w:vAlign w:val="center"/>
          </w:tcPr>
          <w:p w14:paraId="0504665D">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28" w:type="dxa"/>
            <w:vMerge w:val="restart"/>
            <w:noWrap w:val="0"/>
            <w:vAlign w:val="center"/>
          </w:tcPr>
          <w:p w14:paraId="7770AA70">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2608" w:type="dxa"/>
            <w:noWrap w:val="0"/>
            <w:vAlign w:val="center"/>
          </w:tcPr>
          <w:p w14:paraId="253EAE75">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签署或盖章</w:t>
            </w:r>
          </w:p>
        </w:tc>
        <w:tc>
          <w:tcPr>
            <w:tcW w:w="4968" w:type="dxa"/>
            <w:noWrap w:val="0"/>
            <w:vAlign w:val="center"/>
          </w:tcPr>
          <w:p w14:paraId="2253EF8A">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“第七篇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w:t>
            </w:r>
          </w:p>
        </w:tc>
      </w:tr>
      <w:tr w14:paraId="74C9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noWrap w:val="0"/>
            <w:vAlign w:val="center"/>
          </w:tcPr>
          <w:p w14:paraId="0D82DB5F">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kern w:val="0"/>
                <w:sz w:val="24"/>
                <w:szCs w:val="24"/>
                <w:highlight w:val="none"/>
              </w:rPr>
            </w:pPr>
          </w:p>
        </w:tc>
        <w:tc>
          <w:tcPr>
            <w:tcW w:w="1528" w:type="dxa"/>
            <w:vMerge w:val="continue"/>
            <w:noWrap w:val="0"/>
            <w:vAlign w:val="center"/>
          </w:tcPr>
          <w:p w14:paraId="06C0DE25">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p>
        </w:tc>
        <w:tc>
          <w:tcPr>
            <w:tcW w:w="2608" w:type="dxa"/>
            <w:noWrap w:val="0"/>
            <w:vAlign w:val="center"/>
          </w:tcPr>
          <w:p w14:paraId="7AB97EEF">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4968" w:type="dxa"/>
            <w:noWrap w:val="0"/>
            <w:vAlign w:val="center"/>
          </w:tcPr>
          <w:p w14:paraId="01D841D4">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规定的格式，签署或盖章齐全。</w:t>
            </w:r>
          </w:p>
        </w:tc>
      </w:tr>
      <w:tr w14:paraId="78FD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noWrap w:val="0"/>
            <w:vAlign w:val="center"/>
          </w:tcPr>
          <w:p w14:paraId="536B0D49">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kern w:val="0"/>
                <w:sz w:val="24"/>
                <w:szCs w:val="24"/>
                <w:highlight w:val="none"/>
              </w:rPr>
            </w:pPr>
          </w:p>
        </w:tc>
        <w:tc>
          <w:tcPr>
            <w:tcW w:w="1528" w:type="dxa"/>
            <w:vMerge w:val="continue"/>
            <w:noWrap w:val="0"/>
            <w:vAlign w:val="center"/>
          </w:tcPr>
          <w:p w14:paraId="48D902D6">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p>
        </w:tc>
        <w:tc>
          <w:tcPr>
            <w:tcW w:w="2608" w:type="dxa"/>
            <w:noWrap w:val="0"/>
            <w:vAlign w:val="center"/>
          </w:tcPr>
          <w:p w14:paraId="68F91470">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4968" w:type="dxa"/>
            <w:noWrap w:val="0"/>
            <w:vAlign w:val="center"/>
          </w:tcPr>
          <w:p w14:paraId="49FECD5A">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06FF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noWrap w:val="0"/>
            <w:vAlign w:val="center"/>
          </w:tcPr>
          <w:p w14:paraId="386D76CD">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kern w:val="0"/>
                <w:sz w:val="24"/>
                <w:szCs w:val="24"/>
                <w:highlight w:val="none"/>
              </w:rPr>
            </w:pPr>
          </w:p>
        </w:tc>
        <w:tc>
          <w:tcPr>
            <w:tcW w:w="1528" w:type="dxa"/>
            <w:vMerge w:val="continue"/>
            <w:noWrap w:val="0"/>
            <w:vAlign w:val="center"/>
          </w:tcPr>
          <w:p w14:paraId="52282A97">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p>
        </w:tc>
        <w:tc>
          <w:tcPr>
            <w:tcW w:w="2608" w:type="dxa"/>
            <w:noWrap w:val="0"/>
            <w:vAlign w:val="center"/>
          </w:tcPr>
          <w:p w14:paraId="7426EE43">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4968" w:type="dxa"/>
            <w:noWrap w:val="0"/>
            <w:vAlign w:val="center"/>
          </w:tcPr>
          <w:p w14:paraId="154560DB">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5C9A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noWrap w:val="0"/>
            <w:vAlign w:val="center"/>
          </w:tcPr>
          <w:p w14:paraId="41F40509">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28" w:type="dxa"/>
            <w:noWrap w:val="0"/>
            <w:vAlign w:val="center"/>
          </w:tcPr>
          <w:p w14:paraId="331AFECE">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2608" w:type="dxa"/>
            <w:noWrap w:val="0"/>
            <w:vAlign w:val="center"/>
          </w:tcPr>
          <w:p w14:paraId="0D53A866">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文件份数</w:t>
            </w:r>
          </w:p>
        </w:tc>
        <w:tc>
          <w:tcPr>
            <w:tcW w:w="4968" w:type="dxa"/>
            <w:noWrap w:val="0"/>
            <w:vAlign w:val="center"/>
          </w:tcPr>
          <w:p w14:paraId="754F4391">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文件数量符合</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sz w:val="24"/>
                <w:szCs w:val="24"/>
                <w:highlight w:val="none"/>
                <w:lang w:val="zh-CN"/>
              </w:rPr>
              <w:t>要求。</w:t>
            </w:r>
          </w:p>
        </w:tc>
      </w:tr>
      <w:tr w14:paraId="5A42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noWrap w:val="0"/>
            <w:vAlign w:val="center"/>
          </w:tcPr>
          <w:p w14:paraId="4F74EE7E">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28" w:type="dxa"/>
            <w:vMerge w:val="restart"/>
            <w:noWrap w:val="0"/>
            <w:vAlign w:val="center"/>
          </w:tcPr>
          <w:p w14:paraId="6601EE27">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kern w:val="0"/>
                <w:sz w:val="24"/>
                <w:szCs w:val="24"/>
                <w:highlight w:val="none"/>
              </w:rPr>
              <w:t>的响应程度审查</w:t>
            </w:r>
          </w:p>
        </w:tc>
        <w:tc>
          <w:tcPr>
            <w:tcW w:w="2608" w:type="dxa"/>
            <w:noWrap w:val="0"/>
            <w:vAlign w:val="center"/>
          </w:tcPr>
          <w:p w14:paraId="72D6033D">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文件内容</w:t>
            </w:r>
          </w:p>
        </w:tc>
        <w:tc>
          <w:tcPr>
            <w:tcW w:w="4968" w:type="dxa"/>
            <w:noWrap w:val="0"/>
            <w:vAlign w:val="center"/>
          </w:tcPr>
          <w:p w14:paraId="61013F2F">
            <w:pPr>
              <w:pStyle w:val="12"/>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kern w:val="0"/>
                <w:sz w:val="24"/>
                <w:szCs w:val="24"/>
                <w:highlight w:val="none"/>
              </w:rPr>
              <w:t>第二篇、第三篇</w:t>
            </w:r>
            <w:r>
              <w:rPr>
                <w:rFonts w:hint="eastAsia" w:ascii="宋体" w:hAnsi="宋体" w:eastAsia="宋体" w:cs="宋体"/>
                <w:color w:val="auto"/>
                <w:kern w:val="0"/>
                <w:sz w:val="24"/>
                <w:szCs w:val="24"/>
                <w:highlight w:val="none"/>
                <w:lang w:val="en-US" w:eastAsia="zh-CN"/>
              </w:rPr>
              <w:t>的全部</w:t>
            </w:r>
            <w:r>
              <w:rPr>
                <w:rFonts w:hint="eastAsia" w:ascii="宋体" w:hAnsi="宋体" w:eastAsia="宋体" w:cs="宋体"/>
                <w:color w:val="auto"/>
                <w:sz w:val="24"/>
                <w:szCs w:val="24"/>
                <w:highlight w:val="none"/>
              </w:rPr>
              <w:t>内容作出实质性响应。</w:t>
            </w:r>
          </w:p>
        </w:tc>
      </w:tr>
      <w:tr w14:paraId="14AC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noWrap w:val="0"/>
            <w:vAlign w:val="center"/>
          </w:tcPr>
          <w:p w14:paraId="76EC59F4">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kern w:val="0"/>
                <w:sz w:val="24"/>
                <w:szCs w:val="24"/>
                <w:highlight w:val="none"/>
              </w:rPr>
            </w:pPr>
          </w:p>
        </w:tc>
        <w:tc>
          <w:tcPr>
            <w:tcW w:w="1528" w:type="dxa"/>
            <w:vMerge w:val="continue"/>
            <w:noWrap w:val="0"/>
            <w:vAlign w:val="center"/>
          </w:tcPr>
          <w:p w14:paraId="0F385B34">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lang w:val="zh-CN"/>
              </w:rPr>
            </w:pPr>
          </w:p>
        </w:tc>
        <w:tc>
          <w:tcPr>
            <w:tcW w:w="2608" w:type="dxa"/>
            <w:noWrap w:val="0"/>
            <w:vAlign w:val="center"/>
          </w:tcPr>
          <w:p w14:paraId="5A8C70A2">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有效期</w:t>
            </w:r>
          </w:p>
        </w:tc>
        <w:tc>
          <w:tcPr>
            <w:tcW w:w="4968" w:type="dxa"/>
            <w:noWrap w:val="0"/>
            <w:vAlign w:val="center"/>
          </w:tcPr>
          <w:p w14:paraId="721938E0">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及有关承诺文件有效期为提交</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截止时间起90天。</w:t>
            </w:r>
          </w:p>
        </w:tc>
      </w:tr>
    </w:tbl>
    <w:p w14:paraId="7FD451D1">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在对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的有效性、完整性和响应程度进行审查时，可以要求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中含义不明确、同类问题表述不一致或者有明显文字和计算错误的内容等作出必要的澄清、说明或者更正。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的澄清、说明或者更正不得超出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的范围或者改变</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的实质性内容。</w:t>
      </w:r>
    </w:p>
    <w:p w14:paraId="2EACF73C">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澄清、说明或者更正</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应当以书面形式作出。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的澄清、说明或者更正应当由法定代表人（或其授权代表）或自然人（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为自然人）签署或者加盖公章。由授权代表签署的，应当附法定代表人授权书。</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为自然人的，应当由本人签署并附身份证明。</w:t>
      </w:r>
    </w:p>
    <w:p w14:paraId="39080D65">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的任何一方不得向他人透露与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有关的技术资料、价格或其他信息。</w:t>
      </w:r>
    </w:p>
    <w:p w14:paraId="26BD5EB5">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过程中，</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可以根据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情况实质性变动采购需求中的服务、商务要求以及合同草案条款，但不得变动</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中的其他内容。实质性变动的内容，须经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代表确认。对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出的实质性变动是</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的有效组成部分，</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应当及时以书面形式同时通知所有参加</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7B8EDFDD">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（5）本项目采用综合评分法进行评分。综合评分法，是指</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全部实质性要求且按照评审因素的量化指标评审得分最高的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的评审方法。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总得分为价格、技术、商务等评定因素分别按照相应权重值计算分项得分后相加，满分为100分。（详见评审标准）。</w:t>
      </w:r>
    </w:p>
    <w:p w14:paraId="1ECE63D7">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各成员独立对每个</w:t>
      </w:r>
      <w:r>
        <w:rPr>
          <w:rFonts w:hint="eastAsia" w:ascii="宋体" w:hAnsi="宋体" w:eastAsia="宋体" w:cs="宋体"/>
          <w:color w:val="auto"/>
          <w:sz w:val="24"/>
          <w:szCs w:val="24"/>
          <w:highlight w:val="none"/>
          <w:lang w:val="en-US" w:eastAsia="zh-CN"/>
        </w:rPr>
        <w:t>满足招标文件</w:t>
      </w:r>
      <w:r>
        <w:rPr>
          <w:rFonts w:hint="eastAsia" w:ascii="宋体" w:hAnsi="宋体" w:eastAsia="宋体" w:cs="宋体"/>
          <w:color w:val="auto"/>
          <w:sz w:val="24"/>
          <w:szCs w:val="24"/>
          <w:highlight w:val="none"/>
        </w:rPr>
        <w:t>实质性</w:t>
      </w:r>
      <w:r>
        <w:rPr>
          <w:rFonts w:hint="eastAsia" w:ascii="宋体" w:hAnsi="宋体" w:eastAsia="宋体" w:cs="宋体"/>
          <w:color w:val="auto"/>
          <w:sz w:val="24"/>
          <w:szCs w:val="24"/>
          <w:highlight w:val="none"/>
          <w:lang w:val="en-US" w:eastAsia="zh-CN"/>
        </w:rPr>
        <w:t>要求的投标</w:t>
      </w:r>
      <w:r>
        <w:rPr>
          <w:rFonts w:hint="eastAsia" w:ascii="宋体" w:hAnsi="宋体" w:eastAsia="宋体" w:cs="宋体"/>
          <w:color w:val="auto"/>
          <w:sz w:val="24"/>
          <w:szCs w:val="24"/>
          <w:highlight w:val="none"/>
        </w:rPr>
        <w:t>文件进行评价、打分，然后汇总每个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每项评分因素的得分，并根据综合评分情况按照评审得分由高到低顺序推荐3名及以上</w:t>
      </w:r>
      <w:r>
        <w:rPr>
          <w:rFonts w:hint="eastAsia" w:ascii="宋体" w:hAnsi="宋体" w:eastAsia="宋体" w:cs="宋体"/>
          <w:color w:val="auto"/>
          <w:sz w:val="24"/>
          <w:szCs w:val="24"/>
          <w:highlight w:val="none"/>
          <w:lang w:eastAsia="zh-CN"/>
        </w:rPr>
        <w:t>中标候选人</w:t>
      </w:r>
      <w:r>
        <w:rPr>
          <w:rFonts w:hint="eastAsia" w:ascii="宋体" w:hAnsi="宋体" w:eastAsia="宋体" w:cs="宋体"/>
          <w:color w:val="auto"/>
          <w:sz w:val="24"/>
          <w:szCs w:val="24"/>
          <w:highlight w:val="none"/>
        </w:rPr>
        <w:t>，并编写评审报告。若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的评审得分相同的，按照报价由低到高的顺序排列推荐。评审得分且报价相同的，按照服务指标优劣顺序排列推荐。</w:t>
      </w:r>
    </w:p>
    <w:p w14:paraId="55ADF3F1">
      <w:pPr>
        <w:pStyle w:val="3"/>
        <w:snapToGrid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二、评审标准</w:t>
      </w:r>
    </w:p>
    <w:bookmarkEnd w:id="95"/>
    <w:tbl>
      <w:tblPr>
        <w:tblStyle w:val="22"/>
        <w:tblpPr w:leftFromText="180" w:rightFromText="180" w:vertAnchor="text" w:horzAnchor="page" w:tblpXSpec="center" w:tblpY="443"/>
        <w:tblOverlap w:val="never"/>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1868"/>
      </w:tblGrid>
      <w:tr w14:paraId="5082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vAlign w:val="center"/>
          </w:tcPr>
          <w:p w14:paraId="25E717E0">
            <w:pPr>
              <w:widowControl/>
              <w:wordWrap w:val="0"/>
              <w:spacing w:line="440" w:lineRule="exact"/>
              <w:jc w:val="center"/>
              <w:rPr>
                <w:rFonts w:hint="eastAsia" w:ascii="宋体" w:hAnsi="宋体" w:cs="宋体"/>
                <w:color w:val="auto"/>
                <w:sz w:val="24"/>
                <w:szCs w:val="24"/>
                <w:highlight w:val="none"/>
              </w:rPr>
            </w:pPr>
            <w:bookmarkStart w:id="96" w:name="_Toc17078"/>
            <w:r>
              <w:rPr>
                <w:rFonts w:hint="eastAsia" w:ascii="宋体" w:hAnsi="宋体" w:cs="宋体"/>
                <w:color w:val="auto"/>
                <w:sz w:val="24"/>
                <w:szCs w:val="24"/>
                <w:highlight w:val="none"/>
              </w:rPr>
              <w:t>序号</w:t>
            </w:r>
          </w:p>
        </w:tc>
        <w:tc>
          <w:tcPr>
            <w:tcW w:w="1259" w:type="dxa"/>
            <w:vAlign w:val="center"/>
          </w:tcPr>
          <w:p w14:paraId="6DAD7A10">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评分因素及权值</w:t>
            </w:r>
          </w:p>
        </w:tc>
        <w:tc>
          <w:tcPr>
            <w:tcW w:w="1130" w:type="dxa"/>
            <w:vAlign w:val="center"/>
          </w:tcPr>
          <w:p w14:paraId="31150251">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5537" w:type="dxa"/>
            <w:vAlign w:val="center"/>
          </w:tcPr>
          <w:p w14:paraId="3A1D1516">
            <w:pPr>
              <w:widowControl/>
              <w:wordWrap w:val="0"/>
              <w:spacing w:line="44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1868" w:type="dxa"/>
            <w:vAlign w:val="center"/>
          </w:tcPr>
          <w:p w14:paraId="7CA4441C">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5F3C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vAlign w:val="center"/>
          </w:tcPr>
          <w:p w14:paraId="7E78C96A">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59" w:type="dxa"/>
            <w:vAlign w:val="center"/>
          </w:tcPr>
          <w:p w14:paraId="6B86B8E8">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p w14:paraId="2FF8BDED">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tc>
        <w:tc>
          <w:tcPr>
            <w:tcW w:w="1130" w:type="dxa"/>
            <w:vAlign w:val="center"/>
          </w:tcPr>
          <w:p w14:paraId="061DD8AD">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w:t>
            </w:r>
          </w:p>
        </w:tc>
        <w:tc>
          <w:tcPr>
            <w:tcW w:w="5537" w:type="dxa"/>
            <w:vAlign w:val="center"/>
          </w:tcPr>
          <w:p w14:paraId="67931310">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满足资格性、符合性要求且报价最低的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的价格为评标基准价，其价格分为满足，其余</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价格分按照下列公式计算：</w:t>
            </w:r>
          </w:p>
          <w:p w14:paraId="1F8AE079">
            <w:pPr>
              <w:widowControl/>
              <w:wordWrap w:val="0"/>
              <w:spacing w:line="3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投标报价</w:t>
            </w:r>
            <w:r>
              <w:rPr>
                <w:rFonts w:hint="eastAsia" w:ascii="宋体" w:hAnsi="宋体" w:cs="宋体"/>
                <w:color w:val="auto"/>
                <w:sz w:val="24"/>
                <w:szCs w:val="24"/>
                <w:highlight w:val="none"/>
              </w:rPr>
              <w:t>得分</w:t>
            </w:r>
            <w:r>
              <w:rPr>
                <w:rFonts w:ascii="宋体" w:hAnsi="宋体" w:cs="宋体"/>
                <w:color w:val="auto"/>
                <w:sz w:val="24"/>
                <w:szCs w:val="24"/>
                <w:highlight w:val="none"/>
              </w:rPr>
              <w:t>=（评标基准价/各</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rPr>
              <w:t>报价）×</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p>
        </w:tc>
        <w:tc>
          <w:tcPr>
            <w:tcW w:w="1868" w:type="dxa"/>
            <w:vAlign w:val="center"/>
          </w:tcPr>
          <w:p w14:paraId="11F79381">
            <w:pPr>
              <w:widowControl/>
              <w:wordWrap w:val="0"/>
              <w:spacing w:line="400" w:lineRule="exact"/>
              <w:ind w:firstLine="240" w:firstLineChars="100"/>
              <w:jc w:val="left"/>
              <w:rPr>
                <w:rFonts w:hint="eastAsia" w:ascii="宋体" w:hAnsi="宋体" w:cs="宋体"/>
                <w:color w:val="auto"/>
                <w:sz w:val="24"/>
                <w:szCs w:val="24"/>
                <w:highlight w:val="none"/>
              </w:rPr>
            </w:pPr>
          </w:p>
        </w:tc>
      </w:tr>
      <w:tr w14:paraId="7167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vAlign w:val="center"/>
          </w:tcPr>
          <w:p w14:paraId="52C668A9">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59" w:type="dxa"/>
            <w:vMerge w:val="restart"/>
            <w:vAlign w:val="center"/>
          </w:tcPr>
          <w:p w14:paraId="0C248F66">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技术部分（60%）</w:t>
            </w:r>
          </w:p>
        </w:tc>
        <w:tc>
          <w:tcPr>
            <w:tcW w:w="1130" w:type="dxa"/>
            <w:vAlign w:val="center"/>
          </w:tcPr>
          <w:p w14:paraId="7634B2C6">
            <w:pPr>
              <w:widowControl/>
              <w:wordWrap w:val="0"/>
              <w:jc w:val="center"/>
              <w:rPr>
                <w:rFonts w:hint="eastAsia"/>
                <w:color w:val="auto"/>
                <w:sz w:val="24"/>
                <w:szCs w:val="24"/>
                <w:highlight w:val="none"/>
              </w:rPr>
            </w:pPr>
            <w:r>
              <w:rPr>
                <w:rFonts w:hint="eastAsia"/>
                <w:color w:val="auto"/>
                <w:sz w:val="24"/>
                <w:szCs w:val="24"/>
                <w:highlight w:val="none"/>
              </w:rPr>
              <w:t>施工方案与技术措施</w:t>
            </w:r>
          </w:p>
          <w:p w14:paraId="79C80E3D">
            <w:pPr>
              <w:widowControl/>
              <w:wordWrap w:val="0"/>
              <w:jc w:val="center"/>
              <w:rPr>
                <w:rFonts w:hint="eastAsia" w:ascii="宋体" w:hAnsi="宋体" w:cs="宋体"/>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15</w:t>
            </w:r>
            <w:r>
              <w:rPr>
                <w:rFonts w:hint="eastAsia"/>
                <w:color w:val="auto"/>
                <w:sz w:val="24"/>
                <w:szCs w:val="24"/>
                <w:highlight w:val="none"/>
              </w:rPr>
              <w:t>分）</w:t>
            </w:r>
          </w:p>
        </w:tc>
        <w:tc>
          <w:tcPr>
            <w:tcW w:w="5537" w:type="dxa"/>
            <w:vAlign w:val="center"/>
          </w:tcPr>
          <w:p w14:paraId="42054285">
            <w:pPr>
              <w:widowControl/>
              <w:wordWrap w:val="0"/>
              <w:spacing w:line="340" w:lineRule="exact"/>
              <w:ind w:firstLine="240" w:firstLineChars="100"/>
              <w:jc w:val="left"/>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针对本项目编制施工方案与技术措施（包括但不限于：项目管理机构配备、施工组织设计、规程措施、施工技术关键点、施工重难点、施工方法、施工设备等内容）。</w:t>
            </w:r>
          </w:p>
          <w:p w14:paraId="3C33AFE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18F37CAD">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分；</w:t>
            </w:r>
          </w:p>
          <w:p w14:paraId="2001CBD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434DC3B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48B264D">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1868" w:type="dxa"/>
            <w:vMerge w:val="restart"/>
            <w:vAlign w:val="center"/>
          </w:tcPr>
          <w:p w14:paraId="4248826F">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1、技术部分原则上不超过50页。</w:t>
            </w:r>
          </w:p>
          <w:p w14:paraId="0BF31C01">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2、技术方案格式由投标人自拟。</w:t>
            </w:r>
          </w:p>
          <w:p w14:paraId="56B2963C">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3、评标委员会根据投标人提供的技术方案独立评审打分。投标人的技术部分最后得分为各评标委员会成员的平均分。（按四舍五入法保留两位小数）</w:t>
            </w:r>
          </w:p>
        </w:tc>
      </w:tr>
      <w:tr w14:paraId="382D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87" w:type="dxa"/>
            <w:vMerge w:val="continue"/>
            <w:vAlign w:val="center"/>
          </w:tcPr>
          <w:p w14:paraId="7FB8F856">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65733112">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48549C05">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质量管理体系与措施（</w:t>
            </w:r>
            <w:r>
              <w:rPr>
                <w:rFonts w:hint="eastAsia" w:ascii="Times New Roman" w:eastAsia="宋体"/>
                <w:color w:val="auto"/>
                <w:sz w:val="24"/>
                <w:szCs w:val="24"/>
                <w:highlight w:val="none"/>
                <w:lang w:val="en-US" w:eastAsia="zh-CN"/>
              </w:rPr>
              <w:t>15</w:t>
            </w:r>
            <w:r>
              <w:rPr>
                <w:rFonts w:hint="eastAsia" w:ascii="Times New Roman" w:eastAsia="宋体"/>
                <w:color w:val="auto"/>
                <w:sz w:val="24"/>
                <w:szCs w:val="24"/>
                <w:highlight w:val="none"/>
              </w:rPr>
              <w:t>分）</w:t>
            </w:r>
          </w:p>
        </w:tc>
        <w:tc>
          <w:tcPr>
            <w:tcW w:w="5537" w:type="dxa"/>
            <w:vAlign w:val="center"/>
          </w:tcPr>
          <w:p w14:paraId="4393697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针对本项目编制质量管理体系与措施（包括但不限于：</w:t>
            </w:r>
            <w:r>
              <w:rPr>
                <w:rFonts w:hint="eastAsia" w:ascii="宋体" w:hAnsi="宋体" w:eastAsia="宋体" w:cs="宋体"/>
                <w:sz w:val="24"/>
                <w:szCs w:val="24"/>
                <w:highlight w:val="none"/>
                <w:u w:val="none"/>
                <w:lang w:val="en-US" w:eastAsia="zh-CN"/>
              </w:rPr>
              <w:t>施工质量保证体系、主要质量控制、质量控制要点、制定质量管理监督工作程序和管理职能、有效的控制措施和手段</w:t>
            </w:r>
            <w:r>
              <w:rPr>
                <w:rFonts w:hint="eastAsia" w:ascii="宋体" w:hAnsi="宋体" w:eastAsia="宋体" w:cs="宋体"/>
                <w:color w:val="000000"/>
                <w:sz w:val="24"/>
                <w:szCs w:val="24"/>
                <w:highlight w:val="none"/>
              </w:rPr>
              <w:t>等内容）。</w:t>
            </w:r>
          </w:p>
          <w:p w14:paraId="7C81EEF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404E73D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分；</w:t>
            </w:r>
          </w:p>
          <w:p w14:paraId="0A6D55E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1C3E513D">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8352BCB">
            <w:pPr>
              <w:widowControl/>
              <w:wordWrap w:val="0"/>
              <w:spacing w:line="340" w:lineRule="exact"/>
              <w:ind w:firstLine="240" w:firstLineChars="100"/>
              <w:jc w:val="left"/>
              <w:rPr>
                <w:color w:val="auto"/>
                <w:sz w:val="24"/>
                <w:szCs w:val="24"/>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1868" w:type="dxa"/>
            <w:vMerge w:val="continue"/>
            <w:vAlign w:val="center"/>
          </w:tcPr>
          <w:p w14:paraId="59807866">
            <w:pPr>
              <w:widowControl/>
              <w:wordWrap w:val="0"/>
              <w:ind w:firstLine="480" w:firstLineChars="200"/>
              <w:jc w:val="left"/>
              <w:rPr>
                <w:color w:val="auto"/>
                <w:sz w:val="24"/>
                <w:szCs w:val="24"/>
                <w:highlight w:val="none"/>
              </w:rPr>
            </w:pPr>
          </w:p>
        </w:tc>
      </w:tr>
      <w:tr w14:paraId="6C0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787" w:type="dxa"/>
            <w:vMerge w:val="continue"/>
            <w:vAlign w:val="center"/>
          </w:tcPr>
          <w:p w14:paraId="4AB9FD32">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09BDCE3F">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637288D6">
            <w:pPr>
              <w:jc w:val="center"/>
              <w:rPr>
                <w:rFonts w:ascii="Times New Roman" w:eastAsia="宋体"/>
                <w:color w:val="auto"/>
                <w:sz w:val="24"/>
                <w:szCs w:val="24"/>
                <w:highlight w:val="none"/>
              </w:rPr>
            </w:pPr>
            <w:r>
              <w:rPr>
                <w:rFonts w:hint="eastAsia" w:ascii="宋体" w:hAnsi="宋体" w:cs="宋体"/>
                <w:sz w:val="24"/>
                <w:szCs w:val="24"/>
                <w:highlight w:val="none"/>
              </w:rPr>
              <w:t>安全管理体系与措施</w:t>
            </w:r>
          </w:p>
          <w:p w14:paraId="38293C25">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w:t>
            </w:r>
            <w:r>
              <w:rPr>
                <w:rFonts w:hint="eastAsia" w:ascii="Times New Roman" w:eastAsia="宋体"/>
                <w:color w:val="auto"/>
                <w:sz w:val="24"/>
                <w:szCs w:val="24"/>
                <w:highlight w:val="none"/>
                <w:lang w:val="en-US" w:eastAsia="zh-CN"/>
              </w:rPr>
              <w:t>15</w:t>
            </w:r>
            <w:r>
              <w:rPr>
                <w:rFonts w:hint="eastAsia" w:ascii="Times New Roman" w:eastAsia="宋体"/>
                <w:color w:val="auto"/>
                <w:sz w:val="24"/>
                <w:szCs w:val="24"/>
                <w:highlight w:val="none"/>
              </w:rPr>
              <w:t>分）</w:t>
            </w:r>
          </w:p>
        </w:tc>
        <w:tc>
          <w:tcPr>
            <w:tcW w:w="5537" w:type="dxa"/>
            <w:vAlign w:val="center"/>
          </w:tcPr>
          <w:p w14:paraId="1C65DBD9">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针对本项目编制安全管理体系与措施（包括但不限于</w:t>
            </w:r>
            <w:r>
              <w:rPr>
                <w:rFonts w:hint="eastAsia"/>
                <w:color w:val="auto"/>
                <w:sz w:val="24"/>
                <w:szCs w:val="24"/>
                <w:highlight w:val="none"/>
                <w:lang w:eastAsia="zh-CN"/>
              </w:rPr>
              <w:t>：施工安全管理体系、</w:t>
            </w:r>
            <w:r>
              <w:rPr>
                <w:rFonts w:hint="eastAsia" w:ascii="宋体" w:hAnsi="宋体" w:eastAsia="宋体" w:cs="宋体"/>
                <w:sz w:val="24"/>
                <w:szCs w:val="24"/>
                <w:highlight w:val="none"/>
                <w:u w:val="none"/>
                <w:lang w:val="en-US" w:eastAsia="zh-CN"/>
              </w:rPr>
              <w:t>施工现场管理人员安全生产职责明确</w:t>
            </w:r>
            <w:r>
              <w:rPr>
                <w:rFonts w:hint="eastAsia"/>
                <w:color w:val="auto"/>
                <w:sz w:val="24"/>
                <w:szCs w:val="24"/>
                <w:highlight w:val="none"/>
                <w:lang w:eastAsia="zh-CN"/>
              </w:rPr>
              <w:t>、项目安全生产管理制度，施工安全措施、劳动保护措施</w:t>
            </w:r>
            <w:r>
              <w:rPr>
                <w:rFonts w:hint="eastAsia" w:ascii="宋体" w:hAnsi="宋体" w:eastAsia="宋体" w:cs="宋体"/>
                <w:color w:val="000000"/>
                <w:sz w:val="24"/>
                <w:szCs w:val="24"/>
                <w:highlight w:val="none"/>
              </w:rPr>
              <w:t>等内容</w:t>
            </w:r>
            <w:r>
              <w:rPr>
                <w:rFonts w:hint="eastAsia"/>
                <w:color w:val="auto"/>
                <w:sz w:val="24"/>
                <w:szCs w:val="24"/>
                <w:highlight w:val="none"/>
              </w:rPr>
              <w:t>）。</w:t>
            </w:r>
          </w:p>
          <w:p w14:paraId="36BCA934">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4F296513">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分；</w:t>
            </w:r>
          </w:p>
          <w:p w14:paraId="66160F4D">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1DB59C16">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BD9DFF6">
            <w:pPr>
              <w:widowControl/>
              <w:wordWrap w:val="0"/>
              <w:spacing w:line="340" w:lineRule="exact"/>
              <w:ind w:firstLine="240" w:firstLineChars="100"/>
              <w:jc w:val="left"/>
              <w:rPr>
                <w:color w:val="auto"/>
                <w:sz w:val="24"/>
                <w:szCs w:val="24"/>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1868" w:type="dxa"/>
            <w:vMerge w:val="continue"/>
            <w:vAlign w:val="center"/>
          </w:tcPr>
          <w:p w14:paraId="0A10E0F1">
            <w:pPr>
              <w:widowControl/>
              <w:wordWrap w:val="0"/>
              <w:ind w:firstLine="480" w:firstLineChars="200"/>
              <w:jc w:val="left"/>
              <w:rPr>
                <w:color w:val="auto"/>
                <w:sz w:val="24"/>
                <w:szCs w:val="24"/>
                <w:highlight w:val="none"/>
              </w:rPr>
            </w:pPr>
          </w:p>
        </w:tc>
      </w:tr>
      <w:tr w14:paraId="417F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787" w:type="dxa"/>
            <w:vMerge w:val="continue"/>
            <w:vAlign w:val="center"/>
          </w:tcPr>
          <w:p w14:paraId="197DC20D">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0506F4F7">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45C6D227">
            <w:pPr>
              <w:pStyle w:val="7"/>
              <w:widowControl/>
              <w:jc w:val="center"/>
              <w:rPr>
                <w:rFonts w:ascii="Times New Roman" w:eastAsia="宋体"/>
                <w:color w:val="auto"/>
                <w:sz w:val="24"/>
                <w:szCs w:val="24"/>
                <w:highlight w:val="none"/>
              </w:rPr>
            </w:pPr>
            <w:r>
              <w:rPr>
                <w:rFonts w:hint="eastAsia" w:ascii="宋体" w:hAnsi="宋体" w:eastAsia="宋体" w:cs="宋体"/>
                <w:b w:val="0"/>
                <w:bCs w:val="0"/>
                <w:color w:val="000000"/>
                <w:sz w:val="24"/>
                <w:szCs w:val="24"/>
                <w:highlight w:val="none"/>
              </w:rPr>
              <w:t>工</w:t>
            </w:r>
            <w:r>
              <w:rPr>
                <w:rFonts w:hint="eastAsia" w:ascii="宋体" w:hAnsi="宋体" w:eastAsia="宋体" w:cs="宋体"/>
                <w:b w:val="0"/>
                <w:bCs w:val="0"/>
                <w:color w:val="000000"/>
                <w:sz w:val="24"/>
                <w:szCs w:val="24"/>
                <w:highlight w:val="none"/>
                <w:lang w:val="en-US" w:eastAsia="zh-CN"/>
              </w:rPr>
              <w:t>程进度计划与措施</w:t>
            </w:r>
            <w:r>
              <w:rPr>
                <w:rFonts w:hint="eastAsia" w:ascii="Times New Roman" w:eastAsia="宋体"/>
                <w:color w:val="auto"/>
                <w:sz w:val="24"/>
                <w:szCs w:val="24"/>
                <w:highlight w:val="none"/>
              </w:rPr>
              <w:t>（</w:t>
            </w:r>
            <w:r>
              <w:rPr>
                <w:rFonts w:hint="eastAsia" w:ascii="Times New Roman" w:eastAsia="宋体"/>
                <w:color w:val="auto"/>
                <w:sz w:val="24"/>
                <w:szCs w:val="24"/>
                <w:highlight w:val="none"/>
                <w:lang w:val="en-US" w:eastAsia="zh-CN"/>
              </w:rPr>
              <w:t>15</w:t>
            </w:r>
            <w:r>
              <w:rPr>
                <w:rFonts w:hint="eastAsia" w:ascii="Times New Roman" w:eastAsia="宋体"/>
                <w:color w:val="auto"/>
                <w:sz w:val="24"/>
                <w:szCs w:val="24"/>
                <w:highlight w:val="none"/>
              </w:rPr>
              <w:t>分）</w:t>
            </w:r>
          </w:p>
        </w:tc>
        <w:tc>
          <w:tcPr>
            <w:tcW w:w="5537" w:type="dxa"/>
            <w:vAlign w:val="center"/>
          </w:tcPr>
          <w:p w14:paraId="6CFA2EFA">
            <w:pPr>
              <w:widowControl/>
              <w:wordWrap w:val="0"/>
              <w:spacing w:line="340" w:lineRule="exact"/>
              <w:ind w:firstLine="240" w:firstLineChars="100"/>
              <w:jc w:val="left"/>
              <w:rPr>
                <w:rFonts w:hint="eastAsia"/>
                <w:color w:val="auto"/>
                <w:sz w:val="24"/>
                <w:szCs w:val="24"/>
                <w:highlight w:val="none"/>
                <w:lang w:val="en-US" w:eastAsia="zh-CN"/>
              </w:rPr>
            </w:pPr>
            <w:r>
              <w:rPr>
                <w:rFonts w:hint="eastAsia" w:ascii="宋体" w:hAnsi="宋体" w:eastAsia="宋体" w:cs="宋体"/>
                <w:color w:val="000000"/>
                <w:sz w:val="24"/>
                <w:szCs w:val="24"/>
                <w:highlight w:val="none"/>
                <w:lang w:eastAsia="zh-CN"/>
              </w:rPr>
              <w:t>针对本项目编制工程进度计划与措施（包括但不限于：</w:t>
            </w:r>
            <w:r>
              <w:rPr>
                <w:rFonts w:hint="eastAsia" w:ascii="宋体" w:hAnsi="宋体" w:eastAsia="宋体" w:cs="宋体"/>
                <w:color w:val="000000"/>
                <w:sz w:val="24"/>
                <w:szCs w:val="24"/>
                <w:highlight w:val="none"/>
                <w:lang w:val="en-US" w:eastAsia="zh-CN"/>
              </w:rPr>
              <w:t>施工</w:t>
            </w:r>
            <w:r>
              <w:rPr>
                <w:rFonts w:hint="eastAsia" w:ascii="宋体" w:hAnsi="宋体" w:eastAsia="宋体" w:cs="宋体"/>
                <w:color w:val="000000"/>
                <w:sz w:val="24"/>
                <w:szCs w:val="24"/>
                <w:highlight w:val="none"/>
                <w:lang w:eastAsia="zh-CN"/>
              </w:rPr>
              <w:t>进度</w:t>
            </w:r>
            <w:r>
              <w:rPr>
                <w:rFonts w:hint="eastAsia" w:ascii="宋体" w:hAnsi="宋体" w:eastAsia="宋体" w:cs="宋体"/>
                <w:color w:val="000000"/>
                <w:sz w:val="24"/>
                <w:szCs w:val="24"/>
                <w:highlight w:val="none"/>
                <w:lang w:val="en-US" w:eastAsia="zh-CN"/>
              </w:rPr>
              <w:t>计划、施工进度计划管理</w:t>
            </w:r>
            <w:r>
              <w:rPr>
                <w:rFonts w:hint="eastAsia" w:ascii="宋体" w:hAnsi="宋体" w:eastAsia="宋体" w:cs="宋体"/>
                <w:color w:val="000000"/>
                <w:sz w:val="24"/>
                <w:szCs w:val="24"/>
                <w:highlight w:val="none"/>
                <w:lang w:eastAsia="zh-CN"/>
              </w:rPr>
              <w:t>、工期安排、</w:t>
            </w:r>
            <w:r>
              <w:rPr>
                <w:rFonts w:hint="eastAsia" w:ascii="宋体" w:hAnsi="宋体" w:eastAsia="宋体" w:cs="宋体"/>
                <w:color w:val="000000"/>
                <w:sz w:val="24"/>
                <w:szCs w:val="24"/>
                <w:highlight w:val="none"/>
                <w:lang w:val="en-US" w:eastAsia="zh-CN"/>
              </w:rPr>
              <w:t>工期保证措施</w:t>
            </w:r>
            <w:r>
              <w:rPr>
                <w:rFonts w:hint="eastAsia" w:ascii="宋体" w:hAnsi="宋体" w:eastAsia="宋体" w:cs="宋体"/>
                <w:color w:val="000000"/>
                <w:sz w:val="24"/>
                <w:szCs w:val="24"/>
                <w:highlight w:val="none"/>
                <w:lang w:eastAsia="zh-CN"/>
              </w:rPr>
              <w:t>等内容）</w:t>
            </w:r>
            <w:r>
              <w:rPr>
                <w:rFonts w:hint="eastAsia"/>
                <w:color w:val="auto"/>
                <w:sz w:val="24"/>
                <w:szCs w:val="24"/>
                <w:highlight w:val="none"/>
                <w:lang w:val="en-US" w:eastAsia="zh-CN"/>
              </w:rPr>
              <w:t>。</w:t>
            </w:r>
          </w:p>
          <w:p w14:paraId="084DA89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1B53826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分；</w:t>
            </w:r>
          </w:p>
          <w:p w14:paraId="41E7ECB0">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663508A4">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E31FD5B">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1868" w:type="dxa"/>
            <w:vMerge w:val="continue"/>
            <w:vAlign w:val="center"/>
          </w:tcPr>
          <w:p w14:paraId="6B4006ED">
            <w:pPr>
              <w:widowControl/>
              <w:wordWrap w:val="0"/>
              <w:ind w:firstLine="480" w:firstLineChars="200"/>
              <w:jc w:val="left"/>
              <w:rPr>
                <w:color w:val="auto"/>
                <w:sz w:val="24"/>
                <w:szCs w:val="24"/>
                <w:highlight w:val="none"/>
              </w:rPr>
            </w:pPr>
          </w:p>
        </w:tc>
      </w:tr>
      <w:tr w14:paraId="4499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0581" w:type="dxa"/>
            <w:gridSpan w:val="5"/>
            <w:vAlign w:val="center"/>
          </w:tcPr>
          <w:p w14:paraId="30D23A78">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注：本项内容中所称的“瑕疵”指：</w:t>
            </w:r>
          </w:p>
          <w:p w14:paraId="5E4D3A0E">
            <w:pPr>
              <w:widowControl/>
              <w:numPr>
                <w:ilvl w:val="0"/>
                <w:numId w:val="2"/>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方案内容缺项、内容表述不完整或缺少关键分析点；</w:t>
            </w:r>
          </w:p>
          <w:p w14:paraId="74AD3438">
            <w:pPr>
              <w:widowControl/>
              <w:numPr>
                <w:ilvl w:val="0"/>
                <w:numId w:val="2"/>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方案内容表述前后矛盾、无连贯性；</w:t>
            </w:r>
          </w:p>
          <w:p w14:paraId="72B97D39">
            <w:pPr>
              <w:widowControl/>
              <w:numPr>
                <w:ilvl w:val="0"/>
                <w:numId w:val="2"/>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内容存在逻辑漏洞、常识错误；</w:t>
            </w:r>
          </w:p>
          <w:p w14:paraId="4E1E828E">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（4）方案内容不具有先进思路或时效性低下或安全性低或缺乏稳定可靠的相关保障措施、流程或进度或不合理、不具有可行性或具体措施不适用本项目特性或非专门针对本项目制定；</w:t>
            </w:r>
          </w:p>
          <w:p w14:paraId="3644C317">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（5）方案中提出的措施举措不利于本项目目标的实现；</w:t>
            </w:r>
          </w:p>
          <w:p w14:paraId="6D5BF0AD">
            <w:pPr>
              <w:widowControl/>
              <w:wordWrap w:val="0"/>
              <w:ind w:firstLine="480" w:firstLineChars="200"/>
              <w:jc w:val="left"/>
              <w:rPr>
                <w:color w:val="auto"/>
                <w:sz w:val="24"/>
                <w:szCs w:val="24"/>
                <w:highlight w:val="none"/>
              </w:rPr>
            </w:pPr>
            <w:r>
              <w:rPr>
                <w:rFonts w:hint="eastAsia" w:ascii="宋体" w:hAnsi="宋体" w:eastAsia="宋体" w:cs="宋体"/>
                <w:color w:val="auto"/>
                <w:sz w:val="24"/>
                <w:szCs w:val="24"/>
                <w:highlight w:val="none"/>
              </w:rPr>
              <w:t>（6）现有技术条件下不可能出现的情形。</w:t>
            </w:r>
          </w:p>
        </w:tc>
      </w:tr>
      <w:tr w14:paraId="1E35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vAlign w:val="center"/>
          </w:tcPr>
          <w:p w14:paraId="75E6A7C4">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59" w:type="dxa"/>
            <w:vAlign w:val="center"/>
          </w:tcPr>
          <w:p w14:paraId="1ADEBC05">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p>
          <w:p w14:paraId="72FF5AB6">
            <w:pPr>
              <w:widowControl/>
              <w:wordWrap w:val="0"/>
              <w:spacing w:line="400" w:lineRule="exact"/>
              <w:jc w:val="center"/>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w:t>
            </w:r>
          </w:p>
        </w:tc>
        <w:tc>
          <w:tcPr>
            <w:tcW w:w="1130" w:type="dxa"/>
            <w:vAlign w:val="center"/>
          </w:tcPr>
          <w:p w14:paraId="63686663">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p w14:paraId="2429E2D3">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tc>
        <w:tc>
          <w:tcPr>
            <w:tcW w:w="5537" w:type="dxa"/>
            <w:vAlign w:val="center"/>
          </w:tcPr>
          <w:p w14:paraId="243D62BA">
            <w:pPr>
              <w:widowControl/>
              <w:wordWrap w:val="0"/>
              <w:spacing w:line="400" w:lineRule="exact"/>
              <w:ind w:firstLine="480" w:firstLineChars="200"/>
              <w:jc w:val="left"/>
              <w:rPr>
                <w:color w:val="auto"/>
                <w:highlight w:val="none"/>
              </w:rPr>
            </w:pPr>
            <w:r>
              <w:rPr>
                <w:rFonts w:hint="eastAsia"/>
                <w:color w:val="auto"/>
                <w:sz w:val="24"/>
                <w:szCs w:val="24"/>
                <w:highlight w:val="none"/>
                <w:lang w:val="en-US" w:eastAsia="zh-CN"/>
              </w:rPr>
              <w:t>2022年1月1日至投标文件递交截止时间（以合同时间为准）</w:t>
            </w:r>
            <w:r>
              <w:rPr>
                <w:rFonts w:hint="eastAsia"/>
                <w:color w:val="auto"/>
                <w:sz w:val="24"/>
                <w:szCs w:val="24"/>
                <w:highlight w:val="none"/>
              </w:rPr>
              <w:t>，投标人</w:t>
            </w:r>
            <w:r>
              <w:rPr>
                <w:rFonts w:hint="eastAsia"/>
                <w:color w:val="auto"/>
                <w:sz w:val="24"/>
                <w:szCs w:val="24"/>
                <w:highlight w:val="none"/>
                <w:lang w:val="en-US" w:eastAsia="zh-CN"/>
              </w:rPr>
              <w:t>承接</w:t>
            </w:r>
            <w:r>
              <w:rPr>
                <w:rFonts w:hint="eastAsia"/>
                <w:color w:val="auto"/>
                <w:sz w:val="24"/>
                <w:szCs w:val="24"/>
                <w:highlight w:val="none"/>
              </w:rPr>
              <w:t>过建筑工程施工业绩的，每提供1个业绩得</w:t>
            </w:r>
            <w:r>
              <w:rPr>
                <w:rFonts w:hint="eastAsia"/>
                <w:color w:val="auto"/>
                <w:sz w:val="24"/>
                <w:szCs w:val="24"/>
                <w:highlight w:val="none"/>
                <w:lang w:val="en-US" w:eastAsia="zh-CN"/>
              </w:rPr>
              <w:t>5</w:t>
            </w:r>
            <w:r>
              <w:rPr>
                <w:rFonts w:hint="eastAsia"/>
                <w:color w:val="auto"/>
                <w:sz w:val="24"/>
                <w:szCs w:val="24"/>
                <w:highlight w:val="none"/>
              </w:rPr>
              <w:t>分，本项最多得</w:t>
            </w:r>
            <w:r>
              <w:rPr>
                <w:rFonts w:hint="eastAsia"/>
                <w:color w:val="auto"/>
                <w:sz w:val="24"/>
                <w:szCs w:val="24"/>
                <w:highlight w:val="none"/>
                <w:lang w:val="en-US" w:eastAsia="zh-CN"/>
              </w:rPr>
              <w:t>10</w:t>
            </w:r>
            <w:r>
              <w:rPr>
                <w:rFonts w:hint="eastAsia"/>
                <w:color w:val="auto"/>
                <w:sz w:val="24"/>
                <w:szCs w:val="24"/>
                <w:highlight w:val="none"/>
              </w:rPr>
              <w:t>分。</w:t>
            </w:r>
          </w:p>
        </w:tc>
        <w:tc>
          <w:tcPr>
            <w:tcW w:w="1868" w:type="dxa"/>
            <w:vAlign w:val="center"/>
          </w:tcPr>
          <w:p w14:paraId="1B84D852">
            <w:pPr>
              <w:widowControl/>
              <w:wordWrap w:val="0"/>
              <w:spacing w:line="400" w:lineRule="exact"/>
              <w:ind w:firstLine="240" w:firstLineChars="100"/>
              <w:jc w:val="left"/>
              <w:rPr>
                <w:color w:val="auto"/>
                <w:sz w:val="24"/>
                <w:szCs w:val="24"/>
                <w:highlight w:val="none"/>
              </w:rPr>
            </w:pPr>
            <w:r>
              <w:rPr>
                <w:rFonts w:hint="eastAsia"/>
                <w:color w:val="auto"/>
                <w:sz w:val="24"/>
                <w:szCs w:val="24"/>
                <w:highlight w:val="none"/>
              </w:rPr>
              <w:t>提供合同协议书复印件并加盖投标人公章。</w:t>
            </w:r>
          </w:p>
        </w:tc>
      </w:tr>
    </w:tbl>
    <w:p w14:paraId="67134164">
      <w:pPr>
        <w:snapToGrid w:val="0"/>
        <w:spacing w:line="360" w:lineRule="auto"/>
        <w:ind w:firstLine="465"/>
        <w:rPr>
          <w:rFonts w:hint="eastAsia" w:ascii="宋体" w:hAnsi="宋体" w:eastAsia="宋体" w:cs="宋体"/>
          <w:color w:val="auto"/>
          <w:highlight w:val="none"/>
        </w:rPr>
      </w:pPr>
      <w:r>
        <w:rPr>
          <w:rFonts w:hint="eastAsia" w:ascii="宋体" w:hAnsi="宋体" w:eastAsia="宋体" w:cs="宋体"/>
          <w:color w:val="auto"/>
          <w:sz w:val="24"/>
          <w:szCs w:val="24"/>
          <w:highlight w:val="none"/>
        </w:rPr>
        <w:t>说明：评标委员会认为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不能证明其报价合理性的，评标委员会应当将其作为无效投标处理。</w:t>
      </w:r>
    </w:p>
    <w:p w14:paraId="64DA2B7B">
      <w:pPr>
        <w:pStyle w:val="3"/>
        <w:pageBreakBefore w:val="0"/>
        <w:widowControl w:val="0"/>
        <w:kinsoku/>
        <w:wordWrap/>
        <w:overflowPunct/>
        <w:topLinePunct w:val="0"/>
        <w:autoSpaceDE/>
        <w:autoSpaceDN/>
        <w:bidi w:val="0"/>
        <w:adjustRightInd/>
        <w:snapToGrid w:val="0"/>
        <w:spacing w:before="0" w:after="0" w:line="480" w:lineRule="exact"/>
        <w:textAlignment w:val="auto"/>
        <w:rPr>
          <w:rFonts w:hint="eastAsia" w:ascii="宋体" w:hAnsi="宋体" w:eastAsia="宋体" w:cs="宋体"/>
          <w:color w:val="auto"/>
          <w:sz w:val="24"/>
          <w:szCs w:val="24"/>
          <w:highlight w:val="none"/>
        </w:rPr>
      </w:pPr>
      <w:bookmarkStart w:id="97" w:name="_Toc20096"/>
      <w:r>
        <w:rPr>
          <w:rFonts w:hint="eastAsia" w:ascii="宋体" w:hAnsi="宋体" w:eastAsia="宋体" w:cs="宋体"/>
          <w:color w:val="auto"/>
          <w:sz w:val="24"/>
          <w:szCs w:val="24"/>
          <w:highlight w:val="none"/>
        </w:rPr>
        <w:t>三、无效响应</w:t>
      </w:r>
      <w:bookmarkEnd w:id="96"/>
      <w:bookmarkEnd w:id="97"/>
    </w:p>
    <w:p w14:paraId="69205E5F">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98" w:name="_Toc27033"/>
      <w:bookmarkStart w:id="99" w:name="_Toc9808"/>
      <w:bookmarkStart w:id="100" w:name="_Toc22128"/>
      <w:bookmarkStart w:id="101" w:name="_Toc4550"/>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作无效响应处理：</w:t>
      </w:r>
    </w:p>
    <w:p w14:paraId="7CE802B3">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未通过资格性检查或</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未通过符合性检查的；</w:t>
      </w:r>
    </w:p>
    <w:p w14:paraId="4A4182B1">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不按第七篇“</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格式要求”规定签字、盖章；</w:t>
      </w:r>
    </w:p>
    <w:p w14:paraId="0B3D9662">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的报价超过采购预算或最高限价的；</w:t>
      </w:r>
    </w:p>
    <w:p w14:paraId="2D2E8587">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，参加同一合同项下的政府采购活动的；</w:t>
      </w:r>
    </w:p>
    <w:p w14:paraId="0466D056">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再参加本项目的采购活动的；</w:t>
      </w:r>
    </w:p>
    <w:p w14:paraId="2CFCC37E">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投标人投标文件</w:t>
      </w:r>
      <w:r>
        <w:rPr>
          <w:rFonts w:hint="eastAsia" w:ascii="宋体" w:hAnsi="宋体" w:eastAsia="宋体" w:cs="宋体"/>
          <w:color w:val="auto"/>
          <w:sz w:val="24"/>
          <w:szCs w:val="24"/>
          <w:highlight w:val="none"/>
        </w:rPr>
        <w:t>内容有与国家现行法律法规相违背的内容，或附有</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无法接受的条件；</w:t>
      </w:r>
    </w:p>
    <w:p w14:paraId="5FB9EB34">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（七）同一合同项（分包）下的货物，制造商参与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的，再委托代理商参与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w:t>
      </w:r>
    </w:p>
    <w:p w14:paraId="5EAB10A3">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以联合体形式参与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w:t>
      </w:r>
    </w:p>
    <w:p w14:paraId="54B962D7">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进行合同分包的；</w:t>
      </w:r>
    </w:p>
    <w:p w14:paraId="5E3F430B">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规定的其他无效响应情形；</w:t>
      </w:r>
    </w:p>
    <w:p w14:paraId="2960E0F3">
      <w:pPr>
        <w:pageBreakBefore w:val="0"/>
        <w:widowControl w:val="0"/>
        <w:tabs>
          <w:tab w:val="left" w:pos="703"/>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被列入失信被执行人、重大税收违法案件当事人名单、政府采购严重违法失信行为记录名单及其他不符合《中华人民共和国政府采购法》第二十二条规定条件的。</w:t>
      </w:r>
    </w:p>
    <w:p w14:paraId="5762EBE2">
      <w:pPr>
        <w:pStyle w:val="3"/>
        <w:pageBreakBefore w:val="0"/>
        <w:widowControl w:val="0"/>
        <w:kinsoku/>
        <w:wordWrap/>
        <w:overflowPunct/>
        <w:topLinePunct w:val="0"/>
        <w:autoSpaceDE/>
        <w:autoSpaceDN/>
        <w:bidi w:val="0"/>
        <w:adjustRightInd/>
        <w:snapToGrid w:val="0"/>
        <w:spacing w:before="0" w:after="0" w:line="480" w:lineRule="exact"/>
        <w:textAlignment w:val="auto"/>
        <w:rPr>
          <w:rFonts w:hint="eastAsia" w:ascii="宋体" w:hAnsi="宋体" w:eastAsia="宋体" w:cs="宋体"/>
          <w:color w:val="auto"/>
          <w:sz w:val="28"/>
          <w:szCs w:val="28"/>
          <w:highlight w:val="none"/>
        </w:rPr>
      </w:pPr>
      <w:bookmarkStart w:id="102" w:name="_Toc1028"/>
      <w:r>
        <w:rPr>
          <w:rFonts w:hint="eastAsia" w:ascii="宋体" w:hAnsi="宋体" w:eastAsia="宋体" w:cs="宋体"/>
          <w:color w:val="auto"/>
          <w:sz w:val="24"/>
          <w:szCs w:val="24"/>
          <w:highlight w:val="none"/>
        </w:rPr>
        <w:t>四、采购终止</w:t>
      </w:r>
      <w:bookmarkEnd w:id="98"/>
      <w:bookmarkEnd w:id="99"/>
      <w:bookmarkEnd w:id="100"/>
      <w:bookmarkEnd w:id="101"/>
      <w:bookmarkEnd w:id="102"/>
    </w:p>
    <w:p w14:paraId="0E633AD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应当终止本次采购活动，发布项目终止公告并说明原因，重新开展采购活动：</w:t>
      </w:r>
    </w:p>
    <w:p w14:paraId="54BF8387">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采购采购方式适用情形的；</w:t>
      </w:r>
    </w:p>
    <w:p w14:paraId="086EE091">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12357292">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（三）因重大变故，采购任务取消的；</w:t>
      </w:r>
    </w:p>
    <w:p w14:paraId="24042292">
      <w:pPr>
        <w:pageBreakBefore w:val="0"/>
        <w:widowControl w:val="0"/>
        <w:kinsoku/>
        <w:wordWrap/>
        <w:overflowPunct/>
        <w:topLinePunct w:val="0"/>
        <w:autoSpaceDE/>
        <w:autoSpaceDN/>
        <w:bidi w:val="0"/>
        <w:adjustRightInd/>
        <w:snapToGrid w:val="0"/>
        <w:spacing w:line="480" w:lineRule="exact"/>
        <w:ind w:firstLine="480" w:firstLineChars="200"/>
        <w:jc w:val="center"/>
        <w:textAlignment w:val="auto"/>
        <w:rPr>
          <w:rFonts w:hint="eastAsia" w:ascii="宋体" w:hAnsi="宋体" w:eastAsia="宋体" w:cs="宋体"/>
          <w:color w:val="auto"/>
          <w:sz w:val="40"/>
          <w:szCs w:val="32"/>
          <w:highlight w:val="none"/>
        </w:rPr>
      </w:pPr>
      <w:r>
        <w:rPr>
          <w:rFonts w:hint="eastAsia" w:ascii="宋体" w:hAnsi="宋体" w:eastAsia="宋体" w:cs="宋体"/>
          <w:color w:val="auto"/>
          <w:sz w:val="24"/>
          <w:szCs w:val="24"/>
          <w:highlight w:val="none"/>
        </w:rPr>
        <w:t>（四）在采购过程中符合要求的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或者报价未超过采购预算的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w:t>
      </w:r>
      <w:bookmarkStart w:id="103" w:name="_Toc21783690"/>
      <w:r>
        <w:rPr>
          <w:rFonts w:hint="eastAsia" w:ascii="宋体" w:hAnsi="宋体" w:eastAsia="宋体" w:cs="宋体"/>
          <w:color w:val="auto"/>
          <w:sz w:val="40"/>
          <w:szCs w:val="32"/>
          <w:highlight w:val="none"/>
        </w:rPr>
        <w:br w:type="page"/>
      </w:r>
      <w:bookmarkStart w:id="104" w:name="_Toc8803"/>
      <w:r>
        <w:rPr>
          <w:rFonts w:hint="eastAsia" w:ascii="宋体" w:hAnsi="宋体" w:eastAsia="宋体" w:cs="宋体"/>
          <w:b/>
          <w:bCs/>
          <w:color w:val="auto"/>
          <w:sz w:val="36"/>
          <w:szCs w:val="28"/>
          <w:highlight w:val="none"/>
        </w:rPr>
        <w:t xml:space="preserve">第五篇  </w:t>
      </w:r>
      <w:r>
        <w:rPr>
          <w:rFonts w:hint="eastAsia" w:ascii="宋体" w:hAnsi="宋体" w:eastAsia="宋体" w:cs="宋体"/>
          <w:b/>
          <w:bCs/>
          <w:color w:val="auto"/>
          <w:sz w:val="36"/>
          <w:szCs w:val="28"/>
          <w:highlight w:val="none"/>
          <w:lang w:eastAsia="zh-CN"/>
        </w:rPr>
        <w:t>投标人</w:t>
      </w:r>
      <w:r>
        <w:rPr>
          <w:rFonts w:hint="eastAsia" w:ascii="宋体" w:hAnsi="宋体" w:eastAsia="宋体" w:cs="宋体"/>
          <w:b/>
          <w:bCs/>
          <w:color w:val="auto"/>
          <w:sz w:val="36"/>
          <w:szCs w:val="28"/>
          <w:highlight w:val="none"/>
        </w:rPr>
        <w:t>须知</w:t>
      </w:r>
      <w:bookmarkEnd w:id="103"/>
      <w:bookmarkEnd w:id="104"/>
    </w:p>
    <w:p w14:paraId="7FAC01F1">
      <w:pPr>
        <w:pStyle w:val="3"/>
        <w:pageBreakBefore w:val="0"/>
        <w:widowControl w:val="0"/>
        <w:kinsoku/>
        <w:wordWrap/>
        <w:overflowPunct/>
        <w:topLinePunct w:val="0"/>
        <w:autoSpaceDE/>
        <w:autoSpaceDN/>
        <w:bidi w:val="0"/>
        <w:adjustRightInd/>
        <w:snapToGrid w:val="0"/>
        <w:spacing w:before="0" w:after="0" w:line="480" w:lineRule="exact"/>
        <w:textAlignment w:val="auto"/>
        <w:rPr>
          <w:rFonts w:hint="eastAsia" w:ascii="宋体" w:hAnsi="宋体" w:eastAsia="宋体" w:cs="宋体"/>
          <w:color w:val="auto"/>
          <w:sz w:val="24"/>
          <w:szCs w:val="24"/>
          <w:highlight w:val="none"/>
        </w:rPr>
      </w:pPr>
      <w:bookmarkStart w:id="105" w:name="_Toc15608"/>
      <w:bookmarkStart w:id="106" w:name="_Toc53751346"/>
      <w:bookmarkStart w:id="107" w:name="_Toc952"/>
      <w:bookmarkStart w:id="108" w:name="_Toc342913389"/>
      <w:bookmarkStart w:id="109" w:name="_Toc507411003"/>
      <w:bookmarkStart w:id="110" w:name="_Toc80104359"/>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费用</w:t>
      </w:r>
      <w:bookmarkEnd w:id="105"/>
      <w:bookmarkEnd w:id="106"/>
      <w:bookmarkEnd w:id="107"/>
      <w:bookmarkEnd w:id="108"/>
    </w:p>
    <w:p w14:paraId="65065EA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应承担其编制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与递交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所涉及的一切费用，不论结果如何，</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在任何情况下无义务也无责任承担这些费用。</w:t>
      </w:r>
    </w:p>
    <w:p w14:paraId="76F2E309">
      <w:pPr>
        <w:pStyle w:val="3"/>
        <w:pageBreakBefore w:val="0"/>
        <w:widowControl w:val="0"/>
        <w:kinsoku/>
        <w:wordWrap/>
        <w:overflowPunct/>
        <w:topLinePunct w:val="0"/>
        <w:autoSpaceDE/>
        <w:autoSpaceDN/>
        <w:bidi w:val="0"/>
        <w:adjustRightInd/>
        <w:snapToGrid w:val="0"/>
        <w:spacing w:before="0" w:after="0" w:line="480" w:lineRule="exact"/>
        <w:textAlignment w:val="auto"/>
        <w:rPr>
          <w:rFonts w:hint="eastAsia" w:ascii="宋体" w:hAnsi="宋体" w:eastAsia="宋体" w:cs="宋体"/>
          <w:color w:val="auto"/>
          <w:sz w:val="24"/>
          <w:szCs w:val="24"/>
          <w:highlight w:val="none"/>
          <w:lang w:eastAsia="zh-CN"/>
        </w:rPr>
      </w:pPr>
      <w:bookmarkStart w:id="111" w:name="_Toc13521"/>
      <w:bookmarkStart w:id="112" w:name="_Toc53751347"/>
      <w:bookmarkStart w:id="113" w:name="_Toc4017"/>
      <w:bookmarkStart w:id="114" w:name="_Toc342913391"/>
      <w:r>
        <w:rPr>
          <w:rFonts w:hint="eastAsia" w:ascii="宋体" w:hAnsi="宋体" w:eastAsia="宋体" w:cs="宋体"/>
          <w:color w:val="auto"/>
          <w:sz w:val="24"/>
          <w:szCs w:val="24"/>
          <w:highlight w:val="none"/>
        </w:rPr>
        <w:t>二、</w:t>
      </w:r>
      <w:bookmarkEnd w:id="111"/>
      <w:bookmarkEnd w:id="112"/>
      <w:bookmarkEnd w:id="113"/>
      <w:bookmarkEnd w:id="114"/>
      <w:r>
        <w:rPr>
          <w:rFonts w:hint="eastAsia" w:ascii="宋体" w:hAnsi="宋体" w:eastAsia="宋体" w:cs="宋体"/>
          <w:color w:val="auto"/>
          <w:sz w:val="24"/>
          <w:szCs w:val="24"/>
          <w:highlight w:val="none"/>
          <w:lang w:eastAsia="zh-CN"/>
        </w:rPr>
        <w:t>招标文件</w:t>
      </w:r>
    </w:p>
    <w:p w14:paraId="5F9067C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val="en-US" w:eastAsia="zh-CN"/>
        </w:rPr>
        <w:t>服务需求</w:t>
      </w:r>
      <w:r>
        <w:rPr>
          <w:rFonts w:hint="eastAsia" w:ascii="宋体" w:hAnsi="宋体" w:eastAsia="宋体" w:cs="宋体"/>
          <w:color w:val="auto"/>
          <w:sz w:val="24"/>
          <w:szCs w:val="24"/>
          <w:highlight w:val="none"/>
        </w:rPr>
        <w:t>、项目商务需求、评审程序及方法、评审标准、无效响应条款和采购终止、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r>
        <w:rPr>
          <w:rFonts w:hint="eastAsia" w:ascii="宋体" w:hAnsi="宋体" w:eastAsia="宋体" w:cs="宋体"/>
          <w:bCs/>
          <w:color w:val="auto"/>
          <w:sz w:val="24"/>
          <w:szCs w:val="24"/>
          <w:highlight w:val="none"/>
        </w:rPr>
        <w:t>、合同草案条款、</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编制要求七部分组成。</w:t>
      </w:r>
    </w:p>
    <w:p w14:paraId="157E73A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）所作的一切有效的书面通知、修改及补充，都是</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不可分割的部分。</w:t>
      </w:r>
    </w:p>
    <w:p w14:paraId="6643E9F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15" w:name="_Toc318159780"/>
      <w:bookmarkStart w:id="116" w:name="_Toc318159349"/>
      <w:bookmarkStart w:id="117" w:name="_Toc318159160"/>
      <w:bookmarkStart w:id="118" w:name="_Toc318166429"/>
      <w:r>
        <w:rPr>
          <w:rFonts w:hint="eastAsia" w:ascii="宋体" w:hAnsi="宋体" w:eastAsia="宋体" w:cs="宋体"/>
          <w:color w:val="auto"/>
          <w:sz w:val="24"/>
          <w:szCs w:val="24"/>
          <w:highlight w:val="none"/>
        </w:rPr>
        <w:t>（三）评审的依据为</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（含有效的书面承诺）。</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判断</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的响应，仅基于</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本身而不靠外部证据。</w:t>
      </w:r>
    </w:p>
    <w:bookmarkEnd w:id="115"/>
    <w:bookmarkEnd w:id="116"/>
    <w:bookmarkEnd w:id="117"/>
    <w:bookmarkEnd w:id="118"/>
    <w:p w14:paraId="292F63D5">
      <w:pPr>
        <w:pStyle w:val="3"/>
        <w:pageBreakBefore w:val="0"/>
        <w:widowControl w:val="0"/>
        <w:kinsoku/>
        <w:wordWrap/>
        <w:overflowPunct/>
        <w:topLinePunct w:val="0"/>
        <w:autoSpaceDE/>
        <w:autoSpaceDN/>
        <w:bidi w:val="0"/>
        <w:adjustRightInd/>
        <w:snapToGrid w:val="0"/>
        <w:spacing w:before="0" w:after="0" w:line="480" w:lineRule="exact"/>
        <w:textAlignment w:val="auto"/>
        <w:rPr>
          <w:rFonts w:hint="eastAsia" w:ascii="宋体" w:hAnsi="宋体" w:eastAsia="宋体" w:cs="宋体"/>
          <w:color w:val="auto"/>
          <w:sz w:val="24"/>
          <w:szCs w:val="24"/>
          <w:highlight w:val="none"/>
        </w:rPr>
      </w:pPr>
      <w:bookmarkStart w:id="119" w:name="_Toc179714297"/>
      <w:bookmarkStart w:id="120" w:name="_Toc15467"/>
      <w:bookmarkStart w:id="121" w:name="_Toc53751348"/>
      <w:bookmarkStart w:id="122" w:name="_Toc27179"/>
      <w:bookmarkStart w:id="123" w:name="_Toc102227318"/>
      <w:bookmarkStart w:id="124" w:name="_Toc342913392"/>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要求</w:t>
      </w:r>
      <w:bookmarkEnd w:id="119"/>
      <w:bookmarkEnd w:id="120"/>
      <w:bookmarkEnd w:id="121"/>
      <w:bookmarkEnd w:id="122"/>
      <w:bookmarkEnd w:id="123"/>
      <w:bookmarkEnd w:id="124"/>
    </w:p>
    <w:p w14:paraId="3208D04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投标文件</w:t>
      </w:r>
    </w:p>
    <w:p w14:paraId="3365F66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5" w:name="_Toc53751349"/>
      <w:bookmarkStart w:id="126" w:name="_Toc7867"/>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，并对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提出的要求和条件作出实质性响应，</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原则上采用软面订本，同时应编制完整的页码、目录。</w:t>
      </w:r>
    </w:p>
    <w:p w14:paraId="0942660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组成</w:t>
      </w:r>
    </w:p>
    <w:p w14:paraId="461DACD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由第七篇“</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编制要求”规定的部分和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编制要求”规定的目录顺序组织编写和装订，也可在基本格式基础上对表格进行扩展，未规定格式的由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自定格式。</w:t>
      </w:r>
    </w:p>
    <w:p w14:paraId="6F45BB0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56DDB78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本项目不接受以联合体形式参与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125C044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有效期</w:t>
      </w:r>
    </w:p>
    <w:p w14:paraId="4FDD6FB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及有关承诺文件有效期为提交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截止时间起90天。</w:t>
      </w:r>
    </w:p>
    <w:p w14:paraId="2E1C4F7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）修正错误</w:t>
      </w:r>
    </w:p>
    <w:p w14:paraId="57B0790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所递交的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的价格出现大写金额和小写金额不一致的错误，以大写金额修正为准。</w:t>
      </w:r>
    </w:p>
    <w:p w14:paraId="6E33E46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按上述修正错误的原则及方法修正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同意并签字确认后，修正后的报价对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不接受修正后的价格，将失去成为成交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的资格。</w:t>
      </w:r>
    </w:p>
    <w:p w14:paraId="79DFA61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）提交纸质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的份数和签署</w:t>
      </w:r>
    </w:p>
    <w:p w14:paraId="101AA02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须在线上上传盖章后的投标文件电子文档一份。</w:t>
      </w:r>
    </w:p>
    <w:p w14:paraId="782F279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须在现场递交纸质投标文件一式三份，其中正本一份，副本两份，副本可为正本的复印件。上传的投标文件电子文档内容应与纸质文件正本一致。如纸质投标文件正本与副本不一致，以正本为准。</w:t>
      </w:r>
    </w:p>
    <w:p w14:paraId="42F17B1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的递交</w:t>
      </w:r>
    </w:p>
    <w:p w14:paraId="7D5F55F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lang w:val="en-US" w:eastAsia="zh-CN"/>
        </w:rPr>
        <w:t>的正本、副本均应密封送</w:t>
      </w:r>
      <w:bookmarkStart w:id="194" w:name="_GoBack"/>
      <w:bookmarkEnd w:id="194"/>
      <w:r>
        <w:rPr>
          <w:rFonts w:hint="eastAsia" w:ascii="宋体" w:hAnsi="宋体" w:eastAsia="宋体" w:cs="宋体"/>
          <w:color w:val="auto"/>
          <w:sz w:val="24"/>
          <w:szCs w:val="24"/>
          <w:highlight w:val="none"/>
          <w:lang w:val="en-US" w:eastAsia="zh-CN"/>
        </w:rPr>
        <w:t>达投标地点，应在封套上注明项目名称、</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名称。若正本、副本分别进行密封的，还应在封套上注明“正本”、“副本”字样。</w:t>
      </w:r>
    </w:p>
    <w:p w14:paraId="31D3771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参与人员</w:t>
      </w:r>
    </w:p>
    <w:p w14:paraId="483F1E5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可派1名代表参与</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，应为法定代表人或具有法定代表人授权委托书的授权代表。</w:t>
      </w:r>
    </w:p>
    <w:p w14:paraId="38E56F21">
      <w:pPr>
        <w:pStyle w:val="3"/>
        <w:pageBreakBefore w:val="0"/>
        <w:widowControl w:val="0"/>
        <w:kinsoku/>
        <w:wordWrap/>
        <w:overflowPunct/>
        <w:topLinePunct w:val="0"/>
        <w:autoSpaceDE/>
        <w:autoSpaceDN/>
        <w:bidi w:val="0"/>
        <w:adjustRightInd/>
        <w:snapToGrid w:val="0"/>
        <w:spacing w:before="0" w:after="0" w:line="480" w:lineRule="exact"/>
        <w:textAlignment w:val="auto"/>
        <w:rPr>
          <w:rFonts w:hint="eastAsia" w:ascii="宋体" w:hAnsi="宋体" w:eastAsia="宋体" w:cs="宋体"/>
          <w:color w:val="auto"/>
          <w:sz w:val="24"/>
          <w:szCs w:val="24"/>
          <w:highlight w:val="none"/>
        </w:rPr>
      </w:pPr>
      <w:bookmarkStart w:id="127" w:name="_Toc18010"/>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的确认和变更</w:t>
      </w:r>
      <w:bookmarkEnd w:id="125"/>
      <w:bookmarkEnd w:id="126"/>
      <w:bookmarkEnd w:id="127"/>
    </w:p>
    <w:p w14:paraId="46A8BCB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的确认</w:t>
      </w:r>
    </w:p>
    <w:p w14:paraId="2689A8A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应当在评审结束后2个工作日内将评审报告送</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确认。</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应当在收到评审报告后5个工作日内，从评审报告提出的</w:t>
      </w:r>
      <w:r>
        <w:rPr>
          <w:rFonts w:hint="eastAsia" w:ascii="宋体" w:hAnsi="宋体" w:eastAsia="宋体" w:cs="宋体"/>
          <w:color w:val="auto"/>
          <w:sz w:val="24"/>
          <w:szCs w:val="24"/>
          <w:highlight w:val="none"/>
          <w:lang w:eastAsia="zh-CN"/>
        </w:rPr>
        <w:t>中标候选人</w:t>
      </w:r>
      <w:r>
        <w:rPr>
          <w:rFonts w:hint="eastAsia" w:ascii="宋体" w:hAnsi="宋体" w:eastAsia="宋体" w:cs="宋体"/>
          <w:color w:val="auto"/>
          <w:sz w:val="24"/>
          <w:szCs w:val="24"/>
          <w:highlight w:val="none"/>
        </w:rPr>
        <w:t>中，按照排序由高到低的原则确定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，也可以书面授权</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直接确定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逾期未确定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p>
    <w:p w14:paraId="1D8E2FF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的变更</w:t>
      </w:r>
    </w:p>
    <w:p w14:paraId="47848AA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bookmarkStart w:id="128" w:name="_Toc342913395"/>
      <w:bookmarkStart w:id="129" w:name="_Toc102227321"/>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签订合同的，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可以按照评标报告推荐的</w:t>
      </w:r>
      <w:r>
        <w:rPr>
          <w:rFonts w:hint="eastAsia" w:ascii="宋体" w:hAnsi="宋体" w:eastAsia="宋体" w:cs="宋体"/>
          <w:color w:val="auto"/>
          <w:sz w:val="24"/>
          <w:szCs w:val="24"/>
          <w:highlight w:val="none"/>
          <w:lang w:eastAsia="zh-CN"/>
        </w:rPr>
        <w:t>中标候选人</w:t>
      </w:r>
      <w:r>
        <w:rPr>
          <w:rFonts w:hint="eastAsia" w:ascii="宋体" w:hAnsi="宋体" w:eastAsia="宋体" w:cs="宋体"/>
          <w:color w:val="auto"/>
          <w:sz w:val="24"/>
          <w:szCs w:val="24"/>
          <w:highlight w:val="none"/>
        </w:rPr>
        <w:t>顺序，确定排名下一位的候选人为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，也可以重新开展政府采购活动。</w:t>
      </w:r>
    </w:p>
    <w:p w14:paraId="7B5B34A8">
      <w:pPr>
        <w:pStyle w:val="3"/>
        <w:pageBreakBefore w:val="0"/>
        <w:widowControl w:val="0"/>
        <w:kinsoku/>
        <w:wordWrap/>
        <w:overflowPunct/>
        <w:topLinePunct w:val="0"/>
        <w:autoSpaceDE/>
        <w:autoSpaceDN/>
        <w:bidi w:val="0"/>
        <w:adjustRightInd/>
        <w:snapToGrid w:val="0"/>
        <w:spacing w:before="0" w:after="0" w:line="480" w:lineRule="exact"/>
        <w:textAlignment w:val="auto"/>
        <w:rPr>
          <w:rFonts w:hint="eastAsia" w:ascii="宋体" w:hAnsi="宋体" w:eastAsia="宋体" w:cs="宋体"/>
          <w:color w:val="auto"/>
          <w:sz w:val="24"/>
          <w:szCs w:val="24"/>
          <w:highlight w:val="none"/>
        </w:rPr>
      </w:pPr>
      <w:bookmarkStart w:id="130" w:name="_Toc53751350"/>
      <w:bookmarkStart w:id="131" w:name="_Toc15298"/>
      <w:bookmarkStart w:id="132" w:name="_Toc14208"/>
      <w:r>
        <w:rPr>
          <w:rFonts w:hint="eastAsia" w:ascii="宋体" w:hAnsi="宋体" w:eastAsia="宋体" w:cs="宋体"/>
          <w:color w:val="auto"/>
          <w:sz w:val="24"/>
          <w:szCs w:val="24"/>
          <w:highlight w:val="none"/>
        </w:rPr>
        <w:t>五、成交通知</w:t>
      </w:r>
      <w:bookmarkEnd w:id="128"/>
      <w:bookmarkEnd w:id="129"/>
      <w:bookmarkEnd w:id="130"/>
      <w:bookmarkEnd w:id="131"/>
      <w:bookmarkEnd w:id="132"/>
    </w:p>
    <w:p w14:paraId="325428B7">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bookmarkStart w:id="133" w:name="_Toc53751351"/>
      <w:bookmarkStart w:id="134" w:name="_Toc638"/>
      <w:r>
        <w:rPr>
          <w:rFonts w:hint="eastAsia" w:ascii="宋体" w:hAnsi="宋体" w:eastAsia="宋体" w:cs="宋体"/>
          <w:color w:val="auto"/>
          <w:sz w:val="24"/>
          <w:highlight w:val="none"/>
          <w:lang w:eastAsia="zh-CN"/>
        </w:rPr>
        <w:t>（一）中标人</w:t>
      </w:r>
      <w:r>
        <w:rPr>
          <w:rFonts w:hint="eastAsia" w:ascii="宋体" w:hAnsi="宋体" w:eastAsia="宋体" w:cs="宋体"/>
          <w:color w:val="auto"/>
          <w:sz w:val="24"/>
          <w:highlight w:val="none"/>
        </w:rPr>
        <w:t>确定后，</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将在“行采家”网上发布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结果公示，公示期为</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日。</w:t>
      </w:r>
    </w:p>
    <w:p w14:paraId="3838C523">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公示期结束没有收到在本次</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过程中有违法行为投诉或相关质疑、或投诉质疑不成立的，</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将按规定发出</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w:t>
      </w:r>
    </w:p>
    <w:p w14:paraId="2C5FD458">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通知书》将作为签订合同的依据。</w:t>
      </w:r>
    </w:p>
    <w:p w14:paraId="0197F6A5">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如有</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结果提出质疑的，在质疑处理完毕后发出</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w:t>
      </w:r>
    </w:p>
    <w:p w14:paraId="5081BF5D">
      <w:pPr>
        <w:pStyle w:val="3"/>
        <w:pageBreakBefore w:val="0"/>
        <w:widowControl w:val="0"/>
        <w:kinsoku/>
        <w:wordWrap/>
        <w:overflowPunct/>
        <w:topLinePunct w:val="0"/>
        <w:autoSpaceDE/>
        <w:autoSpaceDN/>
        <w:bidi w:val="0"/>
        <w:adjustRightInd/>
        <w:snapToGrid w:val="0"/>
        <w:spacing w:before="0" w:after="0" w:line="480" w:lineRule="exact"/>
        <w:textAlignment w:val="auto"/>
        <w:rPr>
          <w:rFonts w:hint="eastAsia" w:ascii="宋体" w:hAnsi="宋体" w:eastAsia="宋体" w:cs="宋体"/>
          <w:color w:val="auto"/>
          <w:sz w:val="24"/>
          <w:szCs w:val="24"/>
          <w:highlight w:val="none"/>
        </w:rPr>
      </w:pPr>
      <w:bookmarkStart w:id="135" w:name="_Toc416"/>
      <w:r>
        <w:rPr>
          <w:rFonts w:hint="eastAsia" w:ascii="宋体" w:hAnsi="宋体" w:eastAsia="宋体" w:cs="宋体"/>
          <w:color w:val="auto"/>
          <w:sz w:val="24"/>
          <w:szCs w:val="24"/>
          <w:highlight w:val="none"/>
        </w:rPr>
        <w:t>六、关于质疑和投诉</w:t>
      </w:r>
      <w:bookmarkEnd w:id="133"/>
      <w:bookmarkEnd w:id="134"/>
      <w:bookmarkEnd w:id="135"/>
    </w:p>
    <w:p w14:paraId="413E96C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质疑内容、时限</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结果有异议的，应当在</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结果公示期内以书面形式向</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提出质疑，并附相关证明材料。</w:t>
      </w:r>
    </w:p>
    <w:p w14:paraId="7FE6057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质疑答复</w:t>
      </w:r>
    </w:p>
    <w:p w14:paraId="6A98B84F">
      <w:pPr>
        <w:pageBreakBefore w:val="0"/>
        <w:widowControl w:val="0"/>
        <w:kinsoku/>
        <w:wordWrap/>
        <w:overflowPunct/>
        <w:topLinePunct w:val="0"/>
        <w:autoSpaceDE/>
        <w:autoSpaceDN/>
        <w:bidi w:val="0"/>
        <w:adjustRightInd/>
        <w:spacing w:line="480" w:lineRule="exact"/>
        <w:ind w:left="545" w:leftChars="170" w:hanging="69" w:hangingChars="29"/>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在收到</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书面质疑后七个工作日内，对质疑内容作出答复</w:t>
      </w:r>
      <w:r>
        <w:rPr>
          <w:rFonts w:hint="eastAsia" w:ascii="宋体" w:hAnsi="宋体" w:eastAsia="宋体" w:cs="宋体"/>
          <w:color w:val="auto"/>
          <w:sz w:val="24"/>
          <w:highlight w:val="none"/>
          <w:lang w:eastAsia="zh-CN"/>
        </w:rPr>
        <w:t>。</w:t>
      </w:r>
    </w:p>
    <w:p w14:paraId="16C8E73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不予受理或暂缓受理</w:t>
      </w:r>
    </w:p>
    <w:p w14:paraId="03828D23">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质疑有下列情形之一的，不予受理：</w:t>
      </w:r>
    </w:p>
    <w:p w14:paraId="4CE4A673">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参与了比选活动后，再对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内容提出质疑的；</w:t>
      </w:r>
    </w:p>
    <w:p w14:paraId="29069C72">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1.2质疑超过有效期的；</w:t>
      </w:r>
    </w:p>
    <w:p w14:paraId="333F927D">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1.3对同一事项重复质疑的。</w:t>
      </w:r>
    </w:p>
    <w:p w14:paraId="09F5742B">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质疑有下列情形之一的，应暂不受理并告知</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补充材料。</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及时补充材料的，应予受理；逾期未补充的，不予受理：</w:t>
      </w:r>
    </w:p>
    <w:p w14:paraId="5C7FE7D0">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2.1质疑书格式和内容不符合国家或重庆市相关规定的；</w:t>
      </w:r>
    </w:p>
    <w:p w14:paraId="635876DB">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2.2质疑书提供的依据或证明材料不全的；</w:t>
      </w:r>
    </w:p>
    <w:p w14:paraId="44CFBC81">
      <w:pPr>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2.3质疑书副本数量不足的。</w:t>
      </w:r>
    </w:p>
    <w:p w14:paraId="2634AC79">
      <w:pPr>
        <w:pStyle w:val="3"/>
        <w:pageBreakBefore w:val="0"/>
        <w:widowControl w:val="0"/>
        <w:kinsoku/>
        <w:wordWrap/>
        <w:overflowPunct/>
        <w:topLinePunct w:val="0"/>
        <w:autoSpaceDE/>
        <w:autoSpaceDN/>
        <w:bidi w:val="0"/>
        <w:adjustRightInd/>
        <w:snapToGrid w:val="0"/>
        <w:spacing w:before="0" w:after="0" w:line="480" w:lineRule="exact"/>
        <w:textAlignment w:val="auto"/>
        <w:rPr>
          <w:rFonts w:hint="eastAsia" w:ascii="宋体" w:hAnsi="宋体" w:eastAsia="宋体" w:cs="宋体"/>
          <w:color w:val="auto"/>
          <w:sz w:val="24"/>
          <w:szCs w:val="24"/>
          <w:highlight w:val="none"/>
        </w:rPr>
      </w:pPr>
      <w:bookmarkStart w:id="136" w:name="_Toc24251"/>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代理服务费</w:t>
      </w:r>
      <w:bookmarkEnd w:id="109"/>
      <w:bookmarkEnd w:id="110"/>
      <w:bookmarkEnd w:id="136"/>
    </w:p>
    <w:p w14:paraId="4BC1579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val="en-US" w:eastAsia="zh-CN"/>
        </w:rPr>
      </w:pPr>
      <w:bookmarkStart w:id="137" w:name="OLE_LINK8"/>
      <w:bookmarkStart w:id="138" w:name="OLE_LINK7"/>
      <w:bookmarkStart w:id="139" w:name="_Toc21783697"/>
      <w:bookmarkStart w:id="140" w:name="_Toc6265"/>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成交后向</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代理机构缴纳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代理服务费，</w:t>
      </w:r>
      <w:r>
        <w:rPr>
          <w:rFonts w:hint="eastAsia" w:ascii="宋体" w:hAnsi="宋体" w:eastAsia="宋体" w:cs="宋体"/>
          <w:color w:val="auto"/>
          <w:sz w:val="24"/>
          <w:szCs w:val="24"/>
          <w:highlight w:val="none"/>
          <w:lang w:val="en-US" w:eastAsia="zh-CN"/>
        </w:rPr>
        <w:t>本项目招标代理费以中标金额为计算基数，按照南岸区政府投资项目招标代理取费标准（2012年度）文件的规定计算，不足3000.00元，按3000.00元计。</w:t>
      </w:r>
      <w:bookmarkEnd w:id="137"/>
      <w:bookmarkEnd w:id="138"/>
      <w:bookmarkStart w:id="141" w:name="_Toc106030900"/>
      <w:bookmarkStart w:id="142" w:name="_Toc76462345"/>
    </w:p>
    <w:bookmarkEnd w:id="141"/>
    <w:bookmarkEnd w:id="142"/>
    <w:p w14:paraId="1C6038BC">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八、签订合同</w:t>
      </w:r>
      <w:bookmarkEnd w:id="139"/>
      <w:bookmarkEnd w:id="140"/>
    </w:p>
    <w:p w14:paraId="614901E4">
      <w:pPr>
        <w:pageBreakBefore w:val="0"/>
        <w:widowControl w:val="0"/>
        <w:kinsoku/>
        <w:wordWrap/>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应当自成交通知书发出之日起</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十日内，按照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中标人投标文件</w:t>
      </w:r>
      <w:r>
        <w:rPr>
          <w:rFonts w:hint="eastAsia" w:ascii="宋体" w:hAnsi="宋体" w:eastAsia="宋体" w:cs="宋体"/>
          <w:color w:val="auto"/>
          <w:sz w:val="24"/>
          <w:szCs w:val="24"/>
          <w:highlight w:val="none"/>
        </w:rPr>
        <w:t>的约定，与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签订书面合同。所签订的合同不得对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作实质性修改。</w:t>
      </w:r>
    </w:p>
    <w:p w14:paraId="1A01C92A">
      <w:pPr>
        <w:pageBreakBefore w:val="0"/>
        <w:widowControl w:val="0"/>
        <w:kinsoku/>
        <w:wordWrap/>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及补遗文件等，均为签订政府采购合同的依据。</w:t>
      </w:r>
    </w:p>
    <w:p w14:paraId="1386823D">
      <w:pPr>
        <w:pageBreakBefore w:val="0"/>
        <w:widowControl w:val="0"/>
        <w:kinsoku/>
        <w:wordWrap/>
        <w:overflowPunct/>
        <w:topLinePunct w:val="0"/>
        <w:autoSpaceDE/>
        <w:autoSpaceDN/>
        <w:bidi w:val="0"/>
        <w:adjustRightInd/>
        <w:snapToGrid w:val="0"/>
        <w:spacing w:line="480" w:lineRule="exact"/>
        <w:ind w:firstLine="360" w:firstLineChars="150"/>
        <w:jc w:val="left"/>
        <w:textAlignment w:val="auto"/>
        <w:rPr>
          <w:rFonts w:hint="eastAsia" w:ascii="宋体" w:hAnsi="宋体" w:eastAsia="宋体" w:cs="宋体"/>
          <w:color w:val="auto"/>
          <w:sz w:val="36"/>
          <w:szCs w:val="30"/>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bookmarkStart w:id="143" w:name="_Toc88569292"/>
      <w:bookmarkStart w:id="144" w:name="_Toc12789072"/>
      <w:r>
        <w:rPr>
          <w:rFonts w:hint="eastAsia" w:ascii="宋体" w:hAnsi="宋体" w:eastAsia="宋体" w:cs="宋体"/>
          <w:color w:val="auto"/>
          <w:sz w:val="36"/>
          <w:szCs w:val="30"/>
          <w:highlight w:val="none"/>
        </w:rPr>
        <w:br w:type="page"/>
      </w:r>
      <w:bookmarkStart w:id="145" w:name="_Toc8319"/>
    </w:p>
    <w:p w14:paraId="5AEB9ED6">
      <w:pPr>
        <w:pageBreakBefore w:val="0"/>
        <w:widowControl w:val="0"/>
        <w:kinsoku/>
        <w:wordWrap/>
        <w:overflowPunct/>
        <w:topLinePunct w:val="0"/>
        <w:autoSpaceDE/>
        <w:autoSpaceDN/>
        <w:bidi w:val="0"/>
        <w:adjustRightInd/>
        <w:snapToGrid w:val="0"/>
        <w:spacing w:line="480" w:lineRule="exact"/>
        <w:ind w:firstLine="540" w:firstLineChars="150"/>
        <w:jc w:val="center"/>
        <w:textAlignment w:val="auto"/>
        <w:rPr>
          <w:rFonts w:hint="eastAsia" w:ascii="宋体" w:hAnsi="宋体" w:eastAsia="宋体" w:cs="宋体"/>
          <w:color w:val="auto"/>
          <w:sz w:val="36"/>
          <w:szCs w:val="30"/>
          <w:highlight w:val="none"/>
        </w:rPr>
      </w:pPr>
    </w:p>
    <w:p w14:paraId="356F7248">
      <w:pPr>
        <w:pageBreakBefore w:val="0"/>
        <w:widowControl w:val="0"/>
        <w:kinsoku/>
        <w:wordWrap/>
        <w:overflowPunct/>
        <w:topLinePunct w:val="0"/>
        <w:autoSpaceDE/>
        <w:autoSpaceDN/>
        <w:bidi w:val="0"/>
        <w:adjustRightInd/>
        <w:snapToGrid w:val="0"/>
        <w:spacing w:line="480" w:lineRule="exact"/>
        <w:ind w:firstLine="542" w:firstLineChars="15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36"/>
          <w:szCs w:val="30"/>
          <w:highlight w:val="none"/>
        </w:rPr>
        <w:t>第六篇  合同草案条款</w:t>
      </w:r>
      <w:bookmarkEnd w:id="143"/>
      <w:bookmarkEnd w:id="145"/>
    </w:p>
    <w:p w14:paraId="7A22AFFD">
      <w:pPr>
        <w:jc w:val="center"/>
        <w:rPr>
          <w:rFonts w:hint="eastAsia" w:ascii="宋体" w:hAnsi="宋体" w:eastAsia="宋体" w:cs="宋体"/>
          <w:bCs/>
          <w:color w:val="auto"/>
          <w:sz w:val="24"/>
          <w:szCs w:val="24"/>
          <w:highlight w:val="none"/>
        </w:rPr>
      </w:pPr>
    </w:p>
    <w:p w14:paraId="56FCD37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注：（以下合同格式为</w:t>
      </w:r>
      <w:r>
        <w:rPr>
          <w:rFonts w:hint="eastAsia" w:ascii="宋体" w:hAnsi="宋体" w:cs="宋体"/>
          <w:bCs/>
          <w:color w:val="auto"/>
          <w:sz w:val="24"/>
          <w:szCs w:val="24"/>
          <w:highlight w:val="none"/>
          <w:lang w:val="en-US" w:eastAsia="zh-CN"/>
        </w:rPr>
        <w:t>参考</w:t>
      </w:r>
      <w:r>
        <w:rPr>
          <w:rFonts w:hint="eastAsia" w:ascii="宋体" w:hAnsi="宋体" w:eastAsia="宋体" w:cs="宋体"/>
          <w:bCs/>
          <w:color w:val="auto"/>
          <w:sz w:val="24"/>
          <w:szCs w:val="24"/>
          <w:highlight w:val="none"/>
        </w:rPr>
        <w:t>版本，合同格式的最终版以签订合同时</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提供的版本为准）</w:t>
      </w:r>
      <w:bookmarkStart w:id="146" w:name="_Toc351203494"/>
      <w:bookmarkStart w:id="147" w:name="_Toc152045768"/>
      <w:bookmarkStart w:id="148" w:name="_Toc467164257"/>
      <w:bookmarkStart w:id="149" w:name="_Toc144974827"/>
      <w:bookmarkStart w:id="150" w:name="_Toc424558368"/>
      <w:bookmarkStart w:id="151" w:name="_Toc335223532"/>
      <w:bookmarkStart w:id="152" w:name="_Toc240180917"/>
      <w:bookmarkStart w:id="153" w:name="_Toc240180916"/>
      <w:bookmarkStart w:id="154" w:name="_Toc335223531"/>
      <w:bookmarkStart w:id="155" w:name="_Toc509390697"/>
      <w:bookmarkStart w:id="156" w:name="_Toc509390696"/>
      <w:bookmarkStart w:id="157" w:name="_Toc534185765"/>
      <w:bookmarkStart w:id="158" w:name="_Toc152042547"/>
      <w:bookmarkStart w:id="159" w:name="_Toc424558729"/>
      <w:bookmarkStart w:id="160" w:name="_Toc32387"/>
      <w:bookmarkStart w:id="161" w:name="_Toc467164258"/>
      <w:bookmarkStart w:id="162" w:name="_Toc424558369"/>
      <w:bookmarkStart w:id="163" w:name="_Toc57820637"/>
      <w:bookmarkStart w:id="164" w:name="_Toc424558728"/>
      <w:bookmarkStart w:id="165" w:name="_Toc509218786"/>
    </w:p>
    <w:p w14:paraId="49FE7130">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642C561B">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72C4395E">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发包人（简称甲方）：</w:t>
      </w:r>
      <w:r>
        <w:rPr>
          <w:rFonts w:hint="eastAsia" w:ascii="宋体" w:hAnsi="宋体" w:eastAsia="宋体" w:cs="宋体"/>
          <w:b/>
          <w:bCs/>
          <w:color w:val="auto"/>
          <w:sz w:val="24"/>
          <w:szCs w:val="24"/>
          <w:highlight w:val="none"/>
          <w:u w:val="single"/>
        </w:rPr>
        <w:t xml:space="preserve">                   </w:t>
      </w:r>
    </w:p>
    <w:p w14:paraId="0A7F34EB">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承包人（简称乙方）：</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22201CD3">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依照《中华人民共和国民法典》及其他有关法律、行政法规、遵循平等、自愿、公平和诚实信用的原则，甲、乙双方就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重庆市南岸区南坪四海小学校风雨操场钢屋面防水改建工程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，经过充分协商、并明确双方权利和义务，商达成以下合同协议条款。</w:t>
      </w:r>
    </w:p>
    <w:p w14:paraId="46EEB629">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305FB47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1．工程名称：</w:t>
      </w:r>
      <w:r>
        <w:rPr>
          <w:rFonts w:hint="eastAsia" w:ascii="宋体" w:hAnsi="宋体" w:cs="宋体"/>
          <w:color w:val="auto"/>
          <w:sz w:val="24"/>
          <w:szCs w:val="24"/>
          <w:highlight w:val="none"/>
          <w:u w:val="single"/>
          <w:lang w:eastAsia="zh-CN"/>
        </w:rPr>
        <w:t>重庆市南岸区南坪四海小学校风雨操场钢屋面防水改建工程</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245AB15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2．工程地点：</w:t>
      </w:r>
      <w:r>
        <w:rPr>
          <w:rFonts w:hint="eastAsia" w:ascii="宋体" w:hAnsi="宋体" w:cs="宋体"/>
          <w:color w:val="auto"/>
          <w:sz w:val="24"/>
          <w:szCs w:val="24"/>
          <w:highlight w:val="none"/>
          <w:u w:val="single"/>
          <w:lang w:val="en-US" w:eastAsia="zh-CN"/>
        </w:rPr>
        <w:t>重庆市南岸区辅向路10号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DD7772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3．资金来源：</w:t>
      </w:r>
      <w:r>
        <w:rPr>
          <w:rFonts w:hint="eastAsia" w:ascii="宋体" w:hAnsi="宋体" w:eastAsia="宋体" w:cs="宋体"/>
          <w:color w:val="auto"/>
          <w:sz w:val="24"/>
          <w:szCs w:val="24"/>
          <w:highlight w:val="none"/>
          <w:u w:val="single"/>
        </w:rPr>
        <w:t>中央及市级校舍维修资金</w:t>
      </w:r>
      <w:r>
        <w:rPr>
          <w:rFonts w:hint="eastAsia" w:ascii="宋体" w:hAnsi="宋体" w:eastAsia="宋体" w:cs="宋体"/>
          <w:color w:val="auto"/>
          <w:sz w:val="24"/>
          <w:szCs w:val="24"/>
          <w:highlight w:val="none"/>
          <w:u w:val="single"/>
          <w:lang w:val="en-US" w:eastAsia="zh-CN"/>
        </w:rPr>
        <w:t>和学校自筹资金</w:t>
      </w:r>
    </w:p>
    <w:p w14:paraId="14A4F5F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工程内容：</w:t>
      </w:r>
      <w:r>
        <w:rPr>
          <w:rFonts w:hint="eastAsia" w:ascii="宋体" w:hAnsi="宋体" w:eastAsia="宋体" w:cs="宋体"/>
          <w:strike w:val="0"/>
          <w:dstrike w:val="0"/>
          <w:color w:val="auto"/>
          <w:sz w:val="24"/>
          <w:szCs w:val="24"/>
          <w:highlight w:val="none"/>
          <w:u w:val="single"/>
          <w:lang w:val="en-US" w:eastAsia="zh-CN"/>
        </w:rPr>
        <w:t>该项目改建面积约854</w:t>
      </w:r>
      <w:r>
        <w:rPr>
          <w:rFonts w:hint="eastAsia" w:ascii="宋体" w:hAnsi="宋体" w:cs="宋体"/>
          <w:strike w:val="0"/>
          <w:dstrike w:val="0"/>
          <w:color w:val="auto"/>
          <w:sz w:val="24"/>
          <w:szCs w:val="24"/>
          <w:highlight w:val="none"/>
          <w:u w:val="single"/>
          <w:lang w:val="en-US" w:eastAsia="zh-CN"/>
        </w:rPr>
        <w:t>㎡</w:t>
      </w:r>
      <w:r>
        <w:rPr>
          <w:rFonts w:hint="eastAsia" w:ascii="宋体" w:hAnsi="宋体" w:eastAsia="宋体" w:cs="宋体"/>
          <w:strike w:val="0"/>
          <w:dstrike w:val="0"/>
          <w:color w:val="auto"/>
          <w:sz w:val="24"/>
          <w:szCs w:val="24"/>
          <w:highlight w:val="none"/>
          <w:u w:val="single"/>
          <w:lang w:val="en-US" w:eastAsia="zh-CN"/>
        </w:rPr>
        <w:t>，主要建设内容包括钢屋面彩钢板更换、墙面翻新、排水疏导、管线及灯具安装</w:t>
      </w:r>
      <w:r>
        <w:rPr>
          <w:rFonts w:hint="eastAsia" w:ascii="宋体" w:hAnsi="宋体" w:eastAsia="宋体" w:cs="宋体"/>
          <w:color w:val="auto"/>
          <w:sz w:val="24"/>
          <w:szCs w:val="24"/>
          <w:highlight w:val="none"/>
          <w:u w:val="single"/>
          <w:lang w:val="en-US" w:eastAsia="zh-CN"/>
        </w:rPr>
        <w:t>等内容，具体建设内容详见发布的工程量清单</w:t>
      </w:r>
      <w:r>
        <w:rPr>
          <w:rFonts w:hint="eastAsia" w:ascii="宋体" w:hAnsi="宋体" w:eastAsia="宋体" w:cs="宋体"/>
          <w:color w:val="auto"/>
          <w:sz w:val="24"/>
          <w:szCs w:val="24"/>
          <w:highlight w:val="none"/>
        </w:rPr>
        <w:t>。</w:t>
      </w:r>
    </w:p>
    <w:p w14:paraId="03CF479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6.工程承包范围：</w:t>
      </w:r>
      <w:r>
        <w:rPr>
          <w:rFonts w:hint="eastAsia" w:ascii="宋体" w:hAnsi="宋体" w:eastAsia="宋体" w:cs="宋体"/>
          <w:color w:val="auto"/>
          <w:sz w:val="24"/>
          <w:szCs w:val="24"/>
          <w:highlight w:val="none"/>
          <w:u w:val="single"/>
          <w:lang w:val="en-US" w:eastAsia="zh-CN"/>
        </w:rPr>
        <w:t>具体详见招标人提供的工程量清单、施工图、招标文件以及招标文件补遗、答疑、澄清中补充的全部工程内容</w:t>
      </w:r>
      <w:r>
        <w:rPr>
          <w:rFonts w:hint="eastAsia" w:ascii="宋体" w:hAnsi="宋体" w:eastAsia="宋体" w:cs="宋体"/>
          <w:color w:val="auto"/>
          <w:sz w:val="24"/>
          <w:szCs w:val="24"/>
          <w:highlight w:val="none"/>
        </w:rPr>
        <w:t>。</w:t>
      </w:r>
    </w:p>
    <w:p w14:paraId="0207DF7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7．质量要求：符合强制性质量标准，符合国家和重庆市现行有关施工质量验收规范要求，并达到合格标准。</w:t>
      </w:r>
    </w:p>
    <w:p w14:paraId="68605F54">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166" w:name="_Toc351203482"/>
      <w:bookmarkStart w:id="167" w:name="_Toc532375574"/>
      <w:bookmarkStart w:id="168" w:name="_Toc532377167"/>
      <w:r>
        <w:rPr>
          <w:rFonts w:hint="eastAsia" w:ascii="宋体" w:hAnsi="宋体" w:eastAsia="宋体" w:cs="宋体"/>
          <w:b/>
          <w:bCs/>
          <w:color w:val="auto"/>
          <w:sz w:val="24"/>
          <w:szCs w:val="24"/>
          <w:highlight w:val="none"/>
        </w:rPr>
        <w:t>二、合同工期</w:t>
      </w:r>
      <w:bookmarkEnd w:id="166"/>
      <w:bookmarkEnd w:id="167"/>
      <w:bookmarkEnd w:id="168"/>
    </w:p>
    <w:p w14:paraId="5569729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w:t>
      </w:r>
    </w:p>
    <w:p w14:paraId="13019A75">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计划开工日期：</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日，实际开工日期以监理工程师签发的工程开工通知明确的开工日期为准。</w:t>
      </w:r>
    </w:p>
    <w:p w14:paraId="331FFF5F">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计划竣工日期：</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日，实际竣工日期以工程竣工验收合格之日为准。</w:t>
      </w:r>
    </w:p>
    <w:p w14:paraId="5D5F09AD">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工期总日历天数</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天。工期总日历天数与根据前述计划开竣工日期计算的工期天数不一</w:t>
      </w:r>
      <w:r>
        <w:rPr>
          <w:rFonts w:hint="eastAsia" w:ascii="宋体" w:hAnsi="宋体" w:eastAsia="宋体" w:cs="宋体"/>
          <w:color w:val="auto"/>
          <w:sz w:val="24"/>
          <w:highlight w:val="none"/>
        </w:rPr>
        <w:t>致的，以工期总日历天数为准。</w:t>
      </w:r>
    </w:p>
    <w:p w14:paraId="56D70881">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169" w:name="_Toc532377168"/>
      <w:bookmarkStart w:id="170" w:name="_Toc532375575"/>
      <w:bookmarkStart w:id="171" w:name="_Toc351203483"/>
      <w:r>
        <w:rPr>
          <w:rFonts w:hint="eastAsia" w:ascii="宋体" w:hAnsi="宋体" w:eastAsia="宋体" w:cs="宋体"/>
          <w:b/>
          <w:bCs/>
          <w:color w:val="auto"/>
          <w:sz w:val="24"/>
          <w:szCs w:val="24"/>
          <w:highlight w:val="none"/>
        </w:rPr>
        <w:t>三、质量标准</w:t>
      </w:r>
      <w:bookmarkEnd w:id="169"/>
      <w:bookmarkEnd w:id="170"/>
      <w:bookmarkEnd w:id="171"/>
    </w:p>
    <w:p w14:paraId="5CA3C8D6">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工程质量符合强制性质量标准，</w:t>
      </w:r>
      <w:r>
        <w:rPr>
          <w:rFonts w:hint="eastAsia" w:ascii="宋体" w:hAnsi="宋体" w:eastAsia="宋体" w:cs="宋体"/>
          <w:color w:val="auto"/>
          <w:sz w:val="24"/>
          <w:highlight w:val="none"/>
          <w:u w:val="single"/>
        </w:rPr>
        <w:t>符合国家和重庆市现行有关施工质量验收规范要求，并达到合格</w:t>
      </w:r>
      <w:r>
        <w:rPr>
          <w:rFonts w:hint="eastAsia" w:ascii="宋体" w:hAnsi="宋体" w:eastAsia="宋体" w:cs="宋体"/>
          <w:color w:val="auto"/>
          <w:sz w:val="24"/>
          <w:highlight w:val="none"/>
        </w:rPr>
        <w:t>标准。</w:t>
      </w:r>
    </w:p>
    <w:p w14:paraId="37239EA8">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172" w:name="_Toc351203485"/>
      <w:bookmarkStart w:id="173" w:name="_Toc532375577"/>
      <w:bookmarkStart w:id="174" w:name="_Toc532377170"/>
      <w:r>
        <w:rPr>
          <w:rFonts w:hint="eastAsia" w:ascii="宋体" w:hAnsi="宋体" w:eastAsia="宋体" w:cs="宋体"/>
          <w:b/>
          <w:bCs/>
          <w:color w:val="auto"/>
          <w:sz w:val="24"/>
          <w:szCs w:val="24"/>
          <w:highlight w:val="none"/>
        </w:rPr>
        <w:t>四、</w:t>
      </w:r>
      <w:bookmarkEnd w:id="172"/>
      <w:r>
        <w:rPr>
          <w:rFonts w:hint="eastAsia" w:ascii="宋体" w:hAnsi="宋体" w:eastAsia="宋体" w:cs="宋体"/>
          <w:b/>
          <w:bCs/>
          <w:color w:val="auto"/>
          <w:sz w:val="24"/>
          <w:szCs w:val="24"/>
          <w:highlight w:val="none"/>
        </w:rPr>
        <w:t>项目经理及技术负责人</w:t>
      </w:r>
      <w:bookmarkEnd w:id="173"/>
      <w:bookmarkEnd w:id="174"/>
    </w:p>
    <w:p w14:paraId="7DB24692">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中承诺的项目经理：</w:t>
      </w:r>
    </w:p>
    <w:p w14:paraId="24C5BB2C">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30EB408">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DE7CD8C">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AE91764">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中承诺的技术负责人：</w:t>
      </w:r>
    </w:p>
    <w:p w14:paraId="3103B7AA">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B6AE04">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F4F3C22">
      <w:pPr>
        <w:pStyle w:val="7"/>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证书名称及号码：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7E5F3B">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bookmarkStart w:id="175" w:name="_Toc532377169"/>
      <w:bookmarkStart w:id="176" w:name="_Toc351203484"/>
      <w:bookmarkStart w:id="177" w:name="_Toc532375576"/>
      <w:r>
        <w:rPr>
          <w:rFonts w:hint="eastAsia" w:ascii="宋体" w:hAnsi="宋体" w:eastAsia="宋体" w:cs="宋体"/>
          <w:b/>
          <w:bCs/>
          <w:color w:val="auto"/>
          <w:sz w:val="24"/>
          <w:szCs w:val="24"/>
          <w:highlight w:val="none"/>
        </w:rPr>
        <w:t>五、签约合同价与合同价格形式</w:t>
      </w:r>
      <w:bookmarkEnd w:id="175"/>
      <w:bookmarkEnd w:id="176"/>
      <w:bookmarkEnd w:id="177"/>
      <w:r>
        <w:rPr>
          <w:rFonts w:hint="eastAsia" w:ascii="宋体" w:hAnsi="宋体" w:eastAsia="宋体" w:cs="宋体"/>
          <w:b/>
          <w:bCs/>
          <w:color w:val="auto"/>
          <w:sz w:val="24"/>
          <w:szCs w:val="24"/>
          <w:highlight w:val="none"/>
        </w:rPr>
        <w:tab/>
      </w:r>
    </w:p>
    <w:p w14:paraId="3EEC2340">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039B25F7">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6058464">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固定综合单价合同  </w:t>
      </w:r>
      <w:r>
        <w:rPr>
          <w:rFonts w:hint="eastAsia" w:ascii="宋体" w:hAnsi="宋体" w:eastAsia="宋体" w:cs="宋体"/>
          <w:color w:val="auto"/>
          <w:sz w:val="24"/>
          <w:szCs w:val="24"/>
          <w:highlight w:val="none"/>
        </w:rPr>
        <w:t>。</w:t>
      </w:r>
    </w:p>
    <w:p w14:paraId="7B73A8DB">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六、付款方式</w:t>
      </w:r>
    </w:p>
    <w:p w14:paraId="5B2C9FFD">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（一）本项目不支付预付款，竣工验收合格后，由中标人向招标人提出支付申请，招标人支付至合同总价的</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w:t>
      </w:r>
    </w:p>
    <w:p w14:paraId="1E7D935A">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（二）办完竣工结算并经国家审计机关审计，中标人向招标人缴纳审定金额3%的质保金后，支付至工程审定金额的100%。</w:t>
      </w:r>
    </w:p>
    <w:p w14:paraId="5F6F88C1">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（三）缺陷责任期为24个月，缺陷责任期满后1个月内无息退还工程质保金。</w:t>
      </w:r>
    </w:p>
    <w:p w14:paraId="78764D12">
      <w:pPr>
        <w:pStyle w:val="11"/>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七、履约担保</w:t>
      </w:r>
    </w:p>
    <w:p w14:paraId="443700D3">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（一）履约担保的金额：中标合同金额的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w:t>
      </w:r>
    </w:p>
    <w:p w14:paraId="05F0E608">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（二）履约担保的形式：</w:t>
      </w:r>
      <w:r>
        <w:rPr>
          <w:rFonts w:hint="eastAsia" w:ascii="宋体" w:hAnsi="宋体" w:eastAsia="宋体" w:cs="宋体"/>
          <w:color w:val="auto"/>
          <w:sz w:val="24"/>
          <w:szCs w:val="24"/>
          <w:highlight w:val="none"/>
          <w:lang w:val="en-US" w:eastAsia="zh-CN"/>
        </w:rPr>
        <w:t>转账</w:t>
      </w:r>
      <w:r>
        <w:rPr>
          <w:rFonts w:hint="eastAsia" w:ascii="宋体" w:hAnsi="宋体" w:eastAsia="宋体" w:cs="宋体"/>
          <w:color w:val="auto"/>
          <w:sz w:val="24"/>
          <w:szCs w:val="24"/>
          <w:highlight w:val="none"/>
        </w:rPr>
        <w:t>或履约保函，履约保函包括银行保函、保证保险和担保保函。</w:t>
      </w:r>
    </w:p>
    <w:p w14:paraId="1DA27E2C">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1、采用转账形式缴纳履约担保的，必须从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的基本账户通过银行转账方式直接划付到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提供的银行账户，其中产生的手续费由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w:t>
      </w:r>
    </w:p>
    <w:p w14:paraId="381C0C38">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2、采用保函形式的，保函必须为不可撤销且见索即付。履约保函必须由合法经营的金融机构、担保机构出具，保函的内容必须符合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文件和投标承诺的要求。保函的受益人为</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，保函原件交</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保存。</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对所提交的履约保函的真实性、合法性、有效性负责。</w:t>
      </w:r>
    </w:p>
    <w:p w14:paraId="614FD20F">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（三）履约担保的提交时间：</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应当自成交通知书（无论</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领取与否，成交通知书发出时间以成交通知书签发的日期为准）签发后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日内，向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提交履约担保，</w:t>
      </w:r>
      <w:r>
        <w:rPr>
          <w:rFonts w:hint="eastAsia" w:ascii="宋体" w:hAnsi="宋体" w:eastAsia="宋体" w:cs="宋体"/>
          <w:color w:val="auto"/>
          <w:sz w:val="24"/>
          <w:szCs w:val="24"/>
          <w:highlight w:val="none"/>
          <w:lang w:val="en-US" w:eastAsia="zh-CN"/>
        </w:rPr>
        <w:t>主动联系并与甲方</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合同。如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未按上述要求及时办理，</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有权取消其成交资格</w:t>
      </w:r>
      <w:r>
        <w:rPr>
          <w:rFonts w:hint="eastAsia" w:ascii="宋体" w:hAnsi="宋体" w:eastAsia="宋体" w:cs="宋体"/>
          <w:color w:val="auto"/>
          <w:sz w:val="24"/>
          <w:szCs w:val="24"/>
          <w:highlight w:val="none"/>
          <w:lang w:eastAsia="zh-CN"/>
        </w:rPr>
        <w:t>并上报政府采购主管部门，并追究其法律责任。</w:t>
      </w:r>
    </w:p>
    <w:p w14:paraId="1303D092">
      <w:pPr>
        <w:pStyle w:val="11"/>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i w:val="0"/>
          <w:iCs w:val="0"/>
          <w:color w:val="auto"/>
          <w:kern w:val="2"/>
          <w:sz w:val="24"/>
          <w:szCs w:val="24"/>
          <w:highlight w:val="none"/>
          <w:lang w:val="en-US" w:eastAsia="zh-CN" w:bidi="ar-SA"/>
        </w:rPr>
      </w:pPr>
      <w:r>
        <w:rPr>
          <w:rFonts w:hint="eastAsia" w:ascii="宋体" w:hAnsi="宋体" w:eastAsia="宋体" w:cs="宋体"/>
          <w:color w:val="auto"/>
          <w:sz w:val="24"/>
          <w:szCs w:val="24"/>
          <w:highlight w:val="none"/>
        </w:rPr>
        <w:t>（四）履约担保的退还时间：工程竣工验收合格后14天内退还。</w:t>
      </w:r>
    </w:p>
    <w:p w14:paraId="14DFD11F">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八、结算原则</w:t>
      </w:r>
    </w:p>
    <w:p w14:paraId="07538137">
      <w:pPr>
        <w:pageBreakBefore w:val="0"/>
        <w:widowControl w:val="0"/>
        <w:kinsoku/>
        <w:wordWrap/>
        <w:overflowPunct/>
        <w:topLinePunct w:val="0"/>
        <w:autoSpaceDE/>
        <w:autoSpaceDN/>
        <w:bidi w:val="0"/>
        <w:adjustRightInd/>
        <w:snapToGrid/>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结算总价=分部分项工程量清单结算价+工程变更或增减部分结算+措施费（除安全文明施工费）+安全文明施工费+规费+税金+合同约定其它费用。</w:t>
      </w:r>
    </w:p>
    <w:p w14:paraId="42A5711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为实施和完成合同工程量清单项目所需的人工费、材料费、机械费、企业管理费、利润、风险费用。</w:t>
      </w:r>
    </w:p>
    <w:p w14:paraId="0653BAF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（二）各部分的结算原则如下:</w:t>
      </w:r>
    </w:p>
    <w:p w14:paraId="28612AC8">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1.分部分项工程量清单结算总价:</w:t>
      </w:r>
    </w:p>
    <w:p w14:paraId="12F4ACEF">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分部分项工程结算价=综合单价×子项工程量</w:t>
      </w:r>
    </w:p>
    <w:p w14:paraId="60DDC66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投标报价中分部分项清单中的综合单价</w:t>
      </w:r>
    </w:p>
    <w:p w14:paraId="2357783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子项工程量:工程量计算以施工图、设计变更、有效签证资料(签字且盖章)及竣工图作为计算依据，按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房屋建筑与装饰工程工程量计算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854</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仿古建筑工程工程量计算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855</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通用安装工程工程量计算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856</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市政工程工程量计算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857</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园林绿化工程工程量计算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858</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构筑物工程工程量计算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860</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城市轨道交通工程工程量计算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861</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爆破工程工程量计算规范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（GB50</w:t>
      </w:r>
      <w:r>
        <w:rPr>
          <w:rFonts w:hint="eastAsia" w:ascii="宋体" w:hAnsi="宋体" w:eastAsia="宋体" w:cs="宋体"/>
          <w:color w:val="auto"/>
          <w:sz w:val="24"/>
          <w:szCs w:val="24"/>
          <w:highlight w:val="none"/>
          <w:lang w:val="en-US" w:eastAsia="zh-CN"/>
        </w:rPr>
        <w:t>862</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）、《重庆市建设工程工程量计算规则》（</w:t>
      </w:r>
      <w:r>
        <w:rPr>
          <w:rFonts w:hint="eastAsia" w:ascii="宋体" w:hAnsi="宋体" w:eastAsia="宋体" w:cs="宋体"/>
          <w:color w:val="auto"/>
          <w:sz w:val="24"/>
          <w:szCs w:val="24"/>
          <w:highlight w:val="none"/>
          <w:lang w:val="en-US" w:eastAsia="zh-CN"/>
        </w:rPr>
        <w:t>CQJLGZ</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《重庆市市政工程计价定额》（CQSZDE-2018）</w:t>
      </w:r>
      <w:r>
        <w:rPr>
          <w:rFonts w:hint="eastAsia" w:ascii="宋体" w:hAnsi="宋体" w:eastAsia="宋体" w:cs="宋体"/>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宋体" w:hAnsi="宋体" w:eastAsia="宋体" w:cs="宋体"/>
          <w:color w:val="auto"/>
          <w:sz w:val="24"/>
          <w:szCs w:val="24"/>
          <w:highlight w:val="none"/>
          <w:lang w:val="zh-CN" w:eastAsia="zh-CN"/>
        </w:rPr>
        <w:t>《重庆市建设工程费用定额》（</w:t>
      </w:r>
      <w:r>
        <w:rPr>
          <w:rFonts w:hint="eastAsia" w:ascii="宋体" w:hAnsi="宋体" w:eastAsia="宋体" w:cs="宋体"/>
          <w:color w:val="auto"/>
          <w:sz w:val="24"/>
          <w:szCs w:val="24"/>
          <w:highlight w:val="none"/>
          <w:lang w:val="en-US" w:eastAsia="zh-CN"/>
        </w:rPr>
        <w:t>CQFYDE-2018</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及其配套文件规定的</w:t>
      </w:r>
      <w:r>
        <w:rPr>
          <w:rFonts w:hint="eastAsia" w:ascii="宋体" w:hAnsi="宋体" w:eastAsia="宋体" w:cs="宋体"/>
          <w:color w:val="auto"/>
          <w:sz w:val="24"/>
          <w:szCs w:val="24"/>
          <w:highlight w:val="none"/>
        </w:rPr>
        <w:t>计量规则计算的合格工程量作为结算依据。</w:t>
      </w:r>
    </w:p>
    <w:p w14:paraId="0A4E13C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2.设计变更、新增项目</w:t>
      </w:r>
    </w:p>
    <w:p w14:paraId="11EFBFB0">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当发生设计变更或新增项目，</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及监理工程师按照下列计价原则结算：</w:t>
      </w:r>
    </w:p>
    <w:p w14:paraId="7E3290B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当发生设计变更或新增项，设计变更或新增项按《南岸区政府投资项目管理办法》（南岸府发【2017】29号文）执行，</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及监理工程师按照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房屋建筑与装饰工程工程量计算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854</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仿古建筑工程工程量计算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855</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通用安装工程工程量计算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856</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市政工程工程量计算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857</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园林绿化工程工程量计算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858</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构筑物工程工程量计算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860</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城市轨道交通工程工程量计算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861</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爆破工程工程量计算规范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（GB50</w:t>
      </w:r>
      <w:r>
        <w:rPr>
          <w:rFonts w:hint="eastAsia" w:ascii="宋体" w:hAnsi="宋体" w:eastAsia="宋体" w:cs="宋体"/>
          <w:color w:val="auto"/>
          <w:sz w:val="24"/>
          <w:szCs w:val="24"/>
          <w:highlight w:val="none"/>
          <w:lang w:val="en-US" w:eastAsia="zh-CN"/>
        </w:rPr>
        <w:t>862</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）、《重庆市建设工程工程量计算规则》（</w:t>
      </w:r>
      <w:r>
        <w:rPr>
          <w:rFonts w:hint="eastAsia" w:ascii="宋体" w:hAnsi="宋体" w:eastAsia="宋体" w:cs="宋体"/>
          <w:color w:val="auto"/>
          <w:sz w:val="24"/>
          <w:szCs w:val="24"/>
          <w:highlight w:val="none"/>
          <w:lang w:val="en-US" w:eastAsia="zh-CN"/>
        </w:rPr>
        <w:t>CQJLGZ</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《重庆市市政工程计价定额》（CQSZDE-2018）</w:t>
      </w:r>
      <w:r>
        <w:rPr>
          <w:rFonts w:hint="eastAsia" w:ascii="宋体" w:hAnsi="宋体" w:eastAsia="宋体" w:cs="宋体"/>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宋体" w:hAnsi="宋体" w:eastAsia="宋体" w:cs="宋体"/>
          <w:color w:val="auto"/>
          <w:sz w:val="24"/>
          <w:szCs w:val="24"/>
          <w:highlight w:val="none"/>
          <w:lang w:val="zh-CN" w:eastAsia="zh-CN"/>
        </w:rPr>
        <w:t>《重庆市建设工程费用定额》（</w:t>
      </w:r>
      <w:r>
        <w:rPr>
          <w:rFonts w:hint="eastAsia" w:ascii="宋体" w:hAnsi="宋体" w:eastAsia="宋体" w:cs="宋体"/>
          <w:color w:val="auto"/>
          <w:sz w:val="24"/>
          <w:szCs w:val="24"/>
          <w:highlight w:val="none"/>
          <w:lang w:val="en-US" w:eastAsia="zh-CN"/>
        </w:rPr>
        <w:t>CQFYDE-2018</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540D26DE">
      <w:pPr>
        <w:pageBreakBefore w:val="0"/>
        <w:widowControl w:val="0"/>
        <w:kinsoku/>
        <w:wordWrap/>
        <w:overflowPunct/>
        <w:topLinePunct w:val="0"/>
        <w:autoSpaceDE/>
        <w:autoSpaceDN/>
        <w:bidi w:val="0"/>
        <w:adjustRightInd/>
        <w:snapToGrid/>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A：已标价工程量清单中有适用于变更工作的子目，采用该子目的综合单价。</w:t>
      </w:r>
    </w:p>
    <w:p w14:paraId="487754A4">
      <w:pPr>
        <w:pageBreakBefore w:val="0"/>
        <w:widowControl w:val="0"/>
        <w:kinsoku/>
        <w:wordWrap/>
        <w:overflowPunct/>
        <w:topLinePunct w:val="0"/>
        <w:autoSpaceDE/>
        <w:autoSpaceDN/>
        <w:bidi w:val="0"/>
        <w:adjustRightInd/>
        <w:snapToGrid/>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信息》公布的信息价的低值，且不偏离市场行情；投标时没有的材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69983814">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C：已标价工程量清单中无适用或类似子目的综合单价，结算参照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房屋建筑与装饰工程工程量计算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854</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仿古建筑工程工程量计算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855</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通用安装工程工程量计算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856</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市政工程工程量计算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 50</w:t>
      </w:r>
      <w:r>
        <w:rPr>
          <w:rFonts w:hint="eastAsia" w:ascii="宋体" w:hAnsi="宋体" w:eastAsia="宋体" w:cs="宋体"/>
          <w:color w:val="auto"/>
          <w:sz w:val="24"/>
          <w:szCs w:val="24"/>
          <w:highlight w:val="none"/>
          <w:lang w:val="en-US" w:eastAsia="zh-CN"/>
        </w:rPr>
        <w:t>857</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园林绿化工程工程量计算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858</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构筑物工程工程量计算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860</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城市轨道交通工程工程量计算</w:t>
      </w:r>
      <w:r>
        <w:rPr>
          <w:rFonts w:hint="eastAsia" w:ascii="宋体" w:hAnsi="宋体" w:eastAsia="宋体" w:cs="宋体"/>
          <w:color w:val="auto"/>
          <w:sz w:val="24"/>
          <w:szCs w:val="24"/>
          <w:highlight w:val="none"/>
        </w:rPr>
        <w:t>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（GB50</w:t>
      </w:r>
      <w:r>
        <w:rPr>
          <w:rFonts w:hint="eastAsia" w:ascii="宋体" w:hAnsi="宋体" w:eastAsia="宋体" w:cs="宋体"/>
          <w:color w:val="auto"/>
          <w:sz w:val="24"/>
          <w:szCs w:val="24"/>
          <w:highlight w:val="none"/>
          <w:lang w:val="en-US" w:eastAsia="zh-CN"/>
        </w:rPr>
        <w:t>861</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爆破工程工程量计算规范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（GB50</w:t>
      </w:r>
      <w:r>
        <w:rPr>
          <w:rFonts w:hint="eastAsia" w:ascii="宋体" w:hAnsi="宋体" w:eastAsia="宋体" w:cs="宋体"/>
          <w:color w:val="auto"/>
          <w:sz w:val="24"/>
          <w:szCs w:val="24"/>
          <w:highlight w:val="none"/>
          <w:lang w:val="en-US" w:eastAsia="zh-CN"/>
        </w:rPr>
        <w:t>862</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）、《重庆市建设工程工程量计算规则》（</w:t>
      </w:r>
      <w:r>
        <w:rPr>
          <w:rFonts w:hint="eastAsia" w:ascii="宋体" w:hAnsi="宋体" w:eastAsia="宋体" w:cs="宋体"/>
          <w:color w:val="auto"/>
          <w:sz w:val="24"/>
          <w:szCs w:val="24"/>
          <w:highlight w:val="none"/>
          <w:lang w:val="en-US" w:eastAsia="zh-CN"/>
        </w:rPr>
        <w:t>CQJLGZ</w:t>
      </w:r>
      <w:r>
        <w:rPr>
          <w:rFonts w:hint="eastAsia" w:ascii="宋体" w:hAnsi="宋体" w:eastAsia="宋体" w:cs="宋体"/>
          <w:color w:val="auto"/>
          <w:sz w:val="24"/>
          <w:szCs w:val="24"/>
          <w:highlight w:val="none"/>
          <w:lang w:eastAsia="zh-CN"/>
        </w:rPr>
        <w:t>—201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《重庆市市政工程计价定额》（CQSZDE-2018）</w:t>
      </w:r>
      <w:r>
        <w:rPr>
          <w:rFonts w:hint="eastAsia" w:ascii="宋体" w:hAnsi="宋体" w:eastAsia="宋体" w:cs="宋体"/>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宋体" w:hAnsi="宋体" w:eastAsia="宋体" w:cs="宋体"/>
          <w:color w:val="auto"/>
          <w:sz w:val="24"/>
          <w:szCs w:val="24"/>
          <w:highlight w:val="none"/>
          <w:lang w:val="zh-CN" w:eastAsia="zh-CN"/>
        </w:rPr>
        <w:t>《重庆市建设工程费用定额》（</w:t>
      </w:r>
      <w:r>
        <w:rPr>
          <w:rFonts w:hint="eastAsia" w:ascii="宋体" w:hAnsi="宋体" w:eastAsia="宋体" w:cs="宋体"/>
          <w:color w:val="auto"/>
          <w:sz w:val="24"/>
          <w:szCs w:val="24"/>
          <w:highlight w:val="none"/>
          <w:lang w:val="en-US" w:eastAsia="zh-CN"/>
        </w:rPr>
        <w:t>CQFYDE-2018</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w:t>
      </w:r>
      <w:r>
        <w:rPr>
          <w:rFonts w:hint="eastAsia" w:ascii="宋体" w:hAnsi="宋体" w:eastAsia="宋体" w:cs="宋体"/>
          <w:b/>
          <w:bCs/>
          <w:color w:val="auto"/>
          <w:sz w:val="24"/>
          <w:szCs w:val="24"/>
          <w:highlight w:val="none"/>
          <w:lang w:val="en-US" w:eastAsia="zh-CN"/>
        </w:rPr>
        <w:t>及相关配套文件进行组价并按投标人报价浮动率下浮(人工价差、材料价差、未计价材料、认质核价的设备和材料不参与浮动)，经监理人、跟审单位、发包人审定后执行。</w:t>
      </w:r>
    </w:p>
    <w:p w14:paraId="48A7C83F">
      <w:pPr>
        <w:pageBreakBefore w:val="0"/>
        <w:widowControl w:val="0"/>
        <w:kinsoku/>
        <w:wordWrap/>
        <w:overflowPunct/>
        <w:topLinePunct w:val="0"/>
        <w:autoSpaceDE/>
        <w:autoSpaceDN/>
        <w:bidi w:val="0"/>
        <w:adjustRightInd/>
        <w:snapToGrid/>
        <w:spacing w:line="440" w:lineRule="exact"/>
        <w:ind w:firstLine="539"/>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投标人报价浮动率按下列公式计算</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投标人报价浮动率=(1-中标价/最高限价)</w:t>
      </w:r>
      <w:r>
        <w:rPr>
          <w:rFonts w:hint="default" w:ascii="Arial" w:hAnsi="Arial" w:eastAsia="宋体" w:cs="Arial"/>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100%</w:t>
      </w:r>
    </w:p>
    <w:p w14:paraId="4A98CAA7">
      <w:pPr>
        <w:pageBreakBefore w:val="0"/>
        <w:widowControl w:val="0"/>
        <w:kinsoku/>
        <w:wordWrap/>
        <w:overflowPunct/>
        <w:topLinePunct w:val="0"/>
        <w:autoSpaceDE/>
        <w:autoSpaceDN/>
        <w:bidi w:val="0"/>
        <w:adjustRightInd/>
        <w:snapToGrid/>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其中人工工日、材料单价、施工机械使用费的确定原则：投标时有的材料按投标价执行，其中调入时取投标价和开标当期《重庆工程造价信息》公布的信息价的低值，且不偏离市场行情；投标时没有的材料，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4CCD6BEA">
      <w:pPr>
        <w:pageBreakBefore w:val="0"/>
        <w:widowControl w:val="0"/>
        <w:kinsoku/>
        <w:wordWrap/>
        <w:overflowPunct/>
        <w:topLinePunct w:val="0"/>
        <w:autoSpaceDE/>
        <w:autoSpaceDN/>
        <w:bidi w:val="0"/>
        <w:adjustRightInd/>
        <w:snapToGrid/>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w:t>
      </w:r>
    </w:p>
    <w:p w14:paraId="515EEAC0">
      <w:pPr>
        <w:pageBreakBefore w:val="0"/>
        <w:widowControl w:val="0"/>
        <w:kinsoku/>
        <w:wordWrap/>
        <w:overflowPunct/>
        <w:topLinePunct w:val="0"/>
        <w:autoSpaceDE/>
        <w:autoSpaceDN/>
        <w:bidi w:val="0"/>
        <w:adjustRightInd/>
        <w:snapToGrid/>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①已标价工程量清单范围内以项为计量单位的措施项目费（安全文明施工费除外）包干使用；不以项为计量单位的措施项目费包干使用。</w:t>
      </w:r>
    </w:p>
    <w:p w14:paraId="4BBD85C8">
      <w:pPr>
        <w:pageBreakBefore w:val="0"/>
        <w:widowControl w:val="0"/>
        <w:kinsoku/>
        <w:wordWrap/>
        <w:overflowPunct/>
        <w:topLinePunct w:val="0"/>
        <w:autoSpaceDE/>
        <w:autoSpaceDN/>
        <w:bidi w:val="0"/>
        <w:adjustRightInd/>
        <w:snapToGrid/>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②工程变更引起施工方案改变使措施项目发生变化的，措施项目费不作调整。</w:t>
      </w:r>
    </w:p>
    <w:p w14:paraId="3F1BAF76">
      <w:pPr>
        <w:pageBreakBefore w:val="0"/>
        <w:widowControl w:val="0"/>
        <w:kinsoku/>
        <w:wordWrap/>
        <w:overflowPunct/>
        <w:topLinePunct w:val="0"/>
        <w:autoSpaceDE/>
        <w:autoSpaceDN/>
        <w:bidi w:val="0"/>
        <w:adjustRightInd/>
        <w:snapToGrid/>
        <w:spacing w:line="440" w:lineRule="exact"/>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重庆市</w:t>
      </w:r>
      <w:r>
        <w:rPr>
          <w:rFonts w:hint="eastAsia" w:ascii="宋体" w:hAnsi="宋体" w:eastAsia="宋体" w:cs="宋体"/>
          <w:color w:val="auto"/>
          <w:sz w:val="24"/>
          <w:szCs w:val="24"/>
          <w:highlight w:val="none"/>
        </w:rPr>
        <w:t>住房和城乡建设委员会关于</w:t>
      </w:r>
      <w:r>
        <w:rPr>
          <w:rFonts w:hint="eastAsia" w:ascii="宋体" w:hAnsi="宋体" w:eastAsia="宋体" w:cs="宋体"/>
          <w:color w:val="auto"/>
          <w:sz w:val="24"/>
          <w:szCs w:val="24"/>
          <w:highlight w:val="none"/>
          <w:lang w:val="en-US" w:eastAsia="zh-CN"/>
        </w:rPr>
        <w:t>修订发布&lt;重庆市建设工程安全文明施工费计取及使用管理规定&gt;的通知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渝建管</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的规定进行结算。</w:t>
      </w:r>
    </w:p>
    <w:p w14:paraId="62C88204">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4.其他项目：</w:t>
      </w:r>
    </w:p>
    <w:p w14:paraId="1D79A679">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69396A1E">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②本工程采用专业工程暂估价或暂列金额采购的，结算时按实结算。其中以暂列金额采购的施工内容实施与否由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决定。</w:t>
      </w:r>
    </w:p>
    <w:p w14:paraId="673193A3">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5.规费：</w:t>
      </w:r>
      <w:r>
        <w:rPr>
          <w:rFonts w:hint="eastAsia" w:ascii="宋体" w:hAnsi="宋体" w:eastAsia="宋体" w:cs="宋体"/>
          <w:color w:val="auto"/>
          <w:sz w:val="24"/>
          <w:szCs w:val="24"/>
          <w:highlight w:val="none"/>
          <w:lang w:val="zh-CN"/>
        </w:rPr>
        <w:t>按《重庆市建设工程费用定额》（CQFYDE-2018）费用标准进行计算</w:t>
      </w:r>
      <w:r>
        <w:rPr>
          <w:rFonts w:hint="eastAsia" w:ascii="宋体" w:hAnsi="宋体" w:eastAsia="宋体" w:cs="宋体"/>
          <w:color w:val="auto"/>
          <w:sz w:val="24"/>
          <w:szCs w:val="24"/>
          <w:highlight w:val="none"/>
        </w:rPr>
        <w:t>。</w:t>
      </w:r>
    </w:p>
    <w:p w14:paraId="143676EA">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6.税金：</w:t>
      </w:r>
      <w:r>
        <w:rPr>
          <w:rFonts w:hint="eastAsia" w:ascii="宋体" w:hAnsi="宋体" w:eastAsia="宋体" w:cs="宋体"/>
          <w:color w:val="auto"/>
          <w:sz w:val="24"/>
          <w:szCs w:val="24"/>
          <w:highlight w:val="none"/>
          <w:lang w:val="zh-CN"/>
        </w:rPr>
        <w:t>包含增值税、城市维护建设税、教育费附加、地方教育附加以及环境保护税。其中增值税按《重庆市建设工程费用定额》（CQFYDE-2018）规定及配套文件执行</w:t>
      </w:r>
      <w:r>
        <w:rPr>
          <w:rFonts w:hint="eastAsia" w:ascii="宋体" w:hAnsi="宋体" w:eastAsia="宋体" w:cs="宋体"/>
          <w:color w:val="auto"/>
          <w:sz w:val="24"/>
          <w:szCs w:val="24"/>
          <w:highlight w:val="none"/>
        </w:rPr>
        <w:t>。</w:t>
      </w:r>
    </w:p>
    <w:p w14:paraId="51CE41F5">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7.本工程综合单价结算价和结算总价最终以南岸区相关审计部门审定的金额为准。</w:t>
      </w:r>
    </w:p>
    <w:p w14:paraId="7262C832">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8.</w:t>
      </w:r>
      <w:r>
        <w:rPr>
          <w:rFonts w:hint="eastAsia" w:ascii="宋体" w:hAnsi="宋体" w:eastAsia="宋体" w:cs="宋体"/>
          <w:color w:val="auto"/>
          <w:sz w:val="24"/>
          <w:highlight w:val="none"/>
          <w:lang w:val="en-US" w:eastAsia="zh-CN"/>
        </w:rPr>
        <w:t>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r>
        <w:rPr>
          <w:rFonts w:hint="eastAsia" w:ascii="宋体" w:hAnsi="宋体" w:cs="宋体"/>
          <w:color w:val="auto"/>
          <w:sz w:val="24"/>
          <w:highlight w:val="none"/>
          <w:lang w:val="en-US" w:eastAsia="zh-CN"/>
        </w:rPr>
        <w:t>。</w:t>
      </w:r>
    </w:p>
    <w:p w14:paraId="1DD601F1">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九、双方权利及责任</w:t>
      </w:r>
    </w:p>
    <w:p w14:paraId="32DC609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1.甲方权利及责任</w:t>
      </w:r>
    </w:p>
    <w:p w14:paraId="2D69F77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1.1组织有关单位及人员对施工图等技术资料进行审定。</w:t>
      </w:r>
    </w:p>
    <w:p w14:paraId="4E7D8E8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1.2提供乙方施工临时用水、用电等。</w:t>
      </w:r>
    </w:p>
    <w:p w14:paraId="628B89B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1.3按合同约定及时支付乙方工程款项。</w:t>
      </w:r>
    </w:p>
    <w:p w14:paraId="3670499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1.4协调第三方检测机构进行相关检测。</w:t>
      </w:r>
    </w:p>
    <w:p w14:paraId="226EC40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2D7AD17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1.6向乙方提供施工相关要求及标准。</w:t>
      </w:r>
    </w:p>
    <w:p w14:paraId="2AFEB0B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6EC9EC8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29002B4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1.9工程施工过程中的设计变更和材料更换等现场签证均由甲方现场代表签字生效，作为决算依据。</w:t>
      </w:r>
    </w:p>
    <w:p w14:paraId="6E5C7EE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2.乙方权利及责任</w:t>
      </w:r>
    </w:p>
    <w:p w14:paraId="0722976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4CC7300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18D0D7A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2.3乙方在现场施工时，必须服从甲方的统一管理和协调。</w:t>
      </w:r>
    </w:p>
    <w:p w14:paraId="76965B9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2.4严格按照合同的相关约定组织货物材料设备和器材进场。</w:t>
      </w:r>
    </w:p>
    <w:p w14:paraId="1F25A52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4DB2F95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1CC016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432E33F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2.7项目施工结束后，乙方应积极配合甲方进行第三方专业检测验收等。</w:t>
      </w:r>
    </w:p>
    <w:p w14:paraId="37B8C8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002C634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76746D6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2.10乙方在施工期间，需采取设置安全警示牌等形式，提示相关人员。乙方必须加强施工期间安全管理，履行和落实安全主体责任，施工或准备过程中发生的安全事故由成交</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自行负责，所有安全责任等与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无关。</w:t>
      </w:r>
    </w:p>
    <w:p w14:paraId="4DD9284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2.11乙方承建的本合同涉及的工程，不允许转包或分包给第三方，如出现转包、分包情况，甲方有权终止合同。</w:t>
      </w:r>
    </w:p>
    <w:p w14:paraId="32FA6B5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5494BAC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59134A8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64645DA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745E4FA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2.16乙方原因无法在承诺交货期内完成交货，按逾期10000元/天从工程进度款中予以扣除。</w:t>
      </w:r>
    </w:p>
    <w:p w14:paraId="11E78798">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十、项目质量及验收的约定</w:t>
      </w:r>
    </w:p>
    <w:p w14:paraId="0EB8947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19FE687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2.本项目质量应达到国家质量评定合格标准，属乙方原因造成的不合格工程，承包方返修后必须达到合格标准，并承担返修费用。</w:t>
      </w:r>
    </w:p>
    <w:p w14:paraId="7108C778">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6864E37F">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十一、质量保修期及售后服务</w:t>
      </w:r>
    </w:p>
    <w:p w14:paraId="370BF6E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工程质量保修期限：满足重庆市建设工程质量监督总站监制《重庆市建设工程质量保修书》等相关要求。工程的质量保修期如下：</w:t>
      </w:r>
    </w:p>
    <w:p w14:paraId="44E8A7C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基础设施工程、房屋建筑的地基基础工程和主体结构工程，为设计文件规定的该工程的合理使用年限；</w:t>
      </w:r>
    </w:p>
    <w:p w14:paraId="67EA012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屋面防水工程、有防水要求的卫生间、房间和外墙面的防渗漏，为5年；</w:t>
      </w:r>
    </w:p>
    <w:p w14:paraId="449BBAE9">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供热与供冷系统，为2个采暖期、供冷期；</w:t>
      </w:r>
    </w:p>
    <w:p w14:paraId="7749879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电气管线、给排水管道、设备安装和装修工程，为2年；</w:t>
      </w:r>
    </w:p>
    <w:p w14:paraId="3FA7C73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其他项目保修期限：2年；</w:t>
      </w:r>
    </w:p>
    <w:p w14:paraId="33F031B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保修期内，施工质量缺陷的维护及维修（非人为损坏）均为免费。</w:t>
      </w:r>
    </w:p>
    <w:p w14:paraId="3C9B70C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保修期内，施工质量缺陷维修均为现场服务，由此产生的费用均不再收取。</w:t>
      </w:r>
    </w:p>
    <w:p w14:paraId="1C22264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工程缺陷责任期为24个月，缺陷责任期自工程通过竣工验收之日起计算。缺陷责任期终止后，采购人应退还剩余的质量保证金。</w:t>
      </w:r>
    </w:p>
    <w:p w14:paraId="573988D2">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、违约责任</w:t>
      </w:r>
    </w:p>
    <w:p w14:paraId="73A9D55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结果，授予下一名</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候选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，以此类推。</w:t>
      </w:r>
    </w:p>
    <w:p w14:paraId="27490EF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48A8443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3.乙方应妥善保护甲方提供的设备及现场堆放的家具、陈设和工程成品，如造成损失，应照价赔偿。</w:t>
      </w:r>
    </w:p>
    <w:p w14:paraId="7102B889">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09606BD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5.因一方原因，合同无法继续履行时，应通知对方，办理合同终止协议，并由责任方赔偿对方由此造成的一切经济损失。</w:t>
      </w:r>
    </w:p>
    <w:p w14:paraId="127D659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6.乙方施工的任一工程验收不合格，甲方有权要求乙方拆除并重做，由此造成的损失由乙方承担赔付。</w:t>
      </w:r>
    </w:p>
    <w:p w14:paraId="023FDB8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4824645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8.其它应承担的违约责任，以《中华人民共和国民法典》、《政府采购法》和其它有关法律、法规规定为准，无相关规定的，双方协商解决。</w:t>
      </w:r>
    </w:p>
    <w:p w14:paraId="3AD5BE8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78022E23">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、其它</w:t>
      </w:r>
    </w:p>
    <w:p w14:paraId="16B4FEF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6A0738E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45AB656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3.乙方未经甲方批准，不得擅自修改设计及变更材料，否则，甲方有权要求乙方无条件返工，一切损失由乙方负责，由此影响的工期不予顺延。 </w:t>
      </w:r>
    </w:p>
    <w:p w14:paraId="70CECF4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4.甲方有权在任何情况下对用于本项目的货物、材料、设备的技术指标、样品标准、功能项目选择等进行调整变更。</w:t>
      </w:r>
    </w:p>
    <w:p w14:paraId="60CF8ED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42CE9F3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05362D39">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7.本补充条款与上述合同正本条款具有同等法律效力，但若存在内容矛盾，以本补充条款的约定为准。 </w:t>
      </w:r>
    </w:p>
    <w:p w14:paraId="12DE1050">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、争议或纠纷处理</w:t>
      </w:r>
    </w:p>
    <w:p w14:paraId="4E5F235E">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1.本合同在履行期间，双方发生争议，双方可采取协商解决或请有关部门进行调解。</w:t>
      </w:r>
    </w:p>
    <w:p w14:paraId="7B372EFA">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2.当事人不愿通过协商、调解解决或者协商、调解不成时，按下列方式解决：</w:t>
      </w:r>
    </w:p>
    <w:p w14:paraId="1582DB7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向甲方所在地人民法院起诉。</w:t>
      </w:r>
    </w:p>
    <w:p w14:paraId="70AD723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3.本合同经双方签章盖章后生效，本合同一式  份，甲方  份，乙方  份，具同等法律效力。本合同及</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未尽事宜，双方本着实事求是的原则协商解决。</w:t>
      </w:r>
    </w:p>
    <w:p w14:paraId="589ECDC0">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4.本合同履行完成后自动终止。</w:t>
      </w:r>
    </w:p>
    <w:p w14:paraId="6ED6FB0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5.附件与本合同具有同等法律效力，附件包括</w:t>
      </w:r>
    </w:p>
    <w:p w14:paraId="564F583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14:paraId="264B74F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文件，合同未尽事宜，以</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文件为准；</w:t>
      </w:r>
    </w:p>
    <w:p w14:paraId="07FEB50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（3）乙方参加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时的投标文件。</w:t>
      </w:r>
    </w:p>
    <w:p w14:paraId="280D76A5">
      <w:pPr>
        <w:widowControl/>
        <w:spacing w:line="360" w:lineRule="auto"/>
        <w:ind w:firstLine="480" w:firstLineChars="200"/>
        <w:rPr>
          <w:rFonts w:hint="eastAsia" w:ascii="宋体" w:hAnsi="宋体" w:eastAsia="宋体" w:cs="宋体"/>
          <w:color w:val="auto"/>
          <w:sz w:val="24"/>
          <w:szCs w:val="24"/>
          <w:highlight w:val="none"/>
        </w:rPr>
      </w:pPr>
    </w:p>
    <w:p w14:paraId="072EE644">
      <w:pPr>
        <w:spacing w:line="360" w:lineRule="auto"/>
        <w:ind w:firstLine="480" w:firstLineChars="200"/>
        <w:rPr>
          <w:rFonts w:hint="eastAsia" w:ascii="宋体" w:hAnsi="宋体" w:eastAsia="宋体" w:cs="宋体"/>
          <w:color w:val="auto"/>
          <w:sz w:val="24"/>
          <w:szCs w:val="24"/>
          <w:highlight w:val="none"/>
        </w:rPr>
      </w:pPr>
    </w:p>
    <w:p w14:paraId="480DB362">
      <w:pPr>
        <w:widowControl/>
        <w:spacing w:line="360" w:lineRule="auto"/>
        <w:ind w:firstLine="480" w:firstLineChars="200"/>
        <w:rPr>
          <w:rFonts w:hint="eastAsia" w:ascii="宋体" w:hAnsi="宋体" w:eastAsia="宋体" w:cs="宋体"/>
          <w:color w:val="auto"/>
          <w:sz w:val="24"/>
          <w:szCs w:val="24"/>
          <w:highlight w:val="none"/>
        </w:rPr>
      </w:pPr>
    </w:p>
    <w:p w14:paraId="1342522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867106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（本页无正文）</w:t>
      </w:r>
    </w:p>
    <w:p w14:paraId="008E4013">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发包人（甲方盖章）：</w:t>
      </w:r>
      <w:bookmarkStart w:id="178" w:name="OLE_LINK9"/>
      <w:r>
        <w:rPr>
          <w:rFonts w:hint="eastAsia" w:ascii="宋体" w:hAnsi="宋体" w:eastAsia="宋体" w:cs="宋体"/>
          <w:color w:val="auto"/>
          <w:sz w:val="24"/>
          <w:szCs w:val="24"/>
          <w:highlight w:val="none"/>
        </w:rPr>
        <w:t xml:space="preserve">              承包人（乙方盖章）：</w:t>
      </w:r>
    </w:p>
    <w:p w14:paraId="343C83B9">
      <w:pPr>
        <w:widowControl/>
        <w:spacing w:line="360" w:lineRule="auto"/>
        <w:ind w:firstLine="480" w:firstLineChars="200"/>
        <w:rPr>
          <w:rFonts w:hint="eastAsia" w:ascii="宋体" w:hAnsi="宋体" w:eastAsia="宋体" w:cs="宋体"/>
          <w:color w:val="auto"/>
          <w:sz w:val="24"/>
          <w:szCs w:val="24"/>
          <w:highlight w:val="none"/>
        </w:rPr>
      </w:pPr>
    </w:p>
    <w:p w14:paraId="7ABA40A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End w:id="178"/>
      <w:r>
        <w:rPr>
          <w:rFonts w:hint="eastAsia" w:ascii="宋体" w:hAnsi="宋体" w:eastAsia="宋体" w:cs="宋体"/>
          <w:color w:val="auto"/>
          <w:sz w:val="24"/>
          <w:szCs w:val="24"/>
          <w:highlight w:val="none"/>
        </w:rPr>
        <w:t xml:space="preserve">       </w:t>
      </w:r>
    </w:p>
    <w:p w14:paraId="00AF0D58">
      <w:pPr>
        <w:widowControl/>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                       法定代表人或</w:t>
      </w:r>
    </w:p>
    <w:p w14:paraId="68ACEFBC">
      <w:pPr>
        <w:widowControl/>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                 授权代表（签字）：</w:t>
      </w:r>
    </w:p>
    <w:p w14:paraId="384E67F7">
      <w:pPr>
        <w:widowControl/>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7F00F094">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FE36A9C">
      <w:pPr>
        <w:widowControl/>
        <w:spacing w:line="360" w:lineRule="auto"/>
        <w:ind w:firstLine="480" w:firstLineChars="200"/>
        <w:rPr>
          <w:rFonts w:hint="eastAsia" w:ascii="宋体" w:hAnsi="宋体" w:eastAsia="宋体" w:cs="宋体"/>
          <w:color w:val="auto"/>
          <w:sz w:val="24"/>
          <w:szCs w:val="24"/>
          <w:highlight w:val="none"/>
        </w:rPr>
      </w:pPr>
    </w:p>
    <w:p w14:paraId="06BAE279">
      <w:pPr>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签订日期：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签订日期：   年  月  日</w:t>
      </w:r>
    </w:p>
    <w:p w14:paraId="652F2008">
      <w:pPr>
        <w:snapToGrid w:val="0"/>
        <w:spacing w:line="360" w:lineRule="auto"/>
        <w:ind w:firstLine="550" w:firstLineChars="250"/>
        <w:rPr>
          <w:rFonts w:hint="eastAsia" w:ascii="宋体" w:hAnsi="宋体" w:eastAsia="宋体" w:cs="宋体"/>
          <w:bCs/>
          <w:color w:val="auto"/>
          <w:sz w:val="22"/>
          <w:szCs w:val="18"/>
          <w:highlight w:val="none"/>
        </w:rPr>
      </w:pPr>
    </w:p>
    <w:p w14:paraId="2ECC637E">
      <w:pPr>
        <w:rPr>
          <w:rFonts w:hint="eastAsia" w:ascii="宋体" w:hAnsi="宋体" w:eastAsia="宋体" w:cs="宋体"/>
          <w:color w:val="auto"/>
          <w:sz w:val="40"/>
          <w:szCs w:val="32"/>
          <w:highlight w:val="none"/>
        </w:rPr>
      </w:pPr>
      <w:bookmarkStart w:id="179" w:name="_Toc12120"/>
      <w:r>
        <w:rPr>
          <w:rFonts w:hint="eastAsia" w:ascii="宋体" w:hAnsi="宋体" w:eastAsia="宋体" w:cs="宋体"/>
          <w:color w:val="auto"/>
          <w:sz w:val="40"/>
          <w:szCs w:val="32"/>
          <w:highlight w:val="none"/>
        </w:rPr>
        <w:br w:type="page"/>
      </w:r>
    </w:p>
    <w:p w14:paraId="7A93025E">
      <w:pPr>
        <w:pStyle w:val="2"/>
        <w:pageBreakBefore w:val="0"/>
        <w:widowControl w:val="0"/>
        <w:kinsoku/>
        <w:wordWrap/>
        <w:overflowPunct/>
        <w:topLinePunct w:val="0"/>
        <w:autoSpaceDE/>
        <w:autoSpaceDN/>
        <w:bidi w:val="0"/>
        <w:adjustRightInd/>
        <w:snapToGrid w:val="0"/>
        <w:spacing w:before="0" w:after="0" w:line="480" w:lineRule="exact"/>
        <w:jc w:val="center"/>
        <w:textAlignment w:val="auto"/>
        <w:rPr>
          <w:rFonts w:hint="eastAsia" w:ascii="宋体" w:hAnsi="宋体" w:eastAsia="宋体" w:cs="宋体"/>
          <w:color w:val="auto"/>
          <w:sz w:val="40"/>
          <w:szCs w:val="32"/>
          <w:highlight w:val="none"/>
        </w:rPr>
      </w:pPr>
      <w:r>
        <w:rPr>
          <w:rFonts w:hint="eastAsia" w:ascii="宋体" w:hAnsi="宋体" w:eastAsia="宋体" w:cs="宋体"/>
          <w:color w:val="auto"/>
          <w:sz w:val="40"/>
          <w:szCs w:val="32"/>
          <w:highlight w:val="none"/>
        </w:rPr>
        <w:t xml:space="preserve">第七篇  </w:t>
      </w:r>
      <w:r>
        <w:rPr>
          <w:rFonts w:hint="eastAsia" w:ascii="宋体" w:hAnsi="宋体" w:eastAsia="宋体" w:cs="宋体"/>
          <w:color w:val="auto"/>
          <w:sz w:val="40"/>
          <w:szCs w:val="32"/>
          <w:highlight w:val="none"/>
          <w:lang w:eastAsia="zh-CN"/>
        </w:rPr>
        <w:t>投标文件</w:t>
      </w:r>
      <w:r>
        <w:rPr>
          <w:rFonts w:hint="eastAsia" w:ascii="宋体" w:hAnsi="宋体" w:eastAsia="宋体" w:cs="宋体"/>
          <w:color w:val="auto"/>
          <w:sz w:val="40"/>
          <w:szCs w:val="32"/>
          <w:highlight w:val="none"/>
        </w:rPr>
        <w:t>格式要求</w:t>
      </w:r>
      <w:bookmarkEnd w:id="144"/>
      <w:bookmarkEnd w:id="179"/>
    </w:p>
    <w:p w14:paraId="4E7A4561">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40713DB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2E3FA7C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（二）已标价工程量清单</w:t>
      </w:r>
    </w:p>
    <w:p w14:paraId="7EA5AA7F">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w:t>
      </w:r>
      <w:r>
        <w:rPr>
          <w:rFonts w:hint="eastAsia" w:ascii="宋体" w:hAnsi="宋体" w:eastAsia="宋体" w:cs="宋体"/>
          <w:b/>
          <w:bCs/>
          <w:color w:val="auto"/>
          <w:sz w:val="24"/>
          <w:szCs w:val="24"/>
          <w:highlight w:val="none"/>
          <w:lang w:eastAsia="zh-CN"/>
        </w:rPr>
        <w:t>部分</w:t>
      </w:r>
    </w:p>
    <w:p w14:paraId="25717AA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lang w:val="en-US" w:eastAsia="zh-CN"/>
        </w:rPr>
        <w:t>响应偏离</w:t>
      </w:r>
      <w:r>
        <w:rPr>
          <w:rFonts w:hint="eastAsia" w:ascii="宋体" w:hAnsi="宋体" w:eastAsia="宋体" w:cs="宋体"/>
          <w:color w:val="auto"/>
          <w:sz w:val="24"/>
          <w:szCs w:val="24"/>
          <w:highlight w:val="none"/>
          <w:lang w:eastAsia="zh-CN"/>
        </w:rPr>
        <w:t>表</w:t>
      </w:r>
    </w:p>
    <w:p w14:paraId="3BA6952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技术方案</w:t>
      </w:r>
    </w:p>
    <w:p w14:paraId="0186C820">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三、商务部分</w:t>
      </w:r>
    </w:p>
    <w:p w14:paraId="342E2D8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4DD12CC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（二）其他资料（格式自定）</w:t>
      </w:r>
    </w:p>
    <w:p w14:paraId="24FE0CBB">
      <w:pPr>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四、资格条件部分</w:t>
      </w:r>
    </w:p>
    <w:p w14:paraId="14EE568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427C120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456AF7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1DA064D6">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2D204F0A">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7860FF00">
      <w:pPr>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五、其他应提供的资料</w:t>
      </w:r>
    </w:p>
    <w:p w14:paraId="46A1BC48">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bdr w:val="single" w:color="auto" w:sz="4" w:space="0"/>
        </w:rPr>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highlight w:val="none"/>
        </w:rPr>
        <w:t>（一）其他与项目有关的资料（自附）</w:t>
      </w:r>
    </w:p>
    <w:p w14:paraId="7F487366">
      <w:pPr>
        <w:pStyle w:val="3"/>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eastAsia="宋体" w:cs="宋体"/>
          <w:color w:val="auto"/>
          <w:sz w:val="28"/>
          <w:szCs w:val="28"/>
          <w:highlight w:val="none"/>
        </w:rPr>
      </w:pPr>
      <w:bookmarkStart w:id="180" w:name="_Toc31231"/>
      <w:r>
        <w:rPr>
          <w:rFonts w:hint="eastAsia" w:ascii="宋体" w:hAnsi="宋体" w:eastAsia="宋体" w:cs="宋体"/>
          <w:color w:val="auto"/>
          <w:sz w:val="28"/>
          <w:szCs w:val="28"/>
          <w:highlight w:val="none"/>
        </w:rPr>
        <w:t>一、经济部分</w:t>
      </w:r>
      <w:bookmarkEnd w:id="180"/>
    </w:p>
    <w:p w14:paraId="5495A8C8">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1FCCB3EE">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报价函</w:t>
      </w:r>
    </w:p>
    <w:p w14:paraId="2F9DCECE">
      <w:pPr>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lang w:eastAsia="zh-CN"/>
        </w:rPr>
        <w:t>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AFECE1D">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，经详细研究，决定参加该项目的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w:t>
      </w:r>
    </w:p>
    <w:p w14:paraId="3B3D6C70">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（项目名称）招标文件的全部内容，愿意以人民币（大写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）的投标总报价进行报价（其中，安全</w:t>
      </w:r>
      <w:r>
        <w:rPr>
          <w:rFonts w:hint="eastAsia" w:ascii="宋体" w:hAnsi="宋体" w:eastAsia="宋体" w:cs="宋体"/>
          <w:color w:val="auto"/>
          <w:sz w:val="24"/>
          <w:szCs w:val="24"/>
          <w:highlight w:val="none"/>
          <w:lang w:eastAsia="zh-CN"/>
        </w:rPr>
        <w:t>文明施工费暂定金额为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），该工程项目经理为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日历天</w:t>
      </w:r>
      <w:r>
        <w:rPr>
          <w:rFonts w:hint="eastAsia" w:ascii="宋体" w:hAnsi="宋体" w:eastAsia="宋体" w:cs="宋体"/>
          <w:color w:val="auto"/>
          <w:sz w:val="24"/>
          <w:szCs w:val="24"/>
          <w:highlight w:val="none"/>
        </w:rPr>
        <w:t xml:space="preserve"> ，缺陷责任期：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，按合同约定实施和完成承包工程，修补工程中的任何缺陷。</w:t>
      </w:r>
    </w:p>
    <w:p w14:paraId="7B07AA2E">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198468EA">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的有效期为90天。</w:t>
      </w:r>
    </w:p>
    <w:p w14:paraId="71576350">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的一切规定和要求及评审办法。</w:t>
      </w:r>
    </w:p>
    <w:p w14:paraId="11CC9E0D">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过程中，我方若有违规行为，接受按照《中华人民共和国政府采购法》和《</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文件》之规定给予惩罚。</w:t>
      </w:r>
    </w:p>
    <w:p w14:paraId="5AA00059">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，将按照最终</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64F0D999">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p>
    <w:p w14:paraId="7E4355AB">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p>
    <w:p w14:paraId="44BF679B">
      <w:pPr>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1FE2D0D1">
      <w:pPr>
        <w:pageBreakBefore w:val="0"/>
        <w:widowControl w:val="0"/>
        <w:tabs>
          <w:tab w:val="left" w:pos="6300"/>
        </w:tabs>
        <w:kinsoku/>
        <w:wordWrap/>
        <w:overflowPunct/>
        <w:topLinePunct w:val="0"/>
        <w:autoSpaceDE/>
        <w:autoSpaceDN/>
        <w:bidi w:val="0"/>
        <w:adjustRightInd/>
        <w:snapToGrid w:val="0"/>
        <w:spacing w:line="480" w:lineRule="exact"/>
        <w:ind w:firstLine="1682" w:firstLineChars="7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57BD5245">
      <w:pPr>
        <w:pageBreakBefore w:val="0"/>
        <w:widowControl w:val="0"/>
        <w:tabs>
          <w:tab w:val="left" w:pos="6300"/>
        </w:tabs>
        <w:kinsoku/>
        <w:wordWrap/>
        <w:overflowPunct/>
        <w:topLinePunct w:val="0"/>
        <w:autoSpaceDE/>
        <w:autoSpaceDN/>
        <w:bidi w:val="0"/>
        <w:adjustRightInd/>
        <w:snapToGrid w:val="0"/>
        <w:spacing w:line="480" w:lineRule="exact"/>
        <w:ind w:firstLine="1682" w:firstLineChars="7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745A1D29">
      <w:pPr>
        <w:pageBreakBefore w:val="0"/>
        <w:widowControl w:val="0"/>
        <w:tabs>
          <w:tab w:val="left" w:pos="6300"/>
        </w:tabs>
        <w:kinsoku/>
        <w:wordWrap/>
        <w:overflowPunct/>
        <w:topLinePunct w:val="0"/>
        <w:autoSpaceDE/>
        <w:autoSpaceDN/>
        <w:bidi w:val="0"/>
        <w:adjustRightInd/>
        <w:snapToGrid w:val="0"/>
        <w:spacing w:line="480" w:lineRule="exact"/>
        <w:ind w:firstLine="1682" w:firstLineChars="7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p w14:paraId="1488D9B7">
      <w:pPr>
        <w:pageBreakBefore w:val="0"/>
        <w:widowControl w:val="0"/>
        <w:tabs>
          <w:tab w:val="left" w:pos="6300"/>
        </w:tabs>
        <w:kinsoku/>
        <w:wordWrap/>
        <w:overflowPunct/>
        <w:topLinePunct w:val="0"/>
        <w:autoSpaceDE/>
        <w:autoSpaceDN/>
        <w:bidi w:val="0"/>
        <w:adjustRightInd/>
        <w:snapToGrid w:val="0"/>
        <w:spacing w:line="480" w:lineRule="exact"/>
        <w:ind w:firstLine="1440" w:firstLineChars="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5FBBF01D">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sectPr>
          <w:headerReference r:id="rId13" w:type="default"/>
          <w:footerReference r:id="rId14" w:type="default"/>
          <w:pgSz w:w="11907" w:h="16840"/>
          <w:pgMar w:top="1134" w:right="1191" w:bottom="1134" w:left="1304" w:header="851" w:footer="992" w:gutter="0"/>
          <w:pgNumType w:fmt="decimal"/>
          <w:cols w:space="720" w:num="1"/>
          <w:rtlGutter w:val="1"/>
          <w:docGrid w:linePitch="380" w:charSpace="-5735"/>
        </w:sectPr>
      </w:pPr>
      <w:r>
        <w:rPr>
          <w:rFonts w:hint="eastAsia" w:ascii="宋体" w:hAnsi="宋体" w:eastAsia="宋体" w:cs="宋体"/>
          <w:color w:val="auto"/>
          <w:sz w:val="24"/>
          <w:szCs w:val="24"/>
          <w:highlight w:val="none"/>
        </w:rPr>
        <w:t xml:space="preserve">                                                  年   月   日</w:t>
      </w:r>
    </w:p>
    <w:p w14:paraId="3F1F6022">
      <w:pPr>
        <w:snapToGrid w:val="0"/>
        <w:spacing w:line="360" w:lineRule="auto"/>
        <w:ind w:firstLine="480" w:firstLineChars="200"/>
        <w:rPr>
          <w:rFonts w:hint="eastAsia" w:ascii="宋体" w:hAnsi="宋体" w:eastAsia="宋体" w:cs="宋体"/>
          <w:color w:val="auto"/>
          <w:sz w:val="24"/>
          <w:szCs w:val="24"/>
          <w:highlight w:val="none"/>
        </w:rPr>
      </w:pPr>
      <w:bookmarkStart w:id="181" w:name="_Toc161727399"/>
      <w:r>
        <w:rPr>
          <w:rFonts w:hint="eastAsia" w:ascii="宋体" w:hAnsi="宋体" w:eastAsia="宋体" w:cs="宋体"/>
          <w:color w:val="auto"/>
          <w:sz w:val="24"/>
          <w:szCs w:val="18"/>
          <w:highlight w:val="none"/>
        </w:rPr>
        <w:t>（二）</w:t>
      </w:r>
      <w:bookmarkEnd w:id="181"/>
      <w:r>
        <w:rPr>
          <w:rFonts w:hint="eastAsia" w:ascii="宋体" w:hAnsi="宋体" w:eastAsia="宋体" w:cs="宋体"/>
          <w:color w:val="auto"/>
          <w:sz w:val="24"/>
          <w:szCs w:val="24"/>
          <w:highlight w:val="none"/>
        </w:rPr>
        <w:t>已标价工程量清单</w:t>
      </w:r>
    </w:p>
    <w:p w14:paraId="4CFB64C6">
      <w:pPr>
        <w:snapToGrid w:val="0"/>
        <w:spacing w:line="500" w:lineRule="exact"/>
        <w:ind w:firstLine="480" w:firstLineChars="200"/>
        <w:rPr>
          <w:rFonts w:hint="eastAsia" w:ascii="宋体" w:hAnsi="宋体" w:eastAsia="宋体" w:cs="宋体"/>
          <w:color w:val="auto"/>
          <w:sz w:val="24"/>
          <w:szCs w:val="24"/>
          <w:highlight w:val="none"/>
        </w:rPr>
      </w:pPr>
    </w:p>
    <w:p w14:paraId="4868D16F">
      <w:pPr>
        <w:snapToGrid w:val="0"/>
        <w:spacing w:line="500" w:lineRule="exact"/>
        <w:ind w:firstLine="480" w:firstLineChars="200"/>
        <w:rPr>
          <w:rFonts w:hint="eastAsia" w:ascii="宋体" w:hAnsi="宋体" w:eastAsia="宋体" w:cs="宋体"/>
          <w:color w:val="auto"/>
          <w:sz w:val="24"/>
          <w:szCs w:val="24"/>
          <w:highlight w:val="none"/>
        </w:rPr>
        <w:sectPr>
          <w:headerReference r:id="rId15" w:type="default"/>
          <w:pgSz w:w="11907" w:h="16840"/>
          <w:pgMar w:top="1134" w:right="1191" w:bottom="1134" w:left="1304" w:header="851" w:footer="992" w:gutter="0"/>
          <w:pgNumType w:fmt="decimal"/>
          <w:cols w:space="720" w:num="1"/>
          <w:docGrid w:linePitch="380" w:charSpace="-5735"/>
        </w:sectPr>
      </w:pPr>
    </w:p>
    <w:p w14:paraId="2B9AAF46">
      <w:pPr>
        <w:pStyle w:val="3"/>
        <w:spacing w:before="0" w:after="0" w:line="360" w:lineRule="auto"/>
        <w:rPr>
          <w:rFonts w:hint="eastAsia" w:ascii="宋体" w:hAnsi="宋体" w:eastAsia="宋体" w:cs="宋体"/>
          <w:color w:val="auto"/>
          <w:sz w:val="28"/>
          <w:szCs w:val="28"/>
          <w:highlight w:val="none"/>
          <w:lang w:eastAsia="zh-CN"/>
        </w:rPr>
      </w:pPr>
      <w:bookmarkStart w:id="182" w:name="_Toc313008357"/>
      <w:bookmarkStart w:id="183" w:name="_Toc313888361"/>
      <w:bookmarkStart w:id="184" w:name="_Toc342913420"/>
      <w:bookmarkStart w:id="185" w:name="_Toc12453"/>
      <w:r>
        <w:rPr>
          <w:rFonts w:hint="eastAsia" w:ascii="宋体" w:hAnsi="宋体" w:eastAsia="宋体" w:cs="宋体"/>
          <w:color w:val="auto"/>
          <w:sz w:val="28"/>
          <w:szCs w:val="28"/>
          <w:highlight w:val="none"/>
        </w:rPr>
        <w:t>二、</w:t>
      </w:r>
      <w:bookmarkEnd w:id="182"/>
      <w:bookmarkEnd w:id="183"/>
      <w:bookmarkEnd w:id="184"/>
      <w:r>
        <w:rPr>
          <w:rFonts w:hint="eastAsia" w:ascii="宋体" w:hAnsi="宋体" w:eastAsia="宋体" w:cs="宋体"/>
          <w:color w:val="auto"/>
          <w:sz w:val="28"/>
          <w:szCs w:val="28"/>
          <w:highlight w:val="none"/>
        </w:rPr>
        <w:t>技术</w:t>
      </w:r>
      <w:r>
        <w:rPr>
          <w:rFonts w:hint="eastAsia" w:ascii="宋体" w:hAnsi="宋体" w:eastAsia="宋体" w:cs="宋体"/>
          <w:color w:val="auto"/>
          <w:sz w:val="28"/>
          <w:szCs w:val="28"/>
          <w:highlight w:val="none"/>
          <w:lang w:eastAsia="zh-CN"/>
        </w:rPr>
        <w:t>部分</w:t>
      </w:r>
      <w:bookmarkEnd w:id="185"/>
    </w:p>
    <w:p w14:paraId="797D880F">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lang w:val="en-US" w:eastAsia="zh-CN"/>
        </w:rPr>
        <w:t>响应偏离</w:t>
      </w:r>
      <w:r>
        <w:rPr>
          <w:rFonts w:hint="eastAsia" w:ascii="宋体" w:hAnsi="宋体" w:eastAsia="宋体" w:cs="宋体"/>
          <w:color w:val="auto"/>
          <w:sz w:val="24"/>
          <w:szCs w:val="24"/>
          <w:highlight w:val="none"/>
          <w:lang w:eastAsia="zh-CN"/>
        </w:rPr>
        <w:t>表</w:t>
      </w:r>
    </w:p>
    <w:p w14:paraId="5685EBCD">
      <w:pPr>
        <w:tabs>
          <w:tab w:val="left" w:pos="2145"/>
        </w:tabs>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0C0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noWrap w:val="0"/>
            <w:vAlign w:val="center"/>
          </w:tcPr>
          <w:p w14:paraId="2D358682">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28" w:type="dxa"/>
            <w:noWrap w:val="0"/>
            <w:vAlign w:val="center"/>
          </w:tcPr>
          <w:p w14:paraId="4EB29DEC">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项目服务</w:t>
            </w:r>
            <w:r>
              <w:rPr>
                <w:rFonts w:hint="eastAsia" w:ascii="宋体" w:hAnsi="宋体" w:eastAsia="宋体" w:cs="宋体"/>
                <w:color w:val="auto"/>
                <w:sz w:val="24"/>
                <w:szCs w:val="24"/>
                <w:highlight w:val="none"/>
              </w:rPr>
              <w:t>需求</w:t>
            </w:r>
          </w:p>
        </w:tc>
        <w:tc>
          <w:tcPr>
            <w:tcW w:w="2520" w:type="dxa"/>
            <w:noWrap w:val="0"/>
            <w:vAlign w:val="center"/>
          </w:tcPr>
          <w:p w14:paraId="02707CFF">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1888" w:type="dxa"/>
            <w:noWrap w:val="0"/>
            <w:vAlign w:val="center"/>
          </w:tcPr>
          <w:p w14:paraId="5E850A3E">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14:paraId="224E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C2D6DF3">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0435B2C3">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4E29BE50">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05093F79">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1535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64AE3DB">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2AAF8C81">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2E858DA0">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6D5C690F">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1E6A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4ECC4FF6">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3538EC7E">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0E050C47">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7CBA60EF">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5E32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011DDBD">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1BC7DF2F">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3EBF7AB8">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6C59D1EB">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623B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3B2DB43">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57053143">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05CC2003">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0DF749CF">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0215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6F0AF031">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2BE3B170">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2E73F296">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0BDF4743">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6F46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55AD604">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2D1CBA4A">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25E648EC">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5741AA19">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3692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67292FD1">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31CB0657">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2A3F08FC">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4662D921">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4968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84EBA18">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0EFB38C0">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6D412E0E">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1FB5AC9A">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4CE2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933240D">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5C44A1E8">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78D16824">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7F5C16DB">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14:paraId="323A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1CBE416F">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3228" w:type="dxa"/>
            <w:noWrap w:val="0"/>
            <w:vAlign w:val="center"/>
          </w:tcPr>
          <w:p w14:paraId="72FB219D">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520" w:type="dxa"/>
            <w:noWrap w:val="0"/>
            <w:vAlign w:val="center"/>
          </w:tcPr>
          <w:p w14:paraId="77EA3774">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1888" w:type="dxa"/>
            <w:noWrap w:val="0"/>
            <w:vAlign w:val="center"/>
          </w:tcPr>
          <w:p w14:paraId="6FEDC052">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bl>
    <w:p w14:paraId="105FDD0A">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法定代表人（或法定代表人授权代表）：</w:t>
      </w:r>
    </w:p>
    <w:p w14:paraId="2B59288E">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2F2FC79">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6BEB4794">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2D6E77E9">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FA9689F">
      <w:pPr>
        <w:tabs>
          <w:tab w:val="left" w:pos="6300"/>
        </w:tabs>
        <w:snapToGrid w:val="0"/>
        <w:spacing w:line="360" w:lineRule="auto"/>
        <w:ind w:firstLine="570"/>
        <w:jc w:val="left"/>
        <w:rPr>
          <w:rFonts w:hint="eastAsia" w:ascii="宋体" w:hAnsi="宋体" w:eastAsia="宋体" w:cs="宋体"/>
          <w:color w:val="auto"/>
          <w:sz w:val="24"/>
          <w:szCs w:val="24"/>
          <w:highlight w:val="none"/>
        </w:rPr>
      </w:pPr>
      <w:bookmarkStart w:id="186" w:name="_Toc80104370"/>
      <w:r>
        <w:rPr>
          <w:rFonts w:hint="eastAsia" w:ascii="宋体" w:hAnsi="宋体" w:eastAsia="宋体" w:cs="宋体"/>
          <w:color w:val="auto"/>
          <w:sz w:val="24"/>
          <w:szCs w:val="24"/>
          <w:highlight w:val="none"/>
        </w:rPr>
        <w:t xml:space="preserve">1.本表即为对本项目“第二篇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val="en-US" w:eastAsia="zh-CN"/>
        </w:rPr>
        <w:t>服务需求</w:t>
      </w:r>
      <w:r>
        <w:rPr>
          <w:rFonts w:hint="eastAsia" w:ascii="宋体" w:hAnsi="宋体" w:eastAsia="宋体" w:cs="宋体"/>
          <w:color w:val="auto"/>
          <w:sz w:val="24"/>
          <w:szCs w:val="24"/>
          <w:highlight w:val="none"/>
        </w:rPr>
        <w:t>”中所列条款进行比较和响应；</w:t>
      </w:r>
    </w:p>
    <w:p w14:paraId="2532F200">
      <w:pPr>
        <w:tabs>
          <w:tab w:val="left" w:pos="6300"/>
        </w:tabs>
        <w:snapToGrid w:val="0"/>
        <w:spacing w:line="360" w:lineRule="auto"/>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该表必须按照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要求逐条如实填写，根据响应情况在“差异说明”项填写正偏离或负偏离及原因，完全符合的填写“无差异”。</w:t>
      </w:r>
    </w:p>
    <w:p w14:paraId="0181A318">
      <w:pPr>
        <w:tabs>
          <w:tab w:val="left" w:pos="6300"/>
        </w:tabs>
        <w:snapToGrid w:val="0"/>
        <w:spacing w:line="360" w:lineRule="auto"/>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229478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技术方案</w:t>
      </w:r>
    </w:p>
    <w:p w14:paraId="1830843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highlight w:val="none"/>
          <w:lang w:val="en-US" w:eastAsia="zh-CN"/>
        </w:rPr>
      </w:pPr>
      <w:bookmarkStart w:id="187" w:name="_Toc5199"/>
      <w:r>
        <w:rPr>
          <w:rFonts w:hint="eastAsia" w:ascii="宋体" w:hAnsi="宋体" w:eastAsia="宋体" w:cs="宋体"/>
          <w:color w:val="auto"/>
          <w:sz w:val="24"/>
          <w:szCs w:val="24"/>
          <w:highlight w:val="none"/>
          <w:lang w:val="en-US" w:eastAsia="zh-CN"/>
        </w:rPr>
        <w:t>投标人根据招标文件“评审程序及方法、评审标准、无效响应和采购终止”中技术部分的评审标准编制，格式自拟。</w:t>
      </w:r>
    </w:p>
    <w:p w14:paraId="62F2E548">
      <w:pPr>
        <w:pStyle w:val="3"/>
        <w:pageBreakBefore w:val="0"/>
        <w:widowControl w:val="0"/>
        <w:kinsoku/>
        <w:wordWrap/>
        <w:overflowPunct/>
        <w:topLinePunct w:val="0"/>
        <w:autoSpaceDE/>
        <w:autoSpaceDN/>
        <w:bidi w:val="0"/>
        <w:adjustRightInd/>
        <w:spacing w:before="0" w:after="0" w:line="480" w:lineRule="exact"/>
        <w:jc w:val="center"/>
        <w:textAlignment w:val="auto"/>
        <w:rPr>
          <w:rFonts w:hint="eastAsia" w:ascii="宋体" w:hAnsi="宋体" w:eastAsia="宋体" w:cs="宋体"/>
          <w:color w:val="auto"/>
          <w:szCs w:val="32"/>
          <w:highlight w:val="none"/>
        </w:rPr>
      </w:pPr>
      <w:r>
        <w:rPr>
          <w:rFonts w:hint="eastAsia" w:ascii="宋体" w:hAnsi="宋体" w:eastAsia="宋体" w:cs="宋体"/>
          <w:b w:val="0"/>
          <w:color w:val="auto"/>
          <w:highlight w:val="none"/>
        </w:rPr>
        <w:br w:type="page"/>
      </w:r>
      <w:r>
        <w:rPr>
          <w:rFonts w:hint="eastAsia" w:ascii="宋体" w:hAnsi="宋体" w:eastAsia="宋体" w:cs="宋体"/>
          <w:color w:val="auto"/>
          <w:sz w:val="28"/>
          <w:szCs w:val="28"/>
          <w:highlight w:val="none"/>
        </w:rPr>
        <w:t>三、商务部分</w:t>
      </w:r>
      <w:bookmarkEnd w:id="186"/>
      <w:bookmarkEnd w:id="187"/>
    </w:p>
    <w:p w14:paraId="3E83AF91">
      <w:pPr>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0284CFB">
      <w:pPr>
        <w:pageBreakBefore w:val="0"/>
        <w:widowControl w:val="0"/>
        <w:tabs>
          <w:tab w:val="left" w:pos="2145"/>
        </w:tabs>
        <w:kinsoku/>
        <w:wordWrap/>
        <w:overflowPunct/>
        <w:topLinePunct w:val="0"/>
        <w:autoSpaceDE/>
        <w:autoSpaceDN/>
        <w:bidi w:val="0"/>
        <w:adjustRightInd/>
        <w:spacing w:line="480" w:lineRule="exact"/>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D95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37F56B33">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28" w:type="dxa"/>
            <w:noWrap w:val="0"/>
            <w:vAlign w:val="center"/>
          </w:tcPr>
          <w:p w14:paraId="10F937B0">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需求</w:t>
            </w:r>
          </w:p>
        </w:tc>
        <w:tc>
          <w:tcPr>
            <w:tcW w:w="2520" w:type="dxa"/>
            <w:noWrap w:val="0"/>
            <w:vAlign w:val="center"/>
          </w:tcPr>
          <w:p w14:paraId="11CECA3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1888" w:type="dxa"/>
            <w:noWrap w:val="0"/>
            <w:vAlign w:val="center"/>
          </w:tcPr>
          <w:p w14:paraId="71554CE6">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14:paraId="0CC7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321A7BB">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55616266">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35D798AD">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5F44F5E3">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r w14:paraId="294A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A2804D7">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7E7E08A3">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4A35CCA2">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1E28DE7F">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r w14:paraId="69A4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80EEFE6">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1998F7E1">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392F4E7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04332D39">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r w14:paraId="42EE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38DCEAC">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4B4D87C5">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2F28C467">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4016F77D">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r w14:paraId="6830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02D1042">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36F8A2E5">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2BAB6841">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55F4BDB4">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r w14:paraId="7341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5FCEC686">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4604887F">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10674A5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4A08C290">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r w14:paraId="39B2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0732AA6B">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05740247">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5D4E0FED">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71C85E97">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r w14:paraId="3F08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6815794">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7742678F">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35BE0A47">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1C2BE555">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r w14:paraId="3E66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97058B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0158E8E3">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33881D7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1FE1E831">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r w14:paraId="10F0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BAE32D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416116A8">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18ADB7DE">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196535AC">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r w14:paraId="3B41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3037ED4">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428" w:type="dxa"/>
            <w:noWrap w:val="0"/>
            <w:vAlign w:val="center"/>
          </w:tcPr>
          <w:p w14:paraId="2B334AB0">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2520" w:type="dxa"/>
            <w:noWrap w:val="0"/>
            <w:vAlign w:val="center"/>
          </w:tcPr>
          <w:p w14:paraId="78B30BF3">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c>
          <w:tcPr>
            <w:tcW w:w="1888" w:type="dxa"/>
            <w:noWrap w:val="0"/>
            <w:vAlign w:val="center"/>
          </w:tcPr>
          <w:p w14:paraId="2AD52360">
            <w:pPr>
              <w:pageBreakBefore w:val="0"/>
              <w:widowControl w:val="0"/>
              <w:tabs>
                <w:tab w:val="left" w:pos="6300"/>
              </w:tabs>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color w:val="auto"/>
                <w:sz w:val="24"/>
                <w:szCs w:val="24"/>
                <w:highlight w:val="none"/>
              </w:rPr>
            </w:pPr>
          </w:p>
        </w:tc>
      </w:tr>
    </w:tbl>
    <w:p w14:paraId="4B3EDBC3">
      <w:pPr>
        <w:pageBreakBefore w:val="0"/>
        <w:widowControl w:val="0"/>
        <w:kinsoku/>
        <w:wordWrap/>
        <w:overflowPunct/>
        <w:topLinePunct w:val="0"/>
        <w:autoSpaceDE/>
        <w:autoSpaceDN/>
        <w:bidi w:val="0"/>
        <w:adjustRightInd/>
        <w:spacing w:line="48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法定代表人（或法定代表人授权代表）：</w:t>
      </w:r>
    </w:p>
    <w:p w14:paraId="6E70FC2A">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C60EB39">
      <w:pPr>
        <w:pageBreakBefore w:val="0"/>
        <w:widowControl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2539C61F">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9D115E7">
      <w:pPr>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606DA7A">
      <w:pPr>
        <w:pageBreakBefore w:val="0"/>
        <w:widowControl w:val="0"/>
        <w:tabs>
          <w:tab w:val="left" w:pos="6300"/>
        </w:tabs>
        <w:kinsoku/>
        <w:wordWrap/>
        <w:overflowPunct/>
        <w:topLinePunct w:val="0"/>
        <w:autoSpaceDE/>
        <w:autoSpaceDN/>
        <w:bidi w:val="0"/>
        <w:adjustRightInd/>
        <w:snapToGrid w:val="0"/>
        <w:spacing w:line="480" w:lineRule="exact"/>
        <w:ind w:firstLine="5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项目商务需求”中所列条款进行比较和响应；</w:t>
      </w:r>
    </w:p>
    <w:p w14:paraId="3997F01D">
      <w:pPr>
        <w:pageBreakBefore w:val="0"/>
        <w:widowControl w:val="0"/>
        <w:tabs>
          <w:tab w:val="left" w:pos="6300"/>
        </w:tabs>
        <w:kinsoku/>
        <w:wordWrap/>
        <w:overflowPunct/>
        <w:topLinePunct w:val="0"/>
        <w:autoSpaceDE/>
        <w:autoSpaceDN/>
        <w:bidi w:val="0"/>
        <w:adjustRightInd/>
        <w:snapToGrid w:val="0"/>
        <w:spacing w:line="480" w:lineRule="exact"/>
        <w:ind w:firstLine="5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该表必须按照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要求逐条如实填写，根据响应情况在“差异说明”项填写正偏离或负偏离及原因，完全符合的填写“无差异”</w:t>
      </w:r>
    </w:p>
    <w:p w14:paraId="1034EFBF">
      <w:pPr>
        <w:pageBreakBefore w:val="0"/>
        <w:widowControl w:val="0"/>
        <w:tabs>
          <w:tab w:val="left" w:pos="6300"/>
        </w:tabs>
        <w:kinsoku/>
        <w:wordWrap/>
        <w:overflowPunct/>
        <w:topLinePunct w:val="0"/>
        <w:autoSpaceDE/>
        <w:autoSpaceDN/>
        <w:bidi w:val="0"/>
        <w:adjustRightInd/>
        <w:snapToGrid w:val="0"/>
        <w:spacing w:line="480" w:lineRule="exact"/>
        <w:ind w:firstLine="5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7E1EC63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w:t>
      </w:r>
      <w:bookmarkStart w:id="188" w:name="_Toc342913421"/>
      <w:bookmarkStart w:id="189" w:name="_Toc313888362"/>
      <w:bookmarkStart w:id="190" w:name="_Toc313008358"/>
      <w:bookmarkStart w:id="191" w:name="_Toc12335"/>
      <w:bookmarkStart w:id="192" w:name="_Toc80104371"/>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部分其他资料</w:t>
      </w:r>
      <w:r>
        <w:rPr>
          <w:rFonts w:hint="eastAsia" w:ascii="宋体" w:hAnsi="宋体" w:eastAsia="宋体" w:cs="宋体"/>
          <w:color w:val="auto"/>
          <w:sz w:val="24"/>
          <w:szCs w:val="24"/>
          <w:highlight w:val="none"/>
        </w:rPr>
        <w:t>（格式自拟）</w:t>
      </w:r>
    </w:p>
    <w:p w14:paraId="0F3DAA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投标人根据招标文件“评审程序及方法、评审标准、无效响应和采购终止”中商务部分的评审标准编制，格式自拟。</w:t>
      </w:r>
    </w:p>
    <w:p w14:paraId="7A2476E1">
      <w:pPr>
        <w:pStyle w:val="3"/>
        <w:pageBreakBefore w:val="0"/>
        <w:widowControl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auto"/>
          <w:sz w:val="40"/>
          <w:szCs w:val="22"/>
          <w:highlight w:val="none"/>
        </w:rPr>
      </w:pPr>
      <w:r>
        <w:rPr>
          <w:rFonts w:hint="eastAsia" w:ascii="宋体" w:hAnsi="宋体" w:eastAsia="宋体" w:cs="宋体"/>
          <w:color w:val="auto"/>
          <w:szCs w:val="32"/>
          <w:highlight w:val="none"/>
        </w:rPr>
        <w:br w:type="column"/>
      </w:r>
      <w:r>
        <w:rPr>
          <w:rFonts w:hint="eastAsia" w:ascii="宋体" w:hAnsi="宋体" w:eastAsia="宋体" w:cs="宋体"/>
          <w:color w:val="auto"/>
          <w:sz w:val="28"/>
          <w:szCs w:val="28"/>
          <w:highlight w:val="none"/>
        </w:rPr>
        <w:t>四、</w:t>
      </w:r>
      <w:bookmarkEnd w:id="188"/>
      <w:bookmarkEnd w:id="189"/>
      <w:bookmarkEnd w:id="190"/>
      <w:r>
        <w:rPr>
          <w:rFonts w:hint="eastAsia" w:ascii="宋体" w:hAnsi="宋体" w:eastAsia="宋体" w:cs="宋体"/>
          <w:color w:val="auto"/>
          <w:sz w:val="28"/>
          <w:szCs w:val="28"/>
          <w:highlight w:val="none"/>
        </w:rPr>
        <w:t>资格条件</w:t>
      </w:r>
      <w:bookmarkEnd w:id="191"/>
      <w:bookmarkEnd w:id="192"/>
    </w:p>
    <w:p w14:paraId="5355EC7A">
      <w:pPr>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EF30E7D">
      <w:pPr>
        <w:tabs>
          <w:tab w:val="left" w:pos="6300"/>
        </w:tabs>
        <w:snapToGrid w:val="0"/>
        <w:spacing w:line="500" w:lineRule="exact"/>
        <w:ind w:firstLine="570"/>
        <w:rPr>
          <w:rFonts w:hint="eastAsia" w:ascii="宋体" w:hAnsi="宋体" w:eastAsia="宋体" w:cs="宋体"/>
          <w:color w:val="auto"/>
          <w:sz w:val="32"/>
          <w:szCs w:val="32"/>
          <w:highlight w:val="none"/>
        </w:rPr>
      </w:pPr>
    </w:p>
    <w:p w14:paraId="06DDED97">
      <w:pPr>
        <w:tabs>
          <w:tab w:val="left" w:pos="6300"/>
        </w:tabs>
        <w:snapToGrid w:val="0"/>
        <w:spacing w:line="500" w:lineRule="exact"/>
        <w:ind w:firstLine="570"/>
        <w:rPr>
          <w:rFonts w:hint="eastAsia" w:ascii="宋体" w:hAnsi="宋体" w:eastAsia="宋体" w:cs="宋体"/>
          <w:color w:val="auto"/>
          <w:sz w:val="32"/>
          <w:szCs w:val="32"/>
          <w:highlight w:val="none"/>
        </w:rPr>
      </w:pPr>
    </w:p>
    <w:p w14:paraId="765D0784">
      <w:pPr>
        <w:tabs>
          <w:tab w:val="left" w:pos="6300"/>
        </w:tabs>
        <w:snapToGrid w:val="0"/>
        <w:spacing w:line="500" w:lineRule="exact"/>
        <w:ind w:firstLine="570"/>
        <w:rPr>
          <w:rFonts w:hint="eastAsia" w:ascii="宋体" w:hAnsi="宋体" w:eastAsia="宋体" w:cs="宋体"/>
          <w:color w:val="auto"/>
          <w:sz w:val="32"/>
          <w:szCs w:val="32"/>
          <w:highlight w:val="none"/>
        </w:rPr>
      </w:pPr>
    </w:p>
    <w:p w14:paraId="4E4A7510">
      <w:pPr>
        <w:widowControl/>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28"/>
          <w:szCs w:val="28"/>
          <w:highlight w:val="none"/>
        </w:rPr>
        <w:t>（二）法定代表人身份证明书（格式）</w:t>
      </w:r>
    </w:p>
    <w:p w14:paraId="50950A0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32"/>
          <w:szCs w:val="32"/>
          <w:highlight w:val="none"/>
        </w:rPr>
      </w:pPr>
    </w:p>
    <w:p w14:paraId="000B6C8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35DE803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p>
    <w:p w14:paraId="02B863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名称）：</w:t>
      </w:r>
    </w:p>
    <w:p w14:paraId="699F7A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1292CD6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p>
    <w:p w14:paraId="4938097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324633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p>
    <w:p w14:paraId="0FD2AE9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p>
    <w:p w14:paraId="5159DDE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p>
    <w:p w14:paraId="65608EF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center"/>
        <w:textAlignment w:val="auto"/>
        <w:rPr>
          <w:rFonts w:hint="eastAsia" w:ascii="宋体" w:hAnsi="宋体" w:eastAsia="宋体" w:cs="宋体"/>
          <w:color w:val="auto"/>
          <w:sz w:val="24"/>
          <w:szCs w:val="24"/>
          <w:highlight w:val="none"/>
        </w:rPr>
      </w:pPr>
    </w:p>
    <w:p w14:paraId="6BE54AB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4D444A5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p>
    <w:p w14:paraId="035877E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8FE579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szCs w:val="24"/>
          <w:highlight w:val="none"/>
        </w:rPr>
      </w:pPr>
    </w:p>
    <w:p w14:paraId="09455D7A">
      <w:pPr>
        <w:pStyle w:val="1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p>
    <w:p w14:paraId="44F65D1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rPr>
      </w:pPr>
    </w:p>
    <w:p w14:paraId="57544879">
      <w:pPr>
        <w:pStyle w:val="1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highlight w:val="none"/>
        </w:rPr>
      </w:pPr>
    </w:p>
    <w:p w14:paraId="62D219D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（附：法定代表人身份证正反面复印件）</w:t>
      </w:r>
    </w:p>
    <w:p w14:paraId="651CA4A6">
      <w:pPr>
        <w:tabs>
          <w:tab w:val="left" w:pos="6300"/>
        </w:tabs>
        <w:snapToGrid w:val="0"/>
        <w:spacing w:line="500" w:lineRule="exact"/>
        <w:ind w:firstLine="570"/>
        <w:rPr>
          <w:rFonts w:hint="eastAsia" w:ascii="宋体" w:hAnsi="宋体" w:eastAsia="宋体" w:cs="宋体"/>
          <w:color w:val="auto"/>
          <w:sz w:val="24"/>
          <w:szCs w:val="24"/>
          <w:highlight w:val="none"/>
        </w:rPr>
      </w:pPr>
    </w:p>
    <w:p w14:paraId="3A47339D">
      <w:pPr>
        <w:tabs>
          <w:tab w:val="left" w:pos="6300"/>
        </w:tabs>
        <w:snapToGrid w:val="0"/>
        <w:spacing w:line="500" w:lineRule="exact"/>
        <w:ind w:firstLine="570"/>
        <w:rPr>
          <w:rFonts w:hint="eastAsia" w:ascii="宋体" w:hAnsi="宋体" w:eastAsia="宋体" w:cs="宋体"/>
          <w:color w:val="auto"/>
          <w:sz w:val="32"/>
          <w:szCs w:val="32"/>
          <w:highlight w:val="none"/>
        </w:rPr>
      </w:pPr>
    </w:p>
    <w:p w14:paraId="793E7093">
      <w:pPr>
        <w:tabs>
          <w:tab w:val="left" w:pos="6300"/>
        </w:tabs>
        <w:snapToGrid w:val="0"/>
        <w:spacing w:line="500" w:lineRule="exact"/>
        <w:ind w:firstLine="570"/>
        <w:rPr>
          <w:rFonts w:hint="eastAsia" w:ascii="宋体" w:hAnsi="宋体" w:eastAsia="宋体" w:cs="宋体"/>
          <w:color w:val="auto"/>
          <w:sz w:val="32"/>
          <w:szCs w:val="32"/>
          <w:highlight w:val="none"/>
        </w:rPr>
      </w:pPr>
    </w:p>
    <w:p w14:paraId="504CCD4F">
      <w:pPr>
        <w:tabs>
          <w:tab w:val="left" w:pos="6300"/>
        </w:tabs>
        <w:snapToGrid w:val="0"/>
        <w:spacing w:line="500" w:lineRule="exact"/>
        <w:ind w:firstLine="570"/>
        <w:rPr>
          <w:rFonts w:hint="eastAsia" w:ascii="宋体" w:hAnsi="宋体" w:eastAsia="宋体" w:cs="宋体"/>
          <w:color w:val="auto"/>
          <w:sz w:val="32"/>
          <w:szCs w:val="32"/>
          <w:highlight w:val="none"/>
        </w:rPr>
      </w:pPr>
    </w:p>
    <w:p w14:paraId="34174F87">
      <w:pPr>
        <w:tabs>
          <w:tab w:val="left" w:pos="6300"/>
        </w:tabs>
        <w:snapToGrid w:val="0"/>
        <w:spacing w:line="500" w:lineRule="exact"/>
        <w:ind w:firstLine="570"/>
        <w:rPr>
          <w:rFonts w:hint="eastAsia" w:ascii="宋体" w:hAnsi="宋体" w:eastAsia="宋体" w:cs="宋体"/>
          <w:color w:val="auto"/>
          <w:sz w:val="32"/>
          <w:szCs w:val="32"/>
          <w:highlight w:val="none"/>
        </w:rPr>
      </w:pPr>
    </w:p>
    <w:p w14:paraId="5489D65B">
      <w:pPr>
        <w:tabs>
          <w:tab w:val="left" w:pos="6300"/>
        </w:tabs>
        <w:snapToGrid w:val="0"/>
        <w:spacing w:line="500" w:lineRule="exact"/>
        <w:ind w:firstLine="570"/>
        <w:rPr>
          <w:rFonts w:hint="eastAsia" w:ascii="宋体" w:hAnsi="宋体" w:eastAsia="宋体" w:cs="宋体"/>
          <w:color w:val="auto"/>
          <w:sz w:val="32"/>
          <w:szCs w:val="32"/>
          <w:highlight w:val="none"/>
        </w:rPr>
      </w:pPr>
    </w:p>
    <w:p w14:paraId="15B01663">
      <w:pPr>
        <w:tabs>
          <w:tab w:val="left" w:pos="6300"/>
        </w:tabs>
        <w:snapToGrid w:val="0"/>
        <w:spacing w:line="500" w:lineRule="exact"/>
        <w:ind w:firstLine="57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column"/>
      </w:r>
      <w:r>
        <w:rPr>
          <w:rFonts w:hint="eastAsia" w:ascii="宋体" w:hAnsi="宋体" w:eastAsia="宋体" w:cs="宋体"/>
          <w:color w:val="auto"/>
          <w:sz w:val="28"/>
          <w:szCs w:val="28"/>
          <w:highlight w:val="none"/>
        </w:rPr>
        <w:t>（三）法定代表人授权委托书（格式）</w:t>
      </w:r>
    </w:p>
    <w:p w14:paraId="11095F6D">
      <w:pPr>
        <w:tabs>
          <w:tab w:val="left" w:pos="6300"/>
        </w:tabs>
        <w:snapToGrid w:val="0"/>
        <w:spacing w:line="500" w:lineRule="exact"/>
        <w:ind w:firstLine="57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14:paraId="22B463E2">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74FAB90C">
      <w:pPr>
        <w:tabs>
          <w:tab w:val="left" w:pos="6300"/>
        </w:tabs>
        <w:snapToGrid w:val="0"/>
        <w:spacing w:line="500" w:lineRule="exact"/>
        <w:ind w:firstLine="570"/>
        <w:rPr>
          <w:rFonts w:hint="eastAsia" w:ascii="宋体" w:hAnsi="宋体" w:eastAsia="宋体" w:cs="宋体"/>
          <w:color w:val="auto"/>
          <w:sz w:val="24"/>
          <w:szCs w:val="24"/>
          <w:highlight w:val="none"/>
        </w:rPr>
      </w:pPr>
    </w:p>
    <w:p w14:paraId="48BCA49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名称）：</w:t>
      </w:r>
    </w:p>
    <w:p w14:paraId="0CC26C7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、签约等具体工作，并签署全部有关文件、协议及合同。</w:t>
      </w:r>
    </w:p>
    <w:p w14:paraId="654B41E3">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2208F05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5109EC50">
      <w:pPr>
        <w:tabs>
          <w:tab w:val="left" w:pos="6300"/>
        </w:tabs>
        <w:snapToGrid w:val="0"/>
        <w:spacing w:line="500" w:lineRule="exact"/>
        <w:ind w:firstLine="570"/>
        <w:rPr>
          <w:rFonts w:hint="eastAsia" w:ascii="宋体" w:hAnsi="宋体" w:eastAsia="宋体" w:cs="宋体"/>
          <w:color w:val="auto"/>
          <w:sz w:val="24"/>
          <w:szCs w:val="24"/>
          <w:highlight w:val="none"/>
        </w:rPr>
      </w:pPr>
    </w:p>
    <w:p w14:paraId="0F6D2457">
      <w:pPr>
        <w:tabs>
          <w:tab w:val="left" w:pos="6300"/>
        </w:tabs>
        <w:snapToGrid w:val="0"/>
        <w:spacing w:line="500" w:lineRule="exact"/>
        <w:ind w:firstLine="570"/>
        <w:rPr>
          <w:rFonts w:hint="eastAsia" w:ascii="宋体" w:hAnsi="宋体" w:eastAsia="宋体" w:cs="宋体"/>
          <w:color w:val="auto"/>
          <w:sz w:val="24"/>
          <w:szCs w:val="24"/>
          <w:highlight w:val="none"/>
        </w:rPr>
      </w:pPr>
    </w:p>
    <w:p w14:paraId="635FAB86">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w:t>
      </w:r>
    </w:p>
    <w:p w14:paraId="304A7D24">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7547AB4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CE65966">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917519F">
      <w:pPr>
        <w:tabs>
          <w:tab w:val="left" w:pos="6300"/>
        </w:tabs>
        <w:snapToGrid w:val="0"/>
        <w:spacing w:line="500" w:lineRule="exact"/>
        <w:ind w:firstLine="570"/>
        <w:rPr>
          <w:rFonts w:hint="eastAsia" w:ascii="宋体" w:hAnsi="宋体" w:eastAsia="宋体" w:cs="宋体"/>
          <w:color w:val="auto"/>
          <w:sz w:val="24"/>
          <w:szCs w:val="24"/>
          <w:highlight w:val="none"/>
        </w:rPr>
      </w:pPr>
    </w:p>
    <w:p w14:paraId="67057998">
      <w:pPr>
        <w:tabs>
          <w:tab w:val="left" w:pos="6300"/>
        </w:tabs>
        <w:snapToGrid w:val="0"/>
        <w:spacing w:line="500" w:lineRule="exact"/>
        <w:ind w:firstLine="570"/>
        <w:rPr>
          <w:rFonts w:hint="eastAsia" w:ascii="宋体" w:hAnsi="宋体" w:eastAsia="宋体" w:cs="宋体"/>
          <w:color w:val="auto"/>
          <w:sz w:val="24"/>
          <w:szCs w:val="24"/>
          <w:highlight w:val="none"/>
        </w:rPr>
      </w:pPr>
    </w:p>
    <w:p w14:paraId="7793BA92">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6F35E31E">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4E1DEBD">
      <w:pPr>
        <w:tabs>
          <w:tab w:val="left" w:pos="6300"/>
        </w:tabs>
        <w:snapToGrid w:val="0"/>
        <w:spacing w:line="500" w:lineRule="exact"/>
        <w:ind w:firstLine="570"/>
        <w:rPr>
          <w:rFonts w:hint="eastAsia" w:ascii="宋体" w:hAnsi="宋体" w:eastAsia="宋体" w:cs="宋体"/>
          <w:color w:val="auto"/>
          <w:sz w:val="24"/>
          <w:szCs w:val="24"/>
          <w:highlight w:val="none"/>
        </w:rPr>
      </w:pPr>
    </w:p>
    <w:p w14:paraId="1F284562">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57B49E80">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A075E0D">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227D99EA">
      <w:pPr>
        <w:tabs>
          <w:tab w:val="left" w:pos="6300"/>
        </w:tabs>
        <w:snapToGrid w:val="0"/>
        <w:spacing w:line="500" w:lineRule="exact"/>
        <w:ind w:firstLine="57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基本资格条件承诺函</w:t>
      </w:r>
    </w:p>
    <w:p w14:paraId="4EA65790">
      <w:pPr>
        <w:tabs>
          <w:tab w:val="left" w:pos="6300"/>
        </w:tabs>
        <w:snapToGrid w:val="0"/>
        <w:spacing w:line="530" w:lineRule="exact"/>
        <w:rPr>
          <w:rFonts w:hint="eastAsia" w:ascii="宋体" w:hAnsi="宋体" w:eastAsia="宋体" w:cs="宋体"/>
          <w:color w:val="auto"/>
          <w:sz w:val="24"/>
          <w:szCs w:val="24"/>
          <w:highlight w:val="none"/>
        </w:rPr>
      </w:pPr>
    </w:p>
    <w:p w14:paraId="5F6BAA72">
      <w:pPr>
        <w:tabs>
          <w:tab w:val="left" w:pos="6300"/>
        </w:tabs>
        <w:snapToGrid w:val="0"/>
        <w:spacing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名称）：</w:t>
      </w:r>
    </w:p>
    <w:p w14:paraId="620C93ED">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名称）郑重承诺：</w:t>
      </w:r>
    </w:p>
    <w:p w14:paraId="7AB7E2CC">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0D05F9A5">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4041F255">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的检查验证，配合提供相关证明材料，证明符合《中华人民共和国政府采购法》规定的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基本资格条件。</w:t>
      </w:r>
    </w:p>
    <w:p w14:paraId="55C364E3">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791B9A66">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7DF5916">
      <w:pPr>
        <w:tabs>
          <w:tab w:val="left" w:pos="6300"/>
        </w:tabs>
        <w:snapToGrid w:val="0"/>
        <w:spacing w:line="530" w:lineRule="exact"/>
        <w:rPr>
          <w:rFonts w:hint="eastAsia" w:ascii="宋体" w:hAnsi="宋体" w:eastAsia="宋体" w:cs="宋体"/>
          <w:color w:val="auto"/>
          <w:sz w:val="24"/>
          <w:szCs w:val="24"/>
          <w:highlight w:val="none"/>
        </w:rPr>
      </w:pPr>
    </w:p>
    <w:p w14:paraId="706F0673">
      <w:pPr>
        <w:tabs>
          <w:tab w:val="left" w:pos="6300"/>
        </w:tabs>
        <w:snapToGrid w:val="0"/>
        <w:spacing w:line="530" w:lineRule="exact"/>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06E83AF0">
      <w:pPr>
        <w:pStyle w:val="21"/>
        <w:jc w:val="right"/>
        <w:rPr>
          <w:rFonts w:hint="eastAsia" w:ascii="宋体" w:hAnsi="宋体" w:eastAsia="宋体" w:cs="宋体"/>
          <w:color w:val="auto"/>
          <w:szCs w:val="24"/>
          <w:highlight w:val="none"/>
        </w:rPr>
      </w:pPr>
    </w:p>
    <w:p w14:paraId="3B4248FD">
      <w:pPr>
        <w:pStyle w:val="21"/>
        <w:jc w:val="center"/>
        <w:rPr>
          <w:rFonts w:hint="eastAsia" w:ascii="宋体" w:hAnsi="宋体" w:eastAsia="宋体" w:cs="宋体"/>
          <w:color w:val="auto"/>
          <w:sz w:val="32"/>
          <w:szCs w:val="32"/>
          <w:highlight w:val="none"/>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年   月   日</w:t>
      </w:r>
    </w:p>
    <w:p w14:paraId="36453D41">
      <w:pPr>
        <w:pStyle w:val="21"/>
        <w:rPr>
          <w:rFonts w:hint="eastAsia" w:ascii="宋体" w:hAnsi="宋体" w:eastAsia="宋体" w:cs="宋体"/>
          <w:color w:val="auto"/>
          <w:sz w:val="32"/>
          <w:szCs w:val="32"/>
          <w:highlight w:val="none"/>
        </w:rPr>
      </w:pPr>
    </w:p>
    <w:p w14:paraId="72B3D828">
      <w:pPr>
        <w:pStyle w:val="21"/>
        <w:rPr>
          <w:rFonts w:hint="eastAsia" w:ascii="宋体" w:hAnsi="宋体" w:eastAsia="宋体" w:cs="宋体"/>
          <w:color w:val="auto"/>
          <w:sz w:val="32"/>
          <w:szCs w:val="32"/>
          <w:highlight w:val="none"/>
        </w:rPr>
      </w:pPr>
    </w:p>
    <w:p w14:paraId="3DAB2EC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（五）特定资格条件证书或证明文件（如果有）</w:t>
      </w:r>
    </w:p>
    <w:p w14:paraId="24A58F79">
      <w:pPr>
        <w:pStyle w:val="21"/>
        <w:rPr>
          <w:rFonts w:hint="eastAsia" w:ascii="宋体" w:hAnsi="宋体" w:eastAsia="宋体" w:cs="宋体"/>
          <w:color w:val="auto"/>
          <w:sz w:val="32"/>
          <w:szCs w:val="32"/>
          <w:highlight w:val="none"/>
        </w:rPr>
      </w:pPr>
    </w:p>
    <w:p w14:paraId="39090B96">
      <w:pPr>
        <w:pStyle w:val="21"/>
        <w:ind w:firstLine="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6D81B95">
      <w:pPr>
        <w:pStyle w:val="3"/>
        <w:spacing w:before="0" w:after="0" w:line="360" w:lineRule="auto"/>
        <w:rPr>
          <w:rFonts w:hint="eastAsia" w:ascii="宋体" w:hAnsi="宋体" w:eastAsia="宋体" w:cs="宋体"/>
          <w:color w:val="auto"/>
          <w:sz w:val="28"/>
          <w:szCs w:val="28"/>
          <w:highlight w:val="none"/>
        </w:rPr>
      </w:pPr>
      <w:bookmarkStart w:id="193" w:name="_Toc12008"/>
      <w:r>
        <w:rPr>
          <w:rFonts w:hint="eastAsia" w:ascii="宋体" w:hAnsi="宋体" w:eastAsia="宋体" w:cs="宋体"/>
          <w:color w:val="auto"/>
          <w:sz w:val="28"/>
          <w:szCs w:val="28"/>
          <w:highlight w:val="none"/>
        </w:rPr>
        <w:t>五、其他应提供的资料</w:t>
      </w:r>
      <w:bookmarkEnd w:id="193"/>
    </w:p>
    <w:p w14:paraId="18C0ADC3">
      <w:pPr>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（一）其他与项目有关的资料（自附）</w:t>
      </w:r>
    </w:p>
    <w:p w14:paraId="7F5E5594">
      <w:pPr>
        <w:spacing w:line="360" w:lineRule="auto"/>
        <w:ind w:firstLine="640" w:firstLineChars="200"/>
        <w:jc w:val="center"/>
        <w:rPr>
          <w:rFonts w:hint="eastAsia" w:ascii="宋体" w:hAnsi="宋体" w:eastAsia="宋体" w:cs="宋体"/>
          <w:color w:val="auto"/>
          <w:sz w:val="32"/>
          <w:szCs w:val="32"/>
          <w:highlight w:val="none"/>
        </w:rPr>
      </w:pPr>
    </w:p>
    <w:p w14:paraId="7F38FEE1">
      <w:pPr>
        <w:spacing w:line="360" w:lineRule="auto"/>
        <w:ind w:firstLine="640" w:firstLineChars="200"/>
        <w:jc w:val="center"/>
        <w:rPr>
          <w:rFonts w:hint="eastAsia" w:ascii="宋体" w:hAnsi="宋体" w:eastAsia="宋体" w:cs="宋体"/>
          <w:color w:val="auto"/>
          <w:sz w:val="32"/>
          <w:szCs w:val="32"/>
          <w:highlight w:val="none"/>
        </w:rPr>
      </w:pPr>
    </w:p>
    <w:p w14:paraId="6DF85E5D">
      <w:pPr>
        <w:spacing w:line="360" w:lineRule="auto"/>
        <w:ind w:firstLine="640" w:firstLineChars="200"/>
        <w:jc w:val="center"/>
        <w:rPr>
          <w:rFonts w:hint="eastAsia" w:ascii="宋体" w:hAnsi="宋体" w:eastAsia="宋体" w:cs="宋体"/>
          <w:color w:val="auto"/>
          <w:sz w:val="32"/>
          <w:szCs w:val="32"/>
          <w:highlight w:val="none"/>
        </w:rPr>
      </w:pPr>
    </w:p>
    <w:p w14:paraId="24163FDC">
      <w:pPr>
        <w:spacing w:line="360" w:lineRule="auto"/>
        <w:ind w:firstLine="640" w:firstLineChars="200"/>
        <w:jc w:val="center"/>
        <w:rPr>
          <w:rFonts w:hint="eastAsia" w:ascii="宋体" w:hAnsi="宋体" w:eastAsia="宋体" w:cs="宋体"/>
          <w:color w:val="auto"/>
          <w:sz w:val="32"/>
          <w:szCs w:val="32"/>
          <w:highlight w:val="none"/>
        </w:rPr>
      </w:pPr>
    </w:p>
    <w:p w14:paraId="0A6EEFC5">
      <w:pPr>
        <w:spacing w:line="360" w:lineRule="auto"/>
        <w:ind w:firstLine="640" w:firstLineChars="200"/>
        <w:jc w:val="center"/>
        <w:rPr>
          <w:rFonts w:hint="eastAsia" w:ascii="宋体" w:hAnsi="宋体" w:eastAsia="宋体" w:cs="宋体"/>
          <w:color w:val="auto"/>
          <w:sz w:val="32"/>
          <w:szCs w:val="32"/>
          <w:highlight w:val="none"/>
        </w:rPr>
      </w:pPr>
    </w:p>
    <w:p w14:paraId="052964A2">
      <w:pPr>
        <w:spacing w:line="360" w:lineRule="auto"/>
        <w:rPr>
          <w:rFonts w:hint="eastAsia" w:ascii="宋体" w:hAnsi="宋体" w:eastAsia="宋体" w:cs="宋体"/>
          <w:color w:val="auto"/>
          <w:sz w:val="32"/>
          <w:szCs w:val="32"/>
          <w:highlight w:val="none"/>
        </w:rPr>
      </w:pPr>
    </w:p>
    <w:p w14:paraId="010FD011">
      <w:pPr>
        <w:spacing w:line="360" w:lineRule="auto"/>
        <w:ind w:firstLine="640" w:firstLineChars="200"/>
        <w:jc w:val="center"/>
        <w:rPr>
          <w:rFonts w:hint="eastAsia" w:ascii="宋体" w:hAnsi="宋体" w:eastAsia="宋体" w:cs="宋体"/>
          <w:color w:val="auto"/>
          <w:sz w:val="32"/>
          <w:szCs w:val="32"/>
          <w:highlight w:val="none"/>
        </w:rPr>
      </w:pPr>
    </w:p>
    <w:p w14:paraId="1AA0533D">
      <w:pPr>
        <w:spacing w:line="360" w:lineRule="auto"/>
        <w:ind w:firstLine="640" w:firstLineChars="200"/>
        <w:jc w:val="center"/>
        <w:rPr>
          <w:rFonts w:hint="eastAsia" w:ascii="宋体" w:hAnsi="宋体" w:eastAsia="宋体" w:cs="宋体"/>
          <w:color w:val="auto"/>
          <w:sz w:val="32"/>
          <w:szCs w:val="32"/>
          <w:highlight w:val="none"/>
        </w:rPr>
      </w:pPr>
    </w:p>
    <w:p w14:paraId="66F7133E">
      <w:pPr>
        <w:spacing w:line="360" w:lineRule="auto"/>
        <w:ind w:firstLine="640" w:firstLineChars="200"/>
        <w:jc w:val="center"/>
        <w:rPr>
          <w:rFonts w:hint="eastAsia" w:ascii="宋体" w:hAnsi="宋体" w:eastAsia="宋体" w:cs="宋体"/>
          <w:color w:val="auto"/>
          <w:sz w:val="32"/>
          <w:szCs w:val="32"/>
          <w:highlight w:val="none"/>
        </w:rPr>
      </w:pPr>
    </w:p>
    <w:p w14:paraId="6E97C9CA">
      <w:pPr>
        <w:spacing w:line="360" w:lineRule="auto"/>
        <w:ind w:firstLine="640" w:firstLineChars="200"/>
        <w:jc w:val="center"/>
        <w:rPr>
          <w:rFonts w:hint="eastAsia" w:ascii="宋体" w:hAnsi="宋体" w:eastAsia="宋体" w:cs="宋体"/>
          <w:color w:val="auto"/>
          <w:sz w:val="32"/>
          <w:szCs w:val="32"/>
          <w:highlight w:val="none"/>
        </w:rPr>
      </w:pPr>
    </w:p>
    <w:p w14:paraId="3BBA73F8">
      <w:pPr>
        <w:spacing w:line="360" w:lineRule="auto"/>
        <w:rPr>
          <w:rFonts w:hint="eastAsia" w:ascii="宋体" w:hAnsi="宋体" w:eastAsia="宋体" w:cs="宋体"/>
          <w:color w:val="auto"/>
          <w:sz w:val="32"/>
          <w:szCs w:val="32"/>
          <w:highlight w:val="none"/>
        </w:rPr>
      </w:pPr>
    </w:p>
    <w:p w14:paraId="33C85DD8">
      <w:pPr>
        <w:spacing w:line="360" w:lineRule="auto"/>
        <w:ind w:firstLine="640" w:firstLineChars="200"/>
        <w:jc w:val="center"/>
        <w:rPr>
          <w:rFonts w:hint="eastAsia" w:ascii="宋体" w:hAnsi="宋体" w:eastAsia="宋体" w:cs="宋体"/>
          <w:color w:val="auto"/>
          <w:sz w:val="32"/>
          <w:szCs w:val="32"/>
          <w:highlight w:val="none"/>
        </w:rPr>
      </w:pPr>
    </w:p>
    <w:p w14:paraId="0F1F0023">
      <w:pPr>
        <w:spacing w:line="360" w:lineRule="auto"/>
        <w:ind w:firstLine="560" w:firstLineChars="200"/>
        <w:jc w:val="center"/>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（结束）</w:t>
      </w:r>
    </w:p>
    <w:p w14:paraId="24B180FB">
      <w:pPr>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br w:type="page"/>
      </w:r>
    </w:p>
    <w:p w14:paraId="06A83EF2">
      <w:pPr>
        <w:shd w:val="clear"/>
        <w:jc w:val="center"/>
        <w:rPr>
          <w:rFonts w:hint="eastAsia" w:ascii="宋体" w:hAnsi="宋体" w:eastAsia="宋体" w:cs="宋体"/>
          <w:b w:val="0"/>
          <w:bCs w:val="0"/>
          <w:color w:val="auto"/>
          <w:spacing w:val="40"/>
          <w:highlight w:val="none"/>
        </w:rPr>
      </w:pPr>
      <w:r>
        <w:rPr>
          <w:rFonts w:hint="eastAsia" w:ascii="宋体" w:hAnsi="宋体" w:eastAsia="宋体" w:cs="宋体"/>
          <w:b/>
          <w:bCs/>
          <w:color w:val="auto"/>
          <w:sz w:val="44"/>
          <w:szCs w:val="44"/>
          <w:highlight w:val="none"/>
          <w:lang w:val="en-US" w:eastAsia="zh-CN"/>
        </w:rPr>
        <w:t>招标</w:t>
      </w:r>
      <w:r>
        <w:rPr>
          <w:rFonts w:hint="eastAsia" w:ascii="宋体" w:hAnsi="宋体" w:eastAsia="宋体" w:cs="宋体"/>
          <w:b/>
          <w:bCs/>
          <w:color w:val="auto"/>
          <w:sz w:val="44"/>
          <w:szCs w:val="44"/>
          <w:highlight w:val="none"/>
        </w:rPr>
        <w:t>文件发售登记表</w:t>
      </w:r>
    </w:p>
    <w:tbl>
      <w:tblPr>
        <w:tblStyle w:val="22"/>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825"/>
      </w:tblGrid>
      <w:tr w14:paraId="1ABC98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2004" w:type="dxa"/>
            <w:noWrap w:val="0"/>
            <w:vAlign w:val="center"/>
          </w:tcPr>
          <w:p w14:paraId="0FDF50DE">
            <w:pPr>
              <w:shd w:val="clear"/>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项目名称</w:t>
            </w:r>
          </w:p>
        </w:tc>
        <w:tc>
          <w:tcPr>
            <w:tcW w:w="6825" w:type="dxa"/>
            <w:noWrap w:val="0"/>
            <w:vAlign w:val="center"/>
          </w:tcPr>
          <w:p w14:paraId="1D24639A">
            <w:pPr>
              <w:shd w:val="clear"/>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lang w:val="en-US" w:eastAsia="zh-CN"/>
              </w:rPr>
              <w:t xml:space="preserve"> </w:t>
            </w:r>
          </w:p>
        </w:tc>
      </w:tr>
      <w:tr w14:paraId="76B833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004" w:type="dxa"/>
            <w:noWrap w:val="0"/>
            <w:vAlign w:val="center"/>
          </w:tcPr>
          <w:p w14:paraId="5628B02C">
            <w:pPr>
              <w:shd w:val="clear"/>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lang w:val="en-US" w:eastAsia="zh-CN"/>
              </w:rPr>
              <w:t>投标人</w:t>
            </w:r>
            <w:r>
              <w:rPr>
                <w:rFonts w:hint="eastAsia" w:ascii="宋体" w:hAnsi="宋体" w:eastAsia="宋体" w:cs="宋体"/>
                <w:b w:val="0"/>
                <w:bCs w:val="0"/>
                <w:color w:val="auto"/>
                <w:sz w:val="30"/>
                <w:szCs w:val="30"/>
                <w:highlight w:val="none"/>
              </w:rPr>
              <w:t>名称</w:t>
            </w:r>
          </w:p>
        </w:tc>
        <w:tc>
          <w:tcPr>
            <w:tcW w:w="6825" w:type="dxa"/>
            <w:noWrap w:val="0"/>
            <w:vAlign w:val="center"/>
          </w:tcPr>
          <w:p w14:paraId="5C818DEB">
            <w:pPr>
              <w:shd w:val="clear"/>
              <w:jc w:val="center"/>
              <w:rPr>
                <w:rFonts w:hint="eastAsia" w:ascii="宋体" w:hAnsi="宋体" w:eastAsia="宋体" w:cs="宋体"/>
                <w:b w:val="0"/>
                <w:bCs w:val="0"/>
                <w:color w:val="auto"/>
                <w:sz w:val="30"/>
                <w:szCs w:val="30"/>
                <w:highlight w:val="none"/>
              </w:rPr>
            </w:pPr>
          </w:p>
        </w:tc>
      </w:tr>
      <w:tr w14:paraId="5E793E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004" w:type="dxa"/>
            <w:noWrap w:val="0"/>
            <w:vAlign w:val="center"/>
          </w:tcPr>
          <w:p w14:paraId="11AF7459">
            <w:pPr>
              <w:shd w:val="clear"/>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lang w:val="en-US" w:eastAsia="zh-CN"/>
              </w:rPr>
              <w:t>单位</w:t>
            </w:r>
            <w:r>
              <w:rPr>
                <w:rFonts w:hint="eastAsia" w:ascii="宋体" w:hAnsi="宋体" w:eastAsia="宋体" w:cs="宋体"/>
                <w:b w:val="0"/>
                <w:bCs w:val="0"/>
                <w:color w:val="auto"/>
                <w:sz w:val="30"/>
                <w:szCs w:val="30"/>
                <w:highlight w:val="none"/>
              </w:rPr>
              <w:t>地址</w:t>
            </w:r>
          </w:p>
        </w:tc>
        <w:tc>
          <w:tcPr>
            <w:tcW w:w="6825" w:type="dxa"/>
            <w:noWrap w:val="0"/>
            <w:vAlign w:val="center"/>
          </w:tcPr>
          <w:p w14:paraId="6C255FA9">
            <w:pPr>
              <w:shd w:val="clear"/>
              <w:jc w:val="center"/>
              <w:rPr>
                <w:rFonts w:hint="eastAsia" w:ascii="宋体" w:hAnsi="宋体" w:eastAsia="宋体" w:cs="宋体"/>
                <w:b w:val="0"/>
                <w:bCs w:val="0"/>
                <w:color w:val="auto"/>
                <w:sz w:val="30"/>
                <w:szCs w:val="30"/>
                <w:highlight w:val="none"/>
              </w:rPr>
            </w:pPr>
          </w:p>
        </w:tc>
      </w:tr>
      <w:tr w14:paraId="220CA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004" w:type="dxa"/>
            <w:noWrap w:val="0"/>
            <w:vAlign w:val="center"/>
          </w:tcPr>
          <w:p w14:paraId="55913A54">
            <w:pPr>
              <w:shd w:val="clear"/>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联系人</w:t>
            </w:r>
          </w:p>
        </w:tc>
        <w:tc>
          <w:tcPr>
            <w:tcW w:w="6825" w:type="dxa"/>
            <w:noWrap w:val="0"/>
            <w:vAlign w:val="center"/>
          </w:tcPr>
          <w:p w14:paraId="5C3D96E5">
            <w:pPr>
              <w:shd w:val="clear"/>
              <w:jc w:val="center"/>
              <w:rPr>
                <w:rFonts w:hint="eastAsia" w:ascii="宋体" w:hAnsi="宋体" w:eastAsia="宋体" w:cs="宋体"/>
                <w:b w:val="0"/>
                <w:bCs w:val="0"/>
                <w:color w:val="auto"/>
                <w:sz w:val="30"/>
                <w:szCs w:val="30"/>
                <w:highlight w:val="none"/>
              </w:rPr>
            </w:pPr>
          </w:p>
        </w:tc>
      </w:tr>
      <w:tr w14:paraId="088F1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004" w:type="dxa"/>
            <w:noWrap w:val="0"/>
            <w:vAlign w:val="center"/>
          </w:tcPr>
          <w:p w14:paraId="7F5F50B2">
            <w:pPr>
              <w:shd w:val="clear"/>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电话</w:t>
            </w:r>
          </w:p>
        </w:tc>
        <w:tc>
          <w:tcPr>
            <w:tcW w:w="6825" w:type="dxa"/>
            <w:noWrap w:val="0"/>
            <w:vAlign w:val="center"/>
          </w:tcPr>
          <w:p w14:paraId="0AF9DED3">
            <w:pPr>
              <w:shd w:val="clear"/>
              <w:jc w:val="center"/>
              <w:rPr>
                <w:rFonts w:hint="eastAsia" w:ascii="宋体" w:hAnsi="宋体" w:eastAsia="宋体" w:cs="宋体"/>
                <w:b w:val="0"/>
                <w:bCs w:val="0"/>
                <w:color w:val="auto"/>
                <w:sz w:val="30"/>
                <w:szCs w:val="30"/>
                <w:highlight w:val="none"/>
              </w:rPr>
            </w:pPr>
          </w:p>
        </w:tc>
      </w:tr>
      <w:tr w14:paraId="30BA62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004" w:type="dxa"/>
            <w:noWrap w:val="0"/>
            <w:vAlign w:val="center"/>
          </w:tcPr>
          <w:p w14:paraId="75F3FF48">
            <w:pPr>
              <w:shd w:val="clear"/>
              <w:jc w:val="center"/>
              <w:rPr>
                <w:rFonts w:hint="eastAsia" w:ascii="宋体" w:hAnsi="宋体" w:eastAsia="宋体" w:cs="宋体"/>
                <w:b w:val="0"/>
                <w:bCs w:val="0"/>
                <w:color w:val="auto"/>
                <w:sz w:val="30"/>
                <w:szCs w:val="30"/>
                <w:highlight w:val="none"/>
                <w:lang w:eastAsia="zh-CN"/>
              </w:rPr>
            </w:pPr>
            <w:r>
              <w:rPr>
                <w:rFonts w:hint="eastAsia" w:ascii="宋体" w:hAnsi="宋体" w:eastAsia="宋体" w:cs="宋体"/>
                <w:b w:val="0"/>
                <w:bCs w:val="0"/>
                <w:color w:val="auto"/>
                <w:sz w:val="30"/>
                <w:szCs w:val="30"/>
                <w:highlight w:val="none"/>
                <w:lang w:eastAsia="zh-CN"/>
              </w:rPr>
              <w:t>邮箱</w:t>
            </w:r>
          </w:p>
        </w:tc>
        <w:tc>
          <w:tcPr>
            <w:tcW w:w="6825" w:type="dxa"/>
            <w:noWrap w:val="0"/>
            <w:vAlign w:val="center"/>
          </w:tcPr>
          <w:p w14:paraId="1546EE02">
            <w:pPr>
              <w:shd w:val="clear"/>
              <w:jc w:val="center"/>
              <w:rPr>
                <w:rFonts w:hint="eastAsia" w:ascii="宋体" w:hAnsi="宋体" w:eastAsia="宋体" w:cs="宋体"/>
                <w:b w:val="0"/>
                <w:bCs w:val="0"/>
                <w:color w:val="auto"/>
                <w:sz w:val="30"/>
                <w:szCs w:val="30"/>
                <w:highlight w:val="none"/>
              </w:rPr>
            </w:pPr>
          </w:p>
        </w:tc>
      </w:tr>
      <w:tr w14:paraId="17453F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004" w:type="dxa"/>
            <w:noWrap w:val="0"/>
            <w:vAlign w:val="center"/>
          </w:tcPr>
          <w:p w14:paraId="0B1CE6F1">
            <w:pPr>
              <w:shd w:val="clear"/>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lang w:eastAsia="zh-CN"/>
              </w:rPr>
              <w:t>报名</w:t>
            </w:r>
            <w:r>
              <w:rPr>
                <w:rFonts w:hint="eastAsia" w:ascii="宋体" w:hAnsi="宋体" w:eastAsia="宋体" w:cs="宋体"/>
                <w:b w:val="0"/>
                <w:bCs w:val="0"/>
                <w:color w:val="auto"/>
                <w:sz w:val="30"/>
                <w:szCs w:val="30"/>
                <w:highlight w:val="none"/>
              </w:rPr>
              <w:t>时间</w:t>
            </w:r>
          </w:p>
        </w:tc>
        <w:tc>
          <w:tcPr>
            <w:tcW w:w="6825" w:type="dxa"/>
            <w:noWrap w:val="0"/>
            <w:vAlign w:val="center"/>
          </w:tcPr>
          <w:p w14:paraId="358C4C78">
            <w:pPr>
              <w:shd w:val="clear"/>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年   月   日</w:t>
            </w:r>
          </w:p>
        </w:tc>
      </w:tr>
      <w:tr w14:paraId="770BFF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004" w:type="dxa"/>
            <w:noWrap w:val="0"/>
            <w:vAlign w:val="center"/>
          </w:tcPr>
          <w:p w14:paraId="7271CE1F">
            <w:pPr>
              <w:shd w:val="clear"/>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备注</w:t>
            </w:r>
          </w:p>
        </w:tc>
        <w:tc>
          <w:tcPr>
            <w:tcW w:w="6825" w:type="dxa"/>
            <w:noWrap w:val="0"/>
            <w:vAlign w:val="center"/>
          </w:tcPr>
          <w:p w14:paraId="351E95F0">
            <w:pPr>
              <w:shd w:val="clear"/>
              <w:jc w:val="center"/>
              <w:rPr>
                <w:rFonts w:hint="eastAsia" w:ascii="宋体" w:hAnsi="宋体" w:eastAsia="宋体" w:cs="宋体"/>
                <w:b w:val="0"/>
                <w:bCs w:val="0"/>
                <w:color w:val="auto"/>
                <w:sz w:val="30"/>
                <w:szCs w:val="30"/>
                <w:highlight w:val="none"/>
              </w:rPr>
            </w:pPr>
          </w:p>
        </w:tc>
      </w:tr>
    </w:tbl>
    <w:p w14:paraId="32A1F15E">
      <w:pPr>
        <w:pStyle w:val="21"/>
        <w:rPr>
          <w:rFonts w:hint="eastAsia"/>
          <w:highlight w:val="none"/>
        </w:rPr>
      </w:pPr>
    </w:p>
    <w:p w14:paraId="4548E083">
      <w:pPr>
        <w:spacing w:line="360" w:lineRule="auto"/>
        <w:ind w:firstLine="720" w:firstLineChars="200"/>
        <w:jc w:val="center"/>
        <w:rPr>
          <w:rFonts w:hint="eastAsia" w:ascii="宋体" w:hAnsi="宋体" w:eastAsia="宋体" w:cs="宋体"/>
          <w:color w:val="auto"/>
          <w:sz w:val="36"/>
          <w:szCs w:val="22"/>
          <w:highlight w:val="none"/>
        </w:rPr>
      </w:pPr>
    </w:p>
    <w:p w14:paraId="1F475445">
      <w:pPr>
        <w:rPr>
          <w:rFonts w:hint="eastAsia" w:ascii="宋体" w:hAnsi="宋体" w:eastAsia="宋体" w:cs="宋体"/>
          <w:color w:val="auto"/>
          <w:highlight w:val="none"/>
        </w:rPr>
      </w:pPr>
    </w:p>
    <w:sectPr>
      <w:headerReference r:id="rId16"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2A51">
    <w:pPr>
      <w:pStyle w:val="15"/>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7E92">
    <w:pPr>
      <w:pStyle w:val="15"/>
      <w:framePr w:wrap="around" w:vAnchor="text" w:hAnchor="margin" w:xAlign="center" w:yAlign="top"/>
      <w:tabs>
        <w:tab w:val="center" w:pos="4153"/>
        <w:tab w:val="right" w:pos="8306"/>
        <w:tab w:val="clear" w:pos="4140"/>
        <w:tab w:val="clear" w:pos="8300"/>
      </w:tabs>
      <w:rPr>
        <w:rStyle w:val="25"/>
      </w:rPr>
    </w:pPr>
    <w:r>
      <w:fldChar w:fldCharType="begin"/>
    </w:r>
    <w:r>
      <w:rPr>
        <w:rStyle w:val="25"/>
      </w:rPr>
      <w:instrText xml:space="preserve">PAGE  </w:instrText>
    </w:r>
    <w:r>
      <w:fldChar w:fldCharType="separate"/>
    </w:r>
    <w:r>
      <w:fldChar w:fldCharType="end"/>
    </w:r>
  </w:p>
  <w:p w14:paraId="735A6C6B">
    <w:pPr>
      <w:pStyle w:val="15"/>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E1B6">
    <w:pPr>
      <w:pStyle w:val="15"/>
      <w:tabs>
        <w:tab w:val="center" w:pos="4153"/>
        <w:tab w:val="right" w:pos="8306"/>
        <w:tab w:val="clear" w:pos="4140"/>
        <w:tab w:val="clear" w:pos="8300"/>
      </w:tabs>
      <w:rPr>
        <w:rStyle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2529">
    <w:pPr>
      <w:pStyle w:val="15"/>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D578">
    <w:pPr>
      <w:pStyle w:val="15"/>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965F25">
                          <w:pPr>
                            <w:pStyle w:val="15"/>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C0s78sBAACd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2TiGqA9dWaRcD8LrY8ImSm+5wgg7FcapFXbThuW1+PNesu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QtLO/LAQAAnQMAAA4AAAAAAAAAAQAgAAAAHgEAAGRycy9lMm9E&#10;b2MueG1sUEsFBgAAAAAGAAYAWQEAAFsFAAAAAA==&#10;">
              <v:fill on="f" focussize="0,0"/>
              <v:stroke on="f"/>
              <v:imagedata o:title=""/>
              <o:lock v:ext="edit" aspectratio="f"/>
              <v:textbox inset="0mm,0mm,0mm,0mm" style="mso-fit-shape-to-text:t;">
                <w:txbxContent>
                  <w:p w14:paraId="4C965F25">
                    <w:pPr>
                      <w:pStyle w:val="15"/>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79BA">
    <w:pPr>
      <w:pStyle w:val="15"/>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EDA40">
                          <w:pPr>
                            <w:pStyle w:val="15"/>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39EDA40">
                    <w:pPr>
                      <w:pStyle w:val="15"/>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8C4A4">
    <w:pPr>
      <w:pStyle w:val="15"/>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3EE0D">
                          <w:pPr>
                            <w:pStyle w:val="15"/>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A23EE0D">
                    <w:pPr>
                      <w:pStyle w:val="15"/>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5DD9A">
    <w:pPr>
      <w:pStyle w:val="16"/>
      <w:pBdr>
        <w:bottom w:val="none" w:color="auto" w:sz="0" w:space="0"/>
      </w:pBdr>
      <w:tabs>
        <w:tab w:val="center" w:pos="4153"/>
        <w:tab w:val="right" w:pos="8306"/>
        <w:tab w:val="clear" w:pos="4140"/>
        <w:tab w:val="clear" w:pos="8300"/>
      </w:tabs>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743E">
    <w:pPr>
      <w:pStyle w:val="16"/>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19F9">
    <w:pPr>
      <w:pStyle w:val="16"/>
      <w:pBdr>
        <w:bottom w:val="none" w:color="auto" w:sz="0" w:space="0"/>
      </w:pBdr>
      <w:tabs>
        <w:tab w:val="center" w:pos="4153"/>
        <w:tab w:val="right" w:pos="8306"/>
        <w:tab w:val="clear" w:pos="4140"/>
        <w:tab w:val="clear" w:pos="8300"/>
      </w:tabs>
      <w:ind w:firstLine="440" w:firstLineChars="200"/>
      <w:jc w:val="both"/>
      <w:rPr>
        <w:rFonts w:hint="eastAsia"/>
        <w:sz w:val="22"/>
        <w:szCs w:val="24"/>
      </w:rPr>
    </w:pPr>
    <w:r>
      <w:rPr>
        <w:rFonts w:hint="eastAsia"/>
        <w:sz w:val="22"/>
        <w:szCs w:val="24"/>
      </w:rPr>
      <w:t xml:space="preserve">                                     </w:t>
    </w:r>
  </w:p>
  <w:p w14:paraId="7DBB9E9A">
    <w:pPr>
      <w:pStyle w:val="16"/>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1B19">
    <w:pPr>
      <w:pStyle w:val="16"/>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A4537">
    <w:pPr>
      <w:pStyle w:val="16"/>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364C">
    <w:pPr>
      <w:pStyle w:val="16"/>
      <w:pBdr>
        <w:bottom w:val="none" w:color="auto" w:sz="0" w:space="0"/>
      </w:pBdr>
      <w:tabs>
        <w:tab w:val="center" w:pos="4153"/>
        <w:tab w:val="right" w:pos="8306"/>
        <w:tab w:val="clear" w:pos="4140"/>
        <w:tab w:val="clear" w:pos="8300"/>
      </w:tabs>
      <w:jc w:val="both"/>
      <w:rPr>
        <w:rFonts w:hint="eastAsia" w:eastAsia="宋体"/>
        <w:sz w:val="24"/>
        <w:szCs w:val="24"/>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0326">
    <w:pPr>
      <w:pStyle w:val="16"/>
      <w:pBdr>
        <w:bottom w:val="none" w:color="auto" w:sz="0" w:space="0"/>
      </w:pBdr>
      <w:tabs>
        <w:tab w:val="center" w:pos="4153"/>
        <w:tab w:val="right" w:pos="8306"/>
        <w:tab w:val="clear" w:pos="4140"/>
        <w:tab w:val="clear" w:pos="8300"/>
      </w:tabs>
      <w:jc w:val="both"/>
      <w:rPr>
        <w:rFonts w:hint="eastAsia" w:ascii="方正仿宋_GBK"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E73BAFCB"/>
    <w:multiLevelType w:val="singleLevel"/>
    <w:tmpl w:val="E73BAFC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DU0NzFkOWY1M2M3YzU4ZGY3YWVhMWU5MGFlYzQifQ=="/>
  </w:docVars>
  <w:rsids>
    <w:rsidRoot w:val="7C270787"/>
    <w:rsid w:val="02200D4C"/>
    <w:rsid w:val="024863AD"/>
    <w:rsid w:val="026D3588"/>
    <w:rsid w:val="03D572F8"/>
    <w:rsid w:val="04D27139"/>
    <w:rsid w:val="05027306"/>
    <w:rsid w:val="055B3806"/>
    <w:rsid w:val="057407DA"/>
    <w:rsid w:val="07343B5D"/>
    <w:rsid w:val="09690066"/>
    <w:rsid w:val="097D04E3"/>
    <w:rsid w:val="0A357812"/>
    <w:rsid w:val="0BBA3B85"/>
    <w:rsid w:val="0BE45432"/>
    <w:rsid w:val="0C9341B4"/>
    <w:rsid w:val="0CBF48AB"/>
    <w:rsid w:val="0D86592C"/>
    <w:rsid w:val="0E596262"/>
    <w:rsid w:val="0F8408FC"/>
    <w:rsid w:val="12452F59"/>
    <w:rsid w:val="12CD6A63"/>
    <w:rsid w:val="12EC4BA6"/>
    <w:rsid w:val="140C50F1"/>
    <w:rsid w:val="15E10FC5"/>
    <w:rsid w:val="15E51CAB"/>
    <w:rsid w:val="165226FA"/>
    <w:rsid w:val="166D1417"/>
    <w:rsid w:val="19335911"/>
    <w:rsid w:val="19B96255"/>
    <w:rsid w:val="1A733BBF"/>
    <w:rsid w:val="1B860A5A"/>
    <w:rsid w:val="1C600287"/>
    <w:rsid w:val="1E9E4BA5"/>
    <w:rsid w:val="1F666789"/>
    <w:rsid w:val="20654120"/>
    <w:rsid w:val="228268B4"/>
    <w:rsid w:val="22DF7C3A"/>
    <w:rsid w:val="24D871B2"/>
    <w:rsid w:val="2B3E7AB6"/>
    <w:rsid w:val="302E75E3"/>
    <w:rsid w:val="31146950"/>
    <w:rsid w:val="31A43C6E"/>
    <w:rsid w:val="320E5997"/>
    <w:rsid w:val="328C55DF"/>
    <w:rsid w:val="36500B5A"/>
    <w:rsid w:val="36CE17DB"/>
    <w:rsid w:val="36D1792F"/>
    <w:rsid w:val="3B617FB2"/>
    <w:rsid w:val="3C67792D"/>
    <w:rsid w:val="3C891294"/>
    <w:rsid w:val="3E8B13DF"/>
    <w:rsid w:val="3ECD322E"/>
    <w:rsid w:val="3FAD044A"/>
    <w:rsid w:val="419544CE"/>
    <w:rsid w:val="42C27AAA"/>
    <w:rsid w:val="44EF2301"/>
    <w:rsid w:val="46361669"/>
    <w:rsid w:val="482B25AB"/>
    <w:rsid w:val="496C18D9"/>
    <w:rsid w:val="4F1162B1"/>
    <w:rsid w:val="51390AE7"/>
    <w:rsid w:val="5168196D"/>
    <w:rsid w:val="5284461E"/>
    <w:rsid w:val="54CA2EF2"/>
    <w:rsid w:val="54D961C1"/>
    <w:rsid w:val="54EE0E44"/>
    <w:rsid w:val="555E2640"/>
    <w:rsid w:val="556233C2"/>
    <w:rsid w:val="5603579C"/>
    <w:rsid w:val="56651DFB"/>
    <w:rsid w:val="575824D0"/>
    <w:rsid w:val="57C42F48"/>
    <w:rsid w:val="58D203C6"/>
    <w:rsid w:val="597E18D0"/>
    <w:rsid w:val="598F11D3"/>
    <w:rsid w:val="5A576F72"/>
    <w:rsid w:val="5BD91F04"/>
    <w:rsid w:val="5C7B3200"/>
    <w:rsid w:val="5DE23CF2"/>
    <w:rsid w:val="5EA031AD"/>
    <w:rsid w:val="608E02A7"/>
    <w:rsid w:val="61723EC8"/>
    <w:rsid w:val="69EE74FD"/>
    <w:rsid w:val="6CBA534F"/>
    <w:rsid w:val="6F92162B"/>
    <w:rsid w:val="725E61D7"/>
    <w:rsid w:val="73E10D40"/>
    <w:rsid w:val="75C7149C"/>
    <w:rsid w:val="76227BF9"/>
    <w:rsid w:val="762576DC"/>
    <w:rsid w:val="76E62FF9"/>
    <w:rsid w:val="774150D6"/>
    <w:rsid w:val="7C270787"/>
    <w:rsid w:val="7E00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3">
    <w:name w:val="heading 3"/>
    <w:basedOn w:val="1"/>
    <w:next w:val="1"/>
    <w:qFormat/>
    <w:uiPriority w:val="0"/>
    <w:pPr>
      <w:keepNext/>
      <w:keepLines/>
      <w:widowControl w:val="0"/>
      <w:spacing w:before="260" w:after="260" w:line="412" w:lineRule="auto"/>
      <w:ind w:left="0" w:right="0"/>
      <w:jc w:val="both"/>
      <w:outlineLvl w:val="2"/>
    </w:pPr>
    <w:rPr>
      <w:rFonts w:ascii="Times New Roman" w:hAnsi="Times New Roman"/>
      <w:b/>
      <w:sz w:val="32"/>
    </w:rPr>
  </w:style>
  <w:style w:type="paragraph" w:styleId="4">
    <w:name w:val="heading 4"/>
    <w:basedOn w:val="1"/>
    <w:next w:val="1"/>
    <w:qFormat/>
    <w:uiPriority w:val="0"/>
    <w:pPr>
      <w:widowControl/>
      <w:spacing w:before="100" w:beforeLines="0" w:beforeAutospacing="1" w:after="100" w:afterLines="0" w:afterAutospacing="1"/>
      <w:jc w:val="left"/>
      <w:outlineLvl w:val="3"/>
    </w:pPr>
    <w:rPr>
      <w:rFonts w:ascii="宋体" w:hAnsi="宋体"/>
      <w:kern w:val="0"/>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snapToGrid w:val="0"/>
      <w:spacing w:line="360" w:lineRule="auto"/>
      <w:ind w:firstLine="420"/>
    </w:pPr>
    <w:rPr>
      <w:sz w:val="24"/>
    </w:rPr>
  </w:style>
  <w:style w:type="paragraph" w:styleId="6">
    <w:name w:val="Document Map"/>
    <w:basedOn w:val="1"/>
    <w:next w:val="1"/>
    <w:qFormat/>
    <w:uiPriority w:val="0"/>
    <w:pPr>
      <w:shd w:val="clear" w:color="auto" w:fill="000080"/>
    </w:pPr>
  </w:style>
  <w:style w:type="paragraph" w:styleId="7">
    <w:name w:val="Body Text"/>
    <w:basedOn w:val="1"/>
    <w:next w:val="1"/>
    <w:qFormat/>
    <w:uiPriority w:val="0"/>
    <w:rPr>
      <w:rFonts w:ascii="仿宋_GB2312" w:hAnsi="Times New Roman" w:eastAsia="仿宋_GB2312"/>
      <w:sz w:val="32"/>
    </w:rPr>
  </w:style>
  <w:style w:type="paragraph" w:styleId="8">
    <w:name w:val="Body Text Indent"/>
    <w:basedOn w:val="1"/>
    <w:next w:val="9"/>
    <w:qFormat/>
    <w:uiPriority w:val="0"/>
    <w:pPr>
      <w:spacing w:line="700" w:lineRule="exact"/>
      <w:ind w:left="960"/>
    </w:pPr>
    <w:rPr>
      <w:rFonts w:ascii="Times New Roman" w:hAnsi="Times New Roman"/>
      <w:sz w:val="44"/>
    </w:rPr>
  </w:style>
  <w:style w:type="paragraph" w:styleId="9">
    <w:name w:val="envelope return"/>
    <w:basedOn w:val="1"/>
    <w:semiHidden/>
    <w:qFormat/>
    <w:uiPriority w:val="0"/>
    <w:pPr>
      <w:snapToGrid w:val="0"/>
    </w:pPr>
    <w:rPr>
      <w:rFonts w:ascii="Arial" w:hAnsi="Arial" w:cs="Arial"/>
    </w:rPr>
  </w:style>
  <w:style w:type="paragraph" w:styleId="10">
    <w:name w:val="toc 3"/>
    <w:basedOn w:val="1"/>
    <w:next w:val="1"/>
    <w:qFormat/>
    <w:uiPriority w:val="39"/>
    <w:pPr>
      <w:widowControl w:val="0"/>
      <w:spacing w:before="0" w:after="0"/>
      <w:ind w:left="840" w:leftChars="400" w:right="0"/>
      <w:jc w:val="both"/>
    </w:pPr>
    <w:rPr>
      <w:rFonts w:ascii="Times New Roman" w:hAnsi="Times New Roman" w:eastAsia="宋体" w:cs="Times New Roman"/>
      <w:kern w:val="2"/>
      <w:sz w:val="28"/>
      <w:lang w:val="en-US" w:eastAsia="zh-CN" w:bidi="ar-SA"/>
    </w:rPr>
  </w:style>
  <w:style w:type="paragraph" w:styleId="11">
    <w:name w:val="Plain Text"/>
    <w:basedOn w:val="1"/>
    <w:next w:val="6"/>
    <w:qFormat/>
    <w:uiPriority w:val="0"/>
    <w:rPr>
      <w:rFonts w:ascii="宋体" w:hAnsi="Courier New"/>
      <w:sz w:val="21"/>
    </w:rPr>
  </w:style>
  <w:style w:type="paragraph" w:styleId="12">
    <w:name w:val="Date"/>
    <w:basedOn w:val="1"/>
    <w:next w:val="1"/>
    <w:qFormat/>
    <w:uiPriority w:val="0"/>
    <w:pPr>
      <w:widowControl w:val="0"/>
      <w:spacing w:after="0"/>
      <w:jc w:val="both"/>
    </w:pPr>
    <w:rPr>
      <w:rFonts w:ascii="Times New Roman" w:hAnsi="Times New Roman"/>
    </w:rPr>
  </w:style>
  <w:style w:type="paragraph" w:styleId="13">
    <w:name w:val="Body Text Indent 2"/>
    <w:basedOn w:val="1"/>
    <w:qFormat/>
    <w:uiPriority w:val="0"/>
    <w:pPr>
      <w:snapToGrid w:val="0"/>
      <w:spacing w:line="560" w:lineRule="atLeast"/>
      <w:ind w:firstLine="540"/>
    </w:pPr>
  </w:style>
  <w:style w:type="paragraph" w:styleId="14">
    <w:name w:val="Balloon Text"/>
    <w:basedOn w:val="1"/>
    <w:qFormat/>
    <w:uiPriority w:val="0"/>
    <w:rPr>
      <w:sz w:val="18"/>
    </w:rPr>
  </w:style>
  <w:style w:type="paragraph" w:styleId="15">
    <w:name w:val="footer"/>
    <w:basedOn w:val="1"/>
    <w:qFormat/>
    <w:uiPriority w:val="99"/>
    <w:pPr>
      <w:widowControl w:val="0"/>
      <w:tabs>
        <w:tab w:val="center" w:pos="4140"/>
        <w:tab w:val="right" w:pos="8300"/>
      </w:tabs>
      <w:snapToGrid w:val="0"/>
      <w:spacing w:after="0"/>
      <w:jc w:val="left"/>
    </w:pPr>
    <w:rPr>
      <w:rFonts w:ascii="Times New Roman" w:hAnsi="Times New Roman"/>
      <w:sz w:val="18"/>
    </w:rPr>
  </w:style>
  <w:style w:type="paragraph" w:styleId="16">
    <w:name w:val="header"/>
    <w:basedOn w:val="1"/>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sz w:val="18"/>
    </w:rPr>
  </w:style>
  <w:style w:type="paragraph" w:styleId="17">
    <w:name w:val="toc 1"/>
    <w:basedOn w:val="1"/>
    <w:next w:val="1"/>
    <w:qFormat/>
    <w:uiPriority w:val="39"/>
    <w:pPr>
      <w:widowControl w:val="0"/>
      <w:spacing w:after="0" w:line="180" w:lineRule="auto"/>
      <w:jc w:val="center"/>
    </w:pPr>
    <w:rPr>
      <w:rFonts w:ascii="Times New Roman" w:hAnsi="Times New Roman" w:eastAsia="宋体" w:cs="Times New Roman"/>
      <w:kern w:val="2"/>
      <w:sz w:val="30"/>
      <w:lang w:val="en-US" w:eastAsia="zh-CN" w:bidi="ar-SA"/>
    </w:rPr>
  </w:style>
  <w:style w:type="paragraph" w:styleId="18">
    <w:name w:val="index 7"/>
    <w:basedOn w:val="1"/>
    <w:next w:val="1"/>
    <w:qFormat/>
    <w:uiPriority w:val="0"/>
    <w:pPr>
      <w:ind w:left="2520"/>
    </w:pPr>
  </w:style>
  <w:style w:type="paragraph" w:styleId="19">
    <w:name w:val="toc 2"/>
    <w:basedOn w:val="1"/>
    <w:next w:val="1"/>
    <w:qFormat/>
    <w:uiPriority w:val="39"/>
    <w:pPr>
      <w:widowControl w:val="0"/>
      <w:spacing w:before="0" w:after="0"/>
      <w:ind w:left="420" w:leftChars="200" w:right="0"/>
      <w:jc w:val="both"/>
    </w:pPr>
    <w:rPr>
      <w:rFonts w:ascii="Times New Roman" w:hAnsi="Times New Roman" w:eastAsia="宋体" w:cs="Times New Roman"/>
      <w:kern w:val="2"/>
      <w:sz w:val="28"/>
      <w:lang w:val="en-US" w:eastAsia="zh-CN" w:bidi="ar-SA"/>
    </w:rPr>
  </w:style>
  <w:style w:type="paragraph" w:styleId="20">
    <w:name w:val="Body Text 2"/>
    <w:basedOn w:val="1"/>
    <w:qFormat/>
    <w:uiPriority w:val="0"/>
    <w:pPr>
      <w:adjustRightInd w:val="0"/>
      <w:snapToGrid w:val="0"/>
      <w:spacing w:after="120" w:afterAutospacing="0" w:line="480" w:lineRule="auto"/>
    </w:pPr>
    <w:rPr>
      <w:sz w:val="24"/>
    </w:rPr>
  </w:style>
  <w:style w:type="paragraph" w:styleId="21">
    <w:name w:val="Body Text First Indent"/>
    <w:basedOn w:val="7"/>
    <w:next w:val="1"/>
    <w:qFormat/>
    <w:uiPriority w:val="0"/>
    <w:pPr>
      <w:spacing w:line="360" w:lineRule="auto"/>
      <w:ind w:firstLine="420"/>
    </w:pPr>
    <w:rPr>
      <w:rFonts w:ascii="宋体" w:hAnsi="宋体"/>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ascii="Times New Roman" w:hAnsi="Times New Roman" w:eastAsia="宋体" w:cs="Times New Roman"/>
    </w:rPr>
  </w:style>
  <w:style w:type="character" w:styleId="26">
    <w:name w:val="Emphasis"/>
    <w:basedOn w:val="24"/>
    <w:qFormat/>
    <w:uiPriority w:val="0"/>
    <w:rPr>
      <w:i/>
    </w:rPr>
  </w:style>
  <w:style w:type="character" w:styleId="27">
    <w:name w:val="Hyperlink"/>
    <w:qFormat/>
    <w:uiPriority w:val="99"/>
    <w:rPr>
      <w:rFonts w:ascii="Times New Roman" w:hAnsi="Times New Roman" w:eastAsia="宋体" w:cs="Times New Roman"/>
      <w:color w:val="0000FF"/>
      <w:u w:val="single"/>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标准正文"/>
    <w:basedOn w:val="8"/>
    <w:qFormat/>
    <w:uiPriority w:val="0"/>
    <w:pPr>
      <w:spacing w:before="60" w:after="60" w:line="360" w:lineRule="auto"/>
      <w:ind w:left="0" w:firstLine="482"/>
    </w:pPr>
    <w:rPr>
      <w:rFonts w:ascii="Arial" w:hAnsi="Arial" w:eastAsia="宋体" w:cs="Times New Roman"/>
      <w:sz w:val="24"/>
    </w:rPr>
  </w:style>
  <w:style w:type="paragraph" w:customStyle="1" w:styleId="30">
    <w:name w:val="样式 正文首行缩进 + 首行缩进:  2 字符1 Char Char"/>
    <w:basedOn w:val="21"/>
    <w:qFormat/>
    <w:uiPriority w:val="0"/>
    <w:pPr>
      <w:adjustRightInd w:val="0"/>
      <w:spacing w:line="400" w:lineRule="exact"/>
      <w:ind w:firstLine="480" w:firstLineChars="200"/>
      <w:textAlignment w:val="baseline"/>
    </w:pPr>
    <w:rPr>
      <w:rFonts w:eastAsia="仿宋_GB2312" w:cs="宋体"/>
      <w:color w:val="000000"/>
      <w:szCs w:val="24"/>
    </w:rPr>
  </w:style>
  <w:style w:type="paragraph" w:customStyle="1" w:styleId="31">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
    <w:name w:val="图例"/>
    <w:basedOn w:val="1"/>
    <w:qFormat/>
    <w:uiPriority w:val="0"/>
    <w:pPr>
      <w:spacing w:before="120" w:beforeAutospacing="0" w:after="120" w:afterAutospacing="0" w:line="360" w:lineRule="auto"/>
      <w:jc w:val="center"/>
    </w:pPr>
    <w:rPr>
      <w:rFonts w:ascii="Times New Roman" w:hAnsi="Times New Roman" w:eastAsia="仿宋_GB2312" w:cs="Times New Roman"/>
      <w:b/>
      <w:sz w:val="24"/>
    </w:rPr>
  </w:style>
  <w:style w:type="paragraph" w:customStyle="1" w:styleId="33">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14666</Words>
  <Characters>15792</Characters>
  <Lines>0</Lines>
  <Paragraphs>0</Paragraphs>
  <TotalTime>0</TotalTime>
  <ScaleCrop>false</ScaleCrop>
  <LinksUpToDate>false</LinksUpToDate>
  <CharactersWithSpaces>15881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2023-05-11T07:01:00Z</dcterms:created>
  <dc:creator>ZB</dc:creator>
  <cp:lastModifiedBy>Lucky°</cp:lastModifiedBy>
  <dcterms:modified xsi:type="dcterms:W3CDTF">2025-06-30T02:00:39Z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71F5D1890FC646C4BC1DFC2F1958740A</vt:lpwstr>
  </property>
  <property fmtid="{D5CDD505-2E9C-101B-9397-08002B2CF9AE}" pid="4" name="KSOTemplateDocerSaveRecord">
    <vt:lpwstr>eyJoZGlkIjoiZmVlMTg3YWE5YTQyNDkzZGIwYThhYmQ2MmJjOGI3NTMiLCJ1c2VySWQiOiIxOTI2OTYyNzIifQ==</vt:lpwstr>
  </property>
</Properties>
</file>