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pacing w:after="150"/>
        <w:jc w:val="center"/>
        <w:outlineLvl w:val="0"/>
        <w:rPr>
          <w:rFonts w:hint="eastAsia" w:ascii="方正小标宋_GBK" w:hAnsi="微软雅黑" w:eastAsia="方正小标宋_GBK" w:cs="宋体"/>
          <w:b/>
          <w:bCs/>
          <w:kern w:val="36"/>
          <w:sz w:val="44"/>
          <w:szCs w:val="44"/>
        </w:rPr>
      </w:pPr>
      <w:r>
        <w:rPr>
          <w:rFonts w:hint="eastAsia" w:ascii="方正小标宋_GBK" w:hAnsi="微软雅黑" w:eastAsia="方正小标宋_GBK" w:cs="宋体"/>
          <w:b/>
          <w:bCs/>
          <w:kern w:val="36"/>
          <w:sz w:val="44"/>
          <w:szCs w:val="44"/>
        </w:rPr>
        <w:t>石柱土家族自治县中医院</w:t>
      </w:r>
    </w:p>
    <w:p>
      <w:pPr>
        <w:widowControl/>
        <w:shd w:val="clear" w:color="auto" w:fill="FFFFFF"/>
        <w:spacing w:after="150"/>
        <w:jc w:val="center"/>
        <w:outlineLvl w:val="0"/>
        <w:rPr>
          <w:rFonts w:hint="eastAsia" w:ascii="方正小标宋_GBK" w:hAnsi="方正小标宋_GBK" w:eastAsia="方正小标宋_GBK" w:cs="方正小标宋_GBK"/>
          <w:b/>
          <w:bCs/>
          <w:sz w:val="44"/>
          <w:szCs w:val="44"/>
        </w:rPr>
      </w:pPr>
      <w:r>
        <w:rPr>
          <w:rFonts w:hint="eastAsia" w:ascii="方正小标宋_GBK" w:hAnsi="微软雅黑" w:eastAsia="方正小标宋_GBK" w:cs="微软雅黑"/>
          <w:b/>
          <w:sz w:val="44"/>
          <w:szCs w:val="44"/>
        </w:rPr>
        <w:t>关于</w:t>
      </w:r>
      <w:r>
        <w:rPr>
          <w:rFonts w:hint="eastAsia" w:ascii="方正小标宋_GBK" w:hAnsi="微软雅黑" w:eastAsia="方正小标宋_GBK" w:cs="微软雅黑"/>
          <w:b/>
          <w:sz w:val="44"/>
          <w:szCs w:val="44"/>
          <w:lang w:eastAsia="zh-CN"/>
        </w:rPr>
        <w:t>采购</w:t>
      </w:r>
      <w:r>
        <w:rPr>
          <w:rFonts w:hint="eastAsia" w:ascii="方正小标宋_GBK" w:hAnsi="微软雅黑" w:eastAsia="方正小标宋_GBK" w:cs="微软雅黑"/>
          <w:b/>
          <w:sz w:val="44"/>
          <w:szCs w:val="44"/>
          <w:lang w:val="en-US" w:eastAsia="zh-CN"/>
        </w:rPr>
        <w:t>心肺复苏机</w:t>
      </w:r>
      <w:r>
        <w:rPr>
          <w:rFonts w:hint="eastAsia" w:ascii="方正小标宋_GBK" w:hAnsi="方正小标宋_GBK" w:eastAsia="方正小标宋_GBK" w:cs="方正小标宋_GBK"/>
          <w:b/>
          <w:bCs/>
          <w:sz w:val="44"/>
          <w:szCs w:val="44"/>
          <w:lang w:eastAsia="zh-CN"/>
        </w:rPr>
        <w:t>网上竞采</w:t>
      </w:r>
      <w:r>
        <w:rPr>
          <w:rFonts w:hint="eastAsia" w:ascii="方正小标宋_GBK" w:hAnsi="方正小标宋_GBK" w:eastAsia="方正小标宋_GBK" w:cs="方正小标宋_GBK"/>
          <w:b/>
          <w:bCs/>
          <w:kern w:val="36"/>
          <w:sz w:val="44"/>
          <w:szCs w:val="44"/>
        </w:rPr>
        <w:t>文件</w:t>
      </w:r>
    </w:p>
    <w:p>
      <w:pPr>
        <w:widowControl/>
        <w:spacing w:line="288" w:lineRule="auto"/>
        <w:ind w:firstLine="640" w:firstLineChars="200"/>
        <w:rPr>
          <w:rFonts w:hint="eastAsia" w:ascii="方正仿宋_GBK" w:hAnsi="宋体" w:eastAsia="方正仿宋_GBK" w:cs="仿宋_GB2312"/>
          <w:color w:val="000000"/>
          <w:kern w:val="0"/>
          <w:sz w:val="32"/>
          <w:szCs w:val="32"/>
          <w:lang w:eastAsia="zh-CN"/>
        </w:rPr>
      </w:pPr>
      <w:r>
        <w:rPr>
          <w:rFonts w:hint="eastAsia" w:ascii="方正仿宋_GBK" w:hAnsi="宋体" w:eastAsia="方正仿宋_GBK" w:cs="仿宋_GB2312"/>
          <w:color w:val="000000"/>
          <w:kern w:val="0"/>
          <w:sz w:val="32"/>
          <w:szCs w:val="32"/>
        </w:rPr>
        <w:t>因业务发展需要，我院拟</w:t>
      </w:r>
      <w:r>
        <w:rPr>
          <w:rFonts w:hint="eastAsia" w:ascii="方正仿宋_GBK" w:hAnsi="宋体" w:eastAsia="方正仿宋_GBK" w:cs="仿宋_GB2312"/>
          <w:color w:val="000000"/>
          <w:kern w:val="0"/>
          <w:sz w:val="32"/>
          <w:szCs w:val="32"/>
          <w:lang w:eastAsia="zh-CN"/>
        </w:rPr>
        <w:t>对</w:t>
      </w:r>
      <w:r>
        <w:rPr>
          <w:rFonts w:hint="eastAsia" w:ascii="方正仿宋_GBK" w:hAnsi="宋体" w:eastAsia="方正仿宋_GBK" w:cs="仿宋_GB2312"/>
          <w:color w:val="000000"/>
          <w:kern w:val="0"/>
          <w:sz w:val="32"/>
          <w:szCs w:val="32"/>
          <w:lang w:val="en-US" w:eastAsia="zh-CN"/>
        </w:rPr>
        <w:t>心肺复苏机</w:t>
      </w:r>
      <w:r>
        <w:rPr>
          <w:rFonts w:hint="eastAsia" w:ascii="方正仿宋_GBK" w:hAnsi="宋体" w:eastAsia="方正仿宋_GBK" w:cs="仿宋_GB2312"/>
          <w:color w:val="000000"/>
          <w:kern w:val="0"/>
          <w:sz w:val="32"/>
          <w:szCs w:val="32"/>
          <w:lang w:eastAsia="zh-CN"/>
        </w:rPr>
        <w:t>进行询价采购，请符合相关条件的供应商前来参与。</w:t>
      </w:r>
    </w:p>
    <w:p>
      <w:pPr>
        <w:numPr>
          <w:ilvl w:val="0"/>
          <w:numId w:val="1"/>
        </w:numPr>
        <w:adjustRightInd w:val="0"/>
        <w:snapToGrid w:val="0"/>
        <w:spacing w:line="560" w:lineRule="exact"/>
        <w:ind w:firstLine="560"/>
        <w:rPr>
          <w:rFonts w:ascii="方正仿宋_GBK" w:hAnsi="宋体" w:eastAsia="方正仿宋_GBK" w:cs="仿宋_GB2312"/>
          <w:color w:val="000000"/>
          <w:kern w:val="0"/>
          <w:sz w:val="32"/>
          <w:szCs w:val="32"/>
        </w:rPr>
      </w:pPr>
      <w:r>
        <w:rPr>
          <w:rFonts w:hint="eastAsia" w:ascii="方正仿宋_GBK" w:hAnsi="宋体" w:eastAsia="方正仿宋_GBK" w:cs="仿宋_GB2312"/>
          <w:color w:val="000000"/>
          <w:kern w:val="0"/>
          <w:sz w:val="32"/>
          <w:szCs w:val="32"/>
        </w:rPr>
        <w:t>采购设备内容要求</w:t>
      </w:r>
    </w:p>
    <w:tbl>
      <w:tblPr>
        <w:tblStyle w:val="25"/>
        <w:tblW w:w="8078" w:type="dxa"/>
        <w:jc w:val="center"/>
        <w:tblCellSpacing w:w="0" w:type="dxa"/>
        <w:tblLayout w:type="fixed"/>
        <w:tblCellMar>
          <w:top w:w="0" w:type="dxa"/>
          <w:left w:w="0" w:type="dxa"/>
          <w:bottom w:w="0" w:type="dxa"/>
          <w:right w:w="0" w:type="dxa"/>
        </w:tblCellMar>
      </w:tblPr>
      <w:tblGrid>
        <w:gridCol w:w="783"/>
        <w:gridCol w:w="3444"/>
        <w:gridCol w:w="870"/>
        <w:gridCol w:w="690"/>
        <w:gridCol w:w="2291"/>
      </w:tblGrid>
      <w:tr>
        <w:tblPrEx>
          <w:tblCellMar>
            <w:top w:w="0" w:type="dxa"/>
            <w:left w:w="0" w:type="dxa"/>
            <w:bottom w:w="0" w:type="dxa"/>
            <w:right w:w="0" w:type="dxa"/>
          </w:tblCellMar>
        </w:tblPrEx>
        <w:trPr>
          <w:tblCellSpacing w:w="0" w:type="dxa"/>
          <w:jc w:val="center"/>
        </w:trPr>
        <w:tc>
          <w:tcPr>
            <w:tcW w:w="783" w:type="dxa"/>
            <w:tcBorders>
              <w:top w:val="single" w:color="auto" w:sz="4" w:space="0"/>
              <w:left w:val="single" w:color="auto" w:sz="8" w:space="0"/>
              <w:bottom w:val="single" w:color="auto" w:sz="4" w:space="0"/>
              <w:right w:val="single" w:color="000000" w:sz="8" w:space="0"/>
            </w:tcBorders>
            <w:vAlign w:val="center"/>
          </w:tcPr>
          <w:p>
            <w:pPr>
              <w:widowControl/>
              <w:spacing w:line="288" w:lineRule="auto"/>
              <w:rPr>
                <w:rFonts w:ascii="方正仿宋_GBK" w:eastAsia="方正仿宋_GBK" w:cs="仿宋_GB2312"/>
                <w:color w:val="000000"/>
                <w:kern w:val="0"/>
                <w:sz w:val="30"/>
                <w:szCs w:val="30"/>
              </w:rPr>
            </w:pPr>
            <w:r>
              <w:rPr>
                <w:rFonts w:hint="eastAsia" w:ascii="方正仿宋_GBK" w:hAnsi="宋体" w:eastAsia="方正仿宋_GBK" w:cs="仿宋_GB2312"/>
                <w:color w:val="000000"/>
                <w:kern w:val="0"/>
                <w:sz w:val="30"/>
                <w:szCs w:val="30"/>
              </w:rPr>
              <w:t>序号</w:t>
            </w:r>
          </w:p>
        </w:tc>
        <w:tc>
          <w:tcPr>
            <w:tcW w:w="3444" w:type="dxa"/>
            <w:tcBorders>
              <w:top w:val="single" w:color="auto" w:sz="4" w:space="0"/>
              <w:left w:val="single" w:color="000000" w:sz="8" w:space="0"/>
              <w:bottom w:val="single" w:color="auto" w:sz="4" w:space="0"/>
              <w:right w:val="single" w:color="000000" w:sz="8" w:space="0"/>
            </w:tcBorders>
            <w:vAlign w:val="center"/>
          </w:tcPr>
          <w:p>
            <w:pPr>
              <w:widowControl/>
              <w:spacing w:line="288" w:lineRule="auto"/>
              <w:ind w:firstLine="1500" w:firstLineChars="500"/>
              <w:rPr>
                <w:rFonts w:ascii="方正仿宋_GBK" w:eastAsia="方正仿宋_GBK" w:cs="仿宋_GB2312"/>
                <w:color w:val="000000"/>
                <w:kern w:val="0"/>
                <w:sz w:val="30"/>
                <w:szCs w:val="30"/>
              </w:rPr>
            </w:pPr>
            <w:r>
              <w:rPr>
                <w:rFonts w:hint="eastAsia" w:ascii="方正仿宋_GBK" w:hAnsi="宋体" w:eastAsia="方正仿宋_GBK" w:cs="仿宋_GB2312"/>
                <w:color w:val="000000"/>
                <w:kern w:val="0"/>
                <w:sz w:val="30"/>
                <w:szCs w:val="30"/>
              </w:rPr>
              <w:t>名称</w:t>
            </w:r>
          </w:p>
        </w:tc>
        <w:tc>
          <w:tcPr>
            <w:tcW w:w="870" w:type="dxa"/>
            <w:tcBorders>
              <w:top w:val="single" w:color="auto" w:sz="4" w:space="0"/>
              <w:left w:val="single" w:color="000000" w:sz="8" w:space="0"/>
              <w:bottom w:val="single" w:color="auto" w:sz="4" w:space="0"/>
              <w:right w:val="single" w:color="000000" w:sz="8" w:space="0"/>
            </w:tcBorders>
            <w:vAlign w:val="center"/>
          </w:tcPr>
          <w:p>
            <w:pPr>
              <w:widowControl/>
              <w:spacing w:line="288" w:lineRule="auto"/>
              <w:jc w:val="center"/>
              <w:rPr>
                <w:rFonts w:hint="eastAsia" w:ascii="方正仿宋_GBK" w:hAnsi="宋体" w:eastAsia="方正仿宋_GBK" w:cs="仿宋_GB2312"/>
                <w:color w:val="000000"/>
                <w:kern w:val="0"/>
                <w:sz w:val="30"/>
                <w:szCs w:val="30"/>
                <w:lang w:val="en-US" w:eastAsia="zh-CN"/>
              </w:rPr>
            </w:pPr>
            <w:r>
              <w:rPr>
                <w:rFonts w:hint="eastAsia" w:ascii="方正仿宋_GBK" w:hAnsi="宋体" w:eastAsia="方正仿宋_GBK" w:cs="仿宋_GB2312"/>
                <w:color w:val="000000"/>
                <w:kern w:val="0"/>
                <w:sz w:val="30"/>
                <w:szCs w:val="30"/>
                <w:lang w:val="en-US" w:eastAsia="zh-CN"/>
              </w:rPr>
              <w:t>单位</w:t>
            </w:r>
          </w:p>
        </w:tc>
        <w:tc>
          <w:tcPr>
            <w:tcW w:w="690" w:type="dxa"/>
            <w:tcBorders>
              <w:top w:val="single" w:color="auto" w:sz="4" w:space="0"/>
              <w:left w:val="single" w:color="000000" w:sz="8" w:space="0"/>
              <w:bottom w:val="single" w:color="auto" w:sz="4" w:space="0"/>
              <w:right w:val="single" w:color="000000" w:sz="8" w:space="0"/>
            </w:tcBorders>
            <w:vAlign w:val="center"/>
          </w:tcPr>
          <w:p>
            <w:pPr>
              <w:widowControl/>
              <w:spacing w:line="288" w:lineRule="auto"/>
              <w:jc w:val="center"/>
              <w:rPr>
                <w:rFonts w:ascii="方正仿宋_GBK" w:eastAsia="方正仿宋_GBK" w:cs="仿宋_GB2312"/>
                <w:color w:val="000000"/>
                <w:kern w:val="0"/>
                <w:sz w:val="30"/>
                <w:szCs w:val="30"/>
              </w:rPr>
            </w:pPr>
            <w:r>
              <w:rPr>
                <w:rFonts w:hint="eastAsia" w:ascii="方正仿宋_GBK" w:hAnsi="宋体" w:eastAsia="方正仿宋_GBK" w:cs="仿宋_GB2312"/>
                <w:color w:val="000000"/>
                <w:kern w:val="0"/>
                <w:sz w:val="30"/>
                <w:szCs w:val="30"/>
              </w:rPr>
              <w:t>数量</w:t>
            </w:r>
          </w:p>
        </w:tc>
        <w:tc>
          <w:tcPr>
            <w:tcW w:w="2291" w:type="dxa"/>
            <w:tcBorders>
              <w:top w:val="single" w:color="auto" w:sz="4" w:space="0"/>
              <w:left w:val="single" w:color="000000" w:sz="8" w:space="0"/>
              <w:bottom w:val="single" w:color="auto" w:sz="4" w:space="0"/>
              <w:right w:val="single" w:color="auto" w:sz="4" w:space="0"/>
            </w:tcBorders>
            <w:vAlign w:val="center"/>
          </w:tcPr>
          <w:p>
            <w:pPr>
              <w:widowControl/>
              <w:spacing w:line="288" w:lineRule="auto"/>
              <w:jc w:val="center"/>
              <w:rPr>
                <w:rFonts w:ascii="方正仿宋_GBK" w:eastAsia="方正仿宋_GBK" w:cs="仿宋_GB2312"/>
                <w:color w:val="000000"/>
                <w:kern w:val="0"/>
                <w:sz w:val="32"/>
                <w:szCs w:val="32"/>
              </w:rPr>
            </w:pPr>
            <w:r>
              <w:rPr>
                <w:rFonts w:hint="eastAsia" w:ascii="方正仿宋_GBK" w:hAnsi="宋体" w:eastAsia="方正仿宋_GBK" w:cs="仿宋_GB2312"/>
                <w:color w:val="000000"/>
                <w:kern w:val="0"/>
                <w:sz w:val="32"/>
                <w:szCs w:val="32"/>
              </w:rPr>
              <w:t>最高限价（元）</w:t>
            </w:r>
          </w:p>
        </w:tc>
      </w:tr>
      <w:tr>
        <w:tblPrEx>
          <w:tblCellMar>
            <w:top w:w="0" w:type="dxa"/>
            <w:left w:w="0" w:type="dxa"/>
            <w:bottom w:w="0" w:type="dxa"/>
            <w:right w:w="0" w:type="dxa"/>
          </w:tblCellMar>
        </w:tblPrEx>
        <w:trPr>
          <w:trHeight w:val="500" w:hRule="atLeast"/>
          <w:tblCellSpacing w:w="0" w:type="dxa"/>
          <w:jc w:val="center"/>
        </w:trPr>
        <w:tc>
          <w:tcPr>
            <w:tcW w:w="783"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_GBK" w:hAnsi="宋体" w:eastAsia="方正仿宋_GBK" w:cs="仿宋_GB2312"/>
                <w:b w:val="0"/>
                <w:bCs w:val="0"/>
                <w:color w:val="000000"/>
                <w:kern w:val="0"/>
                <w:sz w:val="30"/>
                <w:szCs w:val="30"/>
              </w:rPr>
            </w:pPr>
            <w:r>
              <w:rPr>
                <w:rFonts w:hint="eastAsia" w:ascii="宋体" w:hAnsi="宋体" w:eastAsia="宋体"/>
                <w:sz w:val="24"/>
                <w:szCs w:val="24"/>
              </w:rPr>
              <w:t>1</w:t>
            </w:r>
          </w:p>
        </w:tc>
        <w:tc>
          <w:tcPr>
            <w:tcW w:w="34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val="0"/>
                <w:bCs w:val="0"/>
                <w:color w:val="000000"/>
                <w:kern w:val="0"/>
                <w:sz w:val="24"/>
                <w:szCs w:val="24"/>
                <w:lang w:val="en-US" w:eastAsia="zh-CN"/>
              </w:rPr>
            </w:pPr>
            <w:r>
              <w:rPr>
                <w:rFonts w:hint="eastAsia" w:ascii="方正仿宋_GBK" w:hAnsi="宋体" w:eastAsia="方正仿宋_GBK" w:cs="仿宋_GB2312"/>
                <w:color w:val="000000"/>
                <w:kern w:val="0"/>
                <w:sz w:val="32"/>
                <w:szCs w:val="32"/>
                <w:lang w:val="en-US" w:eastAsia="zh-CN"/>
              </w:rPr>
              <w:t>心肺复苏机</w:t>
            </w:r>
          </w:p>
        </w:tc>
        <w:tc>
          <w:tcPr>
            <w:tcW w:w="870" w:type="dxa"/>
            <w:tcBorders>
              <w:top w:val="single" w:color="auto" w:sz="4" w:space="0"/>
              <w:left w:val="single" w:color="auto" w:sz="4" w:space="0"/>
              <w:bottom w:val="single" w:color="auto" w:sz="4" w:space="0"/>
              <w:right w:val="single" w:color="auto" w:sz="4" w:space="0"/>
            </w:tcBorders>
            <w:vAlign w:val="center"/>
          </w:tcPr>
          <w:p>
            <w:pPr>
              <w:widowControl/>
              <w:spacing w:line="288" w:lineRule="auto"/>
              <w:ind w:firstLine="240" w:firstLineChars="100"/>
              <w:jc w:val="center"/>
              <w:rPr>
                <w:rFonts w:hint="eastAsia" w:asciiTheme="majorEastAsia" w:hAnsiTheme="majorEastAsia" w:eastAsiaTheme="majorEastAsia" w:cstheme="majorEastAsia"/>
                <w:b w:val="0"/>
                <w:bCs w:val="0"/>
                <w:color w:val="000000"/>
                <w:kern w:val="0"/>
                <w:sz w:val="24"/>
                <w:szCs w:val="24"/>
                <w:lang w:val="en-US" w:eastAsia="zh-CN"/>
              </w:rPr>
            </w:pPr>
            <w:r>
              <w:rPr>
                <w:rFonts w:hint="eastAsia" w:asciiTheme="majorEastAsia" w:hAnsiTheme="majorEastAsia" w:eastAsiaTheme="majorEastAsia" w:cstheme="majorEastAsia"/>
                <w:b w:val="0"/>
                <w:bCs w:val="0"/>
                <w:color w:val="000000"/>
                <w:kern w:val="0"/>
                <w:sz w:val="24"/>
                <w:szCs w:val="24"/>
                <w:lang w:val="en-US" w:eastAsia="zh-CN"/>
              </w:rPr>
              <w:t>台</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ajorEastAsia" w:hAnsiTheme="majorEastAsia" w:eastAsiaTheme="majorEastAsia" w:cstheme="majorEastAsia"/>
                <w:b w:val="0"/>
                <w:bCs w:val="0"/>
                <w:color w:val="000000"/>
                <w:kern w:val="0"/>
                <w:sz w:val="24"/>
                <w:szCs w:val="24"/>
                <w:lang w:val="en-US"/>
              </w:rPr>
            </w:pPr>
            <w:r>
              <w:rPr>
                <w:rFonts w:hint="default" w:asciiTheme="majorEastAsia" w:hAnsiTheme="majorEastAsia" w:eastAsiaTheme="majorEastAsia" w:cstheme="majorEastAsia"/>
                <w:b w:val="0"/>
                <w:bCs w:val="0"/>
                <w:color w:val="000000"/>
                <w:kern w:val="0"/>
                <w:sz w:val="24"/>
                <w:szCs w:val="24"/>
                <w:lang w:val="en-US"/>
              </w:rPr>
              <w:t>1</w:t>
            </w:r>
          </w:p>
        </w:tc>
        <w:tc>
          <w:tcPr>
            <w:tcW w:w="2291" w:type="dxa"/>
            <w:tcBorders>
              <w:top w:val="single" w:color="auto" w:sz="4" w:space="0"/>
              <w:left w:val="single" w:color="auto" w:sz="4" w:space="0"/>
              <w:right w:val="single" w:color="auto" w:sz="4" w:space="0"/>
            </w:tcBorders>
            <w:vAlign w:val="center"/>
          </w:tcPr>
          <w:p>
            <w:pPr>
              <w:jc w:val="center"/>
              <w:rPr>
                <w:rFonts w:hint="default" w:ascii="方正仿宋_GBK" w:hAnsi="宋体" w:eastAsia="方正仿宋_GBK" w:cs="仿宋_GB2312"/>
                <w:color w:val="000000"/>
                <w:kern w:val="0"/>
                <w:sz w:val="32"/>
                <w:szCs w:val="32"/>
                <w:lang w:val="en-US"/>
              </w:rPr>
            </w:pPr>
            <w:r>
              <w:rPr>
                <w:rFonts w:hint="default" w:ascii="方正仿宋_GBK" w:hAnsi="宋体" w:eastAsia="方正仿宋_GBK" w:cs="仿宋_GB2312"/>
                <w:color w:val="000000"/>
                <w:kern w:val="0"/>
                <w:sz w:val="32"/>
                <w:szCs w:val="32"/>
                <w:lang w:val="en-US"/>
              </w:rPr>
              <w:t>135000</w:t>
            </w:r>
          </w:p>
        </w:tc>
      </w:tr>
    </w:tbl>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二、采购方式</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询价采购</w:t>
      </w:r>
      <w:bookmarkStart w:id="3" w:name="_GoBack"/>
      <w:bookmarkEnd w:id="3"/>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三、有关说明</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（一）</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 xml:space="preserve">文件获取方式 </w:t>
      </w:r>
      <w:r>
        <w:rPr>
          <w:rFonts w:hint="eastAsia" w:ascii="方正仿宋_GBK" w:hAnsi="宋体" w:eastAsia="方正仿宋_GBK"/>
          <w:sz w:val="32"/>
          <w:szCs w:val="32"/>
          <w:lang w:eastAsia="zh-CN"/>
        </w:rPr>
        <w:t>石柱小额采购</w:t>
      </w:r>
      <w:r>
        <w:rPr>
          <w:rFonts w:hint="eastAsia" w:ascii="方正仿宋_GBK" w:hAnsi="宋体" w:eastAsia="方正仿宋_GBK"/>
          <w:sz w:val="32"/>
          <w:szCs w:val="32"/>
        </w:rPr>
        <w:t>https://cqsz.gec123.com/。</w:t>
      </w:r>
    </w:p>
    <w:p>
      <w:pPr>
        <w:adjustRightInd w:val="0"/>
        <w:snapToGrid w:val="0"/>
        <w:spacing w:line="560" w:lineRule="exact"/>
        <w:ind w:firstLine="640" w:firstLineChars="200"/>
        <w:rPr>
          <w:rFonts w:hint="eastAsia" w:ascii="方正仿宋_GBK" w:eastAsia="方正仿宋_GBK" w:hAnsiTheme="minorEastAsia"/>
          <w:color w:val="auto"/>
          <w:sz w:val="32"/>
          <w:szCs w:val="32"/>
          <w:lang w:eastAsia="zh-CN"/>
        </w:rPr>
      </w:pPr>
      <w:r>
        <w:rPr>
          <w:rFonts w:hint="eastAsia" w:ascii="方正仿宋_GBK" w:hAnsi="宋体" w:eastAsia="方正仿宋_GBK"/>
          <w:sz w:val="32"/>
          <w:szCs w:val="32"/>
        </w:rPr>
        <w:t>（二）</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w:t>
      </w:r>
      <w:r>
        <w:rPr>
          <w:rFonts w:hint="eastAsia" w:ascii="方正仿宋_GBK" w:hAnsi="宋体" w:eastAsia="方正仿宋_GBK"/>
          <w:sz w:val="32"/>
          <w:szCs w:val="32"/>
          <w:lang w:eastAsia="zh-CN"/>
        </w:rPr>
        <w:t>原件</w:t>
      </w:r>
      <w:r>
        <w:rPr>
          <w:rFonts w:hint="eastAsia" w:ascii="方正仿宋_GBK" w:hAnsi="宋体" w:eastAsia="方正仿宋_GBK"/>
          <w:sz w:val="32"/>
          <w:szCs w:val="32"/>
        </w:rPr>
        <w:t>递交</w:t>
      </w:r>
      <w:r>
        <w:rPr>
          <w:rFonts w:hint="eastAsia" w:ascii="方正仿宋_GBK" w:hAnsi="宋体" w:eastAsia="方正仿宋_GBK"/>
          <w:sz w:val="32"/>
          <w:szCs w:val="32"/>
          <w:lang w:eastAsia="zh-CN"/>
        </w:rPr>
        <w:t>及</w:t>
      </w:r>
      <w:r>
        <w:rPr>
          <w:rFonts w:hint="eastAsia" w:ascii="方正仿宋_GBK" w:hAnsi="宋体" w:eastAsia="方正仿宋_GBK"/>
          <w:sz w:val="32"/>
          <w:szCs w:val="32"/>
        </w:rPr>
        <w:t>资质审验时间、地点：</w:t>
      </w:r>
      <w:r>
        <w:rPr>
          <w:rFonts w:hint="eastAsia" w:ascii="方正仿宋_GBK" w:eastAsia="方正仿宋_GBK" w:hAnsiTheme="minorEastAsia"/>
          <w:sz w:val="32"/>
          <w:szCs w:val="32"/>
          <w:shd w:val="clear" w:color="auto" w:fill="FFFFFF"/>
        </w:rPr>
        <w:t>响应文件</w:t>
      </w:r>
      <w:r>
        <w:rPr>
          <w:rFonts w:hint="eastAsia" w:ascii="方正仿宋_GBK" w:eastAsia="方正仿宋_GBK" w:hAnsiTheme="minorEastAsia"/>
          <w:sz w:val="32"/>
          <w:szCs w:val="32"/>
          <w:shd w:val="clear" w:color="auto" w:fill="FFFFFF"/>
          <w:lang w:eastAsia="zh-CN"/>
        </w:rPr>
        <w:t>原件</w:t>
      </w:r>
      <w:r>
        <w:rPr>
          <w:rFonts w:hint="eastAsia" w:ascii="方正仿宋_GBK" w:eastAsia="方正仿宋_GBK" w:hAnsiTheme="minorEastAsia"/>
          <w:sz w:val="32"/>
          <w:szCs w:val="32"/>
          <w:shd w:val="clear" w:color="auto" w:fill="FFFFFF"/>
        </w:rPr>
        <w:t>递交按</w:t>
      </w:r>
      <w:r>
        <w:rPr>
          <w:rFonts w:hint="eastAsia" w:ascii="方正仿宋_GBK" w:hAnsi="宋体" w:eastAsia="方正仿宋_GBK"/>
          <w:sz w:val="32"/>
          <w:szCs w:val="32"/>
          <w:lang w:eastAsia="zh-CN"/>
        </w:rPr>
        <w:t>石柱小额采购</w:t>
      </w:r>
      <w:r>
        <w:rPr>
          <w:rFonts w:hint="eastAsia" w:ascii="方正仿宋_GBK" w:hAnsi="宋体" w:eastAsia="方正仿宋_GBK"/>
          <w:sz w:val="32"/>
          <w:szCs w:val="32"/>
        </w:rPr>
        <w:t>网上竞采</w:t>
      </w:r>
      <w:r>
        <w:rPr>
          <w:rFonts w:hint="eastAsia" w:ascii="方正仿宋_GBK" w:eastAsia="方正仿宋_GBK" w:hAnsiTheme="minorEastAsia"/>
          <w:sz w:val="32"/>
          <w:szCs w:val="32"/>
          <w:shd w:val="clear" w:color="auto" w:fill="FFFFFF"/>
        </w:rPr>
        <w:t>公告的要求进行。</w:t>
      </w:r>
      <w:r>
        <w:rPr>
          <w:rFonts w:hint="eastAsia" w:ascii="方正仿宋_GBK" w:hAnsi="宋体" w:eastAsia="方正仿宋_GBK"/>
          <w:color w:val="auto"/>
          <w:sz w:val="32"/>
          <w:szCs w:val="32"/>
          <w:lang w:val="en-US" w:eastAsia="zh-CN"/>
        </w:rPr>
        <w:t>投标</w:t>
      </w:r>
      <w:r>
        <w:rPr>
          <w:rFonts w:hint="eastAsia" w:ascii="方正仿宋_GBK" w:hAnsi="宋体" w:eastAsia="方正仿宋_GBK"/>
          <w:color w:val="auto"/>
          <w:sz w:val="32"/>
          <w:szCs w:val="32"/>
        </w:rPr>
        <w:t>公司在</w:t>
      </w:r>
      <w:r>
        <w:rPr>
          <w:rFonts w:hint="eastAsia" w:ascii="方正仿宋_GBK" w:hAnsi="宋体" w:eastAsia="方正仿宋_GBK"/>
          <w:color w:val="auto"/>
          <w:sz w:val="32"/>
          <w:szCs w:val="32"/>
          <w:lang w:val="en-US" w:eastAsia="zh-CN"/>
        </w:rPr>
        <w:t>网上投标后</w:t>
      </w:r>
      <w:r>
        <w:rPr>
          <w:rFonts w:hint="default" w:ascii="方正仿宋_GBK" w:hAnsi="宋体" w:eastAsia="方正仿宋_GBK"/>
          <w:color w:val="auto"/>
          <w:sz w:val="32"/>
          <w:szCs w:val="32"/>
          <w:lang w:val="en-US" w:eastAsia="zh-CN"/>
        </w:rPr>
        <w:t>3</w:t>
      </w:r>
      <w:r>
        <w:rPr>
          <w:rFonts w:hint="eastAsia" w:ascii="方正仿宋_GBK" w:hAnsi="宋体" w:eastAsia="方正仿宋_GBK"/>
          <w:color w:val="auto"/>
          <w:sz w:val="32"/>
          <w:szCs w:val="32"/>
          <w:lang w:val="en-US" w:eastAsia="zh-CN"/>
        </w:rPr>
        <w:t>个工作日内</w:t>
      </w:r>
      <w:r>
        <w:rPr>
          <w:rFonts w:hint="eastAsia" w:ascii="方正仿宋_GBK" w:hAnsi="宋体" w:eastAsia="方正仿宋_GBK"/>
          <w:color w:val="auto"/>
          <w:sz w:val="32"/>
          <w:szCs w:val="32"/>
        </w:rPr>
        <w:t>将上传</w:t>
      </w:r>
      <w:r>
        <w:rPr>
          <w:rFonts w:hint="eastAsia" w:ascii="方正仿宋_GBK" w:hAnsi="宋体" w:eastAsia="方正仿宋_GBK"/>
          <w:color w:val="auto"/>
          <w:sz w:val="32"/>
          <w:szCs w:val="32"/>
          <w:lang w:val="en-US" w:eastAsia="zh-CN"/>
        </w:rPr>
        <w:t>的投标文件原件</w:t>
      </w:r>
      <w:r>
        <w:rPr>
          <w:rFonts w:hint="eastAsia" w:ascii="方正仿宋_GBK" w:hAnsi="宋体" w:eastAsia="方正仿宋_GBK"/>
          <w:color w:val="auto"/>
          <w:sz w:val="32"/>
          <w:szCs w:val="32"/>
        </w:rPr>
        <w:t>交到石柱县中医院行政</w:t>
      </w:r>
      <w:r>
        <w:rPr>
          <w:rFonts w:hint="default" w:ascii="方正仿宋_GBK" w:hAnsi="宋体" w:eastAsia="方正仿宋_GBK"/>
          <w:color w:val="auto"/>
          <w:sz w:val="32"/>
          <w:szCs w:val="32"/>
          <w:lang w:val="en-US"/>
        </w:rPr>
        <w:t>3</w:t>
      </w:r>
      <w:r>
        <w:rPr>
          <w:rFonts w:hint="eastAsia" w:ascii="方正仿宋_GBK" w:hAnsi="宋体" w:eastAsia="方正仿宋_GBK"/>
          <w:color w:val="auto"/>
          <w:sz w:val="32"/>
          <w:szCs w:val="32"/>
        </w:rPr>
        <w:t>楼</w:t>
      </w:r>
      <w:r>
        <w:rPr>
          <w:rFonts w:hint="eastAsia" w:ascii="方正仿宋_GBK" w:hAnsi="宋体" w:eastAsia="方正仿宋_GBK"/>
          <w:color w:val="auto"/>
          <w:sz w:val="32"/>
          <w:szCs w:val="32"/>
          <w:lang w:eastAsia="zh-CN"/>
        </w:rPr>
        <w:t>医学装备部</w:t>
      </w:r>
      <w:r>
        <w:rPr>
          <w:rFonts w:hint="eastAsia" w:ascii="方正仿宋_GBK" w:hAnsi="宋体" w:eastAsia="方正仿宋_GBK"/>
          <w:color w:val="auto"/>
          <w:sz w:val="32"/>
          <w:szCs w:val="32"/>
        </w:rPr>
        <w:t>进行审验</w:t>
      </w:r>
      <w:r>
        <w:rPr>
          <w:rFonts w:hint="eastAsia" w:ascii="方正仿宋_GBK" w:hAnsi="宋体" w:eastAsia="方正仿宋_GBK"/>
          <w:color w:val="auto"/>
          <w:sz w:val="32"/>
          <w:szCs w:val="32"/>
          <w:lang w:eastAsia="zh-CN"/>
        </w:rPr>
        <w:t>。</w:t>
      </w:r>
    </w:p>
    <w:p>
      <w:pPr>
        <w:snapToGrid w:val="0"/>
        <w:spacing w:line="288" w:lineRule="auto"/>
        <w:ind w:firstLine="640" w:firstLineChars="200"/>
        <w:rPr>
          <w:rFonts w:ascii="方正仿宋_GBK" w:eastAsia="方正仿宋_GBK"/>
          <w:sz w:val="32"/>
          <w:szCs w:val="32"/>
        </w:rPr>
      </w:pPr>
      <w:r>
        <w:rPr>
          <w:rFonts w:hint="eastAsia" w:ascii="方正仿宋_GBK" w:hAnsi="宋体" w:eastAsia="方正仿宋_GBK"/>
          <w:sz w:val="32"/>
          <w:szCs w:val="32"/>
        </w:rPr>
        <w:t>（三）不按规定时间提交资质审验及递交响应文件</w:t>
      </w:r>
      <w:r>
        <w:rPr>
          <w:rFonts w:hint="eastAsia" w:ascii="方正仿宋_GBK" w:hAnsi="宋体" w:eastAsia="方正仿宋_GBK"/>
          <w:sz w:val="32"/>
          <w:szCs w:val="32"/>
          <w:lang w:eastAsia="zh-CN"/>
        </w:rPr>
        <w:t>原件</w:t>
      </w:r>
      <w:r>
        <w:rPr>
          <w:rFonts w:hint="eastAsia" w:ascii="方正仿宋_GBK" w:hAnsi="宋体" w:eastAsia="方正仿宋_GBK"/>
          <w:sz w:val="32"/>
          <w:szCs w:val="32"/>
        </w:rPr>
        <w:t>的，逾期恕不接受，视为自动放弃。</w:t>
      </w:r>
    </w:p>
    <w:p>
      <w:pPr>
        <w:adjustRightInd w:val="0"/>
        <w:snapToGrid w:val="0"/>
        <w:spacing w:line="560" w:lineRule="exact"/>
        <w:ind w:firstLine="800" w:firstLineChars="250"/>
        <w:rPr>
          <w:rFonts w:ascii="方正仿宋_GBK" w:hAnsi="宋体" w:eastAsia="方正仿宋_GBK"/>
          <w:sz w:val="32"/>
          <w:szCs w:val="32"/>
        </w:rPr>
      </w:pPr>
      <w:r>
        <w:rPr>
          <w:rFonts w:hint="eastAsia" w:ascii="方正仿宋_GBK" w:hAnsi="宋体" w:eastAsia="方正仿宋_GBK"/>
          <w:sz w:val="32"/>
          <w:szCs w:val="32"/>
        </w:rPr>
        <w:t>四、</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有关规定</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（一）法定代表人为同一个人的两个及两个以上法人，母公司、全资子公司及其控股公司，都不得在同一货物询价中同时参与询价。</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（二）同一合同包的货物，制造商参与</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询价的，不得再委托代理商参与询价。</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（三）本项目的</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 xml:space="preserve">文件、补遗文件（如果有）一律在 </w:t>
      </w:r>
      <w:r>
        <w:rPr>
          <w:rFonts w:hint="eastAsia" w:ascii="方正仿宋_GBK" w:hAnsi="宋体" w:eastAsia="方正仿宋_GBK"/>
          <w:sz w:val="32"/>
          <w:szCs w:val="32"/>
          <w:lang w:eastAsia="zh-CN"/>
        </w:rPr>
        <w:t>石柱小额采购</w:t>
      </w:r>
      <w:r>
        <w:rPr>
          <w:rFonts w:hint="eastAsia" w:ascii="方正仿宋_GBK" w:hAnsi="宋体" w:eastAsia="方正仿宋_GBK"/>
          <w:sz w:val="32"/>
          <w:szCs w:val="32"/>
        </w:rPr>
        <w:t>https://cqsz.gec123.com/线上提供，</w:t>
      </w:r>
      <w:r>
        <w:rPr>
          <w:rFonts w:hint="eastAsia" w:ascii="方正仿宋_GBK" w:hAnsi="宋体" w:eastAsia="方正仿宋_GBK" w:cs="仿宋_GB2312"/>
          <w:kern w:val="0"/>
          <w:sz w:val="32"/>
          <w:szCs w:val="32"/>
        </w:rPr>
        <w:t>一律不接受网下补遗</w:t>
      </w:r>
      <w:r>
        <w:rPr>
          <w:rFonts w:hint="eastAsia" w:ascii="方正仿宋_GBK" w:hAnsi="宋体" w:eastAsia="方正仿宋_GBK"/>
          <w:sz w:val="32"/>
          <w:szCs w:val="32"/>
        </w:rPr>
        <w:t>。</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（四）供应商如对采购项目有疑问，</w:t>
      </w:r>
      <w:r>
        <w:rPr>
          <w:rFonts w:hint="eastAsia" w:ascii="方正仿宋_GBK" w:hAnsi="宋体" w:eastAsia="方正仿宋_GBK"/>
          <w:color w:val="000000"/>
          <w:sz w:val="32"/>
          <w:szCs w:val="32"/>
        </w:rPr>
        <w:t>必须以书面形式在响应文件询价截止时间前向石柱县中医院医</w:t>
      </w:r>
      <w:r>
        <w:rPr>
          <w:rFonts w:hint="eastAsia" w:ascii="方正仿宋_GBK" w:hAnsi="宋体" w:eastAsia="方正仿宋_GBK"/>
          <w:sz w:val="32"/>
          <w:szCs w:val="32"/>
          <w:lang w:eastAsia="zh-CN"/>
        </w:rPr>
        <w:t>医学装备部</w:t>
      </w:r>
      <w:r>
        <w:rPr>
          <w:rFonts w:hint="eastAsia" w:ascii="方正仿宋_GBK" w:hAnsi="宋体" w:eastAsia="方正仿宋_GBK"/>
          <w:color w:val="000000"/>
          <w:sz w:val="32"/>
          <w:szCs w:val="32"/>
        </w:rPr>
        <w:t>要求澄清</w:t>
      </w:r>
      <w:r>
        <w:rPr>
          <w:rFonts w:hint="eastAsia" w:ascii="方正仿宋_GBK" w:hAnsi="宋体" w:eastAsia="方正仿宋_GBK"/>
          <w:sz w:val="32"/>
          <w:szCs w:val="32"/>
        </w:rPr>
        <w:t>，</w:t>
      </w:r>
      <w:r>
        <w:rPr>
          <w:rFonts w:hint="eastAsia" w:ascii="方正仿宋_GBK" w:hAnsi="宋体" w:eastAsia="方正仿宋_GBK"/>
          <w:sz w:val="32"/>
          <w:szCs w:val="32"/>
          <w:lang w:eastAsia="zh-CN"/>
        </w:rPr>
        <w:t>医学装备部</w:t>
      </w:r>
      <w:r>
        <w:rPr>
          <w:rFonts w:hint="eastAsia" w:ascii="方正仿宋_GBK" w:hAnsi="宋体" w:eastAsia="方正仿宋_GBK"/>
          <w:sz w:val="32"/>
          <w:szCs w:val="32"/>
        </w:rPr>
        <w:t>可视具体情况做出处理或答复。如供应商未提出疑问，视为完全理解并同意本采购文件要求。</w:t>
      </w:r>
    </w:p>
    <w:p>
      <w:pPr>
        <w:adjustRightInd w:val="0"/>
        <w:snapToGrid w:val="0"/>
        <w:spacing w:line="560" w:lineRule="exact"/>
        <w:ind w:firstLine="660"/>
        <w:rPr>
          <w:rFonts w:ascii="方正仿宋_GBK" w:hAnsi="宋体" w:eastAsia="方正仿宋_GBK"/>
          <w:sz w:val="32"/>
          <w:szCs w:val="32"/>
        </w:rPr>
      </w:pPr>
      <w:r>
        <w:rPr>
          <w:rFonts w:hint="eastAsia" w:ascii="方正仿宋_GBK" w:hAnsi="宋体" w:eastAsia="方正仿宋_GBK"/>
          <w:sz w:val="32"/>
          <w:szCs w:val="32"/>
        </w:rPr>
        <w:t>五、项目技术要求</w:t>
      </w:r>
    </w:p>
    <w:p>
      <w:pPr>
        <w:pStyle w:val="21"/>
        <w:adjustRightInd w:val="0"/>
        <w:snapToGrid w:val="0"/>
        <w:spacing w:line="560" w:lineRule="exact"/>
        <w:ind w:left="0" w:leftChars="0"/>
        <w:rPr>
          <w:rFonts w:ascii="方正仿宋_GBK" w:hAnsi="宋体" w:eastAsia="方正仿宋_GBK"/>
          <w:sz w:val="32"/>
          <w:szCs w:val="32"/>
        </w:rPr>
      </w:pPr>
      <w:r>
        <w:rPr>
          <w:rFonts w:hint="eastAsia" w:ascii="方正仿宋_GBK" w:hAnsi="宋体" w:eastAsia="方正仿宋_GBK"/>
          <w:sz w:val="32"/>
          <w:szCs w:val="32"/>
        </w:rPr>
        <w:t xml:space="preserve">    （一）供应商必须严格按照相关要求投报与之要求相符或高于的设备，若其中任意一项不能满足，则视为无效报价（该项目技术方案详见“附件2”）。</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（二）供应商所投设备规格、型号等性能指标符合国家及本</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文件提出的相关技术、质量、环保、安全标准。如达不到相关标准，采购人有权向成交供应商提出解除合同。</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六、商务条款</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（一）实施时间、地点及验收方式</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1.实施时间：合同签定后15个</w:t>
      </w:r>
      <w:r>
        <w:rPr>
          <w:rFonts w:hint="eastAsia" w:ascii="方正仿宋_GBK" w:hAnsi="宋体" w:eastAsia="方正仿宋_GBK"/>
          <w:sz w:val="32"/>
          <w:szCs w:val="32"/>
          <w:lang w:eastAsia="zh-CN"/>
        </w:rPr>
        <w:t>工作</w:t>
      </w:r>
      <w:r>
        <w:rPr>
          <w:rFonts w:hint="eastAsia" w:ascii="方正仿宋_GBK" w:hAnsi="宋体" w:eastAsia="方正仿宋_GBK"/>
          <w:sz w:val="32"/>
          <w:szCs w:val="32"/>
        </w:rPr>
        <w:t>日内交货完成安装调试。</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2.安装地点：重庆市石柱县中医院</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3.现场踏勘：本项目不组织集中现场踏勘，有意向的供应商须到现场自行踏勘。无论供应商是否踏勘过现场，均视为在报价之前踏勘过现场，并已充分考虑了本项目可能面临的不确定因素和可能导致的风险。踏勘现场发生的费用由供应商自行承担。</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4.现场安装验收</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（1）货物达现场后，供应商应在采购方人员在场情况下当面开箱，共同清点、检查外观。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（2）供应商应保证货物到达采购人所在地完好无损，如有缺漏、损坏，由供应商负责调换、补齐或赔偿。</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（3）供应商应提供货物出厂检验报告、合格证、装箱单、产品使用说明书（进口产品应提供中英文说明书）。</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（4）货物运抵采购人所在地后，供应商配合采购人清点验收。验收合格条件如下：</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A货物技术参数与采购合同一致，性能指标达到规定的标准。</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B货物技术资料、装箱单、合格证等资料齐全。</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C在货物使用期间所出现的问题得到解决，能继续正常使用。</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D在规定时间内完成安装并验收，并经采购人确认。</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（5）供应商提供的货物未达到询价文件规定要求，且对采购人造成损失的，由供应商承担一切责任，赔偿所造成的损失。</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（6）货物包装材料归采购人所有。</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（7）供应商按采购合同交货并安装完成后，采购人出具项目验收报告和详细清单，供应商根据采购人出具的验收报告和详细清单内容开具发票。</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（二）质量保证及售后服务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1、产品质量保证期</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（1）供应商应明确承诺：其投报所有货物及其附属安装服务质量保证期</w:t>
      </w:r>
      <w:r>
        <w:rPr>
          <w:rFonts w:hint="eastAsia" w:ascii="方正仿宋_GBK" w:hAnsi="宋体" w:eastAsia="方正仿宋_GBK"/>
          <w:color w:val="000000" w:themeColor="text1"/>
          <w:sz w:val="32"/>
          <w:szCs w:val="32"/>
        </w:rPr>
        <w:t>不得低于</w:t>
      </w:r>
      <w:r>
        <w:rPr>
          <w:rFonts w:hint="default" w:ascii="方正仿宋_GBK" w:hAnsi="宋体" w:eastAsia="方正仿宋_GBK"/>
          <w:color w:val="000000" w:themeColor="text1"/>
          <w:sz w:val="32"/>
          <w:szCs w:val="32"/>
          <w:lang w:val="en-US"/>
        </w:rPr>
        <w:t>5</w:t>
      </w:r>
      <w:r>
        <w:rPr>
          <w:rFonts w:hint="eastAsia" w:ascii="方正仿宋_GBK" w:hAnsi="宋体" w:eastAsia="方正仿宋_GBK"/>
          <w:color w:val="000000" w:themeColor="text1"/>
          <w:sz w:val="32"/>
          <w:szCs w:val="32"/>
        </w:rPr>
        <w:t>年</w:t>
      </w:r>
      <w:r>
        <w:rPr>
          <w:rFonts w:hint="eastAsia" w:ascii="方正仿宋_GBK" w:hAnsi="宋体" w:eastAsia="方正仿宋_GBK"/>
          <w:sz w:val="32"/>
          <w:szCs w:val="32"/>
        </w:rPr>
        <w:t>，从</w:t>
      </w:r>
      <w:r>
        <w:rPr>
          <w:rFonts w:hint="eastAsia" w:ascii="方正仿宋_GBK" w:hAnsi="宋体" w:eastAsia="方正仿宋_GBK"/>
          <w:sz w:val="32"/>
          <w:szCs w:val="32"/>
          <w:lang w:val="en-US" w:eastAsia="zh-CN"/>
        </w:rPr>
        <w:t>双方在验收报告书上</w:t>
      </w:r>
      <w:r>
        <w:rPr>
          <w:rFonts w:hint="eastAsia" w:ascii="方正仿宋_GBK" w:hAnsi="宋体" w:eastAsia="方正仿宋_GBK"/>
          <w:sz w:val="32"/>
          <w:szCs w:val="32"/>
        </w:rPr>
        <w:t>签</w:t>
      </w:r>
      <w:r>
        <w:rPr>
          <w:rFonts w:hint="eastAsia" w:ascii="方正仿宋_GBK" w:hAnsi="宋体" w:eastAsia="方正仿宋_GBK"/>
          <w:sz w:val="32"/>
          <w:szCs w:val="32"/>
          <w:lang w:val="en-US" w:eastAsia="zh-CN"/>
        </w:rPr>
        <w:t>字</w:t>
      </w:r>
      <w:r>
        <w:rPr>
          <w:rFonts w:hint="eastAsia" w:ascii="方正仿宋_GBK" w:hAnsi="宋体" w:eastAsia="方正仿宋_GBK"/>
          <w:sz w:val="32"/>
          <w:szCs w:val="32"/>
        </w:rPr>
        <w:t>之日算起。</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（2）供应商的质量保证期承诺优于上述质保年限的，按供应商实际承诺执行。</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2、售后服务内容</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供应商和厂家在质量保证期内应当为采购人提供以下技术支持服务：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（1）质量保证期内服务要求</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a电话咨询</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供应商和厂家应当为用户提供技术援助电话，解答用户在使用中遇到的问题，及时为用户提出解决问题的建议。</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b现场响应</w:t>
      </w:r>
    </w:p>
    <w:p>
      <w:pPr>
        <w:spacing w:line="240" w:lineRule="atLeast"/>
        <w:ind w:firstLine="640" w:firstLineChars="200"/>
        <w:rPr>
          <w:rFonts w:ascii="方正仿宋_GBK" w:hAnsi="宋体" w:eastAsia="方正仿宋_GBK"/>
          <w:sz w:val="32"/>
          <w:szCs w:val="32"/>
        </w:rPr>
      </w:pPr>
      <w:r>
        <w:rPr>
          <w:rFonts w:hint="eastAsia" w:ascii="方正仿宋_GBK" w:hAnsi="宋体" w:eastAsia="方正仿宋_GBK"/>
          <w:sz w:val="32"/>
          <w:szCs w:val="32"/>
        </w:rPr>
        <w:t>用户遇到使用及技术问题，供应商和厂家应在2小时内响应，</w:t>
      </w:r>
      <w:r>
        <w:rPr>
          <w:rFonts w:hint="eastAsia" w:ascii="方正仿宋_GBK" w:hAnsi="宋体" w:eastAsia="方正仿宋_GBK"/>
          <w:sz w:val="32"/>
          <w:szCs w:val="32"/>
          <w:lang w:eastAsia="zh-CN"/>
        </w:rPr>
        <w:t>派专业人员</w:t>
      </w:r>
      <w:r>
        <w:rPr>
          <w:rFonts w:hint="default" w:ascii="方正仿宋_GBK" w:hAnsi="宋体" w:eastAsia="方正仿宋_GBK"/>
          <w:sz w:val="32"/>
          <w:szCs w:val="32"/>
          <w:lang w:val="en-US"/>
        </w:rPr>
        <w:t>6</w:t>
      </w:r>
      <w:r>
        <w:rPr>
          <w:rFonts w:hint="eastAsia" w:ascii="方正仿宋_GBK" w:hAnsi="宋体" w:eastAsia="方正仿宋_GBK"/>
          <w:sz w:val="32"/>
          <w:szCs w:val="32"/>
          <w:lang w:val="en-US" w:eastAsia="zh-CN"/>
        </w:rPr>
        <w:t>小时到达现场，</w:t>
      </w:r>
      <w:r>
        <w:rPr>
          <w:rFonts w:hint="eastAsia" w:ascii="方正仿宋_GBK" w:hAnsi="宋体" w:eastAsia="方正仿宋_GBK"/>
          <w:sz w:val="32"/>
          <w:szCs w:val="32"/>
        </w:rPr>
        <w:t>确保设备正常运转率95% ；无法在24小时内解决的，应在48小时内提供备用产品，使用户能够正常使用。除不可抗力和采购人责任外，费用全部由供应商和厂家承担。</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c其他服务要求</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 xml:space="preserve">(a)质保期内产品质量经权威机构鉴定不符合质量要求的，由供应商包修、包换、包退（指产品整体、非部件），并承担修理、调换或退货全部费用。 </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(b)同一质量问题，修理两次仍达不到标准要求的，供应商应为采购人免费调换合同规定的产品。</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(c)发生严重质量问题，采购人直接选择换货时，供应商应当免费为其调换合同规定的产品。</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(d)符合换货条件，因无同规格型号、同样式的产品，供应商应为采购人调换不得低于合同货物规格且采购人满意的其他规格型号和样式的产品。供应商不得向采购人提供残次产品、不合格产品或者修理过的产品。</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(e)换货产品合计价格若超过合同总价的1%时，超过1%的部分在退还供应商履约保证金时从中扣减，作为对采购人的赔偿，如供应商未缴履约保证金，由供应商以现金或其他方式赔偿。</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(f)换货后，产品质保期自换货之日起重新计算。</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(g)因产品质量问题给采购人造成损失的，供应商应按有关法律、法规的规定进行赔偿。</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(2)质保期外服务要求</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a质量保证期过后，供应商和厂家应同样提供免费电话咨询服务，并应承诺提供产品上门维护服务。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b质量保证期过后，采购人需要继续由原供应商和厂家提供售后服务的，该供应商和厂家应以优惠价格提供售后服务。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3、故障响应时间要求</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供应商接到使用方产品出现问题的通知后24小时作出响应。</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4、维修配件</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供应商和厂家售后服务中，使用的维修零配件应为原厂配件，未经用户同意不得使用非原厂配件。</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（三）付款方式</w:t>
      </w:r>
    </w:p>
    <w:p>
      <w:pPr>
        <w:widowControl/>
        <w:spacing w:line="440" w:lineRule="exact"/>
        <w:ind w:firstLine="640" w:firstLineChars="200"/>
        <w:jc w:val="left"/>
        <w:textAlignment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pacing w:val="0"/>
          <w:w w:val="100"/>
          <w:position w:val="0"/>
          <w:sz w:val="32"/>
          <w:szCs w:val="32"/>
          <w:highlight w:val="none"/>
        </w:rPr>
        <w:t>安装验收合格，工程师或专业操作师培训到位，科室医生能操作使用</w:t>
      </w:r>
      <w:r>
        <w:rPr>
          <w:rFonts w:hint="eastAsia" w:ascii="方正仿宋_GBK" w:hAnsi="方正仿宋_GBK" w:eastAsia="方正仿宋_GBK" w:cs="方正仿宋_GBK"/>
          <w:color w:val="auto"/>
          <w:spacing w:val="0"/>
          <w:w w:val="100"/>
          <w:position w:val="0"/>
          <w:sz w:val="32"/>
          <w:szCs w:val="32"/>
          <w:highlight w:val="none"/>
          <w:lang w:eastAsia="zh-CN"/>
        </w:rPr>
        <w:t>后，</w:t>
      </w:r>
      <w:r>
        <w:rPr>
          <w:rFonts w:hint="eastAsia" w:ascii="方正仿宋_GBK" w:hAnsi="方正仿宋_GBK" w:eastAsia="方正仿宋_GBK" w:cs="方正仿宋_GBK"/>
          <w:color w:val="auto"/>
          <w:spacing w:val="0"/>
          <w:w w:val="100"/>
          <w:position w:val="0"/>
          <w:sz w:val="32"/>
          <w:szCs w:val="32"/>
          <w:highlight w:val="none"/>
          <w:lang w:val="en-US" w:eastAsia="zh-CN"/>
        </w:rPr>
        <w:t>在有制造商出具的</w:t>
      </w:r>
      <w:r>
        <w:rPr>
          <w:rFonts w:hint="default" w:ascii="方正仿宋_GBK" w:hAnsi="方正仿宋_GBK" w:eastAsia="方正仿宋_GBK" w:cs="方正仿宋_GBK"/>
          <w:color w:val="auto"/>
          <w:spacing w:val="0"/>
          <w:w w:val="100"/>
          <w:position w:val="0"/>
          <w:sz w:val="32"/>
          <w:szCs w:val="32"/>
          <w:highlight w:val="none"/>
          <w:lang w:val="en-US" w:eastAsia="zh-CN"/>
        </w:rPr>
        <w:t>5</w:t>
      </w:r>
      <w:r>
        <w:rPr>
          <w:rFonts w:hint="eastAsia" w:ascii="方正仿宋_GBK" w:hAnsi="方正仿宋_GBK" w:eastAsia="方正仿宋_GBK" w:cs="方正仿宋_GBK"/>
          <w:color w:val="auto"/>
          <w:spacing w:val="0"/>
          <w:w w:val="100"/>
          <w:position w:val="0"/>
          <w:sz w:val="32"/>
          <w:szCs w:val="32"/>
          <w:highlight w:val="none"/>
          <w:lang w:val="en-US" w:eastAsia="zh-CN"/>
        </w:rPr>
        <w:t>年质保承诺文件的前提下，验收合格后一次性支付本项目总货款的100%</w:t>
      </w:r>
      <w:r>
        <w:rPr>
          <w:rFonts w:hint="eastAsia" w:ascii="方正仿宋_GBK" w:hAnsi="方正仿宋_GBK" w:eastAsia="方正仿宋_GBK" w:cs="方正仿宋_GBK"/>
          <w:color w:val="auto"/>
          <w:sz w:val="32"/>
          <w:szCs w:val="32"/>
          <w:highlight w:val="none"/>
          <w:lang w:val="en-US" w:eastAsia="zh-CN"/>
        </w:rPr>
        <w:t>。</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（四）知识产权</w:t>
      </w:r>
    </w:p>
    <w:p>
      <w:pPr>
        <w:pStyle w:val="21"/>
        <w:adjustRightInd w:val="0"/>
        <w:snapToGrid w:val="0"/>
        <w:spacing w:line="560" w:lineRule="exact"/>
        <w:ind w:left="0" w:leftChars="0" w:firstLine="800" w:firstLineChars="250"/>
        <w:rPr>
          <w:rFonts w:ascii="方正仿宋_GBK" w:hAnsi="宋体" w:eastAsia="方正仿宋_GBK"/>
          <w:sz w:val="32"/>
          <w:szCs w:val="32"/>
        </w:rPr>
      </w:pPr>
      <w:r>
        <w:rPr>
          <w:rFonts w:hint="eastAsia" w:ascii="方正仿宋_GBK" w:hAnsi="宋体" w:eastAsia="方正仿宋_GBK"/>
          <w:sz w:val="32"/>
          <w:szCs w:val="32"/>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（五）培训</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成交供应商负责在安装调试及使用期间，免费对采购人选派人员进行培训。培训的效果为：</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1、对设备维修人员的培训，达到能维护保养、检修及排除一般故障为止。</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2、对设备操作人员的培训，达到能正确使用。</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（六）其他</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1、供应商必须在</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文件中对以上条款和服务承诺明确列出，承诺内容必须达到本篇及</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文件其他条款的要求。</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2、其他未尽事宜由供需双方在采购合同中详细约定。</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七、响应文件制作要求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供应商提供的所有资料无论成交与否，均不予退还。本</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中要求的所有资料，供应商必须提供真实的、准确的，若供应商有弄虚作假、串通报价和欺骗行为，一经查实，由此而产生的经济损失、经济责任和一切后果由供应商承担，并按政府采购法的有关规定进行严肃处理。</w:t>
      </w:r>
    </w:p>
    <w:p>
      <w:pPr>
        <w:pStyle w:val="135"/>
        <w:numPr>
          <w:ilvl w:val="0"/>
          <w:numId w:val="0"/>
        </w:num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lang w:eastAsia="zh-CN"/>
        </w:rPr>
        <w:t>（</w:t>
      </w:r>
      <w:r>
        <w:rPr>
          <w:rFonts w:hint="eastAsia" w:ascii="方正仿宋_GBK" w:hAnsi="宋体" w:eastAsia="方正仿宋_GBK"/>
          <w:sz w:val="32"/>
          <w:szCs w:val="32"/>
          <w:lang w:val="en-US" w:eastAsia="zh-CN"/>
        </w:rPr>
        <w:t>一</w:t>
      </w:r>
      <w:r>
        <w:rPr>
          <w:rFonts w:hint="eastAsia" w:ascii="方正仿宋_GBK" w:hAnsi="宋体" w:eastAsia="方正仿宋_GBK"/>
          <w:sz w:val="32"/>
          <w:szCs w:val="32"/>
          <w:lang w:eastAsia="zh-CN"/>
        </w:rPr>
        <w:t>）</w:t>
      </w:r>
      <w:r>
        <w:rPr>
          <w:rFonts w:hint="eastAsia" w:ascii="方正仿宋_GBK" w:hAnsi="宋体" w:eastAsia="方正仿宋_GBK"/>
          <w:sz w:val="32"/>
          <w:szCs w:val="32"/>
        </w:rPr>
        <w:t>资质文件内容要求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基本资格条件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 xml:space="preserve">1.在中国境内注册，具备独立法人资格，具有有效的营业执照、税务登记证明和组织机构代码的合法供应商。 </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2.产品授权委托书（成交供应商签合同时须提供）。</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3.投标供应商三年内无违法违规行为承诺书（投标单位提供基本资格条件承诺函（见格式文件））。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4.法定代表人身份证明书及身份证复印件。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5.投标供应商授权代表的授权证明书、身份证复印件及相关社保资料（社保资料为投标</w:t>
      </w:r>
      <w:r>
        <w:rPr>
          <w:rFonts w:hint="eastAsia" w:ascii="方正仿宋_GBK" w:hAnsi="宋体" w:eastAsia="方正仿宋_GBK"/>
          <w:sz w:val="32"/>
          <w:szCs w:val="32"/>
          <w:lang w:eastAsia="zh-CN"/>
        </w:rPr>
        <w:t>授权</w:t>
      </w:r>
      <w:r>
        <w:rPr>
          <w:rFonts w:hint="eastAsia" w:ascii="方正仿宋_GBK" w:hAnsi="宋体" w:eastAsia="方正仿宋_GBK"/>
          <w:sz w:val="32"/>
          <w:szCs w:val="32"/>
        </w:rPr>
        <w:t>代表个人近3个月社保证明，社保局出具）。</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6.投标供应商无关联单位投标承诺书（投标单位承诺与其他参与竞标的单位无关联）。</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7.具有良好的商业信誉和健全的财务会计制度（投标单位提供基本资格条件承诺函（见格式文件））。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8.具有履行合同所必需的设备和专业技术能力</w:t>
      </w:r>
      <w:bookmarkStart w:id="0" w:name="_Hlk104483289"/>
      <w:r>
        <w:rPr>
          <w:rFonts w:hint="eastAsia" w:ascii="方正仿宋_GBK" w:hAnsi="宋体" w:eastAsia="方正仿宋_GBK"/>
          <w:sz w:val="32"/>
          <w:szCs w:val="32"/>
        </w:rPr>
        <w:t>（投标单位提供基本资格条件承诺函（见格式文件））。</w:t>
      </w:r>
    </w:p>
    <w:bookmarkEnd w:id="0"/>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9.有依法缴纳税收和社会保障金的良好记录（投标人提供基本资格条件承诺函（见格式文件））。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10.医疗器械生产、经营许可证，医疗器械注册证和注册登记表(非医疗设备及耗材无需提供)。</w:t>
      </w:r>
    </w:p>
    <w:p>
      <w:pPr>
        <w:adjustRightInd w:val="0"/>
        <w:snapToGrid w:val="0"/>
        <w:spacing w:line="560" w:lineRule="exact"/>
        <w:ind w:firstLine="640" w:firstLineChars="200"/>
        <w:rPr>
          <w:rFonts w:hint="eastAsia" w:ascii="宋体" w:hAnsi="宋体" w:eastAsia="宋体"/>
          <w:sz w:val="24"/>
          <w:szCs w:val="24"/>
        </w:rPr>
      </w:pPr>
      <w:bookmarkStart w:id="1" w:name="_Hlk91599716"/>
      <w:r>
        <w:rPr>
          <w:rFonts w:hint="eastAsia" w:ascii="方正仿宋_GBK" w:hAnsi="宋体" w:eastAsia="方正仿宋_GBK"/>
          <w:sz w:val="32"/>
          <w:szCs w:val="32"/>
        </w:rPr>
        <w:t>11.投标文件中需要上传</w:t>
      </w:r>
      <w:bookmarkStart w:id="2" w:name="_Hlk108535434"/>
      <w:r>
        <w:rPr>
          <w:rFonts w:hint="eastAsia" w:ascii="方正仿宋_GBK" w:hAnsi="宋体" w:eastAsia="方正仿宋_GBK"/>
          <w:sz w:val="32"/>
          <w:szCs w:val="32"/>
        </w:rPr>
        <w:t>产品彩页资料或生产厂家所提供的产品白皮书。</w:t>
      </w:r>
      <w:bookmarkEnd w:id="2"/>
    </w:p>
    <w:bookmarkEnd w:id="1"/>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特定资格条件</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所提供产品属三类医疗器械的，供应商须具备有效期内《医疗器械经营企业许可证》或《医疗器械经营许可证》；所提供产品属二类医疗器械的，供应商须具备有效期内《医疗器械经营企业许可证》或《第二类医疗器械经营备案凭证》；（须提供有效的资质证书副本复印件加盖投标单位公章）以上所有证照必须年审合格，且在有效期内；</w:t>
      </w:r>
    </w:p>
    <w:p>
      <w:pPr>
        <w:widowControl/>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（二）技术文件内容要求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1、投报产品的详细技术参数性能介绍，当发生产品技术纠纷时以制造商官方网站发布的技术参数为准。</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2、招标货物与投标货物技术参数差异表(应对技术参数中的所有条款进行逐一应答)</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（三）商务文件内容要求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招标货物与投标货物商务参数差异表（应对本文件第六条商务文件的相关要求进行逐一应答）</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（四）报价表填写要求</w:t>
      </w:r>
    </w:p>
    <w:p>
      <w:pPr>
        <w:adjustRightInd w:val="0"/>
        <w:snapToGrid w:val="0"/>
        <w:spacing w:line="560" w:lineRule="exact"/>
        <w:ind w:firstLine="640" w:firstLineChars="200"/>
        <w:rPr>
          <w:rFonts w:ascii="方正仿宋_GBK" w:hAnsi="宋体" w:eastAsia="方正仿宋_GBK"/>
          <w:bCs/>
          <w:sz w:val="32"/>
          <w:szCs w:val="32"/>
        </w:rPr>
      </w:pPr>
      <w:r>
        <w:rPr>
          <w:rFonts w:hint="eastAsia" w:ascii="方正仿宋_GBK" w:hAnsi="宋体" w:eastAsia="方正仿宋_GBK"/>
          <w:bCs/>
          <w:sz w:val="32"/>
          <w:szCs w:val="32"/>
        </w:rPr>
        <w:t>本次报价为包干价，包含：产品基价、包装费、运输费、税费（含关税）、保险费、安装费、调试费、备品备件费、特殊工具费、保修期内的售后服务费、培训费等一切与此项目有关的所有费用。</w:t>
      </w:r>
    </w:p>
    <w:p>
      <w:pPr>
        <w:tabs>
          <w:tab w:val="left" w:pos="567"/>
        </w:tabs>
        <w:adjustRightInd w:val="0"/>
        <w:snapToGrid w:val="0"/>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1、</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一览表（详见“附件1”）</w:t>
      </w:r>
    </w:p>
    <w:p>
      <w:pPr>
        <w:tabs>
          <w:tab w:val="left" w:pos="567"/>
        </w:tabs>
        <w:adjustRightInd w:val="0"/>
        <w:snapToGrid w:val="0"/>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2、分项明细报价表（详见“附件1”）</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供应商在不超出经营范围且符合资质的情况下，对</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设备进行报价。报价要求为：</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（1）对项目的报价应填报《询价一览表》和《分项报价明细表》(按照附件格式填写)。</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（2）本次报价数量以</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文件提供的计算，供应商一次性报出不得更改的唯一价格。</w:t>
      </w:r>
    </w:p>
    <w:p>
      <w:pPr>
        <w:tabs>
          <w:tab w:val="left" w:pos="567"/>
        </w:tabs>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 xml:space="preserve">（3）本项目报价为包干价，报价应包含以下费用：产品基价、包装费、运输费、税费（含关税）、保险费、安装费、调试费、备品备件费、特殊工具费、保修期内的售后服务费、培训费等一切与此项目有关的所有费用。 </w:t>
      </w:r>
    </w:p>
    <w:p>
      <w:pPr>
        <w:tabs>
          <w:tab w:val="left" w:pos="567"/>
        </w:tabs>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报价表应由法人授权代表人签字并加盖单位公章，未签字或未加盖公章的，视为无效。报价表按“附件1”格式填写，若大写与小写金额不一致，以大写金额为准; 总价金额与按单价汇总金额不一致的，以单价金额计算结果为准。</w:t>
      </w:r>
    </w:p>
    <w:p>
      <w:pPr>
        <w:tabs>
          <w:tab w:val="left" w:pos="567"/>
        </w:tabs>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严重偏离市场平均价格的报价不被接受。</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八、无效报价情形</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（一）资质审查不合格的；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（二）供应商超出营业范围询价的；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（三）</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文件未按要求提交的；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（四）响应文件与</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文件实质性要求有严重背离的；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（五）没有按照</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文书要求由</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供应商法定代表人或授权代表签字并加盖公章的；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（六）报价超过最高限价的；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（七）</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文件未按规定格式和要求填写，内容不全或字迹模糊，辨认不清而影响评标定标的；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（八）未完全响应本</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文件技术方案及商务条款的；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（九）</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文件出现多个投报方案或报价的；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（十）法定代表人为同一个人的两个及两个以上法人，母公司、全资子公司及其控股公司，在同一货物询价中同时参与询价；</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（十一）同一合同包的货物，制造商参与询价，再委托代理商参与询价的，制造商和代理商的询价均无效；</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（十二）</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文件附有采购人不能接受的条件。</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十、成交供应商的确定</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bCs/>
          <w:sz w:val="32"/>
          <w:szCs w:val="32"/>
        </w:rPr>
        <w:t xml:space="preserve">    </w:t>
      </w:r>
      <w:r>
        <w:rPr>
          <w:rFonts w:hint="eastAsia" w:ascii="方正仿宋_GBK" w:hAnsi="宋体" w:eastAsia="方正仿宋_GBK"/>
          <w:sz w:val="32"/>
          <w:szCs w:val="32"/>
        </w:rPr>
        <w:t>（一）成交方法：在符合采购需求，质量和服务相等且报价不超过最高限价的前提下，报价最低的供应商确定为成交供应商；若报价最低的供应商有两个及以上相同，则按照</w:t>
      </w:r>
      <w:r>
        <w:rPr>
          <w:rFonts w:hint="eastAsia" w:ascii="方正仿宋_GBK" w:hAnsi="宋体" w:eastAsia="方正仿宋_GBK"/>
          <w:color w:val="000000"/>
          <w:sz w:val="32"/>
          <w:szCs w:val="32"/>
        </w:rPr>
        <w:t>优惠条件最大及由设备</w:t>
      </w:r>
      <w:r>
        <w:rPr>
          <w:rFonts w:hint="eastAsia" w:ascii="方正仿宋_GBK" w:hAnsi="宋体" w:eastAsia="方正仿宋_GBK"/>
          <w:color w:val="000000"/>
          <w:sz w:val="32"/>
          <w:szCs w:val="32"/>
          <w:lang w:eastAsia="zh-CN"/>
        </w:rPr>
        <w:t>采购评审小组</w:t>
      </w:r>
      <w:r>
        <w:rPr>
          <w:rFonts w:hint="eastAsia" w:ascii="方正仿宋_GBK" w:hAnsi="宋体" w:eastAsia="方正仿宋_GBK"/>
          <w:color w:val="000000"/>
          <w:sz w:val="32"/>
          <w:szCs w:val="32"/>
        </w:rPr>
        <w:t>讨论确定供应商。</w:t>
      </w:r>
    </w:p>
    <w:p>
      <w:pPr>
        <w:spacing w:line="288" w:lineRule="auto"/>
        <w:ind w:firstLine="614" w:firstLineChars="192"/>
        <w:rPr>
          <w:rFonts w:ascii="方正仿宋_GBK" w:hAnsi="宋体" w:eastAsia="方正仿宋_GBK"/>
          <w:sz w:val="32"/>
          <w:szCs w:val="32"/>
        </w:rPr>
      </w:pPr>
      <w:r>
        <w:rPr>
          <w:rFonts w:hint="eastAsia" w:ascii="方正仿宋_GBK" w:hAnsi="宋体" w:eastAsia="方正仿宋_GBK"/>
          <w:sz w:val="32"/>
          <w:szCs w:val="32"/>
        </w:rPr>
        <w:t>（二）若成交供应商无故放弃成交资格，由此而产生的经济损失、经济责任和一切后果由成交供应商承担，并按政府采购法的有关规定进行严肃处理。成交供应商放弃成交资格后，由采购小组根据情况决定重新采购或由第二候选人递补。</w:t>
      </w:r>
    </w:p>
    <w:p>
      <w:pPr>
        <w:adjustRightInd w:val="0"/>
        <w:snapToGrid w:val="0"/>
        <w:spacing w:line="560" w:lineRule="exact"/>
        <w:rPr>
          <w:rFonts w:ascii="方正仿宋_GBK" w:hAnsi="宋体" w:eastAsia="方正仿宋_GBK"/>
          <w:sz w:val="32"/>
          <w:szCs w:val="32"/>
        </w:rPr>
      </w:pPr>
      <w:r>
        <w:rPr>
          <w:rFonts w:hint="eastAsia" w:ascii="宋体" w:hAnsi="宋体" w:eastAsia="方正仿宋_GBK"/>
          <w:sz w:val="32"/>
          <w:szCs w:val="32"/>
        </w:rPr>
        <w:t>  </w:t>
      </w:r>
      <w:r>
        <w:rPr>
          <w:rFonts w:hint="eastAsia" w:ascii="方正仿宋_GBK" w:hAnsi="宋体" w:eastAsia="方正仿宋_GBK"/>
          <w:sz w:val="32"/>
          <w:szCs w:val="32"/>
        </w:rPr>
        <w:t>（三）结果公示：成交结果在重庆市政府采购云平台上公示。</w:t>
      </w:r>
    </w:p>
    <w:p>
      <w:pPr>
        <w:adjustRightInd w:val="0"/>
        <w:snapToGrid w:val="0"/>
        <w:spacing w:line="560" w:lineRule="exact"/>
        <w:ind w:firstLine="480" w:firstLineChars="150"/>
        <w:rPr>
          <w:rFonts w:ascii="方正仿宋_GBK" w:hAnsi="宋体" w:eastAsia="方正仿宋_GBK"/>
          <w:sz w:val="32"/>
          <w:szCs w:val="32"/>
        </w:rPr>
      </w:pPr>
      <w:r>
        <w:rPr>
          <w:rFonts w:hint="eastAsia" w:ascii="方正仿宋_GBK" w:hAnsi="宋体" w:eastAsia="方正仿宋_GBK"/>
          <w:sz w:val="32"/>
          <w:szCs w:val="32"/>
        </w:rPr>
        <w:t>十一、签订采购合同</w:t>
      </w:r>
    </w:p>
    <w:p>
      <w:pPr>
        <w:spacing w:line="288" w:lineRule="auto"/>
        <w:ind w:firstLine="614" w:firstLineChars="192"/>
        <w:rPr>
          <w:rFonts w:ascii="方正仿宋_GBK" w:hAnsi="宋体" w:eastAsia="方正仿宋_GBK"/>
          <w:sz w:val="32"/>
          <w:szCs w:val="32"/>
        </w:rPr>
      </w:pPr>
      <w:r>
        <w:rPr>
          <w:rFonts w:hint="eastAsia" w:ascii="方正仿宋_GBK" w:hAnsi="宋体" w:eastAsia="方正仿宋_GBK"/>
          <w:sz w:val="32"/>
          <w:szCs w:val="32"/>
        </w:rPr>
        <w:t>供应商在公示期满</w:t>
      </w:r>
      <w:r>
        <w:rPr>
          <w:rFonts w:hint="default" w:ascii="方正仿宋_GBK" w:hAnsi="宋体" w:eastAsia="方正仿宋_GBK"/>
          <w:sz w:val="32"/>
          <w:szCs w:val="32"/>
          <w:lang w:val="en-US"/>
        </w:rPr>
        <w:t>7</w:t>
      </w:r>
      <w:r>
        <w:rPr>
          <w:rFonts w:hint="eastAsia" w:ascii="方正仿宋_GBK" w:hAnsi="宋体" w:eastAsia="方正仿宋_GBK"/>
          <w:color w:val="auto"/>
          <w:sz w:val="32"/>
          <w:szCs w:val="32"/>
        </w:rPr>
        <w:t>个工作日内与采购单位签订《项目购销合同》及签订《廉政合同》，合同内容应与《采购文件》的内容要求一致，合同违约责任等其他未明确事项，由供需双方在合同中协商约定。公示期满</w:t>
      </w:r>
      <w:r>
        <w:rPr>
          <w:rFonts w:hint="default" w:ascii="方正仿宋_GBK" w:hAnsi="宋体" w:eastAsia="方正仿宋_GBK"/>
          <w:color w:val="auto"/>
          <w:sz w:val="32"/>
          <w:szCs w:val="32"/>
          <w:lang w:val="en-US"/>
        </w:rPr>
        <w:t>7</w:t>
      </w:r>
      <w:r>
        <w:rPr>
          <w:rFonts w:hint="eastAsia" w:ascii="方正仿宋_GBK" w:hAnsi="宋体" w:eastAsia="方正仿宋_GBK"/>
          <w:sz w:val="32"/>
          <w:szCs w:val="32"/>
        </w:rPr>
        <w:t>个工作日内未签订合同者视为自动放弃（特殊情况或不可抗拒情况除外）。由询价采购小组根据情况决定重新采购或由第二候选人递补。</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十二、废标条款</w:t>
      </w:r>
    </w:p>
    <w:p>
      <w:pPr>
        <w:adjustRightInd w:val="0"/>
        <w:snapToGrid w:val="0"/>
        <w:spacing w:line="560" w:lineRule="exact"/>
        <w:ind w:firstLine="566" w:firstLineChars="177"/>
        <w:rPr>
          <w:rFonts w:ascii="方正仿宋_GBK" w:hAnsi="宋体" w:eastAsia="方正仿宋_GBK"/>
          <w:sz w:val="32"/>
          <w:szCs w:val="32"/>
        </w:rPr>
      </w:pPr>
      <w:r>
        <w:rPr>
          <w:rFonts w:hint="eastAsia" w:ascii="方正仿宋_GBK" w:hAnsi="宋体" w:eastAsia="方正仿宋_GBK"/>
          <w:sz w:val="32"/>
          <w:szCs w:val="32"/>
        </w:rPr>
        <w:t>有下列情形之一的，重新组织采购或取消本次采购：</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（一）符合专业条件的供应商或者对</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文书作实质响应的供应商不足3家的（如属于第二次询价采购的除外）；</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（二）出现影响采购公正的违法、违规行为的；</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（三）供应商的报价均超过了采购预算的；</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（四）因重大变故，采购任务取消的。</w:t>
      </w:r>
    </w:p>
    <w:p>
      <w:pPr>
        <w:adjustRightInd w:val="0"/>
        <w:snapToGrid w:val="0"/>
        <w:spacing w:line="560" w:lineRule="exact"/>
        <w:ind w:firstLine="567"/>
        <w:rPr>
          <w:rFonts w:ascii="方正仿宋_GBK" w:hAnsi="宋体" w:eastAsia="方正仿宋_GBK"/>
          <w:sz w:val="32"/>
          <w:szCs w:val="32"/>
        </w:rPr>
      </w:pPr>
      <w:r>
        <w:rPr>
          <w:rFonts w:hint="eastAsia" w:ascii="方正仿宋_GBK" w:hAnsi="宋体" w:eastAsia="方正仿宋_GBK"/>
          <w:sz w:val="32"/>
          <w:szCs w:val="32"/>
        </w:rPr>
        <w:t>十三、成交裁定机构</w:t>
      </w:r>
    </w:p>
    <w:p>
      <w:pPr>
        <w:adjustRightInd w:val="0"/>
        <w:snapToGrid w:val="0"/>
        <w:spacing w:line="560" w:lineRule="exact"/>
        <w:ind w:firstLine="567"/>
        <w:rPr>
          <w:rFonts w:ascii="方正仿宋_GBK" w:hAnsi="宋体" w:eastAsia="方正仿宋_GBK"/>
          <w:sz w:val="32"/>
          <w:szCs w:val="32"/>
        </w:rPr>
      </w:pPr>
      <w:r>
        <w:rPr>
          <w:rFonts w:hint="eastAsia" w:ascii="方正仿宋_GBK" w:hAnsi="宋体" w:eastAsia="方正仿宋_GBK"/>
          <w:sz w:val="32"/>
          <w:szCs w:val="32"/>
        </w:rPr>
        <w:t>本次采购项目的裁定机构为询价</w:t>
      </w:r>
      <w:r>
        <w:rPr>
          <w:rFonts w:hint="eastAsia" w:ascii="方正仿宋_GBK" w:hAnsi="宋体" w:eastAsia="方正仿宋_GBK"/>
          <w:sz w:val="32"/>
          <w:szCs w:val="32"/>
          <w:lang w:eastAsia="zh-CN"/>
        </w:rPr>
        <w:t>采购</w:t>
      </w:r>
      <w:r>
        <w:rPr>
          <w:rFonts w:hint="eastAsia" w:ascii="方正仿宋_GBK" w:hAnsi="宋体" w:eastAsia="方正仿宋_GBK"/>
          <w:sz w:val="32"/>
          <w:szCs w:val="32"/>
        </w:rPr>
        <w:t>小组，负责成交供应商的确定及争议事项的裁定。</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十</w:t>
      </w:r>
      <w:r>
        <w:rPr>
          <w:rFonts w:hint="eastAsia" w:ascii="方正仿宋_GBK" w:hAnsi="宋体" w:eastAsia="方正仿宋_GBK"/>
          <w:sz w:val="32"/>
          <w:szCs w:val="32"/>
          <w:lang w:eastAsia="zh-CN"/>
        </w:rPr>
        <w:t>四</w:t>
      </w:r>
      <w:r>
        <w:rPr>
          <w:rFonts w:hint="eastAsia" w:ascii="方正仿宋_GBK" w:hAnsi="宋体" w:eastAsia="方正仿宋_GBK"/>
          <w:sz w:val="32"/>
          <w:szCs w:val="32"/>
        </w:rPr>
        <w:t>、采购人</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bCs/>
          <w:sz w:val="32"/>
          <w:szCs w:val="32"/>
        </w:rPr>
        <w:t xml:space="preserve">石柱县中医院  </w:t>
      </w:r>
      <w:r>
        <w:rPr>
          <w:rFonts w:hint="eastAsia" w:ascii="方正仿宋_GBK" w:hAnsi="宋体" w:eastAsia="方正仿宋_GBK"/>
          <w:sz w:val="32"/>
          <w:szCs w:val="32"/>
        </w:rPr>
        <w:t>联系人：</w:t>
      </w:r>
      <w:r>
        <w:rPr>
          <w:rFonts w:hint="eastAsia" w:ascii="方正仿宋_GBK" w:hAnsi="宋体" w:eastAsia="方正仿宋_GBK"/>
          <w:sz w:val="32"/>
          <w:szCs w:val="32"/>
          <w:lang w:val="en-US" w:eastAsia="zh-CN"/>
        </w:rPr>
        <w:t>陈</w:t>
      </w:r>
      <w:r>
        <w:rPr>
          <w:rFonts w:hint="eastAsia" w:ascii="方正仿宋_GBK" w:hAnsi="宋体" w:eastAsia="方正仿宋_GBK"/>
          <w:sz w:val="32"/>
          <w:szCs w:val="32"/>
        </w:rPr>
        <w:t>老师  联系电话：023-73335689</w:t>
      </w:r>
    </w:p>
    <w:p>
      <w:pPr>
        <w:adjustRightInd w:val="0"/>
        <w:snapToGrid w:val="0"/>
        <w:spacing w:line="560" w:lineRule="exact"/>
        <w:ind w:firstLine="960" w:firstLineChars="300"/>
        <w:rPr>
          <w:rFonts w:ascii="方正仿宋_GBK" w:hAnsi="宋体" w:eastAsia="方正仿宋_GBK"/>
          <w:sz w:val="32"/>
          <w:szCs w:val="32"/>
        </w:rPr>
      </w:pPr>
      <w:r>
        <w:rPr>
          <w:rFonts w:hint="eastAsia" w:ascii="方正仿宋_GBK" w:hAnsi="宋体" w:eastAsia="方正仿宋_GBK"/>
          <w:sz w:val="32"/>
          <w:szCs w:val="32"/>
        </w:rPr>
        <w:t>附件：1、</w:t>
      </w:r>
      <w:r>
        <w:rPr>
          <w:rFonts w:hint="eastAsia" w:ascii="方正仿宋_GBK" w:hAnsi="宋体" w:eastAsia="方正仿宋_GBK"/>
          <w:sz w:val="32"/>
          <w:szCs w:val="32"/>
          <w:lang w:eastAsia="zh-CN"/>
        </w:rPr>
        <w:t>竞采</w:t>
      </w:r>
      <w:r>
        <w:rPr>
          <w:rFonts w:hint="eastAsia" w:ascii="方正仿宋_GBK" w:hAnsi="宋体" w:eastAsia="方正仿宋_GBK"/>
          <w:sz w:val="32"/>
          <w:szCs w:val="32"/>
          <w:lang w:val="en-US" w:eastAsia="zh-CN"/>
        </w:rPr>
        <w:t>响应</w:t>
      </w:r>
      <w:r>
        <w:rPr>
          <w:rFonts w:hint="eastAsia" w:ascii="方正仿宋_GBK" w:hAnsi="宋体" w:eastAsia="方正仿宋_GBK"/>
          <w:sz w:val="32"/>
          <w:szCs w:val="32"/>
        </w:rPr>
        <w:t>文件格式</w:t>
      </w:r>
    </w:p>
    <w:p>
      <w:pPr>
        <w:adjustRightInd w:val="0"/>
        <w:snapToGrid w:val="0"/>
        <w:spacing w:line="560" w:lineRule="exact"/>
        <w:ind w:firstLine="1920" w:firstLineChars="600"/>
        <w:rPr>
          <w:rFonts w:hint="eastAsia" w:ascii="方正仿宋_GBK" w:hAnsi="宋体" w:eastAsia="方正仿宋_GBK"/>
          <w:kern w:val="1"/>
          <w:sz w:val="32"/>
          <w:szCs w:val="32"/>
        </w:rPr>
      </w:pPr>
      <w:r>
        <w:rPr>
          <w:rFonts w:hint="eastAsia" w:ascii="方正仿宋_GBK" w:hAnsi="宋体" w:eastAsia="方正仿宋_GBK"/>
          <w:sz w:val="32"/>
          <w:szCs w:val="32"/>
        </w:rPr>
        <w:t>2、</w:t>
      </w:r>
      <w:r>
        <w:rPr>
          <w:rFonts w:hint="eastAsia" w:ascii="方正仿宋_GBK" w:hAnsi="宋体" w:eastAsia="方正仿宋_GBK"/>
          <w:spacing w:val="20"/>
          <w:kern w:val="0"/>
          <w:sz w:val="32"/>
          <w:szCs w:val="32"/>
        </w:rPr>
        <w:t>产品</w:t>
      </w:r>
      <w:r>
        <w:rPr>
          <w:rFonts w:hint="eastAsia" w:ascii="方正仿宋_GBK" w:hAnsi="宋体" w:eastAsia="方正仿宋_GBK"/>
          <w:kern w:val="1"/>
          <w:sz w:val="32"/>
          <w:szCs w:val="32"/>
        </w:rPr>
        <w:t>技术规格、参数质量要求</w:t>
      </w:r>
    </w:p>
    <w:p>
      <w:pPr>
        <w:adjustRightInd w:val="0"/>
        <w:snapToGrid w:val="0"/>
        <w:spacing w:line="560" w:lineRule="exact"/>
        <w:ind w:firstLine="1920" w:firstLineChars="600"/>
        <w:rPr>
          <w:rFonts w:ascii="方正仿宋_GBK" w:hAnsi="宋体" w:eastAsia="方正仿宋_GBK"/>
          <w:sz w:val="32"/>
          <w:szCs w:val="32"/>
        </w:rPr>
      </w:pPr>
      <w:r>
        <w:rPr>
          <w:rFonts w:hint="eastAsia" w:ascii="方正仿宋_GBK" w:hAnsi="宋体" w:eastAsia="方正仿宋_GBK"/>
          <w:sz w:val="32"/>
          <w:szCs w:val="32"/>
        </w:rPr>
        <w:t xml:space="preserve">        </w:t>
      </w:r>
      <w:r>
        <w:rPr>
          <w:rFonts w:hint="default" w:ascii="方正仿宋_GBK" w:hAnsi="宋体" w:eastAsia="方正仿宋_GBK"/>
          <w:sz w:val="32"/>
          <w:szCs w:val="32"/>
          <w:lang w:val="en-US"/>
        </w:rPr>
        <w:t xml:space="preserve">   </w:t>
      </w:r>
      <w:r>
        <w:rPr>
          <w:rFonts w:hint="default" w:ascii="方正仿宋_GBK" w:hAnsi="宋体" w:eastAsia="方正仿宋_GBK"/>
          <w:color w:val="FF0000"/>
          <w:sz w:val="32"/>
          <w:szCs w:val="32"/>
          <w:lang w:val="en-US"/>
        </w:rPr>
        <w:t xml:space="preserve"> </w:t>
      </w:r>
      <w:r>
        <w:rPr>
          <w:rFonts w:hint="eastAsia" w:ascii="方正仿宋_GBK" w:hAnsi="宋体" w:eastAsia="方正仿宋_GBK"/>
          <w:sz w:val="32"/>
          <w:szCs w:val="32"/>
        </w:rPr>
        <w:t>石柱土家族自治县中医院</w:t>
      </w:r>
    </w:p>
    <w:p>
      <w:pPr>
        <w:adjustRightInd w:val="0"/>
        <w:snapToGrid w:val="0"/>
        <w:spacing w:line="560" w:lineRule="exact"/>
        <w:ind w:right="1500"/>
        <w:rPr>
          <w:rFonts w:ascii="方正仿宋_GBK" w:hAnsi="宋体" w:eastAsia="方正仿宋_GBK"/>
          <w:color w:val="FF0000"/>
          <w:sz w:val="32"/>
          <w:szCs w:val="32"/>
        </w:rPr>
      </w:pPr>
      <w:r>
        <w:rPr>
          <w:rFonts w:hint="eastAsia" w:ascii="方正仿宋_GBK" w:hAnsi="宋体" w:eastAsia="方正仿宋_GBK"/>
          <w:sz w:val="32"/>
          <w:szCs w:val="32"/>
        </w:rPr>
        <w:t xml:space="preserve">                          </w:t>
      </w:r>
      <w:r>
        <w:rPr>
          <w:rFonts w:hint="eastAsia" w:ascii="方正仿宋_GBK" w:hAnsi="宋体" w:eastAsia="方正仿宋_GBK"/>
          <w:color w:val="FF0000"/>
          <w:sz w:val="32"/>
          <w:szCs w:val="32"/>
        </w:rPr>
        <w:t xml:space="preserve"> </w:t>
      </w:r>
      <w:r>
        <w:rPr>
          <w:rFonts w:hint="eastAsia" w:ascii="方正仿宋_GBK" w:hAnsi="宋体" w:eastAsia="方正仿宋_GBK"/>
          <w:color w:val="000000" w:themeColor="text1"/>
          <w:sz w:val="32"/>
          <w:szCs w:val="32"/>
        </w:rPr>
        <w:t>202</w:t>
      </w:r>
      <w:r>
        <w:rPr>
          <w:rFonts w:hint="default" w:ascii="方正仿宋_GBK" w:hAnsi="宋体" w:eastAsia="方正仿宋_GBK"/>
          <w:color w:val="000000" w:themeColor="text1"/>
          <w:sz w:val="32"/>
          <w:szCs w:val="32"/>
          <w:lang w:val="en-US"/>
        </w:rPr>
        <w:t>5</w:t>
      </w:r>
      <w:r>
        <w:rPr>
          <w:rFonts w:hint="eastAsia" w:ascii="方正仿宋_GBK" w:hAnsi="宋体" w:eastAsia="方正仿宋_GBK"/>
          <w:color w:val="000000" w:themeColor="text1"/>
          <w:sz w:val="32"/>
          <w:szCs w:val="32"/>
        </w:rPr>
        <w:t>年</w:t>
      </w:r>
      <w:r>
        <w:rPr>
          <w:rFonts w:hint="default" w:ascii="方正仿宋_GBK" w:hAnsi="宋体" w:eastAsia="方正仿宋_GBK"/>
          <w:color w:val="000000" w:themeColor="text1"/>
          <w:sz w:val="32"/>
          <w:szCs w:val="32"/>
          <w:lang w:val="en-US"/>
        </w:rPr>
        <w:t>10</w:t>
      </w:r>
      <w:r>
        <w:rPr>
          <w:rFonts w:hint="eastAsia" w:ascii="方正仿宋_GBK" w:hAnsi="宋体" w:eastAsia="方正仿宋_GBK"/>
          <w:color w:val="000000" w:themeColor="text1"/>
          <w:sz w:val="32"/>
          <w:szCs w:val="32"/>
        </w:rPr>
        <w:t>月</w:t>
      </w:r>
      <w:r>
        <w:rPr>
          <w:rFonts w:hint="default" w:ascii="方正仿宋_GBK" w:hAnsi="宋体" w:eastAsia="方正仿宋_GBK"/>
          <w:color w:val="000000" w:themeColor="text1"/>
          <w:sz w:val="32"/>
          <w:szCs w:val="32"/>
          <w:lang w:val="en-US"/>
        </w:rPr>
        <w:t>17</w:t>
      </w:r>
      <w:r>
        <w:rPr>
          <w:rFonts w:hint="eastAsia" w:ascii="方正仿宋_GBK" w:hAnsi="宋体" w:eastAsia="方正仿宋_GBK"/>
          <w:color w:val="000000" w:themeColor="text1"/>
          <w:sz w:val="32"/>
          <w:szCs w:val="32"/>
        </w:rPr>
        <w:t>日</w:t>
      </w:r>
    </w:p>
    <w:p>
      <w:pPr>
        <w:adjustRightInd w:val="0"/>
        <w:spacing w:line="560" w:lineRule="exact"/>
        <w:ind w:right="15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附件1：</w:t>
      </w:r>
      <w:r>
        <w:rPr>
          <w:rFonts w:hint="eastAsia" w:ascii="方正仿宋_GBK" w:hAnsi="宋体" w:eastAsia="方正仿宋_GBK"/>
          <w:sz w:val="32"/>
          <w:szCs w:val="32"/>
          <w:lang w:eastAsia="zh-CN"/>
        </w:rPr>
        <w:t>竞采</w:t>
      </w:r>
      <w:r>
        <w:rPr>
          <w:rFonts w:hint="eastAsia" w:ascii="方正仿宋_GBK" w:hAnsi="宋体" w:eastAsia="方正仿宋_GBK"/>
          <w:sz w:val="32"/>
          <w:szCs w:val="32"/>
          <w:lang w:val="en-US" w:eastAsia="zh-CN"/>
        </w:rPr>
        <w:t>响应</w:t>
      </w:r>
      <w:r>
        <w:rPr>
          <w:rFonts w:hint="eastAsia" w:ascii="方正仿宋_GBK" w:hAnsi="宋体" w:eastAsia="方正仿宋_GBK"/>
          <w:sz w:val="32"/>
          <w:szCs w:val="32"/>
        </w:rPr>
        <w:t>文件格式</w:t>
      </w:r>
    </w:p>
    <w:p>
      <w:pPr>
        <w:spacing w:line="540" w:lineRule="exact"/>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jc w:val="center"/>
        <w:rPr>
          <w:rFonts w:hint="default" w:ascii="方正仿宋_GBK" w:hAnsi="宋体" w:eastAsia="方正仿宋_GBK"/>
          <w:b/>
          <w:kern w:val="0"/>
          <w:sz w:val="144"/>
          <w:szCs w:val="144"/>
          <w:lang w:val="en-US" w:eastAsia="zh-CN"/>
        </w:rPr>
      </w:pPr>
      <w:r>
        <w:rPr>
          <w:rFonts w:hint="eastAsia" w:ascii="方正仿宋_GBK" w:hAnsi="宋体" w:eastAsia="方正仿宋_GBK"/>
          <w:b/>
          <w:kern w:val="0"/>
          <w:sz w:val="144"/>
          <w:szCs w:val="144"/>
          <w:lang w:val="en-US" w:eastAsia="zh-CN"/>
        </w:rPr>
        <w:t>响应文件</w:t>
      </w:r>
    </w:p>
    <w:p>
      <w:pPr>
        <w:pStyle w:val="34"/>
        <w:rPr>
          <w:rFonts w:ascii="方正仿宋_GBK" w:hAnsi="宋体" w:eastAsia="方正仿宋_GBK"/>
          <w:b/>
          <w:kern w:val="0"/>
          <w:sz w:val="32"/>
          <w:szCs w:val="32"/>
        </w:rPr>
      </w:pPr>
    </w:p>
    <w:p>
      <w:pPr>
        <w:pStyle w:val="34"/>
        <w:rPr>
          <w:rFonts w:hint="eastAsia" w:ascii="方正仿宋_GBK" w:hAnsi="宋体" w:eastAsia="方正仿宋_GBK"/>
          <w:b/>
          <w:kern w:val="0"/>
          <w:sz w:val="32"/>
          <w:szCs w:val="32"/>
          <w:lang w:val="en-US" w:eastAsia="zh-CN"/>
        </w:rPr>
      </w:pPr>
    </w:p>
    <w:p>
      <w:pPr>
        <w:pStyle w:val="34"/>
        <w:rPr>
          <w:rFonts w:hint="eastAsia" w:ascii="方正仿宋_GBK" w:hAnsi="宋体" w:eastAsia="方正仿宋_GBK"/>
          <w:b/>
          <w:kern w:val="0"/>
          <w:sz w:val="32"/>
          <w:szCs w:val="32"/>
          <w:lang w:val="en-US" w:eastAsia="zh-CN"/>
        </w:rPr>
      </w:pPr>
    </w:p>
    <w:p>
      <w:pPr>
        <w:pStyle w:val="34"/>
        <w:rPr>
          <w:rFonts w:hint="eastAsia" w:ascii="方正仿宋_GBK" w:hAnsi="宋体" w:eastAsia="方正仿宋_GBK"/>
          <w:b/>
          <w:kern w:val="0"/>
          <w:sz w:val="32"/>
          <w:szCs w:val="32"/>
          <w:lang w:val="en-US" w:eastAsia="zh-CN"/>
        </w:rPr>
      </w:pP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采购项目名称：</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采购项目编号：</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供应商：</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联系人：</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电话：</w:t>
      </w:r>
    </w:p>
    <w:p>
      <w:pPr>
        <w:pStyle w:val="34"/>
        <w:ind w:firstLine="964" w:firstLineChars="300"/>
        <w:rPr>
          <w:rFonts w:hint="default"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时间：</w:t>
      </w: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numPr>
          <w:ilvl w:val="0"/>
          <w:numId w:val="2"/>
        </w:numPr>
        <w:spacing w:line="540" w:lineRule="exact"/>
        <w:rPr>
          <w:rFonts w:ascii="方正仿宋_GBK" w:hAnsi="宋体" w:eastAsia="方正仿宋_GBK"/>
          <w:b/>
          <w:kern w:val="0"/>
          <w:sz w:val="32"/>
          <w:szCs w:val="32"/>
        </w:rPr>
      </w:pPr>
      <w:r>
        <w:rPr>
          <w:rFonts w:hint="eastAsia" w:ascii="方正仿宋_GBK" w:hAnsi="宋体" w:eastAsia="方正仿宋_GBK"/>
          <w:b/>
          <w:kern w:val="0"/>
          <w:sz w:val="32"/>
          <w:szCs w:val="32"/>
        </w:rPr>
        <w:t>资质文件</w:t>
      </w:r>
    </w:p>
    <w:p>
      <w:pPr>
        <w:spacing w:line="540" w:lineRule="exact"/>
        <w:rPr>
          <w:rFonts w:ascii="方正仿宋_GBK" w:hAnsi="宋体" w:eastAsia="方正仿宋_GBK"/>
          <w:b/>
          <w:kern w:val="0"/>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（一）营业执照复印件</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（二）税务登记证复印件</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（三）组织机构代码证复印件</w:t>
      </w: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（四）法定代表人身份证明书（格式）</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u w:val="single"/>
        </w:rPr>
      </w:pPr>
      <w:r>
        <w:rPr>
          <w:rFonts w:hint="eastAsia" w:ascii="方正仿宋_GBK" w:hAnsi="宋体" w:eastAsia="方正仿宋_GBK"/>
          <w:sz w:val="32"/>
          <w:szCs w:val="32"/>
        </w:rPr>
        <w:t>采购项目名称：</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u w:val="single"/>
        </w:rPr>
      </w:pPr>
      <w:r>
        <w:rPr>
          <w:rFonts w:hint="eastAsia" w:ascii="方正仿宋_GBK" w:hAnsi="宋体" w:eastAsia="方正仿宋_GBK"/>
          <w:sz w:val="32"/>
          <w:szCs w:val="32"/>
        </w:rPr>
        <w:t>采购项目编号：</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致：</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（采购人名称）：</w:t>
      </w: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（法定代表人姓名）在</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（供应商名称）任</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（职务名称）职务，是（供应商名称）</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的法定代表人。</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特此证明。</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 xml:space="preserve">                                     （供应商公章）</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 xml:space="preserve">                                     年   月   日</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（附：法定代表人身份证复印件）</w:t>
      </w:r>
    </w:p>
    <w:p>
      <w:pPr>
        <w:snapToGrid w:val="0"/>
        <w:spacing w:line="44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（五）法定代表人授权委托书（格式）</w:t>
      </w:r>
    </w:p>
    <w:p>
      <w:pPr>
        <w:snapToGrid w:val="0"/>
        <w:spacing w:line="440" w:lineRule="exact"/>
        <w:ind w:firstLine="640" w:firstLineChars="20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采购项目名称：</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u w:val="single"/>
        </w:rPr>
      </w:pPr>
      <w:r>
        <w:rPr>
          <w:rFonts w:hint="eastAsia" w:ascii="方正仿宋_GBK" w:hAnsi="宋体" w:eastAsia="方正仿宋_GBK"/>
          <w:sz w:val="32"/>
          <w:szCs w:val="32"/>
        </w:rPr>
        <w:t>采购项目编号：</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致：</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（采购人名称）：</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（供应商法定代表人名称）是</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（投标人供应商名称）的法定代表人，特授权</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（被授权人姓名及身份证代码）代表我单位全权办理上述项目的投标、谈判、签约等具体工作，并签署全部有关文件、协议及合同。</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我单位对被授权人的签字负全部责任。</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被授权人：                      供应商法定代表人：</w:t>
      </w: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（签字或盖章）                 （签字或盖章）</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（附：被授权人身份证复印件）</w:t>
      </w: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right="480" w:firstLine="5344" w:firstLineChars="1670"/>
        <w:jc w:val="both"/>
        <w:rPr>
          <w:rFonts w:ascii="方正仿宋_GBK" w:hAnsi="宋体" w:eastAsia="方正仿宋_GBK"/>
          <w:sz w:val="32"/>
          <w:szCs w:val="32"/>
        </w:rPr>
      </w:pPr>
      <w:r>
        <w:rPr>
          <w:rFonts w:hint="eastAsia" w:ascii="方正仿宋_GBK" w:hAnsi="宋体" w:eastAsia="方正仿宋_GBK"/>
          <w:sz w:val="32"/>
          <w:szCs w:val="32"/>
        </w:rPr>
        <w:t>（供应商公章）</w:t>
      </w:r>
    </w:p>
    <w:p>
      <w:pPr>
        <w:tabs>
          <w:tab w:val="left" w:pos="6300"/>
        </w:tabs>
        <w:snapToGrid w:val="0"/>
        <w:spacing w:line="500" w:lineRule="exact"/>
        <w:ind w:right="480" w:firstLine="570"/>
        <w:jc w:val="center"/>
        <w:rPr>
          <w:rFonts w:ascii="方正仿宋_GBK" w:hAnsi="宋体" w:eastAsia="方正仿宋_GBK"/>
          <w:sz w:val="32"/>
          <w:szCs w:val="32"/>
        </w:rPr>
      </w:pPr>
      <w:r>
        <w:rPr>
          <w:rFonts w:hint="default" w:ascii="方正仿宋_GBK" w:hAnsi="宋体" w:eastAsia="方正仿宋_GBK"/>
          <w:sz w:val="32"/>
          <w:szCs w:val="32"/>
          <w:lang w:val="en-US"/>
        </w:rPr>
        <w:t xml:space="preserve">                        </w:t>
      </w:r>
      <w:r>
        <w:rPr>
          <w:rFonts w:hint="eastAsia" w:ascii="方正仿宋_GBK" w:hAnsi="宋体" w:eastAsia="方正仿宋_GBK"/>
          <w:sz w:val="32"/>
          <w:szCs w:val="32"/>
        </w:rPr>
        <w:t>年   月   日</w:t>
      </w: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（六）诚信声明（格式）</w:t>
      </w:r>
    </w:p>
    <w:p>
      <w:pPr>
        <w:tabs>
          <w:tab w:val="left" w:pos="6300"/>
        </w:tabs>
        <w:snapToGrid w:val="0"/>
        <w:spacing w:line="500" w:lineRule="exact"/>
        <w:ind w:firstLine="640" w:firstLineChars="20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采购项目名称：</w:t>
      </w:r>
      <w:r>
        <w:rPr>
          <w:rFonts w:hint="eastAsia" w:ascii="方正仿宋_GBK" w:hAnsi="宋体" w:eastAsia="方正仿宋_GBK"/>
          <w:sz w:val="32"/>
          <w:szCs w:val="32"/>
          <w:u w:val="single"/>
        </w:rPr>
        <w:t xml:space="preserve">                                           </w:t>
      </w:r>
    </w:p>
    <w:p>
      <w:pPr>
        <w:tabs>
          <w:tab w:val="left" w:pos="6300"/>
        </w:tabs>
        <w:snapToGrid w:val="0"/>
        <w:spacing w:line="500" w:lineRule="exact"/>
        <w:ind w:firstLine="640" w:firstLineChars="200"/>
        <w:rPr>
          <w:rFonts w:ascii="方正仿宋_GBK" w:hAnsi="宋体" w:eastAsia="方正仿宋_GBK"/>
          <w:sz w:val="32"/>
          <w:szCs w:val="32"/>
          <w:u w:val="single"/>
        </w:rPr>
      </w:pPr>
      <w:r>
        <w:rPr>
          <w:rFonts w:hint="eastAsia" w:ascii="方正仿宋_GBK" w:hAnsi="宋体" w:eastAsia="方正仿宋_GBK"/>
          <w:sz w:val="32"/>
          <w:szCs w:val="32"/>
        </w:rPr>
        <w:t>采购项目编号：</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致：</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（采购人名称）：</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供应商名称）郑重声明，我公司具有良好的商业信誉和健全的财务会计制度，具有履行合同所必需的设备和专业技术能力，有依法缴纳税收和社会保障资金的良好记录；我公司还同时声明参加本项目采购活动前三年内无重大违法活动记录，符合《政府采购法》规定的供应商资格条件。我方对以上声明提供的资料及行为负全部法律责任。</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特此声明。</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right="424" w:firstLine="570"/>
        <w:jc w:val="right"/>
        <w:rPr>
          <w:rFonts w:ascii="方正仿宋_GBK" w:hAnsi="宋体" w:eastAsia="方正仿宋_GBK"/>
          <w:sz w:val="32"/>
          <w:szCs w:val="32"/>
        </w:rPr>
      </w:pPr>
      <w:r>
        <w:rPr>
          <w:rFonts w:hint="eastAsia" w:ascii="方正仿宋_GBK" w:hAnsi="宋体" w:eastAsia="方正仿宋_GBK"/>
          <w:sz w:val="32"/>
          <w:szCs w:val="32"/>
        </w:rPr>
        <w:t>（供应商公章）</w:t>
      </w:r>
    </w:p>
    <w:p>
      <w:pPr>
        <w:tabs>
          <w:tab w:val="left" w:pos="6300"/>
        </w:tabs>
        <w:snapToGrid w:val="0"/>
        <w:spacing w:line="500" w:lineRule="exact"/>
        <w:ind w:right="480" w:firstLine="570"/>
        <w:jc w:val="right"/>
        <w:rPr>
          <w:rFonts w:ascii="方正仿宋_GBK" w:hAnsi="宋体" w:eastAsia="方正仿宋_GBK"/>
          <w:sz w:val="32"/>
          <w:szCs w:val="32"/>
        </w:rPr>
      </w:pPr>
      <w:r>
        <w:rPr>
          <w:rFonts w:hint="eastAsia" w:ascii="方正仿宋_GBK" w:hAnsi="宋体" w:eastAsia="方正仿宋_GBK"/>
          <w:sz w:val="32"/>
          <w:szCs w:val="32"/>
        </w:rPr>
        <w:t>年   月   日</w:t>
      </w:r>
    </w:p>
    <w:p>
      <w:pPr>
        <w:adjustRightInd w:val="0"/>
        <w:spacing w:line="640" w:lineRule="exact"/>
        <w:rPr>
          <w:rFonts w:ascii="方正仿宋_GBK" w:hAnsi="宋体" w:eastAsia="方正仿宋_GBK"/>
          <w:sz w:val="32"/>
          <w:szCs w:val="32"/>
        </w:rPr>
      </w:pPr>
    </w:p>
    <w:p>
      <w:pPr>
        <w:spacing w:line="540" w:lineRule="exact"/>
        <w:ind w:firstLine="800" w:firstLineChars="250"/>
        <w:rPr>
          <w:rFonts w:ascii="方正仿宋_GBK" w:hAnsi="宋体" w:eastAsia="方正仿宋_GBK"/>
          <w:b/>
          <w:kern w:val="0"/>
          <w:sz w:val="32"/>
          <w:szCs w:val="32"/>
        </w:rPr>
      </w:pPr>
      <w:r>
        <w:rPr>
          <w:rFonts w:hint="eastAsia" w:ascii="方正仿宋_GBK" w:hAnsi="宋体" w:eastAsia="方正仿宋_GBK"/>
          <w:sz w:val="32"/>
          <w:szCs w:val="32"/>
        </w:rPr>
        <w:br w:type="page"/>
      </w:r>
      <w:r>
        <w:rPr>
          <w:rFonts w:hint="eastAsia" w:ascii="方正仿宋_GBK" w:hAnsi="宋体" w:eastAsia="方正仿宋_GBK"/>
          <w:b/>
          <w:kern w:val="0"/>
          <w:sz w:val="32"/>
          <w:szCs w:val="32"/>
        </w:rPr>
        <w:t>二、技术文件</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（一）投报产品的详细技术参数</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pacing w:line="540" w:lineRule="exact"/>
        <w:ind w:firstLine="640" w:firstLineChars="200"/>
        <w:rPr>
          <w:rFonts w:ascii="方正仿宋_GBK" w:hAnsi="宋体" w:eastAsia="方正仿宋_GBK"/>
          <w:sz w:val="32"/>
          <w:szCs w:val="32"/>
        </w:rPr>
      </w:pPr>
    </w:p>
    <w:p>
      <w:pPr>
        <w:spacing w:line="54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（二）招标与投标产品技术参数差异表</w:t>
      </w:r>
    </w:p>
    <w:p>
      <w:pPr>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u w:val="single"/>
        </w:rPr>
      </w:pPr>
      <w:r>
        <w:rPr>
          <w:rFonts w:hint="eastAsia" w:ascii="方正仿宋_GBK" w:hAnsi="宋体" w:eastAsia="方正仿宋_GBK"/>
          <w:kern w:val="0"/>
          <w:sz w:val="32"/>
          <w:szCs w:val="32"/>
        </w:rPr>
        <w:t xml:space="preserve">项目编号：  </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p>
      <w:pPr>
        <w:snapToGrid w:val="0"/>
        <w:spacing w:line="540" w:lineRule="exact"/>
        <w:ind w:firstLine="640" w:firstLineChars="200"/>
        <w:rPr>
          <w:rFonts w:ascii="方正仿宋_GBK" w:hAnsi="宋体" w:eastAsia="方正仿宋_GBK"/>
          <w:kern w:val="0"/>
          <w:sz w:val="32"/>
          <w:szCs w:val="32"/>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530"/>
        <w:gridCol w:w="1365"/>
        <w:gridCol w:w="166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398"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设备名称</w:t>
            </w:r>
          </w:p>
        </w:tc>
        <w:tc>
          <w:tcPr>
            <w:tcW w:w="1530"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招标设备</w:t>
            </w:r>
          </w:p>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技术参数</w:t>
            </w:r>
          </w:p>
        </w:tc>
        <w:tc>
          <w:tcPr>
            <w:tcW w:w="1365"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投标设备</w:t>
            </w:r>
          </w:p>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技术参数</w:t>
            </w:r>
          </w:p>
        </w:tc>
        <w:tc>
          <w:tcPr>
            <w:tcW w:w="1665"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差异或响应</w:t>
            </w:r>
          </w:p>
        </w:tc>
        <w:tc>
          <w:tcPr>
            <w:tcW w:w="2160"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bl>
    <w:p>
      <w:pPr>
        <w:pStyle w:val="36"/>
        <w:spacing w:line="540" w:lineRule="exact"/>
        <w:ind w:firstLine="640"/>
        <w:jc w:val="both"/>
        <w:rPr>
          <w:rFonts w:ascii="方正仿宋_GBK" w:hAnsi="宋体" w:eastAsia="方正仿宋_GBK"/>
          <w:szCs w:val="32"/>
        </w:rPr>
      </w:pP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注：1、应对技术方案中的所有条款进行逐一应答。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2、若无差异，请在“响应或无差异”处填写响应。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3、若有差异，请在“响应或无差异”处填写差异，技术参数优于招标文件要求的在“差异原因”处填写正偏离；相应技术参数低于招标文件要求的在“差异原因”处填写负偏离。</w:t>
      </w:r>
    </w:p>
    <w:p>
      <w:pPr>
        <w:snapToGrid w:val="0"/>
        <w:spacing w:line="520" w:lineRule="exact"/>
        <w:ind w:firstLine="640" w:firstLineChars="200"/>
        <w:rPr>
          <w:rFonts w:ascii="方正仿宋_GBK" w:hAnsi="宋体" w:eastAsia="方正仿宋_GBK"/>
          <w:sz w:val="32"/>
          <w:szCs w:val="32"/>
        </w:rPr>
      </w:pPr>
    </w:p>
    <w:p>
      <w:pPr>
        <w:pStyle w:val="135"/>
        <w:numPr>
          <w:ilvl w:val="0"/>
          <w:numId w:val="0"/>
        </w:num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技术方案中要求的其他证明资料。</w:t>
      </w:r>
    </w:p>
    <w:p>
      <w:pPr>
        <w:snapToGrid w:val="0"/>
        <w:spacing w:line="520" w:lineRule="exact"/>
        <w:rPr>
          <w:rFonts w:ascii="方正仿宋_GBK" w:hAnsi="宋体" w:eastAsia="方正仿宋_GBK"/>
          <w:sz w:val="32"/>
          <w:szCs w:val="32"/>
        </w:rPr>
      </w:pPr>
    </w:p>
    <w:p>
      <w:pPr>
        <w:spacing w:line="540" w:lineRule="exact"/>
        <w:ind w:firstLine="630" w:firstLineChars="196"/>
        <w:rPr>
          <w:rFonts w:ascii="方正仿宋_GBK" w:hAnsi="宋体" w:eastAsia="方正仿宋_GBK"/>
          <w:b/>
          <w:kern w:val="0"/>
          <w:sz w:val="32"/>
          <w:szCs w:val="32"/>
        </w:rPr>
      </w:pPr>
    </w:p>
    <w:p>
      <w:pPr>
        <w:spacing w:line="540" w:lineRule="exact"/>
        <w:ind w:firstLine="803" w:firstLineChars="250"/>
        <w:rPr>
          <w:rFonts w:ascii="方正仿宋_GBK" w:hAnsi="宋体" w:eastAsia="方正仿宋_GBK"/>
          <w:b/>
          <w:kern w:val="0"/>
          <w:sz w:val="32"/>
          <w:szCs w:val="32"/>
        </w:rPr>
      </w:pPr>
      <w:r>
        <w:rPr>
          <w:rFonts w:hint="eastAsia" w:ascii="方正仿宋_GBK" w:hAnsi="宋体" w:eastAsia="方正仿宋_GBK"/>
          <w:b/>
          <w:kern w:val="0"/>
          <w:sz w:val="32"/>
          <w:szCs w:val="32"/>
        </w:rPr>
        <w:t>三、商务文件</w:t>
      </w:r>
    </w:p>
    <w:p>
      <w:pPr>
        <w:spacing w:line="54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（一）招标与投标产品商务参数差异表</w:t>
      </w:r>
    </w:p>
    <w:p>
      <w:pPr>
        <w:spacing w:line="540" w:lineRule="exact"/>
        <w:ind w:left="840" w:leftChars="400"/>
        <w:rPr>
          <w:rFonts w:ascii="方正仿宋_GBK" w:hAnsi="宋体" w:eastAsia="方正仿宋_GBK"/>
          <w:kern w:val="0"/>
          <w:sz w:val="32"/>
          <w:szCs w:val="32"/>
          <w:u w:val="single"/>
        </w:rPr>
      </w:pPr>
      <w:r>
        <w:rPr>
          <w:rFonts w:hint="eastAsia" w:ascii="方正仿宋_GBK" w:hAnsi="宋体" w:eastAsia="方正仿宋_GBK"/>
          <w:kern w:val="0"/>
          <w:sz w:val="32"/>
          <w:szCs w:val="32"/>
        </w:rPr>
        <w:t>项目编号：</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ind w:left="840" w:leftChars="400"/>
        <w:rPr>
          <w:rFonts w:ascii="方正仿宋_GBK" w:hAnsi="宋体" w:eastAsia="方正仿宋_GBK"/>
          <w:kern w:val="0"/>
          <w:sz w:val="32"/>
          <w:szCs w:val="32"/>
          <w:u w:val="single"/>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p>
      <w:pPr>
        <w:spacing w:line="540" w:lineRule="exact"/>
        <w:ind w:left="840" w:leftChars="400"/>
        <w:rPr>
          <w:rFonts w:ascii="方正仿宋_GBK" w:hAnsi="宋体" w:eastAsia="方正仿宋_GBK"/>
          <w:kern w:val="0"/>
          <w:sz w:val="32"/>
          <w:szCs w:val="32"/>
        </w:rPr>
      </w:pPr>
    </w:p>
    <w:tbl>
      <w:tblPr>
        <w:tblStyle w:val="25"/>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序号</w:t>
            </w: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招标商务要求</w:t>
            </w: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投标商务应答</w:t>
            </w: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bl>
    <w:p>
      <w:pPr>
        <w:pStyle w:val="36"/>
        <w:spacing w:line="540" w:lineRule="exact"/>
        <w:ind w:firstLine="0" w:firstLineChars="0"/>
        <w:jc w:val="both"/>
        <w:rPr>
          <w:rFonts w:ascii="方正仿宋_GBK" w:hAnsi="宋体" w:eastAsia="方正仿宋_GBK"/>
          <w:szCs w:val="32"/>
        </w:rPr>
      </w:pP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注：1、应对商务参数中的所有条款进行逐一应答。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2、若无差异，请在“响应或无差异”处填写响应。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3、若有差异，请在“响应或无差异”处填写差异，商务参数优于招标文件要求的在“差异原因”处填写正偏离；相应技术参数低于招标文件要求的在“差异原因”处填写负偏离。</w:t>
      </w:r>
    </w:p>
    <w:p>
      <w:pPr>
        <w:spacing w:line="540" w:lineRule="exact"/>
        <w:ind w:firstLine="630" w:firstLineChars="196"/>
        <w:rPr>
          <w:rFonts w:ascii="方正仿宋_GBK" w:hAnsi="宋体" w:eastAsia="方正仿宋_GBK"/>
          <w:b/>
          <w:kern w:val="0"/>
          <w:sz w:val="32"/>
          <w:szCs w:val="32"/>
        </w:rPr>
      </w:pPr>
      <w:r>
        <w:rPr>
          <w:rFonts w:hint="eastAsia" w:ascii="方正仿宋_GBK" w:hAnsi="宋体" w:eastAsia="方正仿宋_GBK"/>
          <w:b/>
          <w:kern w:val="0"/>
          <w:sz w:val="32"/>
          <w:szCs w:val="32"/>
        </w:rPr>
        <w:t>四、报价文件</w:t>
      </w:r>
    </w:p>
    <w:p>
      <w:pPr>
        <w:spacing w:line="540" w:lineRule="exact"/>
        <w:rPr>
          <w:rFonts w:ascii="方正仿宋_GBK" w:hAnsi="宋体" w:eastAsia="方正仿宋_GBK"/>
          <w:b/>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（一）</w:t>
      </w:r>
      <w:r>
        <w:rPr>
          <w:rFonts w:hint="eastAsia" w:ascii="方正仿宋_GBK" w:hAnsi="宋体" w:eastAsia="方正仿宋_GBK"/>
          <w:kern w:val="0"/>
          <w:sz w:val="32"/>
          <w:szCs w:val="32"/>
          <w:lang w:eastAsia="zh-CN"/>
        </w:rPr>
        <w:t>竞采</w:t>
      </w:r>
      <w:r>
        <w:rPr>
          <w:rFonts w:hint="eastAsia" w:ascii="方正仿宋_GBK" w:hAnsi="宋体" w:eastAsia="方正仿宋_GBK"/>
          <w:kern w:val="0"/>
          <w:sz w:val="32"/>
          <w:szCs w:val="32"/>
        </w:rPr>
        <w:t>询价一览表</w:t>
      </w:r>
    </w:p>
    <w:p>
      <w:pPr>
        <w:spacing w:line="540" w:lineRule="exact"/>
        <w:rPr>
          <w:rFonts w:ascii="方正仿宋_GBK" w:hAnsi="宋体" w:eastAsia="方正仿宋_GBK"/>
          <w:kern w:val="0"/>
          <w:sz w:val="32"/>
          <w:szCs w:val="32"/>
          <w:u w:val="single"/>
        </w:rPr>
      </w:pPr>
      <w:r>
        <w:rPr>
          <w:rFonts w:hint="eastAsia" w:ascii="方正仿宋_GBK" w:hAnsi="宋体" w:eastAsia="方正仿宋_GBK"/>
          <w:kern w:val="0"/>
          <w:sz w:val="32"/>
          <w:szCs w:val="32"/>
        </w:rPr>
        <w:t xml:space="preserve">项目编号：  </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tbl>
      <w:tblPr>
        <w:tblStyle w:val="25"/>
        <w:tblpPr w:leftFromText="180" w:rightFromText="180" w:vertAnchor="text" w:horzAnchor="page" w:tblpX="1808" w:tblpY="5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
        <w:gridCol w:w="3579"/>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469" w:type="dxa"/>
            <w:gridSpan w:val="2"/>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供应商全称</w:t>
            </w:r>
          </w:p>
        </w:tc>
        <w:tc>
          <w:tcPr>
            <w:tcW w:w="6811" w:type="dxa"/>
            <w:gridSpan w:val="2"/>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448" w:type="dxa"/>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项目名称</w:t>
            </w:r>
          </w:p>
        </w:tc>
        <w:tc>
          <w:tcPr>
            <w:tcW w:w="3600" w:type="dxa"/>
            <w:gridSpan w:val="2"/>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质保期</w:t>
            </w:r>
          </w:p>
        </w:tc>
        <w:tc>
          <w:tcPr>
            <w:tcW w:w="3232" w:type="dxa"/>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trPr>
        <w:tc>
          <w:tcPr>
            <w:tcW w:w="2448" w:type="dxa"/>
            <w:tcBorders>
              <w:bottom w:val="single" w:color="auto" w:sz="4" w:space="0"/>
            </w:tcBorders>
          </w:tcPr>
          <w:p>
            <w:pPr>
              <w:rPr>
                <w:rFonts w:ascii="方正仿宋_GBK" w:hAnsi="宋体" w:eastAsia="方正仿宋_GBK"/>
                <w:sz w:val="32"/>
                <w:szCs w:val="32"/>
              </w:rPr>
            </w:pPr>
          </w:p>
        </w:tc>
        <w:tc>
          <w:tcPr>
            <w:tcW w:w="3600" w:type="dxa"/>
            <w:gridSpan w:val="2"/>
            <w:tcBorders>
              <w:bottom w:val="single" w:color="auto" w:sz="4" w:space="0"/>
            </w:tcBorders>
          </w:tcPr>
          <w:p>
            <w:pPr>
              <w:rPr>
                <w:rFonts w:ascii="方正仿宋_GBK" w:hAnsi="宋体" w:eastAsia="方正仿宋_GBK"/>
                <w:sz w:val="32"/>
                <w:szCs w:val="32"/>
              </w:rPr>
            </w:pPr>
          </w:p>
        </w:tc>
        <w:tc>
          <w:tcPr>
            <w:tcW w:w="3232" w:type="dxa"/>
            <w:tcBorders>
              <w:bottom w:val="single" w:color="auto" w:sz="4" w:space="0"/>
            </w:tcBorders>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469" w:type="dxa"/>
            <w:gridSpan w:val="2"/>
            <w:tcBorders>
              <w:bottom w:val="single" w:color="auto" w:sz="4" w:space="0"/>
            </w:tcBorders>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供应商投报总价</w:t>
            </w:r>
          </w:p>
          <w:p>
            <w:pPr>
              <w:jc w:val="center"/>
              <w:rPr>
                <w:rFonts w:ascii="方正仿宋_GBK" w:hAnsi="宋体" w:eastAsia="方正仿宋_GBK"/>
                <w:sz w:val="32"/>
                <w:szCs w:val="32"/>
              </w:rPr>
            </w:pPr>
            <w:r>
              <w:rPr>
                <w:rFonts w:hint="eastAsia" w:ascii="方正仿宋_GBK" w:hAnsi="宋体" w:eastAsia="方正仿宋_GBK"/>
                <w:sz w:val="32"/>
                <w:szCs w:val="32"/>
              </w:rPr>
              <w:t xml:space="preserve">（人民币）  </w:t>
            </w:r>
          </w:p>
        </w:tc>
        <w:tc>
          <w:tcPr>
            <w:tcW w:w="6811" w:type="dxa"/>
            <w:gridSpan w:val="2"/>
            <w:tcBorders>
              <w:bottom w:val="single" w:color="auto" w:sz="4" w:space="0"/>
            </w:tcBorders>
            <w:vAlign w:val="center"/>
          </w:tcPr>
          <w:p>
            <w:pPr>
              <w:rPr>
                <w:rFonts w:hint="eastAsia" w:ascii="方正仿宋_GBK" w:hAnsi="宋体" w:eastAsia="方正仿宋_GBK"/>
                <w:sz w:val="32"/>
                <w:szCs w:val="32"/>
              </w:rPr>
            </w:pPr>
            <w:r>
              <w:rPr>
                <w:rFonts w:hint="eastAsia" w:ascii="方正仿宋_GBK" w:hAnsi="宋体" w:eastAsia="方正仿宋_GBK"/>
                <w:sz w:val="32"/>
                <w:szCs w:val="32"/>
              </w:rPr>
              <w:t xml:space="preserve">大写：                                 </w:t>
            </w:r>
          </w:p>
          <w:p>
            <w:pPr>
              <w:rPr>
                <w:rFonts w:ascii="方正仿宋_GBK" w:hAnsi="宋体" w:eastAsia="方正仿宋_GBK"/>
                <w:sz w:val="32"/>
                <w:szCs w:val="32"/>
              </w:rPr>
            </w:pPr>
            <w:r>
              <w:rPr>
                <w:rFonts w:hint="eastAsia" w:ascii="方正仿宋_GBK" w:hAnsi="宋体" w:eastAsia="方正仿宋_GBK"/>
                <w:sz w:val="32"/>
                <w:szCs w:val="3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4"/>
          </w:tcPr>
          <w:p>
            <w:pPr>
              <w:rPr>
                <w:rFonts w:ascii="方正仿宋_GBK" w:hAnsi="宋体" w:eastAsia="方正仿宋_GBK"/>
                <w:sz w:val="32"/>
                <w:szCs w:val="32"/>
              </w:rPr>
            </w:pPr>
          </w:p>
          <w:p>
            <w:pPr>
              <w:rPr>
                <w:rFonts w:ascii="方正仿宋_GBK" w:hAnsi="宋体" w:eastAsia="方正仿宋_GBK"/>
                <w:sz w:val="32"/>
                <w:szCs w:val="32"/>
              </w:rPr>
            </w:pPr>
            <w:r>
              <w:rPr>
                <w:rFonts w:hint="eastAsia" w:ascii="方正仿宋_GBK" w:hAnsi="宋体" w:eastAsia="方正仿宋_GBK"/>
                <w:sz w:val="32"/>
                <w:szCs w:val="32"/>
              </w:rPr>
              <w:t>备注：</w:t>
            </w:r>
          </w:p>
        </w:tc>
      </w:tr>
    </w:tbl>
    <w:p>
      <w:pPr>
        <w:spacing w:line="540" w:lineRule="exact"/>
        <w:rPr>
          <w:rFonts w:ascii="方正仿宋_GBK" w:hAnsi="宋体" w:eastAsia="方正仿宋_GBK"/>
          <w:kern w:val="0"/>
          <w:sz w:val="32"/>
          <w:szCs w:val="32"/>
        </w:rPr>
      </w:pPr>
    </w:p>
    <w:p>
      <w:pPr>
        <w:spacing w:line="540" w:lineRule="exact"/>
        <w:ind w:firstLine="480" w:firstLineChars="150"/>
        <w:rPr>
          <w:rFonts w:ascii="方正仿宋_GBK" w:hAnsi="宋体" w:eastAsia="方正仿宋_GBK"/>
          <w:kern w:val="0"/>
          <w:sz w:val="32"/>
          <w:szCs w:val="32"/>
        </w:rPr>
      </w:pPr>
      <w:r>
        <w:rPr>
          <w:rFonts w:hint="eastAsia" w:ascii="方正仿宋_GBK" w:hAnsi="宋体" w:eastAsia="方正仿宋_GBK"/>
          <w:kern w:val="0"/>
          <w:sz w:val="32"/>
          <w:szCs w:val="32"/>
        </w:rPr>
        <w:t>供应商：                     供应商法人授权代表：</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 xml:space="preserve">  （公章）                             （签名）</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 xml:space="preserve">                                     年    月     日</w:t>
      </w:r>
    </w:p>
    <w:p>
      <w:pPr>
        <w:snapToGrid w:val="0"/>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说明：</w:t>
      </w:r>
      <w:r>
        <w:rPr>
          <w:rFonts w:hint="eastAsia" w:ascii="方正仿宋_GBK" w:hAnsi="宋体" w:eastAsia="方正仿宋_GBK"/>
          <w:kern w:val="0"/>
          <w:sz w:val="32"/>
          <w:szCs w:val="32"/>
          <w:lang w:eastAsia="zh-CN"/>
        </w:rPr>
        <w:t>竞采</w:t>
      </w:r>
      <w:r>
        <w:rPr>
          <w:rFonts w:hint="eastAsia" w:ascii="方正仿宋_GBK" w:hAnsi="宋体" w:eastAsia="方正仿宋_GBK"/>
          <w:kern w:val="0"/>
          <w:sz w:val="32"/>
          <w:szCs w:val="32"/>
        </w:rPr>
        <w:t>询价一览表在询价</w:t>
      </w:r>
      <w:r>
        <w:rPr>
          <w:rFonts w:hint="eastAsia" w:ascii="方正仿宋_GBK" w:hAnsi="宋体" w:eastAsia="方正仿宋_GBK"/>
          <w:kern w:val="0"/>
          <w:sz w:val="32"/>
          <w:szCs w:val="32"/>
          <w:lang w:eastAsia="zh-CN"/>
        </w:rPr>
        <w:t>采购小组评审</w:t>
      </w:r>
      <w:r>
        <w:rPr>
          <w:rFonts w:hint="eastAsia" w:ascii="方正仿宋_GBK" w:hAnsi="宋体" w:eastAsia="方正仿宋_GBK"/>
          <w:kern w:val="0"/>
          <w:sz w:val="32"/>
          <w:szCs w:val="32"/>
        </w:rPr>
        <w:t>会上当众宣读，务必填写清楚、准确无误。</w:t>
      </w:r>
    </w:p>
    <w:p>
      <w:pPr>
        <w:spacing w:line="540" w:lineRule="exact"/>
        <w:rPr>
          <w:rFonts w:ascii="方正仿宋_GBK" w:hAnsi="宋体" w:eastAsia="方正仿宋_GBK"/>
          <w:spacing w:val="20"/>
          <w:kern w:val="0"/>
          <w:sz w:val="32"/>
          <w:szCs w:val="32"/>
        </w:rPr>
      </w:pPr>
    </w:p>
    <w:p>
      <w:pPr>
        <w:spacing w:line="540" w:lineRule="exact"/>
        <w:rPr>
          <w:rFonts w:hint="eastAsia" w:ascii="方正仿宋_GBK" w:hAnsi="宋体" w:eastAsia="方正仿宋_GBK"/>
          <w:spacing w:val="20"/>
          <w:kern w:val="0"/>
          <w:sz w:val="32"/>
          <w:szCs w:val="32"/>
        </w:rPr>
      </w:pPr>
    </w:p>
    <w:p>
      <w:pPr>
        <w:spacing w:line="540" w:lineRule="exact"/>
        <w:rPr>
          <w:rFonts w:ascii="方正仿宋_GBK" w:hAnsi="宋体" w:eastAsia="方正仿宋_GBK"/>
          <w:spacing w:val="20"/>
          <w:kern w:val="0"/>
          <w:sz w:val="32"/>
          <w:szCs w:val="32"/>
        </w:rPr>
      </w:pPr>
      <w:r>
        <w:rPr>
          <w:rFonts w:hint="eastAsia" w:ascii="方正仿宋_GBK" w:hAnsi="宋体" w:eastAsia="方正仿宋_GBK"/>
          <w:spacing w:val="20"/>
          <w:kern w:val="0"/>
          <w:sz w:val="32"/>
          <w:szCs w:val="32"/>
        </w:rPr>
        <w:t>（二）分项报价明细表</w:t>
      </w:r>
    </w:p>
    <w:p>
      <w:pPr>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u w:val="single"/>
        </w:rPr>
      </w:pPr>
      <w:r>
        <w:rPr>
          <w:rFonts w:hint="eastAsia" w:ascii="方正仿宋_GBK" w:hAnsi="宋体" w:eastAsia="方正仿宋_GBK"/>
          <w:kern w:val="0"/>
          <w:sz w:val="32"/>
          <w:szCs w:val="32"/>
        </w:rPr>
        <w:t xml:space="preserve">项目编号：  </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tbl>
      <w:tblPr>
        <w:tblStyle w:val="25"/>
        <w:tblpPr w:leftFromText="180" w:rightFromText="180" w:vertAnchor="text" w:horzAnchor="page" w:tblpXSpec="center" w:tblpY="346"/>
        <w:tblOverlap w:val="never"/>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403"/>
        <w:gridCol w:w="1125"/>
        <w:gridCol w:w="1065"/>
        <w:gridCol w:w="1406"/>
        <w:gridCol w:w="805"/>
        <w:gridCol w:w="1348"/>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10"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设备及项目名称</w:t>
            </w:r>
          </w:p>
        </w:tc>
        <w:tc>
          <w:tcPr>
            <w:tcW w:w="1403"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品牌</w:t>
            </w:r>
          </w:p>
        </w:tc>
        <w:tc>
          <w:tcPr>
            <w:tcW w:w="1125" w:type="dxa"/>
            <w:vAlign w:val="center"/>
          </w:tcPr>
          <w:p>
            <w:pPr>
              <w:jc w:val="center"/>
              <w:rPr>
                <w:rFonts w:hint="eastAsia" w:ascii="方正仿宋_GBK" w:hAnsi="宋体" w:eastAsia="方正仿宋_GBK"/>
                <w:kern w:val="0"/>
                <w:sz w:val="32"/>
                <w:szCs w:val="32"/>
              </w:rPr>
            </w:pPr>
            <w:r>
              <w:rPr>
                <w:rFonts w:hint="eastAsia" w:ascii="方正仿宋_GBK" w:hAnsi="宋体" w:eastAsia="方正仿宋_GBK"/>
                <w:kern w:val="0"/>
                <w:sz w:val="32"/>
                <w:szCs w:val="32"/>
              </w:rPr>
              <w:t>规格型号</w:t>
            </w:r>
          </w:p>
        </w:tc>
        <w:tc>
          <w:tcPr>
            <w:tcW w:w="1065" w:type="dxa"/>
            <w:vAlign w:val="center"/>
          </w:tcPr>
          <w:p>
            <w:pPr>
              <w:tabs>
                <w:tab w:val="left" w:pos="387"/>
              </w:tabs>
              <w:jc w:val="center"/>
              <w:rPr>
                <w:rFonts w:hint="default" w:ascii="方正仿宋_GBK" w:hAnsi="宋体" w:eastAsia="方正仿宋_GBK"/>
                <w:kern w:val="0"/>
                <w:sz w:val="32"/>
                <w:szCs w:val="32"/>
                <w:lang w:val="en-US" w:eastAsia="zh-CN"/>
              </w:rPr>
            </w:pPr>
            <w:r>
              <w:rPr>
                <w:rFonts w:hint="eastAsia" w:ascii="方正仿宋_GBK" w:hAnsi="宋体" w:eastAsia="方正仿宋_GBK"/>
                <w:kern w:val="0"/>
                <w:sz w:val="32"/>
                <w:szCs w:val="32"/>
                <w:lang w:val="en-US" w:eastAsia="zh-CN"/>
              </w:rPr>
              <w:t>厂家全称</w:t>
            </w:r>
          </w:p>
        </w:tc>
        <w:tc>
          <w:tcPr>
            <w:tcW w:w="1406"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技术参数</w:t>
            </w:r>
          </w:p>
        </w:tc>
        <w:tc>
          <w:tcPr>
            <w:tcW w:w="805"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数量</w:t>
            </w:r>
          </w:p>
        </w:tc>
        <w:tc>
          <w:tcPr>
            <w:tcW w:w="1348" w:type="dxa"/>
            <w:vAlign w:val="center"/>
          </w:tcPr>
          <w:p>
            <w:pPr>
              <w:rPr>
                <w:rFonts w:ascii="方正仿宋_GBK" w:hAnsi="宋体" w:eastAsia="方正仿宋_GBK"/>
                <w:kern w:val="0"/>
                <w:sz w:val="32"/>
                <w:szCs w:val="32"/>
              </w:rPr>
            </w:pPr>
            <w:r>
              <w:rPr>
                <w:rFonts w:hint="eastAsia" w:ascii="方正仿宋_GBK" w:hAnsi="宋体" w:eastAsia="方正仿宋_GBK"/>
                <w:kern w:val="0"/>
                <w:sz w:val="32"/>
                <w:szCs w:val="32"/>
              </w:rPr>
              <w:t>单价（元）</w:t>
            </w:r>
          </w:p>
        </w:tc>
        <w:tc>
          <w:tcPr>
            <w:tcW w:w="1245" w:type="dxa"/>
            <w:vAlign w:val="center"/>
          </w:tcPr>
          <w:p>
            <w:pPr>
              <w:rPr>
                <w:rFonts w:ascii="方正仿宋_GBK" w:hAnsi="宋体" w:eastAsia="方正仿宋_GBK"/>
                <w:kern w:val="0"/>
                <w:sz w:val="32"/>
                <w:szCs w:val="32"/>
              </w:rPr>
            </w:pPr>
            <w:r>
              <w:rPr>
                <w:rFonts w:hint="eastAsia" w:ascii="方正仿宋_GBK" w:hAnsi="宋体" w:eastAsia="方正仿宋_GBK"/>
                <w:kern w:val="0"/>
                <w:sz w:val="32"/>
                <w:szCs w:val="32"/>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10"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合计</w:t>
            </w:r>
          </w:p>
          <w:p>
            <w:pPr>
              <w:jc w:val="center"/>
              <w:rPr>
                <w:rFonts w:ascii="方正仿宋_GBK" w:hAnsi="宋体" w:eastAsia="方正仿宋_GBK"/>
                <w:sz w:val="32"/>
                <w:szCs w:val="32"/>
              </w:rPr>
            </w:pPr>
            <w:r>
              <w:rPr>
                <w:rFonts w:hint="eastAsia" w:ascii="方正仿宋_GBK" w:hAnsi="宋体" w:eastAsia="方正仿宋_GBK"/>
                <w:kern w:val="0"/>
                <w:sz w:val="32"/>
                <w:szCs w:val="32"/>
              </w:rPr>
              <w:t>（人民币）</w:t>
            </w:r>
          </w:p>
        </w:tc>
        <w:tc>
          <w:tcPr>
            <w:tcW w:w="8397" w:type="dxa"/>
            <w:gridSpan w:val="7"/>
            <w:vAlign w:val="center"/>
          </w:tcPr>
          <w:p>
            <w:pPr>
              <w:rPr>
                <w:rFonts w:hint="eastAsia" w:ascii="方正仿宋_GBK" w:hAnsi="宋体" w:eastAsia="方正仿宋_GBK"/>
                <w:sz w:val="32"/>
                <w:szCs w:val="32"/>
              </w:rPr>
            </w:pPr>
            <w:r>
              <w:rPr>
                <w:rFonts w:hint="eastAsia" w:ascii="方正仿宋_GBK" w:hAnsi="宋体" w:eastAsia="方正仿宋_GBK"/>
                <w:sz w:val="32"/>
                <w:szCs w:val="32"/>
              </w:rPr>
              <w:t>大写：                     小写：</w:t>
            </w:r>
          </w:p>
        </w:tc>
      </w:tr>
    </w:tbl>
    <w:p>
      <w:pPr>
        <w:spacing w:line="540" w:lineRule="exact"/>
        <w:ind w:firstLine="960" w:firstLineChars="300"/>
        <w:rPr>
          <w:rFonts w:ascii="方正仿宋_GBK" w:hAnsi="宋体" w:eastAsia="方正仿宋_GBK"/>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供应商：                             供应商法人授权代表：</w:t>
      </w:r>
    </w:p>
    <w:p>
      <w:pPr>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（公章）                                   （签名）</w:t>
      </w:r>
    </w:p>
    <w:p>
      <w:pPr>
        <w:spacing w:line="540" w:lineRule="exact"/>
        <w:ind w:firstLine="5920" w:firstLineChars="1850"/>
        <w:rPr>
          <w:rFonts w:ascii="方正仿宋_GBK" w:hAnsi="宋体" w:eastAsia="方正仿宋_GBK"/>
          <w:kern w:val="0"/>
          <w:sz w:val="32"/>
          <w:szCs w:val="32"/>
        </w:rPr>
      </w:pPr>
      <w:r>
        <w:rPr>
          <w:rFonts w:hint="eastAsia" w:ascii="方正仿宋_GBK" w:hAnsi="宋体" w:eastAsia="方正仿宋_GBK"/>
          <w:kern w:val="0"/>
          <w:sz w:val="32"/>
          <w:szCs w:val="32"/>
        </w:rPr>
        <w:t xml:space="preserve"> 年    月     日</w:t>
      </w:r>
    </w:p>
    <w:p>
      <w:pPr>
        <w:spacing w:line="540" w:lineRule="exact"/>
        <w:ind w:left="1319" w:leftChars="171" w:hanging="960" w:hangingChars="300"/>
        <w:rPr>
          <w:rFonts w:ascii="方正仿宋_GBK" w:hAnsi="宋体" w:eastAsia="方正仿宋_GBK"/>
          <w:kern w:val="0"/>
          <w:sz w:val="32"/>
          <w:szCs w:val="32"/>
        </w:rPr>
      </w:pPr>
      <w:r>
        <w:rPr>
          <w:rFonts w:hint="eastAsia" w:ascii="方正仿宋_GBK" w:hAnsi="宋体" w:eastAsia="方正仿宋_GBK"/>
          <w:kern w:val="0"/>
          <w:sz w:val="32"/>
          <w:szCs w:val="32"/>
        </w:rPr>
        <w:t>备注：按规定格式和要求填写，内容不全或字迹模糊，辨认不清而影响评标定标的作无效报价处理。</w:t>
      </w:r>
    </w:p>
    <w:p>
      <w:pPr>
        <w:spacing w:line="540" w:lineRule="exact"/>
        <w:ind w:left="1319" w:leftChars="171" w:hanging="960" w:hangingChars="300"/>
        <w:rPr>
          <w:rFonts w:ascii="方正仿宋_GBK" w:hAnsi="宋体" w:eastAsia="方正仿宋_GBK"/>
          <w:kern w:val="0"/>
          <w:sz w:val="32"/>
          <w:szCs w:val="32"/>
        </w:rPr>
      </w:pPr>
    </w:p>
    <w:p>
      <w:pPr>
        <w:spacing w:line="540" w:lineRule="exact"/>
        <w:ind w:left="1319" w:leftChars="171" w:hanging="960" w:hangingChars="300"/>
        <w:rPr>
          <w:rFonts w:ascii="方正仿宋_GBK" w:hAnsi="宋体" w:eastAsia="方正仿宋_GBK"/>
          <w:kern w:val="0"/>
          <w:sz w:val="32"/>
          <w:szCs w:val="32"/>
        </w:rPr>
      </w:pPr>
    </w:p>
    <w:p>
      <w:pPr>
        <w:spacing w:line="540" w:lineRule="exact"/>
        <w:rPr>
          <w:rFonts w:ascii="方正仿宋_GBK" w:hAnsi="宋体" w:eastAsia="方正仿宋_GBK"/>
          <w:spacing w:val="20"/>
          <w:kern w:val="0"/>
          <w:sz w:val="32"/>
          <w:szCs w:val="32"/>
        </w:rPr>
      </w:pPr>
    </w:p>
    <w:p>
      <w:pPr>
        <w:spacing w:line="540" w:lineRule="exact"/>
        <w:rPr>
          <w:rFonts w:ascii="方正仿宋_GBK" w:hAnsi="宋体" w:eastAsia="方正仿宋_GBK"/>
          <w:spacing w:val="20"/>
          <w:kern w:val="0"/>
          <w:sz w:val="32"/>
          <w:szCs w:val="32"/>
        </w:rPr>
        <w:sectPr>
          <w:headerReference r:id="rId3" w:type="default"/>
          <w:footerReference r:id="rId4" w:type="default"/>
          <w:pgSz w:w="11907" w:h="16840"/>
          <w:pgMar w:top="1247" w:right="1474" w:bottom="1247" w:left="1474" w:header="964" w:footer="992" w:gutter="0"/>
          <w:pgNumType w:fmt="numberInDash"/>
          <w:cols w:space="720" w:num="1"/>
          <w:docGrid w:linePitch="381" w:charSpace="0"/>
        </w:sectPr>
      </w:pPr>
    </w:p>
    <w:p>
      <w:pPr>
        <w:spacing w:line="540" w:lineRule="exact"/>
        <w:rPr>
          <w:rFonts w:hint="eastAsia" w:ascii="仿宋" w:hAnsi="仿宋" w:eastAsia="仿宋" w:cs="仿宋"/>
          <w:b/>
          <w:bCs/>
          <w:sz w:val="28"/>
          <w:szCs w:val="28"/>
        </w:rPr>
      </w:pPr>
      <w:r>
        <w:rPr>
          <w:rFonts w:hint="eastAsia" w:ascii="方正仿宋_GBK" w:hAnsi="宋体" w:eastAsia="方正仿宋_GBK"/>
          <w:spacing w:val="20"/>
          <w:kern w:val="0"/>
          <w:sz w:val="32"/>
          <w:szCs w:val="32"/>
        </w:rPr>
        <w:t>附件2：产品</w:t>
      </w:r>
      <w:r>
        <w:rPr>
          <w:rFonts w:hint="eastAsia" w:ascii="方正仿宋_GBK" w:hAnsi="宋体" w:eastAsia="方正仿宋_GBK"/>
          <w:kern w:val="1"/>
          <w:sz w:val="32"/>
          <w:szCs w:val="32"/>
        </w:rPr>
        <w:t>技术规格、参数质量要求</w:t>
      </w:r>
    </w:p>
    <w:p>
      <w:pPr>
        <w:rPr>
          <w:rFonts w:hint="eastAsia" w:ascii="仿宋" w:hAnsi="仿宋" w:eastAsia="仿宋" w:cs="仿宋"/>
          <w:b/>
          <w:bCs/>
          <w:sz w:val="24"/>
          <w:szCs w:val="24"/>
          <w:highlight w:val="none"/>
          <w:vertAlign w:val="baseline"/>
          <w:lang w:val="en-US" w:eastAsia="zh-CN"/>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一、适用范围：</w:t>
      </w:r>
    </w:p>
    <w:p>
      <w:pPr>
        <w:spacing w:line="360" w:lineRule="auto"/>
        <w:rPr>
          <w:rFonts w:hint="eastAsia" w:ascii="宋体" w:hAnsi="宋体" w:eastAsia="宋体" w:cs="宋体"/>
          <w:sz w:val="24"/>
          <w:szCs w:val="24"/>
        </w:rPr>
      </w:pPr>
      <w:r>
        <w:rPr>
          <w:rFonts w:hint="eastAsia" w:ascii="宋体" w:hAnsi="宋体" w:eastAsia="宋体" w:cs="宋体"/>
          <w:sz w:val="24"/>
          <w:szCs w:val="24"/>
        </w:rPr>
        <w:t>1、符合最新国际2020版ERC和AHA心肺复苏及心血管急救指南中关于心肺复苏替代技术和辅助装置的相关规范，适用于对心跳呼吸骤停的成年患者进行胸外按压等心肺复苏抢救。</w:t>
      </w:r>
    </w:p>
    <w:p>
      <w:pPr>
        <w:spacing w:line="360" w:lineRule="auto"/>
        <w:rPr>
          <w:rFonts w:hint="eastAsia" w:ascii="宋体" w:hAnsi="宋体" w:eastAsia="宋体" w:cs="宋体"/>
          <w:sz w:val="24"/>
          <w:szCs w:val="24"/>
        </w:rPr>
      </w:pPr>
      <w:r>
        <w:rPr>
          <w:rFonts w:hint="eastAsia" w:ascii="宋体" w:hAnsi="宋体" w:eastAsia="宋体" w:cs="宋体"/>
          <w:sz w:val="24"/>
          <w:szCs w:val="24"/>
        </w:rPr>
        <w:t>2、主要技术指标：</w:t>
      </w:r>
    </w:p>
    <w:p>
      <w:pPr>
        <w:numPr>
          <w:ilvl w:val="0"/>
          <w:numId w:val="0"/>
        </w:numPr>
        <w:spacing w:line="360" w:lineRule="auto"/>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rPr>
        <w:t>2.1、按压技术：采用单点按压结合胸廓束带方式，通过胸泵和心泵机制、模拟心脏搏动原理的智能心肺复苏技术，能比徒手CPR更高效率地改善血流动力学效应，减少复苏过程引起的损伤。</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2.2、按压频率110次／分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符合国际指南要求，</w:t>
      </w:r>
    </w:p>
    <w:p>
      <w:pPr>
        <w:numPr>
          <w:ilvl w:val="0"/>
          <w:numId w:val="0"/>
        </w:numPr>
        <w:spacing w:line="360" w:lineRule="auto"/>
        <w:ind w:leftChars="0"/>
        <w:jc w:val="left"/>
        <w:rPr>
          <w:rFonts w:hint="eastAsia" w:ascii="宋体" w:hAnsi="宋体" w:eastAsia="宋体" w:cs="宋体"/>
          <w:color w:val="auto"/>
          <w:sz w:val="24"/>
          <w:szCs w:val="24"/>
        </w:rPr>
      </w:pPr>
      <w:r>
        <w:rPr>
          <w:rFonts w:hint="eastAsia" w:ascii="宋体" w:hAnsi="宋体" w:eastAsia="宋体" w:cs="宋体"/>
          <w:sz w:val="24"/>
          <w:szCs w:val="24"/>
        </w:rPr>
        <w:t>2.3、按压深度在30-55mm可调，调节步进可精确到1mm</w:t>
      </w:r>
      <w:r>
        <w:rPr>
          <w:rFonts w:hint="eastAsia" w:ascii="宋体" w:hAnsi="宋体" w:eastAsia="宋体" w:cs="宋体"/>
          <w:color w:val="auto"/>
          <w:sz w:val="24"/>
          <w:szCs w:val="24"/>
        </w:rPr>
        <w:t>适用于不同体格的胖、瘦人群</w:t>
      </w:r>
    </w:p>
    <w:p>
      <w:pPr>
        <w:spacing w:line="360" w:lineRule="auto"/>
        <w:rPr>
          <w:rFonts w:hint="eastAsia" w:ascii="宋体" w:hAnsi="宋体" w:eastAsia="宋体" w:cs="宋体"/>
          <w:sz w:val="24"/>
          <w:szCs w:val="24"/>
        </w:rPr>
      </w:pPr>
      <w:r>
        <w:rPr>
          <w:rFonts w:hint="eastAsia" w:ascii="宋体" w:hAnsi="宋体" w:eastAsia="宋体" w:cs="宋体"/>
          <w:sz w:val="24"/>
          <w:szCs w:val="24"/>
        </w:rPr>
        <w:t>2.4、按压释放比1:1</w:t>
      </w:r>
    </w:p>
    <w:p>
      <w:pPr>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rPr>
        <w:t>2.5、按压通气模式包括：连续按压模式，30:2模式，CPR联动模式</w:t>
      </w:r>
    </w:p>
    <w:p>
      <w:pPr>
        <w:spacing w:line="360" w:lineRule="auto"/>
        <w:rPr>
          <w:rFonts w:hint="eastAsia" w:ascii="宋体" w:hAnsi="宋体" w:eastAsia="宋体" w:cs="宋体"/>
          <w:sz w:val="24"/>
          <w:szCs w:val="24"/>
        </w:rPr>
      </w:pPr>
      <w:r>
        <w:rPr>
          <w:rFonts w:hint="eastAsia" w:ascii="宋体" w:hAnsi="宋体" w:eastAsia="宋体" w:cs="宋体"/>
          <w:sz w:val="24"/>
          <w:szCs w:val="24"/>
        </w:rPr>
        <w:t>2.6、30:2模式下，30次按压后，2次通气停顿时间≤3秒</w:t>
      </w:r>
    </w:p>
    <w:p>
      <w:pPr>
        <w:numPr>
          <w:ilvl w:val="0"/>
          <w:numId w:val="0"/>
        </w:numPr>
        <w:spacing w:line="360" w:lineRule="auto"/>
        <w:ind w:leftChars="0"/>
        <w:jc w:val="left"/>
        <w:rPr>
          <w:rFonts w:hint="eastAsia" w:ascii="宋体" w:hAnsi="宋体" w:eastAsia="宋体" w:cs="宋体"/>
          <w:color w:val="auto"/>
          <w:sz w:val="24"/>
          <w:szCs w:val="24"/>
        </w:rPr>
      </w:pPr>
      <w:r>
        <w:rPr>
          <w:rFonts w:hint="eastAsia" w:ascii="宋体" w:hAnsi="宋体" w:eastAsia="宋体" w:cs="宋体"/>
          <w:sz w:val="24"/>
          <w:szCs w:val="24"/>
        </w:rPr>
        <w:t>2.7、采用PC+ABS硬质背板与软绑带结合，避免纯绑带弹性形变引起按压深度不足，可保障按压深度，提高心肺复苏抢救质量</w:t>
      </w:r>
      <w:r>
        <w:rPr>
          <w:rFonts w:hint="eastAsia" w:ascii="宋体" w:hAnsi="宋体" w:eastAsia="宋体" w:cs="宋体"/>
          <w:sz w:val="24"/>
          <w:szCs w:val="24"/>
          <w:lang w:val="en-US" w:eastAsia="zh-CN"/>
        </w:rPr>
        <w:t>,</w:t>
      </w:r>
      <w:r>
        <w:rPr>
          <w:rFonts w:hint="eastAsia" w:ascii="宋体" w:hAnsi="宋体" w:eastAsia="宋体" w:cs="宋体"/>
          <w:color w:val="auto"/>
          <w:sz w:val="24"/>
          <w:szCs w:val="24"/>
        </w:rPr>
        <w:t>软硬结合绑带，更符合心肺复苏指南，除了地面、床面以外，在担架位复苏效果同样有保证</w:t>
      </w:r>
    </w:p>
    <w:p>
      <w:pPr>
        <w:numPr>
          <w:ilvl w:val="0"/>
          <w:numId w:val="0"/>
        </w:numPr>
        <w:spacing w:line="360" w:lineRule="auto"/>
        <w:ind w:leftChars="0"/>
        <w:jc w:val="left"/>
        <w:rPr>
          <w:rFonts w:hint="eastAsia" w:ascii="宋体" w:hAnsi="宋体" w:eastAsia="宋体" w:cs="宋体"/>
          <w:color w:val="auto"/>
          <w:sz w:val="24"/>
          <w:szCs w:val="24"/>
        </w:rPr>
      </w:pPr>
      <w:r>
        <w:rPr>
          <w:rFonts w:hint="eastAsia" w:ascii="宋体" w:hAnsi="宋体" w:eastAsia="宋体" w:cs="宋体"/>
          <w:sz w:val="24"/>
          <w:szCs w:val="24"/>
        </w:rPr>
        <w:t>2.8、主机上具有按压深度窗口，可显示实际按压深度</w:t>
      </w:r>
      <w:r>
        <w:rPr>
          <w:rFonts w:hint="eastAsia" w:ascii="宋体" w:hAnsi="宋体" w:eastAsia="宋体" w:cs="宋体"/>
          <w:color w:val="auto"/>
          <w:sz w:val="24"/>
          <w:szCs w:val="24"/>
        </w:rPr>
        <w:t>客观直接的提示按压深度</w:t>
      </w:r>
    </w:p>
    <w:p>
      <w:pPr>
        <w:numPr>
          <w:ilvl w:val="0"/>
          <w:numId w:val="0"/>
        </w:numPr>
        <w:spacing w:line="360" w:lineRule="auto"/>
        <w:ind w:leftChars="0"/>
        <w:jc w:val="left"/>
        <w:rPr>
          <w:rFonts w:hint="eastAsia" w:ascii="宋体" w:hAnsi="宋体" w:eastAsia="宋体" w:cs="宋体"/>
          <w:color w:val="4F81BD" w:themeColor="accent1"/>
          <w:sz w:val="24"/>
          <w:szCs w:val="24"/>
          <w:lang w:val="en-US" w:eastAsia="zh-CN"/>
        </w:rPr>
      </w:pPr>
      <w:r>
        <w:rPr>
          <w:rFonts w:hint="eastAsia" w:ascii="宋体" w:hAnsi="宋体" w:eastAsia="宋体" w:cs="宋体"/>
          <w:sz w:val="24"/>
          <w:szCs w:val="24"/>
        </w:rPr>
        <w:t>2.9、最大工作倾斜度：≥60°，在主机工作倾斜度范围内工作状态下，实际按压频率与设定值误差≤±</w:t>
      </w:r>
      <w:r>
        <w:rPr>
          <w:rFonts w:hint="eastAsia" w:ascii="宋体" w:hAnsi="宋体" w:eastAsia="宋体" w:cs="宋体"/>
          <w:sz w:val="24"/>
          <w:szCs w:val="24"/>
          <w:lang w:val="en-US" w:eastAsia="zh-CN"/>
        </w:rPr>
        <w:t>1</w:t>
      </w:r>
      <w:r>
        <w:rPr>
          <w:rFonts w:hint="eastAsia" w:ascii="宋体" w:hAnsi="宋体" w:eastAsia="宋体" w:cs="宋体"/>
          <w:sz w:val="24"/>
          <w:szCs w:val="24"/>
        </w:rPr>
        <w:t>次/分钟。实际按压深度与设定值误差≤±0.</w:t>
      </w:r>
      <w:r>
        <w:rPr>
          <w:rFonts w:hint="eastAsia" w:ascii="宋体" w:hAnsi="宋体" w:eastAsia="宋体" w:cs="宋体"/>
          <w:sz w:val="24"/>
          <w:szCs w:val="24"/>
          <w:lang w:val="en-US" w:eastAsia="zh-CN"/>
        </w:rPr>
        <w:t>2</w:t>
      </w:r>
      <w:r>
        <w:rPr>
          <w:rFonts w:hint="eastAsia" w:ascii="宋体" w:hAnsi="宋体" w:eastAsia="宋体" w:cs="宋体"/>
          <w:sz w:val="24"/>
          <w:szCs w:val="24"/>
        </w:rPr>
        <w:t>厘米，确保下楼梯、转运途中能维持持续稳定的胸腔按压。</w:t>
      </w:r>
    </w:p>
    <w:p>
      <w:pPr>
        <w:spacing w:line="360" w:lineRule="auto"/>
        <w:rPr>
          <w:rFonts w:hint="eastAsia" w:ascii="宋体" w:hAnsi="宋体" w:eastAsia="宋体" w:cs="宋体"/>
          <w:sz w:val="24"/>
          <w:szCs w:val="24"/>
        </w:rPr>
      </w:pPr>
      <w:r>
        <w:rPr>
          <w:rFonts w:hint="eastAsia" w:ascii="宋体" w:hAnsi="宋体" w:eastAsia="宋体" w:cs="宋体"/>
          <w:sz w:val="24"/>
          <w:szCs w:val="24"/>
        </w:rPr>
        <w:t>3、安全可靠性：</w:t>
      </w:r>
    </w:p>
    <w:p>
      <w:pPr>
        <w:spacing w:line="360" w:lineRule="auto"/>
        <w:rPr>
          <w:rFonts w:hint="eastAsia" w:ascii="宋体" w:hAnsi="宋体" w:eastAsia="宋体" w:cs="宋体"/>
          <w:sz w:val="24"/>
          <w:szCs w:val="24"/>
        </w:rPr>
      </w:pPr>
      <w:r>
        <w:rPr>
          <w:rFonts w:hint="eastAsia" w:ascii="宋体" w:hAnsi="宋体" w:eastAsia="宋体" w:cs="宋体"/>
          <w:sz w:val="24"/>
          <w:szCs w:val="24"/>
        </w:rPr>
        <w:t>3.1、驱动方式：电动电控。</w:t>
      </w:r>
    </w:p>
    <w:p>
      <w:pPr>
        <w:spacing w:line="360" w:lineRule="auto"/>
        <w:rPr>
          <w:rFonts w:hint="eastAsia" w:ascii="宋体" w:hAnsi="宋体" w:eastAsia="宋体" w:cs="宋体"/>
          <w:sz w:val="24"/>
          <w:szCs w:val="24"/>
        </w:rPr>
      </w:pPr>
      <w:r>
        <w:rPr>
          <w:rFonts w:hint="eastAsia" w:ascii="宋体" w:hAnsi="宋体" w:eastAsia="宋体" w:cs="宋体"/>
          <w:sz w:val="24"/>
          <w:szCs w:val="24"/>
        </w:rPr>
        <w:t>3.2、电池运行时间：新电池充满电情况下，单块电池最大运行时间不少于60分钟。</w:t>
      </w:r>
    </w:p>
    <w:p>
      <w:pPr>
        <w:numPr>
          <w:ilvl w:val="0"/>
          <w:numId w:val="0"/>
        </w:numPr>
        <w:spacing w:line="360" w:lineRule="auto"/>
        <w:ind w:leftChars="0"/>
        <w:jc w:val="left"/>
        <w:rPr>
          <w:rFonts w:hint="eastAsia" w:ascii="宋体" w:hAnsi="宋体" w:eastAsia="宋体" w:cs="宋体"/>
          <w:sz w:val="24"/>
          <w:szCs w:val="24"/>
        </w:rPr>
      </w:pPr>
      <w:r>
        <w:rPr>
          <w:rFonts w:hint="eastAsia" w:ascii="宋体" w:hAnsi="宋体" w:eastAsia="宋体" w:cs="宋体"/>
          <w:sz w:val="24"/>
          <w:szCs w:val="24"/>
        </w:rPr>
        <w:t>3.3、电池最大充电时间：≤2小时。</w:t>
      </w:r>
    </w:p>
    <w:p>
      <w:pPr>
        <w:spacing w:line="360" w:lineRule="auto"/>
        <w:rPr>
          <w:rFonts w:hint="eastAsia" w:ascii="宋体" w:hAnsi="宋体" w:eastAsia="宋体" w:cs="宋体"/>
          <w:sz w:val="24"/>
          <w:szCs w:val="24"/>
        </w:rPr>
      </w:pPr>
      <w:r>
        <w:rPr>
          <w:rFonts w:hint="eastAsia" w:ascii="宋体" w:hAnsi="宋体" w:eastAsia="宋体" w:cs="宋体"/>
          <w:sz w:val="24"/>
          <w:szCs w:val="24"/>
        </w:rPr>
        <w:t>3.4、外部交流电源：可接220V交流电，持续稳定实施长时间胸腔按压，并同时给予电池充电。</w:t>
      </w:r>
    </w:p>
    <w:p>
      <w:pPr>
        <w:numPr>
          <w:ilvl w:val="0"/>
          <w:numId w:val="0"/>
        </w:numPr>
        <w:spacing w:line="360" w:lineRule="auto"/>
        <w:ind w:leftChars="0"/>
        <w:jc w:val="left"/>
        <w:rPr>
          <w:rFonts w:hint="eastAsia" w:ascii="宋体" w:hAnsi="宋体" w:eastAsia="宋体" w:cs="宋体"/>
          <w:color w:val="000000"/>
          <w:sz w:val="24"/>
          <w:szCs w:val="24"/>
          <w:lang w:val="en-US" w:eastAsia="zh-CN"/>
        </w:rPr>
      </w:pPr>
      <w:r>
        <w:rPr>
          <w:rFonts w:hint="eastAsia" w:ascii="宋体" w:hAnsi="宋体" w:eastAsia="宋体" w:cs="宋体"/>
          <w:sz w:val="24"/>
          <w:szCs w:val="24"/>
        </w:rPr>
        <w:t>3.5、具有电量指示，低电量指示灯闪烁警示后，仍可连续工作时间≥15分钟</w:t>
      </w:r>
    </w:p>
    <w:p>
      <w:pPr>
        <w:spacing w:line="360" w:lineRule="auto"/>
        <w:rPr>
          <w:rFonts w:hint="eastAsia" w:ascii="宋体" w:hAnsi="宋体" w:eastAsia="宋体" w:cs="宋体"/>
          <w:sz w:val="24"/>
          <w:szCs w:val="24"/>
        </w:rPr>
      </w:pPr>
      <w:r>
        <w:rPr>
          <w:rFonts w:hint="eastAsia" w:ascii="宋体" w:hAnsi="宋体" w:eastAsia="宋体" w:cs="宋体"/>
          <w:sz w:val="24"/>
          <w:szCs w:val="24"/>
        </w:rPr>
        <w:t>3.6、按压头手动归位：当主机发生错误，若按压头未归位，能够手动将按压头推回初始位。</w:t>
      </w:r>
    </w:p>
    <w:p>
      <w:pPr>
        <w:spacing w:line="360" w:lineRule="auto"/>
        <w:rPr>
          <w:rFonts w:hint="eastAsia" w:ascii="宋体" w:hAnsi="宋体" w:eastAsia="宋体" w:cs="宋体"/>
          <w:sz w:val="24"/>
          <w:szCs w:val="24"/>
        </w:rPr>
      </w:pPr>
      <w:r>
        <w:rPr>
          <w:rFonts w:hint="eastAsia" w:ascii="宋体" w:hAnsi="宋体" w:eastAsia="宋体" w:cs="宋体"/>
          <w:sz w:val="24"/>
          <w:szCs w:val="24"/>
        </w:rPr>
        <w:t>4、数据存储和传输：</w:t>
      </w:r>
    </w:p>
    <w:p>
      <w:pPr>
        <w:numPr>
          <w:ilvl w:val="0"/>
          <w:numId w:val="0"/>
        </w:numPr>
        <w:spacing w:line="360" w:lineRule="auto"/>
        <w:ind w:leftChars="0"/>
        <w:jc w:val="left"/>
        <w:rPr>
          <w:rFonts w:hint="eastAsia" w:ascii="宋体" w:hAnsi="宋体" w:eastAsia="宋体" w:cs="宋体"/>
          <w:color w:val="auto"/>
          <w:sz w:val="24"/>
          <w:szCs w:val="24"/>
        </w:rPr>
      </w:pPr>
      <w:r>
        <w:rPr>
          <w:rFonts w:hint="eastAsia" w:ascii="宋体" w:hAnsi="宋体" w:eastAsia="宋体" w:cs="宋体"/>
          <w:sz w:val="24"/>
          <w:szCs w:val="24"/>
        </w:rPr>
        <w:t>4.1、终端显示屏：可显示按压深度，按压深度波形，按压频率，按压时间，按压中断时间以及心肺复苏总时间，可显示CCF值</w:t>
      </w:r>
      <w:r>
        <w:rPr>
          <w:rFonts w:hint="eastAsia" w:ascii="宋体" w:hAnsi="宋体" w:eastAsia="宋体" w:cs="宋体"/>
          <w:sz w:val="24"/>
          <w:szCs w:val="24"/>
          <w:lang w:eastAsia="zh-CN"/>
        </w:rPr>
        <w:t>，</w:t>
      </w:r>
      <w:r>
        <w:rPr>
          <w:rFonts w:hint="eastAsia" w:ascii="宋体" w:hAnsi="宋体" w:eastAsia="宋体" w:cs="宋体"/>
          <w:color w:val="auto"/>
          <w:sz w:val="24"/>
          <w:szCs w:val="24"/>
        </w:rPr>
        <w:t>操作更简单，可视化程度更高</w:t>
      </w:r>
    </w:p>
    <w:p>
      <w:pPr>
        <w:numPr>
          <w:ilvl w:val="0"/>
          <w:numId w:val="0"/>
        </w:numPr>
        <w:spacing w:line="360" w:lineRule="auto"/>
        <w:ind w:leftChars="0"/>
        <w:jc w:val="left"/>
        <w:rPr>
          <w:rFonts w:hint="eastAsia" w:ascii="宋体" w:hAnsi="宋体" w:eastAsia="宋体" w:cs="宋体"/>
          <w:color w:val="000000"/>
          <w:sz w:val="24"/>
          <w:szCs w:val="24"/>
          <w:lang w:val="en-US" w:eastAsia="zh-CN"/>
        </w:rPr>
      </w:pPr>
      <w:r>
        <w:rPr>
          <w:rFonts w:hint="eastAsia" w:ascii="宋体" w:hAnsi="宋体" w:eastAsia="宋体" w:cs="宋体"/>
          <w:sz w:val="24"/>
          <w:szCs w:val="24"/>
        </w:rPr>
        <w:t>4.2、终端可同屏调节按压模式，按压深度，无需翻页，操作便捷，节约时间</w:t>
      </w:r>
    </w:p>
    <w:p>
      <w:pPr>
        <w:spacing w:line="360" w:lineRule="auto"/>
        <w:rPr>
          <w:rFonts w:hint="eastAsia" w:ascii="宋体" w:hAnsi="宋体" w:eastAsia="宋体" w:cs="宋体"/>
          <w:sz w:val="24"/>
          <w:szCs w:val="24"/>
        </w:rPr>
      </w:pPr>
      <w:r>
        <w:rPr>
          <w:rFonts w:hint="eastAsia" w:ascii="宋体" w:hAnsi="宋体" w:eastAsia="宋体" w:cs="宋体"/>
          <w:sz w:val="24"/>
          <w:szCs w:val="24"/>
        </w:rPr>
        <w:t>4.3、具有USB接口,用于软件维护与升级</w:t>
      </w:r>
      <w:r>
        <w:rPr>
          <w:rFonts w:hint="eastAsia" w:ascii="宋体" w:hAnsi="宋体" w:eastAsia="宋体" w:cs="宋体"/>
          <w:sz w:val="24"/>
          <w:szCs w:val="24"/>
          <w:lang w:eastAsia="zh-CN"/>
        </w:rPr>
        <w:t>，</w:t>
      </w:r>
      <w:r>
        <w:rPr>
          <w:rFonts w:hint="eastAsia" w:ascii="宋体" w:hAnsi="宋体" w:eastAsia="宋体" w:cs="宋体"/>
          <w:sz w:val="24"/>
          <w:szCs w:val="24"/>
        </w:rPr>
        <w:t>具有≥16G内存</w:t>
      </w:r>
    </w:p>
    <w:p>
      <w:pPr>
        <w:numPr>
          <w:ilvl w:val="0"/>
          <w:numId w:val="0"/>
        </w:numPr>
        <w:spacing w:line="360" w:lineRule="auto"/>
        <w:ind w:leftChars="0"/>
        <w:jc w:val="left"/>
        <w:rPr>
          <w:rFonts w:hint="eastAsia" w:ascii="宋体" w:hAnsi="宋体" w:eastAsia="宋体" w:cs="宋体"/>
          <w:color w:val="FF0000"/>
          <w:sz w:val="24"/>
          <w:szCs w:val="24"/>
          <w:lang w:val="en-US" w:eastAsia="zh-CN"/>
        </w:rPr>
      </w:pPr>
      <w:r>
        <w:rPr>
          <w:rFonts w:hint="eastAsia" w:ascii="宋体" w:hAnsi="宋体" w:eastAsia="宋体" w:cs="宋体"/>
          <w:sz w:val="24"/>
          <w:szCs w:val="24"/>
        </w:rPr>
        <w:t>5、心肺复苏机可与呼吸机联动，通过WIFI或蓝牙自动识别，心肺复苏机按压30次后，呼吸机自动通气2次，实现按压通气精准控制。</w:t>
      </w:r>
      <w:r>
        <w:rPr>
          <w:rFonts w:hint="eastAsia" w:ascii="宋体" w:hAnsi="宋体" w:eastAsia="宋体" w:cs="宋体"/>
          <w:color w:val="auto"/>
          <w:sz w:val="24"/>
          <w:szCs w:val="24"/>
        </w:rPr>
        <w:t>节省人力，提高抢救效率</w:t>
      </w:r>
      <w:r>
        <w:rPr>
          <w:rFonts w:hint="eastAsia" w:ascii="宋体" w:hAnsi="宋体" w:eastAsia="宋体" w:cs="宋体"/>
          <w:color w:val="auto"/>
          <w:sz w:val="24"/>
          <w:szCs w:val="24"/>
          <w:lang w:val="en-US" w:eastAsia="zh-CN"/>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6、通过航空适航RTCADO160G认证。</w:t>
      </w:r>
      <w:r>
        <w:rPr>
          <w:rFonts w:hint="eastAsia" w:ascii="宋体" w:hAnsi="宋体" w:eastAsia="宋体" w:cs="宋体"/>
          <w:color w:val="auto"/>
          <w:sz w:val="24"/>
          <w:szCs w:val="24"/>
        </w:rPr>
        <w:t>一旦有航空转运情况需要，支持空中救援</w:t>
      </w:r>
    </w:p>
    <w:p>
      <w:pPr>
        <w:spacing w:line="360" w:lineRule="auto"/>
        <w:rPr>
          <w:rFonts w:hint="eastAsia" w:ascii="宋体" w:hAnsi="宋体" w:eastAsia="宋体" w:cs="宋体"/>
          <w:sz w:val="24"/>
          <w:szCs w:val="24"/>
        </w:rPr>
      </w:pPr>
      <w:r>
        <w:rPr>
          <w:rFonts w:hint="eastAsia" w:ascii="宋体" w:hAnsi="宋体" w:eastAsia="宋体" w:cs="宋体"/>
          <w:sz w:val="24"/>
          <w:szCs w:val="24"/>
        </w:rPr>
        <w:t>7、通过EN1789《医用车辆和其设备道路救护车标准》</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8、抗振性能：频率循环范围5Hz-35Hz-5Hz，振幅值0.35mm，振动循环15次后，实际按压频率与按压频率设定值误差≤±1次/分钟，实际按压深度与按压深度设定值误差≤±0.2厘米</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9、防撞性能：加速度50m/s2，脉冲持续时间11ms，碰撞1000次后，实际按压频率与按压频率设定值误差≤±1次/分钟，实际按压深度与按压深度设定值误差≤±0.2厘米</w:t>
      </w:r>
    </w:p>
    <w:p>
      <w:pPr>
        <w:spacing w:line="360" w:lineRule="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 xml:space="preserve">10、通过跌落试验：跌落高度1.5米，6个面各跌落1次 </w:t>
      </w:r>
    </w:p>
    <w:p>
      <w:pPr>
        <w:numPr>
          <w:ilvl w:val="0"/>
          <w:numId w:val="0"/>
        </w:numPr>
        <w:spacing w:line="360" w:lineRule="auto"/>
        <w:ind w:leftChars="0"/>
        <w:jc w:val="left"/>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11.</w:t>
      </w:r>
      <w:r>
        <w:rPr>
          <w:rFonts w:hint="eastAsia" w:ascii="宋体" w:hAnsi="宋体" w:eastAsia="宋体" w:cs="宋体"/>
          <w:color w:val="000000"/>
          <w:sz w:val="24"/>
          <w:szCs w:val="24"/>
          <w:lang w:val="en-US" w:eastAsia="zh-CN"/>
        </w:rPr>
        <w:t xml:space="preserve"> 防水防尘等级：IP44</w:t>
      </w:r>
    </w:p>
    <w:p>
      <w:pPr>
        <w:numPr>
          <w:ilvl w:val="0"/>
          <w:numId w:val="0"/>
        </w:numPr>
        <w:spacing w:line="360" w:lineRule="auto"/>
        <w:ind w:leftChars="0"/>
        <w:jc w:val="left"/>
        <w:rPr>
          <w:rFonts w:hint="eastAsia" w:ascii="仿宋" w:hAnsi="仿宋" w:eastAsia="仿宋" w:cs="仿宋"/>
          <w:sz w:val="24"/>
          <w:szCs w:val="24"/>
          <w:lang w:val="en-US" w:eastAsia="zh-CN"/>
        </w:rPr>
      </w:pPr>
      <w:r>
        <w:rPr>
          <w:rFonts w:hint="eastAsia" w:ascii="宋体" w:hAnsi="宋体" w:eastAsia="宋体" w:cs="宋体"/>
          <w:sz w:val="24"/>
          <w:szCs w:val="24"/>
          <w:lang w:val="en-US" w:eastAsia="zh-CN"/>
        </w:rPr>
        <w:t>12.</w:t>
      </w:r>
      <w:r>
        <w:rPr>
          <w:rFonts w:hint="eastAsia" w:ascii="宋体" w:hAnsi="宋体" w:eastAsia="宋体" w:cs="宋体"/>
          <w:kern w:val="0"/>
          <w:sz w:val="24"/>
          <w:szCs w:val="24"/>
          <w:lang w:val="en-US" w:eastAsia="zh-CN" w:bidi="ar-SA"/>
        </w:rPr>
        <w:t>动力电池：可充电锂电池，用户自主充放电不少于500次。</w:t>
      </w:r>
    </w:p>
    <w:sectPr>
      <w:headerReference r:id="rId7" w:type="first"/>
      <w:footerReference r:id="rId10" w:type="first"/>
      <w:headerReference r:id="rId5" w:type="default"/>
      <w:footerReference r:id="rId8" w:type="default"/>
      <w:headerReference r:id="rId6" w:type="even"/>
      <w:footerReference r:id="rId9" w:type="even"/>
      <w:pgSz w:w="11907" w:h="16840"/>
      <w:pgMar w:top="1077" w:right="1474" w:bottom="1020" w:left="1474" w:header="964" w:footer="992" w:gutter="0"/>
      <w:pgNumType w:fmt="numberInDash"/>
      <w:cols w:space="0" w:num="1"/>
      <w:rtlGutter w:val="0"/>
      <w:docGrid w:type="linesAndChar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entury Gothic">
    <w:altName w:val="Segoe Print"/>
    <w:panose1 w:val="00000000000000000000"/>
    <w:charset w:val="00"/>
    <w:family w:val="auto"/>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pict>
        <v:shape id="_x0000_s4097" o:spid="_x0000_s4097" o:spt="202" type="#_x0000_t202" style="position:absolute;left:0pt;margin-top:0pt;height:20.7pt;width:68.95pt;mso-position-horizontal:center;mso-position-horizontal-relative:margin;z-index:251659264;mso-width-relative:page;mso-height-relative:page;" filled="f" stroked="f" coordsize="21600,21600">
          <v:path/>
          <v:fill on="f" focussize="0,0"/>
          <v:stroke on="f"/>
          <v:imagedata o:title=""/>
          <o:lock v:ext="edit" aspectratio="f"/>
          <v:textbox inset="0mm,0mm,0mm,0mm">
            <w:txbxContent>
              <w:p>
                <w:pPr>
                  <w:pStyle w:val="17"/>
                  <w:jc w:val="right"/>
                </w:pPr>
                <w:r>
                  <w:fldChar w:fldCharType="begin"/>
                </w:r>
                <w:r>
                  <w:instrText xml:space="preserve">PAGE   \* MERGEFORMAT</w:instrText>
                </w:r>
                <w:r>
                  <w:fldChar w:fldCharType="separate"/>
                </w:r>
                <w:r>
                  <w:t>- 19 -</w:t>
                </w:r>
                <w:r>
                  <w:fldChar w:fldCharType="end"/>
                </w:r>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pict>
        <v:shape id="_x0000_s4098" o:spid="_x0000_s4098" o:spt="202" type="#_x0000_t202" style="position:absolute;left:0pt;margin-left:221.7pt;margin-top:0pt;height:20.7pt;width:36pt;mso-position-horizontal-relative:margin;z-index:251660288;mso-width-relative:page;mso-height-relative:page;" filled="f" stroked="f" coordsize="21600,21600">
          <v:path/>
          <v:fill on="f" focussize="0,0"/>
          <v:stroke on="f"/>
          <v:imagedata o:title=""/>
          <o:lock v:ext="edit" aspectratio="f"/>
          <v:textbox inset="0mm,0mm,0mm,0mm">
            <w:txbxContent>
              <w:p>
                <w:pPr>
                  <w:pStyle w:val="17"/>
                  <w:jc w:val="right"/>
                </w:pPr>
                <w:r>
                  <w:fldChar w:fldCharType="begin"/>
                </w:r>
                <w:r>
                  <w:instrText xml:space="preserve">PAGE   \* MERGEFORMAT</w:instrText>
                </w:r>
                <w:r>
                  <w:fldChar w:fldCharType="separate"/>
                </w:r>
                <w:r>
                  <w:t>- 22 -</w:t>
                </w:r>
                <w:r>
                  <w:fldChar w:fldCharType="end"/>
                </w:r>
              </w:p>
            </w:txbxContent>
          </v:textbox>
        </v:shape>
      </w:pic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2307A"/>
    <w:multiLevelType w:val="singleLevel"/>
    <w:tmpl w:val="8622307A"/>
    <w:lvl w:ilvl="0" w:tentative="0">
      <w:start w:val="1"/>
      <w:numFmt w:val="chineseCounting"/>
      <w:suff w:val="nothing"/>
      <w:lvlText w:val="%1、"/>
      <w:lvlJc w:val="left"/>
      <w:pPr>
        <w:ind w:left="70"/>
      </w:pPr>
      <w:rPr>
        <w:rFonts w:hint="eastAsia"/>
      </w:rPr>
    </w:lvl>
  </w:abstractNum>
  <w:abstractNum w:abstractNumId="1">
    <w:nsid w:val="00000004"/>
    <w:multiLevelType w:val="multilevel"/>
    <w:tmpl w:val="00000004"/>
    <w:lvl w:ilvl="0" w:tentative="0">
      <w:start w:val="1"/>
      <w:numFmt w:val="japaneseCounting"/>
      <w:lvlText w:val="%1、"/>
      <w:lvlJc w:val="left"/>
      <w:pPr>
        <w:tabs>
          <w:tab w:val="left" w:pos="1429"/>
        </w:tabs>
        <w:ind w:left="1429" w:hanging="720"/>
      </w:pPr>
      <w:rPr>
        <w:rFonts w:hint="default"/>
      </w:rPr>
    </w:lvl>
    <w:lvl w:ilvl="1" w:tentative="0">
      <w:start w:val="1"/>
      <w:numFmt w:val="lowerLetter"/>
      <w:lvlText w:val="%2)"/>
      <w:lvlJc w:val="left"/>
      <w:pPr>
        <w:tabs>
          <w:tab w:val="left" w:pos="1548"/>
        </w:tabs>
        <w:ind w:left="1548" w:hanging="420"/>
      </w:pPr>
    </w:lvl>
    <w:lvl w:ilvl="2" w:tentative="0">
      <w:start w:val="1"/>
      <w:numFmt w:val="lowerRoman"/>
      <w:lvlText w:val="%3."/>
      <w:lvlJc w:val="right"/>
      <w:pPr>
        <w:tabs>
          <w:tab w:val="left" w:pos="1968"/>
        </w:tabs>
        <w:ind w:left="1968" w:hanging="420"/>
      </w:pPr>
    </w:lvl>
    <w:lvl w:ilvl="3" w:tentative="0">
      <w:start w:val="1"/>
      <w:numFmt w:val="decimal"/>
      <w:lvlText w:val="%4."/>
      <w:lvlJc w:val="left"/>
      <w:pPr>
        <w:tabs>
          <w:tab w:val="left" w:pos="2388"/>
        </w:tabs>
        <w:ind w:left="2388" w:hanging="420"/>
      </w:pPr>
    </w:lvl>
    <w:lvl w:ilvl="4" w:tentative="0">
      <w:start w:val="1"/>
      <w:numFmt w:val="lowerLetter"/>
      <w:lvlText w:val="%5)"/>
      <w:lvlJc w:val="left"/>
      <w:pPr>
        <w:tabs>
          <w:tab w:val="left" w:pos="2808"/>
        </w:tabs>
        <w:ind w:left="2808" w:hanging="420"/>
      </w:pPr>
    </w:lvl>
    <w:lvl w:ilvl="5" w:tentative="0">
      <w:start w:val="1"/>
      <w:numFmt w:val="lowerRoman"/>
      <w:lvlText w:val="%6."/>
      <w:lvlJc w:val="right"/>
      <w:pPr>
        <w:tabs>
          <w:tab w:val="left" w:pos="3228"/>
        </w:tabs>
        <w:ind w:left="3228" w:hanging="420"/>
      </w:pPr>
    </w:lvl>
    <w:lvl w:ilvl="6" w:tentative="0">
      <w:start w:val="1"/>
      <w:numFmt w:val="decimal"/>
      <w:lvlText w:val="%7."/>
      <w:lvlJc w:val="left"/>
      <w:pPr>
        <w:tabs>
          <w:tab w:val="left" w:pos="3648"/>
        </w:tabs>
        <w:ind w:left="3648" w:hanging="420"/>
      </w:pPr>
    </w:lvl>
    <w:lvl w:ilvl="7" w:tentative="0">
      <w:start w:val="1"/>
      <w:numFmt w:val="lowerLetter"/>
      <w:lvlText w:val="%8)"/>
      <w:lvlJc w:val="left"/>
      <w:pPr>
        <w:tabs>
          <w:tab w:val="left" w:pos="4068"/>
        </w:tabs>
        <w:ind w:left="4068" w:hanging="420"/>
      </w:pPr>
    </w:lvl>
    <w:lvl w:ilvl="8" w:tentative="0">
      <w:start w:val="1"/>
      <w:numFmt w:val="lowerRoman"/>
      <w:lvlText w:val="%9."/>
      <w:lvlJc w:val="right"/>
      <w:pPr>
        <w:tabs>
          <w:tab w:val="left" w:pos="4488"/>
        </w:tabs>
        <w:ind w:left="448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2D55"/>
    <w:rsid w:val="00002EBD"/>
    <w:rsid w:val="0000320D"/>
    <w:rsid w:val="00007854"/>
    <w:rsid w:val="00010848"/>
    <w:rsid w:val="00017BFA"/>
    <w:rsid w:val="00022272"/>
    <w:rsid w:val="00024462"/>
    <w:rsid w:val="0002519D"/>
    <w:rsid w:val="00032A74"/>
    <w:rsid w:val="00034AA1"/>
    <w:rsid w:val="000354AA"/>
    <w:rsid w:val="000360F4"/>
    <w:rsid w:val="00036C00"/>
    <w:rsid w:val="00040CD4"/>
    <w:rsid w:val="0004268C"/>
    <w:rsid w:val="00050B55"/>
    <w:rsid w:val="000510C6"/>
    <w:rsid w:val="0005290F"/>
    <w:rsid w:val="00056552"/>
    <w:rsid w:val="00056BE7"/>
    <w:rsid w:val="0007057C"/>
    <w:rsid w:val="00073301"/>
    <w:rsid w:val="00080E75"/>
    <w:rsid w:val="00081623"/>
    <w:rsid w:val="00082987"/>
    <w:rsid w:val="00083DF6"/>
    <w:rsid w:val="00086843"/>
    <w:rsid w:val="000918F9"/>
    <w:rsid w:val="00091C67"/>
    <w:rsid w:val="000A0B93"/>
    <w:rsid w:val="000A19CB"/>
    <w:rsid w:val="000A19E2"/>
    <w:rsid w:val="000A50C5"/>
    <w:rsid w:val="000B0639"/>
    <w:rsid w:val="000B0BB4"/>
    <w:rsid w:val="000B6F89"/>
    <w:rsid w:val="000B787A"/>
    <w:rsid w:val="000C0442"/>
    <w:rsid w:val="000C0466"/>
    <w:rsid w:val="000C3AAD"/>
    <w:rsid w:val="000C4AF4"/>
    <w:rsid w:val="000D2254"/>
    <w:rsid w:val="000D3766"/>
    <w:rsid w:val="000D3CCD"/>
    <w:rsid w:val="000D480A"/>
    <w:rsid w:val="000D515C"/>
    <w:rsid w:val="000E1FC0"/>
    <w:rsid w:val="000E5B70"/>
    <w:rsid w:val="000E60F7"/>
    <w:rsid w:val="000E6A6B"/>
    <w:rsid w:val="000F22B4"/>
    <w:rsid w:val="00106444"/>
    <w:rsid w:val="00113AC2"/>
    <w:rsid w:val="001149FA"/>
    <w:rsid w:val="00123092"/>
    <w:rsid w:val="001273B3"/>
    <w:rsid w:val="001279DE"/>
    <w:rsid w:val="00135771"/>
    <w:rsid w:val="001517B3"/>
    <w:rsid w:val="00157DD7"/>
    <w:rsid w:val="00161672"/>
    <w:rsid w:val="00161B8B"/>
    <w:rsid w:val="00162900"/>
    <w:rsid w:val="0017192C"/>
    <w:rsid w:val="00172A27"/>
    <w:rsid w:val="00181252"/>
    <w:rsid w:val="00184FA4"/>
    <w:rsid w:val="001869B5"/>
    <w:rsid w:val="00191F49"/>
    <w:rsid w:val="001A0219"/>
    <w:rsid w:val="001A1557"/>
    <w:rsid w:val="001A6003"/>
    <w:rsid w:val="001A7718"/>
    <w:rsid w:val="001C1150"/>
    <w:rsid w:val="001C44C2"/>
    <w:rsid w:val="001D4FC3"/>
    <w:rsid w:val="001E4A3D"/>
    <w:rsid w:val="001F3657"/>
    <w:rsid w:val="00201175"/>
    <w:rsid w:val="002041B9"/>
    <w:rsid w:val="002219B9"/>
    <w:rsid w:val="0024082D"/>
    <w:rsid w:val="00243783"/>
    <w:rsid w:val="00246C2C"/>
    <w:rsid w:val="00247B1F"/>
    <w:rsid w:val="00262724"/>
    <w:rsid w:val="002633BB"/>
    <w:rsid w:val="00267739"/>
    <w:rsid w:val="00276B2B"/>
    <w:rsid w:val="002821D6"/>
    <w:rsid w:val="002831BF"/>
    <w:rsid w:val="00285944"/>
    <w:rsid w:val="00294EAB"/>
    <w:rsid w:val="00296530"/>
    <w:rsid w:val="0029705A"/>
    <w:rsid w:val="00297ADA"/>
    <w:rsid w:val="002A51FA"/>
    <w:rsid w:val="002A6C73"/>
    <w:rsid w:val="002B2E44"/>
    <w:rsid w:val="002B3239"/>
    <w:rsid w:val="002B4113"/>
    <w:rsid w:val="002C1AAF"/>
    <w:rsid w:val="002C5A7E"/>
    <w:rsid w:val="002D477E"/>
    <w:rsid w:val="002E16CB"/>
    <w:rsid w:val="002F39C6"/>
    <w:rsid w:val="002F7EEF"/>
    <w:rsid w:val="00301DE1"/>
    <w:rsid w:val="0030731B"/>
    <w:rsid w:val="00315EAD"/>
    <w:rsid w:val="0032247B"/>
    <w:rsid w:val="00325749"/>
    <w:rsid w:val="00326126"/>
    <w:rsid w:val="00332B04"/>
    <w:rsid w:val="00333256"/>
    <w:rsid w:val="00333520"/>
    <w:rsid w:val="003361CA"/>
    <w:rsid w:val="0033711F"/>
    <w:rsid w:val="00337F26"/>
    <w:rsid w:val="003439EC"/>
    <w:rsid w:val="00347B55"/>
    <w:rsid w:val="00355A11"/>
    <w:rsid w:val="00360282"/>
    <w:rsid w:val="0036373F"/>
    <w:rsid w:val="00371E61"/>
    <w:rsid w:val="003721A4"/>
    <w:rsid w:val="00376EFF"/>
    <w:rsid w:val="0038444D"/>
    <w:rsid w:val="00384C59"/>
    <w:rsid w:val="0038799A"/>
    <w:rsid w:val="00391D6E"/>
    <w:rsid w:val="00395ED1"/>
    <w:rsid w:val="003A29C7"/>
    <w:rsid w:val="003A2BE6"/>
    <w:rsid w:val="003B0A72"/>
    <w:rsid w:val="003B21C3"/>
    <w:rsid w:val="003B24C0"/>
    <w:rsid w:val="003B392F"/>
    <w:rsid w:val="003C0461"/>
    <w:rsid w:val="003C2531"/>
    <w:rsid w:val="003D656D"/>
    <w:rsid w:val="003D6D71"/>
    <w:rsid w:val="003D6DF4"/>
    <w:rsid w:val="003D7CFA"/>
    <w:rsid w:val="003F43CA"/>
    <w:rsid w:val="003F49BC"/>
    <w:rsid w:val="003F5AC7"/>
    <w:rsid w:val="003F6A9F"/>
    <w:rsid w:val="00402D43"/>
    <w:rsid w:val="0040459D"/>
    <w:rsid w:val="00417378"/>
    <w:rsid w:val="00422502"/>
    <w:rsid w:val="00423B8F"/>
    <w:rsid w:val="00424B3E"/>
    <w:rsid w:val="00424E88"/>
    <w:rsid w:val="00440ECF"/>
    <w:rsid w:val="00443ACD"/>
    <w:rsid w:val="00447FE0"/>
    <w:rsid w:val="004526CA"/>
    <w:rsid w:val="00457E45"/>
    <w:rsid w:val="00460F7F"/>
    <w:rsid w:val="004619C3"/>
    <w:rsid w:val="00466A10"/>
    <w:rsid w:val="00471040"/>
    <w:rsid w:val="004728ED"/>
    <w:rsid w:val="00475B2A"/>
    <w:rsid w:val="0047635F"/>
    <w:rsid w:val="0047766F"/>
    <w:rsid w:val="0048395D"/>
    <w:rsid w:val="00486AC4"/>
    <w:rsid w:val="00491EC0"/>
    <w:rsid w:val="004B2BC5"/>
    <w:rsid w:val="004B6F0E"/>
    <w:rsid w:val="004C1043"/>
    <w:rsid w:val="004C148C"/>
    <w:rsid w:val="004C383C"/>
    <w:rsid w:val="004C42BA"/>
    <w:rsid w:val="004C510D"/>
    <w:rsid w:val="004D0DD4"/>
    <w:rsid w:val="004D2C3E"/>
    <w:rsid w:val="004D59E7"/>
    <w:rsid w:val="004E3C81"/>
    <w:rsid w:val="004E4159"/>
    <w:rsid w:val="004E7A4A"/>
    <w:rsid w:val="004F133F"/>
    <w:rsid w:val="004F38DA"/>
    <w:rsid w:val="004F4294"/>
    <w:rsid w:val="004F63D2"/>
    <w:rsid w:val="00500C08"/>
    <w:rsid w:val="00505F0B"/>
    <w:rsid w:val="005063F2"/>
    <w:rsid w:val="00515D2B"/>
    <w:rsid w:val="00541747"/>
    <w:rsid w:val="00541D9D"/>
    <w:rsid w:val="00542BA4"/>
    <w:rsid w:val="00544AD6"/>
    <w:rsid w:val="00545974"/>
    <w:rsid w:val="00546654"/>
    <w:rsid w:val="00554ADB"/>
    <w:rsid w:val="00556C7E"/>
    <w:rsid w:val="00562EFE"/>
    <w:rsid w:val="00570CFC"/>
    <w:rsid w:val="0057580E"/>
    <w:rsid w:val="00575EBF"/>
    <w:rsid w:val="0058242A"/>
    <w:rsid w:val="0058523E"/>
    <w:rsid w:val="00591F94"/>
    <w:rsid w:val="00594499"/>
    <w:rsid w:val="00594558"/>
    <w:rsid w:val="005A38F8"/>
    <w:rsid w:val="005A7818"/>
    <w:rsid w:val="005B16B0"/>
    <w:rsid w:val="005B2E52"/>
    <w:rsid w:val="005B39CF"/>
    <w:rsid w:val="005B474F"/>
    <w:rsid w:val="005C3C96"/>
    <w:rsid w:val="005C5E54"/>
    <w:rsid w:val="005C6628"/>
    <w:rsid w:val="005C7C12"/>
    <w:rsid w:val="005D0B97"/>
    <w:rsid w:val="005D130D"/>
    <w:rsid w:val="005E6DD0"/>
    <w:rsid w:val="005F0473"/>
    <w:rsid w:val="0060030E"/>
    <w:rsid w:val="006161F5"/>
    <w:rsid w:val="00620189"/>
    <w:rsid w:val="00620963"/>
    <w:rsid w:val="0062200B"/>
    <w:rsid w:val="00623375"/>
    <w:rsid w:val="00625FD7"/>
    <w:rsid w:val="00635C4B"/>
    <w:rsid w:val="00635D42"/>
    <w:rsid w:val="00640C58"/>
    <w:rsid w:val="006457EE"/>
    <w:rsid w:val="00647043"/>
    <w:rsid w:val="00650F76"/>
    <w:rsid w:val="00652771"/>
    <w:rsid w:val="006655E8"/>
    <w:rsid w:val="00665EB0"/>
    <w:rsid w:val="00673BC8"/>
    <w:rsid w:val="00677A8F"/>
    <w:rsid w:val="00681FD0"/>
    <w:rsid w:val="00686AAE"/>
    <w:rsid w:val="006A3A7B"/>
    <w:rsid w:val="006A4C96"/>
    <w:rsid w:val="006A6484"/>
    <w:rsid w:val="006A77E8"/>
    <w:rsid w:val="006B1344"/>
    <w:rsid w:val="006B645D"/>
    <w:rsid w:val="006C1841"/>
    <w:rsid w:val="006C18FC"/>
    <w:rsid w:val="006C4350"/>
    <w:rsid w:val="006C6746"/>
    <w:rsid w:val="006D2A4D"/>
    <w:rsid w:val="006D52C5"/>
    <w:rsid w:val="006D53E7"/>
    <w:rsid w:val="006D577C"/>
    <w:rsid w:val="006D57A5"/>
    <w:rsid w:val="006F0073"/>
    <w:rsid w:val="006F0C77"/>
    <w:rsid w:val="006F1798"/>
    <w:rsid w:val="006F2E9E"/>
    <w:rsid w:val="006F36B9"/>
    <w:rsid w:val="006F58F4"/>
    <w:rsid w:val="006F6F64"/>
    <w:rsid w:val="0070451B"/>
    <w:rsid w:val="00704A72"/>
    <w:rsid w:val="007064CF"/>
    <w:rsid w:val="00706AF3"/>
    <w:rsid w:val="007202E4"/>
    <w:rsid w:val="0072659F"/>
    <w:rsid w:val="00736C32"/>
    <w:rsid w:val="00746150"/>
    <w:rsid w:val="0075307B"/>
    <w:rsid w:val="00763150"/>
    <w:rsid w:val="00763A0C"/>
    <w:rsid w:val="0076453D"/>
    <w:rsid w:val="007872C0"/>
    <w:rsid w:val="007B3152"/>
    <w:rsid w:val="007B4255"/>
    <w:rsid w:val="007B550F"/>
    <w:rsid w:val="007C2825"/>
    <w:rsid w:val="007C5965"/>
    <w:rsid w:val="007C6897"/>
    <w:rsid w:val="007D08B6"/>
    <w:rsid w:val="007D341A"/>
    <w:rsid w:val="007D4019"/>
    <w:rsid w:val="007E0889"/>
    <w:rsid w:val="007E310E"/>
    <w:rsid w:val="007F25FE"/>
    <w:rsid w:val="007F309D"/>
    <w:rsid w:val="0080258F"/>
    <w:rsid w:val="00813A40"/>
    <w:rsid w:val="00813AD5"/>
    <w:rsid w:val="00816336"/>
    <w:rsid w:val="00820E1E"/>
    <w:rsid w:val="00823596"/>
    <w:rsid w:val="00824194"/>
    <w:rsid w:val="008278FF"/>
    <w:rsid w:val="00832E90"/>
    <w:rsid w:val="00851675"/>
    <w:rsid w:val="00852EB1"/>
    <w:rsid w:val="0085382D"/>
    <w:rsid w:val="00856D38"/>
    <w:rsid w:val="008602C1"/>
    <w:rsid w:val="00861665"/>
    <w:rsid w:val="00861B9A"/>
    <w:rsid w:val="008856AD"/>
    <w:rsid w:val="00885808"/>
    <w:rsid w:val="008956C5"/>
    <w:rsid w:val="00896EC0"/>
    <w:rsid w:val="008A1CC9"/>
    <w:rsid w:val="008B3B24"/>
    <w:rsid w:val="008B5505"/>
    <w:rsid w:val="008C2E6A"/>
    <w:rsid w:val="008C6831"/>
    <w:rsid w:val="008D5D2B"/>
    <w:rsid w:val="008D63AA"/>
    <w:rsid w:val="008E1175"/>
    <w:rsid w:val="008E1CF0"/>
    <w:rsid w:val="008E36FD"/>
    <w:rsid w:val="008E754F"/>
    <w:rsid w:val="008E77B1"/>
    <w:rsid w:val="008F0A26"/>
    <w:rsid w:val="008F4D83"/>
    <w:rsid w:val="00901E60"/>
    <w:rsid w:val="00906C5E"/>
    <w:rsid w:val="009151E7"/>
    <w:rsid w:val="009163D2"/>
    <w:rsid w:val="00922464"/>
    <w:rsid w:val="009314BA"/>
    <w:rsid w:val="00933B19"/>
    <w:rsid w:val="00936B73"/>
    <w:rsid w:val="00937B96"/>
    <w:rsid w:val="00940663"/>
    <w:rsid w:val="00945929"/>
    <w:rsid w:val="00955ADD"/>
    <w:rsid w:val="009570F4"/>
    <w:rsid w:val="00964773"/>
    <w:rsid w:val="00965454"/>
    <w:rsid w:val="00976292"/>
    <w:rsid w:val="0098343E"/>
    <w:rsid w:val="0099732E"/>
    <w:rsid w:val="009A3364"/>
    <w:rsid w:val="009A6CC3"/>
    <w:rsid w:val="009A72A2"/>
    <w:rsid w:val="009B158B"/>
    <w:rsid w:val="009C339B"/>
    <w:rsid w:val="009C6885"/>
    <w:rsid w:val="009E1EAD"/>
    <w:rsid w:val="009E45AD"/>
    <w:rsid w:val="009E4F6C"/>
    <w:rsid w:val="009F2852"/>
    <w:rsid w:val="00A00CBE"/>
    <w:rsid w:val="00A050B4"/>
    <w:rsid w:val="00A15DD5"/>
    <w:rsid w:val="00A24908"/>
    <w:rsid w:val="00A2584D"/>
    <w:rsid w:val="00A262EB"/>
    <w:rsid w:val="00A27063"/>
    <w:rsid w:val="00A3052C"/>
    <w:rsid w:val="00A30759"/>
    <w:rsid w:val="00A3511C"/>
    <w:rsid w:val="00A41BFB"/>
    <w:rsid w:val="00A47047"/>
    <w:rsid w:val="00A4756B"/>
    <w:rsid w:val="00A47D00"/>
    <w:rsid w:val="00A8018E"/>
    <w:rsid w:val="00A80EC0"/>
    <w:rsid w:val="00A85434"/>
    <w:rsid w:val="00A91FC2"/>
    <w:rsid w:val="00A92477"/>
    <w:rsid w:val="00AA0597"/>
    <w:rsid w:val="00AA2B8B"/>
    <w:rsid w:val="00AA3701"/>
    <w:rsid w:val="00AA37D5"/>
    <w:rsid w:val="00AB4E09"/>
    <w:rsid w:val="00AD1A9E"/>
    <w:rsid w:val="00AD22F2"/>
    <w:rsid w:val="00AD359C"/>
    <w:rsid w:val="00AD5E39"/>
    <w:rsid w:val="00AD737C"/>
    <w:rsid w:val="00AD758D"/>
    <w:rsid w:val="00AE0147"/>
    <w:rsid w:val="00AE03AD"/>
    <w:rsid w:val="00AE1692"/>
    <w:rsid w:val="00AE2BB6"/>
    <w:rsid w:val="00AE40AD"/>
    <w:rsid w:val="00AE495F"/>
    <w:rsid w:val="00AF5370"/>
    <w:rsid w:val="00AF5E11"/>
    <w:rsid w:val="00B0019D"/>
    <w:rsid w:val="00B00338"/>
    <w:rsid w:val="00B05A1A"/>
    <w:rsid w:val="00B068E1"/>
    <w:rsid w:val="00B1219C"/>
    <w:rsid w:val="00B12DC7"/>
    <w:rsid w:val="00B1484A"/>
    <w:rsid w:val="00B21086"/>
    <w:rsid w:val="00B24701"/>
    <w:rsid w:val="00B2509D"/>
    <w:rsid w:val="00B255B6"/>
    <w:rsid w:val="00B25F6C"/>
    <w:rsid w:val="00B26AE5"/>
    <w:rsid w:val="00B304FF"/>
    <w:rsid w:val="00B3432A"/>
    <w:rsid w:val="00B35FCC"/>
    <w:rsid w:val="00B3631A"/>
    <w:rsid w:val="00B40F62"/>
    <w:rsid w:val="00B44ECE"/>
    <w:rsid w:val="00B53260"/>
    <w:rsid w:val="00B54AF9"/>
    <w:rsid w:val="00B603B9"/>
    <w:rsid w:val="00B62920"/>
    <w:rsid w:val="00B636B4"/>
    <w:rsid w:val="00B66B39"/>
    <w:rsid w:val="00B70079"/>
    <w:rsid w:val="00B71566"/>
    <w:rsid w:val="00B76618"/>
    <w:rsid w:val="00B83880"/>
    <w:rsid w:val="00BA2FA8"/>
    <w:rsid w:val="00BA3074"/>
    <w:rsid w:val="00BA383A"/>
    <w:rsid w:val="00BA54E8"/>
    <w:rsid w:val="00BB62BD"/>
    <w:rsid w:val="00BC4092"/>
    <w:rsid w:val="00BC5E08"/>
    <w:rsid w:val="00BC647C"/>
    <w:rsid w:val="00BD433E"/>
    <w:rsid w:val="00BE3AAC"/>
    <w:rsid w:val="00BE5F25"/>
    <w:rsid w:val="00BE70C8"/>
    <w:rsid w:val="00BE7EAC"/>
    <w:rsid w:val="00C11C34"/>
    <w:rsid w:val="00C20F83"/>
    <w:rsid w:val="00C20FB1"/>
    <w:rsid w:val="00C224CF"/>
    <w:rsid w:val="00C2365A"/>
    <w:rsid w:val="00C32B21"/>
    <w:rsid w:val="00C43461"/>
    <w:rsid w:val="00C60EED"/>
    <w:rsid w:val="00C6621B"/>
    <w:rsid w:val="00C739A0"/>
    <w:rsid w:val="00C74884"/>
    <w:rsid w:val="00C74ED7"/>
    <w:rsid w:val="00C76C6D"/>
    <w:rsid w:val="00C84C43"/>
    <w:rsid w:val="00C9361D"/>
    <w:rsid w:val="00C973C3"/>
    <w:rsid w:val="00C9768A"/>
    <w:rsid w:val="00CA5598"/>
    <w:rsid w:val="00CB273B"/>
    <w:rsid w:val="00CB5E4F"/>
    <w:rsid w:val="00CC5763"/>
    <w:rsid w:val="00CC5D82"/>
    <w:rsid w:val="00CD591B"/>
    <w:rsid w:val="00CE27CB"/>
    <w:rsid w:val="00CE3958"/>
    <w:rsid w:val="00CE4ED5"/>
    <w:rsid w:val="00CE71CB"/>
    <w:rsid w:val="00CF3EFB"/>
    <w:rsid w:val="00CF72F8"/>
    <w:rsid w:val="00D03FFA"/>
    <w:rsid w:val="00D0463B"/>
    <w:rsid w:val="00D1165C"/>
    <w:rsid w:val="00D12494"/>
    <w:rsid w:val="00D13D97"/>
    <w:rsid w:val="00D14919"/>
    <w:rsid w:val="00D20C64"/>
    <w:rsid w:val="00D22F98"/>
    <w:rsid w:val="00D25618"/>
    <w:rsid w:val="00D27FEA"/>
    <w:rsid w:val="00D3270A"/>
    <w:rsid w:val="00D348DF"/>
    <w:rsid w:val="00D37410"/>
    <w:rsid w:val="00D419A3"/>
    <w:rsid w:val="00D474AE"/>
    <w:rsid w:val="00D507C4"/>
    <w:rsid w:val="00D52E29"/>
    <w:rsid w:val="00D53460"/>
    <w:rsid w:val="00D54620"/>
    <w:rsid w:val="00D561BB"/>
    <w:rsid w:val="00D57A44"/>
    <w:rsid w:val="00D623A4"/>
    <w:rsid w:val="00D62789"/>
    <w:rsid w:val="00D65AC7"/>
    <w:rsid w:val="00D66113"/>
    <w:rsid w:val="00D82BF0"/>
    <w:rsid w:val="00D87EEA"/>
    <w:rsid w:val="00D9128A"/>
    <w:rsid w:val="00D973B5"/>
    <w:rsid w:val="00DA0965"/>
    <w:rsid w:val="00DA4C5C"/>
    <w:rsid w:val="00DA5BC8"/>
    <w:rsid w:val="00DC0635"/>
    <w:rsid w:val="00DC075A"/>
    <w:rsid w:val="00DC1C2E"/>
    <w:rsid w:val="00DD269F"/>
    <w:rsid w:val="00DD2CAC"/>
    <w:rsid w:val="00DD3A40"/>
    <w:rsid w:val="00DE05DB"/>
    <w:rsid w:val="00DE1304"/>
    <w:rsid w:val="00DE1C68"/>
    <w:rsid w:val="00DE54EE"/>
    <w:rsid w:val="00DE666D"/>
    <w:rsid w:val="00DF0152"/>
    <w:rsid w:val="00DF21B6"/>
    <w:rsid w:val="00DF7724"/>
    <w:rsid w:val="00E01F2E"/>
    <w:rsid w:val="00E02A8C"/>
    <w:rsid w:val="00E04266"/>
    <w:rsid w:val="00E04F15"/>
    <w:rsid w:val="00E0558F"/>
    <w:rsid w:val="00E06FFE"/>
    <w:rsid w:val="00E21B64"/>
    <w:rsid w:val="00E248D2"/>
    <w:rsid w:val="00E25595"/>
    <w:rsid w:val="00E339F2"/>
    <w:rsid w:val="00E34F6A"/>
    <w:rsid w:val="00E401C2"/>
    <w:rsid w:val="00E40265"/>
    <w:rsid w:val="00E44A06"/>
    <w:rsid w:val="00E4608F"/>
    <w:rsid w:val="00E46E4B"/>
    <w:rsid w:val="00E50BDE"/>
    <w:rsid w:val="00E52673"/>
    <w:rsid w:val="00E55361"/>
    <w:rsid w:val="00E56713"/>
    <w:rsid w:val="00E617CE"/>
    <w:rsid w:val="00E81470"/>
    <w:rsid w:val="00E819BC"/>
    <w:rsid w:val="00E900D5"/>
    <w:rsid w:val="00E94952"/>
    <w:rsid w:val="00E96AA0"/>
    <w:rsid w:val="00EB47C1"/>
    <w:rsid w:val="00EB4A78"/>
    <w:rsid w:val="00EC0E1B"/>
    <w:rsid w:val="00EC1AD1"/>
    <w:rsid w:val="00EC2BE2"/>
    <w:rsid w:val="00EC73D2"/>
    <w:rsid w:val="00ED039A"/>
    <w:rsid w:val="00ED2EDA"/>
    <w:rsid w:val="00ED3ED0"/>
    <w:rsid w:val="00ED4FA9"/>
    <w:rsid w:val="00ED7DD0"/>
    <w:rsid w:val="00EE71B0"/>
    <w:rsid w:val="00EF1B7B"/>
    <w:rsid w:val="00EF2E0D"/>
    <w:rsid w:val="00F0171A"/>
    <w:rsid w:val="00F21B3D"/>
    <w:rsid w:val="00F22784"/>
    <w:rsid w:val="00F27C6A"/>
    <w:rsid w:val="00F3015C"/>
    <w:rsid w:val="00F36320"/>
    <w:rsid w:val="00F3670B"/>
    <w:rsid w:val="00F37EFE"/>
    <w:rsid w:val="00F40E01"/>
    <w:rsid w:val="00F51B7D"/>
    <w:rsid w:val="00F52052"/>
    <w:rsid w:val="00F54F9E"/>
    <w:rsid w:val="00F56421"/>
    <w:rsid w:val="00F565B6"/>
    <w:rsid w:val="00F636B6"/>
    <w:rsid w:val="00F64959"/>
    <w:rsid w:val="00F649EC"/>
    <w:rsid w:val="00F64F21"/>
    <w:rsid w:val="00F67451"/>
    <w:rsid w:val="00F76141"/>
    <w:rsid w:val="00F76D64"/>
    <w:rsid w:val="00F83C2B"/>
    <w:rsid w:val="00F84F9F"/>
    <w:rsid w:val="00F90C98"/>
    <w:rsid w:val="00F939D3"/>
    <w:rsid w:val="00F94679"/>
    <w:rsid w:val="00F97A44"/>
    <w:rsid w:val="00FA1069"/>
    <w:rsid w:val="00FA6262"/>
    <w:rsid w:val="00FA6687"/>
    <w:rsid w:val="00FB3D74"/>
    <w:rsid w:val="00FB5611"/>
    <w:rsid w:val="00FB63CF"/>
    <w:rsid w:val="00FB6E9C"/>
    <w:rsid w:val="00FC0698"/>
    <w:rsid w:val="00FC1666"/>
    <w:rsid w:val="00FC78A0"/>
    <w:rsid w:val="00FD578C"/>
    <w:rsid w:val="00FE61E9"/>
    <w:rsid w:val="00FF3B4B"/>
    <w:rsid w:val="00FF5685"/>
    <w:rsid w:val="00FF5B2E"/>
    <w:rsid w:val="00FF7E7D"/>
    <w:rsid w:val="010251C9"/>
    <w:rsid w:val="015F412A"/>
    <w:rsid w:val="02266585"/>
    <w:rsid w:val="02C62323"/>
    <w:rsid w:val="02FE767A"/>
    <w:rsid w:val="03DA5AF7"/>
    <w:rsid w:val="03FB5D21"/>
    <w:rsid w:val="04701579"/>
    <w:rsid w:val="047922E2"/>
    <w:rsid w:val="04B67296"/>
    <w:rsid w:val="04B81E88"/>
    <w:rsid w:val="04D30284"/>
    <w:rsid w:val="052E3404"/>
    <w:rsid w:val="05F7262C"/>
    <w:rsid w:val="06187F65"/>
    <w:rsid w:val="06731646"/>
    <w:rsid w:val="06B524D2"/>
    <w:rsid w:val="06B71B57"/>
    <w:rsid w:val="07214EFA"/>
    <w:rsid w:val="0790347A"/>
    <w:rsid w:val="07D7393E"/>
    <w:rsid w:val="08C10D11"/>
    <w:rsid w:val="095F3763"/>
    <w:rsid w:val="0A1A053C"/>
    <w:rsid w:val="0AB72333"/>
    <w:rsid w:val="0B1A24E6"/>
    <w:rsid w:val="0B1D37B9"/>
    <w:rsid w:val="0D4E7C9B"/>
    <w:rsid w:val="0DC7477D"/>
    <w:rsid w:val="0E5F690A"/>
    <w:rsid w:val="0E607E68"/>
    <w:rsid w:val="0ED02E13"/>
    <w:rsid w:val="0F142BDF"/>
    <w:rsid w:val="101907E7"/>
    <w:rsid w:val="10451EAB"/>
    <w:rsid w:val="105255C9"/>
    <w:rsid w:val="10A258E0"/>
    <w:rsid w:val="10A4285E"/>
    <w:rsid w:val="10EE27E5"/>
    <w:rsid w:val="112D714D"/>
    <w:rsid w:val="115114BF"/>
    <w:rsid w:val="117A772A"/>
    <w:rsid w:val="118938CE"/>
    <w:rsid w:val="11C57972"/>
    <w:rsid w:val="11EA2A22"/>
    <w:rsid w:val="12E253AC"/>
    <w:rsid w:val="134946B3"/>
    <w:rsid w:val="134D0992"/>
    <w:rsid w:val="145E470A"/>
    <w:rsid w:val="14FB7EE7"/>
    <w:rsid w:val="15030A7D"/>
    <w:rsid w:val="15121526"/>
    <w:rsid w:val="151D7CAE"/>
    <w:rsid w:val="15605D2D"/>
    <w:rsid w:val="15EC238A"/>
    <w:rsid w:val="16217E02"/>
    <w:rsid w:val="16227FE1"/>
    <w:rsid w:val="16835857"/>
    <w:rsid w:val="17F13A15"/>
    <w:rsid w:val="180258C2"/>
    <w:rsid w:val="18A25032"/>
    <w:rsid w:val="18B20006"/>
    <w:rsid w:val="19223663"/>
    <w:rsid w:val="195F59C0"/>
    <w:rsid w:val="198A629F"/>
    <w:rsid w:val="19DD3C41"/>
    <w:rsid w:val="1A0C0943"/>
    <w:rsid w:val="1A3369BF"/>
    <w:rsid w:val="1AD03279"/>
    <w:rsid w:val="1AEA235C"/>
    <w:rsid w:val="1B1757A4"/>
    <w:rsid w:val="1BA567C6"/>
    <w:rsid w:val="1C0437E9"/>
    <w:rsid w:val="1C80678B"/>
    <w:rsid w:val="1D3249C1"/>
    <w:rsid w:val="1D354A71"/>
    <w:rsid w:val="1D666C13"/>
    <w:rsid w:val="1DE15017"/>
    <w:rsid w:val="1E096266"/>
    <w:rsid w:val="1E890BF6"/>
    <w:rsid w:val="1E945DD2"/>
    <w:rsid w:val="1EE87254"/>
    <w:rsid w:val="1EFC29C9"/>
    <w:rsid w:val="1F022412"/>
    <w:rsid w:val="202B51F4"/>
    <w:rsid w:val="20482506"/>
    <w:rsid w:val="2158771D"/>
    <w:rsid w:val="216C7CC5"/>
    <w:rsid w:val="222128E9"/>
    <w:rsid w:val="224A50CC"/>
    <w:rsid w:val="22EE6EBB"/>
    <w:rsid w:val="2324617C"/>
    <w:rsid w:val="232B6535"/>
    <w:rsid w:val="241F03FA"/>
    <w:rsid w:val="249F0268"/>
    <w:rsid w:val="24FC5A05"/>
    <w:rsid w:val="250744BF"/>
    <w:rsid w:val="2524677D"/>
    <w:rsid w:val="25A260E9"/>
    <w:rsid w:val="25E8484A"/>
    <w:rsid w:val="267F709D"/>
    <w:rsid w:val="272914BE"/>
    <w:rsid w:val="28772859"/>
    <w:rsid w:val="28B9349C"/>
    <w:rsid w:val="28E44FC8"/>
    <w:rsid w:val="28EC6B33"/>
    <w:rsid w:val="29A94CED"/>
    <w:rsid w:val="2A0C067F"/>
    <w:rsid w:val="2A353B4E"/>
    <w:rsid w:val="2A74601F"/>
    <w:rsid w:val="2A9C449D"/>
    <w:rsid w:val="2AD51C35"/>
    <w:rsid w:val="2B0F1CB0"/>
    <w:rsid w:val="2B565CA8"/>
    <w:rsid w:val="2B6D41F9"/>
    <w:rsid w:val="2B7172CF"/>
    <w:rsid w:val="2B8C277F"/>
    <w:rsid w:val="2BAA7FEC"/>
    <w:rsid w:val="2BBF575A"/>
    <w:rsid w:val="2BF24CA7"/>
    <w:rsid w:val="2C894404"/>
    <w:rsid w:val="2CEA3D8E"/>
    <w:rsid w:val="2CF91571"/>
    <w:rsid w:val="2D404EB1"/>
    <w:rsid w:val="30607A30"/>
    <w:rsid w:val="3069275C"/>
    <w:rsid w:val="307533C2"/>
    <w:rsid w:val="30BD743C"/>
    <w:rsid w:val="30ED6EA7"/>
    <w:rsid w:val="30FE6CD0"/>
    <w:rsid w:val="31734EAD"/>
    <w:rsid w:val="31847979"/>
    <w:rsid w:val="320C6141"/>
    <w:rsid w:val="342B66B6"/>
    <w:rsid w:val="345C200B"/>
    <w:rsid w:val="345E497B"/>
    <w:rsid w:val="3490064D"/>
    <w:rsid w:val="35CD0AC7"/>
    <w:rsid w:val="3681294A"/>
    <w:rsid w:val="36BE1DE9"/>
    <w:rsid w:val="37257CB2"/>
    <w:rsid w:val="38C61E95"/>
    <w:rsid w:val="39226505"/>
    <w:rsid w:val="3969351D"/>
    <w:rsid w:val="39B94747"/>
    <w:rsid w:val="39F13B0C"/>
    <w:rsid w:val="3A426129"/>
    <w:rsid w:val="3AFA7D0B"/>
    <w:rsid w:val="3B476DDB"/>
    <w:rsid w:val="3B951A56"/>
    <w:rsid w:val="3BE6399B"/>
    <w:rsid w:val="3BEE14A4"/>
    <w:rsid w:val="3C924070"/>
    <w:rsid w:val="3CC7668F"/>
    <w:rsid w:val="3ECF46EB"/>
    <w:rsid w:val="3F172D9E"/>
    <w:rsid w:val="405951FF"/>
    <w:rsid w:val="40EA6DDD"/>
    <w:rsid w:val="40F15305"/>
    <w:rsid w:val="418B5CE8"/>
    <w:rsid w:val="41936BD9"/>
    <w:rsid w:val="423E3EBB"/>
    <w:rsid w:val="42826C11"/>
    <w:rsid w:val="43035B2D"/>
    <w:rsid w:val="44154C11"/>
    <w:rsid w:val="449869AC"/>
    <w:rsid w:val="450544AA"/>
    <w:rsid w:val="460B1809"/>
    <w:rsid w:val="473D38A8"/>
    <w:rsid w:val="475328F2"/>
    <w:rsid w:val="48025D5D"/>
    <w:rsid w:val="486F3472"/>
    <w:rsid w:val="48950DBF"/>
    <w:rsid w:val="48B978AD"/>
    <w:rsid w:val="49000F7B"/>
    <w:rsid w:val="490D104E"/>
    <w:rsid w:val="499B1907"/>
    <w:rsid w:val="4A517141"/>
    <w:rsid w:val="4A7250FD"/>
    <w:rsid w:val="4A89247F"/>
    <w:rsid w:val="4AA318C7"/>
    <w:rsid w:val="4ACD1F4D"/>
    <w:rsid w:val="4AF869D9"/>
    <w:rsid w:val="4B79700B"/>
    <w:rsid w:val="4B910F08"/>
    <w:rsid w:val="4BBC657D"/>
    <w:rsid w:val="4D217C6B"/>
    <w:rsid w:val="4F18150F"/>
    <w:rsid w:val="4FBF3F98"/>
    <w:rsid w:val="4FCC5EB6"/>
    <w:rsid w:val="4FDE105D"/>
    <w:rsid w:val="50330872"/>
    <w:rsid w:val="51691D96"/>
    <w:rsid w:val="51BC6A28"/>
    <w:rsid w:val="51C13C35"/>
    <w:rsid w:val="526E5EFA"/>
    <w:rsid w:val="52BB5F6B"/>
    <w:rsid w:val="52E141E9"/>
    <w:rsid w:val="531F7EBD"/>
    <w:rsid w:val="534760FA"/>
    <w:rsid w:val="539C71C2"/>
    <w:rsid w:val="547F0C12"/>
    <w:rsid w:val="58100078"/>
    <w:rsid w:val="59071F68"/>
    <w:rsid w:val="5974331E"/>
    <w:rsid w:val="59984D95"/>
    <w:rsid w:val="5A64039F"/>
    <w:rsid w:val="5A99775F"/>
    <w:rsid w:val="5BB07A46"/>
    <w:rsid w:val="5C0D386E"/>
    <w:rsid w:val="5C6735CB"/>
    <w:rsid w:val="5D187049"/>
    <w:rsid w:val="5E26659F"/>
    <w:rsid w:val="5EF95CFC"/>
    <w:rsid w:val="5F3F5E63"/>
    <w:rsid w:val="5F522428"/>
    <w:rsid w:val="5FD92450"/>
    <w:rsid w:val="60FE7FFE"/>
    <w:rsid w:val="614A0EAD"/>
    <w:rsid w:val="62B001F8"/>
    <w:rsid w:val="62D67F1E"/>
    <w:rsid w:val="63031B5E"/>
    <w:rsid w:val="64160DFF"/>
    <w:rsid w:val="6477163E"/>
    <w:rsid w:val="652644C2"/>
    <w:rsid w:val="6630087A"/>
    <w:rsid w:val="668101CD"/>
    <w:rsid w:val="668C436C"/>
    <w:rsid w:val="676B1873"/>
    <w:rsid w:val="676F6E0A"/>
    <w:rsid w:val="677F48E1"/>
    <w:rsid w:val="67A819D6"/>
    <w:rsid w:val="6841206E"/>
    <w:rsid w:val="690C0309"/>
    <w:rsid w:val="69CF3437"/>
    <w:rsid w:val="69F21388"/>
    <w:rsid w:val="6AA61E4B"/>
    <w:rsid w:val="6BFF71EA"/>
    <w:rsid w:val="6C9F7F4F"/>
    <w:rsid w:val="6CC57BC5"/>
    <w:rsid w:val="6CF10BE1"/>
    <w:rsid w:val="6D4F72FC"/>
    <w:rsid w:val="6D6E7496"/>
    <w:rsid w:val="6D716656"/>
    <w:rsid w:val="6E1C72A4"/>
    <w:rsid w:val="6E791F22"/>
    <w:rsid w:val="6EA76291"/>
    <w:rsid w:val="6F561035"/>
    <w:rsid w:val="6FD47EEF"/>
    <w:rsid w:val="70686C71"/>
    <w:rsid w:val="70A663D9"/>
    <w:rsid w:val="718A7040"/>
    <w:rsid w:val="724379E7"/>
    <w:rsid w:val="72A73FC3"/>
    <w:rsid w:val="72EA0B83"/>
    <w:rsid w:val="739003C5"/>
    <w:rsid w:val="73D76567"/>
    <w:rsid w:val="73DC4D25"/>
    <w:rsid w:val="73F71F2A"/>
    <w:rsid w:val="74EF23D5"/>
    <w:rsid w:val="75306C02"/>
    <w:rsid w:val="75C27CE2"/>
    <w:rsid w:val="76187D01"/>
    <w:rsid w:val="77DC2E6D"/>
    <w:rsid w:val="77EB1A53"/>
    <w:rsid w:val="785F7C80"/>
    <w:rsid w:val="794A0247"/>
    <w:rsid w:val="795F12EF"/>
    <w:rsid w:val="79704B9F"/>
    <w:rsid w:val="79A95219"/>
    <w:rsid w:val="79B93430"/>
    <w:rsid w:val="7A2B369C"/>
    <w:rsid w:val="7A696BF3"/>
    <w:rsid w:val="7A9A79AA"/>
    <w:rsid w:val="7B906E39"/>
    <w:rsid w:val="7BB11629"/>
    <w:rsid w:val="7BEA02EB"/>
    <w:rsid w:val="7C515F43"/>
    <w:rsid w:val="7C727229"/>
    <w:rsid w:val="7C9A485F"/>
    <w:rsid w:val="7CBC425B"/>
    <w:rsid w:val="7CFE27B8"/>
    <w:rsid w:val="7D4A2512"/>
    <w:rsid w:val="7DFE2569"/>
    <w:rsid w:val="7E4902E0"/>
    <w:rsid w:val="7E5816C9"/>
    <w:rsid w:val="7E633896"/>
    <w:rsid w:val="7E6E1B30"/>
    <w:rsid w:val="7E937C8D"/>
    <w:rsid w:val="7F6E2DB2"/>
    <w:rsid w:val="7F984F7B"/>
    <w:rsid w:val="7FF75502"/>
    <w:rsid w:val="8B4FC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3"/>
    <w:qFormat/>
    <w:uiPriority w:val="0"/>
    <w:pPr>
      <w:keepNext/>
      <w:jc w:val="center"/>
      <w:outlineLvl w:val="0"/>
    </w:pPr>
    <w:rPr>
      <w:sz w:val="28"/>
    </w:rPr>
  </w:style>
  <w:style w:type="paragraph" w:styleId="4">
    <w:name w:val="heading 2"/>
    <w:basedOn w:val="1"/>
    <w:next w:val="1"/>
    <w:link w:val="194"/>
    <w:qFormat/>
    <w:uiPriority w:val="0"/>
    <w:pPr>
      <w:keepNext/>
      <w:keepLines/>
      <w:adjustRightInd w:val="0"/>
      <w:spacing w:line="360" w:lineRule="auto"/>
      <w:jc w:val="center"/>
      <w:textAlignment w:val="baseline"/>
      <w:outlineLvl w:val="1"/>
    </w:pPr>
    <w:rPr>
      <w:rFonts w:ascii="宋体" w:hAnsi="宋体" w:eastAsia="黑体"/>
      <w:bCs/>
      <w:color w:val="000000"/>
      <w:sz w:val="32"/>
      <w:szCs w:val="32"/>
    </w:rPr>
  </w:style>
  <w:style w:type="paragraph" w:styleId="5">
    <w:name w:val="heading 3"/>
    <w:basedOn w:val="1"/>
    <w:next w:val="1"/>
    <w:unhideWhenUsed/>
    <w:qFormat/>
    <w:uiPriority w:val="0"/>
    <w:pPr>
      <w:keepNext/>
      <w:keepLines/>
      <w:spacing w:line="413" w:lineRule="auto"/>
      <w:outlineLvl w:val="2"/>
    </w:pPr>
    <w:rPr>
      <w:b/>
      <w:sz w:val="32"/>
    </w:rPr>
  </w:style>
  <w:style w:type="paragraph" w:styleId="6">
    <w:name w:val="heading 7"/>
    <w:basedOn w:val="1"/>
    <w:next w:val="1"/>
    <w:link w:val="195"/>
    <w:qFormat/>
    <w:uiPriority w:val="0"/>
    <w:pPr>
      <w:keepNext/>
      <w:keepLines/>
      <w:spacing w:line="320" w:lineRule="auto"/>
      <w:outlineLvl w:val="6"/>
    </w:pPr>
    <w:rPr>
      <w:b/>
      <w:bCs/>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397"/>
    </w:pPr>
    <w:rPr>
      <w:kern w:val="0"/>
      <w:szCs w:val="28"/>
    </w:rPr>
  </w:style>
  <w:style w:type="paragraph" w:styleId="7">
    <w:name w:val="caption"/>
    <w:basedOn w:val="1"/>
    <w:next w:val="1"/>
    <w:qFormat/>
    <w:uiPriority w:val="0"/>
    <w:pPr>
      <w:suppressLineNumbers/>
      <w:suppressAutoHyphens/>
    </w:pPr>
    <w:rPr>
      <w:rFonts w:ascii="Calibri" w:hAnsi="Calibri" w:cs="Arial"/>
      <w:i/>
      <w:iCs/>
      <w:kern w:val="1"/>
      <w:sz w:val="24"/>
      <w:lang w:eastAsia="ar-SA"/>
    </w:rPr>
  </w:style>
  <w:style w:type="paragraph" w:styleId="8">
    <w:name w:val="toa heading"/>
    <w:basedOn w:val="1"/>
    <w:next w:val="1"/>
    <w:semiHidden/>
    <w:unhideWhenUsed/>
    <w:qFormat/>
    <w:uiPriority w:val="99"/>
    <w:pPr>
      <w:spacing w:before="120"/>
    </w:pPr>
    <w:rPr>
      <w:rFonts w:ascii="Arial" w:hAnsi="Arial"/>
      <w:sz w:val="24"/>
    </w:rPr>
  </w:style>
  <w:style w:type="paragraph" w:styleId="9">
    <w:name w:val="annotation text"/>
    <w:basedOn w:val="1"/>
    <w:link w:val="217"/>
    <w:qFormat/>
    <w:uiPriority w:val="0"/>
    <w:pPr>
      <w:suppressAutoHyphens/>
      <w:jc w:val="left"/>
    </w:pPr>
    <w:rPr>
      <w:kern w:val="1"/>
      <w:sz w:val="28"/>
      <w:szCs w:val="20"/>
      <w:lang w:eastAsia="ar-SA"/>
    </w:rPr>
  </w:style>
  <w:style w:type="paragraph" w:styleId="10">
    <w:name w:val="Body Text"/>
    <w:basedOn w:val="1"/>
    <w:next w:val="1"/>
    <w:qFormat/>
    <w:uiPriority w:val="0"/>
  </w:style>
  <w:style w:type="paragraph" w:styleId="11">
    <w:name w:val="Body Text Indent"/>
    <w:basedOn w:val="1"/>
    <w:link w:val="200"/>
    <w:qFormat/>
    <w:uiPriority w:val="0"/>
    <w:pPr>
      <w:widowControl/>
      <w:spacing w:line="360" w:lineRule="auto"/>
      <w:ind w:firstLine="280" w:firstLineChars="100"/>
    </w:pPr>
    <w:rPr>
      <w:rFonts w:ascii="仿宋_GB2312" w:eastAsia="仿宋_GB2312"/>
      <w:kern w:val="0"/>
      <w:sz w:val="30"/>
      <w:szCs w:val="20"/>
    </w:rPr>
  </w:style>
  <w:style w:type="paragraph" w:styleId="12">
    <w:name w:val="List 2"/>
    <w:basedOn w:val="1"/>
    <w:next w:val="13"/>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3">
    <w:name w:val="Plain Text"/>
    <w:basedOn w:val="1"/>
    <w:link w:val="207"/>
    <w:qFormat/>
    <w:uiPriority w:val="0"/>
    <w:pPr>
      <w:adjustRightInd w:val="0"/>
      <w:snapToGrid w:val="0"/>
      <w:spacing w:line="360" w:lineRule="auto"/>
    </w:pPr>
    <w:rPr>
      <w:rFonts w:ascii="宋体" w:hAnsi="Courier New"/>
      <w:szCs w:val="20"/>
    </w:rPr>
  </w:style>
  <w:style w:type="paragraph" w:styleId="14">
    <w:name w:val="Date"/>
    <w:basedOn w:val="1"/>
    <w:next w:val="1"/>
    <w:link w:val="211"/>
    <w:qFormat/>
    <w:uiPriority w:val="0"/>
    <w:pPr>
      <w:ind w:left="100" w:leftChars="2500"/>
    </w:pPr>
  </w:style>
  <w:style w:type="paragraph" w:styleId="15">
    <w:name w:val="Body Text Indent 2"/>
    <w:basedOn w:val="1"/>
    <w:link w:val="196"/>
    <w:qFormat/>
    <w:uiPriority w:val="0"/>
    <w:pPr>
      <w:widowControl/>
      <w:spacing w:line="360" w:lineRule="auto"/>
      <w:ind w:firstLine="660"/>
    </w:pPr>
    <w:rPr>
      <w:rFonts w:ascii="仿宋_GB2312" w:eastAsia="仿宋_GB2312"/>
      <w:kern w:val="0"/>
      <w:sz w:val="32"/>
      <w:szCs w:val="20"/>
    </w:rPr>
  </w:style>
  <w:style w:type="paragraph" w:styleId="16">
    <w:name w:val="Balloon Text"/>
    <w:basedOn w:val="1"/>
    <w:qFormat/>
    <w:uiPriority w:val="0"/>
    <w:rPr>
      <w:sz w:val="18"/>
      <w:szCs w:val="18"/>
    </w:rPr>
  </w:style>
  <w:style w:type="paragraph" w:styleId="17">
    <w:name w:val="footer"/>
    <w:basedOn w:val="1"/>
    <w:link w:val="214"/>
    <w:qFormat/>
    <w:uiPriority w:val="0"/>
    <w:pPr>
      <w:tabs>
        <w:tab w:val="center" w:pos="4153"/>
        <w:tab w:val="right" w:pos="8306"/>
      </w:tabs>
      <w:snapToGrid w:val="0"/>
      <w:jc w:val="left"/>
    </w:pPr>
    <w:rPr>
      <w:sz w:val="18"/>
      <w:szCs w:val="18"/>
    </w:rPr>
  </w:style>
  <w:style w:type="paragraph" w:styleId="18">
    <w:name w:val="header"/>
    <w:basedOn w:val="1"/>
    <w:link w:val="210"/>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jc w:val="left"/>
    </w:pPr>
    <w:rPr>
      <w:b/>
      <w:bCs/>
      <w:caps/>
      <w:sz w:val="20"/>
      <w:szCs w:val="20"/>
    </w:rPr>
  </w:style>
  <w:style w:type="paragraph" w:styleId="20">
    <w:name w:val="List"/>
    <w:basedOn w:val="10"/>
    <w:qFormat/>
    <w:uiPriority w:val="0"/>
    <w:pPr>
      <w:suppressAutoHyphens/>
    </w:pPr>
    <w:rPr>
      <w:rFonts w:ascii="Calibri" w:hAnsi="Calibri" w:cs="Arial"/>
      <w:kern w:val="1"/>
      <w:szCs w:val="22"/>
      <w:lang w:eastAsia="ar-SA"/>
    </w:rPr>
  </w:style>
  <w:style w:type="paragraph" w:styleId="21">
    <w:name w:val="Body Text Indent 3"/>
    <w:basedOn w:val="1"/>
    <w:qFormat/>
    <w:uiPriority w:val="0"/>
    <w:pPr>
      <w:ind w:left="420" w:leftChars="200"/>
    </w:pPr>
    <w:rPr>
      <w:sz w:val="16"/>
      <w:szCs w:val="16"/>
    </w:rPr>
  </w:style>
  <w:style w:type="paragraph" w:styleId="22">
    <w:name w:val="Normal (Web)"/>
    <w:basedOn w:val="1"/>
    <w:qFormat/>
    <w:uiPriority w:val="99"/>
    <w:pPr>
      <w:widowControl/>
      <w:jc w:val="left"/>
    </w:pPr>
    <w:rPr>
      <w:rFonts w:ascii="宋体" w:hAnsi="宋体" w:cs="宋体"/>
      <w:kern w:val="0"/>
      <w:sz w:val="24"/>
    </w:rPr>
  </w:style>
  <w:style w:type="paragraph" w:styleId="23">
    <w:name w:val="Title"/>
    <w:basedOn w:val="1"/>
    <w:next w:val="1"/>
    <w:qFormat/>
    <w:uiPriority w:val="0"/>
    <w:pPr>
      <w:jc w:val="center"/>
      <w:outlineLvl w:val="0"/>
    </w:pPr>
    <w:rPr>
      <w:rFonts w:ascii="Cambria" w:hAnsi="Cambria"/>
      <w:b/>
      <w:bCs/>
      <w:sz w:val="32"/>
      <w:szCs w:val="32"/>
    </w:rPr>
  </w:style>
  <w:style w:type="paragraph" w:styleId="24">
    <w:name w:val="annotation subject"/>
    <w:basedOn w:val="9"/>
    <w:next w:val="9"/>
    <w:qFormat/>
    <w:uiPriority w:val="0"/>
    <w:rPr>
      <w:b/>
      <w:bCs/>
    </w:rPr>
  </w:style>
  <w:style w:type="table" w:styleId="26">
    <w:name w:val="Table Grid"/>
    <w:basedOn w:val="2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rFonts w:ascii="Times New Roman" w:hAnsi="Times New Roman" w:eastAsia="宋体" w:cs="Times New Roman"/>
      <w:b/>
    </w:rPr>
  </w:style>
  <w:style w:type="character" w:styleId="29">
    <w:name w:val="page number"/>
    <w:qFormat/>
    <w:uiPriority w:val="0"/>
    <w:rPr>
      <w:rFonts w:ascii="Times New Roman" w:hAnsi="Times New Roman" w:eastAsia="宋体" w:cs="Times New Roman"/>
    </w:rPr>
  </w:style>
  <w:style w:type="character" w:styleId="30">
    <w:name w:val="FollowedHyperlink"/>
    <w:qFormat/>
    <w:uiPriority w:val="0"/>
    <w:rPr>
      <w:rFonts w:ascii="Times New Roman" w:hAnsi="Times New Roman" w:eastAsia="宋体" w:cs="Times New Roman"/>
      <w:color w:val="800080"/>
      <w:u w:val="single"/>
    </w:rPr>
  </w:style>
  <w:style w:type="character" w:styleId="31">
    <w:name w:val="Emphasis"/>
    <w:qFormat/>
    <w:uiPriority w:val="0"/>
    <w:rPr>
      <w:rFonts w:ascii="Times New Roman" w:hAnsi="Times New Roman" w:eastAsia="宋体" w:cs="Times New Roman"/>
      <w:i/>
    </w:rPr>
  </w:style>
  <w:style w:type="character" w:styleId="32">
    <w:name w:val="Hyperlink"/>
    <w:qFormat/>
    <w:uiPriority w:val="0"/>
    <w:rPr>
      <w:rFonts w:ascii="Tahoma" w:hAnsi="Tahoma" w:eastAsia="宋体" w:cs="Times New Roman"/>
      <w:color w:val="0000FF"/>
      <w:kern w:val="2"/>
      <w:sz w:val="30"/>
      <w:szCs w:val="30"/>
      <w:u w:val="single"/>
      <w:lang w:val="en-US" w:eastAsia="zh-CN" w:bidi="ar-SA"/>
    </w:rPr>
  </w:style>
  <w:style w:type="character" w:styleId="33">
    <w:name w:val="annotation reference"/>
    <w:qFormat/>
    <w:uiPriority w:val="0"/>
    <w:rPr>
      <w:rFonts w:ascii="Times New Roman" w:hAnsi="Times New Roman" w:eastAsia="宋体" w:cs="Times New Roman"/>
      <w:sz w:val="21"/>
      <w:szCs w:val="21"/>
    </w:rPr>
  </w:style>
  <w:style w:type="paragraph" w:customStyle="1" w:styleId="3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5">
    <w:name w:val="Quote"/>
    <w:basedOn w:val="1"/>
    <w:next w:val="1"/>
    <w:qFormat/>
    <w:uiPriority w:val="29"/>
    <w:rPr>
      <w:i/>
      <w:iCs/>
      <w:color w:val="000000"/>
    </w:rPr>
  </w:style>
  <w:style w:type="paragraph" w:customStyle="1" w:styleId="36">
    <w:name w:val="文档正文"/>
    <w:basedOn w:val="1"/>
    <w:qFormat/>
    <w:uiPriority w:val="0"/>
    <w:pPr>
      <w:spacing w:line="240" w:lineRule="atLeast"/>
      <w:ind w:firstLine="592" w:firstLineChars="200"/>
      <w:jc w:val="center"/>
    </w:pPr>
    <w:rPr>
      <w:rFonts w:ascii="仿宋_GB2312" w:hAnsi="Arial" w:eastAsia="仿宋_GB2312"/>
      <w:bCs/>
      <w:sz w:val="32"/>
      <w:szCs w:val="21"/>
    </w:rPr>
  </w:style>
  <w:style w:type="paragraph" w:customStyle="1" w:styleId="37">
    <w:name w:val="xl11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38">
    <w:name w:val="列表1"/>
    <w:basedOn w:val="1"/>
    <w:qFormat/>
    <w:uiPriority w:val="0"/>
    <w:pPr>
      <w:ind w:left="200" w:hanging="200" w:hangingChars="200"/>
      <w:contextualSpacing/>
    </w:pPr>
    <w:rPr>
      <w:sz w:val="28"/>
      <w:szCs w:val="20"/>
    </w:rPr>
  </w:style>
  <w:style w:type="paragraph" w:customStyle="1" w:styleId="39">
    <w:name w:val="xl85"/>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40">
    <w:name w:val="xl9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41">
    <w:name w:val="xl97"/>
    <w:basedOn w:val="1"/>
    <w:qFormat/>
    <w:uiPriority w:val="0"/>
    <w:pPr>
      <w:widowControl/>
      <w:spacing w:beforeAutospacing="1" w:afterAutospacing="1"/>
      <w:jc w:val="center"/>
    </w:pPr>
    <w:rPr>
      <w:rFonts w:ascii="宋体" w:hAnsi="宋体" w:cs="宋体"/>
      <w:kern w:val="0"/>
      <w:sz w:val="24"/>
    </w:rPr>
  </w:style>
  <w:style w:type="paragraph" w:customStyle="1" w:styleId="42">
    <w:name w:val="xl149"/>
    <w:basedOn w:val="1"/>
    <w:qFormat/>
    <w:uiPriority w:val="0"/>
    <w:pPr>
      <w:widowControl/>
      <w:pBdr>
        <w:bottom w:val="single" w:color="000000" w:sz="4" w:space="0"/>
        <w:right w:val="single" w:color="000000" w:sz="4" w:space="0"/>
      </w:pBdr>
      <w:spacing w:beforeAutospacing="1" w:afterAutospacing="1"/>
      <w:jc w:val="center"/>
    </w:pPr>
    <w:rPr>
      <w:rFonts w:ascii="宋体" w:hAnsi="宋体" w:cs="宋体"/>
      <w:kern w:val="0"/>
      <w:sz w:val="24"/>
    </w:rPr>
  </w:style>
  <w:style w:type="paragraph" w:customStyle="1" w:styleId="43">
    <w:name w:val="xl184"/>
    <w:basedOn w:val="1"/>
    <w:qFormat/>
    <w:uiPriority w:val="0"/>
    <w:pPr>
      <w:widowControl/>
      <w:pBdr>
        <w:top w:val="single" w:color="auto" w:sz="4" w:space="0"/>
        <w:left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44">
    <w:name w:val="xl131"/>
    <w:basedOn w:val="1"/>
    <w:qFormat/>
    <w:uiPriority w:val="0"/>
    <w:pPr>
      <w:widowControl/>
      <w:pBdr>
        <w:top w:val="single" w:color="auto" w:sz="4" w:space="0"/>
        <w:left w:val="single" w:color="auto" w:sz="4" w:space="0"/>
        <w:bottom w:val="single" w:color="000000" w:sz="4" w:space="0"/>
        <w:right w:val="single" w:color="auto" w:sz="4" w:space="0"/>
      </w:pBdr>
      <w:spacing w:beforeAutospacing="1" w:afterAutospacing="1"/>
      <w:jc w:val="left"/>
    </w:pPr>
    <w:rPr>
      <w:rFonts w:ascii="宋体" w:hAnsi="宋体" w:cs="宋体"/>
      <w:kern w:val="0"/>
      <w:sz w:val="24"/>
    </w:rPr>
  </w:style>
  <w:style w:type="paragraph" w:customStyle="1" w:styleId="45">
    <w:name w:val="xl73"/>
    <w:basedOn w:val="1"/>
    <w:qFormat/>
    <w:uiPriority w:val="0"/>
    <w:pPr>
      <w:widowControl/>
      <w:suppressAutoHyphens/>
      <w:jc w:val="left"/>
    </w:pPr>
    <w:rPr>
      <w:rFonts w:ascii="宋体" w:hAnsi="宋体" w:cs="宋体"/>
      <w:kern w:val="1"/>
      <w:sz w:val="20"/>
      <w:szCs w:val="20"/>
      <w:lang w:eastAsia="ar-SA"/>
    </w:rPr>
  </w:style>
  <w:style w:type="paragraph" w:customStyle="1" w:styleId="46">
    <w:name w:val="xl84"/>
    <w:basedOn w:val="1"/>
    <w:qFormat/>
    <w:uiPriority w:val="0"/>
    <w:pPr>
      <w:widowControl/>
      <w:pBdr>
        <w:bottom w:val="single" w:color="000000" w:sz="8" w:space="0"/>
      </w:pBdr>
      <w:suppressAutoHyphens/>
      <w:jc w:val="left"/>
    </w:pPr>
    <w:rPr>
      <w:rFonts w:ascii="宋体" w:hAnsi="宋体" w:cs="宋体"/>
      <w:kern w:val="1"/>
      <w:sz w:val="20"/>
      <w:szCs w:val="20"/>
      <w:lang w:eastAsia="ar-SA"/>
    </w:rPr>
  </w:style>
  <w:style w:type="paragraph" w:customStyle="1" w:styleId="47">
    <w:name w:val="表格内容"/>
    <w:basedOn w:val="1"/>
    <w:qFormat/>
    <w:uiPriority w:val="0"/>
    <w:pPr>
      <w:suppressLineNumbers/>
      <w:suppressAutoHyphens/>
    </w:pPr>
    <w:rPr>
      <w:rFonts w:ascii="Calibri" w:hAnsi="Calibri"/>
      <w:kern w:val="1"/>
      <w:szCs w:val="22"/>
      <w:lang w:eastAsia="ar-SA"/>
    </w:rPr>
  </w:style>
  <w:style w:type="paragraph" w:customStyle="1" w:styleId="48">
    <w:name w:val="xl11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49">
    <w:name w:val="xl77"/>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50">
    <w:name w:val="xl9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51">
    <w:name w:val="List Paragraph2"/>
    <w:basedOn w:val="1"/>
    <w:qFormat/>
    <w:uiPriority w:val="0"/>
    <w:pPr>
      <w:ind w:firstLine="200" w:firstLineChars="200"/>
    </w:pPr>
  </w:style>
  <w:style w:type="paragraph" w:customStyle="1" w:styleId="52">
    <w:name w:val="xl183"/>
    <w:basedOn w:val="1"/>
    <w:qFormat/>
    <w:uiPriority w:val="0"/>
    <w:pPr>
      <w:widowControl/>
      <w:pBdr>
        <w:top w:val="single" w:color="000000" w:sz="4" w:space="0"/>
        <w:bottom w:val="single" w:color="000000" w:sz="4" w:space="0"/>
        <w:right w:val="single" w:color="000000" w:sz="4" w:space="0"/>
      </w:pBdr>
      <w:spacing w:beforeAutospacing="1" w:afterAutospacing="1"/>
      <w:jc w:val="center"/>
    </w:pPr>
    <w:rPr>
      <w:rFonts w:ascii="宋体" w:hAnsi="宋体" w:cs="宋体"/>
      <w:b/>
      <w:bCs/>
      <w:kern w:val="0"/>
      <w:sz w:val="24"/>
    </w:rPr>
  </w:style>
  <w:style w:type="paragraph" w:customStyle="1" w:styleId="53">
    <w:name w:val="xl146"/>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54">
    <w:name w:val="表格文字（大）"/>
    <w:basedOn w:val="1"/>
    <w:qFormat/>
    <w:uiPriority w:val="0"/>
    <w:rPr>
      <w:rFonts w:ascii="Century Gothic" w:hAnsi="Century Gothic"/>
      <w:sz w:val="24"/>
      <w:szCs w:val="20"/>
    </w:rPr>
  </w:style>
  <w:style w:type="paragraph" w:customStyle="1" w:styleId="55">
    <w:name w:val="xl153"/>
    <w:basedOn w:val="1"/>
    <w:qFormat/>
    <w:uiPriority w:val="0"/>
    <w:pPr>
      <w:widowControl/>
      <w:pBdr>
        <w:left w:val="single" w:color="auto" w:sz="4" w:space="0"/>
      </w:pBdr>
      <w:spacing w:beforeAutospacing="1" w:afterAutospacing="1"/>
      <w:jc w:val="left"/>
    </w:pPr>
    <w:rPr>
      <w:rFonts w:ascii="宋体" w:hAnsi="宋体" w:cs="宋体"/>
      <w:kern w:val="0"/>
      <w:sz w:val="24"/>
    </w:rPr>
  </w:style>
  <w:style w:type="paragraph" w:customStyle="1" w:styleId="56">
    <w:name w:val="xl15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rFonts w:ascii="宋体" w:hAnsi="宋体" w:cs="宋体"/>
      <w:kern w:val="0"/>
      <w:sz w:val="24"/>
    </w:rPr>
  </w:style>
  <w:style w:type="paragraph" w:customStyle="1" w:styleId="57">
    <w:name w:val="xl133"/>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58">
    <w:name w:val="xl178"/>
    <w:basedOn w:val="1"/>
    <w:qFormat/>
    <w:uiPriority w:val="0"/>
    <w:pPr>
      <w:widowControl/>
      <w:pBdr>
        <w:top w:val="single" w:color="auto" w:sz="4" w:space="0"/>
        <w:left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59">
    <w:name w:val="xl74"/>
    <w:basedOn w:val="1"/>
    <w:qFormat/>
    <w:uiPriority w:val="0"/>
    <w:pPr>
      <w:widowControl/>
      <w:pBdr>
        <w:bottom w:val="single" w:color="000000" w:sz="8" w:space="0"/>
      </w:pBdr>
      <w:suppressAutoHyphens/>
      <w:jc w:val="left"/>
    </w:pPr>
    <w:rPr>
      <w:rFonts w:ascii="宋体" w:hAnsi="宋体" w:cs="宋体"/>
      <w:kern w:val="1"/>
      <w:sz w:val="20"/>
      <w:szCs w:val="20"/>
      <w:lang w:eastAsia="ar-SA"/>
    </w:rPr>
  </w:style>
  <w:style w:type="paragraph" w:customStyle="1" w:styleId="60">
    <w:name w:val="xl189"/>
    <w:basedOn w:val="1"/>
    <w:qFormat/>
    <w:uiPriority w:val="0"/>
    <w:pPr>
      <w:widowControl/>
      <w:pBdr>
        <w:bottom w:val="single" w:color="auto" w:sz="4" w:space="0"/>
      </w:pBdr>
      <w:spacing w:beforeAutospacing="1" w:afterAutospacing="1"/>
      <w:jc w:val="right"/>
    </w:pPr>
    <w:rPr>
      <w:rFonts w:ascii="宋体" w:hAnsi="宋体" w:cs="宋体"/>
      <w:kern w:val="0"/>
      <w:sz w:val="24"/>
    </w:rPr>
  </w:style>
  <w:style w:type="paragraph" w:customStyle="1" w:styleId="61">
    <w:name w:val="xl179"/>
    <w:basedOn w:val="1"/>
    <w:qFormat/>
    <w:uiPriority w:val="0"/>
    <w:pPr>
      <w:widowControl/>
      <w:pBdr>
        <w:top w:val="single" w:color="auto" w:sz="4" w:space="0"/>
        <w:left w:val="single" w:color="000000" w:sz="4" w:space="0"/>
        <w:bottom w:val="single" w:color="auto" w:sz="4" w:space="0"/>
      </w:pBdr>
      <w:spacing w:beforeAutospacing="1" w:afterAutospacing="1"/>
      <w:jc w:val="center"/>
    </w:pPr>
    <w:rPr>
      <w:rFonts w:ascii="宋体" w:hAnsi="宋体" w:cs="宋体"/>
      <w:b/>
      <w:bCs/>
      <w:kern w:val="0"/>
      <w:sz w:val="24"/>
    </w:rPr>
  </w:style>
  <w:style w:type="paragraph" w:customStyle="1" w:styleId="62">
    <w:name w:val="xl158"/>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63">
    <w:name w:val="xl145"/>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64">
    <w:name w:val="xl9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3"/>
      <w:szCs w:val="23"/>
    </w:rPr>
  </w:style>
  <w:style w:type="paragraph" w:customStyle="1" w:styleId="65">
    <w:name w:val="List Paragraph1"/>
    <w:basedOn w:val="1"/>
    <w:qFormat/>
    <w:uiPriority w:val="0"/>
    <w:pPr>
      <w:ind w:firstLine="420" w:firstLineChars="200"/>
    </w:pPr>
  </w:style>
  <w:style w:type="paragraph" w:customStyle="1" w:styleId="66">
    <w:name w:val="xl79"/>
    <w:basedOn w:val="1"/>
    <w:qFormat/>
    <w:uiPriority w:val="0"/>
    <w:pPr>
      <w:widowControl/>
      <w:pBdr>
        <w:top w:val="single" w:color="000000" w:sz="4" w:space="0"/>
        <w:left w:val="single" w:color="000000" w:sz="4" w:space="0"/>
        <w:bottom w:val="single" w:color="000000" w:sz="4" w:space="0"/>
        <w:right w:val="single" w:color="000000" w:sz="4" w:space="0"/>
      </w:pBdr>
      <w:suppressAutoHyphens/>
      <w:jc w:val="left"/>
    </w:pPr>
    <w:rPr>
      <w:rFonts w:ascii="宋体" w:hAnsi="宋体" w:cs="宋体"/>
      <w:kern w:val="1"/>
      <w:sz w:val="20"/>
      <w:szCs w:val="20"/>
      <w:lang w:eastAsia="ar-SA"/>
    </w:rPr>
  </w:style>
  <w:style w:type="paragraph" w:customStyle="1" w:styleId="67">
    <w:name w:val="xl10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68">
    <w:name w:val="xl176"/>
    <w:basedOn w:val="1"/>
    <w:qFormat/>
    <w:uiPriority w:val="0"/>
    <w:pPr>
      <w:widowControl/>
      <w:pBdr>
        <w:top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69">
    <w:name w:val="xl76"/>
    <w:basedOn w:val="1"/>
    <w:qFormat/>
    <w:uiPriority w:val="0"/>
    <w:pPr>
      <w:widowControl/>
      <w:pBdr>
        <w:top w:val="single" w:color="000000" w:sz="4" w:space="0"/>
        <w:left w:val="single" w:color="000000" w:sz="4" w:space="0"/>
        <w:bottom w:val="single" w:color="000000" w:sz="4" w:space="0"/>
        <w:right w:val="single" w:color="000000" w:sz="4" w:space="0"/>
      </w:pBdr>
      <w:suppressAutoHyphens/>
      <w:jc w:val="left"/>
    </w:pPr>
    <w:rPr>
      <w:rFonts w:ascii="宋体" w:hAnsi="宋体" w:cs="宋体"/>
      <w:kern w:val="1"/>
      <w:sz w:val="24"/>
      <w:lang w:eastAsia="ar-SA"/>
    </w:rPr>
  </w:style>
  <w:style w:type="paragraph" w:customStyle="1" w:styleId="70">
    <w:name w:val="p0"/>
    <w:basedOn w:val="1"/>
    <w:qFormat/>
    <w:uiPriority w:val="0"/>
    <w:pPr>
      <w:widowControl/>
    </w:pPr>
    <w:rPr>
      <w:kern w:val="0"/>
      <w:szCs w:val="21"/>
    </w:rPr>
  </w:style>
  <w:style w:type="paragraph" w:customStyle="1" w:styleId="71">
    <w:name w:val="xl68"/>
    <w:basedOn w:val="1"/>
    <w:qFormat/>
    <w:uiPriority w:val="0"/>
    <w:pPr>
      <w:widowControl/>
      <w:pBdr>
        <w:bottom w:val="single" w:color="000000" w:sz="8" w:space="0"/>
        <w:right w:val="single" w:color="000000" w:sz="8" w:space="0"/>
      </w:pBdr>
      <w:suppressAutoHyphens/>
      <w:jc w:val="left"/>
    </w:pPr>
    <w:rPr>
      <w:rFonts w:ascii="宋体" w:hAnsi="宋体" w:cs="宋体"/>
      <w:kern w:val="1"/>
      <w:sz w:val="24"/>
      <w:lang w:eastAsia="ar-SA"/>
    </w:rPr>
  </w:style>
  <w:style w:type="paragraph" w:customStyle="1" w:styleId="72">
    <w:name w:val="xl16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73">
    <w:name w:val="xl157"/>
    <w:basedOn w:val="1"/>
    <w:qFormat/>
    <w:uiPriority w:val="0"/>
    <w:pPr>
      <w:widowControl/>
      <w:pBdr>
        <w:top w:val="single" w:color="auto" w:sz="4" w:space="0"/>
        <w:left w:val="single" w:color="auto" w:sz="4" w:space="0"/>
        <w:bottom w:val="single" w:color="auto" w:sz="4" w:space="0"/>
        <w:right w:val="single" w:color="000000" w:sz="4" w:space="0"/>
      </w:pBdr>
      <w:spacing w:beforeAutospacing="1" w:afterAutospacing="1"/>
      <w:jc w:val="left"/>
    </w:pPr>
    <w:rPr>
      <w:rFonts w:ascii="宋体" w:hAnsi="宋体" w:cs="宋体"/>
      <w:b/>
      <w:bCs/>
      <w:kern w:val="0"/>
      <w:sz w:val="24"/>
    </w:rPr>
  </w:style>
  <w:style w:type="paragraph" w:customStyle="1" w:styleId="74">
    <w:name w:val="xl78"/>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75">
    <w:name w:val="xl1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color w:val="000000"/>
      <w:kern w:val="0"/>
      <w:sz w:val="24"/>
    </w:rPr>
  </w:style>
  <w:style w:type="paragraph" w:customStyle="1" w:styleId="76">
    <w:name w:val="xl15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77">
    <w:name w:val="xl1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78">
    <w:name w:val="xl64"/>
    <w:basedOn w:val="1"/>
    <w:qFormat/>
    <w:uiPriority w:val="0"/>
    <w:pPr>
      <w:widowControl/>
      <w:pBdr>
        <w:top w:val="single" w:color="000000" w:sz="8" w:space="0"/>
        <w:bottom w:val="single" w:color="000000" w:sz="8" w:space="0"/>
        <w:right w:val="single" w:color="000000" w:sz="8" w:space="0"/>
      </w:pBdr>
      <w:suppressAutoHyphens/>
      <w:jc w:val="center"/>
    </w:pPr>
    <w:rPr>
      <w:rFonts w:ascii="宋体" w:hAnsi="宋体" w:cs="宋体"/>
      <w:b/>
      <w:bCs/>
      <w:kern w:val="1"/>
      <w:sz w:val="20"/>
      <w:szCs w:val="20"/>
      <w:lang w:eastAsia="ar-SA"/>
    </w:rPr>
  </w:style>
  <w:style w:type="paragraph" w:customStyle="1" w:styleId="79">
    <w:name w:val="xl128"/>
    <w:basedOn w:val="1"/>
    <w:qFormat/>
    <w:uiPriority w:val="0"/>
    <w:pPr>
      <w:widowControl/>
      <w:pBdr>
        <w:top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80">
    <w:name w:val="font6"/>
    <w:basedOn w:val="1"/>
    <w:qFormat/>
    <w:uiPriority w:val="0"/>
    <w:pPr>
      <w:widowControl/>
      <w:spacing w:beforeAutospacing="1" w:afterAutospacing="1"/>
      <w:jc w:val="left"/>
    </w:pPr>
    <w:rPr>
      <w:kern w:val="0"/>
      <w:sz w:val="24"/>
    </w:rPr>
  </w:style>
  <w:style w:type="paragraph" w:customStyle="1" w:styleId="81">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2">
    <w:name w:val="xl89"/>
    <w:basedOn w:val="1"/>
    <w:qFormat/>
    <w:uiPriority w:val="0"/>
    <w:pPr>
      <w:widowControl/>
      <w:pBdr>
        <w:top w:val="single" w:color="000000" w:sz="8" w:space="0"/>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83">
    <w:name w:val="xl154"/>
    <w:basedOn w:val="1"/>
    <w:qFormat/>
    <w:uiPriority w:val="0"/>
    <w:pPr>
      <w:widowControl/>
      <w:pBdr>
        <w:right w:val="single" w:color="auto" w:sz="4" w:space="0"/>
      </w:pBdr>
      <w:spacing w:beforeAutospacing="1" w:afterAutospacing="1"/>
      <w:jc w:val="left"/>
    </w:pPr>
    <w:rPr>
      <w:rFonts w:ascii="宋体" w:hAnsi="宋体" w:cs="宋体"/>
      <w:kern w:val="0"/>
      <w:sz w:val="24"/>
    </w:rPr>
  </w:style>
  <w:style w:type="paragraph" w:customStyle="1" w:styleId="84">
    <w:name w:val="xl151"/>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85">
    <w:name w:val="xl91"/>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86">
    <w:name w:val="xl140"/>
    <w:basedOn w:val="1"/>
    <w:qFormat/>
    <w:uiPriority w:val="0"/>
    <w:pPr>
      <w:widowControl/>
      <w:pBdr>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87">
    <w:name w:val="xl132"/>
    <w:basedOn w:val="1"/>
    <w:qFormat/>
    <w:uiPriority w:val="0"/>
    <w:pPr>
      <w:widowControl/>
      <w:pBdr>
        <w:top w:val="single" w:color="auto" w:sz="4" w:space="0"/>
        <w:left w:val="single" w:color="auto" w:sz="4" w:space="0"/>
        <w:bottom w:val="single" w:color="000000" w:sz="4" w:space="0"/>
        <w:right w:val="single" w:color="auto" w:sz="4" w:space="0"/>
      </w:pBdr>
      <w:spacing w:beforeAutospacing="1" w:afterAutospacing="1"/>
      <w:jc w:val="center"/>
    </w:pPr>
    <w:rPr>
      <w:rFonts w:ascii="宋体" w:hAnsi="宋体" w:cs="宋体"/>
      <w:kern w:val="0"/>
      <w:sz w:val="24"/>
    </w:rPr>
  </w:style>
  <w:style w:type="paragraph" w:customStyle="1" w:styleId="88">
    <w:name w:val="Char Char Char Char Char1 Char"/>
    <w:basedOn w:val="1"/>
    <w:qFormat/>
    <w:uiPriority w:val="0"/>
    <w:rPr>
      <w:rFonts w:ascii="Tahoma" w:hAnsi="Tahoma"/>
      <w:sz w:val="24"/>
      <w:szCs w:val="20"/>
    </w:rPr>
  </w:style>
  <w:style w:type="paragraph" w:customStyle="1" w:styleId="89">
    <w:name w:val="font8"/>
    <w:basedOn w:val="1"/>
    <w:qFormat/>
    <w:uiPriority w:val="0"/>
    <w:pPr>
      <w:widowControl/>
      <w:spacing w:beforeAutospacing="1" w:afterAutospacing="1"/>
      <w:jc w:val="left"/>
    </w:pPr>
    <w:rPr>
      <w:rFonts w:ascii="宋体" w:hAnsi="宋体" w:cs="宋体"/>
      <w:kern w:val="0"/>
      <w:sz w:val="24"/>
    </w:rPr>
  </w:style>
  <w:style w:type="paragraph" w:customStyle="1" w:styleId="90">
    <w:name w:val="xl1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91">
    <w:name w:val="xl150"/>
    <w:basedOn w:val="1"/>
    <w:qFormat/>
    <w:uiPriority w:val="0"/>
    <w:pPr>
      <w:widowControl/>
      <w:pBdr>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92">
    <w:name w:val="xl181"/>
    <w:basedOn w:val="1"/>
    <w:qFormat/>
    <w:uiPriority w:val="0"/>
    <w:pPr>
      <w:widowControl/>
      <w:pBdr>
        <w:top w:val="single" w:color="000000" w:sz="4" w:space="0"/>
        <w:left w:val="single" w:color="000000" w:sz="4" w:space="0"/>
        <w:bottom w:val="single" w:color="000000" w:sz="4" w:space="0"/>
      </w:pBdr>
      <w:spacing w:beforeAutospacing="1" w:afterAutospacing="1"/>
      <w:jc w:val="center"/>
    </w:pPr>
    <w:rPr>
      <w:rFonts w:ascii="宋体" w:hAnsi="宋体" w:cs="宋体"/>
      <w:b/>
      <w:bCs/>
      <w:kern w:val="0"/>
      <w:sz w:val="24"/>
    </w:rPr>
  </w:style>
  <w:style w:type="paragraph" w:customStyle="1" w:styleId="93">
    <w:name w:val="xl130"/>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94">
    <w:name w:val="表格标题"/>
    <w:basedOn w:val="47"/>
    <w:qFormat/>
    <w:uiPriority w:val="0"/>
    <w:pPr>
      <w:jc w:val="center"/>
    </w:pPr>
    <w:rPr>
      <w:rFonts w:ascii="Times New Roman" w:hAnsi="Times New Roman"/>
      <w:b/>
      <w:bCs/>
    </w:rPr>
  </w:style>
  <w:style w:type="paragraph" w:customStyle="1" w:styleId="95">
    <w:name w:val="xl13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b/>
      <w:bCs/>
      <w:kern w:val="0"/>
      <w:sz w:val="24"/>
    </w:rPr>
  </w:style>
  <w:style w:type="paragraph" w:customStyle="1" w:styleId="9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xl75"/>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b/>
      <w:bCs/>
      <w:kern w:val="1"/>
      <w:sz w:val="20"/>
      <w:szCs w:val="20"/>
      <w:lang w:eastAsia="ar-SA"/>
    </w:rPr>
  </w:style>
  <w:style w:type="paragraph" w:customStyle="1" w:styleId="98">
    <w:name w:val="xl159"/>
    <w:basedOn w:val="1"/>
    <w:qFormat/>
    <w:uiPriority w:val="0"/>
    <w:pPr>
      <w:widowControl/>
      <w:pBdr>
        <w:top w:val="single" w:color="auto" w:sz="4" w:space="0"/>
        <w:left w:val="single" w:color="auto" w:sz="4" w:space="0"/>
        <w:bottom w:val="single" w:color="auto" w:sz="4" w:space="0"/>
        <w:right w:val="single" w:color="000000" w:sz="4" w:space="0"/>
      </w:pBdr>
      <w:spacing w:beforeAutospacing="1" w:afterAutospacing="1"/>
      <w:jc w:val="left"/>
    </w:pPr>
    <w:rPr>
      <w:rFonts w:ascii="宋体" w:hAnsi="宋体" w:cs="宋体"/>
      <w:kern w:val="0"/>
      <w:sz w:val="24"/>
    </w:rPr>
  </w:style>
  <w:style w:type="paragraph" w:customStyle="1" w:styleId="99">
    <w:name w:val="xl166"/>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00">
    <w:name w:val="xl164"/>
    <w:basedOn w:val="1"/>
    <w:qFormat/>
    <w:uiPriority w:val="0"/>
    <w:pPr>
      <w:widowControl/>
      <w:pBdr>
        <w:top w:val="single" w:color="auto" w:sz="4" w:space="0"/>
        <w:bottom w:val="single" w:color="auto" w:sz="4" w:space="0"/>
        <w:right w:val="single" w:color="auto" w:sz="4" w:space="0"/>
      </w:pBdr>
      <w:spacing w:beforeAutospacing="1" w:afterAutospacing="1"/>
      <w:jc w:val="center"/>
    </w:pPr>
    <w:rPr>
      <w:color w:val="000000"/>
      <w:kern w:val="0"/>
      <w:sz w:val="24"/>
    </w:rPr>
  </w:style>
  <w:style w:type="paragraph" w:customStyle="1" w:styleId="101">
    <w:name w:val="正文首行缩进两字符"/>
    <w:basedOn w:val="1"/>
    <w:qFormat/>
    <w:uiPriority w:val="0"/>
    <w:pPr>
      <w:suppressAutoHyphens/>
      <w:spacing w:line="360" w:lineRule="auto"/>
      <w:ind w:firstLine="200"/>
    </w:pPr>
    <w:rPr>
      <w:rFonts w:ascii="Calibri" w:hAnsi="Calibri"/>
      <w:kern w:val="1"/>
      <w:szCs w:val="22"/>
      <w:lang w:eastAsia="ar-SA"/>
    </w:rPr>
  </w:style>
  <w:style w:type="paragraph" w:customStyle="1" w:styleId="102">
    <w:name w:val="xl11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03">
    <w:name w:val="xl90"/>
    <w:basedOn w:val="1"/>
    <w:qFormat/>
    <w:uiPriority w:val="0"/>
    <w:pPr>
      <w:widowControl/>
      <w:pBdr>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04">
    <w:name w:val="xl65"/>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05">
    <w:name w:val="xl16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4"/>
    </w:rPr>
  </w:style>
  <w:style w:type="paragraph" w:customStyle="1" w:styleId="106">
    <w:name w:val="xl191"/>
    <w:basedOn w:val="1"/>
    <w:qFormat/>
    <w:uiPriority w:val="0"/>
    <w:pPr>
      <w:widowControl/>
      <w:pBdr>
        <w:top w:val="single" w:color="auto" w:sz="4" w:space="0"/>
        <w:left w:val="single" w:color="auto" w:sz="4" w:space="0"/>
        <w:bottom w:val="single" w:color="auto" w:sz="4" w:space="0"/>
      </w:pBdr>
      <w:spacing w:beforeAutospacing="1" w:afterAutospacing="1"/>
      <w:jc w:val="right"/>
    </w:pPr>
    <w:rPr>
      <w:rFonts w:ascii="宋体" w:hAnsi="宋体" w:cs="宋体"/>
      <w:b/>
      <w:bCs/>
      <w:kern w:val="0"/>
      <w:sz w:val="24"/>
    </w:rPr>
  </w:style>
  <w:style w:type="paragraph" w:customStyle="1" w:styleId="107">
    <w:name w:val="xl12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2"/>
      <w:szCs w:val="22"/>
    </w:rPr>
  </w:style>
  <w:style w:type="paragraph" w:customStyle="1" w:styleId="108">
    <w:name w:val="xl83"/>
    <w:basedOn w:val="1"/>
    <w:qFormat/>
    <w:uiPriority w:val="0"/>
    <w:pPr>
      <w:widowControl/>
      <w:pBdr>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09">
    <w:name w:val="Char Char1 Char Char Char Char Char Char Char Char Char Char Char Char Char Char Char"/>
    <w:basedOn w:val="1"/>
    <w:qFormat/>
    <w:uiPriority w:val="0"/>
    <w:pPr>
      <w:widowControl/>
      <w:spacing w:line="240" w:lineRule="exact"/>
      <w:jc w:val="left"/>
    </w:pPr>
  </w:style>
  <w:style w:type="paragraph" w:customStyle="1" w:styleId="110">
    <w:name w:val="xl71"/>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18"/>
      <w:szCs w:val="18"/>
      <w:lang w:eastAsia="ar-SA"/>
    </w:rPr>
  </w:style>
  <w:style w:type="paragraph" w:customStyle="1" w:styleId="111">
    <w:name w:val="xl72"/>
    <w:basedOn w:val="1"/>
    <w:qFormat/>
    <w:uiPriority w:val="0"/>
    <w:pPr>
      <w:widowControl/>
      <w:pBdr>
        <w:top w:val="single" w:color="000000" w:sz="8" w:space="0"/>
        <w:bottom w:val="single" w:color="000000" w:sz="8" w:space="0"/>
      </w:pBdr>
      <w:suppressAutoHyphens/>
      <w:jc w:val="center"/>
    </w:pPr>
    <w:rPr>
      <w:rFonts w:ascii="宋体" w:hAnsi="宋体" w:cs="宋体"/>
      <w:b/>
      <w:bCs/>
      <w:kern w:val="1"/>
      <w:sz w:val="20"/>
      <w:szCs w:val="20"/>
      <w:lang w:eastAsia="ar-SA"/>
    </w:rPr>
  </w:style>
  <w:style w:type="paragraph" w:customStyle="1" w:styleId="112">
    <w:name w:val="xl69"/>
    <w:basedOn w:val="1"/>
    <w:qFormat/>
    <w:uiPriority w:val="0"/>
    <w:pPr>
      <w:widowControl/>
      <w:pBdr>
        <w:right w:val="single" w:color="000000" w:sz="8" w:space="0"/>
      </w:pBdr>
      <w:suppressAutoHyphens/>
      <w:jc w:val="left"/>
    </w:pPr>
    <w:rPr>
      <w:rFonts w:ascii="宋体" w:hAnsi="宋体" w:cs="宋体"/>
      <w:kern w:val="1"/>
      <w:sz w:val="24"/>
      <w:lang w:eastAsia="ar-SA"/>
    </w:rPr>
  </w:style>
  <w:style w:type="paragraph" w:customStyle="1" w:styleId="113">
    <w:name w:val="xl10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仿宋_GB2312" w:hAnsi="宋体" w:eastAsia="仿宋_GB2312" w:cs="宋体"/>
      <w:kern w:val="0"/>
      <w:sz w:val="18"/>
      <w:szCs w:val="18"/>
    </w:rPr>
  </w:style>
  <w:style w:type="paragraph" w:customStyle="1" w:styleId="114">
    <w:name w:val="xl129"/>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宋体" w:hAnsi="宋体" w:cs="宋体"/>
      <w:kern w:val="0"/>
      <w:sz w:val="24"/>
    </w:rPr>
  </w:style>
  <w:style w:type="paragraph" w:customStyle="1" w:styleId="115">
    <w:name w:val="xl135"/>
    <w:basedOn w:val="1"/>
    <w:qFormat/>
    <w:uiPriority w:val="0"/>
    <w:pPr>
      <w:widowControl/>
      <w:pBdr>
        <w:top w:val="single" w:color="auto" w:sz="4" w:space="0"/>
        <w:bottom w:val="single" w:color="auto" w:sz="4" w:space="0"/>
      </w:pBdr>
      <w:spacing w:beforeAutospacing="1" w:afterAutospacing="1"/>
      <w:jc w:val="left"/>
    </w:pPr>
    <w:rPr>
      <w:rFonts w:ascii="宋体" w:hAnsi="宋体" w:cs="宋体"/>
      <w:kern w:val="0"/>
      <w:sz w:val="24"/>
    </w:rPr>
  </w:style>
  <w:style w:type="paragraph" w:customStyle="1" w:styleId="116">
    <w:name w:val="xl172"/>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117">
    <w:name w:val="xl16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18">
    <w:name w:val="xl182"/>
    <w:basedOn w:val="1"/>
    <w:qFormat/>
    <w:uiPriority w:val="0"/>
    <w:pPr>
      <w:widowControl/>
      <w:pBdr>
        <w:top w:val="single" w:color="000000" w:sz="4" w:space="0"/>
        <w:bottom w:val="single" w:color="000000" w:sz="4" w:space="0"/>
      </w:pBdr>
      <w:spacing w:beforeAutospacing="1" w:afterAutospacing="1"/>
      <w:jc w:val="center"/>
    </w:pPr>
    <w:rPr>
      <w:rFonts w:ascii="宋体" w:hAnsi="宋体" w:cs="宋体"/>
      <w:b/>
      <w:bCs/>
      <w:kern w:val="0"/>
      <w:sz w:val="24"/>
    </w:rPr>
  </w:style>
  <w:style w:type="paragraph" w:customStyle="1" w:styleId="119">
    <w:name w:val="xl141"/>
    <w:basedOn w:val="1"/>
    <w:qFormat/>
    <w:uiPriority w:val="0"/>
    <w:pPr>
      <w:widowControl/>
      <w:pBdr>
        <w:left w:val="single" w:color="000000" w:sz="4" w:space="0"/>
        <w:bottom w:val="single" w:color="000000" w:sz="4" w:space="0"/>
        <w:right w:val="single" w:color="auto" w:sz="4" w:space="0"/>
      </w:pBdr>
      <w:spacing w:beforeAutospacing="1" w:afterAutospacing="1"/>
      <w:jc w:val="center"/>
    </w:pPr>
    <w:rPr>
      <w:rFonts w:ascii="宋体" w:hAnsi="宋体" w:cs="宋体"/>
      <w:kern w:val="0"/>
      <w:sz w:val="24"/>
    </w:rPr>
  </w:style>
  <w:style w:type="paragraph" w:customStyle="1" w:styleId="120">
    <w:name w:val="xl115"/>
    <w:basedOn w:val="1"/>
    <w:qFormat/>
    <w:uiPriority w:val="0"/>
    <w:pPr>
      <w:widowControl/>
      <w:pBdr>
        <w:top w:val="single" w:color="auto" w:sz="4" w:space="0"/>
        <w:bottom w:val="single" w:color="auto" w:sz="4" w:space="0"/>
        <w:right w:val="single" w:color="auto" w:sz="4" w:space="0"/>
      </w:pBdr>
      <w:spacing w:beforeAutospacing="1" w:afterAutospacing="1"/>
      <w:jc w:val="right"/>
    </w:pPr>
    <w:rPr>
      <w:rFonts w:ascii="宋体" w:hAnsi="宋体" w:cs="宋体"/>
      <w:b/>
      <w:bCs/>
      <w:kern w:val="0"/>
      <w:sz w:val="24"/>
    </w:rPr>
  </w:style>
  <w:style w:type="paragraph" w:customStyle="1" w:styleId="121">
    <w:name w:val="框内容"/>
    <w:basedOn w:val="10"/>
    <w:qFormat/>
    <w:uiPriority w:val="0"/>
    <w:pPr>
      <w:suppressAutoHyphens/>
    </w:pPr>
    <w:rPr>
      <w:rFonts w:ascii="Calibri" w:hAnsi="Calibri"/>
      <w:kern w:val="1"/>
      <w:szCs w:val="22"/>
      <w:lang w:eastAsia="ar-SA"/>
    </w:rPr>
  </w:style>
  <w:style w:type="paragraph" w:customStyle="1" w:styleId="122">
    <w:name w:val="xl9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23">
    <w:name w:val="xl144"/>
    <w:basedOn w:val="1"/>
    <w:qFormat/>
    <w:uiPriority w:val="0"/>
    <w:pPr>
      <w:widowControl/>
      <w:pBdr>
        <w:top w:val="single" w:color="000000" w:sz="4" w:space="0"/>
        <w:left w:val="single" w:color="auto" w:sz="4" w:space="0"/>
        <w:right w:val="single" w:color="auto" w:sz="4" w:space="0"/>
      </w:pBdr>
      <w:spacing w:beforeAutospacing="1" w:afterAutospacing="1"/>
      <w:jc w:val="left"/>
    </w:pPr>
    <w:rPr>
      <w:rFonts w:ascii="宋体" w:hAnsi="宋体" w:cs="宋体"/>
      <w:kern w:val="0"/>
      <w:sz w:val="24"/>
    </w:rPr>
  </w:style>
  <w:style w:type="paragraph" w:customStyle="1" w:styleId="124">
    <w:name w:val="xl109"/>
    <w:basedOn w:val="1"/>
    <w:qFormat/>
    <w:uiPriority w:val="0"/>
    <w:pPr>
      <w:widowControl/>
      <w:spacing w:beforeAutospacing="1" w:afterAutospacing="1"/>
      <w:jc w:val="left"/>
    </w:pPr>
    <w:rPr>
      <w:rFonts w:ascii="仿宋_GB2312" w:hAnsi="宋体" w:eastAsia="仿宋_GB2312" w:cs="宋体"/>
      <w:kern w:val="0"/>
      <w:sz w:val="18"/>
      <w:szCs w:val="18"/>
    </w:rPr>
  </w:style>
  <w:style w:type="paragraph" w:customStyle="1" w:styleId="125">
    <w:name w:val="xl70"/>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26">
    <w:name w:val="xl11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hAnsi="宋体" w:eastAsia="仿宋_GB2312" w:cs="宋体"/>
      <w:b/>
      <w:bCs/>
      <w:kern w:val="0"/>
      <w:sz w:val="24"/>
    </w:rPr>
  </w:style>
  <w:style w:type="paragraph" w:customStyle="1" w:styleId="127">
    <w:name w:val="xl11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28">
    <w:name w:val="xl148"/>
    <w:basedOn w:val="1"/>
    <w:qFormat/>
    <w:uiPriority w:val="0"/>
    <w:pPr>
      <w:widowControl/>
      <w:pBdr>
        <w:top w:val="single" w:color="000000" w:sz="4" w:space="0"/>
        <w:right w:val="single" w:color="000000" w:sz="4" w:space="0"/>
      </w:pBdr>
      <w:spacing w:beforeAutospacing="1" w:afterAutospacing="1"/>
      <w:jc w:val="center"/>
    </w:pPr>
    <w:rPr>
      <w:rFonts w:ascii="宋体" w:hAnsi="宋体" w:cs="宋体"/>
      <w:kern w:val="0"/>
      <w:sz w:val="24"/>
    </w:rPr>
  </w:style>
  <w:style w:type="paragraph" w:customStyle="1" w:styleId="129">
    <w:name w:val="xl87"/>
    <w:basedOn w:val="1"/>
    <w:qFormat/>
    <w:uiPriority w:val="0"/>
    <w:pPr>
      <w:widowControl/>
      <w:pBdr>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130">
    <w:name w:val="xl9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31">
    <w:name w:val="Char1 Char Char Char"/>
    <w:basedOn w:val="1"/>
    <w:qFormat/>
    <w:uiPriority w:val="0"/>
    <w:rPr>
      <w:rFonts w:ascii="Tahoma" w:hAnsi="Tahoma"/>
      <w:sz w:val="30"/>
      <w:szCs w:val="30"/>
    </w:rPr>
  </w:style>
  <w:style w:type="paragraph" w:customStyle="1" w:styleId="132">
    <w:name w:val="xl147"/>
    <w:basedOn w:val="1"/>
    <w:qFormat/>
    <w:uiPriority w:val="0"/>
    <w:pPr>
      <w:widowControl/>
      <w:pBdr>
        <w:top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33">
    <w:name w:val="xl122"/>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3"/>
      <w:szCs w:val="23"/>
    </w:rPr>
  </w:style>
  <w:style w:type="paragraph" w:customStyle="1" w:styleId="134">
    <w:name w:val="font5"/>
    <w:basedOn w:val="1"/>
    <w:qFormat/>
    <w:uiPriority w:val="0"/>
    <w:pPr>
      <w:widowControl/>
      <w:suppressAutoHyphens/>
      <w:jc w:val="left"/>
    </w:pPr>
    <w:rPr>
      <w:rFonts w:ascii="宋体" w:hAnsi="宋体" w:cs="宋体"/>
      <w:kern w:val="1"/>
      <w:sz w:val="18"/>
      <w:szCs w:val="18"/>
      <w:lang w:eastAsia="ar-SA"/>
    </w:rPr>
  </w:style>
  <w:style w:type="paragraph" w:styleId="135">
    <w:name w:val="List Paragraph"/>
    <w:basedOn w:val="1"/>
    <w:qFormat/>
    <w:uiPriority w:val="34"/>
    <w:pPr>
      <w:ind w:firstLine="420" w:firstLineChars="200"/>
    </w:pPr>
    <w:rPr>
      <w:rFonts w:ascii="Calibri" w:hAnsi="Calibri"/>
      <w:szCs w:val="22"/>
    </w:rPr>
  </w:style>
  <w:style w:type="paragraph" w:customStyle="1" w:styleId="136">
    <w:name w:val="xl12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rFonts w:ascii="宋体" w:hAnsi="宋体" w:cs="宋体"/>
      <w:kern w:val="0"/>
      <w:sz w:val="24"/>
    </w:rPr>
  </w:style>
  <w:style w:type="paragraph" w:customStyle="1" w:styleId="137">
    <w:name w:val="xl10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hAnsi="宋体" w:eastAsia="仿宋_GB2312" w:cs="宋体"/>
      <w:kern w:val="0"/>
      <w:sz w:val="18"/>
      <w:szCs w:val="18"/>
    </w:rPr>
  </w:style>
  <w:style w:type="paragraph" w:customStyle="1" w:styleId="138">
    <w:name w:val="目录"/>
    <w:basedOn w:val="1"/>
    <w:qFormat/>
    <w:uiPriority w:val="0"/>
    <w:pPr>
      <w:suppressLineNumbers/>
      <w:suppressAutoHyphens/>
    </w:pPr>
    <w:rPr>
      <w:rFonts w:ascii="Calibri" w:hAnsi="Calibri" w:cs="Arial"/>
      <w:kern w:val="1"/>
      <w:szCs w:val="22"/>
      <w:lang w:eastAsia="ar-SA"/>
    </w:rPr>
  </w:style>
  <w:style w:type="paragraph" w:customStyle="1" w:styleId="139">
    <w:name w:val="Char"/>
    <w:basedOn w:val="1"/>
    <w:qFormat/>
    <w:uiPriority w:val="0"/>
    <w:pPr>
      <w:suppressAutoHyphens/>
    </w:pPr>
    <w:rPr>
      <w:rFonts w:ascii="Tahoma" w:hAnsi="Tahoma"/>
      <w:kern w:val="1"/>
      <w:sz w:val="24"/>
      <w:szCs w:val="20"/>
      <w:lang w:eastAsia="ar-SA"/>
    </w:rPr>
  </w:style>
  <w:style w:type="paragraph" w:customStyle="1" w:styleId="140">
    <w:name w:val="xl10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仿宋_GB2312" w:hAnsi="宋体" w:eastAsia="仿宋_GB2312" w:cs="宋体"/>
      <w:kern w:val="0"/>
      <w:sz w:val="20"/>
      <w:szCs w:val="20"/>
    </w:rPr>
  </w:style>
  <w:style w:type="paragraph" w:customStyle="1" w:styleId="141">
    <w:name w:val="xl17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42">
    <w:name w:val="xl17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43">
    <w:name w:val="xl67"/>
    <w:basedOn w:val="1"/>
    <w:qFormat/>
    <w:uiPriority w:val="0"/>
    <w:pPr>
      <w:widowControl/>
      <w:pBdr>
        <w:right w:val="single" w:color="000000" w:sz="8" w:space="0"/>
      </w:pBdr>
      <w:suppressAutoHyphens/>
      <w:jc w:val="center"/>
    </w:pPr>
    <w:rPr>
      <w:rFonts w:ascii="宋体" w:hAnsi="宋体" w:cs="宋体"/>
      <w:kern w:val="1"/>
      <w:sz w:val="20"/>
      <w:szCs w:val="20"/>
      <w:lang w:eastAsia="ar-SA"/>
    </w:rPr>
  </w:style>
  <w:style w:type="paragraph" w:customStyle="1" w:styleId="144">
    <w:name w:val="xl12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45">
    <w:name w:val="xl175"/>
    <w:basedOn w:val="1"/>
    <w:qFormat/>
    <w:uiPriority w:val="0"/>
    <w:pPr>
      <w:widowControl/>
      <w:pBdr>
        <w:top w:val="single" w:color="auto" w:sz="4" w:space="0"/>
        <w:left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146">
    <w:name w:val="xl19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47">
    <w:name w:val="xl143"/>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宋体" w:hAnsi="宋体" w:cs="宋体"/>
      <w:kern w:val="0"/>
      <w:sz w:val="24"/>
    </w:rPr>
  </w:style>
  <w:style w:type="paragraph" w:customStyle="1" w:styleId="148">
    <w:name w:val="xl11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49">
    <w:name w:val="xl17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150">
    <w:name w:val="xl180"/>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51">
    <w:name w:val="xl11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52">
    <w:name w:val="xl187"/>
    <w:basedOn w:val="1"/>
    <w:qFormat/>
    <w:uiPriority w:val="0"/>
    <w:pPr>
      <w:widowControl/>
      <w:pBdr>
        <w:top w:val="single" w:color="auto" w:sz="4" w:space="0"/>
      </w:pBdr>
      <w:spacing w:beforeAutospacing="1" w:afterAutospacing="1"/>
      <w:jc w:val="center"/>
    </w:pPr>
    <w:rPr>
      <w:rFonts w:ascii="宋体" w:hAnsi="宋体" w:cs="宋体"/>
      <w:kern w:val="0"/>
      <w:sz w:val="24"/>
    </w:rPr>
  </w:style>
  <w:style w:type="paragraph" w:customStyle="1" w:styleId="153">
    <w:name w:val="xl186"/>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54">
    <w:name w:val="xl162"/>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155">
    <w:name w:val="xl66"/>
    <w:basedOn w:val="1"/>
    <w:qFormat/>
    <w:uiPriority w:val="0"/>
    <w:pPr>
      <w:widowControl/>
      <w:pBdr>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56">
    <w:name w:val="xl12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0"/>
      <w:szCs w:val="20"/>
    </w:rPr>
  </w:style>
  <w:style w:type="paragraph" w:customStyle="1" w:styleId="157">
    <w:name w:val="xl10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58">
    <w:name w:val="xl10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hAnsi="宋体" w:eastAsia="仿宋_GB2312" w:cs="宋体"/>
      <w:kern w:val="0"/>
      <w:sz w:val="24"/>
    </w:rPr>
  </w:style>
  <w:style w:type="paragraph" w:customStyle="1" w:styleId="159">
    <w:name w:val="xl168"/>
    <w:basedOn w:val="1"/>
    <w:qFormat/>
    <w:uiPriority w:val="0"/>
    <w:pPr>
      <w:widowControl/>
      <w:spacing w:beforeAutospacing="1" w:afterAutospacing="1"/>
      <w:jc w:val="left"/>
    </w:pPr>
    <w:rPr>
      <w:rFonts w:ascii="宋体" w:hAnsi="宋体" w:cs="宋体"/>
      <w:b/>
      <w:bCs/>
      <w:kern w:val="0"/>
      <w:sz w:val="24"/>
    </w:rPr>
  </w:style>
  <w:style w:type="paragraph" w:customStyle="1" w:styleId="160">
    <w:name w:val="xl123"/>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1">
    <w:name w:val="xl138"/>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2">
    <w:name w:val="xl12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63">
    <w:name w:val="xl114"/>
    <w:basedOn w:val="1"/>
    <w:qFormat/>
    <w:uiPriority w:val="0"/>
    <w:pPr>
      <w:widowControl/>
      <w:pBdr>
        <w:top w:val="single" w:color="auto" w:sz="4" w:space="0"/>
        <w:left w:val="single" w:color="auto" w:sz="4" w:space="0"/>
        <w:bottom w:val="single" w:color="auto" w:sz="4" w:space="0"/>
      </w:pBdr>
      <w:spacing w:beforeAutospacing="1" w:afterAutospacing="1"/>
      <w:jc w:val="left"/>
    </w:pPr>
    <w:rPr>
      <w:rFonts w:ascii="宋体" w:hAnsi="宋体" w:cs="宋体"/>
      <w:b/>
      <w:bCs/>
      <w:kern w:val="0"/>
      <w:sz w:val="24"/>
    </w:rPr>
  </w:style>
  <w:style w:type="paragraph" w:customStyle="1" w:styleId="164">
    <w:name w:val="xl192"/>
    <w:basedOn w:val="1"/>
    <w:qFormat/>
    <w:uiPriority w:val="0"/>
    <w:pPr>
      <w:widowControl/>
      <w:pBdr>
        <w:top w:val="single" w:color="auto" w:sz="4" w:space="0"/>
        <w:bottom w:val="single" w:color="auto" w:sz="4" w:space="0"/>
      </w:pBdr>
      <w:spacing w:beforeAutospacing="1" w:afterAutospacing="1"/>
      <w:jc w:val="right"/>
    </w:pPr>
    <w:rPr>
      <w:rFonts w:ascii="宋体" w:hAnsi="宋体" w:cs="宋体"/>
      <w:b/>
      <w:bCs/>
      <w:kern w:val="0"/>
      <w:sz w:val="24"/>
    </w:rPr>
  </w:style>
  <w:style w:type="paragraph" w:customStyle="1" w:styleId="165">
    <w:name w:val="xl13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6">
    <w:name w:val="xl152"/>
    <w:basedOn w:val="1"/>
    <w:qFormat/>
    <w:uiPriority w:val="0"/>
    <w:pPr>
      <w:widowControl/>
      <w:pBdr>
        <w:top w:val="single" w:color="000000" w:sz="4" w:space="0"/>
        <w:left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7">
    <w:name w:val="font1"/>
    <w:basedOn w:val="1"/>
    <w:qFormat/>
    <w:uiPriority w:val="0"/>
    <w:pPr>
      <w:widowControl/>
      <w:spacing w:beforeAutospacing="1" w:afterAutospacing="1"/>
      <w:jc w:val="left"/>
    </w:pPr>
    <w:rPr>
      <w:rFonts w:ascii="宋体" w:hAnsi="宋体" w:cs="宋体"/>
      <w:kern w:val="0"/>
      <w:sz w:val="24"/>
    </w:rPr>
  </w:style>
  <w:style w:type="paragraph" w:customStyle="1" w:styleId="168">
    <w:name w:val="xl185"/>
    <w:basedOn w:val="1"/>
    <w:qFormat/>
    <w:uiPriority w:val="0"/>
    <w:pPr>
      <w:widowControl/>
      <w:pBdr>
        <w:top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169">
    <w:name w:val="_Style 163"/>
    <w:qFormat/>
    <w:uiPriority w:val="0"/>
    <w:rPr>
      <w:rFonts w:ascii="Times New Roman" w:hAnsi="Times New Roman" w:eastAsia="宋体" w:cs="Times New Roman"/>
      <w:kern w:val="2"/>
      <w:sz w:val="21"/>
      <w:szCs w:val="24"/>
      <w:lang w:val="en-US" w:eastAsia="zh-CN" w:bidi="ar-SA"/>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kern w:val="0"/>
      <w:sz w:val="24"/>
    </w:rPr>
  </w:style>
  <w:style w:type="paragraph" w:customStyle="1" w:styleId="171">
    <w:name w:val="xl88"/>
    <w:basedOn w:val="1"/>
    <w:qFormat/>
    <w:uiPriority w:val="0"/>
    <w:pPr>
      <w:widowControl/>
      <w:pBdr>
        <w:top w:val="single" w:color="000000" w:sz="8" w:space="0"/>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72">
    <w:name w:val="xl82"/>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73">
    <w:name w:val="font0"/>
    <w:basedOn w:val="1"/>
    <w:qFormat/>
    <w:uiPriority w:val="0"/>
    <w:pPr>
      <w:widowControl/>
      <w:spacing w:beforeAutospacing="1" w:afterAutospacing="1"/>
      <w:jc w:val="left"/>
    </w:pPr>
    <w:rPr>
      <w:rFonts w:ascii="宋体" w:hAnsi="宋体" w:cs="宋体"/>
      <w:kern w:val="0"/>
      <w:sz w:val="24"/>
    </w:rPr>
  </w:style>
  <w:style w:type="paragraph" w:customStyle="1" w:styleId="174">
    <w:name w:val="xl12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kern w:val="0"/>
      <w:sz w:val="24"/>
    </w:rPr>
  </w:style>
  <w:style w:type="paragraph" w:customStyle="1" w:styleId="175">
    <w:name w:val="xl81"/>
    <w:basedOn w:val="1"/>
    <w:qFormat/>
    <w:uiPriority w:val="0"/>
    <w:pPr>
      <w:widowControl/>
      <w:pBdr>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76">
    <w:name w:val="xl16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77">
    <w:name w:val="xl139"/>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78">
    <w:name w:val="font7"/>
    <w:basedOn w:val="1"/>
    <w:qFormat/>
    <w:uiPriority w:val="0"/>
    <w:pPr>
      <w:widowControl/>
      <w:spacing w:beforeAutospacing="1" w:afterAutospacing="1"/>
      <w:jc w:val="left"/>
    </w:pPr>
    <w:rPr>
      <w:rFonts w:ascii="宋体" w:hAnsi="宋体" w:cs="宋体"/>
      <w:kern w:val="0"/>
      <w:sz w:val="18"/>
      <w:szCs w:val="18"/>
    </w:rPr>
  </w:style>
  <w:style w:type="paragraph" w:customStyle="1" w:styleId="179">
    <w:name w:val="xl11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rFonts w:ascii="宋体" w:hAnsi="宋体" w:cs="宋体"/>
      <w:b/>
      <w:bCs/>
      <w:kern w:val="0"/>
      <w:sz w:val="24"/>
    </w:rPr>
  </w:style>
  <w:style w:type="paragraph" w:customStyle="1" w:styleId="180">
    <w:name w:val="xl188"/>
    <w:basedOn w:val="1"/>
    <w:qFormat/>
    <w:uiPriority w:val="0"/>
    <w:pPr>
      <w:widowControl/>
      <w:spacing w:beforeAutospacing="1" w:afterAutospacing="1"/>
      <w:jc w:val="center"/>
    </w:pPr>
    <w:rPr>
      <w:rFonts w:ascii="宋体" w:hAnsi="宋体" w:cs="宋体"/>
      <w:b/>
      <w:bCs/>
      <w:kern w:val="0"/>
      <w:sz w:val="36"/>
      <w:szCs w:val="36"/>
    </w:rPr>
  </w:style>
  <w:style w:type="paragraph" w:customStyle="1" w:styleId="181">
    <w:name w:val="xl10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82">
    <w:name w:val="xl10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kern w:val="0"/>
      <w:sz w:val="24"/>
    </w:rPr>
  </w:style>
  <w:style w:type="paragraph" w:customStyle="1" w:styleId="183">
    <w:name w:val="xl16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84">
    <w:name w:val="pa-8"/>
    <w:basedOn w:val="1"/>
    <w:qFormat/>
    <w:uiPriority w:val="0"/>
    <w:pPr>
      <w:widowControl/>
      <w:jc w:val="left"/>
    </w:pPr>
    <w:rPr>
      <w:rFonts w:ascii="宋体" w:hAnsi="宋体" w:cs="宋体"/>
      <w:kern w:val="0"/>
      <w:sz w:val="24"/>
    </w:rPr>
  </w:style>
  <w:style w:type="paragraph" w:customStyle="1" w:styleId="185">
    <w:name w:val="xl63"/>
    <w:basedOn w:val="1"/>
    <w:qFormat/>
    <w:uiPriority w:val="0"/>
    <w:pPr>
      <w:widowControl/>
      <w:pBdr>
        <w:top w:val="single" w:color="000000" w:sz="8" w:space="0"/>
        <w:left w:val="single" w:color="000000" w:sz="8" w:space="0"/>
        <w:bottom w:val="single" w:color="000000" w:sz="8" w:space="0"/>
        <w:right w:val="single" w:color="000000" w:sz="8" w:space="0"/>
      </w:pBdr>
      <w:suppressAutoHyphens/>
      <w:jc w:val="center"/>
    </w:pPr>
    <w:rPr>
      <w:rFonts w:ascii="宋体" w:hAnsi="宋体" w:cs="宋体"/>
      <w:b/>
      <w:bCs/>
      <w:kern w:val="1"/>
      <w:sz w:val="20"/>
      <w:szCs w:val="20"/>
      <w:lang w:eastAsia="ar-SA"/>
    </w:rPr>
  </w:style>
  <w:style w:type="paragraph" w:customStyle="1" w:styleId="186">
    <w:name w:val="xl136"/>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b/>
      <w:bCs/>
      <w:kern w:val="0"/>
      <w:sz w:val="24"/>
    </w:rPr>
  </w:style>
  <w:style w:type="paragraph" w:customStyle="1" w:styleId="187">
    <w:name w:val="xl99"/>
    <w:basedOn w:val="1"/>
    <w:qFormat/>
    <w:uiPriority w:val="0"/>
    <w:pPr>
      <w:widowControl/>
      <w:spacing w:beforeAutospacing="1" w:afterAutospacing="1"/>
      <w:jc w:val="center"/>
    </w:pPr>
    <w:rPr>
      <w:rFonts w:ascii="宋体" w:hAnsi="宋体" w:cs="宋体"/>
      <w:kern w:val="0"/>
      <w:sz w:val="24"/>
    </w:rPr>
  </w:style>
  <w:style w:type="paragraph" w:customStyle="1" w:styleId="188">
    <w:name w:val="font9"/>
    <w:basedOn w:val="1"/>
    <w:qFormat/>
    <w:uiPriority w:val="0"/>
    <w:pPr>
      <w:widowControl/>
      <w:spacing w:beforeAutospacing="1" w:afterAutospacing="1"/>
      <w:jc w:val="left"/>
    </w:pPr>
    <w:rPr>
      <w:rFonts w:ascii="宋体" w:hAnsi="宋体" w:cs="宋体"/>
      <w:kern w:val="0"/>
      <w:sz w:val="24"/>
    </w:rPr>
  </w:style>
  <w:style w:type="paragraph" w:customStyle="1" w:styleId="189">
    <w:name w:val="xl142"/>
    <w:basedOn w:val="1"/>
    <w:qFormat/>
    <w:uiPriority w:val="0"/>
    <w:pPr>
      <w:widowControl/>
      <w:pBdr>
        <w:left w:val="single" w:color="auto" w:sz="4" w:space="0"/>
        <w:bottom w:val="single" w:color="000000" w:sz="4" w:space="0"/>
        <w:right w:val="single" w:color="auto" w:sz="4" w:space="0"/>
      </w:pBdr>
      <w:spacing w:beforeAutospacing="1" w:afterAutospacing="1"/>
      <w:jc w:val="left"/>
    </w:pPr>
    <w:rPr>
      <w:rFonts w:ascii="宋体" w:hAnsi="宋体" w:cs="宋体"/>
      <w:kern w:val="0"/>
      <w:sz w:val="24"/>
    </w:rPr>
  </w:style>
  <w:style w:type="paragraph" w:customStyle="1" w:styleId="190">
    <w:name w:val="xl86"/>
    <w:basedOn w:val="1"/>
    <w:qFormat/>
    <w:uiPriority w:val="0"/>
    <w:pPr>
      <w:widowControl/>
      <w:pBdr>
        <w:left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191">
    <w:name w:val="xl80"/>
    <w:basedOn w:val="1"/>
    <w:qFormat/>
    <w:uiPriority w:val="0"/>
    <w:pPr>
      <w:widowControl/>
      <w:pBdr>
        <w:top w:val="single" w:color="000000" w:sz="4" w:space="0"/>
        <w:left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192">
    <w:name w:val="Char Char Char Char Char1 Char1"/>
    <w:basedOn w:val="1"/>
    <w:qFormat/>
    <w:uiPriority w:val="0"/>
    <w:pPr>
      <w:suppressAutoHyphens/>
    </w:pPr>
    <w:rPr>
      <w:rFonts w:ascii="Tahoma" w:hAnsi="Tahoma"/>
      <w:kern w:val="1"/>
      <w:sz w:val="24"/>
      <w:szCs w:val="20"/>
      <w:lang w:eastAsia="ar-SA"/>
    </w:rPr>
  </w:style>
  <w:style w:type="character" w:customStyle="1" w:styleId="193">
    <w:name w:val="标题 1 Char1"/>
    <w:link w:val="3"/>
    <w:qFormat/>
    <w:uiPriority w:val="0"/>
    <w:rPr>
      <w:rFonts w:ascii="Times New Roman" w:hAnsi="Times New Roman" w:eastAsia="宋体" w:cs="Times New Roman"/>
      <w:kern w:val="2"/>
      <w:sz w:val="28"/>
      <w:szCs w:val="24"/>
      <w:lang w:val="en-US" w:eastAsia="zh-CN" w:bidi="ar-SA"/>
    </w:rPr>
  </w:style>
  <w:style w:type="character" w:customStyle="1" w:styleId="194">
    <w:name w:val="标题 2 Char2"/>
    <w:link w:val="4"/>
    <w:qFormat/>
    <w:uiPriority w:val="0"/>
    <w:rPr>
      <w:rFonts w:ascii="宋体" w:hAnsi="宋体" w:eastAsia="黑体" w:cs="Times New Roman"/>
      <w:bCs/>
      <w:color w:val="000000"/>
      <w:kern w:val="2"/>
      <w:sz w:val="32"/>
      <w:szCs w:val="32"/>
      <w:lang w:val="en-US" w:eastAsia="zh-CN" w:bidi="ar-SA"/>
    </w:rPr>
  </w:style>
  <w:style w:type="character" w:customStyle="1" w:styleId="195">
    <w:name w:val="标题 7 Char"/>
    <w:link w:val="6"/>
    <w:qFormat/>
    <w:uiPriority w:val="0"/>
    <w:rPr>
      <w:rFonts w:ascii="Times New Roman" w:hAnsi="Times New Roman" w:eastAsia="宋体" w:cs="Times New Roman"/>
      <w:b/>
      <w:bCs/>
      <w:kern w:val="2"/>
      <w:sz w:val="24"/>
      <w:szCs w:val="24"/>
      <w:lang w:val="en-US" w:eastAsia="zh-CN" w:bidi="ar-SA"/>
    </w:rPr>
  </w:style>
  <w:style w:type="character" w:customStyle="1" w:styleId="196">
    <w:name w:val="正文文本缩进 2 Char1"/>
    <w:link w:val="15"/>
    <w:qFormat/>
    <w:uiPriority w:val="0"/>
    <w:rPr>
      <w:rFonts w:ascii="仿宋_GB2312" w:hAnsi="Times New Roman" w:eastAsia="仿宋_GB2312" w:cs="Times New Roman"/>
      <w:sz w:val="32"/>
      <w:lang w:val="en-US" w:eastAsia="zh-CN" w:bidi="ar-SA"/>
    </w:rPr>
  </w:style>
  <w:style w:type="character" w:customStyle="1" w:styleId="197">
    <w:name w:val="Char Char9"/>
    <w:qFormat/>
    <w:uiPriority w:val="0"/>
    <w:rPr>
      <w:rFonts w:ascii="Times New Roman" w:hAnsi="Times New Roman" w:eastAsia="黑体" w:cs="Times New Roman"/>
      <w:kern w:val="1"/>
      <w:sz w:val="44"/>
      <w:lang w:val="en-US" w:eastAsia="ar-SA" w:bidi="ar-SA"/>
    </w:rPr>
  </w:style>
  <w:style w:type="character" w:customStyle="1" w:styleId="198">
    <w:name w:val="标题 1 Char"/>
    <w:qFormat/>
    <w:uiPriority w:val="0"/>
    <w:rPr>
      <w:rFonts w:ascii="Times New Roman" w:hAnsi="Times New Roman" w:eastAsia="黑体" w:cs="Times New Roman"/>
      <w:sz w:val="44"/>
      <w:szCs w:val="20"/>
    </w:rPr>
  </w:style>
  <w:style w:type="character" w:customStyle="1" w:styleId="199">
    <w:name w:val="标题 2 Char"/>
    <w:qFormat/>
    <w:uiPriority w:val="0"/>
    <w:rPr>
      <w:rFonts w:ascii="宋体" w:hAnsi="宋体" w:eastAsia="黑体" w:cs="宋体"/>
      <w:bCs/>
      <w:color w:val="000000"/>
      <w:sz w:val="32"/>
      <w:szCs w:val="32"/>
    </w:rPr>
  </w:style>
  <w:style w:type="character" w:customStyle="1" w:styleId="200">
    <w:name w:val="正文文本缩进 Char1"/>
    <w:link w:val="11"/>
    <w:qFormat/>
    <w:uiPriority w:val="0"/>
    <w:rPr>
      <w:rFonts w:ascii="仿宋_GB2312" w:hAnsi="Times New Roman" w:eastAsia="仿宋_GB2312" w:cs="Times New Roman"/>
      <w:sz w:val="30"/>
      <w:lang w:val="en-US" w:eastAsia="zh-CN" w:bidi="ar-SA"/>
    </w:rPr>
  </w:style>
  <w:style w:type="character" w:customStyle="1" w:styleId="201">
    <w:name w:val="页脚 Char"/>
    <w:qFormat/>
    <w:uiPriority w:val="0"/>
    <w:rPr>
      <w:rFonts w:ascii="Times New Roman" w:hAnsi="Times New Roman" w:eastAsia="宋体" w:cs="Times New Roman"/>
      <w:sz w:val="18"/>
      <w:szCs w:val="18"/>
    </w:rPr>
  </w:style>
  <w:style w:type="character" w:customStyle="1" w:styleId="202">
    <w:name w:val="Char Char7"/>
    <w:qFormat/>
    <w:uiPriority w:val="0"/>
    <w:rPr>
      <w:rFonts w:ascii="Times New Roman" w:hAnsi="Times New Roman" w:eastAsia="宋体" w:cs="Times New Roman"/>
      <w:kern w:val="1"/>
      <w:sz w:val="18"/>
      <w:szCs w:val="18"/>
      <w:lang w:val="en-US" w:eastAsia="ar-SA" w:bidi="ar-SA"/>
    </w:rPr>
  </w:style>
  <w:style w:type="character" w:customStyle="1" w:styleId="203">
    <w:name w:val="正文首行缩进两字符 Char"/>
    <w:qFormat/>
    <w:uiPriority w:val="0"/>
    <w:rPr>
      <w:rFonts w:ascii="Times New Roman" w:hAnsi="Times New Roman" w:eastAsia="宋体" w:cs="Times New Roman"/>
    </w:rPr>
  </w:style>
  <w:style w:type="character" w:customStyle="1" w:styleId="204">
    <w:name w:val="样式2 Char"/>
    <w:qFormat/>
    <w:uiPriority w:val="0"/>
    <w:rPr>
      <w:rFonts w:ascii="宋体" w:hAnsi="宋体" w:eastAsia="宋体" w:cs="Times New Roman"/>
      <w:sz w:val="18"/>
      <w:szCs w:val="18"/>
      <w:lang w:bidi="ar-SA"/>
    </w:rPr>
  </w:style>
  <w:style w:type="character" w:customStyle="1" w:styleId="205">
    <w:name w:val="标题 2 Char1"/>
    <w:qFormat/>
    <w:uiPriority w:val="0"/>
    <w:rPr>
      <w:rFonts w:ascii="宋体" w:hAnsi="宋体" w:eastAsia="宋体" w:cs="宋体"/>
      <w:kern w:val="1"/>
      <w:sz w:val="28"/>
      <w:lang w:val="en-US" w:eastAsia="ar-SA" w:bidi="ar-SA"/>
    </w:rPr>
  </w:style>
  <w:style w:type="character" w:customStyle="1" w:styleId="206">
    <w:name w:val="日期 Char"/>
    <w:qFormat/>
    <w:uiPriority w:val="0"/>
    <w:rPr>
      <w:rFonts w:ascii="Times New Roman" w:hAnsi="Times New Roman" w:eastAsia="宋体" w:cs="Times New Roman"/>
      <w:szCs w:val="24"/>
    </w:rPr>
  </w:style>
  <w:style w:type="character" w:customStyle="1" w:styleId="207">
    <w:name w:val="纯文本 Char1"/>
    <w:link w:val="13"/>
    <w:qFormat/>
    <w:uiPriority w:val="0"/>
    <w:rPr>
      <w:rFonts w:ascii="宋体" w:hAnsi="Courier New" w:eastAsia="宋体" w:cs="Times New Roman"/>
      <w:kern w:val="2"/>
      <w:sz w:val="21"/>
      <w:lang w:val="en-US" w:eastAsia="zh-CN" w:bidi="ar-SA"/>
    </w:rPr>
  </w:style>
  <w:style w:type="character" w:customStyle="1" w:styleId="208">
    <w:name w:val="批注主题 Char"/>
    <w:qFormat/>
    <w:uiPriority w:val="0"/>
    <w:rPr>
      <w:rFonts w:ascii="Times New Roman" w:hAnsi="Times New Roman" w:eastAsia="宋体" w:cs="Times New Roman"/>
      <w:b/>
      <w:bCs/>
      <w:sz w:val="28"/>
      <w:szCs w:val="20"/>
    </w:rPr>
  </w:style>
  <w:style w:type="character" w:customStyle="1" w:styleId="209">
    <w:name w:val="Char Char71"/>
    <w:qFormat/>
    <w:uiPriority w:val="0"/>
    <w:rPr>
      <w:rFonts w:ascii="Times New Roman" w:hAnsi="Times New Roman" w:eastAsia="宋体" w:cs="Times New Roman"/>
      <w:kern w:val="1"/>
      <w:sz w:val="18"/>
      <w:szCs w:val="18"/>
      <w:lang w:val="en-US" w:eastAsia="ar-SA" w:bidi="ar-SA"/>
    </w:rPr>
  </w:style>
  <w:style w:type="character" w:customStyle="1" w:styleId="210">
    <w:name w:val="页眉 Char2"/>
    <w:link w:val="18"/>
    <w:qFormat/>
    <w:uiPriority w:val="0"/>
    <w:rPr>
      <w:rFonts w:ascii="Times New Roman" w:hAnsi="Times New Roman" w:eastAsia="宋体" w:cs="Times New Roman"/>
      <w:kern w:val="2"/>
      <w:sz w:val="18"/>
      <w:szCs w:val="18"/>
    </w:rPr>
  </w:style>
  <w:style w:type="character" w:customStyle="1" w:styleId="211">
    <w:name w:val="日期 Char1"/>
    <w:link w:val="14"/>
    <w:qFormat/>
    <w:uiPriority w:val="0"/>
    <w:rPr>
      <w:rFonts w:ascii="Times New Roman" w:hAnsi="Times New Roman" w:eastAsia="宋体" w:cs="Times New Roman"/>
      <w:kern w:val="2"/>
      <w:sz w:val="21"/>
      <w:szCs w:val="24"/>
      <w:lang w:val="en-US" w:eastAsia="zh-CN" w:bidi="ar-SA"/>
    </w:rPr>
  </w:style>
  <w:style w:type="character" w:customStyle="1" w:styleId="212">
    <w:name w:val="正文文本缩进 Char"/>
    <w:qFormat/>
    <w:uiPriority w:val="0"/>
    <w:rPr>
      <w:rFonts w:ascii="仿宋_GB2312" w:hAnsi="仿宋_GB2312" w:eastAsia="仿宋_GB2312" w:cs="Times New Roman"/>
      <w:kern w:val="1"/>
      <w:sz w:val="30"/>
      <w:szCs w:val="20"/>
    </w:rPr>
  </w:style>
  <w:style w:type="character" w:customStyle="1" w:styleId="213">
    <w:name w:val="Char Char91"/>
    <w:qFormat/>
    <w:uiPriority w:val="0"/>
    <w:rPr>
      <w:rFonts w:ascii="Times New Roman" w:hAnsi="Times New Roman" w:eastAsia="黑体" w:cs="Times New Roman"/>
      <w:kern w:val="1"/>
      <w:sz w:val="44"/>
      <w:lang w:val="en-US" w:eastAsia="ar-SA" w:bidi="ar-SA"/>
    </w:rPr>
  </w:style>
  <w:style w:type="character" w:customStyle="1" w:styleId="214">
    <w:name w:val="页脚 Char1"/>
    <w:link w:val="17"/>
    <w:qFormat/>
    <w:uiPriority w:val="0"/>
    <w:rPr>
      <w:rFonts w:ascii="Times New Roman" w:hAnsi="Times New Roman" w:eastAsia="宋体" w:cs="Times New Roman"/>
      <w:kern w:val="2"/>
      <w:sz w:val="18"/>
      <w:szCs w:val="18"/>
      <w:lang w:val="en-US" w:eastAsia="zh-CN" w:bidi="ar-SA"/>
    </w:rPr>
  </w:style>
  <w:style w:type="character" w:customStyle="1" w:styleId="215">
    <w:name w:val="px121"/>
    <w:qFormat/>
    <w:uiPriority w:val="0"/>
    <w:rPr>
      <w:rFonts w:ascii="Times New Roman" w:hAnsi="Times New Roman" w:eastAsia="宋体" w:cs="Times New Roman"/>
    </w:rPr>
  </w:style>
  <w:style w:type="character" w:customStyle="1" w:styleId="216">
    <w:name w:val="页眉 Char"/>
    <w:qFormat/>
    <w:uiPriority w:val="0"/>
    <w:rPr>
      <w:rFonts w:ascii="Times New Roman" w:hAnsi="Times New Roman" w:eastAsia="宋体" w:cs="Times New Roman"/>
      <w:sz w:val="18"/>
      <w:szCs w:val="18"/>
    </w:rPr>
  </w:style>
  <w:style w:type="character" w:customStyle="1" w:styleId="217">
    <w:name w:val="批注文字 Char1"/>
    <w:link w:val="9"/>
    <w:qFormat/>
    <w:uiPriority w:val="0"/>
    <w:rPr>
      <w:rFonts w:ascii="Times New Roman" w:hAnsi="Times New Roman" w:eastAsia="宋体" w:cs="Times New Roman"/>
      <w:kern w:val="1"/>
      <w:sz w:val="28"/>
      <w:lang w:eastAsia="ar-SA" w:bidi="ar-SA"/>
    </w:rPr>
  </w:style>
  <w:style w:type="character" w:customStyle="1" w:styleId="218">
    <w:name w:val="批注文字 Char"/>
    <w:qFormat/>
    <w:uiPriority w:val="0"/>
    <w:rPr>
      <w:rFonts w:ascii="Times New Roman" w:hAnsi="Times New Roman" w:eastAsia="宋体" w:cs="Times New Roman"/>
      <w:sz w:val="28"/>
      <w:szCs w:val="20"/>
    </w:rPr>
  </w:style>
  <w:style w:type="character" w:customStyle="1" w:styleId="219">
    <w:name w:val="style61"/>
    <w:qFormat/>
    <w:uiPriority w:val="0"/>
    <w:rPr>
      <w:rFonts w:ascii="Times New Roman" w:hAnsi="Times New Roman" w:eastAsia="宋体" w:cs="Times New Roman"/>
      <w:sz w:val="20"/>
      <w:szCs w:val="20"/>
    </w:rPr>
  </w:style>
  <w:style w:type="character" w:customStyle="1" w:styleId="220">
    <w:name w:val="正文文本缩进 3 Char"/>
    <w:qFormat/>
    <w:uiPriority w:val="0"/>
    <w:rPr>
      <w:rFonts w:ascii="Times New Roman" w:hAnsi="Times New Roman" w:eastAsia="宋体" w:cs="Times New Roman"/>
      <w:sz w:val="16"/>
      <w:szCs w:val="16"/>
    </w:rPr>
  </w:style>
  <w:style w:type="character" w:customStyle="1" w:styleId="221">
    <w:name w:val="页眉 Char1"/>
    <w:qFormat/>
    <w:uiPriority w:val="0"/>
    <w:rPr>
      <w:rFonts w:ascii="Times New Roman" w:hAnsi="Times New Roman" w:eastAsia="宋体" w:cs="Times New Roman"/>
      <w:kern w:val="1"/>
      <w:sz w:val="18"/>
      <w:szCs w:val="18"/>
    </w:rPr>
  </w:style>
  <w:style w:type="character" w:customStyle="1" w:styleId="222">
    <w:name w:val="mark"/>
    <w:qFormat/>
    <w:uiPriority w:val="0"/>
    <w:rPr>
      <w:rFonts w:ascii="Times New Roman" w:hAnsi="Times New Roman" w:eastAsia="宋体" w:cs="Times New Roman"/>
    </w:rPr>
  </w:style>
  <w:style w:type="character" w:customStyle="1" w:styleId="223">
    <w:name w:val="纯文本 Char"/>
    <w:qFormat/>
    <w:uiPriority w:val="0"/>
    <w:rPr>
      <w:rFonts w:ascii="宋体" w:hAnsi="宋体" w:eastAsia="宋体" w:cs="Courier New"/>
    </w:rPr>
  </w:style>
  <w:style w:type="character" w:customStyle="1" w:styleId="224">
    <w:name w:val="批注框文本 Char"/>
    <w:qFormat/>
    <w:uiPriority w:val="0"/>
    <w:rPr>
      <w:rFonts w:ascii="Times New Roman" w:hAnsi="Times New Roman" w:eastAsia="宋体" w:cs="Times New Roman"/>
      <w:sz w:val="18"/>
      <w:szCs w:val="18"/>
    </w:rPr>
  </w:style>
  <w:style w:type="character" w:customStyle="1" w:styleId="225">
    <w:name w:val="正文文本缩进 2 Char"/>
    <w:qFormat/>
    <w:uiPriority w:val="0"/>
    <w:rPr>
      <w:rFonts w:ascii="仿宋_GB2312" w:hAnsi="仿宋_GB2312" w:eastAsia="仿宋_GB2312" w:cs="Times New Roman"/>
      <w:kern w:val="1"/>
      <w:sz w:val="32"/>
      <w:szCs w:val="20"/>
    </w:rPr>
  </w:style>
  <w:style w:type="character" w:customStyle="1" w:styleId="226">
    <w:name w:val="font61"/>
    <w:qFormat/>
    <w:uiPriority w:val="0"/>
    <w:rPr>
      <w:rFonts w:hint="default" w:ascii="Times New Roman" w:hAnsi="Times New Roman" w:eastAsia="宋体" w:cs="Times New Roman"/>
      <w:color w:val="000000"/>
      <w:sz w:val="28"/>
      <w:szCs w:val="28"/>
      <w:u w:val="none"/>
    </w:rPr>
  </w:style>
  <w:style w:type="character" w:customStyle="1" w:styleId="227">
    <w:name w:val="ca-3"/>
    <w:qFormat/>
    <w:uiPriority w:val="0"/>
    <w:rPr>
      <w:rFonts w:ascii="Times New Roman" w:hAnsi="Times New Roman" w:eastAsia="宋体" w:cs="Times New Roman"/>
    </w:rPr>
  </w:style>
  <w:style w:type="character" w:customStyle="1" w:styleId="228">
    <w:name w:val="font41"/>
    <w:qFormat/>
    <w:uiPriority w:val="0"/>
    <w:rPr>
      <w:rFonts w:hint="eastAsia" w:ascii="宋体" w:hAnsi="宋体" w:eastAsia="宋体" w:cs="宋体"/>
      <w:color w:val="000000"/>
      <w:sz w:val="28"/>
      <w:szCs w:val="28"/>
      <w:u w:val="none"/>
    </w:rPr>
  </w:style>
  <w:style w:type="paragraph" w:customStyle="1" w:styleId="229">
    <w:name w:val="彩色列表 - 着色 11"/>
    <w:basedOn w:val="1"/>
    <w:qFormat/>
    <w:uiPriority w:val="0"/>
    <w:pPr>
      <w:ind w:firstLine="420" w:firstLineChars="200"/>
    </w:pPr>
    <w:rPr>
      <w:rFonts w:ascii="Calibri" w:hAnsi="Calibri"/>
      <w:szCs w:val="22"/>
    </w:rPr>
  </w:style>
  <w:style w:type="character" w:customStyle="1" w:styleId="230">
    <w:name w:val="NormalCharacter"/>
    <w:qFormat/>
    <w:uiPriority w:val="0"/>
  </w:style>
  <w:style w:type="paragraph" w:customStyle="1" w:styleId="231">
    <w:name w:val="PlainText"/>
    <w:basedOn w:val="1"/>
    <w:qFormat/>
    <w:uiPriority w:val="0"/>
    <w:rPr>
      <w:rFonts w:ascii="宋体" w:hAnsi="Courier New"/>
      <w:szCs w:val="21"/>
    </w:rPr>
  </w:style>
  <w:style w:type="paragraph" w:customStyle="1" w:styleId="232">
    <w:name w:val="px12black"/>
    <w:basedOn w:val="1"/>
    <w:qFormat/>
    <w:uiPriority w:val="0"/>
    <w:pPr>
      <w:spacing w:before="100" w:beforeAutospacing="1" w:after="100" w:afterAutospacing="1"/>
    </w:pPr>
    <w:rPr>
      <w:rFonts w:ascii="宋体" w:hAnsi="宋体" w:cs="宋体"/>
      <w:kern w:val="0"/>
      <w:sz w:val="24"/>
    </w:rPr>
  </w:style>
  <w:style w:type="character" w:customStyle="1" w:styleId="233">
    <w:name w:val="font51"/>
    <w:basedOn w:val="27"/>
    <w:qFormat/>
    <w:uiPriority w:val="0"/>
    <w:rPr>
      <w:rFonts w:hint="eastAsia" w:ascii="宋体" w:hAnsi="宋体" w:eastAsia="宋体" w:cs="宋体"/>
      <w:color w:val="000000"/>
      <w:sz w:val="24"/>
      <w:szCs w:val="24"/>
    </w:rPr>
  </w:style>
  <w:style w:type="character" w:customStyle="1" w:styleId="234">
    <w:name w:val="font101"/>
    <w:basedOn w:val="27"/>
    <w:qFormat/>
    <w:uiPriority w:val="0"/>
    <w:rPr>
      <w:rFonts w:hint="eastAsia" w:ascii="宋体" w:hAnsi="宋体" w:eastAsia="宋体" w:cs="宋体"/>
      <w:color w:val="0070C0"/>
      <w:sz w:val="24"/>
      <w:szCs w:val="24"/>
      <w:u w:val="none"/>
    </w:rPr>
  </w:style>
  <w:style w:type="character" w:customStyle="1" w:styleId="235">
    <w:name w:val="font81"/>
    <w:basedOn w:val="27"/>
    <w:qFormat/>
    <w:uiPriority w:val="0"/>
    <w:rPr>
      <w:rFonts w:hint="eastAsia" w:ascii="宋体" w:hAnsi="宋体" w:eastAsia="宋体" w:cs="宋体"/>
      <w:color w:val="FF0000"/>
      <w:sz w:val="24"/>
      <w:szCs w:val="24"/>
      <w:u w:val="none"/>
    </w:rPr>
  </w:style>
  <w:style w:type="character" w:customStyle="1" w:styleId="236">
    <w:name w:val="font171"/>
    <w:basedOn w:val="27"/>
    <w:qFormat/>
    <w:uiPriority w:val="0"/>
    <w:rPr>
      <w:rFonts w:hint="eastAsia" w:ascii="宋体" w:hAnsi="宋体" w:eastAsia="宋体" w:cs="宋体"/>
      <w:color w:val="000000"/>
      <w:sz w:val="24"/>
      <w:szCs w:val="24"/>
      <w:u w:val="none"/>
    </w:rPr>
  </w:style>
  <w:style w:type="paragraph" w:customStyle="1" w:styleId="23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5A71DF-20BF-441A-A12B-90AA7E72C507}">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23</Pages>
  <Words>1573</Words>
  <Characters>8967</Characters>
  <Lines>74</Lines>
  <Paragraphs>21</Paragraphs>
  <TotalTime>1</TotalTime>
  <ScaleCrop>false</ScaleCrop>
  <LinksUpToDate>false</LinksUpToDate>
  <CharactersWithSpaces>10519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2019-11-10T02:37:00Z</dcterms:created>
  <dc:creator>lidong</dc:creator>
  <cp:lastModifiedBy>般若</cp:lastModifiedBy>
  <cp:lastPrinted>2021-07-15T00:54:00Z</cp:lastPrinted>
  <dcterms:modified xsi:type="dcterms:W3CDTF">2025-10-20T01:09:59Z</dcterms:modified>
  <dc:title>重庆市巴南区政府采购询价文书</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CD27ED048645417681EDF6BB0A68C966</vt:lpwstr>
  </property>
</Properties>
</file>