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C23C59">
      <w:pPr>
        <w:jc w:val="center"/>
        <w:rPr>
          <w:rFonts w:hint="eastAsia" w:ascii="宋体" w:hAnsi="宋体" w:eastAsia="宋体" w:cs="宋体"/>
          <w:color w:val="auto"/>
          <w:sz w:val="24"/>
          <w:szCs w:val="24"/>
          <w:highlight w:val="none"/>
        </w:rPr>
      </w:pPr>
    </w:p>
    <w:p w14:paraId="2B39DBC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BF99465">
      <w:pPr>
        <w:pStyle w:val="23"/>
        <w:rPr>
          <w:rFonts w:hint="eastAsia" w:ascii="宋体" w:hAnsi="宋体" w:eastAsia="宋体" w:cs="宋体"/>
          <w:color w:val="auto"/>
          <w:sz w:val="24"/>
          <w:szCs w:val="24"/>
          <w:highlight w:val="none"/>
          <w:lang w:eastAsia="zh-CN"/>
        </w:rPr>
      </w:pPr>
    </w:p>
    <w:p w14:paraId="195AAB5D">
      <w:pPr>
        <w:spacing w:line="1600" w:lineRule="exact"/>
        <w:jc w:val="center"/>
        <w:outlineLvl w:val="0"/>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竞争性谈判文件</w:t>
      </w:r>
    </w:p>
    <w:p w14:paraId="3342541B">
      <w:pPr>
        <w:spacing w:line="700" w:lineRule="exact"/>
        <w:jc w:val="center"/>
        <w:rPr>
          <w:rFonts w:hint="eastAsia" w:ascii="宋体" w:hAnsi="宋体" w:eastAsia="宋体" w:cs="宋体"/>
          <w:color w:val="auto"/>
          <w:sz w:val="24"/>
          <w:szCs w:val="24"/>
          <w:highlight w:val="none"/>
        </w:rPr>
      </w:pPr>
    </w:p>
    <w:p w14:paraId="08BA5961">
      <w:pPr>
        <w:spacing w:line="700" w:lineRule="exact"/>
        <w:jc w:val="center"/>
        <w:rPr>
          <w:rFonts w:hint="eastAsia" w:ascii="宋体" w:hAnsi="宋体" w:eastAsia="宋体" w:cs="宋体"/>
          <w:color w:val="auto"/>
          <w:sz w:val="24"/>
          <w:szCs w:val="24"/>
          <w:highlight w:val="none"/>
        </w:rPr>
      </w:pPr>
    </w:p>
    <w:p w14:paraId="7E24AA22">
      <w:pPr>
        <w:spacing w:line="700" w:lineRule="exact"/>
        <w:jc w:val="center"/>
        <w:rPr>
          <w:rFonts w:hint="eastAsia" w:ascii="宋体" w:hAnsi="宋体" w:eastAsia="宋体" w:cs="宋体"/>
          <w:color w:val="auto"/>
          <w:sz w:val="24"/>
          <w:szCs w:val="24"/>
          <w:highlight w:val="none"/>
        </w:rPr>
      </w:pPr>
    </w:p>
    <w:p w14:paraId="0E7E9AA8">
      <w:pPr>
        <w:spacing w:line="500" w:lineRule="exact"/>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  目  号：</w:t>
      </w:r>
      <w:r>
        <w:rPr>
          <w:rFonts w:hint="eastAsia" w:ascii="宋体" w:hAnsi="宋体" w:eastAsia="宋体" w:cs="宋体"/>
          <w:color w:val="auto"/>
          <w:sz w:val="32"/>
          <w:szCs w:val="32"/>
          <w:highlight w:val="none"/>
          <w:lang w:val="en-US" w:eastAsia="zh-CN"/>
        </w:rPr>
        <w:t>FHGJ-2025-026</w:t>
      </w:r>
    </w:p>
    <w:p w14:paraId="4719A693">
      <w:pPr>
        <w:spacing w:line="500" w:lineRule="exact"/>
        <w:jc w:val="both"/>
        <w:outlineLvl w:val="0"/>
        <w:rPr>
          <w:rFonts w:hint="eastAsia"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rPr>
        <w:t>谈判项目名称：</w:t>
      </w:r>
      <w:r>
        <w:rPr>
          <w:rFonts w:hint="eastAsia" w:ascii="宋体" w:hAnsi="宋体" w:eastAsia="宋体" w:cs="宋体"/>
          <w:color w:val="auto"/>
          <w:sz w:val="32"/>
          <w:szCs w:val="32"/>
          <w:highlight w:val="none"/>
          <w:lang w:eastAsia="zh-CN"/>
        </w:rPr>
        <w:t>重庆新翔源鞋业有限责任公司11号楼一楼功能改造项目</w:t>
      </w:r>
    </w:p>
    <w:p w14:paraId="793FD402">
      <w:pPr>
        <w:spacing w:line="700" w:lineRule="exact"/>
        <w:jc w:val="center"/>
        <w:rPr>
          <w:rFonts w:hint="eastAsia" w:ascii="宋体" w:hAnsi="宋体" w:eastAsia="宋体" w:cs="宋体"/>
          <w:b/>
          <w:color w:val="auto"/>
          <w:sz w:val="32"/>
          <w:szCs w:val="32"/>
          <w:highlight w:val="none"/>
        </w:rPr>
      </w:pPr>
    </w:p>
    <w:p w14:paraId="64939D5D">
      <w:pPr>
        <w:spacing w:line="700" w:lineRule="exact"/>
        <w:jc w:val="center"/>
        <w:rPr>
          <w:rFonts w:hint="eastAsia" w:ascii="宋体" w:hAnsi="宋体" w:eastAsia="宋体" w:cs="宋体"/>
          <w:b/>
          <w:color w:val="auto"/>
          <w:sz w:val="24"/>
          <w:szCs w:val="24"/>
          <w:highlight w:val="none"/>
        </w:rPr>
      </w:pPr>
    </w:p>
    <w:p w14:paraId="5251FD99">
      <w:pPr>
        <w:tabs>
          <w:tab w:val="left" w:pos="3476"/>
          <w:tab w:val="left" w:pos="5699"/>
        </w:tabs>
        <w:spacing w:line="700" w:lineRule="exact"/>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ab/>
      </w:r>
      <w:r>
        <w:rPr>
          <w:rFonts w:hint="eastAsia" w:ascii="宋体" w:hAnsi="宋体" w:eastAsia="宋体" w:cs="宋体"/>
          <w:b/>
          <w:color w:val="auto"/>
          <w:sz w:val="24"/>
          <w:szCs w:val="24"/>
          <w:highlight w:val="none"/>
          <w:lang w:eastAsia="zh-CN"/>
        </w:rPr>
        <w:tab/>
      </w:r>
    </w:p>
    <w:p w14:paraId="0E7BA2C0">
      <w:pPr>
        <w:spacing w:line="700" w:lineRule="exact"/>
        <w:rPr>
          <w:rFonts w:hint="eastAsia" w:ascii="宋体" w:hAnsi="宋体" w:eastAsia="宋体" w:cs="宋体"/>
          <w:b/>
          <w:color w:val="auto"/>
          <w:sz w:val="24"/>
          <w:szCs w:val="24"/>
          <w:highlight w:val="none"/>
        </w:rPr>
      </w:pPr>
    </w:p>
    <w:p w14:paraId="7E52D21F">
      <w:pPr>
        <w:spacing w:line="700" w:lineRule="exact"/>
        <w:rPr>
          <w:rFonts w:hint="eastAsia" w:ascii="宋体" w:hAnsi="宋体" w:eastAsia="宋体" w:cs="宋体"/>
          <w:b/>
          <w:color w:val="auto"/>
          <w:sz w:val="24"/>
          <w:szCs w:val="24"/>
          <w:highlight w:val="none"/>
        </w:rPr>
      </w:pPr>
    </w:p>
    <w:p w14:paraId="2364C534">
      <w:pPr>
        <w:spacing w:line="500" w:lineRule="exact"/>
        <w:jc w:val="center"/>
        <w:outlineLvl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r>
        <w:rPr>
          <w:rFonts w:hint="eastAsia" w:ascii="宋体" w:hAnsi="宋体" w:eastAsia="宋体" w:cs="宋体"/>
          <w:color w:val="auto"/>
          <w:sz w:val="30"/>
          <w:szCs w:val="30"/>
          <w:highlight w:val="none"/>
          <w:lang w:eastAsia="zh-CN"/>
        </w:rPr>
        <w:t>重庆新翔源鞋业有限责任公司</w:t>
      </w:r>
    </w:p>
    <w:p w14:paraId="62F3924E">
      <w:pPr>
        <w:spacing w:line="500" w:lineRule="exact"/>
        <w:jc w:val="center"/>
        <w:outlineLvl w:val="0"/>
        <w:rPr>
          <w:rFonts w:hint="eastAsia" w:ascii="宋体" w:hAnsi="宋体" w:eastAsia="宋体" w:cs="宋体"/>
          <w:color w:val="auto"/>
          <w:sz w:val="30"/>
          <w:szCs w:val="30"/>
          <w:highlight w:val="none"/>
        </w:rPr>
      </w:pPr>
    </w:p>
    <w:p w14:paraId="0BF755F9">
      <w:pPr>
        <w:spacing w:line="500" w:lineRule="exact"/>
        <w:jc w:val="center"/>
        <w:outlineLvl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r>
        <w:rPr>
          <w:rFonts w:hint="eastAsia" w:ascii="宋体" w:hAnsi="宋体" w:eastAsia="宋体" w:cs="宋体"/>
          <w:color w:val="auto"/>
          <w:sz w:val="30"/>
          <w:szCs w:val="30"/>
          <w:highlight w:val="none"/>
          <w:lang w:eastAsia="zh-CN"/>
        </w:rPr>
        <w:t>丰汇国际项目管理有限公司</w:t>
      </w:r>
    </w:p>
    <w:p w14:paraId="4BAE1825">
      <w:pPr>
        <w:spacing w:line="720" w:lineRule="exact"/>
        <w:jc w:val="center"/>
        <w:outlineLvl w:val="0"/>
        <w:rPr>
          <w:rFonts w:hint="eastAsia" w:ascii="宋体" w:hAnsi="宋体" w:eastAsia="宋体" w:cs="宋体"/>
          <w:color w:val="auto"/>
          <w:sz w:val="30"/>
          <w:szCs w:val="30"/>
          <w:highlight w:val="none"/>
        </w:rPr>
      </w:pPr>
    </w:p>
    <w:p w14:paraId="63B3E287">
      <w:pPr>
        <w:spacing w:line="720" w:lineRule="exact"/>
        <w:jc w:val="center"/>
        <w:outlineLvl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二〇二</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九</w:t>
      </w:r>
      <w:r>
        <w:rPr>
          <w:rFonts w:hint="eastAsia" w:ascii="宋体" w:hAnsi="宋体" w:eastAsia="宋体" w:cs="宋体"/>
          <w:color w:val="auto"/>
          <w:sz w:val="30"/>
          <w:szCs w:val="30"/>
          <w:highlight w:val="none"/>
        </w:rPr>
        <w:t>月</w:t>
      </w:r>
    </w:p>
    <w:p w14:paraId="41967D96">
      <w:pPr>
        <w:spacing w:line="480" w:lineRule="exact"/>
        <w:outlineLvl w:val="0"/>
        <w:rPr>
          <w:rFonts w:hint="eastAsia" w:ascii="宋体" w:hAnsi="宋体" w:eastAsia="宋体" w:cs="宋体"/>
          <w:color w:val="auto"/>
          <w:sz w:val="30"/>
          <w:szCs w:val="30"/>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3B798EED">
      <w:pPr>
        <w:spacing w:line="48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   录</w:t>
      </w:r>
    </w:p>
    <w:p w14:paraId="0ADCAF9D">
      <w:pPr>
        <w:pStyle w:val="38"/>
        <w:tabs>
          <w:tab w:val="right" w:leader="dot" w:pos="94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_Toc7073 </w:instrText>
      </w:r>
      <w:r>
        <w:rPr>
          <w:rFonts w:hint="eastAsia" w:ascii="宋体" w:hAnsi="宋体" w:eastAsia="宋体" w:cs="宋体"/>
          <w:szCs w:val="24"/>
          <w:highlight w:val="none"/>
        </w:rPr>
        <w:fldChar w:fldCharType="separate"/>
      </w:r>
      <w:r>
        <w:rPr>
          <w:rFonts w:hint="eastAsia" w:ascii="宋体" w:hAnsi="宋体" w:eastAsia="宋体" w:cs="宋体"/>
          <w:kern w:val="2"/>
          <w:szCs w:val="36"/>
          <w:highlight w:val="none"/>
          <w:lang w:val="en-US" w:eastAsia="zh-CN" w:bidi="ar-SA"/>
        </w:rPr>
        <w:t>第一篇  竞争性谈判邀请书</w:t>
      </w:r>
      <w:r>
        <w:tab/>
      </w:r>
      <w:r>
        <w:fldChar w:fldCharType="begin"/>
      </w:r>
      <w:r>
        <w:instrText xml:space="preserve"> PAGEREF _Toc7073 \h </w:instrText>
      </w:r>
      <w:r>
        <w:fldChar w:fldCharType="separate"/>
      </w:r>
      <w:r>
        <w:t>- 3 -</w:t>
      </w:r>
      <w:r>
        <w:fldChar w:fldCharType="end"/>
      </w:r>
      <w:r>
        <w:rPr>
          <w:rFonts w:hint="eastAsia" w:ascii="宋体" w:hAnsi="宋体" w:eastAsia="宋体" w:cs="宋体"/>
          <w:color w:val="auto"/>
          <w:szCs w:val="24"/>
          <w:highlight w:val="none"/>
        </w:rPr>
        <w:fldChar w:fldCharType="end"/>
      </w:r>
    </w:p>
    <w:p w14:paraId="23D93429">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_Toc29098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一、竞争性谈判内容</w:t>
      </w:r>
      <w:r>
        <w:tab/>
      </w:r>
      <w:r>
        <w:fldChar w:fldCharType="begin"/>
      </w:r>
      <w:r>
        <w:instrText xml:space="preserve"> PAGEREF _Toc29098 \h </w:instrText>
      </w:r>
      <w:r>
        <w:fldChar w:fldCharType="separate"/>
      </w:r>
      <w:r>
        <w:t>- 3 -</w:t>
      </w:r>
      <w:r>
        <w:fldChar w:fldCharType="end"/>
      </w:r>
      <w:r>
        <w:rPr>
          <w:rFonts w:hint="eastAsia" w:ascii="宋体" w:hAnsi="宋体" w:eastAsia="宋体" w:cs="宋体"/>
          <w:color w:val="auto"/>
          <w:szCs w:val="24"/>
          <w:highlight w:val="none"/>
        </w:rPr>
        <w:fldChar w:fldCharType="end"/>
      </w:r>
    </w:p>
    <w:p w14:paraId="14D5FF81">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_Toc25987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二、资金来源</w:t>
      </w:r>
      <w:r>
        <w:tab/>
      </w:r>
      <w:r>
        <w:fldChar w:fldCharType="begin"/>
      </w:r>
      <w:r>
        <w:instrText xml:space="preserve"> PAGEREF _Toc25987 \h </w:instrText>
      </w:r>
      <w:r>
        <w:fldChar w:fldCharType="separate"/>
      </w:r>
      <w:r>
        <w:t>- 3 -</w:t>
      </w:r>
      <w:r>
        <w:fldChar w:fldCharType="end"/>
      </w:r>
      <w:r>
        <w:rPr>
          <w:rFonts w:hint="eastAsia" w:ascii="宋体" w:hAnsi="宋体" w:eastAsia="宋体" w:cs="宋体"/>
          <w:color w:val="auto"/>
          <w:szCs w:val="24"/>
          <w:highlight w:val="none"/>
        </w:rPr>
        <w:fldChar w:fldCharType="end"/>
      </w:r>
    </w:p>
    <w:p w14:paraId="2C7BFA17">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_Toc28105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三、供应商资格条件</w:t>
      </w:r>
      <w:r>
        <w:tab/>
      </w:r>
      <w:r>
        <w:fldChar w:fldCharType="begin"/>
      </w:r>
      <w:r>
        <w:instrText xml:space="preserve"> PAGEREF _Toc28105 \h </w:instrText>
      </w:r>
      <w:r>
        <w:fldChar w:fldCharType="separate"/>
      </w:r>
      <w:r>
        <w:t>- 3 -</w:t>
      </w:r>
      <w:r>
        <w:fldChar w:fldCharType="end"/>
      </w:r>
      <w:r>
        <w:rPr>
          <w:rFonts w:hint="eastAsia" w:ascii="宋体" w:hAnsi="宋体" w:eastAsia="宋体" w:cs="宋体"/>
          <w:color w:val="auto"/>
          <w:szCs w:val="24"/>
          <w:highlight w:val="none"/>
        </w:rPr>
        <w:fldChar w:fldCharType="end"/>
      </w:r>
    </w:p>
    <w:p w14:paraId="4F553C8C">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_Toc6266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四、谈判有关说明</w:t>
      </w:r>
      <w:r>
        <w:tab/>
      </w:r>
      <w:r>
        <w:fldChar w:fldCharType="begin"/>
      </w:r>
      <w:r>
        <w:instrText xml:space="preserve"> PAGEREF _Toc6266 \h </w:instrText>
      </w:r>
      <w:r>
        <w:fldChar w:fldCharType="separate"/>
      </w:r>
      <w:r>
        <w:t>- 3 -</w:t>
      </w:r>
      <w:r>
        <w:fldChar w:fldCharType="end"/>
      </w:r>
      <w:r>
        <w:rPr>
          <w:rFonts w:hint="eastAsia" w:ascii="宋体" w:hAnsi="宋体" w:eastAsia="宋体" w:cs="宋体"/>
          <w:color w:val="auto"/>
          <w:szCs w:val="24"/>
          <w:highlight w:val="none"/>
        </w:rPr>
        <w:fldChar w:fldCharType="end"/>
      </w:r>
    </w:p>
    <w:p w14:paraId="4107F5CA">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_Toc16654 </w:instrText>
      </w:r>
      <w:r>
        <w:rPr>
          <w:rFonts w:hint="eastAsia" w:ascii="宋体" w:hAnsi="宋体" w:eastAsia="宋体" w:cs="宋体"/>
          <w:szCs w:val="24"/>
          <w:highlight w:val="none"/>
        </w:rPr>
        <w:fldChar w:fldCharType="separate"/>
      </w:r>
      <w:r>
        <w:rPr>
          <w:rFonts w:hint="eastAsia" w:ascii="宋体" w:hAnsi="宋体" w:eastAsia="宋体" w:cs="宋体"/>
          <w:bCs w:val="0"/>
          <w:szCs w:val="24"/>
          <w:highlight w:val="none"/>
        </w:rPr>
        <w:t>五、</w:t>
      </w:r>
      <w:r>
        <w:rPr>
          <w:rFonts w:hint="eastAsia" w:ascii="宋体" w:hAnsi="宋体" w:eastAsia="宋体" w:cs="宋体"/>
          <w:bCs w:val="0"/>
          <w:strike w:val="0"/>
          <w:dstrike w:val="0"/>
          <w:szCs w:val="24"/>
          <w:highlight w:val="none"/>
          <w:lang w:val="en-US" w:eastAsia="zh-CN"/>
        </w:rPr>
        <w:t>谈判</w:t>
      </w:r>
      <w:r>
        <w:rPr>
          <w:rFonts w:hint="eastAsia" w:ascii="宋体" w:hAnsi="宋体" w:eastAsia="宋体" w:cs="宋体"/>
          <w:bCs w:val="0"/>
          <w:szCs w:val="24"/>
          <w:highlight w:val="none"/>
        </w:rPr>
        <w:t>保证金</w:t>
      </w:r>
      <w:r>
        <w:tab/>
      </w:r>
      <w:r>
        <w:fldChar w:fldCharType="begin"/>
      </w:r>
      <w:r>
        <w:instrText xml:space="preserve"> PAGEREF _Toc16654 \h </w:instrText>
      </w:r>
      <w:r>
        <w:fldChar w:fldCharType="separate"/>
      </w:r>
      <w:r>
        <w:t>- 4 -</w:t>
      </w:r>
      <w:r>
        <w:fldChar w:fldCharType="end"/>
      </w:r>
      <w:r>
        <w:rPr>
          <w:rFonts w:hint="eastAsia" w:ascii="宋体" w:hAnsi="宋体" w:eastAsia="宋体" w:cs="宋体"/>
          <w:color w:val="auto"/>
          <w:szCs w:val="24"/>
          <w:highlight w:val="none"/>
        </w:rPr>
        <w:fldChar w:fldCharType="end"/>
      </w:r>
    </w:p>
    <w:p w14:paraId="1B4B939A">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_Toc13261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rPr>
        <w:t>、其它有关规定</w:t>
      </w:r>
      <w:r>
        <w:tab/>
      </w:r>
      <w:r>
        <w:fldChar w:fldCharType="begin"/>
      </w:r>
      <w:r>
        <w:instrText xml:space="preserve"> PAGEREF _Toc13261 \h </w:instrText>
      </w:r>
      <w:r>
        <w:fldChar w:fldCharType="separate"/>
      </w:r>
      <w:r>
        <w:t>- 4 -</w:t>
      </w:r>
      <w:r>
        <w:fldChar w:fldCharType="end"/>
      </w:r>
      <w:r>
        <w:rPr>
          <w:rFonts w:hint="eastAsia" w:ascii="宋体" w:hAnsi="宋体" w:eastAsia="宋体" w:cs="宋体"/>
          <w:color w:val="auto"/>
          <w:szCs w:val="24"/>
          <w:highlight w:val="none"/>
        </w:rPr>
        <w:fldChar w:fldCharType="end"/>
      </w:r>
    </w:p>
    <w:p w14:paraId="514577C9">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_Toc8910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七</w:t>
      </w:r>
      <w:r>
        <w:rPr>
          <w:rFonts w:hint="eastAsia" w:ascii="宋体" w:hAnsi="宋体" w:eastAsia="宋体" w:cs="宋体"/>
          <w:szCs w:val="24"/>
          <w:highlight w:val="none"/>
        </w:rPr>
        <w:t>、联系方式</w:t>
      </w:r>
      <w:r>
        <w:tab/>
      </w:r>
      <w:r>
        <w:fldChar w:fldCharType="begin"/>
      </w:r>
      <w:r>
        <w:instrText xml:space="preserve"> PAGEREF _Toc8910 \h </w:instrText>
      </w:r>
      <w:r>
        <w:fldChar w:fldCharType="separate"/>
      </w:r>
      <w:r>
        <w:t>- 4 -</w:t>
      </w:r>
      <w:r>
        <w:fldChar w:fldCharType="end"/>
      </w:r>
      <w:r>
        <w:rPr>
          <w:rFonts w:hint="eastAsia" w:ascii="宋体" w:hAnsi="宋体" w:eastAsia="宋体" w:cs="宋体"/>
          <w:color w:val="auto"/>
          <w:szCs w:val="24"/>
          <w:highlight w:val="none"/>
        </w:rPr>
        <w:fldChar w:fldCharType="end"/>
      </w:r>
    </w:p>
    <w:p w14:paraId="0E6AD52A">
      <w:pPr>
        <w:pStyle w:val="3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_Toc6657 </w:instrText>
      </w:r>
      <w:r>
        <w:rPr>
          <w:rFonts w:hint="eastAsia" w:ascii="宋体" w:hAnsi="宋体" w:eastAsia="宋体" w:cs="宋体"/>
          <w:szCs w:val="24"/>
          <w:highlight w:val="none"/>
        </w:rPr>
        <w:fldChar w:fldCharType="separate"/>
      </w:r>
      <w:r>
        <w:rPr>
          <w:rFonts w:hint="eastAsia" w:ascii="宋体" w:hAnsi="宋体" w:eastAsia="宋体" w:cs="宋体"/>
          <w:kern w:val="2"/>
          <w:szCs w:val="36"/>
          <w:highlight w:val="none"/>
          <w:lang w:val="en-US" w:eastAsia="zh-CN" w:bidi="ar-SA"/>
        </w:rPr>
        <w:t>第二篇  谈判项目技术（质量）需求</w:t>
      </w:r>
      <w:r>
        <w:tab/>
      </w:r>
      <w:r>
        <w:fldChar w:fldCharType="begin"/>
      </w:r>
      <w:r>
        <w:instrText xml:space="preserve"> PAGEREF _Toc6657 \h </w:instrText>
      </w:r>
      <w:r>
        <w:fldChar w:fldCharType="separate"/>
      </w:r>
      <w:r>
        <w:t>- 6 -</w:t>
      </w:r>
      <w:r>
        <w:fldChar w:fldCharType="end"/>
      </w:r>
      <w:r>
        <w:rPr>
          <w:rFonts w:hint="eastAsia" w:ascii="宋体" w:hAnsi="宋体" w:eastAsia="宋体" w:cs="宋体"/>
          <w:color w:val="auto"/>
          <w:szCs w:val="24"/>
          <w:highlight w:val="none"/>
        </w:rPr>
        <w:fldChar w:fldCharType="end"/>
      </w:r>
    </w:p>
    <w:p w14:paraId="378BDD66">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_Toc23027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一、项目一览表</w:t>
      </w:r>
      <w:r>
        <w:tab/>
      </w:r>
      <w:r>
        <w:fldChar w:fldCharType="begin"/>
      </w:r>
      <w:r>
        <w:instrText xml:space="preserve"> PAGEREF _Toc23027 \h </w:instrText>
      </w:r>
      <w:r>
        <w:fldChar w:fldCharType="separate"/>
      </w:r>
      <w:r>
        <w:t>- 6 -</w:t>
      </w:r>
      <w:r>
        <w:fldChar w:fldCharType="end"/>
      </w:r>
      <w:r>
        <w:rPr>
          <w:rFonts w:hint="eastAsia" w:ascii="宋体" w:hAnsi="宋体" w:eastAsia="宋体" w:cs="宋体"/>
          <w:color w:val="auto"/>
          <w:szCs w:val="24"/>
          <w:highlight w:val="none"/>
        </w:rPr>
        <w:fldChar w:fldCharType="end"/>
      </w:r>
    </w:p>
    <w:p w14:paraId="54B1EBB9">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_Toc4843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二、</w:t>
      </w:r>
      <w:r>
        <w:rPr>
          <w:rFonts w:hint="eastAsia" w:ascii="宋体" w:hAnsi="宋体" w:eastAsia="宋体" w:cs="宋体"/>
          <w:szCs w:val="24"/>
          <w:highlight w:val="none"/>
          <w:lang w:val="en-US" w:eastAsia="zh-CN"/>
        </w:rPr>
        <w:t>项目概况</w:t>
      </w:r>
      <w:r>
        <w:tab/>
      </w:r>
      <w:r>
        <w:fldChar w:fldCharType="begin"/>
      </w:r>
      <w:r>
        <w:instrText xml:space="preserve"> PAGEREF _Toc4843 \h </w:instrText>
      </w:r>
      <w:r>
        <w:fldChar w:fldCharType="separate"/>
      </w:r>
      <w:r>
        <w:t>- 6 -</w:t>
      </w:r>
      <w:r>
        <w:fldChar w:fldCharType="end"/>
      </w:r>
      <w:r>
        <w:rPr>
          <w:rFonts w:hint="eastAsia" w:ascii="宋体" w:hAnsi="宋体" w:eastAsia="宋体" w:cs="宋体"/>
          <w:color w:val="auto"/>
          <w:szCs w:val="24"/>
          <w:highlight w:val="none"/>
        </w:rPr>
        <w:fldChar w:fldCharType="end"/>
      </w:r>
    </w:p>
    <w:p w14:paraId="11427717">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_Toc331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三、技术及质量要求</w:t>
      </w:r>
      <w:r>
        <w:tab/>
      </w:r>
      <w:r>
        <w:fldChar w:fldCharType="begin"/>
      </w:r>
      <w:r>
        <w:instrText xml:space="preserve"> PAGEREF _Toc331 \h </w:instrText>
      </w:r>
      <w:r>
        <w:fldChar w:fldCharType="separate"/>
      </w:r>
      <w:r>
        <w:t>- 6 -</w:t>
      </w:r>
      <w:r>
        <w:fldChar w:fldCharType="end"/>
      </w:r>
      <w:r>
        <w:rPr>
          <w:rFonts w:hint="eastAsia" w:ascii="宋体" w:hAnsi="宋体" w:eastAsia="宋体" w:cs="宋体"/>
          <w:color w:val="auto"/>
          <w:szCs w:val="24"/>
          <w:highlight w:val="none"/>
        </w:rPr>
        <w:fldChar w:fldCharType="end"/>
      </w:r>
    </w:p>
    <w:p w14:paraId="7345A969">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_Toc8003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四、现场踏勘</w:t>
      </w:r>
      <w:r>
        <w:tab/>
      </w:r>
      <w:r>
        <w:fldChar w:fldCharType="begin"/>
      </w:r>
      <w:r>
        <w:instrText xml:space="preserve"> PAGEREF _Toc8003 \h </w:instrText>
      </w:r>
      <w:r>
        <w:fldChar w:fldCharType="separate"/>
      </w:r>
      <w:r>
        <w:t>- 6 -</w:t>
      </w:r>
      <w:r>
        <w:fldChar w:fldCharType="end"/>
      </w:r>
      <w:r>
        <w:rPr>
          <w:rFonts w:hint="eastAsia" w:ascii="宋体" w:hAnsi="宋体" w:eastAsia="宋体" w:cs="宋体"/>
          <w:color w:val="auto"/>
          <w:szCs w:val="24"/>
          <w:highlight w:val="none"/>
        </w:rPr>
        <w:fldChar w:fldCharType="end"/>
      </w:r>
    </w:p>
    <w:p w14:paraId="398D1111">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_Toc11078 </w:instrText>
      </w:r>
      <w:r>
        <w:rPr>
          <w:rFonts w:hint="eastAsia" w:ascii="宋体" w:hAnsi="宋体" w:eastAsia="宋体" w:cs="宋体"/>
          <w:szCs w:val="24"/>
          <w:highlight w:val="none"/>
        </w:rPr>
        <w:fldChar w:fldCharType="separate"/>
      </w:r>
      <w:r>
        <w:rPr>
          <w:rFonts w:hint="eastAsia" w:ascii="宋体" w:hAnsi="宋体" w:eastAsia="宋体" w:cs="宋体"/>
          <w:kern w:val="2"/>
          <w:szCs w:val="24"/>
          <w:highlight w:val="none"/>
          <w:lang w:val="en-US" w:eastAsia="zh-CN" w:bidi="ar-SA"/>
        </w:rPr>
        <w:t>五、人员配备要求</w:t>
      </w:r>
      <w:r>
        <w:tab/>
      </w:r>
      <w:r>
        <w:fldChar w:fldCharType="begin"/>
      </w:r>
      <w:r>
        <w:instrText xml:space="preserve"> PAGEREF _Toc11078 \h </w:instrText>
      </w:r>
      <w:r>
        <w:fldChar w:fldCharType="separate"/>
      </w:r>
      <w:r>
        <w:t>- 6 -</w:t>
      </w:r>
      <w:r>
        <w:fldChar w:fldCharType="end"/>
      </w:r>
      <w:r>
        <w:rPr>
          <w:rFonts w:hint="eastAsia" w:ascii="宋体" w:hAnsi="宋体" w:eastAsia="宋体" w:cs="宋体"/>
          <w:color w:val="auto"/>
          <w:szCs w:val="24"/>
          <w:highlight w:val="none"/>
        </w:rPr>
        <w:fldChar w:fldCharType="end"/>
      </w:r>
    </w:p>
    <w:p w14:paraId="31978FEB">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_Toc12776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rPr>
        <w:t>业绩要求</w:t>
      </w:r>
      <w:r>
        <w:tab/>
      </w:r>
      <w:r>
        <w:fldChar w:fldCharType="begin"/>
      </w:r>
      <w:r>
        <w:instrText xml:space="preserve"> PAGEREF _Toc12776 \h </w:instrText>
      </w:r>
      <w:r>
        <w:fldChar w:fldCharType="separate"/>
      </w:r>
      <w:r>
        <w:t>- 8 -</w:t>
      </w:r>
      <w:r>
        <w:fldChar w:fldCharType="end"/>
      </w:r>
      <w:r>
        <w:rPr>
          <w:rFonts w:hint="eastAsia" w:ascii="宋体" w:hAnsi="宋体" w:eastAsia="宋体" w:cs="宋体"/>
          <w:color w:val="auto"/>
          <w:szCs w:val="24"/>
          <w:highlight w:val="none"/>
        </w:rPr>
        <w:fldChar w:fldCharType="end"/>
      </w:r>
    </w:p>
    <w:p w14:paraId="4901D0E6">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_Toc18609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七、安全生产</w:t>
      </w:r>
      <w:r>
        <w:tab/>
      </w:r>
      <w:r>
        <w:fldChar w:fldCharType="begin"/>
      </w:r>
      <w:r>
        <w:instrText xml:space="preserve"> PAGEREF _Toc18609 \h </w:instrText>
      </w:r>
      <w:r>
        <w:fldChar w:fldCharType="separate"/>
      </w:r>
      <w:r>
        <w:t>- 8 -</w:t>
      </w:r>
      <w:r>
        <w:fldChar w:fldCharType="end"/>
      </w:r>
      <w:r>
        <w:rPr>
          <w:rFonts w:hint="eastAsia" w:ascii="宋体" w:hAnsi="宋体" w:eastAsia="宋体" w:cs="宋体"/>
          <w:color w:val="auto"/>
          <w:szCs w:val="24"/>
          <w:highlight w:val="none"/>
        </w:rPr>
        <w:fldChar w:fldCharType="end"/>
      </w:r>
    </w:p>
    <w:p w14:paraId="29A46D15">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_Toc17464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八、安全措施</w:t>
      </w:r>
      <w:r>
        <w:tab/>
      </w:r>
      <w:r>
        <w:fldChar w:fldCharType="begin"/>
      </w:r>
      <w:r>
        <w:instrText xml:space="preserve"> PAGEREF _Toc17464 \h </w:instrText>
      </w:r>
      <w:r>
        <w:fldChar w:fldCharType="separate"/>
      </w:r>
      <w:r>
        <w:t>- 9 -</w:t>
      </w:r>
      <w:r>
        <w:fldChar w:fldCharType="end"/>
      </w:r>
      <w:r>
        <w:rPr>
          <w:rFonts w:hint="eastAsia" w:ascii="宋体" w:hAnsi="宋体" w:eastAsia="宋体" w:cs="宋体"/>
          <w:color w:val="auto"/>
          <w:szCs w:val="24"/>
          <w:highlight w:val="none"/>
        </w:rPr>
        <w:fldChar w:fldCharType="end"/>
      </w:r>
    </w:p>
    <w:p w14:paraId="3AA30B8C">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_Toc4652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九、关于转、分包</w:t>
      </w:r>
      <w:r>
        <w:tab/>
      </w:r>
      <w:r>
        <w:fldChar w:fldCharType="begin"/>
      </w:r>
      <w:r>
        <w:instrText xml:space="preserve"> PAGEREF _Toc4652 \h </w:instrText>
      </w:r>
      <w:r>
        <w:fldChar w:fldCharType="separate"/>
      </w:r>
      <w:r>
        <w:t>- 9 -</w:t>
      </w:r>
      <w:r>
        <w:fldChar w:fldCharType="end"/>
      </w:r>
      <w:r>
        <w:rPr>
          <w:rFonts w:hint="eastAsia" w:ascii="宋体" w:hAnsi="宋体" w:eastAsia="宋体" w:cs="宋体"/>
          <w:color w:val="auto"/>
          <w:szCs w:val="24"/>
          <w:highlight w:val="none"/>
        </w:rPr>
        <w:fldChar w:fldCharType="end"/>
      </w:r>
    </w:p>
    <w:p w14:paraId="0B941627">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_Toc9764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十、其他</w:t>
      </w:r>
      <w:r>
        <w:tab/>
      </w:r>
      <w:r>
        <w:fldChar w:fldCharType="begin"/>
      </w:r>
      <w:r>
        <w:instrText xml:space="preserve"> PAGEREF _Toc9764 \h </w:instrText>
      </w:r>
      <w:r>
        <w:fldChar w:fldCharType="separate"/>
      </w:r>
      <w:r>
        <w:t>- 9 -</w:t>
      </w:r>
      <w:r>
        <w:fldChar w:fldCharType="end"/>
      </w:r>
      <w:r>
        <w:rPr>
          <w:rFonts w:hint="eastAsia" w:ascii="宋体" w:hAnsi="宋体" w:eastAsia="宋体" w:cs="宋体"/>
          <w:color w:val="auto"/>
          <w:szCs w:val="24"/>
          <w:highlight w:val="none"/>
        </w:rPr>
        <w:fldChar w:fldCharType="end"/>
      </w:r>
    </w:p>
    <w:p w14:paraId="21ACDA94">
      <w:pPr>
        <w:pStyle w:val="3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_Toc29294 </w:instrText>
      </w:r>
      <w:r>
        <w:rPr>
          <w:rFonts w:hint="eastAsia" w:ascii="宋体" w:hAnsi="宋体" w:eastAsia="宋体" w:cs="宋体"/>
          <w:szCs w:val="24"/>
          <w:highlight w:val="none"/>
        </w:rPr>
        <w:fldChar w:fldCharType="separate"/>
      </w:r>
      <w:r>
        <w:rPr>
          <w:rFonts w:hint="eastAsia" w:ascii="宋体" w:hAnsi="宋体" w:eastAsia="宋体" w:cs="宋体"/>
          <w:kern w:val="2"/>
          <w:szCs w:val="36"/>
          <w:highlight w:val="none"/>
          <w:lang w:val="en-US" w:eastAsia="zh-CN" w:bidi="ar-SA"/>
        </w:rPr>
        <w:t>第三篇  谈判项目服务需求</w:t>
      </w:r>
      <w:r>
        <w:tab/>
      </w:r>
      <w:r>
        <w:fldChar w:fldCharType="begin"/>
      </w:r>
      <w:r>
        <w:instrText xml:space="preserve"> PAGEREF _Toc29294 \h </w:instrText>
      </w:r>
      <w:r>
        <w:fldChar w:fldCharType="separate"/>
      </w:r>
      <w:r>
        <w:t>- 10 -</w:t>
      </w:r>
      <w:r>
        <w:fldChar w:fldCharType="end"/>
      </w:r>
      <w:r>
        <w:rPr>
          <w:rFonts w:hint="eastAsia" w:ascii="宋体" w:hAnsi="宋体" w:eastAsia="宋体" w:cs="宋体"/>
          <w:color w:val="auto"/>
          <w:szCs w:val="24"/>
          <w:highlight w:val="none"/>
        </w:rPr>
        <w:fldChar w:fldCharType="end"/>
      </w:r>
    </w:p>
    <w:p w14:paraId="48F5B019">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_Toc12267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一、</w:t>
      </w:r>
      <w:r>
        <w:rPr>
          <w:rFonts w:hint="eastAsia" w:ascii="宋体" w:hAnsi="宋体" w:eastAsia="宋体" w:cs="宋体"/>
          <w:szCs w:val="24"/>
          <w:highlight w:val="none"/>
          <w:lang w:val="en-US" w:eastAsia="zh-CN"/>
        </w:rPr>
        <w:t>工期</w:t>
      </w:r>
      <w:r>
        <w:rPr>
          <w:rFonts w:hint="eastAsia" w:ascii="宋体" w:hAnsi="宋体" w:eastAsia="宋体" w:cs="宋体"/>
          <w:szCs w:val="24"/>
          <w:highlight w:val="none"/>
        </w:rPr>
        <w:t>、地点</w:t>
      </w:r>
      <w:r>
        <w:rPr>
          <w:rFonts w:hint="eastAsia" w:ascii="宋体" w:hAnsi="宋体" w:eastAsia="宋体" w:cs="宋体"/>
          <w:szCs w:val="24"/>
          <w:highlight w:val="none"/>
          <w:lang w:eastAsia="zh-CN"/>
        </w:rPr>
        <w:t>、</w:t>
      </w:r>
      <w:r>
        <w:rPr>
          <w:rFonts w:hint="eastAsia" w:ascii="宋体" w:hAnsi="宋体" w:eastAsia="宋体" w:cs="宋体"/>
          <w:szCs w:val="24"/>
          <w:highlight w:val="none"/>
        </w:rPr>
        <w:t>验收</w:t>
      </w:r>
      <w:r>
        <w:rPr>
          <w:rFonts w:hint="eastAsia" w:ascii="宋体" w:hAnsi="宋体" w:eastAsia="宋体" w:cs="宋体"/>
          <w:szCs w:val="24"/>
          <w:highlight w:val="none"/>
          <w:lang w:val="en-US" w:eastAsia="zh-CN"/>
        </w:rPr>
        <w:t>及付款</w:t>
      </w:r>
      <w:r>
        <w:tab/>
      </w:r>
      <w:r>
        <w:fldChar w:fldCharType="begin"/>
      </w:r>
      <w:r>
        <w:instrText xml:space="preserve"> PAGEREF _Toc12267 \h </w:instrText>
      </w:r>
      <w:r>
        <w:fldChar w:fldCharType="separate"/>
      </w:r>
      <w:r>
        <w:t>- 10 -</w:t>
      </w:r>
      <w:r>
        <w:fldChar w:fldCharType="end"/>
      </w:r>
      <w:r>
        <w:rPr>
          <w:rFonts w:hint="eastAsia" w:ascii="宋体" w:hAnsi="宋体" w:eastAsia="宋体" w:cs="宋体"/>
          <w:color w:val="auto"/>
          <w:szCs w:val="24"/>
          <w:highlight w:val="none"/>
        </w:rPr>
        <w:fldChar w:fldCharType="end"/>
      </w:r>
    </w:p>
    <w:p w14:paraId="23FC033D">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_Toc8087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二、报价要求</w:t>
      </w:r>
      <w:r>
        <w:tab/>
      </w:r>
      <w:r>
        <w:fldChar w:fldCharType="begin"/>
      </w:r>
      <w:r>
        <w:instrText xml:space="preserve"> PAGEREF _Toc8087 \h </w:instrText>
      </w:r>
      <w:r>
        <w:fldChar w:fldCharType="separate"/>
      </w:r>
      <w:r>
        <w:t>- 10 -</w:t>
      </w:r>
      <w:r>
        <w:fldChar w:fldCharType="end"/>
      </w:r>
      <w:r>
        <w:rPr>
          <w:rFonts w:hint="eastAsia" w:ascii="宋体" w:hAnsi="宋体" w:eastAsia="宋体" w:cs="宋体"/>
          <w:color w:val="auto"/>
          <w:szCs w:val="24"/>
          <w:highlight w:val="none"/>
        </w:rPr>
        <w:fldChar w:fldCharType="end"/>
      </w:r>
    </w:p>
    <w:p w14:paraId="5F9B90E3">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_Toc27293 </w:instrText>
      </w:r>
      <w:r>
        <w:rPr>
          <w:rFonts w:hint="eastAsia" w:ascii="宋体" w:hAnsi="宋体" w:eastAsia="宋体" w:cs="宋体"/>
          <w:szCs w:val="24"/>
          <w:highlight w:val="none"/>
        </w:rPr>
        <w:fldChar w:fldCharType="separate"/>
      </w:r>
      <w:r>
        <w:rPr>
          <w:rFonts w:hint="eastAsia" w:ascii="宋体" w:hAnsi="宋体" w:eastAsia="宋体" w:cs="宋体"/>
          <w:kern w:val="2"/>
          <w:szCs w:val="24"/>
          <w:highlight w:val="none"/>
          <w:lang w:val="en-US" w:eastAsia="zh-CN" w:bidi="ar-SA"/>
        </w:rPr>
        <w:t>三、结算原则</w:t>
      </w:r>
      <w:r>
        <w:tab/>
      </w:r>
      <w:r>
        <w:fldChar w:fldCharType="begin"/>
      </w:r>
      <w:r>
        <w:instrText xml:space="preserve"> PAGEREF _Toc27293 \h </w:instrText>
      </w:r>
      <w:r>
        <w:fldChar w:fldCharType="separate"/>
      </w:r>
      <w:r>
        <w:t>- 12 -</w:t>
      </w:r>
      <w:r>
        <w:fldChar w:fldCharType="end"/>
      </w:r>
      <w:r>
        <w:rPr>
          <w:rFonts w:hint="eastAsia" w:ascii="宋体" w:hAnsi="宋体" w:eastAsia="宋体" w:cs="宋体"/>
          <w:color w:val="auto"/>
          <w:szCs w:val="24"/>
          <w:highlight w:val="none"/>
        </w:rPr>
        <w:fldChar w:fldCharType="end"/>
      </w:r>
    </w:p>
    <w:p w14:paraId="1773D530">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_Toc17437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四、履约保证金</w:t>
      </w:r>
      <w:r>
        <w:tab/>
      </w:r>
      <w:r>
        <w:fldChar w:fldCharType="begin"/>
      </w:r>
      <w:r>
        <w:instrText xml:space="preserve"> PAGEREF _Toc17437 \h </w:instrText>
      </w:r>
      <w:r>
        <w:fldChar w:fldCharType="separate"/>
      </w:r>
      <w:r>
        <w:t>- 12 -</w:t>
      </w:r>
      <w:r>
        <w:fldChar w:fldCharType="end"/>
      </w:r>
      <w:r>
        <w:rPr>
          <w:rFonts w:hint="eastAsia" w:ascii="宋体" w:hAnsi="宋体" w:eastAsia="宋体" w:cs="宋体"/>
          <w:color w:val="auto"/>
          <w:szCs w:val="24"/>
          <w:highlight w:val="none"/>
        </w:rPr>
        <w:fldChar w:fldCharType="end"/>
      </w:r>
    </w:p>
    <w:p w14:paraId="1D31B1C4">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_Toc11738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五、质量保证金</w:t>
      </w:r>
      <w:r>
        <w:tab/>
      </w:r>
      <w:r>
        <w:fldChar w:fldCharType="begin"/>
      </w:r>
      <w:r>
        <w:instrText xml:space="preserve"> PAGEREF _Toc11738 \h </w:instrText>
      </w:r>
      <w:r>
        <w:fldChar w:fldCharType="separate"/>
      </w:r>
      <w:r>
        <w:t>- 12 -</w:t>
      </w:r>
      <w:r>
        <w:fldChar w:fldCharType="end"/>
      </w:r>
      <w:r>
        <w:rPr>
          <w:rFonts w:hint="eastAsia" w:ascii="宋体" w:hAnsi="宋体" w:eastAsia="宋体" w:cs="宋体"/>
          <w:color w:val="auto"/>
          <w:szCs w:val="24"/>
          <w:highlight w:val="none"/>
        </w:rPr>
        <w:fldChar w:fldCharType="end"/>
      </w:r>
    </w:p>
    <w:p w14:paraId="550A7209">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_Toc23576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六、质保期</w:t>
      </w:r>
      <w:r>
        <w:tab/>
      </w:r>
      <w:r>
        <w:fldChar w:fldCharType="begin"/>
      </w:r>
      <w:r>
        <w:instrText xml:space="preserve"> PAGEREF _Toc23576 \h </w:instrText>
      </w:r>
      <w:r>
        <w:fldChar w:fldCharType="separate"/>
      </w:r>
      <w:r>
        <w:t>- 12 -</w:t>
      </w:r>
      <w:r>
        <w:fldChar w:fldCharType="end"/>
      </w:r>
      <w:r>
        <w:rPr>
          <w:rFonts w:hint="eastAsia" w:ascii="宋体" w:hAnsi="宋体" w:eastAsia="宋体" w:cs="宋体"/>
          <w:color w:val="auto"/>
          <w:szCs w:val="24"/>
          <w:highlight w:val="none"/>
        </w:rPr>
        <w:fldChar w:fldCharType="end"/>
      </w:r>
    </w:p>
    <w:p w14:paraId="68126CA1">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_Toc25708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七、知识产权</w:t>
      </w:r>
      <w:r>
        <w:tab/>
      </w:r>
      <w:r>
        <w:fldChar w:fldCharType="begin"/>
      </w:r>
      <w:r>
        <w:instrText xml:space="preserve"> PAGEREF _Toc25708 \h </w:instrText>
      </w:r>
      <w:r>
        <w:fldChar w:fldCharType="separate"/>
      </w:r>
      <w:r>
        <w:t>- 12 -</w:t>
      </w:r>
      <w:r>
        <w:fldChar w:fldCharType="end"/>
      </w:r>
      <w:r>
        <w:rPr>
          <w:rFonts w:hint="eastAsia" w:ascii="宋体" w:hAnsi="宋体" w:eastAsia="宋体" w:cs="宋体"/>
          <w:color w:val="auto"/>
          <w:szCs w:val="24"/>
          <w:highlight w:val="none"/>
        </w:rPr>
        <w:fldChar w:fldCharType="end"/>
      </w:r>
    </w:p>
    <w:p w14:paraId="1EAB2611">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_Toc20985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八、其他</w:t>
      </w:r>
      <w:r>
        <w:tab/>
      </w:r>
      <w:r>
        <w:fldChar w:fldCharType="begin"/>
      </w:r>
      <w:r>
        <w:instrText xml:space="preserve"> PAGEREF _Toc20985 \h </w:instrText>
      </w:r>
      <w:r>
        <w:fldChar w:fldCharType="separate"/>
      </w:r>
      <w:r>
        <w:t>- 12 -</w:t>
      </w:r>
      <w:r>
        <w:fldChar w:fldCharType="end"/>
      </w:r>
      <w:r>
        <w:rPr>
          <w:rFonts w:hint="eastAsia" w:ascii="宋体" w:hAnsi="宋体" w:eastAsia="宋体" w:cs="宋体"/>
          <w:color w:val="auto"/>
          <w:szCs w:val="24"/>
          <w:highlight w:val="none"/>
        </w:rPr>
        <w:fldChar w:fldCharType="end"/>
      </w:r>
    </w:p>
    <w:p w14:paraId="45FDE57B">
      <w:pPr>
        <w:pStyle w:val="3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_Toc30368 </w:instrText>
      </w:r>
      <w:r>
        <w:rPr>
          <w:rFonts w:hint="eastAsia" w:ascii="宋体" w:hAnsi="宋体" w:eastAsia="宋体" w:cs="宋体"/>
          <w:szCs w:val="24"/>
          <w:highlight w:val="none"/>
        </w:rPr>
        <w:fldChar w:fldCharType="separate"/>
      </w:r>
      <w:r>
        <w:rPr>
          <w:rFonts w:hint="eastAsia" w:ascii="宋体" w:hAnsi="宋体" w:eastAsia="宋体" w:cs="宋体"/>
          <w:kern w:val="2"/>
          <w:szCs w:val="36"/>
          <w:highlight w:val="none"/>
          <w:lang w:val="en-US" w:eastAsia="zh-CN" w:bidi="ar-SA"/>
        </w:rPr>
        <w:t>第四篇  采购程序、评定成交的标准、无效谈判及采购终止</w:t>
      </w:r>
      <w:r>
        <w:tab/>
      </w:r>
      <w:r>
        <w:fldChar w:fldCharType="begin"/>
      </w:r>
      <w:r>
        <w:instrText xml:space="preserve"> PAGEREF _Toc30368 \h </w:instrText>
      </w:r>
      <w:r>
        <w:fldChar w:fldCharType="separate"/>
      </w:r>
      <w:r>
        <w:t>- 13 -</w:t>
      </w:r>
      <w:r>
        <w:fldChar w:fldCharType="end"/>
      </w:r>
      <w:r>
        <w:rPr>
          <w:rFonts w:hint="eastAsia" w:ascii="宋体" w:hAnsi="宋体" w:eastAsia="宋体" w:cs="宋体"/>
          <w:color w:val="auto"/>
          <w:szCs w:val="24"/>
          <w:highlight w:val="none"/>
        </w:rPr>
        <w:fldChar w:fldCharType="end"/>
      </w:r>
    </w:p>
    <w:p w14:paraId="7D4C9BBA">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_Toc32244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一、采购程序</w:t>
      </w:r>
      <w:r>
        <w:tab/>
      </w:r>
      <w:r>
        <w:fldChar w:fldCharType="begin"/>
      </w:r>
      <w:r>
        <w:instrText xml:space="preserve"> PAGEREF _Toc32244 \h </w:instrText>
      </w:r>
      <w:r>
        <w:fldChar w:fldCharType="separate"/>
      </w:r>
      <w:r>
        <w:t>- 13 -</w:t>
      </w:r>
      <w:r>
        <w:fldChar w:fldCharType="end"/>
      </w:r>
      <w:r>
        <w:rPr>
          <w:rFonts w:hint="eastAsia" w:ascii="宋体" w:hAnsi="宋体" w:eastAsia="宋体" w:cs="宋体"/>
          <w:color w:val="auto"/>
          <w:szCs w:val="24"/>
          <w:highlight w:val="none"/>
        </w:rPr>
        <w:fldChar w:fldCharType="end"/>
      </w:r>
    </w:p>
    <w:p w14:paraId="2D9598B2">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_Toc4243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二、评定成交的标准</w:t>
      </w:r>
      <w:r>
        <w:tab/>
      </w:r>
      <w:r>
        <w:fldChar w:fldCharType="begin"/>
      </w:r>
      <w:r>
        <w:instrText xml:space="preserve"> PAGEREF _Toc4243 \h </w:instrText>
      </w:r>
      <w:r>
        <w:fldChar w:fldCharType="separate"/>
      </w:r>
      <w:r>
        <w:t>- 15 -</w:t>
      </w:r>
      <w:r>
        <w:fldChar w:fldCharType="end"/>
      </w:r>
      <w:r>
        <w:rPr>
          <w:rFonts w:hint="eastAsia" w:ascii="宋体" w:hAnsi="宋体" w:eastAsia="宋体" w:cs="宋体"/>
          <w:color w:val="auto"/>
          <w:szCs w:val="24"/>
          <w:highlight w:val="none"/>
        </w:rPr>
        <w:fldChar w:fldCharType="end"/>
      </w:r>
    </w:p>
    <w:p w14:paraId="28204DD6">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_Toc1432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三、无效谈判</w:t>
      </w:r>
      <w:r>
        <w:tab/>
      </w:r>
      <w:r>
        <w:fldChar w:fldCharType="begin"/>
      </w:r>
      <w:r>
        <w:instrText xml:space="preserve"> PAGEREF _Toc1432 \h </w:instrText>
      </w:r>
      <w:r>
        <w:fldChar w:fldCharType="separate"/>
      </w:r>
      <w:r>
        <w:t>- 15 -</w:t>
      </w:r>
      <w:r>
        <w:fldChar w:fldCharType="end"/>
      </w:r>
      <w:r>
        <w:rPr>
          <w:rFonts w:hint="eastAsia" w:ascii="宋体" w:hAnsi="宋体" w:eastAsia="宋体" w:cs="宋体"/>
          <w:color w:val="auto"/>
          <w:szCs w:val="24"/>
          <w:highlight w:val="none"/>
        </w:rPr>
        <w:fldChar w:fldCharType="end"/>
      </w:r>
    </w:p>
    <w:p w14:paraId="77897960">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_Toc27601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四、采购终止</w:t>
      </w:r>
      <w:r>
        <w:tab/>
      </w:r>
      <w:r>
        <w:fldChar w:fldCharType="begin"/>
      </w:r>
      <w:r>
        <w:instrText xml:space="preserve"> PAGEREF _Toc27601 \h </w:instrText>
      </w:r>
      <w:r>
        <w:fldChar w:fldCharType="separate"/>
      </w:r>
      <w:r>
        <w:t>- 16 -</w:t>
      </w:r>
      <w:r>
        <w:fldChar w:fldCharType="end"/>
      </w:r>
      <w:r>
        <w:rPr>
          <w:rFonts w:hint="eastAsia" w:ascii="宋体" w:hAnsi="宋体" w:eastAsia="宋体" w:cs="宋体"/>
          <w:color w:val="auto"/>
          <w:szCs w:val="24"/>
          <w:highlight w:val="none"/>
        </w:rPr>
        <w:fldChar w:fldCharType="end"/>
      </w:r>
    </w:p>
    <w:p w14:paraId="050F8752">
      <w:pPr>
        <w:pStyle w:val="3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_Toc17785 </w:instrText>
      </w:r>
      <w:r>
        <w:rPr>
          <w:rFonts w:hint="eastAsia" w:ascii="宋体" w:hAnsi="宋体" w:eastAsia="宋体" w:cs="宋体"/>
          <w:szCs w:val="24"/>
          <w:highlight w:val="none"/>
        </w:rPr>
        <w:fldChar w:fldCharType="separate"/>
      </w:r>
      <w:r>
        <w:rPr>
          <w:rFonts w:hint="eastAsia" w:ascii="宋体" w:hAnsi="宋体" w:eastAsia="宋体" w:cs="宋体"/>
          <w:kern w:val="2"/>
          <w:szCs w:val="36"/>
          <w:highlight w:val="none"/>
          <w:lang w:val="en-US" w:eastAsia="zh-CN" w:bidi="ar-SA"/>
        </w:rPr>
        <w:t>第五篇  供应商须知</w:t>
      </w:r>
      <w:r>
        <w:tab/>
      </w:r>
      <w:r>
        <w:fldChar w:fldCharType="begin"/>
      </w:r>
      <w:r>
        <w:instrText xml:space="preserve"> PAGEREF _Toc17785 \h </w:instrText>
      </w:r>
      <w:r>
        <w:fldChar w:fldCharType="separate"/>
      </w:r>
      <w:r>
        <w:t>- 17 -</w:t>
      </w:r>
      <w:r>
        <w:fldChar w:fldCharType="end"/>
      </w:r>
      <w:r>
        <w:rPr>
          <w:rFonts w:hint="eastAsia" w:ascii="宋体" w:hAnsi="宋体" w:eastAsia="宋体" w:cs="宋体"/>
          <w:color w:val="auto"/>
          <w:szCs w:val="24"/>
          <w:highlight w:val="none"/>
        </w:rPr>
        <w:fldChar w:fldCharType="end"/>
      </w:r>
    </w:p>
    <w:p w14:paraId="069050B3">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_Toc16117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一、谈判费用</w:t>
      </w:r>
      <w:r>
        <w:tab/>
      </w:r>
      <w:r>
        <w:fldChar w:fldCharType="begin"/>
      </w:r>
      <w:r>
        <w:instrText xml:space="preserve"> PAGEREF _Toc16117 \h </w:instrText>
      </w:r>
      <w:r>
        <w:fldChar w:fldCharType="separate"/>
      </w:r>
      <w:r>
        <w:t>- 17 -</w:t>
      </w:r>
      <w:r>
        <w:fldChar w:fldCharType="end"/>
      </w:r>
      <w:r>
        <w:rPr>
          <w:rFonts w:hint="eastAsia" w:ascii="宋体" w:hAnsi="宋体" w:eastAsia="宋体" w:cs="宋体"/>
          <w:color w:val="auto"/>
          <w:szCs w:val="24"/>
          <w:highlight w:val="none"/>
        </w:rPr>
        <w:fldChar w:fldCharType="end"/>
      </w:r>
    </w:p>
    <w:p w14:paraId="08869CC2">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_Toc31958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二、竞争性谈判文件</w:t>
      </w:r>
      <w:r>
        <w:tab/>
      </w:r>
      <w:r>
        <w:fldChar w:fldCharType="begin"/>
      </w:r>
      <w:r>
        <w:instrText xml:space="preserve"> PAGEREF _Toc31958 \h </w:instrText>
      </w:r>
      <w:r>
        <w:fldChar w:fldCharType="separate"/>
      </w:r>
      <w:r>
        <w:t>- 17 -</w:t>
      </w:r>
      <w:r>
        <w:fldChar w:fldCharType="end"/>
      </w:r>
      <w:r>
        <w:rPr>
          <w:rFonts w:hint="eastAsia" w:ascii="宋体" w:hAnsi="宋体" w:eastAsia="宋体" w:cs="宋体"/>
          <w:color w:val="auto"/>
          <w:szCs w:val="24"/>
          <w:highlight w:val="none"/>
        </w:rPr>
        <w:fldChar w:fldCharType="end"/>
      </w:r>
    </w:p>
    <w:p w14:paraId="3E19E90A">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_Toc19238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三、谈判要求</w:t>
      </w:r>
      <w:r>
        <w:tab/>
      </w:r>
      <w:r>
        <w:fldChar w:fldCharType="begin"/>
      </w:r>
      <w:r>
        <w:instrText xml:space="preserve"> PAGEREF _Toc19238 \h </w:instrText>
      </w:r>
      <w:r>
        <w:fldChar w:fldCharType="separate"/>
      </w:r>
      <w:r>
        <w:t>- 17 -</w:t>
      </w:r>
      <w:r>
        <w:fldChar w:fldCharType="end"/>
      </w:r>
      <w:r>
        <w:rPr>
          <w:rFonts w:hint="eastAsia" w:ascii="宋体" w:hAnsi="宋体" w:eastAsia="宋体" w:cs="宋体"/>
          <w:color w:val="auto"/>
          <w:szCs w:val="24"/>
          <w:highlight w:val="none"/>
        </w:rPr>
        <w:fldChar w:fldCharType="end"/>
      </w:r>
    </w:p>
    <w:p w14:paraId="10348B7C">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_Toc29586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四、成交供应商的确定和变更</w:t>
      </w:r>
      <w:r>
        <w:tab/>
      </w:r>
      <w:r>
        <w:fldChar w:fldCharType="begin"/>
      </w:r>
      <w:r>
        <w:instrText xml:space="preserve"> PAGEREF _Toc29586 \h </w:instrText>
      </w:r>
      <w:r>
        <w:fldChar w:fldCharType="separate"/>
      </w:r>
      <w:r>
        <w:t>- 18 -</w:t>
      </w:r>
      <w:r>
        <w:fldChar w:fldCharType="end"/>
      </w:r>
      <w:r>
        <w:rPr>
          <w:rFonts w:hint="eastAsia" w:ascii="宋体" w:hAnsi="宋体" w:eastAsia="宋体" w:cs="宋体"/>
          <w:color w:val="auto"/>
          <w:szCs w:val="24"/>
          <w:highlight w:val="none"/>
        </w:rPr>
        <w:fldChar w:fldCharType="end"/>
      </w:r>
    </w:p>
    <w:p w14:paraId="26A30A45">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_Toc32422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五、成交通知</w:t>
      </w:r>
      <w:r>
        <w:tab/>
      </w:r>
      <w:r>
        <w:fldChar w:fldCharType="begin"/>
      </w:r>
      <w:r>
        <w:instrText xml:space="preserve"> PAGEREF _Toc32422 \h </w:instrText>
      </w:r>
      <w:r>
        <w:fldChar w:fldCharType="separate"/>
      </w:r>
      <w:r>
        <w:t>- 19 -</w:t>
      </w:r>
      <w:r>
        <w:fldChar w:fldCharType="end"/>
      </w:r>
      <w:r>
        <w:rPr>
          <w:rFonts w:hint="eastAsia" w:ascii="宋体" w:hAnsi="宋体" w:eastAsia="宋体" w:cs="宋体"/>
          <w:color w:val="auto"/>
          <w:szCs w:val="24"/>
          <w:highlight w:val="none"/>
        </w:rPr>
        <w:fldChar w:fldCharType="end"/>
      </w:r>
    </w:p>
    <w:p w14:paraId="52330B4B">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_Toc21775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六、关于质疑和投诉</w:t>
      </w:r>
      <w:r>
        <w:tab/>
      </w:r>
      <w:r>
        <w:fldChar w:fldCharType="begin"/>
      </w:r>
      <w:r>
        <w:instrText xml:space="preserve"> PAGEREF _Toc21775 \h </w:instrText>
      </w:r>
      <w:r>
        <w:fldChar w:fldCharType="separate"/>
      </w:r>
      <w:r>
        <w:t>- 19 -</w:t>
      </w:r>
      <w:r>
        <w:fldChar w:fldCharType="end"/>
      </w:r>
      <w:r>
        <w:rPr>
          <w:rFonts w:hint="eastAsia" w:ascii="宋体" w:hAnsi="宋体" w:eastAsia="宋体" w:cs="宋体"/>
          <w:color w:val="auto"/>
          <w:szCs w:val="24"/>
          <w:highlight w:val="none"/>
        </w:rPr>
        <w:fldChar w:fldCharType="end"/>
      </w:r>
    </w:p>
    <w:p w14:paraId="65BEDC26">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_Toc7386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七、签订合同</w:t>
      </w:r>
      <w:r>
        <w:tab/>
      </w:r>
      <w:r>
        <w:fldChar w:fldCharType="begin"/>
      </w:r>
      <w:r>
        <w:instrText xml:space="preserve"> PAGEREF _Toc7386 \h </w:instrText>
      </w:r>
      <w:r>
        <w:fldChar w:fldCharType="separate"/>
      </w:r>
      <w:r>
        <w:t>- 20 -</w:t>
      </w:r>
      <w:r>
        <w:fldChar w:fldCharType="end"/>
      </w:r>
      <w:r>
        <w:rPr>
          <w:rFonts w:hint="eastAsia" w:ascii="宋体" w:hAnsi="宋体" w:eastAsia="宋体" w:cs="宋体"/>
          <w:color w:val="auto"/>
          <w:szCs w:val="24"/>
          <w:highlight w:val="none"/>
        </w:rPr>
        <w:fldChar w:fldCharType="end"/>
      </w:r>
    </w:p>
    <w:p w14:paraId="21887655">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_Toc3738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八、项目验收</w:t>
      </w:r>
      <w:r>
        <w:tab/>
      </w:r>
      <w:r>
        <w:fldChar w:fldCharType="begin"/>
      </w:r>
      <w:r>
        <w:instrText xml:space="preserve"> PAGEREF _Toc3738 \h </w:instrText>
      </w:r>
      <w:r>
        <w:fldChar w:fldCharType="separate"/>
      </w:r>
      <w:r>
        <w:t>- 20 -</w:t>
      </w:r>
      <w:r>
        <w:fldChar w:fldCharType="end"/>
      </w:r>
      <w:r>
        <w:rPr>
          <w:rFonts w:hint="eastAsia" w:ascii="宋体" w:hAnsi="宋体" w:eastAsia="宋体" w:cs="宋体"/>
          <w:color w:val="auto"/>
          <w:szCs w:val="24"/>
          <w:highlight w:val="none"/>
        </w:rPr>
        <w:fldChar w:fldCharType="end"/>
      </w:r>
    </w:p>
    <w:p w14:paraId="55981F17">
      <w:pPr>
        <w:pStyle w:val="3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_Toc8037 </w:instrText>
      </w:r>
      <w:r>
        <w:rPr>
          <w:rFonts w:hint="eastAsia" w:ascii="宋体" w:hAnsi="宋体" w:eastAsia="宋体" w:cs="宋体"/>
          <w:szCs w:val="24"/>
          <w:highlight w:val="none"/>
        </w:rPr>
        <w:fldChar w:fldCharType="separate"/>
      </w:r>
      <w:r>
        <w:rPr>
          <w:rFonts w:hint="eastAsia" w:ascii="宋体" w:hAnsi="宋体" w:eastAsia="宋体" w:cs="宋体"/>
          <w:kern w:val="2"/>
          <w:szCs w:val="36"/>
          <w:highlight w:val="none"/>
          <w:lang w:val="en-US" w:eastAsia="zh-CN" w:bidi="ar-SA"/>
        </w:rPr>
        <w:t>第六篇  合同条款及格式</w:t>
      </w:r>
      <w:r>
        <w:tab/>
      </w:r>
      <w:r>
        <w:fldChar w:fldCharType="begin"/>
      </w:r>
      <w:r>
        <w:instrText xml:space="preserve"> PAGEREF _Toc8037 \h </w:instrText>
      </w:r>
      <w:r>
        <w:fldChar w:fldCharType="separate"/>
      </w:r>
      <w:r>
        <w:t>22</w:t>
      </w:r>
      <w:r>
        <w:fldChar w:fldCharType="end"/>
      </w:r>
      <w:r>
        <w:rPr>
          <w:rFonts w:hint="eastAsia" w:ascii="宋体" w:hAnsi="宋体" w:eastAsia="宋体" w:cs="宋体"/>
          <w:color w:val="auto"/>
          <w:szCs w:val="24"/>
          <w:highlight w:val="none"/>
        </w:rPr>
        <w:fldChar w:fldCharType="end"/>
      </w:r>
    </w:p>
    <w:p w14:paraId="64BE83AD">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_Toc13969 </w:instrText>
      </w:r>
      <w:r>
        <w:rPr>
          <w:rFonts w:hint="eastAsia" w:ascii="宋体" w:hAnsi="宋体" w:eastAsia="宋体" w:cs="宋体"/>
          <w:szCs w:val="24"/>
          <w:highlight w:val="none"/>
        </w:rPr>
        <w:fldChar w:fldCharType="separate"/>
      </w:r>
      <w:r>
        <w:rPr>
          <w:rFonts w:ascii="宋体" w:hAnsi="宋体"/>
          <w:szCs w:val="44"/>
        </w:rPr>
        <w:t>第一部分 合同协议书</w:t>
      </w:r>
      <w:r>
        <w:tab/>
      </w:r>
      <w:r>
        <w:fldChar w:fldCharType="begin"/>
      </w:r>
      <w:r>
        <w:instrText xml:space="preserve"> PAGEREF _Toc13969 \h </w:instrText>
      </w:r>
      <w:r>
        <w:fldChar w:fldCharType="separate"/>
      </w:r>
      <w:r>
        <w:t>- 24 -</w:t>
      </w:r>
      <w:r>
        <w:fldChar w:fldCharType="end"/>
      </w:r>
      <w:r>
        <w:rPr>
          <w:rFonts w:hint="eastAsia" w:ascii="宋体" w:hAnsi="宋体" w:eastAsia="宋体" w:cs="宋体"/>
          <w:color w:val="auto"/>
          <w:szCs w:val="24"/>
          <w:highlight w:val="none"/>
        </w:rPr>
        <w:fldChar w:fldCharType="end"/>
      </w:r>
    </w:p>
    <w:p w14:paraId="7755ABC2">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_Toc24915 </w:instrText>
      </w:r>
      <w:r>
        <w:rPr>
          <w:rFonts w:hint="eastAsia" w:ascii="宋体" w:hAnsi="宋体" w:eastAsia="宋体" w:cs="宋体"/>
          <w:szCs w:val="24"/>
          <w:highlight w:val="none"/>
        </w:rPr>
        <w:fldChar w:fldCharType="separate"/>
      </w:r>
      <w:r>
        <w:rPr>
          <w:rFonts w:hint="eastAsia" w:ascii="宋体" w:hAnsi="宋体"/>
          <w:szCs w:val="44"/>
        </w:rPr>
        <w:t>第二部分 通用合同条款</w:t>
      </w:r>
      <w:r>
        <w:tab/>
      </w:r>
      <w:r>
        <w:fldChar w:fldCharType="begin"/>
      </w:r>
      <w:r>
        <w:instrText xml:space="preserve"> PAGEREF _Toc24915 \h </w:instrText>
      </w:r>
      <w:r>
        <w:fldChar w:fldCharType="separate"/>
      </w:r>
      <w:r>
        <w:t>- 29 -</w:t>
      </w:r>
      <w:r>
        <w:fldChar w:fldCharType="end"/>
      </w:r>
      <w:r>
        <w:rPr>
          <w:rFonts w:hint="eastAsia" w:ascii="宋体" w:hAnsi="宋体" w:eastAsia="宋体" w:cs="宋体"/>
          <w:color w:val="auto"/>
          <w:szCs w:val="24"/>
          <w:highlight w:val="none"/>
        </w:rPr>
        <w:fldChar w:fldCharType="end"/>
      </w:r>
    </w:p>
    <w:p w14:paraId="7BA333DA">
      <w:pPr>
        <w:pStyle w:val="30"/>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_Toc26990 </w:instrText>
      </w:r>
      <w:r>
        <w:rPr>
          <w:rFonts w:hint="eastAsia" w:ascii="宋体" w:hAnsi="宋体" w:eastAsia="宋体" w:cs="宋体"/>
          <w:szCs w:val="24"/>
          <w:highlight w:val="none"/>
        </w:rPr>
        <w:fldChar w:fldCharType="separate"/>
      </w:r>
      <w:r>
        <w:rPr>
          <w:rFonts w:hint="eastAsia" w:ascii="宋体" w:hAnsi="宋体"/>
          <w:szCs w:val="44"/>
        </w:rPr>
        <w:t>第三部分 专用合同条款</w:t>
      </w:r>
      <w:r>
        <w:tab/>
      </w:r>
      <w:r>
        <w:fldChar w:fldCharType="begin"/>
      </w:r>
      <w:r>
        <w:instrText xml:space="preserve"> PAGEREF _Toc26990 \h </w:instrText>
      </w:r>
      <w:r>
        <w:fldChar w:fldCharType="separate"/>
      </w:r>
      <w:r>
        <w:t>- 101 -</w:t>
      </w:r>
      <w:r>
        <w:fldChar w:fldCharType="end"/>
      </w:r>
      <w:r>
        <w:rPr>
          <w:rFonts w:hint="eastAsia" w:ascii="宋体" w:hAnsi="宋体" w:eastAsia="宋体" w:cs="宋体"/>
          <w:color w:val="auto"/>
          <w:szCs w:val="24"/>
          <w:highlight w:val="none"/>
        </w:rPr>
        <w:fldChar w:fldCharType="end"/>
      </w:r>
    </w:p>
    <w:p w14:paraId="4684B466">
      <w:pPr>
        <w:pStyle w:val="3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_Toc27751 </w:instrText>
      </w:r>
      <w:r>
        <w:rPr>
          <w:rFonts w:hint="eastAsia" w:ascii="宋体" w:hAnsi="宋体" w:eastAsia="宋体" w:cs="宋体"/>
          <w:szCs w:val="24"/>
          <w:highlight w:val="none"/>
        </w:rPr>
        <w:fldChar w:fldCharType="separate"/>
      </w:r>
      <w:r>
        <w:rPr>
          <w:rFonts w:hint="eastAsia" w:ascii="宋体" w:hAnsi="宋体" w:eastAsia="宋体" w:cs="宋体"/>
          <w:kern w:val="2"/>
          <w:szCs w:val="36"/>
          <w:highlight w:val="none"/>
          <w:lang w:val="en-US" w:eastAsia="zh-CN" w:bidi="ar-SA"/>
        </w:rPr>
        <w:t>第七篇  响应文件格式要求</w:t>
      </w:r>
      <w:r>
        <w:tab/>
      </w:r>
      <w:r>
        <w:fldChar w:fldCharType="begin"/>
      </w:r>
      <w:r>
        <w:instrText xml:space="preserve"> PAGEREF _Toc27751 \h </w:instrText>
      </w:r>
      <w:r>
        <w:fldChar w:fldCharType="separate"/>
      </w:r>
      <w:r>
        <w:t>- 183 -</w:t>
      </w:r>
      <w:r>
        <w:fldChar w:fldCharType="end"/>
      </w:r>
      <w:r>
        <w:rPr>
          <w:rFonts w:hint="eastAsia" w:ascii="宋体" w:hAnsi="宋体" w:eastAsia="宋体" w:cs="宋体"/>
          <w:color w:val="auto"/>
          <w:szCs w:val="24"/>
          <w:highlight w:val="none"/>
        </w:rPr>
        <w:fldChar w:fldCharType="end"/>
      </w:r>
    </w:p>
    <w:p w14:paraId="0E2D790A">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_Toc13392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一、经济部分</w:t>
      </w:r>
      <w:r>
        <w:tab/>
      </w:r>
      <w:r>
        <w:fldChar w:fldCharType="begin"/>
      </w:r>
      <w:r>
        <w:instrText xml:space="preserve"> PAGEREF _Toc13392 \h </w:instrText>
      </w:r>
      <w:r>
        <w:fldChar w:fldCharType="separate"/>
      </w:r>
      <w:r>
        <w:t>- 184 -</w:t>
      </w:r>
      <w:r>
        <w:fldChar w:fldCharType="end"/>
      </w:r>
      <w:r>
        <w:rPr>
          <w:rFonts w:hint="eastAsia" w:ascii="宋体" w:hAnsi="宋体" w:eastAsia="宋体" w:cs="宋体"/>
          <w:color w:val="auto"/>
          <w:szCs w:val="24"/>
          <w:highlight w:val="none"/>
        </w:rPr>
        <w:fldChar w:fldCharType="end"/>
      </w:r>
    </w:p>
    <w:p w14:paraId="5D57E686">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_Toc16901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二、技术（质量）部分</w:t>
      </w:r>
      <w:r>
        <w:tab/>
      </w:r>
      <w:r>
        <w:fldChar w:fldCharType="begin"/>
      </w:r>
      <w:r>
        <w:instrText xml:space="preserve"> PAGEREF _Toc16901 \h </w:instrText>
      </w:r>
      <w:r>
        <w:fldChar w:fldCharType="separate"/>
      </w:r>
      <w:r>
        <w:t>- 186 -</w:t>
      </w:r>
      <w:r>
        <w:fldChar w:fldCharType="end"/>
      </w:r>
      <w:r>
        <w:rPr>
          <w:rFonts w:hint="eastAsia" w:ascii="宋体" w:hAnsi="宋体" w:eastAsia="宋体" w:cs="宋体"/>
          <w:color w:val="auto"/>
          <w:szCs w:val="24"/>
          <w:highlight w:val="none"/>
        </w:rPr>
        <w:fldChar w:fldCharType="end"/>
      </w:r>
    </w:p>
    <w:p w14:paraId="3CEE8FAE">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_Toc8390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三、服务部分</w:t>
      </w:r>
      <w:r>
        <w:tab/>
      </w:r>
      <w:r>
        <w:fldChar w:fldCharType="begin"/>
      </w:r>
      <w:r>
        <w:instrText xml:space="preserve"> PAGEREF _Toc8390 \h </w:instrText>
      </w:r>
      <w:r>
        <w:fldChar w:fldCharType="separate"/>
      </w:r>
      <w:r>
        <w:t>- 188 -</w:t>
      </w:r>
      <w:r>
        <w:fldChar w:fldCharType="end"/>
      </w:r>
      <w:r>
        <w:rPr>
          <w:rFonts w:hint="eastAsia" w:ascii="宋体" w:hAnsi="宋体" w:eastAsia="宋体" w:cs="宋体"/>
          <w:color w:val="auto"/>
          <w:szCs w:val="24"/>
          <w:highlight w:val="none"/>
        </w:rPr>
        <w:fldChar w:fldCharType="end"/>
      </w:r>
    </w:p>
    <w:p w14:paraId="231F2E01">
      <w:pPr>
        <w:pStyle w:val="46"/>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_Toc1111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四、资格条件及其他</w:t>
      </w:r>
      <w:r>
        <w:tab/>
      </w:r>
      <w:r>
        <w:fldChar w:fldCharType="begin"/>
      </w:r>
      <w:r>
        <w:instrText xml:space="preserve"> PAGEREF _Toc1111 \h </w:instrText>
      </w:r>
      <w:r>
        <w:fldChar w:fldCharType="separate"/>
      </w:r>
      <w:r>
        <w:t>- 190 -</w:t>
      </w:r>
      <w:r>
        <w:fldChar w:fldCharType="end"/>
      </w:r>
      <w:r>
        <w:rPr>
          <w:rFonts w:hint="eastAsia" w:ascii="宋体" w:hAnsi="宋体" w:eastAsia="宋体" w:cs="宋体"/>
          <w:color w:val="auto"/>
          <w:szCs w:val="24"/>
          <w:highlight w:val="none"/>
        </w:rPr>
        <w:fldChar w:fldCharType="end"/>
      </w:r>
    </w:p>
    <w:p w14:paraId="7E914314">
      <w:pPr>
        <w:pStyle w:val="46"/>
        <w:tabs>
          <w:tab w:val="right" w:leader="dot" w:pos="9402"/>
        </w:tabs>
        <w:spacing w:line="480" w:lineRule="exact"/>
        <w:ind w:left="56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color w:val="auto"/>
          <w:szCs w:val="24"/>
          <w:highlight w:val="none"/>
        </w:rPr>
        <w:fldChar w:fldCharType="end"/>
      </w:r>
      <w:bookmarkStart w:id="1722" w:name="_GoBack"/>
      <w:bookmarkEnd w:id="1722"/>
    </w:p>
    <w:p w14:paraId="134FEF2B">
      <w:pPr>
        <w:pStyle w:val="3"/>
        <w:bidi w:val="0"/>
        <w:jc w:val="center"/>
        <w:rPr>
          <w:rFonts w:hint="eastAsia" w:ascii="宋体" w:hAnsi="宋体" w:eastAsia="宋体" w:cs="宋体"/>
          <w:color w:val="auto"/>
          <w:kern w:val="2"/>
          <w:sz w:val="36"/>
          <w:szCs w:val="36"/>
          <w:highlight w:val="none"/>
          <w:lang w:val="en-US" w:eastAsia="zh-CN" w:bidi="ar-SA"/>
        </w:rPr>
      </w:pPr>
      <w:bookmarkStart w:id="0" w:name="_Toc65660329"/>
      <w:bookmarkStart w:id="1" w:name="_Toc15726"/>
      <w:bookmarkStart w:id="2" w:name="_Toc11641050"/>
      <w:bookmarkStart w:id="3" w:name="_Toc12789052"/>
      <w:bookmarkStart w:id="4" w:name="_Toc24173"/>
      <w:bookmarkStart w:id="5" w:name="_Toc7073"/>
      <w:r>
        <w:rPr>
          <w:rFonts w:hint="eastAsia" w:ascii="宋体" w:hAnsi="宋体" w:eastAsia="宋体" w:cs="宋体"/>
          <w:color w:val="auto"/>
          <w:kern w:val="2"/>
          <w:sz w:val="36"/>
          <w:szCs w:val="36"/>
          <w:highlight w:val="none"/>
          <w:lang w:val="en-US" w:eastAsia="zh-CN" w:bidi="ar-SA"/>
        </w:rPr>
        <w:t>第一篇  竞争性谈判邀请书</w:t>
      </w:r>
      <w:bookmarkEnd w:id="0"/>
      <w:bookmarkEnd w:id="1"/>
      <w:bookmarkEnd w:id="2"/>
      <w:bookmarkEnd w:id="3"/>
      <w:bookmarkEnd w:id="4"/>
      <w:bookmarkEnd w:id="5"/>
    </w:p>
    <w:p w14:paraId="093B3FC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丰汇国际项目管理有限公司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lang w:eastAsia="zh-CN"/>
        </w:rPr>
        <w:t>重庆新翔源鞋业有限责任公司</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lang w:eastAsia="zh-CN"/>
        </w:rPr>
        <w:t>重庆新翔源鞋业有限责任公司11号楼一楼功能改造项目</w:t>
      </w:r>
      <w:r>
        <w:rPr>
          <w:rFonts w:hint="eastAsia" w:ascii="宋体" w:hAnsi="宋体" w:eastAsia="宋体" w:cs="宋体"/>
          <w:color w:val="auto"/>
          <w:sz w:val="24"/>
          <w:szCs w:val="24"/>
          <w:highlight w:val="none"/>
        </w:rPr>
        <w:t>进行竞争性谈判采购。欢迎有资格的供应商前来参加谈判。</w:t>
      </w:r>
    </w:p>
    <w:p w14:paraId="7D34426A">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6" w:name="_Toc317775175"/>
      <w:bookmarkStart w:id="7" w:name="_Toc65660330"/>
      <w:bookmarkStart w:id="8" w:name="_Toc313893526"/>
      <w:bookmarkStart w:id="9" w:name="_Toc7758"/>
      <w:bookmarkStart w:id="10" w:name="_Toc18246"/>
      <w:bookmarkStart w:id="11" w:name="_Toc29098"/>
      <w:r>
        <w:rPr>
          <w:rFonts w:hint="eastAsia" w:ascii="宋体" w:hAnsi="宋体" w:eastAsia="宋体" w:cs="宋体"/>
          <w:color w:val="auto"/>
          <w:sz w:val="24"/>
          <w:szCs w:val="24"/>
          <w:highlight w:val="none"/>
        </w:rPr>
        <w:t>一、竞争性谈判内容</w:t>
      </w:r>
      <w:bookmarkEnd w:id="6"/>
      <w:bookmarkEnd w:id="7"/>
      <w:bookmarkEnd w:id="8"/>
      <w:bookmarkEnd w:id="9"/>
      <w:bookmarkEnd w:id="10"/>
      <w:bookmarkEnd w:id="11"/>
    </w:p>
    <w:tbl>
      <w:tblPr>
        <w:tblStyle w:val="58"/>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8"/>
        <w:gridCol w:w="1821"/>
        <w:gridCol w:w="1799"/>
        <w:gridCol w:w="1690"/>
      </w:tblGrid>
      <w:tr w14:paraId="3B7A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54" w:type="pct"/>
            <w:tcBorders>
              <w:top w:val="single" w:color="auto" w:sz="4" w:space="0"/>
              <w:left w:val="single" w:color="auto" w:sz="4" w:space="0"/>
              <w:right w:val="single" w:color="auto" w:sz="4" w:space="0"/>
            </w:tcBorders>
            <w:noWrap w:val="0"/>
            <w:vAlign w:val="center"/>
          </w:tcPr>
          <w:p w14:paraId="6B391A4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44" w:type="pct"/>
            <w:tcBorders>
              <w:top w:val="single" w:color="auto" w:sz="4" w:space="0"/>
              <w:left w:val="single" w:color="auto" w:sz="4" w:space="0"/>
              <w:right w:val="single" w:color="auto" w:sz="4" w:space="0"/>
            </w:tcBorders>
            <w:noWrap w:val="0"/>
            <w:vAlign w:val="center"/>
          </w:tcPr>
          <w:p w14:paraId="07C9CFA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最高限价（元）</w:t>
            </w:r>
          </w:p>
        </w:tc>
        <w:tc>
          <w:tcPr>
            <w:tcW w:w="1031" w:type="pct"/>
            <w:tcBorders>
              <w:top w:val="single" w:color="auto" w:sz="4" w:space="0"/>
              <w:left w:val="single" w:color="auto" w:sz="4" w:space="0"/>
              <w:right w:val="single" w:color="auto" w:sz="4" w:space="0"/>
            </w:tcBorders>
            <w:noWrap w:val="0"/>
            <w:vAlign w:val="center"/>
          </w:tcPr>
          <w:p w14:paraId="1722FC85">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保证金</w:t>
            </w:r>
          </w:p>
          <w:p w14:paraId="5C2B2918">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（万元）</w:t>
            </w:r>
          </w:p>
        </w:tc>
        <w:tc>
          <w:tcPr>
            <w:tcW w:w="969" w:type="pct"/>
            <w:tcBorders>
              <w:top w:val="single" w:color="auto" w:sz="4" w:space="0"/>
              <w:left w:val="single" w:color="auto" w:sz="4" w:space="0"/>
              <w:right w:val="single" w:color="auto" w:sz="4" w:space="0"/>
            </w:tcBorders>
            <w:noWrap w:val="0"/>
            <w:vAlign w:val="center"/>
          </w:tcPr>
          <w:p w14:paraId="6C55E38D">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r>
      <w:tr w14:paraId="68AF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954" w:type="pct"/>
            <w:tcBorders>
              <w:top w:val="single" w:color="auto" w:sz="4" w:space="0"/>
              <w:left w:val="single" w:color="auto" w:sz="4" w:space="0"/>
              <w:bottom w:val="single" w:color="auto" w:sz="4" w:space="0"/>
              <w:right w:val="single" w:color="auto" w:sz="4" w:space="0"/>
            </w:tcBorders>
            <w:noWrap w:val="0"/>
            <w:vAlign w:val="center"/>
          </w:tcPr>
          <w:p w14:paraId="3A1E5478">
            <w:pPr>
              <w:snapToGrid w:val="0"/>
              <w:spacing w:line="400" w:lineRule="exact"/>
              <w:jc w:val="left"/>
              <w:rPr>
                <w:rFonts w:hint="eastAsia" w:ascii="宋体" w:hAnsi="宋体" w:eastAsia="宋体" w:cs="宋体"/>
                <w:color w:val="auto"/>
                <w:sz w:val="24"/>
                <w:szCs w:val="24"/>
                <w:highlight w:val="none"/>
                <w:lang w:val="en-US" w:eastAsia="zh-CN"/>
              </w:rPr>
            </w:pPr>
            <w:bookmarkStart w:id="12" w:name="_Hlk344477914"/>
            <w:r>
              <w:rPr>
                <w:rFonts w:hint="eastAsia" w:ascii="宋体" w:hAnsi="宋体" w:eastAsia="宋体" w:cs="宋体"/>
                <w:color w:val="auto"/>
                <w:sz w:val="24"/>
                <w:szCs w:val="24"/>
                <w:highlight w:val="none"/>
                <w:lang w:eastAsia="zh-CN"/>
              </w:rPr>
              <w:t>重庆新翔源鞋业有限责任公司11号楼一楼功能改造项目</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4C155C7D">
            <w:pPr>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290791.14</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6951FEBC">
            <w:pPr>
              <w:snapToGrid w:val="0"/>
              <w:spacing w:line="40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5F741640">
            <w:pPr>
              <w:snapToGrid w:val="0"/>
              <w:spacing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bookmarkEnd w:id="12"/>
    </w:tbl>
    <w:p w14:paraId="7D138E66">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3" w:name="_Toc3256"/>
      <w:bookmarkStart w:id="14" w:name="_Toc27028"/>
      <w:bookmarkStart w:id="15" w:name="_Toc65660331"/>
      <w:bookmarkStart w:id="16" w:name="_Toc25987"/>
      <w:bookmarkStart w:id="17" w:name="_Toc373860293"/>
      <w:bookmarkStart w:id="18" w:name="_Toc317775178"/>
      <w:r>
        <w:rPr>
          <w:rFonts w:hint="eastAsia" w:ascii="宋体" w:hAnsi="宋体" w:eastAsia="宋体" w:cs="宋体"/>
          <w:color w:val="auto"/>
          <w:sz w:val="24"/>
          <w:szCs w:val="24"/>
          <w:highlight w:val="none"/>
        </w:rPr>
        <w:t>二、资金来源</w:t>
      </w:r>
      <w:bookmarkEnd w:id="13"/>
      <w:bookmarkEnd w:id="14"/>
      <w:bookmarkEnd w:id="15"/>
      <w:bookmarkEnd w:id="16"/>
    </w:p>
    <w:p w14:paraId="599F848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单位自筹资金，采购预算</w:t>
      </w:r>
      <w:r>
        <w:rPr>
          <w:rFonts w:hint="eastAsia" w:ascii="宋体" w:hAnsi="宋体" w:eastAsia="宋体" w:cs="宋体"/>
          <w:color w:val="auto"/>
          <w:sz w:val="24"/>
          <w:szCs w:val="24"/>
          <w:highlight w:val="none"/>
          <w:lang w:eastAsia="zh-CN"/>
        </w:rPr>
        <w:t>290791.14</w:t>
      </w:r>
      <w:r>
        <w:rPr>
          <w:rFonts w:hint="eastAsia" w:ascii="宋体" w:hAnsi="宋体" w:eastAsia="宋体" w:cs="宋体"/>
          <w:strike w:val="0"/>
          <w:dstrike w:val="0"/>
          <w:color w:val="auto"/>
          <w:sz w:val="24"/>
          <w:szCs w:val="24"/>
          <w:highlight w:val="none"/>
        </w:rPr>
        <w:t>元</w:t>
      </w:r>
      <w:r>
        <w:rPr>
          <w:rFonts w:hint="eastAsia" w:ascii="宋体" w:hAnsi="宋体" w:eastAsia="宋体" w:cs="宋体"/>
          <w:strike w:val="0"/>
          <w:dstrike w:val="0"/>
          <w:color w:val="auto"/>
          <w:sz w:val="24"/>
          <w:szCs w:val="24"/>
          <w:highlight w:val="none"/>
          <w:lang w:eastAsia="zh-CN"/>
        </w:rPr>
        <w:t>，其中安全文明施工费</w:t>
      </w:r>
      <w:r>
        <w:rPr>
          <w:rFonts w:hint="eastAsia" w:ascii="宋体" w:hAnsi="宋体" w:eastAsia="宋体" w:cs="宋体"/>
          <w:strike w:val="0"/>
          <w:dstrike w:val="0"/>
          <w:color w:val="auto"/>
          <w:sz w:val="24"/>
          <w:szCs w:val="24"/>
          <w:highlight w:val="none"/>
          <w:lang w:val="en-US" w:eastAsia="zh-CN"/>
        </w:rPr>
        <w:t>11221.68</w:t>
      </w:r>
      <w:r>
        <w:rPr>
          <w:rFonts w:hint="eastAsia" w:ascii="宋体" w:hAnsi="宋体" w:eastAsia="宋体" w:cs="宋体"/>
          <w:strike w:val="0"/>
          <w:dstrike w:val="0"/>
          <w:color w:val="auto"/>
          <w:sz w:val="24"/>
          <w:szCs w:val="24"/>
          <w:highlight w:val="none"/>
          <w:lang w:eastAsia="zh-CN"/>
        </w:rPr>
        <w:t>元</w:t>
      </w:r>
      <w:r>
        <w:rPr>
          <w:rFonts w:hint="eastAsia" w:ascii="宋体" w:hAnsi="宋体" w:eastAsia="宋体" w:cs="宋体"/>
          <w:color w:val="auto"/>
          <w:sz w:val="24"/>
          <w:szCs w:val="24"/>
          <w:highlight w:val="none"/>
        </w:rPr>
        <w:t>。</w:t>
      </w:r>
    </w:p>
    <w:p w14:paraId="7357E8CB">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9" w:name="_Toc18548"/>
      <w:bookmarkStart w:id="20" w:name="_Toc64731996"/>
      <w:bookmarkStart w:id="21" w:name="_Toc13541"/>
      <w:bookmarkStart w:id="22" w:name="_Toc65660332"/>
      <w:bookmarkStart w:id="23" w:name="_Toc28105"/>
      <w:r>
        <w:rPr>
          <w:rFonts w:hint="eastAsia" w:ascii="宋体" w:hAnsi="宋体" w:eastAsia="宋体" w:cs="宋体"/>
          <w:color w:val="auto"/>
          <w:sz w:val="24"/>
          <w:szCs w:val="24"/>
          <w:highlight w:val="none"/>
        </w:rPr>
        <w:t>三、供应商资格条件</w:t>
      </w:r>
      <w:bookmarkEnd w:id="19"/>
      <w:bookmarkEnd w:id="20"/>
      <w:bookmarkEnd w:id="21"/>
      <w:bookmarkEnd w:id="22"/>
      <w:bookmarkEnd w:id="23"/>
    </w:p>
    <w:p w14:paraId="4CF2F1E4">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（一）满足《中华人民共和国政府采购法》第二十二条规定</w:t>
      </w:r>
      <w:r>
        <w:rPr>
          <w:rFonts w:hint="eastAsia" w:ascii="宋体" w:hAnsi="宋体" w:eastAsia="宋体" w:cs="宋体"/>
          <w:color w:val="auto"/>
          <w:sz w:val="24"/>
          <w:szCs w:val="24"/>
          <w:highlight w:val="none"/>
          <w:lang w:eastAsia="zh-CN"/>
        </w:rPr>
        <w:t>：</w:t>
      </w:r>
    </w:p>
    <w:p w14:paraId="21B14EF5">
      <w:pPr>
        <w:spacing w:line="400" w:lineRule="exact"/>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具有独立法人资格或者其他依法设立的组织形式；</w:t>
      </w:r>
    </w:p>
    <w:p w14:paraId="2CB8151F">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lang w:eastAsia="zh-CN"/>
        </w:rPr>
        <w:t>具有良好的商业信誉和健全的财务会计制度；</w:t>
      </w:r>
    </w:p>
    <w:p w14:paraId="69F4B128">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lang w:val="zh-CN" w:eastAsia="zh-CN"/>
        </w:rPr>
        <w:t>具有履行合同所必需的设备和专业技术能力及人员</w:t>
      </w:r>
      <w:r>
        <w:rPr>
          <w:rFonts w:hint="eastAsia" w:ascii="宋体" w:hAnsi="宋体" w:eastAsia="宋体" w:cs="宋体"/>
          <w:color w:val="auto"/>
          <w:sz w:val="24"/>
          <w:szCs w:val="24"/>
          <w:highlight w:val="none"/>
          <w:lang w:eastAsia="zh-CN"/>
        </w:rPr>
        <w:t>；</w:t>
      </w:r>
    </w:p>
    <w:p w14:paraId="50D05CB4">
      <w:pPr>
        <w:spacing w:line="40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 xml:space="preserve">    4.</w:t>
      </w:r>
      <w:r>
        <w:rPr>
          <w:rFonts w:hint="eastAsia" w:ascii="宋体" w:hAnsi="宋体" w:eastAsia="宋体" w:cs="宋体"/>
          <w:color w:val="auto"/>
          <w:sz w:val="24"/>
          <w:szCs w:val="24"/>
          <w:highlight w:val="none"/>
          <w:lang w:val="zh-CN" w:eastAsia="zh-CN"/>
        </w:rPr>
        <w:t>有依法缴纳税收和社会保障资金的良好记录；</w:t>
      </w:r>
    </w:p>
    <w:p w14:paraId="637E26AB">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5.参加政府采购活动前三年内，在经营活动中没有重大违法记录；</w:t>
      </w:r>
    </w:p>
    <w:p w14:paraId="7897A00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6.法律、行政法规规定的其他条件。</w:t>
      </w:r>
    </w:p>
    <w:p w14:paraId="1D493761">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（二）落实政府采购政策需满足的资格要求：</w:t>
      </w:r>
      <w:r>
        <w:rPr>
          <w:rFonts w:hint="eastAsia" w:ascii="宋体" w:hAnsi="宋体" w:eastAsia="宋体" w:cs="宋体"/>
          <w:i/>
          <w:color w:val="auto"/>
          <w:sz w:val="24"/>
          <w:szCs w:val="24"/>
          <w:highlight w:val="none"/>
          <w:u w:val="single"/>
          <w:lang w:val="en-US" w:eastAsia="zh-CN"/>
        </w:rPr>
        <w:t xml:space="preserve">/ </w:t>
      </w:r>
    </w:p>
    <w:p w14:paraId="033B27FA">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（三）本项目的特定资格要求</w:t>
      </w:r>
      <w:r>
        <w:rPr>
          <w:rFonts w:hint="eastAsia" w:ascii="宋体" w:hAnsi="宋体" w:eastAsia="宋体" w:cs="宋体"/>
          <w:color w:val="auto"/>
          <w:sz w:val="24"/>
          <w:szCs w:val="24"/>
          <w:highlight w:val="none"/>
          <w:lang w:eastAsia="zh-CN"/>
        </w:rPr>
        <w:t>：</w:t>
      </w:r>
    </w:p>
    <w:p w14:paraId="391FEEC1">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1.供应商具有建设行政主管部门颁发的</w:t>
      </w:r>
      <w:r>
        <w:rPr>
          <w:rFonts w:hint="eastAsia" w:ascii="宋体" w:hAnsi="宋体" w:eastAsia="宋体" w:cs="宋体"/>
          <w:color w:val="auto"/>
          <w:sz w:val="24"/>
          <w:szCs w:val="24"/>
          <w:highlight w:val="none"/>
          <w:lang w:val="en-US" w:eastAsia="zh-CN"/>
        </w:rPr>
        <w:t>有效的</w:t>
      </w:r>
      <w:r>
        <w:rPr>
          <w:rFonts w:hint="eastAsia" w:ascii="宋体" w:hAnsi="宋体" w:eastAsia="宋体" w:cs="宋体"/>
          <w:color w:val="auto"/>
          <w:sz w:val="24"/>
          <w:szCs w:val="24"/>
          <w:highlight w:val="none"/>
          <w:lang w:eastAsia="zh-CN"/>
        </w:rPr>
        <w:t>建筑工程施工总承包</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lang w:eastAsia="zh-CN"/>
        </w:rPr>
        <w:t>级及以上资质（提供行政主管部门颁发的资质证书复印件加盖供应商公章）。</w:t>
      </w:r>
    </w:p>
    <w:p w14:paraId="3CBA280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具备建设行政主管部门颁发的有效的安全生产许可证，企业主要负责人、拟担任该项目的项目经理具备相应的由建设行政主管部门颁发的有效的安全生产考核合格证书（提供有效的安全生产许可证及安全生产考核合格证书加盖供应商公章）。</w:t>
      </w:r>
    </w:p>
    <w:p w14:paraId="03FD77CE">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24" w:name="_Toc11908"/>
      <w:bookmarkStart w:id="25" w:name="_Toc65660333"/>
      <w:bookmarkStart w:id="26" w:name="_Toc1386"/>
      <w:bookmarkStart w:id="27" w:name="_Toc6266"/>
      <w:r>
        <w:rPr>
          <w:rFonts w:hint="eastAsia" w:ascii="宋体" w:hAnsi="宋体" w:eastAsia="宋体" w:cs="宋体"/>
          <w:color w:val="auto"/>
          <w:sz w:val="24"/>
          <w:szCs w:val="24"/>
          <w:highlight w:val="none"/>
        </w:rPr>
        <w:t>四、谈判有关说明</w:t>
      </w:r>
      <w:bookmarkEnd w:id="17"/>
      <w:bookmarkEnd w:id="24"/>
      <w:bookmarkEnd w:id="25"/>
      <w:bookmarkEnd w:id="26"/>
      <w:bookmarkEnd w:id="27"/>
    </w:p>
    <w:p w14:paraId="052D761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（一）供应商应通过“行采家”（http://www.gec123.com）加入“供应商库”。</w:t>
      </w:r>
    </w:p>
    <w:p w14:paraId="4E455B9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（二）凡有意参加谈判的供应商，请在</w:t>
      </w:r>
      <w:r>
        <w:rPr>
          <w:rFonts w:hint="eastAsia" w:ascii="宋体" w:hAnsi="宋体" w:eastAsia="宋体" w:cs="宋体"/>
          <w:color w:val="auto"/>
          <w:sz w:val="24"/>
          <w:szCs w:val="24"/>
          <w:highlight w:val="none"/>
          <w:lang w:eastAsia="zh-CN"/>
        </w:rPr>
        <w:t>“行采家”（http://www.gec123.com）</w:t>
      </w:r>
      <w:r>
        <w:rPr>
          <w:rFonts w:hint="eastAsia" w:ascii="宋体" w:hAnsi="宋体" w:eastAsia="宋体" w:cs="宋体"/>
          <w:color w:val="auto"/>
          <w:sz w:val="24"/>
          <w:szCs w:val="24"/>
          <w:highlight w:val="none"/>
        </w:rPr>
        <w:t>上下载或到采购代理机构处领取本项目竞争性谈判文件以及澄清等谈判前公布的所有项目资料，无论供应商下载或领取与否，均视为已知晓所有谈判实质性要求内容。</w:t>
      </w:r>
    </w:p>
    <w:p w14:paraId="2B5EC31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（三）竞争性谈判公告期限：自采购公告发布之日起三个工作日。</w:t>
      </w:r>
    </w:p>
    <w:p w14:paraId="112B5D6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（四）获取竞争性谈判文件期限：</w:t>
      </w:r>
    </w:p>
    <w:p w14:paraId="6277E63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1.竞争性谈判文件提供期限：</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w:t>
      </w:r>
    </w:p>
    <w:p w14:paraId="2ECECD7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2.报名方式：竞争性谈判文件提供期限</w:t>
      </w:r>
      <w:r>
        <w:rPr>
          <w:rFonts w:hint="eastAsia" w:ascii="宋体" w:hAnsi="宋体" w:cs="宋体"/>
          <w:color w:val="auto"/>
          <w:sz w:val="24"/>
          <w:szCs w:val="24"/>
          <w:highlight w:val="none"/>
          <w:lang w:val="en-US" w:eastAsia="zh-CN"/>
        </w:rPr>
        <w:t>内</w:t>
      </w:r>
      <w:r>
        <w:rPr>
          <w:rFonts w:hint="eastAsia" w:ascii="宋体" w:hAnsi="宋体" w:eastAsia="宋体" w:cs="宋体"/>
          <w:color w:val="auto"/>
          <w:sz w:val="24"/>
          <w:szCs w:val="24"/>
          <w:highlight w:val="none"/>
        </w:rPr>
        <w:t>，供应商将《</w:t>
      </w:r>
      <w:r>
        <w:rPr>
          <w:rFonts w:hint="eastAsia" w:ascii="宋体" w:hAnsi="宋体" w:eastAsia="宋体" w:cs="宋体"/>
          <w:color w:val="auto"/>
          <w:sz w:val="24"/>
          <w:szCs w:val="24"/>
          <w:highlight w:val="none"/>
          <w:lang w:val="en-US" w:eastAsia="zh-CN"/>
        </w:rPr>
        <w:t>谈判文件发售</w:t>
      </w:r>
      <w:r>
        <w:rPr>
          <w:rFonts w:hint="eastAsia" w:ascii="宋体" w:hAnsi="宋体" w:eastAsia="宋体" w:cs="宋体"/>
          <w:color w:val="auto"/>
          <w:sz w:val="24"/>
          <w:szCs w:val="24"/>
          <w:highlight w:val="none"/>
        </w:rPr>
        <w:t>登记表》加盖供应商公章扫描后发送至</w:t>
      </w:r>
      <w:r>
        <w:rPr>
          <w:rFonts w:hint="eastAsia" w:ascii="宋体" w:hAnsi="宋体" w:eastAsia="宋体" w:cs="宋体"/>
          <w:color w:val="auto"/>
          <w:sz w:val="24"/>
          <w:szCs w:val="24"/>
          <w:highlight w:val="none"/>
          <w:lang w:val="en-US" w:eastAsia="zh-CN"/>
        </w:rPr>
        <w:t>1006739550@qq.com</w:t>
      </w:r>
      <w:r>
        <w:rPr>
          <w:rFonts w:hint="eastAsia" w:ascii="宋体" w:hAnsi="宋体" w:eastAsia="宋体" w:cs="宋体"/>
          <w:color w:val="auto"/>
          <w:sz w:val="24"/>
          <w:szCs w:val="24"/>
          <w:highlight w:val="none"/>
        </w:rPr>
        <w:t>。竞争性谈判文件提供期限</w:t>
      </w:r>
      <w:r>
        <w:rPr>
          <w:rFonts w:hint="eastAsia" w:ascii="宋体" w:hAnsi="宋体" w:cs="宋体"/>
          <w:color w:val="auto"/>
          <w:sz w:val="24"/>
          <w:szCs w:val="24"/>
          <w:highlight w:val="none"/>
          <w:lang w:val="en-US" w:eastAsia="zh-CN"/>
        </w:rPr>
        <w:t>内</w:t>
      </w:r>
      <w:r>
        <w:rPr>
          <w:rFonts w:hint="eastAsia" w:ascii="宋体" w:hAnsi="宋体" w:eastAsia="宋体" w:cs="宋体"/>
          <w:color w:val="auto"/>
          <w:sz w:val="24"/>
          <w:szCs w:val="24"/>
          <w:highlight w:val="none"/>
          <w:lang w:val="en-US" w:eastAsia="zh-CN"/>
        </w:rPr>
        <w:t>发送</w:t>
      </w:r>
      <w:r>
        <w:rPr>
          <w:rFonts w:hint="eastAsia" w:ascii="宋体" w:hAnsi="宋体" w:eastAsia="宋体" w:cs="宋体"/>
          <w:color w:val="auto"/>
          <w:sz w:val="24"/>
          <w:szCs w:val="24"/>
          <w:highlight w:val="none"/>
        </w:rPr>
        <w:t>了</w:t>
      </w:r>
      <w:r>
        <w:rPr>
          <w:rFonts w:hint="eastAsia" w:ascii="宋体" w:hAnsi="宋体" w:eastAsia="宋体" w:cs="宋体"/>
          <w:color w:val="auto"/>
          <w:sz w:val="24"/>
          <w:szCs w:val="24"/>
          <w:highlight w:val="none"/>
          <w:lang w:val="en-US" w:eastAsia="zh-CN"/>
        </w:rPr>
        <w:t>邮箱</w:t>
      </w:r>
      <w:r>
        <w:rPr>
          <w:rFonts w:hint="eastAsia" w:ascii="宋体" w:hAnsi="宋体" w:eastAsia="宋体" w:cs="宋体"/>
          <w:color w:val="auto"/>
          <w:sz w:val="24"/>
          <w:szCs w:val="24"/>
          <w:highlight w:val="none"/>
        </w:rPr>
        <w:t>的供应商，其投标才被接收。</w:t>
      </w:r>
    </w:p>
    <w:p w14:paraId="72819DCC">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3.竞争性谈判文件售价：人民币</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元/包</w:t>
      </w:r>
      <w:r>
        <w:rPr>
          <w:rFonts w:hint="eastAsia" w:ascii="宋体" w:hAnsi="宋体" w:eastAsia="宋体" w:cs="宋体"/>
          <w:color w:val="auto"/>
          <w:sz w:val="24"/>
          <w:szCs w:val="24"/>
          <w:highlight w:val="none"/>
          <w:lang w:eastAsia="zh-CN"/>
        </w:rPr>
        <w:t>，在递交响应文件时缴纳。</w:t>
      </w:r>
    </w:p>
    <w:p w14:paraId="1B4B590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（五）谈判地点：</w:t>
      </w:r>
      <w:r>
        <w:rPr>
          <w:rFonts w:hint="eastAsia" w:ascii="宋体" w:hAnsi="宋体" w:eastAsia="宋体" w:cs="宋体"/>
          <w:color w:val="auto"/>
          <w:sz w:val="24"/>
          <w:szCs w:val="24"/>
          <w:highlight w:val="none"/>
          <w:lang w:eastAsia="zh-CN"/>
        </w:rPr>
        <w:t>丰汇国际项目管理有限公司（重庆市渝北区三狼北站大厦3楼310）。</w:t>
      </w:r>
    </w:p>
    <w:p w14:paraId="466ADC15">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（六）提交响应文件</w:t>
      </w:r>
      <w:r>
        <w:rPr>
          <w:rFonts w:hint="eastAsia" w:ascii="宋体" w:hAnsi="宋体" w:eastAsia="宋体" w:cs="宋体"/>
          <w:color w:val="auto"/>
          <w:sz w:val="24"/>
          <w:szCs w:val="24"/>
          <w:highlight w:val="none"/>
          <w:lang w:val="en-US" w:eastAsia="zh-CN"/>
        </w:rPr>
        <w:t>开始及</w:t>
      </w:r>
      <w:r>
        <w:rPr>
          <w:rFonts w:hint="eastAsia" w:ascii="宋体" w:hAnsi="宋体" w:eastAsia="宋体" w:cs="宋体"/>
          <w:color w:val="auto"/>
          <w:sz w:val="24"/>
          <w:szCs w:val="24"/>
          <w:highlight w:val="none"/>
        </w:rPr>
        <w:t>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p>
    <w:p w14:paraId="0FE6C5F8">
      <w:pPr>
        <w:tabs>
          <w:tab w:val="left" w:pos="7950"/>
        </w:tabs>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（七）谈判开始时间：202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日北京时间1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ab/>
      </w:r>
    </w:p>
    <w:bookmarkEnd w:id="18"/>
    <w:p w14:paraId="359F86EA">
      <w:pPr>
        <w:pStyle w:val="4"/>
        <w:tabs>
          <w:tab w:val="left" w:pos="3207"/>
        </w:tabs>
        <w:adjustRightInd w:val="0"/>
        <w:snapToGrid w:val="0"/>
        <w:spacing w:before="0" w:after="0" w:line="400" w:lineRule="exact"/>
        <w:ind w:firstLine="482" w:firstLineChars="200"/>
        <w:rPr>
          <w:rFonts w:hint="eastAsia" w:ascii="宋体" w:hAnsi="宋体" w:eastAsia="宋体" w:cs="宋体"/>
          <w:b/>
          <w:bCs w:val="0"/>
          <w:color w:val="auto"/>
          <w:sz w:val="24"/>
          <w:szCs w:val="24"/>
          <w:highlight w:val="none"/>
        </w:rPr>
      </w:pPr>
      <w:bookmarkStart w:id="28" w:name="_Toc373860294"/>
      <w:bookmarkStart w:id="29" w:name="_Toc11956"/>
      <w:bookmarkStart w:id="30" w:name="_Toc65660334"/>
      <w:bookmarkStart w:id="31" w:name="_Toc525047161"/>
      <w:bookmarkStart w:id="32" w:name="_Toc6178"/>
      <w:bookmarkStart w:id="33" w:name="_Toc521053053"/>
      <w:bookmarkStart w:id="34" w:name="_Toc16654"/>
      <w:r>
        <w:rPr>
          <w:rFonts w:hint="eastAsia" w:ascii="宋体" w:hAnsi="宋体" w:eastAsia="宋体" w:cs="宋体"/>
          <w:b/>
          <w:bCs w:val="0"/>
          <w:color w:val="auto"/>
          <w:sz w:val="24"/>
          <w:szCs w:val="24"/>
          <w:highlight w:val="none"/>
        </w:rPr>
        <w:t>五、</w:t>
      </w:r>
      <w:r>
        <w:rPr>
          <w:rFonts w:hint="eastAsia" w:ascii="宋体" w:hAnsi="宋体" w:eastAsia="宋体" w:cs="宋体"/>
          <w:b/>
          <w:bCs w:val="0"/>
          <w:strike w:val="0"/>
          <w:dstrike w:val="0"/>
          <w:color w:val="auto"/>
          <w:sz w:val="24"/>
          <w:szCs w:val="24"/>
          <w:highlight w:val="none"/>
          <w:lang w:val="en-US" w:eastAsia="zh-CN"/>
        </w:rPr>
        <w:t>谈判</w:t>
      </w:r>
      <w:r>
        <w:rPr>
          <w:rFonts w:hint="eastAsia" w:ascii="宋体" w:hAnsi="宋体" w:eastAsia="宋体" w:cs="宋体"/>
          <w:b/>
          <w:bCs w:val="0"/>
          <w:color w:val="auto"/>
          <w:sz w:val="24"/>
          <w:szCs w:val="24"/>
          <w:highlight w:val="none"/>
        </w:rPr>
        <w:t>保证金</w:t>
      </w:r>
      <w:bookmarkEnd w:id="28"/>
      <w:bookmarkEnd w:id="29"/>
      <w:bookmarkEnd w:id="30"/>
      <w:bookmarkEnd w:id="31"/>
      <w:bookmarkEnd w:id="32"/>
      <w:bookmarkEnd w:id="33"/>
      <w:bookmarkEnd w:id="34"/>
    </w:p>
    <w:p w14:paraId="4BAEB631">
      <w:pPr>
        <w:spacing w:line="400" w:lineRule="exact"/>
        <w:ind w:firstLine="480" w:firstLineChars="200"/>
        <w:rPr>
          <w:rFonts w:hint="eastAsia" w:ascii="宋体" w:hAnsi="宋体" w:eastAsia="宋体" w:cs="宋体"/>
          <w:color w:val="auto"/>
          <w:sz w:val="24"/>
          <w:szCs w:val="24"/>
          <w:highlight w:val="none"/>
          <w:lang w:val="en-US" w:eastAsia="zh-CN"/>
        </w:rPr>
      </w:pPr>
      <w:bookmarkStart w:id="35" w:name="_Toc6563"/>
      <w:bookmarkStart w:id="36" w:name="_Toc525047163"/>
      <w:bookmarkStart w:id="37" w:name="_Toc65660336"/>
      <w:bookmarkStart w:id="38" w:name="_Toc521053055"/>
      <w:bookmarkStart w:id="39" w:name="_Toc16269"/>
      <w:r>
        <w:rPr>
          <w:rFonts w:hint="eastAsia" w:ascii="宋体" w:hAnsi="宋体" w:eastAsia="宋体" w:cs="宋体"/>
          <w:color w:val="auto"/>
          <w:sz w:val="24"/>
          <w:szCs w:val="24"/>
          <w:highlight w:val="none"/>
          <w:lang w:val="en-US" w:eastAsia="zh-CN"/>
        </w:rPr>
        <w:t>1.缴纳方式：现金（用信封密封并加盖供应商公章，递交响应文件时一并缴纳。）</w:t>
      </w:r>
    </w:p>
    <w:p w14:paraId="7309761F">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2.未成交供应商的保证金，在成交通知书发放后，代理机构在五个工作日内直接退还。</w:t>
      </w:r>
    </w:p>
    <w:p w14:paraId="78582682">
      <w:pPr>
        <w:spacing w:line="400" w:lineRule="exact"/>
        <w:ind w:firstLine="480" w:firstLineChars="200"/>
        <w:rPr>
          <w:rFonts w:hint="default"/>
          <w:b w:val="0"/>
          <w:bCs/>
          <w:color w:val="auto"/>
          <w:highlight w:val="none"/>
          <w:lang w:val="en-US" w:eastAsia="zh-CN"/>
        </w:rPr>
      </w:pPr>
      <w:r>
        <w:rPr>
          <w:rFonts w:hint="eastAsia" w:ascii="宋体" w:hAnsi="宋体" w:eastAsia="宋体" w:cs="宋体"/>
          <w:color w:val="auto"/>
          <w:sz w:val="24"/>
          <w:szCs w:val="24"/>
          <w:highlight w:val="none"/>
          <w:lang w:val="en-US" w:eastAsia="zh-CN"/>
        </w:rPr>
        <w:t>3.成交供应商的保证金，在成交供应商与采购人签订合同后，代理机构在五个工作日内直接退还。</w:t>
      </w:r>
      <w:r>
        <w:rPr>
          <w:rFonts w:hint="eastAsia"/>
          <w:b w:val="0"/>
          <w:bCs/>
          <w:color w:val="auto"/>
          <w:highlight w:val="none"/>
          <w:lang w:val="en-US" w:eastAsia="zh-CN"/>
        </w:rPr>
        <w:tab/>
      </w:r>
    </w:p>
    <w:p w14:paraId="0723B72B">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40" w:name="_Toc13261"/>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、其它有关规定</w:t>
      </w:r>
      <w:bookmarkEnd w:id="35"/>
      <w:bookmarkEnd w:id="36"/>
      <w:bookmarkEnd w:id="37"/>
      <w:bookmarkEnd w:id="38"/>
      <w:bookmarkEnd w:id="39"/>
      <w:bookmarkEnd w:id="40"/>
    </w:p>
    <w:p w14:paraId="33EC2FB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（一）单位负责人为同一人或者存在直接控股、管理关系的不同供应商，不得参加同一合同项（包）下的政府采购活动，否则均为无效谈判。</w:t>
      </w:r>
    </w:p>
    <w:p w14:paraId="7769367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43A4DA2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（三）同一合同项（包）下为单一品目的货物采购中，同一品牌同一型号产品有多家供应商参加谈判，只能按照一家供应商计算。</w:t>
      </w:r>
    </w:p>
    <w:p w14:paraId="4F252A7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（四）同一合同项（包）下的货物，制造商参与谈判的，不得再委托代理商参与谈判。</w:t>
      </w:r>
    </w:p>
    <w:p w14:paraId="47FC649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（五）本项目的澄清文件（如果有）一律在</w:t>
      </w:r>
      <w:r>
        <w:rPr>
          <w:rFonts w:hint="eastAsia" w:ascii="宋体" w:hAnsi="宋体" w:eastAsia="宋体" w:cs="宋体"/>
          <w:color w:val="auto"/>
          <w:sz w:val="24"/>
          <w:szCs w:val="24"/>
          <w:highlight w:val="none"/>
          <w:lang w:eastAsia="zh-CN"/>
        </w:rPr>
        <w:t>“行采家”（http://www.gec123.com）</w:t>
      </w:r>
      <w:r>
        <w:rPr>
          <w:rFonts w:hint="eastAsia" w:ascii="宋体" w:hAnsi="宋体" w:eastAsia="宋体" w:cs="宋体"/>
          <w:color w:val="auto"/>
          <w:sz w:val="24"/>
          <w:szCs w:val="24"/>
          <w:highlight w:val="none"/>
        </w:rPr>
        <w:t>上发布，请各供应商注意下载或到采购代理机构处领取；无论供应商下载或领取与否，均视同供应商已知晓本项目澄清文件（如果有）的内容。</w:t>
      </w:r>
    </w:p>
    <w:p w14:paraId="313EE54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（六）超过响应文件截止时间递交的响应文件，恕不接收。</w:t>
      </w:r>
    </w:p>
    <w:p w14:paraId="5676831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（七）谈判费用：无论谈判结果如何，供应商参与本项目谈判的所有费用均应由供应商自行承担。</w:t>
      </w:r>
    </w:p>
    <w:p w14:paraId="717C36B4">
      <w:pPr>
        <w:snapToGrid w:val="0"/>
        <w:spacing w:line="400" w:lineRule="exact"/>
        <w:ind w:firstLine="361" w:firstLineChars="150"/>
        <w:rPr>
          <w:rFonts w:hint="eastAsia" w:ascii="宋体" w:hAnsi="宋体" w:eastAsia="宋体" w:cs="宋体"/>
          <w:b/>
          <w:i w:val="0"/>
          <w:iCs w:val="0"/>
          <w:color w:val="auto"/>
          <w:sz w:val="24"/>
          <w:szCs w:val="24"/>
          <w:highlight w:val="none"/>
        </w:rPr>
      </w:pPr>
      <w:r>
        <w:rPr>
          <w:rFonts w:hint="eastAsia" w:ascii="宋体" w:hAnsi="宋体" w:eastAsia="宋体" w:cs="宋体"/>
          <w:b/>
          <w:color w:val="auto"/>
          <w:sz w:val="24"/>
          <w:szCs w:val="24"/>
          <w:highlight w:val="none"/>
        </w:rPr>
        <w:t>（八</w:t>
      </w:r>
      <w:r>
        <w:rPr>
          <w:rFonts w:hint="eastAsia" w:ascii="宋体" w:hAnsi="宋体" w:eastAsia="宋体" w:cs="宋体"/>
          <w:b/>
          <w:i w:val="0"/>
          <w:iCs w:val="0"/>
          <w:color w:val="auto"/>
          <w:sz w:val="24"/>
          <w:szCs w:val="24"/>
          <w:highlight w:val="none"/>
        </w:rPr>
        <w:t>）本项目不接受联合体参与谈判，否则按无效处理。</w:t>
      </w:r>
    </w:p>
    <w:p w14:paraId="09F22B8B">
      <w:pPr>
        <w:snapToGrid w:val="0"/>
        <w:spacing w:line="400" w:lineRule="exact"/>
        <w:ind w:firstLine="361" w:firstLineChars="150"/>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（九）本项目不接受合同分包，否则按无效处理。</w:t>
      </w:r>
    </w:p>
    <w:p w14:paraId="366FFC4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F2AC3FE">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41" w:name="_Toc521053056"/>
      <w:bookmarkStart w:id="42" w:name="_Toc525047164"/>
      <w:bookmarkStart w:id="43" w:name="_Toc65660337"/>
      <w:bookmarkStart w:id="44" w:name="_Toc10415"/>
      <w:bookmarkStart w:id="45" w:name="_Toc1733"/>
      <w:bookmarkStart w:id="46" w:name="_Toc8910"/>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、联系方式</w:t>
      </w:r>
      <w:bookmarkEnd w:id="41"/>
      <w:bookmarkEnd w:id="42"/>
      <w:bookmarkEnd w:id="43"/>
      <w:bookmarkEnd w:id="44"/>
      <w:bookmarkEnd w:id="45"/>
      <w:bookmarkEnd w:id="46"/>
    </w:p>
    <w:p w14:paraId="11B762B5">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重庆新翔源鞋业有限责任公司</w:t>
      </w:r>
    </w:p>
    <w:p w14:paraId="3B11F2EC">
      <w:pPr>
        <w:snapToGrid w:val="0"/>
        <w:spacing w:line="400" w:lineRule="exact"/>
        <w:ind w:firstLine="480" w:firstLineChars="200"/>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缪</w:t>
      </w:r>
      <w:r>
        <w:rPr>
          <w:rFonts w:hint="eastAsia" w:ascii="宋体" w:hAnsi="宋体" w:cs="宋体"/>
          <w:color w:val="auto"/>
          <w:sz w:val="24"/>
          <w:szCs w:val="24"/>
          <w:highlight w:val="none"/>
          <w:lang w:val="en-US" w:eastAsia="zh-CN"/>
        </w:rPr>
        <w:t>老师</w:t>
      </w:r>
    </w:p>
    <w:p w14:paraId="7CA95DA6">
      <w:pPr>
        <w:snapToGrid w:val="0"/>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话：023-61133069</w:t>
      </w:r>
    </w:p>
    <w:p w14:paraId="1E9A7D01">
      <w:pPr>
        <w:snapToGrid w:val="0"/>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重庆市永川区昌州大道西段1111号</w:t>
      </w:r>
    </w:p>
    <w:p w14:paraId="3F761F73">
      <w:pPr>
        <w:snapToGrid w:val="0"/>
        <w:spacing w:line="400" w:lineRule="exact"/>
        <w:ind w:firstLine="480" w:firstLineChars="200"/>
        <w:outlineLvl w:val="2"/>
        <w:rPr>
          <w:rFonts w:hint="eastAsia" w:ascii="宋体" w:hAnsi="宋体" w:eastAsia="宋体" w:cs="宋体"/>
          <w:color w:val="auto"/>
          <w:sz w:val="24"/>
          <w:szCs w:val="24"/>
          <w:highlight w:val="none"/>
          <w:lang w:val="en-US" w:eastAsia="zh-CN"/>
        </w:rPr>
      </w:pPr>
    </w:p>
    <w:p w14:paraId="781B235B">
      <w:pPr>
        <w:snapToGrid w:val="0"/>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（二）采购代理机构：丰汇国际项目管理有限公司</w:t>
      </w:r>
    </w:p>
    <w:p w14:paraId="2B825250">
      <w:pPr>
        <w:snapToGrid w:val="0"/>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 杨老师</w:t>
      </w:r>
    </w:p>
    <w:p w14:paraId="0B788EA7">
      <w:pPr>
        <w:snapToGrid w:val="0"/>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话：19942212962</w:t>
      </w:r>
    </w:p>
    <w:p w14:paraId="4A58BA5F">
      <w:pPr>
        <w:snapToGrid w:val="0"/>
        <w:spacing w:line="400" w:lineRule="exact"/>
        <w:ind w:firstLine="480" w:firstLineChars="200"/>
        <w:outlineLvl w:val="2"/>
        <w:rPr>
          <w:rFonts w:hint="eastAsia" w:ascii="宋体" w:hAnsi="宋体" w:eastAsia="宋体" w:cs="宋体"/>
          <w:color w:val="auto"/>
          <w:sz w:val="24"/>
          <w:szCs w:val="24"/>
          <w:highlight w:val="none"/>
          <w:lang w:val="en-US" w:eastAsia="zh-CN"/>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auto"/>
          <w:sz w:val="24"/>
          <w:szCs w:val="24"/>
          <w:highlight w:val="none"/>
          <w:lang w:val="en-US" w:eastAsia="zh-CN"/>
        </w:rPr>
        <w:t>地  址：重庆市渝北区三狼北站大厦3楼310</w:t>
      </w:r>
    </w:p>
    <w:p w14:paraId="3CA605F8">
      <w:pPr>
        <w:pStyle w:val="3"/>
        <w:bidi w:val="0"/>
        <w:jc w:val="center"/>
        <w:rPr>
          <w:rFonts w:hint="eastAsia" w:ascii="宋体" w:hAnsi="宋体" w:eastAsia="宋体" w:cs="宋体"/>
          <w:color w:val="auto"/>
          <w:kern w:val="2"/>
          <w:sz w:val="36"/>
          <w:szCs w:val="36"/>
          <w:highlight w:val="none"/>
          <w:lang w:val="en-US" w:eastAsia="zh-CN" w:bidi="ar-SA"/>
        </w:rPr>
      </w:pPr>
      <w:bookmarkStart w:id="47" w:name="_Toc1292"/>
      <w:bookmarkStart w:id="48" w:name="_Toc65660338"/>
      <w:bookmarkStart w:id="49" w:name="_Toc14516"/>
      <w:bookmarkStart w:id="50" w:name="_Toc6657"/>
      <w:bookmarkStart w:id="51" w:name="_Toc102227313"/>
      <w:r>
        <w:rPr>
          <w:rFonts w:hint="eastAsia" w:ascii="宋体" w:hAnsi="宋体" w:eastAsia="宋体" w:cs="宋体"/>
          <w:color w:val="auto"/>
          <w:kern w:val="2"/>
          <w:sz w:val="36"/>
          <w:szCs w:val="36"/>
          <w:highlight w:val="none"/>
          <w:lang w:val="en-US" w:eastAsia="zh-CN" w:bidi="ar-SA"/>
        </w:rPr>
        <w:t>第二篇  谈判项目技术（质量）需求</w:t>
      </w:r>
      <w:bookmarkEnd w:id="47"/>
      <w:bookmarkEnd w:id="48"/>
      <w:bookmarkEnd w:id="49"/>
      <w:bookmarkEnd w:id="50"/>
    </w:p>
    <w:p w14:paraId="2EFA1FAC">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52" w:name="_Toc26971"/>
      <w:bookmarkStart w:id="53" w:name="_Toc24129"/>
      <w:bookmarkStart w:id="54" w:name="_Toc65660339"/>
      <w:bookmarkStart w:id="55" w:name="_Toc23027"/>
      <w:r>
        <w:rPr>
          <w:rFonts w:hint="eastAsia" w:ascii="宋体" w:hAnsi="宋体" w:eastAsia="宋体" w:cs="宋体"/>
          <w:color w:val="auto"/>
          <w:sz w:val="24"/>
          <w:szCs w:val="24"/>
          <w:highlight w:val="none"/>
        </w:rPr>
        <w:t>一、项目一览表</w:t>
      </w:r>
      <w:bookmarkEnd w:id="52"/>
      <w:bookmarkEnd w:id="53"/>
      <w:bookmarkEnd w:id="54"/>
      <w:bookmarkEnd w:id="55"/>
    </w:p>
    <w:tbl>
      <w:tblPr>
        <w:tblStyle w:val="58"/>
        <w:tblW w:w="4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8"/>
        <w:gridCol w:w="1780"/>
        <w:gridCol w:w="2818"/>
      </w:tblGrid>
      <w:tr w14:paraId="1B35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043" w:type="pct"/>
            <w:tcBorders>
              <w:top w:val="single" w:color="auto" w:sz="4" w:space="0"/>
              <w:left w:val="single" w:color="auto" w:sz="4" w:space="0"/>
              <w:right w:val="single" w:color="auto" w:sz="4" w:space="0"/>
            </w:tcBorders>
            <w:noWrap w:val="0"/>
            <w:vAlign w:val="center"/>
          </w:tcPr>
          <w:p w14:paraId="371BBDF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项目</w:t>
            </w:r>
            <w:r>
              <w:rPr>
                <w:rFonts w:hint="eastAsia" w:ascii="宋体" w:hAnsi="宋体" w:eastAsia="宋体" w:cs="宋体"/>
                <w:b/>
                <w:bCs/>
                <w:color w:val="auto"/>
                <w:kern w:val="0"/>
                <w:sz w:val="24"/>
                <w:szCs w:val="24"/>
                <w:highlight w:val="none"/>
              </w:rPr>
              <w:t>名称</w:t>
            </w:r>
          </w:p>
        </w:tc>
        <w:tc>
          <w:tcPr>
            <w:tcW w:w="1144" w:type="pct"/>
            <w:tcBorders>
              <w:top w:val="single" w:color="auto" w:sz="4" w:space="0"/>
              <w:left w:val="single" w:color="auto" w:sz="4" w:space="0"/>
              <w:right w:val="single" w:color="auto" w:sz="4" w:space="0"/>
            </w:tcBorders>
            <w:noWrap w:val="0"/>
            <w:vAlign w:val="center"/>
          </w:tcPr>
          <w:p w14:paraId="6C87CA7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最高限价（元）</w:t>
            </w:r>
          </w:p>
        </w:tc>
        <w:tc>
          <w:tcPr>
            <w:tcW w:w="1811" w:type="pct"/>
            <w:tcBorders>
              <w:top w:val="single" w:color="auto" w:sz="4" w:space="0"/>
              <w:left w:val="single" w:color="auto" w:sz="4" w:space="0"/>
              <w:right w:val="single" w:color="auto" w:sz="4" w:space="0"/>
            </w:tcBorders>
            <w:noWrap w:val="0"/>
            <w:vAlign w:val="center"/>
          </w:tcPr>
          <w:p w14:paraId="18EF25CA">
            <w:pPr>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备注</w:t>
            </w:r>
          </w:p>
        </w:tc>
      </w:tr>
      <w:tr w14:paraId="0C7C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43" w:type="pct"/>
            <w:tcBorders>
              <w:top w:val="single" w:color="auto" w:sz="4" w:space="0"/>
              <w:left w:val="single" w:color="auto" w:sz="4" w:space="0"/>
              <w:bottom w:val="single" w:color="auto" w:sz="4" w:space="0"/>
              <w:right w:val="single" w:color="auto" w:sz="4" w:space="0"/>
            </w:tcBorders>
            <w:noWrap w:val="0"/>
            <w:vAlign w:val="center"/>
          </w:tcPr>
          <w:p w14:paraId="02CA7D20">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重庆新翔源鞋业有限责任公司11号楼一楼功能改造项目</w:t>
            </w:r>
          </w:p>
        </w:tc>
        <w:tc>
          <w:tcPr>
            <w:tcW w:w="1144" w:type="pct"/>
            <w:tcBorders>
              <w:top w:val="single" w:color="auto" w:sz="4" w:space="0"/>
              <w:left w:val="single" w:color="auto" w:sz="4" w:space="0"/>
              <w:bottom w:val="single" w:color="auto" w:sz="4" w:space="0"/>
              <w:right w:val="single" w:color="auto" w:sz="4" w:space="0"/>
            </w:tcBorders>
            <w:noWrap w:val="0"/>
            <w:vAlign w:val="center"/>
          </w:tcPr>
          <w:p w14:paraId="7FC00E95">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290791.14</w:t>
            </w:r>
          </w:p>
        </w:tc>
        <w:tc>
          <w:tcPr>
            <w:tcW w:w="1811" w:type="pct"/>
            <w:tcBorders>
              <w:top w:val="single" w:color="auto" w:sz="4" w:space="0"/>
              <w:left w:val="single" w:color="auto" w:sz="4" w:space="0"/>
              <w:bottom w:val="single" w:color="auto" w:sz="4" w:space="0"/>
              <w:right w:val="single" w:color="auto" w:sz="4" w:space="0"/>
            </w:tcBorders>
            <w:noWrap w:val="0"/>
            <w:vAlign w:val="center"/>
          </w:tcPr>
          <w:p w14:paraId="251546D0">
            <w:pPr>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w:t>
            </w:r>
          </w:p>
        </w:tc>
      </w:tr>
    </w:tbl>
    <w:p w14:paraId="37FAB885">
      <w:pPr>
        <w:snapToGrid w:val="0"/>
        <w:spacing w:line="400" w:lineRule="exact"/>
        <w:rPr>
          <w:rFonts w:hint="eastAsia" w:ascii="宋体" w:hAnsi="宋体" w:eastAsia="宋体" w:cs="宋体"/>
          <w:color w:val="auto"/>
          <w:sz w:val="24"/>
          <w:szCs w:val="24"/>
          <w:highlight w:val="none"/>
        </w:rPr>
      </w:pPr>
    </w:p>
    <w:p w14:paraId="58BEADBC">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lang w:val="en-US" w:eastAsia="zh-CN"/>
        </w:rPr>
      </w:pPr>
      <w:bookmarkStart w:id="56" w:name="_Toc10723"/>
      <w:bookmarkStart w:id="57" w:name="_Toc65660340"/>
      <w:bookmarkStart w:id="58" w:name="_Toc11439"/>
      <w:bookmarkStart w:id="59" w:name="_Toc4843"/>
      <w:r>
        <w:rPr>
          <w:rFonts w:hint="eastAsia" w:ascii="宋体" w:hAnsi="宋体" w:eastAsia="宋体" w:cs="宋体"/>
          <w:color w:val="auto"/>
          <w:sz w:val="24"/>
          <w:szCs w:val="24"/>
          <w:highlight w:val="none"/>
        </w:rPr>
        <w:t>二、</w:t>
      </w:r>
      <w:bookmarkEnd w:id="56"/>
      <w:bookmarkEnd w:id="57"/>
      <w:bookmarkEnd w:id="58"/>
      <w:r>
        <w:rPr>
          <w:rFonts w:hint="eastAsia" w:ascii="宋体" w:hAnsi="宋体" w:eastAsia="宋体" w:cs="宋体"/>
          <w:color w:val="auto"/>
          <w:sz w:val="24"/>
          <w:szCs w:val="24"/>
          <w:highlight w:val="none"/>
          <w:lang w:val="en-US" w:eastAsia="zh-CN"/>
        </w:rPr>
        <w:t>项目概况</w:t>
      </w:r>
      <w:bookmarkEnd w:id="59"/>
    </w:p>
    <w:p w14:paraId="48B74F5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（一）工程名称：重庆新翔源鞋业有限责任公司11号楼一楼功能改造项目 </w:t>
      </w:r>
    </w:p>
    <w:p w14:paraId="4A482D04">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（二）工程地址：</w:t>
      </w:r>
      <w:r>
        <w:rPr>
          <w:rFonts w:hint="eastAsia" w:ascii="宋体" w:hAnsi="宋体" w:eastAsia="宋体" w:cs="宋体"/>
          <w:color w:val="auto"/>
          <w:sz w:val="24"/>
          <w:szCs w:val="24"/>
          <w:highlight w:val="none"/>
          <w:lang w:eastAsia="zh-CN"/>
        </w:rPr>
        <w:t>重庆市永川区昌州大道西段1111号</w:t>
      </w:r>
    </w:p>
    <w:p w14:paraId="2FDD7789">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（三）工程规模：主要包括房间、过道吊顶，墙面翻新，地面铺装PVC环保地胶，安装电吸玻璃门，用电线路铺设、拆除及新建墙体等。详见施工图及招标清单</w:t>
      </w:r>
      <w:r>
        <w:rPr>
          <w:rFonts w:hint="eastAsia" w:ascii="宋体" w:hAnsi="宋体" w:eastAsia="宋体" w:cs="宋体"/>
          <w:color w:val="auto"/>
          <w:sz w:val="24"/>
          <w:szCs w:val="24"/>
          <w:highlight w:val="none"/>
          <w:lang w:val="en-US" w:eastAsia="zh-CN"/>
        </w:rPr>
        <w:t>。</w:t>
      </w:r>
    </w:p>
    <w:p w14:paraId="72CC999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（四）采购范围：包含但不限于采购人提供的施工图示的内容，具体详见工程量清单。</w:t>
      </w:r>
    </w:p>
    <w:p w14:paraId="29A5BF9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（五）工程量清单见本项目采购公告附件“工程量清单”。</w:t>
      </w:r>
    </w:p>
    <w:p w14:paraId="23486B10">
      <w:pPr>
        <w:pStyle w:val="4"/>
        <w:adjustRightInd w:val="0"/>
        <w:snapToGrid w:val="0"/>
        <w:spacing w:before="0" w:after="0" w:line="400" w:lineRule="exact"/>
        <w:ind w:firstLine="482" w:firstLineChars="200"/>
        <w:rPr>
          <w:rFonts w:hint="eastAsia" w:ascii="宋体" w:hAnsi="宋体" w:eastAsia="宋体" w:cs="宋体"/>
          <w:b/>
          <w:color w:val="auto"/>
          <w:sz w:val="24"/>
          <w:szCs w:val="24"/>
          <w:highlight w:val="none"/>
        </w:rPr>
      </w:pPr>
      <w:bookmarkStart w:id="60" w:name="_Toc3522"/>
      <w:bookmarkStart w:id="61" w:name="_Toc331"/>
      <w:r>
        <w:rPr>
          <w:rFonts w:hint="eastAsia" w:ascii="宋体" w:hAnsi="宋体" w:eastAsia="宋体" w:cs="宋体"/>
          <w:b/>
          <w:color w:val="auto"/>
          <w:sz w:val="24"/>
          <w:szCs w:val="24"/>
          <w:highlight w:val="none"/>
        </w:rPr>
        <w:t>三、技术及质量要求</w:t>
      </w:r>
      <w:bookmarkEnd w:id="60"/>
      <w:bookmarkEnd w:id="61"/>
    </w:p>
    <w:p w14:paraId="432D741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符合强制性质量标准，符合国家和重庆市现行有关施工质量验收规范要求，并达到合格标准。</w:t>
      </w:r>
    </w:p>
    <w:p w14:paraId="1AA9CE31">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62" w:name="_Toc8475"/>
      <w:bookmarkStart w:id="63" w:name="_Toc8003"/>
      <w:r>
        <w:rPr>
          <w:rFonts w:hint="eastAsia" w:ascii="宋体" w:hAnsi="宋体" w:eastAsia="宋体" w:cs="宋体"/>
          <w:b/>
          <w:color w:val="auto"/>
          <w:sz w:val="24"/>
          <w:szCs w:val="24"/>
          <w:highlight w:val="none"/>
        </w:rPr>
        <w:t>四、现场踏勘</w:t>
      </w:r>
      <w:bookmarkEnd w:id="62"/>
      <w:bookmarkEnd w:id="63"/>
    </w:p>
    <w:p w14:paraId="703EA7EA">
      <w:pPr>
        <w:snapToGrid w:val="0"/>
        <w:spacing w:line="400" w:lineRule="exact"/>
        <w:ind w:firstLine="360" w:firstLineChars="150"/>
        <w:rPr>
          <w:rFonts w:hint="eastAsia" w:ascii="宋体" w:hAnsi="宋体" w:eastAsia="宋体" w:cs="宋体"/>
          <w:color w:val="auto"/>
          <w:sz w:val="24"/>
          <w:szCs w:val="24"/>
          <w:highlight w:val="none"/>
          <w:lang w:eastAsia="zh-CN"/>
        </w:rPr>
      </w:pPr>
      <w:bookmarkStart w:id="64" w:name="_Toc28951"/>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不组织现场踏勘</w:t>
      </w:r>
      <w:r>
        <w:rPr>
          <w:rFonts w:hint="eastAsia" w:ascii="宋体" w:hAnsi="宋体" w:eastAsia="宋体" w:cs="宋体"/>
          <w:color w:val="auto"/>
          <w:sz w:val="24"/>
          <w:szCs w:val="24"/>
          <w:highlight w:val="none"/>
          <w:lang w:eastAsia="zh-CN"/>
        </w:rPr>
        <w:t>。</w:t>
      </w:r>
    </w:p>
    <w:p w14:paraId="0EC90EE6">
      <w:pPr>
        <w:pStyle w:val="4"/>
        <w:adjustRightInd w:val="0"/>
        <w:snapToGrid w:val="0"/>
        <w:spacing w:before="0" w:after="0" w:line="400" w:lineRule="exact"/>
        <w:ind w:firstLine="482" w:firstLineChars="200"/>
        <w:rPr>
          <w:rFonts w:hint="eastAsia" w:ascii="宋体" w:hAnsi="宋体" w:eastAsia="宋体" w:cs="宋体"/>
          <w:b/>
          <w:color w:val="auto"/>
          <w:kern w:val="2"/>
          <w:sz w:val="24"/>
          <w:szCs w:val="24"/>
          <w:highlight w:val="none"/>
          <w:lang w:val="en-US" w:eastAsia="zh-CN" w:bidi="ar-SA"/>
        </w:rPr>
      </w:pPr>
      <w:bookmarkStart w:id="65" w:name="_Toc11078"/>
      <w:r>
        <w:rPr>
          <w:rFonts w:hint="eastAsia" w:ascii="宋体" w:hAnsi="宋体" w:eastAsia="宋体" w:cs="宋体"/>
          <w:b/>
          <w:color w:val="auto"/>
          <w:kern w:val="2"/>
          <w:sz w:val="24"/>
          <w:szCs w:val="24"/>
          <w:highlight w:val="none"/>
          <w:lang w:val="en-US" w:eastAsia="zh-CN" w:bidi="ar-SA"/>
        </w:rPr>
        <w:t>五、人员配备要求</w:t>
      </w:r>
      <w:bookmarkEnd w:id="64"/>
      <w:bookmarkEnd w:id="65"/>
    </w:p>
    <w:p w14:paraId="55C39B4E">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（一）项目经理</w:t>
      </w:r>
    </w:p>
    <w:p w14:paraId="03757C49">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拟派的项目经理须在供应商单位注册，并应具有建筑工程专业二级及以上注册建造师执业资格，并应具有省级及以上建筑行政主管部门颁发的安全生产考核合格证书（B类）。[1.提供项目经理身份证复印件；2.提供项目经理建造师注册证书、安全生产考核合格证书复印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供应商本单位为其缴纳的养老保险证明材料复印件；</w:t>
      </w:r>
      <w:r>
        <w:rPr>
          <w:rFonts w:hint="eastAsia" w:ascii="宋体" w:hAnsi="宋体" w:eastAsia="宋体" w:cs="宋体"/>
          <w:color w:val="auto"/>
          <w:sz w:val="24"/>
          <w:szCs w:val="24"/>
          <w:highlight w:val="none"/>
          <w:lang w:val="en-US" w:eastAsia="zh-CN"/>
        </w:rPr>
        <w:t>4.拟派项目经理到岗履职和未被禁止参与投标的承诺原件（承诺格式见响应文件格式）</w:t>
      </w:r>
      <w:r>
        <w:rPr>
          <w:rFonts w:hint="eastAsia" w:ascii="宋体" w:hAnsi="宋体" w:eastAsia="宋体" w:cs="宋体"/>
          <w:color w:val="auto"/>
          <w:sz w:val="24"/>
          <w:szCs w:val="24"/>
          <w:highlight w:val="none"/>
          <w:lang w:eastAsia="zh-CN"/>
        </w:rPr>
        <w:t>]。</w:t>
      </w:r>
    </w:p>
    <w:p w14:paraId="5EC29E37">
      <w:pPr>
        <w:pStyle w:val="38"/>
        <w:rPr>
          <w:rFonts w:hint="eastAsia" w:ascii="宋体" w:hAnsi="宋体" w:eastAsia="宋体" w:cs="宋体"/>
          <w:color w:val="auto"/>
          <w:sz w:val="24"/>
          <w:szCs w:val="24"/>
          <w:highlight w:val="none"/>
          <w:lang w:eastAsia="zh-CN"/>
        </w:rPr>
      </w:pPr>
    </w:p>
    <w:p w14:paraId="4460A504">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项目经理承诺要求：供应商须承诺拟派项目经理按注册建造师的相关规定到岗履职和未被禁止参与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w:t>
      </w:r>
    </w:p>
    <w:p w14:paraId="5A8F26B3">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1到岗履职承诺要求：承诺拟派项目经理中标后在本项目任职，签订合同时拟派的项目经理必须与响应文件中的项目经理一致，并满足办理施工许可手续的相关要求。不能按承诺到岗履约的，按合同相关条款处罚并上报行政主管部门，给采购人造成损失的，供应商依法承担违约赔偿责任。拟派项目经理中标后不得随意更换。</w:t>
      </w:r>
    </w:p>
    <w:p w14:paraId="0BF7B1C4">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2未被禁止参与投标承诺要求：承诺拟派项目经理未被重庆市住房和城乡建设主管部门暂停在渝承揽新业务。若被暂停在渝承揽新业务但仍参加谈判申请，将被否决谈判申请；已取得中标候选人资格或中标资格的，采购人有权取消其中标候选人资格或中标资格；给采购人造成损失的，供应商依法承担违约赔偿责任。</w:t>
      </w:r>
    </w:p>
    <w:p w14:paraId="460BED6A">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.3项目经理的其它承诺要求：为保证中标人拟派的项目经理到本项目到岗履职，中标人还需承诺：</w:t>
      </w:r>
    </w:p>
    <w:p w14:paraId="20959D09">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中标人拟派本项目的项目经理有在其他项目任职的情形的（或有在其他项目中标或拟中标的情形的），应在收到中标通知书后14日内，办理完成放弃在其他项目任职的手续（或办理完成放弃在其他项目中标或拟中标的手续），采购人在合同签订前有权对中标人拟派项目经理在其他项目的任职情形（或在其他项目的中标或拟中标情形）进行核查，若与中标人承诺内容不符或中标人未在上述时间内按照谈判文件规定递交放弃在其他项目任职、中标或拟中标的相关资料，视为中标人放弃中标资格，采购人不退还其谈判申请保证金。在合同签订时，中标人需确保拟派项目经理符合《建筑施工企业项目经理资质管理办法》规定的项目经理任职条件，否则视为中标人放弃中标资格，采购人不退还其谈判申请保证金。</w:t>
      </w:r>
    </w:p>
    <w:p w14:paraId="0890DD6A">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放弃在其他项目任职的需提供：①经业主或建设单位同意任职变更的文件；②负责项目监管的行业行政主管部门出具同意任职变更的证明材料。</w:t>
      </w:r>
    </w:p>
    <w:p w14:paraId="0DFD3C46">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放弃在其他项目中标或拟中标的需提供：①经中标或拟中标的其他项目建设单位同意的放弃中标函。</w:t>
      </w:r>
    </w:p>
    <w:p w14:paraId="7502F0F1">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.4未提供上述承诺或承诺内容不符合要求的，由评标委员会作否决谈判申请处理。</w:t>
      </w:r>
    </w:p>
    <w:p w14:paraId="4433A84D">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）其他要求</w:t>
      </w:r>
    </w:p>
    <w:p w14:paraId="6CF4E151">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（1）项目技术负责人：</w:t>
      </w:r>
    </w:p>
    <w:p w14:paraId="1C267625">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应具有工程类中级及以上职称；</w:t>
      </w:r>
    </w:p>
    <w:p w14:paraId="4968B0AC">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供应商须在响应文件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eastAsia="zh-CN"/>
        </w:rPr>
        <w:t>提供拟派技术负责人身份证、职称证及供应商本单位为其缴纳的养老保险证明材料复印件。</w:t>
      </w:r>
    </w:p>
    <w:p w14:paraId="788D4938">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（2）主要管理人员：</w:t>
      </w:r>
    </w:p>
    <w:p w14:paraId="11FD0946">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本项目主要管理人员配置为：项目经理1人、技术负责人1人、施工员不少于1人、预算员1人（可用造价员证）、资料员1人、安全员不少于1人，以上人员需按要求每天到岗到位履职。谈判申请人须在响应文件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eastAsia="zh-CN"/>
        </w:rPr>
        <w:t>提供提供</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为该人员缴纳的养老保险证明复印件和该人员有效证件复印件。</w:t>
      </w:r>
    </w:p>
    <w:p w14:paraId="69C5621A">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（3）委托代理人：</w:t>
      </w:r>
    </w:p>
    <w:p w14:paraId="5271BC46">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委托代理人必须为供应商本单位人员。</w:t>
      </w:r>
    </w:p>
    <w:p w14:paraId="47189DB7">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供应商须在响应文件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eastAsia="zh-CN"/>
        </w:rPr>
        <w:t>提供供应商为该委托代理人缴纳的养老保险证明复印件。否则，将由评标委员会作否决谈判申请处理。</w:t>
      </w:r>
    </w:p>
    <w:p w14:paraId="0F8728AC">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供应商应承诺：供应商及参与项目的所有人员须严格遵守国家保密法规及发包人管理规定，相关人员不得擅自携带手机、相机、录音设备等进入施工现场，对布局、安防设施、施工图纸等全部信息承担保密义务。因施工场所的特殊性，投标人必须作出承诺所有参与施工人员无犯罪记录，签订《保密协议》，禁止无关人员进入施工现场，若投标人违反保密约定，按照相关规定进行处理，招标人有权立即终止合同，并追究其法律责任，中标单位在施工期间须严格遵守甲方管理规定。如未提供以上</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lang w:eastAsia="zh-CN"/>
        </w:rPr>
        <w:t>，则视为投标无效。</w:t>
      </w:r>
    </w:p>
    <w:p w14:paraId="65116A29">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供应商须在响应文件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eastAsia="zh-CN"/>
        </w:rPr>
        <w:t>提供承诺书原件。</w:t>
      </w:r>
    </w:p>
    <w:p w14:paraId="2DCDD897">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特别说明：</w:t>
      </w:r>
    </w:p>
    <w:p w14:paraId="35FFB98D">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（1）上述“</w:t>
      </w:r>
      <w:r>
        <w:rPr>
          <w:rFonts w:hint="eastAsia" w:ascii="宋体" w:hAnsi="宋体" w:eastAsia="宋体" w:cs="宋体"/>
          <w:color w:val="auto"/>
          <w:sz w:val="24"/>
          <w:szCs w:val="24"/>
          <w:highlight w:val="none"/>
          <w:lang w:val="en-US" w:eastAsia="zh-CN"/>
        </w:rPr>
        <w:t>人员配备要求</w:t>
      </w:r>
      <w:r>
        <w:rPr>
          <w:rFonts w:hint="eastAsia" w:ascii="宋体" w:hAnsi="宋体" w:eastAsia="宋体" w:cs="宋体"/>
          <w:color w:val="auto"/>
          <w:sz w:val="24"/>
          <w:szCs w:val="24"/>
          <w:highlight w:val="none"/>
          <w:lang w:eastAsia="zh-CN"/>
        </w:rPr>
        <w:t>”所须提交的相关证明材料复印件均应加盖谈判申请单位法人章并装入响应文件中。上述“</w:t>
      </w:r>
      <w:r>
        <w:rPr>
          <w:rFonts w:hint="eastAsia" w:ascii="宋体" w:hAnsi="宋体" w:eastAsia="宋体" w:cs="宋体"/>
          <w:color w:val="auto"/>
          <w:sz w:val="24"/>
          <w:szCs w:val="24"/>
          <w:highlight w:val="none"/>
          <w:lang w:val="en-US" w:eastAsia="zh-CN"/>
        </w:rPr>
        <w:t>人员配备要求</w:t>
      </w:r>
      <w:r>
        <w:rPr>
          <w:rFonts w:hint="eastAsia" w:ascii="宋体" w:hAnsi="宋体" w:eastAsia="宋体" w:cs="宋体"/>
          <w:color w:val="auto"/>
          <w:sz w:val="24"/>
          <w:szCs w:val="24"/>
          <w:highlight w:val="none"/>
          <w:lang w:eastAsia="zh-CN"/>
        </w:rPr>
        <w:t>”，有一条不满足则响应文件由评标委员会作否决谈判申请处理。</w:t>
      </w:r>
    </w:p>
    <w:p w14:paraId="5E24B707">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（2）供应商须自行承诺其提供的</w:t>
      </w:r>
      <w:r>
        <w:rPr>
          <w:rFonts w:hint="eastAsia" w:ascii="宋体" w:hAnsi="宋体" w:eastAsia="宋体" w:cs="宋体"/>
          <w:color w:val="auto"/>
          <w:sz w:val="24"/>
          <w:szCs w:val="24"/>
          <w:highlight w:val="none"/>
          <w:lang w:val="en-US" w:eastAsia="zh-CN"/>
        </w:rPr>
        <w:t>竞争性谈判文件要求的</w:t>
      </w:r>
      <w:r>
        <w:rPr>
          <w:rFonts w:hint="eastAsia" w:ascii="宋体" w:hAnsi="宋体" w:eastAsia="宋体" w:cs="宋体"/>
          <w:color w:val="auto"/>
          <w:sz w:val="24"/>
          <w:szCs w:val="24"/>
          <w:highlight w:val="none"/>
          <w:lang w:eastAsia="zh-CN"/>
        </w:rPr>
        <w:t>相关证明材料真实有效，不存在弄虚作假情形。采购人在合同签订前均有权对供应商提供的资料进行核实，若发现弄虚作假，取消其中标资格，并按相关法律法规报监督部门处理，其谈判申请保证金不予退还，供应商承担因此造成的相关责任并赔偿相应损失。</w:t>
      </w:r>
    </w:p>
    <w:p w14:paraId="55962BBB">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（3）本谈判文件中所要求的人员养老保险证明要求如下：</w:t>
      </w:r>
    </w:p>
    <w:p w14:paraId="7519B56F">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①企业提供养老保险证明，事业单位提供养老保险证明或行政主管部门在编证明。</w:t>
      </w:r>
    </w:p>
    <w:p w14:paraId="604AC177">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相关人员的养老保险证明期限须包含2025年8月。提供的养老保险参保证明须体现上述人员的姓名、身份证号（或社保号）、单位名称、本单位参保时间（或起始参保时间），并带有社保部门公章或社保部门的有效电子印章。</w:t>
      </w:r>
    </w:p>
    <w:p w14:paraId="669EDA91">
      <w:pPr>
        <w:pStyle w:val="4"/>
        <w:numPr>
          <w:ilvl w:val="0"/>
          <w:numId w:val="0"/>
        </w:numPr>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66" w:name="_Toc12776"/>
      <w:bookmarkStart w:id="67" w:name="_Toc31546"/>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业绩要求</w:t>
      </w:r>
      <w:bookmarkEnd w:id="66"/>
    </w:p>
    <w:bookmarkEnd w:id="67"/>
    <w:p w14:paraId="73278345">
      <w:pPr>
        <w:snapToGrid w:val="0"/>
        <w:spacing w:line="420" w:lineRule="exact"/>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p w14:paraId="749A4C48">
      <w:pPr>
        <w:pStyle w:val="4"/>
        <w:adjustRightInd w:val="0"/>
        <w:snapToGrid w:val="0"/>
        <w:spacing w:before="0" w:after="0" w:line="400" w:lineRule="exact"/>
        <w:ind w:firstLine="482" w:firstLineChars="200"/>
        <w:rPr>
          <w:rFonts w:hint="eastAsia" w:ascii="宋体" w:hAnsi="宋体" w:eastAsia="宋体" w:cs="宋体"/>
          <w:b/>
          <w:color w:val="auto"/>
          <w:sz w:val="24"/>
          <w:szCs w:val="24"/>
          <w:highlight w:val="none"/>
        </w:rPr>
      </w:pPr>
      <w:bookmarkStart w:id="68" w:name="_Toc26108"/>
      <w:bookmarkStart w:id="69" w:name="_Toc18609"/>
      <w:r>
        <w:rPr>
          <w:rFonts w:hint="eastAsia" w:ascii="宋体" w:hAnsi="宋体" w:eastAsia="宋体" w:cs="宋体"/>
          <w:b/>
          <w:color w:val="auto"/>
          <w:sz w:val="24"/>
          <w:szCs w:val="24"/>
          <w:highlight w:val="none"/>
        </w:rPr>
        <w:t>七、安全生产</w:t>
      </w:r>
      <w:bookmarkEnd w:id="68"/>
      <w:bookmarkEnd w:id="69"/>
    </w:p>
    <w:p w14:paraId="5B3A89D8">
      <w:pPr>
        <w:snapToGrid w:val="0"/>
        <w:spacing w:line="42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（一）承包人应负责施工安全（包含但不仅限于施工现场及施工周边的施工人身安全、行人安全等），若发生一切安全事故和经济损失，责任由承包人全部承担，采购人不承担任何责任。</w:t>
      </w:r>
    </w:p>
    <w:p w14:paraId="0B2235FE">
      <w:pPr>
        <w:snapToGrid w:val="0"/>
        <w:spacing w:line="42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施工过程中，中标人须做到安全施工、文明施工，并做好相应的施工安全公告及警戒标识，施工过程中发生的一切安全事故由承包人自行负责处理。承包人应当与其施工人员建立劳动关系，承担全部用人用工主体责任。</w:t>
      </w:r>
    </w:p>
    <w:p w14:paraId="407FC4DD">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在施工期间，本项目所派项目经理、技术负责人、安全员、施工员、每天早晚须到甲方办公室签到。在岗时间每月不低于20天，确有特殊情况需向甲方书面请假，并经甲方同意。项目经理与施工员不能同时请假，至少应保持1人在现场，施工期间必须保证至少有一名安全员在现场履职。未按要求到岗履职的每发现一次，按500元/天·次计算违约金。</w:t>
      </w:r>
    </w:p>
    <w:p w14:paraId="4C451FD6">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 xml:space="preserve">）中标单位在项目工期内，需全天委派施工员、安全员到施工现场，进行管理和督导。  </w:t>
      </w:r>
    </w:p>
    <w:p w14:paraId="10EE291B">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）中标人需按照国家相关规定，对相关人员购买相关保险。</w:t>
      </w:r>
    </w:p>
    <w:p w14:paraId="0FE2DAFB">
      <w:pPr>
        <w:pStyle w:val="4"/>
        <w:adjustRightInd w:val="0"/>
        <w:snapToGrid w:val="0"/>
        <w:spacing w:before="0" w:after="0" w:line="400" w:lineRule="exact"/>
        <w:ind w:firstLine="482" w:firstLineChars="200"/>
        <w:rPr>
          <w:rFonts w:hint="eastAsia" w:ascii="宋体" w:hAnsi="宋体" w:eastAsia="宋体" w:cs="宋体"/>
          <w:b/>
          <w:color w:val="auto"/>
          <w:sz w:val="24"/>
          <w:szCs w:val="24"/>
          <w:highlight w:val="none"/>
        </w:rPr>
      </w:pPr>
      <w:bookmarkStart w:id="70" w:name="_Toc25575"/>
      <w:bookmarkStart w:id="71" w:name="_Toc17464"/>
      <w:r>
        <w:rPr>
          <w:rFonts w:hint="eastAsia" w:ascii="宋体" w:hAnsi="宋体" w:eastAsia="宋体" w:cs="宋体"/>
          <w:b/>
          <w:color w:val="auto"/>
          <w:sz w:val="24"/>
          <w:szCs w:val="24"/>
          <w:highlight w:val="none"/>
        </w:rPr>
        <w:t>八、安全措施</w:t>
      </w:r>
      <w:bookmarkEnd w:id="70"/>
      <w:bookmarkEnd w:id="71"/>
    </w:p>
    <w:p w14:paraId="21FF9CD7">
      <w:pPr>
        <w:snapToGrid w:val="0"/>
        <w:spacing w:line="42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（一）本项目施工需符合国家、地方、行业各项规范，且施工单位需制定专门安全措施方案。</w:t>
      </w:r>
    </w:p>
    <w:p w14:paraId="26D63320">
      <w:pPr>
        <w:snapToGrid w:val="0"/>
        <w:spacing w:line="42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（二）建立定期的安全活动制度，班组每天进行班前、班后的安全检查及时清除不安全隐患，根据施工实际情况，提出安全生产措施，及时解决安全生产上存在的各种问题，协助解决安全生产中的疑难问题。</w:t>
      </w:r>
    </w:p>
    <w:p w14:paraId="4E08E9F8">
      <w:pPr>
        <w:pStyle w:val="4"/>
        <w:adjustRightInd w:val="0"/>
        <w:snapToGrid w:val="0"/>
        <w:spacing w:before="0" w:after="0" w:line="400" w:lineRule="exact"/>
        <w:ind w:firstLine="482" w:firstLineChars="200"/>
        <w:rPr>
          <w:rFonts w:hint="eastAsia" w:ascii="宋体" w:hAnsi="宋体" w:eastAsia="宋体" w:cs="宋体"/>
          <w:b/>
          <w:color w:val="auto"/>
          <w:sz w:val="24"/>
          <w:szCs w:val="24"/>
          <w:highlight w:val="none"/>
        </w:rPr>
      </w:pPr>
      <w:bookmarkStart w:id="72" w:name="_Toc25220"/>
      <w:bookmarkStart w:id="73" w:name="_Toc4652"/>
      <w:r>
        <w:rPr>
          <w:rFonts w:hint="eastAsia" w:ascii="宋体" w:hAnsi="宋体" w:eastAsia="宋体" w:cs="宋体"/>
          <w:b/>
          <w:color w:val="auto"/>
          <w:sz w:val="24"/>
          <w:szCs w:val="24"/>
          <w:highlight w:val="none"/>
        </w:rPr>
        <w:t>九、关于转、分包</w:t>
      </w:r>
      <w:bookmarkEnd w:id="72"/>
      <w:bookmarkEnd w:id="73"/>
    </w:p>
    <w:p w14:paraId="5B2951B0">
      <w:pPr>
        <w:snapToGrid w:val="0"/>
        <w:spacing w:line="420" w:lineRule="exact"/>
        <w:ind w:firstLine="480" w:firstLineChars="200"/>
        <w:contextualSpacing/>
        <w:rPr>
          <w:rFonts w:hint="eastAsia" w:ascii="宋体" w:hAnsi="宋体" w:eastAsia="宋体" w:cs="宋体"/>
          <w:color w:val="auto"/>
          <w:sz w:val="24"/>
          <w:szCs w:val="24"/>
          <w:highlight w:val="none"/>
          <w:lang w:val="zh-CN" w:eastAsia="zh-CN"/>
        </w:rPr>
      </w:pPr>
      <w:bookmarkStart w:id="74" w:name="_Toc9405"/>
      <w:bookmarkStart w:id="75" w:name="_Toc565"/>
      <w:bookmarkStart w:id="76" w:name="_Toc25903"/>
      <w:bookmarkStart w:id="77" w:name="_Toc23165"/>
      <w:bookmarkStart w:id="78" w:name="_Toc21302"/>
      <w:r>
        <w:rPr>
          <w:rFonts w:hint="eastAsia" w:ascii="宋体" w:hAnsi="宋体" w:eastAsia="宋体" w:cs="宋体"/>
          <w:color w:val="auto"/>
          <w:sz w:val="24"/>
          <w:szCs w:val="24"/>
          <w:highlight w:val="none"/>
          <w:lang w:val="zh-CN" w:eastAsia="zh-CN"/>
        </w:rPr>
        <w:t>中标人不得转包他人，若发现转包，采购人有权终止合同，并追究相应法律责任。</w:t>
      </w:r>
    </w:p>
    <w:bookmarkEnd w:id="74"/>
    <w:bookmarkEnd w:id="75"/>
    <w:bookmarkEnd w:id="76"/>
    <w:bookmarkEnd w:id="77"/>
    <w:bookmarkEnd w:id="78"/>
    <w:p w14:paraId="443D3B51">
      <w:pPr>
        <w:pStyle w:val="4"/>
        <w:adjustRightInd w:val="0"/>
        <w:snapToGrid w:val="0"/>
        <w:spacing w:before="0" w:after="0" w:line="400" w:lineRule="exact"/>
        <w:ind w:firstLine="482" w:firstLineChars="200"/>
        <w:rPr>
          <w:rFonts w:hint="eastAsia" w:ascii="宋体" w:hAnsi="宋体" w:eastAsia="宋体" w:cs="宋体"/>
          <w:b/>
          <w:color w:val="auto"/>
          <w:sz w:val="24"/>
          <w:szCs w:val="24"/>
          <w:highlight w:val="none"/>
        </w:rPr>
      </w:pPr>
      <w:bookmarkStart w:id="79" w:name="_Toc16765"/>
      <w:bookmarkStart w:id="80" w:name="_Toc8215"/>
      <w:bookmarkStart w:id="81" w:name="_Toc28287"/>
      <w:bookmarkStart w:id="82" w:name="_Toc21949"/>
      <w:bookmarkStart w:id="83" w:name="_Toc18264"/>
      <w:bookmarkStart w:id="84" w:name="_Toc9764"/>
      <w:r>
        <w:rPr>
          <w:rFonts w:hint="eastAsia" w:ascii="宋体" w:hAnsi="宋体" w:eastAsia="宋体" w:cs="宋体"/>
          <w:b/>
          <w:color w:val="auto"/>
          <w:sz w:val="24"/>
          <w:szCs w:val="24"/>
          <w:highlight w:val="none"/>
        </w:rPr>
        <w:t>十、其他</w:t>
      </w:r>
      <w:bookmarkEnd w:id="79"/>
      <w:bookmarkEnd w:id="80"/>
      <w:bookmarkEnd w:id="81"/>
      <w:bookmarkEnd w:id="82"/>
      <w:bookmarkEnd w:id="83"/>
      <w:bookmarkEnd w:id="84"/>
    </w:p>
    <w:p w14:paraId="1E866EC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（一）供应商的项目管理团队必须到现场加强对项目的管理，施工期间施工现场的所有安全责任均由成交供应商负责承担。</w:t>
      </w:r>
    </w:p>
    <w:p w14:paraId="6DB7E64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（二）供应商必须在响应文件中对以上条款和服务承诺明确列出，承诺内容必须达到本篇及采购文件其他条款的要求。</w:t>
      </w:r>
    </w:p>
    <w:p w14:paraId="0B64E003">
      <w:pPr>
        <w:pStyle w:val="4"/>
        <w:spacing w:before="0" w:after="0" w:line="360" w:lineRule="auto"/>
        <w:jc w:val="both"/>
        <w:rPr>
          <w:rFonts w:hint="eastAsia" w:ascii="宋体" w:hAnsi="宋体" w:eastAsia="宋体" w:cs="宋体"/>
          <w:b w:val="0"/>
          <w:color w:val="auto"/>
          <w:sz w:val="24"/>
          <w:szCs w:val="24"/>
          <w:highlight w:val="none"/>
        </w:rPr>
      </w:pPr>
      <w:bookmarkStart w:id="85" w:name="_Toc15492"/>
      <w:bookmarkStart w:id="86" w:name="_Toc13356"/>
      <w:bookmarkStart w:id="87" w:name="_Toc65660341"/>
    </w:p>
    <w:p w14:paraId="0570A1E0">
      <w:pPr>
        <w:pStyle w:val="4"/>
        <w:spacing w:before="0" w:after="0" w:line="360" w:lineRule="auto"/>
        <w:jc w:val="both"/>
        <w:rPr>
          <w:rFonts w:hint="eastAsia" w:ascii="宋体" w:hAnsi="宋体" w:eastAsia="宋体" w:cs="宋体"/>
          <w:b w:val="0"/>
          <w:color w:val="auto"/>
          <w:sz w:val="24"/>
          <w:szCs w:val="24"/>
          <w:highlight w:val="none"/>
        </w:rPr>
      </w:pPr>
    </w:p>
    <w:p w14:paraId="2E625F79">
      <w:pPr>
        <w:rPr>
          <w:rFonts w:hint="eastAsia" w:ascii="宋体" w:hAnsi="宋体" w:eastAsia="宋体" w:cs="宋体"/>
          <w:b/>
          <w:color w:val="auto"/>
          <w:sz w:val="24"/>
          <w:szCs w:val="24"/>
          <w:highlight w:val="none"/>
        </w:rPr>
      </w:pPr>
    </w:p>
    <w:p w14:paraId="091C39B6">
      <w:pPr>
        <w:rPr>
          <w:rFonts w:hint="eastAsia" w:ascii="宋体" w:hAnsi="宋体" w:eastAsia="宋体" w:cs="宋体"/>
          <w:color w:val="auto"/>
          <w:sz w:val="24"/>
          <w:szCs w:val="24"/>
          <w:highlight w:val="none"/>
        </w:rPr>
      </w:pPr>
    </w:p>
    <w:p w14:paraId="414ABEF9">
      <w:pPr>
        <w:pStyle w:val="3"/>
        <w:bidi w:val="0"/>
        <w:jc w:val="center"/>
        <w:rPr>
          <w:rStyle w:val="67"/>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Start w:id="88" w:name="_Toc29294"/>
      <w:r>
        <w:rPr>
          <w:rFonts w:hint="eastAsia" w:ascii="宋体" w:hAnsi="宋体" w:eastAsia="宋体" w:cs="宋体"/>
          <w:color w:val="auto"/>
          <w:kern w:val="2"/>
          <w:sz w:val="36"/>
          <w:szCs w:val="36"/>
          <w:highlight w:val="none"/>
          <w:lang w:val="en-US" w:eastAsia="zh-CN" w:bidi="ar-SA"/>
        </w:rPr>
        <w:t xml:space="preserve">第三篇  </w:t>
      </w:r>
      <w:bookmarkEnd w:id="51"/>
      <w:r>
        <w:rPr>
          <w:rFonts w:hint="eastAsia" w:ascii="宋体" w:hAnsi="宋体" w:eastAsia="宋体" w:cs="宋体"/>
          <w:color w:val="auto"/>
          <w:kern w:val="2"/>
          <w:sz w:val="36"/>
          <w:szCs w:val="36"/>
          <w:highlight w:val="none"/>
          <w:lang w:val="en-US" w:eastAsia="zh-CN" w:bidi="ar-SA"/>
        </w:rPr>
        <w:t>谈判项目服务</w:t>
      </w:r>
      <w:bookmarkEnd w:id="85"/>
      <w:bookmarkEnd w:id="86"/>
      <w:bookmarkEnd w:id="87"/>
      <w:r>
        <w:rPr>
          <w:rFonts w:hint="eastAsia" w:ascii="宋体" w:hAnsi="宋体" w:eastAsia="宋体" w:cs="宋体"/>
          <w:color w:val="auto"/>
          <w:kern w:val="2"/>
          <w:sz w:val="36"/>
          <w:szCs w:val="36"/>
          <w:highlight w:val="none"/>
          <w:lang w:val="en-US" w:eastAsia="zh-CN" w:bidi="ar-SA"/>
        </w:rPr>
        <w:t>需求</w:t>
      </w:r>
      <w:bookmarkEnd w:id="88"/>
    </w:p>
    <w:p w14:paraId="3E37D120">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lang w:eastAsia="zh-CN"/>
        </w:rPr>
      </w:pPr>
      <w:bookmarkStart w:id="89" w:name="_Toc13555"/>
      <w:bookmarkStart w:id="90" w:name="_Toc12935"/>
      <w:bookmarkStart w:id="91" w:name="_Toc11819"/>
      <w:bookmarkStart w:id="92" w:name="_Toc65660342"/>
      <w:bookmarkStart w:id="93" w:name="_Toc12267"/>
      <w:bookmarkStart w:id="94" w:name="_Toc342913389"/>
      <w:r>
        <w:rPr>
          <w:rFonts w:hint="eastAsia" w:ascii="宋体" w:hAnsi="宋体" w:eastAsia="宋体" w:cs="宋体"/>
          <w:color w:val="auto"/>
          <w:sz w:val="24"/>
          <w:szCs w:val="24"/>
          <w:highlight w:val="none"/>
        </w:rPr>
        <w:t>一、</w:t>
      </w:r>
      <w:bookmarkEnd w:id="89"/>
      <w:bookmarkEnd w:id="90"/>
      <w:bookmarkEnd w:id="91"/>
      <w:bookmarkEnd w:id="92"/>
      <w:bookmarkStart w:id="95" w:name="_Toc29071"/>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val="en-US" w:eastAsia="zh-CN"/>
        </w:rPr>
        <w:t>及付款</w:t>
      </w:r>
      <w:bookmarkEnd w:id="93"/>
      <w:bookmarkEnd w:id="95"/>
    </w:p>
    <w:p w14:paraId="33C556F3">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（一）工期：本项目工期为60天，从合同签订之日起计算。</w:t>
      </w:r>
    </w:p>
    <w:p w14:paraId="084BD595">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（二）地点</w:t>
      </w:r>
    </w:p>
    <w:p w14:paraId="3540BFD1">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采购人指定地点。</w:t>
      </w:r>
    </w:p>
    <w:p w14:paraId="6621C2F8">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（三）验收及付款</w:t>
      </w:r>
    </w:p>
    <w:p w14:paraId="68413AAC">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1.验收方式：满足国家及地方行业规范及质量要求，分部分项验收及竣工验收，经施工单位自行验收合格后，向甲方提出验收申请，甲方在收到验收申请5个工作日内组织验收。</w:t>
      </w:r>
    </w:p>
    <w:p w14:paraId="43377A1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2.付款方式：项目验收合格后，根据结算金额，施工单位开具增值税专用发票，缴纳质量保证金后10个工作日内全额支付工程款。</w:t>
      </w:r>
    </w:p>
    <w:p w14:paraId="2D0086EC">
      <w:pPr>
        <w:pStyle w:val="4"/>
        <w:adjustRightInd w:val="0"/>
        <w:snapToGrid w:val="0"/>
        <w:spacing w:before="0" w:after="0" w:line="400" w:lineRule="exact"/>
        <w:ind w:firstLine="482" w:firstLineChars="200"/>
        <w:rPr>
          <w:rFonts w:hint="eastAsia" w:ascii="宋体" w:hAnsi="宋体" w:eastAsia="宋体" w:cs="宋体"/>
          <w:b/>
          <w:color w:val="auto"/>
          <w:sz w:val="24"/>
          <w:szCs w:val="24"/>
          <w:highlight w:val="none"/>
          <w:lang w:val="en-US" w:eastAsia="zh-CN"/>
        </w:rPr>
      </w:pPr>
      <w:bookmarkStart w:id="96" w:name="_Toc2283"/>
      <w:bookmarkStart w:id="97" w:name="_Toc8087"/>
      <w:r>
        <w:rPr>
          <w:rFonts w:hint="eastAsia" w:ascii="宋体" w:hAnsi="宋体" w:eastAsia="宋体" w:cs="宋体"/>
          <w:b/>
          <w:color w:val="auto"/>
          <w:sz w:val="24"/>
          <w:szCs w:val="24"/>
          <w:highlight w:val="none"/>
          <w:lang w:val="en-US" w:eastAsia="zh-CN"/>
        </w:rPr>
        <w:t>二、报价要求</w:t>
      </w:r>
      <w:bookmarkEnd w:id="96"/>
      <w:bookmarkEnd w:id="97"/>
    </w:p>
    <w:p w14:paraId="487FF0A0">
      <w:pPr>
        <w:snapToGrid w:val="0"/>
        <w:spacing w:line="400" w:lineRule="exact"/>
        <w:ind w:firstLine="480" w:firstLineChars="200"/>
        <w:rPr>
          <w:rFonts w:hint="eastAsia" w:ascii="宋体" w:hAnsi="宋体" w:eastAsia="宋体" w:cs="宋体"/>
          <w:color w:val="auto"/>
          <w:sz w:val="24"/>
          <w:szCs w:val="24"/>
          <w:highlight w:val="none"/>
          <w:lang w:val="en-US" w:eastAsia="zh-CN"/>
        </w:rPr>
      </w:pPr>
      <w:bookmarkStart w:id="98" w:name="_Toc104655775"/>
      <w:bookmarkStart w:id="99" w:name="_Toc3365"/>
      <w:bookmarkStart w:id="100" w:name="_Toc46056934"/>
      <w:bookmarkStart w:id="101" w:name="_Toc13855"/>
      <w:bookmarkStart w:id="102" w:name="_Toc19667"/>
      <w:bookmarkStart w:id="103" w:name="_Toc13894"/>
      <w:bookmarkStart w:id="104" w:name="_Toc24486"/>
      <w:r>
        <w:rPr>
          <w:rFonts w:hint="eastAsia" w:ascii="宋体" w:hAnsi="宋体" w:eastAsia="宋体" w:cs="宋体"/>
          <w:color w:val="auto"/>
          <w:sz w:val="24"/>
          <w:szCs w:val="24"/>
          <w:highlight w:val="none"/>
          <w:lang w:val="en-US" w:eastAsia="zh-CN"/>
        </w:rPr>
        <w:t>1.该项目报价须为人民币报价，采用工程量清单固定单价合同，以实际工程量进行结算；采购人设置总价及分部分项工程项目清单综合单价最高限价，供应商的总报价及分部分项工程项目清单综合单价不得超出采购人给出的最高限价，综合单价报价保留到小数点后两位有效。供应商的报价中对于采购人给出的安全文明施工费暂定金额、暂估价以及暂列金额都不能进行改动，须按照采购人给出的金额报价，否则视为无效响应。</w:t>
      </w:r>
    </w:p>
    <w:p w14:paraId="4B0EE456">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应按《建设工程工程量清单计价规范》（GB50500-2013）及重庆市相关工程量清单计价规则的要求填写相应清单表格。投标人应按《重庆市建设工程费用定额》（CQFYDE-2018）、《重庆市住房和城乡建设委员会关于适用增值税新税率调整建设工程计价依据的通知》（渝建〔2019〕143号）和采购人给出的“工程量清单”的要求填写相应清单表格。投标人的投标报价应是本工程合同段采购范围内的全部工程的投标报价，并以投标人在工程量清单中提出的单价或总价[“总价”是指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确。]为依据。</w:t>
      </w:r>
    </w:p>
    <w:p w14:paraId="13F21FCC">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否决投标处理。</w:t>
      </w:r>
    </w:p>
    <w:p w14:paraId="7BF895AC">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4.报价函中的总报价与已标价工程量清单总报价不一致，或工程量清单总报价与依据单价、工程数量、分部分项工程合价计算出的结果不一致，由评标委员会作否决投标处理。</w:t>
      </w:r>
    </w:p>
    <w:p w14:paraId="719F9BD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5.（1）在合同实施期间，单价和总价按专用合同条款第11条的规定可调整。</w:t>
      </w:r>
    </w:p>
    <w:p w14:paraId="49CFFFA9">
      <w:pPr>
        <w:snapToGrid w:val="0"/>
        <w:spacing w:line="400" w:lineRule="exact"/>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（2）增值税计税方法由招标人依据国家税法规定选择：一般计税法</w:t>
      </w:r>
    </w:p>
    <w:p w14:paraId="2B27E6FB">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6.如发现工程量清单中的数量与图纸中数量不一致，应书面通知招标人核查，除非招标人以修改的形式予以更正，否则，应以工程量清单中列出的数量为准。</w:t>
      </w:r>
    </w:p>
    <w:p w14:paraId="431CBABE">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7.招标人在工程量清单中所列出的暂列金额、暂估价等暂定金额，投标人不得修改，否则由评标委员会作否决投标处理。</w:t>
      </w:r>
    </w:p>
    <w:p w14:paraId="200716D3">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8.本工程招标将设置投标总报价最高限价，</w:t>
      </w:r>
      <w:r>
        <w:rPr>
          <w:rFonts w:hint="eastAsia" w:ascii="宋体" w:hAnsi="宋体" w:eastAsia="宋体" w:cs="宋体"/>
          <w:b/>
          <w:bCs/>
          <w:color w:val="auto"/>
          <w:sz w:val="24"/>
          <w:szCs w:val="24"/>
          <w:highlight w:val="none"/>
          <w:lang w:val="en-US" w:eastAsia="zh-CN"/>
        </w:rPr>
        <w:t>投标总报价最高限价为290791.14元（大写：贰拾玖万零柒佰玖拾壹元壹角肆分），其中含安全文明施工费11221.68元（大写：壹万壹仟贰佰贰拾壹元陆角捌分）</w:t>
      </w:r>
      <w:r>
        <w:rPr>
          <w:rFonts w:hint="eastAsia" w:ascii="宋体" w:hAnsi="宋体" w:eastAsia="宋体" w:cs="宋体"/>
          <w:color w:val="auto"/>
          <w:sz w:val="24"/>
          <w:szCs w:val="24"/>
          <w:highlight w:val="none"/>
          <w:lang w:val="en-US" w:eastAsia="zh-CN"/>
        </w:rPr>
        <w:t>，投标人的投标总报价不得超过投标总报价最高限价，否则由评标委员会作否决投标处理。</w:t>
      </w:r>
    </w:p>
    <w:p w14:paraId="4745219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本工程招标将设置全部清单综合单价最高限价，投标人的每项清单综合单价报价不得超过每项清单综合单价最高限价，否则由评标委员会作否决投标处理。</w:t>
      </w:r>
    </w:p>
    <w:p w14:paraId="68B6FF15">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9.安全文明施工费：</w:t>
      </w:r>
    </w:p>
    <w:p w14:paraId="28FD751B">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根据《重庆城乡建设委员会关于印发&lt;重庆市建设工程安全文明施工费计取及使用管理规定&gt;的通知》（渝建发〔2014〕25号）规定，安全文明施工费由安全施工费、文明施工费、环境保护费及临时设施费组成。</w:t>
      </w:r>
    </w:p>
    <w:p w14:paraId="3A33DE17">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本工程安全文明施工费由招标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报价函》中的安全文明施工费金额或工程量清单中安全文明施工费的汇总金额未按照招标人给出的暂定金额填报的，视为对招标文件不作实质性响应，其投标文件由评标委员会作否决投标处理。</w:t>
      </w:r>
    </w:p>
    <w:p w14:paraId="7213D9E0">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10.材料采购及报价</w:t>
      </w:r>
    </w:p>
    <w:p w14:paraId="159A2827">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 本工程所需材料、设备由中标人自行采购，但所采购的材料必须符合国家规范标准及设计文件、招标文件要求，并提供相应合格证明资料、质保书等。</w:t>
      </w:r>
    </w:p>
    <w:p w14:paraId="34B49A37">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材料及设备均由中标人采购，必须保证所采购的材料设备</w:t>
      </w:r>
    </w:p>
    <w:p w14:paraId="26A1B396">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国家和地方规范标准。但采购前需经发包人书面审核确认。中标人不管采用何种材料、设备，采购前均须经发包人审核确认，否则造成的返工由承包人自行承担。所有材料，在采购前须先送样经发包人签字认可后方可采购，否则造成的返工由承包人自行承担。（中标人不得因核价过程中任何理由暂停或延误工期）</w:t>
      </w:r>
    </w:p>
    <w:p w14:paraId="7053E6AB">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10.3 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材料费中的计价材料和未计价材料按不含进项税价格计入（不含税价格包含：材料原价、采购费、包装费、上下车费、运输及损耗费、仓管费等所有费用）。中标后价格不再进行调整。</w:t>
      </w:r>
    </w:p>
    <w:p w14:paraId="387F5D5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 材料、设备运输距离由投标单位根据自身情况及踏勘现场情况自行确定。</w:t>
      </w:r>
    </w:p>
    <w:p w14:paraId="26266369">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11.本项目建筑安装材料价格风险按照《重庆市城乡建设委员会关于进一步加强建筑安装材料价格风险管控的指导意见》（渝建〔2018〕61 号）执行。本项目主要材料及设备价格风险内容、范围及调整方法为：以专用合同条款为准。</w:t>
      </w:r>
    </w:p>
    <w:p w14:paraId="575695B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12.本项目所采用技术、工艺和产品等必须执行重庆市住房和城乡建设委员会关于发布《重庆市建设领域禁止、限制使用落后技术通告（2019 年版）（渝建发〔2019〕25 号）的规定。</w:t>
      </w:r>
    </w:p>
    <w:p w14:paraId="5835398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13.本工程主体结构若需混凝土，则必须使用商品混凝土，不得自建搅拌站。</w:t>
      </w:r>
    </w:p>
    <w:p w14:paraId="3F51E7E6">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14.其他说明</w:t>
      </w:r>
    </w:p>
    <w:p w14:paraId="7C8C33C3">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 按政策和合同约定的应由投标人交纳的各种保险费由投标人自行投保，保险费由投标人承担并支付，并根据企业自身和本工程情况，测算包含在相应的报价中。</w:t>
      </w:r>
    </w:p>
    <w:p w14:paraId="43AE6ACC">
      <w:pPr>
        <w:pStyle w:val="23"/>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本项目有两次报价，首次报价为响应文件中填报的报价，必须按照清单报价规则进行报价，暂列金额、暂估（暂定）价等金额不得更改。二次报价按照工程总价进行报价（其中：暂列金额、暂估（暂定）价等暂定价格自动确认为与第一次报价一致）。该项目的单价将由响应文件（第一轮报价）中的清单价格按照最后报价下浮比例【（第二轮报价的总价减去暂估价、暂列金额）与（第一轮报价总价减去暂估价、暂列金额）相比的下浮比例】同比例下浮进行计算。</w:t>
      </w:r>
    </w:p>
    <w:p w14:paraId="42CE68EE">
      <w:pPr>
        <w:pStyle w:val="4"/>
        <w:adjustRightInd w:val="0"/>
        <w:snapToGrid w:val="0"/>
        <w:spacing w:before="0" w:after="0" w:line="400" w:lineRule="exact"/>
        <w:ind w:firstLine="482" w:firstLineChars="200"/>
        <w:rPr>
          <w:rFonts w:hint="eastAsia" w:ascii="宋体" w:hAnsi="宋体" w:eastAsia="宋体" w:cs="宋体"/>
          <w:color w:val="auto"/>
          <w:kern w:val="2"/>
          <w:sz w:val="24"/>
          <w:szCs w:val="24"/>
          <w:highlight w:val="none"/>
          <w:lang w:val="en-US" w:eastAsia="zh-CN" w:bidi="ar-SA"/>
        </w:rPr>
      </w:pPr>
      <w:bookmarkStart w:id="105" w:name="_Toc351203642"/>
      <w:bookmarkEnd w:id="105"/>
      <w:bookmarkStart w:id="106" w:name="_Toc27293"/>
      <w:r>
        <w:rPr>
          <w:rFonts w:hint="eastAsia" w:ascii="宋体" w:hAnsi="宋体" w:eastAsia="宋体" w:cs="宋体"/>
          <w:color w:val="auto"/>
          <w:kern w:val="2"/>
          <w:sz w:val="24"/>
          <w:szCs w:val="24"/>
          <w:highlight w:val="none"/>
          <w:lang w:val="en-US" w:eastAsia="zh-CN" w:bidi="ar-SA"/>
        </w:rPr>
        <w:t>三、结算原则</w:t>
      </w:r>
      <w:bookmarkEnd w:id="106"/>
    </w:p>
    <w:p w14:paraId="4FBC4389">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详见专用合同条款。</w:t>
      </w:r>
    </w:p>
    <w:bookmarkEnd w:id="98"/>
    <w:bookmarkEnd w:id="99"/>
    <w:bookmarkEnd w:id="100"/>
    <w:bookmarkEnd w:id="101"/>
    <w:bookmarkEnd w:id="102"/>
    <w:bookmarkEnd w:id="103"/>
    <w:bookmarkEnd w:id="104"/>
    <w:p w14:paraId="535AE26E">
      <w:pPr>
        <w:pStyle w:val="4"/>
        <w:adjustRightInd w:val="0"/>
        <w:snapToGrid w:val="0"/>
        <w:spacing w:before="0" w:after="0" w:line="400" w:lineRule="exact"/>
        <w:ind w:firstLine="482" w:firstLineChars="200"/>
        <w:rPr>
          <w:rFonts w:hint="eastAsia" w:ascii="宋体" w:hAnsi="宋体" w:eastAsia="宋体" w:cs="宋体"/>
          <w:b/>
          <w:color w:val="auto"/>
          <w:sz w:val="24"/>
          <w:szCs w:val="24"/>
          <w:highlight w:val="none"/>
          <w:lang w:val="en-US" w:eastAsia="zh-CN"/>
        </w:rPr>
      </w:pPr>
      <w:bookmarkStart w:id="107" w:name="_Toc8592"/>
      <w:bookmarkStart w:id="108" w:name="_Toc13960"/>
      <w:bookmarkStart w:id="109" w:name="_Toc17437"/>
      <w:r>
        <w:rPr>
          <w:rFonts w:hint="eastAsia" w:ascii="宋体" w:hAnsi="宋体" w:eastAsia="宋体" w:cs="宋体"/>
          <w:b/>
          <w:color w:val="auto"/>
          <w:sz w:val="24"/>
          <w:szCs w:val="24"/>
          <w:highlight w:val="none"/>
          <w:lang w:val="en-US" w:eastAsia="zh-CN"/>
        </w:rPr>
        <w:t>四、</w:t>
      </w:r>
      <w:bookmarkEnd w:id="107"/>
      <w:bookmarkEnd w:id="108"/>
      <w:r>
        <w:rPr>
          <w:rFonts w:hint="eastAsia" w:ascii="宋体" w:hAnsi="宋体" w:eastAsia="宋体" w:cs="宋体"/>
          <w:b/>
          <w:color w:val="auto"/>
          <w:sz w:val="24"/>
          <w:szCs w:val="24"/>
          <w:highlight w:val="none"/>
          <w:lang w:val="en-US" w:eastAsia="zh-CN"/>
        </w:rPr>
        <w:t>履约保证金</w:t>
      </w:r>
      <w:bookmarkEnd w:id="109"/>
    </w:p>
    <w:p w14:paraId="320805F9">
      <w:pPr>
        <w:snapToGrid w:val="0"/>
        <w:spacing w:line="400" w:lineRule="exact"/>
        <w:ind w:firstLine="360" w:firstLineChars="150"/>
        <w:rPr>
          <w:rFonts w:hint="eastAsia" w:ascii="宋体" w:hAnsi="宋体" w:eastAsia="宋体" w:cs="宋体"/>
          <w:color w:val="auto"/>
          <w:sz w:val="24"/>
          <w:szCs w:val="24"/>
          <w:highlight w:val="none"/>
          <w:lang w:val="en-US" w:eastAsia="zh-CN"/>
        </w:rPr>
      </w:pPr>
      <w:bookmarkStart w:id="110" w:name="_Toc26344"/>
      <w:bookmarkStart w:id="111" w:name="_Toc18265"/>
      <w:bookmarkStart w:id="112" w:name="_Toc29965"/>
      <w:r>
        <w:rPr>
          <w:rFonts w:hint="eastAsia" w:ascii="宋体" w:hAnsi="宋体" w:eastAsia="宋体" w:cs="宋体"/>
          <w:color w:val="auto"/>
          <w:sz w:val="24"/>
          <w:szCs w:val="24"/>
          <w:highlight w:val="none"/>
          <w:lang w:val="en-US" w:eastAsia="zh-CN"/>
        </w:rPr>
        <w:t>履约保证金：中标人在中标结果公告发布之日起五日内，向甲方支付合同总金额的5%作为履约保证金。项目验收合格交付后15个工作日无息退还。</w:t>
      </w:r>
    </w:p>
    <w:p w14:paraId="3179FD49">
      <w:pPr>
        <w:pStyle w:val="4"/>
        <w:adjustRightInd w:val="0"/>
        <w:snapToGrid w:val="0"/>
        <w:spacing w:before="0" w:after="0" w:line="400" w:lineRule="exact"/>
        <w:ind w:firstLine="482" w:firstLineChars="200"/>
        <w:rPr>
          <w:rFonts w:hint="eastAsia" w:ascii="宋体" w:hAnsi="宋体" w:eastAsia="宋体" w:cs="宋体"/>
          <w:b/>
          <w:color w:val="auto"/>
          <w:sz w:val="24"/>
          <w:szCs w:val="24"/>
          <w:highlight w:val="none"/>
          <w:lang w:val="en-US" w:eastAsia="zh-CN"/>
        </w:rPr>
      </w:pPr>
      <w:bookmarkStart w:id="113" w:name="_Toc11738"/>
      <w:r>
        <w:rPr>
          <w:rFonts w:hint="eastAsia" w:ascii="宋体" w:hAnsi="宋体" w:eastAsia="宋体" w:cs="宋体"/>
          <w:b/>
          <w:color w:val="auto"/>
          <w:sz w:val="24"/>
          <w:szCs w:val="24"/>
          <w:highlight w:val="none"/>
          <w:lang w:val="en-US" w:eastAsia="zh-CN"/>
        </w:rPr>
        <w:t>五、质量保证金</w:t>
      </w:r>
      <w:bookmarkEnd w:id="113"/>
    </w:p>
    <w:p w14:paraId="66D197BC">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（1）担保形式：现金或转账；</w:t>
      </w:r>
    </w:p>
    <w:p w14:paraId="4B9EB2F7">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（2）担保金额：竣工结算价的3%；</w:t>
      </w:r>
    </w:p>
    <w:p w14:paraId="524A3B3A">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（3）提交期限：工程竣工验收合格后7天内。</w:t>
      </w:r>
    </w:p>
    <w:p w14:paraId="5EF41DC2">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（4）退还时间：质保期满后，经甲方确认无缺陷责任后，15个工作日无息退还。</w:t>
      </w:r>
    </w:p>
    <w:p w14:paraId="173E2C39">
      <w:pPr>
        <w:pStyle w:val="4"/>
        <w:adjustRightInd w:val="0"/>
        <w:snapToGrid w:val="0"/>
        <w:spacing w:before="0" w:after="0" w:line="400" w:lineRule="exact"/>
        <w:ind w:firstLine="482" w:firstLineChars="200"/>
        <w:rPr>
          <w:rFonts w:hint="default" w:ascii="宋体" w:hAnsi="宋体" w:eastAsia="宋体" w:cs="宋体"/>
          <w:b/>
          <w:color w:val="auto"/>
          <w:sz w:val="24"/>
          <w:szCs w:val="24"/>
          <w:highlight w:val="none"/>
          <w:lang w:val="en-US" w:eastAsia="zh-CN"/>
        </w:rPr>
      </w:pPr>
      <w:bookmarkStart w:id="114" w:name="_Toc19271"/>
      <w:bookmarkStart w:id="115" w:name="_Toc23576"/>
      <w:r>
        <w:rPr>
          <w:rFonts w:hint="eastAsia" w:ascii="宋体" w:hAnsi="宋体" w:eastAsia="宋体" w:cs="宋体"/>
          <w:b/>
          <w:color w:val="auto"/>
          <w:sz w:val="24"/>
          <w:szCs w:val="24"/>
          <w:highlight w:val="none"/>
          <w:lang w:val="en-US" w:eastAsia="zh-CN"/>
        </w:rPr>
        <w:t>六、</w:t>
      </w:r>
      <w:bookmarkEnd w:id="114"/>
      <w:r>
        <w:rPr>
          <w:rFonts w:hint="eastAsia" w:ascii="宋体" w:hAnsi="宋体" w:eastAsia="宋体" w:cs="宋体"/>
          <w:b/>
          <w:color w:val="auto"/>
          <w:sz w:val="24"/>
          <w:szCs w:val="24"/>
          <w:highlight w:val="none"/>
          <w:lang w:val="en-US" w:eastAsia="zh-CN"/>
        </w:rPr>
        <w:t>质保期</w:t>
      </w:r>
      <w:bookmarkEnd w:id="115"/>
    </w:p>
    <w:p w14:paraId="2D0EB4A5">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质保期为一年，质保期自验收合格交付之日起算。</w:t>
      </w:r>
    </w:p>
    <w:bookmarkEnd w:id="110"/>
    <w:bookmarkEnd w:id="111"/>
    <w:bookmarkEnd w:id="112"/>
    <w:p w14:paraId="5BC975DF">
      <w:pPr>
        <w:pStyle w:val="4"/>
        <w:adjustRightInd w:val="0"/>
        <w:snapToGrid w:val="0"/>
        <w:spacing w:before="0" w:after="0" w:line="400" w:lineRule="exact"/>
        <w:ind w:firstLine="482" w:firstLineChars="200"/>
        <w:rPr>
          <w:rFonts w:hint="eastAsia" w:ascii="宋体" w:hAnsi="宋体" w:eastAsia="宋体" w:cs="宋体"/>
          <w:b/>
          <w:color w:val="auto"/>
          <w:sz w:val="24"/>
          <w:szCs w:val="24"/>
          <w:highlight w:val="none"/>
          <w:lang w:val="en-US" w:eastAsia="zh-CN"/>
        </w:rPr>
      </w:pPr>
      <w:bookmarkStart w:id="116" w:name="_Toc17363"/>
      <w:bookmarkStart w:id="117" w:name="_Toc12009"/>
      <w:bookmarkStart w:id="118" w:name="_Toc25568"/>
      <w:bookmarkStart w:id="119" w:name="_Toc7786"/>
      <w:bookmarkStart w:id="120" w:name="_Toc27964"/>
      <w:bookmarkStart w:id="121" w:name="_Toc2431"/>
      <w:bookmarkStart w:id="122" w:name="_Toc25708"/>
      <w:bookmarkStart w:id="123" w:name="_Toc106030886"/>
      <w:bookmarkStart w:id="124" w:name="_Toc344475124"/>
      <w:bookmarkStart w:id="125" w:name="_Toc76462331"/>
      <w:r>
        <w:rPr>
          <w:rFonts w:hint="eastAsia" w:ascii="宋体" w:hAnsi="宋体" w:eastAsia="宋体" w:cs="宋体"/>
          <w:b/>
          <w:color w:val="auto"/>
          <w:sz w:val="24"/>
          <w:szCs w:val="24"/>
          <w:highlight w:val="none"/>
          <w:lang w:val="en-US" w:eastAsia="zh-CN"/>
        </w:rPr>
        <w:t>七、知识产权</w:t>
      </w:r>
      <w:bookmarkEnd w:id="116"/>
      <w:bookmarkEnd w:id="117"/>
      <w:bookmarkEnd w:id="118"/>
      <w:bookmarkEnd w:id="119"/>
      <w:bookmarkEnd w:id="120"/>
      <w:bookmarkEnd w:id="121"/>
      <w:bookmarkEnd w:id="122"/>
    </w:p>
    <w:p w14:paraId="0368E6F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提供的货物及服务时免受第三方提出的侵犯其专利权或其</w:t>
      </w:r>
      <w:r>
        <w:rPr>
          <w:rFonts w:hint="eastAsia" w:ascii="宋体" w:hAnsi="宋体" w:eastAsia="宋体" w:cs="宋体"/>
          <w:color w:val="auto"/>
          <w:sz w:val="24"/>
          <w:szCs w:val="24"/>
          <w:highlight w:val="none"/>
          <w:lang w:val="en-US" w:eastAsia="zh-CN"/>
        </w:rPr>
        <w:t>他</w:t>
      </w:r>
      <w:r>
        <w:rPr>
          <w:rFonts w:hint="eastAsia" w:ascii="宋体" w:hAnsi="宋体" w:eastAsia="宋体" w:cs="宋体"/>
          <w:color w:val="auto"/>
          <w:sz w:val="24"/>
          <w:szCs w:val="24"/>
          <w:highlight w:val="none"/>
        </w:rPr>
        <w:t>知识产权的起诉。如果第三方提出侵权指控，中标人应承担由此而引起的一切法律责任和费用。</w:t>
      </w:r>
    </w:p>
    <w:p w14:paraId="1AA81772">
      <w:pPr>
        <w:pStyle w:val="4"/>
        <w:adjustRightInd w:val="0"/>
        <w:snapToGrid w:val="0"/>
        <w:spacing w:before="0" w:after="0" w:line="400" w:lineRule="exact"/>
        <w:ind w:firstLine="482" w:firstLineChars="200"/>
        <w:rPr>
          <w:rFonts w:hint="eastAsia" w:ascii="宋体" w:hAnsi="宋体" w:eastAsia="宋体" w:cs="宋体"/>
          <w:b/>
          <w:color w:val="auto"/>
          <w:sz w:val="24"/>
          <w:szCs w:val="24"/>
          <w:highlight w:val="none"/>
          <w:lang w:val="en-US" w:eastAsia="zh-CN"/>
        </w:rPr>
      </w:pPr>
      <w:bookmarkStart w:id="126" w:name="_Toc11361"/>
      <w:bookmarkStart w:id="127" w:name="_Toc12202"/>
      <w:bookmarkStart w:id="128" w:name="_Toc7466"/>
      <w:bookmarkStart w:id="129" w:name="_Toc21102"/>
      <w:bookmarkStart w:id="130" w:name="_Toc23333"/>
      <w:bookmarkStart w:id="131" w:name="_Toc6211"/>
      <w:bookmarkStart w:id="132" w:name="_Toc20985"/>
      <w:r>
        <w:rPr>
          <w:rFonts w:hint="eastAsia" w:ascii="宋体" w:hAnsi="宋体" w:eastAsia="宋体" w:cs="宋体"/>
          <w:b/>
          <w:color w:val="auto"/>
          <w:sz w:val="24"/>
          <w:szCs w:val="24"/>
          <w:highlight w:val="none"/>
          <w:lang w:val="en-US" w:eastAsia="zh-CN"/>
        </w:rPr>
        <w:t>八、其</w:t>
      </w:r>
      <w:bookmarkEnd w:id="126"/>
      <w:bookmarkEnd w:id="127"/>
      <w:bookmarkEnd w:id="128"/>
      <w:bookmarkEnd w:id="129"/>
      <w:bookmarkEnd w:id="130"/>
      <w:bookmarkEnd w:id="131"/>
      <w:r>
        <w:rPr>
          <w:rFonts w:hint="eastAsia" w:ascii="宋体" w:hAnsi="宋体" w:eastAsia="宋体" w:cs="宋体"/>
          <w:b/>
          <w:color w:val="auto"/>
          <w:sz w:val="24"/>
          <w:szCs w:val="24"/>
          <w:highlight w:val="none"/>
          <w:lang w:val="en-US" w:eastAsia="zh-CN"/>
        </w:rPr>
        <w:t>他</w:t>
      </w:r>
      <w:bookmarkEnd w:id="132"/>
    </w:p>
    <w:p w14:paraId="2510A19A">
      <w:pPr>
        <w:snapToGrid w:val="0"/>
        <w:spacing w:line="400" w:lineRule="exact"/>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其他未尽事宜由供需双方在采购合同中详细约定</w:t>
      </w:r>
      <w:r>
        <w:rPr>
          <w:rFonts w:hint="eastAsia" w:ascii="宋体" w:hAnsi="宋体" w:eastAsia="宋体" w:cs="宋体"/>
          <w:color w:val="auto"/>
          <w:sz w:val="24"/>
          <w:szCs w:val="24"/>
          <w:highlight w:val="none"/>
          <w:lang w:eastAsia="zh-CN"/>
        </w:rPr>
        <w:t>。</w:t>
      </w:r>
      <w:bookmarkEnd w:id="123"/>
      <w:bookmarkEnd w:id="124"/>
      <w:bookmarkEnd w:id="125"/>
    </w:p>
    <w:p w14:paraId="33877026">
      <w:pPr>
        <w:bidi w:val="0"/>
        <w:rPr>
          <w:rFonts w:hint="eastAsia" w:ascii="宋体" w:hAnsi="宋体" w:eastAsia="宋体" w:cs="宋体"/>
          <w:b/>
          <w:color w:val="auto"/>
          <w:sz w:val="24"/>
          <w:szCs w:val="24"/>
          <w:highlight w:val="none"/>
        </w:rPr>
      </w:pPr>
    </w:p>
    <w:p w14:paraId="411E2520">
      <w:pPr>
        <w:bidi w:val="0"/>
        <w:rPr>
          <w:rFonts w:hint="eastAsia" w:ascii="宋体" w:hAnsi="宋体" w:eastAsia="宋体" w:cs="宋体"/>
          <w:b/>
          <w:color w:val="auto"/>
          <w:sz w:val="24"/>
          <w:szCs w:val="24"/>
          <w:highlight w:val="none"/>
        </w:rPr>
      </w:pPr>
    </w:p>
    <w:p w14:paraId="0F6BA066">
      <w:pPr>
        <w:bidi w:val="0"/>
        <w:rPr>
          <w:rFonts w:hint="eastAsia" w:ascii="宋体" w:hAnsi="宋体" w:eastAsia="宋体" w:cs="宋体"/>
          <w:b/>
          <w:color w:val="auto"/>
          <w:sz w:val="24"/>
          <w:szCs w:val="24"/>
          <w:highlight w:val="none"/>
        </w:rPr>
      </w:pPr>
    </w:p>
    <w:p w14:paraId="7692E5DA">
      <w:pPr>
        <w:pStyle w:val="3"/>
        <w:bidi w:val="0"/>
        <w:jc w:val="both"/>
        <w:rPr>
          <w:rFonts w:hint="eastAsia" w:ascii="宋体" w:hAnsi="宋体" w:eastAsia="宋体" w:cs="宋体"/>
          <w:b/>
          <w:color w:val="auto"/>
          <w:sz w:val="24"/>
          <w:szCs w:val="24"/>
          <w:highlight w:val="none"/>
        </w:rPr>
      </w:pPr>
      <w:bookmarkStart w:id="133" w:name="_Toc16123"/>
      <w:bookmarkStart w:id="134" w:name="_Toc24195"/>
      <w:bookmarkStart w:id="135" w:name="_Toc65660349"/>
      <w:bookmarkStart w:id="136" w:name="_Toc30368"/>
      <w:r>
        <w:rPr>
          <w:rFonts w:hint="eastAsia" w:ascii="宋体" w:hAnsi="宋体" w:eastAsia="宋体" w:cs="宋体"/>
          <w:color w:val="auto"/>
          <w:kern w:val="2"/>
          <w:sz w:val="36"/>
          <w:szCs w:val="36"/>
          <w:highlight w:val="none"/>
          <w:lang w:val="en-US" w:eastAsia="zh-CN" w:bidi="ar-SA"/>
        </w:rPr>
        <w:t>第四篇  采购程序、评定成交的标准、无效谈判及采购终止</w:t>
      </w:r>
      <w:bookmarkEnd w:id="133"/>
      <w:bookmarkEnd w:id="134"/>
      <w:bookmarkEnd w:id="135"/>
      <w:bookmarkEnd w:id="136"/>
    </w:p>
    <w:p w14:paraId="71126A00">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37" w:name="_Toc9361"/>
      <w:bookmarkStart w:id="138" w:name="_Toc5167"/>
      <w:bookmarkStart w:id="139" w:name="_Toc65660350"/>
      <w:bookmarkStart w:id="140" w:name="_Toc64732012"/>
      <w:bookmarkStart w:id="141" w:name="_Toc32244"/>
      <w:r>
        <w:rPr>
          <w:rFonts w:hint="eastAsia" w:ascii="宋体" w:hAnsi="宋体" w:eastAsia="宋体" w:cs="宋体"/>
          <w:color w:val="auto"/>
          <w:sz w:val="24"/>
          <w:szCs w:val="24"/>
          <w:highlight w:val="none"/>
        </w:rPr>
        <w:t>一、采购程序</w:t>
      </w:r>
      <w:bookmarkEnd w:id="137"/>
      <w:bookmarkEnd w:id="138"/>
      <w:bookmarkEnd w:id="139"/>
      <w:bookmarkEnd w:id="140"/>
      <w:bookmarkEnd w:id="141"/>
    </w:p>
    <w:p w14:paraId="6332269B">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（一）谈判按竞争性谈判文件规定的时间和地点进行。供应商须有法定代表人（或其授权代表）或自然人参加并签到。</w:t>
      </w:r>
    </w:p>
    <w:p w14:paraId="07CE1D3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（二）竞争性谈判以抽签的形式确定谈判顺序，由本项目谈判小组分别与各供应商进行谈判。在谈判前，对各供应商的资格条件、实质性响应等进行审查。 </w:t>
      </w:r>
    </w:p>
    <w:p w14:paraId="188B8EB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1.资格性审查。依据法律法规和竞争性谈判文件的规定，对响应文件中的资格证明材料、保证金等进行审查。资格性审查内容如下：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6969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6ACE70F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5A78358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13B0F6D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检查内容</w:t>
            </w:r>
          </w:p>
        </w:tc>
      </w:tr>
      <w:tr w14:paraId="7F9A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45CB047">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09" w:type="dxa"/>
            <w:vMerge w:val="restart"/>
            <w:noWrap w:val="0"/>
            <w:vAlign w:val="center"/>
          </w:tcPr>
          <w:p w14:paraId="2AAD0738">
            <w:pPr>
              <w:snapToGrid w:val="0"/>
              <w:spacing w:line="400" w:lineRule="exact"/>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《中华人民共和国政府采购法》第二十二条规定</w:t>
            </w:r>
          </w:p>
        </w:tc>
        <w:tc>
          <w:tcPr>
            <w:tcW w:w="2835" w:type="dxa"/>
            <w:noWrap w:val="0"/>
            <w:vAlign w:val="center"/>
          </w:tcPr>
          <w:p w14:paraId="26AE52D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5267" w:type="dxa"/>
            <w:noWrap w:val="0"/>
            <w:vAlign w:val="center"/>
          </w:tcPr>
          <w:p w14:paraId="5D12747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2487941B">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700F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14:paraId="092A2F7D">
            <w:pPr>
              <w:snapToGrid w:val="0"/>
              <w:spacing w:line="400" w:lineRule="exact"/>
              <w:ind w:firstLine="360" w:firstLineChars="150"/>
              <w:rPr>
                <w:rFonts w:hint="eastAsia" w:ascii="宋体" w:hAnsi="宋体" w:eastAsia="宋体" w:cs="宋体"/>
                <w:color w:val="auto"/>
                <w:sz w:val="24"/>
                <w:szCs w:val="24"/>
                <w:highlight w:val="none"/>
              </w:rPr>
            </w:pPr>
          </w:p>
        </w:tc>
        <w:tc>
          <w:tcPr>
            <w:tcW w:w="709" w:type="dxa"/>
            <w:vMerge w:val="continue"/>
            <w:noWrap w:val="0"/>
            <w:vAlign w:val="center"/>
          </w:tcPr>
          <w:p w14:paraId="024B4E39">
            <w:pPr>
              <w:snapToGrid w:val="0"/>
              <w:spacing w:line="400" w:lineRule="exact"/>
              <w:ind w:firstLine="360" w:firstLineChars="150"/>
              <w:rPr>
                <w:rFonts w:hint="eastAsia" w:ascii="宋体" w:hAnsi="宋体" w:eastAsia="宋体" w:cs="宋体"/>
                <w:color w:val="auto"/>
                <w:sz w:val="24"/>
                <w:szCs w:val="24"/>
                <w:highlight w:val="none"/>
                <w:lang w:val="zh-CN"/>
              </w:rPr>
            </w:pPr>
          </w:p>
        </w:tc>
        <w:tc>
          <w:tcPr>
            <w:tcW w:w="2835" w:type="dxa"/>
            <w:noWrap w:val="0"/>
            <w:vAlign w:val="center"/>
          </w:tcPr>
          <w:p w14:paraId="6906E27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5267" w:type="dxa"/>
            <w:vMerge w:val="restart"/>
            <w:noWrap w:val="0"/>
            <w:vAlign w:val="center"/>
          </w:tcPr>
          <w:p w14:paraId="69D4911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069C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7401133">
            <w:pPr>
              <w:snapToGrid w:val="0"/>
              <w:spacing w:line="400" w:lineRule="exact"/>
              <w:ind w:firstLine="360" w:firstLineChars="150"/>
              <w:rPr>
                <w:rFonts w:hint="eastAsia" w:ascii="宋体" w:hAnsi="宋体" w:eastAsia="宋体" w:cs="宋体"/>
                <w:color w:val="auto"/>
                <w:sz w:val="24"/>
                <w:szCs w:val="24"/>
                <w:highlight w:val="none"/>
              </w:rPr>
            </w:pPr>
          </w:p>
        </w:tc>
        <w:tc>
          <w:tcPr>
            <w:tcW w:w="709" w:type="dxa"/>
            <w:vMerge w:val="continue"/>
            <w:noWrap w:val="0"/>
            <w:vAlign w:val="center"/>
          </w:tcPr>
          <w:p w14:paraId="37990220">
            <w:pPr>
              <w:snapToGrid w:val="0"/>
              <w:spacing w:line="400" w:lineRule="exact"/>
              <w:ind w:firstLine="360" w:firstLineChars="150"/>
              <w:rPr>
                <w:rFonts w:hint="eastAsia" w:ascii="宋体" w:hAnsi="宋体" w:eastAsia="宋体" w:cs="宋体"/>
                <w:color w:val="auto"/>
                <w:sz w:val="24"/>
                <w:szCs w:val="24"/>
                <w:highlight w:val="none"/>
                <w:lang w:val="zh-CN"/>
              </w:rPr>
            </w:pPr>
          </w:p>
        </w:tc>
        <w:tc>
          <w:tcPr>
            <w:tcW w:w="2835" w:type="dxa"/>
            <w:noWrap w:val="0"/>
            <w:vAlign w:val="center"/>
          </w:tcPr>
          <w:p w14:paraId="1C709870">
            <w:pPr>
              <w:snapToGrid w:val="0"/>
              <w:spacing w:line="400" w:lineRule="exact"/>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5267" w:type="dxa"/>
            <w:vMerge w:val="continue"/>
            <w:noWrap w:val="0"/>
            <w:vAlign w:val="center"/>
          </w:tcPr>
          <w:p w14:paraId="52C65544">
            <w:pPr>
              <w:snapToGrid w:val="0"/>
              <w:spacing w:line="400" w:lineRule="exact"/>
              <w:ind w:firstLine="360" w:firstLineChars="150"/>
              <w:rPr>
                <w:rFonts w:hint="eastAsia" w:ascii="宋体" w:hAnsi="宋体" w:eastAsia="宋体" w:cs="宋体"/>
                <w:color w:val="auto"/>
                <w:sz w:val="24"/>
                <w:szCs w:val="24"/>
                <w:highlight w:val="none"/>
              </w:rPr>
            </w:pPr>
          </w:p>
        </w:tc>
      </w:tr>
      <w:tr w14:paraId="10F6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C49A645">
            <w:pPr>
              <w:snapToGrid w:val="0"/>
              <w:spacing w:line="400" w:lineRule="exact"/>
              <w:ind w:firstLine="360" w:firstLineChars="150"/>
              <w:rPr>
                <w:rFonts w:hint="eastAsia" w:ascii="宋体" w:hAnsi="宋体" w:eastAsia="宋体" w:cs="宋体"/>
                <w:color w:val="auto"/>
                <w:sz w:val="24"/>
                <w:szCs w:val="24"/>
                <w:highlight w:val="none"/>
              </w:rPr>
            </w:pPr>
          </w:p>
        </w:tc>
        <w:tc>
          <w:tcPr>
            <w:tcW w:w="709" w:type="dxa"/>
            <w:vMerge w:val="continue"/>
            <w:noWrap w:val="0"/>
            <w:vAlign w:val="center"/>
          </w:tcPr>
          <w:p w14:paraId="31F56349">
            <w:pPr>
              <w:snapToGrid w:val="0"/>
              <w:spacing w:line="400" w:lineRule="exact"/>
              <w:ind w:firstLine="360" w:firstLineChars="150"/>
              <w:rPr>
                <w:rFonts w:hint="eastAsia" w:ascii="宋体" w:hAnsi="宋体" w:eastAsia="宋体" w:cs="宋体"/>
                <w:color w:val="auto"/>
                <w:sz w:val="24"/>
                <w:szCs w:val="24"/>
                <w:highlight w:val="none"/>
                <w:lang w:val="zh-CN"/>
              </w:rPr>
            </w:pPr>
          </w:p>
        </w:tc>
        <w:tc>
          <w:tcPr>
            <w:tcW w:w="2835" w:type="dxa"/>
            <w:noWrap w:val="0"/>
            <w:vAlign w:val="center"/>
          </w:tcPr>
          <w:p w14:paraId="20E6BD39">
            <w:pPr>
              <w:snapToGrid w:val="0"/>
              <w:spacing w:line="400" w:lineRule="exact"/>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5267" w:type="dxa"/>
            <w:vMerge w:val="continue"/>
            <w:noWrap w:val="0"/>
            <w:vAlign w:val="center"/>
          </w:tcPr>
          <w:p w14:paraId="535E8AF3">
            <w:pPr>
              <w:snapToGrid w:val="0"/>
              <w:spacing w:line="400" w:lineRule="exact"/>
              <w:ind w:firstLine="360" w:firstLineChars="150"/>
              <w:rPr>
                <w:rFonts w:hint="eastAsia" w:ascii="宋体" w:hAnsi="宋体" w:eastAsia="宋体" w:cs="宋体"/>
                <w:color w:val="auto"/>
                <w:sz w:val="24"/>
                <w:szCs w:val="24"/>
                <w:highlight w:val="none"/>
              </w:rPr>
            </w:pPr>
          </w:p>
        </w:tc>
      </w:tr>
      <w:tr w14:paraId="4EB9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A195317">
            <w:pPr>
              <w:snapToGrid w:val="0"/>
              <w:spacing w:line="400" w:lineRule="exact"/>
              <w:ind w:firstLine="360" w:firstLineChars="150"/>
              <w:rPr>
                <w:rFonts w:hint="eastAsia" w:ascii="宋体" w:hAnsi="宋体" w:eastAsia="宋体" w:cs="宋体"/>
                <w:color w:val="auto"/>
                <w:sz w:val="24"/>
                <w:szCs w:val="24"/>
                <w:highlight w:val="none"/>
              </w:rPr>
            </w:pPr>
          </w:p>
        </w:tc>
        <w:tc>
          <w:tcPr>
            <w:tcW w:w="709" w:type="dxa"/>
            <w:vMerge w:val="continue"/>
            <w:noWrap w:val="0"/>
            <w:vAlign w:val="center"/>
          </w:tcPr>
          <w:p w14:paraId="3655128D">
            <w:pPr>
              <w:snapToGrid w:val="0"/>
              <w:spacing w:line="400" w:lineRule="exact"/>
              <w:ind w:firstLine="360" w:firstLineChars="150"/>
              <w:rPr>
                <w:rFonts w:hint="eastAsia" w:ascii="宋体" w:hAnsi="宋体" w:eastAsia="宋体" w:cs="宋体"/>
                <w:color w:val="auto"/>
                <w:sz w:val="24"/>
                <w:szCs w:val="24"/>
                <w:highlight w:val="none"/>
                <w:lang w:val="zh-CN"/>
              </w:rPr>
            </w:pPr>
          </w:p>
        </w:tc>
        <w:tc>
          <w:tcPr>
            <w:tcW w:w="2835" w:type="dxa"/>
            <w:noWrap w:val="0"/>
            <w:vAlign w:val="center"/>
          </w:tcPr>
          <w:p w14:paraId="3B549077">
            <w:pPr>
              <w:snapToGrid w:val="0"/>
              <w:spacing w:line="400" w:lineRule="exact"/>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w:t>
            </w:r>
          </w:p>
        </w:tc>
        <w:tc>
          <w:tcPr>
            <w:tcW w:w="5267" w:type="dxa"/>
            <w:vMerge w:val="continue"/>
            <w:noWrap w:val="0"/>
            <w:vAlign w:val="center"/>
          </w:tcPr>
          <w:p w14:paraId="0973D3A6">
            <w:pPr>
              <w:snapToGrid w:val="0"/>
              <w:spacing w:line="400" w:lineRule="exact"/>
              <w:ind w:firstLine="360" w:firstLineChars="150"/>
              <w:rPr>
                <w:rFonts w:hint="eastAsia" w:ascii="宋体" w:hAnsi="宋体" w:eastAsia="宋体" w:cs="宋体"/>
                <w:color w:val="auto"/>
                <w:sz w:val="24"/>
                <w:szCs w:val="24"/>
                <w:highlight w:val="none"/>
              </w:rPr>
            </w:pPr>
          </w:p>
        </w:tc>
      </w:tr>
      <w:tr w14:paraId="0581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334046A">
            <w:pPr>
              <w:snapToGrid w:val="0"/>
              <w:spacing w:line="400" w:lineRule="exact"/>
              <w:ind w:firstLine="360" w:firstLineChars="150"/>
              <w:rPr>
                <w:rFonts w:hint="eastAsia" w:ascii="宋体" w:hAnsi="宋体" w:eastAsia="宋体" w:cs="宋体"/>
                <w:color w:val="auto"/>
                <w:sz w:val="24"/>
                <w:szCs w:val="24"/>
                <w:highlight w:val="none"/>
              </w:rPr>
            </w:pPr>
          </w:p>
        </w:tc>
        <w:tc>
          <w:tcPr>
            <w:tcW w:w="709" w:type="dxa"/>
            <w:vMerge w:val="continue"/>
            <w:noWrap w:val="0"/>
            <w:vAlign w:val="center"/>
          </w:tcPr>
          <w:p w14:paraId="19875082">
            <w:pPr>
              <w:snapToGrid w:val="0"/>
              <w:spacing w:line="400" w:lineRule="exact"/>
              <w:ind w:firstLine="360" w:firstLineChars="150"/>
              <w:rPr>
                <w:rFonts w:hint="eastAsia" w:ascii="宋体" w:hAnsi="宋体" w:eastAsia="宋体" w:cs="宋体"/>
                <w:color w:val="auto"/>
                <w:sz w:val="24"/>
                <w:szCs w:val="24"/>
                <w:highlight w:val="none"/>
              </w:rPr>
            </w:pPr>
          </w:p>
        </w:tc>
        <w:tc>
          <w:tcPr>
            <w:tcW w:w="2835" w:type="dxa"/>
            <w:noWrap w:val="0"/>
            <w:vAlign w:val="center"/>
          </w:tcPr>
          <w:p w14:paraId="0A17B27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5267" w:type="dxa"/>
            <w:noWrap w:val="0"/>
            <w:vAlign w:val="center"/>
          </w:tcPr>
          <w:p w14:paraId="145781ED">
            <w:pPr>
              <w:snapToGrid w:val="0"/>
              <w:spacing w:line="400" w:lineRule="exact"/>
              <w:ind w:firstLine="360" w:firstLineChars="150"/>
              <w:rPr>
                <w:rFonts w:hint="eastAsia" w:ascii="宋体" w:hAnsi="宋体" w:eastAsia="宋体" w:cs="宋体"/>
                <w:color w:val="auto"/>
                <w:sz w:val="24"/>
                <w:szCs w:val="24"/>
                <w:highlight w:val="none"/>
              </w:rPr>
            </w:pPr>
          </w:p>
        </w:tc>
      </w:tr>
      <w:tr w14:paraId="4DB0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E1B5E80">
            <w:pPr>
              <w:snapToGrid w:val="0"/>
              <w:spacing w:line="400" w:lineRule="exact"/>
              <w:ind w:firstLine="360" w:firstLineChars="150"/>
              <w:rPr>
                <w:rFonts w:hint="eastAsia" w:ascii="宋体" w:hAnsi="宋体" w:eastAsia="宋体" w:cs="宋体"/>
                <w:color w:val="auto"/>
                <w:sz w:val="24"/>
                <w:szCs w:val="24"/>
                <w:highlight w:val="none"/>
              </w:rPr>
            </w:pPr>
          </w:p>
        </w:tc>
        <w:tc>
          <w:tcPr>
            <w:tcW w:w="709" w:type="dxa"/>
            <w:vMerge w:val="continue"/>
            <w:noWrap w:val="0"/>
            <w:vAlign w:val="center"/>
          </w:tcPr>
          <w:p w14:paraId="55F3A4D6">
            <w:pPr>
              <w:snapToGrid w:val="0"/>
              <w:spacing w:line="400" w:lineRule="exact"/>
              <w:ind w:firstLine="360" w:firstLineChars="150"/>
              <w:rPr>
                <w:rFonts w:hint="eastAsia" w:ascii="宋体" w:hAnsi="宋体" w:eastAsia="宋体" w:cs="宋体"/>
                <w:color w:val="auto"/>
                <w:sz w:val="24"/>
                <w:szCs w:val="24"/>
                <w:highlight w:val="none"/>
              </w:rPr>
            </w:pPr>
          </w:p>
        </w:tc>
        <w:tc>
          <w:tcPr>
            <w:tcW w:w="2835" w:type="dxa"/>
            <w:noWrap w:val="0"/>
            <w:vAlign w:val="center"/>
          </w:tcPr>
          <w:p w14:paraId="50D5158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7.本项目的特定资格要求</w:t>
            </w:r>
          </w:p>
        </w:tc>
        <w:tc>
          <w:tcPr>
            <w:tcW w:w="5267" w:type="dxa"/>
            <w:noWrap w:val="0"/>
            <w:vAlign w:val="center"/>
          </w:tcPr>
          <w:p w14:paraId="13E23CE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按“第一篇三、供应商资格条件（三）本项目的特定资格要求”的要求提交（如果有）。</w:t>
            </w:r>
          </w:p>
        </w:tc>
      </w:tr>
      <w:tr w14:paraId="3BEE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25D403E">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544" w:type="dxa"/>
            <w:gridSpan w:val="2"/>
            <w:noWrap w:val="0"/>
            <w:vAlign w:val="center"/>
          </w:tcPr>
          <w:p w14:paraId="6CFBAC7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5267" w:type="dxa"/>
            <w:noWrap w:val="0"/>
            <w:vAlign w:val="center"/>
          </w:tcPr>
          <w:p w14:paraId="25BA6D8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按“第一篇三、供应商资格条件（二）落实政府采购政策需满足的资格要求”的要求提交（如果有）。</w:t>
            </w:r>
          </w:p>
        </w:tc>
      </w:tr>
      <w:tr w14:paraId="72C4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7BF6B39">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p>
        </w:tc>
        <w:tc>
          <w:tcPr>
            <w:tcW w:w="3544" w:type="dxa"/>
            <w:gridSpan w:val="2"/>
            <w:noWrap w:val="0"/>
            <w:vAlign w:val="center"/>
          </w:tcPr>
          <w:p w14:paraId="60B25C26">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谈判保证金</w:t>
            </w:r>
          </w:p>
        </w:tc>
        <w:tc>
          <w:tcPr>
            <w:tcW w:w="5267" w:type="dxa"/>
            <w:noWrap w:val="0"/>
            <w:vAlign w:val="center"/>
          </w:tcPr>
          <w:p w14:paraId="7A9B3F78">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要求提交（如果有）</w:t>
            </w:r>
          </w:p>
        </w:tc>
      </w:tr>
    </w:tbl>
    <w:p w14:paraId="7EA3D84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0660B3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,1)</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042990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3328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0AAD8323">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14:paraId="13DF51DD">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14:paraId="5456EBF7">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0892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BC988A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94" w:type="dxa"/>
            <w:noWrap w:val="0"/>
            <w:vAlign w:val="center"/>
          </w:tcPr>
          <w:p w14:paraId="0AEA1DDA">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响应文件签署或盖章</w:t>
            </w:r>
          </w:p>
        </w:tc>
        <w:tc>
          <w:tcPr>
            <w:tcW w:w="6259" w:type="dxa"/>
            <w:noWrap w:val="0"/>
            <w:vAlign w:val="center"/>
          </w:tcPr>
          <w:p w14:paraId="1FC3B19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按“第七篇响应文件格式要求”要求签署或盖章</w:t>
            </w:r>
          </w:p>
        </w:tc>
      </w:tr>
      <w:tr w14:paraId="0F1B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799366FB">
            <w:pPr>
              <w:snapToGrid w:val="0"/>
              <w:spacing w:line="400" w:lineRule="exact"/>
              <w:ind w:firstLine="360" w:firstLineChars="150"/>
              <w:rPr>
                <w:rFonts w:hint="eastAsia" w:ascii="宋体" w:hAnsi="宋体" w:eastAsia="宋体" w:cs="宋体"/>
                <w:color w:val="auto"/>
                <w:sz w:val="24"/>
                <w:szCs w:val="24"/>
                <w:highlight w:val="none"/>
              </w:rPr>
            </w:pPr>
          </w:p>
        </w:tc>
        <w:tc>
          <w:tcPr>
            <w:tcW w:w="2694" w:type="dxa"/>
            <w:noWrap w:val="0"/>
            <w:vAlign w:val="center"/>
          </w:tcPr>
          <w:p w14:paraId="217FFD9B">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14:paraId="405A1BC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法定代表人身份证明及授权委托书有效，符合竞争性谈判文件规定的格式，签署或盖章齐全。</w:t>
            </w:r>
          </w:p>
        </w:tc>
      </w:tr>
      <w:tr w14:paraId="1F34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A166384">
            <w:pPr>
              <w:snapToGrid w:val="0"/>
              <w:spacing w:line="400" w:lineRule="exact"/>
              <w:ind w:firstLine="360" w:firstLineChars="150"/>
              <w:rPr>
                <w:rFonts w:hint="eastAsia" w:ascii="宋体" w:hAnsi="宋体" w:eastAsia="宋体" w:cs="宋体"/>
                <w:color w:val="auto"/>
                <w:sz w:val="24"/>
                <w:szCs w:val="24"/>
                <w:highlight w:val="none"/>
              </w:rPr>
            </w:pPr>
          </w:p>
        </w:tc>
        <w:tc>
          <w:tcPr>
            <w:tcW w:w="2694" w:type="dxa"/>
            <w:noWrap w:val="0"/>
            <w:vAlign w:val="center"/>
          </w:tcPr>
          <w:p w14:paraId="599B8062">
            <w:pPr>
              <w:snapToGrid w:val="0"/>
              <w:spacing w:line="400" w:lineRule="exact"/>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14:paraId="39DEA71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7B45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7B8663F4">
            <w:pPr>
              <w:snapToGrid w:val="0"/>
              <w:spacing w:line="400" w:lineRule="exact"/>
              <w:ind w:firstLine="360" w:firstLineChars="150"/>
              <w:rPr>
                <w:rFonts w:hint="eastAsia" w:ascii="宋体" w:hAnsi="宋体" w:eastAsia="宋体" w:cs="宋体"/>
                <w:color w:val="auto"/>
                <w:sz w:val="24"/>
                <w:szCs w:val="24"/>
                <w:highlight w:val="none"/>
              </w:rPr>
            </w:pPr>
          </w:p>
        </w:tc>
        <w:tc>
          <w:tcPr>
            <w:tcW w:w="2694" w:type="dxa"/>
            <w:noWrap w:val="0"/>
            <w:vAlign w:val="center"/>
          </w:tcPr>
          <w:p w14:paraId="27E994F9">
            <w:pPr>
              <w:snapToGrid w:val="0"/>
              <w:spacing w:line="400" w:lineRule="exact"/>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14:paraId="1937F92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0312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38E74F4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94" w:type="dxa"/>
            <w:noWrap w:val="0"/>
            <w:vAlign w:val="center"/>
          </w:tcPr>
          <w:p w14:paraId="3114D6B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6259" w:type="dxa"/>
            <w:noWrap w:val="0"/>
            <w:vAlign w:val="center"/>
          </w:tcPr>
          <w:p w14:paraId="71BA643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文件正、副本数量（含电子文档）符合</w:t>
            </w:r>
            <w:r>
              <w:rPr>
                <w:rFonts w:hint="eastAsia" w:ascii="宋体" w:hAnsi="宋体" w:eastAsia="宋体" w:cs="宋体"/>
                <w:color w:val="auto"/>
                <w:sz w:val="24"/>
                <w:szCs w:val="24"/>
                <w:highlight w:val="none"/>
              </w:rPr>
              <w:t>竞争性谈判</w:t>
            </w:r>
            <w:r>
              <w:rPr>
                <w:rFonts w:hint="eastAsia" w:ascii="宋体" w:hAnsi="宋体" w:eastAsia="宋体" w:cs="宋体"/>
                <w:color w:val="auto"/>
                <w:sz w:val="24"/>
                <w:szCs w:val="24"/>
                <w:highlight w:val="none"/>
                <w:lang w:val="zh-CN"/>
              </w:rPr>
              <w:t>文件要求。</w:t>
            </w:r>
          </w:p>
        </w:tc>
      </w:tr>
      <w:tr w14:paraId="5942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0B8E9FA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94" w:type="dxa"/>
            <w:noWrap w:val="0"/>
            <w:vAlign w:val="center"/>
          </w:tcPr>
          <w:p w14:paraId="0DB0321B">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6259" w:type="dxa"/>
            <w:noWrap w:val="0"/>
            <w:vAlign w:val="center"/>
          </w:tcPr>
          <w:p w14:paraId="0CAB295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对竞争性谈判文件第二篇、第三篇规定的谈判内容进行实质性响应。</w:t>
            </w:r>
          </w:p>
        </w:tc>
      </w:tr>
      <w:tr w14:paraId="3DAA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0F7B930C">
            <w:pPr>
              <w:snapToGrid w:val="0"/>
              <w:spacing w:line="400" w:lineRule="exact"/>
              <w:ind w:firstLine="360" w:firstLineChars="150"/>
              <w:rPr>
                <w:rFonts w:hint="eastAsia" w:ascii="宋体" w:hAnsi="宋体" w:eastAsia="宋体" w:cs="宋体"/>
                <w:color w:val="auto"/>
                <w:sz w:val="24"/>
                <w:szCs w:val="24"/>
                <w:highlight w:val="none"/>
              </w:rPr>
            </w:pPr>
          </w:p>
        </w:tc>
        <w:tc>
          <w:tcPr>
            <w:tcW w:w="2694" w:type="dxa"/>
            <w:noWrap w:val="0"/>
            <w:vAlign w:val="center"/>
          </w:tcPr>
          <w:p w14:paraId="109705B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谈判有效期</w:t>
            </w:r>
          </w:p>
        </w:tc>
        <w:tc>
          <w:tcPr>
            <w:tcW w:w="6259" w:type="dxa"/>
            <w:noWrap w:val="0"/>
            <w:vAlign w:val="center"/>
          </w:tcPr>
          <w:p w14:paraId="1804197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响应文件及有关承诺文件有效期为提交响应文件截止时间起90天。</w:t>
            </w:r>
          </w:p>
        </w:tc>
      </w:tr>
    </w:tbl>
    <w:p w14:paraId="49D8205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7F14E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2B4624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（四）在谈判过程中谈判的任何一方不得向他人透露与谈判有关的技术资料、价格或其他信息。</w:t>
      </w:r>
    </w:p>
    <w:p w14:paraId="7A137C2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52C366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bCs/>
          <w:color w:val="auto"/>
          <w:sz w:val="24"/>
          <w:szCs w:val="24"/>
          <w:highlight w:val="none"/>
          <w:lang w:val="en-US" w:eastAsia="zh-CN"/>
        </w:rPr>
        <w:t>参与谈判的供应商代表须手持</w:t>
      </w:r>
      <w:r>
        <w:rPr>
          <w:rFonts w:hint="eastAsia" w:ascii="宋体" w:hAnsi="宋体" w:eastAsia="宋体" w:cs="宋体"/>
          <w:b/>
          <w:bCs/>
          <w:color w:val="auto"/>
          <w:sz w:val="24"/>
          <w:szCs w:val="24"/>
          <w:highlight w:val="none"/>
        </w:rPr>
        <w:t>法定代表人身份证明书及法定代表人授权委托书</w:t>
      </w:r>
      <w:r>
        <w:rPr>
          <w:rFonts w:hint="eastAsia" w:ascii="宋体" w:hAnsi="宋体" w:eastAsia="宋体" w:cs="宋体"/>
          <w:b/>
          <w:bCs/>
          <w:color w:val="auto"/>
          <w:sz w:val="24"/>
          <w:szCs w:val="24"/>
          <w:highlight w:val="none"/>
          <w:lang w:val="en-US" w:eastAsia="zh-CN"/>
        </w:rPr>
        <w:t>原件及谈判代表本人身份证原件，供应商为其购买的社保证明材料，否则不得参与谈判。第二次报价均不得高于第一次报价，否则作否决谈判申请处理。（若因故未进行第二次报价的，以第一次报价为准）。</w:t>
      </w:r>
      <w:r>
        <w:rPr>
          <w:rFonts w:hint="eastAsia" w:ascii="宋体" w:hAnsi="宋体" w:eastAsia="宋体" w:cs="宋体"/>
          <w:color w:val="auto"/>
          <w:sz w:val="24"/>
          <w:szCs w:val="24"/>
          <w:highlight w:val="none"/>
        </w:rPr>
        <w:t>供应商在谈判时作出的所有书面承诺须由法定代表人（或其授权代表）或自然人（供应商为自然人）签署。</w:t>
      </w:r>
    </w:p>
    <w:p w14:paraId="5B31902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（七）谈判结束后，谈判小组要求所有参加正式谈判的供应商在规定时间内同时书面提交最后报价及有关承诺（《最后报价表》在谈判现场向供应商提供）。</w:t>
      </w:r>
    </w:p>
    <w:p w14:paraId="6D8702B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（八）评审的依据为竞争性谈判文件和响应文件（含有效的补充文件）。谈判小组判断响应文件对竞争性谈判文件的响应，仅基于响应文件本身而不靠外部证据。</w:t>
      </w:r>
    </w:p>
    <w:p w14:paraId="6405A16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A105C0">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42" w:name="_Toc65660351"/>
      <w:bookmarkStart w:id="143" w:name="_Toc11713"/>
      <w:bookmarkStart w:id="144" w:name="_Toc30639"/>
      <w:bookmarkStart w:id="145" w:name="_Toc64732013"/>
      <w:bookmarkStart w:id="146" w:name="_Toc4243"/>
      <w:r>
        <w:rPr>
          <w:rFonts w:hint="eastAsia" w:ascii="宋体" w:hAnsi="宋体" w:eastAsia="宋体" w:cs="宋体"/>
          <w:color w:val="auto"/>
          <w:sz w:val="24"/>
          <w:szCs w:val="24"/>
          <w:highlight w:val="none"/>
        </w:rPr>
        <w:t>二、评定成交的标准</w:t>
      </w:r>
      <w:bookmarkEnd w:id="142"/>
      <w:bookmarkEnd w:id="143"/>
      <w:bookmarkEnd w:id="144"/>
      <w:bookmarkEnd w:id="145"/>
      <w:bookmarkEnd w:id="146"/>
    </w:p>
    <w:p w14:paraId="133DDF1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（一）谈判小组将依照本竞争性谈判文件相关规定对技术（质量）和服务均能满足竞争性谈判实质性响应要求的供应商所提交的最后报价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按照由低到高的顺序提出3名以上成交候选人，并编写评审报告。</w:t>
      </w:r>
    </w:p>
    <w:p w14:paraId="4D035D17">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47" w:name="_Toc29113"/>
      <w:bookmarkStart w:id="148" w:name="_Toc65660352"/>
      <w:bookmarkStart w:id="149" w:name="_Toc12644"/>
      <w:bookmarkStart w:id="150" w:name="_Toc1432"/>
      <w:r>
        <w:rPr>
          <w:rFonts w:hint="eastAsia" w:ascii="宋体" w:hAnsi="宋体" w:eastAsia="宋体" w:cs="宋体"/>
          <w:color w:val="auto"/>
          <w:sz w:val="24"/>
          <w:szCs w:val="24"/>
          <w:highlight w:val="none"/>
        </w:rPr>
        <w:t>三、无效谈判</w:t>
      </w:r>
      <w:bookmarkEnd w:id="147"/>
      <w:bookmarkEnd w:id="148"/>
      <w:bookmarkEnd w:id="149"/>
      <w:bookmarkEnd w:id="150"/>
    </w:p>
    <w:p w14:paraId="4EC09D7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供应商发生以下条款情况之一者，视为无效谈判：</w:t>
      </w:r>
    </w:p>
    <w:p w14:paraId="4FF1E7F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03529EF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（二）供应商未通过实质性响应审查的；</w:t>
      </w:r>
    </w:p>
    <w:p w14:paraId="1D42558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（三）供应商的法定代表人（或其授权代表）或自然人未参加谈判的；</w:t>
      </w:r>
    </w:p>
    <w:p w14:paraId="316192D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（四）供应商未在保证金到账截止时间前足额交纳所参与包保证金的；</w:t>
      </w:r>
    </w:p>
    <w:p w14:paraId="3C5FDE8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（五）供应商所提交的响应文件未按“第七篇响应文件格式要求”要求签署或盖章的；</w:t>
      </w:r>
    </w:p>
    <w:p w14:paraId="513F6D9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（六）供应商的</w:t>
      </w:r>
      <w:r>
        <w:rPr>
          <w:rFonts w:hint="eastAsia" w:ascii="宋体" w:hAnsi="宋体" w:eastAsia="宋体" w:cs="宋体"/>
          <w:color w:val="auto"/>
          <w:sz w:val="24"/>
          <w:szCs w:val="24"/>
          <w:highlight w:val="none"/>
          <w:lang w:val="en-US" w:eastAsia="zh-CN"/>
        </w:rPr>
        <w:t>任意明细超过</w:t>
      </w:r>
      <w:r>
        <w:rPr>
          <w:rFonts w:hint="eastAsia" w:ascii="宋体" w:hAnsi="宋体" w:eastAsia="宋体" w:cs="宋体"/>
          <w:color w:val="auto"/>
          <w:sz w:val="24"/>
          <w:szCs w:val="24"/>
          <w:highlight w:val="none"/>
        </w:rPr>
        <w:t>最高限价的；</w:t>
      </w:r>
    </w:p>
    <w:p w14:paraId="4EEE503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（七）供应商不接受谈判小组修正后的价格的；</w:t>
      </w:r>
    </w:p>
    <w:p w14:paraId="30A5BD8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（八）单位负责人为同一人或者存在直接控股、管理关系的不同供应商，参加同一合同项（包）谈判的；</w:t>
      </w:r>
    </w:p>
    <w:p w14:paraId="0EA5061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（九）为采购项目提供整体设计、规范编制或者项目管理、监理、检测等服务的供应商再参加该采购项目的其他采购活动的；</w:t>
      </w:r>
    </w:p>
    <w:p w14:paraId="0DD620D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（十）同一合同项（包）下的货物，制造商参与谈判，再委托代理商参与谈判的；</w:t>
      </w:r>
    </w:p>
    <w:p w14:paraId="22080BD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（十一）供应商响应文件内容有与国家现行法律法规相违背的内容，或附有采购人无法接受条件的；</w:t>
      </w:r>
    </w:p>
    <w:p w14:paraId="485DB50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（十二）法律、法规和竞争性谈判文件规定的其他无效情形。</w:t>
      </w:r>
    </w:p>
    <w:p w14:paraId="1089885D">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51" w:name="_Toc65660353"/>
      <w:bookmarkStart w:id="152" w:name="_Toc28422"/>
      <w:bookmarkStart w:id="153" w:name="_Toc29298"/>
      <w:bookmarkStart w:id="154" w:name="_Toc27601"/>
      <w:r>
        <w:rPr>
          <w:rFonts w:hint="eastAsia" w:ascii="宋体" w:hAnsi="宋体" w:eastAsia="宋体" w:cs="宋体"/>
          <w:color w:val="auto"/>
          <w:sz w:val="24"/>
          <w:szCs w:val="24"/>
          <w:highlight w:val="none"/>
        </w:rPr>
        <w:t>四、采购终止</w:t>
      </w:r>
      <w:bookmarkEnd w:id="151"/>
      <w:bookmarkEnd w:id="152"/>
      <w:bookmarkEnd w:id="153"/>
      <w:bookmarkEnd w:id="154"/>
    </w:p>
    <w:p w14:paraId="7FC9939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出现下列情形之一的，采购人或者采购代理机构应当终止竞争性谈判采购活动，发布项目终止公告并说明原因，重新开展采购活动：</w:t>
      </w:r>
    </w:p>
    <w:p w14:paraId="5C5B798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（一）因情况变化，不再符合规定的竞争性谈判采购方式适用情形的；</w:t>
      </w:r>
    </w:p>
    <w:p w14:paraId="06ABA7A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53E611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（三）在采购过程中符合竞争要求的供应商或者报价未超过采购预算的供应商不足3家的，但《政府采购非招标采购方式管理办法》第二十七条第二款规定的情形除外。</w:t>
      </w:r>
    </w:p>
    <w:p w14:paraId="4F4DA6E5">
      <w:pPr>
        <w:pStyle w:val="3"/>
        <w:bidi w:val="0"/>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155" w:name="_Toc20055"/>
      <w:bookmarkStart w:id="156" w:name="_Toc10768"/>
      <w:bookmarkStart w:id="157" w:name="_Toc65660354"/>
      <w:bookmarkStart w:id="158" w:name="_Toc17785"/>
      <w:r>
        <w:rPr>
          <w:rFonts w:hint="eastAsia" w:ascii="宋体" w:hAnsi="宋体" w:eastAsia="宋体" w:cs="宋体"/>
          <w:color w:val="auto"/>
          <w:kern w:val="2"/>
          <w:sz w:val="36"/>
          <w:szCs w:val="36"/>
          <w:highlight w:val="none"/>
          <w:lang w:val="en-US" w:eastAsia="zh-CN" w:bidi="ar-SA"/>
        </w:rPr>
        <w:t>第五篇  供应商须知</w:t>
      </w:r>
      <w:bookmarkEnd w:id="155"/>
      <w:bookmarkEnd w:id="156"/>
      <w:bookmarkEnd w:id="157"/>
      <w:bookmarkEnd w:id="158"/>
    </w:p>
    <w:p w14:paraId="068B19B4">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59" w:name="_Toc5290"/>
      <w:bookmarkStart w:id="160" w:name="_Toc65660355"/>
      <w:bookmarkStart w:id="161" w:name="_Toc16524"/>
      <w:bookmarkStart w:id="162" w:name="_Toc16117"/>
      <w:r>
        <w:rPr>
          <w:rFonts w:hint="eastAsia" w:ascii="宋体" w:hAnsi="宋体" w:eastAsia="宋体" w:cs="宋体"/>
          <w:color w:val="auto"/>
          <w:sz w:val="24"/>
          <w:szCs w:val="24"/>
          <w:highlight w:val="none"/>
        </w:rPr>
        <w:t>一、谈判费用</w:t>
      </w:r>
      <w:bookmarkEnd w:id="159"/>
      <w:bookmarkEnd w:id="160"/>
      <w:bookmarkEnd w:id="161"/>
      <w:bookmarkEnd w:id="162"/>
    </w:p>
    <w:p w14:paraId="56ABD28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参与谈判的供应商应承担其编制响应文件与递交响应文件所涉及的一切费用，不论谈判结果如何，采购人和采购代理机构在任何情况下无义务也无责任承担这些费用。</w:t>
      </w:r>
    </w:p>
    <w:p w14:paraId="39E628D4">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63" w:name="_Toc5915"/>
      <w:bookmarkStart w:id="164" w:name="_Toc65660356"/>
      <w:bookmarkStart w:id="165" w:name="_Toc31739"/>
      <w:bookmarkStart w:id="166" w:name="_Toc31958"/>
      <w:r>
        <w:rPr>
          <w:rFonts w:hint="eastAsia" w:ascii="宋体" w:hAnsi="宋体" w:eastAsia="宋体" w:cs="宋体"/>
          <w:color w:val="auto"/>
          <w:sz w:val="24"/>
          <w:szCs w:val="24"/>
          <w:highlight w:val="none"/>
        </w:rPr>
        <w:t>二、竞争性谈判文件</w:t>
      </w:r>
      <w:bookmarkEnd w:id="163"/>
      <w:bookmarkEnd w:id="164"/>
      <w:bookmarkEnd w:id="165"/>
      <w:bookmarkEnd w:id="166"/>
      <w:r>
        <w:rPr>
          <w:rFonts w:hint="eastAsia" w:ascii="宋体" w:hAnsi="宋体" w:eastAsia="宋体" w:cs="宋体"/>
          <w:color w:val="auto"/>
          <w:sz w:val="24"/>
          <w:szCs w:val="24"/>
          <w:highlight w:val="none"/>
        </w:rPr>
        <w:tab/>
      </w:r>
    </w:p>
    <w:p w14:paraId="54BF448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（一）竞争性谈判文件由竞争性谈判邀请书、谈判项目技术（质量）需求、谈判项目服务需求、采购程序、评定成交的标准、无效谈判及采购终止、供应商须知、合同草案条款、响应文件格式要求七部分组成。</w:t>
      </w:r>
    </w:p>
    <w:p w14:paraId="3F4EABB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（二）采购人（或采购代理机构）所作的一切有效的书面通知、修改及补充，都是竞争性谈判文件不可分割的部分。</w:t>
      </w:r>
    </w:p>
    <w:p w14:paraId="2CFF707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（三）本竞争性谈判文件中，谈判小组根据与供应商谈判情况可能实质性变动的内容为竞争性谈判文件第二、三、六篇全部内容。</w:t>
      </w:r>
    </w:p>
    <w:p w14:paraId="3AF0053C">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67" w:name="_Toc65660357"/>
      <w:bookmarkStart w:id="168" w:name="_Toc3061"/>
      <w:bookmarkStart w:id="169" w:name="_Toc9532"/>
      <w:bookmarkStart w:id="170" w:name="_Toc19238"/>
      <w:r>
        <w:rPr>
          <w:rFonts w:hint="eastAsia" w:ascii="宋体" w:hAnsi="宋体" w:eastAsia="宋体" w:cs="宋体"/>
          <w:color w:val="auto"/>
          <w:sz w:val="24"/>
          <w:szCs w:val="24"/>
          <w:highlight w:val="none"/>
        </w:rPr>
        <w:t>三、谈判要求</w:t>
      </w:r>
      <w:bookmarkEnd w:id="167"/>
      <w:bookmarkEnd w:id="168"/>
      <w:bookmarkEnd w:id="169"/>
      <w:bookmarkEnd w:id="170"/>
    </w:p>
    <w:p w14:paraId="7CBF968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59F9188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供应商应当按照竞争性谈判文件的要求编制响应文件，并对竞争性谈判文件提出的要求和条件作出实质性响应，响应文件原则上采用软面订本。</w:t>
      </w:r>
    </w:p>
    <w:p w14:paraId="12492B3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36E7117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7C58C43B">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.谈判有效期：响应文件及有关承诺文件有效期为提交响应文件截止时间起90天。</w:t>
      </w:r>
    </w:p>
    <w:p w14:paraId="520ACDD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（二）保证金：</w:t>
      </w:r>
    </w:p>
    <w:p w14:paraId="2E26DCE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1.供应商提交保证金金额和方式详见“第一篇  五、保证金”；</w:t>
      </w:r>
    </w:p>
    <w:p w14:paraId="4D0CA58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2.发生以下情况之一者，保证金不予退还：</w:t>
      </w:r>
    </w:p>
    <w:p w14:paraId="62320F1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2.1供应商在提交响应文件截止时间后撤回响应文件的；</w:t>
      </w:r>
    </w:p>
    <w:p w14:paraId="5AB597E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2.2供应商在响应文件中提供虚假材料的；</w:t>
      </w:r>
    </w:p>
    <w:p w14:paraId="3284A92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2.3除因不可抗力或竞争性谈判文件认可的情形以外，成交供应商不与采购人签订合同的；</w:t>
      </w:r>
    </w:p>
    <w:p w14:paraId="6E00CFA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2.4供应商与采购人、其他供应商或者采购代理机构恶意串通的；</w:t>
      </w:r>
    </w:p>
    <w:p w14:paraId="708D156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53C2B14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3.保证金的有效期限在谈判有效期</w:t>
      </w:r>
      <w:r>
        <w:rPr>
          <w:rFonts w:hint="eastAsia" w:ascii="宋体" w:hAnsi="宋体" w:eastAsia="宋体" w:cs="宋体"/>
          <w:strike w:val="0"/>
          <w:dstrike w:val="0"/>
          <w:color w:val="auto"/>
          <w:sz w:val="24"/>
          <w:szCs w:val="24"/>
          <w:highlight w:val="none"/>
          <w:lang w:val="en-US" w:eastAsia="zh-CN"/>
        </w:rPr>
        <w:t>内</w:t>
      </w:r>
      <w:r>
        <w:rPr>
          <w:rFonts w:hint="eastAsia" w:ascii="宋体" w:hAnsi="宋体" w:eastAsia="宋体" w:cs="宋体"/>
          <w:color w:val="auto"/>
          <w:sz w:val="24"/>
          <w:szCs w:val="24"/>
          <w:highlight w:val="none"/>
        </w:rPr>
        <w:t>有效。</w:t>
      </w:r>
    </w:p>
    <w:p w14:paraId="2125D67B">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（三）修正错误</w:t>
      </w:r>
    </w:p>
    <w:p w14:paraId="081E77F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若供应商所递交的响应文件或最后报价中的价格出现大写金额和小写金额不一致的错误，以大写金额修正为准。</w:t>
      </w:r>
    </w:p>
    <w:p w14:paraId="086BF50B">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谈判小组按上述修正错误的原则及方法修正供应商的报价，供应商同意并签署确认后，修正后的报价对供应商具有约束作用。如果供应商不接受修正后的价格，将视为无效谈判。</w:t>
      </w:r>
    </w:p>
    <w:p w14:paraId="52A66FE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114B717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E0B28F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2.在响应文件正本中，竞争性谈判文件第七篇响应文件格式中规定签署、盖章的地方必须按其规定签署、盖章。</w:t>
      </w:r>
    </w:p>
    <w:p w14:paraId="275311A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3.若供应商对响应文件的错处作必要修改，则应在修改处加盖供应商公章或由法定代表人（或其授权代表）或自然人（供应商为自然人）签署确认。</w:t>
      </w:r>
    </w:p>
    <w:p w14:paraId="1554DBD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4.电报、电话、传真形式的响应文件概不接受。</w:t>
      </w:r>
    </w:p>
    <w:p w14:paraId="4FE0E30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3DD880D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正本、副本以及电子文档均应密封送达谈判地点，应在封套上注明谈判项目名称、供应商名称。若正本、副本以及电子文档分别进行密封的，还应在封套上注明“正本”、“副本”、“电子文档”字样。</w:t>
      </w:r>
    </w:p>
    <w:p w14:paraId="16222C2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（六）响应文件语言：简体中文</w:t>
      </w:r>
    </w:p>
    <w:p w14:paraId="1696485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（七）供应商参与人员</w:t>
      </w:r>
    </w:p>
    <w:p w14:paraId="0CC377F8">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各供应商应当派1-2名代表参与谈判，至少1人应为法定代表人（或其授权代表）或自然人（供应商为自然人）。法定代表人须手持身份证</w:t>
      </w:r>
      <w:r>
        <w:rPr>
          <w:rFonts w:hint="eastAsia" w:ascii="宋体" w:hAnsi="宋体" w:eastAsia="宋体" w:cs="宋体"/>
          <w:color w:val="auto"/>
          <w:sz w:val="24"/>
          <w:szCs w:val="24"/>
          <w:highlight w:val="none"/>
          <w:lang w:val="en-US" w:eastAsia="zh-CN"/>
        </w:rPr>
        <w:t>原件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法定代表人身份证明书原件；</w:t>
      </w:r>
      <w:r>
        <w:rPr>
          <w:rFonts w:hint="eastAsia" w:ascii="宋体" w:hAnsi="宋体" w:eastAsia="宋体" w:cs="宋体"/>
          <w:color w:val="auto"/>
          <w:sz w:val="24"/>
          <w:szCs w:val="24"/>
          <w:highlight w:val="none"/>
        </w:rPr>
        <w:t>授权代表须手持身份证</w:t>
      </w:r>
      <w:r>
        <w:rPr>
          <w:rFonts w:hint="eastAsia" w:ascii="宋体" w:hAnsi="宋体" w:eastAsia="宋体" w:cs="宋体"/>
          <w:color w:val="auto"/>
          <w:sz w:val="24"/>
          <w:szCs w:val="24"/>
          <w:highlight w:val="none"/>
          <w:lang w:val="en-US" w:eastAsia="zh-CN"/>
        </w:rPr>
        <w:t>原件</w:t>
      </w:r>
      <w:r>
        <w:rPr>
          <w:rFonts w:hint="eastAsia" w:ascii="宋体" w:hAnsi="宋体" w:eastAsia="宋体" w:cs="宋体"/>
          <w:color w:val="auto"/>
          <w:sz w:val="24"/>
          <w:szCs w:val="24"/>
          <w:highlight w:val="none"/>
        </w:rPr>
        <w:t>、供应商为其购买的社保证明材料复印件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法定代表人身份证明书及</w:t>
      </w:r>
      <w:r>
        <w:rPr>
          <w:rFonts w:hint="eastAsia" w:ascii="宋体" w:hAnsi="宋体" w:eastAsia="宋体" w:cs="宋体"/>
          <w:color w:val="auto"/>
          <w:sz w:val="24"/>
          <w:szCs w:val="24"/>
          <w:highlight w:val="none"/>
        </w:rPr>
        <w:t>法定代表人授权委托书</w:t>
      </w:r>
      <w:r>
        <w:rPr>
          <w:rFonts w:hint="eastAsia" w:ascii="宋体" w:hAnsi="宋体" w:eastAsia="宋体" w:cs="宋体"/>
          <w:color w:val="auto"/>
          <w:sz w:val="24"/>
          <w:szCs w:val="24"/>
          <w:highlight w:val="none"/>
          <w:lang w:val="en-US" w:eastAsia="zh-CN"/>
        </w:rPr>
        <w:t>原件。否则不得参与正式谈判。</w:t>
      </w:r>
    </w:p>
    <w:p w14:paraId="0C176BF2">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71" w:name="_Toc65660358"/>
      <w:bookmarkStart w:id="172" w:name="_Toc14702"/>
      <w:bookmarkStart w:id="173" w:name="_Toc6242"/>
      <w:bookmarkStart w:id="174" w:name="_Toc29586"/>
      <w:r>
        <w:rPr>
          <w:rFonts w:hint="eastAsia" w:ascii="宋体" w:hAnsi="宋体" w:eastAsia="宋体" w:cs="宋体"/>
          <w:color w:val="auto"/>
          <w:sz w:val="24"/>
          <w:szCs w:val="24"/>
          <w:highlight w:val="none"/>
        </w:rPr>
        <w:t>四、成交供应商的确定和变更</w:t>
      </w:r>
      <w:bookmarkEnd w:id="171"/>
      <w:bookmarkEnd w:id="172"/>
      <w:bookmarkEnd w:id="173"/>
      <w:bookmarkEnd w:id="174"/>
    </w:p>
    <w:p w14:paraId="63C4578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16238FB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7CCD2F9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AD3D62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2.成交供应商无充分理由放弃成交的，采购人将向同级财政部门报告，财政部门将根据相关法律法规的规定进行处理。</w:t>
      </w:r>
    </w:p>
    <w:p w14:paraId="3D30CA9F">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75" w:name="_Toc65660359"/>
      <w:bookmarkStart w:id="176" w:name="_Toc29821"/>
      <w:bookmarkStart w:id="177" w:name="_Toc1092"/>
      <w:bookmarkStart w:id="178" w:name="_Toc32422"/>
      <w:r>
        <w:rPr>
          <w:rFonts w:hint="eastAsia" w:ascii="宋体" w:hAnsi="宋体" w:eastAsia="宋体" w:cs="宋体"/>
          <w:color w:val="auto"/>
          <w:sz w:val="24"/>
          <w:szCs w:val="24"/>
          <w:highlight w:val="none"/>
        </w:rPr>
        <w:t>五、成交通知</w:t>
      </w:r>
      <w:bookmarkEnd w:id="175"/>
      <w:bookmarkEnd w:id="176"/>
      <w:bookmarkEnd w:id="177"/>
      <w:bookmarkEnd w:id="178"/>
    </w:p>
    <w:p w14:paraId="73DA44F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eastAsia="宋体" w:cs="宋体"/>
          <w:color w:val="auto"/>
          <w:sz w:val="24"/>
          <w:szCs w:val="24"/>
          <w:highlight w:val="none"/>
          <w:lang w:eastAsia="zh-CN"/>
        </w:rPr>
        <w:t>“行采家”（http://www.gec123.com）</w:t>
      </w:r>
      <w:r>
        <w:rPr>
          <w:rFonts w:hint="eastAsia" w:ascii="宋体" w:hAnsi="宋体" w:eastAsia="宋体" w:cs="宋体"/>
          <w:color w:val="auto"/>
          <w:sz w:val="24"/>
          <w:szCs w:val="24"/>
          <w:highlight w:val="none"/>
        </w:rPr>
        <w:t>上发布成交结果公告。</w:t>
      </w:r>
    </w:p>
    <w:p w14:paraId="633AD94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3B69796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687D4DE8">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79" w:name="_Toc1010"/>
      <w:bookmarkStart w:id="180" w:name="_Toc30909"/>
      <w:bookmarkStart w:id="181" w:name="_Toc65660360"/>
      <w:bookmarkStart w:id="182" w:name="_Toc21775"/>
      <w:r>
        <w:rPr>
          <w:rFonts w:hint="eastAsia" w:ascii="宋体" w:hAnsi="宋体" w:eastAsia="宋体" w:cs="宋体"/>
          <w:color w:val="auto"/>
          <w:sz w:val="24"/>
          <w:szCs w:val="24"/>
          <w:highlight w:val="none"/>
        </w:rPr>
        <w:t>六、关于质疑和投诉</w:t>
      </w:r>
      <w:bookmarkEnd w:id="179"/>
      <w:bookmarkEnd w:id="180"/>
      <w:bookmarkEnd w:id="181"/>
      <w:bookmarkEnd w:id="182"/>
    </w:p>
    <w:p w14:paraId="29CEF34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（一）质疑</w:t>
      </w:r>
    </w:p>
    <w:p w14:paraId="018000D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33E7435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0D3E70E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3A5DFC3B">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1.1供应商认为采购文件、采购过程、成交结果使自己的权益受到损害的，可以在知道或者应知其权益受到损害之日起7个工作日内，以书面形式向采购人、采购代理机构提出质疑。</w:t>
      </w:r>
    </w:p>
    <w:p w14:paraId="2611B53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1.2供应商提出质疑应当提交质疑函和必要的证明材料，质疑函应当包括下列内容：</w:t>
      </w:r>
    </w:p>
    <w:p w14:paraId="49077F6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1.2.1供应商的姓名或者名称、地址、邮编、联系人及联系电话；</w:t>
      </w:r>
    </w:p>
    <w:p w14:paraId="547C688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1.2.2质疑项目的项目名称、项目号以及采购执行编号；</w:t>
      </w:r>
    </w:p>
    <w:p w14:paraId="44BC9EE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14:paraId="1A057B3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14:paraId="565C100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14:paraId="7D1B016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14:paraId="70426B4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1.2.7营业执照（或事业单位法人证书，或个体工商户营业执照或有效的自然人身份证明）复印件；</w:t>
      </w:r>
    </w:p>
    <w:p w14:paraId="2FE4C7D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14:paraId="7AC5727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3218AA5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02EAF28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采购人、采购代理机构应当在收到供应商的书面质疑后七个工作日内作出答复，并以书面形式通知质疑供应商和其他有关供应商。</w:t>
      </w:r>
    </w:p>
    <w:p w14:paraId="560CE51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298E669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11921CF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7A950A9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23FAD7B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0AC33E7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6487A4F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ABF73C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2460270">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83" w:name="_Toc3127"/>
      <w:bookmarkStart w:id="184" w:name="_Toc16648"/>
      <w:bookmarkStart w:id="185" w:name="_Toc65660361"/>
      <w:bookmarkStart w:id="186" w:name="_Toc7386"/>
      <w:r>
        <w:rPr>
          <w:rFonts w:hint="eastAsia" w:ascii="宋体" w:hAnsi="宋体" w:eastAsia="宋体" w:cs="宋体"/>
          <w:color w:val="auto"/>
          <w:sz w:val="24"/>
          <w:szCs w:val="24"/>
          <w:highlight w:val="none"/>
        </w:rPr>
        <w:t>七、签订合同</w:t>
      </w:r>
      <w:bookmarkEnd w:id="183"/>
      <w:bookmarkEnd w:id="184"/>
      <w:bookmarkEnd w:id="185"/>
      <w:bookmarkEnd w:id="186"/>
    </w:p>
    <w:p w14:paraId="111B761B">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成交通知书发出之日起二十日内和成交供应商签订政府采购合同，无正当理由不得拒绝或拖延合同签订。所签订的合同不得对竞争性谈判文件和供应商的响应文件作实质性修改。其他未尽事宜由采购人和成交供应商在采购合同中详细约定。</w:t>
      </w:r>
    </w:p>
    <w:p w14:paraId="3441707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）竞争性谈判文件、供应商的响应文件及澄清文件等，均为签订政府采购合同的依据。</w:t>
      </w:r>
    </w:p>
    <w:p w14:paraId="731A1A7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）合同生效条款由供需双方约定，法律、行政法规规定应当办理批准、登记等手续后生效的合同，依照其规定。</w:t>
      </w:r>
    </w:p>
    <w:p w14:paraId="20BE589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）合同原则上应按照《重庆市政府采购合同》签订，相关单位要求适用合同通用格式版本的，应按其要求另行签订其他合同。</w:t>
      </w:r>
    </w:p>
    <w:p w14:paraId="2EDA182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）采购人要求成交供应商提供履约保证金的，应当在竞争性谈判文件中予以约定。成交供应商履约完毕后，采购人根据采购文件规定无息退还其履约保证金。</w:t>
      </w:r>
    </w:p>
    <w:p w14:paraId="1906E286">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87" w:name="_Toc3738"/>
      <w:r>
        <w:rPr>
          <w:rFonts w:hint="eastAsia" w:ascii="宋体" w:hAnsi="宋体" w:eastAsia="宋体" w:cs="宋体"/>
          <w:color w:val="auto"/>
          <w:sz w:val="24"/>
          <w:szCs w:val="24"/>
          <w:highlight w:val="none"/>
        </w:rPr>
        <w:t>八、项目验收</w:t>
      </w:r>
      <w:bookmarkEnd w:id="187"/>
    </w:p>
    <w:p w14:paraId="06F9235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合同执行完毕，采购人或采购代理机构原则上应在7个工作日内组织履约情况验收，不得无故拖延或附加额外条件。</w:t>
      </w:r>
    </w:p>
    <w:p w14:paraId="0AAD485B">
      <w:pPr>
        <w:snapToGrid w:val="0"/>
        <w:spacing w:line="400" w:lineRule="exact"/>
        <w:ind w:firstLine="361" w:firstLineChars="150"/>
        <w:rPr>
          <w:rFonts w:hint="eastAsia" w:ascii="宋体" w:hAnsi="宋体" w:eastAsia="宋体" w:cs="宋体"/>
          <w:b/>
          <w:color w:val="auto"/>
          <w:kern w:val="2"/>
          <w:sz w:val="24"/>
          <w:szCs w:val="24"/>
          <w:highlight w:val="none"/>
          <w:lang w:val="en-US" w:eastAsia="zh-CN" w:bidi="ar-SA"/>
        </w:rPr>
      </w:pPr>
      <w:bookmarkStart w:id="188" w:name="_Toc65660362"/>
      <w:bookmarkStart w:id="189" w:name="_Toc29513"/>
      <w:bookmarkStart w:id="190" w:name="_Toc32594"/>
      <w:r>
        <w:rPr>
          <w:rFonts w:hint="eastAsia" w:ascii="宋体" w:hAnsi="宋体" w:eastAsia="宋体" w:cs="宋体"/>
          <w:b/>
          <w:color w:val="auto"/>
          <w:kern w:val="2"/>
          <w:sz w:val="24"/>
          <w:szCs w:val="24"/>
          <w:highlight w:val="none"/>
          <w:lang w:val="en-US" w:eastAsia="zh-CN" w:bidi="ar-SA"/>
        </w:rPr>
        <w:t>九、采购代理服务费</w:t>
      </w:r>
      <w:bookmarkEnd w:id="188"/>
      <w:bookmarkEnd w:id="189"/>
      <w:bookmarkEnd w:id="190"/>
    </w:p>
    <w:p w14:paraId="7480F93C">
      <w:pPr>
        <w:spacing w:line="400" w:lineRule="exact"/>
        <w:ind w:firstLine="360" w:firstLineChars="150"/>
        <w:rPr>
          <w:rFonts w:hint="eastAsia" w:ascii="宋体" w:hAnsi="宋体" w:eastAsia="宋体" w:cs="宋体"/>
          <w:color w:val="auto"/>
          <w:sz w:val="24"/>
          <w:szCs w:val="24"/>
          <w:highlight w:val="none"/>
          <w:lang w:val="en-US" w:eastAsia="zh-CN"/>
        </w:rPr>
      </w:pPr>
      <w:bookmarkStart w:id="191" w:name="_Toc18977"/>
      <w:bookmarkStart w:id="192" w:name="_Toc7297"/>
      <w:bookmarkStart w:id="193" w:name="_Toc4867"/>
      <w:bookmarkStart w:id="194" w:name="_Toc65660363"/>
      <w:bookmarkStart w:id="195" w:name="_Toc9730"/>
      <w:bookmarkStart w:id="196" w:name="OLE_LINK7"/>
      <w:bookmarkStart w:id="197" w:name="OLE_LINK8"/>
      <w:r>
        <w:rPr>
          <w:rFonts w:hint="eastAsia" w:ascii="宋体" w:hAnsi="宋体" w:eastAsia="宋体" w:cs="宋体"/>
          <w:color w:val="auto"/>
          <w:sz w:val="24"/>
          <w:szCs w:val="24"/>
          <w:highlight w:val="none"/>
          <w:lang w:val="en-US" w:eastAsia="zh-CN"/>
        </w:rPr>
        <w:t>（一）投标人中标后向采购代理机构缴纳采购代理服务费4000元（大写：肆仟元整）</w:t>
      </w:r>
      <w:bookmarkEnd w:id="191"/>
      <w:bookmarkEnd w:id="192"/>
    </w:p>
    <w:p w14:paraId="3321ECB2">
      <w:pPr>
        <w:snapToGrid w:val="0"/>
        <w:spacing w:line="400" w:lineRule="exact"/>
        <w:ind w:firstLine="360" w:firstLineChars="150"/>
        <w:rPr>
          <w:rFonts w:hint="eastAsia" w:ascii="宋体" w:hAnsi="宋体" w:eastAsia="宋体" w:cs="宋体"/>
          <w:color w:val="auto"/>
          <w:sz w:val="24"/>
          <w:szCs w:val="24"/>
          <w:highlight w:val="none"/>
          <w:lang w:val="en-US" w:eastAsia="zh-CN"/>
        </w:rPr>
      </w:pPr>
      <w:bookmarkStart w:id="198" w:name="_Toc24753"/>
      <w:bookmarkStart w:id="199" w:name="_Toc4554"/>
      <w:r>
        <w:rPr>
          <w:rFonts w:hint="eastAsia" w:ascii="宋体" w:hAnsi="宋体" w:eastAsia="宋体" w:cs="宋体"/>
          <w:color w:val="auto"/>
          <w:sz w:val="24"/>
          <w:szCs w:val="24"/>
          <w:highlight w:val="none"/>
          <w:lang w:val="en-US" w:eastAsia="zh-CN"/>
        </w:rPr>
        <w:t>（二）采购代理服务费缴纳账号：</w:t>
      </w:r>
      <w:bookmarkEnd w:id="198"/>
      <w:bookmarkEnd w:id="199"/>
    </w:p>
    <w:bookmarkEnd w:id="193"/>
    <w:bookmarkEnd w:id="194"/>
    <w:bookmarkEnd w:id="195"/>
    <w:bookmarkEnd w:id="196"/>
    <w:bookmarkEnd w:id="197"/>
    <w:p w14:paraId="652D5D6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名：丰汇国际项目管理有限公司重庆第一分公司</w:t>
      </w:r>
    </w:p>
    <w:p w14:paraId="1E9F30B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开户行：中国建设银行股份有限公司重庆沙坪坝三峡广场支行</w:t>
      </w:r>
    </w:p>
    <w:p w14:paraId="6F141BFC">
      <w:pPr>
        <w:snapToGrid w:val="0"/>
        <w:spacing w:line="400" w:lineRule="exact"/>
        <w:ind w:firstLine="360" w:firstLineChars="150"/>
        <w:rPr>
          <w:rFonts w:hint="eastAsia" w:ascii="宋体" w:hAnsi="宋体" w:eastAsia="宋体" w:cs="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color w:val="auto"/>
          <w:sz w:val="24"/>
          <w:szCs w:val="24"/>
          <w:highlight w:val="none"/>
        </w:rPr>
        <w:t xml:space="preserve">账  号：50050105004100000811 </w:t>
      </w:r>
    </w:p>
    <w:bookmarkEnd w:id="94"/>
    <w:p w14:paraId="5C3FDA1B">
      <w:pPr>
        <w:pStyle w:val="3"/>
        <w:bidi w:val="0"/>
        <w:jc w:val="center"/>
        <w:rPr>
          <w:rFonts w:hint="eastAsia" w:ascii="宋体" w:hAnsi="宋体" w:eastAsia="宋体" w:cs="宋体"/>
          <w:color w:val="auto"/>
          <w:kern w:val="2"/>
          <w:sz w:val="36"/>
          <w:szCs w:val="36"/>
          <w:highlight w:val="none"/>
          <w:lang w:val="en-US" w:eastAsia="zh-CN" w:bidi="ar-SA"/>
        </w:rPr>
      </w:pPr>
      <w:bookmarkStart w:id="200" w:name="_Toc11641055"/>
      <w:bookmarkStart w:id="201" w:name="_Toc65660365"/>
      <w:bookmarkStart w:id="202" w:name="_Toc28162"/>
      <w:bookmarkStart w:id="203" w:name="_Toc12789059"/>
      <w:bookmarkStart w:id="204" w:name="_Toc14861"/>
      <w:bookmarkStart w:id="205" w:name="_Toc8037"/>
      <w:r>
        <w:rPr>
          <w:rFonts w:hint="eastAsia" w:ascii="宋体" w:hAnsi="宋体" w:eastAsia="宋体" w:cs="宋体"/>
          <w:color w:val="auto"/>
          <w:kern w:val="2"/>
          <w:sz w:val="36"/>
          <w:szCs w:val="36"/>
          <w:highlight w:val="none"/>
          <w:lang w:val="en-US" w:eastAsia="zh-CN" w:bidi="ar-SA"/>
        </w:rPr>
        <w:t xml:space="preserve">第六篇  </w:t>
      </w:r>
      <w:bookmarkEnd w:id="200"/>
      <w:bookmarkEnd w:id="201"/>
      <w:bookmarkEnd w:id="202"/>
      <w:bookmarkEnd w:id="203"/>
      <w:bookmarkEnd w:id="204"/>
      <w:bookmarkStart w:id="206" w:name="_Toc509218785"/>
      <w:bookmarkStart w:id="207" w:name="_Toc430530509"/>
      <w:bookmarkStart w:id="208" w:name="_Toc21557"/>
      <w:bookmarkStart w:id="209" w:name="_Toc8427"/>
      <w:bookmarkStart w:id="210" w:name="_Toc57905906"/>
      <w:r>
        <w:rPr>
          <w:rFonts w:hint="eastAsia" w:ascii="宋体" w:hAnsi="宋体" w:eastAsia="宋体" w:cs="宋体"/>
          <w:color w:val="auto"/>
          <w:kern w:val="2"/>
          <w:sz w:val="36"/>
          <w:szCs w:val="36"/>
          <w:highlight w:val="none"/>
          <w:lang w:val="en-US" w:eastAsia="zh-CN" w:bidi="ar-SA"/>
        </w:rPr>
        <w:t>合同条款及格式</w:t>
      </w:r>
      <w:bookmarkEnd w:id="205"/>
      <w:bookmarkEnd w:id="206"/>
      <w:bookmarkEnd w:id="207"/>
      <w:bookmarkEnd w:id="208"/>
      <w:bookmarkEnd w:id="209"/>
      <w:bookmarkEnd w:id="210"/>
    </w:p>
    <w:p w14:paraId="60638981">
      <w:pPr>
        <w:pStyle w:val="3"/>
        <w:bidi w:val="0"/>
        <w:rPr>
          <w:color w:val="auto"/>
        </w:rPr>
        <w:sectPr>
          <w:headerReference r:id="rId8" w:type="default"/>
          <w:footerReference r:id="rId9" w:type="default"/>
          <w:pgSz w:w="11906" w:h="16838"/>
          <w:pgMar w:top="1304" w:right="1134" w:bottom="1304" w:left="1304" w:header="851" w:footer="992" w:gutter="0"/>
          <w:pgBorders>
            <w:top w:val="none" w:sz="0" w:space="0"/>
            <w:left w:val="none" w:sz="0" w:space="0"/>
            <w:bottom w:val="none" w:sz="0" w:space="0"/>
            <w:right w:val="none" w:sz="0" w:space="0"/>
          </w:pgBorders>
          <w:cols w:space="720" w:num="1"/>
          <w:docGrid w:type="lines" w:linePitch="312" w:charSpace="0"/>
        </w:sectPr>
      </w:pPr>
      <w:bookmarkStart w:id="211" w:name="招标文件05章工程量清单"/>
      <w:bookmarkEnd w:id="211"/>
      <w:bookmarkStart w:id="212" w:name="_Toc296503025"/>
      <w:bookmarkStart w:id="213" w:name="_Toc351203480"/>
      <w:bookmarkStart w:id="214" w:name="_Toc296890982"/>
    </w:p>
    <w:p w14:paraId="022E6E42">
      <w:pPr>
        <w:spacing w:line="360" w:lineRule="auto"/>
        <w:jc w:val="both"/>
        <w:rPr>
          <w:rFonts w:hint="eastAsia" w:ascii="宋体" w:hAnsi="宋体"/>
          <w:color w:val="auto"/>
          <w:sz w:val="48"/>
          <w:szCs w:val="48"/>
          <w:u w:val="none"/>
          <w:lang w:eastAsia="zh-CN"/>
        </w:rPr>
      </w:pPr>
    </w:p>
    <w:p w14:paraId="6D6F47F5">
      <w:pPr>
        <w:spacing w:line="360" w:lineRule="auto"/>
        <w:jc w:val="center"/>
        <w:rPr>
          <w:rFonts w:hint="eastAsia" w:ascii="宋体" w:hAnsi="宋体"/>
          <w:color w:val="auto"/>
          <w:sz w:val="48"/>
          <w:szCs w:val="48"/>
          <w:u w:val="none"/>
          <w:lang w:eastAsia="zh-CN"/>
        </w:rPr>
      </w:pPr>
    </w:p>
    <w:p w14:paraId="263D3C77">
      <w:pPr>
        <w:spacing w:line="360" w:lineRule="auto"/>
        <w:jc w:val="center"/>
        <w:rPr>
          <w:rFonts w:hint="eastAsia" w:ascii="宋体" w:hAnsi="宋体"/>
          <w:color w:val="auto"/>
          <w:sz w:val="48"/>
          <w:szCs w:val="48"/>
          <w:u w:val="none"/>
          <w:lang w:eastAsia="zh-CN"/>
        </w:rPr>
      </w:pPr>
    </w:p>
    <w:p w14:paraId="1401A46C">
      <w:pPr>
        <w:spacing w:line="360" w:lineRule="auto"/>
        <w:jc w:val="center"/>
        <w:rPr>
          <w:rFonts w:hint="default" w:ascii="宋体" w:hAnsi="宋体"/>
          <w:color w:val="auto"/>
          <w:sz w:val="44"/>
          <w:szCs w:val="44"/>
          <w:lang w:val="en-US"/>
        </w:rPr>
      </w:pPr>
      <w:r>
        <w:rPr>
          <w:rFonts w:hint="eastAsia" w:ascii="宋体" w:hAnsi="宋体"/>
          <w:color w:val="auto"/>
          <w:sz w:val="48"/>
          <w:szCs w:val="48"/>
          <w:u w:val="none"/>
          <w:lang w:val="en-US" w:eastAsia="zh-CN"/>
        </w:rPr>
        <w:t xml:space="preserve"> （项目名称）</w:t>
      </w:r>
    </w:p>
    <w:p w14:paraId="76EE6CB1">
      <w:pPr>
        <w:spacing w:line="360" w:lineRule="auto"/>
        <w:jc w:val="center"/>
        <w:rPr>
          <w:rFonts w:hint="eastAsia" w:ascii="宋体" w:hAnsi="宋体"/>
          <w:color w:val="auto"/>
          <w:sz w:val="44"/>
          <w:szCs w:val="44"/>
        </w:rPr>
      </w:pPr>
    </w:p>
    <w:p w14:paraId="1947B00D">
      <w:pPr>
        <w:spacing w:line="360" w:lineRule="auto"/>
        <w:jc w:val="center"/>
        <w:rPr>
          <w:rFonts w:hint="eastAsia" w:ascii="宋体" w:hAnsi="宋体"/>
          <w:color w:val="auto"/>
          <w:sz w:val="44"/>
          <w:szCs w:val="44"/>
        </w:rPr>
      </w:pPr>
    </w:p>
    <w:p w14:paraId="5C533D63">
      <w:pPr>
        <w:spacing w:line="360" w:lineRule="auto"/>
        <w:jc w:val="center"/>
        <w:rPr>
          <w:rFonts w:hint="eastAsia" w:ascii="宋体" w:hAnsi="宋体"/>
          <w:color w:val="auto"/>
          <w:sz w:val="44"/>
          <w:szCs w:val="44"/>
        </w:rPr>
      </w:pPr>
    </w:p>
    <w:p w14:paraId="4E005D0F">
      <w:pPr>
        <w:spacing w:line="360" w:lineRule="auto"/>
        <w:jc w:val="center"/>
        <w:rPr>
          <w:rFonts w:hint="eastAsia" w:ascii="宋体" w:hAnsi="宋体"/>
          <w:color w:val="auto"/>
          <w:sz w:val="44"/>
          <w:szCs w:val="44"/>
        </w:rPr>
      </w:pPr>
    </w:p>
    <w:p w14:paraId="0D90AB7B">
      <w:pPr>
        <w:spacing w:line="360" w:lineRule="auto"/>
        <w:jc w:val="both"/>
        <w:rPr>
          <w:rFonts w:hint="eastAsia" w:ascii="宋体" w:hAnsi="宋体"/>
          <w:color w:val="auto"/>
          <w:sz w:val="44"/>
          <w:szCs w:val="44"/>
        </w:rPr>
      </w:pPr>
    </w:p>
    <w:p w14:paraId="00ED1331">
      <w:pPr>
        <w:spacing w:line="360" w:lineRule="auto"/>
        <w:jc w:val="center"/>
        <w:rPr>
          <w:rFonts w:hint="eastAsia" w:ascii="宋体" w:hAnsi="宋体"/>
          <w:color w:val="auto"/>
          <w:sz w:val="44"/>
          <w:szCs w:val="44"/>
        </w:rPr>
      </w:pPr>
    </w:p>
    <w:p w14:paraId="6E5DC80F">
      <w:pPr>
        <w:pStyle w:val="240"/>
        <w:snapToGrid w:val="0"/>
        <w:spacing w:before="0" w:line="360" w:lineRule="auto"/>
        <w:jc w:val="center"/>
        <w:rPr>
          <w:rFonts w:hint="eastAsia" w:ascii="宋体" w:hAnsi="宋体"/>
          <w:b w:val="0"/>
          <w:bCs w:val="0"/>
          <w:color w:val="auto"/>
          <w:sz w:val="52"/>
          <w:szCs w:val="52"/>
          <w:lang w:val="en-US" w:eastAsia="zh-CN"/>
        </w:rPr>
      </w:pPr>
      <w:r>
        <w:rPr>
          <w:rFonts w:hint="eastAsia" w:ascii="宋体" w:hAnsi="宋体"/>
          <w:b w:val="0"/>
          <w:bCs w:val="0"/>
          <w:color w:val="auto"/>
          <w:sz w:val="52"/>
          <w:szCs w:val="52"/>
          <w:lang w:val="en-US" w:eastAsia="zh-CN"/>
        </w:rPr>
        <w:t>施工合同</w:t>
      </w:r>
    </w:p>
    <w:p w14:paraId="139DD947">
      <w:pPr>
        <w:rPr>
          <w:rFonts w:hint="eastAsia" w:ascii="宋体" w:hAnsi="宋体"/>
          <w:b w:val="0"/>
          <w:bCs w:val="0"/>
          <w:color w:val="auto"/>
          <w:sz w:val="52"/>
          <w:szCs w:val="52"/>
          <w:lang w:val="en-US" w:eastAsia="zh-CN"/>
        </w:rPr>
      </w:pPr>
    </w:p>
    <w:p w14:paraId="0C46E63F">
      <w:pPr>
        <w:ind w:firstLine="2240" w:firstLineChars="800"/>
        <w:jc w:val="both"/>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项目名称：</w:t>
      </w:r>
      <w:r>
        <w:rPr>
          <w:rFonts w:hint="eastAsia" w:ascii="宋体" w:hAnsi="宋体"/>
          <w:b w:val="0"/>
          <w:bCs w:val="0"/>
          <w:color w:val="auto"/>
          <w:sz w:val="28"/>
          <w:szCs w:val="28"/>
          <w:u w:val="single"/>
          <w:lang w:val="en-US" w:eastAsia="zh-CN"/>
        </w:rPr>
        <w:t xml:space="preserve">               </w:t>
      </w:r>
    </w:p>
    <w:p w14:paraId="1DC11209">
      <w:pPr>
        <w:ind w:firstLine="2240" w:firstLineChars="800"/>
        <w:jc w:val="both"/>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发 包 人：</w:t>
      </w:r>
      <w:r>
        <w:rPr>
          <w:rFonts w:hint="eastAsia" w:ascii="宋体" w:hAnsi="宋体"/>
          <w:b w:val="0"/>
          <w:bCs w:val="0"/>
          <w:color w:val="auto"/>
          <w:sz w:val="28"/>
          <w:szCs w:val="28"/>
          <w:u w:val="single"/>
          <w:lang w:val="en-US" w:eastAsia="zh-CN"/>
        </w:rPr>
        <w:t xml:space="preserve">  重庆新翔源鞋业有限责任公司  </w:t>
      </w:r>
    </w:p>
    <w:p w14:paraId="61585D8F">
      <w:pPr>
        <w:ind w:firstLine="2240" w:firstLineChars="800"/>
        <w:jc w:val="both"/>
        <w:rPr>
          <w:rFonts w:hint="default" w:ascii="宋体" w:hAnsi="宋体"/>
          <w:b w:val="0"/>
          <w:bCs w:val="0"/>
          <w:color w:val="auto"/>
          <w:sz w:val="28"/>
          <w:szCs w:val="28"/>
          <w:u w:val="single"/>
          <w:lang w:val="en-US" w:eastAsia="zh-CN"/>
        </w:rPr>
      </w:pPr>
      <w:r>
        <w:rPr>
          <w:rFonts w:hint="eastAsia" w:ascii="宋体" w:hAnsi="宋体"/>
          <w:b w:val="0"/>
          <w:bCs w:val="0"/>
          <w:color w:val="auto"/>
          <w:sz w:val="28"/>
          <w:szCs w:val="28"/>
          <w:lang w:val="en-US" w:eastAsia="zh-CN"/>
        </w:rPr>
        <w:t>承 包 人：</w:t>
      </w:r>
      <w:r>
        <w:rPr>
          <w:rFonts w:hint="eastAsia" w:ascii="宋体" w:hAnsi="宋体"/>
          <w:b w:val="0"/>
          <w:bCs w:val="0"/>
          <w:color w:val="auto"/>
          <w:sz w:val="28"/>
          <w:szCs w:val="28"/>
          <w:u w:val="single"/>
          <w:lang w:val="en-US" w:eastAsia="zh-CN"/>
        </w:rPr>
        <w:t xml:space="preserve">                              </w:t>
      </w:r>
    </w:p>
    <w:p w14:paraId="426384D0">
      <w:pPr>
        <w:rPr>
          <w:rFonts w:ascii="宋体" w:hAnsi="宋体"/>
          <w:b/>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3"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14:paraId="45046E79"/>
                        </w:txbxContent>
                      </wps:txbx>
                      <wps:bodyPr vert="horz" wrap="square" anchor="t" anchorCtr="0" upright="1"/>
                    </wps:wsp>
                  </a:graphicData>
                </a:graphic>
              </wp:anchor>
            </w:drawing>
          </mc:Choice>
          <mc:Fallback>
            <w:pict>
              <v:rect id="矩形 130" o:spid="_x0000_s1026" o:spt="1" style="position:absolute;left:0pt;margin-left:211.9pt;margin-top:686.4pt;height:54.6pt;width:63.6pt;z-index:251660288;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9ed32QAAAA0BAAAPAAAAAAAA&#10;AAEAIAAAACIAAABkcnMvZG93bnJldi54bWxQSwECFAAUAAAACACHTuJAlnbrvtgBAACsAwAADgAA&#10;AAAAAAABACAAAAAoAQAAZHJzL2Uyb0RvYy54bWxQSwUGAAAAAAYABgBZAQAAcgUAAAAA&#10;">
                <v:fill on="t" focussize="0,0"/>
                <v:stroke on="f"/>
                <v:imagedata o:title=""/>
                <o:lock v:ext="edit" aspectratio="f"/>
                <v:textbox>
                  <w:txbxContent>
                    <w:p w14:paraId="45046E79"/>
                  </w:txbxContent>
                </v:textbox>
              </v:rect>
            </w:pict>
          </mc:Fallback>
        </mc:AlternateContent>
      </w:r>
      <w:r>
        <w:rPr>
          <w:rFonts w:ascii="宋体" w:hAnsi="宋体"/>
          <w:color w:val="auto"/>
        </w:rPr>
        <w:br w:type="page"/>
      </w:r>
    </w:p>
    <w:p w14:paraId="45E844AF">
      <w:pPr>
        <w:pStyle w:val="5"/>
        <w:jc w:val="center"/>
        <w:rPr>
          <w:rFonts w:ascii="宋体" w:hAnsi="宋体"/>
          <w:b w:val="0"/>
          <w:color w:val="auto"/>
          <w:sz w:val="44"/>
          <w:szCs w:val="44"/>
        </w:rPr>
      </w:pPr>
      <w:bookmarkStart w:id="215" w:name="_Toc22340"/>
      <w:bookmarkStart w:id="216" w:name="_Toc19679"/>
      <w:bookmarkStart w:id="217" w:name="_Toc509218786"/>
      <w:bookmarkStart w:id="218" w:name="_Toc534185765"/>
      <w:bookmarkStart w:id="219" w:name="_Toc57820637"/>
      <w:bookmarkStart w:id="220" w:name="_Toc13969"/>
      <w:bookmarkStart w:id="221" w:name="_Toc351203494"/>
      <w:r>
        <w:rPr>
          <w:rFonts w:ascii="宋体" w:hAnsi="宋体"/>
          <w:color w:val="auto"/>
          <w:sz w:val="44"/>
          <w:szCs w:val="44"/>
        </w:rPr>
        <w:t>第一部分 合同协议书</w:t>
      </w:r>
      <w:bookmarkEnd w:id="215"/>
      <w:bookmarkEnd w:id="216"/>
      <w:bookmarkEnd w:id="217"/>
      <w:bookmarkEnd w:id="218"/>
      <w:bookmarkEnd w:id="219"/>
      <w:bookmarkEnd w:id="220"/>
    </w:p>
    <w:bookmarkEnd w:id="221"/>
    <w:p w14:paraId="187AEF25">
      <w:pPr>
        <w:snapToGrid w:val="0"/>
        <w:spacing w:line="600" w:lineRule="exact"/>
        <w:ind w:firstLine="480" w:firstLineChars="200"/>
        <w:rPr>
          <w:rFonts w:ascii="宋体" w:hAnsi="宋体"/>
          <w:color w:val="auto"/>
          <w:sz w:val="24"/>
        </w:rPr>
      </w:pPr>
    </w:p>
    <w:p w14:paraId="046C8083">
      <w:pPr>
        <w:snapToGrid w:val="0"/>
        <w:spacing w:line="360" w:lineRule="auto"/>
        <w:ind w:firstLine="562" w:firstLineChars="200"/>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w:t>
      </w:r>
      <w:r>
        <w:rPr>
          <w:rFonts w:hint="eastAsia" w:ascii="宋体" w:hAnsi="宋体"/>
          <w:color w:val="auto"/>
          <w:szCs w:val="21"/>
          <w:u w:val="single"/>
          <w:lang w:eastAsia="zh-CN"/>
        </w:rPr>
        <w:t>重庆新翔源鞋业有限责任公司</w:t>
      </w:r>
      <w:r>
        <w:rPr>
          <w:rFonts w:hint="eastAsia" w:ascii="宋体" w:hAnsi="宋体"/>
          <w:color w:val="auto"/>
          <w:szCs w:val="21"/>
          <w:u w:val="single"/>
        </w:rPr>
        <w:t xml:space="preserve">     </w:t>
      </w:r>
    </w:p>
    <w:p w14:paraId="1B4462A5">
      <w:pPr>
        <w:snapToGrid w:val="0"/>
        <w:spacing w:line="360" w:lineRule="auto"/>
        <w:ind w:firstLine="562" w:firstLineChars="200"/>
        <w:rPr>
          <w:rFonts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w:t>
      </w:r>
      <w:r>
        <w:rPr>
          <w:rFonts w:hint="eastAsia" w:ascii="宋体" w:hAnsi="宋体"/>
          <w:color w:val="auto"/>
          <w:szCs w:val="21"/>
          <w:u w:val="single"/>
          <w:lang w:val="en-US" w:eastAsia="zh-CN"/>
        </w:rPr>
        <w:t xml:space="preserve">                         </w:t>
      </w:r>
      <w:r>
        <w:rPr>
          <w:rFonts w:hint="eastAsia" w:ascii="宋体" w:hAnsi="宋体"/>
          <w:color w:val="auto"/>
          <w:szCs w:val="21"/>
          <w:u w:val="single"/>
        </w:rPr>
        <w:t></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9703BDA">
      <w:pPr>
        <w:spacing w:line="360" w:lineRule="auto"/>
        <w:ind w:firstLine="560" w:firstLineChars="200"/>
        <w:rPr>
          <w:rFonts w:ascii="宋体" w:hAnsi="宋体"/>
          <w:b/>
          <w:color w:val="auto"/>
          <w:szCs w:val="21"/>
          <w:u w:val="single"/>
        </w:rPr>
      </w:pPr>
      <w:r>
        <w:rPr>
          <w:rFonts w:hint="eastAsia" w:ascii="宋体" w:hAnsi="宋体"/>
          <w:color w:val="auto"/>
          <w:szCs w:val="21"/>
        </w:rPr>
        <w:t>根据《中华人民共和国民法典》、《中华人民共和国建筑法》及有关法律、法规规定，遵循平等、自愿、公平和诚实信用的原则，双方就</w:t>
      </w:r>
      <w:r>
        <w:rPr>
          <w:rFonts w:hint="eastAsia" w:ascii="宋体" w:hAnsi="宋体"/>
          <w:color w:val="auto"/>
          <w:szCs w:val="21"/>
          <w:u w:val="single"/>
        </w:rPr>
        <w:t></w:t>
      </w:r>
      <w:r>
        <w:rPr>
          <w:rFonts w:hint="eastAsia" w:ascii="宋体" w:hAnsi="宋体"/>
          <w:color w:val="auto"/>
          <w:szCs w:val="21"/>
          <w:u w:val="single"/>
          <w:lang w:val="en-US" w:eastAsia="zh-CN"/>
        </w:rPr>
        <w:t xml:space="preserve">  （项目名称） </w:t>
      </w:r>
      <w:r>
        <w:rPr>
          <w:rFonts w:hint="eastAsia" w:ascii="宋体" w:hAnsi="宋体"/>
          <w:color w:val="auto"/>
          <w:szCs w:val="21"/>
          <w:u w:val="single"/>
        </w:rPr>
        <w:t xml:space="preserve">    </w:t>
      </w:r>
      <w:r>
        <w:rPr>
          <w:rFonts w:hint="eastAsia" w:ascii="宋体" w:hAnsi="宋体"/>
          <w:color w:val="auto"/>
          <w:szCs w:val="21"/>
        </w:rPr>
        <w:t>工程施工及有关事项协商一致，共同达成如下协议：</w:t>
      </w:r>
    </w:p>
    <w:p w14:paraId="33379757">
      <w:pPr>
        <w:pStyle w:val="6"/>
        <w:keepNext/>
        <w:keepLines/>
        <w:spacing w:before="120" w:after="120" w:line="360" w:lineRule="auto"/>
        <w:ind w:firstLine="422" w:firstLineChars="200"/>
        <w:jc w:val="both"/>
        <w:rPr>
          <w:color w:val="auto"/>
          <w:kern w:val="2"/>
          <w:sz w:val="21"/>
          <w:szCs w:val="21"/>
        </w:rPr>
      </w:pPr>
      <w:bookmarkStart w:id="222" w:name="_Toc532375573"/>
      <w:bookmarkStart w:id="223" w:name="_Toc532377166"/>
      <w:bookmarkStart w:id="224" w:name="_Toc351203481"/>
      <w:r>
        <w:rPr>
          <w:rFonts w:hint="eastAsia"/>
          <w:color w:val="auto"/>
          <w:kern w:val="2"/>
          <w:sz w:val="21"/>
          <w:szCs w:val="21"/>
        </w:rPr>
        <w:t>一、工程概况</w:t>
      </w:r>
      <w:bookmarkEnd w:id="222"/>
      <w:bookmarkEnd w:id="223"/>
      <w:bookmarkEnd w:id="224"/>
    </w:p>
    <w:p w14:paraId="3158ABE0">
      <w:pPr>
        <w:snapToGrid w:val="0"/>
        <w:spacing w:line="360" w:lineRule="auto"/>
        <w:ind w:firstLine="560" w:firstLineChars="200"/>
        <w:rPr>
          <w:rFonts w:ascii="宋体" w:hAnsi="宋体"/>
          <w:color w:val="auto"/>
          <w:szCs w:val="21"/>
          <w:u w:val="single"/>
        </w:rPr>
      </w:pPr>
      <w:r>
        <w:rPr>
          <w:rFonts w:hint="eastAsia" w:ascii="宋体" w:hAnsi="宋体"/>
          <w:bCs/>
          <w:color w:val="auto"/>
          <w:szCs w:val="21"/>
        </w:rPr>
        <w:t>1.工程名称</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p>
    <w:p w14:paraId="4EAD3B09">
      <w:pPr>
        <w:snapToGrid w:val="0"/>
        <w:spacing w:line="360" w:lineRule="auto"/>
        <w:ind w:firstLine="560" w:firstLineChars="200"/>
        <w:rPr>
          <w:rFonts w:ascii="宋体" w:hAnsi="宋体"/>
          <w:bCs/>
          <w:color w:val="auto"/>
          <w:szCs w:val="21"/>
        </w:rPr>
      </w:pPr>
      <w:r>
        <w:rPr>
          <w:rFonts w:hint="eastAsia" w:ascii="宋体" w:hAnsi="宋体"/>
          <w:bCs/>
          <w:color w:val="auto"/>
          <w:szCs w:val="21"/>
        </w:rPr>
        <w:t>2.工程地点：</w:t>
      </w:r>
      <w:r>
        <w:rPr>
          <w:rFonts w:hint="eastAsia" w:ascii="宋体" w:hAnsi="宋体"/>
          <w:color w:val="auto"/>
          <w:szCs w:val="21"/>
          <w:u w:val="single"/>
        </w:rPr>
        <w:t xml:space="preserve">   </w:t>
      </w:r>
      <w:r>
        <w:rPr>
          <w:rFonts w:hint="eastAsia" w:ascii="宋体" w:hAnsi="宋体" w:cs="Times New Roman"/>
          <w:color w:val="auto"/>
          <w:szCs w:val="21"/>
          <w:u w:val="single"/>
          <w:lang w:val="en-US" w:eastAsia="zh-CN"/>
        </w:rPr>
        <w:t>永川区昌州大道西段1111号</w:t>
      </w:r>
      <w:r>
        <w:rPr>
          <w:rFonts w:hint="eastAsia" w:ascii="宋体" w:hAnsi="宋体" w:cs="Times New Roman"/>
          <w:color w:val="auto"/>
          <w:szCs w:val="21"/>
          <w:u w:val="single"/>
          <w:lang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p>
    <w:p w14:paraId="4076653C">
      <w:pPr>
        <w:snapToGrid w:val="0"/>
        <w:spacing w:line="360" w:lineRule="auto"/>
        <w:ind w:firstLine="560" w:firstLineChars="200"/>
        <w:rPr>
          <w:rFonts w:ascii="宋体" w:hAnsi="宋体"/>
          <w:bCs/>
          <w:color w:val="auto"/>
          <w:szCs w:val="21"/>
        </w:rPr>
      </w:pPr>
      <w:r>
        <w:rPr>
          <w:rFonts w:hint="eastAsia" w:ascii="宋体" w:hAnsi="宋体"/>
          <w:bCs/>
          <w:color w:val="auto"/>
          <w:szCs w:val="21"/>
        </w:rPr>
        <w:t>3.工程立项批准文号：</w:t>
      </w:r>
      <w:r>
        <w:rPr>
          <w:rFonts w:hint="eastAsia" w:ascii="宋体" w:hAnsi="宋体"/>
          <w:color w:val="auto"/>
          <w:szCs w:val="21"/>
          <w:u w:val="single"/>
        </w:rPr>
        <w:t xml:space="preserve"> </w:t>
      </w:r>
      <w:r>
        <w:rPr>
          <w:rFonts w:hint="eastAsia" w:ascii="宋体" w:hAnsi="宋体" w:cs="Times New Roman"/>
          <w:color w:val="auto"/>
          <w:szCs w:val="21"/>
          <w:u w:val="single"/>
          <w:lang w:eastAsia="zh-CN"/>
        </w:rPr>
        <w:t xml:space="preserve"> </w:t>
      </w:r>
      <w:r>
        <w:rPr>
          <w:rFonts w:hint="eastAsia" w:ascii="宋体" w:hAnsi="宋体" w:cs="Times New Roman"/>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bCs/>
          <w:color w:val="auto"/>
          <w:szCs w:val="21"/>
        </w:rPr>
        <w:t>。</w:t>
      </w:r>
    </w:p>
    <w:p w14:paraId="2E2DDE30">
      <w:pPr>
        <w:snapToGrid w:val="0"/>
        <w:spacing w:line="360" w:lineRule="auto"/>
        <w:ind w:firstLine="560" w:firstLineChars="200"/>
        <w:rPr>
          <w:rFonts w:ascii="宋体" w:hAnsi="宋体"/>
          <w:bCs/>
          <w:color w:val="auto"/>
          <w:szCs w:val="21"/>
        </w:rPr>
      </w:pPr>
      <w:r>
        <w:rPr>
          <w:rFonts w:hint="eastAsia" w:ascii="宋体" w:hAnsi="宋体"/>
          <w:bCs/>
          <w:color w:val="auto"/>
          <w:szCs w:val="21"/>
        </w:rPr>
        <w:t>4.资金来源：</w:t>
      </w:r>
      <w:r>
        <w:rPr>
          <w:rFonts w:hint="eastAsia" w:ascii="宋体" w:hAnsi="宋体"/>
          <w:color w:val="auto"/>
          <w:szCs w:val="21"/>
          <w:u w:val="single"/>
        </w:rPr>
        <w:t xml:space="preserve">    </w:t>
      </w:r>
      <w:r>
        <w:rPr>
          <w:rFonts w:hint="eastAsia" w:ascii="宋体" w:hAnsi="宋体"/>
          <w:color w:val="auto"/>
          <w:szCs w:val="21"/>
          <w:u w:val="single"/>
          <w:lang w:val="en-US" w:eastAsia="zh-CN"/>
        </w:rPr>
        <w:t>单位</w:t>
      </w:r>
      <w:r>
        <w:rPr>
          <w:rFonts w:hint="eastAsia" w:ascii="宋体" w:hAnsi="宋体"/>
          <w:color w:val="auto"/>
          <w:szCs w:val="21"/>
          <w:u w:val="single"/>
          <w:lang w:eastAsia="zh-CN"/>
        </w:rPr>
        <w:t>自筹</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               </w:t>
      </w:r>
      <w:r>
        <w:rPr>
          <w:rFonts w:hint="eastAsia" w:ascii="宋体" w:hAnsi="宋体"/>
          <w:color w:val="auto"/>
          <w:szCs w:val="21"/>
        </w:rPr>
        <w:t>。</w:t>
      </w:r>
    </w:p>
    <w:p w14:paraId="0D8FC94E">
      <w:pPr>
        <w:snapToGrid w:val="0"/>
        <w:spacing w:line="360" w:lineRule="auto"/>
        <w:ind w:firstLine="560" w:firstLineChars="200"/>
        <w:rPr>
          <w:rFonts w:ascii="宋体" w:hAnsi="宋体"/>
          <w:bCs/>
          <w:color w:val="auto"/>
          <w:szCs w:val="21"/>
        </w:rPr>
      </w:pPr>
      <w:r>
        <w:rPr>
          <w:rFonts w:hint="eastAsia" w:ascii="宋体" w:hAnsi="宋体"/>
          <w:bCs/>
          <w:color w:val="auto"/>
          <w:szCs w:val="21"/>
        </w:rPr>
        <w:t>5.工程内容：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p>
    <w:p w14:paraId="4FBE74F5">
      <w:pPr>
        <w:snapToGrid w:val="0"/>
        <w:spacing w:line="360" w:lineRule="auto"/>
        <w:ind w:firstLine="560" w:firstLineChars="200"/>
        <w:jc w:val="left"/>
        <w:rPr>
          <w:rFonts w:ascii="宋体" w:hAnsi="宋体"/>
          <w:bCs/>
          <w:color w:val="auto"/>
          <w:szCs w:val="21"/>
        </w:rPr>
      </w:pPr>
      <w:r>
        <w:rPr>
          <w:rFonts w:hint="eastAsia" w:ascii="宋体" w:hAnsi="宋体"/>
          <w:bCs/>
          <w:color w:val="auto"/>
          <w:szCs w:val="21"/>
        </w:rPr>
        <w:t>6.工程承包范围：</w:t>
      </w:r>
      <w:r>
        <w:rPr>
          <w:rFonts w:hint="eastAsia" w:ascii="宋体" w:hAnsi="宋体"/>
          <w:color w:val="auto"/>
          <w:szCs w:val="21"/>
          <w:u w:val="single"/>
          <w:lang w:val="en-US" w:eastAsia="zh-CN"/>
        </w:rPr>
        <w:t xml:space="preserve"> </w:t>
      </w:r>
      <w:r>
        <w:rPr>
          <w:rFonts w:hint="eastAsia" w:ascii="宋体" w:hAnsi="宋体"/>
          <w:color w:val="auto"/>
          <w:szCs w:val="21"/>
          <w:u w:val="single"/>
          <w:lang w:eastAsia="zh-CN"/>
        </w:rPr>
        <w:t>详见施工图、招标文件、招标清单等</w:t>
      </w:r>
      <w:r>
        <w:rPr>
          <w:rFonts w:hint="eastAsia" w:ascii="宋体" w:hAnsi="宋体"/>
          <w:color w:val="auto"/>
          <w:szCs w:val="21"/>
          <w:u w:val="single"/>
        </w:rPr>
        <w:t xml:space="preserve">  </w:t>
      </w:r>
      <w:r>
        <w:rPr>
          <w:rFonts w:hint="eastAsia" w:ascii="宋体" w:hAnsi="宋体"/>
          <w:color w:val="auto"/>
          <w:szCs w:val="21"/>
        </w:rPr>
        <w:t>。</w:t>
      </w:r>
    </w:p>
    <w:p w14:paraId="4FDE7AB0">
      <w:pPr>
        <w:pStyle w:val="6"/>
        <w:keepNext/>
        <w:keepLines/>
        <w:spacing w:before="120" w:after="120" w:line="360" w:lineRule="auto"/>
        <w:ind w:firstLine="422" w:firstLineChars="200"/>
        <w:jc w:val="both"/>
        <w:rPr>
          <w:color w:val="auto"/>
          <w:kern w:val="2"/>
          <w:sz w:val="21"/>
          <w:szCs w:val="21"/>
        </w:rPr>
      </w:pPr>
      <w:bookmarkStart w:id="225" w:name="_Toc532375574"/>
      <w:bookmarkStart w:id="226" w:name="_Toc532377167"/>
      <w:bookmarkStart w:id="227" w:name="_Toc351203482"/>
      <w:r>
        <w:rPr>
          <w:rFonts w:hint="eastAsia"/>
          <w:color w:val="auto"/>
          <w:kern w:val="2"/>
          <w:sz w:val="21"/>
          <w:szCs w:val="21"/>
        </w:rPr>
        <w:t>二、合同工期</w:t>
      </w:r>
      <w:bookmarkEnd w:id="225"/>
      <w:bookmarkEnd w:id="226"/>
      <w:bookmarkEnd w:id="227"/>
    </w:p>
    <w:p w14:paraId="713054DD">
      <w:pPr>
        <w:spacing w:line="360" w:lineRule="auto"/>
        <w:ind w:firstLine="560" w:firstLineChars="200"/>
        <w:rPr>
          <w:rFonts w:ascii="宋体" w:hAnsi="宋体"/>
          <w:bCs/>
          <w:color w:val="auto"/>
          <w:szCs w:val="21"/>
        </w:rPr>
      </w:pPr>
      <w:r>
        <w:rPr>
          <w:rFonts w:hint="eastAsia" w:ascii="宋体" w:hAnsi="宋体"/>
          <w:bCs/>
          <w:color w:val="auto"/>
          <w:szCs w:val="21"/>
        </w:rPr>
        <w:t>承包人</w:t>
      </w:r>
      <w:r>
        <w:rPr>
          <w:rFonts w:hint="eastAsia" w:ascii="宋体" w:hAnsi="宋体"/>
          <w:bCs/>
          <w:color w:val="auto"/>
          <w:szCs w:val="21"/>
          <w:lang w:eastAsia="zh-CN"/>
        </w:rPr>
        <w:t>报价函</w:t>
      </w:r>
      <w:r>
        <w:rPr>
          <w:rFonts w:hint="eastAsia" w:ascii="宋体" w:hAnsi="宋体"/>
          <w:bCs/>
          <w:color w:val="auto"/>
          <w:szCs w:val="21"/>
        </w:rPr>
        <w:t>中承诺的工期：</w:t>
      </w:r>
      <w:r>
        <w:rPr>
          <w:rFonts w:hint="eastAsia" w:ascii="宋体" w:hAnsi="宋体"/>
          <w:bCs/>
          <w:color w:val="auto"/>
          <w:szCs w:val="21"/>
          <w:u w:val="single"/>
          <w:lang w:val="en-US" w:eastAsia="zh-CN"/>
        </w:rPr>
        <w:t>60</w:t>
      </w:r>
      <w:r>
        <w:rPr>
          <w:rFonts w:hint="eastAsia" w:ascii="宋体" w:hAnsi="宋体"/>
          <w:bCs/>
          <w:color w:val="auto"/>
          <w:szCs w:val="21"/>
          <w:u w:val="single"/>
        </w:rPr>
        <w:t>日历天</w:t>
      </w:r>
      <w:r>
        <w:rPr>
          <w:rFonts w:hint="eastAsia" w:ascii="宋体" w:hAnsi="宋体"/>
          <w:bCs/>
          <w:color w:val="auto"/>
          <w:szCs w:val="21"/>
        </w:rPr>
        <w:t>。</w:t>
      </w:r>
    </w:p>
    <w:p w14:paraId="2582500E">
      <w:pPr>
        <w:spacing w:line="360" w:lineRule="auto"/>
        <w:ind w:firstLine="560" w:firstLineChars="200"/>
        <w:rPr>
          <w:rFonts w:ascii="宋体" w:hAnsi="宋体"/>
          <w:bCs/>
          <w:color w:val="auto"/>
          <w:szCs w:val="21"/>
        </w:rPr>
      </w:pPr>
      <w:r>
        <w:rPr>
          <w:rFonts w:hint="eastAsia" w:ascii="宋体" w:hAnsi="宋体"/>
          <w:bCs/>
          <w:color w:val="auto"/>
          <w:szCs w:val="21"/>
        </w:rPr>
        <w:t>计划开工日期：</w:t>
      </w:r>
      <w:r>
        <w:rPr>
          <w:rFonts w:hint="eastAsia" w:ascii="宋体" w:hAnsi="宋体"/>
          <w:bCs/>
          <w:color w:val="auto"/>
          <w:szCs w:val="21"/>
          <w:u w:val="single"/>
        </w:rPr>
        <w:t></w:t>
      </w:r>
      <w:r>
        <w:rPr>
          <w:rFonts w:hint="eastAsia" w:ascii="宋体" w:hAnsi="宋体"/>
          <w:bCs/>
          <w:color w:val="auto"/>
          <w:szCs w:val="21"/>
          <w:u w:val="single"/>
          <w:lang w:val="en-US" w:eastAsia="zh-CN"/>
        </w:rPr>
        <w:t>2025</w:t>
      </w:r>
      <w:r>
        <w:rPr>
          <w:rFonts w:hint="eastAsia" w:ascii="宋体" w:hAnsi="宋体"/>
          <w:bCs/>
          <w:color w:val="auto"/>
          <w:szCs w:val="21"/>
          <w:u w:val="single"/>
        </w:rPr>
        <w:t></w:t>
      </w:r>
      <w:r>
        <w:rPr>
          <w:rFonts w:hint="eastAsia" w:ascii="宋体" w:hAnsi="宋体"/>
          <w:bCs/>
          <w:color w:val="auto"/>
          <w:szCs w:val="21"/>
        </w:rPr>
        <w:t>年</w:t>
      </w:r>
      <w:r>
        <w:rPr>
          <w:rFonts w:hint="eastAsia" w:ascii="宋体" w:hAnsi="宋体"/>
          <w:bCs/>
          <w:color w:val="auto"/>
          <w:szCs w:val="21"/>
          <w:u w:val="single"/>
        </w:rPr>
        <w:t></w:t>
      </w:r>
      <w:r>
        <w:rPr>
          <w:rFonts w:hint="eastAsia" w:ascii="宋体" w:hAnsi="宋体"/>
          <w:bCs/>
          <w:color w:val="auto"/>
          <w:szCs w:val="21"/>
          <w:u w:val="single"/>
          <w:lang w:val="en-US" w:eastAsia="zh-CN"/>
        </w:rPr>
        <w:t xml:space="preserve"> </w:t>
      </w:r>
      <w:r>
        <w:rPr>
          <w:rFonts w:hint="eastAsia" w:ascii="宋体" w:hAnsi="宋体"/>
          <w:bCs/>
          <w:color w:val="auto"/>
          <w:szCs w:val="21"/>
          <w:u w:val="single"/>
        </w:rPr>
        <w:t></w:t>
      </w:r>
      <w:r>
        <w:rPr>
          <w:rFonts w:hint="eastAsia" w:ascii="宋体" w:hAnsi="宋体"/>
          <w:bCs/>
          <w:color w:val="auto"/>
          <w:szCs w:val="21"/>
        </w:rPr>
        <w:t>月</w:t>
      </w:r>
      <w:r>
        <w:rPr>
          <w:rFonts w:hint="eastAsia" w:ascii="宋体" w:hAnsi="宋体"/>
          <w:bCs/>
          <w:color w:val="auto"/>
          <w:szCs w:val="21"/>
          <w:u w:val="single"/>
        </w:rPr>
        <w:t></w:t>
      </w:r>
      <w:r>
        <w:rPr>
          <w:rFonts w:hint="eastAsia" w:ascii="宋体" w:hAnsi="宋体"/>
          <w:bCs/>
          <w:color w:val="auto"/>
          <w:szCs w:val="21"/>
          <w:u w:val="single"/>
          <w:lang w:val="en-US" w:eastAsia="zh-CN"/>
        </w:rPr>
        <w:t xml:space="preserve"> </w:t>
      </w:r>
      <w:r>
        <w:rPr>
          <w:rFonts w:hint="eastAsia" w:ascii="宋体" w:hAnsi="宋体"/>
          <w:bCs/>
          <w:color w:val="auto"/>
          <w:szCs w:val="21"/>
          <w:u w:val="single"/>
        </w:rPr>
        <w:t></w:t>
      </w:r>
      <w:r>
        <w:rPr>
          <w:rFonts w:hint="eastAsia" w:ascii="宋体" w:hAnsi="宋体"/>
          <w:bCs/>
          <w:color w:val="auto"/>
          <w:szCs w:val="21"/>
        </w:rPr>
        <w:t>日，实际开工日期以监理工程师签发的工程开工通知明确的开工日期为准。</w:t>
      </w:r>
    </w:p>
    <w:p w14:paraId="480F8A32">
      <w:pPr>
        <w:spacing w:line="360" w:lineRule="auto"/>
        <w:ind w:firstLine="560" w:firstLineChars="200"/>
        <w:rPr>
          <w:rFonts w:ascii="宋体" w:hAnsi="宋体"/>
          <w:bCs/>
          <w:color w:val="auto"/>
          <w:szCs w:val="21"/>
        </w:rPr>
      </w:pPr>
      <w:r>
        <w:rPr>
          <w:rFonts w:hint="eastAsia" w:ascii="宋体" w:hAnsi="宋体"/>
          <w:bCs/>
          <w:color w:val="auto"/>
          <w:szCs w:val="21"/>
        </w:rPr>
        <w:t>计划竣工日期：</w:t>
      </w:r>
      <w:r>
        <w:rPr>
          <w:rFonts w:hint="eastAsia" w:ascii="宋体" w:hAnsi="宋体"/>
          <w:bCs/>
          <w:color w:val="auto"/>
          <w:szCs w:val="21"/>
          <w:u w:val="single"/>
        </w:rPr>
        <w:t></w:t>
      </w:r>
      <w:r>
        <w:rPr>
          <w:rFonts w:hint="eastAsia" w:ascii="宋体" w:hAnsi="宋体"/>
          <w:bCs/>
          <w:color w:val="auto"/>
          <w:szCs w:val="21"/>
          <w:u w:val="single"/>
          <w:lang w:val="en-US" w:eastAsia="zh-CN"/>
        </w:rPr>
        <w:t>2025</w:t>
      </w:r>
      <w:r>
        <w:rPr>
          <w:rFonts w:hint="eastAsia" w:ascii="宋体" w:hAnsi="宋体"/>
          <w:bCs/>
          <w:color w:val="auto"/>
          <w:szCs w:val="21"/>
          <w:u w:val="single"/>
        </w:rPr>
        <w:t></w:t>
      </w:r>
      <w:r>
        <w:rPr>
          <w:rFonts w:hint="eastAsia" w:ascii="宋体" w:hAnsi="宋体"/>
          <w:bCs/>
          <w:color w:val="auto"/>
          <w:szCs w:val="21"/>
        </w:rPr>
        <w:t>年</w:t>
      </w:r>
      <w:r>
        <w:rPr>
          <w:rFonts w:hint="eastAsia" w:ascii="宋体" w:hAnsi="宋体"/>
          <w:bCs/>
          <w:color w:val="auto"/>
          <w:szCs w:val="21"/>
          <w:u w:val="single"/>
        </w:rPr>
        <w:t></w:t>
      </w:r>
      <w:r>
        <w:rPr>
          <w:rFonts w:hint="eastAsia" w:ascii="宋体" w:hAnsi="宋体"/>
          <w:bCs/>
          <w:color w:val="auto"/>
          <w:szCs w:val="21"/>
          <w:u w:val="single"/>
          <w:lang w:val="en-US" w:eastAsia="zh-CN"/>
        </w:rPr>
        <w:t xml:space="preserve"> </w:t>
      </w:r>
      <w:r>
        <w:rPr>
          <w:rFonts w:hint="eastAsia" w:ascii="宋体" w:hAnsi="宋体"/>
          <w:bCs/>
          <w:color w:val="auto"/>
          <w:szCs w:val="21"/>
          <w:u w:val="single"/>
        </w:rPr>
        <w:t></w:t>
      </w:r>
      <w:r>
        <w:rPr>
          <w:rFonts w:hint="eastAsia" w:ascii="宋体" w:hAnsi="宋体"/>
          <w:bCs/>
          <w:color w:val="auto"/>
          <w:szCs w:val="21"/>
        </w:rPr>
        <w:t>月</w:t>
      </w:r>
      <w:r>
        <w:rPr>
          <w:rFonts w:hint="eastAsia" w:ascii="宋体" w:hAnsi="宋体"/>
          <w:bCs/>
          <w:color w:val="auto"/>
          <w:szCs w:val="21"/>
          <w:u w:val="single"/>
        </w:rPr>
        <w:t></w:t>
      </w:r>
      <w:r>
        <w:rPr>
          <w:rFonts w:hint="eastAsia" w:ascii="宋体" w:hAnsi="宋体"/>
          <w:bCs/>
          <w:color w:val="auto"/>
          <w:szCs w:val="21"/>
          <w:u w:val="single"/>
          <w:lang w:val="en-US" w:eastAsia="zh-CN"/>
        </w:rPr>
        <w:t xml:space="preserve"> </w:t>
      </w:r>
      <w:r>
        <w:rPr>
          <w:rFonts w:hint="eastAsia" w:ascii="宋体" w:hAnsi="宋体"/>
          <w:bCs/>
          <w:color w:val="auto"/>
          <w:szCs w:val="21"/>
          <w:u w:val="single"/>
        </w:rPr>
        <w:t></w:t>
      </w:r>
      <w:r>
        <w:rPr>
          <w:rFonts w:hint="eastAsia" w:ascii="宋体" w:hAnsi="宋体"/>
          <w:bCs/>
          <w:color w:val="auto"/>
          <w:szCs w:val="21"/>
        </w:rPr>
        <w:t>日，实际竣工日期以工程竣工验收合格之日为准。</w:t>
      </w:r>
    </w:p>
    <w:p w14:paraId="14CE14BC">
      <w:pPr>
        <w:spacing w:line="360" w:lineRule="auto"/>
        <w:ind w:firstLine="560" w:firstLineChars="200"/>
        <w:rPr>
          <w:rFonts w:ascii="宋体" w:hAnsi="宋体"/>
          <w:color w:val="auto"/>
          <w:szCs w:val="21"/>
        </w:rPr>
      </w:pPr>
      <w:r>
        <w:rPr>
          <w:rFonts w:hint="eastAsia" w:ascii="宋体" w:hAnsi="宋体"/>
          <w:bCs/>
          <w:color w:val="auto"/>
          <w:szCs w:val="21"/>
        </w:rPr>
        <w:t>工期总日历天数</w:t>
      </w:r>
      <w:r>
        <w:rPr>
          <w:rFonts w:hint="eastAsia" w:ascii="宋体" w:hAnsi="宋体"/>
          <w:bCs/>
          <w:color w:val="auto"/>
          <w:szCs w:val="21"/>
          <w:u w:val="single"/>
        </w:rPr>
        <w:t></w:t>
      </w:r>
      <w:r>
        <w:rPr>
          <w:rFonts w:hint="eastAsia" w:ascii="宋体" w:hAnsi="宋体"/>
          <w:bCs/>
          <w:color w:val="auto"/>
          <w:szCs w:val="21"/>
          <w:u w:val="single"/>
          <w:lang w:val="en-US" w:eastAsia="zh-CN"/>
        </w:rPr>
        <w:t>60</w:t>
      </w:r>
      <w:r>
        <w:rPr>
          <w:rFonts w:hint="eastAsia" w:ascii="宋体" w:hAnsi="宋体"/>
          <w:bCs/>
          <w:color w:val="auto"/>
          <w:szCs w:val="21"/>
        </w:rPr>
        <w:t>天。工期总日历天数与根据前述计划开竣工日期计算的工期天数不一</w:t>
      </w:r>
      <w:r>
        <w:rPr>
          <w:rFonts w:hint="eastAsia" w:ascii="宋体" w:hAnsi="宋体"/>
          <w:color w:val="auto"/>
          <w:szCs w:val="21"/>
        </w:rPr>
        <w:t>致的，以工期总日历天数为准。</w:t>
      </w:r>
    </w:p>
    <w:p w14:paraId="2E670E11">
      <w:pPr>
        <w:pStyle w:val="6"/>
        <w:keepNext/>
        <w:keepLines/>
        <w:spacing w:before="120" w:after="120" w:line="360" w:lineRule="auto"/>
        <w:ind w:firstLine="422" w:firstLineChars="200"/>
        <w:jc w:val="both"/>
        <w:rPr>
          <w:color w:val="auto"/>
          <w:kern w:val="2"/>
          <w:sz w:val="21"/>
          <w:szCs w:val="21"/>
        </w:rPr>
      </w:pPr>
      <w:bookmarkStart w:id="228" w:name="_Toc351203483"/>
      <w:bookmarkStart w:id="229" w:name="_Toc532375575"/>
      <w:bookmarkStart w:id="230" w:name="_Toc532377168"/>
      <w:r>
        <w:rPr>
          <w:rFonts w:hint="eastAsia"/>
          <w:color w:val="auto"/>
          <w:kern w:val="2"/>
          <w:sz w:val="21"/>
          <w:szCs w:val="21"/>
        </w:rPr>
        <w:t>三、质量标准</w:t>
      </w:r>
      <w:bookmarkEnd w:id="228"/>
      <w:bookmarkEnd w:id="229"/>
      <w:bookmarkEnd w:id="230"/>
    </w:p>
    <w:p w14:paraId="11588025">
      <w:pPr>
        <w:snapToGrid w:val="0"/>
        <w:spacing w:line="360" w:lineRule="auto"/>
        <w:ind w:firstLine="560" w:firstLineChars="200"/>
        <w:rPr>
          <w:rFonts w:ascii="宋体" w:hAnsi="宋体"/>
          <w:color w:val="auto"/>
          <w:szCs w:val="21"/>
        </w:rPr>
      </w:pPr>
      <w:r>
        <w:rPr>
          <w:rFonts w:hint="eastAsia" w:ascii="宋体" w:hAnsi="宋体"/>
          <w:color w:val="auto"/>
          <w:szCs w:val="21"/>
        </w:rPr>
        <w:t>工程质量符合强制性质量标准，</w:t>
      </w:r>
      <w:r>
        <w:rPr>
          <w:rFonts w:hint="eastAsia" w:ascii="宋体" w:hAnsi="宋体"/>
          <w:color w:val="auto"/>
          <w:szCs w:val="21"/>
          <w:u w:val="single"/>
        </w:rPr>
        <w:t>符合国家</w:t>
      </w:r>
      <w:r>
        <w:rPr>
          <w:rFonts w:ascii="宋体" w:hAnsi="宋体"/>
          <w:color w:val="auto"/>
          <w:szCs w:val="21"/>
          <w:u w:val="single"/>
        </w:rPr>
        <w:t>和重庆市现行</w:t>
      </w:r>
      <w:r>
        <w:rPr>
          <w:rFonts w:hint="eastAsia" w:ascii="宋体" w:hAnsi="宋体"/>
          <w:color w:val="auto"/>
          <w:szCs w:val="21"/>
          <w:u w:val="single"/>
        </w:rPr>
        <w:t>有关施工质量验收规范要求，并达到合格</w:t>
      </w:r>
      <w:r>
        <w:rPr>
          <w:rFonts w:hint="eastAsia" w:ascii="宋体" w:hAnsi="宋体"/>
          <w:color w:val="auto"/>
          <w:szCs w:val="21"/>
        </w:rPr>
        <w:t>标准。</w:t>
      </w:r>
    </w:p>
    <w:p w14:paraId="0957B00A">
      <w:pPr>
        <w:pStyle w:val="6"/>
        <w:keepNext/>
        <w:keepLines/>
        <w:spacing w:before="120" w:after="120" w:line="360" w:lineRule="auto"/>
        <w:ind w:firstLine="422" w:firstLineChars="200"/>
        <w:jc w:val="both"/>
        <w:rPr>
          <w:color w:val="auto"/>
          <w:kern w:val="2"/>
          <w:sz w:val="21"/>
          <w:szCs w:val="21"/>
        </w:rPr>
      </w:pPr>
      <w:bookmarkStart w:id="231" w:name="_Toc532375576"/>
      <w:bookmarkStart w:id="232" w:name="_Toc532377169"/>
      <w:bookmarkStart w:id="233" w:name="_Toc351203484"/>
      <w:r>
        <w:rPr>
          <w:rFonts w:hint="eastAsia"/>
          <w:color w:val="auto"/>
          <w:kern w:val="2"/>
          <w:sz w:val="21"/>
          <w:szCs w:val="21"/>
        </w:rPr>
        <w:t>四、签约合同价与合同价格形式</w:t>
      </w:r>
      <w:bookmarkEnd w:id="231"/>
      <w:bookmarkEnd w:id="232"/>
      <w:bookmarkEnd w:id="233"/>
      <w:r>
        <w:rPr>
          <w:rFonts w:hint="eastAsia"/>
          <w:color w:val="auto"/>
          <w:kern w:val="2"/>
          <w:sz w:val="21"/>
          <w:szCs w:val="21"/>
        </w:rPr>
        <w:tab/>
      </w:r>
    </w:p>
    <w:p w14:paraId="6299A077">
      <w:pPr>
        <w:spacing w:line="360" w:lineRule="auto"/>
        <w:ind w:firstLine="560" w:firstLineChars="200"/>
        <w:rPr>
          <w:rFonts w:ascii="宋体" w:hAnsi="宋体"/>
          <w:color w:val="auto"/>
          <w:szCs w:val="21"/>
        </w:rPr>
      </w:pPr>
      <w:r>
        <w:rPr>
          <w:rFonts w:hint="eastAsia" w:ascii="宋体" w:hAnsi="宋体"/>
          <w:color w:val="auto"/>
          <w:szCs w:val="21"/>
        </w:rPr>
        <w:t>1.承包人</w:t>
      </w:r>
      <w:r>
        <w:rPr>
          <w:rFonts w:hint="eastAsia" w:ascii="宋体" w:hAnsi="宋体"/>
          <w:color w:val="auto"/>
          <w:szCs w:val="21"/>
          <w:lang w:eastAsia="zh-CN"/>
        </w:rPr>
        <w:t>报价函</w:t>
      </w:r>
      <w:r>
        <w:rPr>
          <w:rFonts w:hint="eastAsia" w:ascii="宋体" w:hAnsi="宋体"/>
          <w:color w:val="auto"/>
          <w:szCs w:val="21"/>
        </w:rPr>
        <w:t>中承诺的中标价为：</w:t>
      </w:r>
    </w:p>
    <w:p w14:paraId="644419A4">
      <w:pPr>
        <w:spacing w:line="360" w:lineRule="auto"/>
        <w:ind w:firstLine="560" w:firstLineChars="200"/>
        <w:rPr>
          <w:rFonts w:ascii="宋体" w:hAnsi="宋体"/>
          <w:color w:val="auto"/>
          <w:szCs w:val="21"/>
        </w:rPr>
      </w:pPr>
      <w:r>
        <w:rPr>
          <w:rFonts w:hint="eastAsia" w:ascii="宋体" w:hAnsi="宋体"/>
          <w:color w:val="auto"/>
          <w:szCs w:val="21"/>
        </w:rPr>
        <w:t>人民币（大写）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元）；</w:t>
      </w:r>
    </w:p>
    <w:p w14:paraId="6D89D059">
      <w:pPr>
        <w:spacing w:line="360" w:lineRule="auto"/>
        <w:ind w:firstLine="560" w:firstLineChars="200"/>
        <w:rPr>
          <w:rFonts w:ascii="宋体" w:hAnsi="宋体"/>
          <w:color w:val="auto"/>
          <w:szCs w:val="21"/>
        </w:rPr>
      </w:pPr>
      <w:r>
        <w:rPr>
          <w:rFonts w:hint="eastAsia" w:ascii="宋体" w:hAnsi="宋体"/>
          <w:color w:val="auto"/>
          <w:szCs w:val="21"/>
        </w:rPr>
        <w:t>2.签约合同价为：</w:t>
      </w:r>
    </w:p>
    <w:p w14:paraId="6BC91430">
      <w:pPr>
        <w:snapToGrid w:val="0"/>
        <w:spacing w:line="360" w:lineRule="auto"/>
        <w:ind w:firstLine="560" w:firstLineChars="200"/>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p>
    <w:p w14:paraId="765431F4">
      <w:pPr>
        <w:snapToGrid w:val="0"/>
        <w:spacing w:line="360" w:lineRule="auto"/>
        <w:ind w:firstLine="560" w:firstLineChars="200"/>
        <w:rPr>
          <w:rFonts w:ascii="宋体" w:hAnsi="宋体"/>
          <w:color w:val="auto"/>
          <w:szCs w:val="21"/>
        </w:rPr>
      </w:pPr>
      <w:r>
        <w:rPr>
          <w:rFonts w:hint="eastAsia" w:ascii="宋体" w:hAnsi="宋体"/>
          <w:color w:val="auto"/>
          <w:szCs w:val="21"/>
        </w:rPr>
        <w:t>其中：</w:t>
      </w:r>
    </w:p>
    <w:p w14:paraId="49A9501D">
      <w:pPr>
        <w:spacing w:line="360" w:lineRule="auto"/>
        <w:ind w:firstLine="560" w:firstLineChars="200"/>
        <w:rPr>
          <w:rFonts w:ascii="宋体" w:hAnsi="宋体"/>
          <w:color w:val="auto"/>
          <w:szCs w:val="21"/>
        </w:rPr>
      </w:pPr>
      <w:r>
        <w:rPr>
          <w:rFonts w:hint="eastAsia" w:ascii="宋体" w:hAnsi="宋体"/>
          <w:color w:val="auto"/>
          <w:szCs w:val="21"/>
        </w:rPr>
        <w:t>（1）安全文明施工费：</w:t>
      </w:r>
    </w:p>
    <w:p w14:paraId="5D4DAA95">
      <w:pPr>
        <w:spacing w:line="360" w:lineRule="auto"/>
        <w:ind w:firstLine="560" w:firstLineChars="200"/>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p>
    <w:p w14:paraId="5E043622">
      <w:pPr>
        <w:spacing w:line="360" w:lineRule="auto"/>
        <w:ind w:firstLine="560" w:firstLineChars="200"/>
        <w:rPr>
          <w:rFonts w:ascii="宋体" w:hAnsi="宋体"/>
          <w:color w:val="auto"/>
          <w:szCs w:val="21"/>
        </w:rPr>
      </w:pPr>
      <w:r>
        <w:rPr>
          <w:rFonts w:hint="eastAsia" w:ascii="宋体" w:hAnsi="宋体"/>
          <w:color w:val="auto"/>
          <w:szCs w:val="21"/>
        </w:rPr>
        <w:t>（2）材料和工程设备暂估价金额：</w:t>
      </w:r>
    </w:p>
    <w:p w14:paraId="79F9E6FF">
      <w:pPr>
        <w:spacing w:line="360" w:lineRule="auto"/>
        <w:ind w:firstLine="560" w:firstLineChars="200"/>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p>
    <w:p w14:paraId="69EDDAE9">
      <w:pPr>
        <w:spacing w:line="360" w:lineRule="auto"/>
        <w:ind w:firstLine="560" w:firstLineChars="200"/>
        <w:rPr>
          <w:rFonts w:ascii="宋体" w:hAnsi="宋体"/>
          <w:color w:val="auto"/>
          <w:szCs w:val="21"/>
        </w:rPr>
      </w:pPr>
      <w:r>
        <w:rPr>
          <w:rFonts w:hint="eastAsia" w:ascii="宋体" w:hAnsi="宋体"/>
          <w:color w:val="auto"/>
          <w:szCs w:val="21"/>
        </w:rPr>
        <w:t>（3）专业工程暂估价金额：</w:t>
      </w:r>
    </w:p>
    <w:p w14:paraId="78F4B515">
      <w:pPr>
        <w:spacing w:line="360" w:lineRule="auto"/>
        <w:ind w:firstLine="560" w:firstLineChars="200"/>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p>
    <w:p w14:paraId="019A6680">
      <w:pPr>
        <w:spacing w:line="360" w:lineRule="auto"/>
        <w:ind w:firstLine="560" w:firstLineChars="200"/>
        <w:rPr>
          <w:rFonts w:ascii="宋体" w:hAnsi="宋体"/>
          <w:color w:val="auto"/>
          <w:szCs w:val="21"/>
        </w:rPr>
      </w:pPr>
      <w:r>
        <w:rPr>
          <w:rFonts w:hint="eastAsia" w:ascii="宋体" w:hAnsi="宋体"/>
          <w:color w:val="auto"/>
          <w:szCs w:val="21"/>
        </w:rPr>
        <w:t>（4）暂列金额：</w:t>
      </w:r>
    </w:p>
    <w:p w14:paraId="000B6712">
      <w:pPr>
        <w:spacing w:line="360" w:lineRule="auto"/>
        <w:ind w:firstLine="560" w:firstLineChars="200"/>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p>
    <w:p w14:paraId="45C6D227">
      <w:pPr>
        <w:spacing w:line="360" w:lineRule="auto"/>
        <w:ind w:firstLine="560" w:firstLineChars="200"/>
        <w:rPr>
          <w:rFonts w:ascii="宋体" w:hAnsi="宋体"/>
          <w:color w:val="auto"/>
          <w:szCs w:val="21"/>
        </w:rPr>
      </w:pPr>
      <w:r>
        <w:rPr>
          <w:rFonts w:hint="eastAsia" w:ascii="宋体" w:hAnsi="宋体"/>
          <w:color w:val="auto"/>
          <w:szCs w:val="21"/>
        </w:rPr>
        <w:t>（5）人工费（工资款）</w:t>
      </w:r>
    </w:p>
    <w:p w14:paraId="2087A6BD">
      <w:pPr>
        <w:spacing w:line="360" w:lineRule="auto"/>
        <w:ind w:firstLine="560" w:firstLineChars="200"/>
        <w:rPr>
          <w:rFonts w:ascii="宋体" w:hAnsi="宋体"/>
          <w:color w:val="auto"/>
          <w:szCs w:val="21"/>
        </w:rPr>
      </w:pPr>
      <w:r>
        <w:rPr>
          <w:rFonts w:hint="eastAsia" w:ascii="宋体" w:hAnsi="宋体"/>
          <w:color w:val="auto"/>
          <w:szCs w:val="21"/>
        </w:rPr>
        <w:t>该项目实行人工费（工资款）与其他工程款分账管理，发包人将应付工程款中的人工费（工资款），以不低于已完成合同价款的</w:t>
      </w:r>
      <w:r>
        <w:rPr>
          <w:rFonts w:hint="eastAsia" w:ascii="宋体" w:hAnsi="宋体"/>
          <w:color w:val="auto"/>
          <w:szCs w:val="21"/>
          <w:u w:val="single"/>
        </w:rPr>
        <w:t xml:space="preserve"> </w:t>
      </w:r>
      <w:r>
        <w:rPr>
          <w:rFonts w:hint="eastAsia" w:ascii="宋体" w:hAnsi="宋体"/>
          <w:color w:val="auto"/>
          <w:szCs w:val="21"/>
          <w:u w:val="single"/>
          <w:lang w:val="en-US" w:eastAsia="zh-CN"/>
        </w:rPr>
        <w:t>30%</w:t>
      </w:r>
      <w:r>
        <w:rPr>
          <w:rFonts w:hint="eastAsia" w:ascii="宋体" w:hAnsi="宋体"/>
          <w:color w:val="auto"/>
          <w:szCs w:val="21"/>
          <w:u w:val="single"/>
        </w:rPr>
        <w:t xml:space="preserve"> </w:t>
      </w:r>
      <w:r>
        <w:rPr>
          <w:rFonts w:hint="eastAsia" w:ascii="宋体" w:hAnsi="宋体"/>
          <w:color w:val="auto"/>
          <w:szCs w:val="21"/>
        </w:rPr>
        <w:t>，农民工工资单独支付至承包人设立的农民工工资专用账户。</w:t>
      </w:r>
    </w:p>
    <w:p w14:paraId="7767B0FA">
      <w:pPr>
        <w:spacing w:line="360" w:lineRule="auto"/>
        <w:ind w:firstLine="560" w:firstLineChars="200"/>
        <w:rPr>
          <w:rFonts w:ascii="宋体" w:hAnsi="宋体"/>
          <w:color w:val="auto"/>
          <w:szCs w:val="21"/>
        </w:rPr>
      </w:pPr>
      <w:r>
        <w:rPr>
          <w:rFonts w:hint="eastAsia" w:ascii="宋体" w:hAnsi="宋体"/>
          <w:color w:val="auto"/>
          <w:szCs w:val="21"/>
        </w:rPr>
        <w:t>3.合同价格形式：</w:t>
      </w:r>
      <w:r>
        <w:rPr>
          <w:rFonts w:ascii="宋体" w:hAnsi="宋体"/>
          <w:color w:val="auto"/>
          <w:szCs w:val="21"/>
          <w:u w:val="single"/>
        </w:rPr>
        <w:t xml:space="preserve"> </w:t>
      </w:r>
      <w:r>
        <w:rPr>
          <w:rFonts w:hint="eastAsia" w:ascii="宋体" w:hAnsi="宋体"/>
          <w:color w:val="auto"/>
          <w:szCs w:val="21"/>
          <w:u w:val="single"/>
          <w:lang w:eastAsia="zh-CN"/>
        </w:rPr>
        <w:t>清单计价</w:t>
      </w:r>
      <w:r>
        <w:rPr>
          <w:rFonts w:ascii="宋体" w:hAnsi="宋体"/>
          <w:color w:val="auto"/>
          <w:szCs w:val="21"/>
          <w:u w:val="single"/>
        </w:rPr>
        <w:t xml:space="preserve"> </w:t>
      </w:r>
      <w:r>
        <w:rPr>
          <w:rFonts w:hint="eastAsia" w:ascii="宋体" w:hAnsi="宋体"/>
          <w:color w:val="auto"/>
          <w:szCs w:val="21"/>
        </w:rPr>
        <w:t>。</w:t>
      </w:r>
    </w:p>
    <w:p w14:paraId="4146DAE4">
      <w:pPr>
        <w:pStyle w:val="6"/>
        <w:keepNext/>
        <w:keepLines/>
        <w:spacing w:before="120" w:after="120" w:line="360" w:lineRule="auto"/>
        <w:ind w:firstLine="422" w:firstLineChars="200"/>
        <w:jc w:val="both"/>
        <w:rPr>
          <w:color w:val="auto"/>
          <w:kern w:val="2"/>
          <w:sz w:val="21"/>
          <w:szCs w:val="21"/>
        </w:rPr>
      </w:pPr>
      <w:bookmarkStart w:id="234" w:name="_Toc351203485"/>
      <w:bookmarkStart w:id="235" w:name="_Toc532375577"/>
      <w:bookmarkStart w:id="236" w:name="_Toc532377170"/>
      <w:r>
        <w:rPr>
          <w:rFonts w:hint="eastAsia"/>
          <w:color w:val="auto"/>
          <w:kern w:val="2"/>
          <w:sz w:val="21"/>
          <w:szCs w:val="21"/>
        </w:rPr>
        <w:t>五、</w:t>
      </w:r>
      <w:bookmarkEnd w:id="234"/>
      <w:r>
        <w:rPr>
          <w:rFonts w:hint="eastAsia"/>
          <w:color w:val="auto"/>
          <w:kern w:val="2"/>
          <w:sz w:val="21"/>
          <w:szCs w:val="21"/>
        </w:rPr>
        <w:t>项目经理及技术负责人</w:t>
      </w:r>
      <w:bookmarkEnd w:id="235"/>
      <w:bookmarkEnd w:id="236"/>
    </w:p>
    <w:p w14:paraId="54E8104F">
      <w:pPr>
        <w:spacing w:line="360" w:lineRule="auto"/>
        <w:ind w:firstLine="560" w:firstLineChars="200"/>
        <w:rPr>
          <w:rFonts w:ascii="宋体" w:hAnsi="宋体"/>
          <w:color w:val="auto"/>
          <w:szCs w:val="21"/>
        </w:rPr>
      </w:pPr>
      <w:r>
        <w:rPr>
          <w:rFonts w:hint="eastAsia" w:ascii="宋体" w:hAnsi="宋体"/>
          <w:color w:val="auto"/>
          <w:szCs w:val="21"/>
        </w:rPr>
        <w:t>承包人投标文件中承诺的项目经理：</w:t>
      </w:r>
    </w:p>
    <w:p w14:paraId="3485B626">
      <w:pPr>
        <w:spacing w:line="360" w:lineRule="auto"/>
        <w:ind w:firstLine="560" w:firstLineChars="200"/>
        <w:rPr>
          <w:rFonts w:ascii="宋体" w:hAnsi="宋体"/>
          <w:color w:val="auto"/>
          <w:szCs w:val="21"/>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s="Times New Roman"/>
          <w:color w:val="auto"/>
          <w:szCs w:val="21"/>
          <w:u w:val="single"/>
          <w:lang w:eastAsia="zh-CN"/>
        </w:rPr>
        <w:t xml:space="preserve">      </w:t>
      </w:r>
      <w:r>
        <w:rPr>
          <w:rFonts w:hint="eastAsia" w:ascii="宋体" w:hAnsi="宋体" w:cs="Times New Roman"/>
          <w:color w:val="auto"/>
          <w:szCs w:val="21"/>
          <w:u w:val="single"/>
          <w:lang w:val="en-US" w:eastAsia="zh-CN"/>
        </w:rPr>
        <w:t xml:space="preserve">   </w:t>
      </w:r>
      <w:r>
        <w:rPr>
          <w:rFonts w:hint="eastAsia" w:ascii="宋体" w:hAnsi="宋体" w:cs="Times New Roman"/>
          <w:color w:val="auto"/>
          <w:szCs w:val="21"/>
          <w:u w:val="single"/>
          <w:lang w:eastAsia="zh-CN"/>
        </w:rPr>
        <w:t xml:space="preserve">   </w:t>
      </w:r>
      <w:r>
        <w:rPr>
          <w:rFonts w:hint="eastAsia" w:ascii="宋体" w:hAnsi="宋体" w:cs="Times New Roman"/>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5B1B10C5">
      <w:pPr>
        <w:spacing w:line="360" w:lineRule="auto"/>
        <w:ind w:firstLine="560" w:firstLineChars="200"/>
        <w:rPr>
          <w:rFonts w:ascii="宋体" w:hAnsi="宋体"/>
          <w:color w:val="auto"/>
          <w:szCs w:val="21"/>
        </w:rPr>
      </w:pPr>
      <w:r>
        <w:rPr>
          <w:rFonts w:hint="eastAsia" w:ascii="宋体" w:hAnsi="宋体"/>
          <w:color w:val="auto"/>
          <w:szCs w:val="21"/>
        </w:rPr>
        <w:t>身份证号码：</w:t>
      </w:r>
      <w:r>
        <w:rPr>
          <w:rFonts w:hint="eastAsia" w:ascii="宋体" w:hAnsi="宋体" w:cs="Times New Roman"/>
          <w:color w:val="auto"/>
          <w:szCs w:val="21"/>
          <w:u w:val="single"/>
          <w:lang w:eastAsia="zh-CN"/>
        </w:rPr>
        <w:t xml:space="preserve"> </w:t>
      </w:r>
      <w:r>
        <w:rPr>
          <w:rFonts w:hint="eastAsia" w:ascii="宋体" w:hAnsi="宋体" w:cs="Times New Roman"/>
          <w:color w:val="auto"/>
          <w:szCs w:val="21"/>
          <w:u w:val="single"/>
          <w:lang w:val="en-US" w:eastAsia="zh-CN"/>
        </w:rPr>
        <w:t xml:space="preserve">             </w:t>
      </w:r>
      <w:r>
        <w:rPr>
          <w:rFonts w:ascii="宋体" w:hAnsi="宋体"/>
          <w:color w:val="auto"/>
          <w:szCs w:val="21"/>
          <w:u w:val="single"/>
        </w:rPr>
        <w:t xml:space="preserve">  </w:t>
      </w:r>
      <w:r>
        <w:rPr>
          <w:rFonts w:hint="eastAsia" w:ascii="宋体" w:hAnsi="宋体"/>
          <w:color w:val="auto"/>
          <w:szCs w:val="21"/>
        </w:rPr>
        <w:t>，</w:t>
      </w:r>
    </w:p>
    <w:p w14:paraId="42495DC4">
      <w:pPr>
        <w:spacing w:line="360" w:lineRule="auto"/>
        <w:ind w:firstLine="560" w:firstLineChars="200"/>
        <w:rPr>
          <w:rFonts w:ascii="宋体" w:hAnsi="宋体"/>
          <w:color w:val="auto"/>
          <w:szCs w:val="21"/>
        </w:rPr>
      </w:pPr>
      <w:r>
        <w:rPr>
          <w:rFonts w:hint="eastAsia" w:ascii="宋体" w:hAnsi="宋体"/>
          <w:color w:val="auto"/>
          <w:szCs w:val="21"/>
        </w:rPr>
        <w:t>建造师</w:t>
      </w:r>
      <w:r>
        <w:rPr>
          <w:rFonts w:ascii="宋体" w:hAnsi="宋体"/>
          <w:color w:val="auto"/>
          <w:szCs w:val="21"/>
        </w:rPr>
        <w:t>注册证书号</w:t>
      </w:r>
      <w:r>
        <w:rPr>
          <w:rFonts w:hint="eastAsia" w:ascii="宋体" w:hAnsi="宋体"/>
          <w:color w:val="auto"/>
          <w:szCs w:val="21"/>
        </w:rPr>
        <w:t>：</w:t>
      </w:r>
      <w:r>
        <w:rPr>
          <w:rFonts w:hint="eastAsia" w:ascii="宋体" w:hAnsi="宋体" w:cs="Times New Roman"/>
          <w:color w:val="auto"/>
          <w:szCs w:val="21"/>
          <w:u w:val="single"/>
          <w:lang w:eastAsia="zh-CN"/>
        </w:rPr>
        <w:t xml:space="preserve"> </w:t>
      </w:r>
      <w:r>
        <w:rPr>
          <w:rFonts w:hint="eastAsia" w:ascii="宋体" w:hAnsi="宋体" w:cs="Times New Roman"/>
          <w:color w:val="auto"/>
          <w:szCs w:val="21"/>
          <w:u w:val="single"/>
          <w:lang w:val="en-US" w:eastAsia="zh-CN"/>
        </w:rPr>
        <w:t xml:space="preserve">     </w:t>
      </w:r>
      <w:r>
        <w:rPr>
          <w:rFonts w:hint="eastAsia" w:ascii="宋体" w:hAnsi="宋体" w:cs="Times New Roman"/>
          <w:color w:val="auto"/>
          <w:szCs w:val="21"/>
          <w:u w:val="single"/>
          <w:lang w:eastAsia="zh-CN"/>
        </w:rPr>
        <w:t xml:space="preserve"> </w:t>
      </w:r>
      <w:r>
        <w:rPr>
          <w:rFonts w:hint="eastAsia" w:ascii="宋体" w:hAnsi="宋体"/>
          <w:color w:val="auto"/>
          <w:szCs w:val="21"/>
        </w:rPr>
        <w:t>。</w:t>
      </w:r>
    </w:p>
    <w:p w14:paraId="21D65432">
      <w:pPr>
        <w:spacing w:line="360" w:lineRule="auto"/>
        <w:ind w:firstLine="560" w:firstLineChars="200"/>
        <w:rPr>
          <w:rFonts w:ascii="宋体" w:hAnsi="宋体"/>
          <w:color w:val="auto"/>
          <w:szCs w:val="21"/>
        </w:rPr>
      </w:pPr>
      <w:r>
        <w:rPr>
          <w:rFonts w:hint="eastAsia" w:ascii="宋体" w:hAnsi="宋体"/>
          <w:color w:val="auto"/>
          <w:szCs w:val="21"/>
        </w:rPr>
        <w:t>承包人投标文件中承诺的技术负责人：</w:t>
      </w:r>
    </w:p>
    <w:p w14:paraId="671DDBA6">
      <w:pPr>
        <w:spacing w:line="360" w:lineRule="auto"/>
        <w:ind w:firstLine="560" w:firstLineChars="200"/>
        <w:rPr>
          <w:rFonts w:ascii="宋体" w:hAnsi="宋体"/>
          <w:color w:val="auto"/>
          <w:szCs w:val="21"/>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s="Times New Roman"/>
          <w:color w:val="auto"/>
          <w:szCs w:val="21"/>
          <w:u w:val="single"/>
          <w:lang w:eastAsia="zh-CN"/>
        </w:rPr>
        <w:t xml:space="preserve">  </w:t>
      </w:r>
      <w:r>
        <w:rPr>
          <w:rFonts w:hint="eastAsia" w:ascii="宋体" w:hAnsi="宋体" w:cs="Times New Roman"/>
          <w:color w:val="auto"/>
          <w:szCs w:val="21"/>
          <w:u w:val="single"/>
          <w:lang w:val="en-US" w:eastAsia="zh-CN"/>
        </w:rPr>
        <w:t xml:space="preserve"> </w:t>
      </w:r>
      <w:r>
        <w:rPr>
          <w:rFonts w:hint="eastAsia" w:ascii="宋体" w:hAnsi="宋体" w:cs="Times New Roman"/>
          <w:color w:val="auto"/>
          <w:szCs w:val="21"/>
          <w:u w:val="single"/>
          <w:lang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51EA0096">
      <w:pPr>
        <w:spacing w:line="360" w:lineRule="auto"/>
        <w:ind w:firstLine="560" w:firstLineChars="200"/>
        <w:rPr>
          <w:rFonts w:ascii="宋体" w:hAnsi="宋体"/>
          <w:color w:val="auto"/>
          <w:szCs w:val="21"/>
        </w:rPr>
      </w:pPr>
      <w:r>
        <w:rPr>
          <w:rFonts w:hint="eastAsia" w:ascii="宋体" w:hAnsi="宋体"/>
          <w:color w:val="auto"/>
          <w:szCs w:val="21"/>
        </w:rPr>
        <w:t>身份证号码：</w:t>
      </w:r>
      <w:r>
        <w:rPr>
          <w:rFonts w:hint="eastAsia" w:ascii="宋体" w:hAnsi="宋体" w:cs="Times New Roman"/>
          <w:color w:val="auto"/>
          <w:szCs w:val="21"/>
          <w:u w:val="single"/>
          <w:lang w:val="en-US" w:eastAsia="zh-CN"/>
        </w:rPr>
        <w:t xml:space="preserve">        </w:t>
      </w:r>
      <w:r>
        <w:rPr>
          <w:rFonts w:hint="eastAsia" w:ascii="宋体" w:hAnsi="宋体"/>
          <w:color w:val="auto"/>
          <w:szCs w:val="21"/>
        </w:rPr>
        <w:t>，</w:t>
      </w:r>
    </w:p>
    <w:p w14:paraId="5A6F1572">
      <w:pPr>
        <w:pStyle w:val="23"/>
        <w:spacing w:line="360" w:lineRule="auto"/>
        <w:rPr>
          <w:rFonts w:ascii="宋体" w:hAnsi="宋体"/>
          <w:color w:val="auto"/>
          <w:szCs w:val="21"/>
        </w:rPr>
      </w:pPr>
      <w:r>
        <w:rPr>
          <w:rFonts w:hint="eastAsia" w:ascii="宋体" w:hAnsi="宋体"/>
          <w:color w:val="auto"/>
          <w:szCs w:val="21"/>
        </w:rPr>
        <w:t xml:space="preserve">    证书名称</w:t>
      </w:r>
      <w:r>
        <w:rPr>
          <w:rFonts w:ascii="宋体" w:hAnsi="宋体"/>
          <w:color w:val="auto"/>
          <w:szCs w:val="21"/>
        </w:rPr>
        <w:t>及号码：</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p>
    <w:p w14:paraId="6C8B7F84">
      <w:pPr>
        <w:pStyle w:val="6"/>
        <w:keepNext/>
        <w:keepLines/>
        <w:spacing w:before="120" w:after="120" w:line="360" w:lineRule="auto"/>
        <w:ind w:firstLine="422" w:firstLineChars="200"/>
        <w:jc w:val="both"/>
        <w:rPr>
          <w:color w:val="auto"/>
          <w:kern w:val="2"/>
          <w:sz w:val="21"/>
          <w:szCs w:val="21"/>
        </w:rPr>
      </w:pPr>
      <w:bookmarkStart w:id="237" w:name="_Toc532377171"/>
      <w:bookmarkStart w:id="238" w:name="_Toc532375578"/>
      <w:bookmarkStart w:id="239" w:name="_Toc351203486"/>
      <w:r>
        <w:rPr>
          <w:rFonts w:hint="eastAsia"/>
          <w:color w:val="auto"/>
          <w:kern w:val="2"/>
          <w:sz w:val="21"/>
          <w:szCs w:val="21"/>
        </w:rPr>
        <w:t>六、合同文件构成</w:t>
      </w:r>
      <w:bookmarkEnd w:id="237"/>
      <w:bookmarkEnd w:id="238"/>
      <w:bookmarkEnd w:id="239"/>
    </w:p>
    <w:p w14:paraId="39B5C29A">
      <w:pPr>
        <w:spacing w:line="360" w:lineRule="auto"/>
        <w:ind w:firstLine="560" w:firstLineChars="200"/>
        <w:rPr>
          <w:rFonts w:ascii="宋体" w:hAnsi="宋体"/>
          <w:bCs/>
          <w:color w:val="auto"/>
          <w:szCs w:val="21"/>
        </w:rPr>
      </w:pPr>
      <w:r>
        <w:rPr>
          <w:rFonts w:hint="eastAsia" w:ascii="宋体" w:hAnsi="宋体"/>
          <w:bCs/>
          <w:color w:val="auto"/>
          <w:szCs w:val="21"/>
        </w:rPr>
        <w:t>合同由以下文件构成：</w:t>
      </w:r>
    </w:p>
    <w:p w14:paraId="3D842FC5">
      <w:pPr>
        <w:spacing w:line="360" w:lineRule="auto"/>
        <w:ind w:firstLine="560" w:firstLineChars="200"/>
        <w:rPr>
          <w:rFonts w:ascii="宋体" w:hAnsi="宋体"/>
          <w:color w:val="auto"/>
          <w:szCs w:val="21"/>
        </w:rPr>
      </w:pPr>
      <w:r>
        <w:rPr>
          <w:rFonts w:hint="eastAsia" w:ascii="宋体" w:hAnsi="宋体"/>
          <w:color w:val="auto"/>
          <w:szCs w:val="21"/>
        </w:rPr>
        <w:t>（1）合同协议书；</w:t>
      </w:r>
    </w:p>
    <w:p w14:paraId="0F2F3DC7">
      <w:pPr>
        <w:spacing w:line="360" w:lineRule="auto"/>
        <w:ind w:firstLine="560" w:firstLineChars="200"/>
        <w:rPr>
          <w:rFonts w:ascii="宋体" w:hAnsi="宋体"/>
          <w:color w:val="auto"/>
          <w:szCs w:val="21"/>
        </w:rPr>
      </w:pPr>
      <w:r>
        <w:rPr>
          <w:rFonts w:hint="eastAsia" w:ascii="宋体" w:hAnsi="宋体"/>
          <w:color w:val="auto"/>
          <w:szCs w:val="21"/>
        </w:rPr>
        <w:t>（2）中标通知书；</w:t>
      </w:r>
    </w:p>
    <w:p w14:paraId="2AC595AD">
      <w:pPr>
        <w:spacing w:line="360" w:lineRule="auto"/>
        <w:ind w:firstLine="560" w:firstLineChars="200"/>
        <w:rPr>
          <w:rFonts w:ascii="宋体" w:hAnsi="宋体"/>
          <w:color w:val="auto"/>
          <w:szCs w:val="21"/>
        </w:rPr>
      </w:pPr>
      <w:r>
        <w:rPr>
          <w:rFonts w:hint="eastAsia" w:ascii="宋体" w:hAnsi="宋体"/>
          <w:color w:val="auto"/>
          <w:szCs w:val="21"/>
        </w:rPr>
        <w:t>（3）</w:t>
      </w:r>
      <w:r>
        <w:rPr>
          <w:rFonts w:hint="eastAsia" w:ascii="宋体" w:hAnsi="宋体"/>
          <w:color w:val="auto"/>
          <w:szCs w:val="21"/>
          <w:lang w:eastAsia="zh-CN"/>
        </w:rPr>
        <w:t>报价函</w:t>
      </w:r>
      <w:r>
        <w:rPr>
          <w:rFonts w:hint="eastAsia" w:ascii="宋体" w:hAnsi="宋体"/>
          <w:color w:val="auto"/>
          <w:szCs w:val="21"/>
        </w:rPr>
        <w:t>及</w:t>
      </w:r>
      <w:r>
        <w:rPr>
          <w:rFonts w:hint="eastAsia" w:ascii="宋体" w:hAnsi="宋体"/>
          <w:color w:val="auto"/>
          <w:szCs w:val="21"/>
          <w:lang w:eastAsia="zh-CN"/>
        </w:rPr>
        <w:t>报价函</w:t>
      </w:r>
      <w:r>
        <w:rPr>
          <w:rFonts w:hint="eastAsia" w:ascii="宋体" w:hAnsi="宋体"/>
          <w:color w:val="auto"/>
          <w:szCs w:val="21"/>
        </w:rPr>
        <w:t>附录；</w:t>
      </w:r>
    </w:p>
    <w:p w14:paraId="6C24B54E">
      <w:pPr>
        <w:spacing w:line="360" w:lineRule="auto"/>
        <w:ind w:firstLine="560" w:firstLineChars="200"/>
        <w:rPr>
          <w:rFonts w:ascii="宋体" w:hAnsi="宋体"/>
          <w:color w:val="auto"/>
          <w:szCs w:val="21"/>
        </w:rPr>
      </w:pPr>
      <w:r>
        <w:rPr>
          <w:rFonts w:hint="eastAsia" w:ascii="宋体" w:hAnsi="宋体"/>
          <w:color w:val="auto"/>
          <w:szCs w:val="21"/>
        </w:rPr>
        <w:t>（4）专用合同条款及其附件；</w:t>
      </w:r>
    </w:p>
    <w:p w14:paraId="0BC9FE98">
      <w:pPr>
        <w:spacing w:line="360" w:lineRule="auto"/>
        <w:ind w:firstLine="560" w:firstLineChars="200"/>
        <w:rPr>
          <w:rFonts w:ascii="宋体" w:hAnsi="宋体"/>
          <w:color w:val="auto"/>
          <w:szCs w:val="21"/>
        </w:rPr>
      </w:pPr>
      <w:r>
        <w:rPr>
          <w:rFonts w:hint="eastAsia" w:ascii="宋体" w:hAnsi="宋体"/>
          <w:color w:val="auto"/>
          <w:szCs w:val="21"/>
        </w:rPr>
        <w:t>（5）通用合同条款；</w:t>
      </w:r>
    </w:p>
    <w:p w14:paraId="30EC2807">
      <w:pPr>
        <w:spacing w:line="360" w:lineRule="auto"/>
        <w:ind w:firstLine="560" w:firstLineChars="200"/>
        <w:rPr>
          <w:rFonts w:ascii="宋体" w:hAnsi="宋体"/>
          <w:color w:val="auto"/>
          <w:szCs w:val="21"/>
        </w:rPr>
      </w:pPr>
      <w:r>
        <w:rPr>
          <w:rFonts w:hint="eastAsia" w:ascii="宋体" w:hAnsi="宋体"/>
          <w:color w:val="auto"/>
          <w:szCs w:val="21"/>
        </w:rPr>
        <w:t>（6）投标文件（</w:t>
      </w:r>
      <w:r>
        <w:rPr>
          <w:rFonts w:hint="eastAsia" w:ascii="宋体" w:hAnsi="宋体"/>
          <w:color w:val="auto"/>
          <w:szCs w:val="21"/>
          <w:lang w:eastAsia="zh-CN"/>
        </w:rPr>
        <w:t>报价函</w:t>
      </w:r>
      <w:r>
        <w:rPr>
          <w:rFonts w:hint="eastAsia" w:ascii="宋体" w:hAnsi="宋体"/>
          <w:color w:val="auto"/>
          <w:szCs w:val="21"/>
        </w:rPr>
        <w:t>及</w:t>
      </w:r>
      <w:r>
        <w:rPr>
          <w:rFonts w:hint="eastAsia" w:ascii="宋体" w:hAnsi="宋体"/>
          <w:color w:val="auto"/>
          <w:szCs w:val="21"/>
          <w:lang w:eastAsia="zh-CN"/>
        </w:rPr>
        <w:t>报价函</w:t>
      </w:r>
      <w:r>
        <w:rPr>
          <w:rFonts w:hint="eastAsia" w:ascii="宋体" w:hAnsi="宋体"/>
          <w:color w:val="auto"/>
          <w:szCs w:val="21"/>
        </w:rPr>
        <w:t>附录除外）；</w:t>
      </w:r>
    </w:p>
    <w:p w14:paraId="05AF7447">
      <w:pPr>
        <w:spacing w:line="360" w:lineRule="auto"/>
        <w:ind w:firstLine="560" w:firstLineChars="200"/>
        <w:rPr>
          <w:rFonts w:ascii="宋体" w:hAnsi="宋体"/>
          <w:color w:val="auto"/>
          <w:szCs w:val="21"/>
        </w:rPr>
      </w:pPr>
      <w:r>
        <w:rPr>
          <w:rFonts w:hint="eastAsia" w:ascii="宋体" w:hAnsi="宋体"/>
          <w:color w:val="auto"/>
          <w:szCs w:val="21"/>
        </w:rPr>
        <w:t>（7）招标文件及修改文件；</w:t>
      </w:r>
    </w:p>
    <w:p w14:paraId="04479F38">
      <w:pPr>
        <w:spacing w:line="360" w:lineRule="auto"/>
        <w:ind w:firstLine="560" w:firstLineChars="200"/>
        <w:rPr>
          <w:rFonts w:ascii="宋体" w:hAnsi="宋体"/>
          <w:color w:val="auto"/>
          <w:szCs w:val="21"/>
        </w:rPr>
      </w:pPr>
      <w:r>
        <w:rPr>
          <w:rFonts w:hint="eastAsia" w:ascii="宋体" w:hAnsi="宋体"/>
          <w:color w:val="auto"/>
          <w:szCs w:val="21"/>
        </w:rPr>
        <w:t>（8）技术标准和要求；</w:t>
      </w:r>
    </w:p>
    <w:p w14:paraId="354141BD">
      <w:pPr>
        <w:spacing w:line="360" w:lineRule="auto"/>
        <w:ind w:firstLine="560" w:firstLineChars="200"/>
        <w:rPr>
          <w:rFonts w:ascii="宋体" w:hAnsi="宋体"/>
          <w:color w:val="auto"/>
          <w:szCs w:val="21"/>
        </w:rPr>
      </w:pPr>
      <w:r>
        <w:rPr>
          <w:rFonts w:hint="eastAsia" w:ascii="宋体" w:hAnsi="宋体"/>
          <w:color w:val="auto"/>
          <w:szCs w:val="21"/>
        </w:rPr>
        <w:t>（9）图纸；</w:t>
      </w:r>
    </w:p>
    <w:p w14:paraId="30AD30AE">
      <w:pPr>
        <w:spacing w:line="360" w:lineRule="auto"/>
        <w:ind w:firstLine="560" w:firstLineChars="200"/>
        <w:rPr>
          <w:rFonts w:ascii="宋体" w:hAnsi="宋体"/>
          <w:color w:val="auto"/>
          <w:szCs w:val="21"/>
        </w:rPr>
      </w:pPr>
      <w:r>
        <w:rPr>
          <w:rFonts w:hint="eastAsia" w:ascii="宋体" w:hAnsi="宋体"/>
          <w:color w:val="auto"/>
          <w:szCs w:val="21"/>
        </w:rPr>
        <w:t>（10）其他合同文件。</w:t>
      </w:r>
    </w:p>
    <w:p w14:paraId="6D06B4FE">
      <w:pPr>
        <w:spacing w:line="360" w:lineRule="auto"/>
        <w:ind w:firstLine="560" w:firstLineChars="200"/>
        <w:rPr>
          <w:rFonts w:ascii="宋体" w:hAnsi="宋体"/>
          <w:color w:val="auto"/>
          <w:szCs w:val="21"/>
        </w:rPr>
      </w:pPr>
      <w:r>
        <w:rPr>
          <w:rFonts w:hint="eastAsia" w:ascii="宋体" w:hAnsi="宋体"/>
          <w:color w:val="auto"/>
          <w:szCs w:val="21"/>
        </w:rPr>
        <w:t>在合同订立、履行过程中形成的与合同有关的书面形式的文件均构成合同文件组成部分。</w:t>
      </w:r>
    </w:p>
    <w:p w14:paraId="23FBCA15">
      <w:pPr>
        <w:spacing w:line="360" w:lineRule="auto"/>
        <w:ind w:firstLine="560" w:firstLineChars="200"/>
        <w:rPr>
          <w:rFonts w:ascii="宋体" w:hAnsi="宋体"/>
          <w:color w:val="auto"/>
          <w:szCs w:val="21"/>
        </w:rPr>
      </w:pPr>
      <w:r>
        <w:rPr>
          <w:rFonts w:hint="eastAsia" w:ascii="宋体" w:hAnsi="宋体"/>
          <w:color w:val="auto"/>
          <w:szCs w:val="21"/>
        </w:rPr>
        <w:t>上述各项合同文件包括合同当事人就该项合同文件所作出的补充和修改，属于同一类内容的文件，应以最新签署的为准。专用合同条款及其附件须经合同当事人签名或盖章。</w:t>
      </w:r>
    </w:p>
    <w:p w14:paraId="31251695">
      <w:pPr>
        <w:pStyle w:val="6"/>
        <w:keepNext/>
        <w:keepLines/>
        <w:spacing w:before="120" w:after="120" w:line="360" w:lineRule="auto"/>
        <w:ind w:firstLine="422" w:firstLineChars="200"/>
        <w:jc w:val="both"/>
        <w:rPr>
          <w:color w:val="auto"/>
          <w:kern w:val="2"/>
          <w:sz w:val="21"/>
          <w:szCs w:val="21"/>
        </w:rPr>
      </w:pPr>
      <w:bookmarkStart w:id="240" w:name="_Toc532377172"/>
      <w:bookmarkStart w:id="241" w:name="_Toc351203487"/>
      <w:bookmarkStart w:id="242" w:name="_Toc532375579"/>
      <w:r>
        <w:rPr>
          <w:rFonts w:hint="eastAsia"/>
          <w:color w:val="auto"/>
          <w:kern w:val="2"/>
          <w:sz w:val="21"/>
          <w:szCs w:val="21"/>
        </w:rPr>
        <w:t>七、承诺</w:t>
      </w:r>
      <w:bookmarkEnd w:id="240"/>
      <w:bookmarkEnd w:id="241"/>
      <w:bookmarkEnd w:id="242"/>
    </w:p>
    <w:p w14:paraId="2BA589E7">
      <w:pPr>
        <w:spacing w:line="360" w:lineRule="auto"/>
        <w:ind w:firstLine="560" w:firstLineChars="200"/>
        <w:rPr>
          <w:rFonts w:ascii="宋体" w:hAnsi="宋体"/>
          <w:bCs/>
          <w:color w:val="auto"/>
          <w:szCs w:val="21"/>
        </w:rPr>
      </w:pPr>
      <w:r>
        <w:rPr>
          <w:rFonts w:hint="eastAsia" w:ascii="宋体" w:hAnsi="宋体"/>
          <w:bCs/>
          <w:color w:val="auto"/>
          <w:szCs w:val="21"/>
        </w:rPr>
        <w:t>1.发包人承诺按照法律规定履行项目审批手续、筹集工程建设资金并按照合同约定的期限和方式支付合同价款。</w:t>
      </w:r>
    </w:p>
    <w:p w14:paraId="7579B9E0">
      <w:pPr>
        <w:spacing w:line="360" w:lineRule="auto"/>
        <w:ind w:firstLine="560" w:firstLineChars="200"/>
        <w:rPr>
          <w:rFonts w:ascii="宋体" w:hAnsi="宋体"/>
          <w:bCs/>
          <w:color w:val="auto"/>
          <w:szCs w:val="21"/>
        </w:rPr>
      </w:pPr>
      <w:r>
        <w:rPr>
          <w:rFonts w:hint="eastAsia" w:ascii="宋体" w:hAnsi="宋体"/>
          <w:bCs/>
          <w:color w:val="auto"/>
          <w:szCs w:val="21"/>
        </w:rPr>
        <w:t>2.</w:t>
      </w:r>
      <w:r>
        <w:rPr>
          <w:rFonts w:hint="eastAsia" w:ascii="宋体" w:hAnsi="宋体"/>
          <w:color w:val="auto"/>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rPr>
        <w:t>。</w:t>
      </w:r>
    </w:p>
    <w:p w14:paraId="1D4B2AF6">
      <w:pPr>
        <w:spacing w:line="360" w:lineRule="auto"/>
        <w:ind w:firstLine="560" w:firstLineChars="200"/>
        <w:rPr>
          <w:rFonts w:ascii="宋体" w:hAnsi="宋体"/>
          <w:bCs/>
          <w:color w:val="auto"/>
          <w:szCs w:val="21"/>
        </w:rPr>
      </w:pPr>
      <w:r>
        <w:rPr>
          <w:rFonts w:hint="eastAsia" w:ascii="宋体" w:hAnsi="宋体"/>
          <w:bCs/>
          <w:color w:val="auto"/>
          <w:szCs w:val="21"/>
        </w:rPr>
        <w:t>3.发包人和承包人通过招投标形式签订合同的，双方理解并承诺不再就同一工程另行签订与合同实质性内容相背离的协议。</w:t>
      </w:r>
    </w:p>
    <w:p w14:paraId="65E4A561">
      <w:pPr>
        <w:pStyle w:val="6"/>
        <w:keepNext/>
        <w:keepLines/>
        <w:spacing w:before="120" w:after="120" w:line="360" w:lineRule="auto"/>
        <w:ind w:firstLine="422" w:firstLineChars="200"/>
        <w:jc w:val="both"/>
        <w:rPr>
          <w:color w:val="auto"/>
          <w:kern w:val="2"/>
          <w:sz w:val="21"/>
          <w:szCs w:val="21"/>
        </w:rPr>
      </w:pPr>
      <w:bookmarkStart w:id="243" w:name="_Toc351203488"/>
      <w:bookmarkStart w:id="244" w:name="_Toc532375580"/>
      <w:bookmarkStart w:id="245" w:name="_Toc532377173"/>
      <w:r>
        <w:rPr>
          <w:rFonts w:hint="eastAsia"/>
          <w:color w:val="auto"/>
          <w:kern w:val="2"/>
          <w:sz w:val="21"/>
          <w:szCs w:val="21"/>
        </w:rPr>
        <w:t>八、词语含义</w:t>
      </w:r>
      <w:bookmarkEnd w:id="243"/>
      <w:bookmarkEnd w:id="244"/>
      <w:bookmarkEnd w:id="245"/>
    </w:p>
    <w:p w14:paraId="793F5432">
      <w:pPr>
        <w:spacing w:line="360" w:lineRule="auto"/>
        <w:ind w:firstLine="560" w:firstLineChars="200"/>
        <w:rPr>
          <w:rFonts w:ascii="宋体" w:hAnsi="宋体"/>
          <w:bCs/>
          <w:color w:val="auto"/>
          <w:szCs w:val="21"/>
        </w:rPr>
      </w:pPr>
      <w:r>
        <w:rPr>
          <w:rFonts w:hint="eastAsia" w:ascii="宋体" w:hAnsi="宋体"/>
          <w:bCs/>
          <w:color w:val="auto"/>
          <w:szCs w:val="21"/>
        </w:rPr>
        <w:t>本协议书中词语含义与专用合同条款及通用合同条款中赋予的含义相同。</w:t>
      </w:r>
    </w:p>
    <w:p w14:paraId="70DC26A8">
      <w:pPr>
        <w:pStyle w:val="6"/>
        <w:keepNext/>
        <w:keepLines/>
        <w:spacing w:before="120" w:after="120" w:line="360" w:lineRule="auto"/>
        <w:ind w:firstLine="422" w:firstLineChars="200"/>
        <w:jc w:val="both"/>
        <w:rPr>
          <w:color w:val="auto"/>
          <w:kern w:val="2"/>
          <w:sz w:val="21"/>
          <w:szCs w:val="21"/>
        </w:rPr>
      </w:pPr>
      <w:bookmarkStart w:id="246" w:name="_Toc532375581"/>
      <w:bookmarkStart w:id="247" w:name="_Toc532377174"/>
      <w:r>
        <w:rPr>
          <w:rFonts w:hint="eastAsia"/>
          <w:color w:val="auto"/>
          <w:kern w:val="2"/>
          <w:sz w:val="21"/>
          <w:szCs w:val="21"/>
        </w:rPr>
        <w:t>九、签订时间</w:t>
      </w:r>
      <w:bookmarkEnd w:id="246"/>
      <w:bookmarkEnd w:id="247"/>
    </w:p>
    <w:p w14:paraId="00994A25">
      <w:pPr>
        <w:spacing w:line="360" w:lineRule="auto"/>
        <w:ind w:firstLine="560" w:firstLineChars="200"/>
        <w:rPr>
          <w:rFonts w:ascii="宋体" w:hAnsi="宋体"/>
          <w:color w:val="auto"/>
          <w:szCs w:val="21"/>
        </w:rPr>
      </w:pPr>
      <w:r>
        <w:rPr>
          <w:rFonts w:hint="eastAsia" w:ascii="宋体" w:hAnsi="宋体"/>
          <w:bCs/>
          <w:color w:val="auto"/>
          <w:szCs w:val="21"/>
        </w:rPr>
        <w:t>合同于</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2025</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u w:val="single"/>
        </w:rPr>
        <w:t xml:space="preserve"> </w:t>
      </w:r>
      <w:r>
        <w:rPr>
          <w:rFonts w:hint="eastAsia" w:ascii="宋体" w:hAnsi="宋体"/>
          <w:bCs/>
          <w:color w:val="auto"/>
          <w:szCs w:val="21"/>
        </w:rPr>
        <w:t>日签订</w:t>
      </w:r>
    </w:p>
    <w:p w14:paraId="2E3B1BE4">
      <w:pPr>
        <w:pStyle w:val="6"/>
        <w:keepNext/>
        <w:keepLines/>
        <w:spacing w:before="120" w:after="120" w:line="360" w:lineRule="auto"/>
        <w:ind w:firstLine="422" w:firstLineChars="200"/>
        <w:jc w:val="both"/>
        <w:rPr>
          <w:color w:val="auto"/>
          <w:kern w:val="2"/>
          <w:sz w:val="21"/>
          <w:szCs w:val="21"/>
        </w:rPr>
      </w:pPr>
      <w:bookmarkStart w:id="248" w:name="_Toc351203489"/>
      <w:bookmarkStart w:id="249" w:name="_Toc532377175"/>
      <w:bookmarkStart w:id="250" w:name="_Toc532375582"/>
      <w:r>
        <w:rPr>
          <w:rFonts w:hint="eastAsia"/>
          <w:color w:val="auto"/>
          <w:kern w:val="2"/>
          <w:sz w:val="21"/>
          <w:szCs w:val="21"/>
        </w:rPr>
        <w:t>十、</w:t>
      </w:r>
      <w:bookmarkEnd w:id="248"/>
      <w:bookmarkStart w:id="251" w:name="_Toc351203490"/>
      <w:r>
        <w:rPr>
          <w:rFonts w:hint="eastAsia"/>
          <w:color w:val="auto"/>
          <w:kern w:val="2"/>
          <w:sz w:val="21"/>
          <w:szCs w:val="21"/>
        </w:rPr>
        <w:t>签订地点</w:t>
      </w:r>
      <w:bookmarkEnd w:id="249"/>
      <w:bookmarkEnd w:id="250"/>
      <w:bookmarkEnd w:id="251"/>
    </w:p>
    <w:p w14:paraId="4D2E46A8">
      <w:pPr>
        <w:spacing w:line="360" w:lineRule="auto"/>
        <w:ind w:firstLine="560" w:firstLineChars="200"/>
        <w:rPr>
          <w:rFonts w:ascii="宋体" w:hAnsi="宋体"/>
          <w:bCs/>
          <w:color w:val="auto"/>
          <w:szCs w:val="21"/>
        </w:rPr>
      </w:pPr>
      <w:r>
        <w:rPr>
          <w:rFonts w:hint="eastAsia" w:ascii="宋体" w:hAnsi="宋体"/>
          <w:bCs/>
          <w:color w:val="auto"/>
          <w:szCs w:val="21"/>
        </w:rPr>
        <w:t>合同在</w:t>
      </w:r>
      <w:r>
        <w:rPr>
          <w:rFonts w:hint="eastAsia" w:ascii="宋体" w:hAnsi="宋体"/>
          <w:bCs/>
          <w:color w:val="auto"/>
          <w:szCs w:val="21"/>
          <w:u w:val="single"/>
        </w:rPr>
        <w:t xml:space="preserve"> </w:t>
      </w:r>
      <w:r>
        <w:rPr>
          <w:rFonts w:hint="eastAsia" w:ascii="宋体" w:hAnsi="宋体"/>
          <w:bCs/>
          <w:color w:val="auto"/>
          <w:szCs w:val="21"/>
          <w:u w:val="single"/>
          <w:lang w:eastAsia="zh-CN"/>
        </w:rPr>
        <w:t>重庆新翔源鞋业有限责任公司</w:t>
      </w:r>
      <w:r>
        <w:rPr>
          <w:rFonts w:hint="eastAsia" w:ascii="宋体" w:hAnsi="宋体"/>
          <w:bCs/>
          <w:color w:val="auto"/>
          <w:szCs w:val="21"/>
          <w:u w:val="single"/>
        </w:rPr>
        <w:t xml:space="preserve"> </w:t>
      </w:r>
      <w:r>
        <w:rPr>
          <w:rFonts w:hint="eastAsia" w:ascii="宋体" w:hAnsi="宋体"/>
          <w:bCs/>
          <w:color w:val="auto"/>
          <w:szCs w:val="21"/>
        </w:rPr>
        <w:t>签订。</w:t>
      </w:r>
    </w:p>
    <w:p w14:paraId="433259A5">
      <w:pPr>
        <w:pStyle w:val="6"/>
        <w:keepNext/>
        <w:keepLines/>
        <w:spacing w:before="120" w:after="120" w:line="360" w:lineRule="auto"/>
        <w:ind w:firstLine="422" w:firstLineChars="200"/>
        <w:jc w:val="both"/>
        <w:rPr>
          <w:color w:val="auto"/>
          <w:kern w:val="2"/>
          <w:sz w:val="21"/>
          <w:szCs w:val="21"/>
        </w:rPr>
      </w:pPr>
      <w:bookmarkStart w:id="252" w:name="_Toc351203491"/>
      <w:bookmarkStart w:id="253" w:name="_Toc532375583"/>
      <w:bookmarkStart w:id="254" w:name="_Toc532377176"/>
      <w:r>
        <w:rPr>
          <w:rFonts w:hint="eastAsia"/>
          <w:color w:val="auto"/>
          <w:kern w:val="2"/>
          <w:sz w:val="21"/>
          <w:szCs w:val="21"/>
        </w:rPr>
        <w:t>十一、补充协议</w:t>
      </w:r>
      <w:bookmarkEnd w:id="252"/>
      <w:bookmarkEnd w:id="253"/>
      <w:bookmarkEnd w:id="254"/>
    </w:p>
    <w:p w14:paraId="3AD5E21F">
      <w:pPr>
        <w:spacing w:line="360" w:lineRule="auto"/>
        <w:ind w:firstLine="560" w:firstLineChars="200"/>
        <w:rPr>
          <w:rFonts w:ascii="宋体" w:hAnsi="宋体"/>
          <w:b/>
          <w:bCs/>
          <w:color w:val="auto"/>
          <w:szCs w:val="21"/>
        </w:rPr>
      </w:pPr>
      <w:r>
        <w:rPr>
          <w:rFonts w:hint="eastAsia" w:ascii="宋体" w:hAnsi="宋体"/>
          <w:bCs/>
          <w:color w:val="auto"/>
          <w:szCs w:val="21"/>
        </w:rPr>
        <w:t>合同未尽事宜，合同当事人另行签订补充协议，补充协议是合同的组成部分。</w:t>
      </w:r>
    </w:p>
    <w:p w14:paraId="77F13C18">
      <w:pPr>
        <w:pStyle w:val="6"/>
        <w:keepNext/>
        <w:keepLines/>
        <w:spacing w:before="120" w:after="120" w:line="360" w:lineRule="auto"/>
        <w:ind w:firstLine="422" w:firstLineChars="200"/>
        <w:jc w:val="both"/>
        <w:rPr>
          <w:color w:val="auto"/>
          <w:kern w:val="2"/>
          <w:sz w:val="21"/>
          <w:szCs w:val="21"/>
        </w:rPr>
      </w:pPr>
      <w:bookmarkStart w:id="255" w:name="_Toc532375584"/>
      <w:bookmarkStart w:id="256" w:name="_Toc351203492"/>
      <w:bookmarkStart w:id="257" w:name="_Toc532377177"/>
      <w:r>
        <w:rPr>
          <w:rFonts w:hint="eastAsia"/>
          <w:color w:val="auto"/>
          <w:kern w:val="2"/>
          <w:sz w:val="21"/>
          <w:szCs w:val="21"/>
        </w:rPr>
        <w:t>十二、合同生效</w:t>
      </w:r>
      <w:bookmarkEnd w:id="255"/>
      <w:bookmarkEnd w:id="256"/>
      <w:bookmarkEnd w:id="257"/>
    </w:p>
    <w:p w14:paraId="50CB1031">
      <w:pPr>
        <w:spacing w:line="360" w:lineRule="auto"/>
        <w:ind w:firstLine="560" w:firstLineChars="200"/>
        <w:rPr>
          <w:rFonts w:ascii="宋体" w:hAnsi="宋体"/>
          <w:bCs/>
          <w:color w:val="auto"/>
          <w:szCs w:val="21"/>
        </w:rPr>
      </w:pPr>
      <w:r>
        <w:rPr>
          <w:rFonts w:hint="eastAsia" w:ascii="宋体" w:hAnsi="宋体"/>
          <w:bCs/>
          <w:color w:val="auto"/>
          <w:szCs w:val="21"/>
        </w:rPr>
        <w:t>合同在以下条件全部满足之后生效：</w:t>
      </w:r>
    </w:p>
    <w:p w14:paraId="620A0AB3">
      <w:pPr>
        <w:spacing w:line="360" w:lineRule="auto"/>
        <w:ind w:firstLine="560" w:firstLineChars="200"/>
        <w:rPr>
          <w:rFonts w:ascii="宋体" w:hAnsi="宋体"/>
          <w:color w:val="auto"/>
          <w:szCs w:val="21"/>
        </w:rPr>
      </w:pPr>
      <w:r>
        <w:rPr>
          <w:rFonts w:hint="eastAsia" w:ascii="宋体" w:hAnsi="宋体"/>
          <w:bCs/>
          <w:color w:val="auto"/>
          <w:szCs w:val="21"/>
        </w:rPr>
        <w:t>1.合同</w:t>
      </w:r>
      <w:r>
        <w:rPr>
          <w:rFonts w:hint="eastAsia" w:ascii="宋体" w:hAnsi="宋体"/>
          <w:color w:val="auto"/>
          <w:szCs w:val="21"/>
        </w:rPr>
        <w:t>经双方法定代表人或其委托代理人签名并加盖</w:t>
      </w:r>
      <w:r>
        <w:rPr>
          <w:rFonts w:hint="eastAsia" w:ascii="宋体" w:hAnsi="宋体"/>
          <w:color w:val="auto"/>
          <w:szCs w:val="21"/>
          <w:lang w:val="en-US" w:eastAsia="zh-CN"/>
        </w:rPr>
        <w:t>单位</w:t>
      </w:r>
      <w:r>
        <w:rPr>
          <w:rFonts w:hint="eastAsia" w:ascii="宋体" w:hAnsi="宋体"/>
          <w:snapToGrid w:val="0"/>
          <w:color w:val="auto"/>
          <w:kern w:val="0"/>
          <w:szCs w:val="21"/>
        </w:rPr>
        <w:t>公章或合同专用章</w:t>
      </w:r>
      <w:r>
        <w:rPr>
          <w:rFonts w:hint="eastAsia" w:ascii="宋体" w:hAnsi="宋体"/>
          <w:color w:val="auto"/>
          <w:szCs w:val="21"/>
        </w:rPr>
        <w:t>；</w:t>
      </w:r>
    </w:p>
    <w:p w14:paraId="4FE82C0F">
      <w:pPr>
        <w:spacing w:line="360" w:lineRule="auto"/>
        <w:ind w:firstLine="560" w:firstLineChars="200"/>
        <w:rPr>
          <w:rFonts w:ascii="宋体" w:hAnsi="宋体"/>
          <w:color w:val="auto"/>
          <w:szCs w:val="21"/>
        </w:rPr>
      </w:pPr>
      <w:r>
        <w:rPr>
          <w:rFonts w:hint="eastAsia" w:ascii="宋体" w:hAnsi="宋体"/>
          <w:color w:val="auto"/>
          <w:szCs w:val="21"/>
        </w:rPr>
        <w:t>2.采用保函形式递交履约担保的，承包人按合同约定向发包人提交履约担保后；</w:t>
      </w:r>
    </w:p>
    <w:p w14:paraId="09C4C760">
      <w:pPr>
        <w:spacing w:line="360" w:lineRule="auto"/>
        <w:ind w:firstLine="560" w:firstLineChars="200"/>
        <w:rPr>
          <w:rFonts w:ascii="宋体" w:hAnsi="宋体"/>
          <w:bCs/>
          <w:color w:val="auto"/>
          <w:szCs w:val="21"/>
        </w:rPr>
      </w:pPr>
      <w:r>
        <w:rPr>
          <w:rFonts w:hint="eastAsia" w:ascii="宋体" w:hAnsi="宋体"/>
          <w:bCs/>
          <w:color w:val="auto"/>
          <w:szCs w:val="21"/>
        </w:rPr>
        <w:t>3.</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18649A56">
      <w:pPr>
        <w:pStyle w:val="6"/>
        <w:keepNext/>
        <w:keepLines/>
        <w:spacing w:before="120" w:after="120" w:line="360" w:lineRule="auto"/>
        <w:ind w:firstLine="422" w:firstLineChars="200"/>
        <w:jc w:val="both"/>
        <w:rPr>
          <w:color w:val="auto"/>
          <w:kern w:val="2"/>
          <w:sz w:val="21"/>
          <w:szCs w:val="21"/>
        </w:rPr>
      </w:pPr>
      <w:bookmarkStart w:id="258" w:name="_Toc532377178"/>
      <w:bookmarkStart w:id="259" w:name="_Toc532375585"/>
      <w:bookmarkStart w:id="260" w:name="_Toc351203493"/>
      <w:r>
        <w:rPr>
          <w:rFonts w:hint="eastAsia"/>
          <w:color w:val="auto"/>
          <w:kern w:val="2"/>
          <w:sz w:val="21"/>
          <w:szCs w:val="21"/>
        </w:rPr>
        <w:t>十三、合同份数</w:t>
      </w:r>
      <w:bookmarkEnd w:id="258"/>
      <w:bookmarkEnd w:id="259"/>
      <w:bookmarkEnd w:id="260"/>
    </w:p>
    <w:p w14:paraId="410F61D7">
      <w:pPr>
        <w:spacing w:line="360" w:lineRule="auto"/>
        <w:ind w:firstLine="560" w:firstLineChars="200"/>
        <w:rPr>
          <w:rFonts w:ascii="宋体" w:hAnsi="宋体"/>
          <w:bCs/>
          <w:color w:val="auto"/>
          <w:szCs w:val="21"/>
        </w:rPr>
      </w:pPr>
      <w:r>
        <w:rPr>
          <w:rFonts w:hint="eastAsia" w:ascii="宋体" w:hAnsi="宋体" w:cs="Microsoft Sans Serif"/>
          <w:bCs/>
          <w:color w:val="auto"/>
          <w:szCs w:val="21"/>
        </w:rPr>
        <w:t>合同一式</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u w:val="single"/>
          <w:lang w:eastAsia="zh-CN"/>
        </w:rPr>
        <w:t>捌</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rPr>
        <w:t>份，其中正本</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u w:val="single"/>
          <w:lang w:eastAsia="zh-CN"/>
        </w:rPr>
        <w:t>贰</w:t>
      </w:r>
      <w:r>
        <w:rPr>
          <w:rFonts w:hint="eastAsia" w:ascii="宋体" w:hAnsi="宋体" w:cs="Microsoft Sans Serif"/>
          <w:bCs/>
          <w:color w:val="auto"/>
          <w:szCs w:val="21"/>
          <w:u w:val="single"/>
          <w:lang w:val="en-US" w:eastAsia="zh-CN"/>
        </w:rPr>
        <w:t xml:space="preserve"> </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rPr>
        <w:t>份，双方各持</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u w:val="single"/>
          <w:lang w:eastAsia="zh-CN"/>
        </w:rPr>
        <w:t>壹</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u w:val="single"/>
          <w:lang w:val="en-US" w:eastAsia="zh-CN"/>
        </w:rPr>
        <w:t xml:space="preserve"> </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rPr>
        <w:t>份，副本</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u w:val="single"/>
          <w:lang w:eastAsia="zh-CN"/>
        </w:rPr>
        <w:t>陆</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rPr>
        <w:t>份，双方各执</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u w:val="single"/>
          <w:lang w:eastAsia="zh-CN"/>
        </w:rPr>
        <w:t>叁</w:t>
      </w:r>
      <w:r>
        <w:rPr>
          <w:rFonts w:hint="eastAsia" w:ascii="宋体" w:hAnsi="宋体" w:cs="Microsoft Sans Serif"/>
          <w:bCs/>
          <w:color w:val="auto"/>
          <w:szCs w:val="21"/>
          <w:u w:val="single"/>
        </w:rPr>
        <w:t xml:space="preserve">  </w:t>
      </w:r>
      <w:r>
        <w:rPr>
          <w:rFonts w:hint="eastAsia" w:ascii="宋体" w:hAnsi="宋体" w:cs="Microsoft Sans Serif"/>
          <w:bCs/>
          <w:color w:val="auto"/>
          <w:szCs w:val="21"/>
        </w:rPr>
        <w:t>份。副本与正本不一致时，以正本为准</w:t>
      </w:r>
      <w:r>
        <w:rPr>
          <w:rFonts w:hint="eastAsia" w:ascii="宋体" w:hAnsi="宋体"/>
          <w:bCs/>
          <w:color w:val="auto"/>
          <w:szCs w:val="21"/>
        </w:rPr>
        <w:t>。</w:t>
      </w:r>
    </w:p>
    <w:p w14:paraId="0905EC61">
      <w:pPr>
        <w:spacing w:line="360" w:lineRule="auto"/>
        <w:ind w:firstLine="560" w:firstLineChars="200"/>
        <w:rPr>
          <w:rFonts w:ascii="宋体" w:hAnsi="宋体"/>
          <w:bCs/>
          <w:color w:val="auto"/>
          <w:szCs w:val="21"/>
        </w:rPr>
      </w:pPr>
    </w:p>
    <w:p w14:paraId="18F70A57">
      <w:pPr>
        <w:spacing w:line="360" w:lineRule="auto"/>
        <w:ind w:firstLine="560" w:firstLineChars="200"/>
        <w:rPr>
          <w:rFonts w:ascii="宋体" w:hAnsi="宋体"/>
          <w:bCs/>
          <w:color w:val="auto"/>
          <w:szCs w:val="21"/>
        </w:rPr>
      </w:pPr>
      <w:r>
        <w:rPr>
          <w:rFonts w:hint="eastAsia" w:ascii="宋体" w:hAnsi="宋体"/>
          <w:bCs/>
          <w:color w:val="auto"/>
          <w:szCs w:val="21"/>
        </w:rPr>
        <w:t>（以下为签名盖章页）。</w:t>
      </w:r>
    </w:p>
    <w:p w14:paraId="35DF0DF4">
      <w:pPr>
        <w:pStyle w:val="23"/>
        <w:spacing w:line="360" w:lineRule="auto"/>
        <w:ind w:firstLine="640" w:firstLineChars="200"/>
        <w:rPr>
          <w:rFonts w:ascii="宋体" w:hAnsi="宋体"/>
          <w:color w:val="auto"/>
          <w:szCs w:val="21"/>
        </w:rPr>
      </w:pPr>
    </w:p>
    <w:p w14:paraId="3C03AB00">
      <w:pPr>
        <w:pStyle w:val="23"/>
        <w:spacing w:line="360" w:lineRule="auto"/>
        <w:ind w:firstLine="640" w:firstLineChars="200"/>
        <w:rPr>
          <w:rFonts w:ascii="宋体" w:hAnsi="宋体"/>
          <w:color w:val="auto"/>
          <w:szCs w:val="21"/>
        </w:rPr>
      </w:pPr>
    </w:p>
    <w:p w14:paraId="5A4798EE">
      <w:pPr>
        <w:adjustRightInd w:val="0"/>
        <w:spacing w:line="360" w:lineRule="auto"/>
        <w:ind w:firstLine="560" w:firstLineChars="200"/>
        <w:rPr>
          <w:rFonts w:ascii="宋体" w:hAnsi="宋体"/>
          <w:snapToGrid w:val="0"/>
          <w:color w:val="auto"/>
          <w:kern w:val="0"/>
          <w:szCs w:val="21"/>
        </w:rPr>
      </w:pPr>
      <w:bookmarkStart w:id="261" w:name="_Toc467689623"/>
      <w:r>
        <w:rPr>
          <w:rFonts w:ascii="宋体" w:hAnsi="宋体"/>
          <w:snapToGrid w:val="0"/>
          <w:color w:val="auto"/>
          <w:kern w:val="0"/>
          <w:szCs w:val="21"/>
        </w:rPr>
        <w:t>发包人：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eastAsia="zh-CN"/>
        </w:rPr>
        <w:t>重庆新翔源鞋业有限责任公司</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lang w:val="en-US" w:eastAsia="zh-CN"/>
        </w:rPr>
        <w:t>盖单位</w:t>
      </w:r>
      <w:r>
        <w:rPr>
          <w:rFonts w:ascii="宋体" w:hAnsi="宋体"/>
          <w:snapToGrid w:val="0"/>
          <w:color w:val="auto"/>
          <w:kern w:val="0"/>
          <w:szCs w:val="21"/>
        </w:rPr>
        <w:t>公章</w:t>
      </w:r>
      <w:r>
        <w:rPr>
          <w:rFonts w:hint="eastAsia" w:ascii="宋体" w:hAnsi="宋体"/>
          <w:snapToGrid w:val="0"/>
          <w:color w:val="auto"/>
          <w:kern w:val="0"/>
          <w:szCs w:val="21"/>
        </w:rPr>
        <w:t>或合同专用章</w:t>
      </w:r>
      <w:r>
        <w:rPr>
          <w:rFonts w:ascii="宋体" w:hAnsi="宋体"/>
          <w:snapToGrid w:val="0"/>
          <w:color w:val="auto"/>
          <w:kern w:val="0"/>
          <w:szCs w:val="21"/>
        </w:rPr>
        <w:t>）</w:t>
      </w:r>
    </w:p>
    <w:p w14:paraId="29D84A16">
      <w:pPr>
        <w:spacing w:line="360" w:lineRule="auto"/>
        <w:ind w:firstLine="560" w:firstLineChars="200"/>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w:t>
      </w:r>
    </w:p>
    <w:p w14:paraId="5FFC03F3">
      <w:pPr>
        <w:spacing w:line="360" w:lineRule="auto"/>
        <w:ind w:firstLine="560" w:firstLineChars="200"/>
        <w:rPr>
          <w:rFonts w:ascii="宋体" w:hAnsi="宋体"/>
          <w:snapToGrid w:val="0"/>
          <w:color w:val="auto"/>
          <w:kern w:val="0"/>
          <w:szCs w:val="21"/>
        </w:rPr>
      </w:pPr>
      <w:r>
        <w:rPr>
          <w:rFonts w:hint="eastAsia" w:ascii="宋体" w:hAnsi="宋体"/>
          <w:snapToGrid w:val="0"/>
          <w:color w:val="auto"/>
          <w:kern w:val="0"/>
          <w:szCs w:val="21"/>
        </w:rPr>
        <w:t>统一社会信用代码：</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lang w:val="en-US" w:eastAsia="zh-CN"/>
        </w:rPr>
        <w:t>91500118554097975B</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p>
    <w:p w14:paraId="6C9D2AE1">
      <w:pPr>
        <w:spacing w:line="360" w:lineRule="auto"/>
        <w:ind w:firstLine="560" w:firstLineChars="200"/>
        <w:rPr>
          <w:rFonts w:ascii="宋体" w:hAnsi="宋体"/>
          <w:snapToGrid w:val="0"/>
          <w:color w:val="auto"/>
          <w:kern w:val="0"/>
          <w:szCs w:val="21"/>
          <w:u w:val="single"/>
        </w:rPr>
      </w:pPr>
      <w:r>
        <w:rPr>
          <w:rFonts w:hint="eastAsia" w:ascii="宋体" w:hAnsi="宋体"/>
          <w:snapToGrid w:val="0"/>
          <w:color w:val="auto"/>
          <w:kern w:val="0"/>
          <w:szCs w:val="21"/>
        </w:rPr>
        <w:t>纳税人识别号：</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638D5AA3">
      <w:pPr>
        <w:spacing w:line="360" w:lineRule="auto"/>
        <w:ind w:firstLine="560" w:firstLineChars="200"/>
        <w:rPr>
          <w:rFonts w:ascii="宋体" w:hAnsi="宋体"/>
          <w:snapToGrid w:val="0"/>
          <w:color w:val="auto"/>
          <w:kern w:val="0"/>
          <w:szCs w:val="21"/>
          <w:u w:val="single"/>
        </w:rPr>
      </w:pPr>
      <w:r>
        <w:rPr>
          <w:rFonts w:hint="eastAsia" w:ascii="宋体" w:hAnsi="宋体"/>
          <w:snapToGrid w:val="0"/>
          <w:color w:val="auto"/>
          <w:kern w:val="0"/>
          <w:szCs w:val="21"/>
        </w:rPr>
        <w:t>地    址：</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永川区昌州大道西段1111号</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p>
    <w:p w14:paraId="1C4C02B4">
      <w:pPr>
        <w:spacing w:line="360" w:lineRule="auto"/>
        <w:ind w:firstLine="560" w:firstLineChars="200"/>
        <w:rPr>
          <w:rFonts w:ascii="宋体" w:hAnsi="宋体"/>
          <w:snapToGrid w:val="0"/>
          <w:color w:val="auto"/>
          <w:kern w:val="0"/>
          <w:szCs w:val="21"/>
          <w:u w:val="single"/>
        </w:rPr>
      </w:pPr>
      <w:r>
        <w:rPr>
          <w:rFonts w:hint="eastAsia" w:ascii="宋体" w:hAnsi="宋体"/>
          <w:snapToGrid w:val="0"/>
          <w:color w:val="auto"/>
          <w:kern w:val="0"/>
          <w:szCs w:val="21"/>
        </w:rPr>
        <w:t>电    话：</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023-61133082</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39706ED7">
      <w:pPr>
        <w:spacing w:line="360" w:lineRule="auto"/>
        <w:ind w:firstLine="560" w:firstLineChars="200"/>
        <w:rPr>
          <w:rFonts w:ascii="宋体" w:hAnsi="宋体"/>
          <w:snapToGrid w:val="0"/>
          <w:color w:val="auto"/>
          <w:kern w:val="0"/>
          <w:szCs w:val="21"/>
          <w:u w:val="single"/>
        </w:rPr>
      </w:pPr>
      <w:r>
        <w:rPr>
          <w:rFonts w:hint="eastAsia" w:ascii="宋体" w:hAnsi="宋体"/>
          <w:snapToGrid w:val="0"/>
          <w:color w:val="auto"/>
          <w:kern w:val="0"/>
          <w:szCs w:val="21"/>
        </w:rPr>
        <w:t>开户银行：</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重庆银行永川支行</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p>
    <w:p w14:paraId="604AFB26">
      <w:pPr>
        <w:spacing w:line="360" w:lineRule="auto"/>
        <w:ind w:firstLine="560" w:firstLineChars="200"/>
        <w:rPr>
          <w:rFonts w:ascii="宋体" w:hAnsi="宋体"/>
          <w:color w:val="auto"/>
          <w:szCs w:val="21"/>
        </w:rPr>
      </w:pPr>
      <w:r>
        <w:rPr>
          <w:rFonts w:hint="eastAsia" w:ascii="宋体" w:hAnsi="宋体"/>
          <w:snapToGrid w:val="0"/>
          <w:color w:val="auto"/>
          <w:kern w:val="0"/>
          <w:szCs w:val="21"/>
        </w:rPr>
        <w:t>账    号：</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580101040010104</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p>
    <w:p w14:paraId="583D581F">
      <w:pPr>
        <w:spacing w:line="360" w:lineRule="auto"/>
        <w:rPr>
          <w:rFonts w:ascii="宋体" w:hAnsi="宋体"/>
          <w:snapToGrid w:val="0"/>
          <w:color w:val="auto"/>
          <w:kern w:val="0"/>
          <w:szCs w:val="21"/>
        </w:rPr>
      </w:pPr>
    </w:p>
    <w:p w14:paraId="343245E6">
      <w:pPr>
        <w:spacing w:line="360" w:lineRule="auto"/>
        <w:ind w:firstLine="560" w:firstLineChars="200"/>
        <w:rPr>
          <w:rFonts w:ascii="宋体" w:hAnsi="宋体"/>
          <w:color w:val="auto"/>
          <w:szCs w:val="21"/>
        </w:rPr>
      </w:pPr>
      <w:r>
        <w:rPr>
          <w:rFonts w:ascii="宋体" w:hAnsi="宋体"/>
          <w:snapToGrid w:val="0"/>
          <w:color w:val="auto"/>
          <w:kern w:val="0"/>
          <w:szCs w:val="21"/>
        </w:rPr>
        <w:t>承包人：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ascii="宋体" w:hAnsi="宋体"/>
          <w:snapToGrid w:val="0"/>
          <w:color w:val="auto"/>
          <w:kern w:val="0"/>
          <w:szCs w:val="21"/>
          <w:u w:val="single"/>
        </w:rPr>
        <w:t xml:space="preserve">  </w:t>
      </w:r>
      <w:r>
        <w:rPr>
          <w:rFonts w:hint="eastAsia" w:ascii="宋体" w:hAnsi="宋体" w:cs="Times New Roman"/>
          <w:snapToGrid w:val="0"/>
          <w:color w:val="auto"/>
          <w:kern w:val="0"/>
          <w:szCs w:val="21"/>
          <w:u w:val="single"/>
          <w:lang w:val="en-US" w:eastAsia="zh-CN"/>
        </w:rPr>
        <w:t xml:space="preserve"> </w:t>
      </w:r>
      <w:r>
        <w:rPr>
          <w:rFonts w:hint="eastAsia" w:ascii="宋体" w:hAnsi="宋体" w:cs="Times New Roman"/>
          <w:snapToGrid w:val="0"/>
          <w:color w:val="auto"/>
          <w:kern w:val="0"/>
          <w:szCs w:val="21"/>
          <w:u w:val="single"/>
          <w:lang w:eastAsia="zh-CN"/>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lang w:val="en-US" w:eastAsia="zh-CN"/>
        </w:rPr>
        <w:t>盖单位</w:t>
      </w:r>
      <w:r>
        <w:rPr>
          <w:rFonts w:ascii="宋体" w:hAnsi="宋体"/>
          <w:snapToGrid w:val="0"/>
          <w:color w:val="auto"/>
          <w:kern w:val="0"/>
          <w:szCs w:val="21"/>
        </w:rPr>
        <w:t>公章</w:t>
      </w:r>
      <w:r>
        <w:rPr>
          <w:rFonts w:hint="eastAsia" w:ascii="宋体" w:hAnsi="宋体"/>
          <w:snapToGrid w:val="0"/>
          <w:color w:val="auto"/>
          <w:kern w:val="0"/>
          <w:szCs w:val="21"/>
        </w:rPr>
        <w:t>或合同专用章</w:t>
      </w:r>
      <w:r>
        <w:rPr>
          <w:rFonts w:ascii="宋体" w:hAnsi="宋体"/>
          <w:snapToGrid w:val="0"/>
          <w:color w:val="auto"/>
          <w:kern w:val="0"/>
          <w:szCs w:val="21"/>
        </w:rPr>
        <w:t>）</w:t>
      </w:r>
    </w:p>
    <w:p w14:paraId="36D9CB91">
      <w:pPr>
        <w:spacing w:line="360" w:lineRule="auto"/>
        <w:ind w:firstLine="560" w:firstLineChars="200"/>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w:t>
      </w:r>
    </w:p>
    <w:p w14:paraId="5899F240">
      <w:pPr>
        <w:spacing w:line="360" w:lineRule="auto"/>
        <w:ind w:firstLine="560" w:firstLineChars="200"/>
        <w:rPr>
          <w:rFonts w:ascii="宋体" w:hAnsi="宋体"/>
          <w:snapToGrid w:val="0"/>
          <w:color w:val="auto"/>
          <w:kern w:val="0"/>
          <w:szCs w:val="21"/>
        </w:rPr>
      </w:pPr>
      <w:r>
        <w:rPr>
          <w:rFonts w:hint="eastAsia" w:ascii="宋体" w:hAnsi="宋体"/>
          <w:snapToGrid w:val="0"/>
          <w:color w:val="auto"/>
          <w:kern w:val="0"/>
          <w:szCs w:val="21"/>
        </w:rPr>
        <w:t>统一社会信用代码：</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lang w:val="en-US" w:eastAsia="zh-CN"/>
        </w:rPr>
        <w:t xml:space="preserve"> </w:t>
      </w:r>
      <w:r>
        <w:rPr>
          <w:rFonts w:hint="eastAsia" w:ascii="宋体" w:hAnsi="宋体" w:cs="Times New Roman"/>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p>
    <w:p w14:paraId="1CC54B98">
      <w:pPr>
        <w:spacing w:line="360" w:lineRule="auto"/>
        <w:ind w:firstLine="560" w:firstLineChars="200"/>
        <w:rPr>
          <w:rFonts w:ascii="宋体" w:hAnsi="宋体"/>
          <w:snapToGrid w:val="0"/>
          <w:color w:val="auto"/>
          <w:kern w:val="0"/>
          <w:szCs w:val="21"/>
          <w:u w:val="single"/>
        </w:rPr>
      </w:pPr>
      <w:r>
        <w:rPr>
          <w:rFonts w:hint="eastAsia" w:ascii="宋体" w:hAnsi="宋体"/>
          <w:snapToGrid w:val="0"/>
          <w:color w:val="auto"/>
          <w:kern w:val="0"/>
          <w:szCs w:val="21"/>
        </w:rPr>
        <w:t>纳税人识别号：</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7943CDB2">
      <w:pPr>
        <w:spacing w:line="360" w:lineRule="auto"/>
        <w:ind w:firstLine="560" w:firstLineChars="200"/>
        <w:rPr>
          <w:rFonts w:ascii="宋体" w:hAnsi="宋体"/>
          <w:snapToGrid w:val="0"/>
          <w:color w:val="auto"/>
          <w:kern w:val="0"/>
          <w:szCs w:val="21"/>
          <w:u w:val="single"/>
        </w:rPr>
      </w:pPr>
      <w:r>
        <w:rPr>
          <w:rFonts w:hint="eastAsia" w:ascii="宋体" w:hAnsi="宋体"/>
          <w:snapToGrid w:val="0"/>
          <w:color w:val="auto"/>
          <w:kern w:val="0"/>
          <w:szCs w:val="21"/>
        </w:rPr>
        <w:t>地    址：</w:t>
      </w:r>
      <w:r>
        <w:rPr>
          <w:rFonts w:hint="eastAsia" w:ascii="宋体" w:hAnsi="宋体" w:cs="Times New Roman"/>
          <w:snapToGrid w:val="0"/>
          <w:color w:val="auto"/>
          <w:kern w:val="0"/>
          <w:szCs w:val="21"/>
          <w:u w:val="single"/>
          <w:lang w:eastAsia="zh-CN"/>
        </w:rPr>
        <w:t xml:space="preserve"> </w:t>
      </w:r>
      <w:r>
        <w:rPr>
          <w:rFonts w:hint="eastAsia" w:ascii="宋体" w:hAnsi="宋体" w:cs="Times New Roman"/>
          <w:snapToGrid w:val="0"/>
          <w:color w:val="auto"/>
          <w:kern w:val="0"/>
          <w:szCs w:val="21"/>
          <w:u w:val="single"/>
          <w:lang w:val="en-US" w:eastAsia="zh-CN"/>
        </w:rPr>
        <w:t xml:space="preserve">    </w:t>
      </w:r>
      <w:r>
        <w:rPr>
          <w:rFonts w:hint="eastAsia" w:ascii="宋体" w:hAnsi="宋体" w:cs="Times New Roman"/>
          <w:snapToGrid w:val="0"/>
          <w:color w:val="auto"/>
          <w:kern w:val="0"/>
          <w:szCs w:val="21"/>
          <w:u w:val="single"/>
          <w:lang w:eastAsia="zh-CN"/>
        </w:rPr>
        <w:t xml:space="preserve"> </w:t>
      </w:r>
      <w:r>
        <w:rPr>
          <w:rFonts w:hint="eastAsia" w:ascii="宋体" w:hAnsi="宋体" w:cs="Times New Roman"/>
          <w:snapToGrid w:val="0"/>
          <w:color w:val="auto"/>
          <w:kern w:val="0"/>
          <w:szCs w:val="21"/>
          <w:u w:val="single"/>
          <w:lang w:val="en-US" w:eastAsia="zh-CN"/>
        </w:rPr>
        <w:t xml:space="preserve">   </w:t>
      </w:r>
      <w:r>
        <w:rPr>
          <w:rFonts w:hint="eastAsia" w:ascii="宋体" w:hAnsi="宋体" w:cs="Times New Roman"/>
          <w:snapToGrid w:val="0"/>
          <w:color w:val="auto"/>
          <w:kern w:val="0"/>
          <w:szCs w:val="21"/>
          <w:u w:val="single"/>
          <w:lang w:eastAsia="zh-CN"/>
        </w:rPr>
        <w:t xml:space="preserve">  </w:t>
      </w:r>
    </w:p>
    <w:p w14:paraId="214B60C9">
      <w:pPr>
        <w:spacing w:line="360" w:lineRule="auto"/>
        <w:ind w:firstLine="560" w:firstLineChars="200"/>
        <w:rPr>
          <w:rFonts w:ascii="宋体" w:hAnsi="宋体"/>
          <w:snapToGrid w:val="0"/>
          <w:color w:val="auto"/>
          <w:kern w:val="0"/>
          <w:szCs w:val="21"/>
          <w:u w:val="single"/>
        </w:rPr>
      </w:pPr>
      <w:r>
        <w:rPr>
          <w:rFonts w:hint="eastAsia" w:ascii="宋体" w:hAnsi="宋体"/>
          <w:snapToGrid w:val="0"/>
          <w:color w:val="auto"/>
          <w:kern w:val="0"/>
          <w:szCs w:val="21"/>
        </w:rPr>
        <w:t>电    话：</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14:paraId="68D679D1">
      <w:pPr>
        <w:spacing w:line="360" w:lineRule="auto"/>
        <w:ind w:firstLine="560" w:firstLineChars="200"/>
        <w:rPr>
          <w:rFonts w:ascii="宋体" w:hAnsi="宋体"/>
          <w:snapToGrid w:val="0"/>
          <w:color w:val="auto"/>
          <w:kern w:val="0"/>
          <w:szCs w:val="21"/>
          <w:u w:val="single"/>
        </w:rPr>
      </w:pPr>
      <w:r>
        <w:rPr>
          <w:rFonts w:hint="eastAsia" w:ascii="宋体" w:hAnsi="宋体"/>
          <w:snapToGrid w:val="0"/>
          <w:color w:val="auto"/>
          <w:kern w:val="0"/>
          <w:szCs w:val="21"/>
        </w:rPr>
        <w:t>开户银行：</w:t>
      </w:r>
      <w:r>
        <w:rPr>
          <w:rFonts w:hint="eastAsia" w:ascii="宋体" w:hAnsi="宋体" w:cs="Times New Roman"/>
          <w:snapToGrid w:val="0"/>
          <w:color w:val="auto"/>
          <w:kern w:val="0"/>
          <w:szCs w:val="21"/>
          <w:u w:val="single"/>
          <w:lang w:eastAsia="zh-CN"/>
        </w:rPr>
        <w:t xml:space="preserve">  </w:t>
      </w:r>
      <w:r>
        <w:rPr>
          <w:rFonts w:hint="eastAsia" w:ascii="宋体" w:hAnsi="宋体" w:cs="Times New Roman"/>
          <w:snapToGrid w:val="0"/>
          <w:color w:val="auto"/>
          <w:kern w:val="0"/>
          <w:szCs w:val="21"/>
          <w:u w:val="single"/>
          <w:lang w:val="en-US" w:eastAsia="zh-CN"/>
        </w:rPr>
        <w:t xml:space="preserve"> </w:t>
      </w:r>
      <w:r>
        <w:rPr>
          <w:rFonts w:hint="eastAsia" w:ascii="宋体" w:hAnsi="宋体" w:cs="Times New Roman"/>
          <w:snapToGrid w:val="0"/>
          <w:color w:val="auto"/>
          <w:kern w:val="0"/>
          <w:szCs w:val="21"/>
          <w:u w:val="single"/>
          <w:lang w:eastAsia="zh-CN"/>
        </w:rPr>
        <w:t xml:space="preserve">   </w:t>
      </w:r>
    </w:p>
    <w:p w14:paraId="317E643C">
      <w:pPr>
        <w:spacing w:line="360" w:lineRule="auto"/>
        <w:ind w:firstLine="560" w:firstLineChars="200"/>
        <w:rPr>
          <w:rFonts w:ascii="宋体" w:hAnsi="宋体"/>
          <w:snapToGrid w:val="0"/>
          <w:color w:val="auto"/>
          <w:kern w:val="0"/>
          <w:szCs w:val="21"/>
          <w:u w:val="single"/>
        </w:rPr>
      </w:pPr>
      <w:r>
        <w:rPr>
          <w:rFonts w:hint="eastAsia" w:ascii="宋体" w:hAnsi="宋体"/>
          <w:snapToGrid w:val="0"/>
          <w:color w:val="auto"/>
          <w:kern w:val="0"/>
          <w:szCs w:val="21"/>
        </w:rPr>
        <w:t>账    号：</w:t>
      </w:r>
      <w:r>
        <w:rPr>
          <w:rFonts w:ascii="宋体" w:hAnsi="宋体"/>
          <w:snapToGrid w:val="0"/>
          <w:color w:val="auto"/>
          <w:w w:val="200"/>
          <w:kern w:val="0"/>
          <w:szCs w:val="21"/>
          <w:u w:val="single"/>
        </w:rPr>
        <w:t xml:space="preserve"> </w:t>
      </w:r>
      <w:r>
        <w:rPr>
          <w:rFonts w:hint="eastAsia" w:ascii="宋体" w:hAnsi="宋体" w:cs="Times New Roman"/>
          <w:snapToGrid w:val="0"/>
          <w:color w:val="auto"/>
          <w:kern w:val="0"/>
          <w:szCs w:val="21"/>
          <w:u w:val="single"/>
          <w:lang w:eastAsia="zh-CN"/>
        </w:rPr>
        <w:t xml:space="preserve"> </w:t>
      </w:r>
      <w:r>
        <w:rPr>
          <w:rFonts w:hint="eastAsia" w:ascii="宋体" w:hAnsi="宋体" w:cs="Times New Roman"/>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p>
    <w:p w14:paraId="0607D976">
      <w:pPr>
        <w:pStyle w:val="23"/>
        <w:spacing w:line="360" w:lineRule="auto"/>
        <w:rPr>
          <w:rFonts w:ascii="宋体" w:hAnsi="宋体"/>
          <w:color w:val="auto"/>
          <w:szCs w:val="21"/>
        </w:rPr>
      </w:pPr>
    </w:p>
    <w:p w14:paraId="6DC40819">
      <w:pPr>
        <w:spacing w:line="360" w:lineRule="auto"/>
        <w:jc w:val="right"/>
        <w:rPr>
          <w:rFonts w:ascii="宋体" w:hAnsi="宋体"/>
          <w:snapToGrid w:val="0"/>
          <w:color w:val="auto"/>
          <w:kern w:val="0"/>
          <w:szCs w:val="21"/>
        </w:rPr>
      </w:pPr>
    </w:p>
    <w:p w14:paraId="533D9C97">
      <w:pPr>
        <w:spacing w:line="360" w:lineRule="auto"/>
        <w:jc w:val="right"/>
        <w:rPr>
          <w:rFonts w:ascii="宋体" w:hAnsi="宋体"/>
          <w:snapToGrid w:val="0"/>
          <w:color w:val="auto"/>
          <w:kern w:val="0"/>
          <w:szCs w:val="21"/>
        </w:rPr>
      </w:pPr>
    </w:p>
    <w:p w14:paraId="7E2A55D9">
      <w:pPr>
        <w:spacing w:line="360" w:lineRule="auto"/>
        <w:jc w:val="right"/>
        <w:rPr>
          <w:rFonts w:ascii="宋体" w:hAnsi="宋体"/>
          <w:snapToGrid w:val="0"/>
          <w:color w:val="auto"/>
          <w:kern w:val="0"/>
          <w:szCs w:val="21"/>
        </w:rPr>
      </w:pPr>
      <w:r>
        <w:rPr>
          <w:rFonts w:hint="eastAsia" w:ascii="宋体" w:hAnsi="宋体"/>
          <w:snapToGrid w:val="0"/>
          <w:color w:val="auto"/>
          <w:kern w:val="0"/>
          <w:szCs w:val="21"/>
        </w:rPr>
        <w:t>签约时间：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2025</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日</w:t>
      </w:r>
      <w:bookmarkEnd w:id="261"/>
    </w:p>
    <w:p w14:paraId="5ABCCC67">
      <w:pPr>
        <w:pStyle w:val="5"/>
        <w:jc w:val="center"/>
        <w:rPr>
          <w:rFonts w:ascii="宋体" w:hAnsi="宋体"/>
          <w:bCs w:val="0"/>
          <w:color w:val="auto"/>
          <w:sz w:val="21"/>
          <w:szCs w:val="21"/>
        </w:rPr>
      </w:pPr>
      <w:r>
        <w:rPr>
          <w:rFonts w:hint="eastAsia" w:ascii="宋体" w:hAnsi="宋体"/>
          <w:b w:val="0"/>
          <w:snapToGrid w:val="0"/>
          <w:color w:val="auto"/>
          <w:sz w:val="21"/>
          <w:szCs w:val="21"/>
          <w:lang w:val="zh-CN"/>
        </w:rPr>
        <w:br w:type="page"/>
      </w:r>
      <w:bookmarkStart w:id="262" w:name="_Toc57820638"/>
      <w:bookmarkStart w:id="263" w:name="_Toc532375586"/>
      <w:bookmarkStart w:id="264" w:name="_Toc15403"/>
      <w:bookmarkStart w:id="265" w:name="_Toc4512"/>
      <w:bookmarkStart w:id="266" w:name="_Toc532377179"/>
      <w:bookmarkStart w:id="267" w:name="_Toc529388289"/>
      <w:bookmarkStart w:id="268" w:name="_Toc24915"/>
      <w:r>
        <w:rPr>
          <w:rFonts w:hint="eastAsia" w:ascii="宋体" w:hAnsi="宋体"/>
          <w:color w:val="auto"/>
          <w:sz w:val="44"/>
          <w:szCs w:val="44"/>
        </w:rPr>
        <w:t>第二部分 通用合同条款</w:t>
      </w:r>
      <w:bookmarkEnd w:id="262"/>
      <w:bookmarkEnd w:id="263"/>
      <w:bookmarkEnd w:id="264"/>
      <w:bookmarkEnd w:id="265"/>
      <w:bookmarkEnd w:id="266"/>
      <w:bookmarkEnd w:id="267"/>
      <w:bookmarkEnd w:id="268"/>
    </w:p>
    <w:p w14:paraId="6DECF8FB">
      <w:pPr>
        <w:pStyle w:val="6"/>
        <w:keepNext/>
        <w:keepLines/>
        <w:spacing w:before="156" w:beforeLines="50" w:beforeAutospacing="0" w:after="156" w:afterLines="50" w:afterAutospacing="0" w:line="360" w:lineRule="auto"/>
        <w:jc w:val="both"/>
        <w:rPr>
          <w:color w:val="auto"/>
          <w:kern w:val="2"/>
          <w:sz w:val="21"/>
          <w:szCs w:val="21"/>
        </w:rPr>
      </w:pPr>
      <w:bookmarkStart w:id="269" w:name="_Toc532377180"/>
      <w:bookmarkStart w:id="270" w:name="_Toc532375587"/>
      <w:bookmarkStart w:id="271" w:name="_Toc351203495"/>
      <w:r>
        <w:rPr>
          <w:rFonts w:hint="eastAsia"/>
          <w:color w:val="auto"/>
          <w:kern w:val="2"/>
          <w:sz w:val="21"/>
          <w:szCs w:val="21"/>
        </w:rPr>
        <w:t>1.</w:t>
      </w:r>
      <w:bookmarkStart w:id="272" w:name="_Toc303538976"/>
      <w:bookmarkEnd w:id="272"/>
      <w:bookmarkStart w:id="273" w:name="_Toc303538974"/>
      <w:bookmarkEnd w:id="273"/>
      <w:bookmarkStart w:id="274" w:name="_Toc303538975"/>
      <w:bookmarkEnd w:id="274"/>
      <w:bookmarkStart w:id="275" w:name="_Toc303538972"/>
      <w:bookmarkEnd w:id="275"/>
      <w:bookmarkStart w:id="276" w:name="_Toc303538973"/>
      <w:bookmarkEnd w:id="276"/>
      <w:bookmarkStart w:id="277" w:name="_Toc296346528"/>
      <w:bookmarkStart w:id="278" w:name="_Toc296503027"/>
      <w:r>
        <w:rPr>
          <w:rFonts w:hint="eastAsia"/>
          <w:color w:val="auto"/>
          <w:kern w:val="2"/>
          <w:sz w:val="21"/>
          <w:szCs w:val="21"/>
        </w:rPr>
        <w:t>一般约定</w:t>
      </w:r>
      <w:bookmarkEnd w:id="269"/>
      <w:bookmarkEnd w:id="270"/>
      <w:bookmarkEnd w:id="271"/>
      <w:bookmarkEnd w:id="277"/>
      <w:bookmarkEnd w:id="278"/>
    </w:p>
    <w:p w14:paraId="4D6E72BF">
      <w:pPr>
        <w:pStyle w:val="7"/>
        <w:spacing w:before="0" w:beforeAutospacing="0" w:after="0" w:afterAutospacing="0" w:line="360" w:lineRule="auto"/>
        <w:ind w:firstLine="422" w:firstLineChars="200"/>
        <w:rPr>
          <w:color w:val="auto"/>
          <w:sz w:val="21"/>
          <w:szCs w:val="21"/>
        </w:rPr>
      </w:pPr>
      <w:bookmarkStart w:id="279" w:name="_Toc296346529"/>
      <w:bookmarkStart w:id="280" w:name="_Toc296503028"/>
      <w:bookmarkStart w:id="281" w:name="_Toc337558728"/>
      <w:bookmarkStart w:id="282" w:name="_Toc532377181"/>
      <w:bookmarkStart w:id="283" w:name="_Toc351203496"/>
      <w:r>
        <w:rPr>
          <w:rFonts w:hint="eastAsia"/>
          <w:color w:val="auto"/>
          <w:sz w:val="21"/>
          <w:szCs w:val="21"/>
        </w:rPr>
        <w:t>1.1词语定义</w:t>
      </w:r>
      <w:bookmarkEnd w:id="279"/>
      <w:bookmarkEnd w:id="280"/>
      <w:bookmarkEnd w:id="281"/>
      <w:r>
        <w:rPr>
          <w:rFonts w:hint="eastAsia"/>
          <w:color w:val="auto"/>
          <w:sz w:val="21"/>
          <w:szCs w:val="21"/>
        </w:rPr>
        <w:t>与解释</w:t>
      </w:r>
      <w:bookmarkEnd w:id="282"/>
      <w:bookmarkEnd w:id="283"/>
    </w:p>
    <w:p w14:paraId="40F5E72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合同协议书、通用合同条款、专用合同条款中的下列词语具有本款所赋予的含义：</w:t>
      </w:r>
    </w:p>
    <w:p w14:paraId="3BD993F8">
      <w:pPr>
        <w:pStyle w:val="7"/>
        <w:spacing w:before="0" w:beforeAutospacing="0" w:after="0" w:afterAutospacing="0" w:line="360" w:lineRule="auto"/>
        <w:ind w:firstLine="420" w:firstLineChars="200"/>
        <w:rPr>
          <w:b w:val="0"/>
          <w:bCs w:val="0"/>
          <w:color w:val="auto"/>
          <w:sz w:val="21"/>
          <w:szCs w:val="21"/>
        </w:rPr>
      </w:pPr>
      <w:bookmarkStart w:id="284" w:name="_Toc532377182"/>
      <w:r>
        <w:rPr>
          <w:rFonts w:hint="eastAsia"/>
          <w:b w:val="0"/>
          <w:bCs w:val="0"/>
          <w:color w:val="auto"/>
          <w:sz w:val="21"/>
          <w:szCs w:val="21"/>
        </w:rPr>
        <w:t>1.1.1 合同</w:t>
      </w:r>
      <w:bookmarkEnd w:id="284"/>
    </w:p>
    <w:p w14:paraId="4C6F8BA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1.1.1.1 合同：是指根据法律规定和合同当事人约定具有约束力的文件，构成合同的文件包括合同协议书、中标通知书（如有）、</w:t>
      </w:r>
      <w:r>
        <w:rPr>
          <w:rFonts w:hint="eastAsia" w:ascii="宋体" w:hAnsi="宋体"/>
          <w:color w:val="auto"/>
          <w:kern w:val="0"/>
          <w:szCs w:val="21"/>
          <w:lang w:eastAsia="zh-CN"/>
        </w:rPr>
        <w:t>报价函</w:t>
      </w:r>
      <w:r>
        <w:rPr>
          <w:rFonts w:hint="eastAsia" w:ascii="宋体" w:hAnsi="宋体"/>
          <w:color w:val="auto"/>
          <w:kern w:val="0"/>
          <w:szCs w:val="21"/>
        </w:rPr>
        <w:t>及其附录（如有）、专用合同条款</w:t>
      </w:r>
      <w:r>
        <w:rPr>
          <w:rFonts w:hint="eastAsia" w:ascii="宋体" w:hAnsi="宋体"/>
          <w:color w:val="auto"/>
          <w:szCs w:val="21"/>
        </w:rPr>
        <w:t>及其附件</w:t>
      </w:r>
      <w:r>
        <w:rPr>
          <w:rFonts w:hint="eastAsia" w:ascii="宋体" w:hAnsi="宋体"/>
          <w:color w:val="auto"/>
          <w:kern w:val="0"/>
          <w:szCs w:val="21"/>
        </w:rPr>
        <w:t>、通用合同条款、技术标准和要求、图纸、已标价工程量清单或预算书以及其他合同文件。</w:t>
      </w:r>
    </w:p>
    <w:p w14:paraId="00A65F6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1.1.1.2 合同协议书：是指构成合同的由发包人和承包人共同签署的称为“合同协议书”的书面文件。</w:t>
      </w:r>
    </w:p>
    <w:p w14:paraId="366BCCE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1.1.1.3 中标通知书：是指构成合同的由发包人通知承包人中标的书面文件。</w:t>
      </w:r>
    </w:p>
    <w:p w14:paraId="15F913C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1.1.1.4 </w:t>
      </w:r>
      <w:r>
        <w:rPr>
          <w:rFonts w:hint="eastAsia" w:ascii="宋体" w:hAnsi="宋体"/>
          <w:color w:val="auto"/>
          <w:kern w:val="0"/>
          <w:szCs w:val="21"/>
          <w:lang w:eastAsia="zh-CN"/>
        </w:rPr>
        <w:t>报价函</w:t>
      </w:r>
      <w:r>
        <w:rPr>
          <w:rFonts w:hint="eastAsia" w:ascii="宋体" w:hAnsi="宋体"/>
          <w:color w:val="auto"/>
          <w:kern w:val="0"/>
          <w:szCs w:val="21"/>
        </w:rPr>
        <w:t>：是指构成合同的由承包人填写并签署的用于投标的称为“</w:t>
      </w:r>
      <w:r>
        <w:rPr>
          <w:rFonts w:hint="eastAsia" w:ascii="宋体" w:hAnsi="宋体"/>
          <w:color w:val="auto"/>
          <w:kern w:val="0"/>
          <w:szCs w:val="21"/>
          <w:lang w:eastAsia="zh-CN"/>
        </w:rPr>
        <w:t>报价函</w:t>
      </w:r>
      <w:r>
        <w:rPr>
          <w:rFonts w:hint="eastAsia" w:ascii="宋体" w:hAnsi="宋体"/>
          <w:color w:val="auto"/>
          <w:kern w:val="0"/>
          <w:szCs w:val="21"/>
        </w:rPr>
        <w:t>”的文件。</w:t>
      </w:r>
    </w:p>
    <w:p w14:paraId="6C7E926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1.1.1.5 </w:t>
      </w:r>
      <w:r>
        <w:rPr>
          <w:rFonts w:hint="eastAsia" w:ascii="宋体" w:hAnsi="宋体"/>
          <w:color w:val="auto"/>
          <w:kern w:val="0"/>
          <w:szCs w:val="21"/>
          <w:lang w:eastAsia="zh-CN"/>
        </w:rPr>
        <w:t>报价函</w:t>
      </w:r>
      <w:r>
        <w:rPr>
          <w:rFonts w:hint="eastAsia" w:ascii="宋体" w:hAnsi="宋体"/>
          <w:color w:val="auto"/>
          <w:kern w:val="0"/>
          <w:szCs w:val="21"/>
        </w:rPr>
        <w:t>附录：是指构成合同的附在</w:t>
      </w:r>
      <w:r>
        <w:rPr>
          <w:rFonts w:hint="eastAsia" w:ascii="宋体" w:hAnsi="宋体"/>
          <w:color w:val="auto"/>
          <w:kern w:val="0"/>
          <w:szCs w:val="21"/>
          <w:lang w:eastAsia="zh-CN"/>
        </w:rPr>
        <w:t>报价函</w:t>
      </w:r>
      <w:r>
        <w:rPr>
          <w:rFonts w:hint="eastAsia" w:ascii="宋体" w:hAnsi="宋体"/>
          <w:color w:val="auto"/>
          <w:kern w:val="0"/>
          <w:szCs w:val="21"/>
        </w:rPr>
        <w:t>后的称为“</w:t>
      </w:r>
      <w:r>
        <w:rPr>
          <w:rFonts w:hint="eastAsia" w:ascii="宋体" w:hAnsi="宋体"/>
          <w:color w:val="auto"/>
          <w:kern w:val="0"/>
          <w:szCs w:val="21"/>
          <w:lang w:eastAsia="zh-CN"/>
        </w:rPr>
        <w:t>报价函</w:t>
      </w:r>
      <w:r>
        <w:rPr>
          <w:rFonts w:hint="eastAsia" w:ascii="宋体" w:hAnsi="宋体"/>
          <w:color w:val="auto"/>
          <w:kern w:val="0"/>
          <w:szCs w:val="21"/>
        </w:rPr>
        <w:t>附录”的文件。</w:t>
      </w:r>
    </w:p>
    <w:p w14:paraId="518C287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1.1.1.6 技术标准和要求：是指构成合同的施工应当遵守的或指导施工的国家、行业或地方的技术标准和要求，以及合同约定的技术标准和要求。</w:t>
      </w:r>
    </w:p>
    <w:p w14:paraId="7DD7A07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4812BB7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1.1.1.8 已标价工程量清单：是指构成合同的由承包人按照规定的格式和要求填写并标明价格的工程量清单，包括说明和表格。</w:t>
      </w:r>
    </w:p>
    <w:p w14:paraId="51FCE44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1.1.1.9 预算书：是指构成合同的由承包人按照发包人规定的格式和要求编制的工程预算文件。</w:t>
      </w:r>
    </w:p>
    <w:p w14:paraId="2F52275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1.1.1.10 其他合同文件：是指经合同当事人约定的与工程施工有关的具有合同约束力的文件或书面协议。合同当事人可以在专用合同条款中进行约定。</w:t>
      </w:r>
    </w:p>
    <w:p w14:paraId="3E7A0EF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1.1.2 合同当事人及其他相关方</w:t>
      </w:r>
    </w:p>
    <w:p w14:paraId="673FAAD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1.1.2.1 合同当事人：是指发包人和（或）承包人。</w:t>
      </w:r>
    </w:p>
    <w:p w14:paraId="3299D88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1.1.2.2 发包人：是指与承包人签订合同协议书的当事人及取得该当事人资格的合法继承人。</w:t>
      </w:r>
    </w:p>
    <w:p w14:paraId="03F1892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1.1.2.3 承包人：是指与发包人签订合同协议书的，具有相应工程施工承包资质的当事人及取得该当事人资格的合法继承人。</w:t>
      </w:r>
    </w:p>
    <w:p w14:paraId="30422A7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1.1.2.4 监理人：是指在专用合同条款中指明的，受发包人委托按照法律规定进行工程监督管理的法人或其他组织。</w:t>
      </w:r>
    </w:p>
    <w:p w14:paraId="25BC2D2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1.1.2.5 设计人：是指在专用合同条款中指明的，受发包人委托负责工程设计并具备相应工程设计资质的法人或其他组织。</w:t>
      </w:r>
    </w:p>
    <w:p w14:paraId="2B581B8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1.1.2.6 分包人：</w:t>
      </w:r>
      <w:bookmarkStart w:id="285" w:name="#go5"/>
      <w:bookmarkEnd w:id="285"/>
      <w:r>
        <w:rPr>
          <w:rFonts w:hint="eastAsia" w:ascii="宋体" w:hAnsi="宋体"/>
          <w:color w:val="auto"/>
          <w:kern w:val="0"/>
          <w:szCs w:val="21"/>
        </w:rPr>
        <w:t>是指按照法律规定和合同约定，分包部分工程或工作，并与承包人签订分包合同的具有相应资质的法人。</w:t>
      </w:r>
    </w:p>
    <w:p w14:paraId="7EFDDE3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1.1.2.7 发包人代表：是指由发包人任命并派驻施工现场在发包人授权范围内行使发包人权利的人。</w:t>
      </w:r>
    </w:p>
    <w:p w14:paraId="4844DD3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1.1.2.8 项目经理：是指由承包人任命并派驻施工现场，在承包人授权范围内负责合同履行，且按照法律规定具有相应资格的项目负责人。</w:t>
      </w:r>
    </w:p>
    <w:p w14:paraId="61B1C87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1.1.2.9 总监理工程师：是指由监理人任命并派驻施工现场进行工程监理的总负责人。</w:t>
      </w:r>
    </w:p>
    <w:p w14:paraId="3254964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1.1.3 工程和设备</w:t>
      </w:r>
    </w:p>
    <w:p w14:paraId="1ED912B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1.1.3.1 工程：是指与合同协议书中工程承包范围对应的永久工程和（或）临时工程。</w:t>
      </w:r>
    </w:p>
    <w:p w14:paraId="0D1ADC9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1.1.3.2 永久工程：是指按合同约定建造并移交给发包人的工程，包括工程设备。</w:t>
      </w:r>
    </w:p>
    <w:p w14:paraId="6D60A29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1.1.3.3 临时工程：是指为完成合同约定的永久工程所修建的各类临时性工程，不包括施工设备。</w:t>
      </w:r>
    </w:p>
    <w:p w14:paraId="30E83D4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1.1.3.4 单位工程：是指在合同协议书中指明的，具备独立施工条件并能形成独立使用功能的永久工程。</w:t>
      </w:r>
    </w:p>
    <w:p w14:paraId="29D2649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1.1.3.5 工程设备：是指构成永久工程的机电设备、金属结构设备、仪器及其他类似的设备和装置。</w:t>
      </w:r>
    </w:p>
    <w:p w14:paraId="068CE4E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1.1.3.6 施工设备：是指为完成合同约定的各项工作所需的设备、器具和其他物品，但不包括工程设备、临时工程和材料。</w:t>
      </w:r>
    </w:p>
    <w:p w14:paraId="2E987FA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1.1.3.7 施工现场：是指用于工程施工的场所，以及在专用合同条款中指明作为施工场所组成部分的其他场所，包括永久占地和临时占地。</w:t>
      </w:r>
    </w:p>
    <w:p w14:paraId="77D13D6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1.1.3.8临时设施：是指为完成合同约定的各项工作所服务的临时性生产和生活设施。</w:t>
      </w:r>
    </w:p>
    <w:p w14:paraId="62B3BD5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1.1.3.9 永久占地：是指专用合同条款中指明为实施工程需永久占用的土地。</w:t>
      </w:r>
    </w:p>
    <w:p w14:paraId="0953C43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1.1.3.10 临时占地：是指专用合同条款中指明为实施工程需要临时占用的土地。</w:t>
      </w:r>
    </w:p>
    <w:p w14:paraId="71A50DA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1.1.4 日期和期限</w:t>
      </w:r>
    </w:p>
    <w:p w14:paraId="23FD6F6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4A6E598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1.1.4.2 竣工日期：包括计划竣工日期和实际竣工日期。计划竣工日期是指合同协议书约定的竣工日期；实际竣工日期按照第13.2.3项〔竣工日期〕的约定确定。 </w:t>
      </w:r>
    </w:p>
    <w:p w14:paraId="65C0FFAA">
      <w:pPr>
        <w:spacing w:line="360" w:lineRule="auto"/>
        <w:ind w:firstLine="560" w:firstLineChars="200"/>
        <w:jc w:val="left"/>
        <w:rPr>
          <w:rFonts w:ascii="宋体" w:hAnsi="宋体"/>
          <w:color w:val="auto"/>
          <w:szCs w:val="21"/>
        </w:rPr>
      </w:pPr>
      <w:r>
        <w:rPr>
          <w:rFonts w:hint="eastAsia" w:ascii="宋体" w:hAnsi="宋体"/>
          <w:color w:val="auto"/>
          <w:kern w:val="0"/>
          <w:szCs w:val="21"/>
        </w:rPr>
        <w:t>1.1.4.3 工期：是指在合同协议书约定的承包人完成工程所需的期限，包括按照合同约定所作的期限变更。</w:t>
      </w:r>
    </w:p>
    <w:p w14:paraId="41D9023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1.1.4.4 缺陷责任期：是指承包人按照合同约定承担缺陷修复义务，且发包人预留质量保证金（已缴纳履约保证金的除外）的期限，自工程实际竣工日期起计算。</w:t>
      </w:r>
    </w:p>
    <w:p w14:paraId="79164FD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1.1.4.5 保修期：是指承包人按照合同约定对工程承担保修责任的期限，从工程竣工验收合格之日起计算。</w:t>
      </w:r>
    </w:p>
    <w:p w14:paraId="4C84236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1.1.4.6 基准日期：招标发包的工程以投标截止日前28天的日期为基准日期，直接发包的工程以合同签订日前28天的日期为基准日期。</w:t>
      </w:r>
    </w:p>
    <w:p w14:paraId="0141CB2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1.1.4.7 天：除特别指明外，均指日历天。合同中按天计算时间的，开始当天不计入，从次日开始计算，期限最后一天的截止时间为当天24：00时。</w:t>
      </w:r>
    </w:p>
    <w:p w14:paraId="21C1254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1.1.5 合同价格和费用</w:t>
      </w:r>
    </w:p>
    <w:p w14:paraId="01542CF8">
      <w:pPr>
        <w:spacing w:line="360" w:lineRule="auto"/>
        <w:ind w:firstLine="560" w:firstLineChars="200"/>
        <w:jc w:val="left"/>
        <w:rPr>
          <w:rFonts w:ascii="宋体" w:hAnsi="宋体"/>
          <w:color w:val="auto"/>
          <w:szCs w:val="21"/>
        </w:rPr>
      </w:pPr>
      <w:r>
        <w:rPr>
          <w:rFonts w:hint="eastAsia" w:ascii="宋体" w:hAnsi="宋体"/>
          <w:color w:val="auto"/>
          <w:kern w:val="0"/>
          <w:szCs w:val="21"/>
        </w:rPr>
        <w:t>1.1.5.1 签约合同价：是指</w:t>
      </w:r>
      <w:r>
        <w:rPr>
          <w:rFonts w:hint="eastAsia" w:ascii="宋体" w:hAnsi="宋体"/>
          <w:color w:val="auto"/>
          <w:szCs w:val="21"/>
        </w:rPr>
        <w:t>发包人和承包人在合同协议书中确定的总金额，包括安全文明施工费、暂估价及暂列金额等。</w:t>
      </w:r>
    </w:p>
    <w:p w14:paraId="67AD992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1.1.5.2 合同价格：是指发包人用于支付承包人按照合同约定完成承包范围内全部工作的金额，包括合同履行过程中按合同约定发生的价格变化。</w:t>
      </w:r>
    </w:p>
    <w:p w14:paraId="744C191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1.1.5.3 费用：是指为履行合同所发生的或将要发生的所有必需的开支，包括管理费和应分摊的其他费用，但不包括利润。</w:t>
      </w:r>
    </w:p>
    <w:p w14:paraId="40D8D5D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1.1.5.4 暂估价：是指发包人在工程量清单或预算书中提供的用于支付必然发生但暂时不能确定价格的材料、工程设备的单价、专业工程以及服务工作的金额。</w:t>
      </w:r>
    </w:p>
    <w:p w14:paraId="63AFB83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CE1D9B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1.1.5.6 计日工：是指合同履行过程中，承包人完成发包人提出的零星工作或需要采用计日工计价的变更工作时，按合同中约定的单价计价的一种方式。</w:t>
      </w:r>
    </w:p>
    <w:p w14:paraId="07BDAB58">
      <w:pPr>
        <w:spacing w:line="360" w:lineRule="auto"/>
        <w:ind w:firstLine="560" w:firstLineChars="200"/>
        <w:jc w:val="left"/>
        <w:rPr>
          <w:rFonts w:ascii="宋体" w:hAnsi="宋体"/>
          <w:color w:val="auto"/>
          <w:szCs w:val="21"/>
        </w:rPr>
      </w:pPr>
      <w:r>
        <w:rPr>
          <w:rFonts w:hint="eastAsia" w:ascii="宋体" w:hAnsi="宋体"/>
          <w:color w:val="auto"/>
          <w:kern w:val="0"/>
          <w:szCs w:val="21"/>
        </w:rPr>
        <w:t>1.1.5.7 质量保证金</w:t>
      </w:r>
      <w:bookmarkStart w:id="286" w:name="#go2"/>
      <w:bookmarkEnd w:id="286"/>
      <w:r>
        <w:rPr>
          <w:rFonts w:hint="eastAsia" w:ascii="宋体" w:hAnsi="宋体"/>
          <w:color w:val="auto"/>
          <w:kern w:val="0"/>
          <w:szCs w:val="21"/>
        </w:rPr>
        <w:t>：是指按照第15.3款〔质量保证金〕约定承包人用于保证其在缺陷责任期内履行缺陷修补义务的担保</w:t>
      </w:r>
      <w:r>
        <w:rPr>
          <w:rFonts w:hint="eastAsia" w:ascii="宋体" w:hAnsi="宋体"/>
          <w:color w:val="auto"/>
          <w:szCs w:val="21"/>
        </w:rPr>
        <w:t>。</w:t>
      </w:r>
    </w:p>
    <w:p w14:paraId="3BB3EAE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1.1.5.8 总价项目：是指在现行国家、行业以及地方的计量规则中无工程量计算规则，在已标价工程量清单或预算书中以总价或以费率形式计算的项目。</w:t>
      </w:r>
    </w:p>
    <w:p w14:paraId="0500E964">
      <w:pPr>
        <w:spacing w:line="360" w:lineRule="auto"/>
        <w:ind w:firstLine="560" w:firstLineChars="200"/>
        <w:jc w:val="left"/>
        <w:rPr>
          <w:rFonts w:ascii="宋体" w:hAnsi="宋体"/>
          <w:color w:val="auto"/>
          <w:szCs w:val="21"/>
        </w:rPr>
      </w:pPr>
      <w:r>
        <w:rPr>
          <w:rFonts w:hint="eastAsia" w:ascii="宋体" w:hAnsi="宋体"/>
          <w:color w:val="auto"/>
          <w:szCs w:val="21"/>
        </w:rPr>
        <w:t>1.1.6 其他</w:t>
      </w:r>
    </w:p>
    <w:p w14:paraId="664EC3B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1.1.6.1 书面形式：是指合同文件、信函、电报、传真等可以有形地表现所载内容的形式。</w:t>
      </w:r>
    </w:p>
    <w:p w14:paraId="36AA158E">
      <w:pPr>
        <w:pStyle w:val="7"/>
        <w:spacing w:before="0" w:beforeAutospacing="0" w:after="0" w:afterAutospacing="0" w:line="360" w:lineRule="auto"/>
        <w:ind w:firstLine="422" w:firstLineChars="200"/>
        <w:rPr>
          <w:color w:val="auto"/>
          <w:sz w:val="21"/>
          <w:szCs w:val="21"/>
        </w:rPr>
      </w:pPr>
      <w:bookmarkStart w:id="287" w:name="_Toc532377183"/>
      <w:r>
        <w:rPr>
          <w:rFonts w:hint="eastAsia"/>
          <w:color w:val="auto"/>
          <w:sz w:val="21"/>
          <w:szCs w:val="21"/>
        </w:rPr>
        <w:t>1.2 语言文字</w:t>
      </w:r>
      <w:bookmarkEnd w:id="287"/>
    </w:p>
    <w:p w14:paraId="7D6C9B6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合同以中国的汉语简体文字编写、解释和说明。合同当事人在专用合同条款中约定使用两种以上语言时，汉语为优先解释和说明合同的语言。</w:t>
      </w:r>
    </w:p>
    <w:p w14:paraId="7015CC02">
      <w:pPr>
        <w:pStyle w:val="7"/>
        <w:spacing w:before="0" w:beforeAutospacing="0" w:after="0" w:afterAutospacing="0" w:line="360" w:lineRule="auto"/>
        <w:ind w:firstLine="422" w:firstLineChars="200"/>
        <w:rPr>
          <w:color w:val="auto"/>
          <w:sz w:val="21"/>
          <w:szCs w:val="21"/>
        </w:rPr>
      </w:pPr>
      <w:bookmarkStart w:id="288" w:name="_Toc296346531"/>
      <w:bookmarkStart w:id="289" w:name="_Toc532377184"/>
      <w:bookmarkStart w:id="290" w:name="_Toc337558730"/>
      <w:bookmarkStart w:id="291" w:name="_Toc351203498"/>
      <w:bookmarkStart w:id="292" w:name="_Toc296503030"/>
      <w:r>
        <w:rPr>
          <w:rFonts w:hint="eastAsia"/>
          <w:color w:val="auto"/>
          <w:sz w:val="21"/>
          <w:szCs w:val="21"/>
        </w:rPr>
        <w:t>1.3法律</w:t>
      </w:r>
      <w:bookmarkEnd w:id="288"/>
      <w:bookmarkEnd w:id="289"/>
      <w:bookmarkEnd w:id="290"/>
      <w:bookmarkEnd w:id="291"/>
      <w:bookmarkEnd w:id="292"/>
    </w:p>
    <w:p w14:paraId="772DB00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合同所称法律是指中华人民共和国法律、行政法规、部门规章，以及工程所在地的地方性法规、自治条例、单行条例和地方政府规章等。</w:t>
      </w:r>
    </w:p>
    <w:p w14:paraId="3314E5C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合同当事人可以在专用合同条款中约定合同适用的其他规范性文件。</w:t>
      </w:r>
    </w:p>
    <w:p w14:paraId="193C8FCA">
      <w:pPr>
        <w:pStyle w:val="7"/>
        <w:spacing w:before="0" w:beforeAutospacing="0" w:after="0" w:afterAutospacing="0" w:line="360" w:lineRule="auto"/>
        <w:ind w:firstLine="422" w:firstLineChars="200"/>
        <w:rPr>
          <w:color w:val="auto"/>
          <w:sz w:val="21"/>
          <w:szCs w:val="21"/>
        </w:rPr>
      </w:pPr>
      <w:bookmarkStart w:id="293" w:name="_Toc532377185"/>
      <w:bookmarkStart w:id="294" w:name="_Toc351203499"/>
      <w:r>
        <w:rPr>
          <w:rFonts w:hint="eastAsia"/>
          <w:color w:val="auto"/>
          <w:sz w:val="21"/>
          <w:szCs w:val="21"/>
        </w:rPr>
        <w:t>1.4 标准和规范</w:t>
      </w:r>
      <w:bookmarkEnd w:id="293"/>
      <w:bookmarkEnd w:id="294"/>
    </w:p>
    <w:p w14:paraId="37889DD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1.4.1 适用于工程的国家标准、行业标准、工程所在地的地方性标准，以及相应的规范、规程等，合同当事人有特别要求的，应在专用合同条款中约定。</w:t>
      </w:r>
    </w:p>
    <w:p w14:paraId="4571BA2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1.4.2 发包人要求使用国外标准、规范的，发包人负责提供原文版本和中文译本，并在专用合同条款中约定提供标准规范的名称、份数和时间。</w:t>
      </w:r>
    </w:p>
    <w:p w14:paraId="139BA0B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838C881">
      <w:pPr>
        <w:pStyle w:val="7"/>
        <w:spacing w:before="0" w:beforeAutospacing="0" w:after="0" w:afterAutospacing="0" w:line="360" w:lineRule="auto"/>
        <w:ind w:firstLine="422" w:firstLineChars="200"/>
        <w:rPr>
          <w:color w:val="auto"/>
          <w:sz w:val="21"/>
          <w:szCs w:val="21"/>
        </w:rPr>
      </w:pPr>
      <w:bookmarkStart w:id="295" w:name="_Toc532377186"/>
      <w:bookmarkStart w:id="296" w:name="_Toc351203500"/>
      <w:r>
        <w:rPr>
          <w:rFonts w:hint="eastAsia"/>
          <w:color w:val="auto"/>
          <w:sz w:val="21"/>
          <w:szCs w:val="21"/>
        </w:rPr>
        <w:t>1</w:t>
      </w:r>
      <w:bookmarkStart w:id="297" w:name="_Toc337558731"/>
      <w:bookmarkStart w:id="298" w:name="_Toc296346532"/>
      <w:bookmarkStart w:id="299" w:name="_Toc296503031"/>
      <w:r>
        <w:rPr>
          <w:rFonts w:hint="eastAsia"/>
          <w:color w:val="auto"/>
          <w:sz w:val="21"/>
          <w:szCs w:val="21"/>
        </w:rPr>
        <w:t>.5 合同文件的优先顺序</w:t>
      </w:r>
      <w:bookmarkEnd w:id="295"/>
      <w:bookmarkEnd w:id="296"/>
    </w:p>
    <w:bookmarkEnd w:id="297"/>
    <w:bookmarkEnd w:id="298"/>
    <w:bookmarkEnd w:id="299"/>
    <w:p w14:paraId="24CB9B9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组成合同的各项文件应互相解释，互为说明。除专用合同条款另有约定外，解释合同文件的优先顺序如下：</w:t>
      </w:r>
    </w:p>
    <w:p w14:paraId="7408A25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（1）合同协议书；</w:t>
      </w:r>
    </w:p>
    <w:p w14:paraId="6D9B4AA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（2）中标通知书（如有）；</w:t>
      </w:r>
    </w:p>
    <w:p w14:paraId="6DE1907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w:t>
      </w:r>
      <w:r>
        <w:rPr>
          <w:rFonts w:hint="eastAsia" w:ascii="宋体" w:hAnsi="宋体"/>
          <w:color w:val="auto"/>
          <w:kern w:val="0"/>
          <w:szCs w:val="21"/>
          <w:lang w:eastAsia="zh-CN"/>
        </w:rPr>
        <w:t>报价函</w:t>
      </w:r>
      <w:r>
        <w:rPr>
          <w:rFonts w:hint="eastAsia" w:ascii="宋体" w:hAnsi="宋体"/>
          <w:color w:val="auto"/>
          <w:kern w:val="0"/>
          <w:szCs w:val="21"/>
        </w:rPr>
        <w:t>及其附录（如有）；</w:t>
      </w:r>
    </w:p>
    <w:p w14:paraId="4F9DC69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（4）专用合同条款及其附件；</w:t>
      </w:r>
    </w:p>
    <w:p w14:paraId="43C6ABB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（5）通用合同条款；</w:t>
      </w:r>
    </w:p>
    <w:p w14:paraId="72F7CA9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（6）技术标准和要求；</w:t>
      </w:r>
    </w:p>
    <w:p w14:paraId="75D91DE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（7）图纸；</w:t>
      </w:r>
    </w:p>
    <w:p w14:paraId="75F90FB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（8）已标价工程量清单或预算书；</w:t>
      </w:r>
    </w:p>
    <w:p w14:paraId="6293660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（9）其他合同文件。</w:t>
      </w:r>
    </w:p>
    <w:p w14:paraId="563A908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上述各项合同文件包括合同当事人就该项合同文件所作出的补充和修改，属于同一类内容的文件，应以最新签署的为准。</w:t>
      </w:r>
    </w:p>
    <w:p w14:paraId="25F8847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在合同订立及履行过程中形成的与合同有关的文件均构成合同文件组成部分，并根据其性质确定优先解释顺序。</w:t>
      </w:r>
    </w:p>
    <w:p w14:paraId="30B97653">
      <w:pPr>
        <w:pStyle w:val="7"/>
        <w:spacing w:before="0" w:beforeAutospacing="0" w:after="0" w:afterAutospacing="0" w:line="360" w:lineRule="auto"/>
        <w:ind w:firstLine="422" w:firstLineChars="200"/>
        <w:rPr>
          <w:color w:val="auto"/>
          <w:sz w:val="21"/>
          <w:szCs w:val="21"/>
        </w:rPr>
      </w:pPr>
      <w:bookmarkStart w:id="300" w:name="_Toc532377187"/>
      <w:bookmarkStart w:id="301" w:name="_Toc351203501"/>
      <w:r>
        <w:rPr>
          <w:rFonts w:hint="eastAsia"/>
          <w:color w:val="auto"/>
          <w:sz w:val="21"/>
          <w:szCs w:val="21"/>
        </w:rPr>
        <w:t>1</w:t>
      </w:r>
      <w:bookmarkStart w:id="302" w:name="_Toc296503032"/>
      <w:bookmarkStart w:id="303" w:name="_Toc296346533"/>
      <w:bookmarkStart w:id="304" w:name="_Toc337558732"/>
      <w:r>
        <w:rPr>
          <w:rFonts w:hint="eastAsia"/>
          <w:color w:val="auto"/>
          <w:sz w:val="21"/>
          <w:szCs w:val="21"/>
        </w:rPr>
        <w:t>.6图纸和承包人文件</w:t>
      </w:r>
      <w:bookmarkEnd w:id="300"/>
      <w:bookmarkEnd w:id="301"/>
    </w:p>
    <w:bookmarkEnd w:id="302"/>
    <w:bookmarkEnd w:id="303"/>
    <w:bookmarkEnd w:id="304"/>
    <w:p w14:paraId="51911CD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1.6.1 图纸的提供和交底</w:t>
      </w:r>
    </w:p>
    <w:p w14:paraId="37A8DBA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29FFDF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因发包人未按合同约定提供图纸导致承包人费用增加和（或）工期延误的，按照第7.5.1项〔因发包人原因导致工期延误〕约定办理。</w:t>
      </w:r>
    </w:p>
    <w:p w14:paraId="7C49503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1.6.2 图纸的错误</w:t>
      </w:r>
    </w:p>
    <w:p w14:paraId="16AB64F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488A5D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1.6.3 图纸的修改和补充</w:t>
      </w:r>
    </w:p>
    <w:p w14:paraId="4AE8F84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689AE64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1.6.4 承包人文件</w:t>
      </w:r>
    </w:p>
    <w:p w14:paraId="4F16D0A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承包人应按照专用合同条款的约定提供应当由其编制的与工程施工有关的文件，并按照专用合同条款约定的期限、数量和形式提交监理人，并由监理人报送发包人。</w:t>
      </w:r>
    </w:p>
    <w:p w14:paraId="3452693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CBE5CC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1.6.5 图纸和承包人文件的保管</w:t>
      </w:r>
    </w:p>
    <w:p w14:paraId="7274EA9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除专用合同条款另有约定外，承包人应在施工现场另外保存一套完整的图纸和承包人文件，供发包人、监理人及有关人员进行工程检查时使用。</w:t>
      </w:r>
    </w:p>
    <w:p w14:paraId="7D86EF7F">
      <w:pPr>
        <w:pStyle w:val="7"/>
        <w:spacing w:before="0" w:beforeAutospacing="0" w:after="0" w:afterAutospacing="0" w:line="360" w:lineRule="auto"/>
        <w:ind w:firstLine="422" w:firstLineChars="200"/>
        <w:rPr>
          <w:color w:val="auto"/>
          <w:sz w:val="21"/>
          <w:szCs w:val="21"/>
        </w:rPr>
      </w:pPr>
      <w:bookmarkStart w:id="305" w:name="_Toc351203502"/>
      <w:bookmarkStart w:id="306" w:name="_Toc532377188"/>
      <w:r>
        <w:rPr>
          <w:rFonts w:hint="eastAsia"/>
          <w:color w:val="auto"/>
          <w:sz w:val="21"/>
          <w:szCs w:val="21"/>
        </w:rPr>
        <w:t>1</w:t>
      </w:r>
      <w:bookmarkStart w:id="307" w:name="_Toc337558733"/>
      <w:bookmarkStart w:id="308" w:name="_Toc296346534"/>
      <w:bookmarkStart w:id="309" w:name="_Toc296503033"/>
      <w:r>
        <w:rPr>
          <w:rFonts w:hint="eastAsia"/>
          <w:color w:val="auto"/>
          <w:sz w:val="21"/>
          <w:szCs w:val="21"/>
        </w:rPr>
        <w:t>.7联络</w:t>
      </w:r>
      <w:bookmarkEnd w:id="305"/>
      <w:bookmarkEnd w:id="306"/>
    </w:p>
    <w:bookmarkEnd w:id="307"/>
    <w:bookmarkEnd w:id="308"/>
    <w:bookmarkEnd w:id="309"/>
    <w:p w14:paraId="64C516D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1.7.1 与合同有关的通知、批准、证明、证书、指示、指令、要求、请求、同意、意见、确定和决定等，均应采用书面形式，并应在合同约定的期限内送达接收人和送达地点。</w:t>
      </w:r>
    </w:p>
    <w:p w14:paraId="73C6316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1.7.2 发包人和承包人应在专用合同条款中约定各自的送达接收人和送达地点。任何一方合同当事人指定的接收人或送达地点发生变动的，应提前3天以书面形式通知对方。</w:t>
      </w:r>
    </w:p>
    <w:p w14:paraId="497F540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1.7.3 发包人和承包人应当及时签收另一方送达至送达地点和指定接收人的来往信函。拒不签收的，由此增加的费用和（或）延误的工期由拒绝接收一方承担。</w:t>
      </w:r>
    </w:p>
    <w:p w14:paraId="0CC83272">
      <w:pPr>
        <w:pStyle w:val="7"/>
        <w:spacing w:before="0" w:beforeAutospacing="0" w:after="0" w:afterAutospacing="0" w:line="360" w:lineRule="auto"/>
        <w:ind w:firstLine="422" w:firstLineChars="200"/>
        <w:rPr>
          <w:color w:val="auto"/>
          <w:sz w:val="21"/>
          <w:szCs w:val="21"/>
        </w:rPr>
      </w:pPr>
      <w:bookmarkStart w:id="310" w:name="_Toc532377189"/>
      <w:bookmarkStart w:id="311" w:name="_Toc351203503"/>
      <w:r>
        <w:rPr>
          <w:rFonts w:hint="eastAsia"/>
          <w:color w:val="auto"/>
          <w:sz w:val="21"/>
          <w:szCs w:val="21"/>
        </w:rPr>
        <w:t>1</w:t>
      </w:r>
      <w:bookmarkStart w:id="312" w:name="_Toc337558734"/>
      <w:bookmarkStart w:id="313" w:name="_Toc296346536"/>
      <w:bookmarkStart w:id="314" w:name="_Toc296503035"/>
      <w:r>
        <w:rPr>
          <w:rFonts w:hint="eastAsia"/>
          <w:color w:val="auto"/>
          <w:sz w:val="21"/>
          <w:szCs w:val="21"/>
        </w:rPr>
        <w:t>.8严禁贿赂</w:t>
      </w:r>
      <w:bookmarkEnd w:id="310"/>
      <w:bookmarkEnd w:id="311"/>
    </w:p>
    <w:bookmarkEnd w:id="312"/>
    <w:bookmarkEnd w:id="313"/>
    <w:bookmarkEnd w:id="314"/>
    <w:p w14:paraId="14C7E44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合同当事人不得以贿赂或变相贿赂的方式，谋取非法利益或损害对方权益。因一方合同当事人的贿赂造成对方损失的，应赔偿损失，并承担相应的法律责任。</w:t>
      </w:r>
    </w:p>
    <w:p w14:paraId="59F31A3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3E93F31F">
      <w:pPr>
        <w:pStyle w:val="7"/>
        <w:spacing w:before="0" w:beforeAutospacing="0" w:after="0" w:afterAutospacing="0" w:line="360" w:lineRule="auto"/>
        <w:ind w:firstLine="422" w:firstLineChars="200"/>
        <w:rPr>
          <w:color w:val="auto"/>
          <w:sz w:val="21"/>
          <w:szCs w:val="21"/>
        </w:rPr>
      </w:pPr>
      <w:bookmarkStart w:id="315" w:name="_Toc351203504"/>
      <w:bookmarkStart w:id="316" w:name="_Toc532377190"/>
      <w:r>
        <w:rPr>
          <w:rFonts w:hint="eastAsia"/>
          <w:color w:val="auto"/>
          <w:sz w:val="21"/>
          <w:szCs w:val="21"/>
        </w:rPr>
        <w:t>1</w:t>
      </w:r>
      <w:bookmarkStart w:id="317" w:name="_Toc337558735"/>
      <w:bookmarkStart w:id="318" w:name="_Toc296503036"/>
      <w:bookmarkStart w:id="319" w:name="_Toc296346537"/>
      <w:r>
        <w:rPr>
          <w:rFonts w:hint="eastAsia"/>
          <w:color w:val="auto"/>
          <w:sz w:val="21"/>
          <w:szCs w:val="21"/>
        </w:rPr>
        <w:t>.9化石、文物</w:t>
      </w:r>
      <w:bookmarkEnd w:id="315"/>
      <w:bookmarkEnd w:id="316"/>
    </w:p>
    <w:bookmarkEnd w:id="317"/>
    <w:bookmarkEnd w:id="318"/>
    <w:bookmarkEnd w:id="319"/>
    <w:p w14:paraId="230C300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993826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发包人、监理人和承包人应按有关政府行政管理部门要求采取妥善的保护措施，由此增加的费用和（或）延误的工期由发包人承担。</w:t>
      </w:r>
    </w:p>
    <w:p w14:paraId="6D3FEB4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承包人发现文物后不及时报告或隐瞒不报，致使文物丢失或损坏的，应赔偿损失，并承担相应的法律责任。</w:t>
      </w:r>
    </w:p>
    <w:p w14:paraId="7F6FA192">
      <w:pPr>
        <w:pStyle w:val="7"/>
        <w:spacing w:before="0" w:beforeAutospacing="0" w:after="0" w:afterAutospacing="0" w:line="360" w:lineRule="auto"/>
        <w:ind w:firstLine="422" w:firstLineChars="200"/>
        <w:rPr>
          <w:color w:val="auto"/>
          <w:sz w:val="21"/>
          <w:szCs w:val="21"/>
        </w:rPr>
      </w:pPr>
      <w:bookmarkStart w:id="320" w:name="_Toc351203505"/>
      <w:bookmarkStart w:id="321" w:name="_Toc532377191"/>
      <w:r>
        <w:rPr>
          <w:rFonts w:hint="eastAsia"/>
          <w:color w:val="auto"/>
          <w:sz w:val="21"/>
          <w:szCs w:val="21"/>
        </w:rPr>
        <w:t>1</w:t>
      </w:r>
      <w:bookmarkStart w:id="322" w:name="_Toc337558736"/>
      <w:r>
        <w:rPr>
          <w:rFonts w:hint="eastAsia"/>
          <w:color w:val="auto"/>
          <w:sz w:val="21"/>
          <w:szCs w:val="21"/>
        </w:rPr>
        <w:t>.10交通运输</w:t>
      </w:r>
      <w:bookmarkEnd w:id="320"/>
      <w:bookmarkEnd w:id="321"/>
    </w:p>
    <w:bookmarkEnd w:id="322"/>
    <w:p w14:paraId="63CDE1F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1.10.1 出入现场的权利</w:t>
      </w:r>
    </w:p>
    <w:p w14:paraId="5BB51E9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7519AD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06FA9A0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1.10.2 场外交通</w:t>
      </w:r>
    </w:p>
    <w:p w14:paraId="5316BA1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C80180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1.10.3场内交通</w:t>
      </w:r>
    </w:p>
    <w:p w14:paraId="0729595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680A9F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25224F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场外交通和场内交通的边界由合同当事人在专用合同条款中约定。</w:t>
      </w:r>
    </w:p>
    <w:p w14:paraId="3B270B0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1.10.4 超大件和超重件的运输</w:t>
      </w:r>
    </w:p>
    <w:p w14:paraId="28DE371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ECC21B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1.10.5 道路和桥梁的损坏责任</w:t>
      </w:r>
    </w:p>
    <w:p w14:paraId="0D53D2D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因承包人运输造成施工场地内外公共道路和桥梁损坏的，由承包人承担修复损坏的全部费用和可能引起的赔偿。</w:t>
      </w:r>
    </w:p>
    <w:p w14:paraId="5D66ACA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1.10.6 水路和航空运输</w:t>
      </w:r>
    </w:p>
    <w:p w14:paraId="6855F9F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4E24A80A">
      <w:pPr>
        <w:pStyle w:val="7"/>
        <w:spacing w:before="0" w:beforeAutospacing="0" w:after="0" w:afterAutospacing="0" w:line="360" w:lineRule="auto"/>
        <w:ind w:firstLine="422" w:firstLineChars="200"/>
        <w:rPr>
          <w:color w:val="auto"/>
          <w:sz w:val="21"/>
          <w:szCs w:val="21"/>
        </w:rPr>
      </w:pPr>
      <w:bookmarkStart w:id="323" w:name="_Toc351203506"/>
      <w:bookmarkStart w:id="324" w:name="_Toc532377192"/>
      <w:r>
        <w:rPr>
          <w:rFonts w:hint="eastAsia"/>
          <w:color w:val="auto"/>
          <w:sz w:val="21"/>
          <w:szCs w:val="21"/>
        </w:rPr>
        <w:t>1</w:t>
      </w:r>
      <w:bookmarkStart w:id="325" w:name="_Toc337558737"/>
      <w:bookmarkStart w:id="326" w:name="_Toc296346538"/>
      <w:bookmarkStart w:id="327" w:name="_Toc296503037"/>
      <w:r>
        <w:rPr>
          <w:rFonts w:hint="eastAsia"/>
          <w:color w:val="auto"/>
          <w:sz w:val="21"/>
          <w:szCs w:val="21"/>
        </w:rPr>
        <w:t>.11知识产权</w:t>
      </w:r>
      <w:bookmarkEnd w:id="323"/>
      <w:bookmarkEnd w:id="324"/>
      <w:bookmarkEnd w:id="325"/>
    </w:p>
    <w:bookmarkEnd w:id="326"/>
    <w:bookmarkEnd w:id="327"/>
    <w:p w14:paraId="46DF8F6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0C09D5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0E2407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8C0E61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1.11.4 除专用合同条款另有约定外，承包人在合同签订前和签订时已确定采用的专利、专有技术、技术秘密的使用费已包含在签约合同价中。</w:t>
      </w:r>
    </w:p>
    <w:p w14:paraId="0422A9D6">
      <w:pPr>
        <w:pStyle w:val="7"/>
        <w:spacing w:before="0" w:beforeAutospacing="0" w:after="0" w:afterAutospacing="0" w:line="360" w:lineRule="auto"/>
        <w:ind w:firstLine="422" w:firstLineChars="200"/>
        <w:rPr>
          <w:color w:val="auto"/>
          <w:sz w:val="21"/>
          <w:szCs w:val="21"/>
        </w:rPr>
      </w:pPr>
      <w:bookmarkStart w:id="328" w:name="_Toc351203507"/>
      <w:bookmarkStart w:id="329" w:name="_Toc532377193"/>
      <w:r>
        <w:rPr>
          <w:rFonts w:hint="eastAsia"/>
          <w:color w:val="auto"/>
          <w:sz w:val="21"/>
          <w:szCs w:val="21"/>
        </w:rPr>
        <w:t>1</w:t>
      </w:r>
      <w:bookmarkStart w:id="330" w:name="_Toc337558738"/>
      <w:r>
        <w:rPr>
          <w:rFonts w:hint="eastAsia"/>
          <w:color w:val="auto"/>
          <w:sz w:val="21"/>
          <w:szCs w:val="21"/>
        </w:rPr>
        <w:t>.12保密</w:t>
      </w:r>
      <w:bookmarkEnd w:id="328"/>
      <w:bookmarkEnd w:id="329"/>
    </w:p>
    <w:bookmarkEnd w:id="330"/>
    <w:p w14:paraId="6684B98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除法律规定或合同另有约定外，未经发包人同意，承包人不得将发包人提供的图纸、文件以及声明需要保密的资料信息等商业秘密泄露给第三方。</w:t>
      </w:r>
    </w:p>
    <w:p w14:paraId="53FCA74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除法律规定或合同另有约定外，未经承包人同意，发包人不得将承包人提供的技术秘密及声明需要保密的资料信息等商业秘密泄露给第三方。</w:t>
      </w:r>
    </w:p>
    <w:p w14:paraId="5315D3CC">
      <w:pPr>
        <w:pStyle w:val="7"/>
        <w:spacing w:before="0" w:beforeAutospacing="0" w:after="0" w:afterAutospacing="0" w:line="360" w:lineRule="auto"/>
        <w:ind w:firstLine="422" w:firstLineChars="200"/>
        <w:rPr>
          <w:color w:val="auto"/>
          <w:sz w:val="21"/>
          <w:szCs w:val="21"/>
        </w:rPr>
      </w:pPr>
      <w:bookmarkStart w:id="331" w:name="_Toc351203508"/>
      <w:bookmarkStart w:id="332" w:name="_Toc532377194"/>
      <w:r>
        <w:rPr>
          <w:rFonts w:hint="eastAsia"/>
          <w:color w:val="auto"/>
          <w:sz w:val="21"/>
          <w:szCs w:val="21"/>
        </w:rPr>
        <w:t>1.13工程量清单错误的修正</w:t>
      </w:r>
      <w:bookmarkEnd w:id="331"/>
      <w:bookmarkEnd w:id="332"/>
    </w:p>
    <w:p w14:paraId="6A0FE75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除专用合同条款另有约定外，发包人提供的工程量清单，应被认为是准确的和完整的。出现下列情形之一时，发包人应予以修正，并相应调整合同价格：</w:t>
      </w:r>
    </w:p>
    <w:p w14:paraId="06F7879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（1）工程量清单存在缺项、漏项的；</w:t>
      </w:r>
    </w:p>
    <w:p w14:paraId="19793E5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（2）工程量清单偏差超出专用合同条款约定的工程量偏差范围的；</w:t>
      </w:r>
    </w:p>
    <w:p w14:paraId="61374C6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（3）未按照国家现行计量规范强制性规定计量的。</w:t>
      </w:r>
    </w:p>
    <w:p w14:paraId="77AAD62C">
      <w:pPr>
        <w:pStyle w:val="6"/>
        <w:keepNext/>
        <w:keepLines/>
        <w:spacing w:before="156" w:beforeLines="50" w:beforeAutospacing="0" w:after="156" w:afterLines="50" w:afterAutospacing="0" w:line="360" w:lineRule="auto"/>
        <w:jc w:val="both"/>
        <w:rPr>
          <w:color w:val="auto"/>
          <w:kern w:val="2"/>
          <w:sz w:val="21"/>
          <w:szCs w:val="21"/>
        </w:rPr>
      </w:pPr>
      <w:bookmarkStart w:id="333" w:name="_Toc351203509"/>
      <w:bookmarkStart w:id="334" w:name="_Toc532375588"/>
      <w:bookmarkStart w:id="335" w:name="_Toc532377195"/>
      <w:r>
        <w:rPr>
          <w:rFonts w:hint="eastAsia"/>
          <w:color w:val="auto"/>
          <w:kern w:val="2"/>
          <w:sz w:val="21"/>
          <w:szCs w:val="21"/>
        </w:rPr>
        <w:t>2</w:t>
      </w:r>
      <w:bookmarkStart w:id="336" w:name="_Toc296503038"/>
      <w:bookmarkStart w:id="337" w:name="_Toc337558739"/>
      <w:bookmarkStart w:id="338" w:name="_Toc296346539"/>
      <w:r>
        <w:rPr>
          <w:rFonts w:hint="eastAsia"/>
          <w:color w:val="auto"/>
          <w:kern w:val="2"/>
          <w:sz w:val="21"/>
          <w:szCs w:val="21"/>
        </w:rPr>
        <w:t>. 发包人</w:t>
      </w:r>
      <w:bookmarkEnd w:id="333"/>
      <w:bookmarkEnd w:id="334"/>
      <w:bookmarkEnd w:id="335"/>
    </w:p>
    <w:bookmarkEnd w:id="336"/>
    <w:bookmarkEnd w:id="337"/>
    <w:bookmarkEnd w:id="338"/>
    <w:p w14:paraId="5DCFB8CB">
      <w:pPr>
        <w:pStyle w:val="7"/>
        <w:spacing w:before="0" w:beforeAutospacing="0" w:after="0" w:afterAutospacing="0" w:line="360" w:lineRule="auto"/>
        <w:ind w:firstLine="422" w:firstLineChars="200"/>
        <w:rPr>
          <w:color w:val="auto"/>
          <w:sz w:val="21"/>
          <w:szCs w:val="21"/>
        </w:rPr>
      </w:pPr>
      <w:bookmarkStart w:id="339" w:name="_Toc532377196"/>
      <w:bookmarkStart w:id="340" w:name="_Toc351203510"/>
      <w:r>
        <w:rPr>
          <w:rFonts w:hint="eastAsia"/>
          <w:color w:val="auto"/>
          <w:sz w:val="21"/>
          <w:szCs w:val="21"/>
        </w:rPr>
        <w:t>2</w:t>
      </w:r>
      <w:bookmarkStart w:id="341" w:name="_Toc296503039"/>
      <w:bookmarkStart w:id="342" w:name="_Toc337558740"/>
      <w:bookmarkStart w:id="343" w:name="_Toc296346540"/>
      <w:r>
        <w:rPr>
          <w:rFonts w:hint="eastAsia"/>
          <w:color w:val="auto"/>
          <w:sz w:val="21"/>
          <w:szCs w:val="21"/>
        </w:rPr>
        <w:t>.1 许可或批准</w:t>
      </w:r>
      <w:bookmarkEnd w:id="339"/>
      <w:bookmarkEnd w:id="340"/>
    </w:p>
    <w:p w14:paraId="107C1B7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FABEEE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因发包人原因未能及时办理完毕前述许可、批准或备案，由发包人承担由此增加的费用和（或）延误的工期，并支付承包人合理的利润。</w:t>
      </w:r>
    </w:p>
    <w:p w14:paraId="60DB84A2">
      <w:pPr>
        <w:pStyle w:val="7"/>
        <w:spacing w:before="0" w:beforeAutospacing="0" w:after="0" w:afterAutospacing="0" w:line="360" w:lineRule="auto"/>
        <w:ind w:firstLine="422" w:firstLineChars="200"/>
        <w:rPr>
          <w:color w:val="auto"/>
          <w:sz w:val="21"/>
          <w:szCs w:val="21"/>
        </w:rPr>
      </w:pPr>
      <w:bookmarkStart w:id="344" w:name="_Toc351203511"/>
      <w:bookmarkStart w:id="345" w:name="_Toc532377197"/>
      <w:r>
        <w:rPr>
          <w:rFonts w:hint="eastAsia"/>
          <w:color w:val="auto"/>
          <w:sz w:val="21"/>
          <w:szCs w:val="21"/>
        </w:rPr>
        <w:t>2.2 发包人代表</w:t>
      </w:r>
      <w:bookmarkEnd w:id="344"/>
      <w:bookmarkEnd w:id="345"/>
    </w:p>
    <w:p w14:paraId="31DCC69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F5C3A7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发包人代表不能按照合同约定履行其职责及义务，并导致合同无法继续正常履行的，承包人可以要求发包人撤换发包人代表。</w:t>
      </w:r>
    </w:p>
    <w:p w14:paraId="3AC3592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不属于法定必须监理的工程，监理人的职权可以由发包人代表或发包人指定的其他人员行使。</w:t>
      </w:r>
    </w:p>
    <w:p w14:paraId="3BE22912">
      <w:pPr>
        <w:pStyle w:val="7"/>
        <w:spacing w:before="0" w:beforeAutospacing="0" w:after="0" w:afterAutospacing="0" w:line="360" w:lineRule="auto"/>
        <w:ind w:firstLine="422" w:firstLineChars="200"/>
        <w:rPr>
          <w:color w:val="auto"/>
          <w:sz w:val="21"/>
          <w:szCs w:val="21"/>
        </w:rPr>
      </w:pPr>
      <w:bookmarkStart w:id="346" w:name="_Toc351203512"/>
      <w:bookmarkStart w:id="347" w:name="_Toc532377198"/>
      <w:r>
        <w:rPr>
          <w:rFonts w:hint="eastAsia"/>
          <w:color w:val="auto"/>
          <w:sz w:val="21"/>
          <w:szCs w:val="21"/>
        </w:rPr>
        <w:t>2.3 发包人人员</w:t>
      </w:r>
      <w:bookmarkEnd w:id="346"/>
      <w:bookmarkEnd w:id="347"/>
    </w:p>
    <w:p w14:paraId="68114B0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发包人应要求在施工现场的发包人人员遵守法律及有关安全、质量、环境保护、文明施工等规定，并保障承包人免于承受因发包人人员未遵守上述要求给承包人造成的损失和责任。</w:t>
      </w:r>
    </w:p>
    <w:p w14:paraId="1ABFFE3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发包人人员包括发包人代表及其他由发包人派驻施工现场的人员。</w:t>
      </w:r>
      <w:bookmarkEnd w:id="341"/>
      <w:bookmarkEnd w:id="342"/>
      <w:bookmarkEnd w:id="343"/>
    </w:p>
    <w:p w14:paraId="728D8FCA">
      <w:pPr>
        <w:pStyle w:val="7"/>
        <w:spacing w:before="0" w:beforeAutospacing="0" w:after="0" w:afterAutospacing="0" w:line="360" w:lineRule="auto"/>
        <w:ind w:firstLine="422" w:firstLineChars="200"/>
        <w:rPr>
          <w:color w:val="auto"/>
          <w:sz w:val="21"/>
          <w:szCs w:val="21"/>
        </w:rPr>
      </w:pPr>
      <w:bookmarkStart w:id="348" w:name="_Toc351203513"/>
      <w:bookmarkStart w:id="349" w:name="_Toc532377199"/>
      <w:r>
        <w:rPr>
          <w:rFonts w:hint="eastAsia"/>
          <w:color w:val="auto"/>
          <w:sz w:val="21"/>
          <w:szCs w:val="21"/>
        </w:rPr>
        <w:t>2</w:t>
      </w:r>
      <w:bookmarkStart w:id="350" w:name="_Toc337558741"/>
      <w:bookmarkStart w:id="351" w:name="_Toc296503040"/>
      <w:bookmarkStart w:id="352" w:name="_Toc296346541"/>
      <w:r>
        <w:rPr>
          <w:rFonts w:hint="eastAsia"/>
          <w:color w:val="auto"/>
          <w:sz w:val="21"/>
          <w:szCs w:val="21"/>
        </w:rPr>
        <w:t>.4 施工现场、施工条件和基础资料的提供</w:t>
      </w:r>
      <w:bookmarkEnd w:id="348"/>
      <w:bookmarkEnd w:id="349"/>
      <w:bookmarkEnd w:id="350"/>
      <w:bookmarkEnd w:id="351"/>
      <w:bookmarkEnd w:id="352"/>
    </w:p>
    <w:p w14:paraId="1930E8E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2.4.1 提供施工现场</w:t>
      </w:r>
    </w:p>
    <w:p w14:paraId="607B78B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除专用合同条款另有约定外，发包人应最迟于开工日期7天前向承包人移交施工现场。</w:t>
      </w:r>
    </w:p>
    <w:p w14:paraId="2FCDD42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2.4.2 提供施工条件</w:t>
      </w:r>
    </w:p>
    <w:p w14:paraId="3DF7CC6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除专用合同条款另有约定外，发包人应负责提供施工所需要的条件，包括：</w:t>
      </w:r>
    </w:p>
    <w:p w14:paraId="20535E3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（1）将施工用水、电力、通讯线路等施工所必需的条件接至施工现场内；</w:t>
      </w:r>
    </w:p>
    <w:p w14:paraId="6366613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（2）保证向承包人提供正常施工所需要的进入施工现场的交通条件；</w:t>
      </w:r>
    </w:p>
    <w:p w14:paraId="35C7718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（3）协调处理施工现场周围地下管线和邻近建筑物、构筑物、古树名木的保护工作，并承担相关费用；</w:t>
      </w:r>
    </w:p>
    <w:p w14:paraId="2F5F722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（4）按照专用合同条款约定应提供的其他设施和条件。</w:t>
      </w:r>
    </w:p>
    <w:p w14:paraId="09682E8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2.4.3 提供基础资料</w:t>
      </w:r>
    </w:p>
    <w:p w14:paraId="06ADDFC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7409C9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按照法律规定确需在开工后方能提供的基础资料，发包人应尽其努力及时地在相应工程施工前的合理期限内提供，合理期限应以不影响承包人的正常施工为限。</w:t>
      </w:r>
    </w:p>
    <w:p w14:paraId="3282020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2.4.4 逾期提供的责任</w:t>
      </w:r>
    </w:p>
    <w:p w14:paraId="19E51C2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因发包人原因未能按合同约定及时向承包人提供施工现场、施工条件、基础资料的，由发包人承担由此增加的费用和（或）延误的工期。</w:t>
      </w:r>
    </w:p>
    <w:p w14:paraId="38236FBF">
      <w:pPr>
        <w:pStyle w:val="7"/>
        <w:spacing w:before="0" w:beforeAutospacing="0" w:after="0" w:afterAutospacing="0" w:line="360" w:lineRule="auto"/>
        <w:ind w:firstLine="422" w:firstLineChars="200"/>
        <w:rPr>
          <w:color w:val="auto"/>
          <w:sz w:val="21"/>
          <w:szCs w:val="21"/>
        </w:rPr>
      </w:pPr>
      <w:bookmarkStart w:id="353" w:name="_Toc532377200"/>
      <w:bookmarkStart w:id="354" w:name="_Toc351203514"/>
      <w:r>
        <w:rPr>
          <w:rFonts w:hint="eastAsia"/>
          <w:color w:val="auto"/>
          <w:sz w:val="21"/>
          <w:szCs w:val="21"/>
        </w:rPr>
        <w:t>2</w:t>
      </w:r>
      <w:bookmarkStart w:id="355" w:name="_Toc296503042"/>
      <w:bookmarkStart w:id="356" w:name="_Toc337558745"/>
      <w:bookmarkStart w:id="357" w:name="_Toc296346543"/>
      <w:r>
        <w:rPr>
          <w:rFonts w:hint="eastAsia"/>
          <w:color w:val="auto"/>
          <w:sz w:val="21"/>
          <w:szCs w:val="21"/>
        </w:rPr>
        <w:t>.5 资</w:t>
      </w:r>
      <w:bookmarkEnd w:id="355"/>
      <w:bookmarkEnd w:id="356"/>
      <w:bookmarkEnd w:id="357"/>
      <w:r>
        <w:rPr>
          <w:rFonts w:hint="eastAsia"/>
          <w:color w:val="auto"/>
          <w:sz w:val="21"/>
          <w:szCs w:val="21"/>
        </w:rPr>
        <w:t>金来源证明及支付担保</w:t>
      </w:r>
      <w:bookmarkEnd w:id="353"/>
      <w:bookmarkEnd w:id="354"/>
    </w:p>
    <w:p w14:paraId="03DF8D5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除专用合同条款另有约定外，发包人应在收到承包人要求提供资金来源证明的书面通知后28天内，向承包人提供能够按照合同约定支付合同价款的相应资金来源证明。</w:t>
      </w:r>
    </w:p>
    <w:p w14:paraId="6886487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2485A9A6">
      <w:pPr>
        <w:pStyle w:val="7"/>
        <w:spacing w:before="0" w:beforeAutospacing="0" w:after="0" w:afterAutospacing="0" w:line="360" w:lineRule="auto"/>
        <w:ind w:firstLine="422" w:firstLineChars="200"/>
        <w:rPr>
          <w:color w:val="auto"/>
          <w:sz w:val="21"/>
          <w:szCs w:val="21"/>
        </w:rPr>
      </w:pPr>
      <w:bookmarkStart w:id="358" w:name="_Toc532377201"/>
      <w:bookmarkStart w:id="359" w:name="_Toc351203515"/>
      <w:r>
        <w:rPr>
          <w:rFonts w:hint="eastAsia"/>
          <w:color w:val="auto"/>
          <w:sz w:val="21"/>
          <w:szCs w:val="21"/>
        </w:rPr>
        <w:t>2.6 支付合同价款</w:t>
      </w:r>
      <w:bookmarkEnd w:id="358"/>
      <w:bookmarkEnd w:id="359"/>
    </w:p>
    <w:p w14:paraId="342D68D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发包人应按合同约定向承包人及时支付合同价款。</w:t>
      </w:r>
    </w:p>
    <w:p w14:paraId="38F35F69">
      <w:pPr>
        <w:pStyle w:val="7"/>
        <w:spacing w:before="0" w:beforeAutospacing="0" w:after="0" w:afterAutospacing="0" w:line="360" w:lineRule="auto"/>
        <w:ind w:firstLine="422" w:firstLineChars="200"/>
        <w:rPr>
          <w:color w:val="auto"/>
          <w:sz w:val="21"/>
          <w:szCs w:val="21"/>
        </w:rPr>
      </w:pPr>
      <w:bookmarkStart w:id="360" w:name="_Toc532377202"/>
      <w:bookmarkStart w:id="361" w:name="_Toc351203516"/>
      <w:r>
        <w:rPr>
          <w:rFonts w:hint="eastAsia"/>
          <w:color w:val="auto"/>
          <w:sz w:val="21"/>
          <w:szCs w:val="21"/>
        </w:rPr>
        <w:t>2.7 组织竣工验收</w:t>
      </w:r>
      <w:bookmarkEnd w:id="360"/>
      <w:bookmarkEnd w:id="361"/>
    </w:p>
    <w:p w14:paraId="12B6C62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发包人应按合同约定及时组织竣工验收。</w:t>
      </w:r>
    </w:p>
    <w:p w14:paraId="56933371">
      <w:pPr>
        <w:pStyle w:val="7"/>
        <w:spacing w:before="0" w:beforeAutospacing="0" w:after="0" w:afterAutospacing="0" w:line="360" w:lineRule="auto"/>
        <w:ind w:firstLine="422" w:firstLineChars="200"/>
        <w:rPr>
          <w:color w:val="auto"/>
          <w:sz w:val="21"/>
          <w:szCs w:val="21"/>
        </w:rPr>
      </w:pPr>
      <w:bookmarkStart w:id="362" w:name="_Toc532377203"/>
      <w:bookmarkStart w:id="363" w:name="_Toc351203517"/>
      <w:r>
        <w:rPr>
          <w:rFonts w:hint="eastAsia"/>
          <w:color w:val="auto"/>
          <w:sz w:val="21"/>
          <w:szCs w:val="21"/>
        </w:rPr>
        <w:t>2.8 现场统一管理协议</w:t>
      </w:r>
      <w:bookmarkEnd w:id="362"/>
      <w:bookmarkEnd w:id="363"/>
    </w:p>
    <w:p w14:paraId="0AF3FA4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发包人应与承包人、由发包人直接发包的专业工程的承包人签订施工现场统一管理协议，明确各方的权利义务。施工现场统一管理协议作为专用合同条款的附件。</w:t>
      </w:r>
    </w:p>
    <w:p w14:paraId="283F60FB">
      <w:pPr>
        <w:pStyle w:val="6"/>
        <w:keepNext/>
        <w:keepLines/>
        <w:spacing w:before="156" w:beforeLines="50" w:beforeAutospacing="0" w:after="156" w:afterLines="50" w:afterAutospacing="0" w:line="360" w:lineRule="auto"/>
        <w:jc w:val="both"/>
        <w:rPr>
          <w:bCs w:val="0"/>
          <w:color w:val="auto"/>
          <w:kern w:val="2"/>
          <w:sz w:val="21"/>
          <w:szCs w:val="21"/>
        </w:rPr>
      </w:pPr>
      <w:bookmarkStart w:id="364" w:name="_Toc532377204"/>
      <w:bookmarkStart w:id="365" w:name="_Toc532375589"/>
      <w:bookmarkStart w:id="366" w:name="_Toc351203518"/>
      <w:r>
        <w:rPr>
          <w:rFonts w:hint="eastAsia"/>
          <w:color w:val="auto"/>
          <w:kern w:val="2"/>
          <w:sz w:val="21"/>
          <w:szCs w:val="21"/>
        </w:rPr>
        <w:t>3</w:t>
      </w:r>
      <w:bookmarkStart w:id="367" w:name="_Toc296346546"/>
      <w:bookmarkStart w:id="368" w:name="_Toc337558746"/>
      <w:bookmarkStart w:id="369" w:name="_Toc296503045"/>
      <w:r>
        <w:rPr>
          <w:rFonts w:hint="eastAsia"/>
          <w:color w:val="auto"/>
          <w:kern w:val="2"/>
          <w:sz w:val="21"/>
          <w:szCs w:val="21"/>
        </w:rPr>
        <w:t>. 承包人</w:t>
      </w:r>
      <w:bookmarkEnd w:id="364"/>
      <w:bookmarkEnd w:id="365"/>
      <w:bookmarkEnd w:id="366"/>
    </w:p>
    <w:bookmarkEnd w:id="367"/>
    <w:bookmarkEnd w:id="368"/>
    <w:bookmarkEnd w:id="369"/>
    <w:p w14:paraId="3DE46167">
      <w:pPr>
        <w:pStyle w:val="7"/>
        <w:spacing w:before="0" w:beforeAutospacing="0" w:after="0" w:afterAutospacing="0" w:line="360" w:lineRule="auto"/>
        <w:ind w:firstLine="422" w:firstLineChars="200"/>
        <w:rPr>
          <w:color w:val="auto"/>
          <w:sz w:val="21"/>
          <w:szCs w:val="21"/>
        </w:rPr>
      </w:pPr>
      <w:bookmarkStart w:id="370" w:name="_Toc351203519"/>
      <w:bookmarkStart w:id="371" w:name="_Toc532377205"/>
      <w:r>
        <w:rPr>
          <w:rFonts w:hint="eastAsia"/>
          <w:color w:val="auto"/>
          <w:sz w:val="21"/>
          <w:szCs w:val="21"/>
        </w:rPr>
        <w:t>3</w:t>
      </w:r>
      <w:bookmarkStart w:id="372" w:name="_Toc296346547"/>
      <w:bookmarkStart w:id="373" w:name="_Toc337558747"/>
      <w:bookmarkStart w:id="374" w:name="_Toc296503046"/>
      <w:r>
        <w:rPr>
          <w:rFonts w:hint="eastAsia"/>
          <w:color w:val="auto"/>
          <w:sz w:val="21"/>
          <w:szCs w:val="21"/>
        </w:rPr>
        <w:t>.1 承包人的一般义务</w:t>
      </w:r>
      <w:bookmarkEnd w:id="370"/>
      <w:bookmarkEnd w:id="371"/>
    </w:p>
    <w:bookmarkEnd w:id="372"/>
    <w:bookmarkEnd w:id="373"/>
    <w:bookmarkEnd w:id="374"/>
    <w:p w14:paraId="28C70C1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承包人在履行合同过程中应遵守法律和工程建设标准规范，并履行以下义务：</w:t>
      </w:r>
    </w:p>
    <w:p w14:paraId="0E9030E7">
      <w:pPr>
        <w:numPr>
          <w:ilvl w:val="0"/>
          <w:numId w:val="13"/>
        </w:num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办理法律规定应由承包人办理的许可和批准，并将办理结果书面报送发包人留存；</w:t>
      </w:r>
    </w:p>
    <w:p w14:paraId="384A79E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（2）按法律规定和合同约定完成工程，并在保修期内承担保修义务；</w:t>
      </w:r>
    </w:p>
    <w:p w14:paraId="50FD134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（3）按法律规定和合同约定采取施工安全和环境保护措施，办理工伤保险，确保工程及人员、材料、设备和设施的安全；</w:t>
      </w:r>
    </w:p>
    <w:p w14:paraId="6CCFA05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（4）按合同约定的工作内容和施工进度要求，编制施工组织设计和施工措施计划，并对所有施工作业和施工方法的完备性和安全可靠性负责；</w:t>
      </w:r>
    </w:p>
    <w:p w14:paraId="0A9179D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95A78D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（6）按照第6.3款〔环境保护〕约定负责施工场地及其周边环境与生态的保护工作；</w:t>
      </w:r>
    </w:p>
    <w:p w14:paraId="4F2EA2A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（7）按第6.1款〔安全文明施工〕约定采取施工安全措施，确保工程及其人员、材料、设备和设施的安全，防止因工程施工造成的人身伤害和财产损失；</w:t>
      </w:r>
    </w:p>
    <w:p w14:paraId="3FE5F4E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（8）将发包人按合同约定支付的各项价款专用于合同工程，且应及时支付其雇用人员工资，并及时向分包人支付合同价款；</w:t>
      </w:r>
    </w:p>
    <w:p w14:paraId="3AC6FDC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（9）按照法律规定和合同约定编制竣工资料，完成竣工资料立卷及归档，并按专用合同条款约定的竣工资料的套数、内容、时间等要求移交发包人；</w:t>
      </w:r>
    </w:p>
    <w:p w14:paraId="4C6E727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（10）应履行的其他义务。</w:t>
      </w:r>
    </w:p>
    <w:p w14:paraId="33A2506A">
      <w:pPr>
        <w:pStyle w:val="7"/>
        <w:spacing w:before="0" w:beforeAutospacing="0" w:after="0" w:afterAutospacing="0" w:line="360" w:lineRule="auto"/>
        <w:ind w:firstLine="422" w:firstLineChars="200"/>
        <w:rPr>
          <w:color w:val="auto"/>
          <w:sz w:val="21"/>
          <w:szCs w:val="21"/>
        </w:rPr>
      </w:pPr>
      <w:bookmarkStart w:id="375" w:name="_Toc351203520"/>
      <w:bookmarkStart w:id="376" w:name="_Toc532377206"/>
      <w:r>
        <w:rPr>
          <w:rFonts w:hint="eastAsia"/>
          <w:color w:val="auto"/>
          <w:sz w:val="21"/>
          <w:szCs w:val="21"/>
        </w:rPr>
        <w:t>3</w:t>
      </w:r>
      <w:bookmarkStart w:id="377" w:name="_Toc337558748"/>
      <w:bookmarkStart w:id="378" w:name="_Toc296503047"/>
      <w:bookmarkStart w:id="379" w:name="_Toc296346548"/>
      <w:r>
        <w:rPr>
          <w:rFonts w:hint="eastAsia"/>
          <w:color w:val="auto"/>
          <w:sz w:val="21"/>
          <w:szCs w:val="21"/>
        </w:rPr>
        <w:t xml:space="preserve">.2 </w:t>
      </w:r>
      <w:bookmarkEnd w:id="375"/>
      <w:r>
        <w:rPr>
          <w:rFonts w:hint="eastAsia"/>
          <w:color w:val="auto"/>
          <w:sz w:val="21"/>
          <w:szCs w:val="21"/>
        </w:rPr>
        <w:t>项目经理</w:t>
      </w:r>
      <w:bookmarkEnd w:id="376"/>
    </w:p>
    <w:bookmarkEnd w:id="377"/>
    <w:bookmarkEnd w:id="378"/>
    <w:bookmarkEnd w:id="379"/>
    <w:p w14:paraId="4858D7F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A7D976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C94909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承包人违反上述约定的，应按照专用合同条款的约定，承担违约责任。</w:t>
      </w:r>
    </w:p>
    <w:p w14:paraId="6A0541F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D3C687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45AA55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74DAE1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2B9814DC">
      <w:pPr>
        <w:pStyle w:val="7"/>
        <w:spacing w:before="0" w:beforeAutospacing="0" w:after="0" w:afterAutospacing="0" w:line="360" w:lineRule="auto"/>
        <w:ind w:firstLine="422" w:firstLineChars="200"/>
        <w:rPr>
          <w:color w:val="auto"/>
          <w:sz w:val="21"/>
          <w:szCs w:val="21"/>
        </w:rPr>
      </w:pPr>
      <w:bookmarkStart w:id="380" w:name="_Toc532377207"/>
      <w:bookmarkStart w:id="381" w:name="_Toc351203521"/>
      <w:r>
        <w:rPr>
          <w:rFonts w:hint="eastAsia"/>
          <w:color w:val="auto"/>
          <w:sz w:val="21"/>
          <w:szCs w:val="21"/>
        </w:rPr>
        <w:t>3</w:t>
      </w:r>
      <w:bookmarkStart w:id="382" w:name="_Toc296346549"/>
      <w:bookmarkStart w:id="383" w:name="_Toc296503048"/>
      <w:bookmarkStart w:id="384" w:name="_Toc337558749"/>
      <w:r>
        <w:rPr>
          <w:rFonts w:hint="eastAsia"/>
          <w:color w:val="auto"/>
          <w:sz w:val="21"/>
          <w:szCs w:val="21"/>
        </w:rPr>
        <w:t xml:space="preserve">.3 </w:t>
      </w:r>
      <w:bookmarkEnd w:id="382"/>
      <w:bookmarkEnd w:id="383"/>
      <w:r>
        <w:rPr>
          <w:rFonts w:hint="eastAsia"/>
          <w:color w:val="auto"/>
          <w:sz w:val="21"/>
          <w:szCs w:val="21"/>
        </w:rPr>
        <w:t>承包人人员</w:t>
      </w:r>
      <w:bookmarkEnd w:id="380"/>
      <w:bookmarkEnd w:id="381"/>
    </w:p>
    <w:bookmarkEnd w:id="384"/>
    <w:p w14:paraId="3019EE4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D5A838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0F1CE79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特殊工种作业人员均应持有相应的资格证明，监理人可以随时检查。</w:t>
      </w:r>
    </w:p>
    <w:p w14:paraId="1B1E5F5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2F36FB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BDF5DB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3.3.5 承包人擅自更换主要施工管理人员，或前述人员未经监理人或发包人同意擅自离开施工现场的，应按照专用合同条款约定承担违约责任。</w:t>
      </w:r>
    </w:p>
    <w:p w14:paraId="70BD1B8C">
      <w:pPr>
        <w:pStyle w:val="7"/>
        <w:spacing w:before="0" w:beforeAutospacing="0" w:after="0" w:afterAutospacing="0" w:line="360" w:lineRule="auto"/>
        <w:ind w:firstLine="422" w:firstLineChars="200"/>
        <w:rPr>
          <w:color w:val="auto"/>
          <w:sz w:val="21"/>
          <w:szCs w:val="21"/>
        </w:rPr>
      </w:pPr>
      <w:bookmarkStart w:id="385" w:name="_Toc351203522"/>
      <w:bookmarkStart w:id="386" w:name="_Toc532377208"/>
      <w:r>
        <w:rPr>
          <w:rFonts w:hint="eastAsia"/>
          <w:color w:val="auto"/>
          <w:sz w:val="21"/>
          <w:szCs w:val="21"/>
        </w:rPr>
        <w:t>3</w:t>
      </w:r>
      <w:bookmarkStart w:id="387" w:name="_Toc296346551"/>
      <w:bookmarkStart w:id="388" w:name="_Toc296503050"/>
      <w:bookmarkStart w:id="389" w:name="_Toc337558750"/>
      <w:r>
        <w:rPr>
          <w:rFonts w:hint="eastAsia"/>
          <w:color w:val="auto"/>
          <w:sz w:val="21"/>
          <w:szCs w:val="21"/>
        </w:rPr>
        <w:t>.4 承包人现场查勘</w:t>
      </w:r>
      <w:bookmarkEnd w:id="385"/>
      <w:bookmarkEnd w:id="386"/>
    </w:p>
    <w:bookmarkEnd w:id="387"/>
    <w:bookmarkEnd w:id="388"/>
    <w:bookmarkEnd w:id="389"/>
    <w:p w14:paraId="17027A3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承包人应对基于发包人按照第2.4.3项〔提供基础资料〕提交的基础资料所做出的解释和推断负责，但因基础资料存在错误、遗漏导致承包人解释或推断失实的，由发包人承担责任。</w:t>
      </w:r>
    </w:p>
    <w:p w14:paraId="15C3D20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6735040">
      <w:pPr>
        <w:pStyle w:val="7"/>
        <w:spacing w:before="0" w:beforeAutospacing="0" w:after="0" w:afterAutospacing="0" w:line="360" w:lineRule="auto"/>
        <w:ind w:firstLine="422" w:firstLineChars="200"/>
        <w:rPr>
          <w:color w:val="auto"/>
          <w:sz w:val="21"/>
          <w:szCs w:val="21"/>
        </w:rPr>
      </w:pPr>
      <w:bookmarkStart w:id="390" w:name="_Toc351203523"/>
      <w:bookmarkStart w:id="391" w:name="_Toc532377209"/>
      <w:r>
        <w:rPr>
          <w:rFonts w:hint="eastAsia"/>
          <w:color w:val="auto"/>
          <w:sz w:val="21"/>
          <w:szCs w:val="21"/>
        </w:rPr>
        <w:t>3</w:t>
      </w:r>
      <w:bookmarkStart w:id="392" w:name="_Toc337558751"/>
      <w:bookmarkStart w:id="393" w:name="_Toc296503051"/>
      <w:bookmarkStart w:id="394" w:name="_Toc296346552"/>
      <w:r>
        <w:rPr>
          <w:rFonts w:hint="eastAsia"/>
          <w:color w:val="auto"/>
          <w:sz w:val="21"/>
          <w:szCs w:val="21"/>
        </w:rPr>
        <w:t>.5 分包</w:t>
      </w:r>
      <w:bookmarkEnd w:id="390"/>
      <w:bookmarkEnd w:id="391"/>
    </w:p>
    <w:bookmarkEnd w:id="392"/>
    <w:bookmarkEnd w:id="393"/>
    <w:bookmarkEnd w:id="394"/>
    <w:p w14:paraId="48DA9E7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3.5.1 分包的一般约定</w:t>
      </w:r>
    </w:p>
    <w:p w14:paraId="69C96B9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26652F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承包人不得以劳务分包的名义转包或违法分包工程。</w:t>
      </w:r>
    </w:p>
    <w:p w14:paraId="734CD30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3.5.2 分包的确定</w:t>
      </w:r>
    </w:p>
    <w:p w14:paraId="0EFD896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FF1223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3.5.3 分包管理</w:t>
      </w:r>
    </w:p>
    <w:p w14:paraId="5E45B5C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承包人应向监理人提交分包人的主要施工管理人员表，并对分包人的施工人员进行实名制管理，包括但不限于进出场管理、登记造册以及各种证照的办理。</w:t>
      </w:r>
    </w:p>
    <w:p w14:paraId="12592F0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3.5.4 分包合同价款</w:t>
      </w:r>
    </w:p>
    <w:p w14:paraId="570794C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（1）除本项第（2）目约定的情况或专用合同条款另有约定外，分包合同价款由承包人与分包人结算，未经承包人同意，发包人不得向分包人支付分包工程价款；</w:t>
      </w:r>
    </w:p>
    <w:p w14:paraId="027B618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（2）生效法律文书要求发包人向分包人支付分包合同价款的，发包人有权从应付承包人工程款中扣除该部分款项。</w:t>
      </w:r>
    </w:p>
    <w:p w14:paraId="2528CA0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3.5.5 分包合同权益的转让</w:t>
      </w:r>
    </w:p>
    <w:p w14:paraId="1BCEC53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95" w:name="_Toc351203524"/>
    </w:p>
    <w:p w14:paraId="5B548185">
      <w:pPr>
        <w:pStyle w:val="7"/>
        <w:spacing w:before="0" w:beforeAutospacing="0" w:after="0" w:afterAutospacing="0" w:line="360" w:lineRule="auto"/>
        <w:ind w:firstLine="422" w:firstLineChars="200"/>
        <w:rPr>
          <w:color w:val="auto"/>
          <w:sz w:val="21"/>
          <w:szCs w:val="21"/>
        </w:rPr>
      </w:pPr>
      <w:bookmarkStart w:id="396" w:name="_Toc532377210"/>
      <w:r>
        <w:rPr>
          <w:rFonts w:hint="eastAsia"/>
          <w:color w:val="auto"/>
          <w:sz w:val="21"/>
          <w:szCs w:val="21"/>
        </w:rPr>
        <w:t>3.6 工程照管与成品、半成品保护</w:t>
      </w:r>
      <w:bookmarkEnd w:id="395"/>
      <w:bookmarkEnd w:id="396"/>
    </w:p>
    <w:p w14:paraId="4F2C9CF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（1）除专用合同条款另有约定外，自发包人向承包人移交施工现场之日起，承包人应负责照管工程及工程相关的材料、工程设备，直到颁发工程接收证书之日止。</w:t>
      </w:r>
    </w:p>
    <w:p w14:paraId="08FBFD4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（2）在承包人负责照管期间，因承包人原因造成工程、材料、工程设备损坏的，由承包人负责修复或更换，并承担由此增加的费用和（或）延误的工期。</w:t>
      </w:r>
    </w:p>
    <w:p w14:paraId="0BF30F6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22660D27">
      <w:pPr>
        <w:pStyle w:val="7"/>
        <w:spacing w:before="0" w:beforeAutospacing="0" w:after="0" w:afterAutospacing="0" w:line="360" w:lineRule="auto"/>
        <w:ind w:firstLine="422" w:firstLineChars="200"/>
        <w:rPr>
          <w:color w:val="auto"/>
          <w:sz w:val="21"/>
          <w:szCs w:val="21"/>
        </w:rPr>
      </w:pPr>
      <w:bookmarkStart w:id="397" w:name="_Toc351203525"/>
      <w:bookmarkStart w:id="398" w:name="_Toc532377211"/>
      <w:r>
        <w:rPr>
          <w:rFonts w:hint="eastAsia"/>
          <w:color w:val="auto"/>
          <w:sz w:val="21"/>
          <w:szCs w:val="21"/>
        </w:rPr>
        <w:t>3</w:t>
      </w:r>
      <w:bookmarkStart w:id="399" w:name="_Toc296346553"/>
      <w:bookmarkStart w:id="400" w:name="_Toc337558752"/>
      <w:bookmarkStart w:id="401" w:name="_Toc296503052"/>
      <w:r>
        <w:rPr>
          <w:rFonts w:hint="eastAsia"/>
          <w:color w:val="auto"/>
          <w:sz w:val="21"/>
          <w:szCs w:val="21"/>
        </w:rPr>
        <w:t>.7 履约担保</w:t>
      </w:r>
      <w:bookmarkEnd w:id="397"/>
      <w:bookmarkEnd w:id="398"/>
    </w:p>
    <w:bookmarkEnd w:id="399"/>
    <w:bookmarkEnd w:id="400"/>
    <w:bookmarkEnd w:id="401"/>
    <w:p w14:paraId="7B07AA8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F00EE3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因承包人原因导致工期延长的，继续提供履约担保所增加的费用由承包人承担；非因承包人原因导致工期延长的，继续提供履约担保所增加的费用由发包人承担。</w:t>
      </w:r>
    </w:p>
    <w:p w14:paraId="67733C9C">
      <w:pPr>
        <w:pStyle w:val="7"/>
        <w:spacing w:before="0" w:beforeAutospacing="0" w:after="0" w:afterAutospacing="0" w:line="360" w:lineRule="auto"/>
        <w:ind w:firstLine="422" w:firstLineChars="200"/>
        <w:rPr>
          <w:color w:val="auto"/>
          <w:sz w:val="21"/>
          <w:szCs w:val="21"/>
        </w:rPr>
      </w:pPr>
      <w:bookmarkStart w:id="402" w:name="_Toc532377212"/>
      <w:bookmarkStart w:id="403" w:name="_Toc351203526"/>
      <w:r>
        <w:rPr>
          <w:rFonts w:hint="eastAsia"/>
          <w:color w:val="auto"/>
          <w:sz w:val="21"/>
          <w:szCs w:val="21"/>
        </w:rPr>
        <w:t>3.8 联合体</w:t>
      </w:r>
      <w:bookmarkEnd w:id="402"/>
      <w:bookmarkEnd w:id="403"/>
    </w:p>
    <w:p w14:paraId="63EADD0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3.8.1 联合体各方应共同与发包人签订合同协议书。联合体各方应为履行合同向发包人承担连带责任。</w:t>
      </w:r>
    </w:p>
    <w:p w14:paraId="29F6456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3.8.2 联合体协议经发包人确认后作为合同附件。在履行合同过程中，未经发包人同意，不得修改联合体协议。</w:t>
      </w:r>
    </w:p>
    <w:p w14:paraId="6F4B24B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3.8.3 联合体牵头人负责与发包人和监理人联系，并接受指示，负责组织联合体各成员全面履行合同。</w:t>
      </w:r>
    </w:p>
    <w:p w14:paraId="6712D498">
      <w:pPr>
        <w:pStyle w:val="6"/>
        <w:keepNext/>
        <w:keepLines/>
        <w:spacing w:before="156" w:beforeLines="50" w:beforeAutospacing="0" w:after="156" w:afterLines="50" w:afterAutospacing="0" w:line="360" w:lineRule="auto"/>
        <w:jc w:val="both"/>
        <w:rPr>
          <w:bCs w:val="0"/>
          <w:color w:val="auto"/>
          <w:kern w:val="2"/>
          <w:sz w:val="21"/>
          <w:szCs w:val="21"/>
        </w:rPr>
      </w:pPr>
      <w:bookmarkStart w:id="404" w:name="_Toc532375590"/>
      <w:bookmarkStart w:id="405" w:name="_Toc351203527"/>
      <w:bookmarkStart w:id="406" w:name="_Toc532377213"/>
      <w:r>
        <w:rPr>
          <w:rFonts w:hint="eastAsia"/>
          <w:color w:val="auto"/>
          <w:kern w:val="2"/>
          <w:sz w:val="21"/>
          <w:szCs w:val="21"/>
        </w:rPr>
        <w:t>4</w:t>
      </w:r>
      <w:bookmarkStart w:id="407" w:name="_Toc296503053"/>
      <w:bookmarkStart w:id="408" w:name="_Toc296346554"/>
      <w:bookmarkStart w:id="409" w:name="_Toc337558753"/>
      <w:r>
        <w:rPr>
          <w:rFonts w:hint="eastAsia"/>
          <w:color w:val="auto"/>
          <w:kern w:val="2"/>
          <w:sz w:val="21"/>
          <w:szCs w:val="21"/>
        </w:rPr>
        <w:t>. 监</w:t>
      </w:r>
      <w:bookmarkEnd w:id="407"/>
      <w:bookmarkEnd w:id="408"/>
      <w:r>
        <w:rPr>
          <w:rFonts w:hint="eastAsia"/>
          <w:color w:val="auto"/>
          <w:kern w:val="2"/>
          <w:sz w:val="21"/>
          <w:szCs w:val="21"/>
        </w:rPr>
        <w:t>理人</w:t>
      </w:r>
      <w:bookmarkEnd w:id="404"/>
      <w:bookmarkEnd w:id="405"/>
      <w:bookmarkEnd w:id="406"/>
    </w:p>
    <w:bookmarkEnd w:id="409"/>
    <w:p w14:paraId="6F30954E">
      <w:pPr>
        <w:pStyle w:val="7"/>
        <w:spacing w:before="0" w:beforeAutospacing="0" w:after="0" w:afterAutospacing="0" w:line="360" w:lineRule="auto"/>
        <w:ind w:firstLine="422" w:firstLineChars="200"/>
        <w:rPr>
          <w:color w:val="auto"/>
          <w:sz w:val="21"/>
          <w:szCs w:val="21"/>
        </w:rPr>
      </w:pPr>
      <w:bookmarkStart w:id="410" w:name="_Toc532377214"/>
      <w:bookmarkStart w:id="411" w:name="_Toc351203528"/>
      <w:r>
        <w:rPr>
          <w:rFonts w:hint="eastAsia"/>
          <w:color w:val="auto"/>
          <w:sz w:val="21"/>
          <w:szCs w:val="21"/>
        </w:rPr>
        <w:t>4</w:t>
      </w:r>
      <w:bookmarkStart w:id="412" w:name="_Toc337558754"/>
      <w:bookmarkStart w:id="413" w:name="_Toc296503054"/>
      <w:bookmarkStart w:id="414" w:name="_Toc296346555"/>
      <w:r>
        <w:rPr>
          <w:rFonts w:hint="eastAsia"/>
          <w:color w:val="auto"/>
          <w:sz w:val="21"/>
          <w:szCs w:val="21"/>
        </w:rPr>
        <w:t>.1监理人的一般规定</w:t>
      </w:r>
      <w:bookmarkEnd w:id="410"/>
      <w:bookmarkEnd w:id="411"/>
    </w:p>
    <w:bookmarkEnd w:id="412"/>
    <w:bookmarkEnd w:id="413"/>
    <w:bookmarkEnd w:id="414"/>
    <w:p w14:paraId="3D8206A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192AB0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除专用合同条款另有约定外，监理人在施工现场的办公场所、生活场所由承包人提供，所发生的费用由发包人承担。</w:t>
      </w:r>
    </w:p>
    <w:p w14:paraId="5423F04A">
      <w:pPr>
        <w:pStyle w:val="7"/>
        <w:spacing w:before="0" w:beforeAutospacing="0" w:after="0" w:afterAutospacing="0" w:line="360" w:lineRule="auto"/>
        <w:ind w:firstLine="422" w:firstLineChars="200"/>
        <w:rPr>
          <w:color w:val="auto"/>
          <w:sz w:val="21"/>
          <w:szCs w:val="21"/>
        </w:rPr>
      </w:pPr>
      <w:bookmarkStart w:id="415" w:name="_Toc532377215"/>
      <w:bookmarkStart w:id="416" w:name="_Toc351203529"/>
      <w:r>
        <w:rPr>
          <w:rFonts w:hint="eastAsia"/>
          <w:color w:val="auto"/>
          <w:sz w:val="21"/>
          <w:szCs w:val="21"/>
        </w:rPr>
        <w:t>4</w:t>
      </w:r>
      <w:bookmarkStart w:id="417" w:name="_Toc337558755"/>
      <w:r>
        <w:rPr>
          <w:rFonts w:hint="eastAsia"/>
          <w:color w:val="auto"/>
          <w:sz w:val="21"/>
          <w:szCs w:val="21"/>
        </w:rPr>
        <w:t>.2监理人员</w:t>
      </w:r>
      <w:bookmarkEnd w:id="415"/>
      <w:bookmarkEnd w:id="416"/>
    </w:p>
    <w:bookmarkEnd w:id="417"/>
    <w:p w14:paraId="0219D00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66CF277">
      <w:pPr>
        <w:pStyle w:val="7"/>
        <w:spacing w:before="0" w:beforeAutospacing="0" w:after="0" w:afterAutospacing="0" w:line="360" w:lineRule="auto"/>
        <w:ind w:firstLine="422" w:firstLineChars="200"/>
        <w:rPr>
          <w:color w:val="auto"/>
          <w:sz w:val="21"/>
          <w:szCs w:val="21"/>
        </w:rPr>
      </w:pPr>
      <w:bookmarkStart w:id="418" w:name="_Toc351203530"/>
      <w:bookmarkStart w:id="419" w:name="_Toc532377216"/>
      <w:r>
        <w:rPr>
          <w:rFonts w:hint="eastAsia"/>
          <w:color w:val="auto"/>
          <w:sz w:val="21"/>
          <w:szCs w:val="21"/>
        </w:rPr>
        <w:t>4</w:t>
      </w:r>
      <w:bookmarkStart w:id="420" w:name="_Toc296346556"/>
      <w:bookmarkStart w:id="421" w:name="_Toc296503055"/>
      <w:bookmarkStart w:id="422" w:name="_Toc337558756"/>
      <w:r>
        <w:rPr>
          <w:rFonts w:hint="eastAsia"/>
          <w:color w:val="auto"/>
          <w:sz w:val="21"/>
          <w:szCs w:val="21"/>
        </w:rPr>
        <w:t>.3</w:t>
      </w:r>
      <w:bookmarkEnd w:id="420"/>
      <w:bookmarkEnd w:id="421"/>
      <w:r>
        <w:rPr>
          <w:rFonts w:hint="eastAsia"/>
          <w:color w:val="auto"/>
          <w:sz w:val="21"/>
          <w:szCs w:val="21"/>
        </w:rPr>
        <w:t>监理人的指</w:t>
      </w:r>
      <w:bookmarkEnd w:id="422"/>
      <w:r>
        <w:rPr>
          <w:rFonts w:hint="eastAsia"/>
          <w:color w:val="auto"/>
          <w:sz w:val="21"/>
          <w:szCs w:val="21"/>
        </w:rPr>
        <w:t>示</w:t>
      </w:r>
      <w:bookmarkEnd w:id="418"/>
      <w:bookmarkEnd w:id="419"/>
    </w:p>
    <w:p w14:paraId="24E0496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45A4EE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4E9672C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承包人对监理人发出的指示有疑问的，应向监理人提出书面异议，监理人应在48小时内对该指示予以确认、更改或撤销，监理人逾期未回复的，承包人有权拒绝执行上述指示。</w:t>
      </w:r>
    </w:p>
    <w:p w14:paraId="5505632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2437FE23">
      <w:pPr>
        <w:pStyle w:val="7"/>
        <w:spacing w:before="0" w:beforeAutospacing="0" w:after="0" w:afterAutospacing="0" w:line="360" w:lineRule="auto"/>
        <w:ind w:firstLine="422" w:firstLineChars="200"/>
        <w:rPr>
          <w:color w:val="auto"/>
          <w:sz w:val="21"/>
          <w:szCs w:val="21"/>
        </w:rPr>
      </w:pPr>
      <w:bookmarkStart w:id="423" w:name="_Toc351203531"/>
      <w:bookmarkStart w:id="424" w:name="_Toc532377217"/>
      <w:r>
        <w:rPr>
          <w:rFonts w:hint="eastAsia"/>
          <w:color w:val="auto"/>
          <w:sz w:val="21"/>
          <w:szCs w:val="21"/>
        </w:rPr>
        <w:t>4</w:t>
      </w:r>
      <w:bookmarkStart w:id="425" w:name="_Toc296346558"/>
      <w:bookmarkStart w:id="426" w:name="_Toc296503057"/>
      <w:bookmarkStart w:id="427" w:name="_Toc337558757"/>
      <w:r>
        <w:rPr>
          <w:rFonts w:hint="eastAsia"/>
          <w:color w:val="auto"/>
          <w:sz w:val="21"/>
          <w:szCs w:val="21"/>
        </w:rPr>
        <w:t>.4 商定或确定</w:t>
      </w:r>
      <w:bookmarkEnd w:id="423"/>
      <w:bookmarkEnd w:id="424"/>
    </w:p>
    <w:bookmarkEnd w:id="425"/>
    <w:bookmarkEnd w:id="426"/>
    <w:bookmarkEnd w:id="427"/>
    <w:p w14:paraId="2C2DF6A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合同当事人进行商定或确定时，总监理工程师应当会同合同当事人尽量通过协商达成一致，不能达成一致的，由总监理工程师按照合同约定审慎做出公正的确定。</w:t>
      </w:r>
    </w:p>
    <w:p w14:paraId="08F5B64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C7EB506">
      <w:pPr>
        <w:pStyle w:val="6"/>
        <w:keepNext/>
        <w:keepLines/>
        <w:spacing w:before="156" w:beforeLines="50" w:beforeAutospacing="0" w:after="156" w:afterLines="50" w:afterAutospacing="0" w:line="360" w:lineRule="auto"/>
        <w:jc w:val="both"/>
        <w:rPr>
          <w:bCs w:val="0"/>
          <w:color w:val="auto"/>
          <w:kern w:val="2"/>
          <w:sz w:val="21"/>
          <w:szCs w:val="21"/>
        </w:rPr>
      </w:pPr>
      <w:bookmarkStart w:id="428" w:name="_Toc532377218"/>
      <w:bookmarkStart w:id="429" w:name="_Toc532375591"/>
      <w:bookmarkStart w:id="430" w:name="_Toc351203532"/>
      <w:r>
        <w:rPr>
          <w:rFonts w:hint="eastAsia"/>
          <w:color w:val="auto"/>
          <w:kern w:val="2"/>
          <w:sz w:val="21"/>
          <w:szCs w:val="21"/>
        </w:rPr>
        <w:t>5</w:t>
      </w:r>
      <w:bookmarkStart w:id="431" w:name="_Toc337558758"/>
      <w:r>
        <w:rPr>
          <w:rFonts w:hint="eastAsia"/>
          <w:color w:val="auto"/>
          <w:kern w:val="2"/>
          <w:sz w:val="21"/>
          <w:szCs w:val="21"/>
        </w:rPr>
        <w:t>. 工程质量</w:t>
      </w:r>
      <w:bookmarkEnd w:id="428"/>
      <w:bookmarkEnd w:id="429"/>
      <w:bookmarkEnd w:id="430"/>
    </w:p>
    <w:bookmarkEnd w:id="431"/>
    <w:p w14:paraId="0A6FBB7B">
      <w:pPr>
        <w:pStyle w:val="7"/>
        <w:spacing w:before="0" w:beforeAutospacing="0" w:after="0" w:afterAutospacing="0" w:line="360" w:lineRule="auto"/>
        <w:ind w:firstLine="422" w:firstLineChars="200"/>
        <w:rPr>
          <w:color w:val="auto"/>
          <w:sz w:val="21"/>
          <w:szCs w:val="21"/>
        </w:rPr>
      </w:pPr>
      <w:bookmarkStart w:id="432" w:name="_Toc532377219"/>
      <w:bookmarkStart w:id="433" w:name="_Toc351203533"/>
      <w:r>
        <w:rPr>
          <w:rFonts w:hint="eastAsia"/>
          <w:color w:val="auto"/>
          <w:sz w:val="21"/>
          <w:szCs w:val="21"/>
        </w:rPr>
        <w:t>5</w:t>
      </w:r>
      <w:bookmarkStart w:id="434" w:name="_Toc337558759"/>
      <w:r>
        <w:rPr>
          <w:rFonts w:hint="eastAsia"/>
          <w:color w:val="auto"/>
          <w:sz w:val="21"/>
          <w:szCs w:val="21"/>
        </w:rPr>
        <w:t>.1质量要求</w:t>
      </w:r>
      <w:bookmarkEnd w:id="432"/>
      <w:bookmarkEnd w:id="433"/>
    </w:p>
    <w:bookmarkEnd w:id="434"/>
    <w:p w14:paraId="02DCC82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5.1.1 工程质量标准必须符合现行国家有关工程施工质量验收规范和标准的要求。有关工程质量的特殊标准或要求由合同当事人在专用合同条款中约定。</w:t>
      </w:r>
    </w:p>
    <w:p w14:paraId="6991932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5.1.2 因发包人原因造成工程质量未达到合同约定标准的，由发包人承担由此增加的费用和（或）延误的工期，并支付承包人合理的利润。</w:t>
      </w:r>
    </w:p>
    <w:p w14:paraId="5C9CF47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5.1.3 因承包人原因造成工程质量未达到合同约定标准的，发包人有权要求承包人返工直至工程质量达到合同约定的标准为止，并由承包人承担由此增加的费用和（或）延误的工期。</w:t>
      </w:r>
    </w:p>
    <w:p w14:paraId="2CA0AB46">
      <w:pPr>
        <w:pStyle w:val="7"/>
        <w:spacing w:before="0" w:beforeAutospacing="0" w:after="0" w:afterAutospacing="0" w:line="360" w:lineRule="auto"/>
        <w:ind w:firstLine="422" w:firstLineChars="200"/>
        <w:rPr>
          <w:color w:val="auto"/>
          <w:sz w:val="21"/>
          <w:szCs w:val="21"/>
        </w:rPr>
      </w:pPr>
      <w:bookmarkStart w:id="435" w:name="_Toc532377220"/>
      <w:bookmarkStart w:id="436" w:name="_Toc351203534"/>
      <w:r>
        <w:rPr>
          <w:rFonts w:hint="eastAsia"/>
          <w:color w:val="auto"/>
          <w:sz w:val="21"/>
          <w:szCs w:val="21"/>
        </w:rPr>
        <w:t>5</w:t>
      </w:r>
      <w:bookmarkStart w:id="437" w:name="_Toc337558760"/>
      <w:r>
        <w:rPr>
          <w:rFonts w:hint="eastAsia"/>
          <w:color w:val="auto"/>
          <w:sz w:val="21"/>
          <w:szCs w:val="21"/>
        </w:rPr>
        <w:t>.2质量保证措施</w:t>
      </w:r>
      <w:bookmarkEnd w:id="435"/>
      <w:bookmarkEnd w:id="436"/>
    </w:p>
    <w:bookmarkEnd w:id="437"/>
    <w:p w14:paraId="19129B3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5.2.1 发包人的质量管理</w:t>
      </w:r>
    </w:p>
    <w:p w14:paraId="0E76E09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发包人应按照法律规定及合同约定完成与工程质量有关的各项工作。</w:t>
      </w:r>
    </w:p>
    <w:p w14:paraId="0798B73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5.2.2 承包人的质量管理</w:t>
      </w:r>
    </w:p>
    <w:p w14:paraId="7318225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64F6844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承包人应对施工人员进行质量教育和技术培训，定期考核施工人员的劳动技能，严格执行施工规范和操作规程。</w:t>
      </w:r>
    </w:p>
    <w:p w14:paraId="284D8CC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CB79DB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5.2.3 监理人的质量检查和检验</w:t>
      </w:r>
    </w:p>
    <w:p w14:paraId="1E995AB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59FBB6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B136CAE">
      <w:pPr>
        <w:pStyle w:val="7"/>
        <w:spacing w:before="0" w:beforeAutospacing="0" w:after="0" w:afterAutospacing="0" w:line="360" w:lineRule="auto"/>
        <w:ind w:firstLine="422" w:firstLineChars="200"/>
        <w:rPr>
          <w:color w:val="auto"/>
          <w:sz w:val="21"/>
          <w:szCs w:val="21"/>
        </w:rPr>
      </w:pPr>
      <w:bookmarkStart w:id="438" w:name="_Toc532377221"/>
      <w:bookmarkStart w:id="439" w:name="_Toc351203535"/>
      <w:r>
        <w:rPr>
          <w:rFonts w:hint="eastAsia"/>
          <w:color w:val="auto"/>
          <w:sz w:val="21"/>
          <w:szCs w:val="21"/>
        </w:rPr>
        <w:t>5</w:t>
      </w:r>
      <w:bookmarkStart w:id="440" w:name="_Toc337558761"/>
      <w:r>
        <w:rPr>
          <w:rFonts w:hint="eastAsia"/>
          <w:color w:val="auto"/>
          <w:sz w:val="21"/>
          <w:szCs w:val="21"/>
        </w:rPr>
        <w:t>.3 隐蔽工程检查</w:t>
      </w:r>
      <w:bookmarkEnd w:id="438"/>
      <w:bookmarkEnd w:id="439"/>
    </w:p>
    <w:bookmarkEnd w:id="440"/>
    <w:p w14:paraId="79B41AA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5.3.1承包人自检</w:t>
      </w:r>
    </w:p>
    <w:p w14:paraId="2C743B5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承包人应当对工程隐蔽部位进行自检，并经自检确认是否具备覆盖条件。</w:t>
      </w:r>
    </w:p>
    <w:p w14:paraId="7E2A902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5.3.2检查程序</w:t>
      </w:r>
    </w:p>
    <w:p w14:paraId="7048A81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68F224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3C4A642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6E2AE85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5.3.3 重新检查</w:t>
      </w:r>
    </w:p>
    <w:p w14:paraId="1511387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30B7DB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5.3.4 承包人私自覆盖</w:t>
      </w:r>
    </w:p>
    <w:p w14:paraId="0FF504C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0A9D2674">
      <w:pPr>
        <w:pStyle w:val="7"/>
        <w:spacing w:before="0" w:beforeAutospacing="0" w:after="0" w:afterAutospacing="0" w:line="360" w:lineRule="auto"/>
        <w:ind w:firstLine="422" w:firstLineChars="200"/>
        <w:rPr>
          <w:color w:val="auto"/>
          <w:sz w:val="21"/>
          <w:szCs w:val="21"/>
        </w:rPr>
      </w:pPr>
      <w:bookmarkStart w:id="441" w:name="_Toc532377222"/>
      <w:r>
        <w:rPr>
          <w:rFonts w:hint="eastAsia"/>
          <w:color w:val="auto"/>
          <w:sz w:val="21"/>
          <w:szCs w:val="21"/>
        </w:rPr>
        <w:t>5.4不合格工程的处理</w:t>
      </w:r>
      <w:bookmarkEnd w:id="441"/>
    </w:p>
    <w:p w14:paraId="6937A2C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0F93D51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5.4.2 因发包人原因造成工程不合格的，由此增加的费用和（或）延误的工期由发包人承担，并支付承包人合理的利润。</w:t>
      </w:r>
    </w:p>
    <w:p w14:paraId="0DF2D908">
      <w:pPr>
        <w:pStyle w:val="7"/>
        <w:spacing w:before="0" w:beforeAutospacing="0" w:after="0" w:afterAutospacing="0" w:line="360" w:lineRule="auto"/>
        <w:ind w:firstLine="422" w:firstLineChars="200"/>
        <w:rPr>
          <w:color w:val="auto"/>
          <w:sz w:val="21"/>
          <w:szCs w:val="21"/>
        </w:rPr>
      </w:pPr>
      <w:bookmarkStart w:id="442" w:name="_Toc532377223"/>
      <w:bookmarkStart w:id="443" w:name="_Toc351203537"/>
      <w:r>
        <w:rPr>
          <w:rFonts w:hint="eastAsia"/>
          <w:color w:val="auto"/>
          <w:sz w:val="21"/>
          <w:szCs w:val="21"/>
        </w:rPr>
        <w:t>5.5 质量争议检测</w:t>
      </w:r>
      <w:bookmarkEnd w:id="442"/>
      <w:bookmarkEnd w:id="443"/>
    </w:p>
    <w:p w14:paraId="300A061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合同当事人对工程质量有争议的，由双方协商确定的工程质量检测机构鉴定，由此产生的费用及因此造成的损失，由责任方承担。</w:t>
      </w:r>
    </w:p>
    <w:p w14:paraId="744BC35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合同当事人均有责任的，由双方根据其责任分别承担。合同当事人无法达成一致的，按照第4.4款〔商定或确定〕执行。</w:t>
      </w:r>
    </w:p>
    <w:p w14:paraId="0CA49019">
      <w:pPr>
        <w:pStyle w:val="6"/>
        <w:keepNext/>
        <w:keepLines/>
        <w:spacing w:before="156" w:beforeLines="50" w:beforeAutospacing="0" w:after="156" w:afterLines="50" w:afterAutospacing="0" w:line="360" w:lineRule="auto"/>
        <w:jc w:val="both"/>
        <w:rPr>
          <w:bCs w:val="0"/>
          <w:color w:val="auto"/>
          <w:kern w:val="2"/>
          <w:sz w:val="21"/>
          <w:szCs w:val="21"/>
        </w:rPr>
      </w:pPr>
      <w:bookmarkStart w:id="444" w:name="_Toc351203538"/>
      <w:bookmarkStart w:id="445" w:name="_Toc532377224"/>
      <w:bookmarkStart w:id="446" w:name="_Toc532375592"/>
      <w:r>
        <w:rPr>
          <w:rFonts w:hint="eastAsia"/>
          <w:color w:val="auto"/>
          <w:kern w:val="2"/>
          <w:sz w:val="21"/>
          <w:szCs w:val="21"/>
        </w:rPr>
        <w:t>6</w:t>
      </w:r>
      <w:bookmarkStart w:id="447" w:name="_Toc337558763"/>
      <w:r>
        <w:rPr>
          <w:rFonts w:hint="eastAsia"/>
          <w:color w:val="auto"/>
          <w:kern w:val="2"/>
          <w:sz w:val="21"/>
          <w:szCs w:val="21"/>
        </w:rPr>
        <w:t>. 安全文明施工与环境保护</w:t>
      </w:r>
      <w:bookmarkEnd w:id="444"/>
      <w:bookmarkEnd w:id="445"/>
      <w:bookmarkEnd w:id="446"/>
    </w:p>
    <w:bookmarkEnd w:id="447"/>
    <w:p w14:paraId="397F0C21">
      <w:pPr>
        <w:pStyle w:val="7"/>
        <w:spacing w:before="0" w:beforeAutospacing="0" w:after="0" w:afterAutospacing="0" w:line="360" w:lineRule="auto"/>
        <w:ind w:firstLine="422" w:firstLineChars="200"/>
        <w:rPr>
          <w:color w:val="auto"/>
          <w:sz w:val="21"/>
          <w:szCs w:val="21"/>
        </w:rPr>
      </w:pPr>
      <w:bookmarkStart w:id="448" w:name="_Toc532377225"/>
      <w:bookmarkStart w:id="449" w:name="_Toc351203539"/>
      <w:r>
        <w:rPr>
          <w:rFonts w:hint="eastAsia"/>
          <w:color w:val="auto"/>
          <w:sz w:val="21"/>
          <w:szCs w:val="21"/>
        </w:rPr>
        <w:t>6</w:t>
      </w:r>
      <w:bookmarkStart w:id="450" w:name="_Toc337558764"/>
      <w:r>
        <w:rPr>
          <w:rFonts w:hint="eastAsia"/>
          <w:color w:val="auto"/>
          <w:sz w:val="21"/>
          <w:szCs w:val="21"/>
        </w:rPr>
        <w:t>.1安全文明施工</w:t>
      </w:r>
      <w:bookmarkEnd w:id="448"/>
      <w:bookmarkEnd w:id="449"/>
    </w:p>
    <w:bookmarkEnd w:id="450"/>
    <w:p w14:paraId="0C4AD5E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6.1.1安全生产要求</w:t>
      </w:r>
    </w:p>
    <w:p w14:paraId="0B4AD26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94B39B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35BBAEF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因安全生产需要暂停施工的，按照第7.8款〔暂停施工〕的约定执行。</w:t>
      </w:r>
    </w:p>
    <w:p w14:paraId="5215252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6.1.2 安全生产保证措施</w:t>
      </w:r>
    </w:p>
    <w:p w14:paraId="25639E6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3DD8903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6.1.3特别安全生产事项</w:t>
      </w:r>
    </w:p>
    <w:p w14:paraId="7AF3594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49F721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14:paraId="29E4D94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0C95766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需单独编制危险性较大分部分项专项工程施工方案的，及要求进行专家论证的超过一定规模的危险性较大的分部分项工程，承包人应及时编制和组织论证。</w:t>
      </w:r>
    </w:p>
    <w:p w14:paraId="39078BF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6.1.4 治安保卫</w:t>
      </w:r>
    </w:p>
    <w:p w14:paraId="3349357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除专用合同条款另有约定外，发包人应与当地公安部门协商，在现场建立治安管理机构或联防组织，统一管理施工场地的治安保卫事项，履行合同工程的治安保卫职责。</w:t>
      </w:r>
    </w:p>
    <w:p w14:paraId="2EF3DD0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发包人和承包人除应协助现场治安管理机构或联防组织维护施工场地的社会治安外，还应做好包括生活区在内的各自管辖区的治安保卫工作。</w:t>
      </w:r>
    </w:p>
    <w:p w14:paraId="56B15C3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815FAA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6.1.5 文明施工</w:t>
      </w:r>
    </w:p>
    <w:p w14:paraId="4746F85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009281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BB98BF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6.1.6 安全文明施工费</w:t>
      </w:r>
    </w:p>
    <w:p w14:paraId="492A095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安全文明施工费由发包人承担，发包人不得以任何形式扣减该部分费用。因基准日期后合同所适用的法律或政府有关规定发生变化，增加的安全文明施工费由发包人承担。</w:t>
      </w:r>
    </w:p>
    <w:p w14:paraId="7946C98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2ABEB7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73F234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D226AF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6.1.7 紧急情况处理</w:t>
      </w:r>
    </w:p>
    <w:p w14:paraId="6556968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D6F4AE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6.1.8 事故处理</w:t>
      </w:r>
    </w:p>
    <w:p w14:paraId="6A2D062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83E64C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6.1.9 安全生产责任</w:t>
      </w:r>
    </w:p>
    <w:p w14:paraId="3174D4E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6.1.9.1 发包人的安全责任</w:t>
      </w:r>
    </w:p>
    <w:p w14:paraId="033F5D1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发包人应负责赔偿以下各种情况造成的损失：</w:t>
      </w:r>
    </w:p>
    <w:p w14:paraId="51F5C93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（1）工程或工程的任何部分对土地的占用所造成的第三者财产损失；</w:t>
      </w:r>
    </w:p>
    <w:p w14:paraId="54FE06A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（2）由于发包人原因在施工场地及其毗邻地带造成的第三者人身伤亡和财产损失；</w:t>
      </w:r>
    </w:p>
    <w:p w14:paraId="2A98F21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（3）由于发包人原因对承包人、监理人造成的人员人身伤亡和财产损失；</w:t>
      </w:r>
    </w:p>
    <w:p w14:paraId="0DA216E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（4）由于发包人原因造成的发包人自身人员的人身伤害以及财产损失。</w:t>
      </w:r>
    </w:p>
    <w:p w14:paraId="5A572EE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6.1.9.2 承包人的安全责任</w:t>
      </w:r>
    </w:p>
    <w:p w14:paraId="79B5575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由于承包人原因在施工场地内及其毗邻地带造成的发包人、监理人以及第三者人员伤亡和财产损失，由承包人负责赔偿。</w:t>
      </w:r>
    </w:p>
    <w:p w14:paraId="2B93988E">
      <w:pPr>
        <w:pStyle w:val="7"/>
        <w:spacing w:before="0" w:beforeAutospacing="0" w:after="0" w:afterAutospacing="0" w:line="360" w:lineRule="auto"/>
        <w:ind w:firstLine="422" w:firstLineChars="200"/>
        <w:rPr>
          <w:color w:val="auto"/>
          <w:sz w:val="21"/>
          <w:szCs w:val="21"/>
        </w:rPr>
      </w:pPr>
      <w:bookmarkStart w:id="451" w:name="_Toc532377226"/>
      <w:bookmarkStart w:id="452" w:name="_Toc351203540"/>
      <w:r>
        <w:rPr>
          <w:rFonts w:hint="eastAsia"/>
          <w:color w:val="auto"/>
          <w:sz w:val="21"/>
          <w:szCs w:val="21"/>
        </w:rPr>
        <w:t>6</w:t>
      </w:r>
      <w:bookmarkStart w:id="453" w:name="_Toc337558765"/>
      <w:r>
        <w:rPr>
          <w:rFonts w:hint="eastAsia"/>
          <w:color w:val="auto"/>
          <w:sz w:val="21"/>
          <w:szCs w:val="21"/>
        </w:rPr>
        <w:t>.2 职业健康</w:t>
      </w:r>
      <w:bookmarkEnd w:id="451"/>
      <w:bookmarkEnd w:id="452"/>
    </w:p>
    <w:bookmarkEnd w:id="453"/>
    <w:p w14:paraId="578FDB6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6.2.1 劳动保护</w:t>
      </w:r>
    </w:p>
    <w:p w14:paraId="718A9B0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2743BD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A04FC2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1256DDA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6.2.2 生活条件</w:t>
      </w:r>
    </w:p>
    <w:p w14:paraId="47D7EC6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A6F3628">
      <w:pPr>
        <w:pStyle w:val="7"/>
        <w:spacing w:before="0" w:beforeAutospacing="0" w:after="0" w:afterAutospacing="0" w:line="360" w:lineRule="auto"/>
        <w:ind w:firstLine="422" w:firstLineChars="200"/>
        <w:rPr>
          <w:color w:val="auto"/>
          <w:sz w:val="21"/>
          <w:szCs w:val="21"/>
        </w:rPr>
      </w:pPr>
      <w:bookmarkStart w:id="454" w:name="_Toc351203541"/>
      <w:bookmarkStart w:id="455" w:name="_Toc532377227"/>
      <w:r>
        <w:rPr>
          <w:rFonts w:hint="eastAsia"/>
          <w:color w:val="auto"/>
          <w:sz w:val="21"/>
          <w:szCs w:val="21"/>
        </w:rPr>
        <w:t>6</w:t>
      </w:r>
      <w:bookmarkStart w:id="456" w:name="_Toc337558766"/>
      <w:r>
        <w:rPr>
          <w:rFonts w:hint="eastAsia"/>
          <w:color w:val="auto"/>
          <w:sz w:val="21"/>
          <w:szCs w:val="21"/>
        </w:rPr>
        <w:t>.3 环境保护</w:t>
      </w:r>
      <w:bookmarkEnd w:id="454"/>
      <w:bookmarkEnd w:id="455"/>
    </w:p>
    <w:bookmarkEnd w:id="456"/>
    <w:p w14:paraId="56AACBB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780157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承包人应当承担因其原因引起的环境污染侵权损害赔偿责任，因上述环境污染引起纠纷而导致暂停施工的，由此增加的费用和（或）延误的工期由承包人承担。</w:t>
      </w:r>
    </w:p>
    <w:p w14:paraId="4A47CE71">
      <w:pPr>
        <w:pStyle w:val="6"/>
        <w:keepNext/>
        <w:keepLines/>
        <w:spacing w:before="156" w:beforeLines="50" w:beforeAutospacing="0" w:after="156" w:afterLines="50" w:afterAutospacing="0" w:line="360" w:lineRule="auto"/>
        <w:jc w:val="both"/>
        <w:rPr>
          <w:bCs w:val="0"/>
          <w:color w:val="auto"/>
          <w:kern w:val="2"/>
          <w:sz w:val="21"/>
          <w:szCs w:val="21"/>
        </w:rPr>
      </w:pPr>
      <w:bookmarkStart w:id="457" w:name="_Toc532375593"/>
      <w:bookmarkStart w:id="458" w:name="_Toc532377228"/>
      <w:bookmarkStart w:id="459" w:name="_Toc351203542"/>
      <w:r>
        <w:rPr>
          <w:rFonts w:hint="eastAsia"/>
          <w:color w:val="auto"/>
          <w:kern w:val="2"/>
          <w:sz w:val="21"/>
          <w:szCs w:val="21"/>
        </w:rPr>
        <w:t>7</w:t>
      </w:r>
      <w:bookmarkStart w:id="460" w:name="_Toc337558767"/>
      <w:r>
        <w:rPr>
          <w:rFonts w:hint="eastAsia"/>
          <w:color w:val="auto"/>
          <w:kern w:val="2"/>
          <w:sz w:val="21"/>
          <w:szCs w:val="21"/>
        </w:rPr>
        <w:t>. 工期和进度</w:t>
      </w:r>
      <w:bookmarkEnd w:id="457"/>
      <w:bookmarkEnd w:id="458"/>
      <w:bookmarkEnd w:id="459"/>
    </w:p>
    <w:bookmarkEnd w:id="460"/>
    <w:p w14:paraId="3D9A0479">
      <w:pPr>
        <w:pStyle w:val="7"/>
        <w:spacing w:before="0" w:beforeAutospacing="0" w:after="0" w:afterAutospacing="0" w:line="360" w:lineRule="auto"/>
        <w:ind w:firstLine="422" w:firstLineChars="200"/>
        <w:rPr>
          <w:color w:val="auto"/>
          <w:sz w:val="21"/>
          <w:szCs w:val="21"/>
        </w:rPr>
      </w:pPr>
      <w:bookmarkStart w:id="461" w:name="_Toc351203543"/>
      <w:bookmarkStart w:id="462" w:name="_Toc532377229"/>
      <w:r>
        <w:rPr>
          <w:rFonts w:hint="eastAsia"/>
          <w:color w:val="auto"/>
          <w:sz w:val="21"/>
          <w:szCs w:val="21"/>
        </w:rPr>
        <w:t>7</w:t>
      </w:r>
      <w:bookmarkStart w:id="463" w:name="_Toc337558768"/>
      <w:bookmarkStart w:id="464" w:name="_Toc296346567"/>
      <w:bookmarkStart w:id="465" w:name="_Toc296503066"/>
      <w:r>
        <w:rPr>
          <w:rFonts w:hint="eastAsia"/>
          <w:color w:val="auto"/>
          <w:sz w:val="21"/>
          <w:szCs w:val="21"/>
        </w:rPr>
        <w:t>.1施工组织设计</w:t>
      </w:r>
      <w:bookmarkEnd w:id="461"/>
      <w:bookmarkEnd w:id="462"/>
    </w:p>
    <w:bookmarkEnd w:id="463"/>
    <w:p w14:paraId="3F2A977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7.1.1 施工组织设计的内容</w:t>
      </w:r>
    </w:p>
    <w:p w14:paraId="1D51429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施工组织设计应包含以下内容：</w:t>
      </w:r>
    </w:p>
    <w:p w14:paraId="5AC62CD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（1）施工方案； </w:t>
      </w:r>
    </w:p>
    <w:p w14:paraId="2AA9857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（2）施工现场平面布置图；</w:t>
      </w:r>
    </w:p>
    <w:p w14:paraId="3803AE3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（3）施工进度计划和保证措施； </w:t>
      </w:r>
    </w:p>
    <w:p w14:paraId="65D73E4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（4）劳动力及材料供应计划；</w:t>
      </w:r>
    </w:p>
    <w:p w14:paraId="21D2425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（5）施工机械设备的选用；</w:t>
      </w:r>
    </w:p>
    <w:p w14:paraId="353C985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（6）质量保证体系及措施；</w:t>
      </w:r>
    </w:p>
    <w:p w14:paraId="7096BC9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（7）安全生产、文明施工措施；</w:t>
      </w:r>
    </w:p>
    <w:p w14:paraId="2B42A9E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（8）环境保护、成本控制措施；</w:t>
      </w:r>
    </w:p>
    <w:p w14:paraId="2583414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（9）合同当事人约定的其他内容。</w:t>
      </w:r>
    </w:p>
    <w:p w14:paraId="2E67951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7.1.2 施工组织设计的提交和修改</w:t>
      </w:r>
    </w:p>
    <w:p w14:paraId="70E6E52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760300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施工进度计划的编制和修改按照第7.2款〔施工进度计划〕执行。</w:t>
      </w:r>
    </w:p>
    <w:p w14:paraId="4AC5B3A1">
      <w:pPr>
        <w:pStyle w:val="7"/>
        <w:spacing w:before="0" w:beforeAutospacing="0" w:after="0" w:afterAutospacing="0" w:line="360" w:lineRule="auto"/>
        <w:ind w:firstLine="422" w:firstLineChars="200"/>
        <w:rPr>
          <w:color w:val="auto"/>
          <w:sz w:val="21"/>
          <w:szCs w:val="21"/>
        </w:rPr>
      </w:pPr>
      <w:bookmarkStart w:id="466" w:name="_Toc351203544"/>
      <w:bookmarkStart w:id="467" w:name="_Toc532377230"/>
      <w:r>
        <w:rPr>
          <w:rFonts w:hint="eastAsia"/>
          <w:color w:val="auto"/>
          <w:sz w:val="21"/>
          <w:szCs w:val="21"/>
        </w:rPr>
        <w:t>7</w:t>
      </w:r>
      <w:bookmarkStart w:id="468" w:name="_Toc337558769"/>
      <w:r>
        <w:rPr>
          <w:rFonts w:hint="eastAsia"/>
          <w:color w:val="auto"/>
          <w:sz w:val="21"/>
          <w:szCs w:val="21"/>
        </w:rPr>
        <w:t>.2 施工进度计划</w:t>
      </w:r>
      <w:bookmarkEnd w:id="466"/>
      <w:bookmarkEnd w:id="467"/>
    </w:p>
    <w:bookmarkEnd w:id="468"/>
    <w:p w14:paraId="4DF9216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7.2.1 施工进度计划的编制</w:t>
      </w:r>
    </w:p>
    <w:p w14:paraId="3D2491F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5CCD73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7.2.2 施工进度计划的修订</w:t>
      </w:r>
    </w:p>
    <w:p w14:paraId="0CEB653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95829BE">
      <w:pPr>
        <w:pStyle w:val="7"/>
        <w:spacing w:before="0" w:beforeAutospacing="0" w:after="0" w:afterAutospacing="0" w:line="360" w:lineRule="auto"/>
        <w:ind w:firstLine="422" w:firstLineChars="200"/>
        <w:rPr>
          <w:color w:val="auto"/>
          <w:sz w:val="21"/>
          <w:szCs w:val="21"/>
        </w:rPr>
      </w:pPr>
      <w:bookmarkStart w:id="469" w:name="_Toc532377231"/>
      <w:bookmarkStart w:id="470" w:name="_Toc351203545"/>
      <w:r>
        <w:rPr>
          <w:rFonts w:hint="eastAsia"/>
          <w:color w:val="auto"/>
          <w:sz w:val="21"/>
          <w:szCs w:val="21"/>
        </w:rPr>
        <w:t>7</w:t>
      </w:r>
      <w:bookmarkStart w:id="471" w:name="_Toc337558770"/>
      <w:r>
        <w:rPr>
          <w:rFonts w:hint="eastAsia"/>
          <w:color w:val="auto"/>
          <w:sz w:val="21"/>
          <w:szCs w:val="21"/>
        </w:rPr>
        <w:t>.3 开工</w:t>
      </w:r>
      <w:bookmarkEnd w:id="469"/>
      <w:bookmarkEnd w:id="470"/>
    </w:p>
    <w:p w14:paraId="3CDC214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7.3.1 开工准备</w:t>
      </w:r>
    </w:p>
    <w:p w14:paraId="7C04B23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1F7881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除专用合同条款另有约定外，合同当事人应按约定完成开工准备工作。</w:t>
      </w:r>
    </w:p>
    <w:p w14:paraId="6D912A7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7.3.2 开工通知</w:t>
      </w:r>
    </w:p>
    <w:bookmarkEnd w:id="471"/>
    <w:p w14:paraId="5E0EBB4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12FCEA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2531B3AC">
      <w:pPr>
        <w:pStyle w:val="7"/>
        <w:spacing w:before="0" w:beforeAutospacing="0" w:after="0" w:afterAutospacing="0" w:line="360" w:lineRule="auto"/>
        <w:ind w:firstLine="422" w:firstLineChars="200"/>
        <w:rPr>
          <w:color w:val="auto"/>
          <w:sz w:val="21"/>
          <w:szCs w:val="21"/>
        </w:rPr>
      </w:pPr>
      <w:bookmarkStart w:id="472" w:name="_Toc532377232"/>
      <w:bookmarkStart w:id="473" w:name="_Toc351203546"/>
      <w:r>
        <w:rPr>
          <w:rFonts w:hint="eastAsia"/>
          <w:color w:val="auto"/>
          <w:sz w:val="21"/>
          <w:szCs w:val="21"/>
        </w:rPr>
        <w:t>7.4测量放线</w:t>
      </w:r>
      <w:bookmarkEnd w:id="472"/>
      <w:bookmarkEnd w:id="473"/>
    </w:p>
    <w:p w14:paraId="6AB55AD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BB8D52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193606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716A73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施工过程中对施工现场内水准点等测量标志物的保护工作由承包人负责。</w:t>
      </w:r>
      <w:bookmarkStart w:id="474" w:name="_Toc351203547"/>
    </w:p>
    <w:p w14:paraId="32AE48F1">
      <w:pPr>
        <w:pStyle w:val="7"/>
        <w:spacing w:before="0" w:beforeAutospacing="0" w:after="0" w:afterAutospacing="0" w:line="360" w:lineRule="auto"/>
        <w:ind w:firstLine="422" w:firstLineChars="200"/>
        <w:rPr>
          <w:color w:val="auto"/>
          <w:sz w:val="21"/>
          <w:szCs w:val="21"/>
        </w:rPr>
      </w:pPr>
      <w:bookmarkStart w:id="475" w:name="_Toc532377233"/>
      <w:r>
        <w:rPr>
          <w:rFonts w:hint="eastAsia"/>
          <w:color w:val="auto"/>
          <w:sz w:val="21"/>
          <w:szCs w:val="21"/>
        </w:rPr>
        <w:t>7</w:t>
      </w:r>
      <w:bookmarkEnd w:id="464"/>
      <w:bookmarkEnd w:id="465"/>
      <w:bookmarkStart w:id="476" w:name="_Toc337558772"/>
      <w:bookmarkStart w:id="477" w:name="_Toc296346574"/>
      <w:bookmarkStart w:id="478" w:name="_Toc296503073"/>
      <w:r>
        <w:rPr>
          <w:rFonts w:hint="eastAsia"/>
          <w:color w:val="auto"/>
          <w:sz w:val="21"/>
          <w:szCs w:val="21"/>
        </w:rPr>
        <w:t>.5 工期延误</w:t>
      </w:r>
      <w:bookmarkEnd w:id="474"/>
      <w:bookmarkEnd w:id="475"/>
    </w:p>
    <w:bookmarkEnd w:id="476"/>
    <w:bookmarkEnd w:id="477"/>
    <w:bookmarkEnd w:id="478"/>
    <w:p w14:paraId="3CBD98A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7.5.1 因发包人原因导致工期延误</w:t>
      </w:r>
    </w:p>
    <w:p w14:paraId="6E4E616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在合同履行过程中，因下列情况导致工期延误和（或）费用增加的，由发包人承担由此延误的工期和（或）增加的费用，且发包人应支付承包人合理的利润： </w:t>
      </w:r>
    </w:p>
    <w:p w14:paraId="6EE4DAB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（1）发包人未能按合同约定提供图纸或所提供图纸不符合合同约定的；</w:t>
      </w:r>
    </w:p>
    <w:p w14:paraId="0C78DC3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（2）发包人未能按合同约定提供施工现场、施工条件、基础资料、许可、批准等开工条件的；</w:t>
      </w:r>
    </w:p>
    <w:p w14:paraId="2CABF27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（3）发包人提供的测量基准点、基准线和水准点及其书面资料存在错误或疏漏的；</w:t>
      </w:r>
    </w:p>
    <w:p w14:paraId="4AD9C80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（4）发包人未能在计划开工日期之日起7天内同意下达开工通知的；</w:t>
      </w:r>
    </w:p>
    <w:p w14:paraId="6B1E5E6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（5）发包人未能按合同约定日期支付工程预付款、进度款或竣工结算款的；</w:t>
      </w:r>
    </w:p>
    <w:p w14:paraId="4AAF0FB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（6）监理人未按合同约定发出指示、批准等文件的；</w:t>
      </w:r>
    </w:p>
    <w:p w14:paraId="1375540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（7）专用合同条款中约定的其他情形。</w:t>
      </w:r>
    </w:p>
    <w:p w14:paraId="4FF4725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FE8F6A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7.5.2 因承包人原因导致工期延误</w:t>
      </w:r>
    </w:p>
    <w:p w14:paraId="12FA603F">
      <w:pPr>
        <w:autoSpaceDE w:val="0"/>
        <w:autoSpaceDN w:val="0"/>
        <w:spacing w:line="360" w:lineRule="auto"/>
        <w:ind w:firstLine="560" w:firstLineChars="200"/>
        <w:jc w:val="left"/>
        <w:rPr>
          <w:rFonts w:ascii="宋体" w:hAnsi="宋体"/>
          <w:color w:val="auto"/>
          <w:kern w:val="0"/>
          <w:szCs w:val="21"/>
        </w:rPr>
      </w:pPr>
      <w:bookmarkStart w:id="479" w:name="_Toc296346577"/>
      <w:bookmarkStart w:id="480" w:name="_Toc296503076"/>
      <w:r>
        <w:rPr>
          <w:rFonts w:hint="eastAsia" w:ascii="宋体" w:hAnsi="宋体"/>
          <w:color w:val="auto"/>
          <w:kern w:val="0"/>
          <w:szCs w:val="21"/>
        </w:rPr>
        <w:t>因</w:t>
      </w:r>
      <w:bookmarkEnd w:id="479"/>
      <w:bookmarkEnd w:id="480"/>
      <w:r>
        <w:rPr>
          <w:rFonts w:hint="eastAsia" w:ascii="宋体" w:hAnsi="宋体"/>
          <w:color w:val="auto"/>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6B9771D5">
      <w:pPr>
        <w:pStyle w:val="7"/>
        <w:spacing w:before="0" w:beforeAutospacing="0" w:after="0" w:afterAutospacing="0" w:line="360" w:lineRule="auto"/>
        <w:ind w:firstLine="422" w:firstLineChars="200"/>
        <w:rPr>
          <w:color w:val="auto"/>
          <w:sz w:val="21"/>
          <w:szCs w:val="21"/>
        </w:rPr>
      </w:pPr>
      <w:bookmarkStart w:id="481" w:name="_Toc532377234"/>
      <w:bookmarkStart w:id="482" w:name="_Toc351203548"/>
      <w:r>
        <w:rPr>
          <w:rFonts w:hint="eastAsia"/>
          <w:color w:val="auto"/>
          <w:sz w:val="21"/>
          <w:szCs w:val="21"/>
        </w:rPr>
        <w:t>7</w:t>
      </w:r>
      <w:bookmarkStart w:id="483" w:name="_Toc296346575"/>
      <w:bookmarkStart w:id="484" w:name="_Toc296503074"/>
      <w:bookmarkStart w:id="485" w:name="_Toc337558773"/>
      <w:bookmarkStart w:id="486" w:name="_Toc296503077"/>
      <w:bookmarkStart w:id="487" w:name="_Toc296346578"/>
      <w:r>
        <w:rPr>
          <w:rFonts w:hint="eastAsia"/>
          <w:color w:val="auto"/>
          <w:sz w:val="21"/>
          <w:szCs w:val="21"/>
        </w:rPr>
        <w:t>.6 不利物质条件</w:t>
      </w:r>
      <w:bookmarkEnd w:id="481"/>
      <w:bookmarkEnd w:id="482"/>
    </w:p>
    <w:bookmarkEnd w:id="483"/>
    <w:bookmarkEnd w:id="484"/>
    <w:bookmarkEnd w:id="485"/>
    <w:p w14:paraId="4BC49E8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FF7F7C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DA0D7DF">
      <w:pPr>
        <w:pStyle w:val="7"/>
        <w:spacing w:before="0" w:beforeAutospacing="0" w:after="0" w:afterAutospacing="0" w:line="360" w:lineRule="auto"/>
        <w:ind w:firstLine="422" w:firstLineChars="200"/>
        <w:rPr>
          <w:color w:val="auto"/>
          <w:sz w:val="21"/>
          <w:szCs w:val="21"/>
        </w:rPr>
      </w:pPr>
      <w:bookmarkStart w:id="488" w:name="_Toc532377235"/>
      <w:bookmarkStart w:id="489" w:name="_Toc351203549"/>
      <w:r>
        <w:rPr>
          <w:rFonts w:hint="eastAsia"/>
          <w:color w:val="auto"/>
          <w:sz w:val="21"/>
          <w:szCs w:val="21"/>
        </w:rPr>
        <w:t>7</w:t>
      </w:r>
      <w:bookmarkStart w:id="490" w:name="_Toc337558774"/>
      <w:bookmarkStart w:id="491" w:name="_Toc296346576"/>
      <w:bookmarkStart w:id="492" w:name="_Toc296503075"/>
      <w:r>
        <w:rPr>
          <w:rFonts w:hint="eastAsia"/>
          <w:color w:val="auto"/>
          <w:sz w:val="21"/>
          <w:szCs w:val="21"/>
        </w:rPr>
        <w:t>.7 异常恶劣的气候条件</w:t>
      </w:r>
      <w:bookmarkEnd w:id="488"/>
      <w:bookmarkEnd w:id="489"/>
    </w:p>
    <w:bookmarkEnd w:id="490"/>
    <w:bookmarkEnd w:id="491"/>
    <w:bookmarkEnd w:id="492"/>
    <w:p w14:paraId="5A1CC29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B694AE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493" w:name="_Toc351203550"/>
    </w:p>
    <w:p w14:paraId="0070C37B">
      <w:pPr>
        <w:pStyle w:val="7"/>
        <w:spacing w:before="0" w:beforeAutospacing="0" w:after="0" w:afterAutospacing="0" w:line="360" w:lineRule="auto"/>
        <w:ind w:firstLine="422" w:firstLineChars="200"/>
        <w:rPr>
          <w:color w:val="auto"/>
          <w:sz w:val="21"/>
          <w:szCs w:val="21"/>
        </w:rPr>
      </w:pPr>
      <w:bookmarkStart w:id="494" w:name="_Toc532377236"/>
      <w:r>
        <w:rPr>
          <w:rFonts w:hint="eastAsia"/>
          <w:color w:val="auto"/>
          <w:sz w:val="21"/>
          <w:szCs w:val="21"/>
        </w:rPr>
        <w:t>7</w:t>
      </w:r>
      <w:bookmarkStart w:id="495" w:name="_Toc337558775"/>
      <w:r>
        <w:rPr>
          <w:rFonts w:hint="eastAsia"/>
          <w:color w:val="auto"/>
          <w:sz w:val="21"/>
          <w:szCs w:val="21"/>
        </w:rPr>
        <w:t>.8 暂停施工</w:t>
      </w:r>
      <w:bookmarkEnd w:id="493"/>
      <w:bookmarkEnd w:id="494"/>
    </w:p>
    <w:bookmarkEnd w:id="486"/>
    <w:bookmarkEnd w:id="487"/>
    <w:bookmarkEnd w:id="495"/>
    <w:p w14:paraId="1DFB553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7.8.1发包人原因引起的暂停施工</w:t>
      </w:r>
    </w:p>
    <w:p w14:paraId="1C58D56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因发包人原因引起暂停施工的，监理人经发包人同意后，应及时下达暂停施工指示。情况紧急且监理人未及时下达暂停施工指示的，按照第7.8.4项〔紧急情况下的暂停施工〕执行。</w:t>
      </w:r>
    </w:p>
    <w:p w14:paraId="170C109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因发包人原因引起的暂停施工，发包人应承担由此增加的费用和（或）延误的工期，并支付承包人合理的利润。</w:t>
      </w:r>
    </w:p>
    <w:p w14:paraId="2D339AF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7.8.2 承包人原因引起的暂停施工</w:t>
      </w:r>
    </w:p>
    <w:p w14:paraId="17EA1AF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29A492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7.8.3 指示暂停施工</w:t>
      </w:r>
    </w:p>
    <w:p w14:paraId="4862EEA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监理人认为有必要时，并经发包人批准后，可向承包人作出暂停施工的指示，承包人应按监理人指示暂停施工。</w:t>
      </w:r>
    </w:p>
    <w:p w14:paraId="7C556ED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7.8.4 紧急情况下的暂停施工</w:t>
      </w:r>
    </w:p>
    <w:p w14:paraId="179704F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27D739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7.8.5 暂停施工后的复工</w:t>
      </w:r>
    </w:p>
    <w:p w14:paraId="7454167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819F5F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承包人无故拖延和拒绝复工的，承包人承担由此增加的费用和（或）延误的工期；因发包人原因无法按时复工的，按照第7.5.1项〔因发包人原因导致工期延误〕约定办理。</w:t>
      </w:r>
    </w:p>
    <w:p w14:paraId="3E7D70B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7.8.6 暂停施工持续56天以上</w:t>
      </w:r>
    </w:p>
    <w:p w14:paraId="6C1DF42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607A81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D4A631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7.8.7 暂停施工期间的工程照管</w:t>
      </w:r>
    </w:p>
    <w:p w14:paraId="5E47F72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暂停施工期间，承包人应负责妥善照管工程并提供安全保障，由此增加的费用由责任方承担。</w:t>
      </w:r>
    </w:p>
    <w:p w14:paraId="7E959C7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7.8.8 暂停施工的措施</w:t>
      </w:r>
    </w:p>
    <w:p w14:paraId="665C637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暂停施工期间，发包人和承包人均应采取必要的措施确保工程质量及安全，防止因暂停施工扩大损失。</w:t>
      </w:r>
    </w:p>
    <w:p w14:paraId="31FE1B1C">
      <w:pPr>
        <w:pStyle w:val="7"/>
        <w:spacing w:before="0" w:beforeAutospacing="0" w:after="0" w:afterAutospacing="0" w:line="360" w:lineRule="auto"/>
        <w:ind w:firstLine="422" w:firstLineChars="200"/>
        <w:rPr>
          <w:color w:val="auto"/>
          <w:sz w:val="21"/>
          <w:szCs w:val="21"/>
        </w:rPr>
      </w:pPr>
      <w:bookmarkStart w:id="496" w:name="_Toc532377237"/>
      <w:bookmarkStart w:id="497" w:name="_Toc351203551"/>
      <w:r>
        <w:rPr>
          <w:rFonts w:hint="eastAsia"/>
          <w:color w:val="auto"/>
          <w:sz w:val="21"/>
          <w:szCs w:val="21"/>
        </w:rPr>
        <w:t>7.9提前竣工</w:t>
      </w:r>
      <w:bookmarkEnd w:id="496"/>
      <w:bookmarkEnd w:id="497"/>
    </w:p>
    <w:p w14:paraId="5EEAA54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B2897F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7.9.2 发包人要求承包人提前竣工，或承包人提出提前竣工的建议能够给发包人带来效益的，合同当事人可以在专用合同条款中约定提前竣工的奖励。</w:t>
      </w:r>
    </w:p>
    <w:p w14:paraId="7C0D94E5">
      <w:pPr>
        <w:pStyle w:val="6"/>
        <w:keepNext/>
        <w:keepLines/>
        <w:spacing w:before="156" w:beforeLines="50" w:beforeAutospacing="0" w:after="156" w:afterLines="50" w:afterAutospacing="0" w:line="360" w:lineRule="auto"/>
        <w:jc w:val="both"/>
        <w:rPr>
          <w:bCs w:val="0"/>
          <w:color w:val="auto"/>
          <w:kern w:val="2"/>
          <w:sz w:val="21"/>
          <w:szCs w:val="21"/>
        </w:rPr>
      </w:pPr>
      <w:bookmarkStart w:id="498" w:name="_Toc351203552"/>
      <w:bookmarkStart w:id="499" w:name="_Toc532377238"/>
      <w:bookmarkStart w:id="500" w:name="_Toc532375594"/>
      <w:r>
        <w:rPr>
          <w:rFonts w:hint="eastAsia"/>
          <w:color w:val="auto"/>
          <w:kern w:val="2"/>
          <w:sz w:val="21"/>
          <w:szCs w:val="21"/>
        </w:rPr>
        <w:t>8</w:t>
      </w:r>
      <w:bookmarkStart w:id="501" w:name="_Toc296346559"/>
      <w:bookmarkStart w:id="502" w:name="_Toc296503058"/>
      <w:bookmarkStart w:id="503" w:name="_Toc337558776"/>
      <w:r>
        <w:rPr>
          <w:rFonts w:hint="eastAsia"/>
          <w:color w:val="auto"/>
          <w:kern w:val="2"/>
          <w:sz w:val="21"/>
          <w:szCs w:val="21"/>
        </w:rPr>
        <w:t>. 材料与设备</w:t>
      </w:r>
      <w:bookmarkEnd w:id="498"/>
      <w:bookmarkEnd w:id="499"/>
      <w:bookmarkEnd w:id="500"/>
    </w:p>
    <w:bookmarkEnd w:id="501"/>
    <w:bookmarkEnd w:id="502"/>
    <w:bookmarkEnd w:id="503"/>
    <w:p w14:paraId="6300F5C1">
      <w:pPr>
        <w:pStyle w:val="7"/>
        <w:spacing w:before="0" w:beforeAutospacing="0" w:after="0" w:afterAutospacing="0" w:line="360" w:lineRule="auto"/>
        <w:ind w:firstLine="422" w:firstLineChars="200"/>
        <w:rPr>
          <w:color w:val="auto"/>
          <w:sz w:val="21"/>
          <w:szCs w:val="21"/>
        </w:rPr>
      </w:pPr>
      <w:bookmarkStart w:id="504" w:name="_Toc532377239"/>
      <w:bookmarkStart w:id="505" w:name="_Toc351203553"/>
      <w:r>
        <w:rPr>
          <w:rFonts w:hint="eastAsia"/>
          <w:color w:val="auto"/>
          <w:sz w:val="21"/>
          <w:szCs w:val="21"/>
        </w:rPr>
        <w:t>8</w:t>
      </w:r>
      <w:bookmarkStart w:id="506" w:name="_Toc296346560"/>
      <w:bookmarkStart w:id="507" w:name="_Toc296503059"/>
      <w:bookmarkStart w:id="508" w:name="_Toc337558777"/>
      <w:bookmarkStart w:id="509" w:name="_Toc468936960"/>
      <w:r>
        <w:rPr>
          <w:rFonts w:hint="eastAsia"/>
          <w:color w:val="auto"/>
          <w:sz w:val="21"/>
          <w:szCs w:val="21"/>
        </w:rPr>
        <w:t>.1发包人供应材料与工程设备</w:t>
      </w:r>
      <w:bookmarkEnd w:id="504"/>
      <w:bookmarkEnd w:id="505"/>
    </w:p>
    <w:bookmarkEnd w:id="506"/>
    <w:bookmarkEnd w:id="507"/>
    <w:bookmarkEnd w:id="508"/>
    <w:p w14:paraId="148122A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发包人自行供应材料、工程设备的，应在签订合同时在专用合同条款的附件《发包人供应材料设备一览表》中明确材料、工程设备的品种、规格、型号、数量、单价、质量等级和送达地点。</w:t>
      </w:r>
    </w:p>
    <w:p w14:paraId="2A811CC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42F82452">
      <w:pPr>
        <w:pStyle w:val="7"/>
        <w:spacing w:before="0" w:beforeAutospacing="0" w:after="0" w:afterAutospacing="0" w:line="360" w:lineRule="auto"/>
        <w:ind w:firstLine="422" w:firstLineChars="200"/>
        <w:rPr>
          <w:color w:val="auto"/>
          <w:sz w:val="21"/>
          <w:szCs w:val="21"/>
        </w:rPr>
      </w:pPr>
      <w:bookmarkStart w:id="510" w:name="_Toc532377240"/>
      <w:r>
        <w:rPr>
          <w:rFonts w:hint="eastAsia"/>
          <w:color w:val="auto"/>
          <w:sz w:val="21"/>
          <w:szCs w:val="21"/>
        </w:rPr>
        <w:t>8.2承包人采购材料与工程设备</w:t>
      </w:r>
      <w:bookmarkEnd w:id="510"/>
    </w:p>
    <w:p w14:paraId="550369D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E0CBE58">
      <w:pPr>
        <w:pStyle w:val="7"/>
        <w:spacing w:before="0" w:beforeAutospacing="0" w:after="0" w:afterAutospacing="0" w:line="360" w:lineRule="auto"/>
        <w:ind w:firstLine="422" w:firstLineChars="200"/>
        <w:rPr>
          <w:color w:val="auto"/>
          <w:sz w:val="21"/>
          <w:szCs w:val="21"/>
        </w:rPr>
      </w:pPr>
      <w:bookmarkStart w:id="511" w:name="_Toc351203555"/>
      <w:bookmarkStart w:id="512" w:name="_Toc532377241"/>
      <w:r>
        <w:rPr>
          <w:rFonts w:hint="eastAsia"/>
          <w:color w:val="auto"/>
          <w:sz w:val="21"/>
          <w:szCs w:val="21"/>
        </w:rPr>
        <w:t>8</w:t>
      </w:r>
      <w:bookmarkStart w:id="513" w:name="_Toc337558779"/>
      <w:bookmarkStart w:id="514" w:name="_Toc296503061"/>
      <w:bookmarkStart w:id="515" w:name="_Toc296346562"/>
      <w:r>
        <w:rPr>
          <w:rFonts w:hint="eastAsia"/>
          <w:color w:val="auto"/>
          <w:sz w:val="21"/>
          <w:szCs w:val="21"/>
        </w:rPr>
        <w:t>.3材料与工程设备的接收与拒收</w:t>
      </w:r>
      <w:bookmarkEnd w:id="511"/>
      <w:bookmarkEnd w:id="512"/>
    </w:p>
    <w:bookmarkEnd w:id="513"/>
    <w:bookmarkEnd w:id="514"/>
    <w:bookmarkEnd w:id="515"/>
    <w:p w14:paraId="5B844C8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55D083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发包人提供的材料和工程设备的规格、数量或质量不符合合同约定的，或因发包人原因导致交货日期延误或交货地点变更等情况的，按照第16.1款〔发包人违约〕约定办理。</w:t>
      </w:r>
    </w:p>
    <w:p w14:paraId="0596F18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8.3.2 承包人采购的材料和工程设备，应保证产品质量合格，承包人应在材料和工程设备到货前24小时通知监理人检验。承</w:t>
      </w:r>
      <w:bookmarkStart w:id="516" w:name="_Toc250655469"/>
      <w:r>
        <w:rPr>
          <w:rFonts w:hint="eastAsia" w:ascii="宋体" w:hAnsi="宋体"/>
          <w:color w:val="auto"/>
          <w:kern w:val="0"/>
          <w:szCs w:val="21"/>
        </w:rPr>
        <w:t>包人进行永久设备、材料的制造和生产的，应符合相关质量标准，并向监理人提交材料的样本以及有关资料，并应在使用该材料或工程设备之前获得监理人同意。</w:t>
      </w:r>
    </w:p>
    <w:bookmarkEnd w:id="516"/>
    <w:p w14:paraId="0C42E2F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862B5D6">
      <w:pPr>
        <w:pStyle w:val="7"/>
        <w:spacing w:before="0" w:beforeAutospacing="0" w:after="0" w:afterAutospacing="0" w:line="360" w:lineRule="auto"/>
        <w:ind w:firstLine="422" w:firstLineChars="200"/>
        <w:rPr>
          <w:color w:val="auto"/>
          <w:sz w:val="21"/>
          <w:szCs w:val="21"/>
        </w:rPr>
      </w:pPr>
      <w:bookmarkStart w:id="517" w:name="_Toc532377242"/>
      <w:bookmarkStart w:id="518" w:name="_Toc351203556"/>
      <w:r>
        <w:rPr>
          <w:rFonts w:hint="eastAsia"/>
          <w:color w:val="auto"/>
          <w:sz w:val="21"/>
          <w:szCs w:val="21"/>
        </w:rPr>
        <w:t>8</w:t>
      </w:r>
      <w:bookmarkStart w:id="519" w:name="_Toc337558780"/>
      <w:bookmarkStart w:id="520" w:name="_Toc296346563"/>
      <w:bookmarkStart w:id="521" w:name="_Toc296503062"/>
      <w:r>
        <w:rPr>
          <w:rFonts w:hint="eastAsia"/>
          <w:color w:val="auto"/>
          <w:sz w:val="21"/>
          <w:szCs w:val="21"/>
        </w:rPr>
        <w:t>.4材料与工程设备的保管与使用</w:t>
      </w:r>
      <w:bookmarkEnd w:id="517"/>
      <w:bookmarkEnd w:id="518"/>
    </w:p>
    <w:bookmarkEnd w:id="519"/>
    <w:bookmarkEnd w:id="520"/>
    <w:bookmarkEnd w:id="521"/>
    <w:p w14:paraId="4783DD0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8.4.1 发包人供应材料与工程设备的保管与使用</w:t>
      </w:r>
    </w:p>
    <w:p w14:paraId="498143E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F2C7E1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发包人供应的材料和工程设备使用前，由承包人负责检验，检验费用由发包人承担，不合格的不得使用。</w:t>
      </w:r>
    </w:p>
    <w:p w14:paraId="50D6EB1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8.4.2 承包人采购材料与工程设备的保管与使用</w:t>
      </w:r>
    </w:p>
    <w:p w14:paraId="59B78C1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4721E9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发包人或监理人发现承包人使用不符合设计或有关标准要求的材料和工程设备时，有权要求承包人进行修复、拆除或重新采购，由此增加的费用和（或）延误的工期，由承包人承担。</w:t>
      </w:r>
    </w:p>
    <w:p w14:paraId="487E6C43">
      <w:pPr>
        <w:pStyle w:val="7"/>
        <w:spacing w:before="0" w:beforeAutospacing="0" w:after="0" w:afterAutospacing="0" w:line="360" w:lineRule="auto"/>
        <w:ind w:firstLine="422" w:firstLineChars="200"/>
        <w:rPr>
          <w:color w:val="auto"/>
          <w:sz w:val="21"/>
          <w:szCs w:val="21"/>
        </w:rPr>
      </w:pPr>
      <w:bookmarkStart w:id="522" w:name="_Toc351203557"/>
      <w:bookmarkStart w:id="523" w:name="_Toc532377243"/>
      <w:r>
        <w:rPr>
          <w:rFonts w:hint="eastAsia"/>
          <w:color w:val="auto"/>
          <w:sz w:val="21"/>
          <w:szCs w:val="21"/>
        </w:rPr>
        <w:t>8.5禁止使用不合格的材料和工程设备</w:t>
      </w:r>
      <w:bookmarkEnd w:id="522"/>
      <w:bookmarkEnd w:id="523"/>
    </w:p>
    <w:p w14:paraId="490C91C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8.5.1 监理人有权拒绝承包人提供的不合格材料或工程设备，并要求承包人立即进行更换。监理人应在更换后再次进行检查和检验，由此增加的费用和（或）延误的工期由承包人承担。</w:t>
      </w:r>
    </w:p>
    <w:p w14:paraId="27F0072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8.5.2 监理人发现承包人使用了不合格的材料和工程设备，承包人应按照监理人的指示立即改正，并禁止在工程中继续使用不合格的材料和工程设备。</w:t>
      </w:r>
    </w:p>
    <w:p w14:paraId="51312E8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8.5.3 发包人提供的材料或工程设备不符合合同要求的，承包人有权拒绝，并可要求发包人更换，由此增加的费用和（或）延误的工期由发包人承担，并支付承包人合理的利润。</w:t>
      </w:r>
    </w:p>
    <w:p w14:paraId="4B49388E">
      <w:pPr>
        <w:pStyle w:val="7"/>
        <w:spacing w:before="0" w:beforeAutospacing="0" w:after="0" w:afterAutospacing="0" w:line="360" w:lineRule="auto"/>
        <w:ind w:firstLine="422" w:firstLineChars="200"/>
        <w:rPr>
          <w:color w:val="auto"/>
          <w:sz w:val="21"/>
          <w:szCs w:val="21"/>
        </w:rPr>
      </w:pPr>
      <w:bookmarkStart w:id="524" w:name="_Toc351203558"/>
      <w:bookmarkStart w:id="525" w:name="_Toc532377244"/>
      <w:r>
        <w:rPr>
          <w:rFonts w:hint="eastAsia"/>
          <w:color w:val="auto"/>
          <w:sz w:val="21"/>
          <w:szCs w:val="21"/>
        </w:rPr>
        <w:t>8.6 样品</w:t>
      </w:r>
      <w:bookmarkEnd w:id="524"/>
      <w:bookmarkEnd w:id="525"/>
    </w:p>
    <w:p w14:paraId="7205DD7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8.6.1</w:t>
      </w:r>
      <w:r>
        <w:rPr>
          <w:rFonts w:hint="eastAsia" w:ascii="宋体" w:hAnsi="宋体"/>
          <w:color w:val="auto"/>
          <w:kern w:val="0"/>
          <w:szCs w:val="21"/>
        </w:rPr>
        <w:tab/>
      </w:r>
      <w:r>
        <w:rPr>
          <w:rFonts w:hint="eastAsia" w:ascii="宋体" w:hAnsi="宋体"/>
          <w:color w:val="auto"/>
          <w:kern w:val="0"/>
          <w:szCs w:val="21"/>
        </w:rPr>
        <w:t>样品的报送与封存</w:t>
      </w:r>
    </w:p>
    <w:p w14:paraId="42876A3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需要承包人报送样品的材料或工程设备，样品的种类、名称、规格、数量等要求均应在专用合同条款中约定。样品的报送程序如下：</w:t>
      </w:r>
    </w:p>
    <w:p w14:paraId="4082B2E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E470A7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2E233E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（3）经发包人和监理人审批确认的样品应按约定的方法封样，封存的样品作为检验工程相关部分的标准之一。承包人在施工过程中不得使用与样品不符的材料或工程设备。</w:t>
      </w:r>
    </w:p>
    <w:p w14:paraId="1BD9C9F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F24BFA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8.6.2 样品的保管</w:t>
      </w:r>
    </w:p>
    <w:p w14:paraId="340C788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经批准的样品应由监理人负责封存于现场，承包人应在现场为保存样品提供适当和固定的场所并保持适当和良好的存储环境条件。</w:t>
      </w:r>
    </w:p>
    <w:p w14:paraId="590697ED">
      <w:pPr>
        <w:pStyle w:val="7"/>
        <w:spacing w:before="0" w:beforeAutospacing="0" w:after="0" w:afterAutospacing="0" w:line="360" w:lineRule="auto"/>
        <w:ind w:firstLine="422" w:firstLineChars="200"/>
        <w:rPr>
          <w:color w:val="auto"/>
          <w:sz w:val="21"/>
          <w:szCs w:val="21"/>
        </w:rPr>
      </w:pPr>
      <w:bookmarkStart w:id="526" w:name="_Toc351203559"/>
      <w:bookmarkStart w:id="527" w:name="_Toc532377245"/>
      <w:r>
        <w:rPr>
          <w:rFonts w:hint="eastAsia"/>
          <w:color w:val="auto"/>
          <w:sz w:val="21"/>
          <w:szCs w:val="21"/>
        </w:rPr>
        <w:t>8.7材料与工程设备的替代</w:t>
      </w:r>
      <w:bookmarkEnd w:id="526"/>
      <w:bookmarkEnd w:id="527"/>
    </w:p>
    <w:p w14:paraId="2F97E25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8.7.1 出现下列情况需要使用替代材料和工程设备的，承包人应按照第8.7.2项约定的程序执行：</w:t>
      </w:r>
    </w:p>
    <w:p w14:paraId="1DF88FC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（1）基准日期后生效的法律规定禁止使用的；</w:t>
      </w:r>
    </w:p>
    <w:p w14:paraId="36794A9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（2）发包人要求使用替代品的；</w:t>
      </w:r>
    </w:p>
    <w:p w14:paraId="38C953F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（3）因其他原因必须使用替代品的。</w:t>
      </w:r>
    </w:p>
    <w:p w14:paraId="134BF41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8.7.2 承包人应在使用替代材料和工程设备28天前书面通知监理人，并附下列文件：</w:t>
      </w:r>
    </w:p>
    <w:p w14:paraId="15C1FE6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（1）被替代的材料和工程设备的名称、数量、规格、型号、品牌、性能、价格及其他相关资料；</w:t>
      </w:r>
    </w:p>
    <w:p w14:paraId="5260CFD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（2）替代品的名称、数量、规格、型号、品牌、性能、价格及其他相关资料；</w:t>
      </w:r>
    </w:p>
    <w:p w14:paraId="68E872A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（3）替代品与被替代产品之间的差异以及使用替代品可能对工程产生的影响；</w:t>
      </w:r>
    </w:p>
    <w:p w14:paraId="5B225B6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（4）替代品与被替代产品的价格差异；</w:t>
      </w:r>
    </w:p>
    <w:p w14:paraId="2351CD3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（5）使用替代品的理由和原因说明；</w:t>
      </w:r>
    </w:p>
    <w:p w14:paraId="7F38AFF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（6）监理人要求的其他文件。</w:t>
      </w:r>
    </w:p>
    <w:p w14:paraId="3258D55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监理人应在收到通知后14天内向承包人发出经发包人签认的书面指示；监理人逾期发出书面指示的，视为发包人和监理人同意使用替代品。</w:t>
      </w:r>
    </w:p>
    <w:p w14:paraId="44134BE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C57414D">
      <w:pPr>
        <w:pStyle w:val="7"/>
        <w:spacing w:before="0" w:beforeAutospacing="0" w:after="0" w:afterAutospacing="0" w:line="360" w:lineRule="auto"/>
        <w:ind w:firstLine="422" w:firstLineChars="200"/>
        <w:rPr>
          <w:color w:val="auto"/>
          <w:sz w:val="21"/>
          <w:szCs w:val="21"/>
        </w:rPr>
      </w:pPr>
      <w:bookmarkStart w:id="528" w:name="_Toc351203560"/>
      <w:bookmarkStart w:id="529" w:name="_Toc532377246"/>
      <w:r>
        <w:rPr>
          <w:rFonts w:hint="eastAsia"/>
          <w:color w:val="auto"/>
          <w:sz w:val="21"/>
          <w:szCs w:val="21"/>
        </w:rPr>
        <w:t>8.8施工设备和临时设施</w:t>
      </w:r>
      <w:bookmarkEnd w:id="528"/>
      <w:bookmarkEnd w:id="529"/>
    </w:p>
    <w:p w14:paraId="76528AC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8.8.1 承包人提供的施工设备和临时设施</w:t>
      </w:r>
    </w:p>
    <w:p w14:paraId="6CD9721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1BBA924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除专用合同条款另有约定外，承包人应自行承担修建临时设施的费用，需要临时占地的，应由发包人办理申请手续并承担相应费用。</w:t>
      </w:r>
    </w:p>
    <w:p w14:paraId="408FC8A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8.8.2发包人提供的施工设备和临时设施</w:t>
      </w:r>
    </w:p>
    <w:p w14:paraId="3288BCA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发包人提供的施工设备或临时设施在专用合同条款中约定。</w:t>
      </w:r>
    </w:p>
    <w:p w14:paraId="72F322C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8.8.3要求承包人增加或更换施工设备</w:t>
      </w:r>
    </w:p>
    <w:p w14:paraId="03323A3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21AB02A1">
      <w:pPr>
        <w:pStyle w:val="7"/>
        <w:spacing w:before="0" w:beforeAutospacing="0" w:after="0" w:afterAutospacing="0" w:line="360" w:lineRule="auto"/>
        <w:ind w:firstLine="422" w:firstLineChars="200"/>
        <w:rPr>
          <w:color w:val="auto"/>
          <w:sz w:val="21"/>
          <w:szCs w:val="21"/>
        </w:rPr>
      </w:pPr>
      <w:bookmarkStart w:id="530" w:name="_Toc351203561"/>
      <w:bookmarkStart w:id="531" w:name="_Toc532377247"/>
      <w:r>
        <w:rPr>
          <w:rFonts w:hint="eastAsia"/>
          <w:color w:val="auto"/>
          <w:sz w:val="21"/>
          <w:szCs w:val="21"/>
        </w:rPr>
        <w:t>8</w:t>
      </w:r>
      <w:bookmarkStart w:id="532" w:name="_Toc296503063"/>
      <w:bookmarkStart w:id="533" w:name="_Toc296346564"/>
      <w:bookmarkStart w:id="534" w:name="_Toc337558781"/>
      <w:r>
        <w:rPr>
          <w:rFonts w:hint="eastAsia"/>
          <w:color w:val="auto"/>
          <w:sz w:val="21"/>
          <w:szCs w:val="21"/>
        </w:rPr>
        <w:t>.9材料与设备专用</w:t>
      </w:r>
      <w:bookmarkEnd w:id="530"/>
      <w:r>
        <w:rPr>
          <w:rFonts w:hint="eastAsia"/>
          <w:color w:val="auto"/>
          <w:sz w:val="21"/>
          <w:szCs w:val="21"/>
        </w:rPr>
        <w:t>要求</w:t>
      </w:r>
      <w:bookmarkEnd w:id="531"/>
    </w:p>
    <w:bookmarkEnd w:id="532"/>
    <w:bookmarkEnd w:id="533"/>
    <w:bookmarkEnd w:id="534"/>
    <w:p w14:paraId="2E65992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509"/>
      <w:r>
        <w:rPr>
          <w:rFonts w:hint="eastAsia" w:ascii="宋体" w:hAnsi="宋体"/>
          <w:color w:val="auto"/>
          <w:kern w:val="0"/>
          <w:szCs w:val="21"/>
        </w:rPr>
        <w:t>经发包人批准，承包人可以根据施工进度计划撤走闲置的施工设备和其他物品。</w:t>
      </w:r>
    </w:p>
    <w:p w14:paraId="4776D64C">
      <w:pPr>
        <w:pStyle w:val="6"/>
        <w:keepNext/>
        <w:keepLines/>
        <w:spacing w:before="156" w:beforeLines="50" w:beforeAutospacing="0" w:after="156" w:afterLines="50" w:afterAutospacing="0" w:line="360" w:lineRule="auto"/>
        <w:jc w:val="both"/>
        <w:rPr>
          <w:bCs w:val="0"/>
          <w:color w:val="auto"/>
          <w:kern w:val="2"/>
          <w:sz w:val="21"/>
          <w:szCs w:val="21"/>
        </w:rPr>
      </w:pPr>
      <w:bookmarkStart w:id="535" w:name="_Toc351203562"/>
      <w:bookmarkStart w:id="536" w:name="_Toc532375595"/>
      <w:bookmarkStart w:id="537" w:name="_Toc532377248"/>
      <w:r>
        <w:rPr>
          <w:rFonts w:hint="eastAsia"/>
          <w:color w:val="auto"/>
          <w:kern w:val="2"/>
          <w:sz w:val="21"/>
          <w:szCs w:val="21"/>
        </w:rPr>
        <w:t>9</w:t>
      </w:r>
      <w:bookmarkStart w:id="538" w:name="_Toc337558782"/>
      <w:bookmarkStart w:id="539" w:name="_Toc296503083"/>
      <w:bookmarkStart w:id="540" w:name="_Toc296346584"/>
      <w:r>
        <w:rPr>
          <w:rFonts w:hint="eastAsia"/>
          <w:color w:val="auto"/>
          <w:kern w:val="2"/>
          <w:sz w:val="21"/>
          <w:szCs w:val="21"/>
        </w:rPr>
        <w:t>. 试验与检验</w:t>
      </w:r>
      <w:bookmarkEnd w:id="535"/>
      <w:bookmarkEnd w:id="536"/>
      <w:bookmarkEnd w:id="537"/>
    </w:p>
    <w:bookmarkEnd w:id="538"/>
    <w:p w14:paraId="23B254AA">
      <w:pPr>
        <w:pStyle w:val="7"/>
        <w:spacing w:before="0" w:beforeAutospacing="0" w:after="0" w:afterAutospacing="0" w:line="360" w:lineRule="auto"/>
        <w:ind w:firstLine="422" w:firstLineChars="200"/>
        <w:rPr>
          <w:color w:val="auto"/>
          <w:sz w:val="21"/>
          <w:szCs w:val="21"/>
        </w:rPr>
      </w:pPr>
      <w:bookmarkStart w:id="541" w:name="_Toc532377249"/>
      <w:bookmarkStart w:id="542" w:name="_Toc351203563"/>
      <w:r>
        <w:rPr>
          <w:rFonts w:hint="eastAsia"/>
          <w:color w:val="auto"/>
          <w:sz w:val="21"/>
          <w:szCs w:val="21"/>
        </w:rPr>
        <w:t>9</w:t>
      </w:r>
      <w:bookmarkStart w:id="543" w:name="_Toc337558783"/>
      <w:r>
        <w:rPr>
          <w:rFonts w:hint="eastAsia"/>
          <w:color w:val="auto"/>
          <w:sz w:val="21"/>
          <w:szCs w:val="21"/>
        </w:rPr>
        <w:t>.1试验设备与试验人员</w:t>
      </w:r>
      <w:bookmarkEnd w:id="541"/>
      <w:bookmarkEnd w:id="542"/>
    </w:p>
    <w:bookmarkEnd w:id="543"/>
    <w:p w14:paraId="0C38291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AAF820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9.1.2 承包人应按专用合同条款的约定提供试验设备、取样装置、试验场所和试验条件，并向监理人提交相应进场计划表。</w:t>
      </w:r>
    </w:p>
    <w:p w14:paraId="274A787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承包人配置的试验设备要符合相应试验规程的要求并经过具有资质的检测单位检测，且在正式使用该试验设备前，需要经过监理人与承包人共同校定。</w:t>
      </w:r>
    </w:p>
    <w:p w14:paraId="2882CE9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9.1.3 承包人应向监理人提交试验人员的名单及其岗位、资格等证明资料，试验人员必须能够熟练进行相应的检测试验，承包人对试验人员的试验程序和试验结果的正确性负责。</w:t>
      </w:r>
    </w:p>
    <w:p w14:paraId="11DF6CE0">
      <w:pPr>
        <w:pStyle w:val="7"/>
        <w:spacing w:before="0" w:beforeAutospacing="0" w:after="0" w:afterAutospacing="0" w:line="360" w:lineRule="auto"/>
        <w:ind w:firstLine="422" w:firstLineChars="200"/>
        <w:rPr>
          <w:color w:val="auto"/>
          <w:sz w:val="21"/>
          <w:szCs w:val="21"/>
        </w:rPr>
      </w:pPr>
      <w:bookmarkStart w:id="544" w:name="_Toc351203564"/>
      <w:bookmarkStart w:id="545" w:name="_Toc532377250"/>
      <w:r>
        <w:rPr>
          <w:rFonts w:hint="eastAsia"/>
          <w:color w:val="auto"/>
          <w:sz w:val="21"/>
          <w:szCs w:val="21"/>
        </w:rPr>
        <w:t>9</w:t>
      </w:r>
      <w:bookmarkStart w:id="546" w:name="_Toc337558784"/>
      <w:r>
        <w:rPr>
          <w:rFonts w:hint="eastAsia"/>
          <w:color w:val="auto"/>
          <w:sz w:val="21"/>
          <w:szCs w:val="21"/>
        </w:rPr>
        <w:t>.2取样</w:t>
      </w:r>
      <w:bookmarkEnd w:id="544"/>
      <w:bookmarkEnd w:id="545"/>
    </w:p>
    <w:bookmarkEnd w:id="546"/>
    <w:p w14:paraId="55CDD6F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试验属于自检性质的，承包人可以单独取样。试验属于监理人抽检性质的，可由监理人取样，也可由承包人的试验人员在监理人的监督下取样。</w:t>
      </w:r>
    </w:p>
    <w:p w14:paraId="6CA61414">
      <w:pPr>
        <w:pStyle w:val="7"/>
        <w:spacing w:before="0" w:beforeAutospacing="0" w:after="0" w:afterAutospacing="0" w:line="360" w:lineRule="auto"/>
        <w:ind w:firstLine="422" w:firstLineChars="200"/>
        <w:rPr>
          <w:color w:val="auto"/>
          <w:sz w:val="21"/>
          <w:szCs w:val="21"/>
        </w:rPr>
      </w:pPr>
      <w:bookmarkStart w:id="547" w:name="_Toc532377251"/>
      <w:bookmarkStart w:id="548" w:name="_Toc351203565"/>
      <w:r>
        <w:rPr>
          <w:rFonts w:hint="eastAsia"/>
          <w:color w:val="auto"/>
          <w:sz w:val="21"/>
          <w:szCs w:val="21"/>
        </w:rPr>
        <w:t>9</w:t>
      </w:r>
      <w:bookmarkStart w:id="549" w:name="_Toc337558785"/>
      <w:r>
        <w:rPr>
          <w:rFonts w:hint="eastAsia"/>
          <w:color w:val="auto"/>
          <w:sz w:val="21"/>
          <w:szCs w:val="21"/>
        </w:rPr>
        <w:t>.3材料、工程设备和工程的试验和检验</w:t>
      </w:r>
      <w:bookmarkEnd w:id="547"/>
      <w:bookmarkEnd w:id="548"/>
    </w:p>
    <w:bookmarkEnd w:id="549"/>
    <w:p w14:paraId="6FF64C7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CB3FDB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27DDE6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E21FF61">
      <w:pPr>
        <w:pStyle w:val="7"/>
        <w:spacing w:before="0" w:beforeAutospacing="0" w:after="0" w:afterAutospacing="0" w:line="360" w:lineRule="auto"/>
        <w:ind w:firstLine="422" w:firstLineChars="200"/>
        <w:rPr>
          <w:color w:val="auto"/>
          <w:sz w:val="21"/>
          <w:szCs w:val="21"/>
        </w:rPr>
      </w:pPr>
      <w:bookmarkStart w:id="550" w:name="_Toc532377252"/>
      <w:bookmarkStart w:id="551" w:name="_Toc351203566"/>
      <w:r>
        <w:rPr>
          <w:rFonts w:hint="eastAsia"/>
          <w:color w:val="auto"/>
          <w:sz w:val="21"/>
          <w:szCs w:val="21"/>
        </w:rPr>
        <w:t>9</w:t>
      </w:r>
      <w:bookmarkStart w:id="552" w:name="_Toc337558786"/>
      <w:r>
        <w:rPr>
          <w:rFonts w:hint="eastAsia"/>
          <w:color w:val="auto"/>
          <w:sz w:val="21"/>
          <w:szCs w:val="21"/>
        </w:rPr>
        <w:t>.4现场工艺试验</w:t>
      </w:r>
      <w:bookmarkEnd w:id="550"/>
      <w:bookmarkEnd w:id="551"/>
    </w:p>
    <w:bookmarkEnd w:id="552"/>
    <w:p w14:paraId="4E9A04B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11F1D791">
      <w:pPr>
        <w:pStyle w:val="6"/>
        <w:keepNext/>
        <w:keepLines/>
        <w:spacing w:before="156" w:beforeLines="50" w:beforeAutospacing="0" w:after="156" w:afterLines="50" w:afterAutospacing="0" w:line="360" w:lineRule="auto"/>
        <w:jc w:val="both"/>
        <w:rPr>
          <w:bCs w:val="0"/>
          <w:color w:val="auto"/>
          <w:kern w:val="2"/>
          <w:sz w:val="21"/>
          <w:szCs w:val="21"/>
        </w:rPr>
      </w:pPr>
      <w:bookmarkStart w:id="553" w:name="_Toc532375596"/>
      <w:bookmarkStart w:id="554" w:name="_Toc532377253"/>
      <w:bookmarkStart w:id="555" w:name="_Toc351203567"/>
      <w:r>
        <w:rPr>
          <w:rFonts w:hint="eastAsia"/>
          <w:color w:val="auto"/>
          <w:kern w:val="2"/>
          <w:sz w:val="21"/>
          <w:szCs w:val="21"/>
        </w:rPr>
        <w:t>1</w:t>
      </w:r>
      <w:bookmarkStart w:id="556" w:name="_Toc337558787"/>
      <w:r>
        <w:rPr>
          <w:rFonts w:hint="eastAsia"/>
          <w:color w:val="auto"/>
          <w:kern w:val="2"/>
          <w:sz w:val="21"/>
          <w:szCs w:val="21"/>
        </w:rPr>
        <w:t>0. 变更</w:t>
      </w:r>
      <w:bookmarkEnd w:id="539"/>
      <w:bookmarkEnd w:id="540"/>
      <w:bookmarkEnd w:id="553"/>
      <w:bookmarkEnd w:id="554"/>
      <w:bookmarkEnd w:id="555"/>
    </w:p>
    <w:bookmarkEnd w:id="556"/>
    <w:p w14:paraId="6C333178">
      <w:pPr>
        <w:pStyle w:val="7"/>
        <w:spacing w:before="0" w:beforeAutospacing="0" w:after="0" w:afterAutospacing="0" w:line="360" w:lineRule="auto"/>
        <w:ind w:firstLine="422" w:firstLineChars="200"/>
        <w:rPr>
          <w:color w:val="auto"/>
          <w:sz w:val="21"/>
          <w:szCs w:val="21"/>
        </w:rPr>
      </w:pPr>
      <w:bookmarkStart w:id="557" w:name="_Toc351203568"/>
      <w:bookmarkStart w:id="558" w:name="_Toc532377254"/>
      <w:r>
        <w:rPr>
          <w:rFonts w:hint="eastAsia"/>
          <w:color w:val="auto"/>
          <w:sz w:val="21"/>
          <w:szCs w:val="21"/>
        </w:rPr>
        <w:t>1</w:t>
      </w:r>
      <w:bookmarkStart w:id="559" w:name="_Toc337558788"/>
      <w:bookmarkStart w:id="560" w:name="_Toc296346585"/>
      <w:bookmarkStart w:id="561" w:name="_Toc296503084"/>
      <w:r>
        <w:rPr>
          <w:rFonts w:hint="eastAsia"/>
          <w:color w:val="auto"/>
          <w:sz w:val="21"/>
          <w:szCs w:val="21"/>
        </w:rPr>
        <w:t>0.1变更的范围</w:t>
      </w:r>
      <w:bookmarkEnd w:id="557"/>
      <w:bookmarkEnd w:id="558"/>
    </w:p>
    <w:bookmarkEnd w:id="559"/>
    <w:bookmarkEnd w:id="560"/>
    <w:bookmarkEnd w:id="561"/>
    <w:p w14:paraId="72AC29B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除专用合同条款另有约定外，合同履行过程中发生以下情形的，应按照本条约定进行变更：</w:t>
      </w:r>
    </w:p>
    <w:p w14:paraId="42F3951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（1）增加或减少合同中任何工作，或追加额外的工作；</w:t>
      </w:r>
    </w:p>
    <w:p w14:paraId="213F5A3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（2）取消合同中任何工作，但转由他人实施的工作除外；</w:t>
      </w:r>
    </w:p>
    <w:p w14:paraId="5A5277F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（3）改变合同中任何工作的质量标准或其他特性；</w:t>
      </w:r>
    </w:p>
    <w:p w14:paraId="34ECA06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（4）改变工程的基线、标高、位置和尺寸；</w:t>
      </w:r>
    </w:p>
    <w:p w14:paraId="18B9E1A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（5）改变工程的时间安排或实施顺序。</w:t>
      </w:r>
    </w:p>
    <w:p w14:paraId="44EFE821">
      <w:pPr>
        <w:pStyle w:val="7"/>
        <w:spacing w:before="0" w:beforeAutospacing="0" w:after="0" w:afterAutospacing="0" w:line="360" w:lineRule="auto"/>
        <w:ind w:firstLine="422" w:firstLineChars="200"/>
        <w:rPr>
          <w:color w:val="auto"/>
          <w:sz w:val="21"/>
          <w:szCs w:val="21"/>
        </w:rPr>
      </w:pPr>
      <w:bookmarkStart w:id="562" w:name="_Toc532377255"/>
      <w:r>
        <w:rPr>
          <w:rFonts w:hint="eastAsia"/>
          <w:color w:val="auto"/>
          <w:sz w:val="21"/>
          <w:szCs w:val="21"/>
        </w:rPr>
        <w:t>10.2变更权</w:t>
      </w:r>
      <w:bookmarkEnd w:id="562"/>
    </w:p>
    <w:p w14:paraId="181FEDF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3EFEFB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涉及设计变更的，应由设计人提供变更后的图纸和说明。如变更超过原设计标准或批准的建设规模时，发包人应及时办理规划、设计变更等审批手续。</w:t>
      </w:r>
    </w:p>
    <w:p w14:paraId="4E24112F">
      <w:pPr>
        <w:pStyle w:val="7"/>
        <w:spacing w:before="0" w:beforeAutospacing="0" w:after="0" w:afterAutospacing="0" w:line="360" w:lineRule="auto"/>
        <w:ind w:firstLine="422" w:firstLineChars="200"/>
        <w:rPr>
          <w:color w:val="auto"/>
          <w:sz w:val="21"/>
          <w:szCs w:val="21"/>
        </w:rPr>
      </w:pPr>
      <w:bookmarkStart w:id="563" w:name="_Toc532377256"/>
      <w:r>
        <w:rPr>
          <w:rFonts w:hint="eastAsia"/>
          <w:color w:val="auto"/>
          <w:sz w:val="21"/>
          <w:szCs w:val="21"/>
        </w:rPr>
        <w:t>10.3变更程序</w:t>
      </w:r>
      <w:bookmarkEnd w:id="563"/>
    </w:p>
    <w:p w14:paraId="49694E9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10.3.1 发包人提出变更</w:t>
      </w:r>
    </w:p>
    <w:p w14:paraId="18923CB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发包人提出变更的，应通过监理人向承包人发出变更指示，变更指示应说明计划变更的工程范围和变更的内容。</w:t>
      </w:r>
    </w:p>
    <w:p w14:paraId="25C7AFE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10.3.2 监理人提出变更建议</w:t>
      </w:r>
    </w:p>
    <w:p w14:paraId="0FD8AEE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DF4C38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10.3.3 变更执行</w:t>
      </w:r>
    </w:p>
    <w:p w14:paraId="06C4FDD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88C5BD0">
      <w:pPr>
        <w:pStyle w:val="7"/>
        <w:spacing w:before="0" w:beforeAutospacing="0" w:after="0" w:afterAutospacing="0" w:line="360" w:lineRule="auto"/>
        <w:ind w:firstLine="422" w:firstLineChars="200"/>
        <w:rPr>
          <w:color w:val="auto"/>
          <w:sz w:val="21"/>
          <w:szCs w:val="21"/>
        </w:rPr>
      </w:pPr>
      <w:bookmarkStart w:id="564" w:name="_Toc351203571"/>
      <w:bookmarkStart w:id="565" w:name="_Toc532377257"/>
      <w:r>
        <w:rPr>
          <w:rFonts w:hint="eastAsia"/>
          <w:color w:val="auto"/>
          <w:sz w:val="21"/>
          <w:szCs w:val="21"/>
        </w:rPr>
        <w:t>1</w:t>
      </w:r>
      <w:bookmarkStart w:id="566" w:name="_Toc296503087"/>
      <w:bookmarkStart w:id="567" w:name="_Toc337558791"/>
      <w:bookmarkStart w:id="568" w:name="_Toc296346588"/>
      <w:r>
        <w:rPr>
          <w:rFonts w:hint="eastAsia"/>
          <w:color w:val="auto"/>
          <w:sz w:val="21"/>
          <w:szCs w:val="21"/>
        </w:rPr>
        <w:t>0.4变更估价</w:t>
      </w:r>
      <w:bookmarkEnd w:id="564"/>
      <w:bookmarkEnd w:id="565"/>
    </w:p>
    <w:bookmarkEnd w:id="566"/>
    <w:bookmarkEnd w:id="567"/>
    <w:bookmarkEnd w:id="568"/>
    <w:p w14:paraId="1AE0733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10.4.1 变更估价原则</w:t>
      </w:r>
    </w:p>
    <w:p w14:paraId="423EC9F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除专用合同条款另有约定外，变更估价按照本款约定处理：</w:t>
      </w:r>
    </w:p>
    <w:p w14:paraId="19BEEAE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（1）已标价工程量清单或预算书有相同项目的，按照相同项目单价认定；</w:t>
      </w:r>
    </w:p>
    <w:p w14:paraId="485C878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（2）已标价工程量清单或预算书中无相同项目，但有类似项目的，参照类似项目的单价认定；</w:t>
      </w:r>
    </w:p>
    <w:p w14:paraId="4044179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A93CE2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10.4.2 变更估价程序</w:t>
      </w:r>
    </w:p>
    <w:p w14:paraId="50C6549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6CE5CE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因变更引起的价格调整应计入最近一期的进度款中支付。</w:t>
      </w:r>
    </w:p>
    <w:p w14:paraId="15FA9575">
      <w:pPr>
        <w:pStyle w:val="7"/>
        <w:spacing w:before="0" w:beforeAutospacing="0" w:after="0" w:afterAutospacing="0" w:line="360" w:lineRule="auto"/>
        <w:ind w:firstLine="422" w:firstLineChars="200"/>
        <w:rPr>
          <w:color w:val="auto"/>
          <w:sz w:val="21"/>
          <w:szCs w:val="21"/>
        </w:rPr>
      </w:pPr>
      <w:bookmarkStart w:id="569" w:name="_Toc351203572"/>
      <w:bookmarkStart w:id="570" w:name="_Toc532377258"/>
      <w:r>
        <w:rPr>
          <w:rFonts w:hint="eastAsia"/>
          <w:color w:val="auto"/>
          <w:sz w:val="21"/>
          <w:szCs w:val="21"/>
        </w:rPr>
        <w:t>1</w:t>
      </w:r>
      <w:bookmarkStart w:id="571" w:name="_Toc296346595"/>
      <w:bookmarkStart w:id="572" w:name="_Toc337558792"/>
      <w:bookmarkStart w:id="573" w:name="_Toc296503094"/>
      <w:r>
        <w:rPr>
          <w:rFonts w:hint="eastAsia"/>
          <w:color w:val="auto"/>
          <w:sz w:val="21"/>
          <w:szCs w:val="21"/>
        </w:rPr>
        <w:t>0.5承包人的合理化建议</w:t>
      </w:r>
      <w:bookmarkEnd w:id="569"/>
      <w:bookmarkEnd w:id="570"/>
    </w:p>
    <w:bookmarkEnd w:id="571"/>
    <w:bookmarkEnd w:id="572"/>
    <w:bookmarkEnd w:id="573"/>
    <w:p w14:paraId="78503AD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承包人提出合理化建议的，应向监理人提交合理化建议说明，说明建议的内容和理由，以及实施该建议对合同价格和工期的影响。</w:t>
      </w:r>
    </w:p>
    <w:p w14:paraId="3ECF072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39CE1B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合理化建议降低了合同价格或者提高了工程经济效益的，发包人可对承包人给予奖励，奖励的方法和金额在专用合同条款中约定。</w:t>
      </w:r>
    </w:p>
    <w:p w14:paraId="7596EAA4">
      <w:pPr>
        <w:pStyle w:val="7"/>
        <w:spacing w:before="0" w:beforeAutospacing="0" w:after="0" w:afterAutospacing="0" w:line="360" w:lineRule="auto"/>
        <w:ind w:firstLine="422" w:firstLineChars="200"/>
        <w:rPr>
          <w:color w:val="auto"/>
          <w:sz w:val="21"/>
          <w:szCs w:val="21"/>
        </w:rPr>
      </w:pPr>
      <w:bookmarkStart w:id="574" w:name="_Toc351203573"/>
      <w:bookmarkStart w:id="575" w:name="_Toc532377259"/>
      <w:r>
        <w:rPr>
          <w:rFonts w:hint="eastAsia"/>
          <w:color w:val="auto"/>
          <w:sz w:val="21"/>
          <w:szCs w:val="21"/>
        </w:rPr>
        <w:t>1</w:t>
      </w:r>
      <w:bookmarkStart w:id="576" w:name="_Toc337558793"/>
      <w:r>
        <w:rPr>
          <w:rFonts w:hint="eastAsia"/>
          <w:color w:val="auto"/>
          <w:sz w:val="21"/>
          <w:szCs w:val="21"/>
        </w:rPr>
        <w:t>0.6变更引起的工期调整</w:t>
      </w:r>
      <w:bookmarkEnd w:id="574"/>
      <w:bookmarkEnd w:id="575"/>
      <w:bookmarkEnd w:id="576"/>
    </w:p>
    <w:p w14:paraId="1F29917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因变更引起工期变化的，合同当事人均可要求调整合同工期，由合同当事人按照第4.4款〔商定或确定〕并参考工程所在地的工期定额标准确定增减工期天数。</w:t>
      </w:r>
    </w:p>
    <w:p w14:paraId="04141A49">
      <w:pPr>
        <w:pStyle w:val="7"/>
        <w:spacing w:before="0" w:beforeAutospacing="0" w:after="0" w:afterAutospacing="0" w:line="360" w:lineRule="auto"/>
        <w:ind w:firstLine="422" w:firstLineChars="200"/>
        <w:rPr>
          <w:color w:val="auto"/>
          <w:sz w:val="21"/>
          <w:szCs w:val="21"/>
        </w:rPr>
      </w:pPr>
      <w:bookmarkStart w:id="577" w:name="_Toc351203574"/>
      <w:bookmarkStart w:id="578" w:name="_Toc532377260"/>
      <w:r>
        <w:rPr>
          <w:rFonts w:hint="eastAsia"/>
          <w:color w:val="auto"/>
          <w:sz w:val="21"/>
          <w:szCs w:val="21"/>
        </w:rPr>
        <w:t>10.7暂估价</w:t>
      </w:r>
      <w:bookmarkEnd w:id="577"/>
      <w:bookmarkEnd w:id="578"/>
    </w:p>
    <w:p w14:paraId="530832C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暂估价专业分包工程、服务、材料和工程设备的明细由合同当事人在专用合同条款中约定。</w:t>
      </w:r>
    </w:p>
    <w:p w14:paraId="6D08516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10.7.1 依法必须招标的暂估价项目</w:t>
      </w:r>
    </w:p>
    <w:p w14:paraId="3836D03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对于依法必须招标的暂估价项目，采取以下第1种方式确定。合同当事人也可以在专用合同条款中选择其他招标方式。</w:t>
      </w:r>
    </w:p>
    <w:p w14:paraId="12F7F9F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第1种方式：对于依法必须招标的暂估价项目，由承包人招标，对该暂估价项目的确认和批准按照以下约定执行：</w:t>
      </w:r>
    </w:p>
    <w:p w14:paraId="0BC5ED2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4A6B34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7678D28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3ECB92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AAC09D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10.7.2不属于依法必须招标的暂估价项目</w:t>
      </w:r>
    </w:p>
    <w:p w14:paraId="5FFF1C6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除专用合同条款另有约定外，对于不属于依法必须招标的暂估价项目，采取以下第1种方式确定： </w:t>
      </w:r>
    </w:p>
    <w:p w14:paraId="6E2CFC9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第1种方式：对于不属于依法必须招标的暂估价项目，按本项约定确认和批准：</w:t>
      </w:r>
    </w:p>
    <w:p w14:paraId="0216AFD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7DA4AB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（2）发包人认为承包人确定的供应商、分包人无法满足工程质量或合同要求的，发包人可以要求承包人重新确定暂估价项目的供应商、分包人;</w:t>
      </w:r>
    </w:p>
    <w:p w14:paraId="53B9141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（3）承包人应当在签订暂估价合同后7天内，将暂估价合同副本报送发包人留存。</w:t>
      </w:r>
    </w:p>
    <w:p w14:paraId="7DEBDC2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第2种方式：承包人按照第10.7.1项〔依法必须招标的暂估价项目〕约定的第1种方式确定暂估价项目。</w:t>
      </w:r>
    </w:p>
    <w:p w14:paraId="366A78B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第3种方式：承包人直接实施的暂估价项目</w:t>
      </w:r>
    </w:p>
    <w:p w14:paraId="6AF031E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承包人具备实施暂估价项目的资格和条件的，经发包人和承包人协商一致后，可由承包人自行实施暂估价项目，合同当事人可以在专用合同条款约定具体事项。</w:t>
      </w:r>
    </w:p>
    <w:p w14:paraId="64FF7CC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7B3CBF0">
      <w:pPr>
        <w:pStyle w:val="7"/>
        <w:spacing w:before="0" w:beforeAutospacing="0" w:after="0" w:afterAutospacing="0" w:line="360" w:lineRule="auto"/>
        <w:ind w:firstLine="422" w:firstLineChars="200"/>
        <w:rPr>
          <w:color w:val="auto"/>
          <w:sz w:val="21"/>
          <w:szCs w:val="21"/>
        </w:rPr>
      </w:pPr>
      <w:bookmarkStart w:id="579" w:name="_Toc351203575"/>
      <w:bookmarkStart w:id="580" w:name="_Toc532377261"/>
      <w:r>
        <w:rPr>
          <w:rFonts w:hint="eastAsia"/>
          <w:color w:val="auto"/>
          <w:sz w:val="21"/>
          <w:szCs w:val="21"/>
        </w:rPr>
        <w:t>1</w:t>
      </w:r>
      <w:bookmarkStart w:id="581" w:name="_Toc337558794"/>
      <w:bookmarkStart w:id="582" w:name="_Toc322522561"/>
      <w:bookmarkStart w:id="583" w:name="_Toc296346591"/>
      <w:bookmarkStart w:id="584" w:name="_Toc296503090"/>
      <w:r>
        <w:rPr>
          <w:rFonts w:hint="eastAsia"/>
          <w:color w:val="auto"/>
          <w:sz w:val="21"/>
          <w:szCs w:val="21"/>
        </w:rPr>
        <w:t>0.8暂列金额</w:t>
      </w:r>
      <w:bookmarkEnd w:id="579"/>
      <w:bookmarkEnd w:id="580"/>
    </w:p>
    <w:bookmarkEnd w:id="581"/>
    <w:p w14:paraId="5313184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暂列金额应按照发包人的要求使用，发包人的要求应通过监理人发出。合同当事人可以在专用合同条款中协商确定有关事项。</w:t>
      </w:r>
    </w:p>
    <w:bookmarkEnd w:id="582"/>
    <w:bookmarkEnd w:id="583"/>
    <w:bookmarkEnd w:id="584"/>
    <w:p w14:paraId="6FFEB2E4">
      <w:pPr>
        <w:pStyle w:val="7"/>
        <w:spacing w:before="0" w:beforeAutospacing="0" w:after="0" w:afterAutospacing="0" w:line="360" w:lineRule="auto"/>
        <w:ind w:firstLine="422" w:firstLineChars="200"/>
        <w:rPr>
          <w:color w:val="auto"/>
          <w:sz w:val="21"/>
          <w:szCs w:val="21"/>
        </w:rPr>
      </w:pPr>
      <w:bookmarkStart w:id="585" w:name="_Toc532377262"/>
      <w:bookmarkStart w:id="586" w:name="_Toc351203576"/>
      <w:r>
        <w:rPr>
          <w:rFonts w:hint="eastAsia"/>
          <w:color w:val="auto"/>
          <w:sz w:val="21"/>
          <w:szCs w:val="21"/>
        </w:rPr>
        <w:t>1</w:t>
      </w:r>
      <w:bookmarkStart w:id="587" w:name="_Toc296346592"/>
      <w:bookmarkStart w:id="588" w:name="_Toc337558796"/>
      <w:bookmarkStart w:id="589" w:name="_Toc296503091"/>
      <w:r>
        <w:rPr>
          <w:rFonts w:hint="eastAsia"/>
          <w:color w:val="auto"/>
          <w:sz w:val="21"/>
          <w:szCs w:val="21"/>
        </w:rPr>
        <w:t>0.9计日工</w:t>
      </w:r>
      <w:bookmarkEnd w:id="585"/>
      <w:bookmarkEnd w:id="586"/>
      <w:bookmarkEnd w:id="587"/>
      <w:bookmarkEnd w:id="588"/>
      <w:bookmarkEnd w:id="589"/>
    </w:p>
    <w:p w14:paraId="02BF414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0B53EB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采用计日工计价的任何一项工作，承包人应在该项工作实施过程中，每天提交以下报表和有关凭证报送监理人审查：</w:t>
      </w:r>
    </w:p>
    <w:p w14:paraId="2FB7AF7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（1）工作名称、内容和数量；</w:t>
      </w:r>
    </w:p>
    <w:p w14:paraId="3D92E99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（2）投入该工作的所有人员的姓名、专业、工种、级别和耗用工时；</w:t>
      </w:r>
    </w:p>
    <w:p w14:paraId="7B9A0CE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（3）投入该工作的材料类别和数量；</w:t>
      </w:r>
    </w:p>
    <w:p w14:paraId="050F288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（4）投入该工作的施工设备型号、台数和耗用台时；</w:t>
      </w:r>
    </w:p>
    <w:p w14:paraId="4506FF1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（5）其他有关资料和凭证。</w:t>
      </w:r>
    </w:p>
    <w:p w14:paraId="34FFA69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 计日工由承包人汇总后，列入最近一期进度付款申请单，由监理人审查并经发包人批准后列入进度付款。</w:t>
      </w:r>
    </w:p>
    <w:p w14:paraId="0B567BCA">
      <w:pPr>
        <w:pStyle w:val="6"/>
        <w:keepNext/>
        <w:keepLines/>
        <w:spacing w:before="156" w:beforeLines="50" w:beforeAutospacing="0" w:after="156" w:afterLines="50" w:afterAutospacing="0" w:line="360" w:lineRule="auto"/>
        <w:jc w:val="both"/>
        <w:rPr>
          <w:bCs w:val="0"/>
          <w:color w:val="auto"/>
          <w:kern w:val="2"/>
          <w:sz w:val="21"/>
          <w:szCs w:val="21"/>
        </w:rPr>
      </w:pPr>
      <w:bookmarkStart w:id="590" w:name="_Toc351203577"/>
      <w:bookmarkStart w:id="591" w:name="_Toc532377263"/>
      <w:bookmarkStart w:id="592" w:name="_Toc532375597"/>
      <w:r>
        <w:rPr>
          <w:rFonts w:hint="eastAsia"/>
          <w:color w:val="auto"/>
          <w:kern w:val="2"/>
          <w:sz w:val="21"/>
          <w:szCs w:val="21"/>
        </w:rPr>
        <w:t>11. 价格调整</w:t>
      </w:r>
      <w:bookmarkEnd w:id="590"/>
      <w:bookmarkEnd w:id="591"/>
      <w:bookmarkEnd w:id="592"/>
    </w:p>
    <w:p w14:paraId="78851593">
      <w:pPr>
        <w:pStyle w:val="7"/>
        <w:spacing w:before="0" w:beforeAutospacing="0" w:after="0" w:afterAutospacing="0" w:line="360" w:lineRule="auto"/>
        <w:ind w:firstLine="422" w:firstLineChars="200"/>
        <w:rPr>
          <w:color w:val="auto"/>
          <w:sz w:val="21"/>
          <w:szCs w:val="21"/>
        </w:rPr>
      </w:pPr>
      <w:bookmarkStart w:id="593" w:name="_Toc532377264"/>
      <w:bookmarkStart w:id="594" w:name="_Toc351203578"/>
      <w:bookmarkStart w:id="595" w:name="_Toc296346593"/>
      <w:bookmarkStart w:id="596" w:name="_Toc296503092"/>
      <w:bookmarkStart w:id="597" w:name="_Toc337558797"/>
      <w:r>
        <w:rPr>
          <w:rFonts w:hint="eastAsia"/>
          <w:color w:val="auto"/>
          <w:sz w:val="21"/>
          <w:szCs w:val="21"/>
        </w:rPr>
        <w:t>11.1市场价格波动引起的调整</w:t>
      </w:r>
      <w:bookmarkEnd w:id="593"/>
      <w:bookmarkEnd w:id="594"/>
    </w:p>
    <w:bookmarkEnd w:id="595"/>
    <w:bookmarkEnd w:id="596"/>
    <w:bookmarkEnd w:id="597"/>
    <w:p w14:paraId="1C80192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除专用合同条款另有约定外，市场价格波动超过合同当事人约定的范围，合同价格应当调整。合同当事人可以在专用合同条款中约定选择以下一种方式对合同价格进行调整：</w:t>
      </w:r>
    </w:p>
    <w:p w14:paraId="0BC6D1B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第1种方式：采用价格指数进行价格调整。</w:t>
      </w:r>
    </w:p>
    <w:p w14:paraId="6D2DC1E0">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（1）价格调整公式</w:t>
      </w:r>
    </w:p>
    <w:p w14:paraId="785B2DBE">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因人工、材料和设备等价格波动影响合同价格时，根据专用合同条款中约定的数据，按以下公式计算差额并调整合同价格：</w:t>
      </w:r>
    </w:p>
    <w:p w14:paraId="23461D7C">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object>
          <v:shape id="_x0000_i1025" o:spt="75" type="#_x0000_t75" style="height:43pt;width:360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14:paraId="42E56F9A">
      <w:pPr>
        <w:tabs>
          <w:tab w:val="left" w:pos="0"/>
          <w:tab w:val="left" w:pos="360"/>
          <w:tab w:val="left" w:pos="540"/>
        </w:tabs>
        <w:spacing w:line="360" w:lineRule="auto"/>
        <w:ind w:firstLine="200"/>
        <w:jc w:val="left"/>
        <w:rPr>
          <w:rFonts w:ascii="宋体" w:hAnsi="宋体"/>
          <w:color w:val="auto"/>
          <w:kern w:val="0"/>
          <w:szCs w:val="21"/>
        </w:rPr>
      </w:pPr>
      <w:r>
        <w:rPr>
          <w:rFonts w:hint="eastAsia" w:ascii="宋体" w:hAnsi="宋体"/>
          <w:color w:val="auto"/>
          <w:kern w:val="0"/>
          <w:szCs w:val="21"/>
        </w:rPr>
        <w:t>公式中：ΔP——需调整的价格差额；</w:t>
      </w:r>
    </w:p>
    <w:p w14:paraId="1A0BF94D">
      <w:pPr>
        <w:tabs>
          <w:tab w:val="left" w:pos="0"/>
          <w:tab w:val="left" w:pos="360"/>
          <w:tab w:val="left" w:pos="540"/>
        </w:tabs>
        <w:spacing w:line="360" w:lineRule="auto"/>
        <w:ind w:firstLine="1680" w:firstLineChars="600"/>
        <w:jc w:val="left"/>
        <w:rPr>
          <w:rFonts w:ascii="宋体" w:hAnsi="宋体"/>
          <w:color w:val="auto"/>
          <w:kern w:val="0"/>
          <w:szCs w:val="21"/>
        </w:rPr>
      </w:pPr>
      <w:r>
        <w:rPr>
          <w:rFonts w:hint="eastAsia" w:ascii="宋体" w:hAnsi="宋体"/>
          <w:color w:val="auto"/>
          <w:kern w:val="0"/>
          <w:szCs w:val="21"/>
        </w:rPr>
        <w:object>
          <v:shape id="_x0000_i1026" o:spt="75" type="#_x0000_t75" style="height:18.5pt;width:18.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ascii="宋体" w:hAnsi="宋体"/>
          <w:color w:val="auto"/>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0DBCC49B">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A——定值权重（即不调部分的权重）；</w:t>
      </w:r>
    </w:p>
    <w:p w14:paraId="60545DE6">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object>
          <v:shape id="_x0000_i1027" o:spt="75" type="#_x0000_t75" style="height:22pt;width:100.5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ascii="宋体" w:hAnsi="宋体"/>
          <w:color w:val="auto"/>
          <w:kern w:val="0"/>
          <w:szCs w:val="21"/>
        </w:rPr>
        <w:t>——各可调因子的变值权重（即可调部分的权重），为各可调因子在签约合同价中所占的比例；</w:t>
      </w:r>
    </w:p>
    <w:p w14:paraId="4FE2386E">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object>
          <v:shape id="_x0000_i1028" o:spt="75" type="#_x0000_t75" style="height:22pt;width:101.45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rFonts w:hint="eastAsia" w:ascii="宋体" w:hAnsi="宋体"/>
          <w:color w:val="auto"/>
          <w:kern w:val="0"/>
          <w:szCs w:val="21"/>
        </w:rPr>
        <w:t>——各可调因子的现行价格指数，指约定的付款证书相关周期最后一天的前42天的各可调因子的价格指数；</w:t>
      </w:r>
    </w:p>
    <w:p w14:paraId="3C6D220A">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object>
          <v:shape id="_x0000_i1029" o:spt="75" type="#_x0000_t75" style="height:22pt;width:109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r>
        <w:rPr>
          <w:rFonts w:hint="eastAsia" w:ascii="宋体" w:hAnsi="宋体"/>
          <w:color w:val="auto"/>
          <w:kern w:val="0"/>
          <w:szCs w:val="21"/>
        </w:rPr>
        <w:t>——各可调因子的基本价格指数，指基准日期的各可调因子的价格指数。</w:t>
      </w:r>
    </w:p>
    <w:p w14:paraId="72910F65">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以上价格调整公式中的各可调因子、定值和变值权重，以及基本价格指数及其来源在</w:t>
      </w:r>
      <w:r>
        <w:rPr>
          <w:rFonts w:hint="eastAsia" w:ascii="宋体" w:hAnsi="宋体"/>
          <w:color w:val="auto"/>
          <w:kern w:val="0"/>
          <w:szCs w:val="21"/>
          <w:lang w:eastAsia="zh-CN"/>
        </w:rPr>
        <w:t>报价函</w:t>
      </w:r>
      <w:r>
        <w:rPr>
          <w:rFonts w:hint="eastAsia" w:ascii="宋体" w:hAnsi="宋体"/>
          <w:color w:val="auto"/>
          <w:kern w:val="0"/>
          <w:szCs w:val="21"/>
        </w:rPr>
        <w:t>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C2057DA">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（2）暂时确定调整差额</w:t>
      </w:r>
    </w:p>
    <w:p w14:paraId="57D1D7A0">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在计算调整差额时无现行价格指数的，合同当事人同意暂用前次价格指数计算。实际价格指数有调整的，合同当事人进行相应调整。</w:t>
      </w:r>
    </w:p>
    <w:p w14:paraId="00996028">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（3）权重的调整</w:t>
      </w:r>
    </w:p>
    <w:p w14:paraId="21AB657A">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因变更导致合同约定的权重不合理时，按照第4.4款〔商定或确定〕执行。</w:t>
      </w:r>
    </w:p>
    <w:p w14:paraId="6F346AB2">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（4）因承包人原因工期延误后的价格调整</w:t>
      </w:r>
    </w:p>
    <w:p w14:paraId="50884247">
      <w:pPr>
        <w:tabs>
          <w:tab w:val="left" w:pos="0"/>
          <w:tab w:val="left" w:pos="360"/>
          <w:tab w:val="left" w:pos="540"/>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1DC356F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第2种方式：采用造价信息进行价格调整。</w:t>
      </w:r>
    </w:p>
    <w:p w14:paraId="5C17C0B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994CBA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050815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（2）材料、工程设备价格变化的价款调整按照发包人提供的基准价格，按以下风险范围规定执行：</w:t>
      </w:r>
    </w:p>
    <w:p w14:paraId="2C80C67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A86F4F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3D39E2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③承包人在已标价工程量清单或预算书中载明材料单价等于基准价格的：除专用合同条款另有约定外，合同履行期间材料单价涨跌幅以基准价格为基础超过±5%时，其超过部分据实调整。</w:t>
      </w:r>
    </w:p>
    <w:p w14:paraId="01C9848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EA57479">
      <w:pPr>
        <w:spacing w:line="360" w:lineRule="auto"/>
        <w:ind w:firstLine="560" w:firstLineChars="200"/>
        <w:jc w:val="left"/>
        <w:rPr>
          <w:rFonts w:ascii="宋体" w:hAnsi="宋体"/>
          <w:color w:val="auto"/>
          <w:kern w:val="0"/>
          <w:szCs w:val="21"/>
        </w:rPr>
      </w:pPr>
      <w:bookmarkStart w:id="598" w:name="OLE_LINK3"/>
      <w:r>
        <w:rPr>
          <w:rFonts w:hint="eastAsia" w:ascii="宋体" w:hAnsi="宋体"/>
          <w:color w:val="auto"/>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14:paraId="1B3E38A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（3）施工机械台班单价或施工机械使用费发生变化超过省级或行业建设主管部门或其授权的工程造价管理机构规定的范围时，按规定调整合同价格。</w:t>
      </w:r>
    </w:p>
    <w:p w14:paraId="32F73D7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第3种方式：专用合同条款约定的其他方式。</w:t>
      </w:r>
    </w:p>
    <w:p w14:paraId="3CDB23A5">
      <w:pPr>
        <w:pStyle w:val="7"/>
        <w:spacing w:before="0" w:beforeAutospacing="0" w:after="0" w:afterAutospacing="0" w:line="360" w:lineRule="auto"/>
        <w:ind w:firstLine="422" w:firstLineChars="200"/>
        <w:rPr>
          <w:color w:val="auto"/>
          <w:sz w:val="21"/>
          <w:szCs w:val="21"/>
        </w:rPr>
      </w:pPr>
      <w:bookmarkStart w:id="599" w:name="_Toc532377265"/>
      <w:bookmarkStart w:id="600" w:name="_Toc351203579"/>
      <w:bookmarkStart w:id="601" w:name="_Toc337558798"/>
      <w:bookmarkStart w:id="602" w:name="_Toc296503093"/>
      <w:bookmarkStart w:id="603" w:name="_Toc296346594"/>
      <w:r>
        <w:rPr>
          <w:rFonts w:hint="eastAsia"/>
          <w:color w:val="auto"/>
          <w:sz w:val="21"/>
          <w:szCs w:val="21"/>
        </w:rPr>
        <w:t>11.2法律变化引起的调整</w:t>
      </w:r>
      <w:bookmarkEnd w:id="599"/>
      <w:bookmarkEnd w:id="600"/>
    </w:p>
    <w:bookmarkEnd w:id="601"/>
    <w:bookmarkEnd w:id="602"/>
    <w:bookmarkEnd w:id="603"/>
    <w:p w14:paraId="257F001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9F7F17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因法律变化引起的合同价格和工期调整，合同当事人无法达成一致的，由总监理工程师按第4.4款〔商定或确定〕的约定处理。</w:t>
      </w:r>
    </w:p>
    <w:p w14:paraId="3BF6986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因承包人原因造成工期延误，在工期延误期间出现法律变化的，由此增加的费用和（或）延误的工期由承包人承担。</w:t>
      </w:r>
    </w:p>
    <w:p w14:paraId="32C9550E">
      <w:pPr>
        <w:pStyle w:val="6"/>
        <w:keepNext/>
        <w:keepLines/>
        <w:spacing w:before="156" w:beforeLines="50" w:beforeAutospacing="0" w:after="156" w:afterLines="50" w:afterAutospacing="0" w:line="360" w:lineRule="auto"/>
        <w:jc w:val="both"/>
        <w:rPr>
          <w:bCs w:val="0"/>
          <w:color w:val="auto"/>
          <w:kern w:val="2"/>
          <w:sz w:val="21"/>
          <w:szCs w:val="21"/>
        </w:rPr>
      </w:pPr>
      <w:bookmarkStart w:id="604" w:name="_Toc532375598"/>
      <w:bookmarkStart w:id="605" w:name="_Toc351203580"/>
      <w:bookmarkStart w:id="606" w:name="_Toc532377266"/>
      <w:bookmarkStart w:id="607" w:name="_Toc337558799"/>
      <w:bookmarkStart w:id="608" w:name="_Toc296346597"/>
      <w:bookmarkStart w:id="609" w:name="_Toc296503096"/>
      <w:r>
        <w:rPr>
          <w:rFonts w:hint="eastAsia"/>
          <w:color w:val="auto"/>
          <w:kern w:val="2"/>
          <w:sz w:val="21"/>
          <w:szCs w:val="21"/>
        </w:rPr>
        <w:t>12. 合同价格、计量与支付</w:t>
      </w:r>
      <w:bookmarkEnd w:id="604"/>
      <w:bookmarkEnd w:id="605"/>
      <w:bookmarkEnd w:id="606"/>
    </w:p>
    <w:bookmarkEnd w:id="607"/>
    <w:p w14:paraId="26DE9B0D">
      <w:pPr>
        <w:pStyle w:val="7"/>
        <w:spacing w:before="0" w:beforeAutospacing="0" w:after="0" w:afterAutospacing="0" w:line="360" w:lineRule="auto"/>
        <w:ind w:firstLine="422" w:firstLineChars="200"/>
        <w:rPr>
          <w:color w:val="auto"/>
          <w:sz w:val="21"/>
          <w:szCs w:val="21"/>
        </w:rPr>
      </w:pPr>
      <w:bookmarkStart w:id="610" w:name="_Toc532377267"/>
      <w:bookmarkStart w:id="611" w:name="_Toc351203581"/>
      <w:bookmarkStart w:id="612" w:name="_Toc337558800"/>
      <w:r>
        <w:rPr>
          <w:rFonts w:hint="eastAsia"/>
          <w:color w:val="auto"/>
          <w:sz w:val="21"/>
          <w:szCs w:val="21"/>
        </w:rPr>
        <w:t>12.1 合同价</w:t>
      </w:r>
      <w:bookmarkEnd w:id="608"/>
      <w:bookmarkEnd w:id="609"/>
      <w:r>
        <w:rPr>
          <w:rFonts w:hint="eastAsia"/>
          <w:color w:val="auto"/>
          <w:sz w:val="21"/>
          <w:szCs w:val="21"/>
        </w:rPr>
        <w:t>格形式</w:t>
      </w:r>
      <w:bookmarkEnd w:id="610"/>
      <w:bookmarkEnd w:id="611"/>
    </w:p>
    <w:bookmarkEnd w:id="612"/>
    <w:p w14:paraId="108C492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发包人和承包人应在合同协议书中选择下列一种合同价格形式： </w:t>
      </w:r>
    </w:p>
    <w:p w14:paraId="14B521F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1.单价合同</w:t>
      </w:r>
    </w:p>
    <w:p w14:paraId="0C7BF4A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37AECB1">
      <w:pPr>
        <w:pStyle w:val="7"/>
        <w:spacing w:before="0" w:beforeAutospacing="0" w:after="0" w:afterAutospacing="0" w:line="360" w:lineRule="auto"/>
        <w:ind w:firstLine="420" w:firstLineChars="200"/>
        <w:rPr>
          <w:b w:val="0"/>
          <w:color w:val="auto"/>
          <w:sz w:val="21"/>
          <w:szCs w:val="21"/>
        </w:rPr>
      </w:pPr>
      <w:bookmarkStart w:id="613" w:name="_Toc532377268"/>
      <w:r>
        <w:rPr>
          <w:rFonts w:hint="eastAsia"/>
          <w:b w:val="0"/>
          <w:color w:val="auto"/>
          <w:sz w:val="21"/>
          <w:szCs w:val="21"/>
        </w:rPr>
        <w:t>2.总价合同</w:t>
      </w:r>
      <w:bookmarkEnd w:id="613"/>
    </w:p>
    <w:p w14:paraId="0323EF2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7E560F6">
      <w:pPr>
        <w:pStyle w:val="7"/>
        <w:spacing w:before="0" w:beforeAutospacing="0" w:after="0" w:afterAutospacing="0" w:line="360" w:lineRule="auto"/>
        <w:ind w:firstLine="420" w:firstLineChars="200"/>
        <w:rPr>
          <w:b w:val="0"/>
          <w:color w:val="auto"/>
          <w:sz w:val="21"/>
          <w:szCs w:val="21"/>
        </w:rPr>
      </w:pPr>
      <w:bookmarkStart w:id="614" w:name="_Toc532377269"/>
      <w:r>
        <w:rPr>
          <w:rFonts w:hint="eastAsia"/>
          <w:b w:val="0"/>
          <w:color w:val="auto"/>
          <w:sz w:val="21"/>
          <w:szCs w:val="21"/>
        </w:rPr>
        <w:t>3.其它价格形式</w:t>
      </w:r>
      <w:bookmarkEnd w:id="614"/>
    </w:p>
    <w:p w14:paraId="16C151C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合同当事人可在专用合同条款中约定其他合同价格形式。</w:t>
      </w:r>
    </w:p>
    <w:p w14:paraId="05ACE7DE">
      <w:pPr>
        <w:pStyle w:val="7"/>
        <w:spacing w:before="0" w:beforeAutospacing="0" w:after="0" w:afterAutospacing="0" w:line="360" w:lineRule="auto"/>
        <w:ind w:firstLine="422" w:firstLineChars="200"/>
        <w:rPr>
          <w:color w:val="auto"/>
          <w:sz w:val="21"/>
          <w:szCs w:val="21"/>
        </w:rPr>
      </w:pPr>
      <w:bookmarkStart w:id="615" w:name="_Toc296346598"/>
      <w:bookmarkStart w:id="616" w:name="_Toc296503097"/>
      <w:bookmarkStart w:id="617" w:name="_Toc351203582"/>
      <w:bookmarkStart w:id="618" w:name="_Toc532377270"/>
      <w:bookmarkStart w:id="619" w:name="_Toc337558801"/>
      <w:r>
        <w:rPr>
          <w:rFonts w:hint="eastAsia"/>
          <w:color w:val="auto"/>
          <w:sz w:val="21"/>
          <w:szCs w:val="21"/>
        </w:rPr>
        <w:t>12.2预</w:t>
      </w:r>
      <w:bookmarkEnd w:id="615"/>
      <w:bookmarkEnd w:id="616"/>
      <w:bookmarkStart w:id="620" w:name="_Toc296503100"/>
      <w:bookmarkStart w:id="621" w:name="_Toc296346601"/>
      <w:r>
        <w:rPr>
          <w:rFonts w:hint="eastAsia"/>
          <w:color w:val="auto"/>
          <w:sz w:val="21"/>
          <w:szCs w:val="21"/>
        </w:rPr>
        <w:t>付款</w:t>
      </w:r>
      <w:bookmarkEnd w:id="617"/>
      <w:bookmarkEnd w:id="618"/>
    </w:p>
    <w:bookmarkEnd w:id="619"/>
    <w:bookmarkEnd w:id="620"/>
    <w:bookmarkEnd w:id="621"/>
    <w:p w14:paraId="38BD00F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12.2.1预付款的支付</w:t>
      </w:r>
    </w:p>
    <w:p w14:paraId="5823810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预付款的支付按照专用合同条款约定执行，但至迟应在开工通知载明的开工日期7天前支付。预付款应当用于材料、工程设备、施工设备的采购及修建临时工程、组织施工队伍进场等。</w:t>
      </w:r>
    </w:p>
    <w:p w14:paraId="528DDF5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除专用合同条款另有约定外，预付款在进度付款中同比例扣回。</w:t>
      </w:r>
      <w:bookmarkEnd w:id="598"/>
      <w:r>
        <w:rPr>
          <w:rFonts w:hint="eastAsia" w:ascii="宋体" w:hAnsi="宋体"/>
          <w:color w:val="auto"/>
          <w:kern w:val="0"/>
          <w:szCs w:val="21"/>
        </w:rPr>
        <w:t>在颁发工程接收证书前，提前解除合同的，尚未扣完的预付款应与合同价款一并结算。</w:t>
      </w:r>
    </w:p>
    <w:p w14:paraId="49BD99A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发包人逾期支付预付款超过7天的，承包人有权向发包人发出要求预付的催告通知，发包人收到通知后7天内仍未支付的，承包人有权暂停施工，并按第16.1.1项〔发包人违约的情形〕执行。</w:t>
      </w:r>
    </w:p>
    <w:p w14:paraId="61903C3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12.2.2 预付款担保</w:t>
      </w:r>
    </w:p>
    <w:p w14:paraId="694BBBB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3A145E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发包人在工程款中逐期扣回预付款后，预付款担保额度应相应减少，但剩余的预付款担保金额不得低于未被扣回的预付款金额。</w:t>
      </w:r>
    </w:p>
    <w:p w14:paraId="0FF3A62D">
      <w:pPr>
        <w:pStyle w:val="7"/>
        <w:spacing w:before="0" w:beforeAutospacing="0" w:after="0" w:afterAutospacing="0" w:line="360" w:lineRule="auto"/>
        <w:ind w:firstLine="422" w:firstLineChars="200"/>
        <w:rPr>
          <w:color w:val="auto"/>
          <w:sz w:val="21"/>
          <w:szCs w:val="21"/>
        </w:rPr>
      </w:pPr>
      <w:bookmarkStart w:id="622" w:name="_Toc532377271"/>
      <w:bookmarkStart w:id="623" w:name="_Toc351203583"/>
      <w:bookmarkStart w:id="624" w:name="_Toc337558802"/>
      <w:r>
        <w:rPr>
          <w:rFonts w:hint="eastAsia"/>
          <w:color w:val="auto"/>
          <w:sz w:val="21"/>
          <w:szCs w:val="21"/>
        </w:rPr>
        <w:t>12.3计量</w:t>
      </w:r>
      <w:bookmarkEnd w:id="622"/>
      <w:bookmarkEnd w:id="623"/>
    </w:p>
    <w:bookmarkEnd w:id="624"/>
    <w:p w14:paraId="078FFA1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12.3.1 计量原则</w:t>
      </w:r>
    </w:p>
    <w:p w14:paraId="53718A0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工程量计量按照合同约定的工程量计算规则、图纸及变更指示等进行计量。工程量计算规则应以相关的国家标准、行业标准等为依据，由合同当事人在专用合同条款中约定。</w:t>
      </w:r>
    </w:p>
    <w:p w14:paraId="51493FA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12.3.2 计量周期</w:t>
      </w:r>
    </w:p>
    <w:p w14:paraId="7EA2BF8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除专用合同条款另有约定外，工程量的计量按月进行。</w:t>
      </w:r>
    </w:p>
    <w:p w14:paraId="06524BB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12.3.3 单价合同的计量</w:t>
      </w:r>
    </w:p>
    <w:p w14:paraId="56A20DE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除专用合同条款另有约定外，单价合同的计量按照本项约定执行：</w:t>
      </w:r>
    </w:p>
    <w:p w14:paraId="7A50996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（1）承包人应于每月25日向监理人报送上月20日至当月19日已完成的工程量报告，并附具进度付款申请单、已完成工程量报表和有关资料。</w:t>
      </w:r>
    </w:p>
    <w:p w14:paraId="6062FBB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42D030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（3）监理人未在收到承包人提交的工程量报表后的7天内完成审核的，承包人报送的工程量报告中的工程量视为承包人实际完成的工程量，据此计算工程价款。</w:t>
      </w:r>
    </w:p>
    <w:p w14:paraId="2A20AD3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12.3.4 总价合同的计量</w:t>
      </w:r>
    </w:p>
    <w:p w14:paraId="674B2C6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除专用合同条款另有约定外，按月计量支付的总价合同，按照本项约定执行：</w:t>
      </w:r>
    </w:p>
    <w:p w14:paraId="3C555AA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（1）承包人应于每月25日向监理人报送上月20日至当月19日已完成的工程量报告，并附具进度付款申请单、已完成工程量报表和有关资料。</w:t>
      </w:r>
    </w:p>
    <w:p w14:paraId="74EDB60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0FBCEA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（3）监理人未在收到承包人提交的工程量报表后的7天内完成复核的，承包人提交的工程量报告中的工程量视为承包人实际完成的工程量。</w:t>
      </w:r>
    </w:p>
    <w:p w14:paraId="3754234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12.3.5 总价合同采用支付分解表计量支付的，可以按照第12.3.4项〔总价合同的计量〕约定进行计量，但合同价款按照支付分解表进行支付。</w:t>
      </w:r>
    </w:p>
    <w:p w14:paraId="7C872D9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12.3.6 其他价格形式合同的计量</w:t>
      </w:r>
    </w:p>
    <w:p w14:paraId="4F7DF4B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合同当事人可在专用合同条款中约定其他价格形式合同的计量方式和程序。</w:t>
      </w:r>
    </w:p>
    <w:p w14:paraId="68044958">
      <w:pPr>
        <w:pStyle w:val="7"/>
        <w:spacing w:before="0" w:beforeAutospacing="0" w:after="0" w:afterAutospacing="0" w:line="360" w:lineRule="auto"/>
        <w:ind w:firstLine="422" w:firstLineChars="200"/>
        <w:rPr>
          <w:color w:val="auto"/>
          <w:sz w:val="21"/>
          <w:szCs w:val="21"/>
        </w:rPr>
      </w:pPr>
      <w:bookmarkStart w:id="625" w:name="_Toc296346602"/>
      <w:bookmarkStart w:id="626" w:name="_Toc296503101"/>
      <w:bookmarkStart w:id="627" w:name="_Toc351203584"/>
      <w:bookmarkStart w:id="628" w:name="_Toc532377272"/>
      <w:bookmarkStart w:id="629" w:name="_Toc337558803"/>
      <w:r>
        <w:rPr>
          <w:rFonts w:hint="eastAsia"/>
          <w:color w:val="auto"/>
          <w:sz w:val="21"/>
          <w:szCs w:val="21"/>
        </w:rPr>
        <w:t>12.4工程进度款支</w:t>
      </w:r>
      <w:bookmarkEnd w:id="625"/>
      <w:bookmarkEnd w:id="626"/>
      <w:r>
        <w:rPr>
          <w:rFonts w:hint="eastAsia"/>
          <w:color w:val="auto"/>
          <w:sz w:val="21"/>
          <w:szCs w:val="21"/>
        </w:rPr>
        <w:t>付</w:t>
      </w:r>
      <w:bookmarkEnd w:id="627"/>
      <w:bookmarkEnd w:id="628"/>
    </w:p>
    <w:bookmarkEnd w:id="629"/>
    <w:p w14:paraId="7A054F7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12.4.1 付款周期</w:t>
      </w:r>
    </w:p>
    <w:p w14:paraId="0B28119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除专用合同条款另有约定外，付款周期应按照第12.3.2项〔计量周期〕的约定与计量周期保持一致。</w:t>
      </w:r>
    </w:p>
    <w:p w14:paraId="360A7FA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12.4.2 进度付款申请单的编制</w:t>
      </w:r>
    </w:p>
    <w:p w14:paraId="29241BB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除专用合同条款另有约定外，进度付款申请单应包括下列内容：</w:t>
      </w:r>
    </w:p>
    <w:p w14:paraId="5977039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（1）截至本次付款周期已完成工作对应的金额；</w:t>
      </w:r>
    </w:p>
    <w:p w14:paraId="17D8A85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（2）根据第10条〔变更〕应增加和扣减的变更金额；</w:t>
      </w:r>
    </w:p>
    <w:p w14:paraId="0E7759C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（3）根据第12.2款〔预付款〕约定应支付的预付款和扣减的返还预付款；</w:t>
      </w:r>
    </w:p>
    <w:p w14:paraId="4AB2D73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（4）根据第15.3款〔质量保证金〕约定应扣减的质量保证金；</w:t>
      </w:r>
    </w:p>
    <w:p w14:paraId="240BA74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（5）根据第19条〔索赔〕应增加和扣减的索赔金额；</w:t>
      </w:r>
    </w:p>
    <w:p w14:paraId="2B5ACE7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（6）对已签发的进度款支付证书中出现错误的修正，应在本次进度付款中支付或扣除的金额；</w:t>
      </w:r>
    </w:p>
    <w:p w14:paraId="46DBC80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（7）根据合同约定应增加和扣减的其他金额。</w:t>
      </w:r>
    </w:p>
    <w:p w14:paraId="037878D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12.4.3 进度付款申请单的提交</w:t>
      </w:r>
    </w:p>
    <w:p w14:paraId="750240F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（1）单价合同进度付款申请单的提交</w:t>
      </w:r>
    </w:p>
    <w:p w14:paraId="1729B55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BAC8D8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（2）总价合同进度付款申请单的提交</w:t>
      </w:r>
    </w:p>
    <w:p w14:paraId="5F9583A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总价合同按月计量支付的，承包人按照第12.3.4项〔总价合同的计量〕约定的时间按月向监理人提交进度付款申请单，并附上已完成工程量报表和有关资料。</w:t>
      </w:r>
    </w:p>
    <w:p w14:paraId="02E14F1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总价合同按支付分解表支付的，承包人应按照第12.4.6项〔支付分解表〕及第12.4.2项〔进度付款申请单的编制〕的约定向监理人提交进度付款申请单。</w:t>
      </w:r>
    </w:p>
    <w:p w14:paraId="68B960E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（3）其他价格形式合同的进度付款申请单的提交</w:t>
      </w:r>
    </w:p>
    <w:p w14:paraId="5F8DC37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合同当事人可在专用合同条款中约定其他价格形式合同的进度付款申请单的编制和提交程序。</w:t>
      </w:r>
    </w:p>
    <w:p w14:paraId="56320B8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12.4.4 进度款审核和支付</w:t>
      </w:r>
    </w:p>
    <w:p w14:paraId="567074C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B1AB17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2EEA28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19E57AA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（3）发包人签发进度款支付证书或临时进度款支付证书，不表明发包人已同意、批准或接受了承包人完成的相应部分的工作。</w:t>
      </w:r>
    </w:p>
    <w:p w14:paraId="4560139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12.4.5 进度付款的修正</w:t>
      </w:r>
    </w:p>
    <w:p w14:paraId="3C34516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4560088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12.4.6 支付分解表</w:t>
      </w:r>
    </w:p>
    <w:p w14:paraId="1DFF258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1.支付分解表的编制要求</w:t>
      </w:r>
    </w:p>
    <w:p w14:paraId="2074CEB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（1）支付分解表中所列的每期付款金额，应为第12.4.2项〔进度付款申请单的编制〕第（1）目的估算金额；</w:t>
      </w:r>
    </w:p>
    <w:p w14:paraId="77E61A2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（2）实际进度与施工进度计划不一致的，合同当事人可按照第4.4款〔商定或确定〕修改支付分解表；</w:t>
      </w:r>
    </w:p>
    <w:p w14:paraId="047DC8B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（3）不采用支付分解表的，承包人应向发包人和监理人提交按季度编制的支付估算分解表，用于支付参考。</w:t>
      </w:r>
    </w:p>
    <w:p w14:paraId="441655F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2.总价合同支付分解表的编制与审批</w:t>
      </w:r>
    </w:p>
    <w:p w14:paraId="16B3F4B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A63DA4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（2）监理人应在收到支付分解表后7天内完成审核并报送发包人。发包人应在收到经监理人审核的支付分解表后7天内完成审批，经发包人批准的支付分解表为有约束力的支付分解表。</w:t>
      </w:r>
    </w:p>
    <w:p w14:paraId="7FC67E6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（3）发包人逾期未完成支付分解表审批的，也未及时要求承包人进行修正和提供补充资料的，则承包人提交的支付分解表视为已经获得发包人批准。</w:t>
      </w:r>
    </w:p>
    <w:p w14:paraId="0137EBA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3.单价合同的总价项目支付分解表的编制与审批</w:t>
      </w:r>
    </w:p>
    <w:p w14:paraId="3E0C68C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9A6765D">
      <w:pPr>
        <w:pStyle w:val="7"/>
        <w:spacing w:before="0" w:beforeAutospacing="0" w:after="0" w:afterAutospacing="0" w:line="360" w:lineRule="auto"/>
        <w:ind w:firstLine="422" w:firstLineChars="200"/>
        <w:rPr>
          <w:color w:val="auto"/>
          <w:sz w:val="21"/>
          <w:szCs w:val="21"/>
        </w:rPr>
      </w:pPr>
      <w:bookmarkStart w:id="630" w:name="_Toc532377273"/>
      <w:r>
        <w:rPr>
          <w:rFonts w:hint="eastAsia"/>
          <w:color w:val="auto"/>
          <w:sz w:val="21"/>
          <w:szCs w:val="21"/>
        </w:rPr>
        <w:t>12.5支付账户</w:t>
      </w:r>
      <w:bookmarkEnd w:id="630"/>
    </w:p>
    <w:p w14:paraId="557E980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发包人应将合同价款支付至合同协议书中约定的承包人账户。</w:t>
      </w:r>
    </w:p>
    <w:p w14:paraId="180FDDAB">
      <w:pPr>
        <w:pStyle w:val="6"/>
        <w:keepNext/>
        <w:keepLines/>
        <w:spacing w:before="156" w:beforeLines="50" w:beforeAutospacing="0" w:after="156" w:afterLines="50" w:afterAutospacing="0" w:line="360" w:lineRule="auto"/>
        <w:jc w:val="both"/>
        <w:rPr>
          <w:bCs w:val="0"/>
          <w:color w:val="auto"/>
          <w:kern w:val="2"/>
          <w:sz w:val="21"/>
          <w:szCs w:val="21"/>
        </w:rPr>
      </w:pPr>
      <w:bookmarkStart w:id="631" w:name="_Toc532375599"/>
      <w:bookmarkStart w:id="632" w:name="_Toc351203586"/>
      <w:bookmarkStart w:id="633" w:name="_Toc532377274"/>
      <w:bookmarkStart w:id="634" w:name="_Toc322522574"/>
      <w:bookmarkStart w:id="635" w:name="_Toc296503106"/>
      <w:bookmarkStart w:id="636" w:name="_Toc296346607"/>
      <w:bookmarkStart w:id="637" w:name="_Toc337558804"/>
      <w:r>
        <w:rPr>
          <w:rFonts w:hint="eastAsia"/>
          <w:color w:val="auto"/>
          <w:kern w:val="2"/>
          <w:sz w:val="21"/>
          <w:szCs w:val="21"/>
        </w:rPr>
        <w:t>13. 验收和工程试车</w:t>
      </w:r>
      <w:bookmarkEnd w:id="631"/>
      <w:bookmarkEnd w:id="632"/>
      <w:bookmarkEnd w:id="633"/>
    </w:p>
    <w:bookmarkEnd w:id="634"/>
    <w:bookmarkEnd w:id="635"/>
    <w:bookmarkEnd w:id="636"/>
    <w:bookmarkEnd w:id="637"/>
    <w:p w14:paraId="6EFEEEE9">
      <w:pPr>
        <w:pStyle w:val="7"/>
        <w:spacing w:before="0" w:beforeAutospacing="0" w:after="0" w:afterAutospacing="0" w:line="360" w:lineRule="auto"/>
        <w:ind w:firstLine="422" w:firstLineChars="200"/>
        <w:rPr>
          <w:color w:val="auto"/>
          <w:sz w:val="21"/>
          <w:szCs w:val="21"/>
        </w:rPr>
      </w:pPr>
      <w:bookmarkStart w:id="638" w:name="_Toc532377275"/>
      <w:bookmarkStart w:id="639" w:name="_Toc351203587"/>
      <w:bookmarkStart w:id="640" w:name="_Toc337558805"/>
      <w:bookmarkStart w:id="641" w:name="_Toc296346611"/>
      <w:bookmarkStart w:id="642" w:name="_Toc296503110"/>
      <w:r>
        <w:rPr>
          <w:rFonts w:hint="eastAsia"/>
          <w:color w:val="auto"/>
          <w:sz w:val="21"/>
          <w:szCs w:val="21"/>
        </w:rPr>
        <w:t>13.1分部分项工程验收</w:t>
      </w:r>
      <w:bookmarkEnd w:id="638"/>
      <w:bookmarkEnd w:id="639"/>
    </w:p>
    <w:bookmarkEnd w:id="640"/>
    <w:p w14:paraId="5A7925A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13.1.1 分部分项工程质量应符合国家有关工程施工验收规范、标准及合同约定，承包人应按照施工组织设计的要求完成分部分项工程施工。</w:t>
      </w:r>
    </w:p>
    <w:p w14:paraId="112E2D4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7A51AC7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分部分项工程的验收资料应当作为竣工资料的组成部分。</w:t>
      </w:r>
    </w:p>
    <w:p w14:paraId="3A10F568">
      <w:pPr>
        <w:pStyle w:val="7"/>
        <w:spacing w:before="0" w:beforeAutospacing="0" w:after="0" w:afterAutospacing="0" w:line="360" w:lineRule="auto"/>
        <w:ind w:firstLine="422" w:firstLineChars="200"/>
        <w:rPr>
          <w:color w:val="auto"/>
          <w:sz w:val="21"/>
          <w:szCs w:val="21"/>
        </w:rPr>
      </w:pPr>
      <w:bookmarkStart w:id="643" w:name="_Toc532377276"/>
      <w:bookmarkStart w:id="644" w:name="_Toc351203588"/>
      <w:bookmarkStart w:id="645" w:name="_Toc337558806"/>
      <w:r>
        <w:rPr>
          <w:rFonts w:hint="eastAsia"/>
          <w:color w:val="auto"/>
          <w:sz w:val="21"/>
          <w:szCs w:val="21"/>
        </w:rPr>
        <w:t>13.2竣工验收</w:t>
      </w:r>
      <w:bookmarkEnd w:id="643"/>
      <w:bookmarkEnd w:id="644"/>
    </w:p>
    <w:bookmarkEnd w:id="641"/>
    <w:bookmarkEnd w:id="642"/>
    <w:bookmarkEnd w:id="645"/>
    <w:p w14:paraId="03FB31F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13.2.1竣工验收条件</w:t>
      </w:r>
    </w:p>
    <w:p w14:paraId="096E825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工程具备以下条件的，承包人可以申请竣工验收：</w:t>
      </w:r>
    </w:p>
    <w:p w14:paraId="32A74C7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（1）除发包人同意的甩项工作和缺陷修补工作外，合同范围内的全部工程以及有关工作，包括合同要求的试验、试运行以及检验均已完成，并符合合同要求；</w:t>
      </w:r>
    </w:p>
    <w:p w14:paraId="43CE01B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（2）已按合同约定编制了甩项工作和缺陷修补工作清单以及相应的施工计划；</w:t>
      </w:r>
    </w:p>
    <w:p w14:paraId="57C6A2C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（3）已按合同约定的内容和份数备齐竣工资料。</w:t>
      </w:r>
    </w:p>
    <w:p w14:paraId="63D0A46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13.2.2竣工验收程序</w:t>
      </w:r>
    </w:p>
    <w:p w14:paraId="308D8C3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除专用合同条款另有约定外，承包人申请竣工验收的，应当按照以下程序进行：</w:t>
      </w:r>
    </w:p>
    <w:p w14:paraId="0F03A26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2074D0F">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335C5C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（3）竣工验收合格的，发包人应在验收合格后14天内向承包人签发工程接收证书。发包人无正当理由逾期不颁发工程接收证书的，自验收合格后第15天起视为已颁发工程接收证书。</w:t>
      </w:r>
    </w:p>
    <w:p w14:paraId="038E13E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6FA813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9F2ABF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2FF89CA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13.2.3竣工日期</w:t>
      </w:r>
    </w:p>
    <w:p w14:paraId="46D8F44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646" w:name="#go14"/>
      <w:bookmarkEnd w:id="646"/>
      <w:r>
        <w:rPr>
          <w:rFonts w:hint="eastAsia" w:ascii="宋体" w:hAnsi="宋体"/>
          <w:color w:val="auto"/>
          <w:kern w:val="0"/>
          <w:szCs w:val="21"/>
        </w:rPr>
        <w:t>收申请报告的日期为实际竣工日期；工程未经竣工验收，发包人擅自使用的，以转移占有工程之日为实际竣工日期。</w:t>
      </w:r>
    </w:p>
    <w:p w14:paraId="0BBBD2B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13.2.4 拒绝接收全部或部分工程</w:t>
      </w:r>
    </w:p>
    <w:p w14:paraId="658E497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0DBD53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13.2.5 移交、接收全部与部分工程</w:t>
      </w:r>
    </w:p>
    <w:p w14:paraId="04485E9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除专用合同条款另有约定外，合同当事人应当在颁发工程接收证书后7天内完成工程的移交。</w:t>
      </w:r>
    </w:p>
    <w:p w14:paraId="222D7F1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01B1864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3201AB43">
      <w:pPr>
        <w:pStyle w:val="7"/>
        <w:spacing w:before="0" w:beforeAutospacing="0" w:after="0" w:afterAutospacing="0" w:line="360" w:lineRule="auto"/>
        <w:ind w:firstLine="422" w:firstLineChars="200"/>
        <w:rPr>
          <w:color w:val="auto"/>
          <w:sz w:val="21"/>
          <w:szCs w:val="21"/>
        </w:rPr>
      </w:pPr>
      <w:bookmarkStart w:id="647" w:name="_Toc532377277"/>
      <w:bookmarkStart w:id="648" w:name="_Toc351203589"/>
      <w:bookmarkStart w:id="649" w:name="_Toc296503111"/>
      <w:bookmarkStart w:id="650" w:name="_Toc296346612"/>
      <w:bookmarkStart w:id="651" w:name="_Toc337558807"/>
      <w:r>
        <w:rPr>
          <w:rFonts w:hint="eastAsia"/>
          <w:color w:val="auto"/>
          <w:sz w:val="21"/>
          <w:szCs w:val="21"/>
        </w:rPr>
        <w:t>13.3工程试车</w:t>
      </w:r>
      <w:bookmarkEnd w:id="647"/>
      <w:bookmarkEnd w:id="648"/>
    </w:p>
    <w:bookmarkEnd w:id="649"/>
    <w:bookmarkEnd w:id="650"/>
    <w:bookmarkEnd w:id="651"/>
    <w:p w14:paraId="766AE68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13.3.1试车程序</w:t>
      </w:r>
    </w:p>
    <w:p w14:paraId="11E516F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工程需要试车的，除专用合同条款另有约定外，试车内容应与承包人承包范围相一致，试车费用由承包人承担。工程试车应按如下程序进行：</w:t>
      </w:r>
    </w:p>
    <w:p w14:paraId="160B1A6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2C36B3D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A13F36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1958C7F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13.3.2 试车中的责任</w:t>
      </w:r>
    </w:p>
    <w:p w14:paraId="71A1E14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5745B3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39841F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13.3.3 投料试车</w:t>
      </w:r>
    </w:p>
    <w:p w14:paraId="41FA0F4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如需进行投料试车的，发包人应在工程竣工验收后组织投料试车。发包人要求在工程竣工验收前进行或需要承包人配合时，应征得承包人同意，并在专用合同条款中约定有关事项。</w:t>
      </w:r>
    </w:p>
    <w:p w14:paraId="0C384CED">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8397599">
      <w:pPr>
        <w:pStyle w:val="7"/>
        <w:spacing w:before="0" w:beforeAutospacing="0" w:after="0" w:afterAutospacing="0" w:line="360" w:lineRule="auto"/>
        <w:ind w:firstLine="422" w:firstLineChars="200"/>
        <w:rPr>
          <w:color w:val="auto"/>
          <w:sz w:val="21"/>
          <w:szCs w:val="21"/>
        </w:rPr>
      </w:pPr>
      <w:bookmarkStart w:id="652" w:name="_Toc532377278"/>
      <w:r>
        <w:rPr>
          <w:rFonts w:hint="eastAsia"/>
          <w:color w:val="auto"/>
          <w:sz w:val="21"/>
          <w:szCs w:val="21"/>
        </w:rPr>
        <w:t>13.4提前交付单位工程的验收</w:t>
      </w:r>
      <w:bookmarkEnd w:id="652"/>
    </w:p>
    <w:p w14:paraId="24D6EAD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13.4.1 发包人需要在工程竣工前使用单位工程的，或承包人提出提前交付已经竣工的单位工程且经发包人同意的，可进行单位工程验收，验收的程序按照第13.2款〔竣工验收〕的约定进行。</w:t>
      </w:r>
    </w:p>
    <w:p w14:paraId="460DE99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63EA521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13.4.2 发包人要求在工程竣工前交付单位工程，由此导致承包人费用增加和（或）工期延误的，由发包人承担由此增加的费用和（或）延误的工期，并支付承包人合理的利润。</w:t>
      </w:r>
    </w:p>
    <w:p w14:paraId="58C0F23E">
      <w:pPr>
        <w:pStyle w:val="7"/>
        <w:spacing w:before="0" w:beforeAutospacing="0" w:after="0" w:afterAutospacing="0" w:line="360" w:lineRule="auto"/>
        <w:ind w:firstLine="422" w:firstLineChars="200"/>
        <w:rPr>
          <w:color w:val="auto"/>
          <w:sz w:val="21"/>
          <w:szCs w:val="21"/>
        </w:rPr>
      </w:pPr>
      <w:bookmarkStart w:id="653" w:name="_Toc351203591"/>
      <w:bookmarkStart w:id="654" w:name="_Toc532377279"/>
      <w:r>
        <w:rPr>
          <w:rFonts w:hint="eastAsia"/>
          <w:color w:val="auto"/>
          <w:sz w:val="21"/>
          <w:szCs w:val="21"/>
        </w:rPr>
        <w:t>13.5 施工期运行</w:t>
      </w:r>
      <w:bookmarkEnd w:id="653"/>
      <w:bookmarkEnd w:id="654"/>
    </w:p>
    <w:p w14:paraId="6D8FD22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9D6656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13.5.2 在施工期运行中发现工程或工程设备损坏或存在缺陷的，由承包人按第15.2款〔缺陷责任期〕约定进行修复。</w:t>
      </w:r>
    </w:p>
    <w:p w14:paraId="039C6695">
      <w:pPr>
        <w:pStyle w:val="7"/>
        <w:spacing w:before="0" w:beforeAutospacing="0" w:after="0" w:afterAutospacing="0" w:line="360" w:lineRule="auto"/>
        <w:ind w:firstLine="422" w:firstLineChars="200"/>
        <w:rPr>
          <w:color w:val="auto"/>
          <w:sz w:val="21"/>
          <w:szCs w:val="21"/>
        </w:rPr>
      </w:pPr>
      <w:bookmarkStart w:id="655" w:name="_Toc296346613"/>
      <w:bookmarkStart w:id="656" w:name="_Toc296503112"/>
      <w:bookmarkStart w:id="657" w:name="_Toc532377280"/>
      <w:bookmarkStart w:id="658" w:name="_Toc351203592"/>
      <w:bookmarkStart w:id="659" w:name="_Toc337558809"/>
      <w:r>
        <w:rPr>
          <w:rFonts w:hint="eastAsia"/>
          <w:color w:val="auto"/>
          <w:sz w:val="21"/>
          <w:szCs w:val="21"/>
        </w:rPr>
        <w:t>13.6 竣工退</w:t>
      </w:r>
      <w:bookmarkEnd w:id="655"/>
      <w:bookmarkEnd w:id="656"/>
      <w:r>
        <w:rPr>
          <w:rFonts w:hint="eastAsia"/>
          <w:color w:val="auto"/>
          <w:sz w:val="21"/>
          <w:szCs w:val="21"/>
        </w:rPr>
        <w:t>场</w:t>
      </w:r>
      <w:bookmarkEnd w:id="657"/>
      <w:bookmarkEnd w:id="658"/>
    </w:p>
    <w:bookmarkEnd w:id="659"/>
    <w:p w14:paraId="20280819">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13.6.1 竣工退场</w:t>
      </w:r>
    </w:p>
    <w:p w14:paraId="5854BB8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颁发工程接收证书后，承包人应按以下要求对施工现场进行清理：</w:t>
      </w:r>
    </w:p>
    <w:p w14:paraId="7E1256F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（1）施工现场内残留的垃圾已全部清除出场；</w:t>
      </w:r>
    </w:p>
    <w:p w14:paraId="402775F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（2）临时工程已拆除，场地已进行清理、平整或复原；</w:t>
      </w:r>
    </w:p>
    <w:p w14:paraId="65AF4D7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（3）按合同约定应撤离的人员、承包人施工设备和剩余的材料，包括废弃的施工设备和材料，已按计划撤离施工现场；</w:t>
      </w:r>
    </w:p>
    <w:p w14:paraId="3C515AC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（4）施工现场周边及其附近道路、河道的施工堆积物，已全部清理；</w:t>
      </w:r>
    </w:p>
    <w:p w14:paraId="0751C744">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（5）施工现场其他场地清理工作已全部完成。</w:t>
      </w:r>
    </w:p>
    <w:p w14:paraId="140A3A18">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1BA8FC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13.6.2 地表还原</w:t>
      </w:r>
    </w:p>
    <w:p w14:paraId="5396A12B">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6DBD354B">
      <w:pPr>
        <w:pStyle w:val="6"/>
        <w:keepNext/>
        <w:keepLines/>
        <w:spacing w:before="156" w:beforeLines="50" w:beforeAutospacing="0" w:after="156" w:afterLines="50" w:afterAutospacing="0" w:line="360" w:lineRule="auto"/>
        <w:jc w:val="both"/>
        <w:rPr>
          <w:bCs w:val="0"/>
          <w:color w:val="auto"/>
          <w:kern w:val="2"/>
          <w:sz w:val="21"/>
          <w:szCs w:val="21"/>
        </w:rPr>
      </w:pPr>
      <w:bookmarkStart w:id="660" w:name="_Toc351203593"/>
      <w:bookmarkStart w:id="661" w:name="_Toc532377281"/>
      <w:bookmarkStart w:id="662" w:name="_Toc532375600"/>
      <w:bookmarkStart w:id="663" w:name="_Toc337558810"/>
      <w:bookmarkStart w:id="664" w:name="_Toc296346614"/>
      <w:bookmarkStart w:id="665" w:name="_Toc296503113"/>
      <w:r>
        <w:rPr>
          <w:rFonts w:hint="eastAsia"/>
          <w:color w:val="auto"/>
          <w:kern w:val="2"/>
          <w:sz w:val="21"/>
          <w:szCs w:val="21"/>
        </w:rPr>
        <w:t>14. 竣工结算</w:t>
      </w:r>
      <w:bookmarkEnd w:id="660"/>
      <w:bookmarkEnd w:id="661"/>
      <w:bookmarkEnd w:id="662"/>
    </w:p>
    <w:bookmarkEnd w:id="663"/>
    <w:p w14:paraId="3E85F237">
      <w:pPr>
        <w:pStyle w:val="7"/>
        <w:spacing w:before="0" w:beforeAutospacing="0" w:after="0" w:afterAutospacing="0" w:line="360" w:lineRule="auto"/>
        <w:ind w:firstLine="422" w:firstLineChars="200"/>
        <w:rPr>
          <w:color w:val="auto"/>
          <w:sz w:val="21"/>
          <w:szCs w:val="21"/>
        </w:rPr>
      </w:pPr>
      <w:bookmarkStart w:id="666" w:name="_Toc351203594"/>
      <w:bookmarkStart w:id="667" w:name="_Toc532377282"/>
      <w:bookmarkStart w:id="668" w:name="_Toc337558811"/>
      <w:r>
        <w:rPr>
          <w:rFonts w:hint="eastAsia"/>
          <w:color w:val="auto"/>
          <w:sz w:val="21"/>
          <w:szCs w:val="21"/>
        </w:rPr>
        <w:t>14.1 竣工结算申请</w:t>
      </w:r>
      <w:bookmarkEnd w:id="666"/>
      <w:bookmarkEnd w:id="667"/>
    </w:p>
    <w:bookmarkEnd w:id="668"/>
    <w:p w14:paraId="62E2B20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0B352B7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除专用合同条款另有约定外，竣工结算申请单应包括以下内容：</w:t>
      </w:r>
    </w:p>
    <w:p w14:paraId="19BDBA5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（1）竣工结算合同价格；</w:t>
      </w:r>
    </w:p>
    <w:p w14:paraId="05888B0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（2）发包人已支付承包人的款项；</w:t>
      </w:r>
    </w:p>
    <w:p w14:paraId="0DB6608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（3）应扣留的质量保证金。已缴纳履约保证金的或提供其他工程质量担保方式的除外； </w:t>
      </w:r>
    </w:p>
    <w:p w14:paraId="53D20EB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（4）发包人应支付承包人的合同价款。</w:t>
      </w:r>
    </w:p>
    <w:p w14:paraId="52E27348">
      <w:pPr>
        <w:pStyle w:val="7"/>
        <w:spacing w:before="0" w:beforeAutospacing="0" w:after="0" w:afterAutospacing="0" w:line="360" w:lineRule="auto"/>
        <w:ind w:firstLine="422" w:firstLineChars="200"/>
        <w:rPr>
          <w:color w:val="auto"/>
          <w:sz w:val="21"/>
          <w:szCs w:val="21"/>
        </w:rPr>
      </w:pPr>
      <w:bookmarkStart w:id="669" w:name="_Toc532377283"/>
      <w:bookmarkStart w:id="670" w:name="_Toc351203595"/>
      <w:bookmarkStart w:id="671" w:name="_Toc337558812"/>
      <w:r>
        <w:rPr>
          <w:rFonts w:hint="eastAsia"/>
          <w:color w:val="auto"/>
          <w:sz w:val="21"/>
          <w:szCs w:val="21"/>
        </w:rPr>
        <w:t>14.2 竣工结算审核</w:t>
      </w:r>
      <w:bookmarkEnd w:id="669"/>
      <w:bookmarkEnd w:id="670"/>
    </w:p>
    <w:bookmarkEnd w:id="671"/>
    <w:p w14:paraId="72F269C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8E524A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5990FB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E3F6F8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3F158D4">
      <w:pPr>
        <w:pStyle w:val="7"/>
        <w:spacing w:before="0" w:beforeAutospacing="0" w:after="0" w:afterAutospacing="0" w:line="360" w:lineRule="auto"/>
        <w:ind w:firstLine="422" w:firstLineChars="200"/>
        <w:rPr>
          <w:color w:val="auto"/>
          <w:sz w:val="21"/>
          <w:szCs w:val="21"/>
        </w:rPr>
      </w:pPr>
      <w:bookmarkStart w:id="672" w:name="_Toc351203596"/>
      <w:bookmarkStart w:id="673" w:name="_Toc532377284"/>
      <w:bookmarkStart w:id="674" w:name="_Toc337558813"/>
      <w:r>
        <w:rPr>
          <w:rFonts w:hint="eastAsia"/>
          <w:color w:val="auto"/>
          <w:sz w:val="21"/>
          <w:szCs w:val="21"/>
        </w:rPr>
        <w:t>14.3 甩项竣工协议</w:t>
      </w:r>
      <w:bookmarkEnd w:id="672"/>
      <w:bookmarkEnd w:id="673"/>
    </w:p>
    <w:bookmarkEnd w:id="674"/>
    <w:p w14:paraId="3A661AE2">
      <w:pPr>
        <w:autoSpaceDE w:val="0"/>
        <w:autoSpaceDN w:val="0"/>
        <w:spacing w:line="360" w:lineRule="auto"/>
        <w:ind w:firstLine="548" w:firstLineChars="196"/>
        <w:jc w:val="left"/>
        <w:rPr>
          <w:rFonts w:ascii="宋体" w:hAnsi="宋体"/>
          <w:color w:val="auto"/>
          <w:kern w:val="0"/>
          <w:szCs w:val="21"/>
        </w:rPr>
      </w:pPr>
      <w:r>
        <w:rPr>
          <w:rFonts w:hint="eastAsia" w:ascii="宋体" w:hAnsi="宋体"/>
          <w:color w:val="auto"/>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7EDB48D8">
      <w:pPr>
        <w:pStyle w:val="7"/>
        <w:spacing w:before="0" w:beforeAutospacing="0" w:after="0" w:afterAutospacing="0" w:line="360" w:lineRule="auto"/>
        <w:ind w:firstLine="422" w:firstLineChars="200"/>
        <w:rPr>
          <w:color w:val="auto"/>
          <w:sz w:val="21"/>
          <w:szCs w:val="21"/>
        </w:rPr>
      </w:pPr>
      <w:bookmarkStart w:id="675" w:name="_Toc532377285"/>
      <w:bookmarkStart w:id="676" w:name="_Toc351203597"/>
      <w:bookmarkStart w:id="677" w:name="_Toc337558814"/>
      <w:r>
        <w:rPr>
          <w:rFonts w:hint="eastAsia"/>
          <w:color w:val="auto"/>
          <w:sz w:val="21"/>
          <w:szCs w:val="21"/>
        </w:rPr>
        <w:t>14.4 最终结清</w:t>
      </w:r>
      <w:bookmarkEnd w:id="675"/>
      <w:bookmarkEnd w:id="676"/>
    </w:p>
    <w:bookmarkEnd w:id="677"/>
    <w:p w14:paraId="2409C3B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14.4.1 最终结清申请单</w:t>
      </w:r>
    </w:p>
    <w:p w14:paraId="6ECB3AB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（1）除专用合同条款另有约定外，承包人应在缺陷责任期终止证书颁发后7天内，按专用合同条款约定的份数向发包人提交最终结清申请单，并提供相关证明材料。</w:t>
      </w:r>
    </w:p>
    <w:p w14:paraId="6F0223B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除专用合同条款另有约定外，最终结清申请单应列明质量保证金、应扣除的质量保证金、缺陷责任期内发生的增减费用。</w:t>
      </w:r>
    </w:p>
    <w:p w14:paraId="5C631A9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（2）发包人对最终结清申请单内容有异议的，有权要求承包人进行修正和提供补充资料，承包人应向发包人提交修正后的最终结清申请单。</w:t>
      </w:r>
    </w:p>
    <w:p w14:paraId="4FE55AD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14.4.2 最终结清证书和支付</w:t>
      </w:r>
    </w:p>
    <w:p w14:paraId="72FCDF5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F3006D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068643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（3）承包人对发包人颁发的最终结清证书有异议的，按第20条〔争议解决〕的约定办理。</w:t>
      </w:r>
    </w:p>
    <w:p w14:paraId="6390C505">
      <w:pPr>
        <w:pStyle w:val="6"/>
        <w:keepNext/>
        <w:keepLines/>
        <w:spacing w:before="156" w:beforeLines="50" w:beforeAutospacing="0" w:after="156" w:afterLines="50" w:afterAutospacing="0" w:line="360" w:lineRule="auto"/>
        <w:jc w:val="both"/>
        <w:rPr>
          <w:bCs w:val="0"/>
          <w:color w:val="auto"/>
          <w:kern w:val="2"/>
          <w:sz w:val="21"/>
          <w:szCs w:val="21"/>
        </w:rPr>
      </w:pPr>
      <w:bookmarkStart w:id="678" w:name="_Toc532375601"/>
      <w:bookmarkStart w:id="679" w:name="_Toc351203598"/>
      <w:bookmarkStart w:id="680" w:name="_Toc532377286"/>
      <w:bookmarkStart w:id="681" w:name="_Toc337558815"/>
      <w:r>
        <w:rPr>
          <w:rFonts w:hint="eastAsia"/>
          <w:color w:val="auto"/>
          <w:kern w:val="2"/>
          <w:sz w:val="21"/>
          <w:szCs w:val="21"/>
        </w:rPr>
        <w:t>15. 缺陷责任与保修</w:t>
      </w:r>
      <w:bookmarkEnd w:id="678"/>
      <w:bookmarkEnd w:id="679"/>
      <w:bookmarkEnd w:id="680"/>
    </w:p>
    <w:bookmarkEnd w:id="664"/>
    <w:bookmarkEnd w:id="665"/>
    <w:bookmarkEnd w:id="681"/>
    <w:p w14:paraId="743C6141">
      <w:pPr>
        <w:pStyle w:val="7"/>
        <w:spacing w:before="0" w:beforeAutospacing="0" w:after="0" w:afterAutospacing="0" w:line="360" w:lineRule="auto"/>
        <w:ind w:firstLine="422" w:firstLineChars="200"/>
        <w:rPr>
          <w:color w:val="auto"/>
          <w:sz w:val="21"/>
          <w:szCs w:val="21"/>
        </w:rPr>
      </w:pPr>
      <w:bookmarkStart w:id="682" w:name="_Toc532377287"/>
      <w:bookmarkStart w:id="683" w:name="_Toc351203599"/>
      <w:bookmarkStart w:id="684" w:name="_Toc337558816"/>
      <w:bookmarkStart w:id="685" w:name="_Toc296346615"/>
      <w:bookmarkStart w:id="686" w:name="_Toc296503114"/>
      <w:r>
        <w:rPr>
          <w:rFonts w:hint="eastAsia"/>
          <w:color w:val="auto"/>
          <w:sz w:val="21"/>
          <w:szCs w:val="21"/>
        </w:rPr>
        <w:t>15.1 工程保修的原则</w:t>
      </w:r>
      <w:bookmarkEnd w:id="682"/>
      <w:bookmarkEnd w:id="683"/>
    </w:p>
    <w:bookmarkEnd w:id="684"/>
    <w:p w14:paraId="17C3654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在工程移交发包人后，因承包人原因产生的质量缺陷，承包人应承担质量缺陷责任和保修义务。缺陷责任期届满，承包人仍应按合同约定的工程各部位保修年限承担保修义务。</w:t>
      </w:r>
    </w:p>
    <w:p w14:paraId="5AE0856C">
      <w:pPr>
        <w:pStyle w:val="7"/>
        <w:spacing w:before="0" w:beforeAutospacing="0" w:after="0" w:afterAutospacing="0" w:line="360" w:lineRule="auto"/>
        <w:ind w:firstLine="422" w:firstLineChars="200"/>
        <w:rPr>
          <w:color w:val="auto"/>
          <w:sz w:val="21"/>
          <w:szCs w:val="21"/>
        </w:rPr>
      </w:pPr>
      <w:bookmarkStart w:id="687" w:name="_Toc532377288"/>
      <w:bookmarkStart w:id="688" w:name="_Toc351203600"/>
      <w:bookmarkStart w:id="689" w:name="_Toc337558817"/>
      <w:r>
        <w:rPr>
          <w:rFonts w:hint="eastAsia"/>
          <w:color w:val="auto"/>
          <w:sz w:val="21"/>
          <w:szCs w:val="21"/>
        </w:rPr>
        <w:t>15.2 缺陷责任期</w:t>
      </w:r>
      <w:bookmarkEnd w:id="685"/>
      <w:bookmarkEnd w:id="686"/>
      <w:bookmarkEnd w:id="687"/>
      <w:bookmarkEnd w:id="688"/>
    </w:p>
    <w:bookmarkEnd w:id="689"/>
    <w:p w14:paraId="6A584BE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15.2.1 缺陷责任期从工程通过竣工验收之日起计算，合同当事人应在专用合同条款约定缺陷责任期的具体期限，但该期限最长不超过24个月。</w:t>
      </w:r>
    </w:p>
    <w:p w14:paraId="68EC3C2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2465FB2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2DEFBF9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由他人原因造成的缺陷，发包人负责组织维修，承包人不承担费用，且发包人不得从保证金中扣除费用。</w:t>
      </w:r>
    </w:p>
    <w:p w14:paraId="0CF0026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15.2.3 任何一项缺陷或损坏修复后，经检查证明其影响了工程或工程设备的使用性能，承包人应重新进行合同约定的试验和试运行，试验和试运行的全部费用应由责任方承担。</w:t>
      </w:r>
    </w:p>
    <w:p w14:paraId="23797B4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CBA02A2">
      <w:pPr>
        <w:pStyle w:val="7"/>
        <w:spacing w:before="0" w:beforeAutospacing="0" w:after="0" w:afterAutospacing="0" w:line="360" w:lineRule="auto"/>
        <w:ind w:firstLine="422" w:firstLineChars="200"/>
        <w:rPr>
          <w:color w:val="auto"/>
          <w:sz w:val="21"/>
          <w:szCs w:val="21"/>
        </w:rPr>
      </w:pPr>
      <w:bookmarkStart w:id="690" w:name="_Toc532377289"/>
      <w:bookmarkStart w:id="691" w:name="_Toc351203601"/>
      <w:bookmarkStart w:id="692" w:name="_Toc337558818"/>
      <w:bookmarkStart w:id="693" w:name="_Toc296346616"/>
      <w:bookmarkStart w:id="694" w:name="_Toc296503115"/>
      <w:r>
        <w:rPr>
          <w:rFonts w:hint="eastAsia"/>
          <w:color w:val="auto"/>
          <w:sz w:val="21"/>
          <w:szCs w:val="21"/>
        </w:rPr>
        <w:t>15.3 质量保证金</w:t>
      </w:r>
      <w:bookmarkEnd w:id="690"/>
      <w:bookmarkEnd w:id="691"/>
    </w:p>
    <w:bookmarkEnd w:id="692"/>
    <w:p w14:paraId="15416C0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经合同当事人协商一致扣留质量保证金的，应在专用合同条款中予以明确。</w:t>
      </w:r>
    </w:p>
    <w:p w14:paraId="2B2EC04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在工程项目竣工前，承包人已经提供履约担保的，发包人不得同时预留工程质量保证金。</w:t>
      </w:r>
    </w:p>
    <w:p w14:paraId="67070B0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15.3.1 承包人提供质量保证金的方式</w:t>
      </w:r>
    </w:p>
    <w:p w14:paraId="4D9543C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承包人提供质量保证金有以下三种方式：</w:t>
      </w:r>
    </w:p>
    <w:p w14:paraId="4348775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（1）质量保证金保函；</w:t>
      </w:r>
    </w:p>
    <w:p w14:paraId="0730D7B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（2）相应比例的工程款；</w:t>
      </w:r>
    </w:p>
    <w:p w14:paraId="2193909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（3）双方约定的其他方式。</w:t>
      </w:r>
    </w:p>
    <w:p w14:paraId="7F3EDF3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除专用合同条款另有约定外，质量保证金原则上采用上述第（1）种方式。</w:t>
      </w:r>
    </w:p>
    <w:p w14:paraId="2C18A19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15.3.2 质量保证金的扣留</w:t>
      </w:r>
    </w:p>
    <w:p w14:paraId="5314300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质量保证金的扣留有以下三种方式：</w:t>
      </w:r>
    </w:p>
    <w:p w14:paraId="7141B43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（1）在支付工程进度款时逐次扣留，在此情形下，质量保证金的计算基数不包括预付款的支付、扣回以及价格调整的金额；</w:t>
      </w:r>
    </w:p>
    <w:p w14:paraId="2B42DBF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（2）工</w:t>
      </w:r>
      <w:bookmarkStart w:id="695" w:name="#go6"/>
      <w:bookmarkEnd w:id="695"/>
      <w:r>
        <w:rPr>
          <w:rFonts w:hint="eastAsia" w:ascii="宋体" w:hAnsi="宋体"/>
          <w:color w:val="auto"/>
          <w:kern w:val="0"/>
          <w:szCs w:val="21"/>
        </w:rPr>
        <w:t>程竣工结算时一次性扣留质量保证金；</w:t>
      </w:r>
    </w:p>
    <w:p w14:paraId="0A484DB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（3）双方约定的其他扣留方式。</w:t>
      </w:r>
    </w:p>
    <w:p w14:paraId="074C469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除专用合同条款另有约定外，质量保证金的扣留原则上采用上述第（1）种方式。</w:t>
      </w:r>
    </w:p>
    <w:p w14:paraId="3DE8E23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w:t>
      </w:r>
      <w:bookmarkStart w:id="696" w:name="#go4"/>
      <w:bookmarkEnd w:id="696"/>
      <w:r>
        <w:rPr>
          <w:rFonts w:hint="eastAsia" w:ascii="宋体" w:hAnsi="宋体"/>
          <w:color w:val="auto"/>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1942BEF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发包人在退还质量保证金的同时按照中国人民银行发布的同期同类贷款基准利率支付利息。</w:t>
      </w:r>
    </w:p>
    <w:p w14:paraId="323B432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15.3.3 质量保证金的退还</w:t>
      </w:r>
    </w:p>
    <w:p w14:paraId="731C92A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缺陷责任期内，承包人认真履行合同约定的责任，到期后，承包人可向发包人申请返还保证金。</w:t>
      </w:r>
    </w:p>
    <w:p w14:paraId="068A520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F55DD9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发包人和承包人对保证金预留、返还以及工程维修质量、费用有争议的，按合同第20条约定的争议和纠纷解决程序处理。</w:t>
      </w:r>
    </w:p>
    <w:p w14:paraId="5E8C1CEC">
      <w:pPr>
        <w:pStyle w:val="7"/>
        <w:spacing w:before="0" w:beforeAutospacing="0" w:after="0" w:afterAutospacing="0" w:line="360" w:lineRule="auto"/>
        <w:ind w:firstLine="422" w:firstLineChars="200"/>
        <w:rPr>
          <w:color w:val="auto"/>
          <w:sz w:val="21"/>
          <w:szCs w:val="21"/>
        </w:rPr>
      </w:pPr>
      <w:bookmarkStart w:id="697" w:name="_Toc351203602"/>
      <w:bookmarkStart w:id="698" w:name="_Toc532377290"/>
      <w:bookmarkStart w:id="699" w:name="_Toc337558819"/>
      <w:r>
        <w:rPr>
          <w:rFonts w:hint="eastAsia"/>
          <w:color w:val="auto"/>
          <w:sz w:val="21"/>
          <w:szCs w:val="21"/>
        </w:rPr>
        <w:t>15.4 保修</w:t>
      </w:r>
      <w:bookmarkEnd w:id="697"/>
      <w:bookmarkEnd w:id="698"/>
    </w:p>
    <w:bookmarkEnd w:id="693"/>
    <w:bookmarkEnd w:id="694"/>
    <w:bookmarkEnd w:id="699"/>
    <w:p w14:paraId="2414BE5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15.4.1保修责任</w:t>
      </w:r>
    </w:p>
    <w:p w14:paraId="286B521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43F1CB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发包人未经竣工验收擅自使用工程的，保修期自转移占有之日起算。</w:t>
      </w:r>
    </w:p>
    <w:p w14:paraId="171922B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15.4.2 修复费用</w:t>
      </w:r>
    </w:p>
    <w:p w14:paraId="194DE19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保修期内，修复的费用按照以下约定处理：</w:t>
      </w:r>
    </w:p>
    <w:p w14:paraId="5CAE1E7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（1）保修期内，因承包人原因造成工程的缺陷、损坏，承包人应负责修复，并承担修复的费用以及因工程的缺陷、损坏造成的人身伤害和财产损失；</w:t>
      </w:r>
    </w:p>
    <w:p w14:paraId="6C8960F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（2）保修期内，因发包人使用不当造成工程的缺陷、损坏，可以委托承包人修复，但发包人应承担修复的费用，并支付承包人合理利润；</w:t>
      </w:r>
    </w:p>
    <w:p w14:paraId="4D46B01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（3）因其他原因造成工程的缺陷、损坏，可以委托承包人修复，发包人应承担修复的费用，并支付承包人合理的利润，因工程的缺陷、损坏造成的人身伤害和财产损失由责任方承担。</w:t>
      </w:r>
    </w:p>
    <w:p w14:paraId="1A086F0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15.4.3 修复通知</w:t>
      </w:r>
    </w:p>
    <w:p w14:paraId="15EA99E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87E658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15.4.4 未能修复</w:t>
      </w:r>
    </w:p>
    <w:p w14:paraId="5130D7B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4B3499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15.4.5 承包人出入权</w:t>
      </w:r>
    </w:p>
    <w:p w14:paraId="572DE1A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C39F72F">
      <w:pPr>
        <w:pStyle w:val="6"/>
        <w:keepNext/>
        <w:keepLines/>
        <w:spacing w:before="156" w:beforeLines="50" w:beforeAutospacing="0" w:after="156" w:afterLines="50" w:afterAutospacing="0" w:line="360" w:lineRule="auto"/>
        <w:jc w:val="both"/>
        <w:rPr>
          <w:bCs w:val="0"/>
          <w:color w:val="auto"/>
          <w:kern w:val="2"/>
          <w:sz w:val="21"/>
          <w:szCs w:val="21"/>
        </w:rPr>
      </w:pPr>
      <w:bookmarkStart w:id="700" w:name="_Toc532377291"/>
      <w:bookmarkStart w:id="701" w:name="_Toc532375602"/>
      <w:bookmarkStart w:id="702" w:name="_Toc351203603"/>
      <w:bookmarkStart w:id="703" w:name="_Toc337558820"/>
      <w:r>
        <w:rPr>
          <w:rFonts w:hint="eastAsia"/>
          <w:color w:val="auto"/>
          <w:kern w:val="2"/>
          <w:sz w:val="21"/>
          <w:szCs w:val="21"/>
        </w:rPr>
        <w:t>16. 违约</w:t>
      </w:r>
      <w:bookmarkEnd w:id="700"/>
      <w:bookmarkEnd w:id="701"/>
      <w:bookmarkEnd w:id="702"/>
    </w:p>
    <w:bookmarkEnd w:id="703"/>
    <w:p w14:paraId="0764A561">
      <w:pPr>
        <w:pStyle w:val="7"/>
        <w:spacing w:before="0" w:beforeAutospacing="0" w:after="0" w:afterAutospacing="0" w:line="360" w:lineRule="auto"/>
        <w:ind w:firstLine="422" w:firstLineChars="200"/>
        <w:rPr>
          <w:color w:val="auto"/>
          <w:sz w:val="21"/>
          <w:szCs w:val="21"/>
        </w:rPr>
      </w:pPr>
      <w:bookmarkStart w:id="704" w:name="_Toc296503129"/>
      <w:bookmarkStart w:id="705" w:name="_Toc296346630"/>
      <w:bookmarkStart w:id="706" w:name="_Toc532377292"/>
      <w:bookmarkStart w:id="707" w:name="_Toc351203604"/>
      <w:bookmarkStart w:id="708" w:name="_Toc337558821"/>
      <w:r>
        <w:rPr>
          <w:rFonts w:hint="eastAsia"/>
          <w:color w:val="auto"/>
          <w:sz w:val="21"/>
          <w:szCs w:val="21"/>
        </w:rPr>
        <w:t>16.1 发</w:t>
      </w:r>
      <w:bookmarkEnd w:id="704"/>
      <w:bookmarkEnd w:id="705"/>
      <w:r>
        <w:rPr>
          <w:rFonts w:hint="eastAsia"/>
          <w:color w:val="auto"/>
          <w:sz w:val="21"/>
          <w:szCs w:val="21"/>
        </w:rPr>
        <w:t>包人违约</w:t>
      </w:r>
      <w:bookmarkEnd w:id="706"/>
      <w:bookmarkEnd w:id="707"/>
    </w:p>
    <w:bookmarkEnd w:id="708"/>
    <w:p w14:paraId="048EBE1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16.1.1 发包人违约的情形</w:t>
      </w:r>
    </w:p>
    <w:p w14:paraId="0B3B56F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在合同履行过程中发生的下列情形，属于发包人违约：</w:t>
      </w:r>
    </w:p>
    <w:p w14:paraId="6F1A58B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（1）因发包人原因未能在计划开工日期前7天内下达开工通知的；</w:t>
      </w:r>
    </w:p>
    <w:p w14:paraId="1293360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（2）因发包人原因未能按合同约定支付合同价款的；</w:t>
      </w:r>
    </w:p>
    <w:p w14:paraId="08CBFFC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（3）发包人违反第10.1款〔变更的范围〕第（2）项约定，自行实施被取消的工作或转由他人实施的；</w:t>
      </w:r>
    </w:p>
    <w:p w14:paraId="398B2FC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（4）发包人提供的材料、工程设备的规格、数量或质量不符合合同约定，或因发包人原因导致交货日期延误或交货地点变更等情况的；</w:t>
      </w:r>
    </w:p>
    <w:p w14:paraId="5E9DFF2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（5）因发包人违反合同约定造成暂停施工的；</w:t>
      </w:r>
    </w:p>
    <w:p w14:paraId="656E53C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（6）发包人无正当理由没有在约定期限内发出复工指示，导致承包人无法复工的；</w:t>
      </w:r>
    </w:p>
    <w:p w14:paraId="637364C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（7）发包人明确表示或者以其行为表明不履行合同主要义务的；</w:t>
      </w:r>
    </w:p>
    <w:p w14:paraId="369693D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（8）发包人未能按照合同约定履行其他义务的。</w:t>
      </w:r>
    </w:p>
    <w:p w14:paraId="4687037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F2A9F0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16.1.2 发包人违约的责任</w:t>
      </w:r>
    </w:p>
    <w:p w14:paraId="0144A65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发包人应承担因其违约给承包人增加的费用和（或）延误的工期，并支付承包人合理的利润。此外，合同当事人可在专用合同条款中另行约定发包人违约责任的承担方式和计算方法。</w:t>
      </w:r>
    </w:p>
    <w:p w14:paraId="382C1F9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16.1.3 因发包人违约解除合同</w:t>
      </w:r>
    </w:p>
    <w:p w14:paraId="77BD42A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9D9340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16.1.4 因发包人违约解除合同后的付款</w:t>
      </w:r>
    </w:p>
    <w:p w14:paraId="03F9F48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承包人按照本款约定解除合同的，发包人应在解除合同后28天内支付下列款项，并解除履约担保：</w:t>
      </w:r>
    </w:p>
    <w:p w14:paraId="6E08224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（1）合同解除前所完成工作的价款；</w:t>
      </w:r>
    </w:p>
    <w:p w14:paraId="0A57E86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（2）承包人为工程施工订购并已付款的材料、工程设备和其他物品的价款；</w:t>
      </w:r>
    </w:p>
    <w:p w14:paraId="2D18AD2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（3）承包人撤离施工现场以及遣散承包人人员的款项；</w:t>
      </w:r>
    </w:p>
    <w:p w14:paraId="2C9C8D0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（4）按照合同约定在合同解除前应支付的违约金；</w:t>
      </w:r>
    </w:p>
    <w:p w14:paraId="6E344FA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（5）按照合同约定应当支付给承包人的其他款项；</w:t>
      </w:r>
    </w:p>
    <w:p w14:paraId="1485151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（6）按照合同约定应退还的质量保证金；</w:t>
      </w:r>
    </w:p>
    <w:p w14:paraId="71852BC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（7）因解除合同给承包人造成的损失。</w:t>
      </w:r>
    </w:p>
    <w:p w14:paraId="5FACB97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合同当事人未能就解除合同后的结清达成一致的，按照第20条〔争议解决〕的约定处理。</w:t>
      </w:r>
    </w:p>
    <w:p w14:paraId="3BB8907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承包人应妥善做好已完工程和与工程有关的已购材料、工程设备的保护和移交工作，并将施工设备和人员撤出施工现场，发包人应为承包人撤出提供必要条件。</w:t>
      </w:r>
    </w:p>
    <w:p w14:paraId="078FF265">
      <w:pPr>
        <w:pStyle w:val="7"/>
        <w:spacing w:before="0" w:beforeAutospacing="0" w:after="0" w:afterAutospacing="0" w:line="360" w:lineRule="auto"/>
        <w:ind w:firstLine="422" w:firstLineChars="200"/>
        <w:rPr>
          <w:color w:val="auto"/>
          <w:sz w:val="21"/>
          <w:szCs w:val="21"/>
        </w:rPr>
      </w:pPr>
      <w:bookmarkStart w:id="709" w:name="_Toc351203605"/>
      <w:bookmarkStart w:id="710" w:name="_Toc532377293"/>
      <w:bookmarkStart w:id="711" w:name="_Toc296346632"/>
      <w:bookmarkStart w:id="712" w:name="_Toc296503131"/>
      <w:bookmarkStart w:id="713" w:name="_Toc337558822"/>
      <w:r>
        <w:rPr>
          <w:rFonts w:hint="eastAsia"/>
          <w:color w:val="auto"/>
          <w:sz w:val="21"/>
          <w:szCs w:val="21"/>
        </w:rPr>
        <w:t>16.2 承包人违约</w:t>
      </w:r>
      <w:bookmarkEnd w:id="709"/>
      <w:bookmarkEnd w:id="710"/>
    </w:p>
    <w:bookmarkEnd w:id="711"/>
    <w:bookmarkEnd w:id="712"/>
    <w:bookmarkEnd w:id="713"/>
    <w:p w14:paraId="02617B0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16.2.1 承包人违约的情形</w:t>
      </w:r>
    </w:p>
    <w:p w14:paraId="0030F48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在合同履行过程中发生的下列情形，属于承包人违约：</w:t>
      </w:r>
    </w:p>
    <w:p w14:paraId="1C4F33B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（1）承包人违反合同约定进行转包或违法分包的；</w:t>
      </w:r>
    </w:p>
    <w:p w14:paraId="74641D5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（2）承包人违反合同约定采购和使用不合格的材料和工程设备的；</w:t>
      </w:r>
    </w:p>
    <w:p w14:paraId="51277F1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（3）因承包人原因导致工程质量不符合合同要求的； </w:t>
      </w:r>
    </w:p>
    <w:p w14:paraId="59C4816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（4）承包人违反第8.9款〔材料与设备专用要求〕的约定，未经批准，私自将已按照合同约定进入施工现场的材料或设备撤离施工现场的；</w:t>
      </w:r>
    </w:p>
    <w:p w14:paraId="5CFFA6C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（5）承包人未能按施工进度计划及时完成合同约定的工作，造成工期延误的；</w:t>
      </w:r>
    </w:p>
    <w:p w14:paraId="3FFA208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（6）承包人在缺陷责任期及保修期内，未能在合理期限对工程缺陷进行修复，或拒绝按发包人要求进行修复的；</w:t>
      </w:r>
    </w:p>
    <w:p w14:paraId="67FC49D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（7）承包人明确表示或者以其行为表明不履行合同主要义务的；</w:t>
      </w:r>
    </w:p>
    <w:p w14:paraId="2A1761D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（8）承包人未能按照合同约定履行其他义务的。</w:t>
      </w:r>
    </w:p>
    <w:p w14:paraId="2F6F69A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承包人发生除本项第（7）目约定以外的其他违约情况时，监理人可向承包人发出整改通知，要求其在指定的期限内改正。</w:t>
      </w:r>
    </w:p>
    <w:p w14:paraId="5F8640A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16.2.2 承包人违约的责任</w:t>
      </w:r>
    </w:p>
    <w:p w14:paraId="4A1CD4D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承包人应承担因其违约行为而增加的费用和（或）延误的工期。此外，合同当事人可在专用合同条款中另行约定承包人违约责任的承担方式和计算方法。</w:t>
      </w:r>
    </w:p>
    <w:p w14:paraId="18CA86F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16.2.3 因承包人违约解除合同</w:t>
      </w:r>
    </w:p>
    <w:p w14:paraId="095A7EC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35B100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16.2.4因承包人违约解除合同后的处理</w:t>
      </w:r>
    </w:p>
    <w:p w14:paraId="7C0F584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因承包人原因导致合同解除的，则合同当事人应在合同解除后28天内完成估价、付款和清算，并按以下约定执行：</w:t>
      </w:r>
    </w:p>
    <w:p w14:paraId="5378719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（1）合同解除后，按第4.4款〔商定或确定〕商定或确定承包人实际完成工作对应的合同价款，以及承包人已提供的材料、工程设备、施工设备和临时工程等的价值；</w:t>
      </w:r>
    </w:p>
    <w:p w14:paraId="3A448AE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（2）合同解除后，承包人应支付的违约金；</w:t>
      </w:r>
    </w:p>
    <w:p w14:paraId="3FF040C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（3）合同解除后，因解除合同给发包人造成的损失；</w:t>
      </w:r>
    </w:p>
    <w:p w14:paraId="5BAF4CE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（4）合同解除后，承包人应按照发包人要求和监理人的指示完成现场的清理和撤离；</w:t>
      </w:r>
    </w:p>
    <w:p w14:paraId="6869DE3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（5）发包人和承包人应在合同解除后进行清算，出具最终结清付款证书，结清全部款项。</w:t>
      </w:r>
    </w:p>
    <w:p w14:paraId="171109C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134A2AD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16.2.5采购合同权益转让</w:t>
      </w:r>
    </w:p>
    <w:p w14:paraId="3C8597E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C5E15F6">
      <w:pPr>
        <w:pStyle w:val="7"/>
        <w:spacing w:before="0" w:beforeAutospacing="0" w:after="0" w:afterAutospacing="0" w:line="360" w:lineRule="auto"/>
        <w:ind w:firstLine="422" w:firstLineChars="200"/>
        <w:rPr>
          <w:color w:val="auto"/>
          <w:sz w:val="21"/>
          <w:szCs w:val="21"/>
        </w:rPr>
      </w:pPr>
      <w:bookmarkStart w:id="714" w:name="_Toc351203606"/>
      <w:bookmarkStart w:id="715" w:name="_Toc532377294"/>
      <w:r>
        <w:rPr>
          <w:rFonts w:hint="eastAsia"/>
          <w:color w:val="auto"/>
          <w:sz w:val="21"/>
          <w:szCs w:val="21"/>
        </w:rPr>
        <w:t>16.3 第三人造成的违约</w:t>
      </w:r>
      <w:bookmarkEnd w:id="714"/>
      <w:bookmarkEnd w:id="715"/>
    </w:p>
    <w:p w14:paraId="30B6487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在履行合同过程中，一方当事人因第三人的原因造成违约的，应当向对方当事人承担违约责任。一方当事人和第三人之间的纠纷，依照法律规定或者按照约定解决。</w:t>
      </w:r>
    </w:p>
    <w:p w14:paraId="7C1D5CBC">
      <w:pPr>
        <w:pStyle w:val="6"/>
        <w:keepNext/>
        <w:keepLines/>
        <w:spacing w:before="156" w:beforeLines="50" w:beforeAutospacing="0" w:after="156" w:afterLines="50" w:afterAutospacing="0" w:line="360" w:lineRule="auto"/>
        <w:jc w:val="both"/>
        <w:rPr>
          <w:bCs w:val="0"/>
          <w:color w:val="auto"/>
          <w:kern w:val="2"/>
          <w:sz w:val="21"/>
          <w:szCs w:val="21"/>
        </w:rPr>
      </w:pPr>
      <w:bookmarkStart w:id="716" w:name="_Toc351203607"/>
      <w:bookmarkStart w:id="717" w:name="_Toc532377295"/>
      <w:bookmarkStart w:id="718" w:name="_Toc337558823"/>
      <w:bookmarkStart w:id="719" w:name="_Toc532375603"/>
      <w:bookmarkStart w:id="720" w:name="_Toc296346617"/>
      <w:bookmarkStart w:id="721" w:name="_Toc296503116"/>
      <w:r>
        <w:rPr>
          <w:rFonts w:hint="eastAsia"/>
          <w:color w:val="auto"/>
          <w:kern w:val="2"/>
          <w:sz w:val="21"/>
          <w:szCs w:val="21"/>
        </w:rPr>
        <w:t>17. 不可抗力</w:t>
      </w:r>
      <w:bookmarkEnd w:id="716"/>
      <w:bookmarkEnd w:id="717"/>
      <w:bookmarkEnd w:id="718"/>
      <w:bookmarkEnd w:id="719"/>
      <w:bookmarkEnd w:id="720"/>
      <w:bookmarkEnd w:id="721"/>
    </w:p>
    <w:p w14:paraId="4BD6A58C">
      <w:pPr>
        <w:pStyle w:val="7"/>
        <w:spacing w:before="0" w:beforeAutospacing="0" w:after="0" w:afterAutospacing="0" w:line="360" w:lineRule="auto"/>
        <w:ind w:firstLine="422" w:firstLineChars="200"/>
        <w:rPr>
          <w:color w:val="auto"/>
          <w:sz w:val="21"/>
          <w:szCs w:val="21"/>
        </w:rPr>
      </w:pPr>
      <w:bookmarkStart w:id="722" w:name="_Toc351203608"/>
      <w:bookmarkStart w:id="723" w:name="_Toc532377296"/>
      <w:bookmarkStart w:id="724" w:name="_Toc296503117"/>
      <w:bookmarkStart w:id="725" w:name="_Toc296346618"/>
      <w:bookmarkStart w:id="726" w:name="_Toc337558824"/>
      <w:r>
        <w:rPr>
          <w:rFonts w:hint="eastAsia"/>
          <w:color w:val="auto"/>
          <w:sz w:val="21"/>
          <w:szCs w:val="21"/>
        </w:rPr>
        <w:t>17.1 不可抗力的确认</w:t>
      </w:r>
      <w:bookmarkEnd w:id="722"/>
      <w:bookmarkEnd w:id="723"/>
    </w:p>
    <w:bookmarkEnd w:id="724"/>
    <w:bookmarkEnd w:id="725"/>
    <w:bookmarkEnd w:id="726"/>
    <w:p w14:paraId="1C50084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7AC535C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B0109F3">
      <w:pPr>
        <w:pStyle w:val="7"/>
        <w:spacing w:before="0" w:beforeAutospacing="0" w:after="0" w:afterAutospacing="0" w:line="360" w:lineRule="auto"/>
        <w:ind w:firstLine="422" w:firstLineChars="200"/>
        <w:rPr>
          <w:color w:val="auto"/>
          <w:sz w:val="21"/>
          <w:szCs w:val="21"/>
        </w:rPr>
      </w:pPr>
      <w:bookmarkStart w:id="727" w:name="_Toc351203609"/>
      <w:bookmarkStart w:id="728" w:name="_Toc532377297"/>
      <w:bookmarkStart w:id="729" w:name="_Toc337558825"/>
      <w:bookmarkStart w:id="730" w:name="_Toc296346619"/>
      <w:bookmarkStart w:id="731" w:name="_Toc296503118"/>
      <w:r>
        <w:rPr>
          <w:rFonts w:hint="eastAsia"/>
          <w:color w:val="auto"/>
          <w:sz w:val="21"/>
          <w:szCs w:val="21"/>
        </w:rPr>
        <w:t>17.2 不可抗力的通知</w:t>
      </w:r>
      <w:bookmarkEnd w:id="727"/>
      <w:bookmarkEnd w:id="728"/>
    </w:p>
    <w:bookmarkEnd w:id="729"/>
    <w:bookmarkEnd w:id="730"/>
    <w:bookmarkEnd w:id="731"/>
    <w:p w14:paraId="3DD82B2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合同一方当事人遇到不可抗力事件，使其履行合同义务受到阻碍时，应立即通知合同另一方当事人和监理人，书面说明不可抗力和受阻碍的详细情况，并提供必要的证明。</w:t>
      </w:r>
    </w:p>
    <w:p w14:paraId="42EAB64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4B15524C">
      <w:pPr>
        <w:pStyle w:val="7"/>
        <w:spacing w:before="0" w:beforeAutospacing="0" w:after="0" w:afterAutospacing="0" w:line="360" w:lineRule="auto"/>
        <w:ind w:firstLine="422" w:firstLineChars="200"/>
        <w:rPr>
          <w:color w:val="auto"/>
          <w:sz w:val="21"/>
          <w:szCs w:val="21"/>
        </w:rPr>
      </w:pPr>
      <w:bookmarkStart w:id="732" w:name="_Toc532377298"/>
      <w:r>
        <w:rPr>
          <w:rFonts w:hint="eastAsia"/>
          <w:color w:val="auto"/>
          <w:sz w:val="21"/>
          <w:szCs w:val="21"/>
        </w:rPr>
        <w:t>17.3 不可抗力后果的承担</w:t>
      </w:r>
      <w:bookmarkEnd w:id="732"/>
    </w:p>
    <w:p w14:paraId="0AB768F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17.3.1 不可抗力引起的后果及造成的损失由合同当事人按照法律规定及合同约定各自承担。不可抗力发生前已完成的工程应当按照合同约定进行计量支付。</w:t>
      </w:r>
    </w:p>
    <w:p w14:paraId="583A70F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17.3.2 不可抗力导致的人员伤亡、财产损失、费用增加和（或）工期延误等后果，由合同当事人按以下原则承担：</w:t>
      </w:r>
    </w:p>
    <w:p w14:paraId="10D0B53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（1）永久工程、已运至施工现场的材料和工程设备的损坏，以及因工程损坏造成的第三人人员伤亡和财产损失由发包人承担；</w:t>
      </w:r>
    </w:p>
    <w:p w14:paraId="6BE9C13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（2）承包人施工设备的损坏由承包人承担；</w:t>
      </w:r>
    </w:p>
    <w:p w14:paraId="09ADF9D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（3）发包人和承包人承担各自人员伤亡和财产的损失；</w:t>
      </w:r>
    </w:p>
    <w:p w14:paraId="1B52460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4B60B9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（5）因不可抗力引起或将引起工期延误，发包人要求赶工的，由此增加的赶工费用由发包人承担；</w:t>
      </w:r>
    </w:p>
    <w:p w14:paraId="56DD081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（6）承包人在停工期间按照发包人要求照管、清理和修复工程的费用由发包人承担。</w:t>
      </w:r>
    </w:p>
    <w:p w14:paraId="225590B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不可抗力发生后，合同当事人均应采取措施尽量避免和减少损失的扩大，任何一方当事人没有采取有效措施导致损失扩大的，应对扩大的损失承担责任。</w:t>
      </w:r>
    </w:p>
    <w:p w14:paraId="45110A6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因合同一方迟延履行合同义务，在迟延履行期间遭遇不可抗力的，不免除其违约责任。</w:t>
      </w:r>
    </w:p>
    <w:p w14:paraId="0F19E1D2">
      <w:pPr>
        <w:pStyle w:val="7"/>
        <w:spacing w:before="0" w:beforeAutospacing="0" w:after="0" w:afterAutospacing="0" w:line="360" w:lineRule="auto"/>
        <w:ind w:firstLine="422" w:firstLineChars="200"/>
        <w:rPr>
          <w:color w:val="auto"/>
          <w:sz w:val="21"/>
          <w:szCs w:val="21"/>
        </w:rPr>
      </w:pPr>
      <w:bookmarkStart w:id="733" w:name="_Toc532377299"/>
      <w:bookmarkStart w:id="734" w:name="_Toc351203611"/>
      <w:bookmarkStart w:id="735" w:name="_Toc337558827"/>
      <w:r>
        <w:rPr>
          <w:rFonts w:hint="eastAsia"/>
          <w:color w:val="auto"/>
          <w:sz w:val="21"/>
          <w:szCs w:val="21"/>
        </w:rPr>
        <w:t>17.4 因不可抗力解除合同</w:t>
      </w:r>
      <w:bookmarkEnd w:id="733"/>
      <w:bookmarkEnd w:id="734"/>
    </w:p>
    <w:bookmarkEnd w:id="735"/>
    <w:p w14:paraId="6D632B6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21DA413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（1）合同解除前承包人已完成工作的价款；</w:t>
      </w:r>
    </w:p>
    <w:p w14:paraId="30103C1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（2）承包人为工程订购的并已交付给承包人，或承包人有责任接受交付的材料、工程设备和其他物品的价款；</w:t>
      </w:r>
    </w:p>
    <w:p w14:paraId="4F7C560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（3）发包人要求承包人退货或解除订货合同而产生的费用，或因不能退货或解除合同而产生的损失；</w:t>
      </w:r>
    </w:p>
    <w:p w14:paraId="04F32A7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（4）承包人撤离施工现场以及遣散承包人人员的费用；</w:t>
      </w:r>
    </w:p>
    <w:p w14:paraId="78AD08F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（5）按照合同约定在合同解除前应支付给承包人的其他款项；</w:t>
      </w:r>
    </w:p>
    <w:p w14:paraId="0CA1EFE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（6）扣减承包人按照合同约定应向发包人支付的款项；</w:t>
      </w:r>
    </w:p>
    <w:p w14:paraId="3406E7B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（7）双方商定或确定的其他款项。</w:t>
      </w:r>
    </w:p>
    <w:p w14:paraId="08D4796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除专用合同条款另有约定外，合同解除后，发包人应在商定或确定上述款项后28天内完成上述款项的支付。</w:t>
      </w:r>
    </w:p>
    <w:p w14:paraId="3CC2D643">
      <w:pPr>
        <w:pStyle w:val="6"/>
        <w:keepNext/>
        <w:keepLines/>
        <w:spacing w:before="156" w:beforeLines="50" w:beforeAutospacing="0" w:after="156" w:afterLines="50" w:afterAutospacing="0" w:line="360" w:lineRule="auto"/>
        <w:jc w:val="both"/>
        <w:rPr>
          <w:bCs w:val="0"/>
          <w:color w:val="auto"/>
          <w:kern w:val="2"/>
          <w:sz w:val="21"/>
          <w:szCs w:val="21"/>
        </w:rPr>
      </w:pPr>
      <w:bookmarkStart w:id="736" w:name="_Toc351203612"/>
      <w:bookmarkStart w:id="737" w:name="_Toc532377300"/>
      <w:bookmarkStart w:id="738" w:name="_Toc532375604"/>
      <w:bookmarkStart w:id="739" w:name="_Toc296503120"/>
      <w:bookmarkStart w:id="740" w:name="_Toc296346621"/>
      <w:bookmarkStart w:id="741" w:name="_Toc337558828"/>
      <w:r>
        <w:rPr>
          <w:rFonts w:hint="eastAsia"/>
          <w:color w:val="auto"/>
          <w:kern w:val="2"/>
          <w:sz w:val="21"/>
          <w:szCs w:val="21"/>
        </w:rPr>
        <w:t>18. 保险</w:t>
      </w:r>
      <w:bookmarkEnd w:id="736"/>
      <w:bookmarkEnd w:id="737"/>
      <w:bookmarkEnd w:id="738"/>
    </w:p>
    <w:bookmarkEnd w:id="739"/>
    <w:bookmarkEnd w:id="740"/>
    <w:bookmarkEnd w:id="741"/>
    <w:p w14:paraId="257AAFF0">
      <w:pPr>
        <w:pStyle w:val="7"/>
        <w:spacing w:before="0" w:beforeAutospacing="0" w:after="0" w:afterAutospacing="0" w:line="360" w:lineRule="auto"/>
        <w:ind w:firstLine="422" w:firstLineChars="200"/>
        <w:rPr>
          <w:color w:val="auto"/>
          <w:sz w:val="21"/>
          <w:szCs w:val="21"/>
        </w:rPr>
      </w:pPr>
      <w:bookmarkStart w:id="742" w:name="_Toc532377301"/>
      <w:bookmarkStart w:id="743" w:name="_Toc351203613"/>
      <w:bookmarkStart w:id="744" w:name="_Toc296346622"/>
      <w:bookmarkStart w:id="745" w:name="_Toc296503121"/>
      <w:bookmarkStart w:id="746" w:name="_Toc337558829"/>
      <w:r>
        <w:rPr>
          <w:rFonts w:hint="eastAsia"/>
          <w:color w:val="auto"/>
          <w:sz w:val="21"/>
          <w:szCs w:val="21"/>
        </w:rPr>
        <w:t>18.1 工程保险</w:t>
      </w:r>
      <w:bookmarkEnd w:id="742"/>
      <w:bookmarkEnd w:id="743"/>
    </w:p>
    <w:bookmarkEnd w:id="744"/>
    <w:bookmarkEnd w:id="745"/>
    <w:bookmarkEnd w:id="746"/>
    <w:p w14:paraId="69B91BA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除专用合同条款另有约定外，发包人应投保建筑工程一切险或安装工程一切险；发包人委托承包人投保的，因投保产生的保险费和其他相关费用由发包人承担。</w:t>
      </w:r>
    </w:p>
    <w:p w14:paraId="56C98D57">
      <w:pPr>
        <w:pStyle w:val="7"/>
        <w:spacing w:before="0" w:beforeAutospacing="0" w:after="0" w:afterAutospacing="0" w:line="360" w:lineRule="auto"/>
        <w:ind w:firstLine="422" w:firstLineChars="200"/>
        <w:rPr>
          <w:color w:val="auto"/>
          <w:sz w:val="21"/>
          <w:szCs w:val="21"/>
        </w:rPr>
      </w:pPr>
      <w:bookmarkStart w:id="747" w:name="_Toc532377302"/>
      <w:bookmarkStart w:id="748" w:name="_Toc351203614"/>
      <w:bookmarkStart w:id="749" w:name="_Toc296346623"/>
      <w:bookmarkStart w:id="750" w:name="_Toc337558830"/>
      <w:bookmarkStart w:id="751" w:name="_Toc296503122"/>
      <w:r>
        <w:rPr>
          <w:rFonts w:hint="eastAsia"/>
          <w:color w:val="auto"/>
          <w:sz w:val="21"/>
          <w:szCs w:val="21"/>
        </w:rPr>
        <w:t>18.2 工伤保险</w:t>
      </w:r>
      <w:bookmarkEnd w:id="747"/>
      <w:bookmarkEnd w:id="748"/>
    </w:p>
    <w:bookmarkEnd w:id="749"/>
    <w:bookmarkEnd w:id="750"/>
    <w:bookmarkEnd w:id="751"/>
    <w:p w14:paraId="38CE579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18.2.1 发包人应依照法律规定参加工伤保险，并为在施工现场的全部员工办理工伤保险，缴纳工伤保险费，并要求监理人及由发包人为履行合同聘请的第三方依法参加工伤保险。</w:t>
      </w:r>
    </w:p>
    <w:p w14:paraId="0930A29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18.2.2 承包人应依照法律规定参加工伤保险，并为其履行合同的全部员工办理工伤保险，缴纳工伤保险费，并要求分包人及由承包人为履行合同聘请的第三方依法参加工伤保险。</w:t>
      </w:r>
    </w:p>
    <w:p w14:paraId="5ABF6307">
      <w:pPr>
        <w:pStyle w:val="7"/>
        <w:spacing w:before="0" w:beforeAutospacing="0" w:after="0" w:afterAutospacing="0" w:line="360" w:lineRule="auto"/>
        <w:ind w:firstLine="422" w:firstLineChars="200"/>
        <w:rPr>
          <w:color w:val="auto"/>
          <w:sz w:val="21"/>
          <w:szCs w:val="21"/>
        </w:rPr>
      </w:pPr>
      <w:bookmarkStart w:id="752" w:name="_Toc351203615"/>
      <w:bookmarkStart w:id="753" w:name="_Toc532377303"/>
      <w:bookmarkStart w:id="754" w:name="_Toc296346626"/>
      <w:bookmarkStart w:id="755" w:name="_Toc337558831"/>
      <w:bookmarkStart w:id="756" w:name="_Toc296503125"/>
      <w:r>
        <w:rPr>
          <w:rFonts w:hint="eastAsia"/>
          <w:color w:val="auto"/>
          <w:sz w:val="21"/>
          <w:szCs w:val="21"/>
        </w:rPr>
        <w:t>18.3其他保险</w:t>
      </w:r>
      <w:bookmarkEnd w:id="752"/>
      <w:bookmarkEnd w:id="753"/>
    </w:p>
    <w:bookmarkEnd w:id="754"/>
    <w:bookmarkEnd w:id="755"/>
    <w:bookmarkEnd w:id="756"/>
    <w:p w14:paraId="28AA5E5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发包人和承包人可以为其施工现场的全部人员办理意外伤害保险并支付保险费，包括其员工及为履行合同聘请的第三方的人员，具体事项由合同当事人在专用合同条款约定。</w:t>
      </w:r>
    </w:p>
    <w:p w14:paraId="2BB8BEB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除专用合同条款另有约定外，承包人应为其施工设备等办理财产保险。</w:t>
      </w:r>
    </w:p>
    <w:p w14:paraId="65978CC2">
      <w:pPr>
        <w:pStyle w:val="7"/>
        <w:spacing w:before="0" w:beforeAutospacing="0" w:after="0" w:afterAutospacing="0" w:line="360" w:lineRule="auto"/>
        <w:ind w:firstLine="422" w:firstLineChars="200"/>
        <w:rPr>
          <w:color w:val="auto"/>
          <w:sz w:val="21"/>
          <w:szCs w:val="21"/>
        </w:rPr>
      </w:pPr>
      <w:bookmarkStart w:id="757" w:name="_Toc351203616"/>
      <w:bookmarkStart w:id="758" w:name="_Toc532377304"/>
      <w:r>
        <w:rPr>
          <w:rFonts w:hint="eastAsia"/>
          <w:color w:val="auto"/>
          <w:sz w:val="21"/>
          <w:szCs w:val="21"/>
        </w:rPr>
        <w:t>18.4持续保险</w:t>
      </w:r>
      <w:bookmarkEnd w:id="757"/>
      <w:bookmarkEnd w:id="758"/>
    </w:p>
    <w:p w14:paraId="6A07363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合同当事人应与保险人保持联系，使保险人能够随时了解工程实施中的变动，并确保按保险合同条款要求持续保险。</w:t>
      </w:r>
    </w:p>
    <w:p w14:paraId="1A8F369B">
      <w:pPr>
        <w:pStyle w:val="7"/>
        <w:spacing w:before="0" w:beforeAutospacing="0" w:after="0" w:afterAutospacing="0" w:line="360" w:lineRule="auto"/>
        <w:ind w:firstLine="422" w:firstLineChars="200"/>
        <w:rPr>
          <w:color w:val="auto"/>
          <w:sz w:val="21"/>
          <w:szCs w:val="21"/>
        </w:rPr>
      </w:pPr>
      <w:bookmarkStart w:id="759" w:name="_Toc351203617"/>
      <w:bookmarkStart w:id="760" w:name="_Toc532377305"/>
      <w:bookmarkStart w:id="761" w:name="_Toc296503126"/>
      <w:bookmarkStart w:id="762" w:name="_Toc296346627"/>
      <w:bookmarkStart w:id="763" w:name="_Toc337558832"/>
      <w:r>
        <w:rPr>
          <w:rFonts w:hint="eastAsia"/>
          <w:color w:val="auto"/>
          <w:sz w:val="21"/>
          <w:szCs w:val="21"/>
        </w:rPr>
        <w:t>18.5 保险凭证</w:t>
      </w:r>
      <w:bookmarkEnd w:id="759"/>
      <w:bookmarkEnd w:id="760"/>
    </w:p>
    <w:bookmarkEnd w:id="761"/>
    <w:bookmarkEnd w:id="762"/>
    <w:bookmarkEnd w:id="763"/>
    <w:p w14:paraId="377870B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合同当事人应及时向另一方当事人提交其已投保的各项保险的凭证和保险单复印件。</w:t>
      </w:r>
    </w:p>
    <w:p w14:paraId="31826B56">
      <w:pPr>
        <w:pStyle w:val="7"/>
        <w:spacing w:before="0" w:beforeAutospacing="0" w:after="0" w:afterAutospacing="0" w:line="360" w:lineRule="auto"/>
        <w:ind w:firstLine="422" w:firstLineChars="200"/>
        <w:rPr>
          <w:color w:val="auto"/>
          <w:sz w:val="21"/>
          <w:szCs w:val="21"/>
        </w:rPr>
      </w:pPr>
      <w:bookmarkStart w:id="764" w:name="_Toc532377306"/>
      <w:bookmarkStart w:id="765" w:name="_Toc351203618"/>
      <w:bookmarkStart w:id="766" w:name="_Toc296346628"/>
      <w:bookmarkStart w:id="767" w:name="_Toc337558833"/>
      <w:bookmarkStart w:id="768" w:name="_Toc296503127"/>
      <w:r>
        <w:rPr>
          <w:rFonts w:hint="eastAsia"/>
          <w:color w:val="auto"/>
          <w:sz w:val="21"/>
          <w:szCs w:val="21"/>
        </w:rPr>
        <w:t>18.6 未按约定投保的补救</w:t>
      </w:r>
      <w:bookmarkEnd w:id="764"/>
      <w:bookmarkEnd w:id="765"/>
    </w:p>
    <w:bookmarkEnd w:id="766"/>
    <w:bookmarkEnd w:id="767"/>
    <w:bookmarkEnd w:id="768"/>
    <w:p w14:paraId="2F30820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18.6.1发包人未按合同约定办理保险，或未能使保险持续有效的，则承包人可代为办理，所需费用由发包人承担。发包人未按合同约定办理保险，导致未能得到足额赔偿的，由发包人负责补足。</w:t>
      </w:r>
    </w:p>
    <w:p w14:paraId="701B093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18.6.2承包人未按合同约定办理保险，或未能使保险持续有效的，则发包人可代为办理，所需费用由承包人承担。承包人未按合同约定办理保险，导致未能得到足额赔偿的，由承包人负责补足。</w:t>
      </w:r>
    </w:p>
    <w:p w14:paraId="0AB97ABD">
      <w:pPr>
        <w:pStyle w:val="7"/>
        <w:spacing w:before="0" w:beforeAutospacing="0" w:after="0" w:afterAutospacing="0" w:line="360" w:lineRule="auto"/>
        <w:ind w:firstLine="422" w:firstLineChars="200"/>
        <w:rPr>
          <w:color w:val="auto"/>
          <w:sz w:val="21"/>
          <w:szCs w:val="21"/>
        </w:rPr>
      </w:pPr>
      <w:bookmarkStart w:id="769" w:name="_Toc532377307"/>
      <w:bookmarkStart w:id="770" w:name="_Toc351203619"/>
      <w:bookmarkStart w:id="771" w:name="_Toc337558834"/>
      <w:r>
        <w:rPr>
          <w:rFonts w:hint="eastAsia"/>
          <w:color w:val="auto"/>
          <w:sz w:val="21"/>
          <w:szCs w:val="21"/>
        </w:rPr>
        <w:t>18.7 通知义务</w:t>
      </w:r>
      <w:bookmarkEnd w:id="769"/>
      <w:bookmarkEnd w:id="770"/>
    </w:p>
    <w:bookmarkEnd w:id="771"/>
    <w:p w14:paraId="0576504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2905958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保险事故发生时，投保人应按照保险合同规定的条件和期限及时向保险人报告。发包人和承包人应当在知道保险事故发生后及时通知对方。</w:t>
      </w:r>
    </w:p>
    <w:p w14:paraId="12BB25A7">
      <w:pPr>
        <w:pStyle w:val="6"/>
        <w:keepNext/>
        <w:keepLines/>
        <w:spacing w:before="156" w:beforeLines="50" w:beforeAutospacing="0" w:after="156" w:afterLines="50" w:afterAutospacing="0" w:line="360" w:lineRule="auto"/>
        <w:jc w:val="both"/>
        <w:rPr>
          <w:bCs w:val="0"/>
          <w:color w:val="auto"/>
          <w:kern w:val="2"/>
          <w:sz w:val="21"/>
          <w:szCs w:val="21"/>
        </w:rPr>
      </w:pPr>
      <w:bookmarkStart w:id="772" w:name="_Toc532377308"/>
      <w:bookmarkStart w:id="773" w:name="_Toc532375605"/>
      <w:r>
        <w:rPr>
          <w:rFonts w:hint="eastAsia"/>
          <w:color w:val="auto"/>
          <w:kern w:val="2"/>
          <w:sz w:val="21"/>
          <w:szCs w:val="21"/>
        </w:rPr>
        <w:t>19. 索赔</w:t>
      </w:r>
      <w:bookmarkEnd w:id="772"/>
      <w:bookmarkEnd w:id="773"/>
    </w:p>
    <w:p w14:paraId="1C278712">
      <w:pPr>
        <w:pStyle w:val="7"/>
        <w:spacing w:before="0" w:beforeAutospacing="0" w:after="0" w:afterAutospacing="0" w:line="360" w:lineRule="auto"/>
        <w:ind w:firstLine="422" w:firstLineChars="200"/>
        <w:rPr>
          <w:color w:val="auto"/>
          <w:sz w:val="21"/>
          <w:szCs w:val="21"/>
        </w:rPr>
      </w:pPr>
      <w:bookmarkStart w:id="774" w:name="_Toc532377309"/>
      <w:r>
        <w:rPr>
          <w:rFonts w:hint="eastAsia"/>
          <w:color w:val="auto"/>
          <w:sz w:val="21"/>
          <w:szCs w:val="21"/>
        </w:rPr>
        <w:t>19.1承包人的索赔</w:t>
      </w:r>
      <w:bookmarkEnd w:id="774"/>
    </w:p>
    <w:p w14:paraId="3C62FF57">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根据合同约定，承包人认为有权得到追加付款和（或）延长工期的，应按以下程序向发包人提出索赔：</w:t>
      </w:r>
    </w:p>
    <w:p w14:paraId="74EF4FE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B3D225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（2）承包人应在发出索赔意向通知书后28天内，向监理人正式递交索赔报告；索赔报告应详细说明索赔理由以及要求追加的付款金额和（或）延长的工期，并附必要的记录和证明材料；</w:t>
      </w:r>
    </w:p>
    <w:p w14:paraId="4398FC1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（3）索赔事件具有持续影响的，承包人应按合理时间间隔继续递交延续索赔通知，说明持续影响的实际情况和记录，列出累计的追加付款金额和（或）工期延长天数；</w:t>
      </w:r>
    </w:p>
    <w:p w14:paraId="3D20282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（4）在索赔事件影响结束后28天内，承包人应向监理人递交最终索赔报告，说明最终要求索赔的追加付款金额和（或）延长的工期，并附必要的记录和证明材料。</w:t>
      </w:r>
    </w:p>
    <w:p w14:paraId="02F9BDDF">
      <w:pPr>
        <w:pStyle w:val="7"/>
        <w:spacing w:before="0" w:beforeAutospacing="0" w:after="0" w:afterAutospacing="0" w:line="360" w:lineRule="auto"/>
        <w:ind w:firstLine="422" w:firstLineChars="200"/>
        <w:rPr>
          <w:color w:val="auto"/>
          <w:sz w:val="21"/>
          <w:szCs w:val="21"/>
        </w:rPr>
      </w:pPr>
      <w:bookmarkStart w:id="775" w:name="_Toc532377310"/>
      <w:bookmarkStart w:id="776" w:name="_Toc351203622"/>
      <w:bookmarkStart w:id="777" w:name="_Toc296503142"/>
      <w:bookmarkStart w:id="778" w:name="_Toc296346643"/>
      <w:bookmarkStart w:id="779" w:name="_Toc337558837"/>
      <w:r>
        <w:rPr>
          <w:rFonts w:hint="eastAsia"/>
          <w:color w:val="auto"/>
          <w:sz w:val="21"/>
          <w:szCs w:val="21"/>
        </w:rPr>
        <w:t>19.2 对承包人索赔的处理</w:t>
      </w:r>
      <w:bookmarkEnd w:id="775"/>
      <w:bookmarkEnd w:id="776"/>
    </w:p>
    <w:bookmarkEnd w:id="777"/>
    <w:bookmarkEnd w:id="778"/>
    <w:bookmarkEnd w:id="779"/>
    <w:p w14:paraId="696BD1F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对承包人索赔的处理如下：</w:t>
      </w:r>
    </w:p>
    <w:p w14:paraId="1CE1EC8D">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（1）监理人应在收到索赔报告后14天内完成审查并报送发包人。监理人对索赔报告存在异议的，有权要求承包人提交全部原始记录副本；</w:t>
      </w:r>
    </w:p>
    <w:p w14:paraId="02EE466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019DDC4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（3）承包人接受索赔处理结果的，索赔款项在当期进度款中进行支付；承包人不接受索赔处理结果的，按照第20条〔争议解决〕约定处理。</w:t>
      </w:r>
    </w:p>
    <w:p w14:paraId="31C3BDB0">
      <w:pPr>
        <w:pStyle w:val="7"/>
        <w:spacing w:before="0" w:beforeAutospacing="0" w:after="0" w:afterAutospacing="0" w:line="360" w:lineRule="auto"/>
        <w:ind w:firstLine="422" w:firstLineChars="200"/>
        <w:rPr>
          <w:color w:val="auto"/>
          <w:sz w:val="21"/>
          <w:szCs w:val="21"/>
        </w:rPr>
      </w:pPr>
      <w:bookmarkStart w:id="780" w:name="_Toc351203623"/>
      <w:bookmarkStart w:id="781" w:name="_Toc532377311"/>
      <w:bookmarkStart w:id="782" w:name="_Toc296503143"/>
      <w:bookmarkStart w:id="783" w:name="_Toc337558838"/>
      <w:bookmarkStart w:id="784" w:name="_Toc296346644"/>
      <w:r>
        <w:rPr>
          <w:rFonts w:hint="eastAsia"/>
          <w:color w:val="auto"/>
          <w:sz w:val="21"/>
          <w:szCs w:val="21"/>
        </w:rPr>
        <w:t>19.3发包人的索赔</w:t>
      </w:r>
      <w:bookmarkEnd w:id="780"/>
      <w:bookmarkEnd w:id="781"/>
    </w:p>
    <w:bookmarkEnd w:id="782"/>
    <w:bookmarkEnd w:id="783"/>
    <w:bookmarkEnd w:id="784"/>
    <w:p w14:paraId="6F0AB7C3">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根据合同约定，发包人认为有权得到赔付金额和（或）延长缺陷责任期的，监理人应向承包人发出通知并附有详细的证明。</w:t>
      </w:r>
    </w:p>
    <w:p w14:paraId="355EDF8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CF9C5A1">
      <w:pPr>
        <w:pStyle w:val="7"/>
        <w:spacing w:before="0" w:beforeAutospacing="0" w:after="0" w:afterAutospacing="0" w:line="360" w:lineRule="auto"/>
        <w:ind w:firstLine="422" w:firstLineChars="200"/>
        <w:rPr>
          <w:color w:val="auto"/>
          <w:sz w:val="21"/>
          <w:szCs w:val="21"/>
        </w:rPr>
      </w:pPr>
      <w:bookmarkStart w:id="785" w:name="_Toc351203624"/>
      <w:bookmarkStart w:id="786" w:name="_Toc532377312"/>
      <w:bookmarkStart w:id="787" w:name="_Toc337558839"/>
      <w:bookmarkStart w:id="788" w:name="_Toc296503144"/>
      <w:bookmarkStart w:id="789" w:name="_Toc296346645"/>
      <w:r>
        <w:rPr>
          <w:rFonts w:hint="eastAsia"/>
          <w:color w:val="auto"/>
          <w:sz w:val="21"/>
          <w:szCs w:val="21"/>
        </w:rPr>
        <w:t>19.4 对发包人索赔的处理</w:t>
      </w:r>
      <w:bookmarkEnd w:id="785"/>
      <w:bookmarkEnd w:id="786"/>
    </w:p>
    <w:bookmarkEnd w:id="787"/>
    <w:bookmarkEnd w:id="788"/>
    <w:bookmarkEnd w:id="789"/>
    <w:p w14:paraId="0683D95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对发包人索赔的处理如下：</w:t>
      </w:r>
    </w:p>
    <w:p w14:paraId="020753AF">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（1）承包人收到发包人提交的索赔报告后，应及时审查索赔报告的内容、查验发包人证明材料；</w:t>
      </w:r>
    </w:p>
    <w:p w14:paraId="078E47F6">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（2）承包人应在收到索赔报告或有关索赔的进一步证明材料后28天内，将索赔处理结果答复发包人。如果承包人未在上述期限内作出答复的，则视为对发包人索赔要求的认可；</w:t>
      </w:r>
    </w:p>
    <w:p w14:paraId="4F20620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（3）承包人接受索赔处理结果的，发包人可从应支付给承包人的合同价款中扣除赔付的金额或延长缺陷责任期；发包人不接受索赔处理结果的，按第20条〔争议解决〕约定处理。</w:t>
      </w:r>
    </w:p>
    <w:p w14:paraId="46B3BD67">
      <w:pPr>
        <w:pStyle w:val="7"/>
        <w:spacing w:before="0" w:beforeAutospacing="0" w:after="0" w:afterAutospacing="0" w:line="360" w:lineRule="auto"/>
        <w:ind w:firstLine="420" w:firstLineChars="200"/>
        <w:rPr>
          <w:b w:val="0"/>
          <w:color w:val="auto"/>
          <w:sz w:val="21"/>
          <w:szCs w:val="21"/>
        </w:rPr>
      </w:pPr>
      <w:bookmarkStart w:id="790" w:name="_Toc351203625"/>
      <w:bookmarkStart w:id="791" w:name="_Toc532377313"/>
      <w:r>
        <w:rPr>
          <w:rFonts w:hint="eastAsia"/>
          <w:b w:val="0"/>
          <w:color w:val="auto"/>
          <w:sz w:val="21"/>
          <w:szCs w:val="21"/>
        </w:rPr>
        <w:t>19.5 提出索赔的期限</w:t>
      </w:r>
      <w:bookmarkEnd w:id="790"/>
      <w:bookmarkEnd w:id="791"/>
    </w:p>
    <w:p w14:paraId="44EC404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（1）承包人按第14.2款〔竣工结算审核〕约定接收竣工付款证书后，应被视为已无权再提出在工程接收证书颁发前所发生的任何索赔。</w:t>
      </w:r>
    </w:p>
    <w:p w14:paraId="14D2DCF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（2）承包人按第14.4款〔最终结清〕提交的最终结清申请单中，只限于提出工程接收证书颁发后发生的索赔。提出索赔的期限自接受最终结清证书时终止。</w:t>
      </w:r>
    </w:p>
    <w:p w14:paraId="02ED2F86">
      <w:pPr>
        <w:pStyle w:val="6"/>
        <w:keepNext/>
        <w:keepLines/>
        <w:spacing w:before="156" w:beforeLines="50" w:beforeAutospacing="0" w:after="156" w:afterLines="50" w:afterAutospacing="0" w:line="360" w:lineRule="auto"/>
        <w:jc w:val="both"/>
        <w:rPr>
          <w:bCs w:val="0"/>
          <w:color w:val="auto"/>
          <w:kern w:val="2"/>
          <w:sz w:val="21"/>
          <w:szCs w:val="21"/>
        </w:rPr>
      </w:pPr>
      <w:bookmarkStart w:id="792" w:name="_Toc532377314"/>
      <w:bookmarkStart w:id="793" w:name="_Toc532375606"/>
      <w:bookmarkStart w:id="794" w:name="_Toc351203626"/>
      <w:r>
        <w:rPr>
          <w:rFonts w:hint="eastAsia"/>
          <w:color w:val="auto"/>
          <w:kern w:val="2"/>
          <w:sz w:val="21"/>
          <w:szCs w:val="21"/>
        </w:rPr>
        <w:t>20</w:t>
      </w:r>
      <w:bookmarkStart w:id="795" w:name="_Toc337558840"/>
      <w:bookmarkStart w:id="796" w:name="_Toc296346647"/>
      <w:bookmarkStart w:id="797" w:name="_Toc296503146"/>
      <w:r>
        <w:rPr>
          <w:rFonts w:hint="eastAsia"/>
          <w:color w:val="auto"/>
          <w:kern w:val="2"/>
          <w:sz w:val="21"/>
          <w:szCs w:val="21"/>
        </w:rPr>
        <w:t>. 争议解决</w:t>
      </w:r>
      <w:bookmarkEnd w:id="792"/>
      <w:bookmarkEnd w:id="793"/>
      <w:bookmarkEnd w:id="794"/>
    </w:p>
    <w:bookmarkEnd w:id="795"/>
    <w:bookmarkEnd w:id="796"/>
    <w:bookmarkEnd w:id="797"/>
    <w:p w14:paraId="23BEB17C">
      <w:pPr>
        <w:pStyle w:val="7"/>
        <w:spacing w:before="0" w:beforeAutospacing="0" w:after="0" w:afterAutospacing="0" w:line="360" w:lineRule="auto"/>
        <w:ind w:firstLine="422" w:firstLineChars="200"/>
        <w:rPr>
          <w:color w:val="auto"/>
          <w:sz w:val="21"/>
          <w:szCs w:val="21"/>
        </w:rPr>
      </w:pPr>
      <w:bookmarkStart w:id="798" w:name="_Toc351203627"/>
      <w:bookmarkStart w:id="799" w:name="_Toc532377315"/>
      <w:bookmarkStart w:id="800" w:name="_Toc296503147"/>
      <w:bookmarkStart w:id="801" w:name="_Toc296346648"/>
      <w:bookmarkStart w:id="802" w:name="_Toc337558841"/>
      <w:r>
        <w:rPr>
          <w:rFonts w:hint="eastAsia"/>
          <w:color w:val="auto"/>
          <w:sz w:val="21"/>
          <w:szCs w:val="21"/>
        </w:rPr>
        <w:t>20.1和解</w:t>
      </w:r>
      <w:bookmarkEnd w:id="798"/>
      <w:bookmarkEnd w:id="799"/>
    </w:p>
    <w:bookmarkEnd w:id="800"/>
    <w:bookmarkEnd w:id="801"/>
    <w:bookmarkEnd w:id="802"/>
    <w:p w14:paraId="2FAD959B">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合同当事人可以就争议自行和解，自行和解达成协议的经双方签名并盖章后作为合同补充文件，双方均应遵照执行。</w:t>
      </w:r>
    </w:p>
    <w:p w14:paraId="17FABAAD">
      <w:pPr>
        <w:pStyle w:val="7"/>
        <w:spacing w:before="0" w:beforeAutospacing="0" w:after="0" w:afterAutospacing="0" w:line="360" w:lineRule="auto"/>
        <w:ind w:firstLine="422" w:firstLineChars="200"/>
        <w:rPr>
          <w:color w:val="auto"/>
          <w:sz w:val="21"/>
          <w:szCs w:val="21"/>
        </w:rPr>
      </w:pPr>
      <w:bookmarkStart w:id="803" w:name="_Toc532377316"/>
      <w:bookmarkStart w:id="804" w:name="_Toc351203628"/>
      <w:r>
        <w:rPr>
          <w:rFonts w:hint="eastAsia"/>
          <w:color w:val="auto"/>
          <w:sz w:val="21"/>
          <w:szCs w:val="21"/>
        </w:rPr>
        <w:t>20</w:t>
      </w:r>
      <w:bookmarkStart w:id="805" w:name="_Toc337558842"/>
      <w:bookmarkStart w:id="806" w:name="_Toc296503148"/>
      <w:bookmarkStart w:id="807" w:name="_Toc296346649"/>
      <w:r>
        <w:rPr>
          <w:rFonts w:hint="eastAsia"/>
          <w:color w:val="auto"/>
          <w:sz w:val="21"/>
          <w:szCs w:val="21"/>
        </w:rPr>
        <w:t>.2调解</w:t>
      </w:r>
      <w:bookmarkEnd w:id="803"/>
      <w:bookmarkEnd w:id="804"/>
    </w:p>
    <w:bookmarkEnd w:id="805"/>
    <w:bookmarkEnd w:id="806"/>
    <w:bookmarkEnd w:id="807"/>
    <w:p w14:paraId="0D8B0502">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合同当事人可以就争议请求建设行政主管部门、行业协会或其他第三方进行调解，调解达成协议的，经双方签名并盖章后作为合同补充文件，双方均应遵照执行。</w:t>
      </w:r>
    </w:p>
    <w:p w14:paraId="69CA4FD1">
      <w:pPr>
        <w:pStyle w:val="7"/>
        <w:spacing w:before="0" w:beforeAutospacing="0" w:after="0" w:afterAutospacing="0" w:line="360" w:lineRule="auto"/>
        <w:ind w:firstLine="422" w:firstLineChars="200"/>
        <w:rPr>
          <w:color w:val="auto"/>
          <w:sz w:val="21"/>
          <w:szCs w:val="21"/>
        </w:rPr>
      </w:pPr>
      <w:bookmarkStart w:id="808" w:name="_Toc351203629"/>
      <w:bookmarkStart w:id="809" w:name="_Toc532377317"/>
      <w:bookmarkStart w:id="810" w:name="_Toc296346650"/>
      <w:bookmarkStart w:id="811" w:name="_Toc296503149"/>
      <w:bookmarkStart w:id="812" w:name="_Toc337558843"/>
      <w:r>
        <w:rPr>
          <w:rFonts w:hint="eastAsia"/>
          <w:color w:val="auto"/>
          <w:sz w:val="21"/>
          <w:szCs w:val="21"/>
        </w:rPr>
        <w:t>20.3争议评审</w:t>
      </w:r>
      <w:bookmarkEnd w:id="808"/>
      <w:bookmarkEnd w:id="809"/>
    </w:p>
    <w:bookmarkEnd w:id="810"/>
    <w:bookmarkEnd w:id="811"/>
    <w:bookmarkEnd w:id="812"/>
    <w:p w14:paraId="459AC3E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合同当事人在专用合同条款中约定采取争议评审方式解决争议以及评审规则，并按下列约定执行： </w:t>
      </w:r>
    </w:p>
    <w:p w14:paraId="728B254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20.3.1 争议评审小组的确定</w:t>
      </w:r>
    </w:p>
    <w:p w14:paraId="4C28382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合同当事人可以共同选择一名或三名争议评审员，组成争议评审小组。除专用合同条款另有约定外，合同当事人应当自合同签订后28天内，或者争议发生后14天内，选定争议评审员。</w:t>
      </w:r>
    </w:p>
    <w:p w14:paraId="5492B3CA">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B72B10C">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除专用合同条款另有约定外，评审员报酬由发包人和承包人各承担一半。</w:t>
      </w:r>
    </w:p>
    <w:p w14:paraId="6ABA1D04">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20.3.2 争议评审小组的决定</w:t>
      </w:r>
    </w:p>
    <w:p w14:paraId="0341138E">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CA6E688">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20.3.3 争议评审小组决定的效力</w:t>
      </w:r>
    </w:p>
    <w:p w14:paraId="7873E9D0">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争议评审小组作出的书面决定经合同当事人签名确认后，对双方具有约束力，双方应遵照执行。</w:t>
      </w:r>
    </w:p>
    <w:p w14:paraId="1EC744E5">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任何一方当事人不接受争议评审小组决定或不履行争议评审小组决定的，双方可选择采用其他争议解决方式。</w:t>
      </w:r>
    </w:p>
    <w:p w14:paraId="4C8FEACB">
      <w:pPr>
        <w:pStyle w:val="7"/>
        <w:spacing w:before="0" w:beforeAutospacing="0" w:after="0" w:afterAutospacing="0" w:line="360" w:lineRule="auto"/>
        <w:ind w:firstLine="422" w:firstLineChars="200"/>
        <w:rPr>
          <w:color w:val="auto"/>
          <w:sz w:val="21"/>
          <w:szCs w:val="21"/>
        </w:rPr>
      </w:pPr>
      <w:bookmarkStart w:id="813" w:name="_Toc351203630"/>
      <w:bookmarkStart w:id="814" w:name="_Toc532377318"/>
      <w:bookmarkStart w:id="815" w:name="_Toc296503150"/>
      <w:bookmarkStart w:id="816" w:name="_Toc337558844"/>
      <w:bookmarkStart w:id="817" w:name="_Toc296346651"/>
      <w:r>
        <w:rPr>
          <w:rFonts w:hint="eastAsia"/>
          <w:color w:val="auto"/>
          <w:sz w:val="21"/>
          <w:szCs w:val="21"/>
        </w:rPr>
        <w:t>20.4仲裁或诉讼</w:t>
      </w:r>
      <w:bookmarkEnd w:id="813"/>
      <w:bookmarkEnd w:id="814"/>
    </w:p>
    <w:bookmarkEnd w:id="815"/>
    <w:bookmarkEnd w:id="816"/>
    <w:bookmarkEnd w:id="817"/>
    <w:p w14:paraId="4402E7B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因合同及合同有关事项产生的争议，合同当事人可以在专用合同条款中约定以下一种方式解决争议：</w:t>
      </w:r>
    </w:p>
    <w:p w14:paraId="5F6C5869">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（1）向约定的仲裁委员会申请仲裁；</w:t>
      </w:r>
    </w:p>
    <w:p w14:paraId="71FC84C1">
      <w:pPr>
        <w:autoSpaceDE w:val="0"/>
        <w:autoSpaceDN w:val="0"/>
        <w:spacing w:line="360" w:lineRule="auto"/>
        <w:ind w:firstLine="560" w:firstLineChars="200"/>
        <w:jc w:val="left"/>
        <w:rPr>
          <w:rFonts w:ascii="宋体" w:hAnsi="宋体"/>
          <w:color w:val="auto"/>
          <w:kern w:val="0"/>
          <w:szCs w:val="21"/>
        </w:rPr>
      </w:pPr>
      <w:r>
        <w:rPr>
          <w:rFonts w:hint="eastAsia" w:ascii="宋体" w:hAnsi="宋体"/>
          <w:color w:val="auto"/>
          <w:kern w:val="0"/>
          <w:szCs w:val="21"/>
        </w:rPr>
        <w:t>（2）向有管辖权的人民法院起诉。</w:t>
      </w:r>
    </w:p>
    <w:p w14:paraId="3C8220E0">
      <w:pPr>
        <w:pStyle w:val="7"/>
        <w:spacing w:before="0" w:beforeAutospacing="0" w:after="0" w:afterAutospacing="0" w:line="360" w:lineRule="auto"/>
        <w:ind w:firstLine="420" w:firstLineChars="200"/>
        <w:rPr>
          <w:b w:val="0"/>
          <w:color w:val="auto"/>
          <w:sz w:val="21"/>
          <w:szCs w:val="21"/>
        </w:rPr>
      </w:pPr>
      <w:bookmarkStart w:id="818" w:name="_Toc351203631"/>
      <w:bookmarkStart w:id="819" w:name="_Toc532377319"/>
      <w:bookmarkStart w:id="820" w:name="_Toc337558845"/>
      <w:bookmarkStart w:id="821" w:name="_Toc296346653"/>
      <w:bookmarkStart w:id="822" w:name="_Toc296503152"/>
      <w:r>
        <w:rPr>
          <w:rFonts w:hint="eastAsia"/>
          <w:b w:val="0"/>
          <w:color w:val="auto"/>
          <w:sz w:val="21"/>
          <w:szCs w:val="21"/>
        </w:rPr>
        <w:t>20.5争议解决条款效力</w:t>
      </w:r>
      <w:bookmarkEnd w:id="818"/>
      <w:bookmarkEnd w:id="819"/>
    </w:p>
    <w:bookmarkEnd w:id="820"/>
    <w:bookmarkEnd w:id="821"/>
    <w:bookmarkEnd w:id="822"/>
    <w:p w14:paraId="3658F9E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合同有关争议解决的条款独立存在，合同的变更、解除、终止、无效或者被撤销均不影响其效力。</w:t>
      </w:r>
    </w:p>
    <w:p w14:paraId="3A70A889">
      <w:pPr>
        <w:keepNext/>
        <w:keepLines/>
        <w:snapToGrid w:val="0"/>
        <w:spacing w:before="260" w:after="260" w:line="360" w:lineRule="auto"/>
        <w:outlineLvl w:val="2"/>
        <w:rPr>
          <w:rFonts w:ascii="宋体" w:hAnsi="宋体"/>
          <w:b/>
          <w:bCs/>
          <w:color w:val="auto"/>
          <w:szCs w:val="21"/>
          <w:lang w:val="zh-CN"/>
        </w:rPr>
      </w:pPr>
      <w:r>
        <w:rPr>
          <w:rFonts w:hint="eastAsia" w:ascii="宋体" w:hAnsi="宋体"/>
          <w:b/>
          <w:bCs/>
          <w:color w:val="auto"/>
          <w:szCs w:val="21"/>
          <w:lang w:val="zh-CN"/>
        </w:rPr>
        <w:br w:type="page"/>
      </w:r>
    </w:p>
    <w:p w14:paraId="7E748EF6">
      <w:pPr>
        <w:pStyle w:val="5"/>
        <w:jc w:val="center"/>
        <w:rPr>
          <w:rFonts w:ascii="宋体" w:hAnsi="宋体"/>
          <w:color w:val="auto"/>
          <w:sz w:val="44"/>
          <w:szCs w:val="44"/>
        </w:rPr>
      </w:pPr>
      <w:bookmarkStart w:id="823" w:name="_Toc19359"/>
      <w:bookmarkStart w:id="824" w:name="_Toc25408"/>
      <w:bookmarkStart w:id="825" w:name="_Toc57820639"/>
      <w:bookmarkStart w:id="826" w:name="_Toc529388290"/>
      <w:bookmarkStart w:id="827" w:name="_Toc532375607"/>
      <w:bookmarkStart w:id="828" w:name="_Toc532377320"/>
      <w:bookmarkStart w:id="829" w:name="_Toc26990"/>
      <w:r>
        <w:rPr>
          <w:rFonts w:hint="eastAsia" w:ascii="宋体" w:hAnsi="宋体"/>
          <w:color w:val="auto"/>
          <w:sz w:val="44"/>
          <w:szCs w:val="44"/>
        </w:rPr>
        <w:t>第三部分 专用合同条款</w:t>
      </w:r>
      <w:bookmarkEnd w:id="823"/>
      <w:bookmarkEnd w:id="824"/>
      <w:bookmarkEnd w:id="825"/>
      <w:bookmarkEnd w:id="826"/>
      <w:bookmarkEnd w:id="827"/>
      <w:bookmarkEnd w:id="828"/>
      <w:bookmarkEnd w:id="829"/>
    </w:p>
    <w:p w14:paraId="6BC9DF54">
      <w:pPr>
        <w:pStyle w:val="6"/>
        <w:keepNext/>
        <w:keepLines/>
        <w:spacing w:before="156" w:beforeLines="50" w:beforeAutospacing="0" w:after="156" w:afterLines="50" w:afterAutospacing="0" w:line="360" w:lineRule="auto"/>
        <w:jc w:val="both"/>
        <w:rPr>
          <w:bCs w:val="0"/>
          <w:color w:val="auto"/>
          <w:kern w:val="2"/>
          <w:sz w:val="21"/>
          <w:szCs w:val="21"/>
        </w:rPr>
      </w:pPr>
      <w:bookmarkStart w:id="830" w:name="_Toc351203633"/>
      <w:bookmarkStart w:id="831" w:name="_Toc532377321"/>
      <w:bookmarkStart w:id="832" w:name="_Toc532375608"/>
      <w:bookmarkStart w:id="833" w:name="_Hlk528927191"/>
      <w:r>
        <w:rPr>
          <w:rFonts w:hint="eastAsia"/>
          <w:color w:val="auto"/>
          <w:kern w:val="2"/>
          <w:sz w:val="21"/>
          <w:szCs w:val="21"/>
        </w:rPr>
        <w:t>1</w:t>
      </w:r>
      <w:bookmarkStart w:id="834" w:name="_Toc297120456"/>
      <w:bookmarkStart w:id="835" w:name="_Toc296891196"/>
      <w:bookmarkStart w:id="836" w:name="_Toc292559866"/>
      <w:bookmarkStart w:id="837" w:name="_Toc296346657"/>
      <w:bookmarkStart w:id="838" w:name="_Toc292559361"/>
      <w:bookmarkStart w:id="839" w:name="_Toc297048342"/>
      <w:bookmarkStart w:id="840" w:name="_Toc296890984"/>
      <w:bookmarkStart w:id="841" w:name="_Toc296347155"/>
      <w:bookmarkStart w:id="842" w:name="_Toc296503156"/>
      <w:bookmarkStart w:id="843" w:name="_Toc296944495"/>
      <w:r>
        <w:rPr>
          <w:rFonts w:hint="eastAsia"/>
          <w:color w:val="auto"/>
          <w:kern w:val="2"/>
          <w:sz w:val="21"/>
          <w:szCs w:val="21"/>
        </w:rPr>
        <w:t>. 一般约定</w:t>
      </w:r>
      <w:bookmarkEnd w:id="830"/>
      <w:bookmarkEnd w:id="831"/>
      <w:bookmarkEnd w:id="832"/>
    </w:p>
    <w:bookmarkEnd w:id="834"/>
    <w:bookmarkEnd w:id="835"/>
    <w:bookmarkEnd w:id="836"/>
    <w:bookmarkEnd w:id="837"/>
    <w:bookmarkEnd w:id="838"/>
    <w:bookmarkEnd w:id="839"/>
    <w:bookmarkEnd w:id="840"/>
    <w:bookmarkEnd w:id="841"/>
    <w:bookmarkEnd w:id="842"/>
    <w:bookmarkEnd w:id="843"/>
    <w:p w14:paraId="3AC67943">
      <w:pPr>
        <w:pStyle w:val="7"/>
        <w:spacing w:before="0" w:beforeAutospacing="0" w:after="0" w:afterAutospacing="0" w:line="360" w:lineRule="auto"/>
        <w:ind w:firstLine="422" w:firstLineChars="200"/>
        <w:rPr>
          <w:color w:val="auto"/>
          <w:sz w:val="21"/>
          <w:szCs w:val="21"/>
        </w:rPr>
      </w:pPr>
      <w:bookmarkStart w:id="844" w:name="_Toc532377322"/>
      <w:r>
        <w:rPr>
          <w:rFonts w:hint="eastAsia"/>
          <w:color w:val="auto"/>
          <w:sz w:val="21"/>
          <w:szCs w:val="21"/>
        </w:rPr>
        <w:t>1.1词语定义与解释</w:t>
      </w:r>
      <w:bookmarkEnd w:id="844"/>
    </w:p>
    <w:p w14:paraId="720F03C0">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 合同</w:t>
      </w:r>
    </w:p>
    <w:p w14:paraId="5668C97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1.1.1.6技术标准和要求：</w:t>
      </w:r>
      <w:r>
        <w:rPr>
          <w:rFonts w:hint="eastAsia" w:ascii="宋体" w:hAnsi="宋体"/>
          <w:color w:val="auto"/>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rPr>
        <w:t>。</w:t>
      </w:r>
    </w:p>
    <w:p w14:paraId="2A836C6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1.1.1.8 已标价工程量清单：</w:t>
      </w:r>
      <w:r>
        <w:rPr>
          <w:rFonts w:hint="eastAsia" w:ascii="宋体" w:hAnsi="宋体"/>
          <w:color w:val="auto"/>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rPr>
        <w:t>。</w:t>
      </w:r>
    </w:p>
    <w:p w14:paraId="492304BD">
      <w:pPr>
        <w:spacing w:line="360" w:lineRule="auto"/>
        <w:ind w:firstLine="560" w:firstLineChars="200"/>
        <w:jc w:val="left"/>
        <w:rPr>
          <w:rFonts w:ascii="宋体" w:hAnsi="宋体"/>
          <w:color w:val="auto"/>
          <w:szCs w:val="21"/>
        </w:rPr>
      </w:pPr>
      <w:r>
        <w:rPr>
          <w:rFonts w:hint="eastAsia" w:ascii="宋体" w:hAnsi="宋体"/>
          <w:color w:val="auto"/>
          <w:kern w:val="0"/>
          <w:szCs w:val="21"/>
        </w:rPr>
        <w:t>1.1.1.10 其他合同文件包括：</w:t>
      </w:r>
      <w:r>
        <w:rPr>
          <w:rFonts w:hint="eastAsia" w:ascii="宋体" w:hAnsi="宋体"/>
          <w:color w:val="auto"/>
          <w:szCs w:val="21"/>
          <w:u w:val="single"/>
        </w:rPr>
        <w:t>按照合同协议书</w:t>
      </w:r>
      <w:r>
        <w:rPr>
          <w:rFonts w:hint="eastAsia" w:ascii="宋体" w:hAnsi="宋体"/>
          <w:bCs/>
          <w:color w:val="auto"/>
          <w:szCs w:val="21"/>
          <w:u w:val="single"/>
        </w:rPr>
        <w:t>〔</w:t>
      </w:r>
      <w:r>
        <w:rPr>
          <w:rFonts w:hint="eastAsia" w:ascii="宋体" w:hAnsi="宋体"/>
          <w:color w:val="auto"/>
          <w:szCs w:val="21"/>
          <w:u w:val="single"/>
        </w:rPr>
        <w:t>第六条</w:t>
      </w:r>
      <w:r>
        <w:rPr>
          <w:rFonts w:hint="eastAsia" w:ascii="宋体" w:hAnsi="宋体"/>
          <w:bCs/>
          <w:color w:val="auto"/>
          <w:szCs w:val="21"/>
          <w:u w:val="single"/>
        </w:rPr>
        <w:t>〕</w:t>
      </w:r>
      <w:r>
        <w:rPr>
          <w:rFonts w:hint="eastAsia" w:ascii="宋体" w:hAnsi="宋体"/>
          <w:color w:val="auto"/>
          <w:szCs w:val="21"/>
          <w:u w:val="single"/>
        </w:rPr>
        <w:t>约定执行</w:t>
      </w:r>
      <w:r>
        <w:rPr>
          <w:rFonts w:hint="eastAsia" w:ascii="宋体" w:hAnsi="宋体"/>
          <w:color w:val="auto"/>
          <w:szCs w:val="21"/>
        </w:rPr>
        <w:t>。</w:t>
      </w:r>
    </w:p>
    <w:p w14:paraId="323BD84C">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本项补充1.1.1.11～1.1.1.16目：</w:t>
      </w:r>
    </w:p>
    <w:p w14:paraId="44F2A4B1">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1.1.1.11 招标文件：</w:t>
      </w:r>
      <w:r>
        <w:rPr>
          <w:rFonts w:hint="eastAsia" w:ascii="宋体" w:hAnsi="宋体"/>
          <w:color w:val="auto"/>
          <w:kern w:val="0"/>
          <w:szCs w:val="21"/>
          <w:u w:val="single"/>
        </w:rPr>
        <w:t>指本工程的招标文件、图纸、其他技术资料及招标人发出的对招标文件所作的澄清、修改等资料</w:t>
      </w:r>
      <w:r>
        <w:rPr>
          <w:rFonts w:hint="eastAsia" w:ascii="宋体" w:hAnsi="宋体"/>
          <w:color w:val="auto"/>
          <w:kern w:val="0"/>
          <w:szCs w:val="21"/>
        </w:rPr>
        <w:t>。</w:t>
      </w:r>
    </w:p>
    <w:p w14:paraId="2DBD2E0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1.1.1.12 工作：</w:t>
      </w:r>
      <w:r>
        <w:rPr>
          <w:rFonts w:hint="eastAsia" w:ascii="宋体" w:hAnsi="宋体"/>
          <w:color w:val="auto"/>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rPr>
        <w:t>。</w:t>
      </w:r>
    </w:p>
    <w:p w14:paraId="20D309CB">
      <w:pPr>
        <w:spacing w:line="360" w:lineRule="auto"/>
        <w:ind w:firstLine="560" w:firstLineChars="200"/>
        <w:jc w:val="left"/>
        <w:rPr>
          <w:rFonts w:ascii="宋体" w:hAnsi="宋体"/>
          <w:color w:val="auto"/>
          <w:szCs w:val="21"/>
        </w:rPr>
      </w:pPr>
      <w:r>
        <w:rPr>
          <w:rFonts w:hint="eastAsia" w:ascii="宋体" w:hAnsi="宋体"/>
          <w:color w:val="auto"/>
          <w:szCs w:val="21"/>
        </w:rPr>
        <w:t>1.1.1.13 重大设计变更：按照规定需要重新报建设行政主管部门批准的设计变更。</w:t>
      </w:r>
    </w:p>
    <w:p w14:paraId="456E3978">
      <w:pPr>
        <w:spacing w:line="360" w:lineRule="auto"/>
        <w:ind w:firstLine="560" w:firstLineChars="200"/>
        <w:jc w:val="left"/>
        <w:rPr>
          <w:rFonts w:ascii="宋体" w:hAnsi="宋体"/>
          <w:color w:val="auto"/>
          <w:szCs w:val="21"/>
        </w:rPr>
      </w:pPr>
      <w:r>
        <w:rPr>
          <w:rFonts w:ascii="宋体" w:hAnsi="宋体"/>
          <w:color w:val="auto"/>
          <w:szCs w:val="21"/>
        </w:rPr>
        <w:t>1.1.1.</w:t>
      </w:r>
      <w:r>
        <w:rPr>
          <w:rFonts w:hint="eastAsia" w:ascii="宋体" w:hAnsi="宋体"/>
          <w:color w:val="auto"/>
          <w:szCs w:val="21"/>
        </w:rPr>
        <w:t>14 公章：专指法定单位名称章</w:t>
      </w:r>
      <w:r>
        <w:rPr>
          <w:rFonts w:ascii="宋体" w:hAnsi="宋体"/>
          <w:color w:val="auto"/>
          <w:szCs w:val="21"/>
        </w:rPr>
        <w:t>。</w:t>
      </w:r>
    </w:p>
    <w:bookmarkEnd w:id="833"/>
    <w:p w14:paraId="48ABD8BC">
      <w:pPr>
        <w:spacing w:line="360" w:lineRule="auto"/>
        <w:ind w:firstLine="560" w:firstLineChars="200"/>
        <w:jc w:val="left"/>
        <w:rPr>
          <w:rFonts w:ascii="宋体" w:hAnsi="宋体"/>
          <w:color w:val="auto"/>
          <w:szCs w:val="21"/>
        </w:rPr>
      </w:pPr>
      <w:r>
        <w:rPr>
          <w:rFonts w:hint="eastAsia" w:ascii="宋体" w:hAnsi="宋体"/>
          <w:color w:val="auto"/>
          <w:szCs w:val="21"/>
        </w:rPr>
        <w:t>1.1.1.15 到岗：指承包人按照到岗履职承诺安排满足办理施工许可手续相关要求的项目主要管理人员实际到施工现场就职履约的行为。</w:t>
      </w:r>
    </w:p>
    <w:p w14:paraId="00973BD2">
      <w:pPr>
        <w:spacing w:line="360" w:lineRule="auto"/>
        <w:ind w:firstLine="560" w:firstLineChars="200"/>
        <w:jc w:val="left"/>
        <w:rPr>
          <w:rFonts w:ascii="宋体" w:hAnsi="宋体"/>
          <w:color w:val="auto"/>
          <w:szCs w:val="21"/>
        </w:rPr>
      </w:pPr>
      <w:r>
        <w:rPr>
          <w:rFonts w:hint="eastAsia" w:ascii="宋体" w:hAnsi="宋体"/>
          <w:color w:val="auto"/>
          <w:szCs w:val="21"/>
        </w:rPr>
        <w:t>1.1.1.16 项目法人：指具有民事权利能力和民事行为能力，依法独立享有民事权利和承担民事义务，以建设项目为目的，从事项目管理的机构、单位或组织。</w:t>
      </w:r>
    </w:p>
    <w:p w14:paraId="3C15BAD3">
      <w:pPr>
        <w:spacing w:line="360" w:lineRule="auto"/>
        <w:ind w:firstLine="560" w:firstLineChars="200"/>
        <w:jc w:val="left"/>
        <w:rPr>
          <w:rFonts w:ascii="宋体" w:hAnsi="宋体"/>
          <w:color w:val="auto"/>
          <w:szCs w:val="21"/>
        </w:rPr>
      </w:pPr>
      <w:r>
        <w:rPr>
          <w:rFonts w:hint="eastAsia" w:ascii="宋体" w:hAnsi="宋体"/>
          <w:color w:val="auto"/>
          <w:szCs w:val="21"/>
        </w:rPr>
        <w:t>1.1.2 合同当事人及其他相关方</w:t>
      </w:r>
    </w:p>
    <w:p w14:paraId="3CAB821B">
      <w:pPr>
        <w:spacing w:line="360" w:lineRule="auto"/>
        <w:ind w:firstLine="560" w:firstLineChars="200"/>
        <w:jc w:val="left"/>
        <w:rPr>
          <w:rFonts w:ascii="宋体" w:hAnsi="宋体"/>
          <w:color w:val="auto"/>
          <w:szCs w:val="21"/>
        </w:rPr>
      </w:pPr>
      <w:r>
        <w:rPr>
          <w:rFonts w:hint="eastAsia" w:ascii="宋体" w:hAnsi="宋体"/>
          <w:color w:val="auto"/>
          <w:szCs w:val="21"/>
        </w:rPr>
        <w:t>1.1.2.4 监理人：</w:t>
      </w:r>
    </w:p>
    <w:p w14:paraId="088BCF1F">
      <w:pPr>
        <w:spacing w:line="360" w:lineRule="auto"/>
        <w:ind w:firstLine="560" w:firstLineChars="200"/>
        <w:jc w:val="left"/>
        <w:rPr>
          <w:rFonts w:ascii="宋体" w:hAnsi="宋体"/>
          <w:color w:val="auto"/>
          <w:szCs w:val="21"/>
        </w:rPr>
      </w:pPr>
      <w:r>
        <w:rPr>
          <w:rFonts w:hint="eastAsia" w:ascii="宋体" w:hAnsi="宋体"/>
          <w:color w:val="auto"/>
          <w:szCs w:val="21"/>
        </w:rPr>
        <w:t>名    称：</w:t>
      </w:r>
      <w:r>
        <w:rPr>
          <w:rFonts w:ascii="宋体" w:hAnsi="宋体"/>
          <w:color w:val="auto"/>
          <w:szCs w:val="21"/>
          <w:u w:val="single"/>
        </w:rPr>
        <w:t xml:space="preserve">    </w:t>
      </w:r>
      <w:r>
        <w:rPr>
          <w:rFonts w:hint="eastAsia" w:ascii="宋体" w:hAnsi="宋体"/>
          <w:color w:val="auto"/>
          <w:szCs w:val="21"/>
        </w:rPr>
        <w:t>；</w:t>
      </w:r>
    </w:p>
    <w:p w14:paraId="345EBF04">
      <w:pPr>
        <w:spacing w:line="360" w:lineRule="auto"/>
        <w:ind w:firstLine="560" w:firstLineChars="200"/>
        <w:jc w:val="left"/>
        <w:rPr>
          <w:rFonts w:ascii="宋体" w:hAnsi="宋体"/>
          <w:color w:val="auto"/>
          <w:szCs w:val="21"/>
        </w:rPr>
      </w:pPr>
      <w:r>
        <w:rPr>
          <w:rFonts w:hint="eastAsia" w:ascii="宋体" w:hAnsi="宋体"/>
          <w:color w:val="auto"/>
          <w:szCs w:val="21"/>
        </w:rPr>
        <w:t>资质类别和等级：</w:t>
      </w:r>
      <w:r>
        <w:rPr>
          <w:rFonts w:ascii="宋体" w:hAnsi="宋体"/>
          <w:color w:val="auto"/>
          <w:szCs w:val="21"/>
          <w:u w:val="single"/>
        </w:rPr>
        <w:t></w:t>
      </w:r>
      <w:r>
        <w:rPr>
          <w:rFonts w:hint="eastAsia" w:ascii="宋体" w:hAnsi="宋体"/>
          <w:color w:val="auto"/>
          <w:szCs w:val="21"/>
        </w:rPr>
        <w:t>；</w:t>
      </w:r>
    </w:p>
    <w:p w14:paraId="77A027BC">
      <w:pPr>
        <w:spacing w:line="360" w:lineRule="auto"/>
        <w:ind w:firstLine="560" w:firstLineChars="200"/>
        <w:jc w:val="left"/>
        <w:rPr>
          <w:rFonts w:ascii="宋体" w:hAnsi="宋体"/>
          <w:color w:val="auto"/>
          <w:szCs w:val="21"/>
        </w:rPr>
      </w:pPr>
      <w:r>
        <w:rPr>
          <w:rFonts w:hint="eastAsia" w:ascii="宋体" w:hAnsi="宋体"/>
          <w:color w:val="auto"/>
          <w:szCs w:val="21"/>
        </w:rPr>
        <w:t>联系方式：</w:t>
      </w:r>
      <w:r>
        <w:rPr>
          <w:rFonts w:ascii="宋体" w:hAnsi="宋体"/>
          <w:color w:val="auto"/>
          <w:szCs w:val="21"/>
          <w:u w:val="single"/>
        </w:rPr>
        <w:t xml:space="preserve">    </w:t>
      </w:r>
      <w:r>
        <w:rPr>
          <w:rFonts w:hint="eastAsia" w:ascii="宋体" w:hAnsi="宋体"/>
          <w:color w:val="auto"/>
          <w:szCs w:val="21"/>
        </w:rPr>
        <w:t>。</w:t>
      </w:r>
    </w:p>
    <w:p w14:paraId="2505DA26">
      <w:pPr>
        <w:spacing w:line="360" w:lineRule="auto"/>
        <w:ind w:firstLine="560" w:firstLineChars="200"/>
        <w:jc w:val="left"/>
        <w:rPr>
          <w:rFonts w:ascii="宋体" w:hAnsi="宋体"/>
          <w:color w:val="auto"/>
          <w:szCs w:val="21"/>
        </w:rPr>
      </w:pPr>
      <w:r>
        <w:rPr>
          <w:rFonts w:hint="eastAsia" w:ascii="宋体" w:hAnsi="宋体"/>
          <w:color w:val="auto"/>
          <w:szCs w:val="21"/>
        </w:rPr>
        <w:t>1.1.2.5 设计人：</w:t>
      </w:r>
    </w:p>
    <w:p w14:paraId="411CCA9D">
      <w:pPr>
        <w:spacing w:line="360" w:lineRule="auto"/>
        <w:ind w:firstLine="560" w:firstLineChars="200"/>
        <w:jc w:val="left"/>
        <w:rPr>
          <w:rFonts w:ascii="宋体" w:hAnsi="宋体"/>
          <w:color w:val="auto"/>
          <w:szCs w:val="21"/>
        </w:rPr>
      </w:pPr>
      <w:r>
        <w:rPr>
          <w:rFonts w:hint="eastAsia" w:ascii="宋体" w:hAnsi="宋体"/>
          <w:color w:val="auto"/>
          <w:szCs w:val="21"/>
        </w:rPr>
        <w:t>名    称：</w:t>
      </w:r>
      <w:r>
        <w:rPr>
          <w:rFonts w:ascii="宋体" w:hAnsi="宋体"/>
          <w:color w:val="auto"/>
          <w:szCs w:val="21"/>
          <w:u w:val="single"/>
        </w:rPr>
        <w:t xml:space="preserve">    </w:t>
      </w:r>
      <w:r>
        <w:rPr>
          <w:rFonts w:hint="eastAsia" w:ascii="宋体" w:hAnsi="宋体"/>
          <w:color w:val="auto"/>
          <w:szCs w:val="21"/>
        </w:rPr>
        <w:t>；</w:t>
      </w:r>
    </w:p>
    <w:p w14:paraId="67267CFD">
      <w:pPr>
        <w:spacing w:line="360" w:lineRule="auto"/>
        <w:ind w:firstLine="560" w:firstLineChars="200"/>
        <w:jc w:val="left"/>
        <w:rPr>
          <w:rFonts w:ascii="宋体" w:hAnsi="宋体"/>
          <w:color w:val="auto"/>
          <w:szCs w:val="21"/>
        </w:rPr>
      </w:pPr>
      <w:r>
        <w:rPr>
          <w:rFonts w:hint="eastAsia" w:ascii="宋体" w:hAnsi="宋体"/>
          <w:color w:val="auto"/>
          <w:szCs w:val="21"/>
        </w:rPr>
        <w:t>资质类别和等级：</w:t>
      </w:r>
      <w:r>
        <w:rPr>
          <w:rFonts w:ascii="宋体" w:hAnsi="宋体"/>
          <w:color w:val="auto"/>
          <w:szCs w:val="21"/>
          <w:u w:val="single"/>
        </w:rPr>
        <w:t></w:t>
      </w:r>
      <w:r>
        <w:rPr>
          <w:rFonts w:hint="eastAsia" w:ascii="宋体" w:hAnsi="宋体"/>
          <w:color w:val="auto"/>
          <w:szCs w:val="21"/>
        </w:rPr>
        <w:t>；</w:t>
      </w:r>
    </w:p>
    <w:p w14:paraId="287DFA8E">
      <w:pPr>
        <w:spacing w:line="360" w:lineRule="auto"/>
        <w:ind w:firstLine="560" w:firstLineChars="200"/>
        <w:jc w:val="left"/>
        <w:rPr>
          <w:rFonts w:ascii="宋体" w:hAnsi="宋体"/>
          <w:color w:val="auto"/>
          <w:szCs w:val="21"/>
        </w:rPr>
      </w:pPr>
      <w:r>
        <w:rPr>
          <w:rFonts w:hint="eastAsia" w:ascii="宋体" w:hAnsi="宋体"/>
          <w:color w:val="auto"/>
          <w:szCs w:val="21"/>
        </w:rPr>
        <w:t>联系方式：</w:t>
      </w:r>
      <w:r>
        <w:rPr>
          <w:rFonts w:ascii="宋体" w:hAnsi="宋体"/>
          <w:color w:val="auto"/>
          <w:szCs w:val="21"/>
          <w:u w:val="single"/>
        </w:rPr>
        <w:t xml:space="preserve">    </w:t>
      </w:r>
      <w:r>
        <w:rPr>
          <w:rFonts w:hint="eastAsia" w:ascii="宋体" w:hAnsi="宋体"/>
          <w:color w:val="auto"/>
          <w:szCs w:val="21"/>
        </w:rPr>
        <w:t>。</w:t>
      </w:r>
    </w:p>
    <w:p w14:paraId="3EA2F318">
      <w:pPr>
        <w:spacing w:line="360" w:lineRule="auto"/>
        <w:ind w:firstLine="560" w:firstLineChars="200"/>
        <w:jc w:val="left"/>
        <w:rPr>
          <w:rFonts w:ascii="宋体" w:hAnsi="宋体"/>
          <w:color w:val="auto"/>
          <w:szCs w:val="21"/>
        </w:rPr>
      </w:pPr>
      <w:r>
        <w:rPr>
          <w:rFonts w:hint="eastAsia" w:ascii="宋体" w:hAnsi="宋体"/>
          <w:color w:val="auto"/>
          <w:szCs w:val="21"/>
        </w:rPr>
        <w:t>1.1.3 工程和设备</w:t>
      </w:r>
    </w:p>
    <w:p w14:paraId="48CE3DA0">
      <w:pPr>
        <w:spacing w:line="360" w:lineRule="auto"/>
        <w:ind w:firstLine="560" w:firstLineChars="200"/>
        <w:jc w:val="left"/>
        <w:rPr>
          <w:rFonts w:ascii="宋体" w:hAnsi="宋体"/>
          <w:color w:val="auto"/>
          <w:szCs w:val="21"/>
        </w:rPr>
      </w:pPr>
      <w:r>
        <w:rPr>
          <w:rFonts w:hint="eastAsia" w:ascii="宋体" w:hAnsi="宋体"/>
          <w:color w:val="auto"/>
          <w:kern w:val="0"/>
          <w:szCs w:val="21"/>
        </w:rPr>
        <w:t>1.1.3.7 作为施工现场组成部分的其他场所包括：</w:t>
      </w:r>
      <w:r>
        <w:rPr>
          <w:rFonts w:hint="eastAsia" w:ascii="宋体" w:hAnsi="宋体"/>
          <w:color w:val="auto"/>
          <w:kern w:val="0"/>
          <w:szCs w:val="21"/>
          <w:u w:val="single"/>
        </w:rPr>
        <w:t>永久占地、临时占地以及为修建临时工程而租用、占用的土地</w:t>
      </w:r>
      <w:r>
        <w:rPr>
          <w:rFonts w:hint="eastAsia" w:ascii="宋体" w:hAnsi="宋体"/>
          <w:color w:val="auto"/>
          <w:szCs w:val="21"/>
        </w:rPr>
        <w:t>。</w:t>
      </w:r>
    </w:p>
    <w:p w14:paraId="716BE6FB">
      <w:pPr>
        <w:spacing w:line="360" w:lineRule="auto"/>
        <w:ind w:firstLine="560" w:firstLineChars="200"/>
        <w:jc w:val="left"/>
        <w:rPr>
          <w:rFonts w:ascii="宋体" w:hAnsi="宋体"/>
          <w:color w:val="auto"/>
          <w:szCs w:val="21"/>
        </w:rPr>
      </w:pPr>
      <w:r>
        <w:rPr>
          <w:rFonts w:hint="eastAsia" w:ascii="宋体" w:hAnsi="宋体"/>
          <w:color w:val="auto"/>
          <w:kern w:val="0"/>
          <w:szCs w:val="21"/>
        </w:rPr>
        <w:t>1.1.3.9 永久占地包括：</w:t>
      </w:r>
      <w:r>
        <w:rPr>
          <w:rFonts w:hint="eastAsia" w:ascii="宋体" w:hAnsi="宋体"/>
          <w:color w:val="auto"/>
          <w:kern w:val="0"/>
          <w:szCs w:val="21"/>
          <w:u w:val="single"/>
        </w:rPr>
        <w:t>为实施合同工程而需要的一切永久占用的土地，即合同工程</w:t>
      </w:r>
      <w:r>
        <w:rPr>
          <w:rFonts w:hint="eastAsia" w:ascii="宋体" w:hAnsi="宋体"/>
          <w:color w:val="auto"/>
          <w:szCs w:val="21"/>
          <w:u w:val="single"/>
        </w:rPr>
        <w:t>用地红线范围内的土地</w:t>
      </w:r>
      <w:r>
        <w:rPr>
          <w:rFonts w:hint="eastAsia" w:ascii="宋体" w:hAnsi="宋体"/>
          <w:color w:val="auto"/>
          <w:szCs w:val="21"/>
        </w:rPr>
        <w:t>。</w:t>
      </w:r>
    </w:p>
    <w:p w14:paraId="3CED2597">
      <w:pPr>
        <w:spacing w:line="360" w:lineRule="auto"/>
        <w:ind w:firstLine="560" w:firstLineChars="200"/>
        <w:jc w:val="left"/>
        <w:rPr>
          <w:rFonts w:ascii="宋体" w:hAnsi="宋体"/>
          <w:color w:val="auto"/>
          <w:szCs w:val="21"/>
        </w:rPr>
      </w:pPr>
      <w:r>
        <w:rPr>
          <w:rFonts w:hint="eastAsia" w:ascii="宋体" w:hAnsi="宋体"/>
          <w:color w:val="auto"/>
          <w:szCs w:val="21"/>
        </w:rPr>
        <w:t>1.1.3.10 临时占地包括：</w:t>
      </w:r>
      <w:r>
        <w:rPr>
          <w:rFonts w:hint="eastAsia" w:ascii="宋体" w:hAnsi="宋体"/>
          <w:color w:val="auto"/>
          <w:szCs w:val="21"/>
          <w:u w:val="single"/>
        </w:rPr>
        <w:t>为实施合同工程而需要</w:t>
      </w:r>
      <w:r>
        <w:rPr>
          <w:rFonts w:hint="eastAsia" w:ascii="宋体" w:hAnsi="宋体"/>
          <w:color w:val="auto"/>
          <w:kern w:val="0"/>
          <w:szCs w:val="21"/>
          <w:u w:val="single"/>
        </w:rPr>
        <w:t>的一切</w:t>
      </w:r>
      <w:r>
        <w:rPr>
          <w:rFonts w:hint="eastAsia" w:ascii="宋体" w:hAnsi="宋体"/>
          <w:color w:val="auto"/>
          <w:szCs w:val="21"/>
          <w:u w:val="single"/>
        </w:rPr>
        <w:t>临时占用的土地，包括施工所用的临时便道等的临时出入道，以及生产（办公）、生活等临时设施用地</w:t>
      </w:r>
      <w:r>
        <w:rPr>
          <w:rFonts w:hint="eastAsia" w:ascii="宋体" w:hAnsi="宋体"/>
          <w:color w:val="auto"/>
          <w:szCs w:val="21"/>
        </w:rPr>
        <w:t>。</w:t>
      </w:r>
    </w:p>
    <w:p w14:paraId="1CD5F560">
      <w:pPr>
        <w:spacing w:line="360" w:lineRule="auto"/>
        <w:ind w:firstLine="560" w:firstLineChars="200"/>
        <w:jc w:val="left"/>
        <w:rPr>
          <w:rFonts w:ascii="宋体" w:hAnsi="宋体"/>
          <w:color w:val="auto"/>
          <w:szCs w:val="21"/>
        </w:rPr>
      </w:pPr>
      <w:r>
        <w:rPr>
          <w:rFonts w:hint="eastAsia" w:ascii="宋体" w:hAnsi="宋体"/>
          <w:color w:val="auto"/>
          <w:szCs w:val="21"/>
        </w:rPr>
        <w:t>1.1.6 其他</w:t>
      </w:r>
    </w:p>
    <w:p w14:paraId="65EA6809">
      <w:pPr>
        <w:spacing w:line="360" w:lineRule="auto"/>
        <w:ind w:firstLine="560" w:firstLineChars="200"/>
        <w:jc w:val="left"/>
        <w:rPr>
          <w:rFonts w:ascii="宋体" w:hAnsi="宋体"/>
          <w:color w:val="auto"/>
          <w:szCs w:val="21"/>
        </w:rPr>
      </w:pPr>
      <w:bookmarkStart w:id="845" w:name="_Hlk528927262"/>
      <w:r>
        <w:rPr>
          <w:rFonts w:hint="eastAsia" w:ascii="宋体" w:hAnsi="宋体"/>
          <w:color w:val="auto"/>
          <w:szCs w:val="21"/>
        </w:rPr>
        <w:t>本项补充1.1.6.2～1.1.6.3目：</w:t>
      </w:r>
    </w:p>
    <w:p w14:paraId="252A737C">
      <w:pPr>
        <w:spacing w:line="360" w:lineRule="auto"/>
        <w:ind w:firstLine="560" w:firstLineChars="200"/>
        <w:jc w:val="left"/>
        <w:rPr>
          <w:rFonts w:ascii="宋体" w:hAnsi="宋体"/>
          <w:color w:val="auto"/>
          <w:szCs w:val="21"/>
        </w:rPr>
      </w:pPr>
      <w:r>
        <w:rPr>
          <w:rFonts w:hint="eastAsia" w:ascii="宋体" w:hAnsi="宋体"/>
          <w:color w:val="auto"/>
          <w:szCs w:val="21"/>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rPr>
        <w:t>违法行为</w:t>
      </w:r>
      <w:r>
        <w:rPr>
          <w:rFonts w:hint="eastAsia" w:ascii="宋体" w:hAnsi="宋体"/>
          <w:color w:val="auto"/>
          <w:szCs w:val="21"/>
        </w:rPr>
        <w:t>。</w:t>
      </w:r>
    </w:p>
    <w:bookmarkEnd w:id="845"/>
    <w:p w14:paraId="6C075018">
      <w:pPr>
        <w:spacing w:line="360" w:lineRule="auto"/>
        <w:ind w:firstLine="560" w:firstLineChars="200"/>
        <w:jc w:val="left"/>
        <w:rPr>
          <w:rFonts w:ascii="宋体" w:hAnsi="宋体"/>
          <w:color w:val="auto"/>
          <w:szCs w:val="21"/>
        </w:rPr>
      </w:pPr>
      <w:r>
        <w:rPr>
          <w:rFonts w:hint="eastAsia" w:ascii="宋体" w:hAnsi="宋体"/>
          <w:color w:val="auto"/>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076418CA">
      <w:pPr>
        <w:pStyle w:val="7"/>
        <w:spacing w:before="0" w:beforeAutospacing="0" w:after="0" w:afterAutospacing="0" w:line="360" w:lineRule="auto"/>
        <w:ind w:firstLine="422" w:firstLineChars="200"/>
        <w:rPr>
          <w:color w:val="auto"/>
          <w:sz w:val="21"/>
          <w:szCs w:val="21"/>
        </w:rPr>
      </w:pPr>
      <w:bookmarkStart w:id="846" w:name="_Toc532377323"/>
      <w:r>
        <w:rPr>
          <w:rFonts w:hint="eastAsia"/>
          <w:color w:val="auto"/>
          <w:sz w:val="21"/>
          <w:szCs w:val="21"/>
        </w:rPr>
        <w:t>1.4 标准和规范</w:t>
      </w:r>
      <w:bookmarkEnd w:id="846"/>
    </w:p>
    <w:p w14:paraId="4720FE41">
      <w:pPr>
        <w:spacing w:line="360" w:lineRule="auto"/>
        <w:ind w:firstLine="560" w:firstLineChars="200"/>
        <w:jc w:val="left"/>
        <w:rPr>
          <w:rFonts w:ascii="宋体" w:hAnsi="宋体"/>
          <w:color w:val="auto"/>
          <w:szCs w:val="21"/>
        </w:rPr>
      </w:pPr>
      <w:r>
        <w:rPr>
          <w:rFonts w:hint="eastAsia" w:ascii="宋体" w:hAnsi="宋体"/>
          <w:color w:val="auto"/>
          <w:szCs w:val="21"/>
        </w:rPr>
        <w:t>1.4.1 适用于工程的标准规范包括：</w:t>
      </w:r>
    </w:p>
    <w:p w14:paraId="16D71214">
      <w:pPr>
        <w:spacing w:line="360" w:lineRule="auto"/>
        <w:ind w:firstLine="560" w:firstLineChars="200"/>
        <w:jc w:val="left"/>
        <w:rPr>
          <w:rFonts w:ascii="宋体" w:hAnsi="宋体"/>
          <w:color w:val="auto"/>
          <w:szCs w:val="21"/>
        </w:rPr>
      </w:pPr>
      <w:r>
        <w:rPr>
          <w:rFonts w:hint="eastAsia" w:ascii="宋体" w:hAnsi="宋体"/>
          <w:color w:val="auto"/>
          <w:szCs w:val="21"/>
        </w:rPr>
        <w:t>（1）施工图所涉及的技术标准、规范、规程、图集等；</w:t>
      </w:r>
    </w:p>
    <w:p w14:paraId="3C152074">
      <w:pPr>
        <w:spacing w:line="360" w:lineRule="auto"/>
        <w:ind w:firstLine="560" w:firstLineChars="200"/>
        <w:jc w:val="left"/>
        <w:rPr>
          <w:rFonts w:ascii="宋体" w:hAnsi="宋体"/>
          <w:color w:val="auto"/>
          <w:szCs w:val="21"/>
          <w:u w:val="single"/>
        </w:rPr>
      </w:pPr>
      <w:r>
        <w:rPr>
          <w:rFonts w:hint="eastAsia" w:ascii="宋体" w:hAnsi="宋体"/>
          <w:color w:val="auto"/>
          <w:szCs w:val="21"/>
        </w:rPr>
        <w:t>（2）国家、行业或重庆市与本工程有关的标准，以及相应的规范、规程等，当这些标准、规范、规程不一致时，以标准、规范、规程要求最高的为准。</w:t>
      </w:r>
    </w:p>
    <w:p w14:paraId="4F838618">
      <w:pPr>
        <w:spacing w:line="360" w:lineRule="auto"/>
        <w:ind w:firstLine="560" w:firstLineChars="200"/>
        <w:jc w:val="left"/>
        <w:rPr>
          <w:rFonts w:ascii="宋体" w:hAnsi="宋体"/>
          <w:color w:val="auto"/>
          <w:szCs w:val="21"/>
          <w:u w:val="single"/>
        </w:rPr>
      </w:pPr>
      <w:r>
        <w:rPr>
          <w:rFonts w:ascii="宋体" w:hAnsi="宋体"/>
          <w:color w:val="auto"/>
          <w:szCs w:val="21"/>
        </w:rPr>
        <w:t>（</w:t>
      </w:r>
      <w:r>
        <w:rPr>
          <w:rFonts w:hint="eastAsia" w:ascii="宋体" w:hAnsi="宋体"/>
          <w:color w:val="auto"/>
          <w:szCs w:val="21"/>
        </w:rPr>
        <w:t>3</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kern w:val="0"/>
          <w:szCs w:val="21"/>
          <w:u w:val="single"/>
        </w:rPr>
        <w:t>/</w:t>
      </w:r>
      <w:r>
        <w:rPr>
          <w:rFonts w:hint="eastAsia" w:ascii="宋体" w:hAnsi="宋体"/>
          <w:color w:val="auto"/>
          <w:szCs w:val="21"/>
          <w:u w:val="single"/>
        </w:rPr>
        <w:t xml:space="preserve">    </w:t>
      </w:r>
      <w:r>
        <w:rPr>
          <w:rFonts w:hint="eastAsia" w:ascii="宋体" w:hAnsi="宋体"/>
          <w:color w:val="auto"/>
          <w:szCs w:val="21"/>
        </w:rPr>
        <w:t>。</w:t>
      </w:r>
    </w:p>
    <w:p w14:paraId="226507A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1.4.2 发包人提供国外标准、规范的名称：</w:t>
      </w:r>
      <w:r>
        <w:rPr>
          <w:rFonts w:hint="eastAsia" w:ascii="宋体" w:hAnsi="宋体"/>
          <w:color w:val="auto"/>
          <w:kern w:val="0"/>
          <w:szCs w:val="21"/>
          <w:u w:val="single"/>
        </w:rPr>
        <w:t xml:space="preserve"> / </w:t>
      </w:r>
      <w:r>
        <w:rPr>
          <w:rFonts w:hint="eastAsia" w:ascii="宋体" w:hAnsi="宋体"/>
          <w:color w:val="auto"/>
          <w:kern w:val="0"/>
          <w:szCs w:val="21"/>
        </w:rPr>
        <w:t>；</w:t>
      </w:r>
    </w:p>
    <w:p w14:paraId="4E39A8A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发包人提供国外标准、规范的份数：</w:t>
      </w:r>
      <w:r>
        <w:rPr>
          <w:rFonts w:hint="eastAsia" w:ascii="宋体" w:hAnsi="宋体"/>
          <w:color w:val="auto"/>
          <w:kern w:val="0"/>
          <w:szCs w:val="21"/>
          <w:u w:val="single"/>
        </w:rPr>
        <w:t xml:space="preserve"> / </w:t>
      </w:r>
      <w:r>
        <w:rPr>
          <w:rFonts w:hint="eastAsia" w:ascii="宋体" w:hAnsi="宋体"/>
          <w:color w:val="auto"/>
          <w:kern w:val="0"/>
          <w:szCs w:val="21"/>
        </w:rPr>
        <w:t>；</w:t>
      </w:r>
    </w:p>
    <w:p w14:paraId="47B99A3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发包人提供国外标准、规范的名称：</w:t>
      </w:r>
      <w:r>
        <w:rPr>
          <w:rFonts w:hint="eastAsia" w:ascii="宋体" w:hAnsi="宋体"/>
          <w:color w:val="auto"/>
          <w:kern w:val="0"/>
          <w:szCs w:val="21"/>
          <w:u w:val="single"/>
        </w:rPr>
        <w:t xml:space="preserve"> / </w:t>
      </w:r>
      <w:r>
        <w:rPr>
          <w:rFonts w:hint="eastAsia" w:ascii="宋体" w:hAnsi="宋体"/>
          <w:color w:val="auto"/>
          <w:kern w:val="0"/>
          <w:szCs w:val="21"/>
        </w:rPr>
        <w:t>。</w:t>
      </w:r>
    </w:p>
    <w:p w14:paraId="42C65B39">
      <w:pPr>
        <w:spacing w:line="360" w:lineRule="auto"/>
        <w:ind w:firstLine="560" w:firstLineChars="200"/>
        <w:jc w:val="left"/>
        <w:rPr>
          <w:rFonts w:ascii="宋体" w:hAnsi="宋体"/>
          <w:color w:val="auto"/>
          <w:szCs w:val="21"/>
        </w:rPr>
      </w:pPr>
      <w:r>
        <w:rPr>
          <w:rFonts w:hint="eastAsia" w:ascii="宋体" w:hAnsi="宋体"/>
          <w:color w:val="auto"/>
          <w:szCs w:val="21"/>
        </w:rPr>
        <w:t>1.4.3 发包人对工程的技术标准和功能要求的特殊要求：</w:t>
      </w:r>
      <w:r>
        <w:rPr>
          <w:rFonts w:hint="eastAsia" w:ascii="宋体" w:hAnsi="宋体"/>
          <w:color w:val="auto"/>
          <w:kern w:val="0"/>
          <w:szCs w:val="21"/>
          <w:u w:val="single"/>
        </w:rPr>
        <w:t xml:space="preserve">/ </w:t>
      </w:r>
      <w:r>
        <w:rPr>
          <w:rFonts w:hint="eastAsia" w:ascii="宋体" w:hAnsi="宋体"/>
          <w:color w:val="auto"/>
          <w:szCs w:val="21"/>
        </w:rPr>
        <w:t>。</w:t>
      </w:r>
    </w:p>
    <w:p w14:paraId="59A75DB4">
      <w:pPr>
        <w:pStyle w:val="7"/>
        <w:spacing w:before="0" w:beforeAutospacing="0" w:after="0" w:afterAutospacing="0" w:line="360" w:lineRule="auto"/>
        <w:ind w:firstLine="422" w:firstLineChars="200"/>
        <w:rPr>
          <w:color w:val="auto"/>
          <w:sz w:val="21"/>
          <w:szCs w:val="21"/>
        </w:rPr>
      </w:pPr>
      <w:bookmarkStart w:id="847" w:name="_Toc532377324"/>
      <w:r>
        <w:rPr>
          <w:rFonts w:hint="eastAsia"/>
          <w:color w:val="auto"/>
          <w:sz w:val="21"/>
          <w:szCs w:val="21"/>
        </w:rPr>
        <w:t>1.5 合同文件的优先顺序</w:t>
      </w:r>
      <w:bookmarkEnd w:id="847"/>
    </w:p>
    <w:p w14:paraId="344888DF">
      <w:pPr>
        <w:spacing w:line="360" w:lineRule="auto"/>
        <w:ind w:firstLine="560" w:firstLineChars="200"/>
        <w:jc w:val="left"/>
        <w:rPr>
          <w:rFonts w:ascii="宋体" w:hAnsi="宋体"/>
          <w:color w:val="auto"/>
          <w:szCs w:val="21"/>
        </w:rPr>
      </w:pPr>
      <w:r>
        <w:rPr>
          <w:rFonts w:hint="eastAsia" w:ascii="宋体" w:hAnsi="宋体"/>
          <w:color w:val="auto"/>
          <w:szCs w:val="21"/>
        </w:rPr>
        <w:t>合同文件组成及优先顺序为：</w:t>
      </w:r>
      <w:r>
        <w:rPr>
          <w:rFonts w:hint="eastAsia" w:ascii="宋体" w:hAnsi="宋体"/>
          <w:color w:val="auto"/>
          <w:szCs w:val="21"/>
          <w:u w:val="single"/>
        </w:rPr>
        <w:t>按照合同协议书</w:t>
      </w:r>
      <w:r>
        <w:rPr>
          <w:rFonts w:hint="eastAsia" w:ascii="宋体" w:hAnsi="宋体"/>
          <w:bCs/>
          <w:color w:val="auto"/>
          <w:szCs w:val="21"/>
          <w:u w:val="single"/>
        </w:rPr>
        <w:t>〔</w:t>
      </w:r>
      <w:r>
        <w:rPr>
          <w:rFonts w:hint="eastAsia" w:ascii="宋体" w:hAnsi="宋体"/>
          <w:color w:val="auto"/>
          <w:szCs w:val="21"/>
          <w:u w:val="single"/>
        </w:rPr>
        <w:t>第六条</w:t>
      </w:r>
      <w:r>
        <w:rPr>
          <w:rFonts w:hint="eastAsia" w:ascii="宋体" w:hAnsi="宋体"/>
          <w:bCs/>
          <w:color w:val="auto"/>
          <w:szCs w:val="21"/>
          <w:u w:val="single"/>
        </w:rPr>
        <w:t>〕</w:t>
      </w:r>
      <w:r>
        <w:rPr>
          <w:rFonts w:hint="eastAsia" w:ascii="宋体" w:hAnsi="宋体"/>
          <w:color w:val="auto"/>
          <w:szCs w:val="21"/>
          <w:u w:val="single"/>
        </w:rPr>
        <w:t>约定执行</w:t>
      </w:r>
      <w:r>
        <w:rPr>
          <w:rFonts w:hint="eastAsia" w:ascii="宋体" w:hAnsi="宋体"/>
          <w:color w:val="auto"/>
          <w:szCs w:val="21"/>
        </w:rPr>
        <w:t>。</w:t>
      </w:r>
    </w:p>
    <w:p w14:paraId="54280AC5">
      <w:pPr>
        <w:pStyle w:val="7"/>
        <w:spacing w:before="0" w:beforeAutospacing="0" w:after="0" w:afterAutospacing="0" w:line="360" w:lineRule="auto"/>
        <w:ind w:firstLine="422" w:firstLineChars="200"/>
        <w:rPr>
          <w:color w:val="auto"/>
          <w:sz w:val="21"/>
          <w:szCs w:val="21"/>
        </w:rPr>
      </w:pPr>
      <w:bookmarkStart w:id="848" w:name="_Toc532377325"/>
      <w:r>
        <w:rPr>
          <w:rFonts w:hint="eastAsia"/>
          <w:color w:val="auto"/>
          <w:sz w:val="21"/>
          <w:szCs w:val="21"/>
        </w:rPr>
        <w:t>1.6 图纸和承包人文件</w:t>
      </w:r>
      <w:bookmarkEnd w:id="848"/>
    </w:p>
    <w:p w14:paraId="60DCACA6">
      <w:pPr>
        <w:spacing w:line="360" w:lineRule="auto"/>
        <w:ind w:firstLine="560" w:firstLineChars="200"/>
        <w:jc w:val="left"/>
        <w:rPr>
          <w:rFonts w:ascii="宋体" w:hAnsi="宋体"/>
          <w:color w:val="auto"/>
          <w:szCs w:val="21"/>
        </w:rPr>
      </w:pPr>
      <w:r>
        <w:rPr>
          <w:rFonts w:hint="eastAsia" w:ascii="宋体" w:hAnsi="宋体"/>
          <w:color w:val="auto"/>
          <w:szCs w:val="21"/>
        </w:rPr>
        <w:t>1.6.1 图纸的提供和交底</w:t>
      </w:r>
    </w:p>
    <w:p w14:paraId="7C52CBEB">
      <w:pPr>
        <w:spacing w:line="360" w:lineRule="auto"/>
        <w:ind w:firstLine="560" w:firstLineChars="200"/>
        <w:jc w:val="left"/>
        <w:rPr>
          <w:rFonts w:ascii="宋体" w:hAnsi="宋体"/>
          <w:color w:val="auto"/>
          <w:szCs w:val="21"/>
        </w:rPr>
      </w:pPr>
      <w:r>
        <w:rPr>
          <w:rFonts w:hint="eastAsia" w:ascii="宋体" w:hAnsi="宋体"/>
          <w:color w:val="auto"/>
          <w:szCs w:val="21"/>
        </w:rPr>
        <w:t>发包人向承包人提供图纸的期限：</w:t>
      </w:r>
      <w:r>
        <w:rPr>
          <w:rFonts w:hint="eastAsia" w:ascii="宋体" w:hAnsi="宋体"/>
          <w:color w:val="auto"/>
          <w:szCs w:val="21"/>
          <w:u w:val="single"/>
          <w:lang w:eastAsia="zh-CN"/>
        </w:rPr>
        <w:t>合同签订之日起</w:t>
      </w:r>
      <w:r>
        <w:rPr>
          <w:rFonts w:hint="eastAsia" w:ascii="宋体" w:hAnsi="宋体"/>
          <w:color w:val="auto"/>
          <w:szCs w:val="21"/>
          <w:u w:val="single"/>
          <w:lang w:val="en-US" w:eastAsia="zh-CN"/>
        </w:rPr>
        <w:t>3日内</w:t>
      </w:r>
      <w:r>
        <w:rPr>
          <w:rFonts w:hint="eastAsia" w:ascii="宋体" w:hAnsi="宋体"/>
          <w:color w:val="auto"/>
          <w:szCs w:val="21"/>
        </w:rPr>
        <w:t>；</w:t>
      </w:r>
    </w:p>
    <w:p w14:paraId="0C1891A3">
      <w:pPr>
        <w:spacing w:line="360" w:lineRule="auto"/>
        <w:ind w:firstLine="560" w:firstLineChars="200"/>
        <w:jc w:val="left"/>
        <w:rPr>
          <w:rFonts w:ascii="宋体" w:hAnsi="宋体"/>
          <w:color w:val="auto"/>
          <w:szCs w:val="21"/>
        </w:rPr>
      </w:pPr>
      <w:r>
        <w:rPr>
          <w:rFonts w:hint="eastAsia" w:ascii="宋体" w:hAnsi="宋体"/>
          <w:color w:val="auto"/>
          <w:szCs w:val="21"/>
        </w:rPr>
        <w:t>发包人向承包人提供图纸的数量：</w:t>
      </w:r>
      <w:r>
        <w:rPr>
          <w:rFonts w:hint="eastAsia" w:ascii="宋体" w:hAnsi="宋体"/>
          <w:color w:val="auto"/>
          <w:szCs w:val="21"/>
          <w:u w:val="single"/>
        </w:rPr>
        <w:t xml:space="preserve"> </w:t>
      </w:r>
      <w:r>
        <w:rPr>
          <w:rFonts w:hint="eastAsia" w:ascii="宋体" w:hAnsi="宋体"/>
          <w:color w:val="auto"/>
          <w:szCs w:val="21"/>
          <w:u w:val="single"/>
          <w:lang w:val="en-US" w:eastAsia="zh-CN"/>
        </w:rPr>
        <w:t>2</w:t>
      </w:r>
      <w:r>
        <w:rPr>
          <w:rFonts w:hint="eastAsia" w:ascii="宋体" w:hAnsi="宋体"/>
          <w:color w:val="auto"/>
          <w:szCs w:val="21"/>
          <w:u w:val="single"/>
        </w:rPr>
        <w:t xml:space="preserve"> 套</w:t>
      </w:r>
      <w:r>
        <w:rPr>
          <w:rFonts w:hint="eastAsia" w:ascii="宋体" w:hAnsi="宋体"/>
          <w:color w:val="auto"/>
          <w:szCs w:val="21"/>
        </w:rPr>
        <w:t xml:space="preserve">； </w:t>
      </w:r>
    </w:p>
    <w:p w14:paraId="47B80476">
      <w:pPr>
        <w:spacing w:line="360" w:lineRule="auto"/>
        <w:ind w:firstLine="560" w:firstLineChars="200"/>
        <w:jc w:val="left"/>
        <w:rPr>
          <w:rFonts w:ascii="宋体" w:hAnsi="宋体"/>
          <w:color w:val="auto"/>
          <w:szCs w:val="21"/>
        </w:rPr>
      </w:pPr>
      <w:r>
        <w:rPr>
          <w:rFonts w:hint="eastAsia" w:ascii="宋体" w:hAnsi="宋体"/>
          <w:color w:val="auto"/>
          <w:szCs w:val="21"/>
        </w:rPr>
        <w:t>发包人向承包人提供图纸的内容：</w:t>
      </w:r>
      <w:r>
        <w:rPr>
          <w:rFonts w:hint="eastAsia" w:ascii="宋体" w:hAnsi="宋体"/>
          <w:color w:val="auto"/>
          <w:szCs w:val="21"/>
          <w:u w:val="single"/>
        </w:rPr>
        <w:t>工程承包范围内工程的施工图设计文件</w:t>
      </w:r>
      <w:r>
        <w:rPr>
          <w:rFonts w:hint="eastAsia" w:ascii="宋体" w:hAnsi="宋体"/>
          <w:color w:val="auto"/>
          <w:szCs w:val="21"/>
        </w:rPr>
        <w:t>；</w:t>
      </w:r>
    </w:p>
    <w:p w14:paraId="724CBF3F">
      <w:pPr>
        <w:spacing w:line="360" w:lineRule="auto"/>
        <w:ind w:firstLine="560" w:firstLineChars="200"/>
        <w:jc w:val="left"/>
        <w:rPr>
          <w:rFonts w:ascii="宋体" w:hAnsi="宋体"/>
          <w:color w:val="auto"/>
          <w:szCs w:val="21"/>
          <w:u w:val="single"/>
        </w:rPr>
      </w:pPr>
      <w:r>
        <w:rPr>
          <w:rFonts w:hint="eastAsia" w:ascii="宋体" w:hAnsi="宋体"/>
          <w:color w:val="auto"/>
          <w:szCs w:val="21"/>
        </w:rPr>
        <w:t>发包人组织承包人、监理人和设计人进行图纸会审和设计交底的时间：</w:t>
      </w:r>
      <w:r>
        <w:rPr>
          <w:rFonts w:hint="eastAsia" w:ascii="宋体" w:hAnsi="宋体"/>
          <w:color w:val="auto"/>
          <w:szCs w:val="21"/>
          <w:u w:val="single"/>
        </w:rPr>
        <w:t>提供施工图后7天内</w:t>
      </w:r>
      <w:r>
        <w:rPr>
          <w:rFonts w:hint="eastAsia" w:ascii="宋体" w:hAnsi="宋体"/>
          <w:color w:val="auto"/>
          <w:szCs w:val="21"/>
        </w:rPr>
        <w:t>。</w:t>
      </w:r>
    </w:p>
    <w:p w14:paraId="295BAA35">
      <w:pPr>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承包人可以书面方式通过监理人向发包人申请进行紧急的设计交底，发包人认为确有必要且条件许可时，应尽快组织实施承包人申请的设计交底。</w:t>
      </w:r>
    </w:p>
    <w:p w14:paraId="6C913291">
      <w:pPr>
        <w:spacing w:line="360" w:lineRule="auto"/>
        <w:ind w:firstLine="560" w:firstLineChars="200"/>
        <w:jc w:val="left"/>
        <w:rPr>
          <w:rFonts w:ascii="宋体" w:hAnsi="宋体"/>
          <w:color w:val="auto"/>
          <w:szCs w:val="21"/>
        </w:rPr>
      </w:pPr>
      <w:r>
        <w:rPr>
          <w:rFonts w:hint="eastAsia" w:ascii="宋体" w:hAnsi="宋体"/>
          <w:color w:val="auto"/>
          <w:szCs w:val="21"/>
        </w:rPr>
        <w:t>1.6.2 图纸的错误</w:t>
      </w:r>
    </w:p>
    <w:p w14:paraId="7FC22383">
      <w:pPr>
        <w:spacing w:line="360" w:lineRule="auto"/>
        <w:ind w:firstLine="560" w:firstLineChars="200"/>
        <w:jc w:val="left"/>
        <w:rPr>
          <w:rFonts w:ascii="宋体" w:hAnsi="宋体"/>
          <w:color w:val="auto"/>
          <w:szCs w:val="21"/>
        </w:rPr>
      </w:pPr>
      <w:r>
        <w:rPr>
          <w:rFonts w:hint="eastAsia" w:ascii="宋体" w:hAnsi="宋体"/>
          <w:color w:val="auto"/>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5C20793A">
      <w:pPr>
        <w:spacing w:line="360" w:lineRule="auto"/>
        <w:ind w:firstLine="560" w:firstLineChars="200"/>
        <w:jc w:val="left"/>
        <w:rPr>
          <w:rFonts w:ascii="宋体" w:hAnsi="宋体"/>
          <w:color w:val="auto"/>
          <w:szCs w:val="21"/>
          <w:u w:val="single"/>
        </w:rPr>
      </w:pPr>
      <w:r>
        <w:rPr>
          <w:rFonts w:hint="eastAsia" w:ascii="宋体" w:hAnsi="宋体"/>
          <w:color w:val="auto"/>
          <w:szCs w:val="21"/>
        </w:rPr>
        <w:t>承包人不得利用图纸的差错、遗漏或缺陷，从中获得不正当的利益。</w:t>
      </w:r>
    </w:p>
    <w:p w14:paraId="55DA9139">
      <w:pPr>
        <w:spacing w:line="360" w:lineRule="auto"/>
        <w:ind w:firstLine="560" w:firstLineChars="200"/>
        <w:jc w:val="left"/>
        <w:rPr>
          <w:rFonts w:ascii="宋体" w:hAnsi="宋体"/>
          <w:color w:val="auto"/>
          <w:szCs w:val="21"/>
        </w:rPr>
      </w:pPr>
      <w:r>
        <w:rPr>
          <w:rFonts w:hint="eastAsia" w:ascii="宋体" w:hAnsi="宋体"/>
          <w:color w:val="auto"/>
          <w:szCs w:val="21"/>
        </w:rPr>
        <w:t>1.6.4 承包人文件</w:t>
      </w:r>
    </w:p>
    <w:p w14:paraId="2F8BABC1">
      <w:pPr>
        <w:spacing w:line="360" w:lineRule="auto"/>
        <w:ind w:firstLine="560" w:firstLineChars="200"/>
        <w:jc w:val="left"/>
        <w:rPr>
          <w:rFonts w:ascii="宋体" w:hAnsi="宋体"/>
          <w:color w:val="auto"/>
          <w:szCs w:val="21"/>
        </w:rPr>
      </w:pPr>
      <w:r>
        <w:rPr>
          <w:rFonts w:hint="eastAsia" w:ascii="宋体" w:hAnsi="宋体"/>
          <w:color w:val="auto"/>
          <w:szCs w:val="21"/>
        </w:rPr>
        <w:t>需要由承包人提供的书面文件，包括：</w:t>
      </w:r>
      <w:r>
        <w:rPr>
          <w:rFonts w:hint="eastAsia" w:ascii="宋体" w:hAnsi="宋体"/>
          <w:color w:val="auto"/>
          <w:szCs w:val="21"/>
          <w:u w:val="single"/>
        </w:rPr>
        <w:t>施工组织设计、专项施工方案、</w:t>
      </w:r>
      <w:r>
        <w:rPr>
          <w:rFonts w:ascii="宋体" w:hAnsi="宋体"/>
          <w:color w:val="auto"/>
          <w:szCs w:val="21"/>
          <w:u w:val="single"/>
        </w:rPr>
        <w:t>危险性较大分部分项工程施工方案</w:t>
      </w:r>
      <w:r>
        <w:rPr>
          <w:rFonts w:hint="eastAsia" w:ascii="宋体" w:hAnsi="宋体"/>
          <w:color w:val="auto"/>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rPr>
        <w:t>。</w:t>
      </w:r>
    </w:p>
    <w:p w14:paraId="4AEF02E8">
      <w:pPr>
        <w:spacing w:line="360" w:lineRule="auto"/>
        <w:ind w:firstLine="560" w:firstLineChars="200"/>
        <w:jc w:val="left"/>
        <w:rPr>
          <w:rFonts w:ascii="宋体" w:hAnsi="宋体"/>
          <w:color w:val="auto"/>
          <w:szCs w:val="21"/>
        </w:rPr>
      </w:pPr>
      <w:r>
        <w:rPr>
          <w:rFonts w:hint="eastAsia" w:ascii="宋体" w:hAnsi="宋体"/>
          <w:color w:val="auto"/>
          <w:szCs w:val="21"/>
        </w:rPr>
        <w:t>承包人提供文件的期限、数量：</w:t>
      </w:r>
    </w:p>
    <w:p w14:paraId="3DA199FD">
      <w:pPr>
        <w:spacing w:line="360" w:lineRule="auto"/>
        <w:ind w:firstLine="560" w:firstLineChars="200"/>
        <w:jc w:val="left"/>
        <w:rPr>
          <w:rFonts w:ascii="宋体" w:hAnsi="宋体"/>
          <w:color w:val="auto"/>
          <w:szCs w:val="21"/>
          <w:u w:val="single"/>
        </w:rPr>
      </w:pPr>
      <w:r>
        <w:rPr>
          <w:rFonts w:hint="eastAsia" w:ascii="宋体" w:hAnsi="宋体"/>
          <w:color w:val="auto"/>
          <w:szCs w:val="21"/>
        </w:rPr>
        <w:t>（1）</w:t>
      </w:r>
      <w:r>
        <w:rPr>
          <w:rFonts w:hint="eastAsia" w:ascii="宋体" w:hAnsi="宋体"/>
          <w:color w:val="auto"/>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rPr>
        <w:t>。</w:t>
      </w:r>
    </w:p>
    <w:p w14:paraId="60621B2F">
      <w:pPr>
        <w:spacing w:line="360" w:lineRule="auto"/>
        <w:ind w:firstLine="56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u w:val="single"/>
        </w:rPr>
        <w:t>每月</w:t>
      </w:r>
      <w:r>
        <w:rPr>
          <w:rFonts w:hint="eastAsia" w:ascii="宋体" w:hAnsi="宋体"/>
          <w:color w:val="auto"/>
          <w:szCs w:val="21"/>
          <w:u w:val="single"/>
          <w:lang w:val="en-US" w:eastAsia="zh-CN"/>
        </w:rPr>
        <w:t>20</w:t>
      </w:r>
      <w:r>
        <w:rPr>
          <w:rFonts w:hint="eastAsia" w:ascii="宋体" w:hAnsi="宋体"/>
          <w:color w:val="auto"/>
          <w:szCs w:val="21"/>
          <w:u w:val="single"/>
        </w:rPr>
        <w:t>日前报送月工程进度完成报表</w:t>
      </w:r>
      <w:r>
        <w:rPr>
          <w:rFonts w:hint="eastAsia" w:ascii="宋体" w:hAnsi="宋体"/>
          <w:color w:val="auto"/>
          <w:szCs w:val="21"/>
        </w:rPr>
        <w:t>。</w:t>
      </w:r>
    </w:p>
    <w:p w14:paraId="4DBA0B7B">
      <w:pPr>
        <w:spacing w:line="360" w:lineRule="auto"/>
        <w:ind w:firstLine="560" w:firstLineChars="200"/>
        <w:jc w:val="left"/>
        <w:rPr>
          <w:rFonts w:ascii="宋体" w:hAnsi="宋体"/>
          <w:color w:val="auto"/>
          <w:szCs w:val="21"/>
          <w:u w:val="single"/>
        </w:rPr>
      </w:pPr>
      <w:r>
        <w:rPr>
          <w:rFonts w:hint="eastAsia" w:ascii="宋体" w:hAnsi="宋体"/>
          <w:color w:val="auto"/>
          <w:szCs w:val="21"/>
        </w:rPr>
        <w:t>（3）合同另有约定的，按照其约定。</w:t>
      </w:r>
    </w:p>
    <w:p w14:paraId="797BAC99">
      <w:pPr>
        <w:spacing w:line="360" w:lineRule="auto"/>
        <w:ind w:firstLine="560" w:firstLineChars="200"/>
        <w:jc w:val="left"/>
        <w:rPr>
          <w:rFonts w:ascii="宋体" w:hAnsi="宋体"/>
          <w:color w:val="auto"/>
          <w:szCs w:val="21"/>
          <w:u w:val="single"/>
        </w:rPr>
      </w:pPr>
      <w:r>
        <w:rPr>
          <w:rFonts w:hint="eastAsia" w:ascii="宋体" w:hAnsi="宋体"/>
          <w:color w:val="auto"/>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u w:val="single"/>
        </w:rPr>
        <w:t>收到施工组织设计和工程总体进度计划及当年年度施工进度计划后7天内；合同另有约定的，从其约定</w:t>
      </w:r>
      <w:r>
        <w:rPr>
          <w:rFonts w:hint="eastAsia" w:ascii="宋体" w:hAnsi="宋体"/>
          <w:color w:val="auto"/>
          <w:szCs w:val="21"/>
        </w:rPr>
        <w:t>。</w:t>
      </w:r>
    </w:p>
    <w:p w14:paraId="04124381">
      <w:pPr>
        <w:spacing w:line="360" w:lineRule="auto"/>
        <w:ind w:firstLine="560" w:firstLineChars="200"/>
        <w:jc w:val="left"/>
        <w:rPr>
          <w:rFonts w:ascii="宋体" w:hAnsi="宋体"/>
          <w:color w:val="auto"/>
          <w:szCs w:val="21"/>
        </w:rPr>
      </w:pPr>
      <w:r>
        <w:rPr>
          <w:rFonts w:hint="eastAsia" w:ascii="宋体" w:hAnsi="宋体"/>
          <w:color w:val="auto"/>
          <w:szCs w:val="21"/>
        </w:rPr>
        <w:t>承包人提供的文件的费用：</w:t>
      </w:r>
      <w:r>
        <w:rPr>
          <w:rFonts w:hint="eastAsia" w:ascii="宋体" w:hAnsi="宋体"/>
          <w:color w:val="auto"/>
          <w:szCs w:val="21"/>
          <w:u w:val="single"/>
        </w:rPr>
        <w:t>由承包人承担</w:t>
      </w:r>
      <w:r>
        <w:rPr>
          <w:rFonts w:hint="eastAsia" w:ascii="宋体" w:hAnsi="宋体"/>
          <w:color w:val="auto"/>
          <w:szCs w:val="21"/>
        </w:rPr>
        <w:t>。</w:t>
      </w:r>
    </w:p>
    <w:p w14:paraId="05D5D369">
      <w:pPr>
        <w:spacing w:line="360" w:lineRule="auto"/>
        <w:ind w:firstLine="560" w:firstLineChars="200"/>
        <w:jc w:val="left"/>
        <w:rPr>
          <w:rFonts w:ascii="宋体" w:hAnsi="宋体"/>
          <w:color w:val="auto"/>
          <w:szCs w:val="21"/>
          <w:u w:val="single"/>
        </w:rPr>
      </w:pPr>
      <w:r>
        <w:rPr>
          <w:rFonts w:hint="eastAsia" w:ascii="宋体" w:hAnsi="宋体"/>
          <w:color w:val="auto"/>
          <w:szCs w:val="21"/>
        </w:rPr>
        <w:t>发包人审批承包人文件的期限：</w:t>
      </w:r>
      <w:r>
        <w:rPr>
          <w:rFonts w:hint="eastAsia" w:ascii="宋体" w:hAnsi="宋体"/>
          <w:color w:val="auto"/>
          <w:szCs w:val="21"/>
          <w:u w:val="single"/>
        </w:rPr>
        <w:t>收到后14天内；合同另有约定的，从其约定</w:t>
      </w:r>
      <w:r>
        <w:rPr>
          <w:rFonts w:hint="eastAsia" w:ascii="宋体" w:hAnsi="宋体"/>
          <w:color w:val="auto"/>
          <w:szCs w:val="21"/>
        </w:rPr>
        <w:t>。</w:t>
      </w:r>
    </w:p>
    <w:p w14:paraId="1E3D76F9">
      <w:pPr>
        <w:spacing w:line="360" w:lineRule="auto"/>
        <w:ind w:firstLine="560" w:firstLineChars="200"/>
        <w:jc w:val="left"/>
        <w:rPr>
          <w:rFonts w:ascii="宋体" w:hAnsi="宋体"/>
          <w:color w:val="auto"/>
          <w:szCs w:val="21"/>
        </w:rPr>
      </w:pPr>
      <w:r>
        <w:rPr>
          <w:rFonts w:hint="eastAsia" w:ascii="宋体" w:hAnsi="宋体"/>
          <w:color w:val="auto"/>
          <w:szCs w:val="21"/>
          <w:u w:val="single"/>
        </w:rPr>
        <w:t>监理人、发包人的修改意见和审批，不免除或减轻承包人对该工作、工程、材料、工程设备等应承担的责任和义务</w:t>
      </w:r>
      <w:r>
        <w:rPr>
          <w:rFonts w:hint="eastAsia" w:ascii="宋体" w:hAnsi="宋体"/>
          <w:color w:val="auto"/>
          <w:szCs w:val="21"/>
        </w:rPr>
        <w:t>。</w:t>
      </w:r>
    </w:p>
    <w:p w14:paraId="030C8F0C">
      <w:pPr>
        <w:pStyle w:val="7"/>
        <w:spacing w:before="0" w:beforeAutospacing="0" w:after="0" w:afterAutospacing="0" w:line="360" w:lineRule="auto"/>
        <w:ind w:firstLine="422" w:firstLineChars="200"/>
        <w:rPr>
          <w:color w:val="auto"/>
          <w:sz w:val="21"/>
          <w:szCs w:val="21"/>
        </w:rPr>
      </w:pPr>
      <w:bookmarkStart w:id="849" w:name="_Toc532377326"/>
      <w:r>
        <w:rPr>
          <w:rFonts w:hint="eastAsia"/>
          <w:color w:val="auto"/>
          <w:sz w:val="21"/>
          <w:szCs w:val="21"/>
        </w:rPr>
        <w:t>1.7 联络</w:t>
      </w:r>
      <w:bookmarkEnd w:id="849"/>
    </w:p>
    <w:p w14:paraId="6609B61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1.7.1 发包人和承包人应当在</w:t>
      </w:r>
      <w:r>
        <w:rPr>
          <w:rFonts w:hint="eastAsia" w:ascii="宋体" w:hAnsi="宋体"/>
          <w:color w:val="auto"/>
          <w:szCs w:val="21"/>
          <w:u w:val="single"/>
        </w:rPr>
        <w:t xml:space="preserve"> 1 </w:t>
      </w:r>
      <w:r>
        <w:rPr>
          <w:rFonts w:hint="eastAsia" w:ascii="宋体" w:hAnsi="宋体"/>
          <w:color w:val="auto"/>
          <w:kern w:val="0"/>
          <w:szCs w:val="21"/>
        </w:rPr>
        <w:t>天内将与合同有关的通知、批准、证明、证书、指示、指令、要求、请求、同意、意见、确定和决定等书面函件送达对方当事人，并办理书面签收手续。</w:t>
      </w:r>
    </w:p>
    <w:p w14:paraId="29665F46">
      <w:pPr>
        <w:tabs>
          <w:tab w:val="left" w:pos="7513"/>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1.7.2 发包人接收文件地点：</w:t>
      </w:r>
      <w:r>
        <w:rPr>
          <w:rFonts w:ascii="宋体" w:hAnsi="宋体"/>
          <w:color w:val="auto"/>
          <w:kern w:val="0"/>
          <w:szCs w:val="21"/>
          <w:u w:val="single"/>
        </w:rPr>
        <w:t xml:space="preserve"> </w:t>
      </w:r>
      <w:r>
        <w:rPr>
          <w:rFonts w:hint="eastAsia" w:ascii="宋体" w:hAnsi="宋体"/>
          <w:color w:val="auto"/>
          <w:kern w:val="0"/>
          <w:szCs w:val="21"/>
          <w:u w:val="single"/>
        </w:rPr>
        <w:t>永川区昌州大道西段1111号</w:t>
      </w:r>
      <w:r>
        <w:rPr>
          <w:rFonts w:ascii="宋体" w:hAnsi="宋体"/>
          <w:color w:val="auto"/>
          <w:kern w:val="0"/>
          <w:szCs w:val="21"/>
          <w:u w:val="single"/>
        </w:rPr>
        <w:t xml:space="preserve"> </w:t>
      </w:r>
      <w:r>
        <w:rPr>
          <w:rFonts w:hint="eastAsia" w:ascii="宋体" w:hAnsi="宋体"/>
          <w:color w:val="auto"/>
          <w:kern w:val="0"/>
          <w:szCs w:val="21"/>
        </w:rPr>
        <w:t>；</w:t>
      </w:r>
    </w:p>
    <w:p w14:paraId="46C64546">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发包人指定的接收人：</w:t>
      </w:r>
      <w:bookmarkStart w:id="850" w:name="_Hlk528493983"/>
      <w:bookmarkEnd w:id="850"/>
      <w:r>
        <w:rPr>
          <w:rFonts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ascii="宋体" w:hAnsi="宋体"/>
          <w:color w:val="auto"/>
          <w:kern w:val="0"/>
          <w:szCs w:val="21"/>
          <w:u w:val="single"/>
        </w:rPr>
        <w:t xml:space="preserve">              </w:t>
      </w:r>
      <w:r>
        <w:rPr>
          <w:rFonts w:hint="eastAsia" w:ascii="宋体" w:hAnsi="宋体"/>
          <w:color w:val="auto"/>
          <w:kern w:val="0"/>
          <w:szCs w:val="21"/>
        </w:rPr>
        <w:t>；</w:t>
      </w:r>
    </w:p>
    <w:p w14:paraId="6177F66C">
      <w:pPr>
        <w:tabs>
          <w:tab w:val="left" w:pos="7513"/>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承包人接收文件地点：</w:t>
      </w:r>
      <w:r>
        <w:rPr>
          <w:rFonts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ascii="宋体" w:hAnsi="宋体"/>
          <w:color w:val="auto"/>
          <w:kern w:val="0"/>
          <w:szCs w:val="21"/>
          <w:u w:val="single"/>
        </w:rPr>
        <w:t xml:space="preserve">  </w:t>
      </w:r>
      <w:r>
        <w:rPr>
          <w:rFonts w:hint="eastAsia" w:ascii="宋体" w:hAnsi="宋体"/>
          <w:color w:val="auto"/>
          <w:kern w:val="0"/>
          <w:szCs w:val="21"/>
        </w:rPr>
        <w:t>；</w:t>
      </w:r>
    </w:p>
    <w:p w14:paraId="427B5E0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承包人指定的接收人：</w:t>
      </w:r>
      <w:r>
        <w:rPr>
          <w:rFonts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ascii="宋体" w:hAnsi="宋体"/>
          <w:color w:val="auto"/>
          <w:kern w:val="0"/>
          <w:szCs w:val="21"/>
          <w:u w:val="single"/>
        </w:rPr>
        <w:t xml:space="preserve">               </w:t>
      </w:r>
      <w:r>
        <w:rPr>
          <w:rFonts w:hint="eastAsia" w:ascii="宋体" w:hAnsi="宋体"/>
          <w:color w:val="auto"/>
          <w:kern w:val="0"/>
          <w:szCs w:val="21"/>
        </w:rPr>
        <w:t>；</w:t>
      </w:r>
    </w:p>
    <w:p w14:paraId="1CD660B4">
      <w:pPr>
        <w:tabs>
          <w:tab w:val="left" w:pos="7371"/>
        </w:tabs>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监理人接收文件地点：</w:t>
      </w:r>
      <w:r>
        <w:rPr>
          <w:rFonts w:ascii="宋体" w:hAnsi="宋体"/>
          <w:color w:val="auto"/>
          <w:kern w:val="0"/>
          <w:szCs w:val="21"/>
          <w:u w:val="single"/>
        </w:rPr>
        <w:t xml:space="preserve">                             </w:t>
      </w:r>
      <w:r>
        <w:rPr>
          <w:rFonts w:hint="eastAsia" w:ascii="宋体" w:hAnsi="宋体"/>
          <w:color w:val="auto"/>
          <w:kern w:val="0"/>
          <w:szCs w:val="21"/>
        </w:rPr>
        <w:t>；</w:t>
      </w:r>
    </w:p>
    <w:p w14:paraId="7E1E9E22">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监理人指定的接收人：</w:t>
      </w:r>
      <w:r>
        <w:rPr>
          <w:rFonts w:ascii="宋体" w:hAnsi="宋体"/>
          <w:color w:val="auto"/>
          <w:kern w:val="0"/>
          <w:szCs w:val="21"/>
          <w:u w:val="single"/>
        </w:rPr>
        <w:t xml:space="preserve">                             </w:t>
      </w:r>
      <w:r>
        <w:rPr>
          <w:rFonts w:hint="eastAsia" w:ascii="宋体" w:hAnsi="宋体"/>
          <w:color w:val="auto"/>
          <w:kern w:val="0"/>
          <w:szCs w:val="21"/>
        </w:rPr>
        <w:t>。</w:t>
      </w:r>
    </w:p>
    <w:p w14:paraId="249EECA4">
      <w:pPr>
        <w:pStyle w:val="7"/>
        <w:spacing w:before="0" w:beforeAutospacing="0" w:after="0" w:afterAutospacing="0" w:line="360" w:lineRule="auto"/>
        <w:ind w:firstLine="422" w:firstLineChars="200"/>
        <w:rPr>
          <w:color w:val="auto"/>
          <w:sz w:val="21"/>
          <w:szCs w:val="21"/>
        </w:rPr>
      </w:pPr>
      <w:bookmarkStart w:id="851" w:name="_Toc532377327"/>
      <w:r>
        <w:rPr>
          <w:rFonts w:hint="eastAsia"/>
          <w:color w:val="auto"/>
          <w:sz w:val="21"/>
          <w:szCs w:val="21"/>
        </w:rPr>
        <w:t>1.8 严禁贿赂</w:t>
      </w:r>
      <w:bookmarkEnd w:id="851"/>
    </w:p>
    <w:p w14:paraId="4D022957">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本款补充以下内容：</w:t>
      </w:r>
    </w:p>
    <w:p w14:paraId="2F99ACD9">
      <w:pPr>
        <w:spacing w:line="360" w:lineRule="auto"/>
        <w:ind w:firstLine="560" w:firstLineChars="200"/>
        <w:jc w:val="left"/>
        <w:rPr>
          <w:rFonts w:ascii="宋体" w:hAnsi="宋体"/>
          <w:color w:val="auto"/>
          <w:kern w:val="0"/>
          <w:szCs w:val="21"/>
          <w:u w:val="single"/>
        </w:rPr>
      </w:pPr>
      <w:r>
        <w:rPr>
          <w:rFonts w:hint="eastAsia" w:ascii="宋体" w:hAnsi="宋体"/>
          <w:color w:val="auto"/>
          <w:kern w:val="0"/>
          <w:szCs w:val="21"/>
        </w:rPr>
        <w:t>在合同执行过程中，合同当事人应严格履行附件8《廉洁从业协议》。</w:t>
      </w:r>
    </w:p>
    <w:p w14:paraId="7E4919E0">
      <w:pPr>
        <w:pStyle w:val="7"/>
        <w:spacing w:before="0" w:beforeAutospacing="0" w:after="0" w:afterAutospacing="0" w:line="360" w:lineRule="auto"/>
        <w:ind w:firstLine="422" w:firstLineChars="200"/>
        <w:rPr>
          <w:color w:val="auto"/>
          <w:sz w:val="21"/>
          <w:szCs w:val="21"/>
        </w:rPr>
      </w:pPr>
      <w:bookmarkStart w:id="852" w:name="_Toc532377328"/>
      <w:r>
        <w:rPr>
          <w:rFonts w:hint="eastAsia"/>
          <w:color w:val="auto"/>
          <w:sz w:val="21"/>
          <w:szCs w:val="21"/>
        </w:rPr>
        <w:t>1.10 交通运输</w:t>
      </w:r>
      <w:bookmarkEnd w:id="852"/>
    </w:p>
    <w:p w14:paraId="5A7C517B">
      <w:pPr>
        <w:spacing w:line="360" w:lineRule="auto"/>
        <w:ind w:firstLine="560" w:firstLineChars="200"/>
        <w:jc w:val="left"/>
        <w:rPr>
          <w:rFonts w:ascii="宋体" w:hAnsi="宋体"/>
          <w:color w:val="auto"/>
          <w:szCs w:val="21"/>
        </w:rPr>
      </w:pPr>
      <w:r>
        <w:rPr>
          <w:rFonts w:hint="eastAsia" w:ascii="宋体" w:hAnsi="宋体"/>
          <w:color w:val="auto"/>
          <w:szCs w:val="21"/>
        </w:rPr>
        <w:t>1</w:t>
      </w:r>
      <w:bookmarkStart w:id="853" w:name="_Toc304295521"/>
      <w:bookmarkStart w:id="854" w:name="_Toc303539100"/>
      <w:bookmarkStart w:id="855" w:name="_Toc300934943"/>
      <w:bookmarkStart w:id="856" w:name="_Toc318581155"/>
      <w:bookmarkStart w:id="857" w:name="_Toc312677986"/>
      <w:r>
        <w:rPr>
          <w:rFonts w:hint="eastAsia" w:ascii="宋体" w:hAnsi="宋体"/>
          <w:color w:val="auto"/>
          <w:szCs w:val="21"/>
        </w:rPr>
        <w:t>.10.1 出入现场的权利</w:t>
      </w:r>
    </w:p>
    <w:p w14:paraId="4E421F17">
      <w:pPr>
        <w:spacing w:line="360" w:lineRule="auto"/>
        <w:ind w:firstLine="560" w:firstLineChars="200"/>
        <w:jc w:val="left"/>
        <w:rPr>
          <w:rFonts w:ascii="宋体" w:hAnsi="宋体"/>
          <w:color w:val="auto"/>
          <w:kern w:val="0"/>
          <w:szCs w:val="21"/>
        </w:rPr>
      </w:pPr>
      <w:r>
        <w:rPr>
          <w:rFonts w:hint="eastAsia" w:ascii="宋体" w:hAnsi="宋体"/>
          <w:color w:val="auto"/>
          <w:szCs w:val="21"/>
        </w:rPr>
        <w:t>关于出入现场的权利的约定：</w:t>
      </w:r>
      <w:r>
        <w:rPr>
          <w:rFonts w:hint="eastAsia" w:ascii="宋体" w:hAnsi="宋体"/>
          <w:color w:val="auto"/>
          <w:szCs w:val="21"/>
          <w:u w:val="single"/>
        </w:rPr>
        <w:t xml:space="preserve"> </w:t>
      </w:r>
      <w:r>
        <w:rPr>
          <w:rFonts w:hint="eastAsia" w:ascii="宋体" w:hAnsi="宋体"/>
          <w:color w:val="auto"/>
          <w:szCs w:val="21"/>
          <w:u w:val="single"/>
          <w:lang w:eastAsia="zh-CN"/>
        </w:rPr>
        <w:t>经发包人审批</w:t>
      </w:r>
      <w:r>
        <w:rPr>
          <w:rFonts w:hint="eastAsia" w:ascii="宋体" w:hAnsi="宋体"/>
          <w:color w:val="auto"/>
          <w:szCs w:val="21"/>
          <w:u w:val="single"/>
        </w:rPr>
        <w:t xml:space="preserve">  </w:t>
      </w:r>
      <w:r>
        <w:rPr>
          <w:rFonts w:hint="eastAsia" w:ascii="宋体" w:hAnsi="宋体"/>
          <w:color w:val="auto"/>
          <w:szCs w:val="21"/>
        </w:rPr>
        <w:t>。</w:t>
      </w:r>
    </w:p>
    <w:bookmarkEnd w:id="853"/>
    <w:bookmarkEnd w:id="854"/>
    <w:bookmarkEnd w:id="855"/>
    <w:bookmarkEnd w:id="856"/>
    <w:bookmarkEnd w:id="857"/>
    <w:p w14:paraId="14F58B61">
      <w:pPr>
        <w:spacing w:line="360" w:lineRule="auto"/>
        <w:ind w:firstLine="560" w:firstLineChars="200"/>
        <w:jc w:val="left"/>
        <w:rPr>
          <w:rFonts w:ascii="宋体" w:hAnsi="宋体"/>
          <w:color w:val="auto"/>
          <w:szCs w:val="21"/>
        </w:rPr>
      </w:pPr>
      <w:r>
        <w:rPr>
          <w:rFonts w:hint="eastAsia" w:ascii="宋体" w:hAnsi="宋体"/>
          <w:color w:val="auto"/>
          <w:szCs w:val="21"/>
        </w:rPr>
        <w:t>1.10.2 场外交通</w:t>
      </w:r>
    </w:p>
    <w:p w14:paraId="5B6AB3DE">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承包人应遵守有关交通法规，执行有关道路限速、限行、禁止超载的规定，并配合交通管理部门的监督和检查。场外交通以施工场地移交时的现状为准。</w:t>
      </w:r>
    </w:p>
    <w:p w14:paraId="18AE387A">
      <w:pPr>
        <w:spacing w:line="360" w:lineRule="auto"/>
        <w:ind w:firstLine="560" w:firstLineChars="200"/>
        <w:jc w:val="left"/>
        <w:rPr>
          <w:rFonts w:ascii="宋体" w:hAnsi="宋体"/>
          <w:color w:val="auto"/>
          <w:szCs w:val="21"/>
        </w:rPr>
      </w:pPr>
      <w:r>
        <w:rPr>
          <w:rFonts w:hint="eastAsia" w:ascii="宋体" w:hAnsi="宋体"/>
          <w:color w:val="auto"/>
          <w:szCs w:val="21"/>
        </w:rPr>
        <w:t>1</w:t>
      </w:r>
      <w:bookmarkStart w:id="858" w:name="_Toc303539101"/>
      <w:bookmarkStart w:id="859" w:name="_Toc300934944"/>
      <w:bookmarkStart w:id="860" w:name="_Toc304295522"/>
      <w:bookmarkStart w:id="861" w:name="_Toc318581156"/>
      <w:bookmarkStart w:id="862" w:name="_Toc312677987"/>
      <w:r>
        <w:rPr>
          <w:rFonts w:hint="eastAsia" w:ascii="宋体" w:hAnsi="宋体"/>
          <w:color w:val="auto"/>
          <w:szCs w:val="21"/>
        </w:rPr>
        <w:t>.10.3 场内交通</w:t>
      </w:r>
    </w:p>
    <w:p w14:paraId="3EA27202">
      <w:pPr>
        <w:spacing w:line="360" w:lineRule="auto"/>
        <w:ind w:firstLine="560" w:firstLineChars="200"/>
        <w:jc w:val="left"/>
        <w:rPr>
          <w:rFonts w:ascii="宋体" w:hAnsi="宋体"/>
          <w:color w:val="auto"/>
          <w:szCs w:val="21"/>
          <w:u w:val="single"/>
        </w:rPr>
      </w:pPr>
      <w:r>
        <w:rPr>
          <w:rFonts w:hint="eastAsia" w:ascii="宋体" w:hAnsi="宋体"/>
          <w:color w:val="auto"/>
          <w:kern w:val="0"/>
          <w:szCs w:val="21"/>
        </w:rPr>
        <w:t>关于场外交通和场内交通的边界的约定：</w:t>
      </w:r>
      <w:r>
        <w:rPr>
          <w:rFonts w:hint="eastAsia" w:ascii="宋体" w:hAnsi="宋体"/>
          <w:color w:val="auto"/>
          <w:szCs w:val="21"/>
          <w:u w:val="single"/>
        </w:rPr>
        <w:t>以合同工程用地红线为界，用地红线外为场外交通，用地红线范围内为场内交通（场外道路穿越场内的除外）</w:t>
      </w:r>
      <w:r>
        <w:rPr>
          <w:rFonts w:hint="eastAsia" w:ascii="宋体" w:hAnsi="宋体"/>
          <w:color w:val="auto"/>
          <w:szCs w:val="21"/>
        </w:rPr>
        <w:t>。</w:t>
      </w:r>
    </w:p>
    <w:p w14:paraId="2CD2357D">
      <w:pPr>
        <w:spacing w:line="360" w:lineRule="auto"/>
        <w:ind w:firstLine="560" w:firstLineChars="200"/>
        <w:jc w:val="left"/>
        <w:rPr>
          <w:rFonts w:ascii="宋体" w:hAnsi="宋体"/>
          <w:color w:val="auto"/>
          <w:szCs w:val="21"/>
        </w:rPr>
      </w:pPr>
      <w:r>
        <w:rPr>
          <w:rFonts w:hint="eastAsia" w:ascii="宋体" w:hAnsi="宋体"/>
          <w:color w:val="auto"/>
          <w:kern w:val="0"/>
          <w:szCs w:val="21"/>
        </w:rPr>
        <w:t>关于发包人向承包人免费提供满足工程施工需要的场内道路和交通设施的约定：</w:t>
      </w:r>
      <w:r>
        <w:rPr>
          <w:rFonts w:hint="eastAsia" w:ascii="宋体" w:hAnsi="宋体"/>
          <w:color w:val="auto"/>
          <w:kern w:val="0"/>
          <w:szCs w:val="21"/>
          <w:u w:val="single"/>
        </w:rPr>
        <w:t>以施工场地移交时的现状为准</w:t>
      </w:r>
      <w:r>
        <w:rPr>
          <w:rFonts w:hint="eastAsia" w:ascii="宋体" w:hAnsi="宋体"/>
          <w:color w:val="auto"/>
          <w:szCs w:val="21"/>
        </w:rPr>
        <w:t>。</w:t>
      </w:r>
    </w:p>
    <w:bookmarkEnd w:id="858"/>
    <w:bookmarkEnd w:id="859"/>
    <w:bookmarkEnd w:id="860"/>
    <w:bookmarkEnd w:id="861"/>
    <w:bookmarkEnd w:id="862"/>
    <w:p w14:paraId="5C1C4CBB">
      <w:pPr>
        <w:spacing w:line="360" w:lineRule="auto"/>
        <w:ind w:firstLine="560" w:firstLineChars="200"/>
        <w:jc w:val="left"/>
        <w:rPr>
          <w:rFonts w:ascii="宋体" w:hAnsi="宋体"/>
          <w:color w:val="auto"/>
          <w:szCs w:val="21"/>
        </w:rPr>
      </w:pPr>
      <w:bookmarkStart w:id="863" w:name="_Toc318581157"/>
      <w:r>
        <w:rPr>
          <w:rFonts w:hint="eastAsia" w:ascii="宋体" w:hAnsi="宋体"/>
          <w:color w:val="auto"/>
          <w:szCs w:val="21"/>
        </w:rPr>
        <w:t>1.10.4 超大件和超重件的运输</w:t>
      </w:r>
    </w:p>
    <w:p w14:paraId="1B012D0D">
      <w:pPr>
        <w:spacing w:line="360" w:lineRule="auto"/>
        <w:ind w:firstLine="560" w:firstLineChars="200"/>
        <w:jc w:val="left"/>
        <w:rPr>
          <w:rFonts w:ascii="宋体" w:hAnsi="宋体"/>
          <w:color w:val="auto"/>
          <w:szCs w:val="21"/>
        </w:rPr>
      </w:pPr>
      <w:r>
        <w:rPr>
          <w:rFonts w:hint="eastAsia" w:ascii="宋体" w:hAnsi="宋体"/>
          <w:color w:val="auto"/>
          <w:szCs w:val="21"/>
        </w:rPr>
        <w:t>运输超大件或超重件所需的道路和桥梁临时加固改造费用和其他有关费用由</w:t>
      </w:r>
      <w:r>
        <w:rPr>
          <w:rFonts w:hint="eastAsia" w:ascii="宋体" w:hAnsi="宋体"/>
          <w:color w:val="auto"/>
          <w:szCs w:val="21"/>
          <w:u w:val="single"/>
        </w:rPr>
        <w:t>发包人</w:t>
      </w:r>
      <w:r>
        <w:rPr>
          <w:rFonts w:hint="eastAsia" w:ascii="宋体" w:hAnsi="宋体"/>
          <w:color w:val="auto"/>
          <w:szCs w:val="21"/>
        </w:rPr>
        <w:t>承担。</w:t>
      </w:r>
    </w:p>
    <w:bookmarkEnd w:id="863"/>
    <w:p w14:paraId="0D409D27">
      <w:pPr>
        <w:pStyle w:val="7"/>
        <w:spacing w:before="0" w:beforeAutospacing="0" w:after="0" w:afterAutospacing="0" w:line="360" w:lineRule="auto"/>
        <w:ind w:firstLine="422" w:firstLineChars="200"/>
        <w:rPr>
          <w:color w:val="auto"/>
          <w:sz w:val="21"/>
          <w:szCs w:val="21"/>
        </w:rPr>
      </w:pPr>
      <w:bookmarkStart w:id="864" w:name="_Toc532377329"/>
      <w:r>
        <w:rPr>
          <w:rFonts w:hint="eastAsia"/>
          <w:color w:val="auto"/>
          <w:sz w:val="21"/>
          <w:szCs w:val="21"/>
        </w:rPr>
        <w:t>1.11 知识产权</w:t>
      </w:r>
      <w:bookmarkEnd w:id="864"/>
    </w:p>
    <w:p w14:paraId="10D68C24">
      <w:pPr>
        <w:spacing w:line="360" w:lineRule="auto"/>
        <w:ind w:firstLine="560" w:firstLineChars="200"/>
        <w:jc w:val="left"/>
        <w:rPr>
          <w:rFonts w:ascii="宋体" w:hAnsi="宋体"/>
          <w:color w:val="auto"/>
          <w:szCs w:val="21"/>
        </w:rPr>
      </w:pPr>
      <w:r>
        <w:rPr>
          <w:rFonts w:hint="eastAsia" w:ascii="宋体" w:hAnsi="宋体"/>
          <w:color w:val="auto"/>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u w:val="single"/>
        </w:rPr>
        <w:t>属于发包人</w:t>
      </w:r>
      <w:r>
        <w:rPr>
          <w:rFonts w:hint="eastAsia" w:ascii="宋体" w:hAnsi="宋体"/>
          <w:color w:val="auto"/>
          <w:szCs w:val="21"/>
        </w:rPr>
        <w:t>。</w:t>
      </w:r>
    </w:p>
    <w:p w14:paraId="4780D5ED">
      <w:pPr>
        <w:spacing w:line="360" w:lineRule="auto"/>
        <w:ind w:firstLine="560" w:firstLineChars="200"/>
        <w:jc w:val="left"/>
        <w:rPr>
          <w:rFonts w:ascii="宋体" w:hAnsi="宋体"/>
          <w:color w:val="auto"/>
          <w:szCs w:val="21"/>
        </w:rPr>
      </w:pPr>
      <w:r>
        <w:rPr>
          <w:rFonts w:hint="eastAsia" w:ascii="宋体" w:hAnsi="宋体"/>
          <w:color w:val="auto"/>
          <w:szCs w:val="21"/>
        </w:rPr>
        <w:t>关于发包人提供的上述文件的使用限制的要求：</w:t>
      </w:r>
      <w:r>
        <w:rPr>
          <w:rFonts w:hint="eastAsia" w:ascii="宋体" w:hAnsi="宋体"/>
          <w:color w:val="auto"/>
          <w:szCs w:val="21"/>
          <w:u w:val="single"/>
        </w:rPr>
        <w:t>按通用合同条款执行</w:t>
      </w:r>
      <w:r>
        <w:rPr>
          <w:rFonts w:hint="eastAsia" w:ascii="宋体" w:hAnsi="宋体"/>
          <w:color w:val="auto"/>
          <w:szCs w:val="21"/>
        </w:rPr>
        <w:t>。</w:t>
      </w:r>
    </w:p>
    <w:p w14:paraId="62CB44C6">
      <w:pPr>
        <w:spacing w:line="360" w:lineRule="auto"/>
        <w:ind w:firstLine="560" w:firstLineChars="200"/>
        <w:jc w:val="left"/>
        <w:rPr>
          <w:rFonts w:ascii="宋体" w:hAnsi="宋体"/>
          <w:color w:val="auto"/>
          <w:szCs w:val="21"/>
        </w:rPr>
      </w:pPr>
      <w:r>
        <w:rPr>
          <w:rFonts w:hint="eastAsia" w:ascii="宋体" w:hAnsi="宋体"/>
          <w:color w:val="auto"/>
          <w:szCs w:val="21"/>
        </w:rPr>
        <w:t>1.11.4 承包人在施工过程中所采用的专利、专有技术、技术秘密的使用费的承担方式：</w:t>
      </w:r>
      <w:r>
        <w:rPr>
          <w:rFonts w:hint="eastAsia" w:ascii="宋体" w:hAnsi="宋体"/>
          <w:color w:val="auto"/>
          <w:szCs w:val="21"/>
          <w:u w:val="single"/>
        </w:rPr>
        <w:t xml:space="preserve">        </w:t>
      </w:r>
      <w:r>
        <w:rPr>
          <w:rFonts w:hint="eastAsia" w:ascii="宋体" w:hAnsi="宋体"/>
          <w:color w:val="auto"/>
          <w:szCs w:val="21"/>
        </w:rPr>
        <w:t>。</w:t>
      </w:r>
    </w:p>
    <w:p w14:paraId="3FA8BB69">
      <w:pPr>
        <w:pStyle w:val="7"/>
        <w:spacing w:before="0" w:beforeAutospacing="0" w:after="0" w:afterAutospacing="0" w:line="360" w:lineRule="auto"/>
        <w:ind w:firstLine="422" w:firstLineChars="200"/>
        <w:rPr>
          <w:color w:val="auto"/>
          <w:sz w:val="21"/>
          <w:szCs w:val="21"/>
        </w:rPr>
      </w:pPr>
      <w:bookmarkStart w:id="865" w:name="_Toc532377330"/>
      <w:r>
        <w:rPr>
          <w:rFonts w:hint="eastAsia"/>
          <w:color w:val="auto"/>
          <w:sz w:val="21"/>
          <w:szCs w:val="21"/>
        </w:rPr>
        <w:t>1.13工程量清单错误的修正</w:t>
      </w:r>
      <w:bookmarkEnd w:id="865"/>
    </w:p>
    <w:p w14:paraId="6F465A02">
      <w:pPr>
        <w:spacing w:line="360" w:lineRule="auto"/>
        <w:ind w:firstLine="560" w:firstLineChars="200"/>
        <w:jc w:val="left"/>
        <w:rPr>
          <w:rFonts w:ascii="宋体" w:hAnsi="宋体"/>
          <w:color w:val="auto"/>
          <w:szCs w:val="21"/>
        </w:rPr>
      </w:pPr>
      <w:r>
        <w:rPr>
          <w:rFonts w:hint="eastAsia" w:ascii="宋体" w:hAnsi="宋体"/>
          <w:color w:val="auto"/>
          <w:szCs w:val="21"/>
        </w:rPr>
        <w:t>出现工程量清单错误时，责任和权利划分：</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17B7C05E">
      <w:pPr>
        <w:spacing w:line="360" w:lineRule="auto"/>
        <w:ind w:firstLine="560" w:firstLineChars="200"/>
        <w:jc w:val="left"/>
        <w:rPr>
          <w:rFonts w:ascii="宋体" w:hAnsi="宋体"/>
          <w:color w:val="auto"/>
          <w:szCs w:val="21"/>
        </w:rPr>
      </w:pPr>
      <w:r>
        <w:rPr>
          <w:rFonts w:hint="eastAsia" w:ascii="宋体" w:hAnsi="宋体"/>
          <w:color w:val="auto"/>
          <w:szCs w:val="21"/>
        </w:rPr>
        <w:t>出现工程量清单错误时，是否调整合同价格：</w:t>
      </w:r>
      <w:r>
        <w:rPr>
          <w:rFonts w:hint="eastAsia" w:ascii="宋体" w:hAnsi="宋体"/>
          <w:color w:val="auto"/>
          <w:szCs w:val="21"/>
          <w:u w:val="single"/>
        </w:rPr>
        <w:t xml:space="preserve"> </w:t>
      </w:r>
      <w:r>
        <w:rPr>
          <w:rFonts w:hint="eastAsia" w:ascii="宋体" w:hAnsi="宋体"/>
          <w:color w:val="auto"/>
          <w:szCs w:val="21"/>
          <w:u w:val="single"/>
          <w:lang w:eastAsia="zh-CN"/>
        </w:rPr>
        <w:t>不执行通用条款，按专用合同条款第</w:t>
      </w:r>
      <w:r>
        <w:rPr>
          <w:rFonts w:hint="eastAsia" w:ascii="宋体" w:hAnsi="宋体"/>
          <w:color w:val="auto"/>
          <w:szCs w:val="21"/>
          <w:u w:val="single"/>
          <w:lang w:val="en-US" w:eastAsia="zh-CN"/>
        </w:rPr>
        <w:t>11条调整</w:t>
      </w:r>
      <w:r>
        <w:rPr>
          <w:rFonts w:hint="eastAsia" w:ascii="宋体" w:hAnsi="宋体"/>
          <w:color w:val="auto"/>
          <w:szCs w:val="21"/>
          <w:u w:val="single"/>
        </w:rPr>
        <w:t xml:space="preserve">  </w:t>
      </w:r>
      <w:r>
        <w:rPr>
          <w:rFonts w:hint="eastAsia" w:ascii="宋体" w:hAnsi="宋体"/>
          <w:color w:val="auto"/>
          <w:kern w:val="0"/>
          <w:szCs w:val="21"/>
        </w:rPr>
        <w:t>。</w:t>
      </w:r>
    </w:p>
    <w:p w14:paraId="01289C55">
      <w:pPr>
        <w:spacing w:line="360" w:lineRule="auto"/>
        <w:ind w:firstLine="560" w:firstLineChars="200"/>
        <w:jc w:val="left"/>
        <w:rPr>
          <w:rFonts w:ascii="宋体" w:hAnsi="宋体"/>
          <w:color w:val="auto"/>
          <w:szCs w:val="21"/>
        </w:rPr>
      </w:pPr>
      <w:r>
        <w:rPr>
          <w:rFonts w:hint="eastAsia" w:ascii="宋体" w:hAnsi="宋体"/>
          <w:color w:val="auto"/>
          <w:szCs w:val="21"/>
        </w:rPr>
        <w:t>允许调整合同价格的工程量偏差范围：</w:t>
      </w:r>
      <w:r>
        <w:rPr>
          <w:rFonts w:hint="eastAsia" w:ascii="宋体" w:hAnsi="宋体"/>
          <w:color w:val="auto"/>
          <w:szCs w:val="21"/>
          <w:u w:val="single"/>
        </w:rPr>
        <w:t xml:space="preserve">  </w:t>
      </w:r>
      <w:r>
        <w:rPr>
          <w:rFonts w:hint="eastAsia" w:ascii="宋体" w:hAnsi="宋体"/>
          <w:color w:val="auto"/>
          <w:szCs w:val="21"/>
          <w:u w:val="single"/>
          <w:lang w:eastAsia="zh-CN"/>
        </w:rPr>
        <w:t>（</w:t>
      </w:r>
      <w:r>
        <w:rPr>
          <w:rFonts w:hint="eastAsia" w:ascii="宋体" w:hAnsi="宋体"/>
          <w:color w:val="auto"/>
          <w:szCs w:val="21"/>
          <w:u w:val="single"/>
          <w:lang w:val="en-US" w:eastAsia="zh-CN"/>
        </w:rPr>
        <w:t>1</w:t>
      </w:r>
      <w:r>
        <w:rPr>
          <w:rFonts w:hint="eastAsia" w:ascii="宋体" w:hAnsi="宋体"/>
          <w:color w:val="auto"/>
          <w:szCs w:val="21"/>
          <w:u w:val="single"/>
          <w:lang w:eastAsia="zh-CN"/>
        </w:rPr>
        <w:t>）工程量清单存在缺项、漏项的；（</w:t>
      </w:r>
      <w:r>
        <w:rPr>
          <w:rFonts w:hint="eastAsia" w:ascii="宋体" w:hAnsi="宋体"/>
          <w:color w:val="auto"/>
          <w:szCs w:val="21"/>
          <w:u w:val="single"/>
          <w:lang w:val="en-US" w:eastAsia="zh-CN"/>
        </w:rPr>
        <w:t>2</w:t>
      </w:r>
      <w:r>
        <w:rPr>
          <w:rFonts w:hint="eastAsia" w:ascii="宋体" w:hAnsi="宋体"/>
          <w:color w:val="auto"/>
          <w:szCs w:val="21"/>
          <w:u w:val="single"/>
          <w:lang w:eastAsia="zh-CN"/>
        </w:rPr>
        <w:t>）清单工程量偏差超出专用合同条款约定的工程量偏差范围的</w:t>
      </w:r>
      <w:r>
        <w:rPr>
          <w:rFonts w:hint="eastAsia" w:ascii="宋体" w:hAnsi="宋体"/>
          <w:color w:val="auto"/>
          <w:szCs w:val="21"/>
        </w:rPr>
        <w:t>。</w:t>
      </w:r>
    </w:p>
    <w:p w14:paraId="01ECF712">
      <w:pPr>
        <w:pStyle w:val="6"/>
        <w:keepNext/>
        <w:keepLines/>
        <w:spacing w:before="156" w:beforeLines="50" w:beforeAutospacing="0" w:after="156" w:afterLines="50" w:afterAutospacing="0" w:line="360" w:lineRule="auto"/>
        <w:jc w:val="both"/>
        <w:rPr>
          <w:bCs w:val="0"/>
          <w:color w:val="auto"/>
          <w:kern w:val="2"/>
          <w:sz w:val="21"/>
          <w:szCs w:val="21"/>
        </w:rPr>
      </w:pPr>
      <w:bookmarkStart w:id="866" w:name="_Toc532375609"/>
      <w:bookmarkStart w:id="867" w:name="_Toc532377331"/>
      <w:bookmarkStart w:id="868" w:name="_Toc351203634"/>
      <w:r>
        <w:rPr>
          <w:rFonts w:hint="eastAsia"/>
          <w:color w:val="auto"/>
          <w:kern w:val="2"/>
          <w:sz w:val="21"/>
          <w:szCs w:val="21"/>
        </w:rPr>
        <w:t>2</w:t>
      </w:r>
      <w:bookmarkStart w:id="869" w:name="_Toc296347156"/>
      <w:bookmarkStart w:id="870" w:name="_Toc292559867"/>
      <w:bookmarkStart w:id="871" w:name="_Toc296890985"/>
      <w:bookmarkStart w:id="872" w:name="_Toc292559362"/>
      <w:bookmarkStart w:id="873" w:name="_Toc296891197"/>
      <w:bookmarkStart w:id="874" w:name="_Toc296503157"/>
      <w:bookmarkStart w:id="875" w:name="_Toc296346658"/>
      <w:bookmarkStart w:id="876" w:name="_Toc297120457"/>
      <w:bookmarkStart w:id="877" w:name="_Toc296944496"/>
      <w:bookmarkStart w:id="878" w:name="_Toc297048343"/>
      <w:r>
        <w:rPr>
          <w:rFonts w:hint="eastAsia"/>
          <w:color w:val="auto"/>
          <w:kern w:val="2"/>
          <w:sz w:val="21"/>
          <w:szCs w:val="21"/>
        </w:rPr>
        <w:t>. 发包人</w:t>
      </w:r>
      <w:bookmarkEnd w:id="866"/>
      <w:bookmarkEnd w:id="867"/>
      <w:bookmarkEnd w:id="868"/>
    </w:p>
    <w:bookmarkEnd w:id="869"/>
    <w:bookmarkEnd w:id="870"/>
    <w:bookmarkEnd w:id="871"/>
    <w:bookmarkEnd w:id="872"/>
    <w:bookmarkEnd w:id="873"/>
    <w:bookmarkEnd w:id="874"/>
    <w:bookmarkEnd w:id="875"/>
    <w:bookmarkEnd w:id="876"/>
    <w:bookmarkEnd w:id="877"/>
    <w:bookmarkEnd w:id="878"/>
    <w:p w14:paraId="6005DC22">
      <w:pPr>
        <w:spacing w:line="360" w:lineRule="auto"/>
        <w:ind w:firstLine="560" w:firstLineChars="200"/>
        <w:jc w:val="left"/>
        <w:rPr>
          <w:rFonts w:ascii="宋体" w:hAnsi="宋体"/>
          <w:color w:val="auto"/>
          <w:szCs w:val="21"/>
        </w:rPr>
      </w:pPr>
      <w:r>
        <w:rPr>
          <w:rFonts w:hint="eastAsia" w:ascii="宋体" w:hAnsi="宋体"/>
          <w:color w:val="auto"/>
          <w:szCs w:val="21"/>
        </w:rPr>
        <w:t>2.2.1 发包人代表</w:t>
      </w:r>
    </w:p>
    <w:p w14:paraId="4F43C77E">
      <w:pPr>
        <w:spacing w:line="360" w:lineRule="auto"/>
        <w:ind w:firstLine="560" w:firstLineChars="200"/>
        <w:jc w:val="left"/>
        <w:rPr>
          <w:rFonts w:ascii="宋体" w:hAnsi="宋体"/>
          <w:color w:val="auto"/>
          <w:szCs w:val="21"/>
        </w:rPr>
      </w:pPr>
      <w:r>
        <w:rPr>
          <w:rFonts w:hint="eastAsia" w:ascii="宋体" w:hAnsi="宋体"/>
          <w:color w:val="auto"/>
          <w:szCs w:val="21"/>
        </w:rPr>
        <w:t>发包人代表：</w:t>
      </w:r>
    </w:p>
    <w:p w14:paraId="06262AF3">
      <w:pPr>
        <w:spacing w:line="360" w:lineRule="auto"/>
        <w:ind w:firstLine="560" w:firstLineChars="200"/>
        <w:jc w:val="left"/>
        <w:rPr>
          <w:rFonts w:ascii="宋体" w:hAnsi="宋体"/>
          <w:color w:val="auto"/>
          <w:szCs w:val="21"/>
        </w:rPr>
      </w:pPr>
      <w:r>
        <w:rPr>
          <w:rFonts w:hint="eastAsia" w:ascii="宋体" w:hAnsi="宋体"/>
          <w:color w:val="auto"/>
          <w:szCs w:val="21"/>
        </w:rPr>
        <w:t>姓    名：</w:t>
      </w:r>
      <w:r>
        <w:rPr>
          <w:rFonts w:ascii="宋体" w:hAnsi="宋体"/>
          <w:color w:val="auto"/>
          <w:szCs w:val="21"/>
          <w:u w:val="single"/>
        </w:rPr>
        <w:t></w:t>
      </w:r>
      <w:r>
        <w:rPr>
          <w:rFonts w:hint="eastAsia" w:ascii="宋体" w:hAnsi="宋体"/>
          <w:color w:val="auto"/>
          <w:szCs w:val="21"/>
          <w:u w:val="single"/>
          <w:lang w:val="en-US" w:eastAsia="zh-CN"/>
        </w:rPr>
        <w:t xml:space="preserve"> </w:t>
      </w:r>
      <w:r>
        <w:rPr>
          <w:rFonts w:ascii="宋体" w:hAnsi="宋体"/>
          <w:color w:val="auto"/>
          <w:szCs w:val="21"/>
          <w:u w:val="single"/>
        </w:rPr>
        <w:t xml:space="preserve">              </w:t>
      </w:r>
      <w:r>
        <w:rPr>
          <w:rFonts w:hint="eastAsia" w:ascii="宋体" w:hAnsi="宋体"/>
          <w:color w:val="auto"/>
          <w:szCs w:val="21"/>
        </w:rPr>
        <w:t>；</w:t>
      </w:r>
    </w:p>
    <w:p w14:paraId="4FB1ECCF">
      <w:pPr>
        <w:spacing w:line="360" w:lineRule="auto"/>
        <w:ind w:firstLine="560" w:firstLineChars="200"/>
        <w:jc w:val="left"/>
        <w:rPr>
          <w:rFonts w:ascii="宋体" w:hAnsi="宋体"/>
          <w:color w:val="auto"/>
          <w:szCs w:val="21"/>
        </w:rPr>
      </w:pPr>
      <w:r>
        <w:rPr>
          <w:rFonts w:hint="eastAsia" w:ascii="宋体" w:hAnsi="宋体"/>
          <w:color w:val="auto"/>
          <w:szCs w:val="21"/>
        </w:rPr>
        <w:t>身份证号：</w:t>
      </w:r>
      <w:r>
        <w:rPr>
          <w:rFonts w:ascii="宋体" w:hAnsi="宋体"/>
          <w:color w:val="auto"/>
          <w:szCs w:val="21"/>
          <w:u w:val="single"/>
        </w:rPr>
        <w:t xml:space="preserve">              </w:t>
      </w:r>
      <w:r>
        <w:rPr>
          <w:rFonts w:hint="eastAsia" w:ascii="宋体" w:hAnsi="宋体"/>
          <w:color w:val="auto"/>
          <w:szCs w:val="21"/>
        </w:rPr>
        <w:t>；</w:t>
      </w:r>
    </w:p>
    <w:p w14:paraId="2BE92200">
      <w:pPr>
        <w:spacing w:line="360" w:lineRule="auto"/>
        <w:ind w:firstLine="560" w:firstLineChars="200"/>
        <w:jc w:val="left"/>
        <w:rPr>
          <w:rFonts w:ascii="宋体" w:hAnsi="宋体"/>
          <w:color w:val="auto"/>
          <w:szCs w:val="21"/>
        </w:rPr>
      </w:pPr>
      <w:r>
        <w:rPr>
          <w:rFonts w:hint="eastAsia" w:ascii="宋体" w:hAnsi="宋体"/>
          <w:color w:val="auto"/>
          <w:szCs w:val="21"/>
        </w:rPr>
        <w:t>职    务：</w:t>
      </w:r>
      <w:r>
        <w:rPr>
          <w:rFonts w:ascii="宋体" w:hAnsi="宋体"/>
          <w:color w:val="auto"/>
          <w:szCs w:val="21"/>
          <w:u w:val="single"/>
        </w:rPr>
        <w:t xml:space="preserve">              </w:t>
      </w:r>
      <w:r>
        <w:rPr>
          <w:rFonts w:hint="eastAsia" w:ascii="宋体" w:hAnsi="宋体"/>
          <w:color w:val="auto"/>
          <w:szCs w:val="21"/>
        </w:rPr>
        <w:t>；</w:t>
      </w:r>
    </w:p>
    <w:p w14:paraId="218E38D0">
      <w:pPr>
        <w:spacing w:line="360" w:lineRule="auto"/>
        <w:ind w:firstLine="560" w:firstLineChars="200"/>
        <w:jc w:val="left"/>
        <w:rPr>
          <w:rFonts w:ascii="宋体" w:hAnsi="宋体"/>
          <w:color w:val="auto"/>
          <w:szCs w:val="21"/>
        </w:rPr>
      </w:pPr>
      <w:r>
        <w:rPr>
          <w:rFonts w:hint="eastAsia" w:ascii="宋体" w:hAnsi="宋体"/>
          <w:color w:val="auto"/>
          <w:szCs w:val="21"/>
        </w:rPr>
        <w:t>联系方式：</w:t>
      </w:r>
      <w:r>
        <w:rPr>
          <w:rFonts w:ascii="宋体" w:hAnsi="宋体"/>
          <w:color w:val="auto"/>
          <w:szCs w:val="21"/>
          <w:u w:val="single"/>
        </w:rPr>
        <w:t></w:t>
      </w:r>
      <w:r>
        <w:rPr>
          <w:rFonts w:hint="eastAsia" w:ascii="宋体" w:hAnsi="宋体"/>
          <w:color w:val="auto"/>
          <w:szCs w:val="21"/>
          <w:u w:val="single"/>
          <w:lang w:val="en-US" w:eastAsia="zh-CN"/>
        </w:rPr>
        <w:t xml:space="preserve"> </w:t>
      </w:r>
      <w:r>
        <w:rPr>
          <w:rFonts w:ascii="宋体" w:hAnsi="宋体"/>
          <w:color w:val="auto"/>
          <w:szCs w:val="21"/>
          <w:u w:val="single"/>
        </w:rPr>
        <w:t xml:space="preserve">             </w:t>
      </w:r>
      <w:r>
        <w:rPr>
          <w:rFonts w:hint="eastAsia" w:ascii="宋体" w:hAnsi="宋体"/>
          <w:color w:val="auto"/>
          <w:szCs w:val="21"/>
        </w:rPr>
        <w:t>；</w:t>
      </w:r>
    </w:p>
    <w:p w14:paraId="40C42130">
      <w:pPr>
        <w:spacing w:line="360" w:lineRule="auto"/>
        <w:ind w:firstLine="560" w:firstLineChars="200"/>
        <w:jc w:val="left"/>
        <w:rPr>
          <w:rFonts w:ascii="宋体" w:hAnsi="宋体"/>
          <w:color w:val="auto"/>
          <w:szCs w:val="21"/>
        </w:rPr>
      </w:pPr>
      <w:r>
        <w:rPr>
          <w:rFonts w:hint="eastAsia" w:ascii="宋体" w:hAnsi="宋体"/>
          <w:color w:val="auto"/>
          <w:szCs w:val="21"/>
        </w:rPr>
        <w:t>邮    编：</w:t>
      </w:r>
      <w:r>
        <w:rPr>
          <w:rFonts w:ascii="宋体" w:hAnsi="宋体"/>
          <w:color w:val="auto"/>
          <w:szCs w:val="21"/>
          <w:u w:val="single"/>
        </w:rPr>
        <w:t xml:space="preserve">              </w:t>
      </w:r>
      <w:r>
        <w:rPr>
          <w:rFonts w:hint="eastAsia" w:ascii="宋体" w:hAnsi="宋体"/>
          <w:color w:val="auto"/>
          <w:szCs w:val="21"/>
        </w:rPr>
        <w:t>；</w:t>
      </w:r>
    </w:p>
    <w:p w14:paraId="4ABC5C89">
      <w:pPr>
        <w:spacing w:line="360" w:lineRule="auto"/>
        <w:ind w:firstLine="560" w:firstLineChars="200"/>
        <w:jc w:val="left"/>
        <w:rPr>
          <w:rFonts w:hint="eastAsia" w:ascii="宋体" w:hAnsi="宋体"/>
          <w:color w:val="auto"/>
          <w:szCs w:val="21"/>
        </w:rPr>
      </w:pPr>
      <w:r>
        <w:rPr>
          <w:rFonts w:hint="eastAsia" w:ascii="宋体" w:hAnsi="宋体"/>
          <w:color w:val="auto"/>
          <w:szCs w:val="21"/>
        </w:rPr>
        <w:t>发包人对发包人代表的授权范围如下：</w:t>
      </w:r>
      <w:r>
        <w:rPr>
          <w:rFonts w:hint="eastAsia" w:ascii="宋体" w:hAnsi="宋体"/>
          <w:color w:val="auto"/>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rPr>
        <w:t>。</w:t>
      </w:r>
    </w:p>
    <w:p w14:paraId="757B7A96">
      <w:pPr>
        <w:pStyle w:val="23"/>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发包人对发包人代表的授权范围如下：</w:t>
      </w:r>
    </w:p>
    <w:p w14:paraId="4B6379DA">
      <w:pPr>
        <w:pStyle w:val="23"/>
        <w:numPr>
          <w:ilvl w:val="0"/>
          <w:numId w:val="14"/>
        </w:numPr>
        <w:ind w:firstLine="560" w:firstLineChars="200"/>
        <w:rPr>
          <w:rFonts w:hint="eastAsia" w:ascii="宋体" w:hAnsi="宋体" w:eastAsia="宋体" w:cs="宋体"/>
          <w:color w:val="auto"/>
          <w:kern w:val="2"/>
          <w:sz w:val="28"/>
          <w:szCs w:val="28"/>
          <w:u w:val="single"/>
          <w:lang w:val="en-US" w:eastAsia="zh-CN" w:bidi="ar-SA"/>
        </w:rPr>
      </w:pPr>
      <w:r>
        <w:rPr>
          <w:rFonts w:hint="eastAsia" w:ascii="宋体" w:hAnsi="宋体" w:eastAsia="宋体" w:cs="宋体"/>
          <w:color w:val="auto"/>
          <w:kern w:val="2"/>
          <w:sz w:val="28"/>
          <w:szCs w:val="28"/>
          <w:u w:val="single"/>
          <w:lang w:val="en-US" w:eastAsia="zh-CN" w:bidi="ar-SA"/>
        </w:rPr>
        <w:t>单笔增减工程价款在一万元（不含）以下的，由发包人代表初审核、提交财务部门研究审核，报分管领导审定，主要领导审批同意后签证认可；</w:t>
      </w:r>
    </w:p>
    <w:p w14:paraId="66864BDA">
      <w:pPr>
        <w:pStyle w:val="23"/>
        <w:numPr>
          <w:ilvl w:val="0"/>
          <w:numId w:val="14"/>
        </w:numPr>
        <w:ind w:left="0" w:leftChars="0" w:firstLine="560" w:firstLineChars="200"/>
        <w:rPr>
          <w:rFonts w:hint="eastAsia" w:ascii="宋体" w:hAnsi="宋体" w:eastAsia="宋体" w:cs="宋体"/>
          <w:color w:val="auto"/>
          <w:kern w:val="2"/>
          <w:sz w:val="28"/>
          <w:szCs w:val="28"/>
          <w:u w:val="single"/>
          <w:lang w:val="en-US" w:eastAsia="zh-CN" w:bidi="ar-SA"/>
        </w:rPr>
      </w:pPr>
      <w:r>
        <w:rPr>
          <w:rFonts w:hint="eastAsia" w:ascii="宋体" w:hAnsi="宋体" w:eastAsia="宋体" w:cs="宋体"/>
          <w:color w:val="auto"/>
          <w:kern w:val="2"/>
          <w:sz w:val="28"/>
          <w:szCs w:val="28"/>
          <w:u w:val="single"/>
          <w:lang w:val="en-US" w:eastAsia="zh-CN" w:bidi="ar-SA"/>
        </w:rPr>
        <w:t xml:space="preserve">单笔增减工程价款在一万元（含）以上，二十万元（不含）以下的，由公司总经理办公会研究后签证认可；     </w:t>
      </w:r>
    </w:p>
    <w:p w14:paraId="44507FA6">
      <w:pPr>
        <w:pStyle w:val="23"/>
        <w:numPr>
          <w:ilvl w:val="0"/>
          <w:numId w:val="14"/>
        </w:numPr>
        <w:ind w:left="0" w:leftChars="0" w:firstLine="560" w:firstLineChars="200"/>
        <w:rPr>
          <w:rFonts w:hint="eastAsia" w:ascii="宋体" w:hAnsi="宋体" w:eastAsia="宋体" w:cs="宋体"/>
          <w:color w:val="auto"/>
          <w:kern w:val="2"/>
          <w:sz w:val="28"/>
          <w:szCs w:val="28"/>
          <w:u w:val="single"/>
          <w:lang w:val="en-US" w:eastAsia="zh-CN" w:bidi="ar-SA"/>
        </w:rPr>
      </w:pPr>
      <w:r>
        <w:rPr>
          <w:rFonts w:hint="eastAsia" w:ascii="宋体" w:hAnsi="宋体" w:eastAsia="宋体" w:cs="宋体"/>
          <w:color w:val="auto"/>
          <w:kern w:val="2"/>
          <w:sz w:val="28"/>
          <w:szCs w:val="28"/>
          <w:u w:val="single"/>
          <w:lang w:val="en-US" w:eastAsia="zh-CN" w:bidi="ar-SA"/>
        </w:rPr>
        <w:t>单笔增减工程价款在二十万元（含）以上，三十万元（不含）以下的，由公司总经理办公会、董事会、监狱党委会研究后签证认可；</w:t>
      </w:r>
    </w:p>
    <w:p w14:paraId="702BC9C9">
      <w:pPr>
        <w:pStyle w:val="23"/>
        <w:numPr>
          <w:ilvl w:val="0"/>
          <w:numId w:val="0"/>
        </w:numPr>
        <w:ind w:firstLine="560" w:firstLineChars="200"/>
        <w:rPr>
          <w:rFonts w:hint="eastAsia" w:ascii="宋体" w:hAnsi="宋体" w:eastAsia="宋体" w:cs="宋体"/>
          <w:color w:val="auto"/>
          <w:kern w:val="2"/>
          <w:sz w:val="28"/>
          <w:szCs w:val="28"/>
          <w:u w:val="single"/>
          <w:lang w:val="en-US" w:eastAsia="zh-CN" w:bidi="ar-SA"/>
        </w:rPr>
      </w:pPr>
      <w:r>
        <w:rPr>
          <w:rFonts w:hint="eastAsia" w:ascii="宋体" w:hAnsi="宋体" w:eastAsia="宋体" w:cs="宋体"/>
          <w:color w:val="auto"/>
          <w:kern w:val="2"/>
          <w:sz w:val="28"/>
          <w:szCs w:val="28"/>
          <w:u w:val="none"/>
          <w:lang w:val="en-US" w:eastAsia="zh-CN" w:bidi="ar-SA"/>
        </w:rPr>
        <w:t>（四）</w:t>
      </w:r>
      <w:r>
        <w:rPr>
          <w:rFonts w:hint="eastAsia" w:ascii="宋体" w:hAnsi="宋体" w:eastAsia="宋体" w:cs="宋体"/>
          <w:color w:val="auto"/>
          <w:kern w:val="2"/>
          <w:sz w:val="28"/>
          <w:szCs w:val="28"/>
          <w:u w:val="single"/>
          <w:lang w:val="en-US" w:eastAsia="zh-CN" w:bidi="ar-SA"/>
        </w:rPr>
        <w:t>单笔增减工程价款预计超过合同价5%（含），且10万元（不含）以下的，由集团主管处室研究后审批；单笔增减工程价款预计超过合同价5%（含），且超过10万元（含）但不足30万元（不含）的，由集团主管处室研究后报集团分管领导审批；单笔增减工程价款预计30万元（含）以上的，由建设单位组织相关单位进行论证或专家论证，集团视情况派人列席专家论证会。论证会应对该变更的必要性、可行性、经济性等方面做出结论。经论证确需变更的，公司应书面报告集团，经集团总经理办公会议研究同意后实施变更。项目的增减工程价款累计超过合同价5%（含）的后续所有增减工程价款事项均应报集团审查同意后实施。</w:t>
      </w:r>
    </w:p>
    <w:p w14:paraId="21FF753D">
      <w:pPr>
        <w:pStyle w:val="7"/>
        <w:spacing w:before="0" w:beforeAutospacing="0" w:after="0" w:afterAutospacing="0" w:line="360" w:lineRule="auto"/>
        <w:ind w:firstLine="422" w:firstLineChars="200"/>
        <w:rPr>
          <w:color w:val="auto"/>
          <w:sz w:val="21"/>
          <w:szCs w:val="21"/>
        </w:rPr>
      </w:pPr>
      <w:bookmarkStart w:id="879" w:name="_Toc532377332"/>
      <w:r>
        <w:rPr>
          <w:rFonts w:hint="eastAsia"/>
          <w:color w:val="auto"/>
          <w:sz w:val="21"/>
          <w:szCs w:val="21"/>
        </w:rPr>
        <w:t>2.4 施工现场、施工条件和基础资料的提供</w:t>
      </w:r>
      <w:bookmarkEnd w:id="879"/>
    </w:p>
    <w:p w14:paraId="71ACDE0D">
      <w:pPr>
        <w:spacing w:line="360" w:lineRule="auto"/>
        <w:ind w:firstLine="560" w:firstLineChars="200"/>
        <w:jc w:val="left"/>
        <w:rPr>
          <w:rFonts w:ascii="宋体" w:hAnsi="宋体"/>
          <w:color w:val="auto"/>
          <w:szCs w:val="21"/>
        </w:rPr>
      </w:pPr>
      <w:r>
        <w:rPr>
          <w:rFonts w:hint="eastAsia" w:ascii="宋体" w:hAnsi="宋体"/>
          <w:color w:val="auto"/>
          <w:szCs w:val="21"/>
        </w:rPr>
        <w:t>2.4.1 提供施工现场</w:t>
      </w:r>
    </w:p>
    <w:p w14:paraId="7974B876">
      <w:pPr>
        <w:spacing w:line="360" w:lineRule="auto"/>
        <w:ind w:firstLine="560" w:firstLineChars="200"/>
        <w:jc w:val="left"/>
        <w:rPr>
          <w:rFonts w:ascii="宋体" w:hAnsi="宋体"/>
          <w:color w:val="auto"/>
          <w:szCs w:val="21"/>
        </w:rPr>
      </w:pPr>
      <w:r>
        <w:rPr>
          <w:rFonts w:hint="eastAsia" w:ascii="宋体" w:hAnsi="宋体"/>
          <w:color w:val="auto"/>
          <w:szCs w:val="21"/>
        </w:rPr>
        <w:t>2.4.1.1 提供场地：</w:t>
      </w:r>
    </w:p>
    <w:p w14:paraId="3076F2BA">
      <w:pPr>
        <w:spacing w:line="360" w:lineRule="auto"/>
        <w:ind w:firstLine="560" w:firstLineChars="200"/>
        <w:jc w:val="left"/>
        <w:rPr>
          <w:rFonts w:ascii="宋体" w:hAnsi="宋体"/>
          <w:color w:val="auto"/>
          <w:szCs w:val="21"/>
        </w:rPr>
      </w:pPr>
      <w:r>
        <w:rPr>
          <w:rFonts w:hint="eastAsia" w:ascii="宋体" w:hAnsi="宋体"/>
          <w:color w:val="auto"/>
          <w:szCs w:val="21"/>
        </w:rPr>
        <w:t>施工场地的提供采用以下第</w:t>
      </w:r>
      <w:r>
        <w:rPr>
          <w:rFonts w:hint="eastAsia" w:ascii="宋体" w:hAnsi="宋体"/>
          <w:color w:val="auto"/>
          <w:szCs w:val="21"/>
          <w:u w:val="single"/>
        </w:rPr>
        <w:t xml:space="preserve"> </w:t>
      </w:r>
      <w:r>
        <w:rPr>
          <w:rFonts w:hint="eastAsia" w:ascii="宋体" w:hAnsi="宋体"/>
          <w:color w:val="auto"/>
          <w:szCs w:val="21"/>
          <w:u w:val="single"/>
          <w:lang w:eastAsia="zh-CN"/>
        </w:rPr>
        <w:t>（</w:t>
      </w:r>
      <w:r>
        <w:rPr>
          <w:rFonts w:hint="eastAsia" w:ascii="宋体" w:hAnsi="宋体"/>
          <w:color w:val="auto"/>
          <w:szCs w:val="21"/>
          <w:u w:val="single"/>
          <w:lang w:val="en-US" w:eastAsia="zh-CN"/>
        </w:rPr>
        <w:t>1</w:t>
      </w:r>
      <w:r>
        <w:rPr>
          <w:rFonts w:hint="eastAsia" w:ascii="宋体" w:hAnsi="宋体"/>
          <w:color w:val="auto"/>
          <w:szCs w:val="21"/>
          <w:u w:val="single"/>
          <w:lang w:eastAsia="zh-CN"/>
        </w:rPr>
        <w:t>）</w:t>
      </w:r>
      <w:r>
        <w:rPr>
          <w:rFonts w:hint="eastAsia" w:ascii="宋体" w:hAnsi="宋体"/>
          <w:color w:val="auto"/>
          <w:szCs w:val="21"/>
          <w:u w:val="single"/>
        </w:rPr>
        <w:t xml:space="preserve"> </w:t>
      </w:r>
      <w:r>
        <w:rPr>
          <w:rFonts w:hint="eastAsia" w:ascii="宋体" w:hAnsi="宋体"/>
          <w:color w:val="auto"/>
          <w:szCs w:val="21"/>
        </w:rPr>
        <w:t>种方式：</w:t>
      </w:r>
    </w:p>
    <w:p w14:paraId="1808E20C">
      <w:pPr>
        <w:spacing w:line="360" w:lineRule="auto"/>
        <w:ind w:firstLine="560" w:firstLineChars="200"/>
        <w:jc w:val="left"/>
        <w:rPr>
          <w:rFonts w:ascii="宋体" w:hAnsi="宋体"/>
          <w:color w:val="auto"/>
          <w:szCs w:val="21"/>
        </w:rPr>
      </w:pPr>
      <w:r>
        <w:rPr>
          <w:rFonts w:hint="eastAsia" w:ascii="宋体" w:hAnsi="宋体"/>
          <w:color w:val="auto"/>
          <w:szCs w:val="21"/>
        </w:rPr>
        <w:t>（1）一次提供全部施工场地：发包人于</w:t>
      </w:r>
      <w:r>
        <w:rPr>
          <w:rFonts w:hint="eastAsia" w:ascii="宋体" w:hAnsi="宋体"/>
          <w:color w:val="auto"/>
          <w:szCs w:val="21"/>
          <w:u w:val="single"/>
        </w:rPr>
        <w:t>开工</w:t>
      </w:r>
      <w:r>
        <w:rPr>
          <w:rFonts w:hint="eastAsia" w:ascii="宋体" w:hAnsi="宋体"/>
          <w:color w:val="auto"/>
          <w:szCs w:val="21"/>
        </w:rPr>
        <w:t>前向承包人提供合同工程用地红线范围内的施工场地。</w:t>
      </w:r>
    </w:p>
    <w:p w14:paraId="17E3DAB4">
      <w:pPr>
        <w:spacing w:line="360" w:lineRule="auto"/>
        <w:ind w:firstLine="560" w:firstLineChars="200"/>
        <w:jc w:val="left"/>
        <w:rPr>
          <w:rFonts w:ascii="宋体" w:hAnsi="宋体"/>
          <w:color w:val="auto"/>
          <w:szCs w:val="21"/>
        </w:rPr>
      </w:pPr>
      <w:r>
        <w:rPr>
          <w:rFonts w:hint="eastAsia" w:ascii="宋体" w:hAnsi="宋体"/>
          <w:color w:val="auto"/>
          <w:szCs w:val="21"/>
        </w:rPr>
        <w:t>（2）分次提供全部施工场地：</w:t>
      </w:r>
      <w:r>
        <w:rPr>
          <w:rFonts w:hint="eastAsia" w:ascii="宋体" w:hAnsi="宋体"/>
          <w:color w:val="auto"/>
          <w:szCs w:val="21"/>
          <w:u w:val="single"/>
        </w:rPr>
        <w:t>发包人按约定的时间分次向承包人提供合同工程用地红线范围内的施工场地</w:t>
      </w:r>
      <w:r>
        <w:rPr>
          <w:rFonts w:hint="eastAsia" w:ascii="宋体" w:hAnsi="宋体"/>
          <w:color w:val="auto"/>
          <w:szCs w:val="21"/>
        </w:rPr>
        <w:t>。</w:t>
      </w:r>
    </w:p>
    <w:p w14:paraId="0035F1E0">
      <w:pPr>
        <w:spacing w:line="360" w:lineRule="auto"/>
        <w:ind w:firstLine="560" w:firstLineChars="200"/>
        <w:jc w:val="left"/>
        <w:rPr>
          <w:rFonts w:ascii="宋体" w:hAnsi="宋体"/>
          <w:color w:val="auto"/>
          <w:szCs w:val="21"/>
        </w:rPr>
      </w:pPr>
      <w:r>
        <w:rPr>
          <w:rFonts w:hint="eastAsia" w:ascii="宋体" w:hAnsi="宋体"/>
          <w:color w:val="auto"/>
          <w:szCs w:val="21"/>
          <w:u w:val="single"/>
        </w:rPr>
        <w:t>承包人编制的施工组织计划已充分考虑了施工场地提供的因素</w:t>
      </w:r>
      <w:r>
        <w:rPr>
          <w:rFonts w:hint="eastAsia" w:ascii="宋体" w:hAnsi="宋体"/>
          <w:color w:val="auto"/>
          <w:szCs w:val="21"/>
        </w:rPr>
        <w:t>。</w:t>
      </w:r>
    </w:p>
    <w:p w14:paraId="59788F53">
      <w:pPr>
        <w:spacing w:line="360" w:lineRule="auto"/>
        <w:ind w:firstLine="560" w:firstLineChars="200"/>
        <w:jc w:val="left"/>
        <w:rPr>
          <w:rFonts w:ascii="宋体" w:hAnsi="宋体"/>
          <w:color w:val="auto"/>
          <w:szCs w:val="21"/>
        </w:rPr>
      </w:pPr>
      <w:r>
        <w:rPr>
          <w:rFonts w:hint="eastAsia" w:ascii="宋体" w:hAnsi="宋体"/>
          <w:color w:val="auto"/>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rPr>
        <w:t>。</w:t>
      </w:r>
    </w:p>
    <w:p w14:paraId="3095C715">
      <w:pPr>
        <w:spacing w:line="360" w:lineRule="auto"/>
        <w:ind w:firstLine="560" w:firstLineChars="200"/>
        <w:jc w:val="left"/>
        <w:rPr>
          <w:rFonts w:ascii="宋体" w:hAnsi="宋体"/>
          <w:color w:val="auto"/>
          <w:szCs w:val="21"/>
        </w:rPr>
      </w:pPr>
      <w:r>
        <w:rPr>
          <w:rFonts w:hint="eastAsia" w:ascii="宋体" w:hAnsi="宋体"/>
          <w:color w:val="auto"/>
          <w:szCs w:val="21"/>
        </w:rPr>
        <w:t>2.4.2 提供施工条件</w:t>
      </w:r>
    </w:p>
    <w:p w14:paraId="75C70195">
      <w:pPr>
        <w:spacing w:line="360" w:lineRule="auto"/>
        <w:ind w:firstLine="560" w:firstLineChars="200"/>
        <w:jc w:val="left"/>
        <w:rPr>
          <w:rFonts w:ascii="宋体" w:hAnsi="宋体"/>
          <w:color w:val="auto"/>
          <w:szCs w:val="21"/>
        </w:rPr>
      </w:pPr>
      <w:r>
        <w:rPr>
          <w:rFonts w:hint="eastAsia" w:ascii="宋体" w:hAnsi="宋体"/>
          <w:color w:val="auto"/>
          <w:szCs w:val="21"/>
        </w:rPr>
        <w:t>关于发包人应负责提供施工所需要的条件：</w:t>
      </w:r>
      <w:r>
        <w:rPr>
          <w:rFonts w:hint="eastAsia" w:ascii="宋体" w:hAnsi="宋体"/>
          <w:color w:val="auto"/>
          <w:szCs w:val="21"/>
          <w:u w:val="single"/>
        </w:rPr>
        <w:t xml:space="preserve"> </w:t>
      </w:r>
      <w:r>
        <w:rPr>
          <w:rFonts w:hint="eastAsia" w:ascii="宋体" w:hAnsi="宋体"/>
          <w:color w:val="auto"/>
          <w:szCs w:val="21"/>
          <w:u w:val="single"/>
          <w:lang w:eastAsia="zh-CN"/>
        </w:rPr>
        <w:t>（</w:t>
      </w:r>
      <w:r>
        <w:rPr>
          <w:rFonts w:hint="eastAsia" w:ascii="宋体" w:hAnsi="宋体"/>
          <w:color w:val="auto"/>
          <w:szCs w:val="21"/>
          <w:u w:val="single"/>
          <w:lang w:val="en-US" w:eastAsia="zh-CN"/>
        </w:rPr>
        <w:t>1</w:t>
      </w:r>
      <w:r>
        <w:rPr>
          <w:rFonts w:hint="eastAsia" w:ascii="宋体" w:hAnsi="宋体"/>
          <w:color w:val="auto"/>
          <w:szCs w:val="21"/>
          <w:u w:val="single"/>
          <w:lang w:eastAsia="zh-CN"/>
        </w:rPr>
        <w:t>）施工用电：发包人现场指定搭接位置，由承包人接出符合安全要求的临时用电线路及电箱，费用由承包人负责；（</w:t>
      </w:r>
      <w:r>
        <w:rPr>
          <w:rFonts w:hint="eastAsia" w:ascii="宋体" w:hAnsi="宋体"/>
          <w:color w:val="auto"/>
          <w:szCs w:val="21"/>
          <w:u w:val="single"/>
          <w:lang w:val="en-US" w:eastAsia="zh-CN"/>
        </w:rPr>
        <w:t>2</w:t>
      </w:r>
      <w:r>
        <w:rPr>
          <w:rFonts w:hint="eastAsia" w:ascii="宋体" w:hAnsi="宋体"/>
          <w:color w:val="auto"/>
          <w:szCs w:val="21"/>
          <w:u w:val="single"/>
          <w:lang w:eastAsia="zh-CN"/>
        </w:rPr>
        <w:t>）施工用水：发包人现场指定搭接位置，由承包人规范搭设施工用水管线、闸阀等，费用由承包人负责</w:t>
      </w:r>
      <w:r>
        <w:rPr>
          <w:rFonts w:hint="eastAsia" w:ascii="宋体" w:hAnsi="宋体"/>
          <w:color w:val="auto"/>
          <w:szCs w:val="21"/>
        </w:rPr>
        <w:t>。</w:t>
      </w:r>
    </w:p>
    <w:p w14:paraId="59C6AAC8">
      <w:pPr>
        <w:pStyle w:val="7"/>
        <w:spacing w:before="0" w:beforeAutospacing="0" w:after="0" w:afterAutospacing="0" w:line="360" w:lineRule="auto"/>
        <w:ind w:firstLine="422" w:firstLineChars="200"/>
        <w:rPr>
          <w:color w:val="auto"/>
          <w:sz w:val="21"/>
          <w:szCs w:val="21"/>
        </w:rPr>
      </w:pPr>
      <w:bookmarkStart w:id="880" w:name="_Toc532377333"/>
      <w:r>
        <w:rPr>
          <w:rFonts w:hint="eastAsia"/>
          <w:color w:val="auto"/>
          <w:sz w:val="21"/>
          <w:szCs w:val="21"/>
        </w:rPr>
        <w:t>2.5 资金来源证明及支付担保</w:t>
      </w:r>
      <w:bookmarkEnd w:id="880"/>
    </w:p>
    <w:p w14:paraId="79902AE4">
      <w:pPr>
        <w:spacing w:line="360" w:lineRule="auto"/>
        <w:ind w:firstLine="560" w:firstLineChars="200"/>
        <w:jc w:val="left"/>
        <w:rPr>
          <w:rFonts w:ascii="宋体" w:hAnsi="宋体"/>
          <w:color w:val="auto"/>
          <w:szCs w:val="21"/>
        </w:rPr>
      </w:pPr>
      <w:r>
        <w:rPr>
          <w:rFonts w:hint="eastAsia" w:ascii="宋体" w:hAnsi="宋体"/>
          <w:color w:val="auto"/>
          <w:szCs w:val="21"/>
        </w:rPr>
        <w:t>发包人提供资金来源证明的期限要求：</w:t>
      </w:r>
      <w:r>
        <w:rPr>
          <w:rFonts w:hint="eastAsia" w:ascii="宋体" w:hAnsi="宋体"/>
          <w:color w:val="auto"/>
          <w:szCs w:val="21"/>
          <w:u w:val="single"/>
        </w:rPr>
        <w:t>不采用</w:t>
      </w:r>
      <w:r>
        <w:rPr>
          <w:rFonts w:hint="eastAsia" w:ascii="宋体" w:hAnsi="宋体"/>
          <w:color w:val="auto"/>
          <w:szCs w:val="21"/>
        </w:rPr>
        <w:t>。</w:t>
      </w:r>
    </w:p>
    <w:p w14:paraId="2BD3FF45">
      <w:pPr>
        <w:spacing w:line="360" w:lineRule="auto"/>
        <w:ind w:firstLine="560" w:firstLineChars="200"/>
        <w:jc w:val="left"/>
        <w:rPr>
          <w:rFonts w:ascii="宋体" w:hAnsi="宋体"/>
          <w:color w:val="auto"/>
          <w:szCs w:val="21"/>
        </w:rPr>
      </w:pPr>
      <w:r>
        <w:rPr>
          <w:rFonts w:hint="eastAsia" w:ascii="宋体" w:hAnsi="宋体"/>
          <w:color w:val="auto"/>
          <w:szCs w:val="21"/>
        </w:rPr>
        <w:t>发包人是否提供支付担保：</w:t>
      </w:r>
      <w:r>
        <w:rPr>
          <w:rFonts w:hint="eastAsia" w:ascii="宋体" w:hAnsi="宋体"/>
          <w:color w:val="auto"/>
          <w:szCs w:val="21"/>
          <w:u w:val="single"/>
          <w:lang w:eastAsia="zh-CN"/>
        </w:rPr>
        <w:t>不</w:t>
      </w:r>
      <w:r>
        <w:rPr>
          <w:rFonts w:hint="eastAsia" w:ascii="宋体" w:hAnsi="宋体"/>
          <w:color w:val="auto"/>
          <w:szCs w:val="21"/>
          <w:u w:val="single"/>
        </w:rPr>
        <w:t>提供</w:t>
      </w:r>
      <w:r>
        <w:rPr>
          <w:rFonts w:hint="eastAsia" w:ascii="宋体" w:hAnsi="宋体"/>
          <w:color w:val="auto"/>
          <w:szCs w:val="21"/>
        </w:rPr>
        <w:t>。</w:t>
      </w:r>
    </w:p>
    <w:p w14:paraId="5445337F">
      <w:pPr>
        <w:spacing w:line="360" w:lineRule="auto"/>
        <w:ind w:firstLine="560" w:firstLineChars="200"/>
        <w:jc w:val="left"/>
        <w:rPr>
          <w:rFonts w:ascii="宋体" w:hAnsi="宋体"/>
          <w:color w:val="auto"/>
          <w:szCs w:val="21"/>
        </w:rPr>
      </w:pPr>
      <w:r>
        <w:rPr>
          <w:rFonts w:hint="eastAsia" w:ascii="宋体" w:hAnsi="宋体"/>
          <w:color w:val="auto"/>
          <w:szCs w:val="21"/>
        </w:rPr>
        <w:t>支付担保的形式：</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3CF64F9F">
      <w:pPr>
        <w:spacing w:line="360" w:lineRule="auto"/>
        <w:ind w:firstLine="560" w:firstLineChars="200"/>
        <w:jc w:val="left"/>
        <w:rPr>
          <w:rFonts w:ascii="宋体" w:hAnsi="宋体"/>
          <w:color w:val="auto"/>
          <w:szCs w:val="21"/>
        </w:rPr>
      </w:pPr>
      <w:r>
        <w:rPr>
          <w:rFonts w:hint="eastAsia" w:ascii="宋体" w:hAnsi="宋体"/>
          <w:color w:val="auto"/>
          <w:szCs w:val="21"/>
        </w:rPr>
        <w:t>支付担保的金额：</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058396C5">
      <w:pPr>
        <w:spacing w:line="360" w:lineRule="auto"/>
        <w:ind w:firstLine="560" w:firstLineChars="200"/>
        <w:jc w:val="left"/>
        <w:rPr>
          <w:rFonts w:ascii="宋体" w:hAnsi="宋体"/>
          <w:color w:val="auto"/>
          <w:szCs w:val="21"/>
        </w:rPr>
      </w:pPr>
      <w:r>
        <w:rPr>
          <w:rFonts w:hint="eastAsia" w:ascii="宋体" w:hAnsi="宋体"/>
          <w:color w:val="auto"/>
          <w:szCs w:val="21"/>
        </w:rPr>
        <w:t>支付担保的时间：</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40CCFD26">
      <w:pPr>
        <w:spacing w:line="360" w:lineRule="auto"/>
        <w:ind w:firstLine="560" w:firstLineChars="200"/>
        <w:jc w:val="left"/>
        <w:rPr>
          <w:rFonts w:ascii="宋体" w:hAnsi="宋体"/>
          <w:color w:val="auto"/>
          <w:szCs w:val="21"/>
        </w:rPr>
      </w:pPr>
      <w:r>
        <w:rPr>
          <w:rFonts w:hint="eastAsia" w:ascii="宋体" w:hAnsi="宋体"/>
          <w:color w:val="auto"/>
          <w:szCs w:val="21"/>
        </w:rPr>
        <w:t>支付担保的期限：</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3B54F177">
      <w:pPr>
        <w:spacing w:line="360" w:lineRule="auto"/>
        <w:ind w:firstLine="560" w:firstLineChars="200"/>
        <w:jc w:val="left"/>
        <w:rPr>
          <w:rFonts w:ascii="宋体" w:hAnsi="宋体"/>
          <w:color w:val="auto"/>
          <w:szCs w:val="21"/>
        </w:rPr>
      </w:pPr>
      <w:r>
        <w:rPr>
          <w:rFonts w:hint="eastAsia" w:ascii="宋体" w:hAnsi="宋体"/>
          <w:color w:val="auto"/>
          <w:szCs w:val="21"/>
        </w:rPr>
        <w:t>支付担保的退还时间：</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0AC3D26D">
      <w:pPr>
        <w:pStyle w:val="6"/>
        <w:keepNext/>
        <w:keepLines/>
        <w:spacing w:before="156" w:beforeLines="50" w:beforeAutospacing="0" w:after="156" w:afterLines="50" w:afterAutospacing="0" w:line="360" w:lineRule="auto"/>
        <w:jc w:val="both"/>
        <w:rPr>
          <w:bCs w:val="0"/>
          <w:color w:val="auto"/>
          <w:kern w:val="2"/>
          <w:sz w:val="21"/>
          <w:szCs w:val="21"/>
        </w:rPr>
      </w:pPr>
      <w:bookmarkStart w:id="881" w:name="_Toc351203635"/>
      <w:bookmarkStart w:id="882" w:name="_Toc532377334"/>
      <w:bookmarkStart w:id="883" w:name="_Toc532375610"/>
      <w:r>
        <w:rPr>
          <w:rFonts w:hint="eastAsia"/>
          <w:color w:val="auto"/>
          <w:kern w:val="2"/>
          <w:sz w:val="21"/>
          <w:szCs w:val="21"/>
        </w:rPr>
        <w:t>3</w:t>
      </w:r>
      <w:bookmarkStart w:id="884" w:name="_Toc296890986"/>
      <w:bookmarkStart w:id="885" w:name="_Toc296503158"/>
      <w:bookmarkStart w:id="886" w:name="_Toc292559868"/>
      <w:bookmarkStart w:id="887" w:name="_Toc296944497"/>
      <w:bookmarkStart w:id="888" w:name="_Toc296346659"/>
      <w:bookmarkStart w:id="889" w:name="_Toc292559363"/>
      <w:bookmarkStart w:id="890" w:name="_Toc296891198"/>
      <w:bookmarkStart w:id="891" w:name="_Toc297048344"/>
      <w:bookmarkStart w:id="892" w:name="_Toc297120458"/>
      <w:bookmarkStart w:id="893" w:name="_Toc296347157"/>
      <w:r>
        <w:rPr>
          <w:rFonts w:hint="eastAsia"/>
          <w:color w:val="auto"/>
          <w:kern w:val="2"/>
          <w:sz w:val="21"/>
          <w:szCs w:val="21"/>
        </w:rPr>
        <w:t>. 承包人</w:t>
      </w:r>
      <w:bookmarkEnd w:id="881"/>
      <w:bookmarkEnd w:id="882"/>
      <w:bookmarkEnd w:id="883"/>
    </w:p>
    <w:bookmarkEnd w:id="884"/>
    <w:bookmarkEnd w:id="885"/>
    <w:bookmarkEnd w:id="886"/>
    <w:bookmarkEnd w:id="887"/>
    <w:bookmarkEnd w:id="888"/>
    <w:bookmarkEnd w:id="889"/>
    <w:bookmarkEnd w:id="890"/>
    <w:bookmarkEnd w:id="891"/>
    <w:bookmarkEnd w:id="892"/>
    <w:bookmarkEnd w:id="893"/>
    <w:p w14:paraId="074E3EA7">
      <w:pPr>
        <w:pStyle w:val="7"/>
        <w:spacing w:before="0" w:beforeAutospacing="0" w:after="0" w:afterAutospacing="0" w:line="360" w:lineRule="auto"/>
        <w:ind w:firstLine="422" w:firstLineChars="200"/>
        <w:rPr>
          <w:color w:val="auto"/>
          <w:sz w:val="21"/>
          <w:szCs w:val="21"/>
        </w:rPr>
      </w:pPr>
      <w:bookmarkStart w:id="894" w:name="_Toc532377335"/>
      <w:r>
        <w:rPr>
          <w:rFonts w:hint="eastAsia"/>
          <w:color w:val="auto"/>
          <w:sz w:val="21"/>
          <w:szCs w:val="21"/>
        </w:rPr>
        <w:t>3.1 承包人的一般义务</w:t>
      </w:r>
      <w:bookmarkEnd w:id="894"/>
    </w:p>
    <w:p w14:paraId="46A23C01">
      <w:pPr>
        <w:spacing w:line="360" w:lineRule="auto"/>
        <w:ind w:firstLine="560" w:firstLineChars="200"/>
        <w:jc w:val="left"/>
        <w:rPr>
          <w:rFonts w:ascii="宋体" w:hAnsi="宋体"/>
          <w:color w:val="auto"/>
          <w:szCs w:val="21"/>
        </w:rPr>
      </w:pPr>
      <w:r>
        <w:rPr>
          <w:rFonts w:hint="eastAsia" w:ascii="宋体" w:hAnsi="宋体"/>
          <w:color w:val="auto"/>
          <w:szCs w:val="21"/>
        </w:rPr>
        <w:t>本款细化为3.1.1～3.1.10项：</w:t>
      </w:r>
    </w:p>
    <w:p w14:paraId="572C45C0">
      <w:pPr>
        <w:spacing w:line="360" w:lineRule="auto"/>
        <w:ind w:firstLine="560" w:firstLineChars="200"/>
        <w:jc w:val="left"/>
        <w:rPr>
          <w:rFonts w:ascii="宋体" w:hAnsi="宋体"/>
          <w:color w:val="auto"/>
          <w:szCs w:val="21"/>
        </w:rPr>
      </w:pPr>
      <w:r>
        <w:rPr>
          <w:rFonts w:hint="eastAsia" w:ascii="宋体" w:hAnsi="宋体"/>
          <w:color w:val="auto"/>
          <w:szCs w:val="21"/>
        </w:rPr>
        <w:t>3.1.1办理法律规定和合同约定应由承包人办理的许可和批准，并将办理结果书面报送发包人留存；协助发包人办理施工所需的工程质量监督、安全监督、施工许可证等相关证件及手续。</w:t>
      </w:r>
    </w:p>
    <w:p w14:paraId="0D1E8BD6">
      <w:pPr>
        <w:spacing w:line="360" w:lineRule="auto"/>
        <w:ind w:firstLine="560" w:firstLineChars="200"/>
        <w:jc w:val="left"/>
        <w:rPr>
          <w:rFonts w:ascii="宋体" w:hAnsi="宋体"/>
          <w:color w:val="auto"/>
          <w:szCs w:val="21"/>
        </w:rPr>
      </w:pPr>
      <w:r>
        <w:rPr>
          <w:rFonts w:hint="eastAsia" w:ascii="宋体" w:hAnsi="宋体"/>
          <w:color w:val="auto"/>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18C11A21">
      <w:pPr>
        <w:spacing w:line="360" w:lineRule="auto"/>
        <w:ind w:firstLine="560" w:firstLineChars="200"/>
        <w:jc w:val="left"/>
        <w:rPr>
          <w:rFonts w:ascii="宋体" w:hAnsi="宋体"/>
          <w:color w:val="auto"/>
          <w:szCs w:val="21"/>
        </w:rPr>
      </w:pPr>
      <w:r>
        <w:rPr>
          <w:rFonts w:hint="eastAsia" w:ascii="宋体" w:hAnsi="宋体"/>
          <w:color w:val="auto"/>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7AAAC7BD">
      <w:pPr>
        <w:spacing w:line="360" w:lineRule="auto"/>
        <w:ind w:firstLine="560" w:firstLineChars="200"/>
        <w:jc w:val="left"/>
        <w:rPr>
          <w:rFonts w:ascii="宋体" w:hAnsi="宋体"/>
          <w:color w:val="auto"/>
          <w:szCs w:val="21"/>
        </w:rPr>
      </w:pPr>
      <w:r>
        <w:rPr>
          <w:rFonts w:hint="eastAsia" w:ascii="宋体" w:hAnsi="宋体"/>
          <w:color w:val="auto"/>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11361985">
      <w:pPr>
        <w:spacing w:line="360" w:lineRule="auto"/>
        <w:ind w:firstLine="560" w:firstLineChars="200"/>
        <w:jc w:val="left"/>
        <w:rPr>
          <w:rFonts w:ascii="宋体" w:hAnsi="宋体"/>
          <w:color w:val="auto"/>
          <w:szCs w:val="21"/>
        </w:rPr>
      </w:pPr>
      <w:r>
        <w:rPr>
          <w:rFonts w:hint="eastAsia" w:ascii="宋体" w:hAnsi="宋体"/>
          <w:color w:val="auto"/>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7D84909">
      <w:pPr>
        <w:spacing w:line="360" w:lineRule="auto"/>
        <w:ind w:firstLine="560" w:firstLineChars="200"/>
        <w:jc w:val="left"/>
        <w:rPr>
          <w:rFonts w:ascii="宋体" w:hAnsi="宋体"/>
          <w:color w:val="auto"/>
          <w:szCs w:val="21"/>
        </w:rPr>
      </w:pPr>
      <w:r>
        <w:rPr>
          <w:rFonts w:hint="eastAsia" w:ascii="宋体" w:hAnsi="宋体"/>
          <w:color w:val="auto"/>
          <w:szCs w:val="21"/>
        </w:rPr>
        <w:t>3.1.6按照第6.3款〔环境保护〕约定负责施工场地及其周边环境与生态的保护工作。</w:t>
      </w:r>
    </w:p>
    <w:p w14:paraId="7C9DB8BC">
      <w:pPr>
        <w:spacing w:line="360" w:lineRule="auto"/>
        <w:ind w:firstLine="560" w:firstLineChars="200"/>
        <w:jc w:val="left"/>
        <w:rPr>
          <w:rFonts w:ascii="宋体" w:hAnsi="宋体"/>
          <w:color w:val="auto"/>
          <w:szCs w:val="21"/>
        </w:rPr>
      </w:pPr>
      <w:r>
        <w:rPr>
          <w:rFonts w:hint="eastAsia" w:ascii="宋体" w:hAnsi="宋体"/>
          <w:color w:val="auto"/>
          <w:szCs w:val="21"/>
        </w:rPr>
        <w:t>3.1.7按照第6.1款〔安全文明施工〕约定采取施工安全措施，确保工程及其人员、材料、设备和设施的安全，防止因工程施工造成的人身伤害和财产损失。</w:t>
      </w:r>
    </w:p>
    <w:p w14:paraId="53E224DB">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3.1.8将发包人按合同约定支付的各项价款专用于合同工程，且应及时支付其雇用人员工资，并及时向分包人支付合同价款。</w:t>
      </w:r>
    </w:p>
    <w:p w14:paraId="0FBEE2D8">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3.1.9承包人提交的竣工资料的内容：</w:t>
      </w:r>
      <w:r>
        <w:rPr>
          <w:rFonts w:hint="eastAsia" w:ascii="宋体" w:hAnsi="宋体"/>
          <w:color w:val="auto"/>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rPr>
        <w:t>。</w:t>
      </w:r>
    </w:p>
    <w:p w14:paraId="23D7CB1A">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承包人需要提交的竣工资料套数：完整竣工资料一式</w:t>
      </w:r>
      <w:r>
        <w:rPr>
          <w:rFonts w:hint="eastAsia" w:ascii="宋体" w:hAnsi="宋体"/>
          <w:color w:val="auto"/>
          <w:szCs w:val="21"/>
          <w:u w:val="single"/>
        </w:rPr>
        <w:t xml:space="preserve"> </w:t>
      </w:r>
      <w:r>
        <w:rPr>
          <w:rFonts w:hint="eastAsia" w:ascii="宋体" w:hAnsi="宋体"/>
          <w:color w:val="auto"/>
          <w:szCs w:val="21"/>
          <w:u w:val="single"/>
          <w:lang w:eastAsia="zh-CN"/>
        </w:rPr>
        <w:t>四</w:t>
      </w:r>
      <w:r>
        <w:rPr>
          <w:rFonts w:hint="eastAsia" w:ascii="宋体" w:hAnsi="宋体"/>
          <w:color w:val="auto"/>
          <w:szCs w:val="21"/>
          <w:u w:val="single"/>
        </w:rPr>
        <w:t xml:space="preserve"> </w:t>
      </w:r>
      <w:r>
        <w:rPr>
          <w:rFonts w:hint="eastAsia" w:ascii="宋体" w:hAnsi="宋体"/>
          <w:color w:val="auto"/>
          <w:szCs w:val="21"/>
        </w:rPr>
        <w:t>套（</w:t>
      </w:r>
      <w:r>
        <w:rPr>
          <w:rFonts w:hint="eastAsia" w:ascii="宋体" w:hAnsi="宋体"/>
          <w:color w:val="auto"/>
          <w:szCs w:val="21"/>
          <w:lang w:eastAsia="zh-CN"/>
        </w:rPr>
        <w:t>同时提供</w:t>
      </w:r>
      <w:r>
        <w:rPr>
          <w:rFonts w:hint="eastAsia" w:ascii="宋体" w:hAnsi="宋体"/>
          <w:color w:val="auto"/>
          <w:szCs w:val="21"/>
        </w:rPr>
        <w:t>电子文档）。</w:t>
      </w:r>
    </w:p>
    <w:p w14:paraId="4DC9428C">
      <w:pPr>
        <w:spacing w:line="360" w:lineRule="auto"/>
        <w:ind w:firstLine="560" w:firstLineChars="200"/>
        <w:jc w:val="left"/>
        <w:rPr>
          <w:rFonts w:ascii="宋体" w:hAnsi="宋体"/>
          <w:color w:val="auto"/>
          <w:szCs w:val="21"/>
        </w:rPr>
      </w:pPr>
      <w:r>
        <w:rPr>
          <w:rFonts w:hint="eastAsia" w:ascii="宋体" w:hAnsi="宋体"/>
          <w:color w:val="auto"/>
          <w:szCs w:val="21"/>
        </w:rPr>
        <w:t>承包人提交的竣工资料的费用承担：</w:t>
      </w:r>
      <w:r>
        <w:rPr>
          <w:rFonts w:hint="eastAsia" w:ascii="宋体" w:hAnsi="宋体"/>
          <w:color w:val="auto"/>
          <w:szCs w:val="21"/>
          <w:u w:val="single"/>
        </w:rPr>
        <w:t>由承包人承担</w:t>
      </w:r>
      <w:r>
        <w:rPr>
          <w:rFonts w:hint="eastAsia" w:ascii="宋体" w:hAnsi="宋体"/>
          <w:color w:val="auto"/>
          <w:szCs w:val="21"/>
        </w:rPr>
        <w:t>。</w:t>
      </w:r>
    </w:p>
    <w:p w14:paraId="6CFE333A">
      <w:pPr>
        <w:spacing w:line="360" w:lineRule="auto"/>
        <w:ind w:firstLine="560" w:firstLineChars="200"/>
        <w:jc w:val="left"/>
        <w:rPr>
          <w:rFonts w:ascii="宋体" w:hAnsi="宋体"/>
          <w:color w:val="auto"/>
          <w:szCs w:val="21"/>
        </w:rPr>
      </w:pPr>
      <w:r>
        <w:rPr>
          <w:rFonts w:hint="eastAsia" w:ascii="宋体" w:hAnsi="宋体"/>
          <w:color w:val="auto"/>
          <w:szCs w:val="21"/>
        </w:rPr>
        <w:t>承包人提交的竣工资料移交时间：</w:t>
      </w:r>
      <w:r>
        <w:rPr>
          <w:rFonts w:hint="eastAsia" w:ascii="宋体" w:hAnsi="宋体"/>
          <w:color w:val="auto"/>
          <w:szCs w:val="21"/>
          <w:u w:val="single"/>
        </w:rPr>
        <w:t>工程竣工验收合格后</w:t>
      </w:r>
      <w:r>
        <w:rPr>
          <w:rFonts w:hint="eastAsia" w:ascii="宋体" w:hAnsi="宋体"/>
          <w:color w:val="auto"/>
          <w:szCs w:val="21"/>
          <w:u w:val="single"/>
          <w:lang w:val="en-US" w:eastAsia="zh-CN"/>
        </w:rPr>
        <w:t>1</w:t>
      </w:r>
      <w:r>
        <w:rPr>
          <w:rFonts w:hint="eastAsia" w:ascii="宋体" w:hAnsi="宋体"/>
          <w:color w:val="auto"/>
          <w:szCs w:val="21"/>
          <w:u w:val="single"/>
        </w:rPr>
        <w:t>个月内移交给发包人</w:t>
      </w:r>
      <w:r>
        <w:rPr>
          <w:rFonts w:hint="eastAsia" w:ascii="宋体" w:hAnsi="宋体"/>
          <w:color w:val="auto"/>
          <w:szCs w:val="21"/>
        </w:rPr>
        <w:t>。</w:t>
      </w:r>
    </w:p>
    <w:p w14:paraId="13E88645">
      <w:pPr>
        <w:spacing w:line="360" w:lineRule="auto"/>
        <w:ind w:firstLine="560" w:firstLineChars="200"/>
        <w:jc w:val="left"/>
        <w:rPr>
          <w:rFonts w:ascii="宋体" w:hAnsi="宋体"/>
          <w:color w:val="auto"/>
          <w:szCs w:val="21"/>
        </w:rPr>
      </w:pPr>
      <w:r>
        <w:rPr>
          <w:rFonts w:hint="eastAsia" w:ascii="宋体" w:hAnsi="宋体"/>
          <w:color w:val="auto"/>
          <w:szCs w:val="21"/>
        </w:rPr>
        <w:t>承包人提交的竣工资料形式要求：</w:t>
      </w:r>
      <w:r>
        <w:rPr>
          <w:rFonts w:hint="eastAsia" w:ascii="宋体" w:hAnsi="宋体"/>
          <w:color w:val="auto"/>
          <w:szCs w:val="21"/>
          <w:u w:val="single"/>
        </w:rPr>
        <w:t>完整的书面文件及电子文档</w:t>
      </w:r>
      <w:r>
        <w:rPr>
          <w:rFonts w:hint="eastAsia" w:ascii="宋体" w:hAnsi="宋体"/>
          <w:color w:val="auto"/>
          <w:szCs w:val="21"/>
        </w:rPr>
        <w:t>。</w:t>
      </w:r>
    </w:p>
    <w:p w14:paraId="45C37E55">
      <w:pPr>
        <w:spacing w:line="360" w:lineRule="auto"/>
        <w:ind w:firstLine="560" w:firstLineChars="200"/>
        <w:jc w:val="left"/>
        <w:rPr>
          <w:rFonts w:ascii="宋体" w:hAnsi="宋体"/>
          <w:color w:val="auto"/>
          <w:szCs w:val="21"/>
        </w:rPr>
      </w:pPr>
      <w:r>
        <w:rPr>
          <w:rFonts w:hint="eastAsia" w:ascii="宋体" w:hAnsi="宋体"/>
          <w:color w:val="auto"/>
          <w:szCs w:val="21"/>
        </w:rPr>
        <w:t>3.1.10承包人应履行的其他义务：</w:t>
      </w:r>
    </w:p>
    <w:p w14:paraId="6C63D881">
      <w:pPr>
        <w:spacing w:line="360" w:lineRule="auto"/>
        <w:ind w:firstLine="560" w:firstLineChars="200"/>
        <w:jc w:val="left"/>
        <w:rPr>
          <w:rFonts w:ascii="宋体" w:hAnsi="宋体"/>
          <w:color w:val="auto"/>
          <w:szCs w:val="21"/>
        </w:rPr>
      </w:pPr>
      <w:r>
        <w:rPr>
          <w:rFonts w:hint="eastAsia" w:ascii="宋体" w:hAnsi="宋体"/>
          <w:color w:val="auto"/>
          <w:szCs w:val="21"/>
        </w:rPr>
        <w:t>3.1.10.1在开始施工之前，承包人应核查、复测本工程的各种基准标志。承包人应及时将上述基准标志中存在的错误、不完整或其他缺陷通知发包人，以便发包人核实后重新确认。</w:t>
      </w:r>
    </w:p>
    <w:p w14:paraId="5ECB1CC4">
      <w:pPr>
        <w:spacing w:line="360" w:lineRule="auto"/>
        <w:ind w:firstLine="560" w:firstLineChars="200"/>
        <w:jc w:val="left"/>
        <w:rPr>
          <w:rFonts w:ascii="宋体" w:hAnsi="宋体"/>
          <w:color w:val="auto"/>
          <w:szCs w:val="21"/>
        </w:rPr>
      </w:pPr>
      <w:r>
        <w:rPr>
          <w:rFonts w:hint="eastAsia" w:ascii="宋体" w:hAnsi="宋体"/>
          <w:color w:val="auto"/>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295233F0">
      <w:pPr>
        <w:spacing w:line="360" w:lineRule="auto"/>
        <w:ind w:firstLine="560" w:firstLineChars="200"/>
        <w:jc w:val="left"/>
        <w:rPr>
          <w:rFonts w:ascii="宋体" w:hAnsi="宋体"/>
          <w:color w:val="auto"/>
          <w:szCs w:val="21"/>
        </w:rPr>
      </w:pPr>
      <w:r>
        <w:rPr>
          <w:rFonts w:hint="eastAsia" w:ascii="宋体" w:hAnsi="宋体"/>
          <w:color w:val="auto"/>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ECB9D7F">
      <w:pPr>
        <w:spacing w:line="360" w:lineRule="auto"/>
        <w:ind w:firstLine="560" w:firstLineChars="200"/>
        <w:jc w:val="left"/>
        <w:rPr>
          <w:rFonts w:ascii="宋体" w:hAnsi="宋体"/>
          <w:color w:val="auto"/>
          <w:szCs w:val="21"/>
        </w:rPr>
      </w:pPr>
      <w:r>
        <w:rPr>
          <w:rFonts w:hint="eastAsia" w:ascii="宋体" w:hAnsi="宋体"/>
          <w:color w:val="auto"/>
          <w:szCs w:val="21"/>
        </w:rPr>
        <w:t>3.1.10.4承包人应服从发包人要求的管理模式、工作方式和工作要求，同时接受监理人、跟审单位的管理和全程监督，配合项目结、决算的办理。</w:t>
      </w:r>
    </w:p>
    <w:p w14:paraId="20E351D3">
      <w:pPr>
        <w:spacing w:line="360" w:lineRule="auto"/>
        <w:ind w:firstLine="560" w:firstLineChars="200"/>
        <w:jc w:val="left"/>
        <w:rPr>
          <w:rFonts w:ascii="宋体" w:hAnsi="宋体"/>
          <w:color w:val="auto"/>
          <w:szCs w:val="21"/>
        </w:rPr>
      </w:pPr>
      <w:r>
        <w:rPr>
          <w:rFonts w:hint="eastAsia" w:ascii="宋体" w:hAnsi="宋体"/>
          <w:color w:val="auto"/>
          <w:szCs w:val="21"/>
        </w:rPr>
        <w:t>3.1.10.5</w:t>
      </w:r>
      <w:r>
        <w:rPr>
          <w:rFonts w:hint="eastAsia" w:ascii="宋体" w:hAnsi="宋体"/>
          <w:color w:val="auto"/>
          <w:szCs w:val="21"/>
          <w:u w:val="single"/>
        </w:rPr>
        <w:t>承包人应为本工程开立专用账户，接受发包人的监管</w:t>
      </w:r>
      <w:r>
        <w:rPr>
          <w:rFonts w:hint="eastAsia" w:ascii="宋体" w:hAnsi="宋体"/>
          <w:color w:val="auto"/>
          <w:szCs w:val="21"/>
        </w:rPr>
        <w:t>。</w:t>
      </w:r>
    </w:p>
    <w:p w14:paraId="46592248">
      <w:pPr>
        <w:spacing w:line="360" w:lineRule="auto"/>
        <w:ind w:firstLine="560" w:firstLineChars="200"/>
        <w:jc w:val="left"/>
        <w:rPr>
          <w:rFonts w:ascii="宋体" w:hAnsi="宋体"/>
          <w:color w:val="auto"/>
          <w:szCs w:val="21"/>
          <w:u w:val="single"/>
        </w:rPr>
      </w:pPr>
      <w:r>
        <w:rPr>
          <w:rFonts w:hint="eastAsia" w:ascii="宋体" w:hAnsi="宋体"/>
          <w:color w:val="auto"/>
          <w:szCs w:val="21"/>
        </w:rPr>
        <w:t>3.1.10.6</w:t>
      </w:r>
      <w:r>
        <w:rPr>
          <w:rFonts w:hint="eastAsia" w:ascii="宋体" w:hAnsi="宋体"/>
          <w:color w:val="auto"/>
          <w:szCs w:val="21"/>
          <w:u w:val="single"/>
        </w:rPr>
        <w:t xml:space="preserve">        。</w:t>
      </w:r>
    </w:p>
    <w:p w14:paraId="1D6F3C2A">
      <w:pPr>
        <w:pStyle w:val="7"/>
        <w:spacing w:before="0" w:beforeAutospacing="0" w:after="0" w:afterAutospacing="0" w:line="360" w:lineRule="auto"/>
        <w:ind w:firstLine="422" w:firstLineChars="200"/>
        <w:rPr>
          <w:color w:val="auto"/>
          <w:sz w:val="21"/>
          <w:szCs w:val="21"/>
        </w:rPr>
      </w:pPr>
      <w:bookmarkStart w:id="895" w:name="_Toc532377336"/>
      <w:r>
        <w:rPr>
          <w:rFonts w:hint="eastAsia"/>
          <w:color w:val="auto"/>
          <w:sz w:val="21"/>
          <w:szCs w:val="21"/>
        </w:rPr>
        <w:t>3.2 项目经理</w:t>
      </w:r>
      <w:bookmarkEnd w:id="895"/>
    </w:p>
    <w:p w14:paraId="1410199B">
      <w:pPr>
        <w:spacing w:line="360" w:lineRule="auto"/>
        <w:ind w:firstLine="560" w:firstLineChars="200"/>
        <w:jc w:val="left"/>
        <w:rPr>
          <w:rFonts w:ascii="宋体" w:hAnsi="宋体"/>
          <w:color w:val="auto"/>
          <w:szCs w:val="21"/>
        </w:rPr>
      </w:pPr>
      <w:r>
        <w:rPr>
          <w:rFonts w:hint="eastAsia" w:ascii="宋体" w:hAnsi="宋体"/>
          <w:color w:val="auto"/>
          <w:kern w:val="0"/>
          <w:szCs w:val="21"/>
        </w:rPr>
        <w:t xml:space="preserve">3.2.1 </w:t>
      </w:r>
      <w:r>
        <w:rPr>
          <w:rFonts w:hint="eastAsia" w:ascii="宋体" w:hAnsi="宋体"/>
          <w:color w:val="auto"/>
          <w:szCs w:val="21"/>
        </w:rPr>
        <w:t>项目经理：</w:t>
      </w:r>
    </w:p>
    <w:p w14:paraId="4E250C53">
      <w:pPr>
        <w:spacing w:line="360" w:lineRule="auto"/>
        <w:ind w:firstLine="56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 </w:t>
      </w:r>
      <w:r>
        <w:rPr>
          <w:rFonts w:hint="eastAsia" w:ascii="宋体" w:hAnsi="宋体"/>
          <w:color w:val="auto"/>
          <w:szCs w:val="21"/>
          <w:highlight w:val="none"/>
        </w:rPr>
        <w:t>；</w:t>
      </w:r>
    </w:p>
    <w:p w14:paraId="6DF9D8C5">
      <w:pPr>
        <w:spacing w:line="360" w:lineRule="auto"/>
        <w:ind w:firstLine="56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r>
        <w:rPr>
          <w:rFonts w:hint="eastAsia" w:ascii="宋体" w:hAnsi="宋体" w:cs="Times New Roman"/>
          <w:color w:val="auto"/>
          <w:szCs w:val="21"/>
          <w:highlight w:val="none"/>
          <w:u w:val="single"/>
          <w:lang w:val="en-US" w:eastAsia="zh-CN"/>
        </w:rPr>
        <w:t xml:space="preserve"> </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w:t>
      </w:r>
      <w:r>
        <w:rPr>
          <w:rFonts w:hint="eastAsia" w:ascii="宋体" w:hAnsi="宋体"/>
          <w:color w:val="auto"/>
          <w:szCs w:val="21"/>
          <w:highlight w:val="none"/>
        </w:rPr>
        <w:t>；</w:t>
      </w:r>
    </w:p>
    <w:p w14:paraId="26290CB0">
      <w:pPr>
        <w:spacing w:line="360" w:lineRule="auto"/>
        <w:ind w:firstLine="56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7459934">
      <w:pPr>
        <w:spacing w:line="360" w:lineRule="auto"/>
        <w:ind w:firstLine="56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hint="eastAsia" w:ascii="宋体" w:hAnsi="宋体"/>
          <w:color w:val="auto"/>
          <w:szCs w:val="21"/>
          <w:highlight w:val="none"/>
          <w:u w:val="single"/>
          <w:lang w:val="en-US" w:eastAsia="zh-CN"/>
        </w:rPr>
        <w:t>    </w:t>
      </w:r>
      <w:r>
        <w:rPr>
          <w:rFonts w:hint="eastAsia" w:ascii="宋体" w:hAnsi="宋体"/>
          <w:color w:val="auto"/>
          <w:szCs w:val="21"/>
          <w:highlight w:val="none"/>
        </w:rPr>
        <w:t>；</w:t>
      </w:r>
    </w:p>
    <w:p w14:paraId="56D4AAC0">
      <w:pPr>
        <w:spacing w:line="360" w:lineRule="auto"/>
        <w:ind w:firstLine="56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2425FEB">
      <w:pPr>
        <w:spacing w:line="360" w:lineRule="auto"/>
        <w:ind w:firstLine="56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620DB62">
      <w:pPr>
        <w:spacing w:line="360" w:lineRule="auto"/>
        <w:ind w:firstLine="560" w:firstLineChars="200"/>
        <w:jc w:val="left"/>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r>
        <w:rPr>
          <w:rFonts w:hint="eastAsia" w:ascii="宋体" w:hAnsi="宋体"/>
          <w:color w:val="auto"/>
          <w:szCs w:val="21"/>
          <w:highlight w:val="none"/>
        </w:rPr>
        <w:t>。</w:t>
      </w:r>
    </w:p>
    <w:p w14:paraId="2CF359EC">
      <w:pPr>
        <w:spacing w:line="360" w:lineRule="auto"/>
        <w:ind w:firstLine="560" w:firstLineChars="200"/>
        <w:jc w:val="left"/>
        <w:rPr>
          <w:rFonts w:ascii="宋体" w:hAnsi="宋体"/>
          <w:color w:val="auto"/>
          <w:szCs w:val="21"/>
        </w:rPr>
      </w:pPr>
      <w:r>
        <w:rPr>
          <w:rFonts w:hint="eastAsia" w:ascii="宋体" w:hAnsi="宋体"/>
          <w:color w:val="auto"/>
          <w:szCs w:val="21"/>
        </w:rPr>
        <w:t>承包人对项目经理的授权范围如下：</w:t>
      </w:r>
      <w:r>
        <w:rPr>
          <w:rFonts w:hint="eastAsia" w:ascii="宋体" w:hAnsi="宋体"/>
          <w:color w:val="auto"/>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rPr>
        <w:t>。</w:t>
      </w:r>
    </w:p>
    <w:p w14:paraId="40D9C579">
      <w:pPr>
        <w:spacing w:line="360" w:lineRule="auto"/>
        <w:ind w:firstLine="560" w:firstLineChars="200"/>
        <w:jc w:val="left"/>
        <w:rPr>
          <w:rFonts w:ascii="宋体" w:hAnsi="宋体"/>
          <w:color w:val="auto"/>
          <w:szCs w:val="21"/>
        </w:rPr>
      </w:pPr>
      <w:r>
        <w:rPr>
          <w:rFonts w:hint="eastAsia" w:ascii="宋体" w:hAnsi="宋体"/>
          <w:color w:val="auto"/>
          <w:szCs w:val="21"/>
        </w:rPr>
        <w:t>关于项目经理每月在施工现场的时间要求：</w:t>
      </w:r>
      <w:r>
        <w:rPr>
          <w:rFonts w:hint="eastAsia" w:ascii="宋体" w:hAnsi="宋体"/>
          <w:color w:val="auto"/>
          <w:szCs w:val="21"/>
          <w:u w:val="single"/>
        </w:rPr>
        <w:t>不少于2</w:t>
      </w:r>
      <w:r>
        <w:rPr>
          <w:rFonts w:hint="eastAsia" w:ascii="宋体" w:hAnsi="宋体"/>
          <w:color w:val="auto"/>
          <w:szCs w:val="21"/>
          <w:u w:val="single"/>
          <w:lang w:val="en-US" w:eastAsia="zh-CN"/>
        </w:rPr>
        <w:t>0</w:t>
      </w:r>
      <w:r>
        <w:rPr>
          <w:rFonts w:hint="eastAsia" w:ascii="宋体" w:hAnsi="宋体"/>
          <w:color w:val="auto"/>
          <w:szCs w:val="21"/>
          <w:u w:val="single"/>
        </w:rPr>
        <w:t>天，由监理人负责项目经理的考勤</w:t>
      </w:r>
      <w:r>
        <w:rPr>
          <w:rFonts w:hint="eastAsia" w:ascii="宋体" w:hAnsi="宋体"/>
          <w:color w:val="auto"/>
          <w:szCs w:val="21"/>
        </w:rPr>
        <w:t>。</w:t>
      </w:r>
    </w:p>
    <w:p w14:paraId="16472A02">
      <w:pPr>
        <w:spacing w:line="360" w:lineRule="auto"/>
        <w:ind w:firstLine="560" w:firstLineChars="200"/>
        <w:jc w:val="left"/>
        <w:rPr>
          <w:rFonts w:ascii="宋体" w:hAnsi="宋体"/>
          <w:color w:val="auto"/>
          <w:szCs w:val="21"/>
        </w:rPr>
      </w:pPr>
      <w:r>
        <w:rPr>
          <w:rFonts w:hint="eastAsia" w:ascii="宋体" w:hAnsi="宋体"/>
          <w:color w:val="auto"/>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rPr>
        <w:t>。</w:t>
      </w:r>
    </w:p>
    <w:p w14:paraId="3BED7294">
      <w:pPr>
        <w:spacing w:line="360" w:lineRule="auto"/>
        <w:ind w:firstLine="560" w:firstLineChars="200"/>
        <w:jc w:val="left"/>
        <w:rPr>
          <w:rFonts w:ascii="宋体" w:hAnsi="宋体"/>
          <w:color w:val="auto"/>
          <w:szCs w:val="21"/>
        </w:rPr>
      </w:pPr>
      <w:r>
        <w:rPr>
          <w:rFonts w:hint="eastAsia" w:ascii="宋体" w:hAnsi="宋体"/>
          <w:color w:val="auto"/>
          <w:szCs w:val="21"/>
        </w:rPr>
        <w:t>3.2.2 技术负责人</w:t>
      </w:r>
    </w:p>
    <w:p w14:paraId="23C6DA6D">
      <w:pPr>
        <w:spacing w:line="360" w:lineRule="auto"/>
        <w:ind w:firstLine="56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3ACE504">
      <w:pPr>
        <w:spacing w:line="360" w:lineRule="auto"/>
        <w:ind w:firstLine="56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EECF539">
      <w:pPr>
        <w:spacing w:line="360" w:lineRule="auto"/>
        <w:ind w:firstLine="56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93B975F">
      <w:pPr>
        <w:spacing w:line="360" w:lineRule="auto"/>
        <w:ind w:firstLine="56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6CEA98F">
      <w:pPr>
        <w:spacing w:line="360" w:lineRule="auto"/>
        <w:ind w:firstLine="56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  </w:t>
      </w:r>
      <w:r>
        <w:rPr>
          <w:rFonts w:hint="eastAsia" w:ascii="宋体" w:hAnsi="宋体"/>
          <w:color w:val="auto"/>
          <w:szCs w:val="21"/>
          <w:highlight w:val="none"/>
        </w:rPr>
        <w:t>；</w:t>
      </w:r>
    </w:p>
    <w:p w14:paraId="235BB977">
      <w:pPr>
        <w:pStyle w:val="23"/>
        <w:spacing w:after="0" w:line="360" w:lineRule="auto"/>
        <w:rPr>
          <w:rFonts w:ascii="宋体" w:hAnsi="宋体"/>
          <w:color w:val="auto"/>
          <w:szCs w:val="21"/>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 </w:t>
      </w:r>
      <w:r>
        <w:rPr>
          <w:rFonts w:hint="eastAsia" w:ascii="宋体" w:hAnsi="宋体"/>
          <w:color w:val="auto"/>
          <w:szCs w:val="21"/>
          <w:highlight w:val="none"/>
        </w:rPr>
        <w:t>。</w:t>
      </w:r>
    </w:p>
    <w:p w14:paraId="42CB5624">
      <w:pPr>
        <w:spacing w:line="360" w:lineRule="auto"/>
        <w:ind w:firstLine="560" w:firstLineChars="200"/>
        <w:jc w:val="left"/>
        <w:rPr>
          <w:rFonts w:ascii="宋体" w:hAnsi="宋体"/>
          <w:color w:val="auto"/>
          <w:szCs w:val="21"/>
        </w:rPr>
      </w:pPr>
      <w:r>
        <w:rPr>
          <w:rFonts w:hint="eastAsia" w:ascii="宋体" w:hAnsi="宋体"/>
          <w:color w:val="auto"/>
          <w:kern w:val="0"/>
          <w:szCs w:val="21"/>
        </w:rPr>
        <w:t>关于技</w:t>
      </w:r>
      <w:r>
        <w:rPr>
          <w:rFonts w:hint="eastAsia" w:ascii="宋体" w:hAnsi="宋体"/>
          <w:color w:val="auto"/>
          <w:szCs w:val="21"/>
        </w:rPr>
        <w:t>术负责人每月在施工现场的时间要求：</w:t>
      </w:r>
      <w:r>
        <w:rPr>
          <w:rFonts w:hint="eastAsia" w:ascii="宋体" w:hAnsi="宋体"/>
          <w:color w:val="auto"/>
          <w:szCs w:val="21"/>
          <w:u w:val="single"/>
        </w:rPr>
        <w:t>不少于2</w:t>
      </w:r>
      <w:r>
        <w:rPr>
          <w:rFonts w:hint="eastAsia" w:ascii="宋体" w:hAnsi="宋体"/>
          <w:color w:val="auto"/>
          <w:szCs w:val="21"/>
          <w:u w:val="single"/>
          <w:lang w:val="en-US" w:eastAsia="zh-CN"/>
        </w:rPr>
        <w:t>0</w:t>
      </w:r>
      <w:r>
        <w:rPr>
          <w:rFonts w:hint="eastAsia" w:ascii="宋体" w:hAnsi="宋体"/>
          <w:color w:val="auto"/>
          <w:szCs w:val="21"/>
          <w:u w:val="single"/>
        </w:rPr>
        <w:t>天，由监理人负责技术负责人的考勤</w:t>
      </w:r>
      <w:r>
        <w:rPr>
          <w:rFonts w:hint="eastAsia" w:ascii="宋体" w:hAnsi="宋体"/>
          <w:color w:val="auto"/>
          <w:szCs w:val="21"/>
        </w:rPr>
        <w:t>。</w:t>
      </w:r>
    </w:p>
    <w:p w14:paraId="078177E9">
      <w:pPr>
        <w:spacing w:line="360" w:lineRule="auto"/>
        <w:ind w:firstLine="560" w:firstLineChars="200"/>
        <w:jc w:val="left"/>
        <w:rPr>
          <w:rFonts w:ascii="宋体" w:hAnsi="宋体"/>
          <w:color w:val="auto"/>
          <w:szCs w:val="21"/>
        </w:rPr>
      </w:pPr>
      <w:r>
        <w:rPr>
          <w:rFonts w:hint="eastAsia" w:ascii="宋体" w:hAnsi="宋体"/>
          <w:color w:val="auto"/>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rPr>
        <w:t>。</w:t>
      </w:r>
      <w:bookmarkStart w:id="896" w:name="_Hlk528927599"/>
    </w:p>
    <w:bookmarkEnd w:id="896"/>
    <w:p w14:paraId="30D0F25B">
      <w:pPr>
        <w:spacing w:line="360" w:lineRule="auto"/>
        <w:ind w:firstLine="560" w:firstLineChars="200"/>
        <w:jc w:val="left"/>
        <w:rPr>
          <w:rFonts w:ascii="宋体" w:hAnsi="宋体"/>
          <w:color w:val="auto"/>
          <w:szCs w:val="21"/>
        </w:rPr>
      </w:pPr>
      <w:bookmarkStart w:id="897" w:name="_Hlk528927718"/>
      <w:r>
        <w:rPr>
          <w:rFonts w:hint="eastAsia" w:ascii="宋体" w:hAnsi="宋体"/>
          <w:color w:val="auto"/>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897"/>
    </w:p>
    <w:p w14:paraId="573DD45F">
      <w:pPr>
        <w:spacing w:line="360" w:lineRule="auto"/>
        <w:ind w:firstLine="560" w:firstLineChars="200"/>
        <w:jc w:val="left"/>
        <w:rPr>
          <w:rFonts w:ascii="宋体" w:hAnsi="宋体"/>
          <w:color w:val="auto"/>
          <w:szCs w:val="21"/>
        </w:rPr>
      </w:pPr>
      <w:r>
        <w:rPr>
          <w:rFonts w:hint="eastAsia" w:ascii="宋体" w:hAnsi="宋体"/>
          <w:color w:val="auto"/>
          <w:szCs w:val="21"/>
        </w:rPr>
        <w:t>若项目经理和技术负责人出现下列情形需更换的，承包人按通用条款第3.2.3项的规定向发包人发出通知，经发包人领导班子集体决策同意后予以批准，并将变更信息推送给行业主管部门：</w:t>
      </w:r>
    </w:p>
    <w:p w14:paraId="50AB3CC5">
      <w:pPr>
        <w:spacing w:line="360" w:lineRule="auto"/>
        <w:ind w:firstLine="560" w:firstLineChars="200"/>
        <w:jc w:val="left"/>
        <w:rPr>
          <w:rFonts w:ascii="宋体" w:hAnsi="宋体"/>
          <w:color w:val="auto"/>
          <w:szCs w:val="21"/>
        </w:rPr>
      </w:pPr>
      <w:r>
        <w:rPr>
          <w:rFonts w:hint="eastAsia" w:ascii="宋体" w:hAnsi="宋体"/>
          <w:color w:val="auto"/>
          <w:szCs w:val="21"/>
        </w:rPr>
        <w:t>1、死亡；</w:t>
      </w:r>
    </w:p>
    <w:p w14:paraId="2B8893AF">
      <w:pPr>
        <w:spacing w:line="360" w:lineRule="auto"/>
        <w:ind w:firstLine="560" w:firstLineChars="200"/>
        <w:jc w:val="left"/>
        <w:rPr>
          <w:rFonts w:ascii="宋体" w:hAnsi="宋体"/>
          <w:color w:val="auto"/>
          <w:szCs w:val="21"/>
        </w:rPr>
      </w:pPr>
      <w:r>
        <w:rPr>
          <w:rFonts w:hint="eastAsia" w:ascii="宋体" w:hAnsi="宋体"/>
          <w:color w:val="auto"/>
          <w:szCs w:val="21"/>
        </w:rPr>
        <w:t>2、非承包人原因导致工期延长，而致使项目经理和技术负责人达到法定退休年龄且确需退休；</w:t>
      </w:r>
    </w:p>
    <w:p w14:paraId="296D0BBA">
      <w:pPr>
        <w:spacing w:line="360" w:lineRule="auto"/>
        <w:ind w:firstLine="560" w:firstLineChars="200"/>
        <w:jc w:val="left"/>
        <w:rPr>
          <w:rFonts w:ascii="宋体" w:hAnsi="宋体"/>
          <w:color w:val="auto"/>
          <w:szCs w:val="21"/>
        </w:rPr>
      </w:pPr>
      <w:r>
        <w:rPr>
          <w:rFonts w:hint="eastAsia" w:ascii="宋体" w:hAnsi="宋体"/>
          <w:color w:val="auto"/>
          <w:szCs w:val="21"/>
        </w:rPr>
        <w:t>3、按《职工非因工伤残或因病丧失劳动能力程度鉴定标准（试行）》规定鉴定为完全丧失劳动能力和大部分丧失劳动能力；</w:t>
      </w:r>
    </w:p>
    <w:p w14:paraId="18317FA0">
      <w:pPr>
        <w:spacing w:line="360" w:lineRule="auto"/>
        <w:ind w:firstLine="560" w:firstLineChars="200"/>
        <w:jc w:val="left"/>
        <w:rPr>
          <w:rFonts w:ascii="宋体" w:hAnsi="宋体"/>
          <w:color w:val="auto"/>
          <w:szCs w:val="21"/>
        </w:rPr>
      </w:pPr>
      <w:r>
        <w:rPr>
          <w:rFonts w:hint="eastAsia" w:ascii="宋体" w:hAnsi="宋体"/>
          <w:color w:val="auto"/>
          <w:szCs w:val="21"/>
        </w:rPr>
        <w:t>4、非承包人原因导致中标3个月不能开工；</w:t>
      </w:r>
    </w:p>
    <w:p w14:paraId="4D2A7EC1">
      <w:pPr>
        <w:spacing w:line="360" w:lineRule="auto"/>
        <w:ind w:firstLine="560" w:firstLineChars="200"/>
        <w:jc w:val="left"/>
        <w:rPr>
          <w:rFonts w:ascii="宋体" w:hAnsi="宋体"/>
          <w:color w:val="auto"/>
          <w:szCs w:val="21"/>
        </w:rPr>
      </w:pPr>
      <w:r>
        <w:rPr>
          <w:rFonts w:hint="eastAsia" w:ascii="宋体" w:hAnsi="宋体"/>
          <w:color w:val="auto"/>
          <w:szCs w:val="21"/>
        </w:rPr>
        <w:t>5、被公安或者司法机关限制人身自由；</w:t>
      </w:r>
    </w:p>
    <w:p w14:paraId="7A2FC920">
      <w:pPr>
        <w:spacing w:line="360" w:lineRule="auto"/>
        <w:ind w:firstLine="560" w:firstLineChars="200"/>
        <w:jc w:val="left"/>
        <w:rPr>
          <w:rFonts w:ascii="宋体" w:hAnsi="宋体"/>
          <w:color w:val="auto"/>
          <w:szCs w:val="21"/>
        </w:rPr>
      </w:pPr>
      <w:r>
        <w:rPr>
          <w:rFonts w:hint="eastAsia" w:ascii="宋体" w:hAnsi="宋体"/>
          <w:color w:val="auto"/>
          <w:szCs w:val="21"/>
        </w:rPr>
        <w:t>6、被取消职称或者执业资格，不满足项目管理要求；</w:t>
      </w:r>
    </w:p>
    <w:p w14:paraId="3676DB50">
      <w:pPr>
        <w:spacing w:line="360" w:lineRule="auto"/>
        <w:ind w:firstLine="560" w:firstLineChars="200"/>
        <w:jc w:val="left"/>
        <w:rPr>
          <w:rFonts w:ascii="宋体" w:hAnsi="宋体"/>
          <w:color w:val="auto"/>
          <w:szCs w:val="21"/>
        </w:rPr>
      </w:pPr>
      <w:r>
        <w:rPr>
          <w:rFonts w:hint="eastAsia" w:ascii="宋体" w:hAnsi="宋体"/>
          <w:color w:val="auto"/>
          <w:szCs w:val="21"/>
        </w:rPr>
        <w:t>7、非承包人原因导致确需变更的其它情形。</w:t>
      </w:r>
    </w:p>
    <w:p w14:paraId="48EA9E8A">
      <w:pPr>
        <w:spacing w:line="360" w:lineRule="auto"/>
        <w:ind w:firstLine="560" w:firstLineChars="200"/>
        <w:jc w:val="left"/>
        <w:rPr>
          <w:rFonts w:ascii="宋体" w:hAnsi="宋体"/>
          <w:color w:val="auto"/>
          <w:szCs w:val="21"/>
        </w:rPr>
      </w:pPr>
      <w:r>
        <w:rPr>
          <w:rFonts w:hint="eastAsia" w:ascii="宋体" w:hAnsi="宋体"/>
          <w:color w:val="auto"/>
          <w:szCs w:val="21"/>
        </w:rPr>
        <w:t>本款补充3.2.6项</w:t>
      </w:r>
    </w:p>
    <w:p w14:paraId="10AD87DE">
      <w:pPr>
        <w:spacing w:line="360" w:lineRule="auto"/>
        <w:ind w:firstLine="560" w:firstLineChars="200"/>
        <w:jc w:val="left"/>
        <w:rPr>
          <w:rFonts w:ascii="宋体" w:hAnsi="宋体"/>
          <w:color w:val="auto"/>
          <w:szCs w:val="21"/>
        </w:rPr>
      </w:pPr>
      <w:r>
        <w:rPr>
          <w:rFonts w:hint="eastAsia" w:ascii="宋体" w:hAnsi="宋体"/>
          <w:color w:val="auto"/>
          <w:szCs w:val="21"/>
        </w:rPr>
        <w:t>3.2.6 国有资金投资项目其他主要人员变更参照《重庆市政府投资项目合同变更管理暂行办法》的规定。</w:t>
      </w:r>
    </w:p>
    <w:p w14:paraId="7137436F">
      <w:pPr>
        <w:pStyle w:val="7"/>
        <w:spacing w:before="0" w:beforeAutospacing="0" w:after="0" w:afterAutospacing="0" w:line="360" w:lineRule="auto"/>
        <w:ind w:firstLine="422" w:firstLineChars="200"/>
        <w:rPr>
          <w:color w:val="auto"/>
          <w:sz w:val="21"/>
          <w:szCs w:val="21"/>
        </w:rPr>
      </w:pPr>
      <w:bookmarkStart w:id="898" w:name="_Toc532377337"/>
      <w:r>
        <w:rPr>
          <w:rFonts w:hint="eastAsia"/>
          <w:color w:val="auto"/>
          <w:sz w:val="21"/>
          <w:szCs w:val="21"/>
        </w:rPr>
        <w:t>3.3 承包人人员</w:t>
      </w:r>
      <w:bookmarkEnd w:id="898"/>
    </w:p>
    <w:p w14:paraId="19F35FEA">
      <w:pPr>
        <w:spacing w:line="360" w:lineRule="auto"/>
        <w:ind w:firstLine="560" w:firstLineChars="200"/>
        <w:jc w:val="left"/>
        <w:rPr>
          <w:rFonts w:ascii="宋体" w:hAnsi="宋体"/>
          <w:color w:val="auto"/>
          <w:szCs w:val="21"/>
          <w:u w:val="single"/>
        </w:rPr>
      </w:pPr>
      <w:r>
        <w:rPr>
          <w:rFonts w:hint="eastAsia" w:ascii="宋体" w:hAnsi="宋体"/>
          <w:color w:val="auto"/>
          <w:szCs w:val="21"/>
        </w:rPr>
        <w:t>3.3.1 承包人应按建设行政主管部门现行规定配备现场施工从业人员，具体要求如下：</w:t>
      </w:r>
      <w:r>
        <w:rPr>
          <w:rFonts w:hint="eastAsia" w:ascii="宋体" w:hAnsi="宋体"/>
          <w:color w:val="auto"/>
          <w:szCs w:val="21"/>
          <w:u w:val="single"/>
        </w:rPr>
        <w:t xml:space="preserve"> </w:t>
      </w:r>
      <w:r>
        <w:rPr>
          <w:rFonts w:hint="eastAsia" w:ascii="宋体" w:hAnsi="宋体"/>
          <w:color w:val="auto"/>
          <w:szCs w:val="21"/>
          <w:highlight w:val="none"/>
          <w:u w:val="single"/>
          <w:lang w:val="en-US" w:eastAsia="zh-CN"/>
        </w:rPr>
        <w:t>项目经理1人、技术负责人1人、施工员不少于1人、预算员1人、资料员1人、安全员不少于1人，以上人员需按要求每天到岗到位履职。</w:t>
      </w:r>
      <w:r>
        <w:rPr>
          <w:rFonts w:hint="eastAsia" w:ascii="宋体" w:hAnsi="宋体"/>
          <w:color w:val="auto"/>
          <w:szCs w:val="21"/>
          <w:u w:val="none"/>
        </w:rPr>
        <w:t xml:space="preserve">       </w:t>
      </w:r>
    </w:p>
    <w:p w14:paraId="2CF28A70">
      <w:pPr>
        <w:spacing w:line="360" w:lineRule="auto"/>
        <w:ind w:firstLine="560" w:firstLineChars="200"/>
        <w:jc w:val="left"/>
        <w:rPr>
          <w:rFonts w:ascii="宋体" w:hAnsi="宋体"/>
          <w:color w:val="auto"/>
          <w:szCs w:val="21"/>
        </w:rPr>
      </w:pPr>
      <w:r>
        <w:rPr>
          <w:rFonts w:hint="eastAsia" w:ascii="宋体" w:hAnsi="宋体"/>
          <w:color w:val="auto"/>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064E653D">
      <w:pPr>
        <w:spacing w:line="360" w:lineRule="auto"/>
        <w:ind w:firstLine="560" w:firstLineChars="200"/>
        <w:jc w:val="left"/>
        <w:rPr>
          <w:rFonts w:ascii="宋体" w:hAnsi="宋体"/>
          <w:color w:val="auto"/>
          <w:szCs w:val="21"/>
        </w:rPr>
      </w:pPr>
      <w:r>
        <w:rPr>
          <w:rFonts w:hint="eastAsia" w:ascii="宋体" w:hAnsi="宋体"/>
          <w:color w:val="auto"/>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3C72FFE4">
      <w:pPr>
        <w:spacing w:line="360" w:lineRule="auto"/>
        <w:ind w:firstLine="560" w:firstLineChars="200"/>
        <w:jc w:val="left"/>
        <w:rPr>
          <w:rFonts w:ascii="宋体" w:hAnsi="宋体"/>
          <w:color w:val="auto"/>
          <w:szCs w:val="21"/>
        </w:rPr>
      </w:pPr>
      <w:r>
        <w:rPr>
          <w:rFonts w:hint="eastAsia" w:ascii="宋体" w:hAnsi="宋体"/>
          <w:color w:val="auto"/>
          <w:szCs w:val="21"/>
        </w:rPr>
        <w:t>3.3.4 承包人主要施工管理人员离开施工现场，指定的临时人员需满足：</w:t>
      </w:r>
      <w:r>
        <w:rPr>
          <w:rFonts w:hint="eastAsia" w:ascii="宋体" w:hAnsi="宋体"/>
          <w:color w:val="auto"/>
          <w:szCs w:val="21"/>
          <w:u w:val="single"/>
        </w:rPr>
        <w:t>《重庆市房屋建筑与市政基础设施工程现场施工从业人员配备标准》（DBJ50-157-2013）的相应要求</w:t>
      </w:r>
      <w:r>
        <w:rPr>
          <w:rFonts w:hint="eastAsia" w:ascii="宋体" w:hAnsi="宋体"/>
          <w:color w:val="auto"/>
          <w:szCs w:val="21"/>
        </w:rPr>
        <w:t>。</w:t>
      </w:r>
    </w:p>
    <w:p w14:paraId="01B8E9E6">
      <w:pPr>
        <w:pStyle w:val="7"/>
        <w:spacing w:before="0" w:beforeAutospacing="0" w:after="0" w:afterAutospacing="0" w:line="360" w:lineRule="auto"/>
        <w:ind w:firstLine="422" w:firstLineChars="200"/>
        <w:rPr>
          <w:color w:val="auto"/>
          <w:sz w:val="21"/>
          <w:szCs w:val="21"/>
        </w:rPr>
      </w:pPr>
      <w:bookmarkStart w:id="899" w:name="_Toc532377338"/>
      <w:r>
        <w:rPr>
          <w:rFonts w:hint="eastAsia"/>
          <w:color w:val="auto"/>
          <w:sz w:val="21"/>
          <w:szCs w:val="21"/>
        </w:rPr>
        <w:t>3</w:t>
      </w:r>
      <w:bookmarkStart w:id="900" w:name="_Toc296891199"/>
      <w:bookmarkStart w:id="901" w:name="_Toc297048345"/>
      <w:bookmarkStart w:id="902" w:name="_Toc303539102"/>
      <w:bookmarkStart w:id="903" w:name="_Toc300934945"/>
      <w:bookmarkStart w:id="904" w:name="_Toc312677988"/>
      <w:bookmarkStart w:id="905" w:name="_Toc292559364"/>
      <w:bookmarkStart w:id="906" w:name="_Toc296346660"/>
      <w:bookmarkStart w:id="907" w:name="_Toc304295523"/>
      <w:bookmarkStart w:id="908" w:name="_Toc297120459"/>
      <w:bookmarkStart w:id="909" w:name="_Toc296944498"/>
      <w:bookmarkStart w:id="910" w:name="_Toc296347158"/>
      <w:bookmarkStart w:id="911" w:name="_Toc297123492"/>
      <w:bookmarkStart w:id="912" w:name="_Toc297216151"/>
      <w:bookmarkStart w:id="913" w:name="_Toc292559869"/>
      <w:bookmarkStart w:id="914" w:name="_Toc296890987"/>
      <w:bookmarkStart w:id="915" w:name="_Toc296503159"/>
      <w:r>
        <w:rPr>
          <w:rFonts w:hint="eastAsia"/>
          <w:color w:val="auto"/>
          <w:sz w:val="21"/>
          <w:szCs w:val="21"/>
        </w:rPr>
        <w:t>.5 分包</w:t>
      </w:r>
      <w:bookmarkEnd w:id="899"/>
    </w:p>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14:paraId="13BC0378">
      <w:pPr>
        <w:spacing w:line="360" w:lineRule="auto"/>
        <w:ind w:firstLine="560" w:firstLineChars="200"/>
        <w:jc w:val="left"/>
        <w:rPr>
          <w:rFonts w:ascii="宋体" w:hAnsi="宋体"/>
          <w:color w:val="auto"/>
          <w:szCs w:val="21"/>
        </w:rPr>
      </w:pPr>
      <w:r>
        <w:rPr>
          <w:rFonts w:hint="eastAsia" w:ascii="宋体" w:hAnsi="宋体"/>
          <w:color w:val="auto"/>
          <w:szCs w:val="21"/>
        </w:rPr>
        <w:t>3</w:t>
      </w:r>
      <w:bookmarkStart w:id="916" w:name="_Toc312677989"/>
      <w:bookmarkStart w:id="917" w:name="_Toc297216152"/>
      <w:bookmarkStart w:id="918" w:name="_Toc296891200"/>
      <w:bookmarkStart w:id="919" w:name="_Toc297123493"/>
      <w:bookmarkStart w:id="920" w:name="_Toc296890988"/>
      <w:bookmarkStart w:id="921" w:name="_Toc303539103"/>
      <w:bookmarkStart w:id="922" w:name="_Toc292559870"/>
      <w:bookmarkStart w:id="923" w:name="_Toc292559365"/>
      <w:bookmarkStart w:id="924" w:name="_Toc304295524"/>
      <w:bookmarkStart w:id="925" w:name="_Toc297048346"/>
      <w:bookmarkStart w:id="926" w:name="_Toc296347159"/>
      <w:bookmarkStart w:id="927" w:name="_Toc300934946"/>
      <w:bookmarkStart w:id="928" w:name="_Toc296944499"/>
      <w:bookmarkStart w:id="929" w:name="_Toc297120460"/>
      <w:bookmarkStart w:id="930" w:name="_Toc296503160"/>
      <w:bookmarkStart w:id="931" w:name="_Toc318581158"/>
      <w:bookmarkStart w:id="932" w:name="_Toc296346661"/>
      <w:r>
        <w:rPr>
          <w:rFonts w:hint="eastAsia" w:ascii="宋体" w:hAnsi="宋体"/>
          <w:color w:val="auto"/>
          <w:szCs w:val="21"/>
        </w:rPr>
        <w:t>.5.1 分包的一般约定</w:t>
      </w:r>
    </w:p>
    <w:p w14:paraId="507F1841">
      <w:pPr>
        <w:spacing w:line="360" w:lineRule="auto"/>
        <w:ind w:firstLine="560" w:firstLineChars="200"/>
        <w:jc w:val="left"/>
        <w:rPr>
          <w:rFonts w:ascii="宋体" w:hAnsi="宋体"/>
          <w:color w:val="auto"/>
          <w:szCs w:val="21"/>
        </w:rPr>
      </w:pPr>
      <w:r>
        <w:rPr>
          <w:rFonts w:hint="eastAsia" w:ascii="宋体" w:hAnsi="宋体"/>
          <w:color w:val="auto"/>
          <w:szCs w:val="21"/>
        </w:rPr>
        <w:t>禁止分包的工程包括：主体结构、关键性工作等国家法律、法规禁止分包的工程。</w:t>
      </w:r>
    </w:p>
    <w:p w14:paraId="285B9905">
      <w:pPr>
        <w:spacing w:line="360" w:lineRule="auto"/>
        <w:ind w:firstLine="560" w:firstLineChars="200"/>
        <w:jc w:val="left"/>
        <w:rPr>
          <w:rFonts w:ascii="宋体" w:hAnsi="宋体"/>
          <w:color w:val="auto"/>
          <w:szCs w:val="21"/>
        </w:rPr>
      </w:pPr>
      <w:r>
        <w:rPr>
          <w:rFonts w:hint="eastAsia" w:ascii="宋体" w:hAnsi="宋体"/>
          <w:color w:val="auto"/>
          <w:szCs w:val="21"/>
        </w:rPr>
        <w:t>主体结构、关键性工作的范围：国家法律、法规、规范、标准等所约束的范围。如房建工程主体结构指混凝土工程、砌体工程、钢结构工程（具体有基础、梁、板、柱、砼墙、楼梯工程等）</w:t>
      </w:r>
      <w:bookmarkStart w:id="933" w:name="_Toc296503161"/>
      <w:bookmarkStart w:id="934" w:name="_Toc297120461"/>
      <w:bookmarkStart w:id="935" w:name="_Toc303539104"/>
      <w:bookmarkStart w:id="936" w:name="_Toc297123494"/>
      <w:bookmarkStart w:id="937" w:name="_Toc300934947"/>
      <w:bookmarkStart w:id="938" w:name="_Toc296891201"/>
      <w:bookmarkStart w:id="939" w:name="_Toc297216153"/>
      <w:bookmarkStart w:id="940" w:name="_Toc296944500"/>
      <w:bookmarkStart w:id="941" w:name="_Toc296346662"/>
      <w:bookmarkStart w:id="942" w:name="_Toc296890989"/>
      <w:bookmarkStart w:id="943" w:name="_Toc296347160"/>
      <w:bookmarkStart w:id="944" w:name="_Toc304295525"/>
      <w:bookmarkStart w:id="945" w:name="_Toc297048347"/>
      <w:r>
        <w:rPr>
          <w:rFonts w:hint="eastAsia" w:ascii="宋体" w:hAnsi="宋体"/>
          <w:color w:val="auto"/>
          <w:szCs w:val="21"/>
        </w:rPr>
        <w:t>；关键性工作指梁、板、柱等部位。</w:t>
      </w:r>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14:paraId="2E1B742C">
      <w:pPr>
        <w:spacing w:line="360" w:lineRule="auto"/>
        <w:ind w:firstLine="560" w:firstLineChars="200"/>
        <w:jc w:val="left"/>
        <w:rPr>
          <w:rFonts w:ascii="宋体" w:hAnsi="宋体"/>
          <w:color w:val="auto"/>
          <w:szCs w:val="21"/>
        </w:rPr>
      </w:pPr>
      <w:r>
        <w:rPr>
          <w:rFonts w:hint="eastAsia" w:ascii="宋体" w:hAnsi="宋体"/>
          <w:color w:val="auto"/>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58646AAD">
      <w:pPr>
        <w:spacing w:line="360" w:lineRule="auto"/>
        <w:ind w:firstLine="560" w:firstLineChars="200"/>
        <w:jc w:val="left"/>
        <w:rPr>
          <w:rFonts w:ascii="宋体" w:hAnsi="宋体"/>
          <w:color w:val="auto"/>
          <w:szCs w:val="21"/>
        </w:rPr>
      </w:pPr>
      <w:r>
        <w:rPr>
          <w:rFonts w:hint="eastAsia" w:ascii="宋体" w:hAnsi="宋体"/>
          <w:color w:val="auto"/>
          <w:szCs w:val="21"/>
        </w:rPr>
        <w:t>3</w:t>
      </w:r>
      <w:bookmarkStart w:id="946" w:name="_Toc312677990"/>
      <w:bookmarkStart w:id="947" w:name="_Toc318581159"/>
      <w:r>
        <w:rPr>
          <w:rFonts w:hint="eastAsia" w:ascii="宋体" w:hAnsi="宋体"/>
          <w:color w:val="auto"/>
          <w:szCs w:val="21"/>
        </w:rPr>
        <w:t>.5.2分包的确定</w:t>
      </w:r>
    </w:p>
    <w:p w14:paraId="2C8BAA56">
      <w:pPr>
        <w:spacing w:line="360" w:lineRule="auto"/>
        <w:ind w:firstLine="560" w:firstLineChars="200"/>
        <w:jc w:val="left"/>
        <w:rPr>
          <w:rFonts w:hint="eastAsia" w:ascii="宋体" w:hAnsi="宋体"/>
          <w:color w:val="auto"/>
          <w:szCs w:val="21"/>
          <w:u w:val="single"/>
        </w:rPr>
      </w:pPr>
      <w:r>
        <w:rPr>
          <w:rFonts w:hint="eastAsia" w:ascii="宋体" w:hAnsi="宋体"/>
          <w:color w:val="auto"/>
          <w:szCs w:val="21"/>
        </w:rPr>
        <w:t>允许分包的专业工程包括：</w:t>
      </w:r>
      <w:r>
        <w:rPr>
          <w:rFonts w:hint="eastAsia" w:ascii="宋体" w:hAnsi="宋体"/>
          <w:color w:val="auto"/>
          <w:szCs w:val="21"/>
          <w:u w:val="single"/>
        </w:rPr>
        <w:t xml:space="preserve">   </w:t>
      </w:r>
      <w:r>
        <w:rPr>
          <w:rFonts w:hint="eastAsia" w:ascii="宋体" w:hAnsi="宋体"/>
          <w:color w:val="auto"/>
          <w:szCs w:val="21"/>
          <w:u w:val="single"/>
          <w:lang w:eastAsia="zh-CN"/>
        </w:rPr>
        <w:t>无</w:t>
      </w:r>
      <w:r>
        <w:rPr>
          <w:rFonts w:hint="eastAsia" w:ascii="宋体" w:hAnsi="宋体"/>
          <w:color w:val="auto"/>
          <w:szCs w:val="21"/>
          <w:u w:val="single"/>
        </w:rPr>
        <w:t xml:space="preserve"> 。</w:t>
      </w:r>
    </w:p>
    <w:p w14:paraId="6088873F">
      <w:pPr>
        <w:spacing w:line="360" w:lineRule="auto"/>
        <w:ind w:firstLine="560" w:firstLineChars="200"/>
        <w:jc w:val="left"/>
        <w:rPr>
          <w:rFonts w:ascii="宋体" w:hAnsi="宋体"/>
          <w:color w:val="auto"/>
          <w:szCs w:val="21"/>
        </w:rPr>
      </w:pPr>
      <w:r>
        <w:rPr>
          <w:rFonts w:hint="eastAsia" w:ascii="宋体" w:hAnsi="宋体"/>
          <w:color w:val="auto"/>
          <w:szCs w:val="21"/>
        </w:rPr>
        <w:t>3.5.4 分包合同价款</w:t>
      </w:r>
    </w:p>
    <w:p w14:paraId="46D5F092">
      <w:pPr>
        <w:spacing w:line="360" w:lineRule="auto"/>
        <w:ind w:firstLine="560" w:firstLineChars="200"/>
        <w:jc w:val="left"/>
        <w:rPr>
          <w:rFonts w:ascii="宋体" w:hAnsi="宋体"/>
          <w:color w:val="auto"/>
          <w:szCs w:val="21"/>
        </w:rPr>
      </w:pPr>
      <w:r>
        <w:rPr>
          <w:rFonts w:hint="eastAsia" w:ascii="宋体" w:hAnsi="宋体"/>
          <w:color w:val="auto"/>
          <w:szCs w:val="21"/>
        </w:rPr>
        <w:t>关于分包合同价款支付的约定：</w:t>
      </w:r>
      <w:bookmarkEnd w:id="946"/>
      <w:bookmarkEnd w:id="947"/>
      <w:r>
        <w:rPr>
          <w:rFonts w:hint="eastAsia" w:ascii="宋体" w:hAnsi="宋体"/>
          <w:color w:val="auto"/>
          <w:szCs w:val="21"/>
          <w:u w:val="single"/>
          <w:lang w:val="en-US" w:eastAsia="zh-CN"/>
        </w:rPr>
        <w:t xml:space="preserve">  /  </w:t>
      </w:r>
      <w:r>
        <w:rPr>
          <w:rFonts w:hint="eastAsia" w:ascii="宋体" w:hAnsi="宋体"/>
          <w:color w:val="auto"/>
          <w:szCs w:val="21"/>
        </w:rPr>
        <w:t>。</w:t>
      </w:r>
    </w:p>
    <w:p w14:paraId="7F221006">
      <w:pPr>
        <w:spacing w:line="360" w:lineRule="auto"/>
        <w:ind w:firstLine="560" w:firstLineChars="200"/>
        <w:jc w:val="left"/>
        <w:rPr>
          <w:rFonts w:ascii="宋体" w:hAnsi="宋体"/>
          <w:color w:val="auto"/>
          <w:szCs w:val="21"/>
        </w:rPr>
      </w:pPr>
      <w:r>
        <w:rPr>
          <w:rFonts w:hint="eastAsia" w:ascii="宋体" w:hAnsi="宋体"/>
          <w:color w:val="auto"/>
          <w:szCs w:val="21"/>
        </w:rPr>
        <w:t>本款补充3.5.6项：</w:t>
      </w:r>
    </w:p>
    <w:p w14:paraId="6FF4BFAE">
      <w:pPr>
        <w:spacing w:line="360" w:lineRule="auto"/>
        <w:ind w:firstLine="560" w:firstLineChars="200"/>
        <w:jc w:val="left"/>
        <w:rPr>
          <w:rFonts w:ascii="宋体" w:hAnsi="宋体"/>
          <w:color w:val="auto"/>
          <w:szCs w:val="21"/>
        </w:rPr>
      </w:pPr>
      <w:r>
        <w:rPr>
          <w:rFonts w:hint="eastAsia" w:ascii="宋体" w:hAnsi="宋体"/>
          <w:color w:val="auto"/>
          <w:szCs w:val="21"/>
        </w:rPr>
        <w:t>3.5.6严禁违法分包</w:t>
      </w:r>
    </w:p>
    <w:p w14:paraId="21AE033B">
      <w:pPr>
        <w:spacing w:line="360" w:lineRule="auto"/>
        <w:ind w:firstLine="560" w:firstLineChars="200"/>
        <w:jc w:val="left"/>
        <w:rPr>
          <w:rFonts w:ascii="宋体" w:hAnsi="宋体"/>
          <w:color w:val="auto"/>
          <w:szCs w:val="21"/>
        </w:rPr>
      </w:pPr>
      <w:r>
        <w:rPr>
          <w:rFonts w:hint="eastAsia" w:ascii="宋体" w:hAnsi="宋体"/>
          <w:color w:val="auto"/>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6552EC78">
      <w:pPr>
        <w:pStyle w:val="7"/>
        <w:spacing w:before="0" w:beforeAutospacing="0" w:after="0" w:afterAutospacing="0" w:line="360" w:lineRule="auto"/>
        <w:ind w:firstLine="422" w:firstLineChars="200"/>
        <w:rPr>
          <w:color w:val="auto"/>
          <w:sz w:val="21"/>
          <w:szCs w:val="21"/>
        </w:rPr>
      </w:pPr>
      <w:bookmarkStart w:id="948" w:name="_Toc532377339"/>
      <w:r>
        <w:rPr>
          <w:rFonts w:hint="eastAsia"/>
          <w:color w:val="auto"/>
          <w:sz w:val="21"/>
          <w:szCs w:val="21"/>
        </w:rPr>
        <w:t>3.7 履约担保</w:t>
      </w:r>
      <w:bookmarkEnd w:id="948"/>
    </w:p>
    <w:p w14:paraId="3FF48FF9">
      <w:pPr>
        <w:spacing w:line="360" w:lineRule="auto"/>
        <w:ind w:firstLine="560" w:firstLineChars="200"/>
        <w:jc w:val="left"/>
        <w:rPr>
          <w:rFonts w:ascii="宋体" w:hAnsi="宋体"/>
          <w:color w:val="auto"/>
          <w:szCs w:val="21"/>
        </w:rPr>
      </w:pPr>
      <w:r>
        <w:rPr>
          <w:rFonts w:hint="eastAsia" w:ascii="宋体" w:hAnsi="宋体"/>
          <w:color w:val="auto"/>
          <w:szCs w:val="21"/>
        </w:rPr>
        <w:t>3.7.1承包人是否提供履约担保：</w:t>
      </w:r>
      <w:r>
        <w:rPr>
          <w:rFonts w:hint="eastAsia" w:ascii="宋体" w:hAnsi="宋体"/>
          <w:color w:val="auto"/>
          <w:szCs w:val="21"/>
          <w:u w:val="single"/>
        </w:rPr>
        <w:t>提供。</w:t>
      </w:r>
    </w:p>
    <w:p w14:paraId="62D2538F">
      <w:pPr>
        <w:spacing w:line="360" w:lineRule="auto"/>
        <w:ind w:firstLine="560" w:firstLineChars="200"/>
        <w:jc w:val="left"/>
        <w:rPr>
          <w:rFonts w:ascii="宋体" w:hAnsi="宋体"/>
          <w:color w:val="auto"/>
          <w:szCs w:val="21"/>
        </w:rPr>
      </w:pPr>
      <w:r>
        <w:rPr>
          <w:rFonts w:hint="eastAsia" w:ascii="宋体" w:hAnsi="宋体"/>
          <w:color w:val="auto"/>
          <w:szCs w:val="21"/>
        </w:rPr>
        <w:t>3.7.2承包人提供履约担保的形式、金额及期限：</w:t>
      </w:r>
    </w:p>
    <w:p w14:paraId="2729F6CB">
      <w:pPr>
        <w:numPr>
          <w:ilvl w:val="0"/>
          <w:numId w:val="15"/>
        </w:numPr>
        <w:spacing w:line="360" w:lineRule="auto"/>
        <w:ind w:firstLine="560" w:firstLineChars="200"/>
        <w:jc w:val="left"/>
        <w:rPr>
          <w:rFonts w:hint="eastAsia" w:ascii="宋体" w:hAnsi="宋体"/>
          <w:color w:val="auto"/>
          <w:szCs w:val="21"/>
          <w:u w:val="single"/>
          <w:lang w:eastAsia="zh-CN"/>
        </w:rPr>
      </w:pPr>
      <w:r>
        <w:rPr>
          <w:rFonts w:hint="eastAsia" w:ascii="宋体" w:hAnsi="宋体"/>
          <w:color w:val="auto"/>
          <w:szCs w:val="21"/>
        </w:rPr>
        <w:t>履约担保的形式：</w:t>
      </w:r>
      <w:r>
        <w:rPr>
          <w:rFonts w:hint="eastAsia" w:ascii="宋体" w:hAnsi="宋体"/>
          <w:color w:val="auto"/>
          <w:szCs w:val="21"/>
          <w:u w:val="single"/>
          <w:lang w:eastAsia="zh-CN"/>
        </w:rPr>
        <w:t>现金或银行转帐</w:t>
      </w:r>
      <w:r>
        <w:rPr>
          <w:rFonts w:hint="eastAsia" w:ascii="宋体" w:hAnsi="宋体"/>
          <w:color w:val="auto"/>
          <w:szCs w:val="21"/>
          <w:u w:val="single"/>
          <w:lang w:val="en-US" w:eastAsia="zh-CN"/>
        </w:rPr>
        <w:t xml:space="preserve">  ；</w:t>
      </w:r>
    </w:p>
    <w:p w14:paraId="564FB547">
      <w:pPr>
        <w:numPr>
          <w:ilvl w:val="0"/>
          <w:numId w:val="15"/>
        </w:numPr>
        <w:spacing w:line="360" w:lineRule="auto"/>
        <w:ind w:firstLine="560" w:firstLineChars="200"/>
        <w:jc w:val="left"/>
        <w:rPr>
          <w:rFonts w:hint="eastAsia" w:ascii="宋体" w:hAnsi="宋体"/>
          <w:color w:val="auto"/>
          <w:kern w:val="0"/>
          <w:szCs w:val="21"/>
          <w:lang w:eastAsia="zh-CN"/>
        </w:rPr>
      </w:pPr>
      <w:r>
        <w:rPr>
          <w:rFonts w:hint="eastAsia" w:ascii="宋体" w:hAnsi="宋体"/>
          <w:color w:val="auto"/>
          <w:szCs w:val="21"/>
        </w:rPr>
        <w:t>履约担保的金额：</w:t>
      </w:r>
      <w:r>
        <w:rPr>
          <w:rFonts w:hint="eastAsia" w:ascii="仿宋_GB2312" w:hAnsi="宋体" w:eastAsia="仿宋_GB2312" w:cs="宋体"/>
          <w:color w:val="auto"/>
          <w:kern w:val="0"/>
          <w:szCs w:val="21"/>
          <w:u w:val="single"/>
        </w:rPr>
        <w:t xml:space="preserve">  </w:t>
      </w:r>
      <w:r>
        <w:rPr>
          <w:rFonts w:hint="eastAsia" w:ascii="宋体" w:hAnsi="宋体" w:cs="Times New Roman"/>
          <w:color w:val="auto"/>
          <w:szCs w:val="21"/>
          <w:u w:val="single"/>
          <w:lang w:eastAsia="zh-CN"/>
        </w:rPr>
        <w:t xml:space="preserve"> 合同金额</w:t>
      </w:r>
      <w:r>
        <w:rPr>
          <w:rFonts w:hint="eastAsia" w:ascii="宋体" w:hAnsi="宋体" w:cs="Times New Roman"/>
          <w:color w:val="auto"/>
          <w:szCs w:val="21"/>
          <w:u w:val="single"/>
          <w:lang w:val="en-US" w:eastAsia="zh-CN"/>
        </w:rPr>
        <w:t>*5%</w:t>
      </w:r>
      <w:r>
        <w:rPr>
          <w:rFonts w:hint="eastAsia" w:ascii="宋体" w:hAnsi="宋体" w:cs="Times New Roman"/>
          <w:color w:val="auto"/>
          <w:szCs w:val="21"/>
          <w:u w:val="single"/>
          <w:lang w:eastAsia="zh-CN"/>
        </w:rPr>
        <w:t xml:space="preserve">  </w:t>
      </w:r>
      <w:r>
        <w:rPr>
          <w:rFonts w:hint="eastAsia" w:ascii="宋体" w:hAnsi="宋体"/>
          <w:color w:val="auto"/>
          <w:szCs w:val="21"/>
          <w:u w:val="single"/>
        </w:rPr>
        <w:t>；</w:t>
      </w:r>
    </w:p>
    <w:p w14:paraId="577CC394">
      <w:pPr>
        <w:numPr>
          <w:ilvl w:val="0"/>
          <w:numId w:val="15"/>
        </w:numPr>
        <w:spacing w:line="360" w:lineRule="auto"/>
        <w:ind w:firstLine="560" w:firstLineChars="200"/>
        <w:jc w:val="left"/>
        <w:rPr>
          <w:rFonts w:hint="eastAsia" w:ascii="宋体" w:hAnsi="宋体"/>
          <w:color w:val="auto"/>
          <w:kern w:val="0"/>
          <w:szCs w:val="21"/>
          <w:lang w:eastAsia="zh-CN"/>
        </w:rPr>
      </w:pPr>
      <w:r>
        <w:rPr>
          <w:rFonts w:hint="eastAsia" w:ascii="宋体" w:hAnsi="宋体"/>
          <w:color w:val="auto"/>
          <w:szCs w:val="21"/>
        </w:rPr>
        <w:t>履约担保的提交时间：</w:t>
      </w:r>
      <w:r>
        <w:rPr>
          <w:rFonts w:hint="eastAsia" w:ascii="宋体" w:hAnsi="宋体"/>
          <w:color w:val="auto"/>
          <w:szCs w:val="21"/>
          <w:u w:val="single"/>
        </w:rPr>
        <w:t>在合同签订前，承包人</w:t>
      </w:r>
      <w:r>
        <w:rPr>
          <w:rFonts w:hint="eastAsia" w:ascii="宋体" w:hAnsi="宋体"/>
          <w:color w:val="auto"/>
          <w:szCs w:val="21"/>
          <w:u w:val="single"/>
          <w:lang w:eastAsia="zh-CN"/>
        </w:rPr>
        <w:t>在招标文件规定时间内</w:t>
      </w:r>
      <w:r>
        <w:rPr>
          <w:rFonts w:hint="eastAsia" w:ascii="宋体" w:hAnsi="宋体"/>
          <w:color w:val="auto"/>
          <w:szCs w:val="21"/>
          <w:u w:val="single"/>
        </w:rPr>
        <w:t>按担保金额向发包人提交履约担保</w:t>
      </w:r>
      <w:r>
        <w:rPr>
          <w:rFonts w:hint="eastAsia" w:ascii="宋体" w:hAnsi="宋体"/>
          <w:color w:val="auto"/>
          <w:szCs w:val="21"/>
          <w:lang w:eastAsia="zh-CN"/>
        </w:rPr>
        <w:t>；</w:t>
      </w:r>
    </w:p>
    <w:p w14:paraId="78091D19">
      <w:pPr>
        <w:numPr>
          <w:ilvl w:val="0"/>
          <w:numId w:val="15"/>
        </w:numPr>
        <w:spacing w:line="360" w:lineRule="auto"/>
        <w:ind w:firstLine="560" w:firstLineChars="200"/>
        <w:jc w:val="left"/>
        <w:rPr>
          <w:rFonts w:hint="eastAsia" w:ascii="宋体" w:hAnsi="宋体"/>
          <w:color w:val="auto"/>
          <w:kern w:val="0"/>
          <w:szCs w:val="21"/>
          <w:lang w:eastAsia="zh-CN"/>
        </w:rPr>
      </w:pPr>
      <w:r>
        <w:rPr>
          <w:rFonts w:hint="eastAsia" w:ascii="宋体" w:hAnsi="宋体"/>
          <w:color w:val="auto"/>
          <w:szCs w:val="21"/>
        </w:rPr>
        <w:t>履约担保的期限：</w:t>
      </w:r>
      <w:r>
        <w:rPr>
          <w:rFonts w:hint="eastAsia" w:ascii="宋体" w:hAnsi="宋体"/>
          <w:color w:val="auto"/>
          <w:szCs w:val="21"/>
          <w:u w:val="single"/>
        </w:rPr>
        <w:t>自</w:t>
      </w:r>
      <w:r>
        <w:rPr>
          <w:rFonts w:hint="eastAsia" w:ascii="宋体" w:hAnsi="宋体"/>
          <w:color w:val="auto"/>
          <w:szCs w:val="21"/>
          <w:u w:val="single"/>
          <w:lang w:eastAsia="zh-CN"/>
        </w:rPr>
        <w:t>双</w:t>
      </w:r>
      <w:r>
        <w:rPr>
          <w:rFonts w:hint="eastAsia" w:ascii="宋体" w:hAnsi="宋体"/>
          <w:color w:val="auto"/>
          <w:szCs w:val="21"/>
          <w:u w:val="single"/>
        </w:rPr>
        <w:t>方法定代表人（或其委托代理人）签名并加盖</w:t>
      </w:r>
      <w:r>
        <w:rPr>
          <w:rFonts w:hint="eastAsia" w:ascii="宋体" w:hAnsi="宋体"/>
          <w:color w:val="auto"/>
          <w:szCs w:val="21"/>
          <w:u w:val="single"/>
          <w:lang w:val="en-US" w:eastAsia="zh-CN"/>
        </w:rPr>
        <w:t>单位</w:t>
      </w:r>
      <w:r>
        <w:rPr>
          <w:rFonts w:hint="eastAsia" w:ascii="宋体" w:hAnsi="宋体"/>
          <w:color w:val="auto"/>
          <w:szCs w:val="21"/>
          <w:u w:val="single"/>
        </w:rPr>
        <w:t>公章之日起至</w:t>
      </w:r>
      <w:r>
        <w:rPr>
          <w:rFonts w:hint="eastAsia" w:ascii="宋体" w:hAnsi="宋体"/>
          <w:color w:val="auto"/>
          <w:szCs w:val="21"/>
          <w:u w:val="single"/>
          <w:lang w:eastAsia="zh-CN"/>
        </w:rPr>
        <w:t>工程验收合格之日止</w:t>
      </w:r>
      <w:r>
        <w:rPr>
          <w:rFonts w:hint="eastAsia" w:ascii="宋体" w:hAnsi="宋体"/>
          <w:color w:val="auto"/>
          <w:szCs w:val="21"/>
        </w:rPr>
        <w:t>。</w:t>
      </w:r>
    </w:p>
    <w:p w14:paraId="12591665">
      <w:pPr>
        <w:numPr>
          <w:ilvl w:val="0"/>
          <w:numId w:val="15"/>
        </w:numPr>
        <w:spacing w:line="360" w:lineRule="auto"/>
        <w:ind w:firstLine="560" w:firstLineChars="200"/>
        <w:jc w:val="left"/>
        <w:rPr>
          <w:rFonts w:hint="eastAsia" w:ascii="宋体" w:hAnsi="宋体"/>
          <w:color w:val="auto"/>
          <w:kern w:val="0"/>
          <w:szCs w:val="21"/>
          <w:lang w:eastAsia="zh-CN"/>
        </w:rPr>
      </w:pPr>
      <w:r>
        <w:rPr>
          <w:rFonts w:hint="eastAsia" w:ascii="宋体" w:hAnsi="宋体"/>
          <w:color w:val="auto"/>
          <w:szCs w:val="21"/>
        </w:rPr>
        <w:t>履约担保的退还时间：</w:t>
      </w:r>
      <w:r>
        <w:rPr>
          <w:rFonts w:hint="eastAsia" w:ascii="宋体" w:hAnsi="宋体"/>
          <w:color w:val="auto"/>
          <w:szCs w:val="21"/>
          <w:u w:val="single"/>
          <w:lang w:eastAsia="zh-CN"/>
        </w:rPr>
        <w:t>工程竣工验收合格后，发包人收到承包人退还履约担保金的申请后，</w:t>
      </w:r>
      <w:r>
        <w:rPr>
          <w:rFonts w:hint="eastAsia" w:ascii="宋体" w:hAnsi="宋体"/>
          <w:color w:val="auto"/>
          <w:szCs w:val="21"/>
          <w:u w:val="single"/>
          <w:lang w:val="en-US" w:eastAsia="zh-CN"/>
        </w:rPr>
        <w:t>15个工作日内无息退还。</w:t>
      </w:r>
    </w:p>
    <w:p w14:paraId="38C586B9">
      <w:pPr>
        <w:numPr>
          <w:ilvl w:val="0"/>
          <w:numId w:val="0"/>
        </w:numPr>
        <w:spacing w:line="360" w:lineRule="auto"/>
        <w:ind w:firstLine="560" w:firstLineChars="200"/>
        <w:jc w:val="left"/>
        <w:rPr>
          <w:rFonts w:hint="eastAsia" w:ascii="宋体" w:hAnsi="宋体"/>
          <w:color w:val="auto"/>
          <w:szCs w:val="21"/>
          <w:lang w:val="en-US" w:eastAsia="zh-CN"/>
        </w:rPr>
      </w:pPr>
      <w:r>
        <w:rPr>
          <w:rFonts w:hint="eastAsia" w:ascii="宋体" w:hAnsi="宋体"/>
          <w:color w:val="auto"/>
          <w:szCs w:val="21"/>
        </w:rPr>
        <w:t>3.7.</w:t>
      </w:r>
      <w:r>
        <w:rPr>
          <w:rFonts w:hint="eastAsia" w:ascii="宋体" w:hAnsi="宋体"/>
          <w:color w:val="auto"/>
          <w:szCs w:val="21"/>
          <w:lang w:val="en-US" w:eastAsia="zh-CN"/>
        </w:rPr>
        <w:t>3承包人提供低价风险担保的形式、金额及期限：</w:t>
      </w:r>
    </w:p>
    <w:p w14:paraId="44703B0F">
      <w:pPr>
        <w:tabs>
          <w:tab w:val="left" w:pos="1134"/>
        </w:tabs>
        <w:spacing w:line="360" w:lineRule="auto"/>
        <w:ind w:firstLine="560" w:firstLineChars="200"/>
        <w:jc w:val="left"/>
        <w:rPr>
          <w:rFonts w:ascii="宋体" w:hAnsi="宋体"/>
          <w:color w:val="auto"/>
          <w:szCs w:val="21"/>
          <w:u w:val="single"/>
        </w:rPr>
      </w:pPr>
      <w:r>
        <w:rPr>
          <w:rFonts w:hint="eastAsia" w:ascii="宋体" w:hAnsi="宋体"/>
          <w:color w:val="auto"/>
          <w:szCs w:val="21"/>
          <w:lang w:val="en-US" w:eastAsia="zh-CN"/>
        </w:rPr>
        <w:t>不要求</w:t>
      </w:r>
    </w:p>
    <w:p w14:paraId="6FF50820">
      <w:pPr>
        <w:pStyle w:val="6"/>
        <w:keepNext/>
        <w:keepLines/>
        <w:spacing w:before="156" w:beforeLines="50" w:beforeAutospacing="0" w:after="156" w:afterLines="50" w:afterAutospacing="0" w:line="360" w:lineRule="auto"/>
        <w:jc w:val="both"/>
        <w:rPr>
          <w:bCs w:val="0"/>
          <w:color w:val="auto"/>
          <w:kern w:val="2"/>
          <w:sz w:val="21"/>
          <w:szCs w:val="21"/>
        </w:rPr>
      </w:pPr>
      <w:bookmarkStart w:id="949" w:name="_Toc532375611"/>
      <w:bookmarkStart w:id="950" w:name="_Toc351203636"/>
      <w:bookmarkStart w:id="951" w:name="_Toc532377340"/>
      <w:r>
        <w:rPr>
          <w:rFonts w:hint="eastAsia"/>
          <w:color w:val="auto"/>
          <w:kern w:val="2"/>
          <w:sz w:val="21"/>
          <w:szCs w:val="21"/>
        </w:rPr>
        <w:t>4</w:t>
      </w:r>
      <w:bookmarkStart w:id="952" w:name="_Toc292559871"/>
      <w:bookmarkStart w:id="953" w:name="_Toc296347161"/>
      <w:bookmarkStart w:id="954" w:name="_Toc296346663"/>
      <w:bookmarkStart w:id="955" w:name="_Toc297120462"/>
      <w:bookmarkStart w:id="956" w:name="_Toc292559366"/>
      <w:bookmarkStart w:id="957" w:name="_Toc296503162"/>
      <w:bookmarkStart w:id="958" w:name="_Toc297048348"/>
      <w:bookmarkStart w:id="959" w:name="_Toc296944501"/>
      <w:bookmarkStart w:id="960" w:name="_Toc296890990"/>
      <w:bookmarkStart w:id="961" w:name="_Toc267251413"/>
      <w:bookmarkStart w:id="962" w:name="_Toc296891202"/>
      <w:r>
        <w:rPr>
          <w:rFonts w:hint="eastAsia"/>
          <w:color w:val="auto"/>
          <w:kern w:val="2"/>
          <w:sz w:val="21"/>
          <w:szCs w:val="21"/>
        </w:rPr>
        <w:t>. 监</w:t>
      </w:r>
      <w:bookmarkEnd w:id="952"/>
      <w:bookmarkEnd w:id="953"/>
      <w:bookmarkEnd w:id="954"/>
      <w:bookmarkEnd w:id="955"/>
      <w:bookmarkEnd w:id="956"/>
      <w:bookmarkEnd w:id="957"/>
      <w:bookmarkEnd w:id="958"/>
      <w:bookmarkEnd w:id="959"/>
      <w:bookmarkEnd w:id="960"/>
      <w:bookmarkEnd w:id="961"/>
      <w:bookmarkEnd w:id="962"/>
      <w:r>
        <w:rPr>
          <w:rFonts w:hint="eastAsia"/>
          <w:color w:val="auto"/>
          <w:kern w:val="2"/>
          <w:sz w:val="21"/>
          <w:szCs w:val="21"/>
        </w:rPr>
        <w:t>理人</w:t>
      </w:r>
      <w:bookmarkEnd w:id="949"/>
      <w:bookmarkEnd w:id="950"/>
      <w:bookmarkEnd w:id="951"/>
    </w:p>
    <w:p w14:paraId="085DE574">
      <w:pPr>
        <w:pStyle w:val="7"/>
        <w:spacing w:before="0" w:beforeAutospacing="0" w:after="0" w:afterAutospacing="0" w:line="360" w:lineRule="auto"/>
        <w:ind w:firstLine="422" w:firstLineChars="200"/>
        <w:rPr>
          <w:color w:val="auto"/>
          <w:sz w:val="21"/>
          <w:szCs w:val="21"/>
        </w:rPr>
      </w:pPr>
      <w:bookmarkStart w:id="963" w:name="_Toc532377341"/>
      <w:r>
        <w:rPr>
          <w:rFonts w:hint="eastAsia"/>
          <w:color w:val="auto"/>
          <w:sz w:val="21"/>
          <w:szCs w:val="21"/>
        </w:rPr>
        <w:t>4.1 监理人的一般规定</w:t>
      </w:r>
      <w:bookmarkEnd w:id="963"/>
    </w:p>
    <w:p w14:paraId="5D4A0375">
      <w:pPr>
        <w:spacing w:line="360" w:lineRule="auto"/>
        <w:ind w:firstLine="560" w:firstLineChars="200"/>
        <w:jc w:val="left"/>
        <w:rPr>
          <w:rFonts w:ascii="宋体" w:hAnsi="宋体"/>
          <w:color w:val="auto"/>
          <w:szCs w:val="21"/>
        </w:rPr>
      </w:pPr>
      <w:r>
        <w:rPr>
          <w:rFonts w:hint="eastAsia" w:ascii="宋体" w:hAnsi="宋体"/>
          <w:color w:val="auto"/>
          <w:szCs w:val="21"/>
        </w:rPr>
        <w:t>关于监理人的监理内容：</w:t>
      </w:r>
      <w:r>
        <w:rPr>
          <w:rFonts w:hint="eastAsia" w:ascii="宋体" w:hAnsi="宋体"/>
          <w:color w:val="auto"/>
          <w:szCs w:val="21"/>
          <w:u w:val="single"/>
        </w:rPr>
        <w:t>见发包人与监理人就本工程签订的监理合同</w:t>
      </w:r>
      <w:r>
        <w:rPr>
          <w:rFonts w:hint="eastAsia" w:ascii="宋体" w:hAnsi="宋体"/>
          <w:color w:val="auto"/>
          <w:szCs w:val="21"/>
        </w:rPr>
        <w:t>。</w:t>
      </w:r>
    </w:p>
    <w:p w14:paraId="710957D8">
      <w:pPr>
        <w:spacing w:line="360" w:lineRule="auto"/>
        <w:ind w:firstLine="560" w:firstLineChars="200"/>
        <w:jc w:val="left"/>
        <w:rPr>
          <w:rFonts w:ascii="宋体" w:hAnsi="宋体"/>
          <w:color w:val="auto"/>
          <w:szCs w:val="21"/>
        </w:rPr>
      </w:pPr>
      <w:r>
        <w:rPr>
          <w:rFonts w:hint="eastAsia" w:ascii="宋体" w:hAnsi="宋体"/>
          <w:color w:val="auto"/>
          <w:szCs w:val="21"/>
        </w:rPr>
        <w:t>关于监理人的监理权限：</w:t>
      </w:r>
      <w:r>
        <w:rPr>
          <w:rFonts w:hint="eastAsia" w:ascii="宋体" w:hAnsi="宋体"/>
          <w:color w:val="auto"/>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rPr>
        <w:t>。</w:t>
      </w:r>
    </w:p>
    <w:p w14:paraId="2CAE0377">
      <w:pPr>
        <w:spacing w:line="360" w:lineRule="auto"/>
        <w:ind w:firstLine="560" w:firstLineChars="200"/>
        <w:jc w:val="left"/>
        <w:rPr>
          <w:rFonts w:ascii="宋体" w:hAnsi="宋体"/>
          <w:color w:val="auto"/>
          <w:szCs w:val="21"/>
        </w:rPr>
      </w:pPr>
      <w:r>
        <w:rPr>
          <w:rFonts w:hint="eastAsia" w:ascii="宋体" w:hAnsi="宋体"/>
          <w:color w:val="auto"/>
          <w:szCs w:val="21"/>
        </w:rPr>
        <w:t>关于监理人在施工现场的办公场所、生活场所的提供和费用承担的约定：</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 </w:t>
      </w:r>
      <w:r>
        <w:rPr>
          <w:rFonts w:hint="eastAsia" w:ascii="宋体" w:hAnsi="宋体"/>
          <w:color w:val="auto"/>
          <w:szCs w:val="21"/>
        </w:rPr>
        <w:t>。</w:t>
      </w:r>
    </w:p>
    <w:p w14:paraId="0A5BDB92">
      <w:pPr>
        <w:pStyle w:val="7"/>
        <w:spacing w:before="0" w:beforeAutospacing="0" w:after="0" w:afterAutospacing="0" w:line="360" w:lineRule="auto"/>
        <w:ind w:firstLine="422" w:firstLineChars="200"/>
        <w:rPr>
          <w:color w:val="auto"/>
          <w:sz w:val="21"/>
          <w:szCs w:val="21"/>
        </w:rPr>
      </w:pPr>
      <w:bookmarkStart w:id="964" w:name="_Toc532377342"/>
      <w:r>
        <w:rPr>
          <w:rFonts w:hint="eastAsia"/>
          <w:color w:val="auto"/>
          <w:sz w:val="21"/>
          <w:szCs w:val="21"/>
        </w:rPr>
        <w:t>4.2 监理人员</w:t>
      </w:r>
      <w:bookmarkEnd w:id="964"/>
    </w:p>
    <w:p w14:paraId="2A455D93">
      <w:pPr>
        <w:spacing w:line="360" w:lineRule="auto"/>
        <w:ind w:firstLine="560" w:firstLineChars="200"/>
        <w:jc w:val="left"/>
        <w:rPr>
          <w:rFonts w:ascii="宋体" w:hAnsi="宋体"/>
          <w:color w:val="auto"/>
          <w:szCs w:val="21"/>
        </w:rPr>
      </w:pPr>
      <w:r>
        <w:rPr>
          <w:rFonts w:hint="eastAsia" w:ascii="宋体" w:hAnsi="宋体"/>
          <w:color w:val="auto"/>
          <w:szCs w:val="21"/>
        </w:rPr>
        <w:t>总监理工程师：</w:t>
      </w:r>
    </w:p>
    <w:p w14:paraId="580D56A2">
      <w:pPr>
        <w:spacing w:line="360" w:lineRule="auto"/>
        <w:ind w:firstLine="560" w:firstLineChars="200"/>
        <w:jc w:val="left"/>
        <w:rPr>
          <w:rFonts w:ascii="宋体" w:hAnsi="宋体"/>
          <w:color w:val="auto"/>
          <w:szCs w:val="21"/>
        </w:rPr>
      </w:pPr>
      <w:r>
        <w:rPr>
          <w:rFonts w:hint="eastAsia" w:ascii="宋体" w:hAnsi="宋体"/>
          <w:color w:val="auto"/>
          <w:szCs w:val="21"/>
        </w:rPr>
        <w:t>姓    名：</w:t>
      </w:r>
      <w:r>
        <w:rPr>
          <w:rFonts w:ascii="宋体" w:hAnsi="宋体"/>
          <w:color w:val="auto"/>
          <w:szCs w:val="21"/>
          <w:u w:val="single"/>
        </w:rPr>
        <w:t xml:space="preserve">                          </w:t>
      </w:r>
      <w:r>
        <w:rPr>
          <w:rFonts w:hint="eastAsia" w:ascii="宋体" w:hAnsi="宋体"/>
          <w:color w:val="auto"/>
          <w:szCs w:val="21"/>
        </w:rPr>
        <w:t>；</w:t>
      </w:r>
    </w:p>
    <w:p w14:paraId="049E82E9">
      <w:pPr>
        <w:spacing w:line="360" w:lineRule="auto"/>
        <w:ind w:firstLine="560" w:firstLineChars="200"/>
        <w:jc w:val="left"/>
        <w:rPr>
          <w:rFonts w:ascii="宋体" w:hAnsi="宋体"/>
          <w:color w:val="auto"/>
          <w:szCs w:val="21"/>
        </w:rPr>
      </w:pPr>
      <w:r>
        <w:rPr>
          <w:rFonts w:hint="eastAsia" w:ascii="宋体" w:hAnsi="宋体"/>
          <w:color w:val="auto"/>
          <w:szCs w:val="21"/>
        </w:rPr>
        <w:t>职    务：</w:t>
      </w:r>
      <w:r>
        <w:rPr>
          <w:rFonts w:ascii="宋体" w:hAnsi="宋体"/>
          <w:color w:val="auto"/>
          <w:szCs w:val="21"/>
          <w:u w:val="single"/>
        </w:rPr>
        <w:t xml:space="preserve">                          </w:t>
      </w:r>
      <w:r>
        <w:rPr>
          <w:rFonts w:hint="eastAsia" w:ascii="宋体" w:hAnsi="宋体"/>
          <w:color w:val="auto"/>
          <w:szCs w:val="21"/>
        </w:rPr>
        <w:t>；</w:t>
      </w:r>
    </w:p>
    <w:p w14:paraId="71951D29">
      <w:pPr>
        <w:spacing w:line="360" w:lineRule="auto"/>
        <w:ind w:firstLine="560" w:firstLineChars="200"/>
        <w:jc w:val="left"/>
        <w:rPr>
          <w:rFonts w:ascii="宋体" w:hAnsi="宋体"/>
          <w:color w:val="auto"/>
          <w:szCs w:val="21"/>
        </w:rPr>
      </w:pPr>
      <w:r>
        <w:rPr>
          <w:rFonts w:hint="eastAsia" w:ascii="宋体" w:hAnsi="宋体"/>
          <w:color w:val="auto"/>
          <w:szCs w:val="21"/>
        </w:rPr>
        <w:t>监理工程师执业资格证书号：</w:t>
      </w:r>
      <w:r>
        <w:rPr>
          <w:rFonts w:ascii="宋体" w:hAnsi="宋体"/>
          <w:color w:val="auto"/>
          <w:szCs w:val="21"/>
          <w:u w:val="single"/>
        </w:rPr>
        <w:t xml:space="preserve">              </w:t>
      </w:r>
      <w:r>
        <w:rPr>
          <w:rFonts w:hint="eastAsia" w:ascii="宋体" w:hAnsi="宋体"/>
          <w:color w:val="auto"/>
          <w:szCs w:val="21"/>
        </w:rPr>
        <w:t>；</w:t>
      </w:r>
    </w:p>
    <w:p w14:paraId="11DDE576">
      <w:pPr>
        <w:spacing w:line="360" w:lineRule="auto"/>
        <w:ind w:firstLine="560" w:firstLineChars="200"/>
        <w:jc w:val="left"/>
        <w:rPr>
          <w:rFonts w:ascii="宋体" w:hAnsi="宋体"/>
          <w:color w:val="auto"/>
          <w:szCs w:val="21"/>
        </w:rPr>
      </w:pPr>
      <w:r>
        <w:rPr>
          <w:rFonts w:hint="eastAsia" w:ascii="宋体" w:hAnsi="宋体"/>
          <w:color w:val="auto"/>
          <w:szCs w:val="21"/>
        </w:rPr>
        <w:t>联系方式：</w:t>
      </w:r>
      <w:r>
        <w:rPr>
          <w:rFonts w:ascii="宋体" w:hAnsi="宋体"/>
          <w:color w:val="auto"/>
          <w:szCs w:val="21"/>
          <w:u w:val="single"/>
        </w:rPr>
        <w:t xml:space="preserve">                          </w:t>
      </w:r>
      <w:r>
        <w:rPr>
          <w:rFonts w:hint="eastAsia" w:ascii="宋体" w:hAnsi="宋体"/>
          <w:color w:val="auto"/>
          <w:szCs w:val="21"/>
        </w:rPr>
        <w:t>；</w:t>
      </w:r>
    </w:p>
    <w:p w14:paraId="392F3A4D">
      <w:pPr>
        <w:spacing w:line="360" w:lineRule="auto"/>
        <w:ind w:firstLine="560" w:firstLineChars="200"/>
        <w:jc w:val="left"/>
        <w:rPr>
          <w:rFonts w:ascii="宋体" w:hAnsi="宋体"/>
          <w:color w:val="auto"/>
          <w:szCs w:val="21"/>
        </w:rPr>
      </w:pPr>
      <w:r>
        <w:rPr>
          <w:rFonts w:hint="eastAsia" w:ascii="宋体" w:hAnsi="宋体"/>
          <w:color w:val="auto"/>
          <w:szCs w:val="21"/>
        </w:rPr>
        <w:t>关于监理人的其他约定：</w:t>
      </w:r>
      <w:r>
        <w:rPr>
          <w:rFonts w:hint="eastAsia" w:ascii="宋体" w:hAnsi="宋体"/>
          <w:color w:val="auto"/>
          <w:szCs w:val="21"/>
          <w:u w:val="single"/>
        </w:rPr>
        <w:t>见发包人与监理人就本工程签订的监理合同</w:t>
      </w:r>
      <w:r>
        <w:rPr>
          <w:rFonts w:hint="eastAsia" w:ascii="宋体" w:hAnsi="宋体"/>
          <w:color w:val="auto"/>
          <w:szCs w:val="21"/>
        </w:rPr>
        <w:t>。</w:t>
      </w:r>
    </w:p>
    <w:p w14:paraId="641E54BD">
      <w:pPr>
        <w:pStyle w:val="7"/>
        <w:spacing w:before="0" w:beforeAutospacing="0" w:after="0" w:afterAutospacing="0" w:line="360" w:lineRule="auto"/>
        <w:ind w:firstLine="420" w:firstLineChars="200"/>
        <w:rPr>
          <w:b w:val="0"/>
          <w:color w:val="auto"/>
          <w:sz w:val="21"/>
          <w:szCs w:val="21"/>
        </w:rPr>
      </w:pPr>
      <w:bookmarkStart w:id="965" w:name="_Toc532377343"/>
      <w:r>
        <w:rPr>
          <w:rFonts w:hint="eastAsia"/>
          <w:b w:val="0"/>
          <w:color w:val="auto"/>
          <w:sz w:val="21"/>
          <w:szCs w:val="21"/>
        </w:rPr>
        <w:t>4.4 商定或确定</w:t>
      </w:r>
      <w:bookmarkEnd w:id="965"/>
    </w:p>
    <w:p w14:paraId="0957D363">
      <w:pPr>
        <w:spacing w:line="360" w:lineRule="auto"/>
        <w:ind w:firstLine="560" w:firstLineChars="200"/>
        <w:jc w:val="left"/>
        <w:rPr>
          <w:rFonts w:ascii="宋体" w:hAnsi="宋体"/>
          <w:color w:val="auto"/>
          <w:szCs w:val="21"/>
        </w:rPr>
      </w:pPr>
      <w:bookmarkStart w:id="966" w:name="_Toc267251418"/>
      <w:r>
        <w:rPr>
          <w:rFonts w:hint="eastAsia" w:ascii="宋体" w:hAnsi="宋体"/>
          <w:color w:val="auto"/>
          <w:szCs w:val="21"/>
        </w:rPr>
        <w:t>在发包人和承包人不能通过协商达成一致意见时，发包人授权监理人对以下事项进行确定：</w:t>
      </w:r>
    </w:p>
    <w:p w14:paraId="521016A0">
      <w:pPr>
        <w:spacing w:line="360" w:lineRule="auto"/>
        <w:ind w:firstLine="560" w:firstLineChars="200"/>
        <w:jc w:val="lef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lang w:eastAsia="zh-CN"/>
        </w:rPr>
        <w:t>见发包人与监理人就本工程签订的监理合同</w:t>
      </w:r>
      <w:r>
        <w:rPr>
          <w:rFonts w:hint="eastAsia" w:ascii="宋体" w:hAnsi="宋体"/>
          <w:color w:val="auto"/>
          <w:szCs w:val="21"/>
          <w:u w:val="single"/>
        </w:rPr>
        <w:t> </w:t>
      </w:r>
      <w:r>
        <w:rPr>
          <w:rFonts w:hint="eastAsia" w:ascii="宋体" w:hAnsi="宋体"/>
          <w:color w:val="auto"/>
          <w:szCs w:val="21"/>
        </w:rPr>
        <w:t>。</w:t>
      </w:r>
    </w:p>
    <w:p w14:paraId="2741EF6B">
      <w:pPr>
        <w:pStyle w:val="6"/>
        <w:keepNext/>
        <w:keepLines/>
        <w:spacing w:before="156" w:beforeLines="50" w:beforeAutospacing="0" w:after="156" w:afterLines="50" w:afterAutospacing="0" w:line="360" w:lineRule="auto"/>
        <w:jc w:val="both"/>
        <w:rPr>
          <w:bCs w:val="0"/>
          <w:color w:val="auto"/>
          <w:kern w:val="2"/>
          <w:sz w:val="21"/>
          <w:szCs w:val="21"/>
        </w:rPr>
      </w:pPr>
      <w:bookmarkStart w:id="967" w:name="_Toc532377344"/>
      <w:bookmarkStart w:id="968" w:name="_Toc532375612"/>
      <w:bookmarkStart w:id="969" w:name="_Toc351203637"/>
      <w:r>
        <w:rPr>
          <w:rFonts w:hint="eastAsia"/>
          <w:color w:val="auto"/>
          <w:kern w:val="2"/>
          <w:sz w:val="21"/>
          <w:szCs w:val="21"/>
        </w:rPr>
        <w:t>5</w:t>
      </w:r>
      <w:bookmarkEnd w:id="966"/>
      <w:bookmarkStart w:id="970" w:name="_Toc296944502"/>
      <w:bookmarkStart w:id="971" w:name="_Toc292559367"/>
      <w:bookmarkStart w:id="972" w:name="_Toc296347162"/>
      <w:bookmarkStart w:id="973" w:name="_Toc297120463"/>
      <w:bookmarkStart w:id="974" w:name="_Toc296503163"/>
      <w:bookmarkStart w:id="975" w:name="_Toc297048349"/>
      <w:bookmarkStart w:id="976" w:name="_Toc296891203"/>
      <w:bookmarkStart w:id="977" w:name="_Toc296890991"/>
      <w:bookmarkStart w:id="978" w:name="_Toc292559872"/>
      <w:bookmarkStart w:id="979" w:name="_Toc296346664"/>
      <w:r>
        <w:rPr>
          <w:rFonts w:hint="eastAsia"/>
          <w:color w:val="auto"/>
          <w:kern w:val="2"/>
          <w:sz w:val="21"/>
          <w:szCs w:val="21"/>
        </w:rPr>
        <w:t>. 工程质量</w:t>
      </w:r>
      <w:bookmarkEnd w:id="967"/>
      <w:bookmarkEnd w:id="968"/>
      <w:bookmarkEnd w:id="969"/>
    </w:p>
    <w:p w14:paraId="49A2C555">
      <w:pPr>
        <w:pStyle w:val="7"/>
        <w:spacing w:before="0" w:beforeAutospacing="0" w:after="0" w:afterAutospacing="0" w:line="360" w:lineRule="auto"/>
        <w:ind w:firstLine="422" w:firstLineChars="200"/>
        <w:rPr>
          <w:color w:val="auto"/>
          <w:sz w:val="21"/>
          <w:szCs w:val="21"/>
        </w:rPr>
      </w:pPr>
      <w:bookmarkStart w:id="980" w:name="_Toc532377345"/>
      <w:r>
        <w:rPr>
          <w:rFonts w:hint="eastAsia"/>
          <w:color w:val="auto"/>
          <w:sz w:val="21"/>
          <w:szCs w:val="21"/>
        </w:rPr>
        <w:t>5.1 质量要求</w:t>
      </w:r>
      <w:bookmarkEnd w:id="980"/>
      <w:bookmarkStart w:id="981" w:name="_Hlk528909888"/>
      <w:bookmarkStart w:id="982" w:name="_Toc318581164"/>
      <w:bookmarkStart w:id="983" w:name="_Toc300934949"/>
      <w:bookmarkStart w:id="984" w:name="_Toc304295527"/>
      <w:bookmarkStart w:id="985" w:name="_Toc312677997"/>
      <w:bookmarkStart w:id="986" w:name="_Toc297216155"/>
      <w:bookmarkStart w:id="987" w:name="_Toc303539106"/>
      <w:bookmarkStart w:id="988" w:name="_Toc297123496"/>
    </w:p>
    <w:p w14:paraId="079DCB61">
      <w:pPr>
        <w:spacing w:line="360" w:lineRule="auto"/>
        <w:ind w:firstLine="560" w:firstLineChars="200"/>
        <w:jc w:val="left"/>
        <w:rPr>
          <w:rFonts w:ascii="宋体" w:hAnsi="宋体"/>
          <w:color w:val="auto"/>
          <w:szCs w:val="21"/>
          <w:u w:val="single"/>
        </w:rPr>
      </w:pPr>
      <w:r>
        <w:rPr>
          <w:rFonts w:hint="eastAsia" w:ascii="宋体" w:hAnsi="宋体"/>
          <w:color w:val="auto"/>
          <w:szCs w:val="21"/>
        </w:rPr>
        <w:t>工程质量符合强制性质量标准，</w:t>
      </w:r>
      <w:r>
        <w:rPr>
          <w:rFonts w:hint="eastAsia" w:ascii="宋体" w:hAnsi="宋体"/>
          <w:color w:val="auto"/>
          <w:szCs w:val="21"/>
          <w:u w:val="single"/>
        </w:rPr>
        <w:t>符合国家和重庆市现行有关施工质量验收规范要求，并达到合格标准</w:t>
      </w:r>
      <w:r>
        <w:rPr>
          <w:rFonts w:hint="eastAsia" w:ascii="宋体" w:hAnsi="宋体"/>
          <w:color w:val="auto"/>
          <w:szCs w:val="21"/>
        </w:rPr>
        <w:t>。强制性质量标准有（包括但不限于）：</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bookmarkEnd w:id="981"/>
    <w:p w14:paraId="1CD0C5ED">
      <w:pPr>
        <w:pStyle w:val="7"/>
        <w:spacing w:before="0" w:beforeAutospacing="0" w:after="0" w:afterAutospacing="0" w:line="360" w:lineRule="auto"/>
        <w:ind w:firstLine="422" w:firstLineChars="200"/>
        <w:rPr>
          <w:color w:val="auto"/>
          <w:sz w:val="21"/>
          <w:szCs w:val="21"/>
        </w:rPr>
      </w:pPr>
      <w:bookmarkStart w:id="989" w:name="_Toc532377346"/>
      <w:r>
        <w:rPr>
          <w:rFonts w:hint="eastAsia"/>
          <w:color w:val="auto"/>
          <w:sz w:val="21"/>
          <w:szCs w:val="21"/>
        </w:rPr>
        <w:t>5.2 质量保证措施</w:t>
      </w:r>
      <w:bookmarkEnd w:id="989"/>
    </w:p>
    <w:p w14:paraId="6596A116">
      <w:pPr>
        <w:spacing w:line="360" w:lineRule="auto"/>
        <w:ind w:firstLine="560" w:firstLineChars="200"/>
        <w:jc w:val="left"/>
        <w:rPr>
          <w:rFonts w:ascii="宋体" w:hAnsi="宋体"/>
          <w:color w:val="auto"/>
          <w:szCs w:val="21"/>
        </w:rPr>
      </w:pPr>
      <w:r>
        <w:rPr>
          <w:rFonts w:hint="eastAsia" w:ascii="宋体" w:hAnsi="宋体"/>
          <w:color w:val="auto"/>
          <w:szCs w:val="21"/>
        </w:rPr>
        <w:t>本款补充5.2.4项：</w:t>
      </w:r>
    </w:p>
    <w:p w14:paraId="62054426">
      <w:pPr>
        <w:spacing w:line="360" w:lineRule="auto"/>
        <w:ind w:firstLine="560" w:firstLineChars="200"/>
        <w:jc w:val="left"/>
        <w:rPr>
          <w:rFonts w:ascii="宋体" w:hAnsi="宋体"/>
          <w:color w:val="auto"/>
          <w:szCs w:val="21"/>
        </w:rPr>
      </w:pPr>
      <w:r>
        <w:rPr>
          <w:rFonts w:hint="eastAsia" w:ascii="宋体" w:hAnsi="宋体"/>
          <w:color w:val="auto"/>
          <w:szCs w:val="21"/>
        </w:rPr>
        <w:t>5.2.4 在工程建设中，参建各方应严格执行以下规定（包括但不限于）：</w:t>
      </w:r>
    </w:p>
    <w:p w14:paraId="3481FD82">
      <w:pPr>
        <w:spacing w:line="360" w:lineRule="auto"/>
        <w:ind w:firstLine="560" w:firstLineChars="200"/>
        <w:jc w:val="left"/>
        <w:rPr>
          <w:rFonts w:ascii="宋体" w:hAnsi="宋体"/>
          <w:color w:val="auto"/>
          <w:szCs w:val="21"/>
        </w:rPr>
      </w:pPr>
      <w:r>
        <w:rPr>
          <w:rFonts w:hint="eastAsia" w:ascii="宋体" w:hAnsi="宋体"/>
          <w:color w:val="auto"/>
          <w:szCs w:val="21"/>
        </w:rPr>
        <w:t>（1）</w:t>
      </w:r>
      <w:r>
        <w:rPr>
          <w:rFonts w:hint="eastAsia" w:ascii="宋体" w:hAnsi="宋体"/>
          <w:color w:val="auto"/>
          <w:szCs w:val="21"/>
          <w:u w:val="single"/>
        </w:rPr>
        <w:t>《建筑工程施工质量验收统一标准》（GB50300-2013）</w:t>
      </w:r>
      <w:r>
        <w:rPr>
          <w:rFonts w:hint="eastAsia" w:ascii="宋体" w:hAnsi="宋体"/>
          <w:color w:val="auto"/>
          <w:szCs w:val="21"/>
        </w:rPr>
        <w:t>；</w:t>
      </w:r>
    </w:p>
    <w:p w14:paraId="63453C9F">
      <w:pPr>
        <w:spacing w:line="360" w:lineRule="auto"/>
        <w:ind w:firstLine="56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u w:val="single"/>
        </w:rPr>
        <w:t>《住房城乡建设部关于印发工程质量安全提升行动方案的通知》（建质〔2017〕57号）</w:t>
      </w:r>
      <w:r>
        <w:rPr>
          <w:rFonts w:hint="eastAsia" w:ascii="宋体" w:hAnsi="宋体"/>
          <w:color w:val="auto"/>
          <w:szCs w:val="21"/>
        </w:rPr>
        <w:t>；</w:t>
      </w:r>
    </w:p>
    <w:p w14:paraId="2BAD2897">
      <w:pPr>
        <w:spacing w:line="360" w:lineRule="auto"/>
        <w:ind w:firstLine="560" w:firstLineChars="200"/>
        <w:jc w:val="left"/>
        <w:rPr>
          <w:rFonts w:ascii="宋体" w:hAnsi="宋体"/>
          <w:color w:val="auto"/>
          <w:szCs w:val="21"/>
        </w:rPr>
      </w:pPr>
      <w:r>
        <w:rPr>
          <w:rFonts w:hint="eastAsia" w:ascii="宋体" w:hAnsi="宋体"/>
          <w:color w:val="auto"/>
          <w:szCs w:val="21"/>
        </w:rPr>
        <w:t>（3）</w:t>
      </w:r>
      <w:r>
        <w:rPr>
          <w:rFonts w:hint="eastAsia" w:ascii="宋体" w:hAnsi="宋体"/>
          <w:color w:val="auto"/>
          <w:szCs w:val="21"/>
          <w:u w:val="single"/>
        </w:rPr>
        <w:t>《房屋建筑和市政基础设施工程竣工验收规定》（建质〔2013〕171号）</w:t>
      </w:r>
      <w:r>
        <w:rPr>
          <w:rFonts w:hint="eastAsia" w:ascii="宋体" w:hAnsi="宋体"/>
          <w:color w:val="auto"/>
          <w:szCs w:val="21"/>
        </w:rPr>
        <w:t>；</w:t>
      </w:r>
    </w:p>
    <w:p w14:paraId="68CB9485">
      <w:pPr>
        <w:spacing w:line="360" w:lineRule="auto"/>
        <w:ind w:firstLine="560" w:firstLineChars="200"/>
        <w:jc w:val="left"/>
        <w:rPr>
          <w:rFonts w:ascii="宋体" w:hAnsi="宋体"/>
          <w:color w:val="auto"/>
          <w:szCs w:val="21"/>
        </w:rPr>
      </w:pPr>
      <w:r>
        <w:rPr>
          <w:rFonts w:hint="eastAsia" w:ascii="宋体" w:hAnsi="宋体"/>
          <w:color w:val="auto"/>
          <w:szCs w:val="21"/>
        </w:rPr>
        <w:t>（4）</w:t>
      </w:r>
      <w:r>
        <w:rPr>
          <w:rFonts w:hint="eastAsia" w:ascii="宋体" w:hAnsi="宋体"/>
          <w:color w:val="auto"/>
          <w:szCs w:val="21"/>
          <w:u w:val="single"/>
        </w:rPr>
        <w:t>《建设部关于贯彻执行建筑工程勘察设计及施工质量验收规范若干问题的通知》（建标〔2002〕212号）</w:t>
      </w:r>
      <w:r>
        <w:rPr>
          <w:rFonts w:hint="eastAsia" w:ascii="宋体" w:hAnsi="宋体"/>
          <w:color w:val="auto"/>
          <w:szCs w:val="21"/>
        </w:rPr>
        <w:t>；</w:t>
      </w:r>
    </w:p>
    <w:p w14:paraId="4FA257CD">
      <w:pPr>
        <w:spacing w:line="360" w:lineRule="auto"/>
        <w:ind w:firstLine="560" w:firstLineChars="200"/>
        <w:jc w:val="left"/>
        <w:rPr>
          <w:rFonts w:ascii="宋体" w:hAnsi="宋体"/>
          <w:color w:val="auto"/>
          <w:szCs w:val="21"/>
        </w:rPr>
      </w:pPr>
      <w:r>
        <w:rPr>
          <w:rFonts w:hint="eastAsia" w:ascii="宋体" w:hAnsi="宋体"/>
          <w:color w:val="auto"/>
          <w:szCs w:val="21"/>
        </w:rPr>
        <w:t>（5）</w:t>
      </w:r>
      <w:r>
        <w:rPr>
          <w:rFonts w:hint="eastAsia" w:ascii="宋体" w:hAnsi="宋体"/>
          <w:color w:val="auto"/>
          <w:szCs w:val="21"/>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rPr>
        <w:t>；</w:t>
      </w:r>
    </w:p>
    <w:p w14:paraId="3C97D5FD">
      <w:pPr>
        <w:spacing w:line="360" w:lineRule="auto"/>
        <w:ind w:firstLine="560" w:firstLineChars="200"/>
        <w:jc w:val="left"/>
        <w:rPr>
          <w:rFonts w:ascii="宋体" w:hAnsi="宋体"/>
          <w:color w:val="auto"/>
          <w:szCs w:val="21"/>
        </w:rPr>
      </w:pPr>
      <w:r>
        <w:rPr>
          <w:rFonts w:hint="eastAsia" w:ascii="宋体" w:hAnsi="宋体"/>
          <w:color w:val="auto"/>
          <w:szCs w:val="21"/>
        </w:rPr>
        <w:t>（6）</w:t>
      </w:r>
      <w:r>
        <w:rPr>
          <w:rFonts w:hint="eastAsia" w:ascii="宋体" w:hAnsi="宋体"/>
          <w:color w:val="auto"/>
          <w:szCs w:val="21"/>
          <w:u w:val="single"/>
        </w:rPr>
        <w:t>《关于印发&lt;重庆市房屋建筑和市政基础设施工程预拌商品砂浆应用推进工作方案&gt;的通知》（渝建〔2018〕375号）</w:t>
      </w:r>
      <w:r>
        <w:rPr>
          <w:rFonts w:hint="eastAsia" w:ascii="宋体" w:hAnsi="宋体"/>
          <w:color w:val="auto"/>
          <w:szCs w:val="21"/>
        </w:rPr>
        <w:t>；</w:t>
      </w:r>
    </w:p>
    <w:p w14:paraId="78D1B7DB">
      <w:pPr>
        <w:spacing w:line="360" w:lineRule="auto"/>
        <w:ind w:firstLine="560" w:firstLineChars="200"/>
        <w:jc w:val="left"/>
        <w:rPr>
          <w:rFonts w:ascii="宋体" w:hAnsi="宋体"/>
          <w:color w:val="auto"/>
          <w:szCs w:val="21"/>
        </w:rPr>
      </w:pPr>
      <w:r>
        <w:rPr>
          <w:rFonts w:hint="eastAsia" w:ascii="宋体" w:hAnsi="宋体"/>
          <w:color w:val="auto"/>
          <w:szCs w:val="21"/>
        </w:rPr>
        <w:t>（7）</w:t>
      </w:r>
      <w:r>
        <w:rPr>
          <w:rFonts w:hint="eastAsia" w:ascii="宋体" w:hAnsi="宋体"/>
          <w:color w:val="auto"/>
          <w:szCs w:val="21"/>
          <w:u w:val="single"/>
        </w:rPr>
        <w:t>《重庆市城乡建设委员会关于印发2018年房屋建筑和市政基础设施工程质量要点的通知》（渝建〔2018〕94号）</w:t>
      </w:r>
      <w:r>
        <w:rPr>
          <w:rFonts w:hint="eastAsia" w:ascii="宋体" w:hAnsi="宋体"/>
          <w:color w:val="auto"/>
          <w:szCs w:val="21"/>
        </w:rPr>
        <w:t>；</w:t>
      </w:r>
    </w:p>
    <w:p w14:paraId="36AFE592">
      <w:pPr>
        <w:spacing w:line="360" w:lineRule="auto"/>
        <w:ind w:firstLine="560" w:firstLineChars="200"/>
        <w:jc w:val="left"/>
        <w:rPr>
          <w:rFonts w:ascii="宋体" w:hAnsi="宋体"/>
          <w:color w:val="auto"/>
          <w:szCs w:val="21"/>
        </w:rPr>
      </w:pPr>
      <w:r>
        <w:rPr>
          <w:rFonts w:hint="eastAsia" w:ascii="宋体" w:hAnsi="宋体"/>
          <w:color w:val="auto"/>
          <w:szCs w:val="21"/>
        </w:rPr>
        <w:t>（8）</w:t>
      </w:r>
      <w:r>
        <w:rPr>
          <w:rFonts w:hint="eastAsia" w:ascii="宋体" w:hAnsi="宋体"/>
          <w:color w:val="auto"/>
          <w:szCs w:val="21"/>
          <w:u w:val="single"/>
        </w:rPr>
        <w:t>《重庆市城乡建设委员会关于进一步推广应用预拌商品砂浆的通知》（渝建〔2016〕318号）</w:t>
      </w:r>
      <w:r>
        <w:rPr>
          <w:rFonts w:hint="eastAsia" w:ascii="宋体" w:hAnsi="宋体"/>
          <w:color w:val="auto"/>
          <w:szCs w:val="21"/>
        </w:rPr>
        <w:t>；</w:t>
      </w:r>
    </w:p>
    <w:p w14:paraId="201152F0">
      <w:pPr>
        <w:spacing w:line="360" w:lineRule="auto"/>
        <w:ind w:firstLine="560" w:firstLineChars="200"/>
        <w:jc w:val="left"/>
        <w:rPr>
          <w:rFonts w:ascii="宋体" w:hAnsi="宋体"/>
          <w:color w:val="auto"/>
          <w:szCs w:val="21"/>
        </w:rPr>
      </w:pPr>
      <w:r>
        <w:rPr>
          <w:rFonts w:hint="eastAsia" w:ascii="宋体" w:hAnsi="宋体"/>
          <w:color w:val="auto"/>
          <w:szCs w:val="21"/>
        </w:rPr>
        <w:t>（9）</w:t>
      </w:r>
      <w:r>
        <w:rPr>
          <w:rFonts w:hint="eastAsia" w:ascii="宋体" w:hAnsi="宋体"/>
          <w:color w:val="auto"/>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rPr>
        <w:t>；</w:t>
      </w:r>
    </w:p>
    <w:p w14:paraId="2B17411F">
      <w:pPr>
        <w:spacing w:line="360" w:lineRule="auto"/>
        <w:ind w:firstLine="560" w:firstLineChars="200"/>
        <w:jc w:val="left"/>
        <w:rPr>
          <w:rFonts w:ascii="宋体" w:hAnsi="宋体"/>
          <w:color w:val="auto"/>
          <w:szCs w:val="21"/>
        </w:rPr>
      </w:pPr>
      <w:r>
        <w:rPr>
          <w:rFonts w:hint="eastAsia" w:ascii="宋体" w:hAnsi="宋体"/>
          <w:color w:val="auto"/>
          <w:szCs w:val="21"/>
        </w:rPr>
        <w:t>（10）</w:t>
      </w:r>
      <w:r>
        <w:rPr>
          <w:rFonts w:hint="eastAsia" w:ascii="宋体" w:hAnsi="宋体"/>
          <w:color w:val="auto"/>
          <w:szCs w:val="21"/>
          <w:u w:val="single"/>
        </w:rPr>
        <w:t>国家和本市现行有关建设工程质量验收标准、规范和要求</w:t>
      </w:r>
      <w:r>
        <w:rPr>
          <w:rFonts w:hint="eastAsia" w:ascii="宋体" w:hAnsi="宋体"/>
          <w:color w:val="auto"/>
          <w:szCs w:val="21"/>
        </w:rPr>
        <w:t>；</w:t>
      </w:r>
    </w:p>
    <w:p w14:paraId="42864B91">
      <w:pPr>
        <w:pStyle w:val="23"/>
        <w:spacing w:after="0" w:line="360" w:lineRule="auto"/>
        <w:ind w:firstLine="640" w:firstLineChars="200"/>
        <w:jc w:val="left"/>
        <w:rPr>
          <w:rFonts w:ascii="宋体" w:hAnsi="宋体"/>
          <w:color w:val="auto"/>
          <w:szCs w:val="21"/>
        </w:rPr>
      </w:pPr>
      <w:r>
        <w:rPr>
          <w:rFonts w:hint="eastAsia" w:ascii="宋体" w:hAnsi="宋体"/>
          <w:color w:val="auto"/>
          <w:szCs w:val="21"/>
        </w:rPr>
        <w:t>（11）</w:t>
      </w:r>
      <w:r>
        <w:rPr>
          <w:rFonts w:hint="eastAsia" w:ascii="宋体" w:hAnsi="宋体"/>
          <w:color w:val="auto"/>
          <w:szCs w:val="21"/>
          <w:u w:val="single"/>
        </w:rPr>
        <w:t xml:space="preserve">        </w:t>
      </w:r>
      <w:r>
        <w:rPr>
          <w:rFonts w:hint="eastAsia" w:ascii="宋体" w:hAnsi="宋体"/>
          <w:color w:val="auto"/>
          <w:szCs w:val="21"/>
        </w:rPr>
        <w:t>。</w:t>
      </w:r>
    </w:p>
    <w:p w14:paraId="4CBE7D28">
      <w:pPr>
        <w:spacing w:line="360" w:lineRule="auto"/>
        <w:ind w:firstLine="560" w:firstLineChars="200"/>
        <w:jc w:val="left"/>
        <w:rPr>
          <w:rFonts w:ascii="宋体" w:hAnsi="宋体"/>
          <w:color w:val="auto"/>
          <w:szCs w:val="21"/>
        </w:rPr>
      </w:pPr>
      <w:r>
        <w:rPr>
          <w:rFonts w:hint="eastAsia" w:ascii="宋体" w:hAnsi="宋体"/>
          <w:color w:val="auto"/>
          <w:szCs w:val="21"/>
        </w:rPr>
        <w:t>承包人、监理人和发包人在工程建设中，应严格执行国家及重庆市现行标准，如上述标准及规范要求有出入则以较严格者为准。</w:t>
      </w:r>
    </w:p>
    <w:p w14:paraId="4454C401">
      <w:pPr>
        <w:pStyle w:val="7"/>
        <w:spacing w:before="0" w:beforeAutospacing="0" w:after="0" w:afterAutospacing="0" w:line="360" w:lineRule="auto"/>
        <w:ind w:firstLine="422" w:firstLineChars="200"/>
        <w:rPr>
          <w:color w:val="auto"/>
          <w:sz w:val="21"/>
          <w:szCs w:val="21"/>
        </w:rPr>
      </w:pPr>
      <w:bookmarkStart w:id="990" w:name="_Toc351203536"/>
      <w:bookmarkStart w:id="991" w:name="_Toc532377347"/>
      <w:bookmarkStart w:id="992" w:name="_Hlk528927873"/>
      <w:r>
        <w:rPr>
          <w:rFonts w:hint="eastAsia"/>
          <w:color w:val="auto"/>
          <w:sz w:val="21"/>
          <w:szCs w:val="21"/>
        </w:rPr>
        <w:t>5.3隐蔽工程检查</w:t>
      </w:r>
    </w:p>
    <w:p w14:paraId="49DDC06C">
      <w:pPr>
        <w:spacing w:line="360" w:lineRule="auto"/>
        <w:ind w:firstLine="560" w:firstLineChars="200"/>
        <w:jc w:val="left"/>
        <w:rPr>
          <w:rFonts w:ascii="宋体" w:hAnsi="宋体"/>
          <w:color w:val="auto"/>
          <w:szCs w:val="21"/>
        </w:rPr>
      </w:pPr>
      <w:r>
        <w:rPr>
          <w:rFonts w:hint="eastAsia" w:ascii="宋体" w:hAnsi="宋体"/>
          <w:color w:val="auto"/>
          <w:szCs w:val="21"/>
        </w:rPr>
        <w:t>5.3.2检查程序</w:t>
      </w:r>
    </w:p>
    <w:p w14:paraId="4D4492A4">
      <w:pPr>
        <w:spacing w:line="360" w:lineRule="auto"/>
        <w:ind w:firstLine="560" w:firstLineChars="200"/>
        <w:jc w:val="left"/>
        <w:rPr>
          <w:rFonts w:ascii="宋体" w:hAnsi="宋体"/>
          <w:color w:val="auto"/>
          <w:szCs w:val="21"/>
        </w:rPr>
      </w:pPr>
      <w:r>
        <w:rPr>
          <w:rFonts w:hint="eastAsia" w:ascii="宋体" w:hAnsi="宋体"/>
          <w:color w:val="auto"/>
          <w:szCs w:val="21"/>
        </w:rPr>
        <w:t>工程隐蔽部位经承包人自检确认具备覆盖条件的，承包人应在共同检查前</w:t>
      </w:r>
      <w:r>
        <w:rPr>
          <w:rFonts w:hint="eastAsia" w:ascii="宋体" w:hAnsi="宋体"/>
          <w:color w:val="auto"/>
          <w:szCs w:val="21"/>
          <w:u w:val="single"/>
        </w:rPr>
        <w:t xml:space="preserve">    </w:t>
      </w:r>
      <w:r>
        <w:rPr>
          <w:rFonts w:hint="eastAsia" w:ascii="宋体" w:hAnsi="宋体"/>
          <w:color w:val="auto"/>
          <w:szCs w:val="21"/>
        </w:rPr>
        <w:t>小时书面通知监理人检查，通知中应载明隐蔽检查的内容、时间和地点，并应附有自检记录和必要的检查资料。</w:t>
      </w:r>
    </w:p>
    <w:p w14:paraId="310A6D67">
      <w:pPr>
        <w:pStyle w:val="7"/>
        <w:spacing w:before="0" w:beforeAutospacing="0" w:after="0" w:afterAutospacing="0" w:line="360" w:lineRule="auto"/>
        <w:ind w:firstLine="422" w:firstLineChars="200"/>
        <w:rPr>
          <w:color w:val="auto"/>
          <w:sz w:val="21"/>
          <w:szCs w:val="21"/>
        </w:rPr>
      </w:pPr>
      <w:r>
        <w:rPr>
          <w:rFonts w:hint="eastAsia"/>
          <w:color w:val="auto"/>
          <w:sz w:val="21"/>
          <w:szCs w:val="21"/>
        </w:rPr>
        <w:t>5</w:t>
      </w:r>
      <w:bookmarkStart w:id="993" w:name="_Toc337558762"/>
      <w:r>
        <w:rPr>
          <w:rFonts w:hint="eastAsia"/>
          <w:color w:val="auto"/>
          <w:sz w:val="21"/>
          <w:szCs w:val="21"/>
        </w:rPr>
        <w:t>.4 不合格工程的处理</w:t>
      </w:r>
      <w:bookmarkEnd w:id="990"/>
      <w:bookmarkEnd w:id="991"/>
    </w:p>
    <w:bookmarkEnd w:id="993"/>
    <w:p w14:paraId="12C5505E">
      <w:pPr>
        <w:spacing w:line="360" w:lineRule="auto"/>
        <w:ind w:firstLine="560" w:firstLineChars="200"/>
        <w:jc w:val="left"/>
        <w:rPr>
          <w:rFonts w:ascii="宋体" w:hAnsi="宋体"/>
          <w:color w:val="auto"/>
          <w:szCs w:val="21"/>
        </w:rPr>
      </w:pPr>
      <w:r>
        <w:rPr>
          <w:rFonts w:hint="eastAsia" w:ascii="宋体" w:hAnsi="宋体"/>
          <w:color w:val="auto"/>
          <w:szCs w:val="21"/>
        </w:rPr>
        <w:t>本款补充5.4.3项：</w:t>
      </w:r>
    </w:p>
    <w:p w14:paraId="13BD2FAF">
      <w:pPr>
        <w:spacing w:line="360" w:lineRule="auto"/>
        <w:ind w:firstLine="560" w:firstLineChars="200"/>
        <w:jc w:val="left"/>
        <w:rPr>
          <w:rFonts w:ascii="宋体" w:hAnsi="宋体"/>
          <w:color w:val="auto"/>
          <w:szCs w:val="21"/>
        </w:rPr>
      </w:pPr>
      <w:r>
        <w:rPr>
          <w:rFonts w:hint="eastAsia" w:ascii="宋体" w:hAnsi="宋体"/>
          <w:color w:val="auto"/>
          <w:szCs w:val="21"/>
        </w:rPr>
        <w:t>5.4.3 承包人在收到监理人发出的《不合格分项报告》或监理通知单后，必须在监理人规定时间内按要求完成整改，未能在限定时间内完成整改的，须承担相应违约责任。</w:t>
      </w:r>
    </w:p>
    <w:p w14:paraId="62AB3930">
      <w:pPr>
        <w:spacing w:line="360" w:lineRule="auto"/>
        <w:ind w:firstLine="560" w:firstLineChars="200"/>
        <w:jc w:val="left"/>
        <w:rPr>
          <w:rFonts w:ascii="宋体" w:hAnsi="宋体"/>
          <w:color w:val="auto"/>
          <w:szCs w:val="21"/>
        </w:rPr>
      </w:pPr>
      <w:r>
        <w:rPr>
          <w:rFonts w:hint="eastAsia" w:ascii="宋体" w:hAnsi="宋体"/>
          <w:color w:val="auto"/>
          <w:szCs w:val="21"/>
        </w:rPr>
        <w:t>本条补充5.6款：</w:t>
      </w:r>
    </w:p>
    <w:bookmarkEnd w:id="992"/>
    <w:p w14:paraId="2589C465">
      <w:pPr>
        <w:pStyle w:val="7"/>
        <w:spacing w:before="0" w:beforeAutospacing="0" w:after="0" w:afterAutospacing="0" w:line="360" w:lineRule="auto"/>
        <w:ind w:firstLine="422" w:firstLineChars="200"/>
        <w:rPr>
          <w:color w:val="auto"/>
          <w:sz w:val="21"/>
          <w:szCs w:val="21"/>
        </w:rPr>
      </w:pPr>
      <w:bookmarkStart w:id="994" w:name="_Toc532377348"/>
      <w:r>
        <w:rPr>
          <w:rFonts w:hint="eastAsia"/>
          <w:color w:val="auto"/>
          <w:sz w:val="21"/>
          <w:szCs w:val="21"/>
        </w:rPr>
        <w:t>5.6 质量事故的处理</w:t>
      </w:r>
      <w:bookmarkEnd w:id="994"/>
    </w:p>
    <w:p w14:paraId="6ABC9658">
      <w:pPr>
        <w:spacing w:line="360" w:lineRule="auto"/>
        <w:ind w:firstLine="560" w:firstLineChars="200"/>
        <w:jc w:val="left"/>
        <w:rPr>
          <w:rFonts w:ascii="宋体" w:hAnsi="宋体"/>
          <w:color w:val="auto"/>
          <w:szCs w:val="21"/>
        </w:rPr>
      </w:pPr>
      <w:r>
        <w:rPr>
          <w:rFonts w:hint="eastAsia" w:ascii="宋体" w:hAnsi="宋体"/>
          <w:color w:val="auto"/>
          <w:szCs w:val="21"/>
        </w:rPr>
        <w:t>5.6.1 合同履行过程中，发生工程质量事故的调查处理按照国家及重庆市现行规定处理。</w:t>
      </w:r>
    </w:p>
    <w:p w14:paraId="3F6B464C">
      <w:pPr>
        <w:spacing w:line="360" w:lineRule="auto"/>
        <w:ind w:firstLine="560" w:firstLineChars="200"/>
        <w:jc w:val="left"/>
        <w:rPr>
          <w:rFonts w:ascii="宋体" w:hAnsi="宋体"/>
          <w:color w:val="auto"/>
          <w:szCs w:val="21"/>
        </w:rPr>
      </w:pPr>
      <w:r>
        <w:rPr>
          <w:rFonts w:hint="eastAsia" w:ascii="宋体" w:hAnsi="宋体"/>
          <w:color w:val="auto"/>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970"/>
    <w:bookmarkEnd w:id="971"/>
    <w:bookmarkEnd w:id="972"/>
    <w:bookmarkEnd w:id="973"/>
    <w:bookmarkEnd w:id="974"/>
    <w:bookmarkEnd w:id="975"/>
    <w:bookmarkEnd w:id="976"/>
    <w:bookmarkEnd w:id="977"/>
    <w:bookmarkEnd w:id="978"/>
    <w:bookmarkEnd w:id="979"/>
    <w:bookmarkEnd w:id="982"/>
    <w:bookmarkEnd w:id="983"/>
    <w:bookmarkEnd w:id="984"/>
    <w:bookmarkEnd w:id="985"/>
    <w:bookmarkEnd w:id="986"/>
    <w:bookmarkEnd w:id="987"/>
    <w:bookmarkEnd w:id="988"/>
    <w:p w14:paraId="0A0A8698">
      <w:pPr>
        <w:pStyle w:val="6"/>
        <w:keepNext/>
        <w:keepLines/>
        <w:spacing w:before="156" w:beforeLines="50" w:beforeAutospacing="0" w:after="156" w:afterLines="50" w:afterAutospacing="0" w:line="360" w:lineRule="auto"/>
        <w:jc w:val="both"/>
        <w:rPr>
          <w:bCs w:val="0"/>
          <w:color w:val="auto"/>
          <w:kern w:val="2"/>
          <w:sz w:val="21"/>
          <w:szCs w:val="21"/>
        </w:rPr>
      </w:pPr>
      <w:bookmarkStart w:id="995" w:name="_Toc532375613"/>
      <w:bookmarkStart w:id="996" w:name="_Toc532377349"/>
      <w:bookmarkStart w:id="997" w:name="_Toc351203638"/>
      <w:bookmarkStart w:id="998" w:name="_Toc297048359"/>
      <w:bookmarkStart w:id="999" w:name="_Toc296503173"/>
      <w:bookmarkStart w:id="1000" w:name="_Toc296944512"/>
      <w:bookmarkStart w:id="1001" w:name="_Toc297120473"/>
      <w:bookmarkStart w:id="1002" w:name="_Toc296347172"/>
      <w:bookmarkStart w:id="1003" w:name="_Toc267251427"/>
      <w:bookmarkStart w:id="1004" w:name="_Toc296346674"/>
      <w:bookmarkStart w:id="1005" w:name="_Toc292559378"/>
      <w:bookmarkStart w:id="1006" w:name="_Toc296891001"/>
      <w:bookmarkStart w:id="1007" w:name="_Toc292559883"/>
      <w:bookmarkStart w:id="1008" w:name="_Toc267251428"/>
      <w:bookmarkStart w:id="1009" w:name="_Toc296891213"/>
      <w:r>
        <w:rPr>
          <w:rFonts w:hint="eastAsia"/>
          <w:color w:val="auto"/>
          <w:kern w:val="2"/>
          <w:sz w:val="21"/>
          <w:szCs w:val="21"/>
        </w:rPr>
        <w:t>6. 安全文明施工与环境保护</w:t>
      </w:r>
      <w:bookmarkEnd w:id="995"/>
      <w:bookmarkEnd w:id="996"/>
      <w:bookmarkEnd w:id="997"/>
    </w:p>
    <w:p w14:paraId="51321464">
      <w:pPr>
        <w:pStyle w:val="7"/>
        <w:spacing w:before="0" w:beforeAutospacing="0" w:after="0" w:afterAutospacing="0" w:line="360" w:lineRule="auto"/>
        <w:ind w:firstLine="422" w:firstLineChars="200"/>
        <w:rPr>
          <w:color w:val="auto"/>
          <w:sz w:val="21"/>
          <w:szCs w:val="21"/>
        </w:rPr>
      </w:pPr>
      <w:bookmarkStart w:id="1010" w:name="_Toc532375614"/>
      <w:bookmarkStart w:id="1011" w:name="_Toc532377350"/>
      <w:r>
        <w:rPr>
          <w:rFonts w:hint="eastAsia"/>
          <w:color w:val="auto"/>
          <w:sz w:val="21"/>
          <w:szCs w:val="21"/>
        </w:rPr>
        <w:t>6.1 安全文明施工</w:t>
      </w:r>
      <w:bookmarkEnd w:id="1010"/>
      <w:bookmarkEnd w:id="1011"/>
    </w:p>
    <w:p w14:paraId="6E82E750">
      <w:pPr>
        <w:spacing w:line="360" w:lineRule="auto"/>
        <w:ind w:firstLine="560" w:firstLineChars="200"/>
        <w:jc w:val="left"/>
        <w:rPr>
          <w:rFonts w:ascii="宋体" w:hAnsi="宋体"/>
          <w:color w:val="auto"/>
          <w:szCs w:val="21"/>
        </w:rPr>
      </w:pPr>
      <w:r>
        <w:rPr>
          <w:rFonts w:hint="eastAsia" w:ascii="宋体" w:hAnsi="宋体"/>
          <w:color w:val="auto"/>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6403CCF7">
      <w:pPr>
        <w:spacing w:line="360" w:lineRule="auto"/>
        <w:ind w:firstLine="560" w:firstLineChars="200"/>
        <w:jc w:val="left"/>
        <w:rPr>
          <w:rFonts w:ascii="宋体" w:hAnsi="宋体"/>
          <w:color w:val="auto"/>
          <w:szCs w:val="21"/>
        </w:rPr>
      </w:pPr>
      <w:r>
        <w:rPr>
          <w:rFonts w:hint="eastAsia" w:ascii="宋体" w:hAnsi="宋体"/>
          <w:color w:val="auto"/>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09868F4B">
      <w:pPr>
        <w:spacing w:line="360" w:lineRule="auto"/>
        <w:ind w:firstLine="560" w:firstLineChars="200"/>
        <w:jc w:val="left"/>
        <w:rPr>
          <w:rFonts w:ascii="宋体" w:hAnsi="宋体"/>
          <w:color w:val="auto"/>
          <w:szCs w:val="21"/>
          <w:u w:val="single"/>
        </w:rPr>
      </w:pPr>
      <w:r>
        <w:rPr>
          <w:rFonts w:hint="eastAsia" w:ascii="宋体" w:hAnsi="宋体"/>
          <w:color w:val="auto"/>
          <w:szCs w:val="21"/>
        </w:rPr>
        <w:t>6.1.1 项目安全生产的达标目标及相应事项的约定：</w:t>
      </w:r>
      <w:r>
        <w:rPr>
          <w:rFonts w:hint="eastAsia" w:ascii="宋体" w:hAnsi="宋体"/>
          <w:color w:val="auto"/>
          <w:szCs w:val="21"/>
          <w:u w:val="single"/>
        </w:rPr>
        <w:t>达到《建筑施工安全检查标准》（JGJ59-2011）的要求</w:t>
      </w:r>
      <w:r>
        <w:rPr>
          <w:rFonts w:hint="eastAsia" w:ascii="宋体" w:hAnsi="宋体"/>
          <w:color w:val="auto"/>
          <w:szCs w:val="21"/>
        </w:rPr>
        <w:t>。</w:t>
      </w:r>
    </w:p>
    <w:p w14:paraId="56E6FF9F">
      <w:pPr>
        <w:spacing w:line="360" w:lineRule="auto"/>
        <w:ind w:firstLine="560" w:firstLineChars="200"/>
        <w:jc w:val="left"/>
        <w:rPr>
          <w:rFonts w:ascii="宋体" w:hAnsi="宋体"/>
          <w:color w:val="auto"/>
          <w:szCs w:val="21"/>
        </w:rPr>
      </w:pPr>
      <w:r>
        <w:rPr>
          <w:rFonts w:hint="eastAsia" w:ascii="宋体" w:hAnsi="宋体"/>
          <w:color w:val="auto"/>
          <w:szCs w:val="21"/>
          <w:u w:val="single"/>
        </w:rPr>
        <w:t>（1）按现行安全文明施工费计取及使用管理的政策文件规定及发包人制订的安全管理制度执行</w:t>
      </w:r>
      <w:r>
        <w:rPr>
          <w:rFonts w:hint="eastAsia" w:ascii="宋体" w:hAnsi="宋体"/>
          <w:color w:val="auto"/>
          <w:szCs w:val="21"/>
        </w:rPr>
        <w:t>。</w:t>
      </w:r>
    </w:p>
    <w:p w14:paraId="4ECE83B7">
      <w:pPr>
        <w:spacing w:line="360" w:lineRule="auto"/>
        <w:ind w:firstLine="560" w:firstLineChars="200"/>
        <w:jc w:val="left"/>
        <w:rPr>
          <w:rFonts w:ascii="宋体" w:hAnsi="宋体"/>
          <w:color w:val="auto"/>
          <w:szCs w:val="21"/>
        </w:rPr>
      </w:pPr>
      <w:r>
        <w:rPr>
          <w:rFonts w:hint="eastAsia" w:ascii="宋体" w:hAnsi="宋体"/>
          <w:color w:val="auto"/>
          <w:szCs w:val="21"/>
          <w:u w:val="single"/>
        </w:rPr>
        <w:t>（2）承包人的原因造成事故，由此产生的法律责任和事故责任及费用由承包人全部承担</w:t>
      </w:r>
      <w:r>
        <w:rPr>
          <w:rFonts w:hint="eastAsia" w:ascii="宋体" w:hAnsi="宋体"/>
          <w:color w:val="auto"/>
          <w:szCs w:val="21"/>
        </w:rPr>
        <w:t>。</w:t>
      </w:r>
    </w:p>
    <w:p w14:paraId="4F90FEBD">
      <w:pPr>
        <w:spacing w:line="360" w:lineRule="auto"/>
        <w:ind w:firstLine="560" w:firstLineChars="200"/>
        <w:jc w:val="left"/>
        <w:rPr>
          <w:rFonts w:ascii="宋体" w:hAnsi="宋体"/>
          <w:color w:val="auto"/>
          <w:szCs w:val="21"/>
        </w:rPr>
      </w:pPr>
      <w:r>
        <w:rPr>
          <w:rFonts w:hint="eastAsia" w:ascii="宋体" w:hAnsi="宋体"/>
          <w:color w:val="auto"/>
          <w:szCs w:val="21"/>
          <w:u w:val="single"/>
        </w:rPr>
        <w:t>（3）承包人向发包人做出安全承诺，并签订《安全生产目标责任书》和《安全承诺书》</w:t>
      </w:r>
      <w:r>
        <w:rPr>
          <w:rFonts w:hint="eastAsia" w:ascii="宋体" w:hAnsi="宋体"/>
          <w:color w:val="auto"/>
          <w:szCs w:val="21"/>
        </w:rPr>
        <w:t>。</w:t>
      </w:r>
    </w:p>
    <w:p w14:paraId="63BC18E3">
      <w:pPr>
        <w:spacing w:line="360" w:lineRule="auto"/>
        <w:ind w:firstLine="560" w:firstLineChars="200"/>
        <w:jc w:val="left"/>
        <w:rPr>
          <w:rFonts w:ascii="宋体" w:hAnsi="宋体"/>
          <w:color w:val="auto"/>
          <w:szCs w:val="21"/>
        </w:rPr>
      </w:pPr>
      <w:r>
        <w:rPr>
          <w:rFonts w:hint="eastAsia" w:ascii="宋体" w:hAnsi="宋体"/>
          <w:color w:val="auto"/>
          <w:szCs w:val="21"/>
          <w:u w:val="single"/>
        </w:rPr>
        <w:t>（4）承包人在施工过程中，必须严格执行安全生产法的相关规定，制定切实可靠的安全技术措施</w:t>
      </w:r>
      <w:r>
        <w:rPr>
          <w:rFonts w:hint="eastAsia" w:ascii="宋体" w:hAnsi="宋体"/>
          <w:color w:val="auto"/>
          <w:szCs w:val="21"/>
        </w:rPr>
        <w:t>。</w:t>
      </w:r>
    </w:p>
    <w:p w14:paraId="5E6BC440">
      <w:pPr>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（5）接受发包人安全监督和管理，在施工中违反安全管理规定和操作规程、违章作业的，承担违约责任</w:t>
      </w:r>
      <w:r>
        <w:rPr>
          <w:rFonts w:hint="eastAsia" w:ascii="宋体" w:hAnsi="宋体"/>
          <w:color w:val="auto"/>
          <w:szCs w:val="21"/>
        </w:rPr>
        <w:t>。</w:t>
      </w:r>
    </w:p>
    <w:p w14:paraId="64B66ADA">
      <w:pPr>
        <w:spacing w:line="360" w:lineRule="auto"/>
        <w:ind w:firstLine="560" w:firstLineChars="200"/>
        <w:jc w:val="left"/>
        <w:rPr>
          <w:rFonts w:ascii="宋体" w:hAnsi="宋体"/>
          <w:color w:val="auto"/>
          <w:szCs w:val="21"/>
        </w:rPr>
      </w:pPr>
      <w:r>
        <w:rPr>
          <w:rFonts w:hint="eastAsia" w:ascii="宋体" w:hAnsi="宋体"/>
          <w:color w:val="auto"/>
          <w:szCs w:val="21"/>
        </w:rPr>
        <w:t>6.1.4 关于治安保卫的特别约定：</w:t>
      </w:r>
      <w:r>
        <w:rPr>
          <w:rFonts w:hint="eastAsia" w:ascii="宋体" w:hAnsi="宋体"/>
          <w:color w:val="auto"/>
          <w:szCs w:val="21"/>
          <w:u w:val="single"/>
        </w:rPr>
        <w:t>承包人负责组建施工现场治安管理机构或联防组织；承包人负责编制施工场地治安管理计划和突发治安事件紧急预案</w:t>
      </w:r>
      <w:r>
        <w:rPr>
          <w:rFonts w:hint="eastAsia" w:ascii="宋体" w:hAnsi="宋体"/>
          <w:color w:val="auto"/>
          <w:szCs w:val="21"/>
        </w:rPr>
        <w:t>。</w:t>
      </w:r>
    </w:p>
    <w:p w14:paraId="3F862829">
      <w:pPr>
        <w:spacing w:line="360" w:lineRule="auto"/>
        <w:ind w:firstLine="560" w:firstLineChars="200"/>
        <w:jc w:val="left"/>
        <w:rPr>
          <w:rFonts w:ascii="宋体" w:hAnsi="宋体"/>
          <w:color w:val="auto"/>
          <w:szCs w:val="21"/>
          <w:u w:val="single"/>
        </w:rPr>
      </w:pPr>
      <w:r>
        <w:rPr>
          <w:rFonts w:hint="eastAsia" w:ascii="宋体" w:hAnsi="宋体"/>
          <w:color w:val="auto"/>
          <w:szCs w:val="21"/>
        </w:rPr>
        <w:t>关于编制施工场地治安管理计划的约定：</w:t>
      </w:r>
      <w:r>
        <w:rPr>
          <w:rFonts w:hint="eastAsia" w:ascii="宋体" w:hAnsi="宋体"/>
          <w:color w:val="auto"/>
          <w:szCs w:val="21"/>
          <w:u w:val="single"/>
        </w:rPr>
        <w:t>由承包人负责</w:t>
      </w:r>
      <w:r>
        <w:rPr>
          <w:rFonts w:hint="eastAsia" w:ascii="宋体" w:hAnsi="宋体"/>
          <w:color w:val="auto"/>
          <w:szCs w:val="21"/>
        </w:rPr>
        <w:t>。</w:t>
      </w:r>
    </w:p>
    <w:p w14:paraId="04D9C948">
      <w:pPr>
        <w:spacing w:line="360" w:lineRule="auto"/>
        <w:ind w:firstLine="560" w:firstLineChars="200"/>
        <w:jc w:val="left"/>
        <w:rPr>
          <w:rFonts w:ascii="宋体" w:hAnsi="宋体"/>
          <w:color w:val="auto"/>
          <w:szCs w:val="21"/>
        </w:rPr>
      </w:pPr>
      <w:r>
        <w:rPr>
          <w:rFonts w:hint="eastAsia" w:ascii="宋体" w:hAnsi="宋体"/>
          <w:color w:val="auto"/>
          <w:szCs w:val="21"/>
        </w:rPr>
        <w:t>6.1.5 文明施工</w:t>
      </w:r>
    </w:p>
    <w:p w14:paraId="3A384253">
      <w:pPr>
        <w:spacing w:line="360" w:lineRule="auto"/>
        <w:ind w:firstLine="560" w:firstLineChars="200"/>
        <w:jc w:val="left"/>
        <w:rPr>
          <w:rFonts w:ascii="宋体" w:hAnsi="宋体"/>
          <w:color w:val="auto"/>
          <w:szCs w:val="21"/>
          <w:u w:val="single"/>
        </w:rPr>
      </w:pPr>
      <w:r>
        <w:rPr>
          <w:rFonts w:hint="eastAsia" w:ascii="宋体" w:hAnsi="宋体"/>
          <w:color w:val="auto"/>
          <w:szCs w:val="21"/>
        </w:rPr>
        <w:t>合同当事人对文明施工的要求：</w:t>
      </w:r>
      <w:r>
        <w:rPr>
          <w:rFonts w:hint="eastAsia" w:ascii="宋体" w:hAnsi="宋体"/>
          <w:color w:val="auto"/>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rPr>
        <w:t>。</w:t>
      </w:r>
    </w:p>
    <w:p w14:paraId="118F0089">
      <w:pPr>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rPr>
        <w:t>。</w:t>
      </w:r>
    </w:p>
    <w:p w14:paraId="0FAEF58B">
      <w:pPr>
        <w:spacing w:line="360" w:lineRule="auto"/>
        <w:ind w:firstLine="560" w:firstLineChars="200"/>
        <w:jc w:val="left"/>
        <w:rPr>
          <w:rFonts w:ascii="宋体" w:hAnsi="宋体"/>
          <w:color w:val="auto"/>
          <w:szCs w:val="21"/>
          <w:u w:val="single"/>
        </w:rPr>
      </w:pPr>
      <w:r>
        <w:rPr>
          <w:rFonts w:hint="eastAsia" w:ascii="宋体" w:hAnsi="宋体"/>
          <w:color w:val="auto"/>
          <w:szCs w:val="21"/>
        </w:rPr>
        <w:t>6.1.6 关于安全文明施工费支付比例和支付期限的约定：</w:t>
      </w:r>
      <w:r>
        <w:rPr>
          <w:rFonts w:hint="eastAsia" w:ascii="宋体" w:hAnsi="宋体"/>
          <w:color w:val="auto"/>
          <w:szCs w:val="21"/>
          <w:u w:val="single"/>
          <w:lang w:eastAsia="zh-CN"/>
        </w:rPr>
        <w:t>开工后</w:t>
      </w:r>
      <w:r>
        <w:rPr>
          <w:rFonts w:hint="eastAsia" w:ascii="宋体" w:hAnsi="宋体"/>
          <w:color w:val="auto"/>
          <w:szCs w:val="21"/>
          <w:u w:val="single"/>
          <w:lang w:val="en-US" w:eastAsia="zh-CN"/>
        </w:rPr>
        <w:t>28天内预付安全文明施工费50%，剩余的安全文明施工费与进度款同期支付</w:t>
      </w:r>
      <w:r>
        <w:rPr>
          <w:rFonts w:hint="eastAsia" w:ascii="宋体" w:hAnsi="宋体"/>
          <w:color w:val="auto"/>
          <w:szCs w:val="21"/>
          <w:u w:val="single"/>
        </w:rPr>
        <w:t xml:space="preserve"> </w:t>
      </w:r>
      <w:r>
        <w:rPr>
          <w:rFonts w:hint="eastAsia" w:ascii="宋体" w:hAnsi="宋体"/>
          <w:color w:val="auto"/>
          <w:szCs w:val="21"/>
        </w:rPr>
        <w:t>。</w:t>
      </w:r>
    </w:p>
    <w:p w14:paraId="297AA849">
      <w:pPr>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安全文明施工费的要求与内容、提取支付方法以及违反约定造成损失的赔偿等条款，按照现行规范要求执行，做到专款专用</w:t>
      </w:r>
      <w:r>
        <w:rPr>
          <w:rFonts w:hint="eastAsia" w:ascii="宋体" w:hAnsi="宋体"/>
          <w:color w:val="auto"/>
          <w:szCs w:val="21"/>
        </w:rPr>
        <w:t>。</w:t>
      </w:r>
    </w:p>
    <w:p w14:paraId="58798A05">
      <w:pPr>
        <w:pStyle w:val="7"/>
        <w:spacing w:before="0" w:beforeAutospacing="0" w:after="0" w:afterAutospacing="0" w:line="360" w:lineRule="auto"/>
        <w:ind w:firstLine="422" w:firstLineChars="200"/>
        <w:rPr>
          <w:color w:val="auto"/>
          <w:sz w:val="21"/>
          <w:szCs w:val="21"/>
        </w:rPr>
      </w:pPr>
      <w:bookmarkStart w:id="1012" w:name="_Toc532375615"/>
      <w:bookmarkStart w:id="1013" w:name="_Toc532377351"/>
      <w:r>
        <w:rPr>
          <w:rFonts w:hint="eastAsia"/>
          <w:color w:val="auto"/>
          <w:sz w:val="21"/>
          <w:szCs w:val="21"/>
        </w:rPr>
        <w:t>6.3 环境保护</w:t>
      </w:r>
      <w:bookmarkEnd w:id="1012"/>
      <w:bookmarkEnd w:id="1013"/>
    </w:p>
    <w:p w14:paraId="46E8E77D">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本款补充6.3.1～6.3.8项：</w:t>
      </w:r>
    </w:p>
    <w:p w14:paraId="583E886D">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2788EAC0">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2940FABB">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6.3.3 承包人应加强生态环境保护工作。施工期间，采取边坡防护，挡渣坝、排水沟、沉淀池、表土剥离和绿化恢复等水土保持措施减少水土流失量，绿化恢复宜采用适于当地生长的植物。</w:t>
      </w:r>
    </w:p>
    <w:p w14:paraId="3A9991DF">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19A6F44F">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6.3.5 承包人应重视大气污染物污染防治措施。施工期间，严格执行市政府“蓝天行动”方案等有关规定，通过洒水防尘，严格控制施工场地扬尘和运输扬尘污染。</w:t>
      </w:r>
    </w:p>
    <w:p w14:paraId="15D5CB4B">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6.3.6 承包人应落实固体废物污染防治措施。施工期间，项目产生的弃方不可合理</w:t>
      </w:r>
      <w:r>
        <w:rPr>
          <w:rFonts w:ascii="宋体" w:hAnsi="宋体"/>
          <w:color w:val="auto"/>
          <w:szCs w:val="21"/>
        </w:rPr>
        <w:t>利用的</w:t>
      </w:r>
      <w:r>
        <w:rPr>
          <w:rFonts w:hint="eastAsia" w:ascii="宋体" w:hAnsi="宋体"/>
          <w:color w:val="auto"/>
          <w:szCs w:val="21"/>
        </w:rPr>
        <w:t>，应运往指定的弃渣场内堆存；建筑垃圾运至指定的建筑垃圾消纳场处置；生活垃圾由当地环卫部门统一处置。</w:t>
      </w:r>
    </w:p>
    <w:p w14:paraId="586FA9E8">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6.3.7 承包人应认真落实噪声污染防治措施。施工期间，优选低噪声设备，合理安排施工时间，严格控制夜间施工，昼、夜施工场界需满足《建筑施工场界环境噪声排放标准》（GB12523-2011）。</w:t>
      </w:r>
    </w:p>
    <w:p w14:paraId="1F6CD664">
      <w:pPr>
        <w:spacing w:line="360" w:lineRule="auto"/>
        <w:ind w:firstLine="560" w:firstLineChars="200"/>
        <w:jc w:val="left"/>
        <w:rPr>
          <w:rFonts w:ascii="宋体" w:hAnsi="宋体"/>
          <w:color w:val="auto"/>
          <w:szCs w:val="21"/>
        </w:rPr>
      </w:pPr>
      <w:r>
        <w:rPr>
          <w:rFonts w:hint="eastAsia" w:ascii="宋体" w:hAnsi="宋体"/>
          <w:color w:val="auto"/>
          <w:szCs w:val="21"/>
        </w:rPr>
        <w:t>6.3.8 承包人自行负责办理有关施工场地交通、环卫和施工噪音管理等手续，并应按要求结合自身实际和重庆市相关规定，考虑不低于以上标准的此类工作。</w:t>
      </w:r>
    </w:p>
    <w:p w14:paraId="434CF7BE">
      <w:pPr>
        <w:spacing w:line="360" w:lineRule="auto"/>
        <w:ind w:firstLine="560" w:firstLineChars="200"/>
        <w:jc w:val="left"/>
        <w:rPr>
          <w:rFonts w:ascii="宋体" w:hAnsi="宋体"/>
          <w:color w:val="auto"/>
          <w:szCs w:val="21"/>
        </w:rPr>
      </w:pPr>
      <w:r>
        <w:rPr>
          <w:rFonts w:hint="eastAsia" w:ascii="宋体" w:hAnsi="宋体"/>
          <w:color w:val="auto"/>
          <w:szCs w:val="21"/>
        </w:rPr>
        <w:t xml:space="preserve">6.3.9 </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32799CDF">
      <w:pPr>
        <w:pStyle w:val="6"/>
        <w:keepNext/>
        <w:keepLines/>
        <w:spacing w:before="156" w:beforeLines="50" w:beforeAutospacing="0" w:after="156" w:afterLines="50" w:afterAutospacing="0" w:line="360" w:lineRule="auto"/>
        <w:jc w:val="both"/>
        <w:rPr>
          <w:bCs w:val="0"/>
          <w:color w:val="auto"/>
          <w:kern w:val="2"/>
          <w:sz w:val="21"/>
          <w:szCs w:val="21"/>
        </w:rPr>
      </w:pPr>
      <w:bookmarkStart w:id="1014" w:name="_Toc351203639"/>
      <w:bookmarkStart w:id="1015" w:name="_Toc532375616"/>
      <w:bookmarkStart w:id="1016" w:name="_Toc532377352"/>
      <w:r>
        <w:rPr>
          <w:rFonts w:hint="eastAsia"/>
          <w:color w:val="auto"/>
          <w:kern w:val="2"/>
          <w:sz w:val="21"/>
          <w:szCs w:val="21"/>
        </w:rPr>
        <w:t>7. 工期和进度</w:t>
      </w:r>
      <w:bookmarkEnd w:id="1014"/>
      <w:bookmarkEnd w:id="1015"/>
      <w:bookmarkEnd w:id="1016"/>
    </w:p>
    <w:p w14:paraId="41E5497A">
      <w:pPr>
        <w:pStyle w:val="7"/>
        <w:spacing w:before="0" w:beforeAutospacing="0" w:after="0" w:afterAutospacing="0" w:line="360" w:lineRule="auto"/>
        <w:ind w:firstLine="422" w:firstLineChars="200"/>
        <w:rPr>
          <w:color w:val="auto"/>
          <w:sz w:val="21"/>
          <w:szCs w:val="21"/>
        </w:rPr>
      </w:pPr>
      <w:bookmarkStart w:id="1017" w:name="_Toc532377353"/>
      <w:bookmarkStart w:id="1018" w:name="_Toc532375617"/>
      <w:r>
        <w:rPr>
          <w:rFonts w:hint="eastAsia"/>
          <w:color w:val="auto"/>
          <w:sz w:val="21"/>
          <w:szCs w:val="21"/>
        </w:rPr>
        <w:t>7.1 施工组织设计</w:t>
      </w:r>
      <w:bookmarkEnd w:id="1017"/>
      <w:bookmarkEnd w:id="1018"/>
    </w:p>
    <w:p w14:paraId="53821286">
      <w:pPr>
        <w:autoSpaceDE w:val="0"/>
        <w:autoSpaceDN w:val="0"/>
        <w:spacing w:line="360" w:lineRule="auto"/>
        <w:ind w:firstLine="560" w:firstLineChars="200"/>
        <w:jc w:val="left"/>
        <w:rPr>
          <w:rFonts w:ascii="宋体" w:hAnsi="宋体"/>
          <w:color w:val="auto"/>
          <w:szCs w:val="21"/>
          <w:u w:val="single"/>
        </w:rPr>
      </w:pPr>
      <w:r>
        <w:rPr>
          <w:rFonts w:hint="eastAsia" w:ascii="宋体" w:hAnsi="宋体"/>
          <w:color w:val="auto"/>
          <w:szCs w:val="21"/>
        </w:rPr>
        <w:t>7.1.1 合同当事人约定的施工组织设计应包括的其他内容：</w:t>
      </w:r>
      <w:r>
        <w:rPr>
          <w:rFonts w:hint="eastAsia" w:ascii="宋体" w:hAnsi="宋体"/>
          <w:color w:val="auto"/>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rPr>
        <w:t>。</w:t>
      </w:r>
    </w:p>
    <w:p w14:paraId="0C67BE72">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7.1.2 施工组织设计的提交和修改</w:t>
      </w:r>
    </w:p>
    <w:p w14:paraId="09256446">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承包人提交详细施工组织设计的期限的约定：</w:t>
      </w:r>
      <w:r>
        <w:rPr>
          <w:rFonts w:hint="eastAsia" w:ascii="宋体" w:hAnsi="宋体"/>
          <w:color w:val="auto"/>
          <w:szCs w:val="21"/>
          <w:u w:val="single"/>
        </w:rPr>
        <w:t>合同签订后</w:t>
      </w:r>
      <w:r>
        <w:rPr>
          <w:rFonts w:hint="eastAsia" w:ascii="宋体" w:hAnsi="宋体"/>
          <w:color w:val="auto"/>
          <w:szCs w:val="21"/>
          <w:u w:val="single"/>
          <w:lang w:val="en-US" w:eastAsia="zh-CN"/>
        </w:rPr>
        <w:t>3</w:t>
      </w:r>
      <w:r>
        <w:rPr>
          <w:rFonts w:hint="eastAsia" w:ascii="宋体" w:hAnsi="宋体"/>
          <w:color w:val="auto"/>
          <w:szCs w:val="21"/>
          <w:u w:val="single"/>
        </w:rPr>
        <w:t>天内，但最迟不得晚于开工通知载明的开工日期前7天</w:t>
      </w:r>
      <w:r>
        <w:rPr>
          <w:rFonts w:hint="eastAsia" w:ascii="宋体" w:hAnsi="宋体"/>
          <w:color w:val="auto"/>
          <w:szCs w:val="21"/>
        </w:rPr>
        <w:t>。</w:t>
      </w:r>
    </w:p>
    <w:p w14:paraId="72CF92F1">
      <w:pPr>
        <w:spacing w:line="360" w:lineRule="auto"/>
        <w:ind w:firstLine="560" w:firstLineChars="200"/>
        <w:jc w:val="left"/>
        <w:rPr>
          <w:rFonts w:ascii="宋体" w:hAnsi="宋体"/>
          <w:color w:val="auto"/>
          <w:szCs w:val="21"/>
        </w:rPr>
      </w:pPr>
      <w:r>
        <w:rPr>
          <w:rFonts w:hint="eastAsia" w:ascii="宋体" w:hAnsi="宋体"/>
          <w:color w:val="auto"/>
          <w:szCs w:val="21"/>
        </w:rPr>
        <w:t>发包人和监理人在收到详细的施工组织设计后确认或提出修改意见的期限：</w:t>
      </w:r>
      <w:r>
        <w:rPr>
          <w:rFonts w:hint="eastAsia" w:ascii="宋体" w:hAnsi="宋体"/>
          <w:color w:val="auto"/>
          <w:szCs w:val="21"/>
          <w:u w:val="single"/>
        </w:rPr>
        <w:t>收到施工组织设计后</w:t>
      </w:r>
      <w:r>
        <w:rPr>
          <w:rFonts w:hint="eastAsia" w:ascii="宋体" w:hAnsi="宋体"/>
          <w:color w:val="auto"/>
          <w:szCs w:val="21"/>
          <w:u w:val="single"/>
          <w:lang w:val="en-US" w:eastAsia="zh-CN"/>
        </w:rPr>
        <w:t>3</w:t>
      </w:r>
      <w:r>
        <w:rPr>
          <w:rFonts w:hint="eastAsia" w:ascii="宋体" w:hAnsi="宋体"/>
          <w:color w:val="auto"/>
          <w:szCs w:val="21"/>
          <w:u w:val="single"/>
        </w:rPr>
        <w:t>天内</w:t>
      </w:r>
      <w:r>
        <w:rPr>
          <w:rFonts w:hint="eastAsia" w:ascii="宋体" w:hAnsi="宋体"/>
          <w:color w:val="auto"/>
          <w:szCs w:val="21"/>
        </w:rPr>
        <w:t>。</w:t>
      </w:r>
    </w:p>
    <w:p w14:paraId="4C143512">
      <w:pPr>
        <w:pStyle w:val="7"/>
        <w:spacing w:before="0" w:beforeAutospacing="0" w:after="0" w:afterAutospacing="0" w:line="360" w:lineRule="auto"/>
        <w:ind w:firstLine="422" w:firstLineChars="200"/>
        <w:rPr>
          <w:color w:val="auto"/>
          <w:sz w:val="21"/>
          <w:szCs w:val="21"/>
        </w:rPr>
      </w:pPr>
      <w:bookmarkStart w:id="1019" w:name="_Toc532375618"/>
      <w:bookmarkStart w:id="1020" w:name="_Toc532377354"/>
      <w:r>
        <w:rPr>
          <w:rFonts w:hint="eastAsia"/>
          <w:color w:val="auto"/>
          <w:sz w:val="21"/>
          <w:szCs w:val="21"/>
        </w:rPr>
        <w:t>7.2 施工进度计划</w:t>
      </w:r>
      <w:bookmarkEnd w:id="1019"/>
      <w:bookmarkEnd w:id="1020"/>
    </w:p>
    <w:p w14:paraId="61548BA4">
      <w:pPr>
        <w:spacing w:line="360" w:lineRule="auto"/>
        <w:ind w:firstLine="560" w:firstLineChars="200"/>
        <w:jc w:val="left"/>
        <w:rPr>
          <w:rFonts w:ascii="宋体" w:hAnsi="宋体"/>
          <w:color w:val="auto"/>
          <w:szCs w:val="21"/>
        </w:rPr>
      </w:pPr>
      <w:r>
        <w:rPr>
          <w:rFonts w:hint="eastAsia" w:ascii="宋体" w:hAnsi="宋体"/>
          <w:color w:val="auto"/>
          <w:szCs w:val="21"/>
        </w:rPr>
        <w:t>7.2.2 施工进度计划的修订</w:t>
      </w:r>
    </w:p>
    <w:p w14:paraId="7B0E402E">
      <w:pPr>
        <w:spacing w:line="360" w:lineRule="auto"/>
        <w:ind w:firstLine="560" w:firstLineChars="200"/>
        <w:jc w:val="left"/>
        <w:rPr>
          <w:rFonts w:ascii="宋体" w:hAnsi="宋体"/>
          <w:color w:val="auto"/>
          <w:szCs w:val="21"/>
        </w:rPr>
      </w:pPr>
      <w:r>
        <w:rPr>
          <w:rFonts w:hint="eastAsia" w:ascii="宋体" w:hAnsi="宋体"/>
          <w:color w:val="auto"/>
          <w:szCs w:val="21"/>
        </w:rPr>
        <w:t>发包人和监理人在收到修订的施工进度计划后确认或提出修改意见的期限：</w:t>
      </w:r>
      <w:r>
        <w:rPr>
          <w:rFonts w:hint="eastAsia" w:ascii="宋体" w:hAnsi="宋体"/>
          <w:color w:val="auto"/>
          <w:szCs w:val="21"/>
          <w:u w:val="single"/>
        </w:rPr>
        <w:t>收到修订的施工进度计划后</w:t>
      </w:r>
      <w:r>
        <w:rPr>
          <w:rFonts w:hint="eastAsia" w:ascii="宋体" w:hAnsi="宋体"/>
          <w:color w:val="auto"/>
          <w:szCs w:val="21"/>
          <w:u w:val="single"/>
          <w:lang w:val="en-US" w:eastAsia="zh-CN"/>
        </w:rPr>
        <w:t>3</w:t>
      </w:r>
      <w:r>
        <w:rPr>
          <w:rFonts w:hint="eastAsia" w:ascii="宋体" w:hAnsi="宋体"/>
          <w:color w:val="auto"/>
          <w:szCs w:val="21"/>
          <w:u w:val="single"/>
        </w:rPr>
        <w:t>天内</w:t>
      </w:r>
      <w:r>
        <w:rPr>
          <w:rFonts w:hint="eastAsia" w:ascii="宋体" w:hAnsi="宋体"/>
          <w:color w:val="auto"/>
          <w:szCs w:val="21"/>
        </w:rPr>
        <w:t>。</w:t>
      </w:r>
    </w:p>
    <w:p w14:paraId="2FFCB070">
      <w:pPr>
        <w:pStyle w:val="7"/>
        <w:spacing w:before="0" w:beforeAutospacing="0" w:after="0" w:afterAutospacing="0" w:line="360" w:lineRule="auto"/>
        <w:ind w:firstLine="422" w:firstLineChars="200"/>
        <w:rPr>
          <w:color w:val="auto"/>
          <w:sz w:val="21"/>
          <w:szCs w:val="21"/>
        </w:rPr>
      </w:pPr>
      <w:bookmarkStart w:id="1021" w:name="_Toc532375619"/>
      <w:bookmarkStart w:id="1022" w:name="_Toc532377355"/>
      <w:bookmarkStart w:id="1023" w:name="_Toc312677479"/>
      <w:bookmarkStart w:id="1024" w:name="_Toc297123514"/>
      <w:bookmarkStart w:id="1025" w:name="_Toc297216173"/>
      <w:bookmarkStart w:id="1026" w:name="_Toc300934966"/>
      <w:bookmarkStart w:id="1027" w:name="_Toc304295541"/>
      <w:bookmarkStart w:id="1028" w:name="_Toc312678005"/>
      <w:bookmarkStart w:id="1029" w:name="_Toc303539123"/>
      <w:r>
        <w:rPr>
          <w:rFonts w:hint="eastAsia"/>
          <w:color w:val="auto"/>
          <w:sz w:val="21"/>
          <w:szCs w:val="21"/>
        </w:rPr>
        <w:t>7.3 开工</w:t>
      </w:r>
      <w:bookmarkEnd w:id="1021"/>
      <w:bookmarkEnd w:id="1022"/>
    </w:p>
    <w:p w14:paraId="3B2DC019">
      <w:pPr>
        <w:spacing w:line="360" w:lineRule="auto"/>
        <w:ind w:firstLine="560" w:firstLineChars="200"/>
        <w:jc w:val="left"/>
        <w:rPr>
          <w:rFonts w:ascii="宋体" w:hAnsi="宋体"/>
          <w:color w:val="auto"/>
          <w:szCs w:val="21"/>
        </w:rPr>
      </w:pPr>
      <w:r>
        <w:rPr>
          <w:rFonts w:hint="eastAsia" w:ascii="宋体" w:hAnsi="宋体"/>
          <w:color w:val="auto"/>
          <w:szCs w:val="21"/>
        </w:rPr>
        <w:t>7.3.1 开工准备</w:t>
      </w:r>
    </w:p>
    <w:p w14:paraId="552402A5">
      <w:pPr>
        <w:spacing w:line="360" w:lineRule="auto"/>
        <w:ind w:firstLine="560" w:firstLineChars="200"/>
        <w:jc w:val="left"/>
        <w:rPr>
          <w:rFonts w:ascii="宋体" w:hAnsi="宋体"/>
          <w:color w:val="auto"/>
          <w:szCs w:val="21"/>
        </w:rPr>
      </w:pPr>
      <w:r>
        <w:rPr>
          <w:rFonts w:hint="eastAsia" w:ascii="宋体" w:hAnsi="宋体"/>
          <w:color w:val="auto"/>
          <w:szCs w:val="21"/>
        </w:rPr>
        <w:t>关于承包人提交工程开工报审表的期限：</w:t>
      </w:r>
      <w:r>
        <w:rPr>
          <w:rFonts w:hint="eastAsia" w:ascii="宋体" w:hAnsi="宋体"/>
          <w:color w:val="auto"/>
          <w:szCs w:val="21"/>
          <w:u w:val="single"/>
        </w:rPr>
        <w:t>不晚于开工前</w:t>
      </w:r>
      <w:r>
        <w:rPr>
          <w:rFonts w:hint="eastAsia" w:ascii="宋体" w:hAnsi="宋体"/>
          <w:color w:val="auto"/>
          <w:szCs w:val="21"/>
          <w:u w:val="single"/>
          <w:lang w:val="en-US" w:eastAsia="zh-CN"/>
        </w:rPr>
        <w:t>3</w:t>
      </w:r>
      <w:r>
        <w:rPr>
          <w:rFonts w:hint="eastAsia" w:ascii="宋体" w:hAnsi="宋体"/>
          <w:color w:val="auto"/>
          <w:szCs w:val="21"/>
          <w:u w:val="single"/>
        </w:rPr>
        <w:t>天</w:t>
      </w:r>
      <w:r>
        <w:rPr>
          <w:rFonts w:hint="eastAsia" w:ascii="宋体" w:hAnsi="宋体"/>
          <w:color w:val="auto"/>
          <w:szCs w:val="21"/>
        </w:rPr>
        <w:t>。</w:t>
      </w:r>
    </w:p>
    <w:p w14:paraId="69689ACB">
      <w:pPr>
        <w:spacing w:line="360" w:lineRule="auto"/>
        <w:ind w:firstLine="560" w:firstLineChars="200"/>
        <w:jc w:val="left"/>
        <w:rPr>
          <w:rFonts w:ascii="宋体" w:hAnsi="宋体"/>
          <w:color w:val="auto"/>
          <w:szCs w:val="21"/>
        </w:rPr>
      </w:pPr>
      <w:r>
        <w:rPr>
          <w:rFonts w:hint="eastAsia" w:ascii="宋体" w:hAnsi="宋体"/>
          <w:color w:val="auto"/>
          <w:szCs w:val="21"/>
        </w:rPr>
        <w:t>关于发包人应完成的其他开工准备工作及期限：</w:t>
      </w:r>
      <w:r>
        <w:rPr>
          <w:rFonts w:hint="eastAsia" w:ascii="宋体" w:hAnsi="宋体"/>
          <w:color w:val="auto"/>
          <w:szCs w:val="21"/>
          <w:u w:val="single"/>
        </w:rPr>
        <w:t>不晚于开工前</w:t>
      </w:r>
      <w:r>
        <w:rPr>
          <w:rFonts w:hint="eastAsia" w:ascii="宋体" w:hAnsi="宋体"/>
          <w:color w:val="auto"/>
          <w:szCs w:val="21"/>
          <w:u w:val="single"/>
          <w:lang w:val="en-US" w:eastAsia="zh-CN"/>
        </w:rPr>
        <w:t>3</w:t>
      </w:r>
      <w:r>
        <w:rPr>
          <w:rFonts w:hint="eastAsia" w:ascii="宋体" w:hAnsi="宋体"/>
          <w:color w:val="auto"/>
          <w:szCs w:val="21"/>
          <w:u w:val="single"/>
        </w:rPr>
        <w:t>天</w:t>
      </w:r>
      <w:r>
        <w:rPr>
          <w:rFonts w:hint="eastAsia" w:ascii="宋体" w:hAnsi="宋体"/>
          <w:color w:val="auto"/>
          <w:szCs w:val="21"/>
        </w:rPr>
        <w:t>。</w:t>
      </w:r>
    </w:p>
    <w:p w14:paraId="2AAD2E4E">
      <w:pPr>
        <w:spacing w:line="360" w:lineRule="auto"/>
        <w:ind w:firstLine="560" w:firstLineChars="200"/>
        <w:jc w:val="left"/>
        <w:rPr>
          <w:rFonts w:ascii="宋体" w:hAnsi="宋体"/>
          <w:color w:val="auto"/>
          <w:szCs w:val="21"/>
        </w:rPr>
      </w:pPr>
      <w:r>
        <w:rPr>
          <w:rFonts w:hint="eastAsia" w:ascii="宋体" w:hAnsi="宋体"/>
          <w:color w:val="auto"/>
          <w:szCs w:val="21"/>
        </w:rPr>
        <w:t>关于承包人应完成的其他开工准备工作及期限：</w:t>
      </w:r>
      <w:r>
        <w:rPr>
          <w:rFonts w:hint="eastAsia" w:ascii="宋体" w:hAnsi="宋体"/>
          <w:color w:val="auto"/>
          <w:szCs w:val="21"/>
          <w:u w:val="single"/>
        </w:rPr>
        <w:t>不晚于开工前</w:t>
      </w:r>
      <w:r>
        <w:rPr>
          <w:rFonts w:hint="eastAsia" w:ascii="宋体" w:hAnsi="宋体"/>
          <w:color w:val="auto"/>
          <w:szCs w:val="21"/>
          <w:u w:val="single"/>
          <w:lang w:val="en-US" w:eastAsia="zh-CN"/>
        </w:rPr>
        <w:t>3</w:t>
      </w:r>
      <w:r>
        <w:rPr>
          <w:rFonts w:hint="eastAsia" w:ascii="宋体" w:hAnsi="宋体"/>
          <w:color w:val="auto"/>
          <w:szCs w:val="21"/>
          <w:u w:val="single"/>
        </w:rPr>
        <w:t>天</w:t>
      </w:r>
      <w:r>
        <w:rPr>
          <w:rFonts w:hint="eastAsia" w:ascii="宋体" w:hAnsi="宋体"/>
          <w:color w:val="auto"/>
          <w:szCs w:val="21"/>
        </w:rPr>
        <w:t>。</w:t>
      </w:r>
    </w:p>
    <w:bookmarkEnd w:id="1023"/>
    <w:bookmarkEnd w:id="1024"/>
    <w:bookmarkEnd w:id="1025"/>
    <w:bookmarkEnd w:id="1026"/>
    <w:bookmarkEnd w:id="1027"/>
    <w:bookmarkEnd w:id="1028"/>
    <w:bookmarkEnd w:id="1029"/>
    <w:p w14:paraId="0BB686E9">
      <w:pPr>
        <w:pStyle w:val="7"/>
        <w:spacing w:before="0" w:beforeAutospacing="0" w:after="0" w:afterAutospacing="0" w:line="360" w:lineRule="auto"/>
        <w:ind w:firstLine="422" w:firstLineChars="200"/>
        <w:rPr>
          <w:color w:val="auto"/>
          <w:sz w:val="21"/>
          <w:szCs w:val="21"/>
        </w:rPr>
      </w:pPr>
      <w:bookmarkStart w:id="1030" w:name="_Toc532377356"/>
      <w:bookmarkStart w:id="1031" w:name="_Toc532375620"/>
      <w:r>
        <w:rPr>
          <w:rFonts w:hint="eastAsia"/>
          <w:color w:val="auto"/>
          <w:sz w:val="21"/>
          <w:szCs w:val="21"/>
        </w:rPr>
        <w:t>7.4 测量放线</w:t>
      </w:r>
      <w:bookmarkEnd w:id="1030"/>
      <w:bookmarkEnd w:id="1031"/>
    </w:p>
    <w:p w14:paraId="22611E04">
      <w:pPr>
        <w:spacing w:line="360" w:lineRule="auto"/>
        <w:ind w:firstLine="560" w:firstLineChars="200"/>
        <w:jc w:val="left"/>
        <w:rPr>
          <w:rFonts w:ascii="宋体" w:hAnsi="宋体"/>
          <w:color w:val="auto"/>
          <w:szCs w:val="21"/>
        </w:rPr>
      </w:pPr>
      <w:r>
        <w:rPr>
          <w:rFonts w:hint="eastAsia" w:ascii="宋体" w:hAnsi="宋体"/>
          <w:color w:val="auto"/>
          <w:szCs w:val="21"/>
        </w:rPr>
        <w:t>7.4.1 发包人通过监理人向承包人提供测量基准点、基准线和水准点及其书面资料的期限：</w:t>
      </w:r>
      <w:r>
        <w:rPr>
          <w:rFonts w:hint="eastAsia" w:ascii="宋体" w:hAnsi="宋体"/>
          <w:color w:val="auto"/>
          <w:szCs w:val="21"/>
          <w:u w:val="single"/>
        </w:rPr>
        <w:t xml:space="preserve">不晚于开工前 </w:t>
      </w:r>
      <w:r>
        <w:rPr>
          <w:rFonts w:hint="eastAsia" w:ascii="宋体" w:hAnsi="宋体"/>
          <w:color w:val="auto"/>
          <w:szCs w:val="21"/>
          <w:u w:val="single"/>
          <w:lang w:val="en-US" w:eastAsia="zh-CN"/>
        </w:rPr>
        <w:t>3</w:t>
      </w:r>
      <w:r>
        <w:rPr>
          <w:rFonts w:hint="eastAsia" w:ascii="宋体" w:hAnsi="宋体"/>
          <w:color w:val="auto"/>
          <w:szCs w:val="21"/>
          <w:u w:val="single"/>
        </w:rPr>
        <w:t xml:space="preserve"> 天</w:t>
      </w:r>
      <w:r>
        <w:rPr>
          <w:rFonts w:hint="eastAsia" w:ascii="宋体" w:hAnsi="宋体"/>
          <w:color w:val="auto"/>
          <w:szCs w:val="21"/>
        </w:rPr>
        <w:t>。</w:t>
      </w:r>
    </w:p>
    <w:p w14:paraId="73FB09C7">
      <w:pPr>
        <w:spacing w:line="360" w:lineRule="auto"/>
        <w:ind w:firstLine="560" w:firstLineChars="200"/>
        <w:jc w:val="left"/>
        <w:rPr>
          <w:rFonts w:ascii="宋体" w:hAnsi="宋体"/>
          <w:color w:val="auto"/>
          <w:szCs w:val="21"/>
        </w:rPr>
      </w:pPr>
      <w:r>
        <w:rPr>
          <w:rFonts w:hint="eastAsia" w:ascii="宋体" w:hAnsi="宋体"/>
          <w:color w:val="auto"/>
          <w:szCs w:val="21"/>
        </w:rPr>
        <w:t>承包人报监理人审批施工控制网资料的期限：</w:t>
      </w:r>
      <w:r>
        <w:rPr>
          <w:rFonts w:hint="eastAsia" w:ascii="宋体" w:hAnsi="宋体"/>
          <w:color w:val="auto"/>
          <w:szCs w:val="21"/>
          <w:u w:val="single"/>
        </w:rPr>
        <w:t xml:space="preserve">发出开工通知后  </w:t>
      </w:r>
      <w:r>
        <w:rPr>
          <w:rFonts w:hint="eastAsia" w:ascii="宋体" w:hAnsi="宋体"/>
          <w:color w:val="auto"/>
          <w:szCs w:val="21"/>
          <w:u w:val="single"/>
          <w:lang w:val="en-US" w:eastAsia="zh-CN"/>
        </w:rPr>
        <w:t>3</w:t>
      </w:r>
      <w:r>
        <w:rPr>
          <w:rFonts w:hint="eastAsia" w:ascii="宋体" w:hAnsi="宋体"/>
          <w:color w:val="auto"/>
          <w:szCs w:val="21"/>
          <w:u w:val="single"/>
        </w:rPr>
        <w:t>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rPr>
        <w:t>。</w:t>
      </w:r>
    </w:p>
    <w:p w14:paraId="6D76D195">
      <w:pPr>
        <w:pStyle w:val="7"/>
        <w:spacing w:before="0" w:beforeAutospacing="0" w:after="0" w:afterAutospacing="0" w:line="360" w:lineRule="auto"/>
        <w:ind w:firstLine="422" w:firstLineChars="200"/>
        <w:rPr>
          <w:color w:val="auto"/>
          <w:sz w:val="21"/>
          <w:szCs w:val="21"/>
        </w:rPr>
      </w:pPr>
      <w:bookmarkStart w:id="1032" w:name="_Toc532375621"/>
      <w:bookmarkStart w:id="1033" w:name="_Toc532377357"/>
      <w:r>
        <w:rPr>
          <w:rFonts w:hint="eastAsia"/>
          <w:color w:val="auto"/>
          <w:sz w:val="21"/>
          <w:szCs w:val="21"/>
        </w:rPr>
        <w:t>7</w:t>
      </w:r>
      <w:bookmarkStart w:id="1034" w:name="_Toc303539125"/>
      <w:bookmarkStart w:id="1035" w:name="_Toc312678010"/>
      <w:bookmarkStart w:id="1036" w:name="_Toc312677484"/>
      <w:bookmarkStart w:id="1037" w:name="_Toc304295546"/>
      <w:bookmarkStart w:id="1038" w:name="_Toc300934968"/>
      <w:bookmarkStart w:id="1039" w:name="_Toc297123516"/>
      <w:bookmarkStart w:id="1040" w:name="_Toc297216175"/>
      <w:r>
        <w:rPr>
          <w:rFonts w:hint="eastAsia"/>
          <w:color w:val="auto"/>
          <w:sz w:val="21"/>
          <w:szCs w:val="21"/>
        </w:rPr>
        <w:t>.5 工期延误</w:t>
      </w:r>
      <w:bookmarkEnd w:id="1032"/>
      <w:bookmarkEnd w:id="1033"/>
    </w:p>
    <w:bookmarkEnd w:id="1034"/>
    <w:bookmarkEnd w:id="1035"/>
    <w:bookmarkEnd w:id="1036"/>
    <w:bookmarkEnd w:id="1037"/>
    <w:bookmarkEnd w:id="1038"/>
    <w:bookmarkEnd w:id="1039"/>
    <w:bookmarkEnd w:id="1040"/>
    <w:p w14:paraId="652E81AA">
      <w:pPr>
        <w:spacing w:line="360" w:lineRule="auto"/>
        <w:ind w:firstLine="560" w:firstLineChars="200"/>
        <w:jc w:val="left"/>
        <w:rPr>
          <w:rFonts w:ascii="宋体" w:hAnsi="宋体"/>
          <w:color w:val="auto"/>
          <w:szCs w:val="21"/>
        </w:rPr>
      </w:pPr>
      <w:bookmarkStart w:id="1041" w:name="_Hlk528927940"/>
      <w:r>
        <w:rPr>
          <w:rFonts w:hint="eastAsia" w:ascii="宋体" w:hAnsi="宋体"/>
          <w:color w:val="auto"/>
          <w:szCs w:val="21"/>
        </w:rPr>
        <w:t>7.5.1 因发包人原因导致工期延误：</w:t>
      </w:r>
    </w:p>
    <w:p w14:paraId="279EF5C8">
      <w:pPr>
        <w:spacing w:line="360" w:lineRule="auto"/>
        <w:ind w:firstLine="560" w:firstLineChars="200"/>
        <w:jc w:val="left"/>
        <w:rPr>
          <w:rFonts w:ascii="宋体" w:hAnsi="宋体"/>
          <w:color w:val="auto"/>
          <w:szCs w:val="21"/>
        </w:rPr>
      </w:pPr>
      <w:r>
        <w:rPr>
          <w:rFonts w:hint="eastAsia" w:ascii="宋体" w:hAnsi="宋体"/>
          <w:color w:val="auto"/>
          <w:szCs w:val="21"/>
        </w:rPr>
        <w:t>在合同履行过程中，除通用条款约定外，因下列情况导致工期延误和（或）费用增加的，由发包人承担由此延误的工期和（或）增加的费用：</w:t>
      </w:r>
    </w:p>
    <w:p w14:paraId="4D16755D">
      <w:pPr>
        <w:spacing w:line="360" w:lineRule="auto"/>
        <w:ind w:firstLine="560" w:firstLineChars="200"/>
        <w:jc w:val="left"/>
        <w:rPr>
          <w:rFonts w:ascii="宋体" w:hAnsi="宋体"/>
          <w:color w:val="auto"/>
          <w:szCs w:val="21"/>
        </w:rPr>
      </w:pPr>
      <w:r>
        <w:rPr>
          <w:rFonts w:hint="eastAsia" w:ascii="宋体" w:hAnsi="宋体"/>
          <w:color w:val="auto"/>
          <w:szCs w:val="21"/>
        </w:rPr>
        <w:t>（1）发包人未能按合同约定提供施工场地，且该未提供开工条件直接影响项目关键线路的；</w:t>
      </w:r>
    </w:p>
    <w:p w14:paraId="24690B64">
      <w:pPr>
        <w:spacing w:line="360" w:lineRule="auto"/>
        <w:ind w:firstLine="560" w:firstLineChars="200"/>
        <w:jc w:val="left"/>
        <w:rPr>
          <w:rFonts w:ascii="宋体" w:hAnsi="宋体"/>
          <w:color w:val="auto"/>
          <w:szCs w:val="21"/>
        </w:rPr>
      </w:pPr>
      <w:r>
        <w:rPr>
          <w:rFonts w:hint="eastAsia" w:ascii="宋体" w:hAnsi="宋体"/>
          <w:color w:val="auto"/>
          <w:szCs w:val="21"/>
        </w:rPr>
        <w:t>（2）发包人提供的测量基准点、基准线和水准点及其书面资料存在错误或疏漏，且该错误或疏漏直接影响项目关键线路的；</w:t>
      </w:r>
    </w:p>
    <w:p w14:paraId="37AB5F76">
      <w:pPr>
        <w:spacing w:line="360" w:lineRule="auto"/>
        <w:ind w:firstLine="560" w:firstLineChars="200"/>
        <w:jc w:val="left"/>
        <w:rPr>
          <w:rFonts w:ascii="宋体" w:hAnsi="宋体"/>
          <w:color w:val="auto"/>
          <w:szCs w:val="21"/>
        </w:rPr>
      </w:pPr>
      <w:r>
        <w:rPr>
          <w:rFonts w:hint="eastAsia" w:ascii="宋体" w:hAnsi="宋体"/>
          <w:color w:val="auto"/>
          <w:szCs w:val="21"/>
        </w:rPr>
        <w:t>（3）监理人未按合同约定发出指示、批准等文件，且该未按合同约定发出指示、批准直接影响项目关键线路的；</w:t>
      </w:r>
    </w:p>
    <w:p w14:paraId="7D59E7BD">
      <w:pPr>
        <w:spacing w:line="360" w:lineRule="auto"/>
        <w:ind w:firstLine="560" w:firstLineChars="200"/>
        <w:jc w:val="left"/>
        <w:rPr>
          <w:rFonts w:ascii="宋体" w:hAnsi="宋体"/>
          <w:color w:val="auto"/>
          <w:szCs w:val="21"/>
        </w:rPr>
      </w:pPr>
      <w:r>
        <w:rPr>
          <w:rFonts w:hint="eastAsia" w:ascii="宋体" w:hAnsi="宋体"/>
          <w:color w:val="auto"/>
          <w:szCs w:val="21"/>
        </w:rPr>
        <w:t>（4）变更未及时审批，直接影响项目关键线路的；</w:t>
      </w:r>
    </w:p>
    <w:p w14:paraId="340E6BBC">
      <w:pPr>
        <w:spacing w:line="360" w:lineRule="auto"/>
        <w:ind w:firstLine="560" w:firstLineChars="200"/>
        <w:jc w:val="left"/>
        <w:rPr>
          <w:rFonts w:ascii="宋体" w:hAnsi="宋体"/>
          <w:color w:val="auto"/>
          <w:szCs w:val="21"/>
        </w:rPr>
      </w:pPr>
      <w:r>
        <w:rPr>
          <w:rFonts w:hint="eastAsia" w:ascii="宋体" w:hAnsi="宋体"/>
          <w:color w:val="auto"/>
          <w:szCs w:val="21"/>
        </w:rPr>
        <w:t>（5）实施变更直接影响项目关键线路的；</w:t>
      </w:r>
    </w:p>
    <w:p w14:paraId="7C8F2094">
      <w:pPr>
        <w:spacing w:line="360" w:lineRule="auto"/>
        <w:ind w:firstLine="560" w:firstLineChars="200"/>
        <w:jc w:val="left"/>
        <w:rPr>
          <w:rFonts w:ascii="宋体" w:hAnsi="宋体"/>
          <w:color w:val="auto"/>
          <w:szCs w:val="21"/>
        </w:rPr>
      </w:pPr>
      <w:r>
        <w:rPr>
          <w:rFonts w:hint="eastAsia" w:ascii="宋体" w:hAnsi="宋体"/>
          <w:color w:val="auto"/>
          <w:szCs w:val="21"/>
        </w:rPr>
        <w:t>（6）因发包人原因导致工程暂停施工、停建、缓建的；</w:t>
      </w:r>
    </w:p>
    <w:p w14:paraId="654F627A">
      <w:pPr>
        <w:spacing w:line="360" w:lineRule="auto"/>
        <w:ind w:firstLine="560" w:firstLineChars="200"/>
        <w:jc w:val="left"/>
        <w:rPr>
          <w:rFonts w:ascii="宋体" w:hAnsi="宋体"/>
          <w:color w:val="auto"/>
          <w:szCs w:val="21"/>
        </w:rPr>
      </w:pPr>
      <w:r>
        <w:rPr>
          <w:rFonts w:hint="eastAsia" w:ascii="宋体" w:hAnsi="宋体"/>
          <w:color w:val="auto"/>
          <w:szCs w:val="21"/>
        </w:rPr>
        <w:t>（7）因征地拆迁、当地群众阻工等情形的；</w:t>
      </w:r>
    </w:p>
    <w:p w14:paraId="7A023D7A">
      <w:pPr>
        <w:spacing w:line="360" w:lineRule="auto"/>
        <w:ind w:firstLine="560" w:firstLineChars="200"/>
        <w:jc w:val="left"/>
        <w:rPr>
          <w:rFonts w:ascii="宋体" w:hAnsi="宋体"/>
          <w:color w:val="auto"/>
          <w:szCs w:val="21"/>
          <w:u w:val="single"/>
        </w:rPr>
      </w:pPr>
      <w:r>
        <w:rPr>
          <w:rFonts w:hint="eastAsia" w:ascii="宋体" w:hAnsi="宋体"/>
          <w:color w:val="auto"/>
          <w:szCs w:val="21"/>
        </w:rPr>
        <w:t>（8）</w:t>
      </w:r>
      <w:r>
        <w:rPr>
          <w:rFonts w:hint="eastAsia" w:ascii="宋体" w:hAnsi="宋体"/>
          <w:color w:val="auto"/>
          <w:szCs w:val="21"/>
          <w:u w:val="single"/>
        </w:rPr>
        <w:t>合同约定的其他情形</w:t>
      </w:r>
      <w:r>
        <w:rPr>
          <w:rFonts w:hint="eastAsia" w:ascii="宋体" w:hAnsi="宋体"/>
          <w:color w:val="auto"/>
          <w:szCs w:val="21"/>
        </w:rPr>
        <w:t>。</w:t>
      </w:r>
    </w:p>
    <w:p w14:paraId="02D8E10A">
      <w:pPr>
        <w:spacing w:line="360" w:lineRule="auto"/>
        <w:ind w:firstLine="560" w:firstLineChars="200"/>
        <w:jc w:val="left"/>
        <w:rPr>
          <w:rFonts w:ascii="宋体" w:hAnsi="宋体"/>
          <w:color w:val="auto"/>
          <w:szCs w:val="21"/>
        </w:rPr>
      </w:pPr>
      <w:r>
        <w:rPr>
          <w:rFonts w:hint="eastAsia" w:ascii="宋体" w:hAnsi="宋体"/>
          <w:color w:val="auto"/>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rPr>
        <w:t>。</w:t>
      </w:r>
    </w:p>
    <w:p w14:paraId="2757D005">
      <w:pPr>
        <w:spacing w:line="360" w:lineRule="auto"/>
        <w:ind w:firstLine="560" w:firstLineChars="200"/>
        <w:jc w:val="left"/>
        <w:rPr>
          <w:rFonts w:ascii="宋体" w:hAnsi="宋体"/>
          <w:color w:val="auto"/>
          <w:szCs w:val="21"/>
        </w:rPr>
      </w:pPr>
      <w:r>
        <w:rPr>
          <w:rFonts w:hint="eastAsia" w:ascii="宋体" w:hAnsi="宋体"/>
          <w:color w:val="auto"/>
          <w:szCs w:val="21"/>
        </w:rPr>
        <w:t>7.5.2 因承包人原因导致工期延误</w:t>
      </w:r>
    </w:p>
    <w:p w14:paraId="1B308F14">
      <w:pPr>
        <w:spacing w:line="360" w:lineRule="auto"/>
        <w:ind w:firstLine="560" w:firstLineChars="200"/>
        <w:jc w:val="left"/>
        <w:rPr>
          <w:rFonts w:ascii="宋体" w:hAnsi="宋体"/>
          <w:color w:val="auto"/>
          <w:szCs w:val="21"/>
        </w:rPr>
      </w:pPr>
      <w:r>
        <w:rPr>
          <w:rFonts w:hint="eastAsia" w:ascii="宋体" w:hAnsi="宋体"/>
          <w:color w:val="auto"/>
          <w:szCs w:val="21"/>
          <w:u w:val="single"/>
        </w:rPr>
        <w:t>因承包人原因造成工期延误，逾期竣工按16.2.2（6）目执行。</w:t>
      </w:r>
    </w:p>
    <w:bookmarkEnd w:id="1041"/>
    <w:p w14:paraId="19C5158B">
      <w:pPr>
        <w:pStyle w:val="7"/>
        <w:spacing w:before="0" w:beforeAutospacing="0" w:after="0" w:afterAutospacing="0" w:line="360" w:lineRule="auto"/>
        <w:ind w:firstLine="422" w:firstLineChars="200"/>
        <w:rPr>
          <w:color w:val="auto"/>
          <w:sz w:val="21"/>
          <w:szCs w:val="21"/>
        </w:rPr>
      </w:pPr>
      <w:bookmarkStart w:id="1042" w:name="_Toc532375622"/>
      <w:bookmarkStart w:id="1043" w:name="_Toc532377358"/>
      <w:bookmarkStart w:id="1044" w:name="_Hlk528927997"/>
      <w:r>
        <w:rPr>
          <w:rFonts w:hint="eastAsia"/>
          <w:color w:val="auto"/>
          <w:sz w:val="21"/>
          <w:szCs w:val="21"/>
        </w:rPr>
        <w:t>7</w:t>
      </w:r>
      <w:bookmarkStart w:id="1045" w:name="_Toc303539128"/>
      <w:bookmarkStart w:id="1046" w:name="_Toc312678015"/>
      <w:bookmarkStart w:id="1047" w:name="_Toc297216178"/>
      <w:bookmarkStart w:id="1048" w:name="_Toc297123519"/>
      <w:bookmarkStart w:id="1049" w:name="_Toc300934971"/>
      <w:bookmarkStart w:id="1050" w:name="_Toc304295549"/>
      <w:r>
        <w:rPr>
          <w:rFonts w:hint="eastAsia"/>
          <w:color w:val="auto"/>
          <w:sz w:val="21"/>
          <w:szCs w:val="21"/>
        </w:rPr>
        <w:t>.6 不</w:t>
      </w:r>
      <w:bookmarkEnd w:id="1045"/>
      <w:bookmarkEnd w:id="1046"/>
      <w:bookmarkEnd w:id="1047"/>
      <w:bookmarkEnd w:id="1048"/>
      <w:bookmarkEnd w:id="1049"/>
      <w:bookmarkEnd w:id="1050"/>
      <w:r>
        <w:rPr>
          <w:rFonts w:hint="eastAsia"/>
          <w:color w:val="auto"/>
          <w:sz w:val="21"/>
          <w:szCs w:val="21"/>
        </w:rPr>
        <w:t>利物质条件</w:t>
      </w:r>
      <w:bookmarkEnd w:id="1042"/>
      <w:bookmarkEnd w:id="1043"/>
    </w:p>
    <w:bookmarkEnd w:id="1044"/>
    <w:p w14:paraId="4958621C">
      <w:pPr>
        <w:spacing w:line="360" w:lineRule="auto"/>
        <w:ind w:firstLine="560" w:firstLineChars="200"/>
        <w:jc w:val="left"/>
        <w:rPr>
          <w:rFonts w:ascii="宋体" w:hAnsi="宋体"/>
          <w:bCs/>
          <w:color w:val="auto"/>
          <w:szCs w:val="21"/>
        </w:rPr>
      </w:pPr>
      <w:bookmarkStart w:id="1051" w:name="_Toc312678016"/>
      <w:bookmarkStart w:id="1052" w:name="_Toc303539129"/>
      <w:bookmarkStart w:id="1053" w:name="_Toc304295550"/>
      <w:bookmarkStart w:id="1054" w:name="_Toc297216179"/>
      <w:bookmarkStart w:id="1055" w:name="_Toc297123520"/>
      <w:bookmarkStart w:id="1056" w:name="_Toc300934972"/>
      <w:bookmarkStart w:id="1057" w:name="_Toc318581172"/>
      <w:r>
        <w:rPr>
          <w:rFonts w:hint="eastAsia" w:ascii="宋体" w:hAnsi="宋体"/>
          <w:color w:val="auto"/>
          <w:szCs w:val="21"/>
        </w:rPr>
        <w:t>不利物质条件的其他情形和有关约定：</w:t>
      </w:r>
      <w:bookmarkStart w:id="1058" w:name="_Hlk528910274"/>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bookmarkEnd w:id="1051"/>
    <w:bookmarkEnd w:id="1052"/>
    <w:bookmarkEnd w:id="1053"/>
    <w:bookmarkEnd w:id="1054"/>
    <w:bookmarkEnd w:id="1055"/>
    <w:bookmarkEnd w:id="1056"/>
    <w:bookmarkEnd w:id="1057"/>
    <w:bookmarkEnd w:id="1058"/>
    <w:p w14:paraId="211F082D">
      <w:pPr>
        <w:pStyle w:val="7"/>
        <w:spacing w:before="0" w:beforeAutospacing="0" w:after="0" w:afterAutospacing="0" w:line="360" w:lineRule="auto"/>
        <w:ind w:firstLine="422" w:firstLineChars="200"/>
        <w:rPr>
          <w:color w:val="auto"/>
          <w:sz w:val="21"/>
          <w:szCs w:val="21"/>
        </w:rPr>
      </w:pPr>
      <w:bookmarkStart w:id="1059" w:name="_Toc532377359"/>
      <w:bookmarkStart w:id="1060" w:name="_Toc532375623"/>
      <w:r>
        <w:rPr>
          <w:rFonts w:hint="eastAsia"/>
          <w:color w:val="auto"/>
          <w:sz w:val="21"/>
          <w:szCs w:val="21"/>
        </w:rPr>
        <w:t>7</w:t>
      </w:r>
      <w:bookmarkStart w:id="1061" w:name="_Toc312678017"/>
      <w:bookmarkStart w:id="1062" w:name="_Toc297123521"/>
      <w:bookmarkStart w:id="1063" w:name="_Toc297216180"/>
      <w:bookmarkStart w:id="1064" w:name="_Toc300934973"/>
      <w:bookmarkStart w:id="1065" w:name="_Toc303539130"/>
      <w:bookmarkStart w:id="1066" w:name="_Toc304295551"/>
      <w:r>
        <w:rPr>
          <w:rFonts w:hint="eastAsia"/>
          <w:color w:val="auto"/>
          <w:sz w:val="21"/>
          <w:szCs w:val="21"/>
        </w:rPr>
        <w:t>.7异常恶劣的气候条件</w:t>
      </w:r>
      <w:bookmarkEnd w:id="1059"/>
      <w:bookmarkEnd w:id="1060"/>
    </w:p>
    <w:bookmarkEnd w:id="1061"/>
    <w:bookmarkEnd w:id="1062"/>
    <w:bookmarkEnd w:id="1063"/>
    <w:bookmarkEnd w:id="1064"/>
    <w:bookmarkEnd w:id="1065"/>
    <w:bookmarkEnd w:id="1066"/>
    <w:p w14:paraId="13CB89E1">
      <w:pPr>
        <w:spacing w:line="360" w:lineRule="auto"/>
        <w:ind w:firstLine="560" w:firstLineChars="200"/>
        <w:jc w:val="left"/>
        <w:rPr>
          <w:rFonts w:ascii="宋体" w:hAnsi="宋体"/>
          <w:color w:val="auto"/>
          <w:szCs w:val="21"/>
          <w:u w:val="single"/>
        </w:rPr>
      </w:pPr>
      <w:r>
        <w:rPr>
          <w:rFonts w:hint="eastAsia" w:ascii="宋体" w:hAnsi="宋体"/>
          <w:color w:val="auto"/>
          <w:szCs w:val="21"/>
        </w:rPr>
        <w:t>发包人和承包人同意以下情形视为异常恶劣的气候条件：</w:t>
      </w:r>
      <w:r>
        <w:rPr>
          <w:rFonts w:hint="eastAsia" w:ascii="宋体" w:hAnsi="宋体"/>
          <w:color w:val="auto"/>
          <w:szCs w:val="21"/>
          <w:u w:val="single"/>
        </w:rPr>
        <w:t xml:space="preserve">  异常气候是指项目所在地50年以上一遇的罕见气候现象</w:t>
      </w:r>
      <w:r>
        <w:rPr>
          <w:rFonts w:hint="eastAsia" w:ascii="宋体" w:hAnsi="宋体"/>
          <w:color w:val="auto"/>
          <w:szCs w:val="21"/>
          <w:u w:val="single"/>
          <w:lang w:eastAsia="zh-CN"/>
        </w:rPr>
        <w:t>，具体情况以当地气象局资料为准。如施工期间出现高温天气，则由承包人自行安排防暑降温措施，自行承担人员的高温津贴。前述费用均由承包人在投标时包含在相应综合单价中，发包人不再承担相应费用</w:t>
      </w:r>
      <w:r>
        <w:rPr>
          <w:rFonts w:hint="eastAsia" w:ascii="宋体" w:hAnsi="宋体"/>
          <w:color w:val="auto"/>
          <w:szCs w:val="21"/>
        </w:rPr>
        <w:t>。</w:t>
      </w:r>
    </w:p>
    <w:p w14:paraId="1EA878A8">
      <w:pPr>
        <w:pStyle w:val="7"/>
        <w:spacing w:before="0" w:beforeAutospacing="0" w:after="0" w:afterAutospacing="0" w:line="360" w:lineRule="auto"/>
        <w:ind w:firstLine="422" w:firstLineChars="200"/>
        <w:rPr>
          <w:color w:val="auto"/>
          <w:sz w:val="21"/>
          <w:szCs w:val="21"/>
        </w:rPr>
      </w:pPr>
      <w:bookmarkStart w:id="1067" w:name="_Toc532375624"/>
      <w:bookmarkStart w:id="1068" w:name="_Toc532377360"/>
      <w:r>
        <w:rPr>
          <w:rFonts w:hint="eastAsia"/>
          <w:color w:val="auto"/>
          <w:sz w:val="21"/>
          <w:szCs w:val="21"/>
        </w:rPr>
        <w:t>7.9 提前竣工</w:t>
      </w:r>
      <w:bookmarkEnd w:id="1067"/>
      <w:bookmarkEnd w:id="1068"/>
    </w:p>
    <w:p w14:paraId="6A8CDAFF">
      <w:pPr>
        <w:spacing w:line="360" w:lineRule="auto"/>
        <w:ind w:firstLine="560" w:firstLineChars="200"/>
        <w:jc w:val="left"/>
        <w:rPr>
          <w:rFonts w:ascii="宋体" w:hAnsi="宋体"/>
          <w:color w:val="auto"/>
          <w:szCs w:val="21"/>
        </w:rPr>
      </w:pPr>
      <w:r>
        <w:rPr>
          <w:rFonts w:hint="eastAsia" w:ascii="宋体" w:hAnsi="宋体"/>
          <w:color w:val="auto"/>
          <w:szCs w:val="21"/>
        </w:rPr>
        <w:t>7.9.1项细化为：</w:t>
      </w:r>
    </w:p>
    <w:p w14:paraId="170BFF41">
      <w:pPr>
        <w:spacing w:line="360" w:lineRule="auto"/>
        <w:ind w:firstLine="560" w:firstLineChars="200"/>
        <w:jc w:val="left"/>
        <w:rPr>
          <w:rFonts w:ascii="宋体" w:hAnsi="宋体"/>
          <w:color w:val="auto"/>
          <w:szCs w:val="21"/>
        </w:rPr>
      </w:pPr>
      <w:r>
        <w:rPr>
          <w:rFonts w:hint="eastAsia" w:ascii="宋体" w:hAnsi="宋体"/>
          <w:color w:val="auto"/>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3CFB586B">
      <w:pPr>
        <w:spacing w:line="360" w:lineRule="auto"/>
        <w:ind w:firstLine="560" w:firstLineChars="200"/>
        <w:jc w:val="left"/>
        <w:rPr>
          <w:rFonts w:ascii="宋体" w:hAnsi="宋体"/>
          <w:color w:val="auto"/>
          <w:szCs w:val="21"/>
        </w:rPr>
      </w:pPr>
      <w:r>
        <w:rPr>
          <w:rFonts w:hint="eastAsia" w:ascii="宋体" w:hAnsi="宋体"/>
          <w:color w:val="auto"/>
          <w:szCs w:val="21"/>
        </w:rPr>
        <w:t>（2）发包人不得随意要求承包人提前竣工，承包人也不得随意提出提前竣工的建议。如遇特殊情况，确需将工期提前的，发包人和承包人必须采取有效措施，确保工程质量。</w:t>
      </w:r>
    </w:p>
    <w:p w14:paraId="777347A7">
      <w:pPr>
        <w:spacing w:line="360" w:lineRule="auto"/>
        <w:ind w:firstLine="560" w:firstLineChars="200"/>
        <w:jc w:val="left"/>
        <w:rPr>
          <w:rFonts w:ascii="宋体" w:hAnsi="宋体"/>
          <w:color w:val="auto"/>
          <w:szCs w:val="21"/>
        </w:rPr>
      </w:pPr>
      <w:r>
        <w:rPr>
          <w:rFonts w:hint="eastAsia" w:ascii="宋体" w:hAnsi="宋体"/>
          <w:color w:val="auto"/>
          <w:szCs w:val="21"/>
        </w:rPr>
        <w:t>（3）如果承包人提前竣工，发包人支付奖金的计算方法在合同条款中约定，时间自竣工验收证书中写明的实际竣工日期起至预定的竣工日期止，按天计算。但奖金最高限额不超过项目7.9.2项的限额。</w:t>
      </w:r>
    </w:p>
    <w:p w14:paraId="0F9D65E2">
      <w:pPr>
        <w:spacing w:line="360" w:lineRule="auto"/>
        <w:ind w:firstLine="560" w:firstLineChars="200"/>
        <w:jc w:val="left"/>
        <w:rPr>
          <w:rFonts w:ascii="宋体" w:hAnsi="宋体"/>
          <w:color w:val="auto"/>
          <w:szCs w:val="21"/>
        </w:rPr>
      </w:pPr>
      <w:r>
        <w:rPr>
          <w:rFonts w:hint="eastAsia" w:ascii="宋体" w:hAnsi="宋体"/>
          <w:color w:val="auto"/>
          <w:szCs w:val="21"/>
        </w:rPr>
        <w:t>7.9.2 提前竣工的奖励：</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rPr>
        <w:t>。</w:t>
      </w:r>
    </w:p>
    <w:p w14:paraId="5E39732C">
      <w:pPr>
        <w:pStyle w:val="6"/>
        <w:keepNext/>
        <w:keepLines/>
        <w:spacing w:before="156" w:beforeLines="50" w:beforeAutospacing="0" w:after="156" w:afterLines="50" w:afterAutospacing="0" w:line="360" w:lineRule="auto"/>
        <w:jc w:val="both"/>
        <w:rPr>
          <w:bCs w:val="0"/>
          <w:color w:val="auto"/>
          <w:kern w:val="2"/>
          <w:sz w:val="21"/>
          <w:szCs w:val="21"/>
        </w:rPr>
      </w:pPr>
      <w:bookmarkStart w:id="1069" w:name="_Toc351203640"/>
      <w:bookmarkStart w:id="1070" w:name="_Toc532377361"/>
      <w:bookmarkStart w:id="1071" w:name="_Toc532375625"/>
      <w:r>
        <w:rPr>
          <w:rFonts w:hint="eastAsia"/>
          <w:color w:val="auto"/>
          <w:kern w:val="2"/>
          <w:sz w:val="21"/>
          <w:szCs w:val="21"/>
        </w:rPr>
        <w:t>8. 材料与设备</w:t>
      </w:r>
      <w:bookmarkEnd w:id="1069"/>
      <w:bookmarkEnd w:id="1070"/>
      <w:bookmarkEnd w:id="1071"/>
    </w:p>
    <w:p w14:paraId="489EA215">
      <w:pPr>
        <w:pStyle w:val="7"/>
        <w:spacing w:before="0" w:beforeAutospacing="0" w:after="0" w:afterAutospacing="0" w:line="360" w:lineRule="auto"/>
        <w:ind w:firstLine="422" w:firstLineChars="200"/>
        <w:rPr>
          <w:color w:val="auto"/>
          <w:sz w:val="21"/>
          <w:szCs w:val="21"/>
        </w:rPr>
      </w:pPr>
      <w:bookmarkStart w:id="1072" w:name="_Toc532375626"/>
      <w:bookmarkStart w:id="1073" w:name="_Toc532377362"/>
      <w:r>
        <w:rPr>
          <w:rFonts w:hint="eastAsia"/>
          <w:color w:val="auto"/>
          <w:sz w:val="21"/>
          <w:szCs w:val="21"/>
        </w:rPr>
        <w:t>8.1发包人供应材料与工程设备</w:t>
      </w:r>
      <w:bookmarkEnd w:id="1072"/>
      <w:bookmarkEnd w:id="1073"/>
    </w:p>
    <w:p w14:paraId="00BEC32E">
      <w:pPr>
        <w:spacing w:line="360" w:lineRule="auto"/>
        <w:ind w:firstLine="560" w:firstLineChars="200"/>
        <w:jc w:val="left"/>
        <w:rPr>
          <w:rFonts w:ascii="宋体" w:hAnsi="宋体"/>
          <w:color w:val="auto"/>
          <w:szCs w:val="21"/>
        </w:rPr>
      </w:pPr>
      <w:r>
        <w:rPr>
          <w:rFonts w:hint="eastAsia" w:ascii="宋体" w:hAnsi="宋体"/>
          <w:color w:val="auto"/>
          <w:szCs w:val="21"/>
        </w:rPr>
        <w:t>材料的名称、规格、数量和价格：</w:t>
      </w:r>
      <w:r>
        <w:rPr>
          <w:rFonts w:hint="eastAsia" w:ascii="宋体" w:hAnsi="宋体"/>
          <w:color w:val="auto"/>
          <w:szCs w:val="21"/>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rPr>
        <w:t>。</w:t>
      </w:r>
    </w:p>
    <w:p w14:paraId="29309FF8">
      <w:pPr>
        <w:spacing w:line="360" w:lineRule="auto"/>
        <w:ind w:firstLine="560" w:firstLineChars="200"/>
        <w:jc w:val="left"/>
        <w:rPr>
          <w:rFonts w:ascii="宋体" w:hAnsi="宋体"/>
          <w:color w:val="auto"/>
          <w:szCs w:val="21"/>
        </w:rPr>
      </w:pPr>
      <w:r>
        <w:rPr>
          <w:rFonts w:hint="eastAsia" w:ascii="宋体" w:hAnsi="宋体"/>
          <w:color w:val="auto"/>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rPr>
        <w:t>。</w:t>
      </w:r>
    </w:p>
    <w:p w14:paraId="4CFFF05A">
      <w:pPr>
        <w:pStyle w:val="7"/>
        <w:spacing w:before="0" w:beforeAutospacing="0" w:after="0" w:afterAutospacing="0" w:line="360" w:lineRule="auto"/>
        <w:ind w:firstLine="422" w:firstLineChars="200"/>
        <w:rPr>
          <w:color w:val="auto"/>
          <w:sz w:val="21"/>
          <w:szCs w:val="21"/>
        </w:rPr>
      </w:pPr>
      <w:bookmarkStart w:id="1074" w:name="_Toc532377363"/>
      <w:bookmarkStart w:id="1075" w:name="_Toc532375627"/>
      <w:bookmarkStart w:id="1076" w:name="_Toc351203554"/>
      <w:r>
        <w:rPr>
          <w:rFonts w:hint="eastAsia"/>
          <w:color w:val="auto"/>
          <w:sz w:val="21"/>
          <w:szCs w:val="21"/>
        </w:rPr>
        <w:t>8</w:t>
      </w:r>
      <w:bookmarkStart w:id="1077" w:name="_Toc337558778"/>
      <w:bookmarkStart w:id="1078" w:name="_Toc296503060"/>
      <w:bookmarkStart w:id="1079" w:name="_Toc296346561"/>
      <w:r>
        <w:rPr>
          <w:rFonts w:hint="eastAsia"/>
          <w:color w:val="auto"/>
          <w:sz w:val="21"/>
          <w:szCs w:val="21"/>
        </w:rPr>
        <w:t>.2 承包人采购材料与工程设备</w:t>
      </w:r>
      <w:bookmarkEnd w:id="1074"/>
      <w:bookmarkEnd w:id="1075"/>
      <w:bookmarkEnd w:id="1076"/>
    </w:p>
    <w:bookmarkEnd w:id="1077"/>
    <w:bookmarkEnd w:id="1078"/>
    <w:bookmarkEnd w:id="1079"/>
    <w:p w14:paraId="3E573BD1">
      <w:pPr>
        <w:spacing w:line="360" w:lineRule="auto"/>
        <w:ind w:firstLine="560" w:firstLineChars="200"/>
        <w:jc w:val="left"/>
        <w:rPr>
          <w:rFonts w:ascii="宋体" w:hAnsi="宋体"/>
          <w:color w:val="auto"/>
          <w:szCs w:val="21"/>
        </w:rPr>
      </w:pPr>
      <w:r>
        <w:rPr>
          <w:rFonts w:hint="eastAsia" w:ascii="宋体" w:hAnsi="宋体"/>
          <w:color w:val="auto"/>
          <w:szCs w:val="21"/>
        </w:rPr>
        <w:t>8.2.1承包人负责采购、运输和保管的材料、工程设备：</w:t>
      </w:r>
      <w:r>
        <w:rPr>
          <w:rFonts w:hint="eastAsia" w:ascii="宋体" w:hAnsi="宋体"/>
          <w:color w:val="auto"/>
          <w:szCs w:val="21"/>
          <w:u w:val="single"/>
        </w:rPr>
        <w:t>由承包人自行采购。承包人采购材料设备必须经监理人和发包人批准，结算时由监理人和发包人按招标文件规定审核的数量和合同约定</w:t>
      </w:r>
      <w:r>
        <w:rPr>
          <w:rFonts w:ascii="宋体" w:hAnsi="宋体"/>
          <w:color w:val="auto"/>
          <w:szCs w:val="21"/>
          <w:u w:val="single"/>
        </w:rPr>
        <w:t>价格</w:t>
      </w:r>
      <w:r>
        <w:rPr>
          <w:rFonts w:hint="eastAsia" w:ascii="宋体" w:hAnsi="宋体"/>
          <w:color w:val="auto"/>
          <w:szCs w:val="21"/>
          <w:u w:val="single"/>
        </w:rPr>
        <w:t>计算</w:t>
      </w:r>
      <w:r>
        <w:rPr>
          <w:rFonts w:hint="eastAsia" w:ascii="宋体" w:hAnsi="宋体"/>
          <w:color w:val="auto"/>
          <w:szCs w:val="21"/>
        </w:rPr>
        <w:t>。</w:t>
      </w:r>
    </w:p>
    <w:p w14:paraId="33EAD75B">
      <w:pPr>
        <w:spacing w:line="360" w:lineRule="auto"/>
        <w:ind w:firstLine="560" w:firstLineChars="200"/>
        <w:jc w:val="left"/>
        <w:rPr>
          <w:rFonts w:ascii="宋体" w:hAnsi="宋体"/>
          <w:color w:val="auto"/>
          <w:szCs w:val="21"/>
        </w:rPr>
      </w:pPr>
      <w:r>
        <w:rPr>
          <w:rFonts w:hint="eastAsia" w:ascii="宋体" w:hAnsi="宋体"/>
          <w:color w:val="auto"/>
          <w:szCs w:val="21"/>
        </w:rPr>
        <w:t>8.2.2承包人报送监理人审批的时间：</w:t>
      </w:r>
      <w:r>
        <w:rPr>
          <w:rFonts w:hint="eastAsia" w:ascii="宋体" w:hAnsi="宋体"/>
          <w:color w:val="auto"/>
          <w:szCs w:val="21"/>
          <w:u w:val="single"/>
        </w:rPr>
        <w:t>按发包人及监理单位的相关规定执行</w:t>
      </w:r>
      <w:r>
        <w:rPr>
          <w:rFonts w:hint="eastAsia" w:ascii="宋体" w:hAnsi="宋体"/>
          <w:color w:val="auto"/>
          <w:szCs w:val="21"/>
        </w:rPr>
        <w:t>。</w:t>
      </w:r>
    </w:p>
    <w:p w14:paraId="25D6B276">
      <w:pPr>
        <w:spacing w:line="360" w:lineRule="auto"/>
        <w:ind w:firstLine="560" w:firstLineChars="200"/>
        <w:jc w:val="left"/>
        <w:rPr>
          <w:rFonts w:ascii="宋体" w:hAnsi="宋体"/>
          <w:color w:val="auto"/>
          <w:szCs w:val="21"/>
        </w:rPr>
      </w:pPr>
      <w:r>
        <w:rPr>
          <w:rFonts w:hint="eastAsia" w:ascii="宋体" w:hAnsi="宋体"/>
          <w:color w:val="auto"/>
          <w:szCs w:val="21"/>
        </w:rPr>
        <w:t>8.2.3承包人选择的生产厂家或供应商满足下列条件：</w:t>
      </w:r>
    </w:p>
    <w:p w14:paraId="5ECCD3C7">
      <w:pPr>
        <w:spacing w:line="360" w:lineRule="auto"/>
        <w:ind w:firstLine="560" w:firstLineChars="200"/>
        <w:jc w:val="left"/>
        <w:rPr>
          <w:rFonts w:ascii="宋体" w:hAnsi="宋体"/>
          <w:color w:val="auto"/>
          <w:szCs w:val="21"/>
        </w:rPr>
      </w:pPr>
      <w:r>
        <w:rPr>
          <w:rFonts w:hint="eastAsia" w:ascii="宋体" w:hAnsi="宋体"/>
          <w:color w:val="auto"/>
          <w:szCs w:val="21"/>
        </w:rPr>
        <w:t>A.承包人选择的混凝土供应商应满足下列条件：</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17CF5032">
      <w:pPr>
        <w:spacing w:line="360" w:lineRule="auto"/>
        <w:ind w:firstLine="560" w:firstLineChars="200"/>
        <w:jc w:val="left"/>
        <w:rPr>
          <w:rFonts w:ascii="宋体" w:hAnsi="宋体"/>
          <w:color w:val="auto"/>
          <w:szCs w:val="21"/>
        </w:rPr>
      </w:pPr>
      <w:r>
        <w:rPr>
          <w:rFonts w:hint="eastAsia" w:ascii="宋体" w:hAnsi="宋体"/>
          <w:color w:val="auto"/>
          <w:szCs w:val="21"/>
        </w:rPr>
        <w:t>B.承包人选择的钢材供应商应满足下列条件：</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1814A0D3">
      <w:pPr>
        <w:spacing w:line="360" w:lineRule="auto"/>
        <w:ind w:firstLine="560" w:firstLineChars="200"/>
        <w:jc w:val="left"/>
        <w:rPr>
          <w:rFonts w:ascii="宋体" w:hAnsi="宋体"/>
          <w:color w:val="auto"/>
          <w:szCs w:val="21"/>
        </w:rPr>
      </w:pPr>
      <w:r>
        <w:rPr>
          <w:rFonts w:hint="eastAsia" w:ascii="宋体" w:hAnsi="宋体"/>
          <w:color w:val="auto"/>
          <w:szCs w:val="21"/>
        </w:rPr>
        <w:t>C.承包人选择的水泥供应商应满足下列条件：</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3BA4D332">
      <w:pPr>
        <w:spacing w:line="360" w:lineRule="auto"/>
        <w:ind w:firstLine="560" w:firstLineChars="200"/>
        <w:jc w:val="left"/>
        <w:rPr>
          <w:rFonts w:ascii="宋体" w:hAnsi="宋体"/>
          <w:color w:val="auto"/>
          <w:szCs w:val="21"/>
        </w:rPr>
      </w:pPr>
      <w:r>
        <w:rPr>
          <w:rFonts w:hint="eastAsia" w:ascii="宋体" w:hAnsi="宋体"/>
          <w:color w:val="auto"/>
          <w:szCs w:val="21"/>
        </w:rPr>
        <w:t>D.承包人采购的材料与设计或标准要求不符时，承包人应按发包人和监理人要求的时间运出施工场地，并重新采购符合要求的产品，并承担由此发生的费用，因此延误的工期不予顺延。</w:t>
      </w:r>
    </w:p>
    <w:p w14:paraId="60A827B9">
      <w:pPr>
        <w:spacing w:line="360" w:lineRule="auto"/>
        <w:ind w:firstLine="560" w:firstLineChars="200"/>
        <w:jc w:val="left"/>
        <w:rPr>
          <w:rFonts w:ascii="宋体" w:hAnsi="宋体"/>
          <w:color w:val="auto"/>
          <w:szCs w:val="21"/>
        </w:rPr>
      </w:pPr>
      <w:r>
        <w:rPr>
          <w:rFonts w:hint="eastAsia" w:ascii="宋体" w:hAnsi="宋体"/>
          <w:color w:val="auto"/>
          <w:szCs w:val="21"/>
        </w:rPr>
        <w:t>E.承包人采购的材料在使用前，应按发包人和监理人的要求进行检验或试验，不合格的不得使用。</w:t>
      </w:r>
    </w:p>
    <w:p w14:paraId="2ACA9F0C">
      <w:pPr>
        <w:spacing w:line="360" w:lineRule="auto"/>
        <w:ind w:firstLine="560" w:firstLineChars="200"/>
        <w:jc w:val="left"/>
        <w:rPr>
          <w:rFonts w:ascii="宋体" w:hAnsi="宋体"/>
          <w:color w:val="auto"/>
          <w:szCs w:val="21"/>
        </w:rPr>
      </w:pPr>
      <w:r>
        <w:rPr>
          <w:rFonts w:hint="eastAsia" w:ascii="宋体" w:hAnsi="宋体"/>
          <w:color w:val="auto"/>
          <w:szCs w:val="21"/>
        </w:rPr>
        <w:t>F.</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22E750E3">
      <w:pPr>
        <w:pStyle w:val="7"/>
        <w:spacing w:before="0" w:beforeAutospacing="0" w:after="0" w:afterAutospacing="0" w:line="360" w:lineRule="auto"/>
        <w:ind w:firstLine="422" w:firstLineChars="200"/>
        <w:rPr>
          <w:color w:val="auto"/>
          <w:sz w:val="21"/>
          <w:szCs w:val="21"/>
        </w:rPr>
      </w:pPr>
      <w:bookmarkStart w:id="1080" w:name="_Toc532377364"/>
      <w:bookmarkStart w:id="1081" w:name="_Toc532375628"/>
      <w:r>
        <w:rPr>
          <w:rFonts w:hint="eastAsia"/>
          <w:color w:val="auto"/>
          <w:sz w:val="21"/>
          <w:szCs w:val="21"/>
        </w:rPr>
        <w:t>8</w:t>
      </w:r>
      <w:bookmarkStart w:id="1082" w:name="_Toc292559877"/>
      <w:bookmarkStart w:id="1083" w:name="_Toc297120467"/>
      <w:bookmarkStart w:id="1084" w:name="_Toc297216186"/>
      <w:bookmarkStart w:id="1085" w:name="_Toc312677493"/>
      <w:bookmarkStart w:id="1086" w:name="_Toc312678019"/>
      <w:bookmarkStart w:id="1087" w:name="_Toc296891207"/>
      <w:bookmarkStart w:id="1088" w:name="_Toc296346668"/>
      <w:bookmarkStart w:id="1089" w:name="_Toc296944506"/>
      <w:bookmarkStart w:id="1090" w:name="_Toc296890995"/>
      <w:bookmarkStart w:id="1091" w:name="_Toc296347166"/>
      <w:bookmarkStart w:id="1092" w:name="_Toc292559372"/>
      <w:bookmarkStart w:id="1093" w:name="_Toc303539136"/>
      <w:bookmarkStart w:id="1094" w:name="_Toc304295556"/>
      <w:bookmarkStart w:id="1095" w:name="_Toc297123527"/>
      <w:bookmarkStart w:id="1096" w:name="_Toc280868654"/>
      <w:bookmarkStart w:id="1097" w:name="_Toc296503167"/>
      <w:bookmarkStart w:id="1098" w:name="_Toc300934979"/>
      <w:bookmarkStart w:id="1099" w:name="_Toc297048353"/>
      <w:bookmarkStart w:id="1100" w:name="_Toc280868655"/>
      <w:bookmarkStart w:id="1101" w:name="_Toc267251424"/>
      <w:bookmarkStart w:id="1102" w:name="_Toc280868656"/>
      <w:r>
        <w:rPr>
          <w:rFonts w:hint="eastAsia"/>
          <w:color w:val="auto"/>
          <w:sz w:val="21"/>
          <w:szCs w:val="21"/>
        </w:rPr>
        <w:t>.4 材料与工程设备的保管与使用</w:t>
      </w:r>
      <w:bookmarkEnd w:id="1080"/>
      <w:bookmarkEnd w:id="1081"/>
    </w:p>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14:paraId="47D74394">
      <w:pPr>
        <w:spacing w:line="360" w:lineRule="auto"/>
        <w:ind w:firstLine="560" w:firstLineChars="200"/>
        <w:jc w:val="left"/>
        <w:rPr>
          <w:rFonts w:ascii="宋体" w:hAnsi="宋体"/>
          <w:color w:val="auto"/>
          <w:szCs w:val="21"/>
        </w:rPr>
      </w:pPr>
      <w:r>
        <w:rPr>
          <w:rFonts w:hint="eastAsia" w:ascii="宋体" w:hAnsi="宋体"/>
          <w:color w:val="auto"/>
          <w:szCs w:val="21"/>
        </w:rPr>
        <w:t>8</w:t>
      </w:r>
      <w:bookmarkStart w:id="1103" w:name="_Toc292559373"/>
      <w:bookmarkStart w:id="1104" w:name="_Toc292559878"/>
      <w:bookmarkStart w:id="1105" w:name="_Toc296346669"/>
      <w:bookmarkStart w:id="1106" w:name="_Toc297123528"/>
      <w:bookmarkStart w:id="1107" w:name="_Toc297216187"/>
      <w:bookmarkStart w:id="1108" w:name="_Toc318581173"/>
      <w:bookmarkStart w:id="1109" w:name="_Toc296890996"/>
      <w:bookmarkStart w:id="1110" w:name="_Toc297048354"/>
      <w:bookmarkStart w:id="1111" w:name="_Toc312678020"/>
      <w:bookmarkStart w:id="1112" w:name="_Toc296944507"/>
      <w:bookmarkStart w:id="1113" w:name="_Toc296891208"/>
      <w:bookmarkStart w:id="1114" w:name="_Toc304295557"/>
      <w:bookmarkStart w:id="1115" w:name="_Toc312677494"/>
      <w:bookmarkStart w:id="1116" w:name="_Toc296503168"/>
      <w:bookmarkStart w:id="1117" w:name="_Toc303539137"/>
      <w:bookmarkStart w:id="1118" w:name="_Toc296347167"/>
      <w:bookmarkStart w:id="1119" w:name="_Toc297120468"/>
      <w:bookmarkStart w:id="1120" w:name="_Toc300934980"/>
      <w:r>
        <w:rPr>
          <w:rFonts w:hint="eastAsia" w:ascii="宋体" w:hAnsi="宋体"/>
          <w:color w:val="auto"/>
          <w:szCs w:val="21"/>
        </w:rPr>
        <w:t>.4.1 发包人供应的材料设备的保管费用的承担：</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bookmarkEnd w:id="1103"/>
      <w:bookmarkEnd w:id="1104"/>
    </w:p>
    <w:p w14:paraId="52A426E0">
      <w:pPr>
        <w:pStyle w:val="7"/>
        <w:spacing w:before="0" w:beforeAutospacing="0" w:after="0" w:afterAutospacing="0" w:line="360" w:lineRule="auto"/>
        <w:ind w:firstLine="422" w:firstLineChars="200"/>
        <w:rPr>
          <w:color w:val="auto"/>
          <w:sz w:val="21"/>
          <w:szCs w:val="21"/>
        </w:rPr>
      </w:pPr>
      <w:bookmarkStart w:id="1121" w:name="_Toc532375629"/>
      <w:bookmarkStart w:id="1122" w:name="_Toc532377365"/>
      <w:r>
        <w:rPr>
          <w:rFonts w:hint="eastAsia"/>
          <w:color w:val="auto"/>
          <w:sz w:val="21"/>
          <w:szCs w:val="21"/>
        </w:rPr>
        <w:t>8.6 样品</w:t>
      </w:r>
      <w:bookmarkEnd w:id="1121"/>
      <w:bookmarkEnd w:id="1122"/>
    </w:p>
    <w:p w14:paraId="5C8897D8">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8.6.1 样品的报送与封存</w:t>
      </w:r>
    </w:p>
    <w:p w14:paraId="35C1F161">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需要承包人报送样品的材料或工程设备，样品的种类、名称、规格、数量要求：</w:t>
      </w:r>
      <w:r>
        <w:rPr>
          <w:rFonts w:hint="eastAsia" w:ascii="宋体" w:hAnsi="宋体"/>
          <w:color w:val="auto"/>
          <w:szCs w:val="21"/>
          <w:u w:val="single"/>
        </w:rPr>
        <w:t xml:space="preserve">    </w:t>
      </w:r>
      <w:r>
        <w:rPr>
          <w:rFonts w:hint="eastAsia" w:ascii="宋体" w:hAnsi="宋体"/>
          <w:color w:val="auto"/>
          <w:szCs w:val="21"/>
          <w:u w:val="single"/>
          <w:lang w:eastAsia="zh-CN"/>
        </w:rPr>
        <w:t>满足国家相关规定要求</w:t>
      </w:r>
      <w:r>
        <w:rPr>
          <w:rFonts w:hint="eastAsia" w:ascii="宋体" w:hAnsi="宋体"/>
          <w:color w:val="auto"/>
          <w:szCs w:val="21"/>
          <w:u w:val="single"/>
        </w:rPr>
        <w:t xml:space="preserve">    </w:t>
      </w:r>
      <w:r>
        <w:rPr>
          <w:rFonts w:hint="eastAsia" w:ascii="宋体" w:hAnsi="宋体"/>
          <w:color w:val="auto"/>
          <w:szCs w:val="21"/>
        </w:rPr>
        <w:t>。</w:t>
      </w:r>
    </w:p>
    <w:p w14:paraId="3C522EDA">
      <w:pPr>
        <w:pStyle w:val="7"/>
        <w:spacing w:before="0" w:beforeAutospacing="0" w:after="0" w:afterAutospacing="0" w:line="360" w:lineRule="auto"/>
        <w:ind w:firstLine="422" w:firstLineChars="200"/>
        <w:rPr>
          <w:color w:val="auto"/>
          <w:sz w:val="21"/>
          <w:szCs w:val="21"/>
        </w:rPr>
      </w:pPr>
      <w:bookmarkStart w:id="1123" w:name="_Toc532375630"/>
      <w:bookmarkStart w:id="1124" w:name="_Toc532377366"/>
      <w:r>
        <w:rPr>
          <w:rFonts w:hint="eastAsia"/>
          <w:color w:val="auto"/>
          <w:sz w:val="21"/>
          <w:szCs w:val="21"/>
        </w:rPr>
        <w:t>8.8 施工设备和临时设施</w:t>
      </w:r>
      <w:bookmarkEnd w:id="1123"/>
      <w:bookmarkEnd w:id="1124"/>
    </w:p>
    <w:p w14:paraId="27DBF5A2">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8.8.1 承包人提供的施工设备和临时设施</w:t>
      </w:r>
    </w:p>
    <w:p w14:paraId="67D06E05">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关于修建临时设施费用承担的约定：</w:t>
      </w:r>
      <w:r>
        <w:rPr>
          <w:rFonts w:hint="eastAsia" w:ascii="宋体" w:hAnsi="宋体"/>
          <w:color w:val="auto"/>
          <w:szCs w:val="21"/>
          <w:u w:val="single"/>
        </w:rPr>
        <w:t>由承包人承担</w:t>
      </w:r>
      <w:r>
        <w:rPr>
          <w:rFonts w:hint="eastAsia" w:ascii="宋体" w:hAnsi="宋体"/>
          <w:color w:val="auto"/>
          <w:szCs w:val="21"/>
        </w:rPr>
        <w:t>。</w:t>
      </w:r>
    </w:p>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14:paraId="1C87141F">
      <w:pPr>
        <w:pStyle w:val="6"/>
        <w:keepNext/>
        <w:keepLines/>
        <w:spacing w:before="156" w:beforeLines="50" w:beforeAutospacing="0" w:after="156" w:afterLines="50" w:afterAutospacing="0" w:line="360" w:lineRule="auto"/>
        <w:jc w:val="both"/>
        <w:rPr>
          <w:bCs w:val="0"/>
          <w:color w:val="auto"/>
          <w:kern w:val="2"/>
          <w:sz w:val="21"/>
          <w:szCs w:val="21"/>
        </w:rPr>
      </w:pPr>
      <w:bookmarkStart w:id="1125" w:name="_Toc532375631"/>
      <w:bookmarkStart w:id="1126" w:name="_Toc351203641"/>
      <w:bookmarkStart w:id="1127" w:name="_Toc532377367"/>
      <w:r>
        <w:rPr>
          <w:rFonts w:hint="eastAsia"/>
          <w:color w:val="auto"/>
          <w:kern w:val="2"/>
          <w:sz w:val="21"/>
          <w:szCs w:val="21"/>
        </w:rPr>
        <w:t>9</w:t>
      </w:r>
      <w:bookmarkEnd w:id="1100"/>
      <w:bookmarkEnd w:id="1101"/>
      <w:bookmarkEnd w:id="1102"/>
      <w:bookmarkStart w:id="1128" w:name="_Toc297123533"/>
      <w:bookmarkStart w:id="1129" w:name="_Toc312678021"/>
      <w:bookmarkStart w:id="1130" w:name="_Toc303539139"/>
      <w:bookmarkStart w:id="1131" w:name="_Toc300934982"/>
      <w:bookmarkStart w:id="1132" w:name="_Toc297216192"/>
      <w:bookmarkStart w:id="1133" w:name="_Toc304295559"/>
      <w:bookmarkStart w:id="1134" w:name="_Toc312677495"/>
      <w:r>
        <w:rPr>
          <w:rFonts w:hint="eastAsia"/>
          <w:color w:val="auto"/>
          <w:kern w:val="2"/>
          <w:sz w:val="21"/>
          <w:szCs w:val="21"/>
        </w:rPr>
        <w:t>. 试验与检验</w:t>
      </w:r>
      <w:bookmarkEnd w:id="1125"/>
      <w:bookmarkEnd w:id="1126"/>
      <w:bookmarkEnd w:id="1127"/>
    </w:p>
    <w:bookmarkEnd w:id="1128"/>
    <w:bookmarkEnd w:id="1129"/>
    <w:bookmarkEnd w:id="1130"/>
    <w:bookmarkEnd w:id="1131"/>
    <w:bookmarkEnd w:id="1132"/>
    <w:bookmarkEnd w:id="1133"/>
    <w:bookmarkEnd w:id="1134"/>
    <w:p w14:paraId="2481D280">
      <w:pPr>
        <w:pStyle w:val="7"/>
        <w:spacing w:before="0" w:beforeAutospacing="0" w:after="0" w:afterAutospacing="0" w:line="360" w:lineRule="auto"/>
        <w:ind w:firstLine="422" w:firstLineChars="200"/>
        <w:rPr>
          <w:color w:val="auto"/>
          <w:sz w:val="21"/>
          <w:szCs w:val="21"/>
        </w:rPr>
      </w:pPr>
      <w:bookmarkStart w:id="1135" w:name="_Toc532377368"/>
      <w:bookmarkStart w:id="1136" w:name="_Toc532375632"/>
      <w:r>
        <w:rPr>
          <w:rFonts w:hint="eastAsia"/>
          <w:color w:val="auto"/>
          <w:sz w:val="21"/>
          <w:szCs w:val="21"/>
        </w:rPr>
        <w:t>9</w:t>
      </w:r>
      <w:bookmarkStart w:id="1137" w:name="_Toc300934983"/>
      <w:bookmarkStart w:id="1138" w:name="_Toc303539140"/>
      <w:bookmarkStart w:id="1139" w:name="_Toc304295560"/>
      <w:bookmarkStart w:id="1140" w:name="_Toc297216193"/>
      <w:bookmarkStart w:id="1141" w:name="_Toc312678022"/>
      <w:bookmarkStart w:id="1142" w:name="_Toc297123534"/>
      <w:bookmarkStart w:id="1143" w:name="_Toc312677496"/>
      <w:r>
        <w:rPr>
          <w:rFonts w:hint="eastAsia"/>
          <w:color w:val="auto"/>
          <w:sz w:val="21"/>
          <w:szCs w:val="21"/>
        </w:rPr>
        <w:t>.1 试验设备与试验人员</w:t>
      </w:r>
      <w:bookmarkEnd w:id="1135"/>
      <w:bookmarkEnd w:id="1136"/>
    </w:p>
    <w:bookmarkEnd w:id="1137"/>
    <w:bookmarkEnd w:id="1138"/>
    <w:bookmarkEnd w:id="1139"/>
    <w:bookmarkEnd w:id="1140"/>
    <w:bookmarkEnd w:id="1141"/>
    <w:bookmarkEnd w:id="1142"/>
    <w:bookmarkEnd w:id="1143"/>
    <w:p w14:paraId="56138919">
      <w:pPr>
        <w:spacing w:line="360" w:lineRule="auto"/>
        <w:ind w:firstLine="560" w:firstLineChars="200"/>
        <w:jc w:val="left"/>
        <w:rPr>
          <w:rFonts w:ascii="宋体" w:hAnsi="宋体"/>
          <w:color w:val="auto"/>
          <w:szCs w:val="21"/>
        </w:rPr>
      </w:pPr>
      <w:r>
        <w:rPr>
          <w:rFonts w:hint="eastAsia" w:ascii="宋体" w:hAnsi="宋体"/>
          <w:color w:val="auto"/>
          <w:szCs w:val="21"/>
        </w:rPr>
        <w:t>9</w:t>
      </w:r>
      <w:bookmarkStart w:id="1144" w:name="_Toc297216194"/>
      <w:bookmarkStart w:id="1145" w:name="_Toc297123535"/>
      <w:bookmarkStart w:id="1146" w:name="_Toc312677497"/>
      <w:bookmarkStart w:id="1147" w:name="_Toc303539141"/>
      <w:bookmarkStart w:id="1148" w:name="_Toc300934984"/>
      <w:bookmarkStart w:id="1149" w:name="_Toc304295561"/>
      <w:bookmarkStart w:id="1150" w:name="_Toc312678023"/>
      <w:bookmarkStart w:id="1151" w:name="_Toc318581174"/>
      <w:r>
        <w:rPr>
          <w:rFonts w:hint="eastAsia" w:ascii="宋体" w:hAnsi="宋体"/>
          <w:color w:val="auto"/>
          <w:szCs w:val="21"/>
        </w:rPr>
        <w:t>.1.2 试验设备</w:t>
      </w:r>
    </w:p>
    <w:p w14:paraId="6118380F">
      <w:pPr>
        <w:spacing w:line="360" w:lineRule="auto"/>
        <w:ind w:firstLine="560" w:firstLineChars="200"/>
        <w:jc w:val="left"/>
        <w:rPr>
          <w:rFonts w:ascii="宋体" w:hAnsi="宋体"/>
          <w:color w:val="auto"/>
          <w:szCs w:val="21"/>
        </w:rPr>
      </w:pPr>
      <w:r>
        <w:rPr>
          <w:rFonts w:hint="eastAsia" w:ascii="宋体" w:hAnsi="宋体"/>
          <w:color w:val="auto"/>
          <w:szCs w:val="21"/>
        </w:rPr>
        <w:t>施工现场需要配置的试验场所：</w:t>
      </w:r>
      <w:bookmarkEnd w:id="1144"/>
      <w:bookmarkEnd w:id="1145"/>
      <w:bookmarkEnd w:id="1146"/>
      <w:bookmarkEnd w:id="1147"/>
      <w:bookmarkEnd w:id="1148"/>
      <w:bookmarkEnd w:id="1149"/>
      <w:bookmarkEnd w:id="1150"/>
      <w:bookmarkStart w:id="1152" w:name="_Toc297123536"/>
      <w:bookmarkStart w:id="1153" w:name="_Toc312677498"/>
      <w:bookmarkStart w:id="1154" w:name="_Toc297216195"/>
      <w:bookmarkStart w:id="1155" w:name="_Toc303539142"/>
      <w:bookmarkStart w:id="1156" w:name="_Toc312678024"/>
      <w:bookmarkStart w:id="1157" w:name="_Toc300934985"/>
      <w:bookmarkStart w:id="1158" w:name="_Toc304295562"/>
      <w:r>
        <w:rPr>
          <w:rFonts w:hint="eastAsia" w:ascii="宋体" w:hAnsi="宋体"/>
          <w:color w:val="auto"/>
          <w:szCs w:val="21"/>
          <w:u w:val="single"/>
        </w:rPr>
        <w:t>满足工程施工的需要</w:t>
      </w:r>
      <w:r>
        <w:rPr>
          <w:rFonts w:hint="eastAsia" w:ascii="宋体" w:hAnsi="宋体"/>
          <w:color w:val="auto"/>
          <w:szCs w:val="21"/>
        </w:rPr>
        <w:t>。</w:t>
      </w:r>
    </w:p>
    <w:p w14:paraId="588F09B0">
      <w:pPr>
        <w:spacing w:line="360" w:lineRule="auto"/>
        <w:ind w:firstLine="560" w:firstLineChars="200"/>
        <w:jc w:val="left"/>
        <w:rPr>
          <w:rFonts w:ascii="宋体" w:hAnsi="宋体"/>
          <w:color w:val="auto"/>
          <w:szCs w:val="21"/>
        </w:rPr>
      </w:pPr>
      <w:r>
        <w:rPr>
          <w:rFonts w:hint="eastAsia" w:ascii="宋体" w:hAnsi="宋体"/>
          <w:color w:val="auto"/>
          <w:szCs w:val="21"/>
        </w:rPr>
        <w:t>施工现场需要配备的试验设备：</w:t>
      </w:r>
      <w:r>
        <w:rPr>
          <w:rFonts w:hint="eastAsia" w:ascii="宋体" w:hAnsi="宋体"/>
          <w:color w:val="auto"/>
          <w:szCs w:val="21"/>
          <w:u w:val="single"/>
        </w:rPr>
        <w:t>满足工程施工的需要</w:t>
      </w:r>
      <w:r>
        <w:rPr>
          <w:rFonts w:hint="eastAsia" w:ascii="宋体" w:hAnsi="宋体"/>
          <w:color w:val="auto"/>
          <w:szCs w:val="21"/>
        </w:rPr>
        <w:t>。</w:t>
      </w:r>
    </w:p>
    <w:p w14:paraId="32A9DEF6">
      <w:pPr>
        <w:spacing w:line="360" w:lineRule="auto"/>
        <w:ind w:firstLine="560" w:firstLineChars="200"/>
        <w:jc w:val="left"/>
        <w:rPr>
          <w:rFonts w:ascii="宋体" w:hAnsi="宋体"/>
          <w:color w:val="auto"/>
          <w:szCs w:val="21"/>
        </w:rPr>
      </w:pPr>
      <w:r>
        <w:rPr>
          <w:rFonts w:hint="eastAsia" w:ascii="宋体" w:hAnsi="宋体"/>
          <w:color w:val="auto"/>
          <w:szCs w:val="21"/>
        </w:rPr>
        <w:t>施工现场需要具备的其他试验条件：</w:t>
      </w:r>
      <w:r>
        <w:rPr>
          <w:rFonts w:hint="eastAsia" w:ascii="宋体" w:hAnsi="宋体"/>
          <w:color w:val="auto"/>
          <w:szCs w:val="21"/>
          <w:u w:val="single"/>
        </w:rPr>
        <w:t xml:space="preserve"> 满足工程施工的需要 </w:t>
      </w:r>
      <w:r>
        <w:rPr>
          <w:rFonts w:hint="eastAsia" w:ascii="宋体" w:hAnsi="宋体"/>
          <w:color w:val="auto"/>
          <w:szCs w:val="21"/>
        </w:rPr>
        <w:t>。</w:t>
      </w:r>
    </w:p>
    <w:p w14:paraId="5B1B7F57">
      <w:pPr>
        <w:pStyle w:val="7"/>
        <w:spacing w:before="0" w:beforeAutospacing="0" w:after="0" w:afterAutospacing="0" w:line="360" w:lineRule="auto"/>
        <w:ind w:firstLine="422" w:firstLineChars="200"/>
        <w:rPr>
          <w:color w:val="auto"/>
          <w:sz w:val="21"/>
          <w:szCs w:val="21"/>
        </w:rPr>
      </w:pPr>
      <w:bookmarkStart w:id="1159" w:name="_Toc532375633"/>
      <w:bookmarkStart w:id="1160" w:name="_Toc532377369"/>
      <w:r>
        <w:rPr>
          <w:rFonts w:hint="eastAsia"/>
          <w:color w:val="auto"/>
          <w:sz w:val="21"/>
          <w:szCs w:val="21"/>
        </w:rPr>
        <w:t>9.4 现场工艺试验</w:t>
      </w:r>
      <w:bookmarkEnd w:id="1159"/>
      <w:bookmarkEnd w:id="1160"/>
    </w:p>
    <w:p w14:paraId="76F761F7">
      <w:pPr>
        <w:spacing w:line="360" w:lineRule="auto"/>
        <w:ind w:firstLine="560" w:firstLineChars="200"/>
        <w:jc w:val="left"/>
        <w:rPr>
          <w:rFonts w:ascii="宋体" w:hAnsi="宋体"/>
          <w:color w:val="auto"/>
          <w:szCs w:val="21"/>
        </w:rPr>
      </w:pPr>
      <w:r>
        <w:rPr>
          <w:rFonts w:hint="eastAsia" w:ascii="宋体" w:hAnsi="宋体"/>
          <w:color w:val="auto"/>
          <w:szCs w:val="21"/>
        </w:rPr>
        <w:t>本款补充9.4.1～9.4.5项：</w:t>
      </w:r>
    </w:p>
    <w:bookmarkEnd w:id="1151"/>
    <w:bookmarkEnd w:id="1152"/>
    <w:bookmarkEnd w:id="1153"/>
    <w:bookmarkEnd w:id="1154"/>
    <w:bookmarkEnd w:id="1155"/>
    <w:bookmarkEnd w:id="1156"/>
    <w:bookmarkEnd w:id="1157"/>
    <w:bookmarkEnd w:id="1158"/>
    <w:p w14:paraId="5A79B495">
      <w:pPr>
        <w:spacing w:line="360" w:lineRule="auto"/>
        <w:ind w:firstLine="560" w:firstLineChars="200"/>
        <w:jc w:val="left"/>
        <w:rPr>
          <w:rFonts w:ascii="宋体" w:hAnsi="宋体"/>
          <w:color w:val="auto"/>
          <w:szCs w:val="21"/>
        </w:rPr>
      </w:pPr>
      <w:r>
        <w:rPr>
          <w:rFonts w:hint="eastAsia" w:ascii="宋体" w:hAnsi="宋体"/>
          <w:color w:val="auto"/>
          <w:szCs w:val="21"/>
        </w:rPr>
        <w:t>9.4.1一般检验试验：</w:t>
      </w:r>
    </w:p>
    <w:p w14:paraId="2E58EC04">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65B62EEC">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489011DB">
      <w:pPr>
        <w:spacing w:line="360" w:lineRule="auto"/>
        <w:ind w:firstLine="560" w:firstLineChars="200"/>
        <w:jc w:val="left"/>
        <w:rPr>
          <w:rFonts w:ascii="宋体" w:hAnsi="宋体"/>
          <w:color w:val="auto"/>
          <w:szCs w:val="21"/>
        </w:rPr>
      </w:pPr>
      <w:r>
        <w:rPr>
          <w:rFonts w:hint="eastAsia" w:ascii="宋体" w:hAnsi="宋体"/>
          <w:color w:val="auto"/>
          <w:szCs w:val="21"/>
        </w:rPr>
        <w:t>9.4.2特殊检验试验：</w:t>
      </w:r>
    </w:p>
    <w:p w14:paraId="6366FB72">
      <w:pPr>
        <w:spacing w:line="360" w:lineRule="auto"/>
        <w:ind w:firstLine="560" w:firstLineChars="200"/>
        <w:jc w:val="left"/>
        <w:rPr>
          <w:rFonts w:ascii="宋体" w:hAnsi="宋体"/>
          <w:color w:val="auto"/>
          <w:szCs w:val="21"/>
        </w:rPr>
      </w:pPr>
      <w:r>
        <w:rPr>
          <w:rFonts w:hint="eastAsia" w:ascii="宋体" w:hAnsi="宋体"/>
          <w:color w:val="auto"/>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528B8E99">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发包人委托的第三方检测试验机构检测试验的试件所需的材料、取样、送检及相关配合工作由承包人负责完成并承担由此产生的所有相关费用。</w:t>
      </w:r>
    </w:p>
    <w:p w14:paraId="7CACA421">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（2）施工措施的检测、试验：因施工措施需要而做的相关检测、试验由承包人负责实施，其费用由承包人承担。</w:t>
      </w:r>
    </w:p>
    <w:p w14:paraId="7417622A">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9.4.3专项检测：</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6CD281F2">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9.4.4若因承包人取样、制样、送检及相关配合不及时而导致工程的工期和费用增加，影响的工期不予延长，增加费用由承包人承担。</w:t>
      </w:r>
    </w:p>
    <w:p w14:paraId="35F6C530">
      <w:pPr>
        <w:tabs>
          <w:tab w:val="left" w:pos="711"/>
          <w:tab w:val="left" w:pos="2580"/>
        </w:tabs>
        <w:spacing w:line="360" w:lineRule="auto"/>
        <w:ind w:firstLine="560" w:firstLineChars="200"/>
        <w:jc w:val="left"/>
        <w:textAlignment w:val="baseline"/>
        <w:rPr>
          <w:rFonts w:ascii="宋体" w:hAnsi="宋体"/>
          <w:color w:val="auto"/>
          <w:szCs w:val="21"/>
          <w:u w:val="single"/>
        </w:rPr>
      </w:pPr>
      <w:r>
        <w:rPr>
          <w:rFonts w:hint="eastAsia" w:ascii="宋体" w:hAnsi="宋体"/>
          <w:color w:val="auto"/>
          <w:szCs w:val="21"/>
        </w:rPr>
        <w:t>9.4.5检测试验不合格的项目，其缺陷处理和复测费用由承包人承担，工期不予延长。</w:t>
      </w:r>
    </w:p>
    <w:bookmarkEnd w:id="998"/>
    <w:bookmarkEnd w:id="999"/>
    <w:bookmarkEnd w:id="1000"/>
    <w:bookmarkEnd w:id="1001"/>
    <w:bookmarkEnd w:id="1002"/>
    <w:bookmarkEnd w:id="1003"/>
    <w:bookmarkEnd w:id="1004"/>
    <w:bookmarkEnd w:id="1005"/>
    <w:bookmarkEnd w:id="1006"/>
    <w:bookmarkEnd w:id="1007"/>
    <w:bookmarkEnd w:id="1008"/>
    <w:bookmarkEnd w:id="1009"/>
    <w:p w14:paraId="3351F2AB">
      <w:pPr>
        <w:pStyle w:val="6"/>
        <w:keepNext/>
        <w:keepLines/>
        <w:spacing w:before="156" w:beforeLines="50" w:beforeAutospacing="0" w:after="156" w:afterLines="50" w:afterAutospacing="0" w:line="360" w:lineRule="auto"/>
        <w:jc w:val="both"/>
        <w:rPr>
          <w:bCs w:val="0"/>
          <w:color w:val="auto"/>
          <w:kern w:val="2"/>
          <w:sz w:val="21"/>
          <w:szCs w:val="21"/>
        </w:rPr>
      </w:pPr>
      <w:bookmarkStart w:id="1161" w:name="_Toc532377370"/>
      <w:bookmarkStart w:id="1162" w:name="_Toc532375634"/>
      <w:bookmarkStart w:id="1163" w:name="_Toc267251484"/>
      <w:bookmarkStart w:id="1164" w:name="_Toc267251490"/>
      <w:bookmarkStart w:id="1165" w:name="_Toc267251482"/>
      <w:bookmarkStart w:id="1166" w:name="_Toc267251486"/>
      <w:bookmarkStart w:id="1167" w:name="_Toc267251485"/>
      <w:bookmarkStart w:id="1168" w:name="_Toc267251489"/>
      <w:bookmarkStart w:id="1169" w:name="_Hlk524298112"/>
      <w:bookmarkStart w:id="1170" w:name="_Toc267251488"/>
      <w:bookmarkStart w:id="1171" w:name="_Toc267251492"/>
      <w:bookmarkStart w:id="1172" w:name="_Toc267251506"/>
      <w:bookmarkStart w:id="1173" w:name="_Toc267251494"/>
      <w:bookmarkStart w:id="1174" w:name="_Toc267251496"/>
      <w:bookmarkStart w:id="1175" w:name="_Toc267251503"/>
      <w:bookmarkStart w:id="1176" w:name="_Toc267251504"/>
      <w:bookmarkStart w:id="1177" w:name="_Toc267251510"/>
      <w:bookmarkStart w:id="1178" w:name="_Toc267251508"/>
      <w:bookmarkStart w:id="1179" w:name="_Toc267251491"/>
      <w:bookmarkStart w:id="1180" w:name="_Toc267251502"/>
      <w:bookmarkStart w:id="1181" w:name="_Toc267251514"/>
      <w:bookmarkStart w:id="1182" w:name="_Toc267251511"/>
      <w:bookmarkStart w:id="1183" w:name="_Toc267251499"/>
      <w:bookmarkStart w:id="1184" w:name="_Toc267251515"/>
      <w:bookmarkStart w:id="1185" w:name="_Toc267251509"/>
      <w:bookmarkStart w:id="1186" w:name="_Toc267251501"/>
      <w:bookmarkStart w:id="1187" w:name="_Toc267251507"/>
      <w:bookmarkStart w:id="1188" w:name="_Toc267251498"/>
      <w:bookmarkStart w:id="1189" w:name="_Toc267251497"/>
      <w:bookmarkStart w:id="1190" w:name="_Toc267251513"/>
      <w:bookmarkStart w:id="1191" w:name="_Toc267251495"/>
      <w:bookmarkStart w:id="1192" w:name="_Toc267251493"/>
      <w:r>
        <w:rPr>
          <w:rFonts w:hint="eastAsia"/>
          <w:color w:val="auto"/>
          <w:kern w:val="2"/>
          <w:sz w:val="21"/>
          <w:szCs w:val="21"/>
        </w:rPr>
        <w:t>1</w:t>
      </w:r>
      <w:bookmarkStart w:id="1193" w:name="_Toc292559398"/>
      <w:bookmarkStart w:id="1194" w:name="_Toc304295566"/>
      <w:bookmarkStart w:id="1195" w:name="_Toc297120493"/>
      <w:bookmarkStart w:id="1196" w:name="_Toc296347192"/>
      <w:bookmarkStart w:id="1197" w:name="_Toc300934989"/>
      <w:bookmarkStart w:id="1198" w:name="_Toc297048379"/>
      <w:bookmarkStart w:id="1199" w:name="_Toc296944532"/>
      <w:bookmarkStart w:id="1200" w:name="_Toc296891021"/>
      <w:bookmarkStart w:id="1201" w:name="_Toc303539146"/>
      <w:bookmarkStart w:id="1202" w:name="_Toc296346694"/>
      <w:bookmarkStart w:id="1203" w:name="_Toc297216199"/>
      <w:bookmarkStart w:id="1204" w:name="_Toc296891233"/>
      <w:bookmarkStart w:id="1205" w:name="_Toc296503193"/>
      <w:bookmarkStart w:id="1206" w:name="_Toc297123540"/>
      <w:bookmarkStart w:id="1207" w:name="_Toc292559903"/>
      <w:bookmarkStart w:id="1208" w:name="_Toc312678025"/>
      <w:bookmarkStart w:id="1209" w:name="_Toc312677499"/>
      <w:bookmarkStart w:id="1210" w:name="_Toc267251437"/>
      <w:bookmarkStart w:id="1211" w:name="_Toc267251439"/>
      <w:bookmarkStart w:id="1212" w:name="_Toc267251433"/>
      <w:bookmarkStart w:id="1213" w:name="_Toc267251435"/>
      <w:bookmarkStart w:id="1214" w:name="_Toc267251440"/>
      <w:bookmarkStart w:id="1215" w:name="_Toc267251441"/>
      <w:r>
        <w:rPr>
          <w:rFonts w:hint="eastAsia"/>
          <w:color w:val="auto"/>
          <w:kern w:val="2"/>
          <w:sz w:val="21"/>
          <w:szCs w:val="21"/>
        </w:rPr>
        <w:t>0. 变更</w:t>
      </w:r>
      <w:bookmarkEnd w:id="1161"/>
      <w:bookmarkEnd w:id="116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bookmarkEnd w:id="1208"/>
    <w:bookmarkEnd w:id="1209"/>
    <w:p w14:paraId="64F915A5">
      <w:pPr>
        <w:pStyle w:val="7"/>
        <w:spacing w:before="0" w:beforeAutospacing="0" w:after="0" w:afterAutospacing="0" w:line="360" w:lineRule="auto"/>
        <w:ind w:firstLine="422" w:firstLineChars="200"/>
        <w:rPr>
          <w:color w:val="auto"/>
          <w:sz w:val="21"/>
          <w:szCs w:val="21"/>
        </w:rPr>
      </w:pPr>
      <w:bookmarkStart w:id="1216" w:name="_Toc532375635"/>
      <w:bookmarkStart w:id="1217" w:name="_Toc532377371"/>
      <w:r>
        <w:rPr>
          <w:rFonts w:hint="eastAsia"/>
          <w:color w:val="auto"/>
          <w:sz w:val="21"/>
          <w:szCs w:val="21"/>
        </w:rPr>
        <w:t>1</w:t>
      </w:r>
      <w:bookmarkStart w:id="1218" w:name="_Toc296944533"/>
      <w:bookmarkStart w:id="1219" w:name="_Toc292559399"/>
      <w:bookmarkStart w:id="1220" w:name="_Toc312678026"/>
      <w:bookmarkStart w:id="1221" w:name="_Toc296346695"/>
      <w:bookmarkStart w:id="1222" w:name="_Toc292559904"/>
      <w:bookmarkStart w:id="1223" w:name="_Toc300934990"/>
      <w:bookmarkStart w:id="1224" w:name="_Toc296891234"/>
      <w:bookmarkStart w:id="1225" w:name="_Toc297123541"/>
      <w:bookmarkStart w:id="1226" w:name="_Toc312677500"/>
      <w:bookmarkStart w:id="1227" w:name="_Toc296503194"/>
      <w:bookmarkStart w:id="1228" w:name="_Toc297120494"/>
      <w:bookmarkStart w:id="1229" w:name="_Toc296347193"/>
      <w:bookmarkStart w:id="1230" w:name="_Toc297048380"/>
      <w:bookmarkStart w:id="1231" w:name="_Toc297216200"/>
      <w:bookmarkStart w:id="1232" w:name="_Toc304295567"/>
      <w:bookmarkStart w:id="1233" w:name="_Toc296891022"/>
      <w:bookmarkStart w:id="1234" w:name="_Toc303539147"/>
      <w:r>
        <w:rPr>
          <w:rFonts w:hint="eastAsia"/>
          <w:color w:val="auto"/>
          <w:sz w:val="21"/>
          <w:szCs w:val="21"/>
        </w:rPr>
        <w:t>0.1变更的范围</w:t>
      </w:r>
      <w:bookmarkEnd w:id="1216"/>
      <w:bookmarkEnd w:id="1217"/>
    </w:p>
    <w:p w14:paraId="3D0F7287">
      <w:pPr>
        <w:spacing w:line="360" w:lineRule="auto"/>
        <w:ind w:firstLine="560" w:firstLineChars="200"/>
        <w:jc w:val="left"/>
        <w:rPr>
          <w:rFonts w:ascii="宋体" w:hAnsi="宋体"/>
          <w:color w:val="auto"/>
          <w:szCs w:val="21"/>
        </w:rPr>
      </w:pPr>
      <w:r>
        <w:rPr>
          <w:rFonts w:hint="eastAsia" w:ascii="宋体" w:hAnsi="宋体"/>
          <w:color w:val="auto"/>
          <w:szCs w:val="21"/>
        </w:rPr>
        <w:t>关于变更范围的约定：</w:t>
      </w:r>
    </w:p>
    <w:p w14:paraId="7D262F6D">
      <w:pPr>
        <w:spacing w:line="360" w:lineRule="auto"/>
        <w:ind w:firstLine="560" w:firstLineChars="200"/>
        <w:jc w:val="left"/>
        <w:rPr>
          <w:rFonts w:ascii="宋体" w:hAnsi="宋体"/>
          <w:color w:val="auto"/>
          <w:szCs w:val="21"/>
        </w:rPr>
      </w:pPr>
      <w:r>
        <w:rPr>
          <w:rFonts w:hint="eastAsia" w:ascii="宋体" w:hAnsi="宋体"/>
          <w:color w:val="auto"/>
          <w:szCs w:val="21"/>
        </w:rPr>
        <w:t>（1）增加或减少合同中任何工作，或追加额外的工作；</w:t>
      </w:r>
    </w:p>
    <w:p w14:paraId="5595CC6F">
      <w:pPr>
        <w:spacing w:line="360" w:lineRule="auto"/>
        <w:ind w:firstLine="560" w:firstLineChars="200"/>
        <w:jc w:val="left"/>
        <w:rPr>
          <w:rFonts w:ascii="宋体" w:hAnsi="宋体"/>
          <w:color w:val="auto"/>
          <w:szCs w:val="21"/>
        </w:rPr>
      </w:pPr>
      <w:r>
        <w:rPr>
          <w:rFonts w:hint="eastAsia" w:ascii="宋体" w:hAnsi="宋体"/>
          <w:color w:val="auto"/>
          <w:szCs w:val="21"/>
        </w:rPr>
        <w:t>（2）取消合同中任何工作；</w:t>
      </w:r>
    </w:p>
    <w:p w14:paraId="0CD27CFA">
      <w:pPr>
        <w:spacing w:line="360" w:lineRule="auto"/>
        <w:ind w:firstLine="560" w:firstLineChars="200"/>
        <w:jc w:val="left"/>
        <w:rPr>
          <w:rFonts w:ascii="宋体" w:hAnsi="宋体"/>
          <w:color w:val="auto"/>
          <w:szCs w:val="21"/>
        </w:rPr>
      </w:pPr>
      <w:r>
        <w:rPr>
          <w:rFonts w:hint="eastAsia" w:ascii="宋体" w:hAnsi="宋体"/>
          <w:color w:val="auto"/>
          <w:szCs w:val="21"/>
        </w:rPr>
        <w:t>（3）改变合同中任何工作的质量标准或其他特性；</w:t>
      </w:r>
    </w:p>
    <w:p w14:paraId="2B6BD62E">
      <w:pPr>
        <w:spacing w:line="360" w:lineRule="auto"/>
        <w:ind w:firstLine="560" w:firstLineChars="200"/>
        <w:jc w:val="left"/>
        <w:rPr>
          <w:rFonts w:ascii="宋体" w:hAnsi="宋体"/>
          <w:color w:val="auto"/>
          <w:szCs w:val="21"/>
        </w:rPr>
      </w:pPr>
      <w:r>
        <w:rPr>
          <w:rFonts w:hint="eastAsia" w:ascii="宋体" w:hAnsi="宋体"/>
          <w:color w:val="auto"/>
          <w:szCs w:val="21"/>
        </w:rPr>
        <w:t>（4）改变工程的基线、标高、位置和尺寸；</w:t>
      </w:r>
    </w:p>
    <w:p w14:paraId="612493A9">
      <w:pPr>
        <w:spacing w:line="360" w:lineRule="auto"/>
        <w:ind w:firstLine="560" w:firstLineChars="200"/>
        <w:jc w:val="left"/>
        <w:rPr>
          <w:rFonts w:ascii="宋体" w:hAnsi="宋体"/>
          <w:color w:val="auto"/>
          <w:szCs w:val="21"/>
        </w:rPr>
      </w:pPr>
      <w:r>
        <w:rPr>
          <w:rFonts w:hint="eastAsia" w:ascii="宋体" w:hAnsi="宋体"/>
          <w:color w:val="auto"/>
          <w:szCs w:val="21"/>
        </w:rPr>
        <w:t>（5）适用于工程的标准和（或）规范变化导致需要对工程进行改变，且该改变导致工期和（或）费用变化的；</w:t>
      </w:r>
    </w:p>
    <w:p w14:paraId="0266DC92">
      <w:pPr>
        <w:spacing w:line="360" w:lineRule="auto"/>
        <w:ind w:firstLine="560" w:firstLineChars="200"/>
        <w:jc w:val="left"/>
        <w:rPr>
          <w:rFonts w:ascii="宋体" w:hAnsi="宋体"/>
          <w:color w:val="auto"/>
          <w:szCs w:val="21"/>
        </w:rPr>
      </w:pPr>
      <w:r>
        <w:rPr>
          <w:rFonts w:hint="eastAsia" w:ascii="宋体" w:hAnsi="宋体"/>
          <w:color w:val="auto"/>
          <w:szCs w:val="21"/>
        </w:rPr>
        <w:t>（6）勘察设计变更；</w:t>
      </w:r>
    </w:p>
    <w:p w14:paraId="257F9E31">
      <w:pPr>
        <w:spacing w:line="360" w:lineRule="auto"/>
        <w:ind w:firstLine="560" w:firstLineChars="200"/>
        <w:jc w:val="left"/>
        <w:rPr>
          <w:rFonts w:ascii="宋体" w:hAnsi="宋体"/>
          <w:color w:val="auto"/>
          <w:szCs w:val="21"/>
        </w:rPr>
      </w:pPr>
      <w:r>
        <w:rPr>
          <w:rFonts w:hint="eastAsia" w:ascii="宋体" w:hAnsi="宋体"/>
          <w:color w:val="auto"/>
          <w:szCs w:val="21"/>
        </w:rPr>
        <w:t>（7）实施内容变更，包括因设计变更和非设计变更引起的实施地点、投资规模、结构型式、采购数量、服务内容等进行的调整，以及因此导致的合同价格、工期变更；</w:t>
      </w:r>
    </w:p>
    <w:p w14:paraId="3D21C397">
      <w:pPr>
        <w:spacing w:line="360" w:lineRule="auto"/>
        <w:ind w:firstLine="560" w:firstLineChars="200"/>
        <w:jc w:val="left"/>
        <w:rPr>
          <w:rFonts w:ascii="宋体" w:hAnsi="宋体"/>
          <w:color w:val="auto"/>
          <w:szCs w:val="21"/>
        </w:rPr>
      </w:pPr>
      <w:r>
        <w:rPr>
          <w:rFonts w:hint="eastAsia" w:ascii="宋体" w:hAnsi="宋体"/>
          <w:color w:val="auto"/>
          <w:szCs w:val="21"/>
        </w:rPr>
        <w:t>（8）项目管理人员变更；</w:t>
      </w:r>
    </w:p>
    <w:p w14:paraId="1E4BD8D0">
      <w:pPr>
        <w:spacing w:line="360" w:lineRule="auto"/>
        <w:ind w:firstLine="560" w:firstLineChars="200"/>
        <w:jc w:val="left"/>
        <w:rPr>
          <w:rFonts w:ascii="宋体" w:hAnsi="宋体"/>
          <w:color w:val="auto"/>
          <w:szCs w:val="21"/>
        </w:rPr>
      </w:pPr>
      <w:r>
        <w:rPr>
          <w:rFonts w:hint="eastAsia" w:ascii="宋体" w:hAnsi="宋体"/>
          <w:color w:val="auto"/>
          <w:szCs w:val="21"/>
        </w:rPr>
        <w:t>（9）因人工、原材料等价格变化导致的合同总价变更；</w:t>
      </w:r>
    </w:p>
    <w:p w14:paraId="02EDF3D5">
      <w:pPr>
        <w:spacing w:line="360" w:lineRule="auto"/>
        <w:ind w:firstLine="560" w:firstLineChars="200"/>
        <w:jc w:val="left"/>
        <w:rPr>
          <w:rFonts w:ascii="宋体" w:hAnsi="宋体"/>
          <w:color w:val="auto"/>
          <w:szCs w:val="21"/>
        </w:rPr>
      </w:pPr>
      <w:r>
        <w:rPr>
          <w:rFonts w:hint="eastAsia" w:ascii="宋体" w:hAnsi="宋体"/>
          <w:color w:val="auto"/>
          <w:szCs w:val="21"/>
        </w:rPr>
        <w:t>（10）非实施内容变化导致的工期变更；</w:t>
      </w:r>
    </w:p>
    <w:p w14:paraId="0D0F0179">
      <w:pPr>
        <w:spacing w:line="360" w:lineRule="auto"/>
        <w:ind w:firstLine="560" w:firstLineChars="200"/>
        <w:jc w:val="left"/>
        <w:rPr>
          <w:rFonts w:ascii="宋体" w:hAnsi="宋体"/>
          <w:color w:val="auto"/>
          <w:szCs w:val="21"/>
        </w:rPr>
      </w:pPr>
      <w:r>
        <w:rPr>
          <w:rFonts w:hint="eastAsia" w:ascii="宋体" w:hAnsi="宋体"/>
          <w:color w:val="auto"/>
          <w:szCs w:val="21"/>
        </w:rPr>
        <w:t>（11）</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762C60D8">
      <w:pPr>
        <w:spacing w:line="360" w:lineRule="auto"/>
        <w:ind w:firstLine="560" w:firstLineChars="200"/>
        <w:jc w:val="left"/>
        <w:rPr>
          <w:rFonts w:ascii="宋体" w:hAnsi="宋体"/>
          <w:color w:val="auto"/>
          <w:szCs w:val="21"/>
        </w:rPr>
      </w:pPr>
      <w:r>
        <w:rPr>
          <w:rFonts w:hint="eastAsia" w:ascii="宋体" w:hAnsi="宋体"/>
          <w:color w:val="auto"/>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6E2DF5DB">
      <w:pPr>
        <w:spacing w:line="360" w:lineRule="auto"/>
        <w:ind w:firstLine="560" w:firstLineChars="200"/>
        <w:jc w:val="left"/>
        <w:rPr>
          <w:rFonts w:ascii="宋体" w:hAnsi="宋体"/>
          <w:color w:val="auto"/>
          <w:szCs w:val="21"/>
          <w:u w:val="single"/>
        </w:rPr>
      </w:pPr>
      <w:r>
        <w:rPr>
          <w:rFonts w:hint="eastAsia" w:ascii="宋体" w:hAnsi="宋体"/>
          <w:color w:val="auto"/>
          <w:szCs w:val="21"/>
        </w:rPr>
        <w:t>承包人对其提供的材料、工程设备、施工、无负荷试车、热负荷试车及图纸参数存在的缺陷，自费修正、调整和完善，不属于变更。</w:t>
      </w:r>
    </w:p>
    <w:p w14:paraId="5EDA7814">
      <w:pPr>
        <w:pStyle w:val="7"/>
        <w:spacing w:before="0" w:beforeAutospacing="0" w:after="0" w:afterAutospacing="0" w:line="360" w:lineRule="auto"/>
        <w:ind w:firstLine="422" w:firstLineChars="200"/>
        <w:rPr>
          <w:color w:val="auto"/>
          <w:sz w:val="21"/>
          <w:szCs w:val="21"/>
        </w:rPr>
      </w:pPr>
      <w:bookmarkStart w:id="1235" w:name="_Toc532375636"/>
      <w:bookmarkStart w:id="1236" w:name="_Toc532377372"/>
      <w:bookmarkStart w:id="1237" w:name="_Toc351203569"/>
      <w:r>
        <w:rPr>
          <w:rFonts w:hint="eastAsia"/>
          <w:color w:val="auto"/>
          <w:sz w:val="21"/>
          <w:szCs w:val="21"/>
        </w:rPr>
        <w:t>1</w:t>
      </w:r>
      <w:bookmarkStart w:id="1238" w:name="_Toc296503085"/>
      <w:bookmarkStart w:id="1239" w:name="_Toc296346586"/>
      <w:bookmarkStart w:id="1240" w:name="_Toc337558789"/>
      <w:r>
        <w:rPr>
          <w:rFonts w:hint="eastAsia"/>
          <w:color w:val="auto"/>
          <w:sz w:val="21"/>
          <w:szCs w:val="21"/>
        </w:rPr>
        <w:t>0.2变更权</w:t>
      </w:r>
      <w:bookmarkEnd w:id="1235"/>
      <w:bookmarkEnd w:id="1236"/>
      <w:bookmarkEnd w:id="1237"/>
    </w:p>
    <w:bookmarkEnd w:id="1238"/>
    <w:bookmarkEnd w:id="1239"/>
    <w:bookmarkEnd w:id="1240"/>
    <w:p w14:paraId="229F5149">
      <w:pPr>
        <w:spacing w:line="360" w:lineRule="auto"/>
        <w:ind w:firstLine="560" w:firstLineChars="200"/>
        <w:jc w:val="left"/>
        <w:rPr>
          <w:rFonts w:ascii="宋体" w:hAnsi="宋体"/>
          <w:color w:val="auto"/>
          <w:szCs w:val="21"/>
        </w:rPr>
      </w:pPr>
      <w:r>
        <w:rPr>
          <w:rFonts w:hint="eastAsia" w:ascii="宋体" w:hAnsi="宋体"/>
          <w:color w:val="auto"/>
          <w:szCs w:val="21"/>
        </w:rPr>
        <w:t>10.2.1发包人和监理人提出变更</w:t>
      </w:r>
    </w:p>
    <w:p w14:paraId="7B185F1B">
      <w:pPr>
        <w:spacing w:line="360" w:lineRule="auto"/>
        <w:ind w:firstLine="560" w:firstLineChars="200"/>
        <w:jc w:val="left"/>
        <w:rPr>
          <w:rFonts w:ascii="宋体" w:hAnsi="宋体"/>
          <w:color w:val="auto"/>
          <w:szCs w:val="21"/>
        </w:rPr>
      </w:pPr>
      <w:r>
        <w:rPr>
          <w:rFonts w:hint="eastAsia" w:ascii="宋体" w:hAnsi="宋体"/>
          <w:color w:val="auto"/>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70A91F2F">
      <w:pPr>
        <w:spacing w:line="360" w:lineRule="auto"/>
        <w:ind w:firstLine="560" w:firstLineChars="200"/>
        <w:jc w:val="left"/>
        <w:rPr>
          <w:rFonts w:ascii="宋体" w:hAnsi="宋体"/>
          <w:color w:val="auto"/>
          <w:szCs w:val="21"/>
          <w:u w:val="single"/>
        </w:rPr>
      </w:pPr>
      <w:r>
        <w:rPr>
          <w:rFonts w:hint="eastAsia" w:ascii="宋体" w:hAnsi="宋体"/>
          <w:color w:val="auto"/>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295A66A8">
      <w:pPr>
        <w:spacing w:line="360" w:lineRule="auto"/>
        <w:ind w:firstLine="560" w:firstLineChars="200"/>
        <w:jc w:val="left"/>
        <w:rPr>
          <w:rFonts w:ascii="宋体" w:hAnsi="宋体"/>
          <w:color w:val="auto"/>
          <w:szCs w:val="21"/>
        </w:rPr>
      </w:pPr>
      <w:r>
        <w:rPr>
          <w:rFonts w:hint="eastAsia" w:ascii="宋体" w:hAnsi="宋体"/>
          <w:color w:val="auto"/>
          <w:szCs w:val="21"/>
        </w:rPr>
        <w:t>若出现重大设计变更，变更后的内容超出承包人资质或能力范围的，发包人将另行依法招标选择承包单位，无需征得承包人同意。</w:t>
      </w:r>
    </w:p>
    <w:p w14:paraId="4F30D2C2">
      <w:pPr>
        <w:spacing w:line="360" w:lineRule="auto"/>
        <w:ind w:firstLine="560" w:firstLineChars="200"/>
        <w:jc w:val="left"/>
        <w:rPr>
          <w:rFonts w:ascii="宋体" w:hAnsi="宋体"/>
          <w:color w:val="auto"/>
          <w:szCs w:val="21"/>
        </w:rPr>
      </w:pPr>
      <w:r>
        <w:rPr>
          <w:rFonts w:hint="eastAsia" w:ascii="宋体" w:hAnsi="宋体"/>
          <w:color w:val="auto"/>
          <w:szCs w:val="21"/>
        </w:rPr>
        <w:t>10.2.2 承包人提出变更建议</w:t>
      </w:r>
    </w:p>
    <w:p w14:paraId="0940BE0C">
      <w:pPr>
        <w:spacing w:line="360" w:lineRule="auto"/>
        <w:ind w:firstLine="560" w:firstLineChars="200"/>
        <w:jc w:val="left"/>
        <w:rPr>
          <w:rFonts w:ascii="宋体" w:hAnsi="宋体"/>
          <w:color w:val="auto"/>
          <w:szCs w:val="21"/>
        </w:rPr>
      </w:pPr>
      <w:r>
        <w:rPr>
          <w:rFonts w:hint="eastAsia" w:ascii="宋体" w:hAnsi="宋体"/>
          <w:color w:val="auto"/>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rPr>
        <w:t>。</w:t>
      </w:r>
    </w:p>
    <w:p w14:paraId="7FD966CD">
      <w:pPr>
        <w:autoSpaceDE w:val="0"/>
        <w:autoSpaceDN w:val="0"/>
        <w:spacing w:line="360" w:lineRule="auto"/>
        <w:ind w:firstLine="560" w:firstLineChars="200"/>
        <w:jc w:val="left"/>
        <w:rPr>
          <w:rFonts w:ascii="宋体" w:hAnsi="宋体"/>
          <w:color w:val="auto"/>
          <w:szCs w:val="21"/>
          <w:u w:val="single"/>
        </w:rPr>
      </w:pPr>
      <w:r>
        <w:rPr>
          <w:rFonts w:hint="eastAsia" w:ascii="宋体" w:hAnsi="宋体"/>
          <w:color w:val="auto"/>
          <w:szCs w:val="21"/>
        </w:rPr>
        <w:t>如果发包人对承包人已实施的施工项目在发出重大设计变更之前要求承包人提出一份建议，那么，承包人应尽快提出：</w:t>
      </w:r>
    </w:p>
    <w:p w14:paraId="1233E2D8">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u w:val="single"/>
        </w:rPr>
        <w:t>（1）对所提方案和（或）待做工作及其实施计划的说明</w:t>
      </w:r>
      <w:r>
        <w:rPr>
          <w:rFonts w:hint="eastAsia" w:ascii="宋体" w:hAnsi="宋体"/>
          <w:color w:val="auto"/>
          <w:szCs w:val="21"/>
        </w:rPr>
        <w:t>；</w:t>
      </w:r>
    </w:p>
    <w:p w14:paraId="3D4B0994">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u w:val="single"/>
        </w:rPr>
        <w:t>（2）承包人按照对工程进度计划进行必要修改的建议</w:t>
      </w:r>
      <w:r>
        <w:rPr>
          <w:rFonts w:hint="eastAsia" w:ascii="宋体" w:hAnsi="宋体"/>
          <w:color w:val="auto"/>
          <w:szCs w:val="21"/>
        </w:rPr>
        <w:t>；</w:t>
      </w:r>
    </w:p>
    <w:p w14:paraId="60E1012B">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u w:val="single"/>
        </w:rPr>
        <w:t>（3）承包人发生较大返工损失增加费用的建议</w:t>
      </w:r>
      <w:r>
        <w:rPr>
          <w:rFonts w:hint="eastAsia" w:ascii="宋体" w:hAnsi="宋体"/>
          <w:color w:val="auto"/>
          <w:szCs w:val="21"/>
        </w:rPr>
        <w:t>。</w:t>
      </w:r>
    </w:p>
    <w:p w14:paraId="6D5C7013">
      <w:pPr>
        <w:autoSpaceDE w:val="0"/>
        <w:autoSpaceDN w:val="0"/>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发包人在收到上述建议书后，应尽快给予批准、否决或提出意见</w:t>
      </w:r>
      <w:r>
        <w:rPr>
          <w:rFonts w:hint="eastAsia" w:ascii="宋体" w:hAnsi="宋体"/>
          <w:color w:val="auto"/>
          <w:szCs w:val="21"/>
        </w:rPr>
        <w:t>。</w:t>
      </w:r>
    </w:p>
    <w:p w14:paraId="38259F9A">
      <w:pPr>
        <w:pStyle w:val="7"/>
        <w:spacing w:before="0" w:beforeAutospacing="0" w:after="0" w:afterAutospacing="0" w:line="360" w:lineRule="auto"/>
        <w:ind w:firstLine="422" w:firstLineChars="200"/>
        <w:rPr>
          <w:color w:val="auto"/>
          <w:sz w:val="21"/>
          <w:szCs w:val="21"/>
        </w:rPr>
      </w:pPr>
      <w:bookmarkStart w:id="1241" w:name="_Toc532375637"/>
      <w:bookmarkStart w:id="1242" w:name="_Toc532377373"/>
      <w:bookmarkStart w:id="1243" w:name="_Toc351203570"/>
      <w:bookmarkStart w:id="1244" w:name="_Hlk528928195"/>
      <w:r>
        <w:rPr>
          <w:rFonts w:hint="eastAsia"/>
          <w:color w:val="auto"/>
          <w:sz w:val="21"/>
          <w:szCs w:val="21"/>
        </w:rPr>
        <w:t>1</w:t>
      </w:r>
      <w:bookmarkStart w:id="1245" w:name="_Toc337558790"/>
      <w:bookmarkStart w:id="1246" w:name="_Toc296503086"/>
      <w:bookmarkStart w:id="1247" w:name="_Toc296346587"/>
      <w:r>
        <w:rPr>
          <w:rFonts w:hint="eastAsia"/>
          <w:color w:val="auto"/>
          <w:sz w:val="21"/>
          <w:szCs w:val="21"/>
        </w:rPr>
        <w:t>0.3变更程序</w:t>
      </w:r>
      <w:bookmarkEnd w:id="1241"/>
      <w:bookmarkEnd w:id="1242"/>
    </w:p>
    <w:bookmarkEnd w:id="1245"/>
    <w:bookmarkEnd w:id="1246"/>
    <w:bookmarkEnd w:id="1247"/>
    <w:p w14:paraId="4D5CE935">
      <w:pPr>
        <w:autoSpaceDE w:val="0"/>
        <w:autoSpaceDN w:val="0"/>
        <w:spacing w:line="360" w:lineRule="auto"/>
        <w:ind w:firstLine="560" w:firstLineChars="200"/>
        <w:jc w:val="left"/>
        <w:rPr>
          <w:rFonts w:ascii="宋体" w:hAnsi="宋体"/>
          <w:color w:val="auto"/>
          <w:szCs w:val="21"/>
        </w:rPr>
      </w:pPr>
      <w:bookmarkStart w:id="1248" w:name="_Hlk524353972"/>
      <w:r>
        <w:rPr>
          <w:rFonts w:hint="eastAsia" w:ascii="宋体" w:hAnsi="宋体"/>
          <w:color w:val="auto"/>
          <w:szCs w:val="21"/>
        </w:rPr>
        <w:t>10.3.3 变更执行</w:t>
      </w:r>
    </w:p>
    <w:p w14:paraId="76BB2D35">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一般设计变更：承包人收到监理人下达的变更指示后，应按照监理人下达的变更指示执行，并书面说明实施该变更指示对合同价格和工期的影响，按照第10.4.1项〔变更估价原则〕约定执行。</w:t>
      </w:r>
    </w:p>
    <w:p w14:paraId="740070C3">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重大设计变更：需经设计人、监理人和发包人三方签名认可并报相关行业部门审查同意后实施。</w:t>
      </w:r>
    </w:p>
    <w:p w14:paraId="0904A984">
      <w:pPr>
        <w:autoSpaceDE w:val="0"/>
        <w:autoSpaceDN w:val="0"/>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10.3.3 项增加以下内容：</w:t>
      </w:r>
    </w:p>
    <w:p w14:paraId="4435DADF">
      <w:pPr>
        <w:autoSpaceDE w:val="0"/>
        <w:autoSpaceDN w:val="0"/>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0BC2E62C">
      <w:pPr>
        <w:autoSpaceDE w:val="0"/>
        <w:autoSpaceDN w:val="0"/>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项目的勘察设计、实施内容等作较大变更的，应当按照规定的程序报原审批部门审批；变更导致总投资超概的，应当报原投资概算核定部门核定。</w:t>
      </w:r>
    </w:p>
    <w:p w14:paraId="2CC0056C">
      <w:pPr>
        <w:autoSpaceDE w:val="0"/>
        <w:autoSpaceDN w:val="0"/>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项目管理人员变更的，应当经发包人领导班子集体决策同意，并将变更信息推送给行业主管部门。变更后的项目管理人员应当符合招标文件和行业主管部门的相关规定。</w:t>
      </w:r>
    </w:p>
    <w:p w14:paraId="16BFD192">
      <w:pPr>
        <w:autoSpaceDE w:val="0"/>
        <w:autoSpaceDN w:val="0"/>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因人工、原材料市场价格发生大幅度变化导致的合同总价变更，由发包人与承包人按照合同进行变更，并将变更信息推送给行业主管部门。</w:t>
      </w:r>
    </w:p>
    <w:p w14:paraId="415C3E92">
      <w:pPr>
        <w:autoSpaceDE w:val="0"/>
        <w:autoSpaceDN w:val="0"/>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6CC54B15">
      <w:pPr>
        <w:autoSpaceDE w:val="0"/>
        <w:autoSpaceDN w:val="0"/>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项目合同变更后，增加的实施内容达到依法必须招标的规模标准的，增加的部分应当依法通过招标选择承包单位。</w:t>
      </w:r>
    </w:p>
    <w:bookmarkEnd w:id="1243"/>
    <w:bookmarkEnd w:id="1244"/>
    <w:bookmarkEnd w:id="1248"/>
    <w:p w14:paraId="32970CF7">
      <w:pPr>
        <w:pStyle w:val="7"/>
        <w:spacing w:before="0" w:beforeAutospacing="0" w:after="0" w:afterAutospacing="0" w:line="360" w:lineRule="auto"/>
        <w:ind w:firstLine="422" w:firstLineChars="200"/>
        <w:rPr>
          <w:color w:val="auto"/>
          <w:sz w:val="21"/>
          <w:szCs w:val="21"/>
        </w:rPr>
      </w:pPr>
      <w:bookmarkStart w:id="1249" w:name="_Toc532377374"/>
      <w:bookmarkStart w:id="1250" w:name="_Toc532375638"/>
      <w:r>
        <w:rPr>
          <w:rFonts w:hint="eastAsia"/>
          <w:color w:val="auto"/>
          <w:sz w:val="21"/>
          <w:szCs w:val="21"/>
        </w:rPr>
        <w:t>10.4 变更估价</w:t>
      </w:r>
      <w:bookmarkEnd w:id="1249"/>
      <w:bookmarkEnd w:id="1250"/>
    </w:p>
    <w:p w14:paraId="4662C1FB">
      <w:pPr>
        <w:spacing w:line="360" w:lineRule="auto"/>
        <w:ind w:firstLine="560" w:firstLineChars="200"/>
        <w:jc w:val="left"/>
        <w:rPr>
          <w:rFonts w:ascii="宋体" w:hAnsi="宋体"/>
          <w:color w:val="auto"/>
          <w:szCs w:val="21"/>
        </w:rPr>
      </w:pPr>
      <w:bookmarkStart w:id="1251" w:name="_Hlk524296629"/>
      <w:r>
        <w:rPr>
          <w:rFonts w:hint="eastAsia" w:ascii="宋体" w:hAnsi="宋体"/>
          <w:color w:val="auto"/>
          <w:szCs w:val="21"/>
        </w:rPr>
        <w:t>10.4.1 变更估价原则</w:t>
      </w:r>
    </w:p>
    <w:p w14:paraId="75426582">
      <w:pPr>
        <w:pStyle w:val="23"/>
        <w:spacing w:after="0" w:line="360" w:lineRule="auto"/>
        <w:ind w:firstLine="640" w:firstLineChars="200"/>
        <w:jc w:val="left"/>
        <w:rPr>
          <w:rFonts w:ascii="宋体" w:hAnsi="宋体"/>
          <w:color w:val="auto"/>
          <w:szCs w:val="21"/>
          <w:u w:val="single"/>
        </w:rPr>
      </w:pPr>
      <w:r>
        <w:rPr>
          <w:rFonts w:hint="eastAsia" w:ascii="宋体" w:hAnsi="宋体"/>
          <w:color w:val="auto"/>
          <w:szCs w:val="21"/>
        </w:rPr>
        <w:t>当发生工程变更时，工程量按</w:t>
      </w:r>
      <w:r>
        <w:rPr>
          <w:rFonts w:hint="eastAsia" w:ascii="宋体" w:hAnsi="宋体"/>
          <w:color w:val="auto"/>
          <w:szCs w:val="21"/>
          <w:u w:val="single"/>
        </w:rPr>
        <w:t xml:space="preserve"> </w:t>
      </w:r>
      <w:r>
        <w:rPr>
          <w:rFonts w:hint="eastAsia" w:ascii="宋体" w:hAnsi="宋体"/>
          <w:color w:val="auto"/>
          <w:szCs w:val="21"/>
          <w:u w:val="single"/>
          <w:lang w:eastAsia="zh-CN"/>
        </w:rPr>
        <w:t>以下</w:t>
      </w:r>
      <w:r>
        <w:rPr>
          <w:rFonts w:hint="eastAsia" w:ascii="宋体" w:hAnsi="宋体"/>
          <w:color w:val="auto"/>
          <w:szCs w:val="21"/>
          <w:u w:val="single"/>
        </w:rPr>
        <w:t xml:space="preserve"> </w:t>
      </w:r>
      <w:r>
        <w:rPr>
          <w:rFonts w:hint="eastAsia" w:ascii="宋体" w:hAnsi="宋体"/>
          <w:color w:val="auto"/>
          <w:szCs w:val="21"/>
        </w:rPr>
        <w:t>规定的计算规则及已标价工程量清单规定的工程量计算规则计量，按以下办法计价：</w:t>
      </w:r>
      <w:bookmarkStart w:id="1252" w:name="_Hlk524770102"/>
    </w:p>
    <w:bookmarkEnd w:id="1252"/>
    <w:p w14:paraId="7C193A45">
      <w:pPr>
        <w:spacing w:line="360" w:lineRule="auto"/>
        <w:ind w:firstLine="560" w:firstLineChars="200"/>
        <w:jc w:val="left"/>
        <w:rPr>
          <w:rFonts w:ascii="宋体" w:hAnsi="宋体"/>
          <w:color w:val="auto"/>
          <w:szCs w:val="21"/>
        </w:rPr>
      </w:pPr>
      <w:r>
        <w:rPr>
          <w:rFonts w:hint="eastAsia" w:ascii="宋体" w:hAnsi="宋体"/>
          <w:color w:val="auto"/>
          <w:szCs w:val="21"/>
        </w:rPr>
        <w:t>10.4.1.1已标价工程量清单中有相同项目的，按照相同项目单价计算；</w:t>
      </w:r>
    </w:p>
    <w:p w14:paraId="4931F206">
      <w:pPr>
        <w:spacing w:line="360" w:lineRule="auto"/>
        <w:ind w:firstLine="560" w:firstLineChars="200"/>
        <w:jc w:val="left"/>
        <w:rPr>
          <w:rFonts w:ascii="宋体" w:hAnsi="宋体"/>
          <w:color w:val="auto"/>
          <w:szCs w:val="21"/>
        </w:rPr>
      </w:pPr>
      <w:r>
        <w:rPr>
          <w:rFonts w:hint="eastAsia" w:ascii="宋体" w:hAnsi="宋体"/>
          <w:color w:val="auto"/>
          <w:szCs w:val="21"/>
        </w:rPr>
        <w:t>10.4.1.2已标价工程量清单中有类似项目的，参考类似项目单价计算；</w:t>
      </w:r>
    </w:p>
    <w:p w14:paraId="65D5BD08">
      <w:pPr>
        <w:spacing w:line="360" w:lineRule="auto"/>
        <w:ind w:firstLine="560" w:firstLineChars="200"/>
        <w:jc w:val="left"/>
        <w:rPr>
          <w:rFonts w:ascii="宋体" w:hAnsi="宋体"/>
          <w:color w:val="auto"/>
          <w:szCs w:val="21"/>
        </w:rPr>
      </w:pPr>
      <w:r>
        <w:rPr>
          <w:rFonts w:hint="eastAsia" w:ascii="宋体" w:hAnsi="宋体"/>
          <w:color w:val="auto"/>
          <w:szCs w:val="21"/>
        </w:rPr>
        <w:t>10.4.1.3已标价工程量清单中无相同项目亦无类似项目的，按照以下原则执行：</w:t>
      </w:r>
    </w:p>
    <w:p w14:paraId="0421292F">
      <w:pPr>
        <w:spacing w:line="520" w:lineRule="exact"/>
        <w:ind w:right="-20" w:rightChars="-7" w:firstLine="599" w:firstLineChars="214"/>
        <w:rPr>
          <w:rFonts w:ascii="宋体" w:hAnsi="宋体"/>
          <w:color w:val="auto"/>
          <w:szCs w:val="21"/>
        </w:rPr>
      </w:pPr>
      <w:r>
        <w:rPr>
          <w:rFonts w:hint="eastAsia" w:ascii="宋体" w:hAnsi="宋体"/>
          <w:color w:val="auto"/>
          <w:szCs w:val="21"/>
          <w:u w:val="single"/>
        </w:rPr>
        <w:t>按</w:t>
      </w:r>
      <w:r>
        <w:rPr>
          <w:rFonts w:hint="eastAsia" w:ascii="宋体" w:hAnsi="宋体" w:cs="Times New Roman"/>
          <w:color w:val="auto"/>
          <w:szCs w:val="21"/>
          <w:u w:val="single"/>
        </w:rPr>
        <w:t>《建设工程工程量清单计价规范》（GB50500-2013）、《重庆市建设工程工程量清单计价规则》；2018年《重庆市房屋建筑与装饰工程计价定额》、2018年《重庆市城市轨道交通工程计价定额》、2018年《重庆市装配式建筑工程计价定额》、2018年《重庆市通用安装工程计价定额》、2018年《重庆市房屋修缮工程计价定额》、2018年《重庆市仿古建筑工程计价定额》、2018年《重庆市园林绿化计价定额》、2018年《重庆市绿色建筑工程计价定额》、2018年《重庆市构筑物工程计价定额》、2018年《重庆市市政工程计价定额》、2018年《重庆市爆破工程计价定额》、2018年《重庆市建设工程费用定额》及相关配套文件进行</w:t>
      </w:r>
      <w:r>
        <w:rPr>
          <w:rFonts w:hint="eastAsia" w:ascii="宋体" w:hAnsi="宋体"/>
          <w:color w:val="auto"/>
          <w:szCs w:val="21"/>
          <w:u w:val="single"/>
        </w:rPr>
        <w:t>组价并按承包人报价浮动率下浮（认质核价的设备和材料不参与浮动），经监理人、跟审单位、发包人审定后执行</w:t>
      </w:r>
      <w:r>
        <w:rPr>
          <w:rFonts w:hint="eastAsia" w:ascii="宋体" w:hAnsi="宋体"/>
          <w:color w:val="auto"/>
          <w:szCs w:val="21"/>
        </w:rPr>
        <w:t>。</w:t>
      </w:r>
    </w:p>
    <w:p w14:paraId="59C78E8C">
      <w:pPr>
        <w:spacing w:line="360" w:lineRule="auto"/>
        <w:ind w:firstLine="560" w:firstLineChars="200"/>
        <w:jc w:val="left"/>
        <w:rPr>
          <w:rFonts w:ascii="宋体" w:hAnsi="宋体"/>
          <w:color w:val="auto"/>
          <w:szCs w:val="21"/>
        </w:rPr>
      </w:pPr>
      <w:r>
        <w:rPr>
          <w:rFonts w:hint="eastAsia" w:ascii="宋体" w:hAnsi="宋体"/>
          <w:color w:val="auto"/>
          <w:szCs w:val="21"/>
        </w:rPr>
        <w:t>承包人报价浮动率按下列公式计算：承包人报价浮动率=（1-中标价/最高限价）×100%。</w:t>
      </w:r>
    </w:p>
    <w:p w14:paraId="23DCACC0">
      <w:pPr>
        <w:spacing w:line="360" w:lineRule="auto"/>
        <w:ind w:firstLine="560" w:firstLineChars="200"/>
        <w:jc w:val="left"/>
        <w:rPr>
          <w:rFonts w:ascii="宋体" w:hAnsi="宋体"/>
          <w:color w:val="auto"/>
          <w:szCs w:val="21"/>
        </w:rPr>
      </w:pPr>
      <w:r>
        <w:rPr>
          <w:rFonts w:hint="eastAsia" w:ascii="宋体" w:hAnsi="宋体"/>
          <w:color w:val="auto"/>
          <w:szCs w:val="21"/>
        </w:rPr>
        <w:t>（1）人工单价：按开标当期《重庆工程造价信息》发布的项目所在地的人工单价执行。</w:t>
      </w:r>
    </w:p>
    <w:p w14:paraId="0D62B19B">
      <w:pPr>
        <w:spacing w:line="360" w:lineRule="auto"/>
        <w:ind w:firstLine="560" w:firstLineChars="200"/>
        <w:jc w:val="left"/>
        <w:rPr>
          <w:rFonts w:ascii="宋体" w:hAnsi="宋体"/>
          <w:color w:val="auto"/>
          <w:szCs w:val="21"/>
        </w:rPr>
      </w:pPr>
      <w:bookmarkStart w:id="1253" w:name="_Hlk529023896"/>
      <w:r>
        <w:rPr>
          <w:rFonts w:hint="eastAsia" w:ascii="宋体" w:hAnsi="宋体"/>
          <w:color w:val="auto"/>
          <w:szCs w:val="21"/>
        </w:rPr>
        <w:t>（2）材料单价：</w:t>
      </w:r>
    </w:p>
    <w:p w14:paraId="48EB2570">
      <w:pPr>
        <w:spacing w:line="360" w:lineRule="auto"/>
        <w:ind w:firstLine="560" w:firstLineChars="200"/>
        <w:jc w:val="left"/>
        <w:rPr>
          <w:rFonts w:ascii="宋体" w:hAnsi="宋体"/>
          <w:color w:val="auto"/>
          <w:szCs w:val="21"/>
        </w:rPr>
      </w:pPr>
      <w:r>
        <w:rPr>
          <w:rFonts w:hint="eastAsia" w:ascii="宋体" w:hAnsi="宋体"/>
          <w:color w:val="auto"/>
          <w:szCs w:val="21"/>
        </w:rPr>
        <w:t>①按</w:t>
      </w:r>
      <w:bookmarkStart w:id="1254" w:name="_Hlk529023354"/>
      <w:r>
        <w:rPr>
          <w:rFonts w:hint="eastAsia" w:ascii="宋体" w:hAnsi="宋体"/>
          <w:color w:val="auto"/>
          <w:szCs w:val="21"/>
        </w:rPr>
        <w:t>开标当期《重庆工程造价信息》发布的项目所在地的信息价</w:t>
      </w:r>
      <w:bookmarkEnd w:id="1254"/>
      <w:r>
        <w:rPr>
          <w:rFonts w:hint="eastAsia" w:ascii="宋体" w:hAnsi="宋体"/>
          <w:color w:val="auto"/>
          <w:szCs w:val="21"/>
        </w:rPr>
        <w:t>执行；</w:t>
      </w:r>
    </w:p>
    <w:p w14:paraId="16A741FD">
      <w:pPr>
        <w:spacing w:line="360" w:lineRule="auto"/>
        <w:ind w:firstLine="560" w:firstLineChars="200"/>
        <w:jc w:val="left"/>
        <w:rPr>
          <w:rFonts w:ascii="宋体" w:hAnsi="宋体"/>
          <w:color w:val="auto"/>
          <w:szCs w:val="21"/>
        </w:rPr>
      </w:pPr>
      <w:r>
        <w:rPr>
          <w:rFonts w:hint="eastAsia" w:ascii="宋体" w:hAnsi="宋体"/>
          <w:color w:val="auto"/>
          <w:szCs w:val="21"/>
        </w:rPr>
        <w:t>②开标当期《重庆工程造价信息》中没有的，承包人投标报价中有的，按承包人投标报价中相同材料单价的最低值执行；</w:t>
      </w:r>
    </w:p>
    <w:p w14:paraId="735C6E1A">
      <w:pPr>
        <w:spacing w:line="360" w:lineRule="auto"/>
        <w:ind w:firstLine="560" w:firstLineChars="200"/>
        <w:jc w:val="left"/>
        <w:rPr>
          <w:rFonts w:ascii="宋体" w:hAnsi="宋体"/>
          <w:color w:val="auto"/>
          <w:szCs w:val="21"/>
        </w:rPr>
      </w:pPr>
      <w:r>
        <w:rPr>
          <w:rFonts w:hint="eastAsia" w:ascii="宋体" w:hAnsi="宋体"/>
          <w:color w:val="auto"/>
          <w:szCs w:val="21"/>
        </w:rPr>
        <w:t>③开标当期《重庆工程造价信息》和承包人投标报价没有的，由承包人申报、监理人会同跟审单位、发包人根据市场行情认质核价确定。</w:t>
      </w:r>
    </w:p>
    <w:bookmarkEnd w:id="1253"/>
    <w:p w14:paraId="7798C6F8">
      <w:pPr>
        <w:spacing w:line="360" w:lineRule="auto"/>
        <w:ind w:firstLine="560" w:firstLineChars="200"/>
        <w:jc w:val="left"/>
        <w:rPr>
          <w:rFonts w:ascii="宋体" w:hAnsi="宋体"/>
          <w:color w:val="auto"/>
          <w:szCs w:val="21"/>
        </w:rPr>
      </w:pPr>
      <w:r>
        <w:rPr>
          <w:rFonts w:hint="eastAsia" w:ascii="宋体" w:hAnsi="宋体"/>
          <w:color w:val="auto"/>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14:paraId="28F03AB5">
      <w:pPr>
        <w:spacing w:line="360" w:lineRule="auto"/>
        <w:ind w:firstLine="560" w:firstLineChars="200"/>
        <w:jc w:val="left"/>
        <w:rPr>
          <w:rFonts w:ascii="宋体" w:hAnsi="宋体"/>
          <w:color w:val="auto"/>
          <w:szCs w:val="21"/>
        </w:rPr>
      </w:pPr>
      <w:r>
        <w:rPr>
          <w:rFonts w:hint="eastAsia" w:ascii="宋体" w:hAnsi="宋体"/>
          <w:color w:val="auto"/>
          <w:szCs w:val="21"/>
        </w:rPr>
        <w:t>（4）规费：按《重庆市建设工程费用定额》（CQFYDE-2018）费用标准进行计算。</w:t>
      </w:r>
    </w:p>
    <w:p w14:paraId="323125D7">
      <w:pPr>
        <w:spacing w:line="360" w:lineRule="auto"/>
        <w:ind w:firstLine="560" w:firstLineChars="200"/>
        <w:jc w:val="left"/>
        <w:rPr>
          <w:rFonts w:ascii="宋体" w:hAnsi="宋体"/>
          <w:color w:val="auto"/>
          <w:szCs w:val="21"/>
        </w:rPr>
      </w:pPr>
      <w:r>
        <w:rPr>
          <w:rFonts w:hint="eastAsia" w:ascii="宋体" w:hAnsi="宋体"/>
          <w:color w:val="auto"/>
          <w:szCs w:val="21"/>
        </w:rPr>
        <w:t>（5）税金：包含增值税、城市维护建设税、教育费附加、地方教育附加以及环境保护税。其中增值税按《重庆市建设工程费用定额》（CQFYDE-2018）规定及配套文件执行。</w:t>
      </w:r>
    </w:p>
    <w:p w14:paraId="1A659D7D">
      <w:pPr>
        <w:spacing w:line="360" w:lineRule="auto"/>
        <w:ind w:firstLine="560" w:firstLineChars="200"/>
        <w:jc w:val="left"/>
        <w:rPr>
          <w:rFonts w:ascii="宋体" w:hAnsi="宋体"/>
          <w:color w:val="auto"/>
          <w:szCs w:val="21"/>
          <w:u w:val="single"/>
        </w:rPr>
      </w:pPr>
      <w:r>
        <w:rPr>
          <w:rFonts w:hint="eastAsia" w:ascii="宋体" w:hAnsi="宋体"/>
          <w:color w:val="auto"/>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4A04DDAE">
      <w:pPr>
        <w:spacing w:line="360" w:lineRule="auto"/>
        <w:ind w:firstLine="560" w:firstLineChars="200"/>
        <w:jc w:val="left"/>
        <w:rPr>
          <w:rFonts w:ascii="宋体" w:hAnsi="宋体"/>
          <w:color w:val="auto"/>
          <w:szCs w:val="21"/>
        </w:rPr>
      </w:pPr>
      <w:r>
        <w:rPr>
          <w:rFonts w:hint="eastAsia" w:ascii="宋体" w:hAnsi="宋体"/>
          <w:color w:val="auto"/>
          <w:szCs w:val="21"/>
        </w:rPr>
        <w:t>本款补充10.4.3项：</w:t>
      </w:r>
    </w:p>
    <w:p w14:paraId="7EAB4308">
      <w:pPr>
        <w:spacing w:line="360" w:lineRule="auto"/>
        <w:ind w:firstLine="560" w:firstLineChars="200"/>
        <w:jc w:val="left"/>
        <w:rPr>
          <w:rFonts w:ascii="宋体" w:hAnsi="宋体"/>
          <w:color w:val="auto"/>
          <w:szCs w:val="21"/>
        </w:rPr>
      </w:pPr>
      <w:r>
        <w:rPr>
          <w:rFonts w:hint="eastAsia" w:ascii="宋体" w:hAnsi="宋体"/>
          <w:color w:val="auto"/>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7079E9E2">
      <w:pPr>
        <w:spacing w:line="360" w:lineRule="auto"/>
        <w:ind w:firstLine="560" w:firstLineChars="200"/>
        <w:jc w:val="left"/>
        <w:rPr>
          <w:rFonts w:ascii="宋体" w:hAnsi="宋体"/>
          <w:color w:val="auto"/>
          <w:szCs w:val="21"/>
        </w:rPr>
      </w:pPr>
      <w:r>
        <w:rPr>
          <w:rFonts w:hint="eastAsia" w:ascii="宋体" w:hAnsi="宋体"/>
          <w:color w:val="auto"/>
          <w:szCs w:val="21"/>
        </w:rPr>
        <w:t>（1）</w:t>
      </w:r>
      <w:r>
        <w:rPr>
          <w:rFonts w:hint="eastAsia" w:ascii="宋体" w:hAnsi="宋体"/>
          <w:color w:val="auto"/>
          <w:szCs w:val="21"/>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rPr>
        <w:t>；</w:t>
      </w:r>
    </w:p>
    <w:p w14:paraId="0896A363">
      <w:pPr>
        <w:spacing w:line="360" w:lineRule="auto"/>
        <w:ind w:firstLine="56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u w:val="single"/>
        </w:rPr>
        <w:t>按照单价计算的措施项目费，应按照实际发生变化的措施项目，按照第10.4.1项〔变更估价原则〕约定执行</w:t>
      </w:r>
      <w:r>
        <w:rPr>
          <w:rFonts w:hint="eastAsia" w:ascii="宋体" w:hAnsi="宋体"/>
          <w:color w:val="auto"/>
          <w:szCs w:val="21"/>
        </w:rPr>
        <w:t>；</w:t>
      </w:r>
    </w:p>
    <w:p w14:paraId="649D4CC0">
      <w:pPr>
        <w:spacing w:line="360" w:lineRule="auto"/>
        <w:ind w:firstLine="560" w:firstLineChars="200"/>
        <w:jc w:val="left"/>
        <w:rPr>
          <w:rFonts w:ascii="宋体" w:hAnsi="宋体"/>
          <w:color w:val="auto"/>
          <w:szCs w:val="21"/>
        </w:rPr>
      </w:pPr>
      <w:r>
        <w:rPr>
          <w:rFonts w:hint="eastAsia" w:ascii="宋体" w:hAnsi="宋体"/>
          <w:color w:val="auto"/>
          <w:szCs w:val="21"/>
        </w:rPr>
        <w:t>（3）</w:t>
      </w:r>
      <w:r>
        <w:rPr>
          <w:rFonts w:hint="eastAsia" w:ascii="宋体" w:hAnsi="宋体"/>
          <w:color w:val="auto"/>
          <w:szCs w:val="21"/>
          <w:u w:val="single"/>
        </w:rPr>
        <w:t>按总价（或系数）计算的措施项目费，应按照实际发生变化的措施项目费按承包人报价浮动率下浮后的金额计算</w:t>
      </w:r>
      <w:r>
        <w:rPr>
          <w:rFonts w:hint="eastAsia" w:ascii="宋体" w:hAnsi="宋体"/>
          <w:color w:val="auto"/>
          <w:szCs w:val="21"/>
        </w:rPr>
        <w:t>；</w:t>
      </w:r>
    </w:p>
    <w:p w14:paraId="12BD2D6E">
      <w:pPr>
        <w:spacing w:line="360" w:lineRule="auto"/>
        <w:ind w:firstLine="560" w:firstLineChars="200"/>
        <w:jc w:val="left"/>
        <w:rPr>
          <w:rFonts w:ascii="宋体" w:hAnsi="宋体"/>
          <w:color w:val="auto"/>
          <w:szCs w:val="21"/>
          <w:u w:val="single"/>
        </w:rPr>
      </w:pPr>
      <w:r>
        <w:rPr>
          <w:rFonts w:hint="eastAsia" w:ascii="宋体" w:hAnsi="宋体"/>
          <w:color w:val="auto"/>
          <w:szCs w:val="21"/>
        </w:rPr>
        <w:t>（4）</w:t>
      </w:r>
      <w:r>
        <w:rPr>
          <w:rFonts w:hint="eastAsia" w:ascii="宋体" w:hAnsi="宋体"/>
          <w:color w:val="auto"/>
          <w:szCs w:val="21"/>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rPr>
        <w:t>。</w:t>
      </w:r>
    </w:p>
    <w:bookmarkEnd w:id="1251"/>
    <w:p w14:paraId="665F3C5D">
      <w:pPr>
        <w:pStyle w:val="7"/>
        <w:spacing w:before="0" w:beforeAutospacing="0" w:after="0" w:afterAutospacing="0" w:line="360" w:lineRule="auto"/>
        <w:ind w:firstLine="422" w:firstLineChars="200"/>
        <w:rPr>
          <w:color w:val="auto"/>
          <w:sz w:val="21"/>
          <w:szCs w:val="21"/>
        </w:rPr>
      </w:pPr>
      <w:bookmarkStart w:id="1255" w:name="_Toc532377375"/>
      <w:bookmarkStart w:id="1256" w:name="_Toc532375639"/>
      <w:r>
        <w:rPr>
          <w:rFonts w:hint="eastAsia"/>
          <w:color w:val="auto"/>
          <w:sz w:val="21"/>
          <w:szCs w:val="21"/>
        </w:rPr>
        <w:t>1</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Start w:id="1257" w:name="_Toc292559907"/>
      <w:bookmarkStart w:id="1258" w:name="_Toc297048383"/>
      <w:bookmarkStart w:id="1259" w:name="_Toc296891237"/>
      <w:bookmarkStart w:id="1260" w:name="_Toc297123544"/>
      <w:bookmarkStart w:id="1261" w:name="_Toc296347196"/>
      <w:bookmarkStart w:id="1262" w:name="_Toc297216203"/>
      <w:bookmarkStart w:id="1263" w:name="_Toc300934993"/>
      <w:bookmarkStart w:id="1264" w:name="_Toc296944536"/>
      <w:bookmarkStart w:id="1265" w:name="_Toc303539150"/>
      <w:bookmarkStart w:id="1266" w:name="_Toc292559402"/>
      <w:bookmarkStart w:id="1267" w:name="_Toc296346698"/>
      <w:bookmarkStart w:id="1268" w:name="_Toc296503197"/>
      <w:bookmarkStart w:id="1269" w:name="_Toc297120497"/>
      <w:bookmarkStart w:id="1270" w:name="_Toc296891025"/>
      <w:bookmarkStart w:id="1271" w:name="_Toc312678029"/>
      <w:bookmarkStart w:id="1272" w:name="_Toc304295570"/>
      <w:bookmarkStart w:id="1273" w:name="_Toc312677503"/>
      <w:r>
        <w:rPr>
          <w:rFonts w:hint="eastAsia"/>
          <w:color w:val="auto"/>
          <w:sz w:val="21"/>
          <w:szCs w:val="21"/>
        </w:rPr>
        <w:t>0.5承</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Start w:id="1274" w:name="_Toc296347202"/>
      <w:bookmarkStart w:id="1275" w:name="_Toc297216204"/>
      <w:bookmarkStart w:id="1276" w:name="_Toc297123545"/>
      <w:bookmarkStart w:id="1277" w:name="_Toc292559913"/>
      <w:bookmarkStart w:id="1278" w:name="_Toc296891243"/>
      <w:bookmarkStart w:id="1279" w:name="_Toc292559408"/>
      <w:bookmarkStart w:id="1280" w:name="_Toc296503203"/>
      <w:bookmarkStart w:id="1281" w:name="_Toc300934994"/>
      <w:bookmarkStart w:id="1282" w:name="_Toc297048389"/>
      <w:bookmarkStart w:id="1283" w:name="_Toc296346704"/>
      <w:bookmarkStart w:id="1284" w:name="_Toc303539151"/>
      <w:bookmarkStart w:id="1285" w:name="_Toc297120503"/>
      <w:bookmarkStart w:id="1286" w:name="_Toc296944542"/>
      <w:bookmarkStart w:id="1287" w:name="_Toc296891031"/>
      <w:r>
        <w:rPr>
          <w:rFonts w:hint="eastAsia"/>
          <w:color w:val="auto"/>
          <w:sz w:val="21"/>
          <w:szCs w:val="21"/>
        </w:rPr>
        <w:t>包人的合理化建议</w:t>
      </w:r>
      <w:bookmarkEnd w:id="1255"/>
      <w:bookmarkEnd w:id="1256"/>
    </w:p>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14:paraId="399167A0">
      <w:pPr>
        <w:spacing w:line="360" w:lineRule="auto"/>
        <w:ind w:firstLine="560" w:firstLineChars="200"/>
        <w:jc w:val="left"/>
        <w:rPr>
          <w:rFonts w:ascii="宋体" w:hAnsi="宋体"/>
          <w:color w:val="auto"/>
          <w:szCs w:val="21"/>
        </w:rPr>
      </w:pPr>
      <w:r>
        <w:rPr>
          <w:rFonts w:hint="eastAsia" w:ascii="宋体" w:hAnsi="宋体"/>
          <w:color w:val="auto"/>
          <w:szCs w:val="21"/>
        </w:rPr>
        <w:t>承包人提出合理化建议的，应向监理人提交合理化建议说明，说明建议的内容和理由，以及实施该建议对合同价格和（或）工期和（或）工程经济效益的影响。</w:t>
      </w:r>
    </w:p>
    <w:p w14:paraId="064AB2A0">
      <w:pPr>
        <w:spacing w:line="360" w:lineRule="auto"/>
        <w:ind w:firstLine="560" w:firstLineChars="200"/>
        <w:jc w:val="left"/>
        <w:rPr>
          <w:rFonts w:ascii="宋体" w:hAnsi="宋体"/>
          <w:color w:val="auto"/>
          <w:szCs w:val="21"/>
        </w:rPr>
      </w:pPr>
      <w:r>
        <w:rPr>
          <w:rFonts w:hint="eastAsia" w:ascii="宋体" w:hAnsi="宋体"/>
          <w:color w:val="auto"/>
          <w:szCs w:val="21"/>
        </w:rPr>
        <w:t>监理人审查承包人合理化建议的期限：</w:t>
      </w:r>
      <w:r>
        <w:rPr>
          <w:rFonts w:hint="eastAsia" w:ascii="宋体" w:hAnsi="宋体"/>
          <w:color w:val="auto"/>
          <w:szCs w:val="21"/>
          <w:u w:val="single"/>
        </w:rPr>
        <w:t>不超过14天</w:t>
      </w:r>
      <w:r>
        <w:rPr>
          <w:rFonts w:hint="eastAsia" w:ascii="宋体" w:hAnsi="宋体"/>
          <w:color w:val="auto"/>
          <w:szCs w:val="21"/>
        </w:rPr>
        <w:t>。</w:t>
      </w:r>
    </w:p>
    <w:p w14:paraId="053E165B">
      <w:pPr>
        <w:spacing w:line="360" w:lineRule="auto"/>
        <w:ind w:firstLine="560" w:firstLineChars="200"/>
        <w:jc w:val="left"/>
        <w:rPr>
          <w:rFonts w:ascii="宋体" w:hAnsi="宋体"/>
          <w:color w:val="auto"/>
          <w:szCs w:val="21"/>
        </w:rPr>
      </w:pPr>
      <w:r>
        <w:rPr>
          <w:rFonts w:hint="eastAsia" w:ascii="宋体" w:hAnsi="宋体"/>
          <w:color w:val="auto"/>
          <w:szCs w:val="21"/>
        </w:rPr>
        <w:t>发包人审批承包人合理化建议的期限：</w:t>
      </w:r>
      <w:r>
        <w:rPr>
          <w:rFonts w:hint="eastAsia" w:ascii="宋体" w:hAnsi="宋体"/>
          <w:color w:val="auto"/>
          <w:szCs w:val="21"/>
          <w:u w:val="single"/>
        </w:rPr>
        <w:t>不超过14天</w:t>
      </w:r>
      <w:r>
        <w:rPr>
          <w:rFonts w:hint="eastAsia" w:ascii="宋体" w:hAnsi="宋体"/>
          <w:color w:val="auto"/>
          <w:szCs w:val="21"/>
        </w:rPr>
        <w:t>。</w:t>
      </w:r>
    </w:p>
    <w:p w14:paraId="4FD99AF7">
      <w:pPr>
        <w:spacing w:line="360" w:lineRule="auto"/>
        <w:ind w:firstLine="560" w:firstLineChars="200"/>
        <w:jc w:val="left"/>
        <w:rPr>
          <w:rFonts w:ascii="宋体" w:hAnsi="宋体"/>
          <w:color w:val="auto"/>
          <w:szCs w:val="21"/>
          <w:u w:val="single"/>
        </w:rPr>
      </w:pPr>
      <w:r>
        <w:rPr>
          <w:rFonts w:hint="eastAsia" w:ascii="宋体" w:hAnsi="宋体"/>
          <w:color w:val="auto"/>
          <w:szCs w:val="21"/>
        </w:rPr>
        <w:t>承</w:t>
      </w:r>
      <w:bookmarkStart w:id="1288" w:name="_Toc312678030"/>
      <w:bookmarkStart w:id="1289" w:name="_Toc296503204"/>
      <w:bookmarkStart w:id="1290" w:name="_Toc303539152"/>
      <w:bookmarkStart w:id="1291" w:name="_Toc296347203"/>
      <w:bookmarkStart w:id="1292" w:name="_Toc297216205"/>
      <w:bookmarkStart w:id="1293" w:name="_Toc297120504"/>
      <w:bookmarkStart w:id="1294" w:name="_Toc296891244"/>
      <w:bookmarkStart w:id="1295" w:name="_Toc297048390"/>
      <w:bookmarkStart w:id="1296" w:name="_Toc292559409"/>
      <w:bookmarkStart w:id="1297" w:name="_Toc296346705"/>
      <w:bookmarkStart w:id="1298" w:name="_Toc296891032"/>
      <w:bookmarkStart w:id="1299" w:name="_Toc300934995"/>
      <w:bookmarkStart w:id="1300" w:name="_Toc318581175"/>
      <w:bookmarkStart w:id="1301" w:name="_Toc297123546"/>
      <w:bookmarkStart w:id="1302" w:name="_Toc304295571"/>
      <w:bookmarkStart w:id="1303" w:name="_Toc312677504"/>
      <w:bookmarkStart w:id="1304" w:name="_Toc292559914"/>
      <w:bookmarkStart w:id="1305" w:name="_Toc296944543"/>
      <w:r>
        <w:rPr>
          <w:rFonts w:hint="eastAsia" w:ascii="宋体" w:hAnsi="宋体"/>
          <w:color w:val="auto"/>
          <w:szCs w:val="21"/>
        </w:rPr>
        <w:t>包人提出的合理化建议降低了合同价格或缩短了工期或者提高了工程经济效益的奖励的方法和金额为：</w:t>
      </w:r>
      <w:r>
        <w:rPr>
          <w:rFonts w:hint="eastAsia" w:ascii="宋体" w:hAnsi="宋体"/>
          <w:color w:val="auto"/>
          <w:szCs w:val="21"/>
          <w:u w:val="single"/>
          <w:lang w:val="en-US" w:eastAsia="zh-CN"/>
        </w:rPr>
        <w:t xml:space="preserve">  /  </w:t>
      </w:r>
      <w:r>
        <w:rPr>
          <w:rFonts w:hint="eastAsia" w:ascii="宋体" w:hAnsi="宋体"/>
          <w:color w:val="auto"/>
          <w:szCs w:val="21"/>
        </w:rPr>
        <w:t>。</w:t>
      </w:r>
    </w:p>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14:paraId="1F2B871B">
      <w:pPr>
        <w:pStyle w:val="7"/>
        <w:spacing w:before="0" w:beforeAutospacing="0" w:after="0" w:afterAutospacing="0" w:line="360" w:lineRule="auto"/>
        <w:ind w:firstLine="422" w:firstLineChars="200"/>
        <w:rPr>
          <w:color w:val="auto"/>
          <w:sz w:val="21"/>
          <w:szCs w:val="21"/>
        </w:rPr>
      </w:pPr>
      <w:bookmarkStart w:id="1306" w:name="_Toc532377376"/>
      <w:bookmarkStart w:id="1307" w:name="_Toc532375640"/>
      <w:r>
        <w:rPr>
          <w:rFonts w:hint="eastAsia"/>
          <w:color w:val="auto"/>
          <w:sz w:val="21"/>
          <w:szCs w:val="21"/>
        </w:rPr>
        <w:t>1</w:t>
      </w:r>
      <w:bookmarkStart w:id="1308" w:name="_Toc296346700"/>
      <w:bookmarkStart w:id="1309" w:name="_Toc296503199"/>
      <w:bookmarkStart w:id="1310" w:name="_Toc297048385"/>
      <w:bookmarkStart w:id="1311" w:name="_Toc300934997"/>
      <w:bookmarkStart w:id="1312" w:name="_Toc297216207"/>
      <w:bookmarkStart w:id="1313" w:name="_Toc297123548"/>
      <w:bookmarkStart w:id="1314" w:name="_Toc303539154"/>
      <w:bookmarkStart w:id="1315" w:name="_Toc292559909"/>
      <w:bookmarkStart w:id="1316" w:name="_Toc296891239"/>
      <w:bookmarkStart w:id="1317" w:name="_Toc296891027"/>
      <w:bookmarkStart w:id="1318" w:name="_Toc296944538"/>
      <w:bookmarkStart w:id="1319" w:name="_Toc312677507"/>
      <w:bookmarkStart w:id="1320" w:name="_Toc297120499"/>
      <w:bookmarkStart w:id="1321" w:name="_Toc296347198"/>
      <w:bookmarkStart w:id="1322" w:name="_Toc312678033"/>
      <w:bookmarkStart w:id="1323" w:name="_Toc292559404"/>
      <w:bookmarkStart w:id="1324" w:name="_Toc304295574"/>
      <w:r>
        <w:rPr>
          <w:rFonts w:hint="eastAsia"/>
          <w:color w:val="auto"/>
          <w:sz w:val="21"/>
          <w:szCs w:val="21"/>
        </w:rPr>
        <w:t>0.7 暂估价</w:t>
      </w:r>
      <w:bookmarkEnd w:id="1306"/>
      <w:bookmarkEnd w:id="1307"/>
    </w:p>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14:paraId="279E33A6">
      <w:pPr>
        <w:spacing w:line="360" w:lineRule="auto"/>
        <w:ind w:firstLine="560" w:firstLineChars="200"/>
        <w:jc w:val="left"/>
        <w:rPr>
          <w:rFonts w:ascii="宋体" w:hAnsi="宋体"/>
          <w:color w:val="auto"/>
          <w:szCs w:val="21"/>
        </w:rPr>
      </w:pPr>
      <w:r>
        <w:rPr>
          <w:rFonts w:hint="eastAsia" w:ascii="宋体" w:hAnsi="宋体"/>
          <w:color w:val="auto"/>
          <w:szCs w:val="21"/>
        </w:rPr>
        <w:t>专业工程暂估价：</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万元。</w:t>
      </w:r>
    </w:p>
    <w:p w14:paraId="6E09CB4C">
      <w:pPr>
        <w:spacing w:line="360" w:lineRule="auto"/>
        <w:ind w:firstLine="560" w:firstLineChars="200"/>
        <w:jc w:val="left"/>
        <w:rPr>
          <w:rFonts w:ascii="宋体" w:hAnsi="宋体"/>
          <w:color w:val="auto"/>
          <w:szCs w:val="21"/>
        </w:rPr>
      </w:pPr>
      <w:r>
        <w:rPr>
          <w:rFonts w:hint="eastAsia" w:ascii="宋体" w:hAnsi="宋体"/>
          <w:color w:val="auto"/>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41DCCAAF">
      <w:pPr>
        <w:spacing w:line="360" w:lineRule="auto"/>
        <w:ind w:firstLine="560" w:firstLineChars="200"/>
        <w:jc w:val="left"/>
        <w:rPr>
          <w:rFonts w:ascii="宋体" w:hAnsi="宋体"/>
          <w:color w:val="auto"/>
          <w:szCs w:val="21"/>
          <w:u w:val="single"/>
        </w:rPr>
      </w:pPr>
      <w:r>
        <w:rPr>
          <w:rFonts w:hint="eastAsia" w:ascii="宋体" w:hAnsi="宋体"/>
          <w:color w:val="auto"/>
          <w:szCs w:val="21"/>
        </w:rPr>
        <w:t>单项合同暂估价在国家相关法律法规规定必须招标规模以上的，需依法必须招标的，由承包人、发包人共同招标确定。</w:t>
      </w:r>
    </w:p>
    <w:p w14:paraId="360AD0A4">
      <w:pPr>
        <w:pStyle w:val="7"/>
        <w:spacing w:before="0" w:beforeAutospacing="0" w:after="0" w:afterAutospacing="0" w:line="360" w:lineRule="auto"/>
        <w:ind w:firstLine="422" w:firstLineChars="200"/>
        <w:rPr>
          <w:color w:val="auto"/>
          <w:sz w:val="21"/>
          <w:szCs w:val="21"/>
        </w:rPr>
      </w:pPr>
      <w:bookmarkStart w:id="1325" w:name="_Toc532375641"/>
      <w:bookmarkStart w:id="1326" w:name="_Toc532377377"/>
      <w:r>
        <w:rPr>
          <w:rFonts w:hint="eastAsia"/>
          <w:color w:val="auto"/>
          <w:sz w:val="21"/>
          <w:szCs w:val="21"/>
        </w:rPr>
        <w:t>10.8 暂列金额</w:t>
      </w:r>
      <w:bookmarkEnd w:id="1325"/>
      <w:bookmarkEnd w:id="1326"/>
    </w:p>
    <w:p w14:paraId="403D19C8">
      <w:pPr>
        <w:autoSpaceDE w:val="0"/>
        <w:autoSpaceDN w:val="0"/>
        <w:spacing w:line="360" w:lineRule="auto"/>
        <w:ind w:firstLine="560" w:firstLineChars="200"/>
        <w:jc w:val="left"/>
        <w:rPr>
          <w:rFonts w:ascii="宋体" w:hAnsi="宋体"/>
          <w:color w:val="auto"/>
          <w:szCs w:val="21"/>
        </w:rPr>
      </w:pPr>
      <w:r>
        <w:rPr>
          <w:rFonts w:hint="eastAsia" w:ascii="宋体" w:hAnsi="宋体"/>
          <w:color w:val="auto"/>
          <w:szCs w:val="21"/>
        </w:rPr>
        <w:t>合同当事人关于暂列金额使用的约定：</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16BC30E4">
      <w:pPr>
        <w:pStyle w:val="6"/>
        <w:keepNext/>
        <w:keepLines/>
        <w:spacing w:before="156" w:beforeLines="50" w:beforeAutospacing="0" w:after="156" w:afterLines="50" w:afterAutospacing="0" w:line="360" w:lineRule="auto"/>
        <w:jc w:val="both"/>
        <w:rPr>
          <w:bCs w:val="0"/>
          <w:color w:val="auto"/>
          <w:kern w:val="2"/>
          <w:sz w:val="21"/>
          <w:szCs w:val="21"/>
        </w:rPr>
      </w:pPr>
      <w:bookmarkStart w:id="1327" w:name="_Toc532377378"/>
      <w:bookmarkStart w:id="1328" w:name="_Toc351203643"/>
      <w:bookmarkStart w:id="1329" w:name="_Toc532375642"/>
      <w:r>
        <w:rPr>
          <w:rFonts w:hint="eastAsia"/>
          <w:color w:val="auto"/>
          <w:kern w:val="2"/>
          <w:sz w:val="21"/>
          <w:szCs w:val="21"/>
        </w:rPr>
        <w:t>11. 价格调整</w:t>
      </w:r>
      <w:bookmarkEnd w:id="1327"/>
      <w:bookmarkEnd w:id="1328"/>
      <w:bookmarkEnd w:id="1329"/>
    </w:p>
    <w:p w14:paraId="77A2A109">
      <w:pPr>
        <w:pStyle w:val="7"/>
        <w:spacing w:before="0" w:beforeAutospacing="0" w:after="0" w:afterAutospacing="0" w:line="360" w:lineRule="auto"/>
        <w:ind w:firstLine="422" w:firstLineChars="200"/>
        <w:rPr>
          <w:color w:val="auto"/>
          <w:sz w:val="21"/>
          <w:szCs w:val="21"/>
        </w:rPr>
      </w:pPr>
      <w:bookmarkStart w:id="1330" w:name="_Toc532377379"/>
      <w:bookmarkStart w:id="1331" w:name="_Toc532375643"/>
      <w:bookmarkStart w:id="1332" w:name="_Toc304295577"/>
      <w:bookmarkStart w:id="1333" w:name="_Toc297120501"/>
      <w:bookmarkStart w:id="1334" w:name="_Toc292559406"/>
      <w:bookmarkStart w:id="1335" w:name="_Toc296503201"/>
      <w:bookmarkStart w:id="1336" w:name="_Toc296347200"/>
      <w:bookmarkStart w:id="1337" w:name="_Toc297123550"/>
      <w:bookmarkStart w:id="1338" w:name="_Toc296891241"/>
      <w:bookmarkStart w:id="1339" w:name="_Toc296346702"/>
      <w:bookmarkStart w:id="1340" w:name="_Toc303539157"/>
      <w:bookmarkStart w:id="1341" w:name="_Toc300935000"/>
      <w:bookmarkStart w:id="1342" w:name="_Toc297048387"/>
      <w:bookmarkStart w:id="1343" w:name="_Toc292559911"/>
      <w:bookmarkStart w:id="1344" w:name="_Toc296891029"/>
      <w:bookmarkStart w:id="1345" w:name="_Toc312678039"/>
      <w:bookmarkStart w:id="1346" w:name="_Toc296944540"/>
      <w:bookmarkStart w:id="1347" w:name="_Toc297216209"/>
      <w:r>
        <w:rPr>
          <w:rFonts w:hint="eastAsia"/>
          <w:color w:val="auto"/>
          <w:sz w:val="21"/>
          <w:szCs w:val="21"/>
        </w:rPr>
        <w:t>11.1 市场价格波动引起的调整</w:t>
      </w:r>
      <w:bookmarkEnd w:id="1330"/>
      <w:bookmarkEnd w:id="1331"/>
    </w:p>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14:paraId="061B946F">
      <w:pPr>
        <w:spacing w:line="360" w:lineRule="auto"/>
        <w:ind w:firstLine="560" w:firstLineChars="200"/>
        <w:jc w:val="left"/>
        <w:rPr>
          <w:rFonts w:ascii="宋体" w:hAnsi="宋体"/>
          <w:color w:val="auto"/>
          <w:szCs w:val="21"/>
        </w:rPr>
      </w:pPr>
      <w:bookmarkStart w:id="1348" w:name="_Toc467689641"/>
      <w:bookmarkStart w:id="1349" w:name="_Toc466913963"/>
      <w:bookmarkStart w:id="1350" w:name="_Toc466913513"/>
      <w:bookmarkStart w:id="1351" w:name="_Toc466911545"/>
      <w:r>
        <w:rPr>
          <w:rFonts w:hint="eastAsia" w:ascii="宋体" w:hAnsi="宋体"/>
          <w:color w:val="auto"/>
          <w:szCs w:val="21"/>
        </w:rPr>
        <w:t>市场价格波动是否调整合同价格的约定：</w:t>
      </w:r>
      <w:r>
        <w:rPr>
          <w:rFonts w:hint="eastAsia" w:ascii="宋体" w:hAnsi="宋体"/>
          <w:color w:val="auto"/>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auto"/>
          <w:szCs w:val="21"/>
        </w:rPr>
        <w:t>。</w:t>
      </w:r>
    </w:p>
    <w:p w14:paraId="5E10C568">
      <w:pPr>
        <w:spacing w:line="360" w:lineRule="auto"/>
        <w:ind w:firstLine="560" w:firstLineChars="200"/>
        <w:jc w:val="left"/>
        <w:rPr>
          <w:rFonts w:ascii="宋体" w:hAnsi="宋体"/>
          <w:color w:val="auto"/>
          <w:szCs w:val="21"/>
        </w:rPr>
      </w:pPr>
      <w:r>
        <w:rPr>
          <w:rFonts w:hint="eastAsia" w:ascii="宋体" w:hAnsi="宋体"/>
          <w:color w:val="auto"/>
          <w:szCs w:val="21"/>
        </w:rPr>
        <w:t>因市场价格波动调整合同价格，采用以下</w:t>
      </w:r>
      <w:r>
        <w:rPr>
          <w:rFonts w:hint="eastAsia" w:ascii="宋体" w:hAnsi="宋体"/>
          <w:color w:val="auto"/>
          <w:szCs w:val="21"/>
          <w:u w:val="single"/>
        </w:rPr>
        <w:t>第2种</w:t>
      </w:r>
      <w:r>
        <w:rPr>
          <w:rFonts w:hint="eastAsia" w:ascii="宋体" w:hAnsi="宋体"/>
          <w:color w:val="auto"/>
          <w:szCs w:val="21"/>
        </w:rPr>
        <w:t>方式对合同价格进行调整：</w:t>
      </w:r>
    </w:p>
    <w:p w14:paraId="5474D2EE">
      <w:pPr>
        <w:spacing w:line="360" w:lineRule="auto"/>
        <w:ind w:firstLine="560" w:firstLineChars="200"/>
        <w:jc w:val="left"/>
        <w:rPr>
          <w:rFonts w:ascii="宋体" w:hAnsi="宋体"/>
          <w:color w:val="auto"/>
          <w:szCs w:val="21"/>
        </w:rPr>
      </w:pPr>
      <w:r>
        <w:rPr>
          <w:rFonts w:hint="eastAsia" w:ascii="宋体" w:hAnsi="宋体"/>
          <w:color w:val="auto"/>
          <w:szCs w:val="21"/>
        </w:rPr>
        <w:t>第1种方式：采用价格指数进行价格调整。</w:t>
      </w:r>
    </w:p>
    <w:p w14:paraId="32E1A3C1">
      <w:pPr>
        <w:spacing w:line="360" w:lineRule="auto"/>
        <w:ind w:firstLine="560" w:firstLineChars="200"/>
        <w:jc w:val="left"/>
        <w:rPr>
          <w:rFonts w:ascii="宋体" w:hAnsi="宋体"/>
          <w:color w:val="auto"/>
          <w:szCs w:val="21"/>
        </w:rPr>
      </w:pPr>
      <w:r>
        <w:rPr>
          <w:rFonts w:hint="eastAsia" w:ascii="宋体" w:hAnsi="宋体"/>
          <w:color w:val="auto"/>
          <w:szCs w:val="21"/>
        </w:rPr>
        <w:t>关于各可调因子、定值和变值权重，以及基本价格指数及其来源的约定：</w:t>
      </w:r>
      <w:r>
        <w:rPr>
          <w:rFonts w:hint="eastAsia" w:ascii="宋体" w:hAnsi="宋体"/>
          <w:color w:val="auto"/>
          <w:szCs w:val="21"/>
          <w:u w:val="single"/>
        </w:rPr>
        <w:t xml:space="preserve"> / </w:t>
      </w:r>
      <w:r>
        <w:rPr>
          <w:rFonts w:hint="eastAsia" w:ascii="宋体" w:hAnsi="宋体"/>
          <w:color w:val="auto"/>
          <w:szCs w:val="21"/>
        </w:rPr>
        <w:t>；</w:t>
      </w:r>
    </w:p>
    <w:p w14:paraId="68E82E71">
      <w:pPr>
        <w:spacing w:line="360" w:lineRule="auto"/>
        <w:ind w:firstLine="560" w:firstLineChars="200"/>
        <w:jc w:val="left"/>
        <w:rPr>
          <w:rFonts w:ascii="宋体" w:hAnsi="宋体"/>
          <w:color w:val="auto"/>
          <w:szCs w:val="21"/>
        </w:rPr>
      </w:pPr>
      <w:r>
        <w:rPr>
          <w:rFonts w:hint="eastAsia" w:ascii="宋体" w:hAnsi="宋体"/>
          <w:color w:val="auto"/>
          <w:szCs w:val="21"/>
        </w:rPr>
        <w:t>第2种方式：采用造价信息进行价格调整，调整方法如下：</w:t>
      </w:r>
    </w:p>
    <w:p w14:paraId="3EEB1965">
      <w:pPr>
        <w:spacing w:line="360" w:lineRule="auto"/>
        <w:ind w:firstLine="560" w:firstLineChars="200"/>
        <w:jc w:val="left"/>
        <w:rPr>
          <w:rFonts w:ascii="宋体" w:hAnsi="宋体"/>
          <w:color w:val="auto"/>
          <w:szCs w:val="21"/>
        </w:rPr>
      </w:pPr>
      <w:bookmarkStart w:id="1352" w:name="_Hlk524296901"/>
      <w:r>
        <w:rPr>
          <w:rFonts w:hint="eastAsia" w:ascii="宋体" w:hAnsi="宋体"/>
          <w:color w:val="auto"/>
          <w:szCs w:val="21"/>
        </w:rPr>
        <w:t>11.1.1人工费价差调整办法</w:t>
      </w:r>
      <w:bookmarkEnd w:id="1348"/>
      <w:bookmarkEnd w:id="1349"/>
      <w:bookmarkEnd w:id="1350"/>
      <w:bookmarkEnd w:id="1351"/>
    </w:p>
    <w:p w14:paraId="7892CFF0">
      <w:pPr>
        <w:tabs>
          <w:tab w:val="left" w:pos="711"/>
          <w:tab w:val="left" w:pos="2580"/>
        </w:tabs>
        <w:spacing w:line="360" w:lineRule="auto"/>
        <w:ind w:firstLine="560" w:firstLineChars="200"/>
        <w:jc w:val="left"/>
        <w:textAlignment w:val="baseline"/>
        <w:rPr>
          <w:rFonts w:ascii="宋体" w:hAnsi="宋体"/>
          <w:color w:val="auto"/>
          <w:szCs w:val="21"/>
        </w:rPr>
      </w:pPr>
      <w:bookmarkStart w:id="1353" w:name="_Toc467689644"/>
      <w:bookmarkStart w:id="1354" w:name="_Toc466913966"/>
      <w:bookmarkStart w:id="1355" w:name="_Toc466913516"/>
      <w:bookmarkStart w:id="1356" w:name="_Toc466911548"/>
      <w:r>
        <w:rPr>
          <w:rFonts w:hint="eastAsia" w:ascii="宋体" w:hAnsi="宋体"/>
          <w:color w:val="auto"/>
          <w:szCs w:val="21"/>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u w:val="single"/>
        </w:rPr>
        <w:t>±5%</w:t>
      </w:r>
      <w:r>
        <w:rPr>
          <w:rFonts w:hint="eastAsia" w:ascii="宋体" w:hAnsi="宋体"/>
          <w:color w:val="auto"/>
          <w:szCs w:val="21"/>
        </w:rPr>
        <w:t>时，按以下约定调整：</w:t>
      </w:r>
    </w:p>
    <w:p w14:paraId="48D9DA76">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u w:val="single"/>
        </w:rPr>
        <w:t>（1±5%）</w:t>
      </w:r>
      <w:r>
        <w:rPr>
          <w:rFonts w:hint="eastAsia" w:ascii="宋体" w:hAnsi="宋体"/>
          <w:color w:val="auto"/>
          <w:szCs w:val="21"/>
        </w:rPr>
        <w:t>调差。</w:t>
      </w:r>
    </w:p>
    <w:p w14:paraId="49276728">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auto"/>
          <w:szCs w:val="21"/>
          <w:u w:val="single"/>
        </w:rPr>
        <w:t>（1±5%）</w:t>
      </w:r>
      <w:r>
        <w:rPr>
          <w:rFonts w:hint="eastAsia" w:ascii="宋体" w:hAnsi="宋体"/>
          <w:color w:val="auto"/>
          <w:szCs w:val="21"/>
        </w:rPr>
        <w:t>调差。</w:t>
      </w:r>
    </w:p>
    <w:p w14:paraId="2D0A6E16">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14:paraId="7D862A83">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（3）</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bookmarkEnd w:id="1352"/>
    <w:p w14:paraId="70C395DD">
      <w:pPr>
        <w:spacing w:line="360" w:lineRule="auto"/>
        <w:ind w:firstLine="560" w:firstLineChars="200"/>
        <w:jc w:val="left"/>
        <w:rPr>
          <w:rFonts w:ascii="宋体" w:hAnsi="宋体"/>
          <w:color w:val="auto"/>
          <w:szCs w:val="21"/>
        </w:rPr>
      </w:pPr>
      <w:bookmarkStart w:id="1357" w:name="_Hlk524297138"/>
      <w:r>
        <w:rPr>
          <w:rFonts w:hint="eastAsia" w:ascii="宋体" w:hAnsi="宋体"/>
          <w:color w:val="auto"/>
          <w:szCs w:val="21"/>
        </w:rPr>
        <w:t>11.1.2 材料费价差调整</w:t>
      </w:r>
      <w:bookmarkEnd w:id="1353"/>
      <w:bookmarkEnd w:id="1354"/>
      <w:bookmarkEnd w:id="1355"/>
      <w:bookmarkEnd w:id="1356"/>
      <w:r>
        <w:rPr>
          <w:rFonts w:hint="eastAsia" w:ascii="宋体" w:hAnsi="宋体"/>
          <w:color w:val="auto"/>
          <w:szCs w:val="21"/>
        </w:rPr>
        <w:t>办法</w:t>
      </w:r>
    </w:p>
    <w:p w14:paraId="62F3DC31">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可调价差材料：</w:t>
      </w:r>
      <w:r>
        <w:rPr>
          <w:rFonts w:hint="eastAsia" w:ascii="宋体" w:hAnsi="宋体"/>
          <w:color w:val="auto"/>
          <w:szCs w:val="21"/>
          <w:u w:val="single"/>
        </w:rPr>
        <w:t>水泥、商品砼、碎石、砂、钢筋、型钢、条石、片石、预应力钢绞线、沥青混凝土、水泥稳定碎石拌和料、预拌商品砂浆、砌筑材料等主要材料（可按工程使用的具体材料确定）</w:t>
      </w:r>
      <w:r>
        <w:rPr>
          <w:rFonts w:hint="eastAsia" w:ascii="宋体" w:hAnsi="宋体"/>
          <w:color w:val="auto"/>
          <w:szCs w:val="21"/>
        </w:rPr>
        <w:t>。</w:t>
      </w:r>
    </w:p>
    <w:p w14:paraId="3EE7B6C2">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可调价差材料的价差调整办法如下：</w:t>
      </w:r>
    </w:p>
    <w:bookmarkEnd w:id="1210"/>
    <w:bookmarkEnd w:id="1211"/>
    <w:bookmarkEnd w:id="1212"/>
    <w:bookmarkEnd w:id="1213"/>
    <w:bookmarkEnd w:id="1214"/>
    <w:bookmarkEnd w:id="1215"/>
    <w:p w14:paraId="71D2CD5C">
      <w:pPr>
        <w:tabs>
          <w:tab w:val="left" w:pos="711"/>
          <w:tab w:val="left" w:pos="2580"/>
        </w:tabs>
        <w:spacing w:line="360" w:lineRule="auto"/>
        <w:ind w:firstLine="560" w:firstLineChars="200"/>
        <w:jc w:val="left"/>
        <w:textAlignment w:val="baseline"/>
        <w:rPr>
          <w:rFonts w:ascii="宋体" w:hAnsi="宋体"/>
          <w:color w:val="auto"/>
          <w:szCs w:val="21"/>
        </w:rPr>
      </w:pPr>
      <w:bookmarkStart w:id="1358" w:name="_Toc296891033"/>
      <w:bookmarkStart w:id="1359" w:name="_Toc297120505"/>
      <w:bookmarkStart w:id="1360" w:name="_Toc292559410"/>
      <w:bookmarkStart w:id="1361" w:name="_Toc296347204"/>
      <w:bookmarkStart w:id="1362" w:name="_Toc296891245"/>
      <w:bookmarkStart w:id="1363" w:name="_Toc296346706"/>
      <w:bookmarkStart w:id="1364" w:name="_Toc296944544"/>
      <w:bookmarkStart w:id="1365" w:name="_Toc296503205"/>
      <w:bookmarkStart w:id="1366" w:name="_Toc292559915"/>
      <w:bookmarkStart w:id="1367" w:name="_Toc297048391"/>
      <w:bookmarkStart w:id="1368" w:name="_Toc351203644"/>
      <w:bookmarkStart w:id="1369" w:name="_Toc297123552"/>
      <w:bookmarkStart w:id="1370" w:name="_Toc304295579"/>
      <w:bookmarkStart w:id="1371" w:name="_Toc303539159"/>
      <w:bookmarkStart w:id="1372" w:name="_Toc300935002"/>
      <w:bookmarkStart w:id="1373" w:name="_Toc312678040"/>
      <w:bookmarkStart w:id="1374" w:name="_Toc297216211"/>
      <w:r>
        <w:rPr>
          <w:rFonts w:hint="eastAsia" w:ascii="宋体" w:hAnsi="宋体"/>
          <w:color w:val="auto"/>
          <w:szCs w:val="21"/>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u w:val="single"/>
        </w:rPr>
        <w:t>±5%</w:t>
      </w:r>
      <w:r>
        <w:rPr>
          <w:rFonts w:hint="eastAsia" w:ascii="宋体" w:hAnsi="宋体"/>
          <w:color w:val="auto"/>
          <w:szCs w:val="21"/>
        </w:rPr>
        <w:t>时，按以下约定调整：</w:t>
      </w:r>
    </w:p>
    <w:p w14:paraId="5F4E394F">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u w:val="single"/>
        </w:rPr>
        <w:t>（1±5%）</w:t>
      </w:r>
      <w:r>
        <w:rPr>
          <w:rFonts w:hint="eastAsia" w:ascii="宋体" w:hAnsi="宋体"/>
          <w:color w:val="auto"/>
          <w:szCs w:val="21"/>
        </w:rPr>
        <w:t>调差。</w:t>
      </w:r>
    </w:p>
    <w:p w14:paraId="25C0B6EB">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auto"/>
          <w:szCs w:val="21"/>
          <w:u w:val="single"/>
        </w:rPr>
        <w:t>（1±5%）</w:t>
      </w:r>
      <w:r>
        <w:rPr>
          <w:rFonts w:hint="eastAsia" w:ascii="宋体" w:hAnsi="宋体"/>
          <w:color w:val="auto"/>
          <w:szCs w:val="21"/>
        </w:rPr>
        <w:t>调差。</w:t>
      </w:r>
    </w:p>
    <w:p w14:paraId="254EB826">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14:paraId="419AD81F">
      <w:pPr>
        <w:tabs>
          <w:tab w:val="left" w:pos="711"/>
          <w:tab w:val="left" w:pos="2580"/>
        </w:tabs>
        <w:spacing w:line="360" w:lineRule="auto"/>
        <w:ind w:firstLine="560" w:firstLineChars="200"/>
        <w:jc w:val="left"/>
        <w:textAlignment w:val="baseline"/>
        <w:rPr>
          <w:rFonts w:ascii="宋体" w:hAnsi="宋体"/>
          <w:color w:val="auto"/>
          <w:szCs w:val="21"/>
        </w:rPr>
      </w:pPr>
      <w:r>
        <w:rPr>
          <w:rFonts w:hint="eastAsia" w:ascii="宋体" w:hAnsi="宋体"/>
          <w:color w:val="auto"/>
          <w:szCs w:val="21"/>
        </w:rPr>
        <w:t>（3）</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bookmarkEnd w:id="1357"/>
    <w:p w14:paraId="1A4BA65A">
      <w:pPr>
        <w:spacing w:line="360" w:lineRule="auto"/>
        <w:ind w:firstLine="560" w:firstLineChars="200"/>
        <w:jc w:val="left"/>
        <w:rPr>
          <w:rFonts w:ascii="宋体" w:hAnsi="宋体"/>
          <w:color w:val="auto"/>
          <w:szCs w:val="21"/>
        </w:rPr>
      </w:pPr>
      <w:r>
        <w:rPr>
          <w:rFonts w:hint="eastAsia" w:ascii="宋体" w:hAnsi="宋体"/>
          <w:color w:val="auto"/>
          <w:szCs w:val="21"/>
        </w:rPr>
        <w:t>第3种方式：其他价格调整方式：</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78B48523">
      <w:pPr>
        <w:pStyle w:val="7"/>
        <w:spacing w:before="0" w:beforeAutospacing="0" w:after="0" w:afterAutospacing="0" w:line="360" w:lineRule="auto"/>
        <w:ind w:firstLine="422" w:firstLineChars="200"/>
        <w:rPr>
          <w:color w:val="auto"/>
          <w:sz w:val="21"/>
          <w:szCs w:val="21"/>
        </w:rPr>
      </w:pPr>
      <w:bookmarkStart w:id="1375" w:name="_Toc532377380"/>
      <w:bookmarkStart w:id="1376" w:name="_Toc532375644"/>
      <w:bookmarkStart w:id="1377" w:name="_Hlk528928232"/>
      <w:r>
        <w:rPr>
          <w:rFonts w:hint="eastAsia"/>
          <w:color w:val="auto"/>
          <w:sz w:val="21"/>
          <w:szCs w:val="21"/>
        </w:rPr>
        <w:t>11.2 法律变化引起的调整</w:t>
      </w:r>
      <w:bookmarkEnd w:id="1375"/>
      <w:bookmarkEnd w:id="1376"/>
    </w:p>
    <w:p w14:paraId="4A207BEB">
      <w:pPr>
        <w:spacing w:line="360" w:lineRule="auto"/>
        <w:ind w:firstLine="560" w:firstLineChars="200"/>
        <w:jc w:val="left"/>
        <w:rPr>
          <w:rFonts w:ascii="宋体" w:hAnsi="宋体"/>
          <w:color w:val="auto"/>
          <w:szCs w:val="21"/>
        </w:rPr>
      </w:pPr>
      <w:r>
        <w:rPr>
          <w:rFonts w:hint="eastAsia" w:ascii="宋体" w:hAnsi="宋体"/>
          <w:color w:val="auto"/>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4BBA3949">
      <w:pPr>
        <w:spacing w:line="360" w:lineRule="auto"/>
        <w:ind w:firstLine="560" w:firstLineChars="200"/>
        <w:jc w:val="left"/>
        <w:rPr>
          <w:rFonts w:ascii="宋体" w:hAnsi="宋体"/>
          <w:color w:val="auto"/>
          <w:szCs w:val="21"/>
        </w:rPr>
      </w:pPr>
      <w:r>
        <w:rPr>
          <w:rFonts w:hint="eastAsia" w:ascii="宋体" w:hAnsi="宋体"/>
          <w:color w:val="auto"/>
          <w:szCs w:val="21"/>
        </w:rPr>
        <w:t>本条补充11.3款</w:t>
      </w:r>
    </w:p>
    <w:bookmarkEnd w:id="1377"/>
    <w:p w14:paraId="2AE4530D">
      <w:pPr>
        <w:pStyle w:val="7"/>
        <w:spacing w:before="0" w:beforeAutospacing="0" w:after="0" w:afterAutospacing="0" w:line="360" w:lineRule="auto"/>
        <w:ind w:firstLine="422" w:firstLineChars="200"/>
        <w:rPr>
          <w:color w:val="auto"/>
          <w:sz w:val="21"/>
          <w:szCs w:val="21"/>
        </w:rPr>
      </w:pPr>
      <w:bookmarkStart w:id="1378" w:name="_Toc532377381"/>
      <w:bookmarkStart w:id="1379" w:name="_Toc532375645"/>
      <w:r>
        <w:rPr>
          <w:rFonts w:hint="eastAsia"/>
          <w:color w:val="auto"/>
          <w:sz w:val="21"/>
          <w:szCs w:val="21"/>
        </w:rPr>
        <w:t>11.3 严重不平衡报价引起的调整</w:t>
      </w:r>
      <w:bookmarkEnd w:id="1378"/>
      <w:bookmarkEnd w:id="1379"/>
    </w:p>
    <w:p w14:paraId="69E3D66C">
      <w:pPr>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rPr>
        <w:t>。</w:t>
      </w:r>
    </w:p>
    <w:p w14:paraId="466C2F6C">
      <w:pPr>
        <w:spacing w:line="360" w:lineRule="auto"/>
        <w:ind w:firstLine="560" w:firstLineChars="200"/>
        <w:jc w:val="left"/>
        <w:rPr>
          <w:rFonts w:ascii="宋体" w:hAnsi="宋体"/>
          <w:color w:val="auto"/>
          <w:szCs w:val="21"/>
          <w:u w:val="single"/>
        </w:rPr>
      </w:pPr>
      <w:r>
        <w:rPr>
          <w:rFonts w:hint="eastAsia" w:ascii="宋体" w:hAnsi="宋体"/>
          <w:color w:val="auto"/>
          <w:szCs w:val="21"/>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rPr>
        <w:t>。</w:t>
      </w:r>
    </w:p>
    <w:p w14:paraId="68CB7610">
      <w:pPr>
        <w:pStyle w:val="6"/>
        <w:keepNext/>
        <w:keepLines/>
        <w:spacing w:before="156" w:beforeLines="50" w:beforeAutospacing="0" w:after="156" w:afterLines="50" w:afterAutospacing="0" w:line="360" w:lineRule="auto"/>
        <w:jc w:val="both"/>
        <w:rPr>
          <w:bCs w:val="0"/>
          <w:color w:val="auto"/>
          <w:kern w:val="2"/>
          <w:sz w:val="21"/>
          <w:szCs w:val="21"/>
        </w:rPr>
      </w:pPr>
      <w:bookmarkStart w:id="1380" w:name="_Toc532375646"/>
      <w:bookmarkStart w:id="1381" w:name="_Toc532377382"/>
      <w:r>
        <w:rPr>
          <w:rFonts w:hint="eastAsia"/>
          <w:color w:val="auto"/>
          <w:kern w:val="2"/>
          <w:sz w:val="21"/>
          <w:szCs w:val="21"/>
        </w:rPr>
        <w:t xml:space="preserve">12. </w:t>
      </w:r>
      <w:bookmarkEnd w:id="1358"/>
      <w:bookmarkEnd w:id="1359"/>
      <w:bookmarkEnd w:id="1360"/>
      <w:bookmarkEnd w:id="1361"/>
      <w:bookmarkEnd w:id="1362"/>
      <w:bookmarkEnd w:id="1363"/>
      <w:bookmarkEnd w:id="1364"/>
      <w:bookmarkEnd w:id="1365"/>
      <w:bookmarkEnd w:id="1366"/>
      <w:bookmarkEnd w:id="1367"/>
      <w:r>
        <w:rPr>
          <w:rFonts w:hint="eastAsia"/>
          <w:color w:val="auto"/>
          <w:kern w:val="2"/>
          <w:sz w:val="21"/>
          <w:szCs w:val="21"/>
        </w:rPr>
        <w:t>合同价格、计量与支付</w:t>
      </w:r>
      <w:bookmarkEnd w:id="1368"/>
      <w:bookmarkEnd w:id="1380"/>
      <w:bookmarkEnd w:id="1381"/>
    </w:p>
    <w:bookmarkEnd w:id="1369"/>
    <w:bookmarkEnd w:id="1370"/>
    <w:bookmarkEnd w:id="1371"/>
    <w:bookmarkEnd w:id="1372"/>
    <w:bookmarkEnd w:id="1373"/>
    <w:bookmarkEnd w:id="1374"/>
    <w:p w14:paraId="09DF6208">
      <w:pPr>
        <w:pStyle w:val="7"/>
        <w:spacing w:before="0" w:beforeAutospacing="0" w:after="0" w:afterAutospacing="0" w:line="360" w:lineRule="auto"/>
        <w:ind w:firstLine="422" w:firstLineChars="200"/>
        <w:rPr>
          <w:color w:val="auto"/>
          <w:sz w:val="21"/>
          <w:szCs w:val="21"/>
        </w:rPr>
      </w:pPr>
      <w:bookmarkStart w:id="1382" w:name="_Toc292559411"/>
      <w:bookmarkStart w:id="1383" w:name="_Toc292559916"/>
      <w:bookmarkStart w:id="1384" w:name="_Toc267251461"/>
      <w:bookmarkStart w:id="1385" w:name="_Toc296347205"/>
      <w:bookmarkStart w:id="1386" w:name="_Toc296944545"/>
      <w:bookmarkStart w:id="1387" w:name="_Toc296346707"/>
      <w:bookmarkStart w:id="1388" w:name="_Toc296891246"/>
      <w:bookmarkStart w:id="1389" w:name="_Toc296891034"/>
      <w:bookmarkStart w:id="1390" w:name="_Toc296503206"/>
      <w:bookmarkStart w:id="1391" w:name="_Toc297048392"/>
      <w:bookmarkStart w:id="1392" w:name="_Toc297120506"/>
      <w:bookmarkStart w:id="1393" w:name="_Toc532375647"/>
      <w:bookmarkStart w:id="1394" w:name="_Toc532377383"/>
      <w:bookmarkStart w:id="1395" w:name="_Toc312678041"/>
      <w:bookmarkStart w:id="1396" w:name="_Toc297123553"/>
      <w:bookmarkStart w:id="1397" w:name="_Toc297216212"/>
      <w:bookmarkStart w:id="1398" w:name="_Toc304295580"/>
      <w:bookmarkStart w:id="1399" w:name="_Toc300935003"/>
      <w:bookmarkStart w:id="1400" w:name="_Toc303539160"/>
      <w:r>
        <w:rPr>
          <w:rFonts w:hint="eastAsia"/>
          <w:color w:val="auto"/>
          <w:sz w:val="21"/>
          <w:szCs w:val="21"/>
        </w:rPr>
        <w:t>12.1 合</w:t>
      </w:r>
      <w:bookmarkEnd w:id="1382"/>
      <w:bookmarkEnd w:id="1383"/>
      <w:bookmarkEnd w:id="1384"/>
      <w:r>
        <w:rPr>
          <w:rFonts w:hint="eastAsia"/>
          <w:color w:val="auto"/>
          <w:sz w:val="21"/>
          <w:szCs w:val="21"/>
        </w:rPr>
        <w:t>同价</w:t>
      </w:r>
      <w:bookmarkEnd w:id="1385"/>
      <w:bookmarkEnd w:id="1386"/>
      <w:bookmarkEnd w:id="1387"/>
      <w:bookmarkEnd w:id="1388"/>
      <w:bookmarkEnd w:id="1389"/>
      <w:bookmarkEnd w:id="1390"/>
      <w:bookmarkEnd w:id="1391"/>
      <w:bookmarkEnd w:id="1392"/>
      <w:r>
        <w:rPr>
          <w:rFonts w:hint="eastAsia"/>
          <w:color w:val="auto"/>
          <w:sz w:val="21"/>
          <w:szCs w:val="21"/>
        </w:rPr>
        <w:t>格形式</w:t>
      </w:r>
      <w:bookmarkEnd w:id="1393"/>
      <w:bookmarkEnd w:id="1394"/>
    </w:p>
    <w:bookmarkEnd w:id="1395"/>
    <w:bookmarkEnd w:id="1396"/>
    <w:bookmarkEnd w:id="1397"/>
    <w:bookmarkEnd w:id="1398"/>
    <w:bookmarkEnd w:id="1399"/>
    <w:bookmarkEnd w:id="1400"/>
    <w:p w14:paraId="78068033">
      <w:pPr>
        <w:spacing w:line="360" w:lineRule="auto"/>
        <w:ind w:firstLine="560" w:firstLineChars="200"/>
        <w:jc w:val="left"/>
        <w:rPr>
          <w:rFonts w:ascii="宋体" w:hAnsi="宋体"/>
          <w:color w:val="auto"/>
          <w:szCs w:val="21"/>
        </w:rPr>
      </w:pPr>
      <w:r>
        <w:rPr>
          <w:rFonts w:hint="eastAsia" w:ascii="宋体" w:hAnsi="宋体"/>
          <w:color w:val="auto"/>
          <w:szCs w:val="21"/>
        </w:rPr>
        <w:t>1、单价合同。</w:t>
      </w:r>
    </w:p>
    <w:p w14:paraId="5B878B40">
      <w:pPr>
        <w:spacing w:line="360" w:lineRule="auto"/>
        <w:ind w:firstLine="560" w:firstLineChars="200"/>
        <w:jc w:val="left"/>
        <w:rPr>
          <w:rFonts w:ascii="宋体" w:hAnsi="宋体"/>
          <w:color w:val="auto"/>
          <w:szCs w:val="21"/>
          <w:u w:val="single"/>
        </w:rPr>
      </w:pPr>
      <w:r>
        <w:rPr>
          <w:rFonts w:hint="eastAsia" w:ascii="宋体" w:hAnsi="宋体"/>
          <w:color w:val="auto"/>
          <w:szCs w:val="21"/>
        </w:rPr>
        <w:t>综合单价包含的风险范围：</w:t>
      </w:r>
      <w:r>
        <w:rPr>
          <w:rFonts w:hint="eastAsia" w:ascii="宋体" w:hAnsi="宋体"/>
          <w:color w:val="auto"/>
          <w:szCs w:val="21"/>
          <w:u w:val="single"/>
        </w:rPr>
        <w:t>包括但不限于为实施和完成合同工程所需的人工费、材料费、施工机具使用费、企业管理费、利润、风险费、施工技术措施项目费、施工组织措施项目费及缺陷修复等费用，以及</w:t>
      </w:r>
      <w:bookmarkStart w:id="1401" w:name="_Hlk528508096"/>
      <w:r>
        <w:rPr>
          <w:rFonts w:hint="eastAsia" w:ascii="宋体" w:hAnsi="宋体"/>
          <w:color w:val="auto"/>
          <w:szCs w:val="21"/>
          <w:u w:val="single"/>
        </w:rPr>
        <w:t>第11.1款〔市场价格波动引起的调整〕约定范围内的市场价格波动风险、政策性文件规定的各项应有费用、</w:t>
      </w:r>
      <w:bookmarkEnd w:id="1401"/>
      <w:r>
        <w:rPr>
          <w:rFonts w:hint="eastAsia" w:ascii="宋体" w:hAnsi="宋体"/>
          <w:color w:val="auto"/>
          <w:szCs w:val="21"/>
          <w:u w:val="single"/>
        </w:rPr>
        <w:t>招标文件和合同明示或暗示的应由承包人承担的所有责任、义务和风险等所需的费用</w:t>
      </w:r>
      <w:r>
        <w:rPr>
          <w:rFonts w:hint="eastAsia" w:ascii="宋体" w:hAnsi="宋体"/>
          <w:color w:val="auto"/>
          <w:szCs w:val="21"/>
        </w:rPr>
        <w:t>。</w:t>
      </w:r>
    </w:p>
    <w:p w14:paraId="53EE7431">
      <w:pPr>
        <w:spacing w:line="360" w:lineRule="auto"/>
        <w:ind w:firstLine="560" w:firstLineChars="200"/>
        <w:jc w:val="left"/>
        <w:rPr>
          <w:rFonts w:ascii="宋体" w:hAnsi="宋体"/>
          <w:color w:val="auto"/>
          <w:szCs w:val="21"/>
          <w:u w:val="single"/>
        </w:rPr>
      </w:pPr>
      <w:r>
        <w:rPr>
          <w:rFonts w:hint="eastAsia" w:ascii="宋体" w:hAnsi="宋体"/>
          <w:color w:val="auto"/>
          <w:szCs w:val="21"/>
        </w:rPr>
        <w:t>风险费用的计算方法：</w:t>
      </w:r>
      <w:r>
        <w:rPr>
          <w:rFonts w:hint="eastAsia" w:ascii="宋体" w:hAnsi="宋体"/>
          <w:color w:val="auto"/>
          <w:szCs w:val="21"/>
          <w:u w:val="single"/>
        </w:rPr>
        <w:t>由承包人自行考虑并计入签约合同价格中，包干使用</w:t>
      </w:r>
      <w:r>
        <w:rPr>
          <w:rFonts w:hint="eastAsia" w:ascii="宋体" w:hAnsi="宋体"/>
          <w:color w:val="auto"/>
          <w:szCs w:val="21"/>
        </w:rPr>
        <w:t>。</w:t>
      </w:r>
    </w:p>
    <w:p w14:paraId="7EEC0171">
      <w:pPr>
        <w:spacing w:line="360" w:lineRule="auto"/>
        <w:ind w:firstLine="560" w:firstLineChars="200"/>
        <w:jc w:val="left"/>
        <w:rPr>
          <w:rFonts w:ascii="宋体" w:hAnsi="宋体"/>
          <w:color w:val="auto"/>
          <w:szCs w:val="21"/>
          <w:u w:val="single"/>
        </w:rPr>
      </w:pPr>
      <w:r>
        <w:rPr>
          <w:rFonts w:hint="eastAsia" w:ascii="宋体" w:hAnsi="宋体"/>
          <w:color w:val="auto"/>
          <w:szCs w:val="21"/>
        </w:rPr>
        <w:t>风险范围以外合同价格的调整方法：</w:t>
      </w:r>
      <w:r>
        <w:rPr>
          <w:rFonts w:hint="eastAsia" w:ascii="宋体" w:hAnsi="宋体"/>
          <w:color w:val="auto"/>
          <w:szCs w:val="21"/>
          <w:u w:val="single"/>
        </w:rPr>
        <w:t>按照合同相关条款约定执行</w:t>
      </w:r>
      <w:r>
        <w:rPr>
          <w:rFonts w:hint="eastAsia" w:ascii="宋体" w:hAnsi="宋体"/>
          <w:color w:val="auto"/>
          <w:szCs w:val="21"/>
        </w:rPr>
        <w:t>。</w:t>
      </w:r>
    </w:p>
    <w:p w14:paraId="4469CA86">
      <w:pPr>
        <w:spacing w:line="360" w:lineRule="auto"/>
        <w:ind w:firstLine="560" w:firstLineChars="200"/>
        <w:jc w:val="left"/>
        <w:rPr>
          <w:rFonts w:ascii="宋体" w:hAnsi="宋体"/>
          <w:color w:val="auto"/>
          <w:szCs w:val="21"/>
        </w:rPr>
      </w:pPr>
      <w:r>
        <w:rPr>
          <w:rFonts w:hint="eastAsia" w:ascii="宋体" w:hAnsi="宋体"/>
          <w:color w:val="auto"/>
          <w:szCs w:val="21"/>
        </w:rPr>
        <w:t>2、总价合同。</w:t>
      </w:r>
    </w:p>
    <w:p w14:paraId="582605A3">
      <w:pPr>
        <w:spacing w:line="360" w:lineRule="auto"/>
        <w:ind w:firstLine="560" w:firstLineChars="200"/>
        <w:jc w:val="left"/>
        <w:rPr>
          <w:rFonts w:ascii="宋体" w:hAnsi="宋体"/>
          <w:color w:val="auto"/>
          <w:szCs w:val="21"/>
          <w:u w:val="single"/>
        </w:rPr>
      </w:pPr>
      <w:r>
        <w:rPr>
          <w:rFonts w:hint="eastAsia" w:ascii="宋体" w:hAnsi="宋体"/>
          <w:color w:val="auto"/>
          <w:szCs w:val="21"/>
        </w:rPr>
        <w:t>总价包含的风险范围：</w:t>
      </w:r>
      <w:r>
        <w:rPr>
          <w:rFonts w:hint="eastAsia" w:ascii="宋体" w:hAnsi="宋体"/>
          <w:color w:val="auto"/>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rPr>
        <w:t>。</w:t>
      </w:r>
    </w:p>
    <w:p w14:paraId="18A313C8">
      <w:pPr>
        <w:spacing w:line="360" w:lineRule="auto"/>
        <w:ind w:firstLine="560" w:firstLineChars="200"/>
        <w:jc w:val="left"/>
        <w:rPr>
          <w:rFonts w:ascii="宋体" w:hAnsi="宋体"/>
          <w:color w:val="auto"/>
          <w:szCs w:val="21"/>
          <w:u w:val="single"/>
        </w:rPr>
      </w:pPr>
      <w:r>
        <w:rPr>
          <w:rFonts w:hint="eastAsia" w:ascii="宋体" w:hAnsi="宋体"/>
          <w:color w:val="auto"/>
          <w:szCs w:val="21"/>
        </w:rPr>
        <w:t>风险费用的计算方法：</w:t>
      </w:r>
      <w:r>
        <w:rPr>
          <w:rFonts w:hint="eastAsia" w:ascii="宋体" w:hAnsi="宋体"/>
          <w:color w:val="auto"/>
          <w:szCs w:val="21"/>
          <w:u w:val="single"/>
        </w:rPr>
        <w:t>由承包人自行考虑并计入签约合同价格中，包干使用</w:t>
      </w:r>
      <w:r>
        <w:rPr>
          <w:rFonts w:hint="eastAsia" w:ascii="宋体" w:hAnsi="宋体"/>
          <w:color w:val="auto"/>
          <w:szCs w:val="21"/>
        </w:rPr>
        <w:t>。</w:t>
      </w:r>
    </w:p>
    <w:p w14:paraId="182D5817">
      <w:pPr>
        <w:spacing w:line="360" w:lineRule="auto"/>
        <w:ind w:firstLine="560" w:firstLineChars="200"/>
        <w:jc w:val="left"/>
        <w:rPr>
          <w:rFonts w:ascii="宋体" w:hAnsi="宋体"/>
          <w:color w:val="auto"/>
          <w:szCs w:val="21"/>
        </w:rPr>
      </w:pPr>
      <w:r>
        <w:rPr>
          <w:rFonts w:hint="eastAsia" w:ascii="宋体" w:hAnsi="宋体"/>
          <w:color w:val="auto"/>
          <w:szCs w:val="21"/>
        </w:rPr>
        <w:t>风险范围以外合同价格的调整方法：</w:t>
      </w:r>
      <w:r>
        <w:rPr>
          <w:rFonts w:hint="eastAsia" w:ascii="宋体" w:hAnsi="宋体"/>
          <w:color w:val="auto"/>
          <w:szCs w:val="21"/>
          <w:u w:val="single"/>
        </w:rPr>
        <w:t>按照合同相关条款约定执行</w:t>
      </w:r>
      <w:r>
        <w:rPr>
          <w:rFonts w:hint="eastAsia" w:ascii="宋体" w:hAnsi="宋体"/>
          <w:color w:val="auto"/>
          <w:szCs w:val="21"/>
        </w:rPr>
        <w:t>。</w:t>
      </w:r>
    </w:p>
    <w:p w14:paraId="00D2F21A">
      <w:pPr>
        <w:spacing w:line="360" w:lineRule="auto"/>
        <w:ind w:firstLine="560" w:firstLineChars="200"/>
        <w:jc w:val="left"/>
        <w:rPr>
          <w:rFonts w:ascii="宋体" w:hAnsi="宋体"/>
          <w:color w:val="auto"/>
          <w:szCs w:val="21"/>
        </w:rPr>
      </w:pPr>
      <w:r>
        <w:rPr>
          <w:rFonts w:hint="eastAsia" w:ascii="宋体" w:hAnsi="宋体"/>
          <w:color w:val="auto"/>
          <w:szCs w:val="21"/>
        </w:rPr>
        <w:t>3、其他价格方式：</w:t>
      </w:r>
      <w:r>
        <w:rPr>
          <w:rFonts w:hint="eastAsia" w:ascii="宋体" w:hAnsi="宋体"/>
          <w:color w:val="auto"/>
          <w:szCs w:val="21"/>
          <w:u w:val="single"/>
        </w:rPr>
        <w:t>不采用</w:t>
      </w:r>
      <w:r>
        <w:rPr>
          <w:rFonts w:hint="eastAsia" w:ascii="宋体" w:hAnsi="宋体"/>
          <w:color w:val="auto"/>
          <w:szCs w:val="21"/>
        </w:rPr>
        <w:t>。</w:t>
      </w:r>
    </w:p>
    <w:p w14:paraId="7547512C">
      <w:pPr>
        <w:pStyle w:val="7"/>
        <w:spacing w:before="0" w:beforeAutospacing="0" w:after="0" w:afterAutospacing="0" w:line="360" w:lineRule="auto"/>
        <w:ind w:firstLine="422" w:firstLineChars="200"/>
        <w:rPr>
          <w:rFonts w:hint="eastAsia"/>
          <w:color w:val="auto"/>
          <w:sz w:val="21"/>
          <w:szCs w:val="21"/>
        </w:rPr>
      </w:pPr>
      <w:bookmarkStart w:id="1402" w:name="_Toc297216213"/>
      <w:bookmarkStart w:id="1403" w:name="_Toc532377384"/>
      <w:bookmarkStart w:id="1404" w:name="_Toc312678042"/>
      <w:bookmarkStart w:id="1405" w:name="_Toc304295581"/>
      <w:bookmarkStart w:id="1406" w:name="_Toc297123554"/>
      <w:bookmarkStart w:id="1407" w:name="_Toc532375648"/>
      <w:bookmarkStart w:id="1408" w:name="_Toc300935004"/>
      <w:bookmarkStart w:id="1409" w:name="_Toc303539161"/>
      <w:bookmarkStart w:id="1410" w:name="_Toc297048393"/>
      <w:bookmarkStart w:id="1411" w:name="_Toc296944546"/>
      <w:bookmarkStart w:id="1412" w:name="_Toc296891035"/>
      <w:bookmarkStart w:id="1413" w:name="_Toc296347206"/>
      <w:bookmarkStart w:id="1414" w:name="_Toc297120507"/>
      <w:bookmarkStart w:id="1415" w:name="_Toc296346708"/>
      <w:bookmarkStart w:id="1416" w:name="_Toc296891247"/>
      <w:bookmarkStart w:id="1417" w:name="_Toc292559917"/>
      <w:bookmarkStart w:id="1418" w:name="_Toc296503207"/>
      <w:bookmarkStart w:id="1419" w:name="_Toc292559412"/>
      <w:r>
        <w:rPr>
          <w:rFonts w:hint="eastAsia"/>
          <w:color w:val="auto"/>
          <w:sz w:val="21"/>
          <w:szCs w:val="21"/>
        </w:rPr>
        <w:t>12.2 预付款</w:t>
      </w:r>
      <w:bookmarkEnd w:id="1402"/>
      <w:bookmarkEnd w:id="1403"/>
      <w:bookmarkEnd w:id="1404"/>
      <w:bookmarkEnd w:id="1405"/>
      <w:bookmarkEnd w:id="1406"/>
      <w:bookmarkEnd w:id="1407"/>
      <w:bookmarkEnd w:id="1408"/>
      <w:bookmarkEnd w:id="1409"/>
    </w:p>
    <w:p w14:paraId="32B44BA3">
      <w:pPr>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预付款支付比例或金额：</w:t>
      </w:r>
      <w:r>
        <w:rPr>
          <w:rFonts w:hint="eastAsia" w:ascii="宋体" w:hAnsi="宋体" w:eastAsia="宋体" w:cs="宋体"/>
          <w:color w:val="auto"/>
          <w:sz w:val="28"/>
          <w:szCs w:val="28"/>
          <w:u w:val="single"/>
          <w:lang w:eastAsia="zh-CN"/>
        </w:rPr>
        <w:t>合同金额的</w:t>
      </w:r>
      <w:r>
        <w:rPr>
          <w:rFonts w:hint="eastAsia" w:ascii="宋体" w:hAnsi="宋体" w:eastAsia="宋体" w:cs="宋体"/>
          <w:color w:val="auto"/>
          <w:sz w:val="28"/>
          <w:szCs w:val="28"/>
          <w:u w:val="single"/>
          <w:lang w:val="en-US" w:eastAsia="zh-CN"/>
        </w:rPr>
        <w:t xml:space="preserve">30%  </w:t>
      </w:r>
      <w:r>
        <w:rPr>
          <w:rFonts w:hint="eastAsia" w:ascii="宋体" w:hAnsi="宋体" w:eastAsia="宋体" w:cs="宋体"/>
          <w:color w:val="auto"/>
          <w:sz w:val="28"/>
          <w:szCs w:val="28"/>
          <w:u w:val="none"/>
          <w:lang w:val="en-US" w:eastAsia="zh-CN"/>
        </w:rPr>
        <w:t>。</w:t>
      </w:r>
    </w:p>
    <w:p w14:paraId="13FE7D5C">
      <w:pPr>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none"/>
          <w:lang w:val="en-US" w:eastAsia="zh-CN"/>
        </w:rPr>
        <w:t>2、预付款支付期限：</w:t>
      </w:r>
      <w:r>
        <w:rPr>
          <w:rFonts w:hint="eastAsia" w:ascii="宋体" w:hAnsi="宋体" w:eastAsia="宋体" w:cs="宋体"/>
          <w:color w:val="auto"/>
          <w:sz w:val="28"/>
          <w:szCs w:val="28"/>
          <w:u w:val="single"/>
          <w:lang w:val="en-US" w:eastAsia="zh-CN"/>
        </w:rPr>
        <w:t>预付款担保提交后15天内。</w:t>
      </w:r>
    </w:p>
    <w:p w14:paraId="76FE681C">
      <w:pPr>
        <w:spacing w:line="360" w:lineRule="auto"/>
        <w:ind w:firstLine="560" w:firstLineChars="200"/>
        <w:jc w:val="left"/>
        <w:rPr>
          <w:rFonts w:hint="eastAsia" w:ascii="宋体" w:hAnsi="宋体" w:cs="Times New Roman"/>
          <w:color w:val="auto"/>
          <w:szCs w:val="21"/>
          <w:u w:val="single"/>
        </w:rPr>
      </w:pPr>
      <w:r>
        <w:rPr>
          <w:rFonts w:hint="eastAsia" w:ascii="宋体" w:hAnsi="宋体" w:cs="Times New Roman"/>
          <w:color w:val="auto"/>
          <w:szCs w:val="21"/>
          <w:lang w:val="en-US" w:eastAsia="zh-CN"/>
        </w:rPr>
        <w:t>3、预付款扣回方式：</w:t>
      </w:r>
      <w:r>
        <w:rPr>
          <w:rFonts w:hint="eastAsia" w:ascii="宋体" w:hAnsi="宋体" w:cs="Times New Roman"/>
          <w:color w:val="auto"/>
          <w:szCs w:val="21"/>
          <w:u w:val="single"/>
        </w:rPr>
        <w:t>乙方每月上报当月工程量及造价，经甲方审定后，按照当月工程结算价的80%并扣除50%预付款后支付进度款，当月工程量结算价的80%不足以抵扣50%预付款时则不予支付进度款</w:t>
      </w:r>
    </w:p>
    <w:p w14:paraId="05B22903">
      <w:pPr>
        <w:spacing w:line="360" w:lineRule="auto"/>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预付款担保</w:t>
      </w:r>
    </w:p>
    <w:p w14:paraId="5EBFFA1B">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承包人提交预付款担保的期限：</w:t>
      </w:r>
      <w:r>
        <w:rPr>
          <w:rFonts w:hint="eastAsia" w:ascii="宋体" w:hAnsi="宋体" w:eastAsia="宋体" w:cs="宋体"/>
          <w:color w:val="auto"/>
          <w:sz w:val="28"/>
          <w:szCs w:val="28"/>
          <w:u w:val="single"/>
          <w:lang w:eastAsia="zh-CN"/>
        </w:rPr>
        <w:t>合同签订后7天内</w:t>
      </w:r>
      <w:r>
        <w:rPr>
          <w:rFonts w:hint="eastAsia" w:ascii="宋体" w:hAnsi="宋体" w:eastAsia="宋体" w:cs="宋体"/>
          <w:color w:val="auto"/>
          <w:sz w:val="28"/>
          <w:szCs w:val="28"/>
          <w:lang w:eastAsia="zh-CN"/>
        </w:rPr>
        <w:t>。</w:t>
      </w:r>
    </w:p>
    <w:p w14:paraId="66AA6881">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预付款担保的形式为：</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lang w:val="en-US" w:eastAsia="zh-CN"/>
        </w:rPr>
        <w:t>现金或银行转帐</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p>
    <w:p w14:paraId="1C1D73DA">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预付款担保的金额：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lang w:val="en-US" w:eastAsia="zh-CN"/>
        </w:rPr>
        <w:t xml:space="preserve"> 合同金额的30%</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p>
    <w:p w14:paraId="35EEB7EC">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预付款担保的时间： </w:t>
      </w:r>
      <w:r>
        <w:rPr>
          <w:rFonts w:hint="eastAsia" w:ascii="宋体" w:hAnsi="宋体" w:eastAsia="宋体" w:cs="宋体"/>
          <w:color w:val="auto"/>
          <w:sz w:val="28"/>
          <w:szCs w:val="28"/>
          <w:u w:val="single"/>
          <w:lang w:eastAsia="zh-CN"/>
        </w:rPr>
        <w:t>合同签订后</w:t>
      </w:r>
      <w:r>
        <w:rPr>
          <w:rFonts w:hint="eastAsia" w:ascii="宋体" w:hAnsi="宋体" w:eastAsia="宋体" w:cs="宋体"/>
          <w:color w:val="auto"/>
          <w:sz w:val="28"/>
          <w:szCs w:val="28"/>
          <w:u w:val="single"/>
          <w:lang w:val="en-US" w:eastAsia="zh-CN"/>
        </w:rPr>
        <w:t>7日内</w:t>
      </w:r>
      <w:r>
        <w:rPr>
          <w:rFonts w:hint="eastAsia" w:ascii="宋体" w:hAnsi="宋体" w:eastAsia="宋体" w:cs="宋体"/>
          <w:color w:val="auto"/>
          <w:sz w:val="28"/>
          <w:szCs w:val="28"/>
          <w:lang w:eastAsia="zh-CN"/>
        </w:rPr>
        <w:t xml:space="preserve"> 。</w:t>
      </w:r>
    </w:p>
    <w:p w14:paraId="4712EF15">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预付款担保的期限：</w:t>
      </w:r>
      <w:r>
        <w:rPr>
          <w:rFonts w:hint="eastAsia" w:ascii="宋体" w:hAnsi="宋体" w:eastAsia="宋体" w:cs="宋体"/>
          <w:color w:val="auto"/>
          <w:sz w:val="28"/>
          <w:szCs w:val="28"/>
          <w:u w:val="single"/>
          <w:lang w:eastAsia="zh-CN"/>
        </w:rPr>
        <w:t xml:space="preserve"> 至工程竣工验收合格之日止 </w:t>
      </w:r>
      <w:r>
        <w:rPr>
          <w:rFonts w:hint="eastAsia" w:ascii="宋体" w:hAnsi="宋体" w:eastAsia="宋体" w:cs="宋体"/>
          <w:color w:val="auto"/>
          <w:sz w:val="28"/>
          <w:szCs w:val="28"/>
          <w:lang w:eastAsia="zh-CN"/>
        </w:rPr>
        <w:t>。</w:t>
      </w:r>
    </w:p>
    <w:p w14:paraId="460008E1">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预付款担保的退还时间： </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竣工验收后15日内</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w:t>
      </w:r>
    </w:p>
    <w:p w14:paraId="0C76230A">
      <w:pPr>
        <w:pStyle w:val="7"/>
        <w:spacing w:before="0" w:beforeAutospacing="0" w:after="0" w:afterAutospacing="0" w:line="360" w:lineRule="auto"/>
        <w:ind w:firstLine="422" w:firstLineChars="200"/>
        <w:rPr>
          <w:rFonts w:hint="eastAsia"/>
          <w:color w:val="auto"/>
          <w:sz w:val="21"/>
          <w:szCs w:val="21"/>
        </w:rPr>
      </w:pPr>
      <w:r>
        <w:rPr>
          <w:rFonts w:hint="eastAsia"/>
          <w:color w:val="auto"/>
          <w:sz w:val="21"/>
          <w:szCs w:val="21"/>
        </w:rPr>
        <w:t>12.3 计量</w:t>
      </w:r>
    </w:p>
    <w:p w14:paraId="2459AA77">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12.3.1 计量原则</w:t>
      </w:r>
    </w:p>
    <w:p w14:paraId="4C00EC7D">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工程量按《建设工程工程量清单计价规范》（GB50500-2013）、《重庆市建设工程工程量清单计价规则》；2018年《重庆市房屋建筑与装饰工程计价定额》、2018年《重庆市城市轨道交通工程计价定额》、2018年《重庆市装配式建筑工程计价定额》、2018年《重庆市通用安装工程计价定额》、2018年《重庆市房屋修缮工程计价定额》、2018年《重庆市仿古建筑工程计价定额》、2018年《重庆市园林绿化计价定额》、2018年《重庆市绿色建筑工程计价定额》、2018年《重庆市构筑物工程计价定额》、2018年《重庆市市政工程计价定额》、2018年《重庆市爆破工程计价定额》、2018年《重庆市建设工程费用定额》及相关配套文件等规定的计算规则及已标价工程量清单规定的工程量计算规则计量。</w:t>
      </w:r>
    </w:p>
    <w:p w14:paraId="5C216B55">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12.3.2 计量周期</w:t>
      </w:r>
    </w:p>
    <w:p w14:paraId="741E0997">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关于计量周期的约定：</w:t>
      </w:r>
      <w:r>
        <w:rPr>
          <w:rFonts w:hint="eastAsia" w:ascii="宋体" w:hAnsi="宋体" w:cs="Times New Roman"/>
          <w:color w:val="auto"/>
          <w:szCs w:val="21"/>
          <w:u w:val="single"/>
          <w:lang w:val="en-US" w:eastAsia="zh-CN"/>
        </w:rPr>
        <w:t>按月计量</w:t>
      </w:r>
      <w:r>
        <w:rPr>
          <w:rFonts w:hint="eastAsia" w:ascii="宋体" w:hAnsi="宋体" w:cs="Times New Roman"/>
          <w:color w:val="auto"/>
          <w:szCs w:val="21"/>
          <w:lang w:val="en-US" w:eastAsia="zh-CN"/>
        </w:rPr>
        <w:t>。</w:t>
      </w:r>
    </w:p>
    <w:p w14:paraId="530B5EF6">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12.3.3 单价合同的计量</w:t>
      </w:r>
    </w:p>
    <w:p w14:paraId="56FC407C">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关于单价合同计量的约定：</w:t>
      </w:r>
    </w:p>
    <w:p w14:paraId="7D16B60D">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（1）承包人应于当月20日前向监理人报送上月已完成的工程量，并附进度付款申请单、已完成工程量报表和其他有关资料。</w:t>
      </w:r>
    </w:p>
    <w:p w14:paraId="4C1ED11B">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（2）承包人未在已标价的工程量清单中填入单价和（或）总价的子目，视为该子目的费用已包含合同工程的其他子目的单价或总价中，不再另行计量支付。</w:t>
      </w:r>
    </w:p>
    <w:p w14:paraId="543F7B88">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3）监理人应在收到承包人提交的工程量报表后7天内完成对承包人提交的工程量报表的审核并报送发包人；发包人收到监理人报送资料后7天内完成审批，以确定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14:paraId="3C5F29D4">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（4）工程量的计量仅作为进度付款的依据，不应认为是承包人履行合同义务完成工程的实际和准确的工程量，实际和准确工程量按竣工图和第12.3.1项〔计量原则〕约定确认的工程量为准。</w:t>
      </w:r>
    </w:p>
    <w:p w14:paraId="1C1555B4">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12.3.4 总价合同的计量</w:t>
      </w:r>
    </w:p>
    <w:p w14:paraId="2564F5F6">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关于总价合同计量的约定：</w:t>
      </w:r>
      <w:r>
        <w:rPr>
          <w:rFonts w:hint="eastAsia" w:ascii="宋体" w:hAnsi="宋体" w:cs="Times New Roman"/>
          <w:color w:val="auto"/>
          <w:szCs w:val="21"/>
          <w:u w:val="single"/>
          <w:lang w:val="en-US" w:eastAsia="zh-CN"/>
        </w:rPr>
        <w:t>/</w:t>
      </w:r>
      <w:r>
        <w:rPr>
          <w:rFonts w:hint="eastAsia" w:ascii="宋体" w:hAnsi="宋体" w:cs="Times New Roman"/>
          <w:color w:val="auto"/>
          <w:szCs w:val="21"/>
          <w:lang w:val="en-US" w:eastAsia="zh-CN"/>
        </w:rPr>
        <w:t xml:space="preserve"> 。</w:t>
      </w:r>
    </w:p>
    <w:p w14:paraId="2E15F9BB">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12.3.5总价合同采用支付分解表计量支付的，是否适用第12.3.4项〔总价合同的计量〕约定进行计量：</w:t>
      </w:r>
      <w:r>
        <w:rPr>
          <w:rFonts w:hint="eastAsia" w:ascii="宋体" w:hAnsi="宋体" w:cs="Times New Roman"/>
          <w:color w:val="auto"/>
          <w:szCs w:val="21"/>
          <w:u w:val="single"/>
          <w:lang w:val="en-US" w:eastAsia="zh-CN"/>
        </w:rPr>
        <w:t xml:space="preserve">/ </w:t>
      </w:r>
      <w:r>
        <w:rPr>
          <w:rFonts w:hint="eastAsia" w:ascii="宋体" w:hAnsi="宋体" w:cs="Times New Roman"/>
          <w:color w:val="auto"/>
          <w:szCs w:val="21"/>
          <w:lang w:val="en-US" w:eastAsia="zh-CN"/>
        </w:rPr>
        <w:t>。</w:t>
      </w:r>
    </w:p>
    <w:p w14:paraId="5B6E7421">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12.3.6 其他价格形式合同的计量</w:t>
      </w:r>
    </w:p>
    <w:p w14:paraId="6A8DB79E">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其他价格形式的计量方式和程序：</w:t>
      </w:r>
      <w:r>
        <w:rPr>
          <w:rFonts w:hint="eastAsia" w:ascii="宋体" w:hAnsi="宋体" w:cs="Times New Roman"/>
          <w:color w:val="auto"/>
          <w:szCs w:val="21"/>
          <w:u w:val="single"/>
          <w:lang w:val="en-US" w:eastAsia="zh-CN"/>
        </w:rPr>
        <w:t>不采用</w:t>
      </w:r>
      <w:r>
        <w:rPr>
          <w:rFonts w:hint="eastAsia" w:ascii="宋体" w:hAnsi="宋体" w:cs="Times New Roman"/>
          <w:color w:val="auto"/>
          <w:szCs w:val="21"/>
          <w:lang w:val="en-US" w:eastAsia="zh-CN"/>
        </w:rPr>
        <w:t>。</w:t>
      </w:r>
    </w:p>
    <w:p w14:paraId="022B823E">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12.4.1 付款周期</w:t>
      </w:r>
    </w:p>
    <w:p w14:paraId="08BEEC4F">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关于付款周期的约定：</w:t>
      </w:r>
      <w:r>
        <w:rPr>
          <w:rFonts w:hint="eastAsia" w:ascii="宋体" w:hAnsi="宋体" w:cs="Times New Roman"/>
          <w:color w:val="auto"/>
          <w:szCs w:val="21"/>
          <w:u w:val="single"/>
          <w:lang w:val="en-US" w:eastAsia="zh-CN"/>
        </w:rPr>
        <w:t>按月计量支付进度款</w:t>
      </w:r>
      <w:r>
        <w:rPr>
          <w:rFonts w:hint="eastAsia" w:ascii="宋体" w:hAnsi="宋体" w:cs="Times New Roman"/>
          <w:color w:val="auto"/>
          <w:szCs w:val="21"/>
          <w:lang w:val="en-US" w:eastAsia="zh-CN"/>
        </w:rPr>
        <w:t>。</w:t>
      </w:r>
    </w:p>
    <w:p w14:paraId="7CD26351">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12.4.2 进度付款申请单的编制</w:t>
      </w:r>
    </w:p>
    <w:p w14:paraId="1316A637">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进度付款申请单应包括下列内容：</w:t>
      </w:r>
    </w:p>
    <w:p w14:paraId="7A9D2D0F">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（1）截至本次付款周期已完成工作对应的金额；</w:t>
      </w:r>
    </w:p>
    <w:p w14:paraId="2B55E9CF">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（2）根据第10条〔变更〕应增加和扣减的已审定变更金额；</w:t>
      </w:r>
    </w:p>
    <w:p w14:paraId="2AF36094">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（3）根据第12.2款〔预付款〕约定应支付的预付款和扣减的返还预付款；</w:t>
      </w:r>
    </w:p>
    <w:p w14:paraId="5B309679">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（4）根据第15.3款〔质量保证金〕约定应扣减的质量保证金；</w:t>
      </w:r>
    </w:p>
    <w:p w14:paraId="45368AB7">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（5）根据第19条〔索赔〕应增加和扣减的已审定索赔金额；</w:t>
      </w:r>
    </w:p>
    <w:p w14:paraId="45F06BE7">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（6）根据第11条〔价格调整〕应增加和扣减的价格调整金额；</w:t>
      </w:r>
    </w:p>
    <w:p w14:paraId="18C23ABC">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（7）对已签发的进度款支付证书中出现错误的修正，应在本次进度付款中支付或扣除的金额；</w:t>
      </w:r>
    </w:p>
    <w:p w14:paraId="6ACE7C1C">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（8）根据合同约定承包人应向发包人支付的违约金；</w:t>
      </w:r>
    </w:p>
    <w:p w14:paraId="01670916">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（9）根据合同约定发包人应向承包人支付的违约金和（或）奖励；</w:t>
      </w:r>
    </w:p>
    <w:p w14:paraId="7308C0FB">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（10）根据合同约定应增加和扣减的其他金额；</w:t>
      </w:r>
    </w:p>
    <w:p w14:paraId="069F589B">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（11）当月应支付的人工费（工资款）金额。</w:t>
      </w:r>
    </w:p>
    <w:p w14:paraId="2FB2A5B3">
      <w:pPr>
        <w:spacing w:line="360" w:lineRule="auto"/>
        <w:ind w:firstLine="560" w:firstLineChars="200"/>
        <w:jc w:val="left"/>
        <w:rPr>
          <w:rFonts w:hint="eastAsia" w:ascii="宋体" w:hAnsi="宋体" w:cs="Times New Roman"/>
          <w:color w:val="auto"/>
          <w:szCs w:val="21"/>
          <w:u w:val="none"/>
          <w:lang w:val="en-US" w:eastAsia="zh-CN"/>
        </w:rPr>
      </w:pPr>
      <w:r>
        <w:rPr>
          <w:rFonts w:hint="eastAsia" w:ascii="宋体" w:hAnsi="宋体" w:cs="Times New Roman"/>
          <w:color w:val="auto"/>
          <w:szCs w:val="21"/>
          <w:u w:val="none"/>
          <w:lang w:val="en-US" w:eastAsia="zh-CN"/>
        </w:rPr>
        <w:t>12.4.3 进度付款申请单的提交</w:t>
      </w:r>
    </w:p>
    <w:p w14:paraId="2898ABFB">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none"/>
          <w:lang w:val="en-US" w:eastAsia="zh-CN"/>
        </w:rPr>
        <w:t>（1）单价合同进度付款申请单提交的约定：</w:t>
      </w:r>
      <w:r>
        <w:rPr>
          <w:rFonts w:hint="eastAsia" w:ascii="宋体" w:hAnsi="宋体" w:cs="Times New Roman"/>
          <w:color w:val="auto"/>
          <w:szCs w:val="21"/>
          <w:u w:val="single"/>
          <w:lang w:val="en-US" w:eastAsia="zh-CN"/>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p>
    <w:p w14:paraId="3294C45A">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（2）总价合同进度付款申请单提交的约定：</w:t>
      </w:r>
      <w:r>
        <w:rPr>
          <w:rFonts w:hint="eastAsia" w:ascii="宋体" w:hAnsi="宋体" w:cs="Times New Roman"/>
          <w:color w:val="auto"/>
          <w:szCs w:val="21"/>
          <w:u w:val="single"/>
          <w:lang w:val="en-US" w:eastAsia="zh-CN"/>
        </w:rPr>
        <w:t>/</w:t>
      </w:r>
      <w:r>
        <w:rPr>
          <w:rFonts w:hint="eastAsia" w:ascii="宋体" w:hAnsi="宋体" w:cs="Times New Roman"/>
          <w:color w:val="auto"/>
          <w:szCs w:val="21"/>
          <w:lang w:val="en-US" w:eastAsia="zh-CN"/>
        </w:rPr>
        <w:t>。</w:t>
      </w:r>
    </w:p>
    <w:p w14:paraId="31448753">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（3）其他价格形式合同进度付款申请单提交的约定：</w:t>
      </w:r>
      <w:r>
        <w:rPr>
          <w:rFonts w:hint="eastAsia" w:ascii="宋体" w:hAnsi="宋体" w:cs="Times New Roman"/>
          <w:color w:val="auto"/>
          <w:szCs w:val="21"/>
          <w:u w:val="single"/>
          <w:lang w:val="en-US" w:eastAsia="zh-CN"/>
        </w:rPr>
        <w:t>不采用</w:t>
      </w:r>
      <w:r>
        <w:rPr>
          <w:rFonts w:hint="eastAsia" w:ascii="宋体" w:hAnsi="宋体" w:cs="Times New Roman"/>
          <w:color w:val="auto"/>
          <w:szCs w:val="21"/>
          <w:lang w:val="en-US" w:eastAsia="zh-CN"/>
        </w:rPr>
        <w:t>。</w:t>
      </w:r>
    </w:p>
    <w:p w14:paraId="7F3E44F9">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12.4.4 进度款审核和支付</w:t>
      </w:r>
    </w:p>
    <w:p w14:paraId="25FC55B4">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（1）监理人审查并报送发包人的期限：</w:t>
      </w:r>
      <w:r>
        <w:rPr>
          <w:rFonts w:hint="eastAsia" w:ascii="宋体" w:hAnsi="宋体" w:cs="Times New Roman"/>
          <w:color w:val="auto"/>
          <w:szCs w:val="21"/>
          <w:u w:val="single"/>
          <w:lang w:val="en-US" w:eastAsia="zh-CN"/>
        </w:rPr>
        <w:t>收到完整资料后7天内</w:t>
      </w:r>
      <w:r>
        <w:rPr>
          <w:rFonts w:hint="eastAsia" w:ascii="宋体" w:hAnsi="宋体" w:cs="Times New Roman"/>
          <w:color w:val="auto"/>
          <w:szCs w:val="21"/>
          <w:lang w:val="en-US" w:eastAsia="zh-CN"/>
        </w:rPr>
        <w:t>。</w:t>
      </w:r>
    </w:p>
    <w:p w14:paraId="6AA4E97B">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发包人完成审批并签发进度款支付证书的期限：</w:t>
      </w:r>
      <w:r>
        <w:rPr>
          <w:rFonts w:hint="eastAsia" w:ascii="宋体" w:hAnsi="宋体" w:cs="Times New Roman"/>
          <w:color w:val="auto"/>
          <w:szCs w:val="21"/>
          <w:u w:val="single"/>
          <w:lang w:val="en-US" w:eastAsia="zh-CN"/>
        </w:rPr>
        <w:t>发包人收到监理人报送资料后7天内完成审批并签发进度款支付证书。</w:t>
      </w:r>
    </w:p>
    <w:p w14:paraId="0B353009">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0FDF3426">
      <w:pPr>
        <w:spacing w:line="360" w:lineRule="auto"/>
        <w:ind w:firstLine="560" w:firstLineChars="200"/>
        <w:jc w:val="left"/>
        <w:rPr>
          <w:rFonts w:hint="eastAsia" w:ascii="宋体" w:hAnsi="宋体" w:cs="Times New Roman"/>
          <w:color w:val="auto"/>
          <w:szCs w:val="21"/>
          <w:u w:val="single"/>
          <w:lang w:val="en-US" w:eastAsia="zh-CN"/>
        </w:rPr>
      </w:pPr>
      <w:r>
        <w:rPr>
          <w:rFonts w:hint="eastAsia" w:ascii="宋体" w:hAnsi="宋体" w:cs="Times New Roman"/>
          <w:color w:val="auto"/>
          <w:szCs w:val="21"/>
          <w:u w:val="single"/>
          <w:lang w:val="en-US" w:eastAsia="zh-CN"/>
        </w:rPr>
        <w:t>发包人签发进度款支付证书或临时进度款支付证书，不表明发包人已同意、批准或接受了承包人完成的相应部分的工作。</w:t>
      </w:r>
    </w:p>
    <w:p w14:paraId="022A3D85">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（2）进度款支付：</w:t>
      </w:r>
    </w:p>
    <w:p w14:paraId="7F6DAADD">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①发包人将上月农民工工资支付凭证作为当月进度款支付的前置条件。</w:t>
      </w:r>
    </w:p>
    <w:p w14:paraId="012217CA">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②本工程进度款按每月完成审定工程量的80%支付(超出清单和新增工程量部分不支付)；</w:t>
      </w:r>
    </w:p>
    <w:p w14:paraId="74C51AD7">
      <w:pPr>
        <w:spacing w:line="360" w:lineRule="auto"/>
        <w:ind w:firstLine="560" w:firstLineChars="200"/>
        <w:jc w:val="left"/>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③发包人在支付承包人款项前，承包人须向发包人开具合格的增值税专用发票，发包人在收到承包人开具的正规发票后14个工作日内支付。</w:t>
      </w:r>
    </w:p>
    <w:p w14:paraId="660FCA83">
      <w:pPr>
        <w:spacing w:line="360" w:lineRule="auto"/>
        <w:ind w:firstLine="560" w:firstLineChars="200"/>
        <w:jc w:val="left"/>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④工程竣工验收合格后28天内，发包人向承包人支付至累计进度审定金额的 85 %；完成结算审核后28天内，工程竣工验收合格，经发包人的上级部门复核后，承包人支付审定金额的3%作为工程质量保修金，发包人在收到工程质量保修金后10日内支付审定金额的100%。工程质量保修金退还按国家相关规定执行。</w:t>
      </w:r>
    </w:p>
    <w:bookmarkEnd w:id="1410"/>
    <w:bookmarkEnd w:id="1411"/>
    <w:bookmarkEnd w:id="1412"/>
    <w:bookmarkEnd w:id="1413"/>
    <w:bookmarkEnd w:id="1414"/>
    <w:bookmarkEnd w:id="1415"/>
    <w:bookmarkEnd w:id="1416"/>
    <w:bookmarkEnd w:id="1417"/>
    <w:bookmarkEnd w:id="1418"/>
    <w:bookmarkEnd w:id="1419"/>
    <w:p w14:paraId="10993255">
      <w:pPr>
        <w:pStyle w:val="7"/>
        <w:spacing w:before="0" w:beforeAutospacing="0" w:after="0" w:afterAutospacing="0" w:line="360" w:lineRule="auto"/>
        <w:ind w:firstLine="422" w:firstLineChars="200"/>
        <w:rPr>
          <w:color w:val="auto"/>
          <w:sz w:val="21"/>
          <w:szCs w:val="21"/>
        </w:rPr>
      </w:pPr>
      <w:bookmarkStart w:id="1420" w:name="_Toc532377387"/>
      <w:bookmarkStart w:id="1421" w:name="_Toc351203585"/>
      <w:r>
        <w:rPr>
          <w:rFonts w:hint="eastAsia"/>
          <w:color w:val="auto"/>
          <w:sz w:val="21"/>
          <w:szCs w:val="21"/>
        </w:rPr>
        <w:t>12.5支付账户</w:t>
      </w:r>
      <w:bookmarkEnd w:id="1420"/>
      <w:bookmarkEnd w:id="1421"/>
    </w:p>
    <w:p w14:paraId="6949A70B">
      <w:pPr>
        <w:spacing w:line="360" w:lineRule="auto"/>
        <w:ind w:firstLine="560" w:firstLineChars="200"/>
        <w:jc w:val="left"/>
        <w:rPr>
          <w:rFonts w:ascii="宋体" w:hAnsi="宋体"/>
          <w:color w:val="auto"/>
          <w:szCs w:val="21"/>
        </w:rPr>
      </w:pPr>
      <w:r>
        <w:rPr>
          <w:rFonts w:hint="eastAsia" w:ascii="宋体" w:hAnsi="宋体"/>
          <w:color w:val="auto"/>
          <w:szCs w:val="21"/>
        </w:rPr>
        <w:t>发包人应将合同价款支付至如下承包人指定的开户银行及银行账户：</w:t>
      </w:r>
    </w:p>
    <w:p w14:paraId="2C0D41EE">
      <w:pPr>
        <w:spacing w:line="360" w:lineRule="auto"/>
        <w:ind w:firstLine="560" w:firstLineChars="200"/>
        <w:jc w:val="left"/>
        <w:rPr>
          <w:rFonts w:ascii="宋体" w:hAnsi="宋体"/>
          <w:color w:val="auto"/>
          <w:kern w:val="0"/>
          <w:szCs w:val="21"/>
          <w:u w:val="single"/>
        </w:rPr>
      </w:pPr>
      <w:r>
        <w:rPr>
          <w:rFonts w:hint="eastAsia" w:ascii="宋体" w:hAnsi="宋体"/>
          <w:color w:val="auto"/>
          <w:kern w:val="0"/>
          <w:szCs w:val="21"/>
        </w:rPr>
        <w:t>收款单位名称：</w:t>
      </w:r>
      <w:r>
        <w:rPr>
          <w:rFonts w:ascii="宋体" w:hAnsi="宋体"/>
          <w:color w:val="auto"/>
          <w:kern w:val="0"/>
          <w:szCs w:val="21"/>
          <w:u w:val="single"/>
        </w:rPr>
        <w:t xml:space="preserve">   </w:t>
      </w:r>
      <w:r>
        <w:rPr>
          <w:rFonts w:hint="eastAsia" w:ascii="宋体" w:hAnsi="宋体" w:cs="Times New Roman"/>
          <w:snapToGrid w:val="0"/>
          <w:color w:val="auto"/>
          <w:kern w:val="0"/>
          <w:szCs w:val="21"/>
          <w:u w:val="single"/>
          <w:lang w:val="en-US" w:eastAsia="zh-CN"/>
        </w:rPr>
        <w:t xml:space="preserve">   </w:t>
      </w:r>
      <w:r>
        <w:rPr>
          <w:rFonts w:ascii="宋体" w:hAnsi="宋体"/>
          <w:color w:val="auto"/>
          <w:kern w:val="0"/>
          <w:szCs w:val="21"/>
          <w:u w:val="single"/>
        </w:rPr>
        <w:t xml:space="preserve">    </w:t>
      </w:r>
      <w:r>
        <w:rPr>
          <w:rFonts w:hint="eastAsia" w:ascii="宋体" w:hAnsi="宋体"/>
          <w:color w:val="auto"/>
          <w:kern w:val="0"/>
          <w:szCs w:val="21"/>
        </w:rPr>
        <w:t>；</w:t>
      </w:r>
    </w:p>
    <w:p w14:paraId="586991D3">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收款账号：</w:t>
      </w:r>
      <w:r>
        <w:rPr>
          <w:rFonts w:ascii="宋体" w:hAnsi="宋体"/>
          <w:color w:val="auto"/>
          <w:kern w:val="0"/>
          <w:szCs w:val="21"/>
          <w:u w:val="single"/>
        </w:rPr>
        <w:t xml:space="preserve">     </w:t>
      </w:r>
      <w:r>
        <w:rPr>
          <w:rFonts w:hint="eastAsia" w:ascii="宋体" w:hAnsi="宋体" w:cs="Times New Roman"/>
          <w:snapToGrid w:val="0"/>
          <w:color w:val="auto"/>
          <w:kern w:val="0"/>
          <w:szCs w:val="21"/>
          <w:u w:val="single"/>
          <w:lang w:val="en-US" w:eastAsia="zh-CN"/>
        </w:rPr>
        <w:t xml:space="preserve"> </w:t>
      </w:r>
      <w:r>
        <w:rPr>
          <w:rFonts w:ascii="宋体" w:hAnsi="宋体"/>
          <w:color w:val="auto"/>
          <w:kern w:val="0"/>
          <w:szCs w:val="21"/>
          <w:u w:val="single"/>
        </w:rPr>
        <w:t xml:space="preserve">    </w:t>
      </w:r>
      <w:r>
        <w:rPr>
          <w:rFonts w:hint="eastAsia" w:ascii="宋体" w:hAnsi="宋体"/>
          <w:color w:val="auto"/>
          <w:kern w:val="0"/>
          <w:szCs w:val="21"/>
        </w:rPr>
        <w:t>；</w:t>
      </w:r>
    </w:p>
    <w:p w14:paraId="2B857D95">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收款开户银行：</w:t>
      </w:r>
      <w:r>
        <w:rPr>
          <w:rFonts w:ascii="宋体" w:hAnsi="宋体"/>
          <w:color w:val="auto"/>
          <w:kern w:val="0"/>
          <w:szCs w:val="21"/>
          <w:u w:val="single"/>
        </w:rPr>
        <w:t xml:space="preserve">   </w:t>
      </w:r>
      <w:r>
        <w:rPr>
          <w:rFonts w:hint="eastAsia" w:ascii="宋体" w:hAnsi="宋体" w:cs="Times New Roman"/>
          <w:snapToGrid w:val="0"/>
          <w:color w:val="auto"/>
          <w:kern w:val="0"/>
          <w:szCs w:val="21"/>
          <w:u w:val="single"/>
          <w:lang w:val="en-US" w:eastAsia="zh-CN"/>
        </w:rPr>
        <w:t xml:space="preserve">  </w:t>
      </w:r>
      <w:r>
        <w:rPr>
          <w:rFonts w:ascii="宋体" w:hAnsi="宋体"/>
          <w:color w:val="auto"/>
          <w:kern w:val="0"/>
          <w:szCs w:val="21"/>
          <w:u w:val="single"/>
        </w:rPr>
        <w:t xml:space="preserve">   </w:t>
      </w:r>
      <w:r>
        <w:rPr>
          <w:rFonts w:hint="eastAsia" w:ascii="宋体" w:hAnsi="宋体"/>
          <w:color w:val="auto"/>
          <w:kern w:val="0"/>
          <w:szCs w:val="21"/>
        </w:rPr>
        <w:t>。</w:t>
      </w:r>
    </w:p>
    <w:p w14:paraId="7AF57EDA">
      <w:pPr>
        <w:spacing w:line="360" w:lineRule="auto"/>
        <w:ind w:firstLine="560" w:firstLineChars="200"/>
        <w:jc w:val="left"/>
        <w:rPr>
          <w:rFonts w:ascii="宋体" w:hAnsi="宋体"/>
          <w:color w:val="auto"/>
          <w:kern w:val="0"/>
          <w:szCs w:val="21"/>
        </w:rPr>
      </w:pPr>
      <w:r>
        <w:rPr>
          <w:rFonts w:hint="eastAsia" w:ascii="宋体" w:hAnsi="宋体"/>
          <w:color w:val="auto"/>
          <w:kern w:val="0"/>
          <w:szCs w:val="21"/>
        </w:rPr>
        <w:t>发包人应</w:t>
      </w:r>
      <w:r>
        <w:rPr>
          <w:rFonts w:hint="eastAsia" w:ascii="宋体" w:hAnsi="宋体"/>
          <w:color w:val="auto"/>
          <w:kern w:val="0"/>
          <w:szCs w:val="21"/>
          <w:lang w:val="en-US" w:eastAsia="zh-CN"/>
        </w:rPr>
        <w:t>按行业主管部门的相关规定</w:t>
      </w:r>
      <w:r>
        <w:rPr>
          <w:rFonts w:hint="eastAsia" w:ascii="宋体" w:hAnsi="宋体"/>
          <w:color w:val="auto"/>
          <w:kern w:val="0"/>
          <w:szCs w:val="21"/>
        </w:rPr>
        <w:t>将人工费（工资款）支付至承包人指定的农民工工资专用账户。</w:t>
      </w:r>
    </w:p>
    <w:p w14:paraId="5AD37255">
      <w:pPr>
        <w:pStyle w:val="6"/>
        <w:keepNext/>
        <w:keepLines/>
        <w:spacing w:before="156" w:beforeLines="50" w:beforeAutospacing="0" w:after="156" w:afterLines="50" w:afterAutospacing="0" w:line="360" w:lineRule="auto"/>
        <w:jc w:val="both"/>
        <w:rPr>
          <w:bCs w:val="0"/>
          <w:color w:val="auto"/>
          <w:kern w:val="2"/>
          <w:sz w:val="21"/>
          <w:szCs w:val="21"/>
        </w:rPr>
      </w:pPr>
      <w:bookmarkStart w:id="1422" w:name="_Toc532377388"/>
      <w:bookmarkStart w:id="1423" w:name="_Toc532375651"/>
      <w:bookmarkStart w:id="1424" w:name="_Toc351203645"/>
      <w:bookmarkStart w:id="1425" w:name="_Toc303539172"/>
      <w:bookmarkStart w:id="1426" w:name="_Toc296944558"/>
      <w:bookmarkStart w:id="1427" w:name="_Toc292559929"/>
      <w:bookmarkStart w:id="1428" w:name="_Toc312678053"/>
      <w:bookmarkStart w:id="1429" w:name="_Toc297216223"/>
      <w:bookmarkStart w:id="1430" w:name="_Toc296347218"/>
      <w:bookmarkStart w:id="1431" w:name="_Toc296346720"/>
      <w:bookmarkStart w:id="1432" w:name="_Toc296891259"/>
      <w:bookmarkStart w:id="1433" w:name="_Toc296503219"/>
      <w:bookmarkStart w:id="1434" w:name="_Toc297120519"/>
      <w:bookmarkStart w:id="1435" w:name="_Toc297123564"/>
      <w:bookmarkStart w:id="1436" w:name="_Toc304295593"/>
      <w:bookmarkStart w:id="1437" w:name="_Toc300935015"/>
      <w:bookmarkStart w:id="1438" w:name="_Toc296891047"/>
      <w:bookmarkStart w:id="1439" w:name="_Toc292559424"/>
      <w:bookmarkStart w:id="1440" w:name="_Toc297048405"/>
      <w:r>
        <w:rPr>
          <w:rFonts w:hint="eastAsia"/>
          <w:color w:val="auto"/>
          <w:kern w:val="2"/>
          <w:sz w:val="21"/>
          <w:szCs w:val="21"/>
        </w:rPr>
        <w:t>13. 验收和工程试车</w:t>
      </w:r>
      <w:bookmarkEnd w:id="1422"/>
      <w:bookmarkEnd w:id="1423"/>
      <w:bookmarkEnd w:id="1424"/>
    </w:p>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14:paraId="60E1298B">
      <w:pPr>
        <w:pStyle w:val="7"/>
        <w:spacing w:before="0" w:beforeAutospacing="0" w:after="0" w:afterAutospacing="0" w:line="360" w:lineRule="auto"/>
        <w:ind w:firstLine="422" w:firstLineChars="200"/>
        <w:rPr>
          <w:color w:val="auto"/>
          <w:sz w:val="21"/>
          <w:szCs w:val="21"/>
        </w:rPr>
      </w:pPr>
      <w:bookmarkStart w:id="1441" w:name="_Toc532375652"/>
      <w:bookmarkStart w:id="1442" w:name="_Toc532377389"/>
      <w:bookmarkStart w:id="1443" w:name="_Toc280868704"/>
      <w:bookmarkStart w:id="1444" w:name="_Toc280868705"/>
      <w:bookmarkStart w:id="1445" w:name="_Toc280868706"/>
      <w:bookmarkStart w:id="1446" w:name="_Toc280868707"/>
      <w:bookmarkStart w:id="1447" w:name="_Toc280868708"/>
      <w:bookmarkStart w:id="1448" w:name="_Toc267251472"/>
      <w:bookmarkStart w:id="1449" w:name="_Toc267251475"/>
      <w:bookmarkStart w:id="1450" w:name="_Toc267251471"/>
      <w:bookmarkStart w:id="1451" w:name="_Toc267251476"/>
      <w:bookmarkStart w:id="1452" w:name="_Toc267251473"/>
      <w:bookmarkStart w:id="1453" w:name="_Toc267251470"/>
      <w:bookmarkStart w:id="1454" w:name="_Toc280868709"/>
      <w:bookmarkStart w:id="1455" w:name="_Toc267251474"/>
      <w:r>
        <w:rPr>
          <w:rFonts w:hint="eastAsia"/>
          <w:color w:val="auto"/>
          <w:sz w:val="21"/>
          <w:szCs w:val="21"/>
        </w:rPr>
        <w:t>13.1 分部分项工程验收</w:t>
      </w:r>
      <w:bookmarkEnd w:id="1441"/>
      <w:bookmarkEnd w:id="1442"/>
    </w:p>
    <w:p w14:paraId="0EA6C89A">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13.1.2 监理人不能按时进行验收时，应提前</w:t>
      </w:r>
      <w:r>
        <w:rPr>
          <w:rFonts w:hint="eastAsia" w:ascii="宋体" w:hAnsi="宋体"/>
          <w:color w:val="auto"/>
          <w:szCs w:val="21"/>
          <w:u w:val="single"/>
        </w:rPr>
        <w:t>24</w:t>
      </w:r>
      <w:r>
        <w:rPr>
          <w:rFonts w:hint="eastAsia" w:ascii="宋体" w:hAnsi="宋体"/>
          <w:color w:val="auto"/>
          <w:szCs w:val="21"/>
        </w:rPr>
        <w:t>小时提交书面延期要求。</w:t>
      </w:r>
    </w:p>
    <w:p w14:paraId="6138EAE1">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关于延期最长不得超过：</w:t>
      </w:r>
      <w:r>
        <w:rPr>
          <w:rFonts w:hint="eastAsia" w:ascii="宋体" w:hAnsi="宋体"/>
          <w:color w:val="auto"/>
          <w:szCs w:val="21"/>
          <w:u w:val="single"/>
        </w:rPr>
        <w:t>48</w:t>
      </w:r>
      <w:r>
        <w:rPr>
          <w:rFonts w:hint="eastAsia" w:ascii="宋体" w:hAnsi="宋体"/>
          <w:color w:val="auto"/>
          <w:szCs w:val="21"/>
        </w:rPr>
        <w:t>小时。</w:t>
      </w:r>
    </w:p>
    <w:p w14:paraId="17FC32B6">
      <w:pPr>
        <w:pStyle w:val="7"/>
        <w:spacing w:before="0" w:beforeAutospacing="0" w:after="0" w:afterAutospacing="0" w:line="360" w:lineRule="auto"/>
        <w:ind w:firstLine="422" w:firstLineChars="200"/>
        <w:rPr>
          <w:color w:val="auto"/>
          <w:sz w:val="21"/>
          <w:szCs w:val="21"/>
        </w:rPr>
      </w:pPr>
      <w:bookmarkStart w:id="1456" w:name="_Toc532377390"/>
      <w:bookmarkStart w:id="1457" w:name="_Toc532375653"/>
      <w:bookmarkStart w:id="1458" w:name="_Toc296891051"/>
      <w:bookmarkStart w:id="1459" w:name="_Toc300935016"/>
      <w:bookmarkStart w:id="1460" w:name="_Toc312678056"/>
      <w:bookmarkStart w:id="1461" w:name="_Toc297120523"/>
      <w:bookmarkStart w:id="1462" w:name="_Toc304295596"/>
      <w:bookmarkStart w:id="1463" w:name="_Toc296347222"/>
      <w:bookmarkStart w:id="1464" w:name="_Toc296891263"/>
      <w:bookmarkStart w:id="1465" w:name="_Toc292559933"/>
      <w:bookmarkStart w:id="1466" w:name="_Toc303539173"/>
      <w:bookmarkStart w:id="1467" w:name="_Toc296346724"/>
      <w:bookmarkStart w:id="1468" w:name="_Toc297048409"/>
      <w:bookmarkStart w:id="1469" w:name="_Toc296944562"/>
      <w:bookmarkStart w:id="1470" w:name="_Toc296503223"/>
      <w:bookmarkStart w:id="1471" w:name="_Toc297216224"/>
      <w:bookmarkStart w:id="1472" w:name="_Toc292559428"/>
      <w:bookmarkStart w:id="1473" w:name="_Toc297123565"/>
      <w:r>
        <w:rPr>
          <w:rFonts w:hint="eastAsia"/>
          <w:color w:val="auto"/>
          <w:sz w:val="21"/>
          <w:szCs w:val="21"/>
        </w:rPr>
        <w:t>13.2 竣工验收</w:t>
      </w:r>
      <w:bookmarkEnd w:id="1456"/>
      <w:bookmarkEnd w:id="1457"/>
    </w:p>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14:paraId="4832B2DD">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13.2.2竣工验收程序</w:t>
      </w:r>
    </w:p>
    <w:bookmarkEnd w:id="1443"/>
    <w:p w14:paraId="3DADBB34">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关于竣工验收程序的约定：工程完工且符合下列条件时，承包人可向发包人提供竣工报告，并要求验收：</w:t>
      </w:r>
    </w:p>
    <w:p w14:paraId="1A7556C6">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（1）除发包人同意的甩项工作和缺陷修补工作外，合同范围内的全部工程以及有关工作，包括合同要求的试验、试运行以及检验均已完成，并符合合同要求；</w:t>
      </w:r>
    </w:p>
    <w:p w14:paraId="7A64F85A">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（2）已按合同约定编制了甩项工作和缺陷修补工作清单以及相应的施工计划；</w:t>
      </w:r>
    </w:p>
    <w:p w14:paraId="0E0A00F4">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（3）已按合同约定的内容和份数备齐竣工资料。</w:t>
      </w:r>
    </w:p>
    <w:p w14:paraId="5C6BD445">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（4）</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22F04F35">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工程竣工及竣工资料：</w:t>
      </w:r>
    </w:p>
    <w:p w14:paraId="64309AE3">
      <w:pPr>
        <w:spacing w:line="360" w:lineRule="auto"/>
        <w:ind w:right="140" w:rightChars="50" w:firstLine="560" w:firstLineChars="200"/>
        <w:jc w:val="left"/>
        <w:rPr>
          <w:rFonts w:ascii="宋体" w:hAnsi="宋体"/>
          <w:color w:val="auto"/>
          <w:szCs w:val="21"/>
        </w:rPr>
      </w:pPr>
      <w:r>
        <w:rPr>
          <w:rFonts w:hint="eastAsia" w:ascii="宋体" w:hAnsi="宋体"/>
          <w:color w:val="auto"/>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rPr>
        <w:t>。</w:t>
      </w:r>
    </w:p>
    <w:p w14:paraId="3A1B13F7">
      <w:pPr>
        <w:spacing w:line="360" w:lineRule="auto"/>
        <w:ind w:right="140" w:rightChars="50" w:firstLine="560" w:firstLineChars="200"/>
        <w:jc w:val="left"/>
        <w:rPr>
          <w:rFonts w:ascii="宋体" w:hAnsi="宋体"/>
          <w:color w:val="auto"/>
          <w:szCs w:val="21"/>
        </w:rPr>
      </w:pPr>
      <w:r>
        <w:rPr>
          <w:rFonts w:hint="eastAsia" w:ascii="宋体" w:hAnsi="宋体"/>
          <w:color w:val="auto"/>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rPr>
        <w:t>。</w:t>
      </w:r>
    </w:p>
    <w:p w14:paraId="43D6F86A">
      <w:pPr>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rPr>
        <w:t>（3）承包人提供竣工资料的约定：</w:t>
      </w:r>
      <w:r>
        <w:rPr>
          <w:rFonts w:hint="eastAsia" w:ascii="宋体" w:hAnsi="宋体"/>
          <w:color w:val="auto"/>
          <w:szCs w:val="21"/>
          <w:u w:val="single"/>
        </w:rPr>
        <w:t>承包人提供纸质版竣工图</w:t>
      </w:r>
      <w:r>
        <w:rPr>
          <w:rFonts w:hint="eastAsia" w:ascii="宋体" w:hAnsi="宋体"/>
          <w:color w:val="auto"/>
          <w:szCs w:val="21"/>
          <w:u w:val="single"/>
          <w:lang w:eastAsia="zh-CN"/>
        </w:rPr>
        <w:t>四</w:t>
      </w:r>
      <w:r>
        <w:rPr>
          <w:rFonts w:hint="eastAsia" w:ascii="宋体" w:hAnsi="宋体"/>
          <w:color w:val="auto"/>
          <w:szCs w:val="21"/>
          <w:u w:val="single"/>
        </w:rPr>
        <w:t>套，电子版竣工图</w:t>
      </w:r>
      <w:r>
        <w:rPr>
          <w:rFonts w:hint="eastAsia" w:ascii="宋体" w:hAnsi="宋体"/>
          <w:color w:val="auto"/>
          <w:szCs w:val="21"/>
          <w:u w:val="single"/>
          <w:lang w:eastAsia="zh-CN"/>
        </w:rPr>
        <w:t>二</w:t>
      </w:r>
      <w:r>
        <w:rPr>
          <w:rFonts w:hint="eastAsia" w:ascii="宋体" w:hAnsi="宋体"/>
          <w:color w:val="auto"/>
          <w:szCs w:val="21"/>
          <w:u w:val="single"/>
        </w:rPr>
        <w:t>套（刻光盘）</w:t>
      </w:r>
      <w:r>
        <w:rPr>
          <w:rFonts w:hint="eastAsia" w:ascii="宋体" w:hAnsi="宋体"/>
          <w:color w:val="auto"/>
          <w:szCs w:val="21"/>
        </w:rPr>
        <w:t>。</w:t>
      </w:r>
    </w:p>
    <w:bookmarkEnd w:id="1444"/>
    <w:p w14:paraId="627517F3">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13.2.5 移交、接收全部与部分工程</w:t>
      </w:r>
    </w:p>
    <w:bookmarkEnd w:id="1445"/>
    <w:p w14:paraId="2E286147">
      <w:pPr>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rPr>
        <w:t>承包人向发包人移交工程的期限：</w:t>
      </w:r>
      <w:r>
        <w:rPr>
          <w:rFonts w:hint="eastAsia" w:ascii="宋体" w:hAnsi="宋体"/>
          <w:color w:val="auto"/>
          <w:szCs w:val="21"/>
          <w:u w:val="single"/>
        </w:rPr>
        <w:t>颁发工程接收证书后7天内完成工程的移交</w:t>
      </w:r>
      <w:r>
        <w:rPr>
          <w:rFonts w:hint="eastAsia" w:ascii="宋体" w:hAnsi="宋体"/>
          <w:color w:val="auto"/>
          <w:szCs w:val="21"/>
        </w:rPr>
        <w:t>。</w:t>
      </w:r>
    </w:p>
    <w:p w14:paraId="11A65356">
      <w:pPr>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u w:val="single"/>
        </w:rPr>
        <w:t>发包人未按合同约定接收全部或部分工程的，违约金的计算方法为：发包人自应当接收工程之日起承担工程照管、成品保护、保管等与工程有关的各项费用。</w:t>
      </w:r>
    </w:p>
    <w:bookmarkEnd w:id="1446"/>
    <w:p w14:paraId="05117E08">
      <w:pPr>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rPr>
        <w:t>因承包人自身原因未按时移交工程的，违约金的计算方法为：</w:t>
      </w:r>
      <w:r>
        <w:rPr>
          <w:rFonts w:hint="eastAsia" w:ascii="宋体" w:hAnsi="宋体"/>
          <w:color w:val="auto"/>
          <w:szCs w:val="21"/>
          <w:u w:val="single"/>
        </w:rPr>
        <w:t>承包人应承担工程照管、成品保护、保管等与工程有关的各项费用，并按经审定结算金额的0.5‰/天支付违约金</w:t>
      </w:r>
      <w:r>
        <w:rPr>
          <w:rFonts w:hint="eastAsia" w:ascii="宋体" w:hAnsi="宋体"/>
          <w:color w:val="auto"/>
          <w:szCs w:val="21"/>
        </w:rPr>
        <w:t>。</w:t>
      </w:r>
    </w:p>
    <w:p w14:paraId="0EB025DD">
      <w:pPr>
        <w:pStyle w:val="7"/>
        <w:spacing w:before="0" w:beforeAutospacing="0" w:after="0" w:afterAutospacing="0" w:line="360" w:lineRule="auto"/>
        <w:ind w:firstLine="422" w:firstLineChars="200"/>
        <w:rPr>
          <w:color w:val="auto"/>
          <w:sz w:val="21"/>
          <w:szCs w:val="21"/>
        </w:rPr>
      </w:pPr>
      <w:bookmarkStart w:id="1474" w:name="_Toc532377391"/>
      <w:bookmarkStart w:id="1475" w:name="_Toc532375654"/>
      <w:r>
        <w:rPr>
          <w:rFonts w:hint="eastAsia"/>
          <w:color w:val="auto"/>
          <w:sz w:val="21"/>
          <w:szCs w:val="21"/>
        </w:rPr>
        <w:t>13.3 工程试车</w:t>
      </w:r>
      <w:bookmarkEnd w:id="1474"/>
      <w:bookmarkEnd w:id="1475"/>
    </w:p>
    <w:p w14:paraId="18846C33">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13.3.1 试车程序</w:t>
      </w:r>
    </w:p>
    <w:p w14:paraId="35E3DEFC">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工程试车内容：</w:t>
      </w:r>
      <w:r>
        <w:rPr>
          <w:rFonts w:hint="eastAsia" w:ascii="宋体" w:hAnsi="宋体"/>
          <w:color w:val="auto"/>
          <w:szCs w:val="21"/>
          <w:u w:val="single"/>
        </w:rPr>
        <w:t>按通用合同条款执行</w:t>
      </w:r>
      <w:r>
        <w:rPr>
          <w:rFonts w:hint="eastAsia" w:ascii="宋体" w:hAnsi="宋体"/>
          <w:color w:val="auto"/>
          <w:szCs w:val="21"/>
        </w:rPr>
        <w:t>。</w:t>
      </w:r>
    </w:p>
    <w:p w14:paraId="3B1ED5FF">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（1）单机无负荷试车费用由</w:t>
      </w:r>
      <w:r>
        <w:rPr>
          <w:rFonts w:hint="eastAsia" w:ascii="宋体" w:hAnsi="宋体"/>
          <w:color w:val="auto"/>
          <w:szCs w:val="21"/>
          <w:u w:val="single"/>
        </w:rPr>
        <w:t>承包人</w:t>
      </w:r>
      <w:r>
        <w:rPr>
          <w:rFonts w:hint="eastAsia" w:ascii="宋体" w:hAnsi="宋体"/>
          <w:color w:val="auto"/>
          <w:szCs w:val="21"/>
        </w:rPr>
        <w:t>承担；</w:t>
      </w:r>
    </w:p>
    <w:p w14:paraId="303A3EF5">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（2）无负荷联动试车费用由</w:t>
      </w:r>
      <w:r>
        <w:rPr>
          <w:rFonts w:hint="eastAsia" w:ascii="宋体" w:hAnsi="宋体"/>
          <w:color w:val="auto"/>
          <w:szCs w:val="21"/>
          <w:u w:val="single"/>
        </w:rPr>
        <w:t>承包人</w:t>
      </w:r>
      <w:r>
        <w:rPr>
          <w:rFonts w:hint="eastAsia" w:ascii="宋体" w:hAnsi="宋体"/>
          <w:color w:val="auto"/>
          <w:szCs w:val="21"/>
        </w:rPr>
        <w:t>承担。</w:t>
      </w:r>
    </w:p>
    <w:p w14:paraId="0AAA3B26">
      <w:pPr>
        <w:pStyle w:val="7"/>
        <w:spacing w:before="0" w:beforeAutospacing="0" w:after="0" w:afterAutospacing="0" w:line="360" w:lineRule="auto"/>
        <w:ind w:firstLine="422" w:firstLineChars="200"/>
        <w:rPr>
          <w:color w:val="auto"/>
          <w:sz w:val="21"/>
          <w:szCs w:val="21"/>
        </w:rPr>
      </w:pPr>
      <w:bookmarkStart w:id="1476" w:name="_Toc532377392"/>
      <w:bookmarkStart w:id="1477" w:name="_Toc532375655"/>
      <w:r>
        <w:rPr>
          <w:rFonts w:hint="eastAsia"/>
          <w:color w:val="auto"/>
          <w:sz w:val="21"/>
          <w:szCs w:val="21"/>
        </w:rPr>
        <w:t>13.6 竣工退场</w:t>
      </w:r>
      <w:bookmarkEnd w:id="1476"/>
      <w:bookmarkEnd w:id="1477"/>
    </w:p>
    <w:p w14:paraId="49259978">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13.6.1 竣工退场</w:t>
      </w:r>
    </w:p>
    <w:p w14:paraId="42444A81">
      <w:pPr>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rPr>
        <w:t>承包人完成竣工退场的期限：</w:t>
      </w:r>
      <w:r>
        <w:rPr>
          <w:rFonts w:hint="eastAsia" w:ascii="宋体" w:hAnsi="宋体"/>
          <w:color w:val="auto"/>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rPr>
        <w:t>。</w:t>
      </w:r>
    </w:p>
    <w:bookmarkEnd w:id="1447"/>
    <w:p w14:paraId="692FA057">
      <w:pPr>
        <w:pStyle w:val="6"/>
        <w:keepNext/>
        <w:keepLines/>
        <w:spacing w:before="156" w:beforeLines="50" w:beforeAutospacing="0" w:after="156" w:afterLines="50" w:afterAutospacing="0" w:line="360" w:lineRule="auto"/>
        <w:jc w:val="both"/>
        <w:rPr>
          <w:bCs w:val="0"/>
          <w:color w:val="auto"/>
          <w:kern w:val="2"/>
          <w:sz w:val="21"/>
          <w:szCs w:val="21"/>
        </w:rPr>
      </w:pPr>
      <w:bookmarkStart w:id="1478" w:name="_Toc532377393"/>
      <w:bookmarkStart w:id="1479" w:name="_Toc532375656"/>
      <w:bookmarkStart w:id="1480" w:name="_Toc351203646"/>
      <w:r>
        <w:rPr>
          <w:rFonts w:hint="eastAsia"/>
          <w:color w:val="auto"/>
          <w:kern w:val="2"/>
          <w:sz w:val="21"/>
          <w:szCs w:val="21"/>
        </w:rPr>
        <w:t>14. 竣工结算</w:t>
      </w:r>
      <w:bookmarkEnd w:id="1478"/>
      <w:bookmarkEnd w:id="1479"/>
      <w:bookmarkEnd w:id="1480"/>
    </w:p>
    <w:p w14:paraId="1D873F66">
      <w:pPr>
        <w:pStyle w:val="7"/>
        <w:spacing w:before="0" w:beforeAutospacing="0" w:after="0" w:afterAutospacing="0" w:line="360" w:lineRule="auto"/>
        <w:ind w:firstLine="422" w:firstLineChars="200"/>
        <w:rPr>
          <w:color w:val="auto"/>
          <w:sz w:val="21"/>
          <w:szCs w:val="21"/>
        </w:rPr>
      </w:pPr>
      <w:bookmarkStart w:id="1481" w:name="_Toc532375657"/>
      <w:bookmarkStart w:id="1482" w:name="_Toc532377394"/>
      <w:r>
        <w:rPr>
          <w:rFonts w:hint="eastAsia"/>
          <w:color w:val="auto"/>
          <w:sz w:val="21"/>
          <w:szCs w:val="21"/>
        </w:rPr>
        <w:t>14.1 竣工结算申请</w:t>
      </w:r>
      <w:bookmarkEnd w:id="1481"/>
      <w:bookmarkEnd w:id="1482"/>
    </w:p>
    <w:p w14:paraId="444BFFB4">
      <w:pPr>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rPr>
        <w:t>承包人提交竣工结算申请单的期限：</w:t>
      </w:r>
      <w:r>
        <w:rPr>
          <w:rFonts w:hint="eastAsia" w:ascii="宋体" w:hAnsi="宋体"/>
          <w:color w:val="auto"/>
          <w:szCs w:val="21"/>
          <w:u w:val="single"/>
        </w:rPr>
        <w:t>承包人应在工程竣工验收合格且报送</w:t>
      </w:r>
      <w:r>
        <w:rPr>
          <w:rFonts w:ascii="宋体" w:hAnsi="宋体"/>
          <w:color w:val="auto"/>
          <w:szCs w:val="21"/>
          <w:u w:val="single"/>
        </w:rPr>
        <w:t>完整工程竣工资料</w:t>
      </w:r>
      <w:r>
        <w:rPr>
          <w:rFonts w:hint="eastAsia" w:ascii="宋体" w:hAnsi="宋体"/>
          <w:color w:val="auto"/>
          <w:szCs w:val="21"/>
          <w:u w:val="single"/>
        </w:rPr>
        <w:t>之日起28天内向监理人、发包人提交竣工结算申请单，并向发包人报送完整的工程竣工资料及经监理人初审确认的完整的竣工结算资料</w:t>
      </w:r>
      <w:bookmarkStart w:id="1483" w:name="_Hlk524297994"/>
      <w:r>
        <w:rPr>
          <w:rFonts w:hint="eastAsia" w:ascii="宋体" w:hAnsi="宋体"/>
          <w:color w:val="auto"/>
          <w:szCs w:val="21"/>
          <w:u w:val="single"/>
        </w:rPr>
        <w:t>。监理人或发包人对竣工结算申请单有异议的，应在接到竣工结算申请单后14天内要求承包人进行修正和提供补充资料，承包人在接到监理人或发包人提出的审核意见后，应在</w:t>
      </w:r>
      <w:r>
        <w:rPr>
          <w:rFonts w:hint="eastAsia" w:ascii="宋体" w:hAnsi="宋体"/>
          <w:color w:val="auto"/>
          <w:szCs w:val="21"/>
          <w:u w:val="single"/>
          <w:lang w:val="en-US" w:eastAsia="zh-CN"/>
        </w:rPr>
        <w:t>7</w:t>
      </w:r>
      <w:r>
        <w:rPr>
          <w:rFonts w:hint="eastAsia" w:ascii="宋体" w:hAnsi="宋体"/>
          <w:color w:val="auto"/>
          <w:szCs w:val="21"/>
          <w:u w:val="single"/>
        </w:rPr>
        <w:t>天内按监理人或发包人提出的合理要求补充资料、修改竣工结算资料，并再次提交监理人或发包人审核。承包人未在规定时间内报送竣工结算资料给发包人造成经济损失的，承包人应承担赔偿责任。</w:t>
      </w:r>
    </w:p>
    <w:p w14:paraId="47D12FA5">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竣工结算申请单包括但不限于以下内容：</w:t>
      </w:r>
    </w:p>
    <w:p w14:paraId="3CB94158">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（1）竣工结算合同价格；</w:t>
      </w:r>
    </w:p>
    <w:p w14:paraId="55AD5BF1">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（2）变更增减金额；</w:t>
      </w:r>
    </w:p>
    <w:p w14:paraId="462F0BF9">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（3）现场签证增减金额；</w:t>
      </w:r>
    </w:p>
    <w:p w14:paraId="36C5F804">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（4）索赔增减金额；</w:t>
      </w:r>
    </w:p>
    <w:p w14:paraId="5321C9A4">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（5）奖励、罚金及违约金；</w:t>
      </w:r>
    </w:p>
    <w:p w14:paraId="4AD9EE4A">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（6）发包人已支付承包人的款项；</w:t>
      </w:r>
    </w:p>
    <w:p w14:paraId="56B3EDA5">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（7）应扣留的质量保证金；</w:t>
      </w:r>
    </w:p>
    <w:p w14:paraId="1B160A11">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（8）发包人应支付承包人的合同价款。</w:t>
      </w:r>
      <w:bookmarkEnd w:id="1483"/>
    </w:p>
    <w:p w14:paraId="67C66635">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（9）</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71F68944">
      <w:pPr>
        <w:pStyle w:val="7"/>
        <w:spacing w:before="0" w:beforeAutospacing="0" w:after="0" w:afterAutospacing="0" w:line="360" w:lineRule="auto"/>
        <w:ind w:firstLine="422" w:firstLineChars="200"/>
        <w:rPr>
          <w:color w:val="auto"/>
          <w:sz w:val="21"/>
          <w:szCs w:val="21"/>
        </w:rPr>
      </w:pPr>
      <w:bookmarkStart w:id="1484" w:name="_Toc532375658"/>
      <w:bookmarkStart w:id="1485" w:name="_Toc532377395"/>
      <w:r>
        <w:rPr>
          <w:rFonts w:hint="eastAsia"/>
          <w:color w:val="auto"/>
          <w:sz w:val="21"/>
          <w:szCs w:val="21"/>
        </w:rPr>
        <w:t>14.2 竣工结算审核</w:t>
      </w:r>
      <w:bookmarkEnd w:id="1484"/>
      <w:bookmarkEnd w:id="1485"/>
    </w:p>
    <w:p w14:paraId="2D87442C">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14.2.1 竣工结算办法</w:t>
      </w:r>
    </w:p>
    <w:p w14:paraId="4192DFBF">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14.2.1.1计量原则</w:t>
      </w:r>
    </w:p>
    <w:p w14:paraId="7A6F09DA">
      <w:pPr>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rPr>
        <w:t>按照第12.3.1项〔计量原则〕约定执行。</w:t>
      </w:r>
    </w:p>
    <w:p w14:paraId="3B8F1DB1">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14.2.1.2计价原则</w:t>
      </w:r>
    </w:p>
    <w:p w14:paraId="63AB2C71">
      <w:pPr>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rPr>
        <w:t>。</w:t>
      </w:r>
    </w:p>
    <w:p w14:paraId="59E7E7C1">
      <w:pPr>
        <w:spacing w:line="360" w:lineRule="auto"/>
        <w:ind w:right="140" w:rightChars="50" w:firstLine="560" w:firstLineChars="200"/>
        <w:jc w:val="left"/>
        <w:rPr>
          <w:rFonts w:hint="default" w:ascii="宋体" w:hAnsi="宋体"/>
          <w:color w:val="auto"/>
          <w:szCs w:val="21"/>
          <w:lang w:val="en-US" w:eastAsia="zh-CN"/>
        </w:rPr>
      </w:pPr>
      <w:r>
        <w:rPr>
          <w:rFonts w:hint="eastAsia" w:ascii="宋体" w:hAnsi="宋体"/>
          <w:color w:val="auto"/>
          <w:szCs w:val="21"/>
        </w:rPr>
        <w:t>本项目有两次报价，首次报价为响应文件中填报的报价，必须按照清单报价规则进行报价，暂列金额、暂估（暂定）价等金额不得更改。二次报价按照工程总价进行报价（其中：暂列金额、暂估（暂定）价等暂定价格自动确认为与第一次报价一致）。该项目的单价将由响应文件（第一轮报价）中的清单价格按照最后报价下浮比例【（第二轮报价的总价减去暂估价、暂列金额）与（第一轮报价总价减去暂估价、暂列金额）相比的下浮比例】同比例下浮进行计算</w:t>
      </w:r>
      <w:r>
        <w:rPr>
          <w:rFonts w:hint="eastAsia" w:ascii="宋体" w:hAnsi="宋体"/>
          <w:color w:val="auto"/>
          <w:szCs w:val="21"/>
          <w:lang w:eastAsia="zh-CN"/>
        </w:rPr>
        <w:t>。</w:t>
      </w:r>
      <w:r>
        <w:rPr>
          <w:rFonts w:hint="eastAsia" w:ascii="宋体" w:hAnsi="宋体"/>
          <w:color w:val="auto"/>
          <w:szCs w:val="21"/>
          <w:lang w:val="en-US" w:eastAsia="zh-CN"/>
        </w:rPr>
        <w:t>下浮后的综合单价作为合同具体结算时执行的已标价工程量清单综合单价。</w:t>
      </w:r>
    </w:p>
    <w:p w14:paraId="2B96706D">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具体结算办法如下：</w:t>
      </w:r>
    </w:p>
    <w:p w14:paraId="489E0A61">
      <w:pPr>
        <w:tabs>
          <w:tab w:val="left" w:pos="711"/>
          <w:tab w:val="left" w:pos="2580"/>
        </w:tabs>
        <w:spacing w:line="360" w:lineRule="auto"/>
        <w:ind w:right="140" w:rightChars="50" w:firstLine="560" w:firstLineChars="200"/>
        <w:jc w:val="left"/>
        <w:textAlignment w:val="baseline"/>
        <w:rPr>
          <w:rFonts w:ascii="宋体" w:hAnsi="宋体"/>
          <w:color w:val="auto"/>
          <w:szCs w:val="21"/>
        </w:rPr>
      </w:pPr>
      <w:r>
        <w:rPr>
          <w:rFonts w:hint="eastAsia" w:ascii="宋体" w:hAnsi="宋体"/>
          <w:color w:val="auto"/>
          <w:szCs w:val="21"/>
        </w:rPr>
        <w:t>（1）分部分项工程：</w:t>
      </w:r>
    </w:p>
    <w:p w14:paraId="35B041BC">
      <w:pPr>
        <w:tabs>
          <w:tab w:val="left" w:pos="711"/>
          <w:tab w:val="left" w:pos="2580"/>
        </w:tabs>
        <w:spacing w:line="360" w:lineRule="auto"/>
        <w:ind w:right="140" w:rightChars="50" w:firstLine="560" w:firstLineChars="200"/>
        <w:jc w:val="left"/>
        <w:textAlignment w:val="baseline"/>
        <w:rPr>
          <w:rFonts w:hint="eastAsia" w:ascii="宋体" w:hAnsi="宋体"/>
          <w:color w:val="auto"/>
          <w:szCs w:val="21"/>
        </w:rPr>
      </w:pPr>
      <w:r>
        <w:rPr>
          <w:rFonts w:hint="eastAsia" w:ascii="宋体" w:hAnsi="宋体"/>
          <w:color w:val="auto"/>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rPr>
        <w:t>；</w:t>
      </w:r>
    </w:p>
    <w:p w14:paraId="1DFADDCF">
      <w:pPr>
        <w:pStyle w:val="23"/>
        <w:rPr>
          <w:color w:val="auto"/>
        </w:rPr>
      </w:pPr>
    </w:p>
    <w:p w14:paraId="14567925">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rPr>
        <w:t>；</w:t>
      </w:r>
    </w:p>
    <w:p w14:paraId="27A68D8F">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rPr>
        <w:t>；</w:t>
      </w:r>
    </w:p>
    <w:p w14:paraId="693A14BE">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u w:val="single"/>
        </w:rPr>
        <w:t>④合同、已标价工程量清单和招标文件另有约定的，按照其约定执行</w:t>
      </w:r>
      <w:r>
        <w:rPr>
          <w:rFonts w:hint="eastAsia" w:ascii="宋体" w:hAnsi="宋体"/>
          <w:color w:val="auto"/>
          <w:szCs w:val="21"/>
        </w:rPr>
        <w:t>。</w:t>
      </w:r>
    </w:p>
    <w:p w14:paraId="7DCCA2F7">
      <w:pPr>
        <w:tabs>
          <w:tab w:val="left" w:pos="711"/>
          <w:tab w:val="left" w:pos="2580"/>
        </w:tabs>
        <w:spacing w:line="360" w:lineRule="auto"/>
        <w:ind w:right="140" w:rightChars="50" w:firstLine="560" w:firstLineChars="200"/>
        <w:jc w:val="left"/>
        <w:textAlignment w:val="baseline"/>
        <w:rPr>
          <w:rFonts w:ascii="宋体" w:hAnsi="宋体"/>
          <w:color w:val="auto"/>
          <w:szCs w:val="21"/>
        </w:rPr>
      </w:pPr>
      <w:r>
        <w:rPr>
          <w:rFonts w:hint="eastAsia" w:ascii="宋体" w:hAnsi="宋体"/>
          <w:color w:val="auto"/>
          <w:szCs w:val="21"/>
        </w:rPr>
        <w:t>（2）措施项目：</w:t>
      </w:r>
    </w:p>
    <w:p w14:paraId="5B495F6E">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rPr>
        <w:t>。</w:t>
      </w:r>
    </w:p>
    <w:p w14:paraId="19F951ED">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u w:val="single"/>
        </w:rPr>
        <w:t>②工程变更引起施工方案改变使措施项目发生变化的，经监理人、发包人确定后可对按第10.4.3项约定执行</w:t>
      </w:r>
      <w:r>
        <w:rPr>
          <w:rFonts w:hint="eastAsia" w:ascii="宋体" w:hAnsi="宋体"/>
          <w:color w:val="auto"/>
          <w:szCs w:val="21"/>
        </w:rPr>
        <w:t>。</w:t>
      </w:r>
    </w:p>
    <w:p w14:paraId="1EBAF902">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rPr>
        <w:t>。</w:t>
      </w:r>
    </w:p>
    <w:p w14:paraId="490864EE">
      <w:pPr>
        <w:tabs>
          <w:tab w:val="left" w:pos="711"/>
          <w:tab w:val="left" w:pos="2580"/>
        </w:tabs>
        <w:spacing w:line="360" w:lineRule="auto"/>
        <w:ind w:right="140" w:rightChars="50" w:firstLine="560" w:firstLineChars="200"/>
        <w:jc w:val="left"/>
        <w:textAlignment w:val="baseline"/>
        <w:rPr>
          <w:rFonts w:ascii="宋体" w:hAnsi="宋体"/>
          <w:color w:val="auto"/>
          <w:szCs w:val="21"/>
        </w:rPr>
      </w:pPr>
      <w:r>
        <w:rPr>
          <w:rFonts w:hint="eastAsia" w:ascii="宋体" w:hAnsi="宋体"/>
          <w:color w:val="auto"/>
          <w:szCs w:val="21"/>
        </w:rPr>
        <w:t>（3）其他项目：</w:t>
      </w:r>
    </w:p>
    <w:p w14:paraId="292FAF0E">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①材料（工程设备）暂估价：</w:t>
      </w:r>
      <w:r>
        <w:rPr>
          <w:rFonts w:hint="eastAsia" w:ascii="宋体" w:hAnsi="宋体"/>
          <w:color w:val="auto"/>
          <w:szCs w:val="21"/>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rPr>
        <w:t>。</w:t>
      </w:r>
    </w:p>
    <w:p w14:paraId="115D9321">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②专业工程暂估价：</w:t>
      </w:r>
    </w:p>
    <w:p w14:paraId="7E7176BC">
      <w:pPr>
        <w:spacing w:line="360" w:lineRule="auto"/>
        <w:ind w:right="140" w:rightChars="50" w:firstLine="560" w:firstLineChars="200"/>
        <w:jc w:val="left"/>
        <w:rPr>
          <w:rFonts w:ascii="宋体" w:hAnsi="宋体"/>
          <w:color w:val="auto"/>
          <w:szCs w:val="21"/>
        </w:rPr>
      </w:pPr>
      <w:r>
        <w:rPr>
          <w:rFonts w:hint="eastAsia" w:ascii="宋体" w:hAnsi="宋体"/>
          <w:color w:val="auto"/>
          <w:szCs w:val="21"/>
          <w:u w:val="single"/>
        </w:rPr>
        <w:t>1）对于不属于依法必须招标的暂估价项目：按发包人审定的价格进行结算</w:t>
      </w:r>
      <w:r>
        <w:rPr>
          <w:rFonts w:hint="eastAsia" w:ascii="宋体" w:hAnsi="宋体"/>
          <w:color w:val="auto"/>
          <w:szCs w:val="21"/>
        </w:rPr>
        <w:t>。</w:t>
      </w:r>
    </w:p>
    <w:p w14:paraId="162B4A1A">
      <w:pPr>
        <w:spacing w:line="360" w:lineRule="auto"/>
        <w:ind w:right="140" w:rightChars="50" w:firstLine="560" w:firstLineChars="200"/>
        <w:jc w:val="left"/>
        <w:rPr>
          <w:rFonts w:ascii="宋体" w:hAnsi="宋体"/>
          <w:color w:val="auto"/>
          <w:szCs w:val="21"/>
        </w:rPr>
      </w:pPr>
      <w:r>
        <w:rPr>
          <w:rFonts w:hint="eastAsia" w:ascii="宋体" w:hAnsi="宋体"/>
          <w:color w:val="auto"/>
          <w:szCs w:val="21"/>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rPr>
        <w:t>。</w:t>
      </w:r>
    </w:p>
    <w:p w14:paraId="13EB85C6">
      <w:pPr>
        <w:spacing w:line="360" w:lineRule="auto"/>
        <w:ind w:right="140" w:rightChars="50" w:firstLine="560" w:firstLineChars="200"/>
        <w:jc w:val="left"/>
        <w:rPr>
          <w:rFonts w:ascii="宋体" w:hAnsi="宋体"/>
          <w:color w:val="auto"/>
          <w:szCs w:val="21"/>
        </w:rPr>
      </w:pPr>
      <w:r>
        <w:rPr>
          <w:rFonts w:hint="eastAsia" w:ascii="宋体" w:hAnsi="宋体"/>
          <w:color w:val="auto"/>
          <w:szCs w:val="21"/>
          <w:u w:val="single"/>
        </w:rPr>
        <w:t>3）总承包服务费：总承包服务费包干使用，结算时不作调整</w:t>
      </w:r>
      <w:r>
        <w:rPr>
          <w:rFonts w:hint="eastAsia" w:ascii="宋体" w:hAnsi="宋体"/>
          <w:color w:val="auto"/>
          <w:szCs w:val="21"/>
        </w:rPr>
        <w:t>。</w:t>
      </w:r>
    </w:p>
    <w:p w14:paraId="7D7C7EB2">
      <w:pPr>
        <w:tabs>
          <w:tab w:val="left" w:pos="711"/>
          <w:tab w:val="left" w:pos="2580"/>
        </w:tabs>
        <w:spacing w:line="360" w:lineRule="auto"/>
        <w:ind w:right="140" w:rightChars="50" w:firstLine="560" w:firstLineChars="200"/>
        <w:jc w:val="left"/>
        <w:textAlignment w:val="baseline"/>
        <w:rPr>
          <w:rFonts w:ascii="宋体" w:hAnsi="宋体"/>
          <w:color w:val="auto"/>
          <w:szCs w:val="21"/>
        </w:rPr>
      </w:pPr>
      <w:r>
        <w:rPr>
          <w:rFonts w:hint="eastAsia" w:ascii="宋体" w:hAnsi="宋体"/>
          <w:color w:val="auto"/>
          <w:szCs w:val="21"/>
        </w:rPr>
        <w:t>（4）价格调整：</w:t>
      </w:r>
      <w:r>
        <w:rPr>
          <w:rFonts w:hint="eastAsia" w:ascii="宋体" w:hAnsi="宋体"/>
          <w:color w:val="auto"/>
          <w:szCs w:val="21"/>
          <w:u w:val="single"/>
        </w:rPr>
        <w:t>按照第11条〔价格调整〕约定约定执行</w:t>
      </w:r>
      <w:r>
        <w:rPr>
          <w:rFonts w:hint="eastAsia" w:ascii="宋体" w:hAnsi="宋体"/>
          <w:color w:val="auto"/>
          <w:szCs w:val="21"/>
        </w:rPr>
        <w:t>。</w:t>
      </w:r>
    </w:p>
    <w:p w14:paraId="30952EC0">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rPr>
        <w:t>（5）工程变更、索赔与现场签证：</w:t>
      </w:r>
    </w:p>
    <w:p w14:paraId="5DBCE47C">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4FE02A12">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rPr>
        <w:t>2）索赔：按照第10.4.1项〔变更估价原则〕和第14.2.1项〔竣工结算办法〕约定执行。</w:t>
      </w:r>
    </w:p>
    <w:p w14:paraId="3E292818">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rPr>
        <w:t>3）现场签证：按照第10.4.1项〔变更估价原则〕和第14.2.1项〔竣工结算办法〕约定执行。</w:t>
      </w:r>
    </w:p>
    <w:p w14:paraId="793B0237">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rPr>
        <w:t>（6）奖励、罚金、违约金及其他费用：</w:t>
      </w:r>
      <w:r>
        <w:rPr>
          <w:rFonts w:hint="eastAsia" w:ascii="宋体" w:hAnsi="宋体"/>
          <w:color w:val="auto"/>
          <w:szCs w:val="21"/>
          <w:u w:val="single"/>
        </w:rPr>
        <w:t>按实进行结算</w:t>
      </w:r>
      <w:r>
        <w:rPr>
          <w:rFonts w:hint="eastAsia" w:ascii="宋体" w:hAnsi="宋体"/>
          <w:color w:val="auto"/>
          <w:szCs w:val="21"/>
        </w:rPr>
        <w:t>。</w:t>
      </w:r>
    </w:p>
    <w:p w14:paraId="5FD8EA06">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rPr>
        <w:t>（7）规费：已标价工程量清单中规费费用按《重庆市建设工程费用定额》（CQFYDE-2018）执行。</w:t>
      </w:r>
    </w:p>
    <w:p w14:paraId="713392F5">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r>
        <w:rPr>
          <w:rFonts w:hint="eastAsia" w:ascii="宋体" w:hAnsi="宋体"/>
          <w:color w:val="auto"/>
          <w:szCs w:val="21"/>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27CDACE0">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14.2.1.3竣工结算价</w:t>
      </w:r>
    </w:p>
    <w:p w14:paraId="40EDE29B">
      <w:pPr>
        <w:tabs>
          <w:tab w:val="left" w:pos="711"/>
          <w:tab w:val="left" w:pos="2580"/>
        </w:tabs>
        <w:spacing w:line="360" w:lineRule="auto"/>
        <w:ind w:right="140" w:rightChars="50" w:firstLine="560" w:firstLineChars="200"/>
        <w:jc w:val="left"/>
        <w:textAlignment w:val="baseline"/>
        <w:rPr>
          <w:rFonts w:ascii="宋体" w:hAnsi="宋体"/>
          <w:color w:val="auto"/>
          <w:szCs w:val="21"/>
          <w:u w:val="single"/>
        </w:rPr>
      </w:pPr>
      <w:bookmarkStart w:id="1486" w:name="_Hlk528660512"/>
      <w:r>
        <w:rPr>
          <w:rFonts w:hint="eastAsia" w:ascii="宋体" w:hAnsi="宋体"/>
          <w:color w:val="auto"/>
          <w:szCs w:val="21"/>
          <w:u w:val="single"/>
        </w:rPr>
        <w:t>以发包人会同跟审单位、监理人、承包人根据有效资料共同确定竣工结算金额作为合同竣工结算价</w:t>
      </w:r>
      <w:r>
        <w:rPr>
          <w:rFonts w:hint="eastAsia" w:ascii="宋体" w:hAnsi="宋体"/>
          <w:color w:val="auto"/>
          <w:szCs w:val="21"/>
        </w:rPr>
        <w:t>。</w:t>
      </w:r>
    </w:p>
    <w:bookmarkEnd w:id="1486"/>
    <w:p w14:paraId="60EE7914">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14.2.2 竣工结算审核期限</w:t>
      </w:r>
    </w:p>
    <w:p w14:paraId="6C660D45">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监理人审核竣工付款申请单的期限：</w:t>
      </w:r>
      <w:r>
        <w:rPr>
          <w:rFonts w:hint="eastAsia" w:ascii="宋体" w:hAnsi="宋体"/>
          <w:color w:val="auto"/>
          <w:szCs w:val="21"/>
          <w:u w:val="single"/>
        </w:rPr>
        <w:t>不超过</w:t>
      </w:r>
      <w:r>
        <w:rPr>
          <w:rFonts w:hint="eastAsia" w:ascii="宋体" w:hAnsi="宋体"/>
          <w:color w:val="auto"/>
          <w:szCs w:val="21"/>
          <w:u w:val="single"/>
          <w:lang w:val="en-US" w:eastAsia="zh-CN"/>
        </w:rPr>
        <w:t>5</w:t>
      </w:r>
      <w:r>
        <w:rPr>
          <w:rFonts w:hint="eastAsia" w:ascii="宋体" w:hAnsi="宋体"/>
          <w:color w:val="auto"/>
          <w:szCs w:val="21"/>
          <w:u w:val="single"/>
        </w:rPr>
        <w:t>日</w:t>
      </w:r>
      <w:r>
        <w:rPr>
          <w:rFonts w:hint="eastAsia" w:ascii="宋体" w:hAnsi="宋体"/>
          <w:color w:val="auto"/>
          <w:szCs w:val="21"/>
        </w:rPr>
        <w:t>。</w:t>
      </w:r>
    </w:p>
    <w:p w14:paraId="583C1A63">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发包人审核竣工付款申请单的期限：</w:t>
      </w:r>
      <w:r>
        <w:rPr>
          <w:rFonts w:hint="eastAsia" w:ascii="宋体" w:hAnsi="宋体"/>
          <w:color w:val="auto"/>
          <w:szCs w:val="21"/>
          <w:u w:val="single"/>
        </w:rPr>
        <w:t>不超过</w:t>
      </w:r>
      <w:r>
        <w:rPr>
          <w:rFonts w:hint="eastAsia" w:ascii="宋体" w:hAnsi="宋体"/>
          <w:color w:val="auto"/>
          <w:szCs w:val="21"/>
          <w:u w:val="single"/>
          <w:lang w:val="en-US" w:eastAsia="zh-CN"/>
        </w:rPr>
        <w:t>15</w:t>
      </w:r>
      <w:r>
        <w:rPr>
          <w:rFonts w:hint="eastAsia" w:ascii="宋体" w:hAnsi="宋体"/>
          <w:color w:val="auto"/>
          <w:szCs w:val="21"/>
          <w:u w:val="single"/>
        </w:rPr>
        <w:t>日</w:t>
      </w:r>
      <w:r>
        <w:rPr>
          <w:rFonts w:hint="eastAsia" w:ascii="宋体" w:hAnsi="宋体"/>
          <w:color w:val="auto"/>
          <w:szCs w:val="21"/>
        </w:rPr>
        <w:t>。</w:t>
      </w:r>
    </w:p>
    <w:p w14:paraId="719C0178">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发包人完成竣工付款的期限：</w:t>
      </w:r>
      <w:r>
        <w:rPr>
          <w:rFonts w:hint="eastAsia" w:ascii="宋体" w:hAnsi="宋体"/>
          <w:color w:val="auto"/>
          <w:szCs w:val="21"/>
          <w:u w:val="single"/>
        </w:rPr>
        <w:t xml:space="preserve">完成竣工付款申请单审核后 </w:t>
      </w:r>
      <w:r>
        <w:rPr>
          <w:rFonts w:hint="eastAsia" w:ascii="宋体" w:hAnsi="宋体"/>
          <w:color w:val="auto"/>
          <w:szCs w:val="21"/>
          <w:u w:val="single"/>
          <w:lang w:val="en-US" w:eastAsia="zh-CN"/>
        </w:rPr>
        <w:t>30</w:t>
      </w:r>
      <w:r>
        <w:rPr>
          <w:rFonts w:hint="eastAsia" w:ascii="宋体" w:hAnsi="宋体"/>
          <w:color w:val="auto"/>
          <w:szCs w:val="21"/>
          <w:u w:val="single"/>
        </w:rPr>
        <w:t>天内</w:t>
      </w:r>
      <w:r>
        <w:rPr>
          <w:rFonts w:hint="eastAsia" w:ascii="宋体" w:hAnsi="宋体"/>
          <w:color w:val="auto"/>
          <w:szCs w:val="21"/>
        </w:rPr>
        <w:t>。</w:t>
      </w:r>
    </w:p>
    <w:p w14:paraId="025DDE8F">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关于竣工付款证书异议部分复核的方式和程序： 按照第20条〔争议解决〕约定处理。</w:t>
      </w:r>
    </w:p>
    <w:p w14:paraId="53E6A37D">
      <w:pPr>
        <w:pStyle w:val="7"/>
        <w:spacing w:before="0" w:beforeAutospacing="0" w:after="0" w:afterAutospacing="0" w:line="360" w:lineRule="auto"/>
        <w:ind w:firstLine="422" w:firstLineChars="200"/>
        <w:rPr>
          <w:color w:val="auto"/>
          <w:sz w:val="21"/>
          <w:szCs w:val="21"/>
        </w:rPr>
      </w:pPr>
      <w:bookmarkStart w:id="1487" w:name="_Toc532375659"/>
      <w:bookmarkStart w:id="1488" w:name="_Toc532377396"/>
      <w:r>
        <w:rPr>
          <w:rFonts w:hint="eastAsia"/>
          <w:color w:val="auto"/>
          <w:sz w:val="21"/>
          <w:szCs w:val="21"/>
        </w:rPr>
        <w:t>14.4 最终结清</w:t>
      </w:r>
      <w:bookmarkEnd w:id="1487"/>
      <w:bookmarkEnd w:id="1488"/>
    </w:p>
    <w:p w14:paraId="54F33C91">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14.4.1 最终结清申请单</w:t>
      </w:r>
    </w:p>
    <w:p w14:paraId="702F9B61">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承包人提交最终结清申请单的份数：</w:t>
      </w:r>
      <w:r>
        <w:rPr>
          <w:rFonts w:hint="eastAsia" w:ascii="宋体" w:hAnsi="宋体"/>
          <w:color w:val="auto"/>
          <w:szCs w:val="21"/>
          <w:u w:val="single"/>
        </w:rPr>
        <w:t>3份</w:t>
      </w:r>
      <w:r>
        <w:rPr>
          <w:rFonts w:hint="eastAsia" w:ascii="宋体" w:hAnsi="宋体"/>
          <w:color w:val="auto"/>
          <w:szCs w:val="21"/>
        </w:rPr>
        <w:t>。</w:t>
      </w:r>
    </w:p>
    <w:p w14:paraId="05FD758D">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承包人提交最终结算申请单的期限：</w:t>
      </w:r>
      <w:r>
        <w:rPr>
          <w:rFonts w:hint="eastAsia" w:ascii="宋体" w:hAnsi="宋体"/>
          <w:color w:val="auto"/>
          <w:szCs w:val="21"/>
          <w:u w:val="single"/>
        </w:rPr>
        <w:t>缺陷责任期终止证书颁发后14天内</w:t>
      </w:r>
      <w:r>
        <w:rPr>
          <w:rFonts w:hint="eastAsia" w:ascii="宋体" w:hAnsi="宋体"/>
          <w:color w:val="auto"/>
          <w:szCs w:val="21"/>
        </w:rPr>
        <w:t>。</w:t>
      </w:r>
    </w:p>
    <w:p w14:paraId="5D839ADB">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14.4.2 最终结清证书和支付</w:t>
      </w:r>
    </w:p>
    <w:p w14:paraId="08F2918B">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（1）发包人完成最终结清申请单的审批并颁发最终结清证书的期限：</w:t>
      </w:r>
      <w:r>
        <w:rPr>
          <w:rFonts w:hint="eastAsia" w:ascii="宋体" w:hAnsi="宋体"/>
          <w:color w:val="auto"/>
          <w:szCs w:val="21"/>
          <w:u w:val="single"/>
        </w:rPr>
        <w:t>发包人收到完整资料后14天内完成审批并颁发最终结清证书</w:t>
      </w:r>
      <w:r>
        <w:rPr>
          <w:rFonts w:hint="eastAsia" w:ascii="宋体" w:hAnsi="宋体"/>
          <w:color w:val="auto"/>
          <w:szCs w:val="21"/>
        </w:rPr>
        <w:t>。</w:t>
      </w:r>
    </w:p>
    <w:p w14:paraId="00233058">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（2）发包人完成支付的期限：</w:t>
      </w:r>
      <w:r>
        <w:rPr>
          <w:rFonts w:hint="eastAsia" w:ascii="宋体" w:hAnsi="宋体"/>
          <w:color w:val="auto"/>
          <w:szCs w:val="21"/>
          <w:u w:val="single"/>
        </w:rPr>
        <w:t>颁发最终结清证书的14天内</w:t>
      </w:r>
      <w:r>
        <w:rPr>
          <w:rFonts w:hint="eastAsia" w:ascii="宋体" w:hAnsi="宋体"/>
          <w:color w:val="auto"/>
          <w:szCs w:val="21"/>
        </w:rPr>
        <w:t>。</w:t>
      </w:r>
    </w:p>
    <w:p w14:paraId="64C45AEC">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本条补充14.5款：</w:t>
      </w:r>
    </w:p>
    <w:bookmarkEnd w:id="1448"/>
    <w:bookmarkEnd w:id="1449"/>
    <w:bookmarkEnd w:id="1450"/>
    <w:bookmarkEnd w:id="1451"/>
    <w:bookmarkEnd w:id="1452"/>
    <w:bookmarkEnd w:id="1453"/>
    <w:bookmarkEnd w:id="1454"/>
    <w:bookmarkEnd w:id="1455"/>
    <w:p w14:paraId="31A0F657">
      <w:pPr>
        <w:pStyle w:val="7"/>
        <w:spacing w:before="0" w:beforeAutospacing="0" w:after="0" w:afterAutospacing="0" w:line="360" w:lineRule="auto"/>
        <w:ind w:firstLine="422" w:firstLineChars="200"/>
        <w:rPr>
          <w:color w:val="auto"/>
          <w:sz w:val="21"/>
          <w:szCs w:val="21"/>
        </w:rPr>
      </w:pPr>
      <w:bookmarkStart w:id="1489" w:name="_Toc532377397"/>
      <w:bookmarkStart w:id="1490" w:name="_Toc532375660"/>
      <w:r>
        <w:rPr>
          <w:rFonts w:hint="eastAsia"/>
          <w:color w:val="auto"/>
          <w:sz w:val="21"/>
          <w:szCs w:val="21"/>
        </w:rPr>
        <w:t>14.5 逾期办理或不配合办理竣工结算的处理</w:t>
      </w:r>
      <w:bookmarkEnd w:id="1489"/>
      <w:bookmarkEnd w:id="1490"/>
    </w:p>
    <w:p w14:paraId="42FDE720">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有下列情形之一的，视为承包人放弃与发包人共同办理竣工结算的权利，发包人有权会同跟审单位、监理人根据有效资料共同确定竣工结算金额。</w:t>
      </w:r>
    </w:p>
    <w:p w14:paraId="00A58C5D">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（1）承包人逾期未报送竣工结算资料，亦未获得发包人批准延期报送，经发包人两</w:t>
      </w:r>
      <w:bookmarkStart w:id="1491" w:name="_Hlk529133622"/>
      <w:r>
        <w:rPr>
          <w:rFonts w:hint="eastAsia" w:ascii="宋体" w:hAnsi="宋体"/>
          <w:color w:val="auto"/>
          <w:szCs w:val="21"/>
        </w:rPr>
        <w:t>次书面催告仍未在限期内报送的</w:t>
      </w:r>
      <w:bookmarkEnd w:id="1491"/>
      <w:r>
        <w:rPr>
          <w:rFonts w:hint="eastAsia" w:ascii="宋体" w:hAnsi="宋体"/>
          <w:color w:val="auto"/>
          <w:szCs w:val="21"/>
        </w:rPr>
        <w:t>；</w:t>
      </w:r>
    </w:p>
    <w:p w14:paraId="24C981F9">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0D02EE77">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（3）承包人不配合发包人、跟审单位、监理人、发包人委托的工程造价咨询服务单位办理竣工结算的，经发包人两次书面函告仍未改正的。</w:t>
      </w:r>
    </w:p>
    <w:p w14:paraId="20D0F7BA">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（4）</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44E9ED3A">
      <w:pPr>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rPr>
        <w:t>。</w:t>
      </w:r>
    </w:p>
    <w:bookmarkEnd w:id="1163"/>
    <w:bookmarkEnd w:id="1164"/>
    <w:bookmarkEnd w:id="1165"/>
    <w:bookmarkEnd w:id="1166"/>
    <w:bookmarkEnd w:id="1167"/>
    <w:bookmarkEnd w:id="1168"/>
    <w:bookmarkEnd w:id="1169"/>
    <w:bookmarkEnd w:id="1170"/>
    <w:p w14:paraId="17EC009E">
      <w:pPr>
        <w:pStyle w:val="6"/>
        <w:keepNext/>
        <w:keepLines/>
        <w:spacing w:before="156" w:beforeLines="50" w:beforeAutospacing="0" w:after="156" w:afterLines="50" w:afterAutospacing="0" w:line="360" w:lineRule="auto"/>
        <w:jc w:val="both"/>
        <w:rPr>
          <w:bCs w:val="0"/>
          <w:color w:val="auto"/>
          <w:kern w:val="2"/>
          <w:sz w:val="21"/>
          <w:szCs w:val="21"/>
        </w:rPr>
      </w:pPr>
      <w:bookmarkStart w:id="1492" w:name="_Toc532377398"/>
      <w:bookmarkStart w:id="1493" w:name="_Toc532375661"/>
      <w:bookmarkStart w:id="1494" w:name="_Toc351203647"/>
      <w:bookmarkStart w:id="1495" w:name="_Toc267251483"/>
      <w:bookmarkStart w:id="1496" w:name="_Toc280868718"/>
      <w:bookmarkStart w:id="1497" w:name="_Toc280868717"/>
      <w:r>
        <w:rPr>
          <w:rFonts w:hint="eastAsia"/>
          <w:color w:val="auto"/>
          <w:kern w:val="2"/>
          <w:sz w:val="21"/>
          <w:szCs w:val="21"/>
        </w:rPr>
        <w:t>15. 缺陷责任期与保修</w:t>
      </w:r>
      <w:bookmarkEnd w:id="1492"/>
      <w:bookmarkEnd w:id="1493"/>
      <w:bookmarkEnd w:id="1494"/>
    </w:p>
    <w:bookmarkEnd w:id="1495"/>
    <w:p w14:paraId="34436816">
      <w:pPr>
        <w:pStyle w:val="7"/>
        <w:spacing w:before="0" w:beforeAutospacing="0" w:after="0" w:afterAutospacing="0" w:line="360" w:lineRule="auto"/>
        <w:ind w:firstLine="422" w:firstLineChars="200"/>
        <w:rPr>
          <w:color w:val="auto"/>
          <w:sz w:val="21"/>
          <w:szCs w:val="21"/>
        </w:rPr>
      </w:pPr>
      <w:bookmarkStart w:id="1498" w:name="_Toc532377399"/>
      <w:bookmarkStart w:id="1499" w:name="_Toc532375662"/>
      <w:r>
        <w:rPr>
          <w:rFonts w:hint="eastAsia"/>
          <w:color w:val="auto"/>
          <w:sz w:val="21"/>
          <w:szCs w:val="21"/>
        </w:rPr>
        <w:t>15.3 质量保证金</w:t>
      </w:r>
      <w:bookmarkEnd w:id="1498"/>
      <w:bookmarkEnd w:id="1499"/>
    </w:p>
    <w:p w14:paraId="0794FD02">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15.3.1 承包人提供质量保证金的方式</w:t>
      </w:r>
    </w:p>
    <w:p w14:paraId="76A57E21">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质量保证金采用以下第</w:t>
      </w:r>
      <w:r>
        <w:rPr>
          <w:rFonts w:hint="eastAsia" w:ascii="宋体" w:hAnsi="宋体"/>
          <w:color w:val="auto"/>
          <w:szCs w:val="21"/>
          <w:u w:val="single"/>
          <w:lang w:eastAsia="zh-CN"/>
        </w:rPr>
        <w:t>（</w:t>
      </w:r>
      <w:r>
        <w:rPr>
          <w:rFonts w:hint="eastAsia" w:ascii="宋体" w:hAnsi="宋体"/>
          <w:color w:val="auto"/>
          <w:szCs w:val="21"/>
          <w:u w:val="single"/>
          <w:lang w:val="en-US" w:eastAsia="zh-CN"/>
        </w:rPr>
        <w:t>2）</w:t>
      </w:r>
      <w:r>
        <w:rPr>
          <w:rFonts w:hint="eastAsia" w:ascii="宋体" w:hAnsi="宋体"/>
          <w:color w:val="auto"/>
          <w:szCs w:val="21"/>
          <w:u w:val="single"/>
        </w:rPr>
        <w:t xml:space="preserve">    </w:t>
      </w:r>
      <w:r>
        <w:rPr>
          <w:rFonts w:hint="eastAsia" w:ascii="宋体" w:hAnsi="宋体"/>
          <w:color w:val="auto"/>
          <w:szCs w:val="21"/>
        </w:rPr>
        <w:t>种方式：</w:t>
      </w:r>
    </w:p>
    <w:p w14:paraId="3290379D">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（1）质量保证金保函</w:t>
      </w:r>
    </w:p>
    <w:p w14:paraId="2E417D70">
      <w:pPr>
        <w:spacing w:line="360" w:lineRule="auto"/>
        <w:ind w:right="140" w:rightChars="50" w:firstLine="560" w:firstLineChars="200"/>
        <w:jc w:val="left"/>
        <w:rPr>
          <w:rFonts w:hint="eastAsia" w:ascii="宋体" w:hAnsi="宋体" w:eastAsia="宋体"/>
          <w:color w:val="auto"/>
          <w:szCs w:val="21"/>
          <w:lang w:eastAsia="zh-CN"/>
        </w:rPr>
      </w:pPr>
      <w:r>
        <w:rPr>
          <w:rFonts w:hint="eastAsia" w:ascii="宋体" w:hAnsi="宋体"/>
          <w:color w:val="auto"/>
          <w:szCs w:val="21"/>
          <w:u w:val="none"/>
        </w:rPr>
        <w:t>1）</w:t>
      </w:r>
      <w:r>
        <w:rPr>
          <w:rFonts w:hint="eastAsia" w:ascii="宋体" w:hAnsi="宋体"/>
          <w:color w:val="auto"/>
          <w:szCs w:val="21"/>
          <w:u w:val="none"/>
          <w:lang w:val="en-US" w:eastAsia="zh-CN"/>
        </w:rPr>
        <w:t>缴纳形式：</w:t>
      </w:r>
      <w:r>
        <w:rPr>
          <w:rFonts w:hint="eastAsia" w:ascii="宋体" w:hAnsi="宋体"/>
          <w:color w:val="auto"/>
          <w:kern w:val="0"/>
          <w:szCs w:val="21"/>
          <w:u w:val="none"/>
          <w:lang w:val="en-US" w:eastAsia="zh-CN"/>
        </w:rPr>
        <w:t>质量保证金</w:t>
      </w:r>
      <w:r>
        <w:rPr>
          <w:rFonts w:hint="eastAsia" w:ascii="宋体" w:hAnsi="宋体"/>
          <w:color w:val="auto"/>
          <w:kern w:val="0"/>
          <w:szCs w:val="21"/>
          <w:u w:val="none"/>
        </w:rPr>
        <w:t>保函包括银行保函、保证保险和担保保函</w:t>
      </w:r>
      <w:r>
        <w:rPr>
          <w:rFonts w:hint="eastAsia" w:ascii="宋体" w:hAnsi="宋体"/>
          <w:color w:val="auto"/>
          <w:szCs w:val="21"/>
          <w:u w:val="none"/>
          <w:lang w:eastAsia="zh-CN"/>
        </w:rPr>
        <w:t>，</w:t>
      </w:r>
      <w:r>
        <w:rPr>
          <w:rFonts w:hint="eastAsia" w:ascii="宋体" w:hAnsi="宋体"/>
          <w:color w:val="auto"/>
          <w:szCs w:val="21"/>
          <w:u w:val="none"/>
          <w:lang w:val="en-US" w:eastAsia="zh-CN"/>
        </w:rPr>
        <w:t>其示范文本详见合同附件</w:t>
      </w:r>
      <w:r>
        <w:rPr>
          <w:rFonts w:hint="eastAsia" w:ascii="宋体" w:hAnsi="宋体"/>
          <w:color w:val="auto"/>
          <w:szCs w:val="21"/>
          <w:u w:val="none"/>
          <w:lang w:eastAsia="zh-CN"/>
        </w:rPr>
        <w:t>。</w:t>
      </w:r>
      <w:r>
        <w:rPr>
          <w:rFonts w:hint="eastAsia" w:ascii="宋体" w:hAnsi="宋体"/>
          <w:color w:val="auto"/>
          <w:kern w:val="0"/>
          <w:szCs w:val="21"/>
          <w:u w:val="none"/>
          <w:lang w:val="en-US" w:eastAsia="zh-CN"/>
        </w:rPr>
        <w:t>承包人提交的质量保证金</w:t>
      </w:r>
      <w:r>
        <w:rPr>
          <w:rFonts w:hint="eastAsia" w:ascii="宋体" w:hAnsi="宋体"/>
          <w:color w:val="auto"/>
          <w:kern w:val="0"/>
          <w:szCs w:val="21"/>
          <w:u w:val="none"/>
        </w:rPr>
        <w:t>保函</w:t>
      </w:r>
      <w:r>
        <w:rPr>
          <w:rFonts w:hint="eastAsia" w:ascii="宋体" w:hAnsi="宋体"/>
          <w:color w:val="auto"/>
          <w:kern w:val="0"/>
          <w:szCs w:val="21"/>
          <w:u w:val="none"/>
          <w:lang w:val="en-US" w:eastAsia="zh-CN"/>
        </w:rPr>
        <w:t>应</w:t>
      </w:r>
      <w:r>
        <w:rPr>
          <w:rFonts w:hint="eastAsia" w:ascii="宋体" w:hAnsi="宋体"/>
          <w:color w:val="auto"/>
          <w:kern w:val="0"/>
          <w:szCs w:val="21"/>
          <w:u w:val="none"/>
        </w:rPr>
        <w:t>严格执行</w:t>
      </w:r>
      <w:r>
        <w:rPr>
          <w:rFonts w:hint="eastAsia" w:ascii="宋体" w:hAnsi="宋体"/>
          <w:color w:val="auto"/>
          <w:kern w:val="0"/>
          <w:szCs w:val="21"/>
          <w:u w:val="none"/>
          <w:lang w:val="en-US" w:eastAsia="zh-CN"/>
        </w:rPr>
        <w:t>其</w:t>
      </w:r>
      <w:r>
        <w:rPr>
          <w:rFonts w:hint="eastAsia" w:ascii="宋体" w:hAnsi="宋体"/>
          <w:color w:val="auto"/>
          <w:kern w:val="0"/>
          <w:szCs w:val="21"/>
          <w:u w:val="none"/>
        </w:rPr>
        <w:t>示范文本，不得对示范文本中的实质性内容进行修改</w:t>
      </w:r>
      <w:r>
        <w:rPr>
          <w:rFonts w:hint="eastAsia" w:ascii="宋体" w:hAnsi="宋体"/>
          <w:color w:val="auto"/>
          <w:szCs w:val="21"/>
          <w:u w:val="none"/>
          <w:lang w:eastAsia="zh-CN"/>
        </w:rPr>
        <w:t>。</w:t>
      </w:r>
    </w:p>
    <w:p w14:paraId="733BA729">
      <w:pPr>
        <w:spacing w:line="360" w:lineRule="auto"/>
        <w:ind w:right="140" w:rightChars="50" w:firstLine="560" w:firstLineChars="200"/>
        <w:jc w:val="left"/>
        <w:rPr>
          <w:rFonts w:hint="default" w:ascii="宋体" w:hAnsi="宋体" w:eastAsia="宋体"/>
          <w:color w:val="auto"/>
          <w:szCs w:val="21"/>
          <w:lang w:val="en-US" w:eastAsia="zh-CN"/>
        </w:rPr>
      </w:pPr>
      <w:r>
        <w:rPr>
          <w:rFonts w:hint="eastAsia" w:ascii="宋体" w:hAnsi="宋体"/>
          <w:color w:val="auto"/>
          <w:szCs w:val="21"/>
          <w:lang w:val="en-US" w:eastAsia="zh-CN"/>
        </w:rPr>
        <w:t>2）具体要求：</w:t>
      </w:r>
      <w:r>
        <w:rPr>
          <w:rFonts w:hint="eastAsia" w:ascii="宋体" w:hAnsi="宋体"/>
          <w:color w:val="auto"/>
          <w:kern w:val="0"/>
          <w:szCs w:val="21"/>
          <w:lang w:val="en-US" w:eastAsia="zh-CN"/>
        </w:rPr>
        <w:t>质量保证金</w:t>
      </w:r>
      <w:r>
        <w:rPr>
          <w:rFonts w:hint="eastAsia" w:ascii="宋体" w:hAnsi="宋体"/>
          <w:color w:val="auto"/>
          <w:kern w:val="0"/>
          <w:szCs w:val="21"/>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lang w:eastAsia="zh-CN"/>
        </w:rPr>
        <w:t>。</w:t>
      </w:r>
      <w:r>
        <w:rPr>
          <w:rFonts w:hint="eastAsia" w:ascii="宋体" w:hAnsi="宋体"/>
          <w:color w:val="auto"/>
          <w:kern w:val="0"/>
          <w:szCs w:val="21"/>
          <w:lang w:val="en-US" w:eastAsia="zh-CN"/>
        </w:rPr>
        <w:t>质量保证金</w:t>
      </w:r>
      <w:r>
        <w:rPr>
          <w:rFonts w:hint="eastAsia" w:ascii="宋体" w:hAnsi="宋体"/>
          <w:color w:val="auto"/>
          <w:kern w:val="0"/>
          <w:szCs w:val="21"/>
        </w:rPr>
        <w:t>保函</w:t>
      </w:r>
      <w:r>
        <w:rPr>
          <w:rFonts w:hint="eastAsia" w:ascii="宋体" w:hAnsi="宋体"/>
          <w:color w:val="auto"/>
          <w:kern w:val="0"/>
          <w:szCs w:val="21"/>
          <w:lang w:eastAsia="zh-CN"/>
        </w:rPr>
        <w:t>应合法合规，符合招投标行政监督部门、行业主管部门和金融监管部门的相关规定，满足招标文件约定要求。</w:t>
      </w:r>
      <w:r>
        <w:rPr>
          <w:rFonts w:hint="eastAsia" w:ascii="宋体" w:hAnsi="宋体"/>
          <w:color w:val="auto"/>
          <w:kern w:val="0"/>
          <w:szCs w:val="21"/>
          <w:lang w:val="en-US" w:eastAsia="zh-CN"/>
        </w:rPr>
        <w:t>承包人</w:t>
      </w:r>
      <w:r>
        <w:rPr>
          <w:rFonts w:hint="eastAsia" w:ascii="宋体" w:hAnsi="宋体"/>
          <w:color w:val="auto"/>
          <w:kern w:val="0"/>
          <w:szCs w:val="21"/>
        </w:rPr>
        <w:t>应选择在渝依法设立总部或者设有分支机构的金融机构开具</w:t>
      </w:r>
      <w:r>
        <w:rPr>
          <w:rFonts w:hint="eastAsia" w:ascii="宋体" w:hAnsi="宋体"/>
          <w:color w:val="auto"/>
          <w:kern w:val="0"/>
          <w:szCs w:val="21"/>
          <w:lang w:val="en-US" w:eastAsia="zh-CN"/>
        </w:rPr>
        <w:t>质量保证金</w:t>
      </w:r>
      <w:r>
        <w:rPr>
          <w:rFonts w:hint="eastAsia" w:ascii="宋体" w:hAnsi="宋体"/>
          <w:color w:val="auto"/>
          <w:kern w:val="0"/>
          <w:szCs w:val="21"/>
        </w:rPr>
        <w:t>保函</w:t>
      </w:r>
      <w:r>
        <w:rPr>
          <w:rFonts w:hint="eastAsia" w:ascii="宋体" w:hAnsi="宋体"/>
          <w:color w:val="auto"/>
          <w:kern w:val="0"/>
          <w:szCs w:val="21"/>
          <w:lang w:val="en-US" w:eastAsia="zh-CN"/>
        </w:rPr>
        <w:t>（包括纸质保函或电子保函）</w:t>
      </w:r>
      <w:r>
        <w:rPr>
          <w:rFonts w:hint="eastAsia" w:ascii="宋体" w:hAnsi="宋体"/>
          <w:color w:val="auto"/>
          <w:kern w:val="0"/>
          <w:szCs w:val="21"/>
          <w:lang w:eastAsia="zh-CN"/>
        </w:rPr>
        <w:t>。</w:t>
      </w:r>
      <w:r>
        <w:rPr>
          <w:rFonts w:hint="eastAsia" w:ascii="宋体" w:hAnsi="宋体"/>
          <w:color w:val="auto"/>
          <w:kern w:val="0"/>
          <w:szCs w:val="21"/>
          <w:lang w:val="en-US" w:eastAsia="zh-CN"/>
        </w:rPr>
        <w:t>质量保证金</w:t>
      </w:r>
      <w:r>
        <w:rPr>
          <w:rFonts w:hint="eastAsia" w:ascii="宋体" w:hAnsi="宋体"/>
          <w:color w:val="auto"/>
          <w:kern w:val="0"/>
          <w:szCs w:val="21"/>
        </w:rPr>
        <w:t>保函</w:t>
      </w:r>
      <w:r>
        <w:rPr>
          <w:rFonts w:hint="eastAsia" w:ascii="宋体" w:hAnsi="宋体"/>
          <w:color w:val="auto"/>
          <w:kern w:val="0"/>
          <w:szCs w:val="21"/>
          <w:lang w:val="en-US" w:eastAsia="zh-CN"/>
        </w:rPr>
        <w:t>为纸质保函的，纸质保函应注明在</w:t>
      </w:r>
      <w:r>
        <w:rPr>
          <w:rFonts w:hint="eastAsia" w:ascii="宋体" w:hAnsi="宋体"/>
          <w:color w:val="auto"/>
          <w:kern w:val="0"/>
          <w:szCs w:val="21"/>
        </w:rPr>
        <w:t>重庆市辖区范围内的核验地址和核验方式</w:t>
      </w:r>
      <w:r>
        <w:rPr>
          <w:rFonts w:hint="eastAsia" w:ascii="宋体" w:hAnsi="宋体"/>
          <w:color w:val="auto"/>
          <w:kern w:val="0"/>
          <w:szCs w:val="21"/>
          <w:lang w:eastAsia="zh-CN"/>
        </w:rPr>
        <w:t>，</w:t>
      </w:r>
      <w:r>
        <w:rPr>
          <w:rFonts w:hint="eastAsia" w:ascii="宋体" w:hAnsi="宋体"/>
          <w:color w:val="auto"/>
          <w:kern w:val="0"/>
          <w:szCs w:val="21"/>
          <w:lang w:val="en-US" w:eastAsia="zh-CN"/>
        </w:rPr>
        <w:t>并确保该纸质保函能在开立人在渝的总部或者分支机构进行核验</w:t>
      </w:r>
      <w:r>
        <w:rPr>
          <w:rFonts w:hint="eastAsia" w:ascii="宋体" w:hAnsi="宋体"/>
          <w:color w:val="auto"/>
          <w:kern w:val="0"/>
          <w:szCs w:val="21"/>
          <w:lang w:eastAsia="zh-CN"/>
        </w:rPr>
        <w:t>。</w:t>
      </w:r>
      <w:r>
        <w:rPr>
          <w:rFonts w:hint="eastAsia" w:ascii="宋体" w:hAnsi="宋体"/>
          <w:color w:val="auto"/>
          <w:kern w:val="0"/>
          <w:szCs w:val="21"/>
          <w:lang w:val="en-US" w:eastAsia="zh-CN"/>
        </w:rPr>
        <w:t>承包人对所提交的质量保证金</w:t>
      </w:r>
      <w:r>
        <w:rPr>
          <w:rFonts w:hint="eastAsia" w:ascii="宋体" w:hAnsi="宋体"/>
          <w:color w:val="auto"/>
          <w:kern w:val="0"/>
          <w:szCs w:val="21"/>
        </w:rPr>
        <w:t>保函</w:t>
      </w:r>
      <w:r>
        <w:rPr>
          <w:rFonts w:hint="eastAsia" w:ascii="宋体" w:hAnsi="宋体"/>
          <w:color w:val="auto"/>
          <w:kern w:val="0"/>
          <w:szCs w:val="21"/>
          <w:lang w:val="en-US" w:eastAsia="zh-CN"/>
        </w:rPr>
        <w:t>的真实性、合法性、有效性负责。</w:t>
      </w:r>
    </w:p>
    <w:p w14:paraId="2F54C318">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3）保函金额为：</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rPr>
        <w:t>。</w:t>
      </w:r>
    </w:p>
    <w:p w14:paraId="6C067028">
      <w:pPr>
        <w:spacing w:line="360" w:lineRule="auto"/>
        <w:ind w:right="140" w:rightChars="50" w:firstLine="560" w:firstLineChars="200"/>
        <w:jc w:val="left"/>
        <w:rPr>
          <w:rFonts w:ascii="宋体" w:hAnsi="宋体"/>
          <w:color w:val="auto"/>
          <w:szCs w:val="21"/>
        </w:rPr>
      </w:pPr>
      <w:r>
        <w:rPr>
          <w:rFonts w:hint="default" w:ascii="宋体" w:hAnsi="宋体"/>
          <w:color w:val="auto"/>
          <w:szCs w:val="21"/>
          <w:lang w:val="en-US"/>
        </w:rPr>
        <w:t>4</w:t>
      </w:r>
      <w:r>
        <w:rPr>
          <w:rFonts w:hint="eastAsia" w:ascii="宋体" w:hAnsi="宋体"/>
          <w:color w:val="auto"/>
          <w:szCs w:val="21"/>
        </w:rPr>
        <w:t>）提交时间：</w:t>
      </w:r>
      <w:r>
        <w:rPr>
          <w:rFonts w:hint="eastAsia" w:ascii="宋体" w:hAnsi="宋体"/>
          <w:color w:val="auto"/>
          <w:szCs w:val="21"/>
          <w:u w:val="single"/>
        </w:rPr>
        <w:t>工程竣工验收合格后14天内</w:t>
      </w:r>
      <w:r>
        <w:rPr>
          <w:rFonts w:hint="eastAsia" w:ascii="宋体" w:hAnsi="宋体"/>
          <w:color w:val="auto"/>
          <w:szCs w:val="21"/>
        </w:rPr>
        <w:t>。</w:t>
      </w:r>
    </w:p>
    <w:p w14:paraId="07D269FB">
      <w:pPr>
        <w:spacing w:line="360" w:lineRule="auto"/>
        <w:ind w:right="140" w:rightChars="50" w:firstLine="560" w:firstLineChars="200"/>
        <w:jc w:val="left"/>
        <w:rPr>
          <w:rFonts w:ascii="宋体" w:hAnsi="宋体"/>
          <w:color w:val="auto"/>
          <w:szCs w:val="21"/>
        </w:rPr>
      </w:pPr>
      <w:r>
        <w:rPr>
          <w:rFonts w:hint="eastAsia" w:ascii="宋体" w:hAnsi="宋体"/>
          <w:color w:val="auto"/>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rPr>
        <w:t>。</w:t>
      </w:r>
    </w:p>
    <w:p w14:paraId="7B22A49F">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（2）竣工结算价的</w:t>
      </w:r>
      <w:r>
        <w:rPr>
          <w:rFonts w:hint="eastAsia" w:ascii="宋体" w:hAnsi="宋体"/>
          <w:color w:val="auto"/>
          <w:szCs w:val="21"/>
          <w:u w:val="single"/>
        </w:rPr>
        <w:t xml:space="preserve"> 3% </w:t>
      </w:r>
      <w:r>
        <w:rPr>
          <w:rFonts w:hint="eastAsia" w:ascii="宋体" w:hAnsi="宋体"/>
          <w:color w:val="auto"/>
          <w:szCs w:val="21"/>
        </w:rPr>
        <w:t>；</w:t>
      </w:r>
    </w:p>
    <w:p w14:paraId="1670EAFF">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（3）其他方式：</w:t>
      </w:r>
      <w:r>
        <w:rPr>
          <w:rFonts w:hint="eastAsia" w:ascii="宋体" w:hAnsi="宋体"/>
          <w:color w:val="auto"/>
          <w:szCs w:val="21"/>
          <w:u w:val="single"/>
        </w:rPr>
        <w:t xml:space="preserve"> / </w:t>
      </w:r>
      <w:r>
        <w:rPr>
          <w:rFonts w:hint="eastAsia" w:ascii="宋体" w:hAnsi="宋体"/>
          <w:color w:val="auto"/>
          <w:szCs w:val="21"/>
        </w:rPr>
        <w:t>。</w:t>
      </w:r>
    </w:p>
    <w:p w14:paraId="7C1C1F1C">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15.3.2 质量保证金的扣留</w:t>
      </w:r>
    </w:p>
    <w:p w14:paraId="377754F5">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质量保证金的扣留采取以下第</w:t>
      </w:r>
      <w:r>
        <w:rPr>
          <w:rFonts w:hint="eastAsia" w:ascii="宋体" w:hAnsi="宋体"/>
          <w:color w:val="auto"/>
          <w:szCs w:val="21"/>
          <w:u w:val="single"/>
        </w:rPr>
        <w:t xml:space="preserve"> </w:t>
      </w:r>
      <w:r>
        <w:rPr>
          <w:rFonts w:hint="eastAsia" w:ascii="宋体" w:hAnsi="宋体"/>
          <w:color w:val="auto"/>
          <w:szCs w:val="21"/>
          <w:u w:val="single"/>
          <w:lang w:eastAsia="zh-CN"/>
        </w:rPr>
        <w:t>（</w:t>
      </w:r>
      <w:r>
        <w:rPr>
          <w:rFonts w:hint="eastAsia" w:ascii="宋体" w:hAnsi="宋体"/>
          <w:color w:val="auto"/>
          <w:szCs w:val="21"/>
          <w:u w:val="single"/>
          <w:lang w:val="en-US" w:eastAsia="zh-CN"/>
        </w:rPr>
        <w:t>3）</w:t>
      </w:r>
      <w:r>
        <w:rPr>
          <w:rFonts w:hint="eastAsia" w:ascii="宋体" w:hAnsi="宋体"/>
          <w:color w:val="auto"/>
          <w:szCs w:val="21"/>
          <w:u w:val="single"/>
        </w:rPr>
        <w:t xml:space="preserve">   </w:t>
      </w:r>
      <w:r>
        <w:rPr>
          <w:rFonts w:hint="eastAsia" w:ascii="宋体" w:hAnsi="宋体"/>
          <w:color w:val="auto"/>
          <w:szCs w:val="21"/>
        </w:rPr>
        <w:t>种方式：</w:t>
      </w:r>
    </w:p>
    <w:p w14:paraId="7D7DA5A7">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（1）在支付工程进度款时逐次扣留，在此情形下，质量保证金的计算基数不包括预付款的支付、扣回以及价格调整的金额；</w:t>
      </w:r>
    </w:p>
    <w:p w14:paraId="1F56D625">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（2）工程竣工结算时一次性扣留质量保证金；</w:t>
      </w:r>
    </w:p>
    <w:p w14:paraId="228605AB">
      <w:pPr>
        <w:autoSpaceDE w:val="0"/>
        <w:autoSpaceDN w:val="0"/>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rPr>
        <w:t>（3）</w:t>
      </w:r>
      <w:r>
        <w:rPr>
          <w:rFonts w:hint="eastAsia" w:ascii="宋体" w:hAnsi="宋体"/>
          <w:color w:val="auto"/>
          <w:szCs w:val="21"/>
          <w:lang w:eastAsia="zh-CN"/>
        </w:rPr>
        <w:t>其他方式：</w:t>
      </w:r>
      <w:r>
        <w:rPr>
          <w:rFonts w:hint="eastAsia" w:ascii="宋体" w:hAnsi="宋体"/>
          <w:color w:val="auto"/>
          <w:szCs w:val="21"/>
          <w:u w:val="single"/>
        </w:rPr>
        <w:t xml:space="preserve"> </w:t>
      </w:r>
      <w:r>
        <w:rPr>
          <w:rFonts w:hint="eastAsia" w:ascii="宋体" w:hAnsi="宋体"/>
          <w:color w:val="auto"/>
          <w:szCs w:val="21"/>
          <w:u w:val="single"/>
          <w:lang w:eastAsia="zh-CN"/>
        </w:rPr>
        <w:t>工程竣工验收合格后，经发包人上级主管部门复核后，投标人支付工程结算审定金额的</w:t>
      </w:r>
      <w:r>
        <w:rPr>
          <w:rFonts w:hint="eastAsia" w:ascii="宋体" w:hAnsi="宋体"/>
          <w:color w:val="auto"/>
          <w:szCs w:val="21"/>
          <w:u w:val="single"/>
          <w:lang w:val="en-US" w:eastAsia="zh-CN"/>
        </w:rPr>
        <w:t>3%作为工程质量保证金</w:t>
      </w:r>
      <w:r>
        <w:rPr>
          <w:rFonts w:hint="eastAsia" w:ascii="宋体" w:hAnsi="宋体"/>
          <w:color w:val="auto"/>
          <w:szCs w:val="21"/>
          <w:u w:val="single"/>
        </w:rPr>
        <w:t xml:space="preserve">       </w:t>
      </w:r>
      <w:r>
        <w:rPr>
          <w:rFonts w:hint="eastAsia" w:ascii="宋体" w:hAnsi="宋体"/>
          <w:color w:val="auto"/>
          <w:szCs w:val="21"/>
        </w:rPr>
        <w:t>。</w:t>
      </w:r>
    </w:p>
    <w:p w14:paraId="3624D567">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15.3.3质量保证金的退还</w:t>
      </w:r>
    </w:p>
    <w:p w14:paraId="7F160FDF">
      <w:pPr>
        <w:autoSpaceDE w:val="0"/>
        <w:autoSpaceDN w:val="0"/>
        <w:spacing w:line="360" w:lineRule="auto"/>
        <w:ind w:right="140" w:rightChars="50" w:firstLine="560" w:firstLineChars="200"/>
        <w:jc w:val="left"/>
        <w:rPr>
          <w:rFonts w:hint="default" w:ascii="宋体" w:hAnsi="宋体" w:cs="Times New Roman"/>
          <w:color w:val="auto"/>
          <w:szCs w:val="21"/>
          <w:u w:val="single"/>
          <w:lang w:val="en-US" w:eastAsia="zh-CN"/>
        </w:rPr>
      </w:pPr>
      <w:bookmarkStart w:id="1500" w:name="_Toc532375663"/>
      <w:bookmarkStart w:id="1501" w:name="_Toc532377400"/>
      <w:r>
        <w:rPr>
          <w:rFonts w:hint="eastAsia" w:ascii="宋体" w:hAnsi="宋体" w:cs="Times New Roman"/>
          <w:color w:val="auto"/>
          <w:szCs w:val="21"/>
          <w:u w:val="single"/>
          <w:lang w:val="en-US" w:eastAsia="zh-CN"/>
        </w:rPr>
        <w:t>（1）缺陷责任期：2年。</w:t>
      </w:r>
    </w:p>
    <w:p w14:paraId="69B590CF">
      <w:pPr>
        <w:autoSpaceDE w:val="0"/>
        <w:autoSpaceDN w:val="0"/>
        <w:spacing w:line="360" w:lineRule="auto"/>
        <w:ind w:right="140" w:rightChars="50" w:firstLine="560" w:firstLineChars="200"/>
        <w:jc w:val="left"/>
        <w:rPr>
          <w:rFonts w:hint="eastAsia" w:ascii="宋体" w:hAnsi="宋体" w:cs="Times New Roman"/>
          <w:color w:val="auto"/>
          <w:szCs w:val="21"/>
          <w:u w:val="single"/>
          <w:lang w:eastAsia="zh-CN"/>
        </w:rPr>
      </w:pPr>
      <w:r>
        <w:rPr>
          <w:rFonts w:hint="eastAsia" w:ascii="宋体" w:hAnsi="宋体" w:cs="Times New Roman"/>
          <w:color w:val="auto"/>
          <w:szCs w:val="21"/>
          <w:u w:val="single"/>
          <w:lang w:eastAsia="zh-CN"/>
        </w:rPr>
        <w:t>（</w:t>
      </w:r>
      <w:r>
        <w:rPr>
          <w:rFonts w:hint="eastAsia" w:ascii="宋体" w:hAnsi="宋体" w:cs="Times New Roman"/>
          <w:color w:val="auto"/>
          <w:szCs w:val="21"/>
          <w:u w:val="single"/>
          <w:lang w:val="en-US" w:eastAsia="zh-CN"/>
        </w:rPr>
        <w:t>2</w:t>
      </w:r>
      <w:r>
        <w:rPr>
          <w:rFonts w:hint="eastAsia" w:ascii="宋体" w:hAnsi="宋体" w:cs="Times New Roman"/>
          <w:color w:val="auto"/>
          <w:szCs w:val="21"/>
          <w:u w:val="single"/>
          <w:lang w:eastAsia="zh-CN"/>
        </w:rPr>
        <w:t>）缺陷责任期内，承包人应认真履行合同约定的责任，到期后，承包人可向发包人申请返还质量保证金。</w:t>
      </w:r>
    </w:p>
    <w:p w14:paraId="1F59E7AB">
      <w:pPr>
        <w:autoSpaceDE w:val="0"/>
        <w:autoSpaceDN w:val="0"/>
        <w:spacing w:line="360" w:lineRule="auto"/>
        <w:ind w:right="140" w:rightChars="50" w:firstLine="560" w:firstLineChars="200"/>
        <w:jc w:val="left"/>
        <w:rPr>
          <w:rFonts w:hint="eastAsia" w:ascii="宋体" w:hAnsi="宋体" w:cs="Times New Roman"/>
          <w:color w:val="auto"/>
          <w:szCs w:val="21"/>
          <w:u w:val="single"/>
          <w:lang w:eastAsia="zh-CN"/>
        </w:rPr>
      </w:pPr>
      <w:r>
        <w:rPr>
          <w:rFonts w:hint="eastAsia" w:ascii="宋体" w:hAnsi="宋体" w:cs="Times New Roman"/>
          <w:color w:val="auto"/>
          <w:szCs w:val="21"/>
          <w:u w:val="single"/>
          <w:lang w:eastAsia="zh-CN"/>
        </w:rPr>
        <w:t>（</w:t>
      </w:r>
      <w:r>
        <w:rPr>
          <w:rFonts w:hint="eastAsia" w:ascii="宋体" w:hAnsi="宋体" w:cs="Times New Roman"/>
          <w:color w:val="auto"/>
          <w:szCs w:val="21"/>
          <w:u w:val="single"/>
          <w:lang w:val="en-US" w:eastAsia="zh-CN"/>
        </w:rPr>
        <w:t>3</w:t>
      </w:r>
      <w:r>
        <w:rPr>
          <w:rFonts w:hint="eastAsia" w:ascii="宋体" w:hAnsi="宋体" w:cs="Times New Roman"/>
          <w:color w:val="auto"/>
          <w:szCs w:val="21"/>
          <w:u w:val="single"/>
          <w:lang w:eastAsia="zh-CN"/>
        </w:rPr>
        <w:t>）在发包人颁发缺陷责任期终止证书之日起，发包人收到承包人质量保证金退还申请后14天内退还。</w:t>
      </w:r>
    </w:p>
    <w:p w14:paraId="39E73B17">
      <w:pPr>
        <w:autoSpaceDE w:val="0"/>
        <w:autoSpaceDN w:val="0"/>
        <w:spacing w:line="360" w:lineRule="auto"/>
        <w:ind w:right="140" w:rightChars="50" w:firstLine="560" w:firstLineChars="200"/>
        <w:jc w:val="left"/>
        <w:rPr>
          <w:rFonts w:hint="default" w:ascii="宋体" w:hAnsi="宋体" w:cs="Times New Roman"/>
          <w:color w:val="auto"/>
          <w:szCs w:val="21"/>
          <w:u w:val="single"/>
          <w:lang w:val="en-US" w:eastAsia="zh-CN"/>
        </w:rPr>
      </w:pPr>
      <w:r>
        <w:rPr>
          <w:rFonts w:hint="eastAsia" w:ascii="宋体" w:hAnsi="宋体" w:cs="Times New Roman"/>
          <w:color w:val="auto"/>
          <w:szCs w:val="21"/>
          <w:u w:val="single"/>
          <w:lang w:eastAsia="zh-CN"/>
        </w:rPr>
        <w:t>（</w:t>
      </w:r>
      <w:r>
        <w:rPr>
          <w:rFonts w:hint="eastAsia" w:ascii="宋体" w:hAnsi="宋体" w:cs="Times New Roman"/>
          <w:color w:val="auto"/>
          <w:szCs w:val="21"/>
          <w:u w:val="single"/>
          <w:lang w:val="en-US" w:eastAsia="zh-CN"/>
        </w:rPr>
        <w:t>4</w:t>
      </w:r>
      <w:r>
        <w:rPr>
          <w:rFonts w:hint="eastAsia" w:ascii="宋体" w:hAnsi="宋体" w:cs="Times New Roman"/>
          <w:color w:val="auto"/>
          <w:szCs w:val="21"/>
          <w:u w:val="single"/>
          <w:lang w:eastAsia="zh-CN"/>
        </w:rPr>
        <w:t>）</w:t>
      </w:r>
      <w:r>
        <w:rPr>
          <w:rFonts w:hint="eastAsia" w:ascii="宋体" w:hAnsi="宋体" w:cs="Times New Roman"/>
          <w:color w:val="auto"/>
          <w:szCs w:val="21"/>
          <w:u w:val="single"/>
          <w:lang w:val="en-US" w:eastAsia="zh-CN"/>
        </w:rPr>
        <w:t>缺陷责任期届满，发包人返还质量保证金，但并不免除承包人对工程的保修义务和损失赔偿责任，承包人仍需依照合同约定或法律规定履行工程保修义务。</w:t>
      </w:r>
    </w:p>
    <w:p w14:paraId="7C3E7AB7">
      <w:pPr>
        <w:autoSpaceDE w:val="0"/>
        <w:autoSpaceDN w:val="0"/>
        <w:spacing w:line="360" w:lineRule="auto"/>
        <w:ind w:right="140" w:rightChars="50" w:firstLine="560" w:firstLineChars="200"/>
        <w:jc w:val="left"/>
        <w:rPr>
          <w:rFonts w:hint="eastAsia" w:ascii="宋体" w:hAnsi="宋体" w:cs="Times New Roman"/>
          <w:color w:val="auto"/>
          <w:szCs w:val="21"/>
          <w:u w:val="single"/>
          <w:lang w:eastAsia="zh-CN"/>
        </w:rPr>
      </w:pPr>
      <w:r>
        <w:rPr>
          <w:rFonts w:hint="eastAsia" w:ascii="宋体" w:hAnsi="宋体" w:cs="Times New Roman"/>
          <w:color w:val="auto"/>
          <w:szCs w:val="21"/>
          <w:u w:val="single"/>
          <w:lang w:eastAsia="zh-CN"/>
        </w:rPr>
        <w:t>（</w:t>
      </w:r>
      <w:r>
        <w:rPr>
          <w:rFonts w:hint="eastAsia" w:ascii="宋体" w:hAnsi="宋体" w:cs="Times New Roman"/>
          <w:color w:val="auto"/>
          <w:szCs w:val="21"/>
          <w:u w:val="single"/>
          <w:lang w:val="en-US" w:eastAsia="zh-CN"/>
        </w:rPr>
        <w:t>5</w:t>
      </w:r>
      <w:r>
        <w:rPr>
          <w:rFonts w:hint="eastAsia" w:ascii="宋体" w:hAnsi="宋体" w:cs="Times New Roman"/>
          <w:color w:val="auto"/>
          <w:szCs w:val="21"/>
          <w:u w:val="single"/>
          <w:lang w:eastAsia="zh-CN"/>
        </w:rPr>
        <w:t>）质量保证金是否支付利息采取以下第②种方式：</w:t>
      </w:r>
    </w:p>
    <w:p w14:paraId="133D3A96">
      <w:pPr>
        <w:autoSpaceDE w:val="0"/>
        <w:autoSpaceDN w:val="0"/>
        <w:spacing w:line="360" w:lineRule="auto"/>
        <w:ind w:right="140" w:rightChars="50" w:firstLine="560" w:firstLineChars="200"/>
        <w:jc w:val="left"/>
        <w:rPr>
          <w:rFonts w:hint="eastAsia" w:ascii="宋体" w:hAnsi="宋体" w:cs="Times New Roman"/>
          <w:color w:val="auto"/>
          <w:szCs w:val="21"/>
          <w:u w:val="single"/>
          <w:lang w:eastAsia="zh-CN"/>
        </w:rPr>
      </w:pPr>
      <w:r>
        <w:rPr>
          <w:rFonts w:hint="eastAsia" w:ascii="宋体" w:hAnsi="宋体" w:cs="Times New Roman"/>
          <w:color w:val="auto"/>
          <w:szCs w:val="21"/>
          <w:u w:val="single"/>
          <w:lang w:eastAsia="zh-CN"/>
        </w:rPr>
        <w:t>①按照中国人民银行</w:t>
      </w:r>
      <w:r>
        <w:rPr>
          <w:rFonts w:hint="eastAsia" w:ascii="宋体" w:hAnsi="宋体" w:cs="Times New Roman"/>
          <w:color w:val="auto"/>
          <w:szCs w:val="21"/>
          <w:u w:val="single"/>
          <w:lang w:val="en-US" w:eastAsia="zh-CN"/>
        </w:rPr>
        <w:t>/</w:t>
      </w:r>
      <w:r>
        <w:rPr>
          <w:rFonts w:hint="eastAsia" w:ascii="宋体" w:hAnsi="宋体" w:cs="Times New Roman"/>
          <w:color w:val="auto"/>
          <w:szCs w:val="21"/>
          <w:u w:val="single"/>
          <w:lang w:eastAsia="zh-CN"/>
        </w:rPr>
        <w:t>年</w:t>
      </w:r>
      <w:r>
        <w:rPr>
          <w:rFonts w:hint="eastAsia" w:ascii="宋体" w:hAnsi="宋体" w:cs="Times New Roman"/>
          <w:color w:val="auto"/>
          <w:szCs w:val="21"/>
          <w:u w:val="single"/>
          <w:lang w:val="en-US" w:eastAsia="zh-CN"/>
        </w:rPr>
        <w:t>/</w:t>
      </w:r>
      <w:r>
        <w:rPr>
          <w:rFonts w:hint="eastAsia" w:ascii="宋体" w:hAnsi="宋体" w:cs="Times New Roman"/>
          <w:color w:val="auto"/>
          <w:szCs w:val="21"/>
          <w:u w:val="single"/>
          <w:lang w:eastAsia="zh-CN"/>
        </w:rPr>
        <w:t>月公布的基本活期利率支付利息。</w:t>
      </w:r>
    </w:p>
    <w:p w14:paraId="7FF4E527">
      <w:pPr>
        <w:autoSpaceDE w:val="0"/>
        <w:autoSpaceDN w:val="0"/>
        <w:spacing w:line="360" w:lineRule="auto"/>
        <w:ind w:right="140" w:rightChars="50" w:firstLine="560" w:firstLineChars="200"/>
        <w:jc w:val="left"/>
        <w:rPr>
          <w:rFonts w:hint="eastAsia" w:ascii="宋体" w:hAnsi="宋体" w:cs="Times New Roman"/>
          <w:color w:val="auto"/>
          <w:szCs w:val="21"/>
          <w:u w:val="single"/>
          <w:lang w:eastAsia="zh-CN"/>
        </w:rPr>
      </w:pPr>
      <w:r>
        <w:rPr>
          <w:rFonts w:hint="eastAsia" w:ascii="宋体" w:hAnsi="宋体" w:cs="Times New Roman"/>
          <w:color w:val="auto"/>
          <w:szCs w:val="21"/>
          <w:u w:val="single"/>
          <w:lang w:eastAsia="zh-CN"/>
        </w:rPr>
        <w:t>②不采用。</w:t>
      </w:r>
    </w:p>
    <w:p w14:paraId="1131D6E8">
      <w:pPr>
        <w:pStyle w:val="7"/>
        <w:spacing w:before="0" w:beforeAutospacing="0" w:after="0" w:afterAutospacing="0" w:line="360" w:lineRule="auto"/>
        <w:ind w:firstLine="422" w:firstLineChars="200"/>
        <w:rPr>
          <w:color w:val="auto"/>
          <w:sz w:val="21"/>
          <w:szCs w:val="21"/>
        </w:rPr>
      </w:pPr>
      <w:r>
        <w:rPr>
          <w:rFonts w:hint="eastAsia"/>
          <w:color w:val="auto"/>
          <w:sz w:val="21"/>
          <w:szCs w:val="21"/>
        </w:rPr>
        <w:t>15.4 保修</w:t>
      </w:r>
      <w:bookmarkEnd w:id="1500"/>
      <w:bookmarkEnd w:id="1501"/>
    </w:p>
    <w:p w14:paraId="47D466AE">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15.4.1 保修责任</w:t>
      </w:r>
    </w:p>
    <w:p w14:paraId="2BEF4866">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工程保修期为：</w:t>
      </w:r>
      <w:bookmarkStart w:id="1502" w:name="_Hlk524381274"/>
      <w:r>
        <w:rPr>
          <w:rFonts w:hint="eastAsia" w:ascii="宋体" w:hAnsi="宋体"/>
          <w:color w:val="auto"/>
          <w:szCs w:val="21"/>
        </w:rPr>
        <w:t>按照附件1《工程质量保修书》的规定执行。</w:t>
      </w:r>
      <w:bookmarkEnd w:id="1502"/>
    </w:p>
    <w:p w14:paraId="64503AC6">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15.4.3 修复通知</w:t>
      </w:r>
    </w:p>
    <w:p w14:paraId="70650103">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承包人收到保修通知并到达工程现场的合理时间：</w:t>
      </w:r>
      <w:r>
        <w:rPr>
          <w:rFonts w:hint="eastAsia" w:ascii="宋体" w:hAnsi="宋体"/>
          <w:color w:val="auto"/>
          <w:szCs w:val="21"/>
          <w:u w:val="single"/>
          <w:lang w:val="en-US" w:eastAsia="zh-CN"/>
        </w:rPr>
        <w:t>24</w:t>
      </w:r>
      <w:r>
        <w:rPr>
          <w:rFonts w:hint="eastAsia" w:ascii="宋体" w:hAnsi="宋体"/>
          <w:color w:val="auto"/>
          <w:szCs w:val="21"/>
          <w:u w:val="single"/>
        </w:rPr>
        <w:t>小时内，最长不能超过</w:t>
      </w:r>
      <w:r>
        <w:rPr>
          <w:rFonts w:hint="eastAsia" w:ascii="宋体" w:hAnsi="宋体"/>
          <w:color w:val="auto"/>
          <w:szCs w:val="21"/>
          <w:u w:val="single"/>
          <w:lang w:val="en-US" w:eastAsia="zh-CN"/>
        </w:rPr>
        <w:t>48</w:t>
      </w:r>
      <w:r>
        <w:rPr>
          <w:rFonts w:hint="eastAsia" w:ascii="宋体" w:hAnsi="宋体"/>
          <w:color w:val="auto"/>
          <w:szCs w:val="21"/>
          <w:u w:val="single"/>
        </w:rPr>
        <w:t>小时</w:t>
      </w:r>
      <w:r>
        <w:rPr>
          <w:rFonts w:hint="eastAsia" w:ascii="宋体" w:hAnsi="宋体"/>
          <w:color w:val="auto"/>
          <w:szCs w:val="21"/>
        </w:rPr>
        <w:t>。</w:t>
      </w:r>
    </w:p>
    <w:p w14:paraId="2126177B">
      <w:pPr>
        <w:pStyle w:val="6"/>
        <w:keepNext/>
        <w:keepLines/>
        <w:spacing w:before="156" w:beforeLines="50" w:beforeAutospacing="0" w:after="156" w:afterLines="50" w:afterAutospacing="0" w:line="360" w:lineRule="auto"/>
        <w:jc w:val="both"/>
        <w:rPr>
          <w:bCs w:val="0"/>
          <w:color w:val="auto"/>
          <w:kern w:val="2"/>
          <w:sz w:val="21"/>
          <w:szCs w:val="21"/>
        </w:rPr>
      </w:pPr>
      <w:bookmarkStart w:id="1503" w:name="_Toc351203648"/>
      <w:bookmarkStart w:id="1504" w:name="_Toc532377401"/>
      <w:bookmarkStart w:id="1505" w:name="_Toc532375664"/>
      <w:r>
        <w:rPr>
          <w:rFonts w:hint="eastAsia"/>
          <w:color w:val="auto"/>
          <w:kern w:val="2"/>
          <w:sz w:val="21"/>
          <w:szCs w:val="21"/>
        </w:rPr>
        <w:t>16. 违约</w:t>
      </w:r>
      <w:bookmarkEnd w:id="1503"/>
      <w:bookmarkEnd w:id="1504"/>
      <w:bookmarkEnd w:id="1505"/>
    </w:p>
    <w:p w14:paraId="348BEC89">
      <w:pPr>
        <w:pStyle w:val="7"/>
        <w:spacing w:before="0" w:beforeAutospacing="0" w:after="0" w:afterAutospacing="0" w:line="360" w:lineRule="auto"/>
        <w:ind w:firstLine="422" w:firstLineChars="200"/>
        <w:rPr>
          <w:color w:val="auto"/>
          <w:sz w:val="21"/>
          <w:szCs w:val="21"/>
        </w:rPr>
      </w:pPr>
      <w:bookmarkStart w:id="1506" w:name="_Toc532377402"/>
      <w:r>
        <w:rPr>
          <w:rFonts w:hint="eastAsia"/>
          <w:color w:val="auto"/>
          <w:sz w:val="21"/>
          <w:szCs w:val="21"/>
        </w:rPr>
        <w:t>16.1 发包人违约</w:t>
      </w:r>
      <w:bookmarkEnd w:id="1506"/>
    </w:p>
    <w:p w14:paraId="7023BAFF">
      <w:pPr>
        <w:spacing w:line="360" w:lineRule="auto"/>
        <w:ind w:firstLine="560" w:firstLineChars="200"/>
        <w:rPr>
          <w:rFonts w:ascii="宋体" w:hAnsi="宋体"/>
          <w:color w:val="auto"/>
          <w:szCs w:val="21"/>
        </w:rPr>
      </w:pPr>
      <w:r>
        <w:rPr>
          <w:rFonts w:hint="eastAsia" w:ascii="宋体" w:hAnsi="宋体"/>
          <w:color w:val="auto"/>
          <w:szCs w:val="21"/>
        </w:rPr>
        <w:t>16.1.1 发包人违约的情形</w:t>
      </w:r>
    </w:p>
    <w:p w14:paraId="742122B7">
      <w:pPr>
        <w:spacing w:line="360" w:lineRule="auto"/>
        <w:ind w:firstLine="560" w:firstLineChars="200"/>
        <w:rPr>
          <w:rFonts w:ascii="宋体" w:hAnsi="宋体"/>
          <w:color w:val="auto"/>
          <w:szCs w:val="21"/>
        </w:rPr>
      </w:pPr>
      <w:r>
        <w:rPr>
          <w:rFonts w:hint="eastAsia" w:ascii="宋体" w:hAnsi="宋体" w:cs="Microsoft Sans Serif"/>
          <w:color w:val="auto"/>
          <w:kern w:val="0"/>
          <w:szCs w:val="21"/>
        </w:rPr>
        <w:t>除通用合同条款约定外，发包人违约的其他情形：</w:t>
      </w:r>
    </w:p>
    <w:p w14:paraId="13A19F67">
      <w:pPr>
        <w:spacing w:line="360" w:lineRule="auto"/>
        <w:ind w:firstLine="560" w:firstLineChars="200"/>
        <w:rPr>
          <w:rFonts w:ascii="宋体" w:hAnsi="宋体"/>
          <w:color w:val="auto"/>
          <w:szCs w:val="21"/>
        </w:rPr>
      </w:pPr>
      <w:r>
        <w:rPr>
          <w:rFonts w:hint="eastAsia" w:ascii="宋体" w:hAnsi="宋体" w:cs="Microsoft Sans Serif"/>
          <w:color w:val="auto"/>
          <w:kern w:val="0"/>
          <w:szCs w:val="21"/>
        </w:rPr>
        <w:t>（1）根据专用合同条款7.5.1项因发包人原因导致工期延误的；</w:t>
      </w:r>
    </w:p>
    <w:p w14:paraId="28D08179">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（2）因发包人原因未能及时办理完毕合同约定的许可、批准或备案的；</w:t>
      </w:r>
    </w:p>
    <w:p w14:paraId="4C141A82">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（3）因监理人未能按合同约定发出指示、指示延误或发出了错误指示而导致承包人费用增加和（或）工期延误的；</w:t>
      </w:r>
    </w:p>
    <w:p w14:paraId="1095E950">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（4）根据5.3.3发包人或监理人要求重新检查的，经检查证明工程质量符合合同要求的，并由此产生增加的费用和（或）延误的工期的；</w:t>
      </w:r>
    </w:p>
    <w:p w14:paraId="19C30559">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（5）因发包人原因造成工程质量未达到合同约定标准的；</w:t>
      </w:r>
    </w:p>
    <w:p w14:paraId="7EDA2B98">
      <w:pPr>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（6）由于发包人原因对承包人造成的人员人身伤亡和财产损失的；</w:t>
      </w:r>
    </w:p>
    <w:p w14:paraId="42E1BD51">
      <w:pPr>
        <w:pStyle w:val="241"/>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（7）因发包人原因导致工程无法按期办理竣工验收或竣工结算的；</w:t>
      </w:r>
    </w:p>
    <w:p w14:paraId="6E99E423">
      <w:pPr>
        <w:pStyle w:val="241"/>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（8）发包人无正当理由未按约定退还履约担保、低价风险担保、预付款担保或质量保证金的；</w:t>
      </w:r>
    </w:p>
    <w:p w14:paraId="23B464CD">
      <w:pPr>
        <w:pStyle w:val="241"/>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（9）发包人不当提取履约担保、低价风险担保或质量保证金的；</w:t>
      </w:r>
    </w:p>
    <w:p w14:paraId="71AC67B5">
      <w:pPr>
        <w:pStyle w:val="241"/>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（10）发包人未按合同约定接收全部或部分工作的；</w:t>
      </w:r>
    </w:p>
    <w:p w14:paraId="73C2E41B">
      <w:pPr>
        <w:pStyle w:val="241"/>
        <w:spacing w:line="360" w:lineRule="auto"/>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（11）发包人未按合同约定办理保险的；</w:t>
      </w:r>
    </w:p>
    <w:p w14:paraId="2ED0F3B1">
      <w:pPr>
        <w:snapToGrid w:val="0"/>
        <w:spacing w:line="360" w:lineRule="auto"/>
        <w:ind w:firstLine="560" w:firstLineChars="200"/>
        <w:jc w:val="left"/>
        <w:rPr>
          <w:rFonts w:ascii="宋体" w:hAnsi="宋体" w:cs="Microsoft Sans Serif"/>
          <w:color w:val="auto"/>
          <w:kern w:val="0"/>
          <w:szCs w:val="21"/>
          <w:u w:val="single"/>
        </w:rPr>
      </w:pPr>
      <w:r>
        <w:rPr>
          <w:rFonts w:hint="eastAsia" w:ascii="宋体" w:hAnsi="宋体" w:cs="Microsoft Sans Serif"/>
          <w:color w:val="auto"/>
          <w:kern w:val="0"/>
          <w:szCs w:val="21"/>
          <w:u w:val="none"/>
        </w:rPr>
        <w:t>（12）其他：</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rPr>
        <w:t>。</w:t>
      </w:r>
    </w:p>
    <w:p w14:paraId="6826F093">
      <w:pPr>
        <w:pStyle w:val="241"/>
        <w:spacing w:line="360" w:lineRule="auto"/>
        <w:rPr>
          <w:rFonts w:ascii="宋体" w:hAnsi="宋体"/>
          <w:color w:val="auto"/>
          <w:sz w:val="21"/>
          <w:szCs w:val="21"/>
        </w:rPr>
      </w:pPr>
      <w:r>
        <w:rPr>
          <w:rFonts w:hint="eastAsia" w:ascii="宋体" w:hAnsi="宋体"/>
          <w:color w:val="auto"/>
          <w:sz w:val="21"/>
          <w:szCs w:val="21"/>
        </w:rPr>
        <w:t>16.1.2发包人违约的责任</w:t>
      </w:r>
    </w:p>
    <w:p w14:paraId="452D7861">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（1）因发包人原因未能及时办理完毕前述许可、批准或备案的违约责任：由发包人承担由此增加的费用和（或）顺延工期，并支付合理利润，具体索赔程序按照第19条〔索赔〕约定执行。</w:t>
      </w:r>
    </w:p>
    <w:p w14:paraId="3F4E5178">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3D581959">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（3）因发包人原因导致工期延误的违约责任：由发包人承担由此增加的费用和（或）顺延工期，并支付合理利润，具体索赔程序按照第19条〔索赔〕约定执行。</w:t>
      </w:r>
    </w:p>
    <w:p w14:paraId="4097341A">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（4）因发包人原因未能在计划开工日期前7天内下达开工通知的违约责任：由发包人承担由此增加的费用和（或）顺延工期，并支付合理利润，具体索赔程序按照第19条〔索赔〕约定执行。</w:t>
      </w:r>
    </w:p>
    <w:p w14:paraId="5D680068">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（5）根据5.3.3项发包人或监理人要求重新检查的，经检查证明工程质量符合合同要求的，由发包人承担由此增加的费用和（或）顺延工期，并支付合理利润，具体索赔程序按照第19条〔索赔〕约定执行。</w:t>
      </w:r>
    </w:p>
    <w:p w14:paraId="381ACEEA">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（6）因发包人原因未按合同约定支付合同价款的违约责任：发包人应向承包人支付违约金，自应当支付</w:t>
      </w:r>
      <w:r>
        <w:rPr>
          <w:rFonts w:hint="eastAsia" w:ascii="宋体" w:hAnsi="宋体" w:cs="Microsoft Sans Serif"/>
          <w:color w:val="auto"/>
          <w:kern w:val="0"/>
          <w:szCs w:val="21"/>
          <w:lang w:eastAsia="zh-CN"/>
        </w:rPr>
        <w:t>期限截止次</w:t>
      </w:r>
      <w:r>
        <w:rPr>
          <w:rFonts w:hint="eastAsia" w:ascii="宋体" w:hAnsi="宋体" w:cs="Microsoft Sans Serif"/>
          <w:color w:val="auto"/>
          <w:kern w:val="0"/>
          <w:szCs w:val="21"/>
        </w:rPr>
        <w:t>日起开始计算违约金，计算公式：</w:t>
      </w:r>
      <w:r>
        <w:rPr>
          <w:rFonts w:hint="eastAsia" w:ascii="宋体" w:hAnsi="宋体" w:cs="Microsoft Sans Serif"/>
          <w:color w:val="auto"/>
          <w:kern w:val="0"/>
          <w:szCs w:val="21"/>
          <w:u w:val="single"/>
        </w:rPr>
        <w:t>违约金=应付未付金额×中国人民银行</w:t>
      </w:r>
      <w:r>
        <w:rPr>
          <w:rFonts w:hint="eastAsia" w:ascii="宋体" w:hAnsi="宋体" w:cs="Microsoft Sans Serif"/>
          <w:color w:val="auto"/>
          <w:kern w:val="0"/>
          <w:szCs w:val="21"/>
          <w:u w:val="single"/>
          <w:lang w:eastAsia="zh-CN"/>
        </w:rPr>
        <w:t>当期</w:t>
      </w:r>
      <w:r>
        <w:rPr>
          <w:rFonts w:hint="eastAsia" w:ascii="宋体" w:hAnsi="宋体" w:cs="Microsoft Sans Serif"/>
          <w:color w:val="auto"/>
          <w:kern w:val="0"/>
          <w:szCs w:val="21"/>
          <w:u w:val="single"/>
        </w:rPr>
        <w:t>公布的5年期贷款市场报价利率/360天×逾期天数</w:t>
      </w:r>
      <w:r>
        <w:rPr>
          <w:rFonts w:hint="eastAsia" w:ascii="宋体" w:hAnsi="宋体"/>
          <w:color w:val="auto"/>
          <w:szCs w:val="21"/>
          <w:u w:val="single"/>
        </w:rPr>
        <w:t>（（自</w:t>
      </w:r>
      <w:r>
        <w:rPr>
          <w:rFonts w:hint="eastAsia" w:ascii="宋体" w:hAnsi="宋体"/>
          <w:color w:val="auto"/>
          <w:szCs w:val="21"/>
          <w:u w:val="single"/>
          <w:lang w:eastAsia="zh-CN"/>
        </w:rPr>
        <w:t>期限截止次日</w:t>
      </w:r>
      <w:r>
        <w:rPr>
          <w:rFonts w:hint="eastAsia" w:ascii="宋体" w:hAnsi="宋体"/>
          <w:color w:val="auto"/>
          <w:szCs w:val="21"/>
          <w:u w:val="single"/>
        </w:rPr>
        <w:t>起计算））</w:t>
      </w:r>
      <w:r>
        <w:rPr>
          <w:rFonts w:hint="eastAsia" w:ascii="宋体" w:hAnsi="宋体" w:cs="Microsoft Sans Serif"/>
          <w:color w:val="auto"/>
          <w:kern w:val="0"/>
          <w:szCs w:val="21"/>
          <w:u w:val="single"/>
        </w:rPr>
        <w:t>；逾期天数超过56天的，超过部分天数按上述利率的两倍计算并支付违约金</w:t>
      </w:r>
      <w:r>
        <w:rPr>
          <w:rFonts w:hint="eastAsia" w:ascii="宋体" w:hAnsi="宋体" w:cs="Microsoft Sans Serif"/>
          <w:color w:val="auto"/>
          <w:kern w:val="0"/>
          <w:szCs w:val="21"/>
        </w:rPr>
        <w:t>。</w:t>
      </w:r>
    </w:p>
    <w:p w14:paraId="496A1142">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（7）发包人违反合同约定，自行实施或转由他人实施被取消的合同工作内容的违约责任：由发包人承担由此给承包人造成的实际损失并支付合理利润。</w:t>
      </w:r>
    </w:p>
    <w:p w14:paraId="2352872A">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29397256">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（9）因发包人原因造成工程质量未达到合同约定标准的，由发包人承担由此增加的费用和（或）延误的工期，并支付合理利润。</w:t>
      </w:r>
    </w:p>
    <w:p w14:paraId="49BB9C6E">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（10）因发包人违反合同约定造成暂停施工的违约责任：由发包人承担由此增加的费用和（或）顺延工期，并支付合理利润，具体索赔程序按照第19条〔索赔〕约定执行。</w:t>
      </w:r>
    </w:p>
    <w:p w14:paraId="6F87BC22">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14:paraId="628EB1CC">
      <w:pPr>
        <w:spacing w:line="360" w:lineRule="auto"/>
        <w:ind w:firstLine="560" w:firstLineChars="200"/>
        <w:jc w:val="left"/>
        <w:rPr>
          <w:rFonts w:ascii="宋体" w:hAnsi="宋体" w:cs="Microsoft Sans Serif"/>
          <w:color w:val="auto"/>
          <w:kern w:val="0"/>
          <w:szCs w:val="21"/>
          <w:u w:val="single"/>
        </w:rPr>
      </w:pPr>
      <w:r>
        <w:rPr>
          <w:rFonts w:hint="eastAsia" w:ascii="宋体" w:hAnsi="宋体" w:cs="Microsoft Sans Serif"/>
          <w:color w:val="auto"/>
          <w:kern w:val="0"/>
          <w:szCs w:val="21"/>
        </w:rPr>
        <w:t>（12）因发包人原因导致工程无法按期办理竣工验收或竣工结算的违约责任：由发包人承担由此增加的费用和（或）顺延工期，并支付合理利润，具体索赔程序按照第19条〔索赔〕约定执行。</w:t>
      </w:r>
    </w:p>
    <w:p w14:paraId="7CAD94AE">
      <w:pPr>
        <w:spacing w:line="360" w:lineRule="auto"/>
        <w:ind w:firstLine="560" w:firstLineChars="200"/>
        <w:jc w:val="left"/>
        <w:rPr>
          <w:rFonts w:hint="eastAsia" w:ascii="宋体" w:hAnsi="宋体" w:eastAsia="宋体" w:cs="宋体"/>
          <w:color w:val="auto"/>
          <w:kern w:val="0"/>
          <w:sz w:val="28"/>
          <w:szCs w:val="28"/>
          <w:u w:val="single"/>
        </w:rPr>
      </w:pPr>
      <w:r>
        <w:rPr>
          <w:rFonts w:hint="eastAsia" w:ascii="宋体" w:hAnsi="宋体" w:eastAsia="宋体" w:cs="宋体"/>
          <w:color w:val="auto"/>
          <w:sz w:val="28"/>
          <w:szCs w:val="28"/>
        </w:rPr>
        <w:t>（13）</w:t>
      </w:r>
      <w:r>
        <w:rPr>
          <w:rFonts w:hint="eastAsia" w:ascii="宋体" w:hAnsi="宋体" w:eastAsia="宋体" w:cs="宋体"/>
          <w:color w:val="auto"/>
          <w:kern w:val="0"/>
          <w:sz w:val="28"/>
          <w:szCs w:val="28"/>
        </w:rPr>
        <w:t>发包人无正当理由未按约定退还履约担保、低价风险担保、预付款担保或质量保证金的违约责任：发包人应向承包人支付违约金，自应当退还</w:t>
      </w:r>
      <w:r>
        <w:rPr>
          <w:rFonts w:hint="eastAsia" w:ascii="宋体" w:hAnsi="宋体" w:eastAsia="宋体" w:cs="宋体"/>
          <w:color w:val="auto"/>
          <w:kern w:val="0"/>
          <w:sz w:val="28"/>
          <w:szCs w:val="28"/>
          <w:lang w:eastAsia="zh-CN"/>
        </w:rPr>
        <w:t>期限止</w:t>
      </w:r>
      <w:r>
        <w:rPr>
          <w:rFonts w:hint="eastAsia" w:ascii="宋体" w:hAnsi="宋体" w:eastAsia="宋体" w:cs="宋体"/>
          <w:color w:val="auto"/>
          <w:kern w:val="0"/>
          <w:sz w:val="28"/>
          <w:szCs w:val="28"/>
        </w:rPr>
        <w:t>后开始计算违约金，</w:t>
      </w:r>
      <w:r>
        <w:rPr>
          <w:rFonts w:hint="eastAsia" w:ascii="宋体" w:hAnsi="宋体" w:eastAsia="宋体" w:cs="宋体"/>
          <w:color w:val="auto"/>
          <w:kern w:val="0"/>
          <w:sz w:val="28"/>
          <w:szCs w:val="28"/>
          <w:u w:val="single"/>
        </w:rPr>
        <w:t>计算公式：违约金=应退未退担保金额×中国人民银行</w:t>
      </w:r>
      <w:r>
        <w:rPr>
          <w:rFonts w:hint="eastAsia" w:ascii="宋体" w:hAnsi="宋体" w:eastAsia="宋体" w:cs="宋体"/>
          <w:color w:val="auto"/>
          <w:kern w:val="0"/>
          <w:sz w:val="28"/>
          <w:szCs w:val="28"/>
          <w:u w:val="single"/>
          <w:lang w:eastAsia="zh-CN"/>
        </w:rPr>
        <w:t>当期</w:t>
      </w:r>
      <w:r>
        <w:rPr>
          <w:rFonts w:hint="eastAsia" w:ascii="宋体" w:hAnsi="宋体" w:eastAsia="宋体" w:cs="宋体"/>
          <w:color w:val="auto"/>
          <w:kern w:val="0"/>
          <w:sz w:val="28"/>
          <w:szCs w:val="28"/>
          <w:u w:val="single"/>
        </w:rPr>
        <w:t>公布的5年期贷款市场报价利率/360天×逾期天数</w:t>
      </w:r>
      <w:r>
        <w:rPr>
          <w:rFonts w:hint="eastAsia" w:ascii="宋体" w:hAnsi="宋体" w:eastAsia="宋体" w:cs="宋体"/>
          <w:color w:val="auto"/>
          <w:sz w:val="28"/>
          <w:szCs w:val="28"/>
          <w:u w:val="single"/>
        </w:rPr>
        <w:t>（自</w:t>
      </w:r>
      <w:r>
        <w:rPr>
          <w:rFonts w:hint="eastAsia" w:ascii="宋体" w:hAnsi="宋体" w:eastAsia="宋体" w:cs="宋体"/>
          <w:color w:val="auto"/>
          <w:sz w:val="28"/>
          <w:szCs w:val="28"/>
          <w:u w:val="single"/>
          <w:lang w:eastAsia="zh-CN"/>
        </w:rPr>
        <w:t>期限截止次日</w:t>
      </w:r>
      <w:r>
        <w:rPr>
          <w:rFonts w:hint="eastAsia" w:ascii="宋体" w:hAnsi="宋体" w:eastAsia="宋体" w:cs="宋体"/>
          <w:color w:val="auto"/>
          <w:sz w:val="28"/>
          <w:szCs w:val="28"/>
          <w:u w:val="single"/>
        </w:rPr>
        <w:t>起计算）</w:t>
      </w:r>
      <w:r>
        <w:rPr>
          <w:rFonts w:hint="eastAsia" w:ascii="宋体" w:hAnsi="宋体" w:eastAsia="宋体" w:cs="宋体"/>
          <w:color w:val="auto"/>
          <w:kern w:val="0"/>
          <w:sz w:val="28"/>
          <w:szCs w:val="28"/>
        </w:rPr>
        <w:t>。</w:t>
      </w:r>
    </w:p>
    <w:p w14:paraId="453DE236">
      <w:pPr>
        <w:pStyle w:val="23"/>
        <w:spacing w:after="0"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（14）</w:t>
      </w:r>
      <w:r>
        <w:rPr>
          <w:rFonts w:hint="eastAsia" w:ascii="宋体" w:hAnsi="宋体" w:eastAsia="宋体" w:cs="宋体"/>
          <w:color w:val="auto"/>
          <w:sz w:val="28"/>
          <w:szCs w:val="28"/>
        </w:rPr>
        <w:t>发包人不当提取履约担保、低价风险担保、预付款担保或质量保证金的，应及时予以退还，若不当提取超过28天的，应承担违约责任：发包人应向承包人支付违约金，</w:t>
      </w:r>
      <w:r>
        <w:rPr>
          <w:rFonts w:hint="eastAsia" w:ascii="宋体" w:hAnsi="宋体" w:eastAsia="宋体" w:cs="宋体"/>
          <w:color w:val="auto"/>
          <w:sz w:val="28"/>
          <w:szCs w:val="28"/>
          <w:u w:val="single"/>
        </w:rPr>
        <w:t>计算公式：违约金=不当提取的担保金额×中国人民银行</w:t>
      </w:r>
      <w:r>
        <w:rPr>
          <w:rFonts w:hint="eastAsia" w:ascii="宋体" w:hAnsi="宋体" w:eastAsia="宋体" w:cs="宋体"/>
          <w:color w:val="auto"/>
          <w:sz w:val="28"/>
          <w:szCs w:val="28"/>
          <w:u w:val="single"/>
          <w:lang w:eastAsia="zh-CN"/>
        </w:rPr>
        <w:t>当期</w:t>
      </w:r>
      <w:r>
        <w:rPr>
          <w:rFonts w:hint="eastAsia" w:ascii="宋体" w:hAnsi="宋体" w:eastAsia="宋体" w:cs="宋体"/>
          <w:color w:val="auto"/>
          <w:sz w:val="28"/>
          <w:szCs w:val="28"/>
          <w:u w:val="single"/>
        </w:rPr>
        <w:t>公布的5年期贷款市场报价利率/360天×逾期天数（自</w:t>
      </w:r>
      <w:r>
        <w:rPr>
          <w:rFonts w:hint="eastAsia" w:ascii="宋体" w:hAnsi="宋体" w:eastAsia="宋体" w:cs="宋体"/>
          <w:color w:val="auto"/>
          <w:sz w:val="28"/>
          <w:szCs w:val="28"/>
          <w:u w:val="single"/>
          <w:lang w:eastAsia="zh-CN"/>
        </w:rPr>
        <w:t>期限截止次日</w:t>
      </w:r>
      <w:r>
        <w:rPr>
          <w:rFonts w:hint="eastAsia" w:ascii="宋体" w:hAnsi="宋体" w:eastAsia="宋体" w:cs="宋体"/>
          <w:color w:val="auto"/>
          <w:sz w:val="28"/>
          <w:szCs w:val="28"/>
          <w:u w:val="single"/>
        </w:rPr>
        <w:t>起计算）</w:t>
      </w:r>
      <w:r>
        <w:rPr>
          <w:rFonts w:hint="eastAsia" w:ascii="宋体" w:hAnsi="宋体" w:eastAsia="宋体" w:cs="宋体"/>
          <w:color w:val="auto"/>
          <w:sz w:val="28"/>
          <w:szCs w:val="28"/>
        </w:rPr>
        <w:t>。</w:t>
      </w:r>
    </w:p>
    <w:p w14:paraId="54B16CE6">
      <w:pPr>
        <w:pStyle w:val="23"/>
        <w:spacing w:after="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rPr>
        <w:t>（15）发包人未按合同约定接收全部或部分工作的违约责任：由发包人承担自应当接收工程之日起的工程照管、成品保护、保管等与工程有关的各项费用。</w:t>
      </w:r>
    </w:p>
    <w:p w14:paraId="34C4343D">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（16）由于发包人原因对承包人造成的人员人身伤亡和财产损失的，由发包人负责赔偿，并承担由此增加的费用和（或）延误的工期，并支付合理利润。</w:t>
      </w:r>
    </w:p>
    <w:p w14:paraId="29918D94">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（17）发包人未按合同约定办理保险的违约责任：除按18.6.1项约定执行外，每延迟1天，按</w:t>
      </w:r>
      <w:r>
        <w:rPr>
          <w:rFonts w:hint="eastAsia" w:ascii="宋体" w:hAnsi="宋体" w:cs="Microsoft Sans Serif"/>
          <w:color w:val="auto"/>
          <w:kern w:val="0"/>
          <w:szCs w:val="21"/>
          <w:u w:val="single"/>
        </w:rPr>
        <w:t>500元/天</w:t>
      </w:r>
      <w:r>
        <w:rPr>
          <w:rFonts w:hint="eastAsia" w:ascii="宋体" w:hAnsi="宋体" w:cs="Microsoft Sans Serif"/>
          <w:color w:val="auto"/>
          <w:kern w:val="0"/>
          <w:szCs w:val="21"/>
        </w:rPr>
        <w:t>支付违约金。</w:t>
      </w:r>
    </w:p>
    <w:p w14:paraId="78B0BE00">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（18）其他：</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rPr>
        <w:t>。</w:t>
      </w:r>
    </w:p>
    <w:p w14:paraId="5DB8374A">
      <w:pPr>
        <w:autoSpaceDE w:val="0"/>
        <w:autoSpaceDN w:val="0"/>
        <w:adjustRightIn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1A1FD078">
      <w:pPr>
        <w:spacing w:line="360" w:lineRule="auto"/>
        <w:ind w:firstLine="560" w:firstLineChars="200"/>
        <w:rPr>
          <w:rFonts w:ascii="宋体" w:hAnsi="宋体"/>
          <w:color w:val="auto"/>
          <w:szCs w:val="21"/>
        </w:rPr>
      </w:pPr>
      <w:r>
        <w:rPr>
          <w:rFonts w:hint="eastAsia" w:ascii="宋体" w:hAnsi="宋体"/>
          <w:color w:val="auto"/>
          <w:szCs w:val="21"/>
        </w:rPr>
        <w:t>16.1.3 因发包人违约解除合同</w:t>
      </w:r>
    </w:p>
    <w:p w14:paraId="0C78D36D">
      <w:pPr>
        <w:autoSpaceDE w:val="0"/>
        <w:autoSpaceDN w:val="0"/>
        <w:adjustRightIn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因发包人违约并致使合同目的不能实现的，承包人有权解除合同：</w:t>
      </w:r>
    </w:p>
    <w:p w14:paraId="65024CD6">
      <w:pPr>
        <w:autoSpaceDE w:val="0"/>
        <w:autoSpaceDN w:val="0"/>
        <w:adjustRightIn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（1）因发包人原因延迟支付合同价款超过180天的；</w:t>
      </w:r>
    </w:p>
    <w:p w14:paraId="7606303C">
      <w:pPr>
        <w:autoSpaceDE w:val="0"/>
        <w:autoSpaceDN w:val="0"/>
        <w:adjustRightIn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（2）因发包人原因导致工期延误超过90天的；</w:t>
      </w:r>
    </w:p>
    <w:p w14:paraId="58194632">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（3）因发包人第16.1.2（5）违约情形导致暂停施工满56天，且发包人仍未纠正其违约行为的；</w:t>
      </w:r>
    </w:p>
    <w:p w14:paraId="3F9FB8C8">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（4）其他未履行合同项下的义务构成对合同的实质性违约，并且在收到承包人要求说明其违约并予以补救的通知后56天内仍未补救该实质性违约的；</w:t>
      </w:r>
    </w:p>
    <w:p w14:paraId="164BB063">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（5）</w:t>
      </w:r>
      <w:r>
        <w:rPr>
          <w:rFonts w:hint="eastAsia" w:ascii="宋体" w:hAnsi="宋体" w:cs="Microsoft Sans Serif"/>
          <w:color w:val="auto"/>
          <w:kern w:val="0"/>
          <w:szCs w:val="21"/>
          <w:u w:val="single"/>
        </w:rPr>
        <w:t>合同约定的承包人有权解除合同的其他情形</w:t>
      </w:r>
      <w:r>
        <w:rPr>
          <w:rFonts w:hint="eastAsia" w:ascii="宋体" w:hAnsi="宋体" w:cs="Microsoft Sans Serif"/>
          <w:color w:val="auto"/>
          <w:kern w:val="0"/>
          <w:szCs w:val="21"/>
        </w:rPr>
        <w:t>。</w:t>
      </w:r>
    </w:p>
    <w:p w14:paraId="73295567">
      <w:pPr>
        <w:spacing w:line="360" w:lineRule="auto"/>
        <w:ind w:firstLine="560" w:firstLineChars="200"/>
        <w:rPr>
          <w:rFonts w:ascii="宋体" w:hAnsi="宋体"/>
          <w:color w:val="auto"/>
          <w:szCs w:val="21"/>
        </w:rPr>
      </w:pPr>
      <w:r>
        <w:rPr>
          <w:rFonts w:hint="eastAsia" w:ascii="宋体" w:hAnsi="宋体"/>
          <w:color w:val="auto"/>
          <w:szCs w:val="21"/>
        </w:rPr>
        <w:t>16.1.4 因发包人违约解除合同后的付款</w:t>
      </w:r>
    </w:p>
    <w:p w14:paraId="647CB335">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承包人按照本款约定解除合同的，发包人应在解除合同后28天内支付下列款项，并解除履约担保、低价风险担保、预付款担保：</w:t>
      </w:r>
    </w:p>
    <w:p w14:paraId="41D4BA62">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（1）合同解除前所完成工作的价款；</w:t>
      </w:r>
    </w:p>
    <w:p w14:paraId="635C2290">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（2）承包人为工程施工订购并已付款的材料、工程设备和其他物品的价款；</w:t>
      </w:r>
    </w:p>
    <w:p w14:paraId="301FE716">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（3）承包人撤离施工现场以及遣散承包人人员的款项；</w:t>
      </w:r>
    </w:p>
    <w:p w14:paraId="39876283">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（4）按照合同约定在合同解除前应支付的违约金；</w:t>
      </w:r>
    </w:p>
    <w:p w14:paraId="7BDCDE66">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（5）按照合同约定应当支付给承包人的其他款项；</w:t>
      </w:r>
    </w:p>
    <w:p w14:paraId="19365FB8">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（6）按照合同约定应退还的质量保证金；</w:t>
      </w:r>
    </w:p>
    <w:p w14:paraId="2921612B">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（7）因解除合同给承包人造成的损失；</w:t>
      </w:r>
    </w:p>
    <w:p w14:paraId="15A55CD7">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（8）</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w:t>
      </w:r>
      <w:r>
        <w:rPr>
          <w:rFonts w:hint="eastAsia" w:ascii="宋体" w:hAnsi="宋体" w:cs="Microsoft Sans Serif"/>
          <w:color w:val="auto"/>
          <w:kern w:val="0"/>
          <w:szCs w:val="21"/>
          <w:u w:val="single"/>
        </w:rPr>
        <w:t xml:space="preserve">  。</w:t>
      </w:r>
    </w:p>
    <w:p w14:paraId="40E3798F">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合同当事人未能就解除合同后的结清达成一致的，按照第20条〔争议解决〕的约定处理。</w:t>
      </w:r>
    </w:p>
    <w:p w14:paraId="5564FDE4">
      <w:pPr>
        <w:snapToGrid w:val="0"/>
        <w:spacing w:line="360" w:lineRule="auto"/>
        <w:ind w:firstLine="560" w:firstLineChars="200"/>
        <w:jc w:val="left"/>
        <w:rPr>
          <w:rFonts w:ascii="宋体" w:hAnsi="宋体" w:cs="Microsoft Sans Serif"/>
          <w:color w:val="auto"/>
          <w:kern w:val="0"/>
          <w:szCs w:val="21"/>
          <w:u w:val="single"/>
        </w:rPr>
      </w:pPr>
      <w:r>
        <w:rPr>
          <w:rFonts w:hint="eastAsia" w:ascii="宋体" w:hAnsi="宋体" w:cs="Microsoft Sans Serif"/>
          <w:color w:val="auto"/>
          <w:kern w:val="0"/>
          <w:szCs w:val="21"/>
        </w:rPr>
        <w:t>承包人应妥善做好已完工程和与工程有关的已购材料、工程设备的保护和移交工作，并将施工设备和人员撤出施工现场，发包人应为承包人撤出提供必要条件。</w:t>
      </w:r>
    </w:p>
    <w:p w14:paraId="3BD50B3E">
      <w:pPr>
        <w:pStyle w:val="7"/>
        <w:spacing w:before="0" w:beforeAutospacing="0" w:after="0" w:afterAutospacing="0" w:line="360" w:lineRule="auto"/>
        <w:ind w:firstLine="422" w:firstLineChars="200"/>
        <w:rPr>
          <w:color w:val="auto"/>
          <w:sz w:val="21"/>
          <w:szCs w:val="21"/>
        </w:rPr>
      </w:pPr>
      <w:bookmarkStart w:id="1507" w:name="_Toc532377403"/>
      <w:r>
        <w:rPr>
          <w:rFonts w:hint="eastAsia"/>
          <w:color w:val="auto"/>
          <w:sz w:val="21"/>
          <w:szCs w:val="21"/>
        </w:rPr>
        <w:t>16.2 承包人违约</w:t>
      </w:r>
      <w:bookmarkEnd w:id="1507"/>
    </w:p>
    <w:p w14:paraId="70916E45">
      <w:pPr>
        <w:snapToGrid w:val="0"/>
        <w:spacing w:line="360" w:lineRule="auto"/>
        <w:ind w:firstLine="560" w:firstLineChars="200"/>
        <w:jc w:val="left"/>
        <w:rPr>
          <w:rFonts w:ascii="宋体" w:hAnsi="宋体" w:cs="Microsoft Sans Serif"/>
          <w:color w:val="auto"/>
          <w:kern w:val="0"/>
          <w:szCs w:val="21"/>
        </w:rPr>
      </w:pPr>
      <w:bookmarkStart w:id="1508" w:name="_Hlk524380579"/>
      <w:r>
        <w:rPr>
          <w:rFonts w:hint="eastAsia" w:ascii="宋体" w:hAnsi="宋体" w:cs="Microsoft Sans Serif"/>
          <w:color w:val="auto"/>
          <w:kern w:val="0"/>
          <w:szCs w:val="21"/>
        </w:rPr>
        <w:t>16.2.1 承包人违约的情形</w:t>
      </w:r>
    </w:p>
    <w:p w14:paraId="7D3859EA">
      <w:pPr>
        <w:snapToGrid w:val="0"/>
        <w:spacing w:line="360" w:lineRule="auto"/>
        <w:ind w:firstLine="560" w:firstLineChars="200"/>
        <w:jc w:val="left"/>
        <w:rPr>
          <w:rFonts w:ascii="宋体" w:hAnsi="宋体" w:cs="Microsoft Sans Serif"/>
          <w:color w:val="auto"/>
          <w:kern w:val="0"/>
          <w:szCs w:val="21"/>
          <w:u w:val="single"/>
        </w:rPr>
      </w:pPr>
      <w:r>
        <w:rPr>
          <w:rFonts w:hint="eastAsia" w:ascii="宋体" w:hAnsi="宋体" w:cs="Microsoft Sans Serif"/>
          <w:color w:val="auto"/>
          <w:kern w:val="0"/>
          <w:szCs w:val="21"/>
        </w:rPr>
        <w:t>除通用合同条款约定外，承包人违约的其他情形：</w:t>
      </w:r>
    </w:p>
    <w:p w14:paraId="59960012">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（1）承包人未按合同约定提交履约担保或质量保证金的；</w:t>
      </w:r>
    </w:p>
    <w:p w14:paraId="023976E0">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（2）承包人未能按期开工的；</w:t>
      </w:r>
    </w:p>
    <w:p w14:paraId="19062625">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（3）承包人未按投标文件或监理人的要求及时配备称职的主要管理人员，或承包人未按经审定的施工组织设计配备或更换关键施工设备的；</w:t>
      </w:r>
    </w:p>
    <w:p w14:paraId="325DF6BE">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（4）承包人有安全问题或有违反安全管理规章制度情况的；</w:t>
      </w:r>
    </w:p>
    <w:p w14:paraId="24342209">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（5）承包人在缺陷责任期及保修期内，未能在合理期限对工程缺陷进行修复，或拒绝按发包人要求进行修复的；</w:t>
      </w:r>
    </w:p>
    <w:p w14:paraId="4FA109CA">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（6）承包人拖欠其工人或所雇人员工资或报酬，导致其工人或所雇人员向有关部门投诉、控告、检举或以聚集等方式讨要工资或报酬的；</w:t>
      </w:r>
    </w:p>
    <w:p w14:paraId="77C14D09">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（7）承包人不配合发包人、监理人及发包人委托的工程造价咨询服务单位结算审核或承包人其他原因导致未按期完成工程竣工结算的；</w:t>
      </w:r>
    </w:p>
    <w:p w14:paraId="75B930D2">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（8）承包人违反合同约定进行转包或违法分包的；</w:t>
      </w:r>
    </w:p>
    <w:p w14:paraId="22471484">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（9）承包人未按合同约定移交全部或部分工作的；</w:t>
      </w:r>
    </w:p>
    <w:p w14:paraId="51C99FB4">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（10）承包人未按合同约定购买保险的；</w:t>
      </w:r>
    </w:p>
    <w:p w14:paraId="6956FEDC">
      <w:pPr>
        <w:snapToGrid w:val="0"/>
        <w:spacing w:line="360" w:lineRule="auto"/>
        <w:ind w:firstLine="560" w:firstLineChars="200"/>
        <w:jc w:val="left"/>
        <w:rPr>
          <w:rFonts w:ascii="宋体" w:hAnsi="宋体"/>
          <w:color w:val="auto"/>
          <w:szCs w:val="21"/>
        </w:rPr>
      </w:pPr>
      <w:r>
        <w:rPr>
          <w:rFonts w:hint="eastAsia" w:ascii="宋体" w:hAnsi="宋体" w:cs="Microsoft Sans Serif"/>
          <w:color w:val="auto"/>
          <w:kern w:val="0"/>
          <w:szCs w:val="21"/>
        </w:rPr>
        <w:t>（11）项目经理若有以下情形，属于承包人违约：</w:t>
      </w:r>
    </w:p>
    <w:p w14:paraId="70CB091D">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1）项目经理不按承诺到岗的；</w:t>
      </w:r>
    </w:p>
    <w:p w14:paraId="28C63631">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2）每月在施工现场的天数少于约定天数的；</w:t>
      </w:r>
    </w:p>
    <w:p w14:paraId="50FF9E32">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3）承包人未提交项目经理劳动合同和社会保险证明的；</w:t>
      </w:r>
    </w:p>
    <w:p w14:paraId="440606CD">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4）未经批准，擅自离开施工现场（超过约定时间）的；</w:t>
      </w:r>
    </w:p>
    <w:p w14:paraId="542E3FBB">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5）未经批准，擅自变更项目经理的；</w:t>
      </w:r>
    </w:p>
    <w:p w14:paraId="3C16DA47">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6）按照渝建发〔2015〕35号文的要求，施工期间，项目经理因在一个记分周期内累计记分达到12分，被建设行政主管部门依法责令停止执业的；</w:t>
      </w:r>
    </w:p>
    <w:p w14:paraId="50640376">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7）发包人有正当理由认为项目经理不称职/不履职，且承包人在约定时间内不予更换的；</w:t>
      </w:r>
    </w:p>
    <w:p w14:paraId="3D2AEBA6">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8）其他双方约定的情形：</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rPr>
        <w:t>。</w:t>
      </w:r>
    </w:p>
    <w:p w14:paraId="56E2F2D9">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（12）技术负责人若有以下情形，属于承包人违约：</w:t>
      </w:r>
    </w:p>
    <w:p w14:paraId="0047113E">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1）每月在施工现场的天数少于约定天数的；</w:t>
      </w:r>
    </w:p>
    <w:p w14:paraId="58D8A62A">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2）承包人未提交技术负责人劳动合同和社会保险证明的；</w:t>
      </w:r>
    </w:p>
    <w:p w14:paraId="7794CBBA">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3）未经批准，擅自离开施工现场（超过约定时间）的；</w:t>
      </w:r>
    </w:p>
    <w:p w14:paraId="3791F436">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4）未经批准，擅自变更技术负责人的；</w:t>
      </w:r>
    </w:p>
    <w:p w14:paraId="2B70E492">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5）发包人有正当理由认为技术负责人不称职/不履职，且承包人在约定时间内不予更换的；</w:t>
      </w:r>
    </w:p>
    <w:p w14:paraId="794CFF3F">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6）其他双方约定的情形：</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rPr>
        <w:t>。</w:t>
      </w:r>
    </w:p>
    <w:p w14:paraId="40529BD3">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（13）主要施工管理人员若有以下情形，属于承包人违约：</w:t>
      </w:r>
    </w:p>
    <w:p w14:paraId="7864B8DB">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1）承包人未提交主要管理人员劳动合同和社会保险证明的；</w:t>
      </w:r>
    </w:p>
    <w:p w14:paraId="01CCD61A">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2）未经批准，擅自离开施工现场（超过约定时间）的；</w:t>
      </w:r>
    </w:p>
    <w:p w14:paraId="592E4960">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3）未经批准，擅自变更主要施工管理人员的；</w:t>
      </w:r>
    </w:p>
    <w:p w14:paraId="5CC4726A">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4）发包人有正当理由认为主要施工管理人员不称职/不履职，且承包人在约定时间内不予更换的；</w:t>
      </w:r>
    </w:p>
    <w:p w14:paraId="48A93987">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5）其他双方约定的情形：</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rPr>
        <w:t>。</w:t>
      </w:r>
    </w:p>
    <w:p w14:paraId="2A4D637C">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（14）</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w:t>
      </w:r>
      <w:r>
        <w:rPr>
          <w:rFonts w:hint="eastAsia" w:ascii="宋体" w:hAnsi="宋体" w:cs="Microsoft Sans Serif"/>
          <w:color w:val="auto"/>
          <w:kern w:val="0"/>
          <w:szCs w:val="21"/>
          <w:u w:val="single"/>
        </w:rPr>
        <w:t>。</w:t>
      </w:r>
    </w:p>
    <w:bookmarkEnd w:id="1508"/>
    <w:p w14:paraId="07BB097E">
      <w:pPr>
        <w:adjustRightInd w:val="0"/>
        <w:snapToGrid w:val="0"/>
        <w:spacing w:line="360" w:lineRule="auto"/>
        <w:ind w:firstLine="560" w:firstLineChars="200"/>
        <w:rPr>
          <w:rFonts w:ascii="宋体" w:hAnsi="宋体" w:cs="Microsoft Sans Serif"/>
          <w:color w:val="auto"/>
          <w:kern w:val="0"/>
          <w:szCs w:val="21"/>
        </w:rPr>
      </w:pPr>
      <w:r>
        <w:rPr>
          <w:rFonts w:hint="eastAsia" w:ascii="宋体" w:hAnsi="宋体" w:cs="Microsoft Sans Serif"/>
          <w:color w:val="auto"/>
          <w:kern w:val="0"/>
          <w:szCs w:val="21"/>
        </w:rPr>
        <w:t>16.2.2 承包人违约的责任</w:t>
      </w:r>
    </w:p>
    <w:p w14:paraId="4B91A574">
      <w:pPr>
        <w:adjustRightInd w:val="0"/>
        <w:snapToGrid w:val="0"/>
        <w:spacing w:line="360" w:lineRule="auto"/>
        <w:ind w:firstLine="560" w:firstLineChars="200"/>
        <w:rPr>
          <w:rFonts w:ascii="宋体" w:hAnsi="宋体" w:cs="Microsoft Sans Serif"/>
          <w:color w:val="auto"/>
          <w:kern w:val="0"/>
          <w:szCs w:val="21"/>
        </w:rPr>
      </w:pPr>
      <w:r>
        <w:rPr>
          <w:rFonts w:hint="eastAsia" w:ascii="宋体" w:hAnsi="宋体" w:cs="Microsoft Sans Serif"/>
          <w:color w:val="auto"/>
          <w:kern w:val="0"/>
          <w:szCs w:val="21"/>
        </w:rPr>
        <w:t>承包人违约责任的承担方式和计算方法：</w:t>
      </w:r>
    </w:p>
    <w:p w14:paraId="58B86B2E">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（1）承包人未按合同约定提交履约担保、质量保证金的违约责任：承包人应支付违约金，</w:t>
      </w:r>
      <w:r>
        <w:rPr>
          <w:rFonts w:hint="eastAsia" w:ascii="宋体" w:hAnsi="宋体" w:cs="Microsoft Sans Serif"/>
          <w:color w:val="auto"/>
          <w:szCs w:val="21"/>
        </w:rPr>
        <w:t>违约金的计算方法：</w:t>
      </w:r>
      <w:r>
        <w:rPr>
          <w:rFonts w:hint="eastAsia" w:ascii="宋体" w:hAnsi="宋体" w:cs="Microsoft Sans Serif"/>
          <w:color w:val="auto"/>
          <w:kern w:val="0"/>
          <w:szCs w:val="21"/>
        </w:rPr>
        <w:t>每延误1天，承包人按</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2000</w:t>
      </w:r>
      <w:r>
        <w:rPr>
          <w:rFonts w:hint="eastAsia" w:ascii="宋体" w:hAnsi="宋体" w:cs="Microsoft Sans Serif"/>
          <w:color w:val="auto"/>
          <w:kern w:val="0"/>
          <w:szCs w:val="21"/>
          <w:u w:val="single"/>
        </w:rPr>
        <w:t>元/天</w:t>
      </w:r>
      <w:r>
        <w:rPr>
          <w:rFonts w:hint="eastAsia" w:ascii="宋体" w:hAnsi="宋体" w:cs="Microsoft Sans Serif"/>
          <w:color w:val="auto"/>
          <w:kern w:val="0"/>
          <w:szCs w:val="21"/>
        </w:rPr>
        <w:t>计算违约金，累计违约金上限：</w:t>
      </w:r>
      <w:r>
        <w:rPr>
          <w:rFonts w:hint="eastAsia" w:ascii="宋体" w:hAnsi="宋体" w:cs="Microsoft Sans Serif"/>
          <w:color w:val="auto"/>
          <w:kern w:val="0"/>
          <w:szCs w:val="21"/>
          <w:u w:val="single"/>
        </w:rPr>
        <w:t xml:space="preserve">  签约合同价的3%</w:t>
      </w:r>
      <w:r>
        <w:rPr>
          <w:rFonts w:hint="eastAsia" w:ascii="宋体" w:hAnsi="宋体" w:cs="Microsoft Sans Serif"/>
          <w:color w:val="auto"/>
          <w:kern w:val="0"/>
          <w:szCs w:val="21"/>
          <w:lang w:val="zh-CN"/>
        </w:rPr>
        <w:t>。</w:t>
      </w:r>
    </w:p>
    <w:p w14:paraId="3CDE2F69">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10</w:t>
      </w:r>
      <w:r>
        <w:rPr>
          <w:rFonts w:hint="eastAsia" w:ascii="宋体" w:hAnsi="宋体" w:cs="Microsoft Sans Serif"/>
          <w:color w:val="auto"/>
          <w:kern w:val="0"/>
          <w:szCs w:val="21"/>
          <w:u w:val="single"/>
        </w:rPr>
        <w:t>）%</w:t>
      </w:r>
      <w:r>
        <w:rPr>
          <w:rFonts w:hint="eastAsia" w:ascii="宋体" w:hAnsi="宋体" w:cs="Microsoft Sans Serif"/>
          <w:color w:val="auto"/>
          <w:kern w:val="0"/>
          <w:szCs w:val="21"/>
        </w:rPr>
        <w:t>支付违约金，违法转/分包商应在7天内撤离出场。</w:t>
      </w:r>
    </w:p>
    <w:p w14:paraId="260A3E58">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10</w:t>
      </w:r>
      <w:r>
        <w:rPr>
          <w:rFonts w:hint="eastAsia" w:ascii="宋体" w:hAnsi="宋体" w:cs="Microsoft Sans Serif"/>
          <w:color w:val="auto"/>
          <w:kern w:val="0"/>
          <w:szCs w:val="21"/>
          <w:u w:val="single"/>
        </w:rPr>
        <w:t>）%</w:t>
      </w:r>
      <w:r>
        <w:rPr>
          <w:rFonts w:hint="eastAsia" w:ascii="宋体" w:hAnsi="宋体" w:cs="Microsoft Sans Serif"/>
          <w:color w:val="auto"/>
          <w:kern w:val="0"/>
          <w:szCs w:val="21"/>
        </w:rPr>
        <w:t>支付违约金。</w:t>
      </w:r>
    </w:p>
    <w:p w14:paraId="703989C9">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10</w:t>
      </w:r>
      <w:r>
        <w:rPr>
          <w:rFonts w:hint="eastAsia" w:ascii="宋体" w:hAnsi="宋体" w:cs="Microsoft Sans Serif"/>
          <w:color w:val="auto"/>
          <w:kern w:val="0"/>
          <w:szCs w:val="21"/>
          <w:u w:val="single"/>
        </w:rPr>
        <w:t>%</w:t>
      </w:r>
      <w:r>
        <w:rPr>
          <w:rFonts w:hint="eastAsia" w:ascii="宋体" w:hAnsi="宋体" w:cs="Microsoft Sans Serif"/>
          <w:color w:val="auto"/>
          <w:kern w:val="0"/>
          <w:szCs w:val="21"/>
        </w:rPr>
        <w:t>支付违约金。</w:t>
      </w:r>
    </w:p>
    <w:p w14:paraId="66205D5B">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5</w:t>
      </w:r>
      <w:r>
        <w:rPr>
          <w:rFonts w:hint="eastAsia" w:ascii="宋体" w:hAnsi="宋体" w:cs="Microsoft Sans Serif"/>
          <w:color w:val="auto"/>
          <w:kern w:val="0"/>
          <w:szCs w:val="21"/>
          <w:u w:val="single"/>
        </w:rPr>
        <w:t>%</w:t>
      </w:r>
      <w:r>
        <w:rPr>
          <w:rFonts w:hint="eastAsia" w:ascii="宋体" w:hAnsi="宋体" w:cs="Microsoft Sans Serif"/>
          <w:color w:val="auto"/>
          <w:kern w:val="0"/>
          <w:szCs w:val="21"/>
        </w:rPr>
        <w:t>支付违约金。</w:t>
      </w:r>
    </w:p>
    <w:p w14:paraId="1F36A46E">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（6）因承包人原因造成工期延误的违约承担方式和计算方法：由承包人承担由此增加的费用，</w:t>
      </w:r>
      <w:r>
        <w:rPr>
          <w:rFonts w:hint="eastAsia" w:ascii="宋体" w:hAnsi="宋体" w:cs="Microsoft Sans Serif"/>
          <w:color w:val="auto"/>
          <w:szCs w:val="21"/>
        </w:rPr>
        <w:t>由此导致工期延误的，工期不予顺延；逾期竣工违约金的计算方法：</w:t>
      </w:r>
      <w:r>
        <w:rPr>
          <w:rFonts w:hint="eastAsia" w:ascii="宋体" w:hAnsi="宋体" w:cs="Microsoft Sans Serif"/>
          <w:color w:val="auto"/>
          <w:kern w:val="0"/>
          <w:szCs w:val="21"/>
        </w:rPr>
        <w:t>每延误1天，承包人按</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2000</w:t>
      </w:r>
      <w:r>
        <w:rPr>
          <w:rFonts w:hint="eastAsia" w:ascii="宋体" w:hAnsi="宋体" w:cs="Microsoft Sans Serif"/>
          <w:color w:val="auto"/>
          <w:kern w:val="0"/>
          <w:szCs w:val="21"/>
          <w:u w:val="single"/>
        </w:rPr>
        <w:t>元/天</w:t>
      </w:r>
      <w:r>
        <w:rPr>
          <w:rFonts w:hint="eastAsia" w:ascii="宋体" w:hAnsi="宋体" w:cs="Microsoft Sans Serif"/>
          <w:color w:val="auto"/>
          <w:kern w:val="0"/>
          <w:szCs w:val="21"/>
        </w:rPr>
        <w:t>计算逾期竣工违约金，累计违约金上限：</w:t>
      </w:r>
      <w:r>
        <w:rPr>
          <w:rFonts w:hint="eastAsia" w:ascii="宋体" w:hAnsi="宋体" w:cs="Microsoft Sans Serif"/>
          <w:color w:val="auto"/>
          <w:kern w:val="0"/>
          <w:szCs w:val="21"/>
          <w:u w:val="single"/>
        </w:rPr>
        <w:t xml:space="preserve"> 签约合同价的3%</w:t>
      </w:r>
      <w:r>
        <w:rPr>
          <w:rFonts w:hint="eastAsia" w:ascii="宋体" w:hAnsi="宋体" w:cs="Microsoft Sans Serif"/>
          <w:color w:val="auto"/>
          <w:kern w:val="0"/>
          <w:szCs w:val="21"/>
          <w:lang w:val="zh-CN"/>
        </w:rPr>
        <w:t>；</w:t>
      </w:r>
      <w:r>
        <w:rPr>
          <w:rFonts w:hint="eastAsia" w:ascii="宋体" w:hAnsi="宋体" w:cs="Microsoft Sans Serif"/>
          <w:color w:val="auto"/>
          <w:kern w:val="0"/>
          <w:szCs w:val="21"/>
        </w:rPr>
        <w:t>承包人支付逾期竣工违约金后，不免除承包人继续完成工程及修补缺陷的义务。</w:t>
      </w:r>
    </w:p>
    <w:p w14:paraId="612BB9CF">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2</w:t>
      </w:r>
      <w:r>
        <w:rPr>
          <w:rFonts w:hint="eastAsia" w:ascii="宋体" w:hAnsi="宋体" w:cs="Microsoft Sans Serif"/>
          <w:color w:val="auto"/>
          <w:kern w:val="0"/>
          <w:szCs w:val="21"/>
          <w:u w:val="single"/>
        </w:rPr>
        <w:t>%</w:t>
      </w:r>
      <w:r>
        <w:rPr>
          <w:rFonts w:hint="eastAsia" w:ascii="宋体" w:hAnsi="宋体" w:cs="Microsoft Sans Serif"/>
          <w:color w:val="auto"/>
          <w:kern w:val="0"/>
          <w:szCs w:val="21"/>
        </w:rPr>
        <w:t>支付违约金。</w:t>
      </w:r>
    </w:p>
    <w:p w14:paraId="7A867FCF">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（8）承包人明确表示或者以其行为表明不履行合同主要义务的违约责任：按签约合同价的</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10</w:t>
      </w:r>
      <w:r>
        <w:rPr>
          <w:rFonts w:hint="eastAsia" w:ascii="宋体" w:hAnsi="宋体" w:cs="Microsoft Sans Serif"/>
          <w:color w:val="auto"/>
          <w:kern w:val="0"/>
          <w:szCs w:val="21"/>
          <w:u w:val="single"/>
        </w:rPr>
        <w:t>%</w:t>
      </w:r>
      <w:r>
        <w:rPr>
          <w:rFonts w:hint="eastAsia" w:ascii="宋体" w:hAnsi="宋体" w:cs="Microsoft Sans Serif"/>
          <w:color w:val="auto"/>
          <w:kern w:val="0"/>
          <w:szCs w:val="21"/>
        </w:rPr>
        <w:t>支付违约金。</w:t>
      </w:r>
    </w:p>
    <w:p w14:paraId="2DEDCA6E">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（9）承包人未能按照合同约定履行其他义务的违约责任：按</w:t>
      </w:r>
      <w:r>
        <w:rPr>
          <w:rFonts w:hint="eastAsia" w:ascii="宋体" w:hAnsi="宋体" w:cs="Microsoft Sans Serif"/>
          <w:color w:val="auto"/>
          <w:kern w:val="0"/>
          <w:szCs w:val="21"/>
          <w:u w:val="single"/>
        </w:rPr>
        <w:t>（</w:t>
      </w:r>
      <w:r>
        <w:rPr>
          <w:rFonts w:hint="eastAsia" w:ascii="宋体" w:hAnsi="宋体" w:cs="Microsoft Sans Serif"/>
          <w:color w:val="auto"/>
          <w:kern w:val="0"/>
          <w:szCs w:val="21"/>
          <w:u w:val="single"/>
          <w:lang w:val="en-US" w:eastAsia="zh-CN"/>
        </w:rPr>
        <w:t>10</w:t>
      </w:r>
      <w:r>
        <w:rPr>
          <w:rFonts w:hint="eastAsia" w:ascii="宋体" w:hAnsi="宋体" w:cs="Microsoft Sans Serif"/>
          <w:color w:val="auto"/>
          <w:kern w:val="0"/>
          <w:szCs w:val="21"/>
          <w:u w:val="single"/>
        </w:rPr>
        <w:t>元/次</w:t>
      </w:r>
      <w:r>
        <w:rPr>
          <w:rFonts w:hint="eastAsia" w:ascii="宋体" w:hAnsi="宋体" w:cs="Microsoft Sans Serif"/>
          <w:color w:val="auto"/>
          <w:kern w:val="0"/>
          <w:szCs w:val="21"/>
        </w:rPr>
        <w:t>支付违约金。</w:t>
      </w:r>
    </w:p>
    <w:p w14:paraId="199938D9">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（10）承包人未能按期开工的违约责任：按合同价</w:t>
      </w:r>
      <w:r>
        <w:rPr>
          <w:rFonts w:hint="eastAsia" w:ascii="宋体" w:hAnsi="宋体" w:cs="Microsoft Sans Serif"/>
          <w:color w:val="auto"/>
          <w:kern w:val="0"/>
          <w:szCs w:val="21"/>
          <w:u w:val="single"/>
        </w:rPr>
        <w:t>0.2‰/天</w:t>
      </w:r>
      <w:r>
        <w:rPr>
          <w:rFonts w:hint="eastAsia" w:ascii="宋体" w:hAnsi="宋体" w:cs="Microsoft Sans Serif"/>
          <w:color w:val="auto"/>
          <w:kern w:val="0"/>
          <w:szCs w:val="21"/>
        </w:rPr>
        <w:t>支付违约金，本项违约金累计限额为签约合同价的</w:t>
      </w:r>
      <w:r>
        <w:rPr>
          <w:rFonts w:hint="eastAsia" w:ascii="宋体" w:hAnsi="宋体" w:cs="Microsoft Sans Serif"/>
          <w:color w:val="auto"/>
          <w:kern w:val="0"/>
          <w:szCs w:val="21"/>
          <w:u w:val="single"/>
        </w:rPr>
        <w:t xml:space="preserve"> 1 %</w:t>
      </w:r>
      <w:r>
        <w:rPr>
          <w:rFonts w:hint="eastAsia" w:ascii="宋体" w:hAnsi="宋体" w:cs="Microsoft Sans Serif"/>
          <w:color w:val="auto"/>
          <w:kern w:val="0"/>
          <w:szCs w:val="21"/>
        </w:rPr>
        <w:t>。</w:t>
      </w:r>
    </w:p>
    <w:p w14:paraId="77ABD735">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（11）承包人未按经审定的施工组织设计配备或更换关键施工设备的违约责任：按</w:t>
      </w:r>
      <w:r>
        <w:rPr>
          <w:rFonts w:hint="eastAsia" w:ascii="宋体" w:hAnsi="宋体" w:cs="Microsoft Sans Serif"/>
          <w:color w:val="auto"/>
          <w:kern w:val="0"/>
          <w:szCs w:val="21"/>
          <w:u w:val="single"/>
        </w:rPr>
        <w:t xml:space="preserve">  5000元/台·次</w:t>
      </w:r>
      <w:r>
        <w:rPr>
          <w:rFonts w:hint="eastAsia" w:ascii="宋体" w:hAnsi="宋体" w:cs="Microsoft Sans Serif"/>
          <w:color w:val="auto"/>
          <w:kern w:val="0"/>
          <w:szCs w:val="21"/>
        </w:rPr>
        <w:t>支付违约金。</w:t>
      </w:r>
    </w:p>
    <w:p w14:paraId="3FD8F43D">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（12）承包人有安全问题或有违反安全管理规章制度情况的违约责任：承包人有安全问题或有违反安全管理规章制度情况的违约责任：</w:t>
      </w:r>
      <w:r>
        <w:rPr>
          <w:rFonts w:hint="eastAsia" w:ascii="宋体" w:hAnsi="宋体" w:cs="Microsoft Sans Serif"/>
          <w:color w:val="auto"/>
          <w:kern w:val="0"/>
          <w:szCs w:val="21"/>
          <w:lang w:eastAsia="zh-CN"/>
        </w:rPr>
        <w:t>发包人有权参照重庆市住房和城乡建设委员会关于印发《房屋市政工程施工安全行政处罚简易程序》的通知（渝建发【</w:t>
      </w:r>
      <w:r>
        <w:rPr>
          <w:rFonts w:hint="eastAsia" w:ascii="宋体" w:hAnsi="宋体" w:cs="Microsoft Sans Serif"/>
          <w:color w:val="auto"/>
          <w:kern w:val="0"/>
          <w:szCs w:val="21"/>
          <w:lang w:val="en-US" w:eastAsia="zh-CN"/>
        </w:rPr>
        <w:t>2024</w:t>
      </w:r>
      <w:r>
        <w:rPr>
          <w:rFonts w:hint="eastAsia" w:ascii="宋体" w:hAnsi="宋体" w:cs="Microsoft Sans Serif"/>
          <w:color w:val="auto"/>
          <w:kern w:val="0"/>
          <w:szCs w:val="21"/>
          <w:lang w:eastAsia="zh-CN"/>
        </w:rPr>
        <w:t>】</w:t>
      </w:r>
      <w:r>
        <w:rPr>
          <w:rFonts w:hint="eastAsia" w:ascii="宋体" w:hAnsi="宋体" w:cs="Microsoft Sans Serif"/>
          <w:color w:val="auto"/>
          <w:kern w:val="0"/>
          <w:szCs w:val="21"/>
          <w:lang w:val="en-US" w:eastAsia="zh-CN"/>
        </w:rPr>
        <w:t>6号</w:t>
      </w:r>
      <w:r>
        <w:rPr>
          <w:rFonts w:hint="eastAsia" w:ascii="宋体" w:hAnsi="宋体" w:cs="Microsoft Sans Serif"/>
          <w:color w:val="auto"/>
          <w:kern w:val="0"/>
          <w:szCs w:val="21"/>
          <w:lang w:eastAsia="zh-CN"/>
        </w:rPr>
        <w:t>）文件规定，对承</w:t>
      </w:r>
      <w:r>
        <w:rPr>
          <w:rFonts w:hint="eastAsia" w:ascii="宋体" w:hAnsi="宋体" w:cs="Microsoft Sans Serif"/>
          <w:color w:val="auto"/>
          <w:kern w:val="0"/>
          <w:szCs w:val="21"/>
        </w:rPr>
        <w:t>包人</w:t>
      </w:r>
      <w:r>
        <w:rPr>
          <w:rFonts w:hint="eastAsia" w:ascii="宋体" w:hAnsi="宋体" w:cs="Microsoft Sans Serif"/>
          <w:color w:val="auto"/>
          <w:kern w:val="0"/>
          <w:szCs w:val="21"/>
          <w:lang w:eastAsia="zh-CN"/>
        </w:rPr>
        <w:t>违反安全操作的行为予以罚款处罚，承包人</w:t>
      </w:r>
      <w:r>
        <w:rPr>
          <w:rFonts w:hint="eastAsia" w:ascii="宋体" w:hAnsi="宋体" w:cs="Microsoft Sans Serif"/>
          <w:color w:val="auto"/>
          <w:kern w:val="0"/>
          <w:szCs w:val="21"/>
        </w:rPr>
        <w:t>除应按国家有关规定承担责任和处罚外</w:t>
      </w:r>
      <w:r>
        <w:rPr>
          <w:rFonts w:hint="eastAsia" w:ascii="宋体" w:hAnsi="宋体" w:cs="Microsoft Sans Serif"/>
          <w:color w:val="auto"/>
          <w:kern w:val="0"/>
          <w:szCs w:val="21"/>
          <w:lang w:eastAsia="zh-CN"/>
        </w:rPr>
        <w:t>，</w:t>
      </w:r>
      <w:r>
        <w:rPr>
          <w:rFonts w:hint="eastAsia" w:ascii="宋体" w:hAnsi="宋体" w:cs="Microsoft Sans Serif"/>
          <w:color w:val="auto"/>
          <w:kern w:val="0"/>
          <w:szCs w:val="21"/>
        </w:rPr>
        <w:t>根据具体情节，</w:t>
      </w:r>
      <w:r>
        <w:rPr>
          <w:rFonts w:hint="eastAsia" w:ascii="宋体" w:hAnsi="宋体" w:cs="Microsoft Sans Serif"/>
          <w:color w:val="auto"/>
          <w:kern w:val="0"/>
          <w:szCs w:val="21"/>
          <w:lang w:eastAsia="zh-CN"/>
        </w:rPr>
        <w:t>同时</w:t>
      </w:r>
      <w:r>
        <w:rPr>
          <w:rFonts w:hint="eastAsia" w:ascii="宋体" w:hAnsi="宋体" w:cs="Microsoft Sans Serif"/>
          <w:color w:val="auto"/>
          <w:kern w:val="0"/>
          <w:szCs w:val="21"/>
        </w:rPr>
        <w:t>按签约合同价的</w:t>
      </w:r>
      <w:r>
        <w:rPr>
          <w:rFonts w:hint="eastAsia" w:ascii="宋体" w:hAnsi="宋体" w:cs="Microsoft Sans Serif"/>
          <w:color w:val="auto"/>
          <w:kern w:val="0"/>
          <w:szCs w:val="21"/>
          <w:u w:val="single"/>
        </w:rPr>
        <w:t>4‰</w:t>
      </w:r>
      <w:r>
        <w:rPr>
          <w:rFonts w:hint="eastAsia" w:ascii="宋体" w:hAnsi="宋体" w:cs="Microsoft Sans Serif"/>
          <w:color w:val="auto"/>
          <w:kern w:val="0"/>
          <w:szCs w:val="21"/>
        </w:rPr>
        <w:t>/次支付违约金（累计不超过签约合同价的1%，详见附件</w:t>
      </w:r>
      <w:r>
        <w:rPr>
          <w:rFonts w:hint="eastAsia" w:ascii="宋体" w:hAnsi="宋体" w:cs="Microsoft Sans Serif"/>
          <w:color w:val="auto"/>
          <w:kern w:val="0"/>
          <w:szCs w:val="21"/>
          <w:lang w:val="en-US" w:eastAsia="zh-CN"/>
        </w:rPr>
        <w:t>4</w:t>
      </w:r>
      <w:r>
        <w:rPr>
          <w:rFonts w:hint="eastAsia" w:ascii="宋体" w:hAnsi="宋体" w:cs="Microsoft Sans Serif"/>
          <w:color w:val="auto"/>
          <w:kern w:val="0"/>
          <w:szCs w:val="21"/>
        </w:rPr>
        <w:t>安全管理协议）。</w:t>
      </w:r>
    </w:p>
    <w:p w14:paraId="297F17AC">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u w:val="single"/>
        </w:rPr>
        <w:t xml:space="preserve">  200000元/次</w:t>
      </w:r>
      <w:r>
        <w:rPr>
          <w:rFonts w:hint="eastAsia" w:ascii="宋体" w:hAnsi="宋体" w:cs="Microsoft Sans Serif"/>
          <w:color w:val="auto"/>
          <w:kern w:val="0"/>
          <w:szCs w:val="21"/>
        </w:rPr>
        <w:t>支付违约金。</w:t>
      </w:r>
    </w:p>
    <w:p w14:paraId="75CC0011">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（14）承包人不配合发包人、监理人及发包人委托的工程造价咨询服务单位结算审核的违约责任：根据具体情节，按</w:t>
      </w:r>
      <w:r>
        <w:rPr>
          <w:rFonts w:hint="eastAsia" w:ascii="宋体" w:hAnsi="宋体" w:cs="Microsoft Sans Serif"/>
          <w:color w:val="auto"/>
          <w:kern w:val="0"/>
          <w:szCs w:val="21"/>
          <w:u w:val="single"/>
        </w:rPr>
        <w:t xml:space="preserve">  （10000～100000）元/次</w:t>
      </w:r>
      <w:r>
        <w:rPr>
          <w:rFonts w:hint="eastAsia" w:ascii="宋体" w:hAnsi="宋体" w:cs="Microsoft Sans Serif"/>
          <w:color w:val="auto"/>
          <w:kern w:val="0"/>
          <w:szCs w:val="21"/>
        </w:rPr>
        <w:t>支付违约金。</w:t>
      </w:r>
    </w:p>
    <w:p w14:paraId="75947A88">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u w:val="single"/>
        </w:rPr>
        <w:t>0.5～1‰</w:t>
      </w:r>
      <w:r>
        <w:rPr>
          <w:rFonts w:hint="eastAsia" w:ascii="宋体" w:hAnsi="宋体" w:cs="Microsoft Sans Serif"/>
          <w:color w:val="auto"/>
          <w:kern w:val="0"/>
          <w:szCs w:val="21"/>
        </w:rPr>
        <w:t>支付违约金。</w:t>
      </w:r>
    </w:p>
    <w:p w14:paraId="1FE76EF6">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szCs w:val="21"/>
        </w:rPr>
        <w:t>（16）承包人未按合同约定购买保险的违约责任：除按18.6.2项约定执行外，每延迟1天，按</w:t>
      </w:r>
      <w:r>
        <w:rPr>
          <w:rFonts w:hint="eastAsia" w:ascii="宋体" w:hAnsi="宋体" w:cs="Microsoft Sans Serif"/>
          <w:color w:val="auto"/>
          <w:szCs w:val="21"/>
          <w:u w:val="single"/>
        </w:rPr>
        <w:t>500元/天</w:t>
      </w:r>
      <w:r>
        <w:rPr>
          <w:rFonts w:hint="eastAsia" w:ascii="宋体" w:hAnsi="宋体" w:cs="Microsoft Sans Serif"/>
          <w:color w:val="auto"/>
          <w:szCs w:val="21"/>
        </w:rPr>
        <w:t>支付违约金。</w:t>
      </w:r>
    </w:p>
    <w:p w14:paraId="3BBFBA25">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（17）发生第16.2.1项（11）目、16.2.1项（12）目、16.2.1项（13）目违约情形的违约责任：除承担由此增加的费用和工期延误的责任，承包人应向发包人支付违约金：</w:t>
      </w:r>
    </w:p>
    <w:p w14:paraId="12C73AC1">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1）项目经理违约承担方式和计算方法：对于第16.2.1项（11）目的情形，每发现一次，根据具体情节，按</w:t>
      </w:r>
      <w:r>
        <w:rPr>
          <w:rFonts w:hint="eastAsia" w:ascii="宋体" w:hAnsi="宋体" w:cs="Microsoft Sans Serif"/>
          <w:color w:val="auto"/>
          <w:kern w:val="0"/>
          <w:szCs w:val="21"/>
          <w:u w:val="single"/>
          <w:lang w:val="en-US" w:eastAsia="zh-CN"/>
        </w:rPr>
        <w:t xml:space="preserve"> 500</w:t>
      </w:r>
      <w:r>
        <w:rPr>
          <w:rFonts w:hint="eastAsia" w:ascii="宋体" w:hAnsi="宋体" w:cs="Microsoft Sans Serif"/>
          <w:color w:val="auto"/>
          <w:kern w:val="0"/>
          <w:szCs w:val="21"/>
          <w:u w:val="single"/>
        </w:rPr>
        <w:t>元/天·次</w:t>
      </w:r>
      <w:r>
        <w:rPr>
          <w:rFonts w:hint="eastAsia" w:ascii="宋体" w:hAnsi="宋体" w:cs="Microsoft Sans Serif"/>
          <w:color w:val="auto"/>
          <w:kern w:val="0"/>
          <w:szCs w:val="21"/>
        </w:rPr>
        <w:t>计算违约金；项目经理不按承诺到岗的（</w:t>
      </w:r>
      <w:r>
        <w:rPr>
          <w:rFonts w:ascii="宋体" w:hAnsi="宋体" w:cs="Microsoft Sans Serif"/>
          <w:color w:val="auto"/>
          <w:kern w:val="0"/>
          <w:szCs w:val="21"/>
        </w:rPr>
        <w:t>3.2.3项约定的情形除外</w:t>
      </w:r>
      <w:r>
        <w:rPr>
          <w:rFonts w:hint="eastAsia" w:ascii="宋体" w:hAnsi="宋体" w:cs="Microsoft Sans Serif"/>
          <w:color w:val="auto"/>
          <w:kern w:val="0"/>
          <w:szCs w:val="21"/>
        </w:rPr>
        <w:t>），按履约保证金的</w:t>
      </w:r>
      <w:r>
        <w:rPr>
          <w:rFonts w:hint="eastAsia" w:ascii="宋体" w:hAnsi="宋体" w:cs="Microsoft Sans Serif"/>
          <w:color w:val="auto"/>
          <w:kern w:val="0"/>
          <w:szCs w:val="21"/>
          <w:u w:val="single"/>
        </w:rPr>
        <w:t>（50～100）%</w:t>
      </w:r>
      <w:r>
        <w:rPr>
          <w:rFonts w:hint="eastAsia" w:ascii="宋体" w:hAnsi="宋体" w:cs="Microsoft Sans Serif"/>
          <w:color w:val="auto"/>
          <w:kern w:val="0"/>
          <w:szCs w:val="21"/>
        </w:rPr>
        <w:t>支付违约金，并解除合同；擅自更换项目经理的，按签约合同价的</w:t>
      </w:r>
      <w:r>
        <w:rPr>
          <w:rFonts w:hint="eastAsia" w:ascii="宋体" w:hAnsi="宋体" w:cs="Microsoft Sans Serif"/>
          <w:color w:val="auto"/>
          <w:kern w:val="0"/>
          <w:szCs w:val="21"/>
          <w:u w:val="single"/>
        </w:rPr>
        <w:t>（0.5～3）%/人·次</w:t>
      </w:r>
      <w:r>
        <w:rPr>
          <w:rFonts w:hint="eastAsia" w:ascii="宋体" w:hAnsi="宋体" w:cs="Microsoft Sans Serif"/>
          <w:color w:val="auto"/>
          <w:kern w:val="0"/>
          <w:szCs w:val="21"/>
        </w:rPr>
        <w:t>支付违约金，每次不低于</w:t>
      </w:r>
      <w:r>
        <w:rPr>
          <w:rFonts w:hint="eastAsia" w:ascii="宋体" w:hAnsi="宋体" w:cs="Microsoft Sans Serif"/>
          <w:color w:val="auto"/>
          <w:kern w:val="0"/>
          <w:szCs w:val="21"/>
          <w:u w:val="single"/>
          <w:lang w:val="en-US" w:eastAsia="zh-CN"/>
        </w:rPr>
        <w:t>/</w:t>
      </w:r>
      <w:r>
        <w:rPr>
          <w:rFonts w:hint="eastAsia" w:ascii="宋体" w:hAnsi="宋体" w:cs="Microsoft Sans Serif"/>
          <w:color w:val="auto"/>
          <w:kern w:val="0"/>
          <w:szCs w:val="21"/>
        </w:rPr>
        <w:t>，累计不超过</w:t>
      </w:r>
      <w:r>
        <w:rPr>
          <w:rFonts w:hint="eastAsia" w:ascii="宋体" w:hAnsi="宋体" w:cs="Microsoft Sans Serif"/>
          <w:color w:val="auto"/>
          <w:kern w:val="0"/>
          <w:szCs w:val="21"/>
          <w:u w:val="single"/>
          <w:lang w:val="en-US" w:eastAsia="zh-CN"/>
        </w:rPr>
        <w:t>20</w:t>
      </w:r>
      <w:r>
        <w:rPr>
          <w:rFonts w:hint="eastAsia" w:ascii="宋体" w:hAnsi="宋体" w:cs="Microsoft Sans Serif"/>
          <w:color w:val="auto"/>
          <w:kern w:val="0"/>
          <w:szCs w:val="21"/>
          <w:u w:val="single"/>
        </w:rPr>
        <w:t>万</w:t>
      </w:r>
      <w:r>
        <w:rPr>
          <w:rFonts w:hint="eastAsia" w:ascii="宋体" w:hAnsi="宋体" w:cs="Microsoft Sans Serif"/>
          <w:color w:val="auto"/>
          <w:kern w:val="0"/>
          <w:szCs w:val="21"/>
        </w:rPr>
        <w:t>；项目经理被责令停止执业的，按签约合同价的</w:t>
      </w:r>
      <w:r>
        <w:rPr>
          <w:rFonts w:hint="eastAsia" w:ascii="宋体" w:hAnsi="宋体" w:cs="Microsoft Sans Serif"/>
          <w:color w:val="auto"/>
          <w:kern w:val="0"/>
          <w:szCs w:val="21"/>
          <w:u w:val="single"/>
        </w:rPr>
        <w:t>（0.5～3）%/人·次</w:t>
      </w:r>
      <w:r>
        <w:rPr>
          <w:rFonts w:hint="eastAsia" w:ascii="宋体" w:hAnsi="宋体" w:cs="Microsoft Sans Serif"/>
          <w:color w:val="auto"/>
          <w:kern w:val="0"/>
          <w:szCs w:val="21"/>
        </w:rPr>
        <w:t>支付违约金，每次不低于</w:t>
      </w:r>
      <w:r>
        <w:rPr>
          <w:rFonts w:hint="eastAsia" w:ascii="宋体" w:hAnsi="宋体" w:cs="Microsoft Sans Serif"/>
          <w:color w:val="auto"/>
          <w:kern w:val="0"/>
          <w:szCs w:val="21"/>
          <w:u w:val="single"/>
          <w:lang w:val="en-US" w:eastAsia="zh-CN"/>
        </w:rPr>
        <w:t>/</w:t>
      </w:r>
      <w:r>
        <w:rPr>
          <w:rFonts w:hint="eastAsia" w:ascii="宋体" w:hAnsi="宋体" w:cs="Microsoft Sans Serif"/>
          <w:color w:val="auto"/>
          <w:kern w:val="0"/>
          <w:szCs w:val="21"/>
          <w:u w:val="single"/>
        </w:rPr>
        <w:t>万</w:t>
      </w:r>
      <w:r>
        <w:rPr>
          <w:rFonts w:hint="eastAsia" w:ascii="宋体" w:hAnsi="宋体" w:cs="Microsoft Sans Serif"/>
          <w:color w:val="auto"/>
          <w:kern w:val="0"/>
          <w:szCs w:val="21"/>
        </w:rPr>
        <w:t>，累计不超过</w:t>
      </w:r>
      <w:r>
        <w:rPr>
          <w:rFonts w:hint="eastAsia" w:ascii="宋体" w:hAnsi="宋体" w:cs="Microsoft Sans Serif"/>
          <w:color w:val="auto"/>
          <w:kern w:val="0"/>
          <w:szCs w:val="21"/>
          <w:u w:val="single"/>
          <w:lang w:val="en-US" w:eastAsia="zh-CN"/>
        </w:rPr>
        <w:t>20</w:t>
      </w:r>
      <w:r>
        <w:rPr>
          <w:rFonts w:hint="eastAsia" w:ascii="宋体" w:hAnsi="宋体" w:cs="Microsoft Sans Serif"/>
          <w:color w:val="auto"/>
          <w:kern w:val="0"/>
          <w:szCs w:val="21"/>
          <w:u w:val="single"/>
        </w:rPr>
        <w:t>万</w:t>
      </w:r>
      <w:r>
        <w:rPr>
          <w:rFonts w:hint="eastAsia" w:ascii="宋体" w:hAnsi="宋体" w:cs="Microsoft Sans Serif"/>
          <w:color w:val="auto"/>
          <w:kern w:val="0"/>
          <w:szCs w:val="21"/>
        </w:rPr>
        <w:t>；项目经理被责令停止执业的，按签约合同价的</w:t>
      </w:r>
      <w:r>
        <w:rPr>
          <w:rFonts w:hint="eastAsia" w:ascii="宋体" w:hAnsi="宋体" w:cs="Microsoft Sans Serif"/>
          <w:color w:val="auto"/>
          <w:kern w:val="0"/>
          <w:szCs w:val="21"/>
          <w:u w:val="single"/>
        </w:rPr>
        <w:t>（0.5～3）%/人•次</w:t>
      </w:r>
      <w:r>
        <w:rPr>
          <w:rFonts w:hint="eastAsia" w:ascii="宋体" w:hAnsi="宋体" w:cs="Microsoft Sans Serif"/>
          <w:color w:val="auto"/>
          <w:kern w:val="0"/>
          <w:szCs w:val="21"/>
        </w:rPr>
        <w:t>支付违约金，每次不低于</w:t>
      </w:r>
      <w:r>
        <w:rPr>
          <w:rFonts w:hint="eastAsia" w:ascii="宋体" w:hAnsi="宋体" w:cs="Microsoft Sans Serif"/>
          <w:color w:val="auto"/>
          <w:kern w:val="0"/>
          <w:szCs w:val="21"/>
          <w:u w:val="single"/>
          <w:lang w:val="en-US" w:eastAsia="zh-CN"/>
        </w:rPr>
        <w:t>/</w:t>
      </w:r>
      <w:r>
        <w:rPr>
          <w:rFonts w:hint="eastAsia" w:ascii="宋体" w:hAnsi="宋体" w:cs="Microsoft Sans Serif"/>
          <w:color w:val="auto"/>
          <w:kern w:val="0"/>
          <w:szCs w:val="21"/>
        </w:rPr>
        <w:t>万，累计不超过</w:t>
      </w:r>
      <w:r>
        <w:rPr>
          <w:rFonts w:hint="eastAsia" w:ascii="宋体" w:hAnsi="宋体" w:cs="Microsoft Sans Serif"/>
          <w:color w:val="auto"/>
          <w:kern w:val="0"/>
          <w:szCs w:val="21"/>
          <w:u w:val="single"/>
        </w:rPr>
        <w:t>20</w:t>
      </w:r>
      <w:r>
        <w:rPr>
          <w:rFonts w:hint="eastAsia" w:ascii="宋体" w:hAnsi="宋体" w:cs="Microsoft Sans Serif"/>
          <w:color w:val="auto"/>
          <w:kern w:val="0"/>
          <w:szCs w:val="21"/>
        </w:rPr>
        <w:t>万。</w:t>
      </w:r>
    </w:p>
    <w:p w14:paraId="4A4B771C">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2）主要技术负责人违约承担方式和计算方法：对于第16.2.1项（12）目的六种情形，每发现一次，根据具体情节，按</w:t>
      </w:r>
      <w:r>
        <w:rPr>
          <w:rFonts w:hint="eastAsia" w:ascii="宋体" w:hAnsi="宋体" w:cs="Microsoft Sans Serif"/>
          <w:color w:val="auto"/>
          <w:kern w:val="0"/>
          <w:szCs w:val="21"/>
          <w:u w:val="single"/>
          <w:lang w:val="en-US" w:eastAsia="zh-CN"/>
        </w:rPr>
        <w:t>500</w:t>
      </w:r>
      <w:r>
        <w:rPr>
          <w:rFonts w:hint="eastAsia" w:ascii="宋体" w:hAnsi="宋体" w:cs="Microsoft Sans Serif"/>
          <w:color w:val="auto"/>
          <w:kern w:val="0"/>
          <w:szCs w:val="21"/>
          <w:u w:val="single"/>
        </w:rPr>
        <w:t>元/天·次</w:t>
      </w:r>
      <w:r>
        <w:rPr>
          <w:rFonts w:hint="eastAsia" w:ascii="宋体" w:hAnsi="宋体" w:cs="Microsoft Sans Serif"/>
          <w:color w:val="auto"/>
          <w:kern w:val="0"/>
          <w:szCs w:val="21"/>
        </w:rPr>
        <w:t>计算违约金；擅自更换主要技术负责人的，按签约合同价的</w:t>
      </w:r>
      <w:r>
        <w:rPr>
          <w:rFonts w:hint="eastAsia" w:ascii="宋体" w:hAnsi="宋体" w:cs="Microsoft Sans Serif"/>
          <w:color w:val="auto"/>
          <w:kern w:val="0"/>
          <w:szCs w:val="21"/>
          <w:u w:val="single"/>
        </w:rPr>
        <w:t>（0.5～2）%/人·次</w:t>
      </w:r>
      <w:r>
        <w:rPr>
          <w:rFonts w:hint="eastAsia" w:ascii="宋体" w:hAnsi="宋体" w:cs="Microsoft Sans Serif"/>
          <w:color w:val="auto"/>
          <w:kern w:val="0"/>
          <w:szCs w:val="21"/>
        </w:rPr>
        <w:t>支付违约金，每次不低于</w:t>
      </w:r>
      <w:r>
        <w:rPr>
          <w:rFonts w:hint="eastAsia" w:ascii="宋体" w:hAnsi="宋体" w:cs="Microsoft Sans Serif"/>
          <w:color w:val="auto"/>
          <w:kern w:val="0"/>
          <w:szCs w:val="21"/>
          <w:u w:val="single"/>
          <w:lang w:val="en-US" w:eastAsia="zh-CN"/>
        </w:rPr>
        <w:t>/</w:t>
      </w:r>
      <w:r>
        <w:rPr>
          <w:rFonts w:hint="eastAsia" w:ascii="宋体" w:hAnsi="宋体" w:cs="Microsoft Sans Serif"/>
          <w:color w:val="auto"/>
          <w:kern w:val="0"/>
          <w:szCs w:val="21"/>
          <w:u w:val="single"/>
        </w:rPr>
        <w:t>万</w:t>
      </w:r>
      <w:r>
        <w:rPr>
          <w:rFonts w:hint="eastAsia" w:ascii="宋体" w:hAnsi="宋体" w:cs="Microsoft Sans Serif"/>
          <w:color w:val="auto"/>
          <w:kern w:val="0"/>
          <w:szCs w:val="21"/>
        </w:rPr>
        <w:t>，累计不超过</w:t>
      </w:r>
      <w:r>
        <w:rPr>
          <w:rFonts w:hint="eastAsia" w:ascii="宋体" w:hAnsi="宋体" w:cs="Microsoft Sans Serif"/>
          <w:color w:val="auto"/>
          <w:kern w:val="0"/>
          <w:szCs w:val="21"/>
          <w:u w:val="single"/>
        </w:rPr>
        <w:t>10万</w:t>
      </w:r>
      <w:r>
        <w:rPr>
          <w:rFonts w:hint="eastAsia" w:ascii="宋体" w:hAnsi="宋体" w:cs="Microsoft Sans Serif"/>
          <w:color w:val="auto"/>
          <w:kern w:val="0"/>
          <w:szCs w:val="21"/>
        </w:rPr>
        <w:t>。</w:t>
      </w:r>
    </w:p>
    <w:p w14:paraId="11FFA116">
      <w:pPr>
        <w:snapToGrid w:val="0"/>
        <w:spacing w:line="360" w:lineRule="auto"/>
        <w:ind w:firstLine="560" w:firstLineChars="200"/>
        <w:jc w:val="left"/>
        <w:rPr>
          <w:rFonts w:hint="eastAsia" w:ascii="宋体" w:hAnsi="宋体" w:cs="Microsoft Sans Serif"/>
          <w:color w:val="auto"/>
          <w:kern w:val="0"/>
          <w:szCs w:val="21"/>
        </w:rPr>
      </w:pPr>
      <w:r>
        <w:rPr>
          <w:rFonts w:hint="eastAsia" w:ascii="宋体" w:hAnsi="宋体" w:cs="Microsoft Sans Serif"/>
          <w:color w:val="auto"/>
          <w:kern w:val="0"/>
          <w:szCs w:val="21"/>
        </w:rPr>
        <w:t>3）主要施工管理人员违约承担方式和计算方法：对于第16.2.1项（13）目的五种情形，每发现一次，根据具体情节，按</w:t>
      </w:r>
      <w:r>
        <w:rPr>
          <w:rFonts w:hint="eastAsia" w:ascii="宋体" w:hAnsi="宋体" w:cs="Microsoft Sans Serif"/>
          <w:color w:val="auto"/>
          <w:kern w:val="0"/>
          <w:szCs w:val="21"/>
          <w:u w:val="single"/>
        </w:rPr>
        <w:t>500元/天·次</w:t>
      </w:r>
      <w:r>
        <w:rPr>
          <w:rFonts w:hint="eastAsia" w:ascii="宋体" w:hAnsi="宋体" w:cs="Microsoft Sans Serif"/>
          <w:color w:val="auto"/>
          <w:kern w:val="0"/>
          <w:szCs w:val="21"/>
        </w:rPr>
        <w:t>计算违约金。</w:t>
      </w:r>
    </w:p>
    <w:p w14:paraId="4D0C1AC6">
      <w:pPr>
        <w:snapToGrid w:val="0"/>
        <w:spacing w:line="360" w:lineRule="auto"/>
        <w:ind w:firstLine="560" w:firstLineChars="200"/>
        <w:jc w:val="left"/>
        <w:rPr>
          <w:rFonts w:hint="eastAsia" w:ascii="宋体" w:hAnsi="宋体" w:cs="Microsoft Sans Serif"/>
          <w:color w:val="auto"/>
          <w:kern w:val="0"/>
          <w:szCs w:val="21"/>
        </w:rPr>
      </w:pPr>
      <w:r>
        <w:rPr>
          <w:rFonts w:hint="eastAsia" w:ascii="宋体" w:hAnsi="宋体" w:cs="Microsoft Sans Serif"/>
          <w:color w:val="auto"/>
          <w:kern w:val="0"/>
          <w:szCs w:val="21"/>
        </w:rPr>
        <w:t>（1</w:t>
      </w:r>
      <w:r>
        <w:rPr>
          <w:rFonts w:hint="eastAsia" w:ascii="宋体" w:hAnsi="宋体" w:cs="Microsoft Sans Serif"/>
          <w:color w:val="auto"/>
          <w:kern w:val="0"/>
          <w:szCs w:val="21"/>
          <w:lang w:val="en-US" w:eastAsia="zh-CN"/>
        </w:rPr>
        <w:t>8</w:t>
      </w:r>
      <w:r>
        <w:rPr>
          <w:rFonts w:hint="eastAsia" w:ascii="宋体" w:hAnsi="宋体" w:cs="Microsoft Sans Serif"/>
          <w:color w:val="auto"/>
          <w:kern w:val="0"/>
          <w:szCs w:val="21"/>
        </w:rPr>
        <w:t>）</w:t>
      </w:r>
      <w:r>
        <w:rPr>
          <w:rFonts w:hint="eastAsia" w:ascii="宋体" w:hAnsi="宋体" w:cs="Microsoft Sans Serif"/>
          <w:color w:val="auto"/>
          <w:kern w:val="0"/>
          <w:szCs w:val="21"/>
          <w:lang w:val="en-US" w:eastAsia="zh-CN"/>
        </w:rPr>
        <w:t>承包人应严格遵守国家和地方有关安全生产的法律法规及行业标准，若发现承包人有违反安全操作规程的行为，每发现一次，根据具体情节，按</w:t>
      </w:r>
      <w:r>
        <w:rPr>
          <w:rFonts w:hint="eastAsia" w:ascii="宋体" w:hAnsi="宋体" w:cs="Microsoft Sans Serif"/>
          <w:color w:val="auto"/>
          <w:kern w:val="0"/>
          <w:szCs w:val="21"/>
          <w:u w:val="single"/>
          <w:lang w:val="en-US" w:eastAsia="zh-CN"/>
        </w:rPr>
        <w:t>200—1000元</w:t>
      </w:r>
      <w:r>
        <w:rPr>
          <w:rFonts w:hint="eastAsia" w:ascii="宋体" w:hAnsi="宋体" w:cs="Microsoft Sans Serif"/>
          <w:color w:val="auto"/>
          <w:kern w:val="0"/>
          <w:szCs w:val="21"/>
          <w:u w:val="single"/>
        </w:rPr>
        <w:t>/次</w:t>
      </w:r>
      <w:r>
        <w:rPr>
          <w:rFonts w:hint="eastAsia" w:ascii="宋体" w:hAnsi="宋体" w:cs="Microsoft Sans Serif"/>
          <w:color w:val="auto"/>
          <w:kern w:val="0"/>
          <w:szCs w:val="21"/>
          <w:lang w:val="en-US" w:eastAsia="zh-CN"/>
        </w:rPr>
        <w:t>计算违约金；重大违反安全操作规程的行为，报地方行业主管部门，由行业主管部门进行处罚。</w:t>
      </w:r>
    </w:p>
    <w:p w14:paraId="71FC675E">
      <w:pPr>
        <w:snapToGrid w:val="0"/>
        <w:spacing w:line="360" w:lineRule="auto"/>
        <w:ind w:firstLine="560" w:firstLineChars="200"/>
        <w:jc w:val="left"/>
        <w:rPr>
          <w:rFonts w:hint="eastAsia" w:ascii="宋体" w:hAnsi="宋体" w:cs="Microsoft Sans Serif"/>
          <w:color w:val="auto"/>
          <w:kern w:val="0"/>
          <w:szCs w:val="21"/>
          <w:u w:val="none"/>
          <w:lang w:val="en-US" w:eastAsia="zh-CN"/>
        </w:rPr>
      </w:pPr>
      <w:r>
        <w:rPr>
          <w:rFonts w:hint="eastAsia" w:ascii="宋体" w:hAnsi="宋体" w:cs="Microsoft Sans Serif"/>
          <w:color w:val="auto"/>
          <w:kern w:val="0"/>
          <w:szCs w:val="21"/>
        </w:rPr>
        <w:t>（1</w:t>
      </w:r>
      <w:r>
        <w:rPr>
          <w:rFonts w:hint="eastAsia" w:ascii="宋体" w:hAnsi="宋体" w:cs="Microsoft Sans Serif"/>
          <w:color w:val="auto"/>
          <w:kern w:val="0"/>
          <w:szCs w:val="21"/>
          <w:lang w:val="en-US" w:eastAsia="zh-CN"/>
        </w:rPr>
        <w:t>9</w:t>
      </w:r>
      <w:r>
        <w:rPr>
          <w:rFonts w:hint="eastAsia" w:ascii="宋体" w:hAnsi="宋体" w:cs="Microsoft Sans Serif"/>
          <w:color w:val="auto"/>
          <w:kern w:val="0"/>
          <w:szCs w:val="21"/>
        </w:rPr>
        <w:t>）</w:t>
      </w:r>
      <w:r>
        <w:rPr>
          <w:rFonts w:hint="eastAsia" w:ascii="宋体" w:hAnsi="宋体" w:cs="Microsoft Sans Serif"/>
          <w:color w:val="auto"/>
          <w:kern w:val="0"/>
          <w:szCs w:val="21"/>
          <w:u w:val="none"/>
          <w:lang w:val="en-US" w:eastAsia="zh-CN"/>
        </w:rPr>
        <w:t>因甲方单位为特殊场所，有下列情形的，乙方须支付违约金：</w:t>
      </w:r>
    </w:p>
    <w:p w14:paraId="710FFD5D">
      <w:pPr>
        <w:snapToGrid w:val="0"/>
        <w:spacing w:line="360" w:lineRule="auto"/>
        <w:ind w:firstLine="560" w:firstLineChars="200"/>
        <w:jc w:val="left"/>
        <w:rPr>
          <w:rFonts w:hint="eastAsia" w:ascii="宋体" w:hAnsi="宋体" w:cs="Microsoft Sans Serif"/>
          <w:color w:val="auto"/>
          <w:kern w:val="0"/>
          <w:szCs w:val="21"/>
          <w:u w:val="none"/>
          <w:lang w:val="en-US" w:eastAsia="zh-CN"/>
        </w:rPr>
      </w:pPr>
      <w:r>
        <w:rPr>
          <w:rFonts w:hint="eastAsia" w:ascii="宋体" w:hAnsi="宋体" w:cs="Microsoft Sans Serif"/>
          <w:color w:val="auto"/>
          <w:kern w:val="0"/>
          <w:szCs w:val="21"/>
          <w:u w:val="none"/>
          <w:lang w:val="en-US" w:eastAsia="zh-CN"/>
        </w:rPr>
        <w:t>1）乙方不得随意进出楼层房间，严禁拍照、摄像等，严禁将涉及甲方办公、备勤等场景、地理位置等，发朋友圈或上传网络平台，如发现造成不良后果的，将追究相关人员和乙方的法律责任。</w:t>
      </w:r>
    </w:p>
    <w:p w14:paraId="74482719">
      <w:pPr>
        <w:snapToGrid w:val="0"/>
        <w:spacing w:line="360" w:lineRule="auto"/>
        <w:ind w:firstLine="560" w:firstLineChars="200"/>
        <w:jc w:val="left"/>
        <w:rPr>
          <w:rFonts w:hint="eastAsia" w:ascii="宋体" w:hAnsi="宋体" w:cs="Microsoft Sans Serif"/>
          <w:color w:val="auto"/>
          <w:kern w:val="0"/>
          <w:szCs w:val="21"/>
          <w:u w:val="none"/>
          <w:lang w:val="en-US" w:eastAsia="zh-CN"/>
        </w:rPr>
      </w:pPr>
      <w:r>
        <w:rPr>
          <w:rFonts w:hint="eastAsia" w:ascii="宋体" w:hAnsi="宋体" w:cs="Microsoft Sans Serif"/>
          <w:color w:val="auto"/>
          <w:kern w:val="0"/>
          <w:szCs w:val="21"/>
          <w:u w:val="none"/>
          <w:lang w:val="en-US" w:eastAsia="zh-CN"/>
        </w:rPr>
        <w:t>2）乙方的工作人员（包括施工、送货、安装、维修等）违反甲方的保密规定，私自获取甲方的各类秘密信息，按</w:t>
      </w:r>
      <w:r>
        <w:rPr>
          <w:rFonts w:hint="eastAsia" w:ascii="宋体" w:hAnsi="宋体" w:cs="Microsoft Sans Serif"/>
          <w:color w:val="auto"/>
          <w:kern w:val="0"/>
          <w:szCs w:val="21"/>
          <w:u w:val="single"/>
          <w:lang w:val="en-US" w:eastAsia="zh-CN"/>
        </w:rPr>
        <w:t>200元/人</w:t>
      </w:r>
      <w:r>
        <w:rPr>
          <w:rFonts w:hint="eastAsia" w:ascii="宋体" w:hAnsi="宋体" w:cs="Microsoft Sans Serif"/>
          <w:color w:val="auto"/>
          <w:kern w:val="0"/>
          <w:szCs w:val="21"/>
          <w:u w:val="single"/>
        </w:rPr>
        <w:t>·次</w:t>
      </w:r>
      <w:r>
        <w:rPr>
          <w:rFonts w:hint="eastAsia" w:ascii="宋体" w:hAnsi="宋体" w:cs="Microsoft Sans Serif"/>
          <w:color w:val="auto"/>
          <w:kern w:val="0"/>
          <w:szCs w:val="21"/>
          <w:u w:val="none"/>
        </w:rPr>
        <w:t>支付违约金</w:t>
      </w:r>
      <w:r>
        <w:rPr>
          <w:rFonts w:hint="eastAsia" w:ascii="宋体" w:hAnsi="宋体" w:cs="Microsoft Sans Serif"/>
          <w:color w:val="auto"/>
          <w:kern w:val="0"/>
          <w:szCs w:val="21"/>
          <w:u w:val="none"/>
          <w:lang w:val="en-US" w:eastAsia="zh-CN"/>
        </w:rPr>
        <w:t>；私自获取并泄露甲方的各类秘密信息的，按</w:t>
      </w:r>
      <w:r>
        <w:rPr>
          <w:rFonts w:hint="eastAsia" w:ascii="宋体" w:hAnsi="宋体" w:cs="Microsoft Sans Serif"/>
          <w:color w:val="auto"/>
          <w:kern w:val="0"/>
          <w:szCs w:val="21"/>
          <w:u w:val="single"/>
          <w:lang w:val="en-US" w:eastAsia="zh-CN"/>
        </w:rPr>
        <w:t>1000元/人</w:t>
      </w:r>
      <w:r>
        <w:rPr>
          <w:rFonts w:hint="eastAsia" w:ascii="宋体" w:hAnsi="宋体" w:cs="Microsoft Sans Serif"/>
          <w:color w:val="auto"/>
          <w:kern w:val="0"/>
          <w:szCs w:val="21"/>
          <w:u w:val="single"/>
        </w:rPr>
        <w:t>•次</w:t>
      </w:r>
      <w:r>
        <w:rPr>
          <w:rFonts w:hint="eastAsia" w:ascii="宋体" w:hAnsi="宋体" w:cs="Microsoft Sans Serif"/>
          <w:color w:val="auto"/>
          <w:kern w:val="0"/>
          <w:szCs w:val="21"/>
          <w:u w:val="none"/>
          <w:lang w:val="en-US" w:eastAsia="zh-CN"/>
        </w:rPr>
        <w:t>支付违约金，发生违规行为的相关责任人员终身禁止进入甲方单位；私自获取并泄露甲方的各类秘密信息，给甲方造成严重不良影响或引发网络舆情的，全部履约保证金不再退还，甲方有权决定是否立即终止合同，如终止合同，给甲方造成经济损失的，还应当承担甲方的经济损失，同时还将追究相关人员和乙方的法律责任。</w:t>
      </w:r>
    </w:p>
    <w:p w14:paraId="0F57765B">
      <w:pPr>
        <w:snapToGrid w:val="0"/>
        <w:spacing w:line="360" w:lineRule="auto"/>
        <w:ind w:firstLine="560" w:firstLineChars="200"/>
        <w:jc w:val="left"/>
        <w:rPr>
          <w:rFonts w:hint="eastAsia" w:ascii="宋体" w:hAnsi="宋体" w:cs="Microsoft Sans Serif"/>
          <w:color w:val="auto"/>
          <w:kern w:val="0"/>
          <w:szCs w:val="21"/>
        </w:rPr>
      </w:pPr>
      <w:r>
        <w:rPr>
          <w:rFonts w:hint="eastAsia" w:ascii="宋体" w:hAnsi="宋体" w:cs="Microsoft Sans Serif"/>
          <w:color w:val="auto"/>
          <w:kern w:val="0"/>
          <w:szCs w:val="21"/>
          <w:u w:val="none"/>
          <w:lang w:val="en-US" w:eastAsia="zh-CN"/>
        </w:rPr>
        <w:t>3）违反甲方其他禁止性规定，视其情况，按</w:t>
      </w:r>
      <w:r>
        <w:rPr>
          <w:rFonts w:hint="eastAsia" w:ascii="宋体" w:hAnsi="宋体" w:cs="Microsoft Sans Serif"/>
          <w:color w:val="auto"/>
          <w:kern w:val="0"/>
          <w:szCs w:val="21"/>
          <w:u w:val="single"/>
          <w:lang w:val="en-US" w:eastAsia="zh-CN"/>
        </w:rPr>
        <w:t>200﹣500元/件</w:t>
      </w:r>
      <w:r>
        <w:rPr>
          <w:rFonts w:hint="eastAsia" w:ascii="宋体" w:hAnsi="宋体" w:cs="Microsoft Sans Serif"/>
          <w:color w:val="auto"/>
          <w:kern w:val="0"/>
          <w:szCs w:val="21"/>
          <w:u w:val="none"/>
          <w:lang w:val="en-US" w:eastAsia="zh-CN"/>
        </w:rPr>
        <w:t>支付违约金，由甲方在招标文件中予以细化明确扣除情形和扣除标准。</w:t>
      </w:r>
      <w:bookmarkStart w:id="1509" w:name="_Hlk524380347"/>
    </w:p>
    <w:p w14:paraId="48E36ABF">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rPr>
        <w:t>16.2.2项第（1）目承担违约责任</w:t>
      </w:r>
      <w:r>
        <w:rPr>
          <w:rFonts w:hint="eastAsia" w:ascii="宋体" w:hAnsi="宋体" w:cs="Microsoft Sans Serif"/>
          <w:color w:val="auto"/>
          <w:szCs w:val="21"/>
        </w:rPr>
        <w:t>，并从应付或到期应付给承包人的任何款项中或采用其他方法，扣除该违约金。</w:t>
      </w:r>
    </w:p>
    <w:p w14:paraId="21AD5554">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rPr>
        <w:t>，承担由此给</w:t>
      </w:r>
      <w:r>
        <w:rPr>
          <w:rFonts w:hint="eastAsia" w:ascii="宋体" w:hAnsi="宋体" w:cs="Microsoft Sans Serif"/>
          <w:color w:val="auto"/>
          <w:szCs w:val="21"/>
        </w:rPr>
        <w:t>发包人造成的经济损失。</w:t>
      </w:r>
    </w:p>
    <w:p w14:paraId="3A0C147D">
      <w:pPr>
        <w:snapToGrid w:val="0"/>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szCs w:val="21"/>
        </w:rPr>
        <w:t>承包人承担承包范围的工程质量、安全、环保责任，因承包人原因引起的质量、安全、环保等事故由承包人承担相应的法律后果。</w:t>
      </w:r>
    </w:p>
    <w:bookmarkEnd w:id="1509"/>
    <w:p w14:paraId="4303A9AB">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16.2.3 因承包人违约解除合同</w:t>
      </w:r>
    </w:p>
    <w:p w14:paraId="6E3A153B">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因承包人违约并致使合同目的不能实现的，发包人有权解除合同：</w:t>
      </w:r>
    </w:p>
    <w:p w14:paraId="0C9F1F9A">
      <w:pPr>
        <w:pStyle w:val="241"/>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（1）未按合同约定延迟提供履约担保、质量保证金超过14天的；</w:t>
      </w:r>
    </w:p>
    <w:p w14:paraId="5E92D70C">
      <w:pPr>
        <w:pStyle w:val="241"/>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（2）未按合同约定购买保险且经催告后超过56天的；</w:t>
      </w:r>
    </w:p>
    <w:p w14:paraId="7BC1BBD8">
      <w:pPr>
        <w:pStyle w:val="241"/>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（3）因承包人原因导致开工时间累计延误超过56天的；</w:t>
      </w:r>
    </w:p>
    <w:p w14:paraId="2AECCB1C">
      <w:pPr>
        <w:pStyle w:val="241"/>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（4）因承包人原因导致工期延误超过90天的；</w:t>
      </w:r>
    </w:p>
    <w:p w14:paraId="1CD3077C">
      <w:pPr>
        <w:pStyle w:val="241"/>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（5）发生第21.2款〔退出机制〕约定的情形的；</w:t>
      </w:r>
    </w:p>
    <w:p w14:paraId="6A127AC5">
      <w:pPr>
        <w:pStyle w:val="241"/>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（6）监理人发出整改通知后，承包人在监理人限定的期限内仍不纠正违约行为的；</w:t>
      </w:r>
    </w:p>
    <w:p w14:paraId="236B998D">
      <w:pPr>
        <w:pStyle w:val="241"/>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（7）承包人进入清算或者严重资不抵债且无法履行合同的；</w:t>
      </w:r>
    </w:p>
    <w:p w14:paraId="23409CC1">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（8）违反适用法律而被相关政府部门依法吊销营业执照、责令停业、清算或宣布破产、责令关闭的；</w:t>
      </w:r>
    </w:p>
    <w:p w14:paraId="72FC8DC9">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（9）承包人未履行合同项下的义务构成对合同的实质性违约，并且在收到发包人要求说明其违约并予以补救的通知后56天内仍未能补救该实质性违约的；</w:t>
      </w:r>
    </w:p>
    <w:p w14:paraId="52403130">
      <w:pPr>
        <w:pStyle w:val="241"/>
        <w:spacing w:line="360" w:lineRule="auto"/>
        <w:jc w:val="left"/>
        <w:rPr>
          <w:rFonts w:ascii="宋体" w:hAnsi="宋体" w:cs="Microsoft Sans Serif"/>
          <w:color w:val="auto"/>
          <w:kern w:val="0"/>
          <w:sz w:val="21"/>
          <w:szCs w:val="21"/>
        </w:rPr>
      </w:pPr>
      <w:r>
        <w:rPr>
          <w:rFonts w:hint="eastAsia" w:ascii="宋体" w:hAnsi="宋体" w:cs="Microsoft Sans Serif"/>
          <w:color w:val="auto"/>
          <w:kern w:val="0"/>
          <w:sz w:val="21"/>
          <w:szCs w:val="21"/>
        </w:rPr>
        <w:t>（10）</w:t>
      </w:r>
      <w:r>
        <w:rPr>
          <w:rFonts w:hint="eastAsia" w:ascii="宋体" w:hAnsi="宋体" w:cs="Microsoft Sans Serif"/>
          <w:color w:val="auto"/>
          <w:kern w:val="0"/>
          <w:sz w:val="21"/>
          <w:szCs w:val="21"/>
          <w:u w:val="single"/>
        </w:rPr>
        <w:t>合同约定的发包人有权解除合同的其他情形</w:t>
      </w:r>
      <w:r>
        <w:rPr>
          <w:rFonts w:hint="eastAsia" w:ascii="宋体" w:hAnsi="宋体" w:cs="Microsoft Sans Serif"/>
          <w:color w:val="auto"/>
          <w:kern w:val="0"/>
          <w:sz w:val="21"/>
          <w:szCs w:val="21"/>
        </w:rPr>
        <w:t>。</w:t>
      </w:r>
    </w:p>
    <w:p w14:paraId="3BE1AC08">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16.2.4因承包人违约解除合同后的处理</w:t>
      </w:r>
    </w:p>
    <w:p w14:paraId="79A5AA02">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因承包人违约导致合同解除的，合同当事人应在合同解除后56天内完成估价、付款和清算，并按以下约定执行：</w:t>
      </w:r>
    </w:p>
    <w:p w14:paraId="2DDBB6EB">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（1）合同解除后，按第14.2款结算审定方式确定承包人实际完成工作对应的合同价款，以及承包人已提供的材料、工程设备、施工设备和临时工程等的价值；</w:t>
      </w:r>
    </w:p>
    <w:p w14:paraId="5D89535C">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（2）合同解除后，承包人应支付违约金；</w:t>
      </w:r>
    </w:p>
    <w:p w14:paraId="668547E2">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（3）合同解除后，赔偿因解除合同给发包人造成的损失；</w:t>
      </w:r>
    </w:p>
    <w:p w14:paraId="1F2B0B19">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（4）合同解除后，承包人应按照发包人要求和监理人的指示完成现场的清理和撤离。</w:t>
      </w:r>
    </w:p>
    <w:p w14:paraId="2818E868">
      <w:pPr>
        <w:spacing w:line="360" w:lineRule="auto"/>
        <w:ind w:firstLine="560" w:firstLineChars="200"/>
        <w:jc w:val="left"/>
        <w:rPr>
          <w:rFonts w:ascii="宋体" w:hAnsi="宋体"/>
          <w:color w:val="auto"/>
          <w:szCs w:val="21"/>
        </w:rPr>
      </w:pPr>
      <w:r>
        <w:rPr>
          <w:rFonts w:hint="eastAsia" w:ascii="宋体" w:hAnsi="宋体" w:cs="Microsoft Sans Serif"/>
          <w:color w:val="auto"/>
          <w:kern w:val="0"/>
          <w:szCs w:val="21"/>
        </w:rPr>
        <w:t>（5）</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u w:val="single"/>
          <w:lang w:val="en-US" w:eastAsia="zh-CN"/>
        </w:rPr>
        <w:t>/</w:t>
      </w:r>
      <w:r>
        <w:rPr>
          <w:rFonts w:hint="eastAsia" w:ascii="宋体" w:hAnsi="宋体" w:cs="Microsoft Sans Serif"/>
          <w:color w:val="auto"/>
          <w:kern w:val="0"/>
          <w:szCs w:val="21"/>
          <w:u w:val="single"/>
        </w:rPr>
        <w:t xml:space="preserve">   </w:t>
      </w:r>
      <w:r>
        <w:rPr>
          <w:rFonts w:hint="eastAsia" w:ascii="宋体" w:hAnsi="宋体" w:cs="Microsoft Sans Serif"/>
          <w:color w:val="auto"/>
          <w:kern w:val="0"/>
          <w:szCs w:val="21"/>
        </w:rPr>
        <w:t>。</w:t>
      </w:r>
    </w:p>
    <w:p w14:paraId="04526009">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73EB3B81">
      <w:pPr>
        <w:spacing w:line="360" w:lineRule="auto"/>
        <w:ind w:firstLine="560" w:firstLineChars="200"/>
        <w:jc w:val="left"/>
        <w:rPr>
          <w:rFonts w:ascii="宋体" w:hAnsi="宋体" w:cs="Microsoft Sans Serif"/>
          <w:color w:val="auto"/>
          <w:kern w:val="0"/>
          <w:szCs w:val="21"/>
        </w:rPr>
      </w:pPr>
      <w:r>
        <w:rPr>
          <w:rFonts w:hint="eastAsia" w:ascii="宋体" w:hAnsi="宋体" w:cs="Microsoft Sans Serif"/>
          <w:color w:val="auto"/>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496"/>
    <w:bookmarkEnd w:id="1497"/>
    <w:p w14:paraId="6C9B2162">
      <w:pPr>
        <w:pStyle w:val="6"/>
        <w:keepNext/>
        <w:keepLines/>
        <w:spacing w:before="156" w:beforeLines="50" w:beforeAutospacing="0" w:after="156" w:afterLines="50" w:afterAutospacing="0" w:line="360" w:lineRule="auto"/>
        <w:jc w:val="both"/>
        <w:rPr>
          <w:bCs w:val="0"/>
          <w:color w:val="auto"/>
          <w:kern w:val="2"/>
          <w:sz w:val="21"/>
          <w:szCs w:val="21"/>
        </w:rPr>
      </w:pPr>
      <w:bookmarkStart w:id="1510" w:name="_Toc351203649"/>
      <w:bookmarkStart w:id="1511" w:name="_Toc532377404"/>
      <w:bookmarkStart w:id="1512" w:name="_Toc532375665"/>
      <w:bookmarkStart w:id="1513" w:name="_Hlk528928440"/>
      <w:r>
        <w:rPr>
          <w:rFonts w:hint="eastAsia"/>
          <w:color w:val="auto"/>
          <w:kern w:val="2"/>
          <w:sz w:val="21"/>
          <w:szCs w:val="21"/>
        </w:rPr>
        <w:t>17. 不可抗力</w:t>
      </w:r>
      <w:bookmarkEnd w:id="1510"/>
      <w:bookmarkEnd w:id="1511"/>
      <w:bookmarkEnd w:id="1512"/>
    </w:p>
    <w:p w14:paraId="6BEE92D3">
      <w:pPr>
        <w:pStyle w:val="7"/>
        <w:spacing w:before="0" w:beforeAutospacing="0" w:after="0" w:afterAutospacing="0" w:line="360" w:lineRule="auto"/>
        <w:ind w:firstLine="422" w:firstLineChars="200"/>
        <w:rPr>
          <w:color w:val="auto"/>
          <w:sz w:val="21"/>
          <w:szCs w:val="21"/>
        </w:rPr>
      </w:pPr>
      <w:bookmarkStart w:id="1514" w:name="_Toc532375666"/>
      <w:bookmarkStart w:id="1515" w:name="_Toc532377405"/>
      <w:r>
        <w:rPr>
          <w:rFonts w:hint="eastAsia"/>
          <w:color w:val="auto"/>
          <w:sz w:val="21"/>
          <w:szCs w:val="21"/>
        </w:rPr>
        <w:t>17.1 不可抗力的确认</w:t>
      </w:r>
      <w:bookmarkEnd w:id="1514"/>
      <w:bookmarkEnd w:id="1515"/>
    </w:p>
    <w:p w14:paraId="7CC4260A">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除通用合同条款约定的不可抗力事件之外，视为不可抗力的其他情形：</w:t>
      </w:r>
      <w:bookmarkStart w:id="1516" w:name="_Hlk524379638"/>
    </w:p>
    <w:p w14:paraId="5057D84F">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（1）洪水、火山爆发、山崩、山体滑坡、泥石流、龙卷风、隧道内不可预测的突发性地质灾害等自然灾害；</w:t>
      </w:r>
    </w:p>
    <w:p w14:paraId="03D5F83B">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（2）骚乱、戒严、封锁、禁运、恐怖行为、等社会行为，但承包人或其分包人派遣与雇佣的人员由于合同工程施工原因引起的除外；</w:t>
      </w:r>
    </w:p>
    <w:p w14:paraId="652C718C">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（3）不能合理预见的重大交通阻滞、停运、交通事故，非双方责任引起的火灾、爆炸、船舶撞击等情形；</w:t>
      </w:r>
    </w:p>
    <w:p w14:paraId="34C1A7FF">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（4）化学或放射性污染或核辐射；</w:t>
      </w:r>
    </w:p>
    <w:p w14:paraId="7FDC1962">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（5）环保治理等政府行为导致项目停工的。</w:t>
      </w:r>
      <w:bookmarkEnd w:id="1516"/>
    </w:p>
    <w:p w14:paraId="3D2326E2">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（6）</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393430F9">
      <w:pPr>
        <w:pStyle w:val="7"/>
        <w:spacing w:before="0" w:beforeAutospacing="0" w:after="0" w:afterAutospacing="0" w:line="360" w:lineRule="auto"/>
        <w:ind w:firstLine="422" w:firstLineChars="200"/>
        <w:rPr>
          <w:color w:val="auto"/>
          <w:sz w:val="21"/>
          <w:szCs w:val="21"/>
        </w:rPr>
      </w:pPr>
      <w:bookmarkStart w:id="1517" w:name="_Toc532375667"/>
      <w:bookmarkStart w:id="1518" w:name="_Toc351203610"/>
      <w:bookmarkStart w:id="1519" w:name="_Toc532377406"/>
      <w:bookmarkStart w:id="1520" w:name="_Toc296503119"/>
      <w:bookmarkStart w:id="1521" w:name="_Toc337558826"/>
      <w:bookmarkStart w:id="1522" w:name="_Toc296346620"/>
      <w:r>
        <w:rPr>
          <w:rFonts w:hint="eastAsia"/>
          <w:color w:val="auto"/>
          <w:sz w:val="21"/>
          <w:szCs w:val="21"/>
        </w:rPr>
        <w:t>17.3 不可抗力后果的承担</w:t>
      </w:r>
      <w:bookmarkEnd w:id="1517"/>
      <w:bookmarkEnd w:id="1518"/>
      <w:bookmarkEnd w:id="1519"/>
    </w:p>
    <w:bookmarkEnd w:id="1520"/>
    <w:bookmarkEnd w:id="1521"/>
    <w:bookmarkEnd w:id="1522"/>
    <w:p w14:paraId="0AAF845B">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17.3.1 不可抗力引起的后果及造成的损失由合同当事人按照法律规定及合同约定各自承担。不可抗力发生前已完成的工程应当按照合同约定进行计量支付。</w:t>
      </w:r>
    </w:p>
    <w:p w14:paraId="213F1FED">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17.3.2 不可抗力导致的人员伤亡、财产损失、费用增加和（或）工期延误等后果，由合同当事人按以下原则承担：</w:t>
      </w:r>
    </w:p>
    <w:p w14:paraId="4D0197AD">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（1）永久工程、已运至施工现场的施工材料和工程设备的损坏，以及因工程损坏造成的第三方人员伤亡和财产损失由发包人承担；</w:t>
      </w:r>
    </w:p>
    <w:p w14:paraId="5CCA1FD0">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（2）承包人施工设备的损坏由承包人承担；</w:t>
      </w:r>
    </w:p>
    <w:p w14:paraId="29C432F5">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（3）发包人和承包人承担各自人员伤亡和财产的损失；</w:t>
      </w:r>
    </w:p>
    <w:p w14:paraId="228E5ADF">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（4）因不可抗力影响承包人履行合同约定的义务，已经引起或将引起工期延误的，应当顺延工期，由此导致承包人停工的费用损失由发包人和承包人合理共担；</w:t>
      </w:r>
    </w:p>
    <w:p w14:paraId="52D84E96">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（5）因不可抗力引起或将引起工期延误，发包人要求赶工的，由此增加的赶工费用由发包人承担；</w:t>
      </w:r>
    </w:p>
    <w:p w14:paraId="65960F80">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（6）承包人在停工期间按照发包人要求照管、清理和修复工程的费用由发包人承担；</w:t>
      </w:r>
    </w:p>
    <w:p w14:paraId="149498B1">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（7）不可抗力事件发生后，合同当事人均应采取措施尽量避免和减少损失的扩大，任何一方当事人没有采取有效措施导致损失扩大的，应对扩大的损失承担责任。</w:t>
      </w:r>
    </w:p>
    <w:p w14:paraId="090FFB3C">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（8）</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hint="eastAsia" w:ascii="宋体" w:hAnsi="宋体"/>
          <w:color w:val="auto"/>
          <w:szCs w:val="21"/>
        </w:rPr>
        <w:t>。</w:t>
      </w:r>
    </w:p>
    <w:p w14:paraId="00ABE7B6">
      <w:pPr>
        <w:pStyle w:val="7"/>
        <w:spacing w:before="0" w:beforeAutospacing="0" w:after="0" w:afterAutospacing="0" w:line="360" w:lineRule="auto"/>
        <w:ind w:firstLine="422" w:firstLineChars="200"/>
        <w:rPr>
          <w:color w:val="auto"/>
          <w:sz w:val="21"/>
          <w:szCs w:val="21"/>
        </w:rPr>
      </w:pPr>
      <w:bookmarkStart w:id="1523" w:name="_Toc532377407"/>
      <w:bookmarkStart w:id="1524" w:name="_Toc532375668"/>
      <w:r>
        <w:rPr>
          <w:rFonts w:hint="eastAsia"/>
          <w:color w:val="auto"/>
          <w:sz w:val="21"/>
          <w:szCs w:val="21"/>
        </w:rPr>
        <w:t>17.4 因不可抗力解除合同</w:t>
      </w:r>
      <w:bookmarkEnd w:id="1523"/>
      <w:bookmarkEnd w:id="1524"/>
    </w:p>
    <w:p w14:paraId="04CB7FB3">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合同解除后，发包人应在商定或确定发包人应支付款项后</w:t>
      </w:r>
      <w:r>
        <w:rPr>
          <w:rFonts w:hint="eastAsia" w:ascii="宋体" w:hAnsi="宋体"/>
          <w:color w:val="auto"/>
          <w:szCs w:val="21"/>
          <w:u w:val="single"/>
        </w:rPr>
        <w:t>28</w:t>
      </w:r>
      <w:r>
        <w:rPr>
          <w:rFonts w:hint="eastAsia" w:ascii="宋体" w:hAnsi="宋体"/>
          <w:color w:val="auto"/>
          <w:szCs w:val="21"/>
        </w:rPr>
        <w:t>天内完成款项的支付。</w:t>
      </w:r>
    </w:p>
    <w:p w14:paraId="6E5E7F65">
      <w:pPr>
        <w:pStyle w:val="6"/>
        <w:keepNext/>
        <w:keepLines/>
        <w:spacing w:before="156" w:beforeLines="50" w:beforeAutospacing="0" w:after="156" w:afterLines="50" w:afterAutospacing="0" w:line="360" w:lineRule="auto"/>
        <w:jc w:val="both"/>
        <w:rPr>
          <w:bCs w:val="0"/>
          <w:color w:val="auto"/>
          <w:kern w:val="2"/>
          <w:sz w:val="21"/>
          <w:szCs w:val="21"/>
        </w:rPr>
      </w:pPr>
      <w:bookmarkStart w:id="1525" w:name="_Toc351203650"/>
      <w:bookmarkStart w:id="1526" w:name="_Toc532377408"/>
      <w:bookmarkStart w:id="1527" w:name="_Toc532375669"/>
      <w:r>
        <w:rPr>
          <w:rFonts w:hint="eastAsia"/>
          <w:color w:val="auto"/>
          <w:kern w:val="2"/>
          <w:sz w:val="21"/>
          <w:szCs w:val="21"/>
        </w:rPr>
        <w:t>18. 保险</w:t>
      </w:r>
      <w:bookmarkEnd w:id="1525"/>
      <w:bookmarkEnd w:id="1526"/>
      <w:bookmarkEnd w:id="1527"/>
    </w:p>
    <w:p w14:paraId="01092A98">
      <w:pPr>
        <w:pStyle w:val="7"/>
        <w:spacing w:before="0" w:beforeAutospacing="0" w:after="0" w:afterAutospacing="0" w:line="360" w:lineRule="auto"/>
        <w:ind w:firstLine="422" w:firstLineChars="200"/>
        <w:rPr>
          <w:color w:val="auto"/>
          <w:sz w:val="21"/>
          <w:szCs w:val="21"/>
        </w:rPr>
      </w:pPr>
      <w:bookmarkStart w:id="1528" w:name="_Toc532375670"/>
      <w:bookmarkStart w:id="1529" w:name="_Toc532377409"/>
      <w:r>
        <w:rPr>
          <w:rFonts w:hint="eastAsia"/>
          <w:color w:val="auto"/>
          <w:sz w:val="21"/>
          <w:szCs w:val="21"/>
        </w:rPr>
        <w:t>18.1 工程保险</w:t>
      </w:r>
      <w:bookmarkEnd w:id="1528"/>
      <w:bookmarkEnd w:id="1529"/>
    </w:p>
    <w:p w14:paraId="456FF647">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关于工程保险的特别约定：发包人应投保</w:t>
      </w:r>
      <w:r>
        <w:rPr>
          <w:rFonts w:hint="eastAsia" w:ascii="宋体" w:hAnsi="宋体"/>
          <w:color w:val="auto"/>
          <w:szCs w:val="21"/>
          <w:u w:val="single"/>
        </w:rPr>
        <w:t>建筑工程一切险或安装工程一切险</w:t>
      </w:r>
      <w:r>
        <w:rPr>
          <w:rFonts w:hint="eastAsia" w:ascii="宋体" w:hAnsi="宋体"/>
          <w:color w:val="auto"/>
          <w:szCs w:val="21"/>
        </w:rPr>
        <w:t>；发包人委托承包人投保的，因投保产生的保险费和其他相关费用由发包人承担。</w:t>
      </w:r>
    </w:p>
    <w:p w14:paraId="44C1FC61">
      <w:pPr>
        <w:pStyle w:val="7"/>
        <w:spacing w:before="0" w:beforeAutospacing="0" w:after="0" w:afterAutospacing="0" w:line="360" w:lineRule="auto"/>
        <w:ind w:firstLine="422" w:firstLineChars="200"/>
        <w:rPr>
          <w:color w:val="auto"/>
          <w:sz w:val="21"/>
          <w:szCs w:val="21"/>
        </w:rPr>
      </w:pPr>
      <w:bookmarkStart w:id="1530" w:name="_Toc532377410"/>
      <w:bookmarkStart w:id="1531" w:name="_Toc532375671"/>
      <w:r>
        <w:rPr>
          <w:rFonts w:hint="eastAsia"/>
          <w:color w:val="auto"/>
          <w:sz w:val="21"/>
          <w:szCs w:val="21"/>
        </w:rPr>
        <w:t>18.3 其他保险</w:t>
      </w:r>
      <w:bookmarkEnd w:id="1530"/>
      <w:bookmarkEnd w:id="1531"/>
    </w:p>
    <w:p w14:paraId="4F41727B">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关于其他保险的约定：</w:t>
      </w:r>
      <w:r>
        <w:rPr>
          <w:rFonts w:hint="eastAsia" w:ascii="宋体" w:hAnsi="宋体"/>
          <w:color w:val="auto"/>
          <w:szCs w:val="21"/>
          <w:u w:val="single"/>
        </w:rPr>
        <w:t xml:space="preserve">    /    </w:t>
      </w:r>
      <w:r>
        <w:rPr>
          <w:rFonts w:hint="eastAsia" w:ascii="宋体" w:hAnsi="宋体"/>
          <w:color w:val="auto"/>
          <w:szCs w:val="21"/>
        </w:rPr>
        <w:t>。</w:t>
      </w:r>
    </w:p>
    <w:p w14:paraId="495E6FD3">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承包人是否应为其施工设备等办理财产保险：</w:t>
      </w:r>
      <w:r>
        <w:rPr>
          <w:rFonts w:hint="eastAsia" w:ascii="宋体" w:hAnsi="宋体"/>
          <w:color w:val="auto"/>
          <w:szCs w:val="21"/>
          <w:u w:val="single"/>
        </w:rPr>
        <w:t xml:space="preserve">    /    </w:t>
      </w:r>
      <w:r>
        <w:rPr>
          <w:rFonts w:hint="eastAsia" w:ascii="宋体" w:hAnsi="宋体"/>
          <w:color w:val="auto"/>
          <w:szCs w:val="21"/>
        </w:rPr>
        <w:t>。</w:t>
      </w:r>
    </w:p>
    <w:p w14:paraId="3252C740">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安全生产责任险：</w:t>
      </w:r>
      <w:r>
        <w:rPr>
          <w:rFonts w:hint="eastAsia" w:ascii="宋体" w:hAnsi="宋体"/>
          <w:color w:val="auto"/>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rPr>
        <w:t>。</w:t>
      </w:r>
    </w:p>
    <w:p w14:paraId="1F315385">
      <w:pPr>
        <w:pStyle w:val="7"/>
        <w:spacing w:before="0" w:beforeAutospacing="0" w:after="0" w:afterAutospacing="0" w:line="360" w:lineRule="auto"/>
        <w:ind w:firstLine="422" w:firstLineChars="200"/>
        <w:rPr>
          <w:color w:val="auto"/>
          <w:sz w:val="21"/>
          <w:szCs w:val="21"/>
        </w:rPr>
      </w:pPr>
      <w:bookmarkStart w:id="1532" w:name="_Toc532375672"/>
      <w:bookmarkStart w:id="1533" w:name="_Toc532377411"/>
      <w:r>
        <w:rPr>
          <w:rFonts w:hint="eastAsia"/>
          <w:color w:val="auto"/>
          <w:sz w:val="21"/>
          <w:szCs w:val="21"/>
        </w:rPr>
        <w:t>18.7 通知义务</w:t>
      </w:r>
      <w:bookmarkEnd w:id="1532"/>
      <w:bookmarkEnd w:id="1533"/>
    </w:p>
    <w:p w14:paraId="433BAB22">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关于变更保险合同时的通知义务的约定：</w:t>
      </w:r>
      <w:r>
        <w:rPr>
          <w:rFonts w:hint="eastAsia" w:ascii="宋体" w:hAnsi="宋体"/>
          <w:color w:val="auto"/>
          <w:szCs w:val="21"/>
          <w:u w:val="single"/>
        </w:rPr>
        <w:t>按通用合同条款执行</w:t>
      </w:r>
      <w:r>
        <w:rPr>
          <w:rFonts w:hint="eastAsia" w:ascii="宋体" w:hAnsi="宋体"/>
          <w:color w:val="auto"/>
          <w:szCs w:val="21"/>
        </w:rPr>
        <w:t>。</w:t>
      </w:r>
    </w:p>
    <w:p w14:paraId="006A46FE">
      <w:pPr>
        <w:pStyle w:val="7"/>
        <w:spacing w:before="0" w:beforeAutospacing="0" w:after="0" w:afterAutospacing="0" w:line="360" w:lineRule="auto"/>
        <w:ind w:firstLine="422" w:firstLineChars="200"/>
        <w:rPr>
          <w:color w:val="auto"/>
          <w:sz w:val="21"/>
          <w:szCs w:val="21"/>
        </w:rPr>
      </w:pPr>
      <w:bookmarkStart w:id="1534" w:name="_Toc532377412"/>
      <w:bookmarkStart w:id="1535" w:name="_Toc532375673"/>
      <w:r>
        <w:rPr>
          <w:rFonts w:hint="eastAsia"/>
          <w:color w:val="auto"/>
          <w:sz w:val="21"/>
          <w:szCs w:val="21"/>
        </w:rPr>
        <w:t>18.8 其他</w:t>
      </w:r>
      <w:bookmarkEnd w:id="1534"/>
      <w:bookmarkEnd w:id="1535"/>
    </w:p>
    <w:p w14:paraId="38C91AEB">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18.8.1 工程开工日前，承包人向发包人提交各项生效的保险证据和保险单副本。未按本项约定提交的，每延后1天，承包人按500元/天支付违约金。</w:t>
      </w:r>
    </w:p>
    <w:p w14:paraId="6E3D7540">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18.8.2 承包人保险赔偿金不足以补偿发包人损失时，</w:t>
      </w:r>
      <w:bookmarkStart w:id="1536" w:name="_Hlk524378346"/>
      <w:r>
        <w:rPr>
          <w:rFonts w:hint="eastAsia" w:ascii="宋体" w:hAnsi="宋体"/>
          <w:color w:val="auto"/>
          <w:szCs w:val="21"/>
        </w:rPr>
        <w:t>差额由承包人负责补足</w:t>
      </w:r>
      <w:bookmarkEnd w:id="1536"/>
      <w:r>
        <w:rPr>
          <w:rFonts w:hint="eastAsia" w:ascii="宋体" w:hAnsi="宋体"/>
          <w:color w:val="auto"/>
          <w:szCs w:val="21"/>
        </w:rPr>
        <w:t>。</w:t>
      </w:r>
    </w:p>
    <w:p w14:paraId="64F12B98">
      <w:pPr>
        <w:pStyle w:val="6"/>
        <w:keepNext/>
        <w:keepLines/>
        <w:spacing w:before="156" w:beforeLines="50" w:beforeAutospacing="0" w:after="156" w:afterLines="50" w:afterAutospacing="0" w:line="360" w:lineRule="auto"/>
        <w:jc w:val="both"/>
        <w:rPr>
          <w:bCs w:val="0"/>
          <w:color w:val="auto"/>
          <w:kern w:val="2"/>
          <w:sz w:val="21"/>
          <w:szCs w:val="21"/>
        </w:rPr>
      </w:pPr>
      <w:bookmarkStart w:id="1537" w:name="_Toc532377413"/>
      <w:bookmarkStart w:id="1538" w:name="_Toc532375674"/>
      <w:bookmarkStart w:id="1539" w:name="_Toc351203620"/>
      <w:bookmarkStart w:id="1540" w:name="_Toc296346641"/>
      <w:bookmarkStart w:id="1541" w:name="_Toc296503140"/>
      <w:bookmarkStart w:id="1542" w:name="_Toc337558835"/>
      <w:r>
        <w:rPr>
          <w:rFonts w:hint="eastAsia"/>
          <w:color w:val="auto"/>
          <w:kern w:val="2"/>
          <w:sz w:val="21"/>
          <w:szCs w:val="21"/>
        </w:rPr>
        <w:t>19. 索赔</w:t>
      </w:r>
      <w:bookmarkEnd w:id="1537"/>
      <w:bookmarkEnd w:id="1538"/>
      <w:bookmarkEnd w:id="1539"/>
    </w:p>
    <w:bookmarkEnd w:id="1540"/>
    <w:bookmarkEnd w:id="1541"/>
    <w:bookmarkEnd w:id="1542"/>
    <w:p w14:paraId="1819705B">
      <w:pPr>
        <w:pStyle w:val="7"/>
        <w:spacing w:before="0" w:beforeAutospacing="0" w:after="0" w:afterAutospacing="0" w:line="360" w:lineRule="auto"/>
        <w:ind w:firstLine="422" w:firstLineChars="200"/>
        <w:rPr>
          <w:color w:val="auto"/>
          <w:sz w:val="21"/>
          <w:szCs w:val="21"/>
        </w:rPr>
      </w:pPr>
      <w:bookmarkStart w:id="1543" w:name="_Toc532377414"/>
      <w:bookmarkStart w:id="1544" w:name="_Toc532375675"/>
      <w:bookmarkStart w:id="1545" w:name="_Toc296346642"/>
      <w:bookmarkStart w:id="1546" w:name="_Toc351203621"/>
      <w:bookmarkStart w:id="1547" w:name="_Toc296503141"/>
      <w:bookmarkStart w:id="1548" w:name="_Toc337558836"/>
      <w:r>
        <w:rPr>
          <w:rFonts w:hint="eastAsia"/>
          <w:color w:val="auto"/>
          <w:sz w:val="21"/>
          <w:szCs w:val="21"/>
        </w:rPr>
        <w:t>19.1 承包人的索赔</w:t>
      </w:r>
      <w:bookmarkEnd w:id="1543"/>
      <w:bookmarkEnd w:id="1544"/>
    </w:p>
    <w:p w14:paraId="6685AC05">
      <w:pPr>
        <w:autoSpaceDE w:val="0"/>
        <w:autoSpaceDN w:val="0"/>
        <w:spacing w:line="360" w:lineRule="auto"/>
        <w:ind w:right="140" w:rightChars="50" w:firstLine="560" w:firstLineChars="200"/>
        <w:jc w:val="left"/>
        <w:rPr>
          <w:rFonts w:ascii="宋体" w:hAnsi="宋体"/>
          <w:color w:val="auto"/>
          <w:szCs w:val="21"/>
        </w:rPr>
      </w:pPr>
      <w:r>
        <w:rPr>
          <w:rFonts w:hint="eastAsia" w:ascii="宋体" w:hAnsi="宋体"/>
          <w:color w:val="auto"/>
          <w:szCs w:val="21"/>
        </w:rPr>
        <w:t>根据合同约定，承包人认为有权得到追加付款和（或）延长工期的，应按以下程序向发包人提出索赔：</w:t>
      </w:r>
    </w:p>
    <w:p w14:paraId="27603112">
      <w:pPr>
        <w:autoSpaceDE w:val="0"/>
        <w:autoSpaceDN w:val="0"/>
        <w:spacing w:line="360" w:lineRule="auto"/>
        <w:ind w:right="140" w:rightChars="50" w:firstLine="560" w:firstLineChars="200"/>
        <w:jc w:val="left"/>
        <w:rPr>
          <w:rFonts w:ascii="宋体" w:hAnsi="宋体"/>
          <w:color w:val="auto"/>
          <w:szCs w:val="21"/>
        </w:rPr>
      </w:pPr>
      <w:r>
        <w:rPr>
          <w:rFonts w:hint="eastAsia" w:ascii="宋体" w:hAnsi="宋体"/>
          <w:color w:val="auto"/>
          <w:szCs w:val="21"/>
        </w:rPr>
        <w:t>（1）承包人应在索赔事件发生后28天内，向监理人递交索赔意向通知书，并说明发生索赔事件的事由；承包人未在前述28天内发出索赔意向通知书的，丧失要求追加付款和（或）延长工期的权利；</w:t>
      </w:r>
    </w:p>
    <w:p w14:paraId="640FEF79">
      <w:pPr>
        <w:autoSpaceDE w:val="0"/>
        <w:autoSpaceDN w:val="0"/>
        <w:spacing w:line="360" w:lineRule="auto"/>
        <w:ind w:right="140" w:rightChars="50" w:firstLine="560" w:firstLineChars="200"/>
        <w:jc w:val="left"/>
        <w:rPr>
          <w:rFonts w:ascii="宋体" w:hAnsi="宋体"/>
          <w:color w:val="auto"/>
          <w:szCs w:val="21"/>
        </w:rPr>
      </w:pPr>
      <w:r>
        <w:rPr>
          <w:rFonts w:hint="eastAsia" w:ascii="宋体" w:hAnsi="宋体"/>
          <w:color w:val="auto"/>
          <w:szCs w:val="21"/>
        </w:rPr>
        <w:t>（2）承包人应在发出索赔意向通知书后28天内，向监理人正式递交索赔报告；索赔报告应详细说明索赔理由以及要求追加的付款金额和（或）延长的工期，并附必要的记录和证明材料；</w:t>
      </w:r>
    </w:p>
    <w:p w14:paraId="6D34E884">
      <w:pPr>
        <w:autoSpaceDE w:val="0"/>
        <w:autoSpaceDN w:val="0"/>
        <w:spacing w:line="360" w:lineRule="auto"/>
        <w:ind w:right="140" w:rightChars="50" w:firstLine="560" w:firstLineChars="200"/>
        <w:jc w:val="left"/>
        <w:rPr>
          <w:rFonts w:ascii="宋体" w:hAnsi="宋体"/>
          <w:color w:val="auto"/>
          <w:szCs w:val="21"/>
        </w:rPr>
      </w:pPr>
      <w:r>
        <w:rPr>
          <w:rFonts w:hint="eastAsia" w:ascii="宋体" w:hAnsi="宋体"/>
          <w:color w:val="auto"/>
          <w:szCs w:val="21"/>
        </w:rPr>
        <w:t>（3）索赔事件具有持续影响的，承包人应按监理人要求的合理时间间隔继续递交延续索赔通知，说明持续影响的实际情况和记录，列出累计的追加付款金额和（或）工期延长天数；</w:t>
      </w:r>
    </w:p>
    <w:p w14:paraId="777F5351">
      <w:pPr>
        <w:autoSpaceDE w:val="0"/>
        <w:autoSpaceDN w:val="0"/>
        <w:spacing w:line="360" w:lineRule="auto"/>
        <w:ind w:right="140" w:rightChars="50" w:firstLine="560" w:firstLineChars="200"/>
        <w:jc w:val="left"/>
        <w:rPr>
          <w:rFonts w:ascii="宋体" w:hAnsi="宋体"/>
          <w:color w:val="auto"/>
          <w:szCs w:val="21"/>
        </w:rPr>
      </w:pPr>
      <w:r>
        <w:rPr>
          <w:rFonts w:hint="eastAsia" w:ascii="宋体" w:hAnsi="宋体"/>
          <w:color w:val="auto"/>
          <w:szCs w:val="21"/>
        </w:rPr>
        <w:t>（4）在索赔事件影响结束后28天内，承包人应向监理人递交最终索赔报告，说明最终要求索赔的追加付款金额和（或）延长的工期，并附必要的记录和证明材料。</w:t>
      </w:r>
    </w:p>
    <w:p w14:paraId="39EEAFEC">
      <w:pPr>
        <w:autoSpaceDE w:val="0"/>
        <w:autoSpaceDN w:val="0"/>
        <w:spacing w:line="360" w:lineRule="auto"/>
        <w:ind w:right="140" w:rightChars="50" w:firstLine="560" w:firstLineChars="200"/>
        <w:jc w:val="left"/>
        <w:rPr>
          <w:rFonts w:ascii="宋体" w:hAnsi="宋体"/>
          <w:color w:val="auto"/>
          <w:szCs w:val="21"/>
        </w:rPr>
      </w:pPr>
      <w:r>
        <w:rPr>
          <w:rFonts w:hint="eastAsia" w:ascii="宋体" w:hAnsi="宋体"/>
          <w:color w:val="auto"/>
          <w:szCs w:val="21"/>
        </w:rPr>
        <w:t>（5）</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rPr>
        <w:t>。</w:t>
      </w:r>
    </w:p>
    <w:p w14:paraId="7E4FAFEC">
      <w:pPr>
        <w:pStyle w:val="7"/>
        <w:spacing w:before="0" w:beforeAutospacing="0" w:after="0" w:afterAutospacing="0" w:line="360" w:lineRule="auto"/>
        <w:ind w:firstLine="422" w:firstLineChars="200"/>
        <w:rPr>
          <w:color w:val="auto"/>
          <w:sz w:val="21"/>
          <w:szCs w:val="21"/>
        </w:rPr>
      </w:pPr>
      <w:bookmarkStart w:id="1549" w:name="_Toc532375676"/>
      <w:bookmarkStart w:id="1550" w:name="_Toc532377415"/>
      <w:r>
        <w:rPr>
          <w:rFonts w:hint="eastAsia"/>
          <w:color w:val="auto"/>
          <w:sz w:val="21"/>
          <w:szCs w:val="21"/>
        </w:rPr>
        <w:t>19.2 对承包人索赔的处理</w:t>
      </w:r>
      <w:bookmarkEnd w:id="1549"/>
      <w:bookmarkEnd w:id="1550"/>
    </w:p>
    <w:p w14:paraId="1BE3C403">
      <w:pPr>
        <w:autoSpaceDE w:val="0"/>
        <w:autoSpaceDN w:val="0"/>
        <w:spacing w:line="360" w:lineRule="auto"/>
        <w:ind w:right="140" w:rightChars="50" w:firstLine="560" w:firstLineChars="200"/>
        <w:jc w:val="left"/>
        <w:rPr>
          <w:rFonts w:ascii="宋体" w:hAnsi="宋体"/>
          <w:color w:val="auto"/>
          <w:szCs w:val="21"/>
        </w:rPr>
      </w:pPr>
      <w:r>
        <w:rPr>
          <w:rFonts w:hint="eastAsia" w:ascii="宋体" w:hAnsi="宋体"/>
          <w:color w:val="auto"/>
          <w:szCs w:val="21"/>
        </w:rPr>
        <w:t>对承包人索赔的处理如下：</w:t>
      </w:r>
    </w:p>
    <w:p w14:paraId="2C681CEB">
      <w:pPr>
        <w:autoSpaceDE w:val="0"/>
        <w:autoSpaceDN w:val="0"/>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u w:val="single"/>
        </w:rPr>
        <w:t>（1）监理人应在收到索赔报告后14天内完成审查并报送发包人。监理人对索赔报告存在异议的，有权要求承包人提交全部原始记录副本</w:t>
      </w:r>
      <w:r>
        <w:rPr>
          <w:rFonts w:hint="eastAsia" w:ascii="宋体" w:hAnsi="宋体"/>
          <w:color w:val="auto"/>
          <w:szCs w:val="21"/>
        </w:rPr>
        <w:t>；</w:t>
      </w:r>
    </w:p>
    <w:p w14:paraId="65A2894E">
      <w:pPr>
        <w:autoSpaceDE w:val="0"/>
        <w:autoSpaceDN w:val="0"/>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rPr>
        <w:t>；</w:t>
      </w:r>
    </w:p>
    <w:p w14:paraId="57B6410A">
      <w:pPr>
        <w:autoSpaceDE w:val="0"/>
        <w:autoSpaceDN w:val="0"/>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u w:val="single"/>
        </w:rPr>
        <w:t>（3）承包人接受索赔处理结果的，索赔款项在当期进度款中进行支付；承包人不接受索赔处理结果的，按照第20条〔争议解决〕约定处理</w:t>
      </w:r>
      <w:r>
        <w:rPr>
          <w:rFonts w:hint="eastAsia" w:ascii="宋体" w:hAnsi="宋体"/>
          <w:color w:val="auto"/>
          <w:szCs w:val="21"/>
        </w:rPr>
        <w:t>；</w:t>
      </w:r>
    </w:p>
    <w:p w14:paraId="377C82DE">
      <w:pPr>
        <w:autoSpaceDE w:val="0"/>
        <w:autoSpaceDN w:val="0"/>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u w:val="single"/>
        </w:rPr>
        <w:t>（4）工期延误的关键线路按照经监理人、发包人审批同意的施工组织设计计算</w:t>
      </w:r>
      <w:r>
        <w:rPr>
          <w:rFonts w:hint="eastAsia" w:ascii="宋体" w:hAnsi="宋体"/>
          <w:color w:val="auto"/>
          <w:szCs w:val="21"/>
        </w:rPr>
        <w:t>。</w:t>
      </w:r>
    </w:p>
    <w:p w14:paraId="1199DD77">
      <w:pPr>
        <w:pStyle w:val="7"/>
        <w:spacing w:before="0" w:beforeAutospacing="0" w:after="0" w:afterAutospacing="0" w:line="360" w:lineRule="auto"/>
        <w:ind w:firstLine="422" w:firstLineChars="200"/>
        <w:rPr>
          <w:color w:val="auto"/>
          <w:sz w:val="21"/>
          <w:szCs w:val="21"/>
        </w:rPr>
      </w:pPr>
      <w:bookmarkStart w:id="1551" w:name="_Toc532377416"/>
      <w:bookmarkStart w:id="1552" w:name="_Toc532375677"/>
      <w:r>
        <w:rPr>
          <w:rFonts w:hint="eastAsia"/>
          <w:color w:val="auto"/>
          <w:sz w:val="21"/>
          <w:szCs w:val="21"/>
        </w:rPr>
        <w:t>19.3发包人的索赔</w:t>
      </w:r>
      <w:bookmarkEnd w:id="1551"/>
      <w:bookmarkEnd w:id="1552"/>
    </w:p>
    <w:p w14:paraId="2025EDA1">
      <w:pPr>
        <w:autoSpaceDE w:val="0"/>
        <w:autoSpaceDN w:val="0"/>
        <w:spacing w:line="360" w:lineRule="auto"/>
        <w:ind w:right="140" w:rightChars="50" w:firstLine="560" w:firstLineChars="200"/>
        <w:jc w:val="left"/>
        <w:rPr>
          <w:rFonts w:ascii="宋体" w:hAnsi="宋体"/>
          <w:color w:val="auto"/>
          <w:szCs w:val="21"/>
        </w:rPr>
      </w:pPr>
      <w:r>
        <w:rPr>
          <w:rFonts w:hint="eastAsia" w:ascii="宋体" w:hAnsi="宋体"/>
          <w:color w:val="auto"/>
          <w:szCs w:val="21"/>
        </w:rPr>
        <w:t>根据合同约定，发包人认为有权得到赔付金额和（或）延长缺陷责任期的，监理人应向承包人发出通知并附有详细的证明。</w:t>
      </w:r>
    </w:p>
    <w:p w14:paraId="3C179C8C">
      <w:pPr>
        <w:autoSpaceDE w:val="0"/>
        <w:autoSpaceDN w:val="0"/>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553" w:name="_Hlk528652769"/>
      <w:r>
        <w:rPr>
          <w:rFonts w:hint="eastAsia" w:ascii="宋体" w:hAnsi="宋体"/>
          <w:color w:val="auto"/>
          <w:szCs w:val="21"/>
        </w:rPr>
        <w:t>通过监理人向承包人正式递交最终索赔报告</w:t>
      </w:r>
      <w:bookmarkEnd w:id="1553"/>
      <w:r>
        <w:rPr>
          <w:rFonts w:hint="eastAsia" w:ascii="宋体" w:hAnsi="宋体"/>
          <w:color w:val="auto"/>
          <w:szCs w:val="21"/>
        </w:rPr>
        <w:t>。</w:t>
      </w:r>
    </w:p>
    <w:p w14:paraId="134B3130">
      <w:pPr>
        <w:pStyle w:val="7"/>
        <w:spacing w:before="0" w:beforeAutospacing="0" w:after="0" w:afterAutospacing="0" w:line="360" w:lineRule="auto"/>
        <w:ind w:firstLine="422" w:firstLineChars="200"/>
        <w:rPr>
          <w:color w:val="auto"/>
          <w:sz w:val="21"/>
          <w:szCs w:val="21"/>
        </w:rPr>
      </w:pPr>
      <w:bookmarkStart w:id="1554" w:name="_Toc532375678"/>
      <w:bookmarkStart w:id="1555" w:name="_Toc532377417"/>
      <w:r>
        <w:rPr>
          <w:rFonts w:hint="eastAsia"/>
          <w:color w:val="auto"/>
          <w:sz w:val="21"/>
          <w:szCs w:val="21"/>
        </w:rPr>
        <w:t>19.4 对发包人索赔的处理</w:t>
      </w:r>
      <w:bookmarkEnd w:id="1554"/>
      <w:bookmarkEnd w:id="1555"/>
    </w:p>
    <w:p w14:paraId="762D005B">
      <w:pPr>
        <w:autoSpaceDE w:val="0"/>
        <w:autoSpaceDN w:val="0"/>
        <w:spacing w:line="360" w:lineRule="auto"/>
        <w:ind w:right="140" w:rightChars="50" w:firstLine="560" w:firstLineChars="200"/>
        <w:jc w:val="left"/>
        <w:rPr>
          <w:rFonts w:ascii="宋体" w:hAnsi="宋体"/>
          <w:color w:val="auto"/>
          <w:kern w:val="0"/>
          <w:szCs w:val="21"/>
        </w:rPr>
      </w:pPr>
      <w:r>
        <w:rPr>
          <w:rFonts w:hint="eastAsia" w:ascii="宋体" w:hAnsi="宋体"/>
          <w:color w:val="auto"/>
          <w:kern w:val="0"/>
          <w:szCs w:val="21"/>
        </w:rPr>
        <w:t>对发包人索赔的处理如下：</w:t>
      </w:r>
    </w:p>
    <w:p w14:paraId="5FDE371A">
      <w:pPr>
        <w:autoSpaceDE w:val="0"/>
        <w:autoSpaceDN w:val="0"/>
        <w:spacing w:line="360" w:lineRule="auto"/>
        <w:ind w:right="140" w:rightChars="50" w:firstLine="560" w:firstLineChars="200"/>
        <w:jc w:val="left"/>
        <w:rPr>
          <w:rFonts w:ascii="宋体" w:hAnsi="宋体"/>
          <w:color w:val="auto"/>
          <w:szCs w:val="21"/>
        </w:rPr>
      </w:pPr>
      <w:r>
        <w:rPr>
          <w:rFonts w:hint="eastAsia" w:ascii="宋体" w:hAnsi="宋体"/>
          <w:color w:val="auto"/>
          <w:szCs w:val="21"/>
        </w:rPr>
        <w:t>（1）承包人收到发包人提交的索赔报告后，应及时审查索赔报告的内容、查验发包人证明材料；</w:t>
      </w:r>
    </w:p>
    <w:p w14:paraId="11859BD6">
      <w:pPr>
        <w:autoSpaceDE w:val="0"/>
        <w:autoSpaceDN w:val="0"/>
        <w:spacing w:line="360" w:lineRule="auto"/>
        <w:ind w:right="140" w:rightChars="50" w:firstLine="560" w:firstLineChars="200"/>
        <w:jc w:val="left"/>
        <w:rPr>
          <w:rFonts w:ascii="宋体" w:hAnsi="宋体"/>
          <w:color w:val="auto"/>
          <w:szCs w:val="21"/>
        </w:rPr>
      </w:pPr>
      <w:r>
        <w:rPr>
          <w:rFonts w:hint="eastAsia" w:ascii="宋体" w:hAnsi="宋体"/>
          <w:color w:val="auto"/>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2E092C62">
      <w:pPr>
        <w:autoSpaceDE w:val="0"/>
        <w:autoSpaceDN w:val="0"/>
        <w:spacing w:line="360" w:lineRule="auto"/>
        <w:ind w:right="140" w:rightChars="50" w:firstLine="560" w:firstLineChars="200"/>
        <w:jc w:val="left"/>
        <w:rPr>
          <w:rFonts w:ascii="宋体" w:hAnsi="宋体"/>
          <w:color w:val="auto"/>
          <w:szCs w:val="21"/>
          <w:u w:val="single"/>
        </w:rPr>
      </w:pPr>
      <w:r>
        <w:rPr>
          <w:rFonts w:hint="eastAsia" w:ascii="宋体" w:hAnsi="宋体"/>
          <w:color w:val="auto"/>
          <w:szCs w:val="21"/>
        </w:rPr>
        <w:t>（3）承包人接受索赔处理结果的，发包人可从应支付给承包人的合同价款中扣除赔付的金额或延长缺陷责任期；发包人不接受索赔处理结果的，按第20条〔争议解决〕约定处理。</w:t>
      </w:r>
    </w:p>
    <w:p w14:paraId="7DA07A45">
      <w:pPr>
        <w:pStyle w:val="7"/>
        <w:spacing w:before="0" w:beforeAutospacing="0" w:after="0" w:afterAutospacing="0" w:line="360" w:lineRule="auto"/>
        <w:ind w:firstLine="422" w:firstLineChars="200"/>
        <w:rPr>
          <w:color w:val="auto"/>
          <w:sz w:val="21"/>
          <w:szCs w:val="21"/>
        </w:rPr>
      </w:pPr>
      <w:bookmarkStart w:id="1556" w:name="_Toc532375679"/>
      <w:bookmarkStart w:id="1557" w:name="_Toc532377418"/>
      <w:bookmarkStart w:id="1558" w:name="_Hlk528928420"/>
      <w:r>
        <w:rPr>
          <w:rFonts w:hint="eastAsia"/>
          <w:color w:val="auto"/>
          <w:sz w:val="21"/>
          <w:szCs w:val="21"/>
        </w:rPr>
        <w:t>19.5 提出索赔的期限</w:t>
      </w:r>
      <w:bookmarkEnd w:id="1556"/>
      <w:bookmarkEnd w:id="1557"/>
    </w:p>
    <w:p w14:paraId="006B5300">
      <w:pPr>
        <w:autoSpaceDE w:val="0"/>
        <w:autoSpaceDN w:val="0"/>
        <w:spacing w:line="360" w:lineRule="auto"/>
        <w:ind w:right="140" w:rightChars="50" w:firstLine="560" w:firstLineChars="200"/>
        <w:jc w:val="left"/>
        <w:rPr>
          <w:rFonts w:ascii="宋体" w:hAnsi="宋体"/>
          <w:color w:val="auto"/>
          <w:szCs w:val="21"/>
        </w:rPr>
      </w:pPr>
      <w:bookmarkStart w:id="1559" w:name="_Hlk524298376"/>
      <w:r>
        <w:rPr>
          <w:rFonts w:hint="eastAsia" w:ascii="宋体" w:hAnsi="宋体"/>
          <w:color w:val="auto"/>
          <w:szCs w:val="21"/>
        </w:rPr>
        <w:t>任一索赔事件发生后28天内，承包人/发包人未向对方发出索赔意向通知书的，视为其已放弃索赔权，无权再就该索赔事项提出任何索赔。</w:t>
      </w:r>
    </w:p>
    <w:bookmarkEnd w:id="1545"/>
    <w:bookmarkEnd w:id="1546"/>
    <w:bookmarkEnd w:id="1547"/>
    <w:bookmarkEnd w:id="1548"/>
    <w:bookmarkEnd w:id="1558"/>
    <w:bookmarkEnd w:id="1559"/>
    <w:p w14:paraId="1CD90595">
      <w:pPr>
        <w:pStyle w:val="6"/>
        <w:keepNext/>
        <w:keepLines/>
        <w:spacing w:before="156" w:beforeLines="50" w:beforeAutospacing="0" w:after="156" w:afterLines="50" w:afterAutospacing="0" w:line="360" w:lineRule="auto"/>
        <w:jc w:val="both"/>
        <w:rPr>
          <w:bCs w:val="0"/>
          <w:color w:val="auto"/>
          <w:kern w:val="2"/>
          <w:sz w:val="21"/>
          <w:szCs w:val="21"/>
        </w:rPr>
      </w:pPr>
      <w:bookmarkStart w:id="1560" w:name="_Toc532375680"/>
      <w:bookmarkStart w:id="1561" w:name="_Toc532377419"/>
      <w:bookmarkStart w:id="1562" w:name="_Toc351203651"/>
      <w:r>
        <w:rPr>
          <w:rFonts w:hint="eastAsia"/>
          <w:color w:val="auto"/>
          <w:kern w:val="2"/>
          <w:sz w:val="21"/>
          <w:szCs w:val="21"/>
        </w:rPr>
        <w:t>20. 争议解决</w:t>
      </w:r>
      <w:bookmarkEnd w:id="1560"/>
      <w:bookmarkEnd w:id="1561"/>
      <w:bookmarkEnd w:id="1562"/>
    </w:p>
    <w:p w14:paraId="749CE44E">
      <w:pPr>
        <w:pStyle w:val="7"/>
        <w:spacing w:before="0" w:beforeAutospacing="0" w:after="0" w:afterAutospacing="0" w:line="360" w:lineRule="auto"/>
        <w:ind w:firstLine="422" w:firstLineChars="200"/>
        <w:rPr>
          <w:color w:val="auto"/>
          <w:sz w:val="21"/>
          <w:szCs w:val="21"/>
        </w:rPr>
      </w:pPr>
      <w:bookmarkStart w:id="1563" w:name="_Toc532377420"/>
      <w:bookmarkStart w:id="1564" w:name="_Toc532375681"/>
      <w:r>
        <w:rPr>
          <w:rFonts w:hint="eastAsia"/>
          <w:color w:val="auto"/>
          <w:sz w:val="21"/>
          <w:szCs w:val="21"/>
        </w:rPr>
        <w:t>20.3 争议评审</w:t>
      </w:r>
      <w:bookmarkEnd w:id="1563"/>
      <w:bookmarkEnd w:id="1564"/>
    </w:p>
    <w:p w14:paraId="29434F5F">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合同当事人是否同意将工程争议提交争议评审小组决定：</w:t>
      </w:r>
      <w:r>
        <w:rPr>
          <w:rFonts w:hint="eastAsia" w:ascii="宋体" w:hAnsi="宋体"/>
          <w:color w:val="auto"/>
          <w:szCs w:val="21"/>
          <w:u w:val="single"/>
        </w:rPr>
        <w:t xml:space="preserve">  </w:t>
      </w:r>
      <w:r>
        <w:rPr>
          <w:rFonts w:hint="eastAsia" w:ascii="宋体" w:hAnsi="宋体"/>
          <w:color w:val="auto"/>
          <w:szCs w:val="21"/>
          <w:u w:val="single"/>
          <w:lang w:eastAsia="zh-CN"/>
        </w:rPr>
        <w:t>否</w:t>
      </w:r>
      <w:r>
        <w:rPr>
          <w:rFonts w:hint="eastAsia" w:ascii="宋体" w:hAnsi="宋体"/>
          <w:color w:val="auto"/>
          <w:szCs w:val="21"/>
          <w:u w:val="single"/>
        </w:rPr>
        <w:t xml:space="preserve">      </w:t>
      </w:r>
      <w:r>
        <w:rPr>
          <w:rFonts w:hint="eastAsia" w:ascii="宋体" w:hAnsi="宋体"/>
          <w:color w:val="auto"/>
          <w:szCs w:val="21"/>
        </w:rPr>
        <w:t>。</w:t>
      </w:r>
    </w:p>
    <w:p w14:paraId="56B900E6">
      <w:pPr>
        <w:pStyle w:val="7"/>
        <w:spacing w:before="0" w:beforeAutospacing="0" w:after="0" w:afterAutospacing="0" w:line="360" w:lineRule="auto"/>
        <w:ind w:firstLine="422" w:firstLineChars="200"/>
        <w:rPr>
          <w:color w:val="auto"/>
          <w:sz w:val="21"/>
          <w:szCs w:val="21"/>
        </w:rPr>
      </w:pPr>
      <w:bookmarkStart w:id="1565" w:name="_Toc532377421"/>
      <w:bookmarkStart w:id="1566" w:name="_Toc532375682"/>
      <w:r>
        <w:rPr>
          <w:rFonts w:hint="eastAsia"/>
          <w:color w:val="auto"/>
          <w:sz w:val="21"/>
          <w:szCs w:val="21"/>
        </w:rPr>
        <w:t>20.4 仲裁或诉讼</w:t>
      </w:r>
      <w:bookmarkEnd w:id="1565"/>
      <w:bookmarkEnd w:id="1566"/>
    </w:p>
    <w:p w14:paraId="06DF499F">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因合同及合同有关事项发生的争议，按下列第</w:t>
      </w:r>
      <w:r>
        <w:rPr>
          <w:rFonts w:hint="eastAsia" w:ascii="宋体" w:hAnsi="宋体"/>
          <w:color w:val="auto"/>
          <w:szCs w:val="21"/>
          <w:u w:val="single"/>
        </w:rPr>
        <w:t xml:space="preserve"> </w:t>
      </w:r>
      <w:r>
        <w:rPr>
          <w:rFonts w:hint="eastAsia" w:ascii="宋体" w:hAnsi="宋体"/>
          <w:color w:val="auto"/>
          <w:szCs w:val="21"/>
          <w:u w:val="single"/>
          <w:lang w:eastAsia="zh-CN"/>
        </w:rPr>
        <w:t>（</w:t>
      </w:r>
      <w:r>
        <w:rPr>
          <w:rFonts w:hint="eastAsia" w:ascii="宋体" w:hAnsi="宋体"/>
          <w:color w:val="auto"/>
          <w:szCs w:val="21"/>
          <w:u w:val="single"/>
          <w:lang w:val="en-US" w:eastAsia="zh-CN"/>
        </w:rPr>
        <w:t>2</w:t>
      </w:r>
      <w:r>
        <w:rPr>
          <w:rFonts w:hint="eastAsia" w:ascii="宋体" w:hAnsi="宋体"/>
          <w:color w:val="auto"/>
          <w:szCs w:val="21"/>
          <w:u w:val="single"/>
          <w:lang w:eastAsia="zh-CN"/>
        </w:rPr>
        <w:t>）</w:t>
      </w:r>
      <w:r>
        <w:rPr>
          <w:rFonts w:hint="eastAsia" w:ascii="宋体" w:hAnsi="宋体"/>
          <w:color w:val="auto"/>
          <w:szCs w:val="21"/>
          <w:u w:val="single"/>
        </w:rPr>
        <w:t xml:space="preserve"> </w:t>
      </w:r>
      <w:r>
        <w:rPr>
          <w:rFonts w:hint="eastAsia" w:ascii="宋体" w:hAnsi="宋体"/>
          <w:color w:val="auto"/>
          <w:szCs w:val="21"/>
        </w:rPr>
        <w:t>种方式解决：</w:t>
      </w:r>
    </w:p>
    <w:p w14:paraId="0326E6A2">
      <w:pPr>
        <w:spacing w:line="360" w:lineRule="auto"/>
        <w:ind w:right="140" w:rightChars="50" w:firstLine="560" w:firstLineChars="200"/>
        <w:jc w:val="left"/>
        <w:rPr>
          <w:rFonts w:ascii="宋体" w:hAnsi="宋体"/>
          <w:color w:val="auto"/>
          <w:szCs w:val="21"/>
        </w:rPr>
      </w:pPr>
      <w:r>
        <w:rPr>
          <w:rFonts w:ascii="宋体" w:hAnsi="宋体"/>
          <w:color w:val="auto"/>
          <w:szCs w:val="21"/>
        </w:rPr>
        <w:t>（1）向</w:t>
      </w:r>
      <w:r>
        <w:rPr>
          <w:rFonts w:ascii="宋体" w:hAnsi="宋体"/>
          <w:color w:val="auto"/>
          <w:szCs w:val="21"/>
          <w:u w:val="single"/>
        </w:rPr>
        <w:t xml:space="preserve">                     </w:t>
      </w:r>
      <w:r>
        <w:rPr>
          <w:rFonts w:ascii="宋体" w:hAnsi="宋体"/>
          <w:color w:val="auto"/>
          <w:szCs w:val="21"/>
        </w:rPr>
        <w:t>仲裁委员会申请仲裁；</w:t>
      </w:r>
    </w:p>
    <w:p w14:paraId="2AF31CE2">
      <w:pPr>
        <w:spacing w:line="360" w:lineRule="auto"/>
        <w:ind w:right="140" w:rightChars="50" w:firstLine="560" w:firstLineChars="200"/>
        <w:jc w:val="left"/>
        <w:rPr>
          <w:rFonts w:ascii="宋体" w:hAnsi="宋体"/>
          <w:color w:val="auto"/>
          <w:szCs w:val="21"/>
        </w:rPr>
      </w:pPr>
      <w:r>
        <w:rPr>
          <w:rFonts w:ascii="宋体" w:hAnsi="宋体"/>
          <w:color w:val="auto"/>
          <w:szCs w:val="21"/>
        </w:rPr>
        <w:t>（2）向</w:t>
      </w:r>
      <w:r>
        <w:rPr>
          <w:rFonts w:ascii="宋体" w:hAnsi="宋体"/>
          <w:color w:val="auto"/>
          <w:szCs w:val="21"/>
          <w:u w:val="single"/>
        </w:rPr>
        <w:t xml:space="preserve">   </w:t>
      </w:r>
      <w:r>
        <w:rPr>
          <w:rFonts w:hint="eastAsia" w:ascii="宋体" w:hAnsi="宋体"/>
          <w:color w:val="auto"/>
          <w:szCs w:val="21"/>
          <w:u w:val="single"/>
          <w:lang w:eastAsia="zh-CN"/>
        </w:rPr>
        <w:t>工程所在地</w:t>
      </w:r>
      <w:r>
        <w:rPr>
          <w:rFonts w:ascii="宋体" w:hAnsi="宋体"/>
          <w:color w:val="auto"/>
          <w:szCs w:val="21"/>
          <w:u w:val="single"/>
        </w:rPr>
        <w:t xml:space="preserve">    </w:t>
      </w:r>
      <w:r>
        <w:rPr>
          <w:rFonts w:ascii="宋体" w:hAnsi="宋体"/>
          <w:color w:val="auto"/>
          <w:szCs w:val="21"/>
        </w:rPr>
        <w:t>人民法院起诉。</w:t>
      </w:r>
    </w:p>
    <w:p w14:paraId="0C811FE4">
      <w:pPr>
        <w:pStyle w:val="6"/>
        <w:keepNext/>
        <w:keepLines/>
        <w:spacing w:before="156" w:beforeLines="50" w:beforeAutospacing="0" w:after="156" w:afterLines="50" w:afterAutospacing="0" w:line="360" w:lineRule="auto"/>
        <w:jc w:val="both"/>
        <w:rPr>
          <w:bCs w:val="0"/>
          <w:color w:val="auto"/>
          <w:kern w:val="2"/>
          <w:sz w:val="21"/>
          <w:szCs w:val="21"/>
        </w:rPr>
      </w:pPr>
      <w:bookmarkStart w:id="1567" w:name="_Toc532375683"/>
      <w:bookmarkStart w:id="1568" w:name="_Toc532377422"/>
      <w:r>
        <w:rPr>
          <w:rFonts w:hint="eastAsia"/>
          <w:color w:val="auto"/>
          <w:kern w:val="2"/>
          <w:sz w:val="21"/>
          <w:szCs w:val="21"/>
        </w:rPr>
        <w:t>21. 补充条款</w:t>
      </w:r>
      <w:bookmarkEnd w:id="1567"/>
      <w:bookmarkEnd w:id="1568"/>
    </w:p>
    <w:p w14:paraId="40FF4A59">
      <w:pPr>
        <w:pStyle w:val="7"/>
        <w:spacing w:before="0" w:beforeAutospacing="0" w:after="0" w:afterAutospacing="0" w:line="360" w:lineRule="auto"/>
        <w:ind w:firstLine="422" w:firstLineChars="200"/>
        <w:rPr>
          <w:color w:val="auto"/>
          <w:sz w:val="21"/>
          <w:szCs w:val="21"/>
        </w:rPr>
      </w:pPr>
      <w:bookmarkStart w:id="1569" w:name="_Toc532375684"/>
      <w:bookmarkStart w:id="1570" w:name="_Toc532377423"/>
      <w:r>
        <w:rPr>
          <w:rFonts w:hint="eastAsia"/>
          <w:color w:val="auto"/>
          <w:sz w:val="21"/>
          <w:szCs w:val="21"/>
        </w:rPr>
        <w:t>21.1 退出机制</w:t>
      </w:r>
      <w:bookmarkEnd w:id="1569"/>
      <w:bookmarkEnd w:id="1570"/>
    </w:p>
    <w:p w14:paraId="50D3B038">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21.1.1有下列情形之一的，发包人有权解除合同，亦有权兑付履约担保，并对承包人做清退出场处理</w:t>
      </w:r>
      <w:r>
        <w:rPr>
          <w:rFonts w:hint="eastAsia" w:ascii="宋体" w:hAnsi="宋体"/>
          <w:color w:val="auto"/>
          <w:kern w:val="0"/>
          <w:szCs w:val="21"/>
        </w:rPr>
        <w:t>：</w:t>
      </w:r>
    </w:p>
    <w:p w14:paraId="07846F82">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（1）因承包人原因造成较大及以上等级生产安全事故或工程质量事故的；</w:t>
      </w:r>
    </w:p>
    <w:p w14:paraId="0C9EC5D0">
      <w:pPr>
        <w:spacing w:line="360" w:lineRule="auto"/>
        <w:ind w:right="140" w:rightChars="50" w:firstLine="560" w:firstLineChars="200"/>
        <w:jc w:val="left"/>
        <w:rPr>
          <w:rFonts w:ascii="宋体" w:hAnsi="宋体"/>
          <w:color w:val="auto"/>
          <w:kern w:val="0"/>
          <w:szCs w:val="21"/>
        </w:rPr>
      </w:pPr>
      <w:r>
        <w:rPr>
          <w:rFonts w:hint="eastAsia" w:ascii="宋体" w:hAnsi="宋体"/>
          <w:color w:val="auto"/>
          <w:kern w:val="0"/>
          <w:szCs w:val="21"/>
        </w:rPr>
        <w:t>（2）因承包人债权债务纠纷或其他纠纷导致工程无法正常施工的。</w:t>
      </w:r>
    </w:p>
    <w:p w14:paraId="33A3F280">
      <w:pPr>
        <w:spacing w:line="360" w:lineRule="auto"/>
        <w:ind w:right="140" w:rightChars="50" w:firstLine="560" w:firstLineChars="200"/>
        <w:jc w:val="left"/>
        <w:rPr>
          <w:rFonts w:ascii="宋体" w:hAnsi="宋体"/>
          <w:color w:val="auto"/>
          <w:szCs w:val="21"/>
        </w:rPr>
      </w:pPr>
      <w:r>
        <w:rPr>
          <w:rFonts w:hint="eastAsia" w:ascii="宋体" w:hAnsi="宋体"/>
          <w:color w:val="auto"/>
          <w:kern w:val="0"/>
          <w:szCs w:val="21"/>
        </w:rPr>
        <w:t>（3）</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w:t>
      </w:r>
      <w:r>
        <w:rPr>
          <w:rFonts w:hint="eastAsia" w:ascii="宋体" w:hAnsi="宋体"/>
          <w:color w:val="auto"/>
          <w:kern w:val="0"/>
          <w:szCs w:val="21"/>
          <w:u w:val="single"/>
        </w:rPr>
        <w:t xml:space="preserve">  </w:t>
      </w:r>
      <w:r>
        <w:rPr>
          <w:rFonts w:hint="eastAsia" w:ascii="宋体" w:hAnsi="宋体"/>
          <w:color w:val="auto"/>
          <w:kern w:val="0"/>
          <w:szCs w:val="21"/>
        </w:rPr>
        <w:t>。</w:t>
      </w:r>
    </w:p>
    <w:p w14:paraId="78A8AE87">
      <w:pPr>
        <w:spacing w:line="360" w:lineRule="auto"/>
        <w:ind w:right="140" w:rightChars="50" w:firstLine="56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21.1.2有下列情形之一的，承包人有权解除合同，并按16.1.4约定执行：</w:t>
      </w:r>
    </w:p>
    <w:p w14:paraId="04D4073D">
      <w:pPr>
        <w:spacing w:line="360" w:lineRule="auto"/>
        <w:ind w:right="140" w:rightChars="50" w:firstLine="56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（1）因发包人征地、拆迁、补偿、审批手续等原因致使本工程延期开工超过90天的。</w:t>
      </w:r>
    </w:p>
    <w:p w14:paraId="7FDB541B">
      <w:pPr>
        <w:spacing w:line="360" w:lineRule="auto"/>
        <w:ind w:right="140" w:rightChars="50" w:firstLine="560" w:firstLineChars="200"/>
        <w:jc w:val="left"/>
        <w:rPr>
          <w:rFonts w:hint="eastAsia" w:ascii="宋体" w:hAnsi="宋体"/>
          <w:color w:val="auto"/>
          <w:kern w:val="0"/>
          <w:szCs w:val="21"/>
        </w:rPr>
      </w:pPr>
      <w:r>
        <w:rPr>
          <w:rFonts w:hint="eastAsia" w:ascii="宋体" w:hAnsi="宋体"/>
          <w:color w:val="auto"/>
          <w:kern w:val="0"/>
          <w:szCs w:val="21"/>
        </w:rPr>
        <w:t>（2）</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w:t>
      </w:r>
      <w:r>
        <w:rPr>
          <w:rFonts w:hint="eastAsia" w:ascii="宋体" w:hAnsi="宋体"/>
          <w:color w:val="auto"/>
          <w:kern w:val="0"/>
          <w:szCs w:val="21"/>
          <w:u w:val="single"/>
        </w:rPr>
        <w:t xml:space="preserve">  </w:t>
      </w:r>
      <w:r>
        <w:rPr>
          <w:rFonts w:hint="eastAsia" w:ascii="宋体" w:hAnsi="宋体"/>
          <w:color w:val="auto"/>
          <w:kern w:val="0"/>
          <w:szCs w:val="21"/>
        </w:rPr>
        <w:t>。</w:t>
      </w:r>
    </w:p>
    <w:p w14:paraId="0E04D9E2">
      <w:pPr>
        <w:spacing w:line="360" w:lineRule="auto"/>
        <w:ind w:right="140" w:rightChars="50" w:firstLine="56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21.1.3</w:t>
      </w:r>
      <w:r>
        <w:rPr>
          <w:rFonts w:hint="eastAsia" w:ascii="宋体" w:hAnsi="宋体" w:eastAsia="宋体" w:cs="Times New Roman"/>
          <w:color w:val="auto"/>
          <w:szCs w:val="21"/>
        </w:rPr>
        <w:t>安全生产</w:t>
      </w:r>
    </w:p>
    <w:p w14:paraId="005813CA">
      <w:pPr>
        <w:spacing w:line="360" w:lineRule="auto"/>
        <w:ind w:right="140" w:rightChars="50" w:firstLine="56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（一）承包人应负责施工安全（包含但不仅限于施工现场及施工周边的施工人身安全、行人安全等），若发生一切安全事故和经济损失，责任由承包人全部承担，</w:t>
      </w:r>
      <w:r>
        <w:rPr>
          <w:rFonts w:hint="eastAsia" w:ascii="宋体" w:hAnsi="宋体" w:eastAsia="宋体" w:cs="Times New Roman"/>
          <w:color w:val="auto"/>
          <w:szCs w:val="21"/>
          <w:lang w:eastAsia="zh-CN"/>
        </w:rPr>
        <w:t>发包人</w:t>
      </w:r>
      <w:r>
        <w:rPr>
          <w:rFonts w:hint="eastAsia" w:ascii="宋体" w:hAnsi="宋体" w:eastAsia="宋体" w:cs="Times New Roman"/>
          <w:color w:val="auto"/>
          <w:szCs w:val="21"/>
        </w:rPr>
        <w:t>不承担任何责任。</w:t>
      </w:r>
    </w:p>
    <w:p w14:paraId="41E54582">
      <w:pPr>
        <w:spacing w:line="360" w:lineRule="auto"/>
        <w:ind w:right="140" w:rightChars="50" w:firstLine="56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（二）在施工过程中，</w:t>
      </w:r>
      <w:r>
        <w:rPr>
          <w:rFonts w:hint="eastAsia" w:ascii="宋体" w:hAnsi="宋体" w:eastAsia="宋体" w:cs="Times New Roman"/>
          <w:color w:val="auto"/>
          <w:szCs w:val="21"/>
          <w:lang w:val="en-US" w:eastAsia="zh-CN"/>
        </w:rPr>
        <w:t>承包人</w:t>
      </w:r>
      <w:r>
        <w:rPr>
          <w:rFonts w:hint="eastAsia" w:ascii="宋体" w:hAnsi="宋体" w:eastAsia="宋体" w:cs="Times New Roman"/>
          <w:color w:val="auto"/>
          <w:szCs w:val="21"/>
        </w:rPr>
        <w:t>须做到安全施工、文明施工，并做好相应的施工安全公告及警戒标识，施工过程中发生的一切安全事故由承包人自行负责处理。承包人应当与其施工人员建立劳动关系，承担全部用人用工主体责任。</w:t>
      </w:r>
    </w:p>
    <w:p w14:paraId="13298FD8">
      <w:pPr>
        <w:spacing w:line="360" w:lineRule="auto"/>
        <w:ind w:right="140" w:rightChars="50" w:firstLine="56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三</w:t>
      </w:r>
      <w:r>
        <w:rPr>
          <w:rFonts w:hint="eastAsia" w:ascii="宋体" w:hAnsi="宋体" w:eastAsia="宋体" w:cs="Times New Roman"/>
          <w:color w:val="auto"/>
          <w:szCs w:val="21"/>
          <w:lang w:eastAsia="zh-CN"/>
        </w:rPr>
        <w:t>）在施工期间，本项目所派项目经理、技术负责人、安全员、施工员、每天早晚须到甲方办公室签到。在岗时间每月不低于20天，确有特殊情况需向</w:t>
      </w:r>
      <w:r>
        <w:rPr>
          <w:rFonts w:hint="eastAsia" w:ascii="宋体" w:hAnsi="宋体" w:eastAsia="宋体" w:cs="Times New Roman"/>
          <w:color w:val="auto"/>
          <w:szCs w:val="21"/>
          <w:lang w:val="en-US" w:eastAsia="zh-CN"/>
        </w:rPr>
        <w:t>发包人</w:t>
      </w:r>
      <w:r>
        <w:rPr>
          <w:rFonts w:hint="eastAsia" w:ascii="宋体" w:hAnsi="宋体" w:eastAsia="宋体" w:cs="Times New Roman"/>
          <w:color w:val="auto"/>
          <w:szCs w:val="21"/>
          <w:lang w:eastAsia="zh-CN"/>
        </w:rPr>
        <w:t>书面请假，并经</w:t>
      </w:r>
      <w:r>
        <w:rPr>
          <w:rFonts w:hint="eastAsia" w:ascii="宋体" w:hAnsi="宋体" w:eastAsia="宋体" w:cs="Times New Roman"/>
          <w:color w:val="auto"/>
          <w:szCs w:val="21"/>
          <w:lang w:val="en-US" w:eastAsia="zh-CN"/>
        </w:rPr>
        <w:t>发包人</w:t>
      </w:r>
      <w:r>
        <w:rPr>
          <w:rFonts w:hint="eastAsia" w:ascii="宋体" w:hAnsi="宋体" w:eastAsia="宋体" w:cs="Times New Roman"/>
          <w:color w:val="auto"/>
          <w:szCs w:val="21"/>
          <w:lang w:eastAsia="zh-CN"/>
        </w:rPr>
        <w:t>同意。项目经理与施工员不能同时请假，至少应保持1人在现场，施工期间必须保证至少有一名安全员在现场履职。未按要求到岗履职的每发现一次，按500元/天·次计算违约金。</w:t>
      </w:r>
    </w:p>
    <w:p w14:paraId="0F54062B">
      <w:pPr>
        <w:spacing w:line="360" w:lineRule="auto"/>
        <w:ind w:right="140" w:rightChars="50" w:firstLine="56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四</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承包人</w:t>
      </w:r>
      <w:r>
        <w:rPr>
          <w:rFonts w:hint="eastAsia" w:ascii="宋体" w:hAnsi="宋体" w:eastAsia="宋体" w:cs="Times New Roman"/>
          <w:color w:val="auto"/>
          <w:szCs w:val="21"/>
          <w:lang w:eastAsia="zh-CN"/>
        </w:rPr>
        <w:t xml:space="preserve">在项目工期内，需全天委派施工员、安全员到施工现场，进行管理和督导。  </w:t>
      </w:r>
    </w:p>
    <w:p w14:paraId="1060BE8B">
      <w:pPr>
        <w:spacing w:line="360" w:lineRule="auto"/>
        <w:ind w:right="140" w:rightChars="50" w:firstLine="56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五</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承包人</w:t>
      </w:r>
      <w:r>
        <w:rPr>
          <w:rFonts w:hint="eastAsia" w:ascii="宋体" w:hAnsi="宋体" w:eastAsia="宋体" w:cs="Times New Roman"/>
          <w:color w:val="auto"/>
          <w:szCs w:val="21"/>
          <w:lang w:eastAsia="zh-CN"/>
        </w:rPr>
        <w:t>需按照国家相关规定，对相关人员购买相关保险。</w:t>
      </w:r>
    </w:p>
    <w:p w14:paraId="65134F70">
      <w:pPr>
        <w:spacing w:line="360" w:lineRule="auto"/>
        <w:ind w:right="140" w:rightChars="50" w:firstLine="56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21.1.4</w:t>
      </w:r>
      <w:r>
        <w:rPr>
          <w:rFonts w:hint="eastAsia" w:ascii="宋体" w:hAnsi="宋体" w:eastAsia="宋体" w:cs="Times New Roman"/>
          <w:color w:val="auto"/>
          <w:szCs w:val="21"/>
        </w:rPr>
        <w:t>安全措施</w:t>
      </w:r>
    </w:p>
    <w:p w14:paraId="206093BA">
      <w:pPr>
        <w:spacing w:line="360" w:lineRule="auto"/>
        <w:ind w:right="140" w:rightChars="50" w:firstLine="56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（一）本项目施工需符合国家、地方、行业各项规范，且</w:t>
      </w:r>
      <w:r>
        <w:rPr>
          <w:rFonts w:hint="eastAsia" w:ascii="宋体" w:hAnsi="宋体" w:eastAsia="宋体" w:cs="Times New Roman"/>
          <w:color w:val="auto"/>
          <w:szCs w:val="21"/>
          <w:lang w:val="en-US" w:eastAsia="zh-CN"/>
        </w:rPr>
        <w:t>承包人</w:t>
      </w:r>
      <w:r>
        <w:rPr>
          <w:rFonts w:hint="eastAsia" w:ascii="宋体" w:hAnsi="宋体" w:eastAsia="宋体" w:cs="Times New Roman"/>
          <w:color w:val="auto"/>
          <w:szCs w:val="21"/>
        </w:rPr>
        <w:t>需制定专门安全措施方案。</w:t>
      </w:r>
    </w:p>
    <w:p w14:paraId="2CC03BD0">
      <w:pPr>
        <w:spacing w:line="360" w:lineRule="auto"/>
        <w:ind w:right="140" w:rightChars="50" w:firstLine="56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（二）建立定期的安全活动制度，班组每天进行班前、班后的安全检查及时清除不安全隐患，根据施工实际情况，提出安全生产措施，及时解决安全生产上存在的各种问题，协助解决安全生产中的疑难问题。</w:t>
      </w:r>
    </w:p>
    <w:p w14:paraId="52455DAC">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p>
    <w:p w14:paraId="4780F3DB">
      <w:pPr>
        <w:pStyle w:val="23"/>
        <w:rPr>
          <w:rFonts w:hint="default" w:eastAsia="仿宋_GB2312"/>
          <w:color w:val="auto"/>
          <w:lang w:val="en-US" w:eastAsia="zh-CN"/>
        </w:rPr>
      </w:pPr>
    </w:p>
    <w:p w14:paraId="0A0614F1">
      <w:pPr>
        <w:pStyle w:val="7"/>
        <w:spacing w:before="0" w:beforeAutospacing="0" w:after="0" w:afterAutospacing="0" w:line="360" w:lineRule="auto"/>
        <w:ind w:firstLine="422" w:firstLineChars="200"/>
        <w:rPr>
          <w:color w:val="auto"/>
          <w:sz w:val="21"/>
          <w:szCs w:val="21"/>
        </w:rPr>
      </w:pPr>
      <w:bookmarkStart w:id="1571" w:name="_Toc532377424"/>
      <w:bookmarkStart w:id="1572" w:name="_Toc532375685"/>
      <w:r>
        <w:rPr>
          <w:rFonts w:hint="eastAsia"/>
          <w:color w:val="auto"/>
          <w:sz w:val="21"/>
          <w:szCs w:val="21"/>
        </w:rPr>
        <w:t>21.2智慧工地</w:t>
      </w:r>
      <w:bookmarkEnd w:id="1571"/>
      <w:bookmarkEnd w:id="1572"/>
    </w:p>
    <w:p w14:paraId="7B4CDA93">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工地建设可参照重庆市城乡建设委员会《关于印发“智慧工地”建设工作方案的通知》（渝建〔2017〕414号）的相关要求建设。</w:t>
      </w:r>
      <w:bookmarkEnd w:id="1513"/>
    </w:p>
    <w:p w14:paraId="7C9EE88A">
      <w:pPr>
        <w:pStyle w:val="7"/>
        <w:spacing w:before="0" w:beforeAutospacing="0" w:after="0" w:afterAutospacing="0" w:line="360" w:lineRule="auto"/>
        <w:ind w:firstLine="422" w:firstLineChars="200"/>
        <w:rPr>
          <w:rFonts w:hint="eastAsia"/>
          <w:color w:val="auto"/>
          <w:sz w:val="21"/>
          <w:szCs w:val="21"/>
        </w:rPr>
      </w:pPr>
      <w:r>
        <w:rPr>
          <w:rFonts w:hint="eastAsia"/>
          <w:color w:val="auto"/>
          <w:sz w:val="21"/>
          <w:szCs w:val="21"/>
        </w:rPr>
        <w:t>21.3 审计费</w:t>
      </w:r>
    </w:p>
    <w:p w14:paraId="13183E9F">
      <w:pPr>
        <w:spacing w:line="360" w:lineRule="auto"/>
        <w:ind w:right="140" w:rightChars="50" w:firstLine="560" w:firstLineChars="200"/>
        <w:jc w:val="left"/>
        <w:rPr>
          <w:rFonts w:hint="eastAsia" w:ascii="宋体" w:hAnsi="宋体" w:cs="Times New Roman"/>
          <w:color w:val="auto"/>
          <w:szCs w:val="21"/>
          <w:u w:val="single"/>
        </w:rPr>
      </w:pPr>
      <w:r>
        <w:rPr>
          <w:rFonts w:hint="eastAsia" w:ascii="宋体" w:hAnsi="宋体" w:cs="Times New Roman"/>
          <w:color w:val="auto"/>
          <w:szCs w:val="21"/>
          <w:u w:val="single"/>
        </w:rPr>
        <w:t>如果送审结算价与审定结算价相比，审减率在5%以内（含5%），由发包人支付基本审计费用和审减效益费；若审减率在5%以上时，基本审计费和所有审减金额的效益费由承包人承担。如出现审增的情况，无论审增率为多少，则基本审计费和所有审减金额的效益费由承包人承担。</w:t>
      </w:r>
    </w:p>
    <w:p w14:paraId="2356F16C">
      <w:pPr>
        <w:pStyle w:val="6"/>
        <w:keepNext/>
        <w:keepLines/>
        <w:spacing w:before="156" w:beforeLines="50" w:beforeAutospacing="0" w:after="156" w:afterLines="50" w:afterAutospacing="0" w:line="360" w:lineRule="auto"/>
        <w:ind w:firstLine="422" w:firstLineChars="200"/>
        <w:jc w:val="both"/>
        <w:rPr>
          <w:bCs w:val="0"/>
          <w:color w:val="auto"/>
          <w:kern w:val="2"/>
          <w:sz w:val="21"/>
          <w:szCs w:val="21"/>
        </w:rPr>
      </w:pPr>
      <w:bookmarkStart w:id="1573" w:name="baidusnap7"/>
      <w:bookmarkEnd w:id="1573"/>
      <w:bookmarkStart w:id="1574" w:name="baidusnap3"/>
      <w:bookmarkEnd w:id="1574"/>
      <w:bookmarkStart w:id="1575" w:name="_Toc532375686"/>
      <w:bookmarkStart w:id="1576" w:name="_Toc532377425"/>
      <w:bookmarkStart w:id="1577" w:name="_Toc351203652"/>
      <w:r>
        <w:rPr>
          <w:rFonts w:hint="eastAsia"/>
          <w:color w:val="auto"/>
          <w:kern w:val="2"/>
          <w:sz w:val="21"/>
          <w:szCs w:val="21"/>
        </w:rPr>
        <w:t>22. 合同附件</w:t>
      </w:r>
      <w:bookmarkEnd w:id="1575"/>
      <w:bookmarkEnd w:id="1576"/>
    </w:p>
    <w:p w14:paraId="68D968FD">
      <w:pPr>
        <w:spacing w:line="360" w:lineRule="auto"/>
        <w:ind w:right="140" w:rightChars="50" w:firstLine="560" w:firstLineChars="200"/>
        <w:jc w:val="left"/>
        <w:rPr>
          <w:rFonts w:ascii="宋体" w:hAnsi="宋体"/>
          <w:color w:val="auto"/>
        </w:rPr>
      </w:pPr>
      <w:r>
        <w:rPr>
          <w:rFonts w:hint="eastAsia" w:ascii="宋体" w:hAnsi="宋体"/>
          <w:color w:val="auto"/>
        </w:rPr>
        <w:t>以下附件是本合同的有效组成部分：</w:t>
      </w:r>
    </w:p>
    <w:p w14:paraId="637FE2AA">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附件1：工程质量保修书</w:t>
      </w:r>
    </w:p>
    <w:p w14:paraId="5840083F">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附件2：承包人项目管理机构组成表</w:t>
      </w:r>
    </w:p>
    <w:p w14:paraId="0568A429">
      <w:pPr>
        <w:spacing w:line="360" w:lineRule="auto"/>
        <w:ind w:right="140" w:rightChars="50" w:firstLine="560" w:firstLineChars="200"/>
        <w:jc w:val="left"/>
        <w:rPr>
          <w:rFonts w:hint="default" w:ascii="宋体" w:hAnsi="宋体" w:eastAsia="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val="en-US" w:eastAsia="zh-CN"/>
        </w:rPr>
        <w:t>廉政合同</w:t>
      </w:r>
    </w:p>
    <w:p w14:paraId="01770198">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4</w:t>
      </w:r>
      <w:r>
        <w:rPr>
          <w:rFonts w:hint="eastAsia" w:ascii="宋体" w:hAnsi="宋体"/>
          <w:color w:val="auto"/>
          <w:szCs w:val="21"/>
        </w:rPr>
        <w:t>：安全管理协议</w:t>
      </w:r>
    </w:p>
    <w:p w14:paraId="6510C471">
      <w:pPr>
        <w:spacing w:line="360" w:lineRule="auto"/>
        <w:ind w:right="140" w:rightChars="50" w:firstLine="560" w:firstLineChars="200"/>
        <w:jc w:val="left"/>
        <w:rPr>
          <w:rFonts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5</w:t>
      </w:r>
      <w:r>
        <w:rPr>
          <w:rFonts w:hint="eastAsia" w:ascii="宋体" w:hAnsi="宋体"/>
          <w:color w:val="auto"/>
          <w:szCs w:val="21"/>
        </w:rPr>
        <w:t>：保障农民工工资支付协议</w:t>
      </w:r>
    </w:p>
    <w:bookmarkEnd w:id="1577"/>
    <w:p w14:paraId="377B3760">
      <w:pPr>
        <w:spacing w:line="360" w:lineRule="auto"/>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w:t>
      </w:r>
      <w:bookmarkStart w:id="1578" w:name="_Toc296891266"/>
      <w:bookmarkStart w:id="1579" w:name="_Toc296503226"/>
      <w:bookmarkStart w:id="1580" w:name="_Toc296891054"/>
      <w:bookmarkStart w:id="1581" w:name="_Toc296347225"/>
      <w:bookmarkStart w:id="1582" w:name="_Toc267261693"/>
      <w:bookmarkStart w:id="1583" w:name="_Toc296944565"/>
      <w:bookmarkStart w:id="1584" w:name="_Toc296346727"/>
      <w:r>
        <w:rPr>
          <w:rFonts w:hint="eastAsia" w:ascii="宋体" w:hAnsi="宋体"/>
          <w:color w:val="auto"/>
          <w:szCs w:val="21"/>
        </w:rPr>
        <w:t>件1：</w:t>
      </w:r>
      <w:bookmarkEnd w:id="1578"/>
      <w:bookmarkEnd w:id="1579"/>
      <w:bookmarkEnd w:id="1580"/>
      <w:bookmarkEnd w:id="1581"/>
      <w:bookmarkEnd w:id="1582"/>
      <w:bookmarkEnd w:id="1583"/>
      <w:bookmarkEnd w:id="1584"/>
    </w:p>
    <w:p w14:paraId="3D05053B">
      <w:pPr>
        <w:spacing w:before="156" w:beforeLines="50" w:after="156" w:afterLines="50" w:line="360" w:lineRule="auto"/>
        <w:jc w:val="center"/>
        <w:rPr>
          <w:rFonts w:ascii="宋体" w:hAnsi="宋体"/>
          <w:color w:val="auto"/>
          <w:szCs w:val="21"/>
        </w:rPr>
      </w:pPr>
      <w:r>
        <w:rPr>
          <w:rFonts w:hint="eastAsia" w:ascii="宋体" w:hAnsi="宋体"/>
          <w:color w:val="auto"/>
          <w:szCs w:val="21"/>
        </w:rPr>
        <w:t>工程质量保修书</w:t>
      </w:r>
    </w:p>
    <w:p w14:paraId="50A2893A">
      <w:pPr>
        <w:snapToGrid w:val="0"/>
        <w:spacing w:line="360" w:lineRule="auto"/>
        <w:ind w:firstLine="562" w:firstLineChars="200"/>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w:t>
      </w:r>
      <w:r>
        <w:rPr>
          <w:rFonts w:hint="eastAsia" w:ascii="宋体" w:hAnsi="宋体"/>
          <w:color w:val="auto"/>
          <w:szCs w:val="21"/>
          <w:u w:val="single"/>
          <w:lang w:eastAsia="zh-CN"/>
        </w:rPr>
        <w:t>重庆新翔源鞋业有限责任公司</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3610408">
      <w:pPr>
        <w:snapToGrid w:val="0"/>
        <w:spacing w:line="360" w:lineRule="auto"/>
        <w:ind w:firstLine="562" w:firstLineChars="200"/>
        <w:rPr>
          <w:rFonts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w:t>
      </w:r>
      <w:r>
        <w:rPr>
          <w:rFonts w:hint="eastAsia" w:ascii="宋体" w:hAnsi="宋体" w:cs="Times New Roman"/>
          <w:color w:val="auto"/>
          <w:szCs w:val="21"/>
          <w:u w:val="single"/>
          <w:lang w:val="en-US" w:eastAsia="zh-CN"/>
        </w:rPr>
        <w:t xml:space="preserve"> </w:t>
      </w:r>
      <w:r>
        <w:rPr>
          <w:rFonts w:hint="eastAsia" w:ascii="宋体" w:hAnsi="宋体"/>
          <w:color w:val="auto"/>
          <w:szCs w:val="21"/>
          <w:u w:val="single"/>
        </w:rPr>
        <w:t xml:space="preserve">       </w:t>
      </w:r>
    </w:p>
    <w:p w14:paraId="4D8AF926">
      <w:pPr>
        <w:spacing w:line="360" w:lineRule="auto"/>
        <w:ind w:firstLine="560" w:firstLineChars="200"/>
        <w:rPr>
          <w:rFonts w:ascii="宋体" w:hAnsi="宋体"/>
          <w:color w:val="auto"/>
          <w:szCs w:val="21"/>
        </w:rPr>
      </w:pPr>
      <w:r>
        <w:rPr>
          <w:rFonts w:hint="eastAsia" w:ascii="宋体" w:hAnsi="宋体"/>
          <w:color w:val="auto"/>
          <w:szCs w:val="21"/>
        </w:rPr>
        <w:t>发包人和承包人根据《中华人民共和国建筑法》和《建设工程质量管理条例》，经协商一致就</w:t>
      </w:r>
    </w:p>
    <w:p w14:paraId="33A99B4C">
      <w:pPr>
        <w:spacing w:line="360" w:lineRule="auto"/>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（工程全称）签订工程质量保修书。</w:t>
      </w:r>
    </w:p>
    <w:p w14:paraId="2BA77EDB">
      <w:pPr>
        <w:spacing w:line="360" w:lineRule="auto"/>
        <w:ind w:firstLine="560" w:firstLineChars="200"/>
        <w:rPr>
          <w:rFonts w:ascii="宋体" w:hAnsi="宋体"/>
          <w:color w:val="auto"/>
          <w:szCs w:val="21"/>
        </w:rPr>
      </w:pPr>
      <w:bookmarkStart w:id="1585" w:name="_Toc532375687"/>
      <w:r>
        <w:rPr>
          <w:rFonts w:hint="eastAsia" w:ascii="宋体" w:hAnsi="宋体"/>
          <w:color w:val="auto"/>
          <w:szCs w:val="21"/>
        </w:rPr>
        <w:t>一、工程质量保修范围和内容</w:t>
      </w:r>
      <w:bookmarkEnd w:id="1585"/>
    </w:p>
    <w:p w14:paraId="119BA663">
      <w:pPr>
        <w:spacing w:line="360" w:lineRule="auto"/>
        <w:ind w:firstLine="560" w:firstLineChars="200"/>
        <w:rPr>
          <w:rFonts w:ascii="宋体" w:hAnsi="宋体"/>
          <w:color w:val="auto"/>
          <w:szCs w:val="21"/>
        </w:rPr>
      </w:pPr>
      <w:r>
        <w:rPr>
          <w:rFonts w:hint="eastAsia" w:ascii="宋体" w:hAnsi="宋体"/>
          <w:color w:val="auto"/>
          <w:szCs w:val="21"/>
        </w:rPr>
        <w:t>承包人在质量保修期内，按照有关法律规定和合同约定，承担工程质量保修责任。</w:t>
      </w:r>
    </w:p>
    <w:p w14:paraId="193CAF80">
      <w:pPr>
        <w:spacing w:line="360" w:lineRule="auto"/>
        <w:ind w:firstLine="560" w:firstLineChars="200"/>
        <w:rPr>
          <w:rFonts w:ascii="宋体" w:hAnsi="宋体"/>
          <w:color w:val="auto"/>
          <w:szCs w:val="21"/>
        </w:rPr>
      </w:pPr>
      <w:r>
        <w:rPr>
          <w:rFonts w:hint="eastAsia" w:ascii="宋体" w:hAnsi="宋体"/>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212DFCD">
      <w:pPr>
        <w:spacing w:line="360" w:lineRule="auto"/>
        <w:ind w:firstLine="560" w:firstLineChars="200"/>
        <w:rPr>
          <w:rFonts w:ascii="宋体" w:hAnsi="宋体"/>
          <w:color w:val="auto"/>
          <w:szCs w:val="21"/>
        </w:rPr>
      </w:pPr>
      <w:r>
        <w:rPr>
          <w:rFonts w:hint="eastAsia" w:ascii="宋体" w:hAnsi="宋体"/>
          <w:color w:val="auto"/>
          <w:szCs w:val="21"/>
        </w:rPr>
        <w:t>承包人承包范围内容均属质量保修范围内容；其中：</w:t>
      </w:r>
    </w:p>
    <w:p w14:paraId="1B5808BD">
      <w:pPr>
        <w:spacing w:line="360" w:lineRule="auto"/>
        <w:ind w:firstLine="560" w:firstLineChars="200"/>
        <w:rPr>
          <w:rFonts w:ascii="宋体" w:hAnsi="宋体"/>
          <w:color w:val="auto"/>
          <w:szCs w:val="21"/>
        </w:rPr>
      </w:pPr>
      <w:r>
        <w:rPr>
          <w:rFonts w:hint="eastAsia" w:ascii="宋体" w:hAnsi="宋体"/>
          <w:color w:val="auto"/>
          <w:szCs w:val="21"/>
        </w:rPr>
        <w:t>1.属于设计原因造成的质量问题，承包人负责维修，不留隐患，费用由发包人承担；</w:t>
      </w:r>
    </w:p>
    <w:p w14:paraId="6CF2C36E">
      <w:pPr>
        <w:spacing w:line="360" w:lineRule="auto"/>
        <w:ind w:firstLine="560" w:firstLineChars="200"/>
        <w:rPr>
          <w:rFonts w:ascii="宋体" w:hAnsi="宋体"/>
          <w:color w:val="auto"/>
          <w:szCs w:val="21"/>
        </w:rPr>
      </w:pPr>
      <w:r>
        <w:rPr>
          <w:rFonts w:hint="eastAsia" w:ascii="宋体" w:hAnsi="宋体"/>
          <w:color w:val="auto"/>
          <w:szCs w:val="21"/>
        </w:rPr>
        <w:t>2.属于施工造成的质量问题，承包人负责维修，不留隐患；</w:t>
      </w:r>
    </w:p>
    <w:p w14:paraId="312BBFBE">
      <w:pPr>
        <w:spacing w:line="360" w:lineRule="auto"/>
        <w:ind w:firstLine="560" w:firstLineChars="200"/>
        <w:rPr>
          <w:rFonts w:ascii="宋体" w:hAnsi="宋体"/>
          <w:color w:val="auto"/>
          <w:szCs w:val="21"/>
        </w:rPr>
      </w:pPr>
      <w:r>
        <w:rPr>
          <w:rFonts w:hint="eastAsia" w:ascii="宋体" w:hAnsi="宋体"/>
          <w:color w:val="auto"/>
          <w:szCs w:val="21"/>
        </w:rPr>
        <w:t>3.属于业主使用不当造成的质量问题，配合抢修，费用由发包人承担。</w:t>
      </w:r>
    </w:p>
    <w:p w14:paraId="3B8F3963">
      <w:pPr>
        <w:spacing w:line="360" w:lineRule="auto"/>
        <w:ind w:firstLine="560" w:firstLineChars="200"/>
        <w:rPr>
          <w:rFonts w:ascii="宋体" w:hAnsi="宋体"/>
          <w:color w:val="auto"/>
          <w:szCs w:val="21"/>
        </w:rPr>
      </w:pPr>
      <w:bookmarkStart w:id="1586" w:name="_Toc532375688"/>
      <w:r>
        <w:rPr>
          <w:rFonts w:hint="eastAsia" w:ascii="宋体" w:hAnsi="宋体"/>
          <w:color w:val="auto"/>
          <w:szCs w:val="21"/>
        </w:rPr>
        <w:t>二、质量保修期</w:t>
      </w:r>
      <w:bookmarkEnd w:id="1586"/>
    </w:p>
    <w:p w14:paraId="6FDC381E">
      <w:pPr>
        <w:spacing w:line="360" w:lineRule="auto"/>
        <w:ind w:firstLine="560" w:firstLineChars="200"/>
        <w:rPr>
          <w:rFonts w:ascii="宋体" w:hAnsi="宋体"/>
          <w:color w:val="auto"/>
          <w:szCs w:val="21"/>
        </w:rPr>
      </w:pPr>
      <w:r>
        <w:rPr>
          <w:rFonts w:hint="eastAsia" w:ascii="宋体" w:hAnsi="宋体"/>
          <w:color w:val="auto"/>
          <w:szCs w:val="21"/>
        </w:rPr>
        <w:t>根据《建设工程质量管理条例》及有关规定，本工程质量保修期约定如下：</w:t>
      </w:r>
    </w:p>
    <w:p w14:paraId="68842E80">
      <w:pPr>
        <w:spacing w:line="360" w:lineRule="auto"/>
        <w:ind w:firstLine="560" w:firstLineChars="200"/>
        <w:rPr>
          <w:rFonts w:ascii="宋体" w:hAnsi="宋体"/>
          <w:color w:val="auto"/>
          <w:szCs w:val="21"/>
        </w:rPr>
      </w:pPr>
      <w:r>
        <w:rPr>
          <w:rFonts w:hint="eastAsia" w:ascii="宋体" w:hAnsi="宋体"/>
          <w:color w:val="auto"/>
          <w:szCs w:val="21"/>
        </w:rPr>
        <w:t>1.基础设施工程、房屋建筑的地基基础工程和主体结构工程，为设计文件规定的该工程的合理使用年限；</w:t>
      </w:r>
    </w:p>
    <w:p w14:paraId="7EAFA9C5">
      <w:pPr>
        <w:spacing w:line="360" w:lineRule="auto"/>
        <w:ind w:firstLine="560" w:firstLineChars="200"/>
        <w:rPr>
          <w:rFonts w:ascii="宋体" w:hAnsi="宋体"/>
          <w:color w:val="auto"/>
          <w:szCs w:val="21"/>
        </w:rPr>
      </w:pPr>
      <w:r>
        <w:rPr>
          <w:rFonts w:hint="eastAsia" w:ascii="宋体" w:hAnsi="宋体"/>
          <w:color w:val="auto"/>
          <w:szCs w:val="21"/>
        </w:rPr>
        <w:t>2.屋面防水工程、有防水要求的卫生间、房间和外墙面的防渗漏，为5年；</w:t>
      </w:r>
    </w:p>
    <w:p w14:paraId="085D479C">
      <w:pPr>
        <w:spacing w:line="360" w:lineRule="auto"/>
        <w:ind w:firstLine="560" w:firstLineChars="200"/>
        <w:rPr>
          <w:rFonts w:ascii="宋体" w:hAnsi="宋体"/>
          <w:color w:val="auto"/>
          <w:szCs w:val="21"/>
        </w:rPr>
      </w:pPr>
      <w:r>
        <w:rPr>
          <w:rFonts w:hint="eastAsia" w:ascii="宋体" w:hAnsi="宋体"/>
          <w:color w:val="auto"/>
          <w:szCs w:val="21"/>
        </w:rPr>
        <w:t>3.供热与供冷系统，为2个采暖期、供冷期；</w:t>
      </w:r>
    </w:p>
    <w:p w14:paraId="0DCE7432">
      <w:pPr>
        <w:spacing w:line="360" w:lineRule="auto"/>
        <w:ind w:firstLine="560" w:firstLineChars="200"/>
        <w:rPr>
          <w:rFonts w:ascii="宋体" w:hAnsi="宋体"/>
          <w:color w:val="auto"/>
          <w:szCs w:val="21"/>
        </w:rPr>
      </w:pPr>
      <w:r>
        <w:rPr>
          <w:rFonts w:hint="eastAsia" w:ascii="宋体" w:hAnsi="宋体"/>
          <w:color w:val="auto"/>
          <w:szCs w:val="21"/>
        </w:rPr>
        <w:t>4.电气管线、给排水管道、设备安装和装修工程，为2年；</w:t>
      </w:r>
    </w:p>
    <w:p w14:paraId="26FF2055">
      <w:pPr>
        <w:spacing w:line="360" w:lineRule="auto"/>
        <w:ind w:firstLine="560" w:firstLineChars="200"/>
        <w:rPr>
          <w:rFonts w:ascii="宋体" w:hAnsi="宋体"/>
          <w:color w:val="auto"/>
          <w:szCs w:val="21"/>
        </w:rPr>
      </w:pPr>
      <w:r>
        <w:rPr>
          <w:rFonts w:hint="eastAsia" w:ascii="宋体" w:hAnsi="宋体"/>
          <w:color w:val="auto"/>
          <w:szCs w:val="21"/>
        </w:rPr>
        <w:t>5.其他项目保修期限：2年；</w:t>
      </w:r>
      <w:r>
        <w:rPr>
          <w:rFonts w:hint="eastAsia" w:ascii="宋体" w:hAnsi="宋体"/>
          <w:i/>
          <w:color w:val="auto"/>
          <w:szCs w:val="21"/>
        </w:rPr>
        <w:t>[提示：如有不同，根据具体情况修改]</w:t>
      </w:r>
    </w:p>
    <w:p w14:paraId="2913542A">
      <w:pPr>
        <w:spacing w:line="360" w:lineRule="auto"/>
        <w:ind w:firstLine="560" w:firstLineChars="200"/>
        <w:rPr>
          <w:rFonts w:ascii="宋体" w:hAnsi="宋体"/>
          <w:color w:val="auto"/>
          <w:szCs w:val="21"/>
        </w:rPr>
      </w:pPr>
      <w:r>
        <w:rPr>
          <w:rFonts w:hint="eastAsia" w:ascii="宋体" w:hAnsi="宋体"/>
          <w:color w:val="auto"/>
          <w:szCs w:val="21"/>
        </w:rPr>
        <w:t>建设工程的保修期，自工程竣工验收合格之日起计算。</w:t>
      </w:r>
    </w:p>
    <w:p w14:paraId="17D0A6F5">
      <w:pPr>
        <w:spacing w:line="360" w:lineRule="auto"/>
        <w:ind w:firstLine="560" w:firstLineChars="200"/>
        <w:rPr>
          <w:rFonts w:ascii="宋体" w:hAnsi="宋体"/>
          <w:color w:val="auto"/>
          <w:szCs w:val="21"/>
        </w:rPr>
      </w:pPr>
      <w:bookmarkStart w:id="1587" w:name="_Toc532375689"/>
      <w:r>
        <w:rPr>
          <w:rFonts w:hint="eastAsia" w:ascii="宋体" w:hAnsi="宋体"/>
          <w:color w:val="auto"/>
          <w:szCs w:val="21"/>
        </w:rPr>
        <w:t>三、质量保修责任</w:t>
      </w:r>
      <w:bookmarkEnd w:id="1587"/>
    </w:p>
    <w:p w14:paraId="595E0D92">
      <w:pPr>
        <w:spacing w:line="360" w:lineRule="auto"/>
        <w:ind w:firstLine="560" w:firstLineChars="200"/>
        <w:rPr>
          <w:rFonts w:ascii="宋体" w:hAnsi="宋体"/>
          <w:color w:val="auto"/>
          <w:szCs w:val="21"/>
        </w:rPr>
      </w:pPr>
      <w:r>
        <w:rPr>
          <w:rFonts w:hint="eastAsia" w:ascii="宋体" w:hAnsi="宋体"/>
          <w:color w:val="auto"/>
          <w:szCs w:val="21"/>
        </w:rPr>
        <w:t>1.属于保修范围、内容的项目，承包人应当在接到保修通知之日起7天内派人保修。承包人不在约定期限内派人保修的，发包人可以委托他人修理。</w:t>
      </w:r>
    </w:p>
    <w:p w14:paraId="2137ECA2">
      <w:pPr>
        <w:spacing w:line="360" w:lineRule="auto"/>
        <w:ind w:firstLine="560" w:firstLineChars="200"/>
        <w:rPr>
          <w:rFonts w:ascii="宋体" w:hAnsi="宋体"/>
          <w:color w:val="auto"/>
          <w:szCs w:val="21"/>
        </w:rPr>
      </w:pPr>
      <w:r>
        <w:rPr>
          <w:rFonts w:hint="eastAsia" w:ascii="宋体" w:hAnsi="宋体"/>
          <w:color w:val="auto"/>
          <w:szCs w:val="21"/>
        </w:rPr>
        <w:t>2.发生紧急事故需抢修的，承包人在接到事故通知后，应当立即到达事故现场抢修。</w:t>
      </w:r>
    </w:p>
    <w:p w14:paraId="55F4208F">
      <w:pPr>
        <w:spacing w:line="360" w:lineRule="auto"/>
        <w:ind w:firstLine="560" w:firstLineChars="200"/>
        <w:rPr>
          <w:rFonts w:ascii="宋体" w:hAnsi="宋体"/>
          <w:color w:val="auto"/>
          <w:szCs w:val="21"/>
        </w:rPr>
      </w:pPr>
      <w:r>
        <w:rPr>
          <w:rFonts w:hint="eastAsia" w:ascii="宋体" w:hAnsi="宋体"/>
          <w:color w:val="auto"/>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CFFB3B7">
      <w:pPr>
        <w:spacing w:line="360" w:lineRule="auto"/>
        <w:ind w:firstLine="560" w:firstLineChars="200"/>
        <w:rPr>
          <w:rFonts w:ascii="宋体" w:hAnsi="宋体"/>
          <w:color w:val="auto"/>
          <w:szCs w:val="21"/>
        </w:rPr>
      </w:pPr>
      <w:r>
        <w:rPr>
          <w:rFonts w:hint="eastAsia" w:ascii="宋体" w:hAnsi="宋体"/>
          <w:color w:val="auto"/>
          <w:szCs w:val="21"/>
        </w:rPr>
        <w:t>4.质量保修完成后，由发包人组织验收。</w:t>
      </w:r>
    </w:p>
    <w:p w14:paraId="299F0A68">
      <w:pPr>
        <w:spacing w:line="360" w:lineRule="auto"/>
        <w:ind w:firstLine="560" w:firstLineChars="200"/>
        <w:rPr>
          <w:rFonts w:ascii="宋体" w:hAnsi="宋体"/>
          <w:color w:val="auto"/>
          <w:szCs w:val="21"/>
        </w:rPr>
      </w:pPr>
      <w:bookmarkStart w:id="1588" w:name="_Toc532375690"/>
      <w:r>
        <w:rPr>
          <w:rFonts w:hint="eastAsia" w:ascii="宋体" w:hAnsi="宋体"/>
          <w:color w:val="auto"/>
          <w:szCs w:val="21"/>
        </w:rPr>
        <w:t>四、保修费用</w:t>
      </w:r>
      <w:bookmarkEnd w:id="1588"/>
    </w:p>
    <w:p w14:paraId="301F2764">
      <w:pPr>
        <w:spacing w:line="360" w:lineRule="auto"/>
        <w:ind w:firstLine="560" w:firstLineChars="200"/>
        <w:rPr>
          <w:rFonts w:ascii="宋体" w:hAnsi="宋体"/>
          <w:color w:val="auto"/>
          <w:szCs w:val="21"/>
        </w:rPr>
      </w:pPr>
      <w:r>
        <w:rPr>
          <w:rFonts w:hint="eastAsia" w:ascii="宋体" w:hAnsi="宋体"/>
          <w:color w:val="auto"/>
          <w:szCs w:val="21"/>
        </w:rPr>
        <w:t>保修费用由质量缺陷的责任方承担。</w:t>
      </w:r>
    </w:p>
    <w:p w14:paraId="58BF7554">
      <w:pPr>
        <w:spacing w:line="360" w:lineRule="auto"/>
        <w:ind w:firstLine="560" w:firstLineChars="200"/>
        <w:rPr>
          <w:rFonts w:ascii="宋体" w:hAnsi="宋体"/>
          <w:color w:val="auto"/>
          <w:szCs w:val="21"/>
        </w:rPr>
      </w:pPr>
      <w:bookmarkStart w:id="1589" w:name="_Toc532375691"/>
      <w:r>
        <w:rPr>
          <w:rFonts w:hint="eastAsia" w:ascii="宋体" w:hAnsi="宋体"/>
          <w:color w:val="auto"/>
          <w:szCs w:val="21"/>
        </w:rPr>
        <w:t>五、双方约定的其他工程质量保修事项</w:t>
      </w:r>
    </w:p>
    <w:p w14:paraId="297D37C6">
      <w:pPr>
        <w:spacing w:line="360" w:lineRule="auto"/>
        <w:ind w:firstLine="560" w:firstLineChars="200"/>
        <w:rPr>
          <w:rFonts w:ascii="宋体" w:hAnsi="宋体"/>
          <w:color w:val="auto"/>
          <w:szCs w:val="21"/>
        </w:rPr>
      </w:pPr>
      <w:r>
        <w:rPr>
          <w:rFonts w:hint="eastAsia" w:ascii="宋体" w:hAnsi="宋体"/>
          <w:color w:val="auto"/>
          <w:szCs w:val="21"/>
          <w:u w:val="single"/>
        </w:rPr>
        <w:t>按国家相关法律和规定执行</w:t>
      </w:r>
      <w:r>
        <w:rPr>
          <w:rFonts w:hint="eastAsia" w:ascii="宋体" w:hAnsi="宋体"/>
          <w:color w:val="auto"/>
          <w:szCs w:val="21"/>
        </w:rPr>
        <w:t>。</w:t>
      </w:r>
      <w:bookmarkEnd w:id="1589"/>
    </w:p>
    <w:p w14:paraId="4F4A36C4">
      <w:pPr>
        <w:spacing w:line="360" w:lineRule="auto"/>
        <w:ind w:firstLine="560" w:firstLineChars="200"/>
        <w:rPr>
          <w:rFonts w:ascii="宋体" w:hAnsi="宋体"/>
          <w:color w:val="auto"/>
          <w:szCs w:val="21"/>
        </w:rPr>
      </w:pPr>
      <w:r>
        <w:rPr>
          <w:rFonts w:hint="eastAsia" w:ascii="宋体" w:hAnsi="宋体"/>
          <w:color w:val="auto"/>
          <w:szCs w:val="21"/>
        </w:rPr>
        <w:t>本工程质量保修书由发包人、承包人在工程竣工验收前共同签署，作为施工合同附件，其有效期限至保修期满。</w:t>
      </w:r>
    </w:p>
    <w:p w14:paraId="46263EB5">
      <w:pPr>
        <w:spacing w:line="360" w:lineRule="auto"/>
        <w:ind w:firstLine="560" w:firstLineChars="200"/>
        <w:rPr>
          <w:rFonts w:ascii="宋体" w:hAnsi="宋体"/>
          <w:color w:val="auto"/>
          <w:szCs w:val="21"/>
        </w:rPr>
      </w:pPr>
      <w:r>
        <w:rPr>
          <w:rFonts w:ascii="宋体" w:hAnsi="宋体"/>
          <w:color w:val="auto"/>
          <w:szCs w:val="21"/>
        </w:rPr>
        <w:t>六</w:t>
      </w:r>
      <w:r>
        <w:rPr>
          <w:rFonts w:hint="eastAsia" w:ascii="宋体" w:hAnsi="宋体"/>
          <w:color w:val="auto"/>
          <w:szCs w:val="21"/>
        </w:rPr>
        <w:t>、</w:t>
      </w:r>
      <w:r>
        <w:rPr>
          <w:rFonts w:ascii="宋体" w:hAnsi="宋体"/>
          <w:color w:val="auto"/>
          <w:szCs w:val="21"/>
        </w:rPr>
        <w:t>本文件生效</w:t>
      </w:r>
    </w:p>
    <w:p w14:paraId="49DEA600">
      <w:pPr>
        <w:spacing w:line="360" w:lineRule="auto"/>
        <w:ind w:firstLine="560" w:firstLineChars="200"/>
        <w:rPr>
          <w:rFonts w:ascii="宋体" w:hAnsi="宋体"/>
          <w:color w:val="auto"/>
          <w:szCs w:val="21"/>
        </w:rPr>
      </w:pPr>
      <w:r>
        <w:rPr>
          <w:rFonts w:hint="eastAsia" w:ascii="宋体" w:hAnsi="宋体"/>
          <w:color w:val="auto"/>
          <w:szCs w:val="21"/>
        </w:rPr>
        <w:t>本工程质量保修书经发包人与承包人盖章后生效。</w:t>
      </w:r>
    </w:p>
    <w:p w14:paraId="282E3861">
      <w:pPr>
        <w:pStyle w:val="23"/>
        <w:spacing w:line="360" w:lineRule="auto"/>
        <w:ind w:firstLine="640" w:firstLineChars="200"/>
        <w:rPr>
          <w:rFonts w:ascii="宋体" w:hAnsi="宋体"/>
          <w:color w:val="auto"/>
          <w:szCs w:val="21"/>
        </w:rPr>
      </w:pPr>
    </w:p>
    <w:p w14:paraId="58C3296E">
      <w:pPr>
        <w:spacing w:line="360" w:lineRule="auto"/>
        <w:ind w:firstLine="560" w:firstLineChars="200"/>
        <w:rPr>
          <w:rFonts w:ascii="宋体" w:hAnsi="宋体"/>
          <w:snapToGrid w:val="0"/>
          <w:color w:val="auto"/>
          <w:kern w:val="0"/>
          <w:szCs w:val="21"/>
        </w:rPr>
      </w:pPr>
      <w:r>
        <w:rPr>
          <w:rFonts w:hint="eastAsia" w:ascii="宋体" w:hAnsi="宋体"/>
          <w:snapToGrid w:val="0"/>
          <w:color w:val="auto"/>
          <w:kern w:val="0"/>
          <w:szCs w:val="21"/>
        </w:rPr>
        <w:t>发包人：</w:t>
      </w:r>
      <w:r>
        <w:rPr>
          <w:rFonts w:hint="eastAsia" w:ascii="宋体" w:hAnsi="宋体"/>
          <w:snapToGrid w:val="0"/>
          <w:color w:val="auto"/>
          <w:kern w:val="0"/>
          <w:szCs w:val="21"/>
          <w:u w:val="single"/>
        </w:rPr>
        <w:t xml:space="preserve">    </w:t>
      </w:r>
      <w:r>
        <w:rPr>
          <w:rFonts w:hint="eastAsia" w:ascii="宋体" w:hAnsi="宋体"/>
          <w:color w:val="auto"/>
          <w:szCs w:val="21"/>
          <w:u w:val="single"/>
          <w:lang w:eastAsia="zh-CN"/>
        </w:rPr>
        <w:t>重庆新翔源鞋业有限责任公司</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（盖单位公章）</w:t>
      </w:r>
    </w:p>
    <w:p w14:paraId="59199160">
      <w:pPr>
        <w:spacing w:line="360" w:lineRule="auto"/>
        <w:ind w:firstLine="560" w:firstLineChars="200"/>
        <w:rPr>
          <w:rFonts w:ascii="宋体" w:hAnsi="宋体"/>
          <w:snapToGrid w:val="0"/>
          <w:color w:val="auto"/>
          <w:kern w:val="0"/>
          <w:szCs w:val="21"/>
        </w:rPr>
      </w:pPr>
    </w:p>
    <w:p w14:paraId="4F43FB72">
      <w:pPr>
        <w:spacing w:line="360" w:lineRule="auto"/>
        <w:ind w:firstLine="560" w:firstLineChars="200"/>
        <w:rPr>
          <w:rFonts w:ascii="宋体" w:hAnsi="宋体"/>
          <w:snapToGrid w:val="0"/>
          <w:color w:val="auto"/>
          <w:kern w:val="0"/>
          <w:szCs w:val="21"/>
        </w:rPr>
      </w:pPr>
    </w:p>
    <w:p w14:paraId="4AC2B384">
      <w:pPr>
        <w:spacing w:line="360" w:lineRule="auto"/>
        <w:ind w:firstLine="560" w:firstLineChars="200"/>
        <w:rPr>
          <w:rFonts w:ascii="宋体" w:hAnsi="宋体"/>
          <w:snapToGrid w:val="0"/>
          <w:color w:val="auto"/>
          <w:kern w:val="0"/>
          <w:szCs w:val="21"/>
        </w:rPr>
      </w:pPr>
      <w:r>
        <w:rPr>
          <w:rFonts w:hint="eastAsia" w:ascii="宋体" w:hAnsi="宋体"/>
          <w:snapToGrid w:val="0"/>
          <w:color w:val="auto"/>
          <w:kern w:val="0"/>
          <w:szCs w:val="21"/>
        </w:rPr>
        <w:t>法定代表人或其委托代理人：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（签名）</w:t>
      </w:r>
    </w:p>
    <w:p w14:paraId="6017DE14">
      <w:pPr>
        <w:spacing w:line="360" w:lineRule="auto"/>
        <w:ind w:firstLine="560" w:firstLineChars="200"/>
        <w:rPr>
          <w:rFonts w:ascii="宋体" w:hAnsi="宋体"/>
          <w:snapToGrid w:val="0"/>
          <w:color w:val="auto"/>
          <w:kern w:val="0"/>
          <w:szCs w:val="21"/>
        </w:rPr>
      </w:pPr>
    </w:p>
    <w:p w14:paraId="21B6C573">
      <w:pPr>
        <w:spacing w:line="360" w:lineRule="auto"/>
        <w:ind w:firstLine="560" w:firstLineChars="200"/>
        <w:rPr>
          <w:rFonts w:ascii="宋体" w:hAnsi="宋体"/>
          <w:snapToGrid w:val="0"/>
          <w:color w:val="auto"/>
          <w:kern w:val="0"/>
          <w:szCs w:val="21"/>
        </w:rPr>
      </w:pPr>
    </w:p>
    <w:p w14:paraId="35C4AADC">
      <w:pPr>
        <w:spacing w:line="360" w:lineRule="auto"/>
        <w:ind w:firstLine="560" w:firstLineChars="200"/>
        <w:rPr>
          <w:rFonts w:ascii="宋体" w:hAnsi="宋体"/>
          <w:color w:val="auto"/>
          <w:szCs w:val="21"/>
        </w:rPr>
      </w:pPr>
      <w:r>
        <w:rPr>
          <w:rFonts w:hint="eastAsia" w:ascii="宋体" w:hAnsi="宋体"/>
          <w:snapToGrid w:val="0"/>
          <w:color w:val="auto"/>
          <w:kern w:val="0"/>
          <w:szCs w:val="21"/>
        </w:rPr>
        <w:t>承包人：</w:t>
      </w:r>
      <w:r>
        <w:rPr>
          <w:rFonts w:hint="eastAsia" w:ascii="宋体" w:hAnsi="宋体"/>
          <w:snapToGrid w:val="0"/>
          <w:color w:val="auto"/>
          <w:kern w:val="0"/>
          <w:szCs w:val="21"/>
          <w:u w:val="single"/>
        </w:rPr>
        <w:t xml:space="preserve">    </w:t>
      </w:r>
      <w:r>
        <w:rPr>
          <w:rFonts w:hint="eastAsia" w:ascii="宋体" w:hAnsi="宋体" w:cs="Times New Roman"/>
          <w:color w:val="auto"/>
          <w:szCs w:val="21"/>
          <w:u w:val="single"/>
          <w:lang w:val="en-US" w:eastAsia="zh-CN"/>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（盖单位公章）</w:t>
      </w:r>
    </w:p>
    <w:p w14:paraId="7B12A441">
      <w:pPr>
        <w:spacing w:line="360" w:lineRule="auto"/>
        <w:ind w:firstLine="560" w:firstLineChars="200"/>
        <w:rPr>
          <w:rFonts w:ascii="宋体" w:hAnsi="宋体"/>
          <w:snapToGrid w:val="0"/>
          <w:color w:val="auto"/>
          <w:kern w:val="0"/>
          <w:szCs w:val="21"/>
        </w:rPr>
      </w:pPr>
    </w:p>
    <w:p w14:paraId="0DFEA546">
      <w:pPr>
        <w:spacing w:line="360" w:lineRule="auto"/>
        <w:ind w:firstLine="560" w:firstLineChars="200"/>
        <w:rPr>
          <w:rFonts w:ascii="宋体" w:hAnsi="宋体"/>
          <w:snapToGrid w:val="0"/>
          <w:color w:val="auto"/>
          <w:kern w:val="0"/>
          <w:szCs w:val="21"/>
        </w:rPr>
      </w:pPr>
    </w:p>
    <w:p w14:paraId="422A51DC">
      <w:pPr>
        <w:spacing w:line="360" w:lineRule="auto"/>
        <w:ind w:firstLine="560" w:firstLineChars="200"/>
        <w:rPr>
          <w:rFonts w:ascii="宋体" w:hAnsi="宋体"/>
          <w:bCs/>
          <w:color w:val="auto"/>
          <w:kern w:val="0"/>
          <w:szCs w:val="21"/>
        </w:rPr>
      </w:pPr>
      <w:r>
        <w:rPr>
          <w:rFonts w:hint="eastAsia" w:ascii="宋体" w:hAnsi="宋体"/>
          <w:snapToGrid w:val="0"/>
          <w:color w:val="auto"/>
          <w:kern w:val="0"/>
          <w:szCs w:val="21"/>
        </w:rPr>
        <w:t>法定代表人或其委托代理人：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（签名）</w:t>
      </w:r>
    </w:p>
    <w:p w14:paraId="07ED332B">
      <w:pPr>
        <w:spacing w:line="360" w:lineRule="auto"/>
        <w:ind w:firstLine="558" w:firstLineChars="200"/>
        <w:rPr>
          <w:rFonts w:ascii="宋体" w:hAnsi="宋体"/>
          <w:snapToGrid w:val="0"/>
          <w:color w:val="auto"/>
          <w:spacing w:val="1"/>
          <w:w w:val="99"/>
          <w:kern w:val="0"/>
          <w:position w:val="-2"/>
          <w:szCs w:val="21"/>
        </w:rPr>
      </w:pPr>
    </w:p>
    <w:p w14:paraId="0D9D6BC2">
      <w:pPr>
        <w:spacing w:line="360" w:lineRule="auto"/>
        <w:ind w:firstLine="558" w:firstLineChars="200"/>
        <w:rPr>
          <w:rFonts w:ascii="宋体" w:hAnsi="宋体"/>
          <w:snapToGrid w:val="0"/>
          <w:color w:val="auto"/>
          <w:spacing w:val="1"/>
          <w:w w:val="99"/>
          <w:kern w:val="0"/>
          <w:position w:val="-2"/>
          <w:szCs w:val="21"/>
        </w:rPr>
      </w:pPr>
    </w:p>
    <w:p w14:paraId="60262397">
      <w:pPr>
        <w:spacing w:line="360" w:lineRule="auto"/>
        <w:ind w:firstLine="560" w:firstLineChars="200"/>
        <w:rPr>
          <w:rFonts w:ascii="宋体" w:hAnsi="宋体"/>
          <w:snapToGrid w:val="0"/>
          <w:color w:val="auto"/>
          <w:kern w:val="0"/>
          <w:szCs w:val="21"/>
        </w:rPr>
      </w:pPr>
      <w:r>
        <w:rPr>
          <w:rFonts w:hint="eastAsia" w:ascii="宋体" w:hAnsi="宋体"/>
          <w:snapToGrid w:val="0"/>
          <w:color w:val="auto"/>
          <w:kern w:val="0"/>
          <w:szCs w:val="21"/>
        </w:rPr>
        <w:t>签约时间：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2025</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日</w:t>
      </w:r>
    </w:p>
    <w:p w14:paraId="7305E0FC">
      <w:pPr>
        <w:spacing w:line="480" w:lineRule="auto"/>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w:t>
      </w:r>
      <w:bookmarkStart w:id="1590" w:name="_Toc296503228"/>
      <w:bookmarkStart w:id="1591" w:name="_Toc296944567"/>
      <w:bookmarkStart w:id="1592" w:name="_Toc267261699"/>
      <w:bookmarkStart w:id="1593" w:name="_Toc296891056"/>
      <w:bookmarkStart w:id="1594" w:name="_Toc296347227"/>
      <w:bookmarkStart w:id="1595" w:name="_Toc296346729"/>
      <w:bookmarkStart w:id="1596" w:name="_Toc296891268"/>
      <w:r>
        <w:rPr>
          <w:rFonts w:hint="eastAsia" w:ascii="宋体" w:hAnsi="宋体"/>
          <w:color w:val="auto"/>
          <w:szCs w:val="21"/>
        </w:rPr>
        <w:t>件</w:t>
      </w:r>
      <w:r>
        <w:rPr>
          <w:rFonts w:hint="eastAsia" w:ascii="宋体" w:hAnsi="宋体"/>
          <w:color w:val="auto"/>
          <w:szCs w:val="21"/>
          <w:lang w:val="en-US" w:eastAsia="zh-CN"/>
        </w:rPr>
        <w:t>2</w:t>
      </w:r>
      <w:r>
        <w:rPr>
          <w:rFonts w:hint="eastAsia" w:ascii="宋体" w:hAnsi="宋体"/>
          <w:color w:val="auto"/>
          <w:szCs w:val="21"/>
        </w:rPr>
        <w:t>：</w:t>
      </w:r>
    </w:p>
    <w:bookmarkEnd w:id="1590"/>
    <w:bookmarkEnd w:id="1591"/>
    <w:bookmarkEnd w:id="1592"/>
    <w:bookmarkEnd w:id="1593"/>
    <w:bookmarkEnd w:id="1594"/>
    <w:bookmarkEnd w:id="1595"/>
    <w:bookmarkEnd w:id="1596"/>
    <w:p w14:paraId="0A7F21FE">
      <w:pPr>
        <w:spacing w:before="156" w:beforeLines="50" w:after="156" w:afterLines="50" w:line="480" w:lineRule="auto"/>
        <w:jc w:val="center"/>
        <w:rPr>
          <w:rFonts w:ascii="宋体" w:hAnsi="宋体"/>
          <w:color w:val="auto"/>
          <w:szCs w:val="21"/>
        </w:rPr>
      </w:pPr>
      <w:r>
        <w:rPr>
          <w:rFonts w:hint="eastAsia" w:ascii="宋体" w:hAnsi="宋体"/>
          <w:color w:val="auto"/>
          <w:szCs w:val="21"/>
        </w:rPr>
        <w:t>承包人项目管理机构组成表</w:t>
      </w:r>
    </w:p>
    <w:tbl>
      <w:tblPr>
        <w:tblStyle w:val="5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CC9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771DC75">
            <w:pPr>
              <w:spacing w:line="400" w:lineRule="exact"/>
              <w:jc w:val="center"/>
              <w:rPr>
                <w:rFonts w:ascii="宋体" w:hAnsi="宋体"/>
                <w:color w:val="auto"/>
                <w:szCs w:val="21"/>
              </w:rPr>
            </w:pPr>
            <w:r>
              <w:rPr>
                <w:rFonts w:hint="eastAsia" w:ascii="宋体" w:hAnsi="宋体"/>
                <w:color w:val="auto"/>
                <w:szCs w:val="21"/>
              </w:rPr>
              <w:t>名    称</w:t>
            </w:r>
          </w:p>
        </w:tc>
        <w:tc>
          <w:tcPr>
            <w:tcW w:w="1418" w:type="dxa"/>
            <w:noWrap w:val="0"/>
            <w:vAlign w:val="center"/>
          </w:tcPr>
          <w:p w14:paraId="1B6DBCAF">
            <w:pPr>
              <w:spacing w:line="400" w:lineRule="exact"/>
              <w:jc w:val="center"/>
              <w:rPr>
                <w:rFonts w:ascii="宋体" w:hAnsi="宋体"/>
                <w:color w:val="auto"/>
                <w:szCs w:val="21"/>
              </w:rPr>
            </w:pPr>
            <w:r>
              <w:rPr>
                <w:rFonts w:hint="eastAsia" w:ascii="宋体" w:hAnsi="宋体"/>
                <w:color w:val="auto"/>
                <w:szCs w:val="21"/>
              </w:rPr>
              <w:t>姓名</w:t>
            </w:r>
          </w:p>
        </w:tc>
        <w:tc>
          <w:tcPr>
            <w:tcW w:w="1134" w:type="dxa"/>
            <w:noWrap w:val="0"/>
            <w:vAlign w:val="center"/>
          </w:tcPr>
          <w:p w14:paraId="1A36CC6F">
            <w:pPr>
              <w:spacing w:line="400" w:lineRule="exact"/>
              <w:jc w:val="center"/>
              <w:rPr>
                <w:rFonts w:ascii="宋体" w:hAnsi="宋体"/>
                <w:color w:val="auto"/>
                <w:szCs w:val="21"/>
              </w:rPr>
            </w:pPr>
            <w:r>
              <w:rPr>
                <w:rFonts w:hint="eastAsia" w:ascii="宋体" w:hAnsi="宋体"/>
                <w:color w:val="auto"/>
                <w:szCs w:val="21"/>
              </w:rPr>
              <w:t>职务</w:t>
            </w:r>
          </w:p>
        </w:tc>
        <w:tc>
          <w:tcPr>
            <w:tcW w:w="1134" w:type="dxa"/>
            <w:noWrap w:val="0"/>
            <w:vAlign w:val="center"/>
          </w:tcPr>
          <w:p w14:paraId="6E50580A">
            <w:pPr>
              <w:spacing w:line="400" w:lineRule="exact"/>
              <w:jc w:val="center"/>
              <w:rPr>
                <w:rFonts w:ascii="宋体" w:hAnsi="宋体"/>
                <w:color w:val="auto"/>
                <w:szCs w:val="21"/>
              </w:rPr>
            </w:pPr>
            <w:r>
              <w:rPr>
                <w:rFonts w:hint="eastAsia" w:ascii="宋体" w:hAnsi="宋体"/>
                <w:color w:val="auto"/>
                <w:szCs w:val="21"/>
              </w:rPr>
              <w:t>职称</w:t>
            </w:r>
          </w:p>
        </w:tc>
        <w:tc>
          <w:tcPr>
            <w:tcW w:w="4252" w:type="dxa"/>
            <w:noWrap w:val="0"/>
            <w:vAlign w:val="center"/>
          </w:tcPr>
          <w:p w14:paraId="215EF7C2">
            <w:pPr>
              <w:spacing w:line="400" w:lineRule="exact"/>
              <w:jc w:val="center"/>
              <w:rPr>
                <w:rFonts w:ascii="宋体" w:hAnsi="宋体"/>
                <w:color w:val="auto"/>
                <w:szCs w:val="21"/>
              </w:rPr>
            </w:pPr>
            <w:r>
              <w:rPr>
                <w:rFonts w:hint="eastAsia" w:ascii="宋体" w:hAnsi="宋体"/>
                <w:color w:val="auto"/>
                <w:szCs w:val="21"/>
              </w:rPr>
              <w:t>主要资历、经验及承担过的项目</w:t>
            </w:r>
          </w:p>
        </w:tc>
      </w:tr>
      <w:tr w14:paraId="0EF3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noWrap w:val="0"/>
            <w:vAlign w:val="center"/>
          </w:tcPr>
          <w:p w14:paraId="1846CAA7">
            <w:pPr>
              <w:spacing w:line="400" w:lineRule="exact"/>
              <w:rPr>
                <w:rFonts w:ascii="宋体" w:hAnsi="宋体"/>
                <w:color w:val="auto"/>
                <w:szCs w:val="21"/>
              </w:rPr>
            </w:pPr>
            <w:r>
              <w:rPr>
                <w:rFonts w:hint="eastAsia" w:ascii="宋体" w:hAnsi="宋体"/>
                <w:color w:val="auto"/>
                <w:szCs w:val="21"/>
              </w:rPr>
              <w:t>一、总部人员</w:t>
            </w:r>
          </w:p>
        </w:tc>
      </w:tr>
      <w:tr w14:paraId="5E7E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9522801">
            <w:pPr>
              <w:spacing w:line="400" w:lineRule="exact"/>
              <w:jc w:val="center"/>
              <w:rPr>
                <w:rFonts w:ascii="宋体" w:hAnsi="宋体"/>
                <w:color w:val="auto"/>
                <w:szCs w:val="21"/>
              </w:rPr>
            </w:pPr>
            <w:r>
              <w:rPr>
                <w:rFonts w:hint="eastAsia" w:ascii="宋体" w:hAnsi="宋体"/>
                <w:color w:val="auto"/>
                <w:szCs w:val="21"/>
              </w:rPr>
              <w:t>项目主管</w:t>
            </w:r>
          </w:p>
        </w:tc>
        <w:tc>
          <w:tcPr>
            <w:tcW w:w="1418" w:type="dxa"/>
            <w:noWrap w:val="0"/>
            <w:vAlign w:val="center"/>
          </w:tcPr>
          <w:p w14:paraId="75EFA2AB">
            <w:pPr>
              <w:spacing w:line="400" w:lineRule="exact"/>
              <w:ind w:firstLine="560" w:firstLineChars="200"/>
              <w:rPr>
                <w:rFonts w:hint="default"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1134" w:type="dxa"/>
            <w:noWrap w:val="0"/>
            <w:vAlign w:val="center"/>
          </w:tcPr>
          <w:p w14:paraId="1E877A0F">
            <w:pPr>
              <w:spacing w:line="400" w:lineRule="exact"/>
              <w:ind w:firstLine="560" w:firstLineChars="200"/>
              <w:rPr>
                <w:rFonts w:hint="eastAsia"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1134" w:type="dxa"/>
            <w:noWrap w:val="0"/>
            <w:vAlign w:val="center"/>
          </w:tcPr>
          <w:p w14:paraId="41CD1F4C">
            <w:pPr>
              <w:spacing w:line="400" w:lineRule="exact"/>
              <w:ind w:firstLine="560" w:firstLineChars="200"/>
              <w:rPr>
                <w:rFonts w:ascii="宋体" w:hAnsi="宋体"/>
                <w:color w:val="auto"/>
                <w:szCs w:val="21"/>
              </w:rPr>
            </w:pPr>
          </w:p>
        </w:tc>
        <w:tc>
          <w:tcPr>
            <w:tcW w:w="4252" w:type="dxa"/>
            <w:noWrap w:val="0"/>
            <w:vAlign w:val="center"/>
          </w:tcPr>
          <w:p w14:paraId="0309968D">
            <w:pPr>
              <w:spacing w:line="400" w:lineRule="exact"/>
              <w:ind w:firstLine="560" w:firstLineChars="200"/>
              <w:rPr>
                <w:rFonts w:ascii="宋体" w:hAnsi="宋体"/>
                <w:color w:val="auto"/>
                <w:szCs w:val="21"/>
              </w:rPr>
            </w:pPr>
          </w:p>
        </w:tc>
      </w:tr>
      <w:tr w14:paraId="25AC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2E78DF3">
            <w:pPr>
              <w:spacing w:line="400" w:lineRule="exact"/>
              <w:jc w:val="center"/>
              <w:rPr>
                <w:rFonts w:ascii="宋体" w:hAnsi="宋体"/>
                <w:color w:val="auto"/>
                <w:szCs w:val="21"/>
              </w:rPr>
            </w:pPr>
          </w:p>
        </w:tc>
        <w:tc>
          <w:tcPr>
            <w:tcW w:w="1418" w:type="dxa"/>
            <w:noWrap w:val="0"/>
            <w:vAlign w:val="center"/>
          </w:tcPr>
          <w:p w14:paraId="33D0D753">
            <w:pPr>
              <w:spacing w:line="400" w:lineRule="exact"/>
              <w:ind w:firstLine="560" w:firstLineChars="200"/>
              <w:rPr>
                <w:rFonts w:ascii="宋体" w:hAnsi="宋体"/>
                <w:color w:val="auto"/>
                <w:szCs w:val="21"/>
              </w:rPr>
            </w:pPr>
          </w:p>
        </w:tc>
        <w:tc>
          <w:tcPr>
            <w:tcW w:w="1134" w:type="dxa"/>
            <w:noWrap w:val="0"/>
            <w:vAlign w:val="center"/>
          </w:tcPr>
          <w:p w14:paraId="0F4002FA">
            <w:pPr>
              <w:spacing w:line="400" w:lineRule="exact"/>
              <w:ind w:firstLine="560" w:firstLineChars="200"/>
              <w:rPr>
                <w:rFonts w:ascii="宋体" w:hAnsi="宋体"/>
                <w:color w:val="auto"/>
                <w:szCs w:val="21"/>
              </w:rPr>
            </w:pPr>
          </w:p>
        </w:tc>
        <w:tc>
          <w:tcPr>
            <w:tcW w:w="1134" w:type="dxa"/>
            <w:noWrap w:val="0"/>
            <w:vAlign w:val="center"/>
          </w:tcPr>
          <w:p w14:paraId="38A3ED72">
            <w:pPr>
              <w:spacing w:line="400" w:lineRule="exact"/>
              <w:ind w:firstLine="560" w:firstLineChars="200"/>
              <w:rPr>
                <w:rFonts w:ascii="宋体" w:hAnsi="宋体"/>
                <w:color w:val="auto"/>
                <w:szCs w:val="21"/>
              </w:rPr>
            </w:pPr>
          </w:p>
        </w:tc>
        <w:tc>
          <w:tcPr>
            <w:tcW w:w="4252" w:type="dxa"/>
            <w:noWrap w:val="0"/>
            <w:vAlign w:val="center"/>
          </w:tcPr>
          <w:p w14:paraId="1FC211C6">
            <w:pPr>
              <w:spacing w:line="400" w:lineRule="exact"/>
              <w:ind w:firstLine="560" w:firstLineChars="200"/>
              <w:rPr>
                <w:rFonts w:ascii="宋体" w:hAnsi="宋体"/>
                <w:color w:val="auto"/>
                <w:szCs w:val="21"/>
              </w:rPr>
            </w:pPr>
          </w:p>
        </w:tc>
      </w:tr>
      <w:tr w14:paraId="068E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CEA3F84">
            <w:pPr>
              <w:spacing w:line="400" w:lineRule="exact"/>
              <w:jc w:val="center"/>
              <w:rPr>
                <w:rFonts w:ascii="宋体" w:hAnsi="宋体"/>
                <w:color w:val="auto"/>
                <w:szCs w:val="21"/>
              </w:rPr>
            </w:pPr>
            <w:r>
              <w:rPr>
                <w:rFonts w:hint="eastAsia" w:ascii="宋体" w:hAnsi="宋体"/>
                <w:color w:val="auto"/>
                <w:szCs w:val="21"/>
              </w:rPr>
              <w:t>其他人员</w:t>
            </w:r>
          </w:p>
        </w:tc>
        <w:tc>
          <w:tcPr>
            <w:tcW w:w="1418" w:type="dxa"/>
            <w:noWrap w:val="0"/>
            <w:vAlign w:val="center"/>
          </w:tcPr>
          <w:p w14:paraId="1E9B76BE">
            <w:pPr>
              <w:spacing w:line="400" w:lineRule="exact"/>
              <w:ind w:firstLine="560" w:firstLineChars="200"/>
              <w:rPr>
                <w:rFonts w:ascii="宋体" w:hAnsi="宋体"/>
                <w:color w:val="auto"/>
                <w:szCs w:val="21"/>
              </w:rPr>
            </w:pPr>
          </w:p>
        </w:tc>
        <w:tc>
          <w:tcPr>
            <w:tcW w:w="1134" w:type="dxa"/>
            <w:noWrap w:val="0"/>
            <w:vAlign w:val="center"/>
          </w:tcPr>
          <w:p w14:paraId="4FFF0786">
            <w:pPr>
              <w:spacing w:line="400" w:lineRule="exact"/>
              <w:ind w:firstLine="560" w:firstLineChars="200"/>
              <w:rPr>
                <w:rFonts w:ascii="宋体" w:hAnsi="宋体"/>
                <w:color w:val="auto"/>
                <w:szCs w:val="21"/>
              </w:rPr>
            </w:pPr>
          </w:p>
        </w:tc>
        <w:tc>
          <w:tcPr>
            <w:tcW w:w="1134" w:type="dxa"/>
            <w:noWrap w:val="0"/>
            <w:vAlign w:val="center"/>
          </w:tcPr>
          <w:p w14:paraId="79CAED94">
            <w:pPr>
              <w:spacing w:line="400" w:lineRule="exact"/>
              <w:ind w:firstLine="560" w:firstLineChars="200"/>
              <w:rPr>
                <w:rFonts w:ascii="宋体" w:hAnsi="宋体"/>
                <w:color w:val="auto"/>
                <w:szCs w:val="21"/>
              </w:rPr>
            </w:pPr>
          </w:p>
        </w:tc>
        <w:tc>
          <w:tcPr>
            <w:tcW w:w="4252" w:type="dxa"/>
            <w:noWrap w:val="0"/>
            <w:vAlign w:val="center"/>
          </w:tcPr>
          <w:p w14:paraId="72DD818B">
            <w:pPr>
              <w:spacing w:line="400" w:lineRule="exact"/>
              <w:ind w:firstLine="560" w:firstLineChars="200"/>
              <w:rPr>
                <w:rFonts w:ascii="宋体" w:hAnsi="宋体"/>
                <w:color w:val="auto"/>
                <w:szCs w:val="21"/>
              </w:rPr>
            </w:pPr>
          </w:p>
        </w:tc>
      </w:tr>
      <w:tr w14:paraId="5396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EA414BC">
            <w:pPr>
              <w:spacing w:line="400" w:lineRule="exact"/>
              <w:jc w:val="center"/>
              <w:rPr>
                <w:rFonts w:ascii="宋体" w:hAnsi="宋体"/>
                <w:color w:val="auto"/>
                <w:szCs w:val="21"/>
              </w:rPr>
            </w:pPr>
          </w:p>
        </w:tc>
        <w:tc>
          <w:tcPr>
            <w:tcW w:w="1418" w:type="dxa"/>
            <w:noWrap w:val="0"/>
            <w:vAlign w:val="center"/>
          </w:tcPr>
          <w:p w14:paraId="1F477575">
            <w:pPr>
              <w:spacing w:line="400" w:lineRule="exact"/>
              <w:ind w:firstLine="560" w:firstLineChars="200"/>
              <w:rPr>
                <w:rFonts w:ascii="宋体" w:hAnsi="宋体"/>
                <w:color w:val="auto"/>
                <w:szCs w:val="21"/>
              </w:rPr>
            </w:pPr>
          </w:p>
        </w:tc>
        <w:tc>
          <w:tcPr>
            <w:tcW w:w="1134" w:type="dxa"/>
            <w:noWrap w:val="0"/>
            <w:vAlign w:val="center"/>
          </w:tcPr>
          <w:p w14:paraId="4D005158">
            <w:pPr>
              <w:spacing w:line="400" w:lineRule="exact"/>
              <w:ind w:firstLine="560" w:firstLineChars="200"/>
              <w:rPr>
                <w:rFonts w:ascii="宋体" w:hAnsi="宋体"/>
                <w:color w:val="auto"/>
                <w:szCs w:val="21"/>
              </w:rPr>
            </w:pPr>
          </w:p>
        </w:tc>
        <w:tc>
          <w:tcPr>
            <w:tcW w:w="1134" w:type="dxa"/>
            <w:noWrap w:val="0"/>
            <w:vAlign w:val="center"/>
          </w:tcPr>
          <w:p w14:paraId="273CA226">
            <w:pPr>
              <w:spacing w:line="400" w:lineRule="exact"/>
              <w:ind w:firstLine="560" w:firstLineChars="200"/>
              <w:rPr>
                <w:rFonts w:ascii="宋体" w:hAnsi="宋体"/>
                <w:color w:val="auto"/>
                <w:szCs w:val="21"/>
              </w:rPr>
            </w:pPr>
          </w:p>
        </w:tc>
        <w:tc>
          <w:tcPr>
            <w:tcW w:w="4252" w:type="dxa"/>
            <w:noWrap w:val="0"/>
            <w:vAlign w:val="center"/>
          </w:tcPr>
          <w:p w14:paraId="63842E70">
            <w:pPr>
              <w:spacing w:line="400" w:lineRule="exact"/>
              <w:ind w:firstLine="560" w:firstLineChars="200"/>
              <w:rPr>
                <w:rFonts w:ascii="宋体" w:hAnsi="宋体"/>
                <w:color w:val="auto"/>
                <w:szCs w:val="21"/>
              </w:rPr>
            </w:pPr>
          </w:p>
        </w:tc>
      </w:tr>
      <w:tr w14:paraId="4E20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415C0EA">
            <w:pPr>
              <w:spacing w:line="400" w:lineRule="exact"/>
              <w:rPr>
                <w:rFonts w:ascii="宋体" w:hAnsi="宋体"/>
                <w:color w:val="auto"/>
                <w:szCs w:val="21"/>
              </w:rPr>
            </w:pPr>
            <w:r>
              <w:rPr>
                <w:rFonts w:hint="eastAsia" w:ascii="宋体" w:hAnsi="宋体"/>
                <w:color w:val="auto"/>
                <w:szCs w:val="21"/>
              </w:rPr>
              <w:t>二、现场人员</w:t>
            </w:r>
          </w:p>
        </w:tc>
      </w:tr>
      <w:tr w14:paraId="3D96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A58D44D">
            <w:pPr>
              <w:spacing w:line="400" w:lineRule="exact"/>
              <w:jc w:val="center"/>
              <w:rPr>
                <w:rFonts w:ascii="宋体" w:hAnsi="宋体"/>
                <w:color w:val="auto"/>
                <w:szCs w:val="21"/>
              </w:rPr>
            </w:pPr>
            <w:r>
              <w:rPr>
                <w:rFonts w:hint="eastAsia" w:ascii="宋体" w:hAnsi="宋体"/>
                <w:color w:val="auto"/>
                <w:szCs w:val="21"/>
              </w:rPr>
              <w:t>项目经理</w:t>
            </w:r>
          </w:p>
        </w:tc>
        <w:tc>
          <w:tcPr>
            <w:tcW w:w="1418" w:type="dxa"/>
            <w:noWrap w:val="0"/>
            <w:vAlign w:val="center"/>
          </w:tcPr>
          <w:p w14:paraId="5BA5A4E6">
            <w:pPr>
              <w:spacing w:line="400" w:lineRule="exact"/>
              <w:ind w:firstLine="560" w:firstLineChars="200"/>
              <w:rPr>
                <w:rFonts w:hint="eastAsia"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1134" w:type="dxa"/>
            <w:noWrap w:val="0"/>
            <w:vAlign w:val="center"/>
          </w:tcPr>
          <w:p w14:paraId="58547AB0">
            <w:pPr>
              <w:spacing w:line="400" w:lineRule="exact"/>
              <w:rPr>
                <w:rFonts w:hint="default"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1134" w:type="dxa"/>
            <w:noWrap w:val="0"/>
            <w:vAlign w:val="center"/>
          </w:tcPr>
          <w:p w14:paraId="4F78F0A3">
            <w:pPr>
              <w:spacing w:line="400" w:lineRule="exact"/>
              <w:rPr>
                <w:rFonts w:hint="eastAsia"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4252" w:type="dxa"/>
            <w:noWrap w:val="0"/>
            <w:vAlign w:val="center"/>
          </w:tcPr>
          <w:p w14:paraId="283FF56E">
            <w:pPr>
              <w:spacing w:line="400" w:lineRule="exact"/>
              <w:ind w:firstLine="560" w:firstLineChars="200"/>
              <w:rPr>
                <w:rFonts w:ascii="宋体" w:hAnsi="宋体"/>
                <w:color w:val="auto"/>
                <w:szCs w:val="21"/>
              </w:rPr>
            </w:pPr>
          </w:p>
        </w:tc>
      </w:tr>
      <w:tr w14:paraId="0904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F64DD23">
            <w:pPr>
              <w:spacing w:line="400" w:lineRule="exact"/>
              <w:jc w:val="center"/>
              <w:rPr>
                <w:rFonts w:ascii="宋体" w:hAnsi="宋体"/>
                <w:color w:val="auto"/>
                <w:szCs w:val="21"/>
              </w:rPr>
            </w:pPr>
            <w:r>
              <w:rPr>
                <w:rFonts w:hint="eastAsia" w:ascii="宋体" w:hAnsi="宋体"/>
                <w:color w:val="auto"/>
                <w:szCs w:val="21"/>
              </w:rPr>
              <w:t>项目副经理</w:t>
            </w:r>
          </w:p>
        </w:tc>
        <w:tc>
          <w:tcPr>
            <w:tcW w:w="1418" w:type="dxa"/>
            <w:noWrap w:val="0"/>
            <w:vAlign w:val="center"/>
          </w:tcPr>
          <w:p w14:paraId="34C1DCAE">
            <w:pPr>
              <w:spacing w:line="400" w:lineRule="exact"/>
              <w:ind w:firstLine="560" w:firstLineChars="200"/>
              <w:rPr>
                <w:rFonts w:ascii="宋体" w:hAnsi="宋体"/>
                <w:color w:val="auto"/>
                <w:szCs w:val="21"/>
              </w:rPr>
            </w:pPr>
            <w:r>
              <w:rPr>
                <w:rFonts w:hint="eastAsia" w:ascii="宋体" w:hAnsi="宋体"/>
                <w:color w:val="auto"/>
                <w:szCs w:val="21"/>
                <w:lang w:val="en-US" w:eastAsia="zh-CN"/>
              </w:rPr>
              <w:t xml:space="preserve"> </w:t>
            </w:r>
          </w:p>
        </w:tc>
        <w:tc>
          <w:tcPr>
            <w:tcW w:w="1134" w:type="dxa"/>
            <w:noWrap w:val="0"/>
            <w:vAlign w:val="center"/>
          </w:tcPr>
          <w:p w14:paraId="3C004D20">
            <w:pPr>
              <w:spacing w:line="400" w:lineRule="exact"/>
              <w:ind w:firstLine="560" w:firstLineChars="200"/>
              <w:rPr>
                <w:rFonts w:ascii="宋体" w:hAnsi="宋体"/>
                <w:color w:val="auto"/>
                <w:szCs w:val="21"/>
              </w:rPr>
            </w:pPr>
          </w:p>
        </w:tc>
        <w:tc>
          <w:tcPr>
            <w:tcW w:w="1134" w:type="dxa"/>
            <w:noWrap w:val="0"/>
            <w:vAlign w:val="center"/>
          </w:tcPr>
          <w:p w14:paraId="6CA610C3">
            <w:pPr>
              <w:spacing w:line="400" w:lineRule="exact"/>
              <w:ind w:firstLine="560" w:firstLineChars="200"/>
              <w:rPr>
                <w:rFonts w:ascii="宋体" w:hAnsi="宋体"/>
                <w:color w:val="auto"/>
                <w:szCs w:val="21"/>
              </w:rPr>
            </w:pPr>
          </w:p>
        </w:tc>
        <w:tc>
          <w:tcPr>
            <w:tcW w:w="4252" w:type="dxa"/>
            <w:noWrap w:val="0"/>
            <w:vAlign w:val="center"/>
          </w:tcPr>
          <w:p w14:paraId="40508545">
            <w:pPr>
              <w:spacing w:line="400" w:lineRule="exact"/>
              <w:ind w:firstLine="560" w:firstLineChars="200"/>
              <w:rPr>
                <w:rFonts w:ascii="宋体" w:hAnsi="宋体"/>
                <w:color w:val="auto"/>
                <w:szCs w:val="21"/>
              </w:rPr>
            </w:pPr>
          </w:p>
        </w:tc>
      </w:tr>
      <w:tr w14:paraId="03BD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C4C2058">
            <w:pPr>
              <w:spacing w:line="400" w:lineRule="exact"/>
              <w:jc w:val="center"/>
              <w:rPr>
                <w:rFonts w:ascii="宋体" w:hAnsi="宋体"/>
                <w:color w:val="auto"/>
                <w:szCs w:val="21"/>
              </w:rPr>
            </w:pPr>
            <w:r>
              <w:rPr>
                <w:rFonts w:hint="eastAsia" w:ascii="宋体" w:hAnsi="宋体"/>
                <w:color w:val="auto"/>
                <w:szCs w:val="21"/>
              </w:rPr>
              <w:t>技术负责人</w:t>
            </w:r>
          </w:p>
        </w:tc>
        <w:tc>
          <w:tcPr>
            <w:tcW w:w="1418" w:type="dxa"/>
            <w:noWrap w:val="0"/>
            <w:vAlign w:val="center"/>
          </w:tcPr>
          <w:p w14:paraId="460A57B5">
            <w:pPr>
              <w:spacing w:line="400" w:lineRule="exact"/>
              <w:ind w:firstLine="560" w:firstLineChars="200"/>
              <w:rPr>
                <w:rFonts w:hint="default"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1134" w:type="dxa"/>
            <w:noWrap w:val="0"/>
            <w:vAlign w:val="center"/>
          </w:tcPr>
          <w:p w14:paraId="0DAA791F">
            <w:pPr>
              <w:spacing w:line="400" w:lineRule="exact"/>
              <w:rPr>
                <w:rFonts w:hint="default"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1134" w:type="dxa"/>
            <w:noWrap w:val="0"/>
            <w:vAlign w:val="center"/>
          </w:tcPr>
          <w:p w14:paraId="4965BF89">
            <w:pPr>
              <w:spacing w:line="400" w:lineRule="exact"/>
              <w:rPr>
                <w:rFonts w:hint="default"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4252" w:type="dxa"/>
            <w:noWrap w:val="0"/>
            <w:vAlign w:val="center"/>
          </w:tcPr>
          <w:p w14:paraId="1082D2A8">
            <w:pPr>
              <w:spacing w:line="400" w:lineRule="exact"/>
              <w:ind w:firstLine="560" w:firstLineChars="200"/>
              <w:rPr>
                <w:rFonts w:ascii="宋体" w:hAnsi="宋体"/>
                <w:color w:val="auto"/>
                <w:szCs w:val="21"/>
              </w:rPr>
            </w:pPr>
          </w:p>
        </w:tc>
      </w:tr>
      <w:tr w14:paraId="02BE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7CAC740">
            <w:pPr>
              <w:spacing w:line="400" w:lineRule="exact"/>
              <w:jc w:val="center"/>
              <w:rPr>
                <w:rFonts w:ascii="宋体" w:hAnsi="宋体"/>
                <w:color w:val="auto"/>
                <w:szCs w:val="21"/>
              </w:rPr>
            </w:pPr>
            <w:r>
              <w:rPr>
                <w:rFonts w:hint="eastAsia" w:ascii="宋体" w:hAnsi="宋体"/>
                <w:color w:val="auto"/>
                <w:szCs w:val="21"/>
              </w:rPr>
              <w:t>造价管理</w:t>
            </w:r>
          </w:p>
        </w:tc>
        <w:tc>
          <w:tcPr>
            <w:tcW w:w="1418" w:type="dxa"/>
            <w:noWrap w:val="0"/>
            <w:vAlign w:val="center"/>
          </w:tcPr>
          <w:p w14:paraId="33B34528">
            <w:pPr>
              <w:spacing w:line="400" w:lineRule="exact"/>
              <w:ind w:firstLine="560" w:firstLineChars="200"/>
              <w:rPr>
                <w:rFonts w:hint="default"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1134" w:type="dxa"/>
            <w:noWrap w:val="0"/>
            <w:vAlign w:val="center"/>
          </w:tcPr>
          <w:p w14:paraId="5A8323DB">
            <w:pPr>
              <w:spacing w:line="400" w:lineRule="exact"/>
              <w:ind w:firstLine="560" w:firstLineChars="200"/>
              <w:rPr>
                <w:rFonts w:ascii="宋体" w:hAnsi="宋体"/>
                <w:color w:val="auto"/>
                <w:szCs w:val="21"/>
              </w:rPr>
            </w:pPr>
          </w:p>
        </w:tc>
        <w:tc>
          <w:tcPr>
            <w:tcW w:w="1134" w:type="dxa"/>
            <w:noWrap w:val="0"/>
            <w:vAlign w:val="center"/>
          </w:tcPr>
          <w:p w14:paraId="49644A88">
            <w:pPr>
              <w:spacing w:line="400" w:lineRule="exact"/>
              <w:rPr>
                <w:rFonts w:hint="default"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4252" w:type="dxa"/>
            <w:noWrap w:val="0"/>
            <w:vAlign w:val="center"/>
          </w:tcPr>
          <w:p w14:paraId="44088BE6">
            <w:pPr>
              <w:spacing w:line="400" w:lineRule="exact"/>
              <w:ind w:firstLine="560" w:firstLineChars="200"/>
              <w:rPr>
                <w:rFonts w:ascii="宋体" w:hAnsi="宋体"/>
                <w:color w:val="auto"/>
                <w:szCs w:val="21"/>
              </w:rPr>
            </w:pPr>
          </w:p>
        </w:tc>
      </w:tr>
      <w:tr w14:paraId="33B2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8D3B14F">
            <w:pPr>
              <w:spacing w:line="400" w:lineRule="exact"/>
              <w:jc w:val="center"/>
              <w:rPr>
                <w:rFonts w:ascii="宋体" w:hAnsi="宋体"/>
                <w:color w:val="auto"/>
                <w:szCs w:val="21"/>
              </w:rPr>
            </w:pPr>
            <w:r>
              <w:rPr>
                <w:rFonts w:hint="eastAsia" w:ascii="宋体" w:hAnsi="宋体"/>
                <w:color w:val="auto"/>
                <w:szCs w:val="21"/>
              </w:rPr>
              <w:t>质量管理</w:t>
            </w:r>
          </w:p>
        </w:tc>
        <w:tc>
          <w:tcPr>
            <w:tcW w:w="1418" w:type="dxa"/>
            <w:noWrap w:val="0"/>
            <w:vAlign w:val="center"/>
          </w:tcPr>
          <w:p w14:paraId="484835C1">
            <w:pPr>
              <w:spacing w:line="400" w:lineRule="exact"/>
              <w:ind w:firstLine="560" w:firstLineChars="200"/>
              <w:rPr>
                <w:rFonts w:hint="eastAsia"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1134" w:type="dxa"/>
            <w:noWrap w:val="0"/>
            <w:vAlign w:val="center"/>
          </w:tcPr>
          <w:p w14:paraId="58B6D7A5">
            <w:pPr>
              <w:spacing w:line="400" w:lineRule="exact"/>
              <w:ind w:firstLine="560" w:firstLineChars="200"/>
              <w:rPr>
                <w:rFonts w:ascii="宋体" w:hAnsi="宋体"/>
                <w:color w:val="auto"/>
                <w:szCs w:val="21"/>
              </w:rPr>
            </w:pPr>
          </w:p>
        </w:tc>
        <w:tc>
          <w:tcPr>
            <w:tcW w:w="1134" w:type="dxa"/>
            <w:noWrap w:val="0"/>
            <w:vAlign w:val="center"/>
          </w:tcPr>
          <w:p w14:paraId="54F4DAEA">
            <w:pPr>
              <w:spacing w:line="400" w:lineRule="exact"/>
              <w:ind w:firstLine="560" w:firstLineChars="200"/>
              <w:rPr>
                <w:rFonts w:ascii="宋体" w:hAnsi="宋体"/>
                <w:color w:val="auto"/>
                <w:szCs w:val="21"/>
              </w:rPr>
            </w:pPr>
          </w:p>
        </w:tc>
        <w:tc>
          <w:tcPr>
            <w:tcW w:w="4252" w:type="dxa"/>
            <w:noWrap w:val="0"/>
            <w:vAlign w:val="center"/>
          </w:tcPr>
          <w:p w14:paraId="57360D56">
            <w:pPr>
              <w:spacing w:line="400" w:lineRule="exact"/>
              <w:ind w:firstLine="560" w:firstLineChars="200"/>
              <w:rPr>
                <w:rFonts w:ascii="宋体" w:hAnsi="宋体"/>
                <w:color w:val="auto"/>
                <w:szCs w:val="21"/>
              </w:rPr>
            </w:pPr>
          </w:p>
        </w:tc>
      </w:tr>
      <w:tr w14:paraId="71BC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8273957">
            <w:pPr>
              <w:spacing w:line="400" w:lineRule="exact"/>
              <w:jc w:val="center"/>
              <w:rPr>
                <w:rFonts w:ascii="宋体" w:hAnsi="宋体"/>
                <w:color w:val="auto"/>
                <w:szCs w:val="21"/>
              </w:rPr>
            </w:pPr>
            <w:r>
              <w:rPr>
                <w:rFonts w:hint="eastAsia" w:ascii="宋体" w:hAnsi="宋体"/>
                <w:color w:val="auto"/>
                <w:szCs w:val="21"/>
              </w:rPr>
              <w:t>材料管理</w:t>
            </w:r>
          </w:p>
        </w:tc>
        <w:tc>
          <w:tcPr>
            <w:tcW w:w="1418" w:type="dxa"/>
            <w:noWrap w:val="0"/>
            <w:vAlign w:val="center"/>
          </w:tcPr>
          <w:p w14:paraId="49FA9CC3">
            <w:pPr>
              <w:spacing w:line="400" w:lineRule="exact"/>
              <w:ind w:firstLine="560" w:firstLineChars="200"/>
              <w:rPr>
                <w:rFonts w:hint="default" w:ascii="宋体" w:hAnsi="宋体" w:eastAsia="宋体"/>
                <w:color w:val="auto"/>
                <w:szCs w:val="21"/>
                <w:lang w:val="en-US" w:eastAsia="zh-CN"/>
              </w:rPr>
            </w:pPr>
            <w:r>
              <w:rPr>
                <w:rFonts w:hint="eastAsia" w:ascii="宋体" w:hAnsi="宋体"/>
                <w:color w:val="auto"/>
                <w:szCs w:val="21"/>
                <w:lang w:val="en-US" w:eastAsia="zh-CN"/>
              </w:rPr>
              <w:t xml:space="preserve"> </w:t>
            </w:r>
          </w:p>
        </w:tc>
        <w:tc>
          <w:tcPr>
            <w:tcW w:w="1134" w:type="dxa"/>
            <w:noWrap w:val="0"/>
            <w:vAlign w:val="center"/>
          </w:tcPr>
          <w:p w14:paraId="65FC430A">
            <w:pPr>
              <w:spacing w:line="400" w:lineRule="exact"/>
              <w:ind w:firstLine="560" w:firstLineChars="200"/>
              <w:rPr>
                <w:rFonts w:ascii="宋体" w:hAnsi="宋体"/>
                <w:color w:val="auto"/>
                <w:szCs w:val="21"/>
              </w:rPr>
            </w:pPr>
          </w:p>
        </w:tc>
        <w:tc>
          <w:tcPr>
            <w:tcW w:w="1134" w:type="dxa"/>
            <w:noWrap w:val="0"/>
            <w:vAlign w:val="center"/>
          </w:tcPr>
          <w:p w14:paraId="01A81791">
            <w:pPr>
              <w:spacing w:line="400" w:lineRule="exact"/>
              <w:ind w:firstLine="560" w:firstLineChars="200"/>
              <w:rPr>
                <w:rFonts w:ascii="宋体" w:hAnsi="宋体"/>
                <w:color w:val="auto"/>
                <w:szCs w:val="21"/>
              </w:rPr>
            </w:pPr>
          </w:p>
        </w:tc>
        <w:tc>
          <w:tcPr>
            <w:tcW w:w="4252" w:type="dxa"/>
            <w:noWrap w:val="0"/>
            <w:vAlign w:val="center"/>
          </w:tcPr>
          <w:p w14:paraId="1546FBFB">
            <w:pPr>
              <w:spacing w:line="400" w:lineRule="exact"/>
              <w:ind w:firstLine="560" w:firstLineChars="200"/>
              <w:rPr>
                <w:rFonts w:ascii="宋体" w:hAnsi="宋体"/>
                <w:color w:val="auto"/>
                <w:szCs w:val="21"/>
              </w:rPr>
            </w:pPr>
          </w:p>
        </w:tc>
      </w:tr>
      <w:tr w14:paraId="1DCB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42D3609">
            <w:pPr>
              <w:spacing w:line="400" w:lineRule="exact"/>
              <w:jc w:val="center"/>
              <w:rPr>
                <w:rFonts w:ascii="宋体" w:hAnsi="宋体"/>
                <w:color w:val="auto"/>
                <w:szCs w:val="21"/>
              </w:rPr>
            </w:pPr>
            <w:r>
              <w:rPr>
                <w:rFonts w:hint="eastAsia" w:ascii="宋体" w:hAnsi="宋体"/>
                <w:color w:val="auto"/>
                <w:szCs w:val="21"/>
              </w:rPr>
              <w:t>计划管理</w:t>
            </w:r>
          </w:p>
        </w:tc>
        <w:tc>
          <w:tcPr>
            <w:tcW w:w="1418" w:type="dxa"/>
            <w:noWrap w:val="0"/>
            <w:vAlign w:val="center"/>
          </w:tcPr>
          <w:p w14:paraId="23A946E4">
            <w:pPr>
              <w:spacing w:line="400" w:lineRule="exact"/>
              <w:ind w:firstLine="560" w:firstLineChars="200"/>
              <w:rPr>
                <w:rFonts w:ascii="宋体" w:hAnsi="宋体"/>
                <w:color w:val="auto"/>
                <w:szCs w:val="21"/>
              </w:rPr>
            </w:pPr>
          </w:p>
        </w:tc>
        <w:tc>
          <w:tcPr>
            <w:tcW w:w="1134" w:type="dxa"/>
            <w:noWrap w:val="0"/>
            <w:vAlign w:val="center"/>
          </w:tcPr>
          <w:p w14:paraId="2B9B6006">
            <w:pPr>
              <w:spacing w:line="400" w:lineRule="exact"/>
              <w:ind w:firstLine="560" w:firstLineChars="200"/>
              <w:rPr>
                <w:rFonts w:ascii="宋体" w:hAnsi="宋体"/>
                <w:color w:val="auto"/>
                <w:szCs w:val="21"/>
              </w:rPr>
            </w:pPr>
          </w:p>
        </w:tc>
        <w:tc>
          <w:tcPr>
            <w:tcW w:w="1134" w:type="dxa"/>
            <w:noWrap w:val="0"/>
            <w:vAlign w:val="center"/>
          </w:tcPr>
          <w:p w14:paraId="1419D03A">
            <w:pPr>
              <w:spacing w:line="400" w:lineRule="exact"/>
              <w:ind w:firstLine="560" w:firstLineChars="200"/>
              <w:rPr>
                <w:rFonts w:ascii="宋体" w:hAnsi="宋体"/>
                <w:color w:val="auto"/>
                <w:szCs w:val="21"/>
              </w:rPr>
            </w:pPr>
          </w:p>
        </w:tc>
        <w:tc>
          <w:tcPr>
            <w:tcW w:w="4252" w:type="dxa"/>
            <w:noWrap w:val="0"/>
            <w:vAlign w:val="center"/>
          </w:tcPr>
          <w:p w14:paraId="67762907">
            <w:pPr>
              <w:spacing w:line="400" w:lineRule="exact"/>
              <w:ind w:firstLine="560" w:firstLineChars="200"/>
              <w:rPr>
                <w:rFonts w:ascii="宋体" w:hAnsi="宋体"/>
                <w:color w:val="auto"/>
                <w:szCs w:val="21"/>
              </w:rPr>
            </w:pPr>
          </w:p>
        </w:tc>
      </w:tr>
      <w:tr w14:paraId="04D8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33EAA09">
            <w:pPr>
              <w:spacing w:line="400" w:lineRule="exact"/>
              <w:jc w:val="center"/>
              <w:rPr>
                <w:rFonts w:ascii="宋体" w:hAnsi="宋体"/>
                <w:color w:val="auto"/>
                <w:szCs w:val="21"/>
              </w:rPr>
            </w:pPr>
            <w:r>
              <w:rPr>
                <w:rFonts w:hint="eastAsia" w:ascii="宋体" w:hAnsi="宋体"/>
                <w:color w:val="auto"/>
                <w:szCs w:val="21"/>
              </w:rPr>
              <w:t>安全管理</w:t>
            </w:r>
          </w:p>
        </w:tc>
        <w:tc>
          <w:tcPr>
            <w:tcW w:w="1418" w:type="dxa"/>
            <w:noWrap w:val="0"/>
            <w:vAlign w:val="center"/>
          </w:tcPr>
          <w:p w14:paraId="2776843F">
            <w:pPr>
              <w:spacing w:line="400" w:lineRule="exact"/>
              <w:ind w:firstLine="560" w:firstLineChars="200"/>
              <w:rPr>
                <w:rFonts w:hint="eastAsia" w:ascii="宋体" w:hAnsi="宋体" w:eastAsia="宋体"/>
                <w:color w:val="auto"/>
                <w:szCs w:val="21"/>
                <w:lang w:val="en-US" w:eastAsia="zh-CN"/>
              </w:rPr>
            </w:pPr>
          </w:p>
        </w:tc>
        <w:tc>
          <w:tcPr>
            <w:tcW w:w="1134" w:type="dxa"/>
            <w:noWrap w:val="0"/>
            <w:vAlign w:val="center"/>
          </w:tcPr>
          <w:p w14:paraId="4D7E2B33">
            <w:pPr>
              <w:spacing w:line="400" w:lineRule="exact"/>
              <w:ind w:firstLine="560" w:firstLineChars="200"/>
              <w:rPr>
                <w:rFonts w:ascii="宋体" w:hAnsi="宋体"/>
                <w:color w:val="auto"/>
                <w:szCs w:val="21"/>
              </w:rPr>
            </w:pPr>
          </w:p>
        </w:tc>
        <w:tc>
          <w:tcPr>
            <w:tcW w:w="1134" w:type="dxa"/>
            <w:noWrap w:val="0"/>
            <w:vAlign w:val="center"/>
          </w:tcPr>
          <w:p w14:paraId="243DD248">
            <w:pPr>
              <w:spacing w:line="400" w:lineRule="exact"/>
              <w:ind w:firstLine="560" w:firstLineChars="200"/>
              <w:rPr>
                <w:rFonts w:ascii="宋体" w:hAnsi="宋体"/>
                <w:color w:val="auto"/>
                <w:szCs w:val="21"/>
              </w:rPr>
            </w:pPr>
          </w:p>
        </w:tc>
        <w:tc>
          <w:tcPr>
            <w:tcW w:w="4252" w:type="dxa"/>
            <w:noWrap w:val="0"/>
            <w:vAlign w:val="center"/>
          </w:tcPr>
          <w:p w14:paraId="70E6F905">
            <w:pPr>
              <w:spacing w:line="400" w:lineRule="exact"/>
              <w:ind w:firstLine="560" w:firstLineChars="200"/>
              <w:rPr>
                <w:rFonts w:ascii="宋体" w:hAnsi="宋体"/>
                <w:color w:val="auto"/>
                <w:szCs w:val="21"/>
              </w:rPr>
            </w:pPr>
          </w:p>
        </w:tc>
      </w:tr>
      <w:tr w14:paraId="28D1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FD38A01">
            <w:pPr>
              <w:spacing w:line="400" w:lineRule="exact"/>
              <w:jc w:val="center"/>
              <w:rPr>
                <w:rFonts w:ascii="宋体" w:hAnsi="宋体"/>
                <w:color w:val="auto"/>
                <w:szCs w:val="21"/>
              </w:rPr>
            </w:pPr>
            <w:r>
              <w:rPr>
                <w:rFonts w:hint="eastAsia" w:ascii="宋体" w:hAnsi="宋体"/>
                <w:color w:val="auto"/>
                <w:szCs w:val="21"/>
              </w:rPr>
              <w:t>其他人员</w:t>
            </w:r>
          </w:p>
        </w:tc>
        <w:tc>
          <w:tcPr>
            <w:tcW w:w="1418" w:type="dxa"/>
            <w:noWrap w:val="0"/>
            <w:vAlign w:val="center"/>
          </w:tcPr>
          <w:p w14:paraId="0B87B44E">
            <w:pPr>
              <w:spacing w:line="400" w:lineRule="exact"/>
              <w:ind w:firstLine="560" w:firstLineChars="200"/>
              <w:rPr>
                <w:rFonts w:ascii="宋体" w:hAnsi="宋体"/>
                <w:color w:val="auto"/>
                <w:szCs w:val="21"/>
              </w:rPr>
            </w:pPr>
          </w:p>
        </w:tc>
        <w:tc>
          <w:tcPr>
            <w:tcW w:w="1134" w:type="dxa"/>
            <w:noWrap w:val="0"/>
            <w:vAlign w:val="center"/>
          </w:tcPr>
          <w:p w14:paraId="605B6BE7">
            <w:pPr>
              <w:spacing w:line="400" w:lineRule="exact"/>
              <w:ind w:firstLine="560" w:firstLineChars="200"/>
              <w:rPr>
                <w:rFonts w:ascii="宋体" w:hAnsi="宋体"/>
                <w:color w:val="auto"/>
                <w:szCs w:val="21"/>
              </w:rPr>
            </w:pPr>
          </w:p>
        </w:tc>
        <w:tc>
          <w:tcPr>
            <w:tcW w:w="1134" w:type="dxa"/>
            <w:noWrap w:val="0"/>
            <w:vAlign w:val="center"/>
          </w:tcPr>
          <w:p w14:paraId="2CA75FB3">
            <w:pPr>
              <w:spacing w:line="400" w:lineRule="exact"/>
              <w:ind w:firstLine="560" w:firstLineChars="200"/>
              <w:rPr>
                <w:rFonts w:ascii="宋体" w:hAnsi="宋体"/>
                <w:color w:val="auto"/>
                <w:szCs w:val="21"/>
              </w:rPr>
            </w:pPr>
          </w:p>
        </w:tc>
        <w:tc>
          <w:tcPr>
            <w:tcW w:w="4252" w:type="dxa"/>
            <w:noWrap w:val="0"/>
            <w:vAlign w:val="center"/>
          </w:tcPr>
          <w:p w14:paraId="3D609586">
            <w:pPr>
              <w:spacing w:line="400" w:lineRule="exact"/>
              <w:ind w:firstLine="560" w:firstLineChars="200"/>
              <w:rPr>
                <w:rFonts w:ascii="宋体" w:hAnsi="宋体"/>
                <w:color w:val="auto"/>
                <w:szCs w:val="21"/>
              </w:rPr>
            </w:pPr>
          </w:p>
        </w:tc>
      </w:tr>
      <w:tr w14:paraId="7C4D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76368BF">
            <w:pPr>
              <w:spacing w:line="400" w:lineRule="exact"/>
              <w:ind w:firstLine="560" w:firstLineChars="200"/>
              <w:rPr>
                <w:rFonts w:ascii="宋体" w:hAnsi="宋体"/>
                <w:color w:val="auto"/>
                <w:szCs w:val="21"/>
              </w:rPr>
            </w:pPr>
          </w:p>
        </w:tc>
        <w:tc>
          <w:tcPr>
            <w:tcW w:w="1418" w:type="dxa"/>
            <w:noWrap w:val="0"/>
            <w:vAlign w:val="center"/>
          </w:tcPr>
          <w:p w14:paraId="3F68D360">
            <w:pPr>
              <w:spacing w:line="400" w:lineRule="exact"/>
              <w:ind w:firstLine="560" w:firstLineChars="200"/>
              <w:rPr>
                <w:rFonts w:ascii="宋体" w:hAnsi="宋体"/>
                <w:color w:val="auto"/>
                <w:szCs w:val="21"/>
              </w:rPr>
            </w:pPr>
          </w:p>
        </w:tc>
        <w:tc>
          <w:tcPr>
            <w:tcW w:w="1134" w:type="dxa"/>
            <w:noWrap w:val="0"/>
            <w:vAlign w:val="center"/>
          </w:tcPr>
          <w:p w14:paraId="6BACCF1D">
            <w:pPr>
              <w:spacing w:line="400" w:lineRule="exact"/>
              <w:ind w:firstLine="560" w:firstLineChars="200"/>
              <w:rPr>
                <w:rFonts w:ascii="宋体" w:hAnsi="宋体"/>
                <w:color w:val="auto"/>
                <w:szCs w:val="21"/>
              </w:rPr>
            </w:pPr>
          </w:p>
        </w:tc>
        <w:tc>
          <w:tcPr>
            <w:tcW w:w="1134" w:type="dxa"/>
            <w:noWrap w:val="0"/>
            <w:vAlign w:val="center"/>
          </w:tcPr>
          <w:p w14:paraId="33FC4F04">
            <w:pPr>
              <w:spacing w:line="400" w:lineRule="exact"/>
              <w:ind w:firstLine="560" w:firstLineChars="200"/>
              <w:rPr>
                <w:rFonts w:ascii="宋体" w:hAnsi="宋体"/>
                <w:color w:val="auto"/>
                <w:szCs w:val="21"/>
              </w:rPr>
            </w:pPr>
          </w:p>
        </w:tc>
        <w:tc>
          <w:tcPr>
            <w:tcW w:w="4252" w:type="dxa"/>
            <w:noWrap w:val="0"/>
            <w:vAlign w:val="center"/>
          </w:tcPr>
          <w:p w14:paraId="6E122440">
            <w:pPr>
              <w:spacing w:line="400" w:lineRule="exact"/>
              <w:ind w:firstLine="560" w:firstLineChars="200"/>
              <w:rPr>
                <w:rFonts w:ascii="宋体" w:hAnsi="宋体"/>
                <w:color w:val="auto"/>
                <w:szCs w:val="21"/>
              </w:rPr>
            </w:pPr>
          </w:p>
        </w:tc>
      </w:tr>
      <w:tr w14:paraId="5E46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65D4C0D">
            <w:pPr>
              <w:spacing w:line="400" w:lineRule="exact"/>
              <w:ind w:firstLine="560" w:firstLineChars="200"/>
              <w:rPr>
                <w:rFonts w:ascii="宋体" w:hAnsi="宋体"/>
                <w:color w:val="auto"/>
                <w:szCs w:val="21"/>
              </w:rPr>
            </w:pPr>
          </w:p>
        </w:tc>
        <w:tc>
          <w:tcPr>
            <w:tcW w:w="1418" w:type="dxa"/>
            <w:noWrap w:val="0"/>
            <w:vAlign w:val="center"/>
          </w:tcPr>
          <w:p w14:paraId="67BCDA1B">
            <w:pPr>
              <w:spacing w:line="400" w:lineRule="exact"/>
              <w:ind w:firstLine="560" w:firstLineChars="200"/>
              <w:rPr>
                <w:rFonts w:ascii="宋体" w:hAnsi="宋体"/>
                <w:color w:val="auto"/>
                <w:szCs w:val="21"/>
              </w:rPr>
            </w:pPr>
          </w:p>
        </w:tc>
        <w:tc>
          <w:tcPr>
            <w:tcW w:w="1134" w:type="dxa"/>
            <w:noWrap w:val="0"/>
            <w:vAlign w:val="center"/>
          </w:tcPr>
          <w:p w14:paraId="065D04C7">
            <w:pPr>
              <w:spacing w:line="400" w:lineRule="exact"/>
              <w:ind w:firstLine="560" w:firstLineChars="200"/>
              <w:rPr>
                <w:rFonts w:ascii="宋体" w:hAnsi="宋体"/>
                <w:color w:val="auto"/>
                <w:szCs w:val="21"/>
              </w:rPr>
            </w:pPr>
          </w:p>
        </w:tc>
        <w:tc>
          <w:tcPr>
            <w:tcW w:w="1134" w:type="dxa"/>
            <w:noWrap w:val="0"/>
            <w:vAlign w:val="center"/>
          </w:tcPr>
          <w:p w14:paraId="57BEA5C9">
            <w:pPr>
              <w:spacing w:line="400" w:lineRule="exact"/>
              <w:ind w:firstLine="560" w:firstLineChars="200"/>
              <w:rPr>
                <w:rFonts w:ascii="宋体" w:hAnsi="宋体"/>
                <w:color w:val="auto"/>
                <w:szCs w:val="21"/>
              </w:rPr>
            </w:pPr>
          </w:p>
        </w:tc>
        <w:tc>
          <w:tcPr>
            <w:tcW w:w="4252" w:type="dxa"/>
            <w:noWrap w:val="0"/>
            <w:vAlign w:val="center"/>
          </w:tcPr>
          <w:p w14:paraId="26BAD9E1">
            <w:pPr>
              <w:spacing w:line="400" w:lineRule="exact"/>
              <w:ind w:firstLine="560" w:firstLineChars="200"/>
              <w:rPr>
                <w:rFonts w:ascii="宋体" w:hAnsi="宋体"/>
                <w:color w:val="auto"/>
                <w:szCs w:val="21"/>
              </w:rPr>
            </w:pPr>
          </w:p>
        </w:tc>
      </w:tr>
      <w:tr w14:paraId="1CFD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noWrap w:val="0"/>
            <w:vAlign w:val="center"/>
          </w:tcPr>
          <w:p w14:paraId="4FCC03F2">
            <w:pPr>
              <w:spacing w:line="400" w:lineRule="exact"/>
              <w:ind w:firstLine="560" w:firstLineChars="200"/>
              <w:rPr>
                <w:rFonts w:ascii="宋体" w:hAnsi="宋体"/>
                <w:color w:val="auto"/>
                <w:szCs w:val="21"/>
              </w:rPr>
            </w:pPr>
          </w:p>
        </w:tc>
        <w:tc>
          <w:tcPr>
            <w:tcW w:w="1418" w:type="dxa"/>
            <w:noWrap w:val="0"/>
            <w:vAlign w:val="center"/>
          </w:tcPr>
          <w:p w14:paraId="2AB356B1">
            <w:pPr>
              <w:spacing w:line="400" w:lineRule="exact"/>
              <w:ind w:firstLine="560" w:firstLineChars="200"/>
              <w:rPr>
                <w:rFonts w:ascii="宋体" w:hAnsi="宋体"/>
                <w:color w:val="auto"/>
                <w:szCs w:val="21"/>
              </w:rPr>
            </w:pPr>
          </w:p>
        </w:tc>
        <w:tc>
          <w:tcPr>
            <w:tcW w:w="1134" w:type="dxa"/>
            <w:noWrap w:val="0"/>
            <w:vAlign w:val="center"/>
          </w:tcPr>
          <w:p w14:paraId="739428E2">
            <w:pPr>
              <w:spacing w:line="400" w:lineRule="exact"/>
              <w:ind w:firstLine="560" w:firstLineChars="200"/>
              <w:rPr>
                <w:rFonts w:ascii="宋体" w:hAnsi="宋体"/>
                <w:color w:val="auto"/>
                <w:szCs w:val="21"/>
              </w:rPr>
            </w:pPr>
          </w:p>
        </w:tc>
        <w:tc>
          <w:tcPr>
            <w:tcW w:w="1134" w:type="dxa"/>
            <w:noWrap w:val="0"/>
            <w:vAlign w:val="center"/>
          </w:tcPr>
          <w:p w14:paraId="3057F814">
            <w:pPr>
              <w:spacing w:line="400" w:lineRule="exact"/>
              <w:ind w:firstLine="560" w:firstLineChars="200"/>
              <w:rPr>
                <w:rFonts w:ascii="宋体" w:hAnsi="宋体"/>
                <w:color w:val="auto"/>
                <w:szCs w:val="21"/>
              </w:rPr>
            </w:pPr>
          </w:p>
        </w:tc>
        <w:tc>
          <w:tcPr>
            <w:tcW w:w="4252" w:type="dxa"/>
            <w:noWrap w:val="0"/>
            <w:vAlign w:val="center"/>
          </w:tcPr>
          <w:p w14:paraId="24C596FE">
            <w:pPr>
              <w:spacing w:line="400" w:lineRule="exact"/>
              <w:ind w:firstLine="560" w:firstLineChars="200"/>
              <w:rPr>
                <w:rFonts w:ascii="宋体" w:hAnsi="宋体"/>
                <w:color w:val="auto"/>
                <w:szCs w:val="21"/>
              </w:rPr>
            </w:pPr>
          </w:p>
        </w:tc>
      </w:tr>
      <w:tr w14:paraId="5529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noWrap w:val="0"/>
            <w:vAlign w:val="center"/>
          </w:tcPr>
          <w:p w14:paraId="5B513A1A">
            <w:pPr>
              <w:spacing w:line="400" w:lineRule="exact"/>
              <w:ind w:firstLine="560" w:firstLineChars="200"/>
              <w:rPr>
                <w:rFonts w:ascii="宋体" w:hAnsi="宋体"/>
                <w:color w:val="auto"/>
                <w:szCs w:val="21"/>
              </w:rPr>
            </w:pPr>
          </w:p>
        </w:tc>
        <w:tc>
          <w:tcPr>
            <w:tcW w:w="1418" w:type="dxa"/>
            <w:noWrap w:val="0"/>
            <w:vAlign w:val="center"/>
          </w:tcPr>
          <w:p w14:paraId="2C082409">
            <w:pPr>
              <w:spacing w:line="400" w:lineRule="exact"/>
              <w:ind w:firstLine="560" w:firstLineChars="200"/>
              <w:rPr>
                <w:rFonts w:ascii="宋体" w:hAnsi="宋体"/>
                <w:color w:val="auto"/>
                <w:szCs w:val="21"/>
              </w:rPr>
            </w:pPr>
          </w:p>
        </w:tc>
        <w:tc>
          <w:tcPr>
            <w:tcW w:w="1134" w:type="dxa"/>
            <w:noWrap w:val="0"/>
            <w:vAlign w:val="center"/>
          </w:tcPr>
          <w:p w14:paraId="0720EBF1">
            <w:pPr>
              <w:spacing w:line="400" w:lineRule="exact"/>
              <w:ind w:firstLine="560" w:firstLineChars="200"/>
              <w:rPr>
                <w:rFonts w:ascii="宋体" w:hAnsi="宋体"/>
                <w:color w:val="auto"/>
                <w:szCs w:val="21"/>
              </w:rPr>
            </w:pPr>
          </w:p>
        </w:tc>
        <w:tc>
          <w:tcPr>
            <w:tcW w:w="1134" w:type="dxa"/>
            <w:noWrap w:val="0"/>
            <w:vAlign w:val="center"/>
          </w:tcPr>
          <w:p w14:paraId="4BCD8BA2">
            <w:pPr>
              <w:spacing w:line="400" w:lineRule="exact"/>
              <w:ind w:firstLine="560" w:firstLineChars="200"/>
              <w:rPr>
                <w:rFonts w:ascii="宋体" w:hAnsi="宋体"/>
                <w:color w:val="auto"/>
                <w:szCs w:val="21"/>
              </w:rPr>
            </w:pPr>
          </w:p>
        </w:tc>
        <w:tc>
          <w:tcPr>
            <w:tcW w:w="4252" w:type="dxa"/>
            <w:noWrap w:val="0"/>
            <w:vAlign w:val="center"/>
          </w:tcPr>
          <w:p w14:paraId="76A014AE">
            <w:pPr>
              <w:spacing w:line="400" w:lineRule="exact"/>
              <w:ind w:firstLine="560" w:firstLineChars="200"/>
              <w:rPr>
                <w:rFonts w:ascii="宋体" w:hAnsi="宋体"/>
                <w:color w:val="auto"/>
                <w:szCs w:val="21"/>
              </w:rPr>
            </w:pPr>
          </w:p>
        </w:tc>
      </w:tr>
    </w:tbl>
    <w:p w14:paraId="15D1A4E6">
      <w:pPr>
        <w:widowControl/>
        <w:spacing w:line="360" w:lineRule="auto"/>
        <w:jc w:val="left"/>
        <w:rPr>
          <w:rFonts w:ascii="宋体" w:hAnsi="宋体"/>
          <w:color w:val="auto"/>
          <w:szCs w:val="21"/>
        </w:rPr>
      </w:pPr>
      <w:r>
        <w:rPr>
          <w:rFonts w:hint="eastAsia" w:ascii="宋体" w:hAnsi="宋体"/>
          <w:color w:val="auto"/>
          <w:szCs w:val="21"/>
        </w:rPr>
        <w:br w:type="page"/>
      </w:r>
    </w:p>
    <w:p w14:paraId="7F11BB89">
      <w:pPr>
        <w:spacing w:line="480" w:lineRule="auto"/>
        <w:rPr>
          <w:rFonts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3</w:t>
      </w:r>
      <w:r>
        <w:rPr>
          <w:rFonts w:hint="eastAsia" w:ascii="宋体" w:hAnsi="宋体"/>
          <w:color w:val="auto"/>
          <w:szCs w:val="21"/>
        </w:rPr>
        <w:t>：</w:t>
      </w:r>
    </w:p>
    <w:p w14:paraId="2B9289CD">
      <w:pPr>
        <w:keepNext w:val="0"/>
        <w:keepLines w:val="0"/>
        <w:pageBreakBefore w:val="0"/>
        <w:widowControl/>
        <w:kinsoku/>
        <w:wordWrap/>
        <w:overflowPunct/>
        <w:topLinePunct w:val="0"/>
        <w:autoSpaceDE/>
        <w:autoSpaceDN/>
        <w:bidi w:val="0"/>
        <w:adjustRightInd/>
        <w:snapToGrid/>
        <w:spacing w:before="0" w:beforeLines="0" w:after="0" w:afterLines="0" w:line="574"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w:t>
      </w:r>
      <w:r>
        <w:rPr>
          <w:rFonts w:hint="eastAsia" w:ascii="宋体" w:hAnsi="宋体"/>
          <w:color w:val="auto"/>
          <w:szCs w:val="21"/>
          <w:lang w:eastAsia="zh-CN"/>
        </w:rPr>
        <w:t>廉</w:t>
      </w:r>
      <w:r>
        <w:rPr>
          <w:rFonts w:hint="eastAsia" w:ascii="宋体" w:hAnsi="宋体"/>
          <w:color w:val="auto"/>
          <w:szCs w:val="21"/>
          <w:lang w:val="en-US" w:eastAsia="zh-CN"/>
        </w:rPr>
        <w:t xml:space="preserve"> </w:t>
      </w:r>
      <w:r>
        <w:rPr>
          <w:rFonts w:hint="eastAsia" w:ascii="宋体" w:hAnsi="宋体"/>
          <w:color w:val="auto"/>
          <w:szCs w:val="21"/>
          <w:lang w:eastAsia="zh-CN"/>
        </w:rPr>
        <w:t>政</w:t>
      </w:r>
      <w:r>
        <w:rPr>
          <w:rFonts w:hint="eastAsia" w:ascii="宋体" w:hAnsi="宋体"/>
          <w:color w:val="auto"/>
          <w:szCs w:val="21"/>
          <w:lang w:val="en-US" w:eastAsia="zh-CN"/>
        </w:rPr>
        <w:t xml:space="preserve"> </w:t>
      </w:r>
      <w:r>
        <w:rPr>
          <w:rFonts w:hint="eastAsia" w:ascii="宋体" w:hAnsi="宋体"/>
          <w:color w:val="auto"/>
          <w:szCs w:val="21"/>
          <w:lang w:eastAsia="zh-CN"/>
        </w:rPr>
        <w:t>合</w:t>
      </w:r>
      <w:r>
        <w:rPr>
          <w:rFonts w:hint="eastAsia" w:ascii="宋体" w:hAnsi="宋体"/>
          <w:color w:val="auto"/>
          <w:szCs w:val="21"/>
          <w:lang w:val="en-US" w:eastAsia="zh-CN"/>
        </w:rPr>
        <w:t xml:space="preserve"> </w:t>
      </w:r>
      <w:r>
        <w:rPr>
          <w:rFonts w:hint="eastAsia" w:ascii="宋体" w:hAnsi="宋体"/>
          <w:color w:val="auto"/>
          <w:szCs w:val="21"/>
          <w:lang w:eastAsia="zh-CN"/>
        </w:rPr>
        <w:t>同</w:t>
      </w:r>
    </w:p>
    <w:p w14:paraId="365D3576">
      <w:pPr>
        <w:keepNext w:val="0"/>
        <w:keepLines w:val="0"/>
        <w:pageBreakBefore w:val="0"/>
        <w:widowControl/>
        <w:kinsoku/>
        <w:wordWrap/>
        <w:overflowPunct/>
        <w:topLinePunct w:val="0"/>
        <w:autoSpaceDE/>
        <w:autoSpaceDN/>
        <w:bidi w:val="0"/>
        <w:adjustRightInd/>
        <w:snapToGrid/>
        <w:spacing w:before="0" w:beforeLines="0" w:after="0" w:afterLines="0" w:line="574" w:lineRule="exact"/>
        <w:ind w:left="0" w:leftChars="0" w:right="0" w:rightChars="0"/>
        <w:jc w:val="center"/>
        <w:textAlignment w:val="auto"/>
        <w:outlineLvl w:val="9"/>
        <w:rPr>
          <w:rFonts w:hint="eastAsia" w:ascii="方正仿宋_GBK" w:hAnsi="方正仿宋_GBK" w:eastAsia="方正仿宋_GBK" w:cs="方正仿宋_GBK"/>
          <w:color w:val="auto"/>
          <w:sz w:val="32"/>
          <w:szCs w:val="32"/>
        </w:rPr>
      </w:pPr>
    </w:p>
    <w:p w14:paraId="33150E6B">
      <w:pPr>
        <w:spacing w:line="360" w:lineRule="auto"/>
        <w:ind w:firstLine="560" w:firstLineChars="200"/>
        <w:jc w:val="left"/>
        <w:rPr>
          <w:rFonts w:hint="eastAsia" w:ascii="宋体" w:hAnsi="宋体"/>
          <w:color w:val="auto"/>
          <w:szCs w:val="21"/>
        </w:rPr>
      </w:pPr>
      <w:r>
        <w:rPr>
          <w:rFonts w:hint="eastAsia" w:ascii="宋体" w:hAnsi="宋体"/>
          <w:color w:val="auto"/>
          <w:szCs w:val="21"/>
        </w:rPr>
        <w:t>甲方：</w:t>
      </w:r>
      <w:r>
        <w:rPr>
          <w:rFonts w:hint="eastAsia" w:ascii="宋体" w:hAnsi="宋体"/>
          <w:color w:val="auto"/>
          <w:szCs w:val="21"/>
          <w:u w:val="single"/>
        </w:rPr>
        <w:t>重庆</w:t>
      </w:r>
      <w:r>
        <w:rPr>
          <w:rFonts w:hint="eastAsia" w:ascii="宋体" w:hAnsi="宋体"/>
          <w:color w:val="auto"/>
          <w:szCs w:val="21"/>
          <w:u w:val="single"/>
          <w:lang w:eastAsia="zh-CN"/>
        </w:rPr>
        <w:t>新翔源鞋业有限责任公司</w:t>
      </w:r>
    </w:p>
    <w:p w14:paraId="2754F1B5">
      <w:pPr>
        <w:spacing w:line="360" w:lineRule="auto"/>
        <w:ind w:firstLine="560" w:firstLineChars="200"/>
        <w:jc w:val="left"/>
        <w:rPr>
          <w:rFonts w:hint="default" w:ascii="宋体" w:hAnsi="宋体"/>
          <w:color w:val="auto"/>
          <w:szCs w:val="21"/>
          <w:lang w:val="en-US"/>
        </w:rPr>
      </w:pPr>
      <w:r>
        <w:rPr>
          <w:rFonts w:hint="eastAsia" w:ascii="宋体" w:hAnsi="宋体"/>
          <w:color w:val="auto"/>
          <w:szCs w:val="21"/>
        </w:rPr>
        <w:t>乙方：</w:t>
      </w:r>
      <w:r>
        <w:rPr>
          <w:rFonts w:hint="eastAsia" w:ascii="宋体" w:hAnsi="宋体" w:cs="Times New Roman"/>
          <w:color w:val="auto"/>
          <w:szCs w:val="21"/>
          <w:u w:val="single"/>
          <w:lang w:val="en-US" w:eastAsia="zh-CN"/>
        </w:rPr>
        <w:t xml:space="preserve">          </w:t>
      </w:r>
    </w:p>
    <w:p w14:paraId="62313F8E">
      <w:pPr>
        <w:spacing w:line="360" w:lineRule="auto"/>
        <w:ind w:firstLine="560" w:firstLineChars="200"/>
        <w:jc w:val="left"/>
        <w:rPr>
          <w:rFonts w:hint="eastAsia" w:ascii="宋体" w:hAnsi="宋体"/>
          <w:color w:val="auto"/>
          <w:szCs w:val="21"/>
        </w:rPr>
      </w:pPr>
    </w:p>
    <w:p w14:paraId="1F272D6B">
      <w:pPr>
        <w:spacing w:line="360" w:lineRule="auto"/>
        <w:ind w:firstLine="560" w:firstLineChars="200"/>
        <w:jc w:val="left"/>
        <w:rPr>
          <w:rFonts w:hint="eastAsia" w:ascii="宋体" w:hAnsi="宋体"/>
          <w:color w:val="auto"/>
          <w:szCs w:val="21"/>
        </w:rPr>
      </w:pPr>
      <w:r>
        <w:rPr>
          <w:rFonts w:hint="eastAsia" w:ascii="宋体" w:hAnsi="宋体"/>
          <w:color w:val="auto"/>
          <w:szCs w:val="21"/>
        </w:rPr>
        <w:t>为</w:t>
      </w:r>
      <w:r>
        <w:rPr>
          <w:rFonts w:hint="eastAsia" w:ascii="宋体" w:hAnsi="宋体"/>
          <w:color w:val="auto"/>
          <w:szCs w:val="21"/>
          <w:lang w:eastAsia="zh-CN"/>
        </w:rPr>
        <w:t>进一步巩固“亲清”政商关系，确保合作双方“平等、互利、诚信、守法”，</w:t>
      </w:r>
      <w:r>
        <w:rPr>
          <w:rFonts w:hint="eastAsia" w:ascii="宋体" w:hAnsi="宋体"/>
          <w:color w:val="auto"/>
          <w:szCs w:val="21"/>
        </w:rPr>
        <w:t>根据国家法律法规和廉政建设</w:t>
      </w:r>
      <w:r>
        <w:rPr>
          <w:rFonts w:hint="eastAsia" w:ascii="宋体" w:hAnsi="宋体"/>
          <w:color w:val="auto"/>
          <w:szCs w:val="21"/>
          <w:lang w:eastAsia="zh-CN"/>
        </w:rPr>
        <w:t>相关</w:t>
      </w:r>
      <w:r>
        <w:rPr>
          <w:rFonts w:hint="eastAsia" w:ascii="宋体" w:hAnsi="宋体"/>
          <w:color w:val="auto"/>
          <w:szCs w:val="21"/>
        </w:rPr>
        <w:t>规定，经</w:t>
      </w:r>
      <w:r>
        <w:rPr>
          <w:rFonts w:hint="eastAsia" w:ascii="宋体" w:hAnsi="宋体"/>
          <w:color w:val="auto"/>
          <w:szCs w:val="21"/>
          <w:lang w:val="en-US" w:eastAsia="zh-CN"/>
        </w:rPr>
        <w:t>甲乙双方</w:t>
      </w:r>
      <w:r>
        <w:rPr>
          <w:rFonts w:hint="eastAsia" w:ascii="宋体" w:hAnsi="宋体"/>
          <w:color w:val="auto"/>
          <w:szCs w:val="21"/>
        </w:rPr>
        <w:t>友好协商</w:t>
      </w:r>
      <w:r>
        <w:rPr>
          <w:rFonts w:hint="eastAsia" w:ascii="宋体" w:hAnsi="宋体"/>
          <w:color w:val="auto"/>
          <w:szCs w:val="21"/>
          <w:lang w:eastAsia="zh-CN"/>
        </w:rPr>
        <w:t>，</w:t>
      </w:r>
      <w:r>
        <w:rPr>
          <w:rFonts w:hint="eastAsia" w:ascii="宋体" w:hAnsi="宋体"/>
          <w:color w:val="auto"/>
          <w:szCs w:val="21"/>
          <w:lang w:val="en-US" w:eastAsia="zh-CN"/>
        </w:rPr>
        <w:t>并遵循平等、自愿、公平、诚信、廉洁的原则，订立以下条款，</w:t>
      </w:r>
      <w:r>
        <w:rPr>
          <w:rFonts w:hint="eastAsia" w:ascii="宋体" w:hAnsi="宋体"/>
          <w:color w:val="auto"/>
          <w:szCs w:val="21"/>
        </w:rPr>
        <w:t>以资共同遵守。</w:t>
      </w:r>
    </w:p>
    <w:p w14:paraId="106259DA">
      <w:pPr>
        <w:spacing w:line="360" w:lineRule="auto"/>
        <w:ind w:firstLine="560" w:firstLineChars="200"/>
        <w:jc w:val="left"/>
        <w:rPr>
          <w:rFonts w:hint="eastAsia" w:ascii="宋体" w:hAnsi="宋体"/>
          <w:color w:val="auto"/>
          <w:szCs w:val="21"/>
          <w:lang w:eastAsia="zh-CN"/>
        </w:rPr>
      </w:pPr>
      <w:r>
        <w:rPr>
          <w:rFonts w:hint="eastAsia" w:ascii="宋体" w:hAnsi="宋体"/>
          <w:color w:val="auto"/>
          <w:szCs w:val="21"/>
          <w:lang w:val="en-US" w:eastAsia="zh-CN"/>
        </w:rPr>
        <w:t xml:space="preserve">第一条 </w:t>
      </w:r>
      <w:r>
        <w:rPr>
          <w:rFonts w:hint="eastAsia" w:ascii="宋体" w:hAnsi="宋体"/>
          <w:color w:val="auto"/>
          <w:szCs w:val="21"/>
        </w:rPr>
        <w:t>甲乙双方</w:t>
      </w:r>
      <w:r>
        <w:rPr>
          <w:rFonts w:hint="eastAsia" w:ascii="宋体" w:hAnsi="宋体"/>
          <w:color w:val="auto"/>
          <w:szCs w:val="21"/>
          <w:lang w:eastAsia="zh-CN"/>
        </w:rPr>
        <w:t>责任</w:t>
      </w:r>
    </w:p>
    <w:p w14:paraId="572CFFD5">
      <w:pPr>
        <w:spacing w:line="360" w:lineRule="auto"/>
        <w:ind w:firstLine="560" w:firstLineChars="200"/>
        <w:jc w:val="left"/>
        <w:rPr>
          <w:rFonts w:hint="eastAsia" w:ascii="宋体" w:hAnsi="宋体"/>
          <w:color w:val="auto"/>
          <w:szCs w:val="21"/>
        </w:rPr>
      </w:pPr>
      <w:r>
        <w:rPr>
          <w:rFonts w:hint="eastAsia" w:ascii="宋体" w:hAnsi="宋体"/>
          <w:color w:val="auto"/>
          <w:szCs w:val="21"/>
          <w:lang w:eastAsia="zh-CN"/>
        </w:rPr>
        <w:t>（一）甲乙双方</w:t>
      </w:r>
      <w:r>
        <w:rPr>
          <w:rFonts w:hint="eastAsia" w:ascii="宋体" w:hAnsi="宋体"/>
          <w:color w:val="auto"/>
          <w:szCs w:val="21"/>
        </w:rPr>
        <w:t>应当自觉遵守</w:t>
      </w:r>
      <w:r>
        <w:rPr>
          <w:rFonts w:hint="eastAsia" w:ascii="宋体" w:hAnsi="宋体"/>
          <w:color w:val="auto"/>
          <w:szCs w:val="21"/>
          <w:lang w:val="en-US" w:eastAsia="zh-CN"/>
        </w:rPr>
        <w:t>党和</w:t>
      </w:r>
      <w:r>
        <w:rPr>
          <w:rFonts w:hint="eastAsia" w:ascii="宋体" w:hAnsi="宋体"/>
          <w:color w:val="auto"/>
          <w:szCs w:val="21"/>
        </w:rPr>
        <w:t>国家法律法规及</w:t>
      </w:r>
      <w:r>
        <w:rPr>
          <w:rFonts w:hint="eastAsia" w:ascii="宋体" w:hAnsi="宋体"/>
          <w:color w:val="auto"/>
          <w:szCs w:val="21"/>
          <w:lang w:val="en-US" w:eastAsia="zh-CN"/>
        </w:rPr>
        <w:t>廉政建设</w:t>
      </w:r>
      <w:r>
        <w:rPr>
          <w:rFonts w:hint="eastAsia" w:ascii="宋体" w:hAnsi="宋体"/>
          <w:color w:val="auto"/>
          <w:szCs w:val="21"/>
        </w:rPr>
        <w:t>有关规定。</w:t>
      </w:r>
    </w:p>
    <w:p w14:paraId="7ED453FD">
      <w:pPr>
        <w:spacing w:line="360" w:lineRule="auto"/>
        <w:ind w:firstLine="560" w:firstLineChars="200"/>
        <w:jc w:val="left"/>
        <w:rPr>
          <w:rFonts w:hint="eastAsia" w:ascii="宋体" w:hAnsi="宋体"/>
          <w:color w:val="auto"/>
          <w:szCs w:val="21"/>
        </w:rPr>
      </w:pPr>
      <w:r>
        <w:rPr>
          <w:rFonts w:hint="eastAsia" w:ascii="宋体" w:hAnsi="宋体"/>
          <w:color w:val="auto"/>
          <w:szCs w:val="21"/>
          <w:lang w:eastAsia="zh-CN"/>
        </w:rPr>
        <w:t>（二）</w:t>
      </w:r>
      <w:r>
        <w:rPr>
          <w:rFonts w:hint="eastAsia" w:ascii="宋体" w:hAnsi="宋体"/>
          <w:color w:val="auto"/>
          <w:szCs w:val="21"/>
          <w:lang w:val="en-US" w:eastAsia="zh-CN"/>
        </w:rPr>
        <w:t>甲乙双方应当严格按照生效的物资（服务）采购、合同履行义务，</w:t>
      </w:r>
      <w:r>
        <w:rPr>
          <w:rFonts w:hint="eastAsia" w:ascii="宋体" w:hAnsi="宋体"/>
          <w:color w:val="auto"/>
          <w:szCs w:val="21"/>
        </w:rPr>
        <w:t>不得损害国家和集体利益，违反</w:t>
      </w:r>
      <w:r>
        <w:rPr>
          <w:rFonts w:hint="eastAsia" w:ascii="宋体" w:hAnsi="宋体"/>
          <w:color w:val="auto"/>
          <w:szCs w:val="21"/>
          <w:lang w:eastAsia="zh-CN"/>
        </w:rPr>
        <w:t>相关</w:t>
      </w:r>
      <w:r>
        <w:rPr>
          <w:rFonts w:hint="eastAsia" w:ascii="宋体" w:hAnsi="宋体"/>
          <w:color w:val="auto"/>
          <w:szCs w:val="21"/>
        </w:rPr>
        <w:t>管理规章制度。</w:t>
      </w:r>
    </w:p>
    <w:p w14:paraId="396F40EB">
      <w:pPr>
        <w:spacing w:line="360" w:lineRule="auto"/>
        <w:ind w:firstLine="560" w:firstLineChars="200"/>
        <w:jc w:val="left"/>
        <w:rPr>
          <w:rFonts w:hint="eastAsia" w:ascii="宋体" w:hAnsi="宋体"/>
          <w:color w:val="auto"/>
          <w:szCs w:val="21"/>
          <w:lang w:eastAsia="zh-CN"/>
        </w:rPr>
      </w:pPr>
      <w:r>
        <w:rPr>
          <w:rFonts w:hint="eastAsia" w:ascii="宋体" w:hAnsi="宋体"/>
          <w:color w:val="auto"/>
          <w:szCs w:val="21"/>
          <w:lang w:eastAsia="zh-CN"/>
        </w:rPr>
        <w:t>（三）甲乙双方应当加强对工作人员的教育管理监督，认真查处违反廉政规定的行为。</w:t>
      </w:r>
    </w:p>
    <w:p w14:paraId="7DB20809">
      <w:pPr>
        <w:spacing w:line="360" w:lineRule="auto"/>
        <w:ind w:firstLine="560" w:firstLineChars="200"/>
        <w:jc w:val="left"/>
        <w:rPr>
          <w:rFonts w:hint="eastAsia" w:ascii="宋体" w:hAnsi="宋体"/>
          <w:color w:val="auto"/>
          <w:szCs w:val="21"/>
          <w:lang w:eastAsia="zh-CN"/>
        </w:rPr>
      </w:pPr>
      <w:r>
        <w:rPr>
          <w:rFonts w:hint="eastAsia" w:ascii="宋体" w:hAnsi="宋体"/>
          <w:color w:val="auto"/>
          <w:szCs w:val="21"/>
          <w:lang w:eastAsia="zh-CN"/>
        </w:rPr>
        <w:t>（四）</w:t>
      </w:r>
      <w:r>
        <w:rPr>
          <w:rFonts w:hint="eastAsia" w:ascii="宋体" w:hAnsi="宋体"/>
          <w:color w:val="auto"/>
          <w:szCs w:val="21"/>
        </w:rPr>
        <w:t>任何一方发现对方在业务活动中有违反廉政规定的行为，有及时提醒纠正的权利和义务</w:t>
      </w:r>
      <w:r>
        <w:rPr>
          <w:rFonts w:hint="eastAsia" w:ascii="宋体" w:hAnsi="宋体"/>
          <w:color w:val="auto"/>
          <w:szCs w:val="21"/>
          <w:lang w:eastAsia="zh-CN"/>
        </w:rPr>
        <w:t>，情节严重的，应向其上级有关部门举报。</w:t>
      </w:r>
    </w:p>
    <w:p w14:paraId="602AA032">
      <w:pPr>
        <w:spacing w:line="360" w:lineRule="auto"/>
        <w:ind w:firstLine="560" w:firstLineChars="200"/>
        <w:jc w:val="left"/>
        <w:rPr>
          <w:rFonts w:hint="eastAsia" w:ascii="宋体" w:hAnsi="宋体"/>
          <w:color w:val="auto"/>
          <w:szCs w:val="21"/>
          <w:lang w:eastAsia="zh-CN"/>
        </w:rPr>
      </w:pPr>
      <w:r>
        <w:rPr>
          <w:rFonts w:hint="eastAsia" w:ascii="宋体" w:hAnsi="宋体"/>
          <w:color w:val="auto"/>
          <w:szCs w:val="21"/>
          <w:lang w:val="en-US" w:eastAsia="zh-CN"/>
        </w:rPr>
        <w:t>第二条 甲方</w:t>
      </w:r>
      <w:r>
        <w:rPr>
          <w:rFonts w:hint="eastAsia" w:ascii="宋体" w:hAnsi="宋体"/>
          <w:color w:val="auto"/>
          <w:szCs w:val="21"/>
        </w:rPr>
        <w:t>应遵守</w:t>
      </w:r>
      <w:r>
        <w:rPr>
          <w:rFonts w:hint="eastAsia" w:ascii="宋体" w:hAnsi="宋体"/>
          <w:color w:val="auto"/>
          <w:szCs w:val="21"/>
          <w:lang w:eastAsia="zh-CN"/>
        </w:rPr>
        <w:t>以下内容</w:t>
      </w:r>
    </w:p>
    <w:p w14:paraId="6C919F0E">
      <w:pPr>
        <w:spacing w:line="360" w:lineRule="auto"/>
        <w:ind w:firstLine="560" w:firstLineChars="200"/>
        <w:jc w:val="left"/>
        <w:rPr>
          <w:rFonts w:hint="eastAsia" w:ascii="宋体" w:hAnsi="宋体"/>
          <w:color w:val="auto"/>
          <w:szCs w:val="21"/>
        </w:rPr>
      </w:pPr>
      <w:r>
        <w:rPr>
          <w:rFonts w:hint="eastAsia" w:ascii="宋体" w:hAnsi="宋体"/>
          <w:color w:val="auto"/>
          <w:szCs w:val="21"/>
          <w:lang w:val="en-US" w:eastAsia="zh-CN"/>
        </w:rPr>
        <w:t>（一）甲方及其工作人员</w:t>
      </w:r>
      <w:r>
        <w:rPr>
          <w:rFonts w:hint="eastAsia" w:ascii="宋体" w:hAnsi="宋体"/>
          <w:color w:val="auto"/>
          <w:szCs w:val="21"/>
        </w:rPr>
        <w:t>应当保持与乙方的正常业务交往，不得以任何形式接受</w:t>
      </w:r>
      <w:r>
        <w:rPr>
          <w:rFonts w:hint="eastAsia" w:ascii="宋体" w:hAnsi="宋体"/>
          <w:color w:val="auto"/>
          <w:szCs w:val="21"/>
          <w:lang w:eastAsia="zh-CN"/>
        </w:rPr>
        <w:t>或索要</w:t>
      </w:r>
      <w:r>
        <w:rPr>
          <w:rFonts w:hint="eastAsia" w:ascii="宋体" w:hAnsi="宋体"/>
          <w:color w:val="auto"/>
          <w:szCs w:val="21"/>
        </w:rPr>
        <w:t>乙方的实物、现金或礼券</w:t>
      </w:r>
      <w:r>
        <w:rPr>
          <w:rFonts w:hint="eastAsia" w:ascii="宋体" w:hAnsi="宋体"/>
          <w:color w:val="auto"/>
          <w:szCs w:val="21"/>
          <w:lang w:eastAsia="zh-CN"/>
        </w:rPr>
        <w:t>；</w:t>
      </w:r>
    </w:p>
    <w:p w14:paraId="2D7872F9">
      <w:pPr>
        <w:spacing w:line="360" w:lineRule="auto"/>
        <w:ind w:firstLine="560" w:firstLineChars="200"/>
        <w:jc w:val="left"/>
        <w:rPr>
          <w:rFonts w:hint="eastAsia" w:ascii="宋体" w:hAnsi="宋体"/>
          <w:color w:val="auto"/>
          <w:szCs w:val="21"/>
        </w:rPr>
      </w:pPr>
      <w:r>
        <w:rPr>
          <w:rFonts w:hint="eastAsia" w:ascii="宋体" w:hAnsi="宋体"/>
          <w:color w:val="auto"/>
          <w:szCs w:val="21"/>
          <w:lang w:eastAsia="zh-CN"/>
        </w:rPr>
        <w:t>（二）</w:t>
      </w:r>
      <w:r>
        <w:rPr>
          <w:rFonts w:hint="eastAsia" w:ascii="宋体" w:hAnsi="宋体"/>
          <w:color w:val="auto"/>
          <w:szCs w:val="21"/>
          <w:lang w:val="en-US" w:eastAsia="zh-CN"/>
        </w:rPr>
        <w:t>甲方及其工作人员</w:t>
      </w:r>
      <w:r>
        <w:rPr>
          <w:rFonts w:hint="eastAsia" w:ascii="宋体" w:hAnsi="宋体"/>
          <w:color w:val="auto"/>
          <w:szCs w:val="21"/>
        </w:rPr>
        <w:t>不得在乙方报销任何应由个人支付的费用；</w:t>
      </w:r>
    </w:p>
    <w:p w14:paraId="4CBF1D3C">
      <w:pPr>
        <w:spacing w:line="360" w:lineRule="auto"/>
        <w:ind w:firstLine="560" w:firstLineChars="200"/>
        <w:jc w:val="left"/>
        <w:rPr>
          <w:rFonts w:hint="eastAsia" w:ascii="宋体" w:hAnsi="宋体"/>
          <w:color w:val="auto"/>
          <w:szCs w:val="21"/>
        </w:rPr>
      </w:pPr>
      <w:r>
        <w:rPr>
          <w:rFonts w:hint="eastAsia" w:ascii="宋体" w:hAnsi="宋体"/>
          <w:color w:val="auto"/>
          <w:szCs w:val="21"/>
        </w:rPr>
        <w:t>　　</w:t>
      </w:r>
      <w:r>
        <w:rPr>
          <w:rFonts w:hint="eastAsia" w:ascii="宋体" w:hAnsi="宋体"/>
          <w:color w:val="auto"/>
          <w:szCs w:val="21"/>
          <w:lang w:eastAsia="zh-CN"/>
        </w:rPr>
        <w:t>（三）</w:t>
      </w:r>
      <w:r>
        <w:rPr>
          <w:rFonts w:hint="eastAsia" w:ascii="宋体" w:hAnsi="宋体"/>
          <w:color w:val="auto"/>
          <w:szCs w:val="21"/>
          <w:lang w:val="en-US" w:eastAsia="zh-CN"/>
        </w:rPr>
        <w:t>甲方及其工作人员</w:t>
      </w:r>
      <w:r>
        <w:rPr>
          <w:rFonts w:hint="eastAsia" w:ascii="宋体" w:hAnsi="宋体"/>
          <w:color w:val="auto"/>
          <w:szCs w:val="21"/>
        </w:rPr>
        <w:t>不得参加</w:t>
      </w:r>
      <w:r>
        <w:rPr>
          <w:rFonts w:hint="eastAsia" w:ascii="宋体" w:hAnsi="宋体"/>
          <w:color w:val="auto"/>
          <w:szCs w:val="21"/>
          <w:lang w:eastAsia="zh-CN"/>
        </w:rPr>
        <w:t>乙方安排的</w:t>
      </w:r>
      <w:r>
        <w:rPr>
          <w:rFonts w:hint="eastAsia" w:ascii="宋体" w:hAnsi="宋体"/>
          <w:color w:val="auto"/>
          <w:szCs w:val="21"/>
        </w:rPr>
        <w:t>宴请</w:t>
      </w:r>
      <w:r>
        <w:rPr>
          <w:rFonts w:hint="eastAsia" w:ascii="宋体" w:hAnsi="宋体"/>
          <w:color w:val="auto"/>
          <w:szCs w:val="21"/>
          <w:lang w:eastAsia="zh-CN"/>
        </w:rPr>
        <w:t>、</w:t>
      </w:r>
      <w:r>
        <w:rPr>
          <w:rFonts w:hint="eastAsia" w:ascii="宋体" w:hAnsi="宋体"/>
          <w:color w:val="auto"/>
          <w:szCs w:val="21"/>
          <w:lang w:val="en-US" w:eastAsia="zh-CN"/>
        </w:rPr>
        <w:t>外出旅游和各种娱乐消费</w:t>
      </w:r>
      <w:r>
        <w:rPr>
          <w:rFonts w:hint="eastAsia" w:ascii="宋体" w:hAnsi="宋体"/>
          <w:color w:val="auto"/>
          <w:szCs w:val="21"/>
        </w:rPr>
        <w:t>活动；</w:t>
      </w:r>
    </w:p>
    <w:p w14:paraId="1C538945">
      <w:pPr>
        <w:spacing w:line="360" w:lineRule="auto"/>
        <w:ind w:firstLine="560" w:firstLineChars="200"/>
        <w:jc w:val="left"/>
        <w:rPr>
          <w:rFonts w:hint="eastAsia" w:ascii="宋体" w:hAnsi="宋体"/>
          <w:color w:val="auto"/>
          <w:szCs w:val="21"/>
        </w:rPr>
      </w:pPr>
      <w:r>
        <w:rPr>
          <w:rFonts w:hint="eastAsia" w:ascii="宋体" w:hAnsi="宋体"/>
          <w:color w:val="auto"/>
          <w:szCs w:val="21"/>
          <w:lang w:eastAsia="zh-CN"/>
        </w:rPr>
        <w:t>（四）</w:t>
      </w:r>
      <w:r>
        <w:rPr>
          <w:rFonts w:hint="eastAsia" w:ascii="宋体" w:hAnsi="宋体"/>
          <w:color w:val="auto"/>
          <w:szCs w:val="21"/>
          <w:lang w:val="en-US" w:eastAsia="zh-CN"/>
        </w:rPr>
        <w:t>甲方及其工作人员</w:t>
      </w:r>
      <w:r>
        <w:rPr>
          <w:rFonts w:hint="eastAsia" w:ascii="宋体" w:hAnsi="宋体"/>
          <w:color w:val="auto"/>
          <w:szCs w:val="21"/>
        </w:rPr>
        <w:t>不得要求或者接受乙方为其住房的装修、安排婚丧嫁娶、安排家属和子女的工作</w:t>
      </w:r>
      <w:r>
        <w:rPr>
          <w:rFonts w:hint="eastAsia" w:ascii="宋体" w:hAnsi="宋体"/>
          <w:color w:val="auto"/>
          <w:szCs w:val="21"/>
          <w:lang w:val="en-US" w:eastAsia="zh-CN"/>
        </w:rPr>
        <w:t>或</w:t>
      </w:r>
      <w:r>
        <w:rPr>
          <w:rFonts w:hint="eastAsia" w:ascii="宋体" w:hAnsi="宋体"/>
          <w:color w:val="auto"/>
          <w:szCs w:val="21"/>
        </w:rPr>
        <w:t>出国</w:t>
      </w:r>
      <w:r>
        <w:rPr>
          <w:rFonts w:hint="eastAsia" w:ascii="宋体" w:hAnsi="宋体"/>
          <w:color w:val="auto"/>
          <w:szCs w:val="21"/>
          <w:lang w:val="en-US" w:eastAsia="zh-CN"/>
        </w:rPr>
        <w:t>处境</w:t>
      </w:r>
      <w:r>
        <w:rPr>
          <w:rFonts w:hint="eastAsia" w:ascii="宋体" w:hAnsi="宋体"/>
          <w:color w:val="auto"/>
          <w:szCs w:val="21"/>
        </w:rPr>
        <w:t>等提供方便</w:t>
      </w:r>
      <w:r>
        <w:rPr>
          <w:rFonts w:hint="eastAsia" w:ascii="宋体" w:hAnsi="宋体"/>
          <w:color w:val="auto"/>
          <w:szCs w:val="21"/>
          <w:lang w:eastAsia="zh-CN"/>
        </w:rPr>
        <w:t>，</w:t>
      </w:r>
      <w:r>
        <w:rPr>
          <w:rFonts w:hint="eastAsia" w:ascii="宋体" w:hAnsi="宋体"/>
          <w:color w:val="auto"/>
          <w:szCs w:val="21"/>
        </w:rPr>
        <w:t>不得将自己的亲属、亲友及亲友的子女安排到乙方的单位工作</w:t>
      </w:r>
      <w:r>
        <w:rPr>
          <w:rFonts w:hint="eastAsia" w:ascii="宋体" w:hAnsi="宋体"/>
          <w:color w:val="auto"/>
          <w:szCs w:val="21"/>
          <w:lang w:eastAsia="zh-CN"/>
        </w:rPr>
        <w:t>。</w:t>
      </w:r>
    </w:p>
    <w:p w14:paraId="74D2EE7D">
      <w:pPr>
        <w:spacing w:line="360" w:lineRule="auto"/>
        <w:ind w:firstLine="560" w:firstLineChars="200"/>
        <w:jc w:val="left"/>
        <w:rPr>
          <w:rFonts w:hint="eastAsia" w:ascii="宋体" w:hAnsi="宋体"/>
          <w:color w:val="auto"/>
          <w:szCs w:val="21"/>
        </w:rPr>
      </w:pPr>
      <w:r>
        <w:rPr>
          <w:rFonts w:hint="eastAsia" w:ascii="宋体" w:hAnsi="宋体"/>
          <w:color w:val="auto"/>
          <w:szCs w:val="21"/>
        </w:rPr>
        <w:t>　</w:t>
      </w:r>
      <w:r>
        <w:rPr>
          <w:rFonts w:hint="eastAsia" w:ascii="宋体" w:hAnsi="宋体"/>
          <w:color w:val="auto"/>
          <w:szCs w:val="21"/>
          <w:lang w:val="en-US" w:eastAsia="zh-CN"/>
        </w:rPr>
        <w:t xml:space="preserve">　第三条 </w:t>
      </w:r>
      <w:r>
        <w:rPr>
          <w:rFonts w:hint="eastAsia" w:ascii="宋体" w:hAnsi="宋体"/>
          <w:color w:val="auto"/>
          <w:szCs w:val="21"/>
        </w:rPr>
        <w:t>乙方应遵守</w:t>
      </w:r>
      <w:r>
        <w:rPr>
          <w:rFonts w:hint="eastAsia" w:ascii="宋体" w:hAnsi="宋体"/>
          <w:color w:val="auto"/>
          <w:szCs w:val="21"/>
          <w:lang w:eastAsia="zh-CN"/>
        </w:rPr>
        <w:t>以下内容</w:t>
      </w:r>
    </w:p>
    <w:p w14:paraId="4D0B4060">
      <w:pPr>
        <w:spacing w:line="360" w:lineRule="auto"/>
        <w:ind w:firstLine="560" w:firstLineChars="200"/>
        <w:jc w:val="left"/>
        <w:rPr>
          <w:rFonts w:hint="eastAsia" w:ascii="宋体" w:hAnsi="宋体"/>
          <w:color w:val="auto"/>
          <w:szCs w:val="21"/>
        </w:rPr>
      </w:pPr>
      <w:r>
        <w:rPr>
          <w:rFonts w:hint="eastAsia" w:ascii="宋体" w:hAnsi="宋体"/>
          <w:color w:val="auto"/>
          <w:szCs w:val="21"/>
          <w:lang w:eastAsia="zh-CN"/>
        </w:rPr>
        <w:t>（一）</w:t>
      </w:r>
      <w:r>
        <w:rPr>
          <w:rFonts w:hint="eastAsia" w:ascii="宋体" w:hAnsi="宋体"/>
          <w:color w:val="auto"/>
          <w:szCs w:val="21"/>
        </w:rPr>
        <w:t>乙方及其工作人员应当通过正常途径与甲方开展相关的业务工作，不得以任何形式向甲方工作人员（含家属或者亲友，下同）赠送实物、现金或礼券。</w:t>
      </w:r>
    </w:p>
    <w:p w14:paraId="4BCCC09F">
      <w:pPr>
        <w:spacing w:line="360" w:lineRule="auto"/>
        <w:ind w:firstLine="560" w:firstLineChars="200"/>
        <w:jc w:val="left"/>
        <w:rPr>
          <w:rFonts w:hint="eastAsia" w:ascii="宋体" w:hAnsi="宋体"/>
          <w:color w:val="auto"/>
          <w:szCs w:val="21"/>
          <w:lang w:val="en-US" w:eastAsia="zh-CN"/>
        </w:rPr>
      </w:pPr>
      <w:r>
        <w:rPr>
          <w:rFonts w:hint="eastAsia" w:ascii="宋体" w:hAnsi="宋体"/>
          <w:color w:val="auto"/>
          <w:szCs w:val="21"/>
          <w:lang w:val="en-US" w:eastAsia="zh-CN"/>
        </w:rPr>
        <w:t>（二）</w:t>
      </w:r>
      <w:r>
        <w:rPr>
          <w:rFonts w:hint="eastAsia" w:ascii="宋体" w:hAnsi="宋体"/>
          <w:color w:val="auto"/>
          <w:szCs w:val="21"/>
        </w:rPr>
        <w:t>乙方及其工作人员不得以</w:t>
      </w:r>
      <w:r>
        <w:rPr>
          <w:rFonts w:hint="eastAsia" w:ascii="宋体" w:hAnsi="宋体"/>
          <w:color w:val="auto"/>
          <w:szCs w:val="21"/>
          <w:lang w:val="en-US" w:eastAsia="zh-CN"/>
        </w:rPr>
        <w:t>考察、参观、</w:t>
      </w:r>
      <w:r>
        <w:rPr>
          <w:rFonts w:hint="eastAsia" w:ascii="宋体" w:hAnsi="宋体"/>
          <w:color w:val="auto"/>
          <w:szCs w:val="21"/>
        </w:rPr>
        <w:t>洽谈业务、签订</w:t>
      </w:r>
      <w:r>
        <w:rPr>
          <w:rFonts w:hint="eastAsia" w:ascii="宋体" w:hAnsi="宋体"/>
          <w:color w:val="auto"/>
          <w:szCs w:val="21"/>
          <w:lang w:val="en-US" w:eastAsia="zh-CN"/>
        </w:rPr>
        <w:t>合同等</w:t>
      </w:r>
      <w:r>
        <w:rPr>
          <w:rFonts w:hint="eastAsia" w:ascii="宋体" w:hAnsi="宋体"/>
          <w:color w:val="auto"/>
          <w:szCs w:val="21"/>
        </w:rPr>
        <w:t>借口，邀请甲方工作人员</w:t>
      </w:r>
      <w:r>
        <w:rPr>
          <w:rFonts w:hint="eastAsia" w:ascii="宋体" w:hAnsi="宋体"/>
          <w:color w:val="auto"/>
          <w:szCs w:val="21"/>
          <w:lang w:val="en-US" w:eastAsia="zh-CN"/>
        </w:rPr>
        <w:t>参加可能对合同履行有影响的宴请、</w:t>
      </w:r>
      <w:r>
        <w:rPr>
          <w:rFonts w:hint="eastAsia" w:ascii="宋体" w:hAnsi="宋体"/>
          <w:color w:val="auto"/>
          <w:szCs w:val="21"/>
        </w:rPr>
        <w:t>外出旅游</w:t>
      </w:r>
      <w:r>
        <w:rPr>
          <w:rFonts w:hint="eastAsia" w:ascii="宋体" w:hAnsi="宋体"/>
          <w:color w:val="auto"/>
          <w:szCs w:val="21"/>
          <w:lang w:val="en-US" w:eastAsia="zh-CN"/>
        </w:rPr>
        <w:t>和各种娱乐消费活动。</w:t>
      </w:r>
    </w:p>
    <w:p w14:paraId="122CEFC7">
      <w:pPr>
        <w:spacing w:line="360" w:lineRule="auto"/>
        <w:ind w:firstLine="560" w:firstLineChars="200"/>
        <w:jc w:val="left"/>
        <w:rPr>
          <w:rFonts w:hint="eastAsia" w:ascii="宋体" w:hAnsi="宋体"/>
          <w:color w:val="auto"/>
          <w:szCs w:val="21"/>
        </w:rPr>
      </w:pPr>
      <w:r>
        <w:rPr>
          <w:rFonts w:hint="eastAsia" w:ascii="宋体" w:hAnsi="宋体"/>
          <w:color w:val="auto"/>
          <w:szCs w:val="21"/>
          <w:lang w:val="en-US" w:eastAsia="zh-CN"/>
        </w:rPr>
        <w:t>（三）乙方及其工作人员</w:t>
      </w:r>
      <w:r>
        <w:rPr>
          <w:rFonts w:hint="eastAsia" w:ascii="宋体" w:hAnsi="宋体"/>
          <w:color w:val="auto"/>
          <w:szCs w:val="21"/>
        </w:rPr>
        <w:t>不得</w:t>
      </w:r>
      <w:r>
        <w:rPr>
          <w:rFonts w:hint="eastAsia" w:ascii="宋体" w:hAnsi="宋体"/>
          <w:color w:val="auto"/>
          <w:szCs w:val="21"/>
          <w:lang w:val="en-US" w:eastAsia="zh-CN"/>
        </w:rPr>
        <w:t>私自</w:t>
      </w:r>
      <w:r>
        <w:rPr>
          <w:rFonts w:hint="eastAsia" w:ascii="宋体" w:hAnsi="宋体"/>
          <w:color w:val="auto"/>
          <w:szCs w:val="21"/>
        </w:rPr>
        <w:t>宴请甲方工作人员，如确因工作需要</w:t>
      </w:r>
      <w:r>
        <w:rPr>
          <w:rFonts w:hint="eastAsia" w:ascii="宋体" w:hAnsi="宋体"/>
          <w:color w:val="auto"/>
          <w:szCs w:val="21"/>
          <w:lang w:val="en-US" w:eastAsia="zh-CN"/>
        </w:rPr>
        <w:t>共同就餐的</w:t>
      </w:r>
      <w:r>
        <w:rPr>
          <w:rFonts w:hint="eastAsia" w:ascii="宋体" w:hAnsi="宋体"/>
          <w:color w:val="auto"/>
          <w:szCs w:val="21"/>
        </w:rPr>
        <w:t>，必须</w:t>
      </w:r>
      <w:r>
        <w:rPr>
          <w:rFonts w:hint="eastAsia" w:ascii="宋体" w:hAnsi="宋体"/>
          <w:color w:val="auto"/>
          <w:szCs w:val="21"/>
          <w:lang w:eastAsia="zh-CN"/>
        </w:rPr>
        <w:t>符合相关要求</w:t>
      </w:r>
      <w:r>
        <w:rPr>
          <w:rFonts w:hint="eastAsia" w:ascii="宋体" w:hAnsi="宋体"/>
          <w:color w:val="auto"/>
          <w:szCs w:val="21"/>
        </w:rPr>
        <w:t>。</w:t>
      </w:r>
    </w:p>
    <w:p w14:paraId="62B09A56">
      <w:pPr>
        <w:spacing w:line="360" w:lineRule="auto"/>
        <w:ind w:firstLine="560" w:firstLineChars="200"/>
        <w:jc w:val="left"/>
        <w:rPr>
          <w:rFonts w:hint="eastAsia" w:ascii="宋体" w:hAnsi="宋体"/>
          <w:color w:val="auto"/>
          <w:szCs w:val="21"/>
          <w:lang w:eastAsia="zh-CN"/>
        </w:rPr>
      </w:pPr>
      <w:r>
        <w:rPr>
          <w:rFonts w:hint="eastAsia" w:ascii="宋体" w:hAnsi="宋体"/>
          <w:color w:val="auto"/>
          <w:szCs w:val="21"/>
          <w:lang w:val="en-US" w:eastAsia="zh-CN"/>
        </w:rPr>
        <w:t>（四）</w:t>
      </w:r>
      <w:r>
        <w:rPr>
          <w:rFonts w:hint="eastAsia" w:ascii="宋体" w:hAnsi="宋体"/>
          <w:color w:val="auto"/>
          <w:szCs w:val="21"/>
        </w:rPr>
        <w:t>乙方及其工作人员不得为甲方工作人员报销任何私人消费的费用。</w:t>
      </w:r>
    </w:p>
    <w:p w14:paraId="2EA6BDDC">
      <w:pPr>
        <w:spacing w:line="360" w:lineRule="auto"/>
        <w:ind w:firstLine="560" w:firstLineChars="200"/>
        <w:jc w:val="left"/>
        <w:rPr>
          <w:rFonts w:hint="eastAsia" w:ascii="宋体" w:hAnsi="宋体"/>
          <w:color w:val="auto"/>
          <w:szCs w:val="21"/>
        </w:rPr>
      </w:pPr>
      <w:r>
        <w:rPr>
          <w:rFonts w:hint="eastAsia" w:ascii="宋体" w:hAnsi="宋体"/>
          <w:color w:val="auto"/>
          <w:szCs w:val="21"/>
          <w:lang w:eastAsia="zh-CN"/>
        </w:rPr>
        <w:t>（五）</w:t>
      </w:r>
      <w:r>
        <w:rPr>
          <w:rFonts w:hint="eastAsia" w:ascii="宋体" w:hAnsi="宋体"/>
          <w:color w:val="auto"/>
          <w:szCs w:val="21"/>
        </w:rPr>
        <w:t>乙方及其工作人员不得为甲方工作人员购买、建造、装修、维修私人住房</w:t>
      </w:r>
      <w:r>
        <w:rPr>
          <w:rFonts w:hint="eastAsia" w:ascii="宋体" w:hAnsi="宋体"/>
          <w:color w:val="auto"/>
          <w:szCs w:val="21"/>
          <w:lang w:eastAsia="zh-CN"/>
        </w:rPr>
        <w:t>；</w:t>
      </w:r>
      <w:r>
        <w:rPr>
          <w:rFonts w:hint="eastAsia" w:ascii="宋体" w:hAnsi="宋体"/>
          <w:color w:val="auto"/>
          <w:szCs w:val="21"/>
        </w:rPr>
        <w:t>不得为甲方工作人员的婚丧嫁娶、家属或亲友的工作安排及出国出境提供方便。</w:t>
      </w:r>
    </w:p>
    <w:p w14:paraId="69D9E798">
      <w:pPr>
        <w:spacing w:line="360" w:lineRule="auto"/>
        <w:ind w:firstLine="560" w:firstLineChars="200"/>
        <w:jc w:val="left"/>
        <w:rPr>
          <w:rFonts w:hint="eastAsia" w:ascii="宋体" w:hAnsi="宋体"/>
          <w:color w:val="auto"/>
          <w:szCs w:val="21"/>
        </w:rPr>
      </w:pPr>
      <w:r>
        <w:rPr>
          <w:rFonts w:hint="eastAsia" w:ascii="宋体" w:hAnsi="宋体"/>
          <w:color w:val="auto"/>
          <w:szCs w:val="21"/>
          <w:lang w:val="en-US" w:eastAsia="zh-CN"/>
        </w:rPr>
        <w:t>（六）</w:t>
      </w:r>
      <w:r>
        <w:rPr>
          <w:rFonts w:hint="eastAsia" w:ascii="宋体" w:hAnsi="宋体"/>
          <w:color w:val="auto"/>
          <w:szCs w:val="21"/>
        </w:rPr>
        <w:t>乙方及其工作人员不得为谋取私利擅自与甲方工作人员就供货质量、价格、数量等问题的处理进行私下商谈或者达成不正当的默契</w:t>
      </w:r>
      <w:r>
        <w:rPr>
          <w:rFonts w:hint="eastAsia" w:ascii="宋体" w:hAnsi="宋体"/>
          <w:color w:val="auto"/>
          <w:szCs w:val="21"/>
          <w:lang w:eastAsia="zh-CN"/>
        </w:rPr>
        <w:t>。</w:t>
      </w:r>
    </w:p>
    <w:p w14:paraId="2A6DE931">
      <w:pPr>
        <w:spacing w:line="360" w:lineRule="auto"/>
        <w:ind w:firstLine="560" w:firstLineChars="200"/>
        <w:jc w:val="left"/>
        <w:rPr>
          <w:rFonts w:hint="eastAsia" w:ascii="宋体" w:hAnsi="宋体"/>
          <w:color w:val="auto"/>
          <w:szCs w:val="21"/>
          <w:lang w:val="en-US" w:eastAsia="zh-CN"/>
        </w:rPr>
      </w:pPr>
      <w:r>
        <w:rPr>
          <w:rFonts w:hint="eastAsia" w:ascii="宋体" w:hAnsi="宋体"/>
          <w:color w:val="auto"/>
          <w:szCs w:val="21"/>
          <w:lang w:val="en-US" w:eastAsia="zh-CN"/>
        </w:rPr>
        <w:t>第四条 违约责任</w:t>
      </w:r>
    </w:p>
    <w:p w14:paraId="7C60DF6D">
      <w:pPr>
        <w:spacing w:line="360" w:lineRule="auto"/>
        <w:ind w:firstLine="560" w:firstLineChars="200"/>
        <w:jc w:val="left"/>
        <w:rPr>
          <w:rFonts w:hint="eastAsia" w:ascii="宋体" w:hAnsi="宋体"/>
          <w:color w:val="auto"/>
          <w:szCs w:val="21"/>
        </w:rPr>
      </w:pPr>
      <w:r>
        <w:rPr>
          <w:rFonts w:hint="eastAsia" w:ascii="宋体" w:hAnsi="宋体"/>
          <w:color w:val="auto"/>
          <w:szCs w:val="21"/>
          <w:lang w:val="en-US" w:eastAsia="zh-CN"/>
        </w:rPr>
        <w:t>（一）</w:t>
      </w:r>
      <w:r>
        <w:rPr>
          <w:rFonts w:hint="eastAsia" w:ascii="宋体" w:hAnsi="宋体"/>
          <w:color w:val="auto"/>
          <w:szCs w:val="21"/>
        </w:rPr>
        <w:t>甲方及其工作人员违反本合同第一、二条</w:t>
      </w:r>
      <w:r>
        <w:rPr>
          <w:rFonts w:hint="eastAsia" w:ascii="宋体" w:hAnsi="宋体"/>
          <w:color w:val="auto"/>
          <w:szCs w:val="21"/>
          <w:lang w:eastAsia="zh-CN"/>
        </w:rPr>
        <w:t>的</w:t>
      </w:r>
      <w:r>
        <w:rPr>
          <w:rFonts w:hint="eastAsia" w:ascii="宋体" w:hAnsi="宋体"/>
          <w:color w:val="auto"/>
          <w:szCs w:val="21"/>
        </w:rPr>
        <w:t>，按管理权限，依据有关规定给予党纪、</w:t>
      </w:r>
      <w:r>
        <w:rPr>
          <w:rFonts w:hint="eastAsia" w:ascii="宋体" w:hAnsi="宋体"/>
          <w:color w:val="auto"/>
          <w:szCs w:val="21"/>
          <w:lang w:eastAsia="zh-CN"/>
        </w:rPr>
        <w:t>政纪</w:t>
      </w:r>
      <w:r>
        <w:rPr>
          <w:rFonts w:hint="eastAsia" w:ascii="宋体" w:hAnsi="宋体"/>
          <w:color w:val="auto"/>
          <w:szCs w:val="21"/>
        </w:rPr>
        <w:t>或组织处理；涉嫌犯罪的，移交司法机关追究刑事责任；给乙方单位造成经济损失的，应予以赔偿。</w:t>
      </w:r>
    </w:p>
    <w:p w14:paraId="09A228A9">
      <w:pPr>
        <w:spacing w:line="360" w:lineRule="auto"/>
        <w:ind w:firstLine="560" w:firstLineChars="200"/>
        <w:jc w:val="left"/>
        <w:rPr>
          <w:rFonts w:hint="eastAsia" w:ascii="宋体" w:hAnsi="宋体"/>
          <w:color w:val="auto"/>
          <w:szCs w:val="21"/>
          <w:lang w:val="en-US" w:eastAsia="zh-CN"/>
        </w:rPr>
      </w:pPr>
      <w:r>
        <w:rPr>
          <w:rFonts w:hint="eastAsia" w:ascii="宋体" w:hAnsi="宋体"/>
          <w:color w:val="auto"/>
          <w:szCs w:val="21"/>
          <w:lang w:eastAsia="zh-CN"/>
        </w:rPr>
        <w:t>（二）</w:t>
      </w:r>
      <w:r>
        <w:rPr>
          <w:rFonts w:hint="eastAsia" w:ascii="宋体" w:hAnsi="宋体"/>
          <w:color w:val="auto"/>
          <w:szCs w:val="21"/>
          <w:lang w:val="en-US" w:eastAsia="zh-CN"/>
        </w:rPr>
        <w:t>乙方</w:t>
      </w:r>
      <w:r>
        <w:rPr>
          <w:rFonts w:hint="eastAsia" w:ascii="宋体" w:hAnsi="宋体"/>
          <w:color w:val="auto"/>
          <w:szCs w:val="21"/>
        </w:rPr>
        <w:t>及其工作</w:t>
      </w:r>
      <w:r>
        <w:rPr>
          <w:rFonts w:hint="eastAsia" w:ascii="宋体" w:hAnsi="宋体"/>
          <w:color w:val="auto"/>
          <w:szCs w:val="21"/>
          <w:lang w:val="en-US" w:eastAsia="zh-CN"/>
        </w:rPr>
        <w:t>人员违反本合同第一、三条的，按照双方签订的物资（服务）采购合同规定处理，并追回由此给甲方造成的损失，且甲方可单方面解除合同，并列入永久禁入合作黑名单，造成的一切损失由乙方负责。</w:t>
      </w:r>
    </w:p>
    <w:p w14:paraId="345EF046">
      <w:pPr>
        <w:spacing w:line="360" w:lineRule="auto"/>
        <w:ind w:firstLine="560" w:firstLineChars="200"/>
        <w:jc w:val="left"/>
        <w:rPr>
          <w:rFonts w:hint="eastAsia" w:ascii="宋体" w:hAnsi="宋体"/>
          <w:color w:val="auto"/>
          <w:szCs w:val="21"/>
          <w:lang w:val="en-US" w:eastAsia="zh-CN"/>
        </w:rPr>
      </w:pPr>
      <w:r>
        <w:rPr>
          <w:rFonts w:hint="eastAsia" w:ascii="宋体" w:hAnsi="宋体"/>
          <w:color w:val="auto"/>
          <w:szCs w:val="21"/>
          <w:lang w:val="en-US" w:eastAsia="zh-CN"/>
        </w:rPr>
        <w:t>第五条 举报途径</w:t>
      </w:r>
    </w:p>
    <w:p w14:paraId="6D9250DD">
      <w:pPr>
        <w:spacing w:line="360" w:lineRule="auto"/>
        <w:ind w:firstLine="560" w:firstLineChars="200"/>
        <w:jc w:val="left"/>
        <w:rPr>
          <w:rFonts w:hint="eastAsia" w:ascii="宋体" w:hAnsi="宋体"/>
          <w:color w:val="auto"/>
          <w:szCs w:val="21"/>
          <w:lang w:val="en-US" w:eastAsia="zh-CN"/>
        </w:rPr>
      </w:pPr>
      <w:r>
        <w:rPr>
          <w:rFonts w:hint="eastAsia" w:ascii="宋体" w:hAnsi="宋体"/>
          <w:color w:val="auto"/>
          <w:szCs w:val="21"/>
          <w:lang w:val="en-US" w:eastAsia="zh-CN"/>
        </w:rPr>
        <w:t>（一）甲乙双方在合同履行过程中，发现违反本合同约定的情形，应向甲方采购部门（61133069）或纪律监察室（61133038）举报。</w:t>
      </w:r>
    </w:p>
    <w:p w14:paraId="2CEBA720">
      <w:pPr>
        <w:spacing w:line="360" w:lineRule="auto"/>
        <w:ind w:firstLine="560" w:firstLineChars="200"/>
        <w:jc w:val="left"/>
        <w:rPr>
          <w:rFonts w:hint="eastAsia" w:ascii="宋体" w:hAnsi="宋体"/>
          <w:color w:val="auto"/>
          <w:szCs w:val="21"/>
          <w:lang w:val="en-US" w:eastAsia="zh-CN"/>
        </w:rPr>
      </w:pPr>
      <w:r>
        <w:rPr>
          <w:rFonts w:hint="eastAsia" w:ascii="宋体" w:hAnsi="宋体"/>
          <w:color w:val="auto"/>
          <w:szCs w:val="21"/>
          <w:lang w:val="en-US" w:eastAsia="zh-CN"/>
        </w:rPr>
        <w:t>（二）甲方承诺，对所有举报信息及时调查处理，对举报严格保守秘密，对举报单位（人员）因举报</w:t>
      </w:r>
      <w:r>
        <w:rPr>
          <w:rFonts w:hint="eastAsia" w:ascii="宋体" w:hAnsi="宋体"/>
          <w:color w:val="auto"/>
          <w:szCs w:val="21"/>
        </w:rPr>
        <w:t>所可能遭受的利益损害采取特别措施予以保护。</w:t>
      </w:r>
    </w:p>
    <w:p w14:paraId="2F9C5735">
      <w:pPr>
        <w:spacing w:line="360" w:lineRule="auto"/>
        <w:ind w:firstLine="560" w:firstLineChars="200"/>
        <w:jc w:val="left"/>
        <w:rPr>
          <w:rFonts w:hint="eastAsia" w:ascii="宋体" w:hAnsi="宋体"/>
          <w:color w:val="auto"/>
          <w:szCs w:val="21"/>
        </w:rPr>
      </w:pPr>
      <w:r>
        <w:rPr>
          <w:rFonts w:hint="eastAsia" w:ascii="宋体" w:hAnsi="宋体"/>
          <w:color w:val="auto"/>
          <w:szCs w:val="21"/>
          <w:lang w:val="en-US" w:eastAsia="zh-CN"/>
        </w:rPr>
        <w:t xml:space="preserve">第六条 </w:t>
      </w:r>
      <w:r>
        <w:rPr>
          <w:rFonts w:hint="eastAsia" w:ascii="宋体" w:hAnsi="宋体"/>
          <w:color w:val="auto"/>
          <w:szCs w:val="21"/>
        </w:rPr>
        <w:t>本合同作为</w:t>
      </w:r>
      <w:r>
        <w:rPr>
          <w:rFonts w:hint="eastAsia" w:ascii="宋体" w:hAnsi="宋体"/>
          <w:color w:val="auto"/>
          <w:szCs w:val="21"/>
          <w:lang w:val="en-US" w:eastAsia="zh-CN"/>
        </w:rPr>
        <w:t>甲乙</w:t>
      </w:r>
      <w:r>
        <w:rPr>
          <w:rFonts w:hint="eastAsia" w:ascii="宋体" w:hAnsi="宋体"/>
          <w:color w:val="auto"/>
          <w:szCs w:val="21"/>
        </w:rPr>
        <w:t>双方之间任何合同的附件，本合同的有效期为双方最后一份合同有效期之后再延长</w:t>
      </w:r>
      <w:r>
        <w:rPr>
          <w:rFonts w:hint="eastAsia" w:ascii="宋体" w:hAnsi="宋体"/>
          <w:color w:val="auto"/>
          <w:szCs w:val="21"/>
          <w:lang w:val="en-US" w:eastAsia="zh-CN"/>
        </w:rPr>
        <w:t>一</w:t>
      </w:r>
      <w:r>
        <w:rPr>
          <w:rFonts w:hint="eastAsia" w:ascii="宋体" w:hAnsi="宋体"/>
          <w:color w:val="auto"/>
          <w:szCs w:val="21"/>
        </w:rPr>
        <w:t>年。</w:t>
      </w:r>
    </w:p>
    <w:p w14:paraId="737B62E6">
      <w:pPr>
        <w:spacing w:line="360" w:lineRule="auto"/>
        <w:ind w:firstLine="560" w:firstLineChars="200"/>
        <w:jc w:val="left"/>
        <w:rPr>
          <w:rFonts w:hint="eastAsia" w:ascii="宋体" w:hAnsi="宋体"/>
          <w:color w:val="auto"/>
          <w:szCs w:val="21"/>
        </w:rPr>
      </w:pPr>
      <w:r>
        <w:rPr>
          <w:rFonts w:hint="eastAsia" w:ascii="宋体" w:hAnsi="宋体"/>
          <w:color w:val="auto"/>
          <w:szCs w:val="21"/>
          <w:lang w:val="en-US" w:eastAsia="zh-CN"/>
        </w:rPr>
        <w:t xml:space="preserve">第七条 </w:t>
      </w:r>
      <w:r>
        <w:rPr>
          <w:rFonts w:hint="eastAsia" w:ascii="宋体" w:hAnsi="宋体"/>
          <w:color w:val="auto"/>
          <w:szCs w:val="21"/>
        </w:rPr>
        <w:t>本合同一式二份，</w:t>
      </w:r>
      <w:r>
        <w:rPr>
          <w:rFonts w:hint="eastAsia" w:ascii="宋体" w:hAnsi="宋体"/>
          <w:color w:val="auto"/>
          <w:szCs w:val="21"/>
          <w:lang w:eastAsia="zh-CN"/>
        </w:rPr>
        <w:t>甲乙</w:t>
      </w:r>
      <w:r>
        <w:rPr>
          <w:rFonts w:hint="eastAsia" w:ascii="宋体" w:hAnsi="宋体"/>
          <w:color w:val="auto"/>
          <w:szCs w:val="21"/>
        </w:rPr>
        <w:t>双方各执一份；本合同经双方</w:t>
      </w:r>
      <w:r>
        <w:rPr>
          <w:rFonts w:hint="eastAsia" w:ascii="宋体" w:hAnsi="宋体"/>
          <w:color w:val="auto"/>
          <w:szCs w:val="21"/>
          <w:lang w:val="en-US" w:eastAsia="zh-CN"/>
        </w:rPr>
        <w:t>法定代表人（委托代理人）</w:t>
      </w:r>
      <w:r>
        <w:rPr>
          <w:rFonts w:hint="eastAsia" w:ascii="宋体" w:hAnsi="宋体"/>
          <w:color w:val="auto"/>
          <w:szCs w:val="21"/>
        </w:rPr>
        <w:t>签字、盖章后生效。</w:t>
      </w:r>
    </w:p>
    <w:p w14:paraId="54B9BD2F">
      <w:pPr>
        <w:spacing w:line="360" w:lineRule="auto"/>
        <w:ind w:firstLine="560" w:firstLineChars="200"/>
        <w:jc w:val="left"/>
        <w:rPr>
          <w:rFonts w:hint="eastAsia" w:ascii="宋体" w:hAnsi="宋体"/>
          <w:color w:val="auto"/>
          <w:szCs w:val="21"/>
          <w:lang w:val="en-US" w:eastAsia="zh-CN"/>
        </w:rPr>
      </w:pPr>
      <w:r>
        <w:rPr>
          <w:rFonts w:hint="eastAsia" w:ascii="宋体" w:hAnsi="宋体"/>
          <w:color w:val="auto"/>
          <w:szCs w:val="21"/>
          <w:lang w:val="en-US" w:eastAsia="zh-CN"/>
        </w:rPr>
        <w:t xml:space="preserve">第八条 </w:t>
      </w:r>
      <w:r>
        <w:rPr>
          <w:rFonts w:hint="eastAsia" w:ascii="宋体" w:hAnsi="宋体"/>
          <w:color w:val="auto"/>
          <w:szCs w:val="21"/>
        </w:rPr>
        <w:t>本合同未尽事宜</w:t>
      </w:r>
      <w:r>
        <w:rPr>
          <w:rFonts w:hint="eastAsia" w:ascii="宋体" w:hAnsi="宋体"/>
          <w:color w:val="auto"/>
          <w:szCs w:val="21"/>
          <w:lang w:eastAsia="zh-CN"/>
        </w:rPr>
        <w:t>由</w:t>
      </w:r>
      <w:r>
        <w:rPr>
          <w:rFonts w:hint="eastAsia" w:ascii="宋体" w:hAnsi="宋体"/>
          <w:color w:val="auto"/>
          <w:szCs w:val="21"/>
        </w:rPr>
        <w:t>双方另行协商，签订的补充协议与本合同条款具有同等法律效力。</w:t>
      </w:r>
    </w:p>
    <w:p w14:paraId="26F09B59">
      <w:pPr>
        <w:spacing w:line="360" w:lineRule="auto"/>
        <w:jc w:val="left"/>
        <w:rPr>
          <w:rFonts w:hint="eastAsia" w:ascii="宋体" w:hAnsi="宋体"/>
          <w:color w:val="auto"/>
          <w:szCs w:val="21"/>
        </w:rPr>
      </w:pPr>
    </w:p>
    <w:p w14:paraId="54CD8661">
      <w:pPr>
        <w:spacing w:line="360" w:lineRule="auto"/>
        <w:ind w:firstLine="560" w:firstLineChars="200"/>
        <w:jc w:val="left"/>
        <w:rPr>
          <w:rFonts w:hint="eastAsia" w:ascii="宋体" w:hAnsi="宋体"/>
          <w:color w:val="auto"/>
          <w:szCs w:val="21"/>
        </w:rPr>
      </w:pPr>
      <w:r>
        <w:rPr>
          <w:rFonts w:hint="eastAsia" w:ascii="宋体" w:hAnsi="宋体"/>
          <w:color w:val="auto"/>
          <w:szCs w:val="21"/>
        </w:rPr>
        <w:t>甲方：</w:t>
      </w:r>
      <w:r>
        <w:rPr>
          <w:rFonts w:hint="eastAsia" w:ascii="宋体" w:hAnsi="宋体"/>
          <w:color w:val="auto"/>
          <w:szCs w:val="21"/>
          <w:u w:val="single"/>
          <w:lang w:eastAsia="zh-CN"/>
        </w:rPr>
        <w:t>重庆新翔源鞋业有限责任公司</w:t>
      </w:r>
      <w:r>
        <w:rPr>
          <w:rFonts w:hint="eastAsia" w:ascii="宋体" w:hAnsi="宋体"/>
          <w:color w:val="auto"/>
          <w:szCs w:val="21"/>
          <w:lang w:eastAsia="zh-CN"/>
        </w:rPr>
        <w:t>（盖章）</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乙方：</w:t>
      </w:r>
      <w:r>
        <w:rPr>
          <w:rFonts w:hint="eastAsia" w:ascii="宋体" w:hAnsi="宋体" w:cs="Times New Roman"/>
          <w:color w:val="auto"/>
          <w:szCs w:val="21"/>
          <w:u w:val="single"/>
          <w:lang w:val="en-US" w:eastAsia="zh-CN"/>
        </w:rPr>
        <w:t xml:space="preserve">   </w:t>
      </w:r>
      <w:r>
        <w:rPr>
          <w:rFonts w:hint="eastAsia" w:ascii="宋体" w:hAnsi="宋体"/>
          <w:color w:val="auto"/>
          <w:szCs w:val="21"/>
          <w:lang w:eastAsia="zh-CN"/>
        </w:rPr>
        <w:t>（盖章）</w:t>
      </w:r>
    </w:p>
    <w:p w14:paraId="52F9F1B7">
      <w:pPr>
        <w:spacing w:line="360" w:lineRule="auto"/>
        <w:ind w:firstLine="560" w:firstLineChars="200"/>
        <w:jc w:val="left"/>
        <w:rPr>
          <w:rFonts w:hint="eastAsia" w:ascii="宋体" w:hAnsi="宋体"/>
          <w:color w:val="auto"/>
          <w:szCs w:val="21"/>
        </w:rPr>
      </w:pPr>
    </w:p>
    <w:p w14:paraId="2D3101B6">
      <w:pPr>
        <w:spacing w:line="360" w:lineRule="auto"/>
        <w:ind w:firstLine="560" w:firstLineChars="200"/>
        <w:jc w:val="left"/>
        <w:rPr>
          <w:rFonts w:hint="eastAsia" w:ascii="宋体" w:hAnsi="宋体"/>
          <w:color w:val="auto"/>
          <w:szCs w:val="21"/>
        </w:rPr>
      </w:pPr>
      <w:r>
        <w:rPr>
          <w:rFonts w:hint="eastAsia" w:ascii="宋体" w:hAnsi="宋体"/>
          <w:color w:val="auto"/>
          <w:szCs w:val="21"/>
          <w:lang w:eastAsia="zh-CN"/>
        </w:rPr>
        <w:t>法定（委托）代表人</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lang w:eastAsia="zh-CN"/>
        </w:rPr>
        <w:t>法定（委托）代表人</w:t>
      </w:r>
      <w:r>
        <w:rPr>
          <w:rFonts w:hint="eastAsia" w:ascii="宋体" w:hAnsi="宋体"/>
          <w:color w:val="auto"/>
          <w:szCs w:val="21"/>
        </w:rPr>
        <w:t>：</w:t>
      </w:r>
    </w:p>
    <w:p w14:paraId="6E713C9B">
      <w:pPr>
        <w:spacing w:line="360" w:lineRule="auto"/>
        <w:ind w:firstLine="560" w:firstLineChars="200"/>
        <w:jc w:val="left"/>
        <w:rPr>
          <w:rFonts w:hint="eastAsia" w:ascii="宋体" w:hAnsi="宋体"/>
          <w:color w:val="auto"/>
          <w:szCs w:val="21"/>
        </w:rPr>
      </w:pPr>
    </w:p>
    <w:p w14:paraId="4E8ABC1E">
      <w:pPr>
        <w:spacing w:line="360" w:lineRule="auto"/>
        <w:ind w:firstLine="560" w:firstLineChars="200"/>
        <w:jc w:val="left"/>
        <w:rPr>
          <w:rFonts w:hint="default" w:ascii="宋体" w:hAnsi="宋体"/>
          <w:color w:val="auto"/>
          <w:szCs w:val="21"/>
          <w:u w:val="single"/>
          <w:lang w:val="en-US" w:eastAsia="zh-CN"/>
        </w:rPr>
      </w:pPr>
      <w:r>
        <w:rPr>
          <w:rFonts w:hint="eastAsia" w:ascii="宋体" w:hAnsi="宋体"/>
          <w:color w:val="auto"/>
          <w:szCs w:val="21"/>
          <w:lang w:eastAsia="zh-CN"/>
        </w:rPr>
        <w:t>联系电话：</w:t>
      </w:r>
      <w:r>
        <w:rPr>
          <w:rFonts w:hint="eastAsia" w:ascii="宋体" w:hAnsi="宋体"/>
          <w:color w:val="auto"/>
          <w:szCs w:val="21"/>
          <w:u w:val="single"/>
          <w:lang w:val="en-US" w:eastAsia="zh-CN"/>
        </w:rPr>
        <w:t xml:space="preserve">023-61133083  </w:t>
      </w:r>
      <w:r>
        <w:rPr>
          <w:rFonts w:hint="eastAsia" w:ascii="宋体" w:hAnsi="宋体"/>
          <w:color w:val="auto"/>
          <w:szCs w:val="21"/>
          <w:lang w:val="en-US" w:eastAsia="zh-CN"/>
        </w:rPr>
        <w:t xml:space="preserve">                    </w:t>
      </w:r>
      <w:r>
        <w:rPr>
          <w:rFonts w:hint="eastAsia" w:ascii="宋体" w:hAnsi="宋体"/>
          <w:color w:val="auto"/>
          <w:szCs w:val="21"/>
          <w:lang w:eastAsia="zh-CN"/>
        </w:rPr>
        <w:t>联系电话：</w:t>
      </w:r>
      <w:r>
        <w:rPr>
          <w:rFonts w:hint="eastAsia" w:ascii="宋体" w:hAnsi="宋体"/>
          <w:color w:val="auto"/>
          <w:szCs w:val="21"/>
          <w:u w:val="single"/>
          <w:lang w:val="en-US" w:eastAsia="zh-CN"/>
        </w:rPr>
        <w:t xml:space="preserve">     </w:t>
      </w:r>
    </w:p>
    <w:p w14:paraId="49C84CF4">
      <w:pPr>
        <w:spacing w:line="360" w:lineRule="auto"/>
        <w:ind w:firstLine="560" w:firstLineChars="200"/>
        <w:jc w:val="left"/>
        <w:rPr>
          <w:rFonts w:hint="eastAsia" w:ascii="宋体" w:hAnsi="宋体"/>
          <w:color w:val="auto"/>
          <w:szCs w:val="21"/>
          <w:lang w:eastAsia="zh-CN"/>
        </w:rPr>
      </w:pPr>
    </w:p>
    <w:p w14:paraId="51ED83A7">
      <w:pPr>
        <w:spacing w:line="360" w:lineRule="auto"/>
        <w:ind w:firstLine="560" w:firstLineChars="200"/>
        <w:jc w:val="left"/>
        <w:rPr>
          <w:rFonts w:hint="default" w:ascii="宋体" w:hAnsi="宋体"/>
          <w:color w:val="auto"/>
          <w:szCs w:val="21"/>
          <w:lang w:val="en-US"/>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日期：</w:t>
      </w:r>
      <w:r>
        <w:rPr>
          <w:rFonts w:hint="eastAsia" w:ascii="宋体" w:hAnsi="宋体"/>
          <w:color w:val="auto"/>
          <w:szCs w:val="21"/>
          <w:lang w:val="en-US" w:eastAsia="zh-CN"/>
        </w:rPr>
        <w:t xml:space="preserve"> </w:t>
      </w:r>
    </w:p>
    <w:p w14:paraId="2962E4C4">
      <w:pPr>
        <w:spacing w:line="480" w:lineRule="auto"/>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附件</w:t>
      </w:r>
      <w:r>
        <w:rPr>
          <w:rFonts w:hint="eastAsia" w:ascii="宋体" w:hAnsi="宋体"/>
          <w:color w:val="auto"/>
          <w:szCs w:val="21"/>
          <w:lang w:val="en-US" w:eastAsia="zh-CN"/>
        </w:rPr>
        <w:t>4</w:t>
      </w:r>
      <w:r>
        <w:rPr>
          <w:rFonts w:hint="eastAsia" w:ascii="宋体" w:hAnsi="宋体"/>
          <w:color w:val="auto"/>
          <w:szCs w:val="21"/>
        </w:rPr>
        <w:t>：</w:t>
      </w:r>
    </w:p>
    <w:p w14:paraId="3F34A6D2">
      <w:pPr>
        <w:spacing w:before="156" w:beforeLines="50" w:after="156" w:afterLines="50" w:line="480" w:lineRule="auto"/>
        <w:jc w:val="center"/>
        <w:rPr>
          <w:rFonts w:ascii="宋体" w:hAnsi="宋体"/>
          <w:color w:val="auto"/>
          <w:szCs w:val="21"/>
        </w:rPr>
      </w:pPr>
      <w:bookmarkStart w:id="1597" w:name="_Toc239510288"/>
      <w:bookmarkStart w:id="1598" w:name="_Toc435690184"/>
      <w:bookmarkStart w:id="1599" w:name="_Toc435689499"/>
      <w:bookmarkStart w:id="1600" w:name="_Toc336680145"/>
      <w:bookmarkStart w:id="1601" w:name="_Toc247431422"/>
      <w:bookmarkStart w:id="1602" w:name="_Toc448406299"/>
      <w:r>
        <w:rPr>
          <w:rFonts w:hint="eastAsia" w:ascii="宋体" w:hAnsi="宋体"/>
          <w:color w:val="auto"/>
          <w:szCs w:val="21"/>
        </w:rPr>
        <w:t>安全管理协议</w:t>
      </w:r>
      <w:bookmarkEnd w:id="1597"/>
      <w:bookmarkEnd w:id="1598"/>
      <w:bookmarkEnd w:id="1599"/>
      <w:bookmarkEnd w:id="1600"/>
      <w:bookmarkEnd w:id="1601"/>
      <w:bookmarkEnd w:id="1602"/>
    </w:p>
    <w:p w14:paraId="7DEAAD6D">
      <w:pPr>
        <w:snapToGrid w:val="0"/>
        <w:spacing w:line="360" w:lineRule="auto"/>
        <w:ind w:firstLine="562" w:firstLineChars="200"/>
        <w:rPr>
          <w:rFonts w:ascii="宋体" w:hAnsi="宋体"/>
          <w:b/>
          <w:color w:val="auto"/>
          <w:szCs w:val="21"/>
          <w:u w:val="single"/>
        </w:rPr>
      </w:pPr>
      <w:r>
        <w:rPr>
          <w:rFonts w:hint="eastAsia" w:ascii="宋体" w:hAnsi="宋体"/>
          <w:b/>
          <w:color w:val="auto"/>
          <w:szCs w:val="21"/>
        </w:rPr>
        <w:t>发包人（全称）：</w:t>
      </w:r>
      <w:r>
        <w:rPr>
          <w:rFonts w:hint="eastAsia" w:ascii="宋体" w:hAnsi="宋体"/>
          <w:color w:val="auto"/>
          <w:szCs w:val="21"/>
          <w:u w:val="single"/>
        </w:rPr>
        <w:t></w:t>
      </w:r>
      <w:r>
        <w:rPr>
          <w:rFonts w:hint="eastAsia" w:ascii="宋体" w:hAnsi="宋体"/>
          <w:color w:val="auto"/>
          <w:szCs w:val="21"/>
          <w:u w:val="single"/>
          <w:lang w:eastAsia="zh-CN"/>
        </w:rPr>
        <w:t>重庆新翔源鞋业有限责任公司</w:t>
      </w:r>
      <w:r>
        <w:rPr>
          <w:rFonts w:hint="eastAsia" w:ascii="宋体" w:hAnsi="宋体"/>
          <w:color w:val="auto"/>
          <w:szCs w:val="21"/>
          <w:u w:val="single"/>
        </w:rPr>
        <w:t xml:space="preserve">       </w:t>
      </w:r>
    </w:p>
    <w:p w14:paraId="7208E377">
      <w:pPr>
        <w:snapToGrid w:val="0"/>
        <w:spacing w:line="360" w:lineRule="auto"/>
        <w:ind w:firstLine="562" w:firstLineChars="200"/>
        <w:rPr>
          <w:rFonts w:ascii="宋体" w:hAnsi="宋体"/>
          <w:b/>
          <w:color w:val="auto"/>
          <w:szCs w:val="21"/>
          <w:u w:val="single"/>
        </w:rPr>
      </w:pPr>
      <w:r>
        <w:rPr>
          <w:rFonts w:hint="eastAsia" w:ascii="宋体" w:hAnsi="宋体"/>
          <w:b/>
          <w:color w:val="auto"/>
          <w:szCs w:val="21"/>
        </w:rPr>
        <w:t>承包人（全称）：</w:t>
      </w:r>
      <w:r>
        <w:rPr>
          <w:rFonts w:hint="eastAsia" w:ascii="宋体" w:hAnsi="宋体"/>
          <w:color w:val="auto"/>
          <w:szCs w:val="21"/>
          <w:u w:val="single"/>
        </w:rPr>
        <w:t></w:t>
      </w:r>
      <w:r>
        <w:rPr>
          <w:rFonts w:hint="eastAsia" w:ascii="宋体" w:hAnsi="宋体" w:cs="Times New Roman"/>
          <w:color w:val="auto"/>
          <w:szCs w:val="21"/>
          <w:u w:val="single"/>
          <w:lang w:val="en-US" w:eastAsia="zh-CN"/>
        </w:rPr>
        <w:t xml:space="preserve">      </w:t>
      </w:r>
      <w:r>
        <w:rPr>
          <w:rFonts w:hint="eastAsia" w:ascii="宋体" w:hAnsi="宋体"/>
          <w:color w:val="auto"/>
          <w:szCs w:val="21"/>
          <w:u w:val="single"/>
        </w:rPr>
        <w:t xml:space="preserve">        </w:t>
      </w:r>
    </w:p>
    <w:p w14:paraId="79EAC636">
      <w:pPr>
        <w:spacing w:line="360" w:lineRule="auto"/>
        <w:ind w:firstLine="560" w:firstLineChars="200"/>
        <w:jc w:val="left"/>
        <w:rPr>
          <w:rFonts w:ascii="宋体" w:hAnsi="宋体"/>
          <w:color w:val="auto"/>
          <w:szCs w:val="21"/>
        </w:rPr>
      </w:pPr>
      <w:r>
        <w:rPr>
          <w:rFonts w:hint="eastAsia" w:ascii="宋体" w:hAnsi="宋体"/>
          <w:color w:val="auto"/>
          <w:szCs w:val="21"/>
        </w:rPr>
        <w:t>为了确保实现</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安全生产目标，进一步明确双方的安全管理责任，加强安全生产管理工作的协调、管理力度，</w:t>
      </w:r>
      <w:r>
        <w:rPr>
          <w:rFonts w:hint="eastAsia" w:ascii="宋体" w:hAnsi="宋体"/>
          <w:color w:val="auto"/>
          <w:szCs w:val="21"/>
          <w:u w:val="single"/>
        </w:rPr>
        <w:t xml:space="preserve"> </w:t>
      </w:r>
      <w:r>
        <w:rPr>
          <w:rFonts w:hint="eastAsia" w:ascii="宋体" w:hAnsi="宋体"/>
          <w:color w:val="auto"/>
          <w:szCs w:val="21"/>
          <w:u w:val="single"/>
          <w:lang w:eastAsia="zh-CN"/>
        </w:rPr>
        <w:t>重庆新翔源鞋业有限责任公司</w:t>
      </w:r>
      <w:r>
        <w:rPr>
          <w:rFonts w:hint="eastAsia" w:ascii="宋体" w:hAnsi="宋体"/>
          <w:color w:val="auto"/>
          <w:szCs w:val="21"/>
          <w:u w:val="single"/>
        </w:rPr>
        <w:t xml:space="preserve"> </w:t>
      </w:r>
      <w:r>
        <w:rPr>
          <w:rFonts w:hint="eastAsia" w:ascii="宋体" w:hAnsi="宋体"/>
          <w:color w:val="auto"/>
          <w:szCs w:val="21"/>
        </w:rPr>
        <w:t>（以下简称“发包人”）与</w:t>
      </w:r>
      <w:r>
        <w:rPr>
          <w:rFonts w:hint="eastAsia" w:ascii="宋体" w:hAnsi="宋体"/>
          <w:color w:val="auto"/>
          <w:szCs w:val="21"/>
          <w:u w:val="single"/>
        </w:rPr>
        <w:t xml:space="preserve"> </w:t>
      </w:r>
      <w:r>
        <w:rPr>
          <w:rFonts w:hint="eastAsia" w:ascii="宋体" w:hAnsi="宋体" w:cs="Times New Roman"/>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3154BE9D">
      <w:pPr>
        <w:spacing w:line="360" w:lineRule="auto"/>
        <w:ind w:firstLine="560" w:firstLineChars="200"/>
        <w:rPr>
          <w:rFonts w:ascii="宋体" w:hAnsi="宋体"/>
          <w:color w:val="auto"/>
          <w:szCs w:val="21"/>
        </w:rPr>
      </w:pPr>
      <w:bookmarkStart w:id="1603" w:name="_Toc532375700"/>
      <w:bookmarkStart w:id="1604" w:name="_Toc247431423"/>
      <w:bookmarkStart w:id="1605" w:name="_Toc247418263"/>
      <w:bookmarkStart w:id="1606" w:name="_Toc239510289"/>
      <w:r>
        <w:rPr>
          <w:rFonts w:hint="eastAsia" w:ascii="宋体" w:hAnsi="宋体"/>
          <w:color w:val="auto"/>
          <w:szCs w:val="21"/>
        </w:rPr>
        <w:t>一、协议有效期限</w:t>
      </w:r>
      <w:bookmarkEnd w:id="1603"/>
      <w:bookmarkEnd w:id="1604"/>
      <w:bookmarkEnd w:id="1605"/>
      <w:bookmarkEnd w:id="1606"/>
    </w:p>
    <w:p w14:paraId="487821B6">
      <w:pPr>
        <w:spacing w:line="360" w:lineRule="auto"/>
        <w:ind w:firstLine="560" w:firstLineChars="200"/>
        <w:jc w:val="left"/>
        <w:rPr>
          <w:rFonts w:ascii="宋体" w:hAnsi="宋体"/>
          <w:color w:val="auto"/>
          <w:szCs w:val="21"/>
        </w:rPr>
      </w:pPr>
      <w:r>
        <w:rPr>
          <w:rFonts w:hint="eastAsia" w:ascii="宋体" w:hAnsi="宋体"/>
          <w:color w:val="auto"/>
          <w:szCs w:val="21"/>
        </w:rPr>
        <w:t>本协议中所涉及的安全管理责任自合同签订之日起开始生效，至合同工程全部完工验收且经发包人与承包人签订移交协议生效后之日终止。</w:t>
      </w:r>
    </w:p>
    <w:p w14:paraId="6A21572F">
      <w:pPr>
        <w:spacing w:line="360" w:lineRule="auto"/>
        <w:ind w:firstLine="560" w:firstLineChars="200"/>
        <w:rPr>
          <w:rFonts w:ascii="宋体" w:hAnsi="宋体"/>
          <w:color w:val="auto"/>
          <w:szCs w:val="21"/>
        </w:rPr>
      </w:pPr>
      <w:bookmarkStart w:id="1607" w:name="_Toc239510290"/>
      <w:bookmarkStart w:id="1608" w:name="_Toc247418264"/>
      <w:bookmarkStart w:id="1609" w:name="_Toc532375701"/>
      <w:bookmarkStart w:id="1610" w:name="_Toc247431424"/>
      <w:r>
        <w:rPr>
          <w:rFonts w:hint="eastAsia" w:ascii="宋体" w:hAnsi="宋体"/>
          <w:color w:val="auto"/>
          <w:szCs w:val="21"/>
        </w:rPr>
        <w:t>二、责任目标</w:t>
      </w:r>
      <w:bookmarkEnd w:id="1607"/>
      <w:bookmarkEnd w:id="1608"/>
      <w:bookmarkEnd w:id="1609"/>
      <w:bookmarkEnd w:id="1610"/>
    </w:p>
    <w:p w14:paraId="34C55DAB">
      <w:pPr>
        <w:spacing w:line="360" w:lineRule="auto"/>
        <w:ind w:firstLine="560" w:firstLineChars="200"/>
        <w:jc w:val="left"/>
        <w:rPr>
          <w:rFonts w:ascii="宋体" w:hAnsi="宋体"/>
          <w:color w:val="auto"/>
          <w:szCs w:val="21"/>
        </w:rPr>
      </w:pPr>
      <w:r>
        <w:rPr>
          <w:rFonts w:hint="eastAsia" w:ascii="宋体" w:hAnsi="宋体"/>
          <w:color w:val="auto"/>
          <w:szCs w:val="21"/>
        </w:rPr>
        <w:t>（一）承包人承诺承担和履行合同和发包人所规定的安全责任，且满足要求。</w:t>
      </w:r>
    </w:p>
    <w:p w14:paraId="133DAC0B">
      <w:pPr>
        <w:spacing w:line="360" w:lineRule="auto"/>
        <w:ind w:firstLine="560" w:firstLineChars="200"/>
        <w:jc w:val="left"/>
        <w:rPr>
          <w:rFonts w:ascii="宋体" w:hAnsi="宋体"/>
          <w:color w:val="auto"/>
          <w:szCs w:val="21"/>
        </w:rPr>
      </w:pPr>
      <w:r>
        <w:rPr>
          <w:rFonts w:hint="eastAsia" w:ascii="宋体" w:hAnsi="宋体"/>
          <w:color w:val="auto"/>
          <w:szCs w:val="21"/>
        </w:rPr>
        <w:t>（二）承包人的安全控制目标是确保本工程在实施过程中：</w:t>
      </w:r>
    </w:p>
    <w:p w14:paraId="614A7A7D">
      <w:pPr>
        <w:spacing w:line="360" w:lineRule="auto"/>
        <w:ind w:firstLine="560" w:firstLineChars="200"/>
        <w:jc w:val="left"/>
        <w:rPr>
          <w:rFonts w:ascii="宋体" w:hAnsi="宋体"/>
          <w:color w:val="auto"/>
          <w:szCs w:val="21"/>
        </w:rPr>
      </w:pPr>
      <w:r>
        <w:rPr>
          <w:rFonts w:hint="eastAsia" w:ascii="宋体" w:hAnsi="宋体"/>
          <w:color w:val="auto"/>
          <w:szCs w:val="21"/>
        </w:rPr>
        <w:t>1．不发生人身重伤事故；</w:t>
      </w:r>
    </w:p>
    <w:p w14:paraId="240517F9">
      <w:pPr>
        <w:spacing w:line="360" w:lineRule="auto"/>
        <w:ind w:firstLine="560" w:firstLineChars="200"/>
        <w:jc w:val="left"/>
        <w:rPr>
          <w:rFonts w:ascii="宋体" w:hAnsi="宋体"/>
          <w:color w:val="auto"/>
          <w:szCs w:val="21"/>
        </w:rPr>
      </w:pPr>
      <w:r>
        <w:rPr>
          <w:rFonts w:hint="eastAsia" w:ascii="宋体" w:hAnsi="宋体"/>
          <w:color w:val="auto"/>
          <w:szCs w:val="21"/>
        </w:rPr>
        <w:t>2．不发生火灾事故；</w:t>
      </w:r>
    </w:p>
    <w:p w14:paraId="59E24A31">
      <w:pPr>
        <w:spacing w:line="360" w:lineRule="auto"/>
        <w:ind w:firstLine="560" w:firstLineChars="200"/>
        <w:jc w:val="left"/>
        <w:rPr>
          <w:rFonts w:ascii="宋体" w:hAnsi="宋体"/>
          <w:color w:val="auto"/>
          <w:szCs w:val="21"/>
        </w:rPr>
      </w:pPr>
      <w:r>
        <w:rPr>
          <w:rFonts w:hint="eastAsia" w:ascii="宋体" w:hAnsi="宋体"/>
          <w:color w:val="auto"/>
          <w:szCs w:val="21"/>
        </w:rPr>
        <w:t>3．不发生负有同等及以上事故责任的造成人身重伤的一般交通事故；</w:t>
      </w:r>
    </w:p>
    <w:p w14:paraId="59A80CAF">
      <w:pPr>
        <w:spacing w:line="360" w:lineRule="auto"/>
        <w:ind w:firstLine="560" w:firstLineChars="200"/>
        <w:jc w:val="left"/>
        <w:rPr>
          <w:rFonts w:ascii="宋体" w:hAnsi="宋体"/>
          <w:color w:val="auto"/>
          <w:szCs w:val="21"/>
        </w:rPr>
      </w:pPr>
      <w:r>
        <w:rPr>
          <w:rFonts w:hint="eastAsia" w:ascii="宋体" w:hAnsi="宋体"/>
          <w:color w:val="auto"/>
          <w:szCs w:val="21"/>
        </w:rPr>
        <w:t>4．不发生集体食物中毒事件（同时5人及以上的食物中毒）；</w:t>
      </w:r>
    </w:p>
    <w:p w14:paraId="44122067">
      <w:pPr>
        <w:spacing w:line="360" w:lineRule="auto"/>
        <w:ind w:firstLine="560" w:firstLineChars="200"/>
        <w:jc w:val="left"/>
        <w:rPr>
          <w:rFonts w:ascii="宋体" w:hAnsi="宋体"/>
          <w:color w:val="auto"/>
          <w:szCs w:val="21"/>
        </w:rPr>
      </w:pPr>
      <w:r>
        <w:rPr>
          <w:rFonts w:hint="eastAsia" w:ascii="宋体" w:hAnsi="宋体"/>
          <w:color w:val="auto"/>
          <w:szCs w:val="21"/>
        </w:rPr>
        <w:t>5．不发生流行性传染病 （无甲型传染病、其他常见传染病未形成多人同时患病）；</w:t>
      </w:r>
    </w:p>
    <w:p w14:paraId="09439A3E">
      <w:pPr>
        <w:spacing w:line="360" w:lineRule="auto"/>
        <w:ind w:firstLine="560" w:firstLineChars="200"/>
        <w:jc w:val="left"/>
        <w:rPr>
          <w:rFonts w:ascii="宋体" w:hAnsi="宋体"/>
          <w:color w:val="auto"/>
          <w:szCs w:val="21"/>
        </w:rPr>
      </w:pPr>
      <w:r>
        <w:rPr>
          <w:rFonts w:hint="eastAsia" w:ascii="宋体" w:hAnsi="宋体"/>
          <w:color w:val="auto"/>
          <w:szCs w:val="21"/>
        </w:rPr>
        <w:t>6．不发生重大环境污染事件（生活、工业垃圾及其他污染物造成环境污染和大面积水土流失）；</w:t>
      </w:r>
    </w:p>
    <w:p w14:paraId="49FB70B3">
      <w:pPr>
        <w:spacing w:line="360" w:lineRule="auto"/>
        <w:ind w:firstLine="560" w:firstLineChars="200"/>
        <w:jc w:val="left"/>
        <w:rPr>
          <w:rFonts w:ascii="宋体" w:hAnsi="宋体"/>
          <w:color w:val="auto"/>
          <w:szCs w:val="21"/>
        </w:rPr>
      </w:pPr>
      <w:r>
        <w:rPr>
          <w:rFonts w:hint="eastAsia" w:ascii="宋体" w:hAnsi="宋体"/>
          <w:color w:val="auto"/>
          <w:szCs w:val="21"/>
        </w:rPr>
        <w:t>7．不发生对施工区附近生产、生活造成重大影响的事件（如造成重大设备损坏、重大财产损失、人员伤害等）；</w:t>
      </w:r>
    </w:p>
    <w:p w14:paraId="1247F9BF">
      <w:pPr>
        <w:spacing w:line="360" w:lineRule="auto"/>
        <w:ind w:firstLine="560" w:firstLineChars="200"/>
        <w:jc w:val="left"/>
        <w:rPr>
          <w:rFonts w:ascii="宋体" w:hAnsi="宋体"/>
          <w:color w:val="auto"/>
          <w:szCs w:val="21"/>
        </w:rPr>
      </w:pPr>
      <w:r>
        <w:rPr>
          <w:rFonts w:hint="eastAsia" w:ascii="宋体" w:hAnsi="宋体"/>
          <w:color w:val="auto"/>
          <w:szCs w:val="21"/>
        </w:rPr>
        <w:t>8．不发生治安保卫事件（构成刑事拘留及以上的事件、盗窃直接损失超过1万元人民币的事件）。</w:t>
      </w:r>
    </w:p>
    <w:p w14:paraId="5736C7D6">
      <w:pPr>
        <w:spacing w:line="360" w:lineRule="auto"/>
        <w:ind w:firstLine="560" w:firstLineChars="200"/>
        <w:jc w:val="left"/>
        <w:rPr>
          <w:rFonts w:ascii="宋体" w:hAnsi="宋体"/>
          <w:color w:val="auto"/>
          <w:szCs w:val="21"/>
        </w:rPr>
      </w:pPr>
      <w:bookmarkStart w:id="1611" w:name="_Toc239510291"/>
      <w:bookmarkStart w:id="1612" w:name="_Toc247431425"/>
      <w:bookmarkStart w:id="1613" w:name="_Toc247418265"/>
      <w:r>
        <w:rPr>
          <w:rFonts w:hint="eastAsia" w:ascii="宋体" w:hAnsi="宋体"/>
          <w:color w:val="auto"/>
          <w:szCs w:val="21"/>
        </w:rPr>
        <w:t>（三）承包人承诺在施工中控制以下安全事故的发生：</w:t>
      </w:r>
      <w:bookmarkEnd w:id="1611"/>
      <w:bookmarkEnd w:id="1612"/>
      <w:bookmarkEnd w:id="1613"/>
    </w:p>
    <w:p w14:paraId="5B29D0B4">
      <w:pPr>
        <w:spacing w:line="360" w:lineRule="auto"/>
        <w:ind w:firstLine="560" w:firstLineChars="200"/>
        <w:jc w:val="left"/>
        <w:rPr>
          <w:rFonts w:ascii="宋体" w:hAnsi="宋体"/>
          <w:color w:val="auto"/>
          <w:szCs w:val="21"/>
        </w:rPr>
      </w:pPr>
      <w:r>
        <w:rPr>
          <w:rFonts w:hint="eastAsia" w:ascii="宋体" w:hAnsi="宋体"/>
          <w:color w:val="auto"/>
          <w:szCs w:val="21"/>
        </w:rPr>
        <w:t>1．人员轻伤事故。</w:t>
      </w:r>
    </w:p>
    <w:p w14:paraId="043263C7">
      <w:pPr>
        <w:spacing w:line="360" w:lineRule="auto"/>
        <w:ind w:firstLine="560" w:firstLineChars="200"/>
        <w:jc w:val="left"/>
        <w:rPr>
          <w:rFonts w:ascii="宋体" w:hAnsi="宋体"/>
          <w:color w:val="auto"/>
          <w:szCs w:val="21"/>
        </w:rPr>
      </w:pPr>
      <w:r>
        <w:rPr>
          <w:rFonts w:hint="eastAsia" w:ascii="宋体" w:hAnsi="宋体"/>
          <w:color w:val="auto"/>
          <w:szCs w:val="21"/>
        </w:rPr>
        <w:t>2．负有同等及以上事故责任的人身轻伤交通事故。</w:t>
      </w:r>
    </w:p>
    <w:p w14:paraId="6D7F70DD">
      <w:pPr>
        <w:spacing w:line="360" w:lineRule="auto"/>
        <w:ind w:firstLine="560" w:firstLineChars="200"/>
        <w:jc w:val="left"/>
        <w:rPr>
          <w:rFonts w:ascii="宋体" w:hAnsi="宋体"/>
          <w:color w:val="auto"/>
          <w:szCs w:val="21"/>
        </w:rPr>
      </w:pPr>
      <w:r>
        <w:rPr>
          <w:rFonts w:hint="eastAsia" w:ascii="宋体" w:hAnsi="宋体"/>
          <w:color w:val="auto"/>
          <w:szCs w:val="21"/>
        </w:rPr>
        <w:t>3．其他安全未遂事故和异常事件。</w:t>
      </w:r>
    </w:p>
    <w:p w14:paraId="5F24940C">
      <w:pPr>
        <w:spacing w:line="360" w:lineRule="auto"/>
        <w:ind w:firstLine="560" w:firstLineChars="200"/>
        <w:rPr>
          <w:rFonts w:ascii="宋体" w:hAnsi="宋体"/>
          <w:color w:val="auto"/>
          <w:szCs w:val="21"/>
        </w:rPr>
      </w:pPr>
      <w:bookmarkStart w:id="1614" w:name="_Toc247431426"/>
      <w:bookmarkStart w:id="1615" w:name="_Toc247418266"/>
      <w:bookmarkStart w:id="1616" w:name="_Toc532375702"/>
      <w:bookmarkStart w:id="1617" w:name="_Toc239510292"/>
      <w:r>
        <w:rPr>
          <w:rFonts w:hint="eastAsia" w:ascii="宋体" w:hAnsi="宋体"/>
          <w:color w:val="auto"/>
          <w:szCs w:val="21"/>
        </w:rPr>
        <w:t>三、安全责任</w:t>
      </w:r>
      <w:bookmarkEnd w:id="1614"/>
      <w:bookmarkEnd w:id="1615"/>
      <w:bookmarkEnd w:id="1616"/>
      <w:bookmarkEnd w:id="1617"/>
    </w:p>
    <w:p w14:paraId="11BC1993">
      <w:pPr>
        <w:spacing w:line="360" w:lineRule="auto"/>
        <w:ind w:firstLine="560" w:firstLineChars="200"/>
        <w:jc w:val="left"/>
        <w:rPr>
          <w:rFonts w:ascii="宋体" w:hAnsi="宋体"/>
          <w:color w:val="auto"/>
          <w:szCs w:val="21"/>
        </w:rPr>
      </w:pPr>
      <w:r>
        <w:rPr>
          <w:rFonts w:hint="eastAsia" w:ascii="宋体" w:hAnsi="宋体"/>
          <w:color w:val="auto"/>
          <w:szCs w:val="21"/>
        </w:rPr>
        <w:t>1．承包人负有安全生产的管理责任和直接责任。</w:t>
      </w:r>
    </w:p>
    <w:p w14:paraId="5FDEC334">
      <w:pPr>
        <w:spacing w:line="360" w:lineRule="auto"/>
        <w:ind w:firstLine="560" w:firstLineChars="200"/>
        <w:jc w:val="left"/>
        <w:rPr>
          <w:rFonts w:ascii="宋体" w:hAnsi="宋体"/>
          <w:color w:val="auto"/>
          <w:szCs w:val="21"/>
        </w:rPr>
      </w:pPr>
      <w:r>
        <w:rPr>
          <w:rFonts w:hint="eastAsia" w:ascii="宋体" w:hAnsi="宋体"/>
          <w:color w:val="auto"/>
          <w:szCs w:val="21"/>
        </w:rPr>
        <w:t>2．承包人的法人或签署合同的公司总经理或受委托的代理人对合同安全负有全面的领导责任。</w:t>
      </w:r>
    </w:p>
    <w:p w14:paraId="062D760D">
      <w:pPr>
        <w:spacing w:line="360" w:lineRule="auto"/>
        <w:ind w:firstLine="560" w:firstLineChars="200"/>
        <w:jc w:val="left"/>
        <w:rPr>
          <w:rFonts w:ascii="宋体" w:hAnsi="宋体"/>
          <w:color w:val="auto"/>
          <w:szCs w:val="21"/>
        </w:rPr>
      </w:pPr>
      <w:r>
        <w:rPr>
          <w:rFonts w:hint="eastAsia" w:ascii="宋体" w:hAnsi="宋体"/>
          <w:color w:val="auto"/>
          <w:szCs w:val="21"/>
        </w:rPr>
        <w:t>3．承包人项目经理对施工现场的安全工作负有全面的直接领导责任。</w:t>
      </w:r>
    </w:p>
    <w:p w14:paraId="3438362A">
      <w:pPr>
        <w:spacing w:line="360" w:lineRule="auto"/>
        <w:ind w:firstLine="560" w:firstLineChars="200"/>
        <w:jc w:val="left"/>
        <w:rPr>
          <w:rFonts w:ascii="宋体" w:hAnsi="宋体"/>
          <w:color w:val="auto"/>
          <w:szCs w:val="21"/>
        </w:rPr>
      </w:pPr>
      <w:r>
        <w:rPr>
          <w:rFonts w:hint="eastAsia" w:ascii="宋体" w:hAnsi="宋体"/>
          <w:color w:val="auto"/>
          <w:szCs w:val="21"/>
        </w:rPr>
        <w:t>4．承包人保证执行“谁施工、谁负责”的施工安全原则。</w:t>
      </w:r>
    </w:p>
    <w:p w14:paraId="250646DE">
      <w:pPr>
        <w:spacing w:line="360" w:lineRule="auto"/>
        <w:ind w:firstLine="560" w:firstLineChars="200"/>
        <w:jc w:val="left"/>
        <w:rPr>
          <w:rFonts w:ascii="宋体" w:hAnsi="宋体"/>
          <w:color w:val="auto"/>
          <w:szCs w:val="21"/>
        </w:rPr>
      </w:pPr>
      <w:r>
        <w:rPr>
          <w:rFonts w:hint="eastAsia" w:ascii="宋体" w:hAnsi="宋体"/>
          <w:color w:val="auto"/>
          <w:szCs w:val="21"/>
        </w:rPr>
        <w:t>5．承包人保证服从发包人对安全工作的统一协调和管理。</w:t>
      </w:r>
    </w:p>
    <w:p w14:paraId="50642C29">
      <w:pPr>
        <w:spacing w:line="360" w:lineRule="auto"/>
        <w:ind w:firstLine="560" w:firstLineChars="200"/>
        <w:jc w:val="left"/>
        <w:rPr>
          <w:rFonts w:ascii="宋体" w:hAnsi="宋体"/>
          <w:color w:val="auto"/>
          <w:szCs w:val="21"/>
        </w:rPr>
      </w:pPr>
      <w:r>
        <w:rPr>
          <w:rFonts w:hint="eastAsia" w:ascii="宋体" w:hAnsi="宋体"/>
          <w:color w:val="auto"/>
          <w:szCs w:val="21"/>
        </w:rPr>
        <w:t>6．承包人保证对本工程项目安全生产条件及其管理资源自行投入，保证安全资金的专款专用。</w:t>
      </w:r>
    </w:p>
    <w:p w14:paraId="7CA00021">
      <w:pPr>
        <w:spacing w:line="360" w:lineRule="auto"/>
        <w:ind w:firstLine="560" w:firstLineChars="200"/>
        <w:jc w:val="left"/>
        <w:rPr>
          <w:rFonts w:ascii="宋体" w:hAnsi="宋体"/>
          <w:color w:val="auto"/>
          <w:szCs w:val="21"/>
        </w:rPr>
      </w:pPr>
      <w:r>
        <w:rPr>
          <w:rFonts w:hint="eastAsia" w:ascii="宋体" w:hAnsi="宋体"/>
          <w:color w:val="auto"/>
          <w:szCs w:val="21"/>
        </w:rPr>
        <w:t>7．承包人保证建立本工程项目的安全管理体系及安全保证体系（注：项目安全管理大纲/手册、管理性的程序文件等）。</w:t>
      </w:r>
    </w:p>
    <w:p w14:paraId="0130A331">
      <w:pPr>
        <w:spacing w:line="360" w:lineRule="auto"/>
        <w:ind w:firstLine="560" w:firstLineChars="200"/>
        <w:jc w:val="left"/>
        <w:rPr>
          <w:rFonts w:ascii="宋体" w:hAnsi="宋体"/>
          <w:color w:val="auto"/>
          <w:szCs w:val="21"/>
        </w:rPr>
      </w:pPr>
      <w:r>
        <w:rPr>
          <w:rFonts w:hint="eastAsia" w:ascii="宋体" w:hAnsi="宋体"/>
          <w:color w:val="auto"/>
          <w:szCs w:val="21"/>
        </w:rPr>
        <w:t>8．承包人保证现场的安全管理专职人员必须持有建设主管部门安全生产培训考核合格证书。</w:t>
      </w:r>
    </w:p>
    <w:p w14:paraId="173748EF">
      <w:pPr>
        <w:spacing w:line="360" w:lineRule="auto"/>
        <w:ind w:firstLine="560" w:firstLineChars="200"/>
        <w:jc w:val="left"/>
        <w:rPr>
          <w:rFonts w:ascii="宋体" w:hAnsi="宋体"/>
          <w:color w:val="auto"/>
          <w:szCs w:val="21"/>
        </w:rPr>
      </w:pPr>
      <w:r>
        <w:rPr>
          <w:rFonts w:hint="eastAsia" w:ascii="宋体" w:hAnsi="宋体"/>
          <w:color w:val="auto"/>
          <w:szCs w:val="21"/>
        </w:rPr>
        <w:t>9．承包人保证为现场所有工作人员（含分包商员工及劳务人员）配备符合国家标准的有承包人和/或其下属分包商标志的个人基本劳动保护用品。</w:t>
      </w:r>
    </w:p>
    <w:p w14:paraId="413B890D">
      <w:pPr>
        <w:spacing w:line="360" w:lineRule="auto"/>
        <w:ind w:firstLine="560" w:firstLineChars="200"/>
        <w:jc w:val="left"/>
        <w:rPr>
          <w:rFonts w:ascii="宋体" w:hAnsi="宋体"/>
          <w:color w:val="auto"/>
          <w:szCs w:val="21"/>
        </w:rPr>
      </w:pPr>
      <w:r>
        <w:rPr>
          <w:rFonts w:hint="eastAsia" w:ascii="宋体" w:hAnsi="宋体"/>
          <w:color w:val="auto"/>
          <w:szCs w:val="21"/>
        </w:rPr>
        <w:t>10．承包人保证按照国家法律规定为现场所有工作人员（含分包商员工及劳务人员）购买意外伤害保险。</w:t>
      </w:r>
    </w:p>
    <w:p w14:paraId="3D368FB1">
      <w:pPr>
        <w:spacing w:line="360" w:lineRule="auto"/>
        <w:ind w:firstLine="560" w:firstLineChars="200"/>
        <w:jc w:val="left"/>
        <w:rPr>
          <w:rFonts w:ascii="宋体" w:hAnsi="宋体"/>
          <w:color w:val="auto"/>
          <w:szCs w:val="21"/>
        </w:rPr>
      </w:pPr>
      <w:r>
        <w:rPr>
          <w:rFonts w:hint="eastAsia" w:ascii="宋体" w:hAnsi="宋体"/>
          <w:color w:val="auto"/>
          <w:szCs w:val="21"/>
        </w:rPr>
        <w:t>11．承包人保证施工生活营地（包括自建的和租用的营地）满足消防、安全用电、卫生防疫、防暴雨、防雷击等方面的安全要求。</w:t>
      </w:r>
    </w:p>
    <w:p w14:paraId="6F9458F5">
      <w:pPr>
        <w:spacing w:line="360" w:lineRule="auto"/>
        <w:ind w:firstLine="560" w:firstLineChars="200"/>
        <w:jc w:val="left"/>
        <w:rPr>
          <w:rFonts w:ascii="宋体" w:hAnsi="宋体"/>
          <w:color w:val="auto"/>
          <w:szCs w:val="21"/>
        </w:rPr>
      </w:pPr>
      <w:r>
        <w:rPr>
          <w:rFonts w:hint="eastAsia" w:ascii="宋体" w:hAnsi="宋体"/>
          <w:color w:val="auto"/>
          <w:szCs w:val="21"/>
        </w:rPr>
        <w:t>12．承包人保证对带入现场的设备、工具、材料按照国家法规和标准进行检测、试验，并持有法定部门出具的检验证书。</w:t>
      </w:r>
    </w:p>
    <w:p w14:paraId="721A02D4">
      <w:pPr>
        <w:spacing w:line="360" w:lineRule="auto"/>
        <w:ind w:firstLine="560" w:firstLineChars="200"/>
        <w:jc w:val="left"/>
        <w:rPr>
          <w:rFonts w:ascii="宋体" w:hAnsi="宋体"/>
          <w:color w:val="auto"/>
          <w:szCs w:val="21"/>
        </w:rPr>
      </w:pPr>
      <w:r>
        <w:rPr>
          <w:rFonts w:hint="eastAsia" w:ascii="宋体" w:hAnsi="宋体"/>
          <w:color w:val="auto"/>
          <w:szCs w:val="21"/>
        </w:rPr>
        <w:t>13．承包人保证制订施工现场的文明施工措施，保护环境、树木和植被，保持施工现场的良好秩序和整洁的作业环境。</w:t>
      </w:r>
    </w:p>
    <w:p w14:paraId="27FD2D8B">
      <w:pPr>
        <w:spacing w:line="360" w:lineRule="auto"/>
        <w:ind w:firstLine="560" w:firstLineChars="200"/>
        <w:jc w:val="left"/>
        <w:rPr>
          <w:rFonts w:ascii="宋体" w:hAnsi="宋体"/>
          <w:color w:val="auto"/>
          <w:szCs w:val="21"/>
        </w:rPr>
      </w:pPr>
      <w:r>
        <w:rPr>
          <w:rFonts w:hint="eastAsia" w:ascii="宋体" w:hAnsi="宋体"/>
          <w:color w:val="auto"/>
          <w:szCs w:val="21"/>
        </w:rPr>
        <w:t>14．承包人负责在施工过程中与当地政府、周边群众及其他承包商保持良好的沟通和交流。承包人遇到与周边群众发生纠纷时，应负责协调工作，确保工程能够顺利进行。</w:t>
      </w:r>
    </w:p>
    <w:p w14:paraId="0D807347">
      <w:pPr>
        <w:spacing w:line="360" w:lineRule="auto"/>
        <w:ind w:firstLine="560" w:firstLineChars="200"/>
        <w:rPr>
          <w:rFonts w:ascii="宋体" w:hAnsi="宋体"/>
          <w:color w:val="auto"/>
          <w:szCs w:val="21"/>
        </w:rPr>
      </w:pPr>
      <w:bookmarkStart w:id="1618" w:name="_Toc532375703"/>
      <w:bookmarkStart w:id="1619" w:name="_Toc239510293"/>
      <w:bookmarkStart w:id="1620" w:name="_Toc247431427"/>
      <w:bookmarkStart w:id="1621" w:name="_Toc247418267"/>
      <w:r>
        <w:rPr>
          <w:rFonts w:hint="eastAsia" w:ascii="宋体" w:hAnsi="宋体"/>
          <w:color w:val="auto"/>
          <w:szCs w:val="21"/>
        </w:rPr>
        <w:t>四、接口及协调</w:t>
      </w:r>
      <w:bookmarkEnd w:id="1618"/>
      <w:bookmarkEnd w:id="1619"/>
      <w:bookmarkEnd w:id="1620"/>
      <w:bookmarkEnd w:id="1621"/>
    </w:p>
    <w:p w14:paraId="5BE6DFF0">
      <w:pPr>
        <w:spacing w:line="360" w:lineRule="auto"/>
        <w:ind w:firstLine="560" w:firstLineChars="200"/>
        <w:jc w:val="left"/>
        <w:rPr>
          <w:rFonts w:ascii="宋体" w:hAnsi="宋体"/>
          <w:color w:val="auto"/>
          <w:szCs w:val="21"/>
        </w:rPr>
      </w:pPr>
      <w:r>
        <w:rPr>
          <w:rFonts w:hint="eastAsia" w:ascii="宋体" w:hAnsi="宋体"/>
          <w:color w:val="auto"/>
          <w:szCs w:val="21"/>
        </w:rPr>
        <w:t>1．发包人委托监理公司对该工程实施监理，监理公司在安全管理方面代表发包人行使监督检查职能，承包人必须给予配合和支持。</w:t>
      </w:r>
    </w:p>
    <w:p w14:paraId="2376F31E">
      <w:pPr>
        <w:spacing w:line="360" w:lineRule="auto"/>
        <w:ind w:firstLine="560" w:firstLineChars="200"/>
        <w:jc w:val="left"/>
        <w:rPr>
          <w:rFonts w:ascii="宋体" w:hAnsi="宋体"/>
          <w:color w:val="auto"/>
          <w:szCs w:val="21"/>
        </w:rPr>
      </w:pPr>
      <w:r>
        <w:rPr>
          <w:rFonts w:hint="eastAsia" w:ascii="宋体" w:hAnsi="宋体"/>
          <w:color w:val="auto"/>
          <w:szCs w:val="21"/>
        </w:rPr>
        <w:t>2．承包人人员、车辆的出入，带入现场的设备、机具、材料，在现场使用的或直接管理的办公、生活、生产性设施的安全管理须满足发包人现场管理的基本要求。</w:t>
      </w:r>
    </w:p>
    <w:p w14:paraId="3251490B">
      <w:pPr>
        <w:spacing w:line="360" w:lineRule="auto"/>
        <w:ind w:firstLine="560" w:firstLineChars="200"/>
        <w:jc w:val="left"/>
        <w:rPr>
          <w:rFonts w:ascii="宋体" w:hAnsi="宋体"/>
          <w:color w:val="auto"/>
          <w:szCs w:val="21"/>
        </w:rPr>
      </w:pPr>
      <w:r>
        <w:rPr>
          <w:rFonts w:hint="eastAsia" w:ascii="宋体" w:hAnsi="宋体"/>
          <w:color w:val="auto"/>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3EA8C557">
      <w:pPr>
        <w:spacing w:line="360" w:lineRule="auto"/>
        <w:ind w:firstLine="560" w:firstLineChars="200"/>
        <w:jc w:val="left"/>
        <w:rPr>
          <w:rFonts w:ascii="宋体" w:hAnsi="宋体"/>
          <w:color w:val="auto"/>
          <w:szCs w:val="21"/>
        </w:rPr>
      </w:pPr>
      <w:r>
        <w:rPr>
          <w:rFonts w:hint="eastAsia" w:ascii="宋体" w:hAnsi="宋体"/>
          <w:color w:val="auto"/>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B92427B">
      <w:pPr>
        <w:spacing w:line="360" w:lineRule="auto"/>
        <w:ind w:firstLine="560" w:firstLineChars="200"/>
        <w:jc w:val="left"/>
        <w:rPr>
          <w:rFonts w:ascii="宋体" w:hAnsi="宋体"/>
          <w:color w:val="auto"/>
          <w:szCs w:val="21"/>
        </w:rPr>
      </w:pPr>
      <w:r>
        <w:rPr>
          <w:rFonts w:hint="eastAsia" w:ascii="宋体" w:hAnsi="宋体"/>
          <w:color w:val="auto"/>
          <w:szCs w:val="21"/>
        </w:rPr>
        <w:t>5．承包人指定的专职安全管理人员应与发包人委托的监理公司建立联系，在业务上接受发包人委托的监理公司的协调和指导。</w:t>
      </w:r>
    </w:p>
    <w:p w14:paraId="2559631F">
      <w:pPr>
        <w:spacing w:line="360" w:lineRule="auto"/>
        <w:ind w:firstLine="560" w:firstLineChars="200"/>
        <w:jc w:val="left"/>
        <w:rPr>
          <w:rFonts w:ascii="宋体" w:hAnsi="宋体"/>
          <w:color w:val="auto"/>
          <w:szCs w:val="21"/>
        </w:rPr>
      </w:pPr>
      <w:r>
        <w:rPr>
          <w:rFonts w:hint="eastAsia" w:ascii="宋体" w:hAnsi="宋体"/>
          <w:color w:val="auto"/>
          <w:szCs w:val="21"/>
        </w:rPr>
        <w:t>6．开工后承包人的专职安全管理人员应按照发包人委托的监理公司的规定，定期报送安全月度快报、季报、年报和各种专项事故报告等。</w:t>
      </w:r>
    </w:p>
    <w:p w14:paraId="360D08EE">
      <w:pPr>
        <w:spacing w:line="360" w:lineRule="auto"/>
        <w:ind w:firstLine="560" w:firstLineChars="200"/>
        <w:jc w:val="left"/>
        <w:rPr>
          <w:rFonts w:ascii="宋体" w:hAnsi="宋体"/>
          <w:color w:val="auto"/>
          <w:szCs w:val="21"/>
        </w:rPr>
      </w:pPr>
      <w:r>
        <w:rPr>
          <w:rFonts w:hint="eastAsia" w:ascii="宋体" w:hAnsi="宋体"/>
          <w:color w:val="auto"/>
          <w:szCs w:val="21"/>
        </w:rPr>
        <w:t>7．在工程实体未全部正式移交发包人施工管理部门之前，承包人依旧对施工范围内的安全管理负责。</w:t>
      </w:r>
    </w:p>
    <w:p w14:paraId="208C94C3">
      <w:pPr>
        <w:spacing w:line="360" w:lineRule="auto"/>
        <w:ind w:firstLine="560" w:firstLineChars="200"/>
        <w:rPr>
          <w:rFonts w:ascii="宋体" w:hAnsi="宋体"/>
          <w:color w:val="auto"/>
          <w:szCs w:val="21"/>
        </w:rPr>
      </w:pPr>
      <w:bookmarkStart w:id="1622" w:name="_Toc532375704"/>
      <w:bookmarkStart w:id="1623" w:name="_Toc239510294"/>
      <w:bookmarkStart w:id="1624" w:name="_Toc247418268"/>
      <w:bookmarkStart w:id="1625" w:name="_Toc247431428"/>
      <w:r>
        <w:rPr>
          <w:rFonts w:hint="eastAsia" w:ascii="宋体" w:hAnsi="宋体"/>
          <w:color w:val="auto"/>
          <w:szCs w:val="21"/>
        </w:rPr>
        <w:t>五、安全资质审查</w:t>
      </w:r>
      <w:bookmarkEnd w:id="1622"/>
      <w:bookmarkEnd w:id="1623"/>
      <w:bookmarkEnd w:id="1624"/>
      <w:bookmarkEnd w:id="1625"/>
    </w:p>
    <w:p w14:paraId="723FCFA2">
      <w:pPr>
        <w:spacing w:line="360" w:lineRule="auto"/>
        <w:ind w:firstLine="560" w:firstLineChars="200"/>
        <w:jc w:val="left"/>
        <w:rPr>
          <w:rFonts w:ascii="宋体" w:hAnsi="宋体"/>
          <w:color w:val="auto"/>
          <w:szCs w:val="21"/>
        </w:rPr>
      </w:pPr>
      <w:r>
        <w:rPr>
          <w:rFonts w:hint="eastAsia" w:ascii="宋体" w:hAnsi="宋体"/>
          <w:color w:val="auto"/>
          <w:szCs w:val="21"/>
        </w:rPr>
        <w:t>承包人在项目开工前5个工作天内向发包人委托的监理公司提供以下安全资质供审查和存档：</w:t>
      </w:r>
    </w:p>
    <w:p w14:paraId="4716392E">
      <w:pPr>
        <w:spacing w:line="360" w:lineRule="auto"/>
        <w:ind w:firstLine="560" w:firstLineChars="200"/>
        <w:jc w:val="left"/>
        <w:rPr>
          <w:rFonts w:ascii="宋体" w:hAnsi="宋体"/>
          <w:color w:val="auto"/>
          <w:szCs w:val="21"/>
        </w:rPr>
      </w:pPr>
      <w:r>
        <w:rPr>
          <w:rFonts w:hint="eastAsia" w:ascii="宋体" w:hAnsi="宋体"/>
          <w:color w:val="auto"/>
          <w:szCs w:val="21"/>
        </w:rPr>
        <w:t>1．企业安全生产许可证书复印件。</w:t>
      </w:r>
    </w:p>
    <w:p w14:paraId="575B1137">
      <w:pPr>
        <w:spacing w:line="360" w:lineRule="auto"/>
        <w:ind w:firstLine="560" w:firstLineChars="200"/>
        <w:jc w:val="left"/>
        <w:rPr>
          <w:rFonts w:ascii="宋体" w:hAnsi="宋体"/>
          <w:color w:val="auto"/>
          <w:szCs w:val="21"/>
        </w:rPr>
      </w:pPr>
      <w:r>
        <w:rPr>
          <w:rFonts w:hint="eastAsia" w:ascii="宋体" w:hAnsi="宋体"/>
          <w:color w:val="auto"/>
          <w:szCs w:val="21"/>
        </w:rPr>
        <w:t>2．企业近三年的施工简历及安全施工业绩证明文件。</w:t>
      </w:r>
    </w:p>
    <w:p w14:paraId="69E8D317">
      <w:pPr>
        <w:spacing w:line="360" w:lineRule="auto"/>
        <w:ind w:firstLine="560" w:firstLineChars="200"/>
        <w:jc w:val="left"/>
        <w:rPr>
          <w:rFonts w:ascii="宋体" w:hAnsi="宋体"/>
          <w:color w:val="auto"/>
          <w:szCs w:val="21"/>
        </w:rPr>
      </w:pPr>
      <w:r>
        <w:rPr>
          <w:rFonts w:hint="eastAsia" w:ascii="宋体" w:hAnsi="宋体"/>
          <w:color w:val="auto"/>
          <w:szCs w:val="21"/>
        </w:rPr>
        <w:t>3．企业主要安全管理人员（包括项目经理、专职安全管理人员）经建设主管部门安全生产知识考核合格证书。</w:t>
      </w:r>
    </w:p>
    <w:p w14:paraId="6CED6655">
      <w:pPr>
        <w:spacing w:line="360" w:lineRule="auto"/>
        <w:ind w:firstLine="560" w:firstLineChars="200"/>
        <w:jc w:val="left"/>
        <w:rPr>
          <w:rFonts w:ascii="宋体" w:hAnsi="宋体"/>
          <w:color w:val="auto"/>
          <w:szCs w:val="21"/>
        </w:rPr>
      </w:pPr>
      <w:r>
        <w:rPr>
          <w:rFonts w:hint="eastAsia" w:ascii="宋体" w:hAnsi="宋体"/>
          <w:color w:val="auto"/>
          <w:szCs w:val="21"/>
        </w:rPr>
        <w:t>4．特种作业人员资格证书。</w:t>
      </w:r>
    </w:p>
    <w:p w14:paraId="397FC4B4">
      <w:pPr>
        <w:spacing w:line="360" w:lineRule="auto"/>
        <w:ind w:firstLine="560" w:firstLineChars="200"/>
        <w:jc w:val="left"/>
        <w:rPr>
          <w:rFonts w:ascii="宋体" w:hAnsi="宋体"/>
          <w:color w:val="auto"/>
          <w:szCs w:val="21"/>
        </w:rPr>
      </w:pPr>
      <w:r>
        <w:rPr>
          <w:rFonts w:hint="eastAsia" w:ascii="宋体" w:hAnsi="宋体"/>
          <w:color w:val="auto"/>
          <w:szCs w:val="21"/>
        </w:rPr>
        <w:t>5．项目安全管理机构及其人员配备（承包人必须配有专职的安全员）。</w:t>
      </w:r>
    </w:p>
    <w:p w14:paraId="247C581E">
      <w:pPr>
        <w:spacing w:line="360" w:lineRule="auto"/>
        <w:ind w:firstLine="560" w:firstLineChars="200"/>
        <w:jc w:val="left"/>
        <w:rPr>
          <w:rFonts w:ascii="宋体" w:hAnsi="宋体"/>
          <w:color w:val="auto"/>
          <w:szCs w:val="21"/>
        </w:rPr>
      </w:pPr>
      <w:r>
        <w:rPr>
          <w:rFonts w:hint="eastAsia" w:ascii="宋体" w:hAnsi="宋体"/>
          <w:color w:val="auto"/>
          <w:szCs w:val="21"/>
        </w:rPr>
        <w:t>6．适用于项目的安全管理体系及保证体系文件（安全管理大纲及管理程序文件）。</w:t>
      </w:r>
    </w:p>
    <w:p w14:paraId="6189952A">
      <w:pPr>
        <w:spacing w:line="360" w:lineRule="auto"/>
        <w:ind w:firstLine="560" w:firstLineChars="200"/>
        <w:rPr>
          <w:rFonts w:ascii="宋体" w:hAnsi="宋体"/>
          <w:color w:val="auto"/>
          <w:szCs w:val="21"/>
        </w:rPr>
      </w:pPr>
      <w:bookmarkStart w:id="1626" w:name="_Toc239510295"/>
      <w:bookmarkStart w:id="1627" w:name="_Toc247431429"/>
      <w:bookmarkStart w:id="1628" w:name="_Toc247418269"/>
      <w:bookmarkStart w:id="1629" w:name="_Toc532375705"/>
      <w:r>
        <w:rPr>
          <w:rFonts w:hint="eastAsia" w:ascii="宋体" w:hAnsi="宋体"/>
          <w:color w:val="auto"/>
          <w:szCs w:val="21"/>
        </w:rPr>
        <w:t>六、人员基本素质</w:t>
      </w:r>
      <w:bookmarkEnd w:id="1626"/>
      <w:bookmarkEnd w:id="1627"/>
      <w:bookmarkEnd w:id="1628"/>
      <w:bookmarkEnd w:id="1629"/>
    </w:p>
    <w:p w14:paraId="0BFEE67E">
      <w:pPr>
        <w:spacing w:line="360" w:lineRule="auto"/>
        <w:ind w:firstLine="560" w:firstLineChars="200"/>
        <w:jc w:val="left"/>
        <w:rPr>
          <w:rFonts w:ascii="宋体" w:hAnsi="宋体"/>
          <w:color w:val="auto"/>
          <w:szCs w:val="21"/>
        </w:rPr>
      </w:pPr>
      <w:r>
        <w:rPr>
          <w:rFonts w:hint="eastAsia" w:ascii="宋体" w:hAnsi="宋体"/>
          <w:color w:val="auto"/>
          <w:szCs w:val="21"/>
        </w:rPr>
        <w:t>承包人提供的人员必须满足下列要求：</w:t>
      </w:r>
    </w:p>
    <w:p w14:paraId="00F9C530">
      <w:pPr>
        <w:spacing w:line="360" w:lineRule="auto"/>
        <w:ind w:firstLine="560" w:firstLineChars="200"/>
        <w:jc w:val="left"/>
        <w:rPr>
          <w:rFonts w:ascii="宋体" w:hAnsi="宋体"/>
          <w:color w:val="auto"/>
          <w:szCs w:val="21"/>
        </w:rPr>
      </w:pPr>
      <w:r>
        <w:rPr>
          <w:rFonts w:hint="eastAsia" w:ascii="宋体" w:hAnsi="宋体"/>
          <w:color w:val="auto"/>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204E868E">
      <w:pPr>
        <w:spacing w:line="360" w:lineRule="auto"/>
        <w:ind w:firstLine="560" w:firstLineChars="200"/>
        <w:jc w:val="left"/>
        <w:rPr>
          <w:rFonts w:ascii="宋体" w:hAnsi="宋体"/>
          <w:color w:val="auto"/>
          <w:szCs w:val="21"/>
        </w:rPr>
      </w:pPr>
      <w:r>
        <w:rPr>
          <w:rFonts w:hint="eastAsia" w:ascii="宋体" w:hAnsi="宋体"/>
          <w:color w:val="auto"/>
          <w:szCs w:val="21"/>
        </w:rPr>
        <w:t>2．无刑事案件牵连。</w:t>
      </w:r>
    </w:p>
    <w:p w14:paraId="76ABC35B">
      <w:pPr>
        <w:spacing w:line="360" w:lineRule="auto"/>
        <w:ind w:firstLine="560" w:firstLineChars="200"/>
        <w:jc w:val="left"/>
        <w:rPr>
          <w:rFonts w:ascii="宋体" w:hAnsi="宋体"/>
          <w:color w:val="auto"/>
          <w:szCs w:val="21"/>
        </w:rPr>
      </w:pPr>
      <w:r>
        <w:rPr>
          <w:rFonts w:hint="eastAsia" w:ascii="宋体" w:hAnsi="宋体"/>
          <w:color w:val="auto"/>
          <w:szCs w:val="21"/>
        </w:rPr>
        <w:t>3．无吸毒、酗酒、赌博、嫖娼等恶习及违法行为。</w:t>
      </w:r>
    </w:p>
    <w:p w14:paraId="3AACA4AE">
      <w:pPr>
        <w:spacing w:line="360" w:lineRule="auto"/>
        <w:ind w:firstLine="560" w:firstLineChars="200"/>
        <w:rPr>
          <w:rFonts w:ascii="宋体" w:hAnsi="宋体"/>
          <w:color w:val="auto"/>
          <w:szCs w:val="21"/>
        </w:rPr>
      </w:pPr>
      <w:bookmarkStart w:id="1630" w:name="_Toc247431430"/>
      <w:bookmarkStart w:id="1631" w:name="_Toc532375706"/>
      <w:bookmarkStart w:id="1632" w:name="_Toc239510296"/>
      <w:bookmarkStart w:id="1633" w:name="_Toc247418270"/>
      <w:r>
        <w:rPr>
          <w:rFonts w:hint="eastAsia" w:ascii="宋体" w:hAnsi="宋体"/>
          <w:color w:val="auto"/>
          <w:szCs w:val="21"/>
        </w:rPr>
        <w:t>七、劳动保护</w:t>
      </w:r>
      <w:bookmarkEnd w:id="1630"/>
      <w:bookmarkEnd w:id="1631"/>
      <w:bookmarkEnd w:id="1632"/>
      <w:bookmarkEnd w:id="1633"/>
    </w:p>
    <w:p w14:paraId="1A57B8A8">
      <w:pPr>
        <w:spacing w:line="360" w:lineRule="auto"/>
        <w:ind w:firstLine="560" w:firstLineChars="200"/>
        <w:jc w:val="left"/>
        <w:rPr>
          <w:rFonts w:ascii="宋体" w:hAnsi="宋体"/>
          <w:color w:val="auto"/>
          <w:szCs w:val="21"/>
        </w:rPr>
      </w:pPr>
      <w:r>
        <w:rPr>
          <w:rFonts w:hint="eastAsia" w:ascii="宋体" w:hAnsi="宋体"/>
          <w:color w:val="auto"/>
          <w:szCs w:val="21"/>
        </w:rPr>
        <w:t>1．承包人负责为本单位任何用工形式的员工提供个人劳动保护用品（包括工作服、安全帽、安全鞋等）。</w:t>
      </w:r>
    </w:p>
    <w:p w14:paraId="689EC7B3">
      <w:pPr>
        <w:spacing w:line="360" w:lineRule="auto"/>
        <w:ind w:firstLine="560" w:firstLineChars="200"/>
        <w:jc w:val="left"/>
        <w:rPr>
          <w:rFonts w:ascii="宋体" w:hAnsi="宋体"/>
          <w:color w:val="auto"/>
          <w:szCs w:val="21"/>
        </w:rPr>
      </w:pPr>
      <w:r>
        <w:rPr>
          <w:rFonts w:hint="eastAsia" w:ascii="宋体" w:hAnsi="宋体"/>
          <w:color w:val="auto"/>
          <w:szCs w:val="21"/>
        </w:rPr>
        <w:t>2．承包人负责向特殊工种的员工提供特殊劳动保护，否则不得从事特殊工种作业。</w:t>
      </w:r>
    </w:p>
    <w:p w14:paraId="0159AAE3">
      <w:pPr>
        <w:spacing w:line="360" w:lineRule="auto"/>
        <w:ind w:firstLine="560" w:firstLineChars="200"/>
        <w:jc w:val="left"/>
        <w:rPr>
          <w:rFonts w:ascii="宋体" w:hAnsi="宋体"/>
          <w:color w:val="auto"/>
          <w:szCs w:val="21"/>
        </w:rPr>
      </w:pPr>
      <w:r>
        <w:rPr>
          <w:rFonts w:hint="eastAsia" w:ascii="宋体" w:hAnsi="宋体"/>
          <w:color w:val="auto"/>
          <w:szCs w:val="21"/>
        </w:rPr>
        <w:t>3．发包人委托的监理公司有权检查承包人的个人劳动保护用品是否符合国家的相应标准。</w:t>
      </w:r>
    </w:p>
    <w:p w14:paraId="7E5FC6B1">
      <w:pPr>
        <w:spacing w:line="360" w:lineRule="auto"/>
        <w:ind w:firstLine="560" w:firstLineChars="200"/>
        <w:jc w:val="left"/>
        <w:rPr>
          <w:rFonts w:ascii="宋体" w:hAnsi="宋体"/>
          <w:color w:val="auto"/>
          <w:szCs w:val="21"/>
        </w:rPr>
      </w:pPr>
      <w:r>
        <w:rPr>
          <w:rFonts w:hint="eastAsia" w:ascii="宋体" w:hAnsi="宋体"/>
          <w:color w:val="auto"/>
          <w:szCs w:val="21"/>
        </w:rPr>
        <w:t>4． 承包人在特殊风险场所作业而需要特殊防护用品或安全仪表时，必须在上述防护用品全部到位后才能开工。</w:t>
      </w:r>
    </w:p>
    <w:p w14:paraId="7FA8C277">
      <w:pPr>
        <w:spacing w:line="360" w:lineRule="auto"/>
        <w:ind w:firstLine="560" w:firstLineChars="200"/>
        <w:jc w:val="left"/>
        <w:rPr>
          <w:rFonts w:ascii="宋体" w:hAnsi="宋体"/>
          <w:color w:val="auto"/>
          <w:szCs w:val="21"/>
        </w:rPr>
      </w:pPr>
      <w:r>
        <w:rPr>
          <w:rFonts w:hint="eastAsia" w:ascii="宋体" w:hAnsi="宋体"/>
          <w:color w:val="auto"/>
          <w:szCs w:val="21"/>
        </w:rPr>
        <w:t>5．承包人应配备临时安全围栏、警示带、警告标志、防火布等集体防护用品。</w:t>
      </w:r>
    </w:p>
    <w:p w14:paraId="3C4FDA94">
      <w:pPr>
        <w:spacing w:line="360" w:lineRule="auto"/>
        <w:ind w:firstLine="560" w:firstLineChars="200"/>
        <w:rPr>
          <w:rFonts w:ascii="宋体" w:hAnsi="宋体"/>
          <w:color w:val="auto"/>
          <w:szCs w:val="21"/>
        </w:rPr>
      </w:pPr>
      <w:bookmarkStart w:id="1634" w:name="_Toc247418271"/>
      <w:bookmarkStart w:id="1635" w:name="_Toc532375707"/>
      <w:bookmarkStart w:id="1636" w:name="_Toc239510297"/>
      <w:bookmarkStart w:id="1637" w:name="_Toc247431431"/>
      <w:r>
        <w:rPr>
          <w:rFonts w:hint="eastAsia" w:ascii="宋体" w:hAnsi="宋体"/>
          <w:color w:val="auto"/>
          <w:szCs w:val="21"/>
        </w:rPr>
        <w:t>八、施工机具与材料</w:t>
      </w:r>
      <w:bookmarkEnd w:id="1634"/>
      <w:bookmarkEnd w:id="1635"/>
      <w:bookmarkEnd w:id="1636"/>
      <w:bookmarkEnd w:id="1637"/>
    </w:p>
    <w:p w14:paraId="43CB4496">
      <w:pPr>
        <w:spacing w:line="360" w:lineRule="auto"/>
        <w:ind w:firstLine="560" w:firstLineChars="200"/>
        <w:jc w:val="left"/>
        <w:rPr>
          <w:rFonts w:ascii="宋体" w:hAnsi="宋体"/>
          <w:color w:val="auto"/>
          <w:szCs w:val="21"/>
        </w:rPr>
      </w:pPr>
      <w:r>
        <w:rPr>
          <w:rFonts w:hint="eastAsia" w:ascii="宋体" w:hAnsi="宋体"/>
          <w:color w:val="auto"/>
          <w:szCs w:val="21"/>
        </w:rPr>
        <w:t>1．承包人对带入现场的施工机械和工器具的安全负责。</w:t>
      </w:r>
    </w:p>
    <w:p w14:paraId="77E67813">
      <w:pPr>
        <w:spacing w:line="360" w:lineRule="auto"/>
        <w:ind w:firstLine="560" w:firstLineChars="200"/>
        <w:jc w:val="left"/>
        <w:rPr>
          <w:rFonts w:ascii="宋体" w:hAnsi="宋体"/>
          <w:color w:val="auto"/>
          <w:szCs w:val="21"/>
        </w:rPr>
      </w:pPr>
      <w:r>
        <w:rPr>
          <w:rFonts w:hint="eastAsia" w:ascii="宋体" w:hAnsi="宋体"/>
          <w:color w:val="auto"/>
          <w:szCs w:val="21"/>
        </w:rPr>
        <w:t>2．对于承包人带入现场的特殊工器具，如起重设备、索具、机动车辆、压缩气瓶等，承包人必须按国家法规和标准进行检测、试验，并持有法定部门出具的检验证书。</w:t>
      </w:r>
    </w:p>
    <w:p w14:paraId="65639A11">
      <w:pPr>
        <w:spacing w:line="360" w:lineRule="auto"/>
        <w:ind w:firstLine="560" w:firstLineChars="200"/>
        <w:jc w:val="left"/>
        <w:rPr>
          <w:rFonts w:ascii="宋体" w:hAnsi="宋体"/>
          <w:color w:val="auto"/>
          <w:szCs w:val="21"/>
        </w:rPr>
      </w:pPr>
      <w:r>
        <w:rPr>
          <w:rFonts w:hint="eastAsia" w:ascii="宋体" w:hAnsi="宋体"/>
          <w:color w:val="auto"/>
          <w:szCs w:val="21"/>
        </w:rPr>
        <w:t>3．对于不属于法定检测的工器具，承包人也必须建立相应的管理、检测制度，这些工器具包括登高工具、脚手架材料、电动工具、安全防护设备及用具等。</w:t>
      </w:r>
    </w:p>
    <w:p w14:paraId="4D9383E1">
      <w:pPr>
        <w:spacing w:line="360" w:lineRule="auto"/>
        <w:ind w:firstLine="560" w:firstLineChars="200"/>
        <w:rPr>
          <w:rFonts w:ascii="宋体" w:hAnsi="宋体"/>
          <w:color w:val="auto"/>
          <w:szCs w:val="21"/>
        </w:rPr>
      </w:pPr>
      <w:bookmarkStart w:id="1638" w:name="_Toc247418272"/>
      <w:bookmarkStart w:id="1639" w:name="_Toc532375708"/>
      <w:bookmarkStart w:id="1640" w:name="_Toc239510298"/>
      <w:bookmarkStart w:id="1641" w:name="_Toc247431432"/>
      <w:r>
        <w:rPr>
          <w:rFonts w:hint="eastAsia" w:ascii="宋体" w:hAnsi="宋体"/>
          <w:color w:val="auto"/>
          <w:szCs w:val="21"/>
        </w:rPr>
        <w:t>九、开工前安全条件检查</w:t>
      </w:r>
      <w:bookmarkEnd w:id="1638"/>
      <w:bookmarkEnd w:id="1639"/>
      <w:bookmarkEnd w:id="1640"/>
      <w:bookmarkEnd w:id="1641"/>
    </w:p>
    <w:p w14:paraId="644CA121">
      <w:pPr>
        <w:spacing w:line="360" w:lineRule="auto"/>
        <w:ind w:firstLine="560" w:firstLineChars="200"/>
        <w:jc w:val="left"/>
        <w:rPr>
          <w:rFonts w:ascii="宋体" w:hAnsi="宋体"/>
          <w:color w:val="auto"/>
          <w:szCs w:val="21"/>
        </w:rPr>
      </w:pPr>
      <w:r>
        <w:rPr>
          <w:rFonts w:hint="eastAsia" w:ascii="宋体" w:hAnsi="宋体"/>
          <w:color w:val="auto"/>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4AFDA001">
      <w:pPr>
        <w:spacing w:line="360" w:lineRule="auto"/>
        <w:ind w:firstLine="560" w:firstLineChars="200"/>
        <w:jc w:val="left"/>
        <w:rPr>
          <w:rFonts w:ascii="宋体" w:hAnsi="宋体"/>
          <w:color w:val="auto"/>
          <w:szCs w:val="21"/>
        </w:rPr>
      </w:pPr>
      <w:r>
        <w:rPr>
          <w:rFonts w:hint="eastAsia" w:ascii="宋体" w:hAnsi="宋体"/>
          <w:color w:val="auto"/>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58629745">
      <w:pPr>
        <w:spacing w:line="360" w:lineRule="auto"/>
        <w:ind w:firstLine="560" w:firstLineChars="200"/>
        <w:jc w:val="left"/>
        <w:rPr>
          <w:rFonts w:ascii="宋体" w:hAnsi="宋体"/>
          <w:color w:val="auto"/>
          <w:szCs w:val="21"/>
        </w:rPr>
      </w:pPr>
      <w:r>
        <w:rPr>
          <w:rFonts w:hint="eastAsia" w:ascii="宋体" w:hAnsi="宋体"/>
          <w:color w:val="auto"/>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02011A25">
      <w:pPr>
        <w:spacing w:line="360" w:lineRule="auto"/>
        <w:ind w:firstLine="560" w:firstLineChars="200"/>
        <w:rPr>
          <w:rFonts w:ascii="宋体" w:hAnsi="宋体"/>
          <w:color w:val="auto"/>
          <w:szCs w:val="21"/>
        </w:rPr>
      </w:pPr>
      <w:bookmarkStart w:id="1642" w:name="_Toc239510299"/>
      <w:bookmarkStart w:id="1643" w:name="_Toc532375709"/>
      <w:bookmarkStart w:id="1644" w:name="_Toc247431433"/>
      <w:bookmarkStart w:id="1645" w:name="_Toc247418273"/>
      <w:r>
        <w:rPr>
          <w:rFonts w:hint="eastAsia" w:ascii="宋体" w:hAnsi="宋体"/>
          <w:color w:val="auto"/>
          <w:szCs w:val="21"/>
        </w:rPr>
        <w:t>十、安全监督</w:t>
      </w:r>
      <w:bookmarkEnd w:id="1642"/>
      <w:bookmarkEnd w:id="1643"/>
      <w:bookmarkEnd w:id="1644"/>
      <w:bookmarkEnd w:id="1645"/>
    </w:p>
    <w:p w14:paraId="3B390B75">
      <w:pPr>
        <w:spacing w:line="360" w:lineRule="auto"/>
        <w:ind w:firstLine="560" w:firstLineChars="200"/>
        <w:jc w:val="left"/>
        <w:rPr>
          <w:rFonts w:ascii="宋体" w:hAnsi="宋体"/>
          <w:color w:val="auto"/>
          <w:szCs w:val="21"/>
        </w:rPr>
      </w:pPr>
      <w:r>
        <w:rPr>
          <w:rFonts w:hint="eastAsia" w:ascii="宋体" w:hAnsi="宋体"/>
          <w:color w:val="auto"/>
          <w:szCs w:val="21"/>
        </w:rPr>
        <w:t>1．承包人应配备有满足项目安全管理需要的专职安全管理人员。</w:t>
      </w:r>
    </w:p>
    <w:p w14:paraId="43BA8DFD">
      <w:pPr>
        <w:spacing w:line="360" w:lineRule="auto"/>
        <w:ind w:firstLine="560" w:firstLineChars="200"/>
        <w:jc w:val="left"/>
        <w:rPr>
          <w:rFonts w:ascii="宋体" w:hAnsi="宋体"/>
          <w:color w:val="auto"/>
          <w:szCs w:val="21"/>
        </w:rPr>
      </w:pPr>
      <w:r>
        <w:rPr>
          <w:rFonts w:hint="eastAsia" w:ascii="宋体" w:hAnsi="宋体"/>
          <w:color w:val="auto"/>
          <w:szCs w:val="21"/>
        </w:rPr>
        <w:t>2．承包人的专职安全管理人员必须持建设主管部门颁发的安全生产知识考核合格证书。</w:t>
      </w:r>
    </w:p>
    <w:p w14:paraId="54AF8852">
      <w:pPr>
        <w:spacing w:line="360" w:lineRule="auto"/>
        <w:ind w:firstLine="560" w:firstLineChars="200"/>
        <w:jc w:val="left"/>
        <w:rPr>
          <w:rFonts w:ascii="宋体" w:hAnsi="宋体"/>
          <w:color w:val="auto"/>
          <w:szCs w:val="21"/>
        </w:rPr>
      </w:pPr>
      <w:r>
        <w:rPr>
          <w:rFonts w:hint="eastAsia" w:ascii="宋体" w:hAnsi="宋体"/>
          <w:color w:val="auto"/>
          <w:szCs w:val="21"/>
        </w:rPr>
        <w:t>3．承包人的专职安全管理人员在业务上接受发包人委托的监理公司和发包人安全管理部门的协调和指导。</w:t>
      </w:r>
    </w:p>
    <w:p w14:paraId="70604624">
      <w:pPr>
        <w:spacing w:line="360" w:lineRule="auto"/>
        <w:ind w:firstLine="560" w:firstLineChars="200"/>
        <w:jc w:val="left"/>
        <w:rPr>
          <w:rFonts w:ascii="宋体" w:hAnsi="宋体"/>
          <w:color w:val="auto"/>
          <w:szCs w:val="21"/>
        </w:rPr>
      </w:pPr>
      <w:r>
        <w:rPr>
          <w:rFonts w:hint="eastAsia" w:ascii="宋体" w:hAnsi="宋体"/>
          <w:color w:val="auto"/>
          <w:szCs w:val="21"/>
        </w:rPr>
        <w:t>4．承包人应建立班前安全交底制度；施工期间坚持开展安全检查和日常安全监督并形成相应的记录。</w:t>
      </w:r>
    </w:p>
    <w:p w14:paraId="1AB5476C">
      <w:pPr>
        <w:spacing w:line="360" w:lineRule="auto"/>
        <w:ind w:firstLine="560" w:firstLineChars="200"/>
        <w:jc w:val="left"/>
        <w:rPr>
          <w:rFonts w:ascii="宋体" w:hAnsi="宋体"/>
          <w:color w:val="auto"/>
          <w:szCs w:val="21"/>
        </w:rPr>
      </w:pPr>
      <w:r>
        <w:rPr>
          <w:rFonts w:hint="eastAsia" w:ascii="宋体" w:hAnsi="宋体"/>
          <w:color w:val="auto"/>
          <w:szCs w:val="21"/>
        </w:rPr>
        <w:t>5．承包人应在每个作业区任命兼职安全员，赋予兼职安全员相应的授权和义务，并对兼职安全员进行定期考核。</w:t>
      </w:r>
    </w:p>
    <w:p w14:paraId="1B485FE9">
      <w:pPr>
        <w:spacing w:line="360" w:lineRule="auto"/>
        <w:ind w:firstLine="560" w:firstLineChars="200"/>
        <w:jc w:val="left"/>
        <w:rPr>
          <w:rFonts w:ascii="宋体" w:hAnsi="宋体"/>
          <w:color w:val="auto"/>
          <w:szCs w:val="21"/>
        </w:rPr>
      </w:pPr>
      <w:r>
        <w:rPr>
          <w:rFonts w:hint="eastAsia" w:ascii="宋体" w:hAnsi="宋体"/>
          <w:color w:val="auto"/>
          <w:szCs w:val="21"/>
        </w:rPr>
        <w:t>6．承包人应接受和配合发包人专业部门及委托的监理公司的监督与安全评价。</w:t>
      </w:r>
    </w:p>
    <w:p w14:paraId="599C6B73">
      <w:pPr>
        <w:spacing w:line="360" w:lineRule="auto"/>
        <w:ind w:firstLine="560" w:firstLineChars="200"/>
        <w:jc w:val="left"/>
        <w:rPr>
          <w:rFonts w:ascii="宋体" w:hAnsi="宋体"/>
          <w:color w:val="auto"/>
          <w:szCs w:val="21"/>
        </w:rPr>
      </w:pPr>
      <w:r>
        <w:rPr>
          <w:rFonts w:hint="eastAsia" w:ascii="宋体" w:hAnsi="宋体"/>
          <w:color w:val="auto"/>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3A95A142">
      <w:pPr>
        <w:spacing w:line="360" w:lineRule="auto"/>
        <w:ind w:firstLine="560" w:firstLineChars="200"/>
        <w:rPr>
          <w:rFonts w:ascii="宋体" w:hAnsi="宋体"/>
          <w:color w:val="auto"/>
          <w:szCs w:val="21"/>
        </w:rPr>
      </w:pPr>
      <w:bookmarkStart w:id="1646" w:name="_Toc247418274"/>
      <w:bookmarkStart w:id="1647" w:name="_Toc532375710"/>
      <w:bookmarkStart w:id="1648" w:name="_Toc239510300"/>
      <w:bookmarkStart w:id="1649" w:name="_Toc247431434"/>
      <w:r>
        <w:rPr>
          <w:rFonts w:hint="eastAsia" w:ascii="宋体" w:hAnsi="宋体"/>
          <w:color w:val="auto"/>
          <w:szCs w:val="21"/>
        </w:rPr>
        <w:t>十一、安全培训与授权</w:t>
      </w:r>
      <w:bookmarkEnd w:id="1646"/>
      <w:bookmarkEnd w:id="1647"/>
      <w:bookmarkEnd w:id="1648"/>
      <w:bookmarkEnd w:id="1649"/>
    </w:p>
    <w:p w14:paraId="3391AD8E">
      <w:pPr>
        <w:spacing w:line="360" w:lineRule="auto"/>
        <w:ind w:firstLine="560" w:firstLineChars="200"/>
        <w:jc w:val="left"/>
        <w:rPr>
          <w:rFonts w:ascii="宋体" w:hAnsi="宋体"/>
          <w:color w:val="auto"/>
          <w:szCs w:val="21"/>
        </w:rPr>
      </w:pPr>
      <w:r>
        <w:rPr>
          <w:rFonts w:hint="eastAsia" w:ascii="宋体" w:hAnsi="宋体"/>
          <w:color w:val="auto"/>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513BC7D9">
      <w:pPr>
        <w:spacing w:line="360" w:lineRule="auto"/>
        <w:ind w:firstLine="560" w:firstLineChars="200"/>
        <w:jc w:val="left"/>
        <w:rPr>
          <w:rFonts w:ascii="宋体" w:hAnsi="宋体"/>
          <w:color w:val="auto"/>
          <w:szCs w:val="21"/>
        </w:rPr>
      </w:pPr>
      <w:r>
        <w:rPr>
          <w:rFonts w:hint="eastAsia" w:ascii="宋体" w:hAnsi="宋体"/>
          <w:color w:val="auto"/>
          <w:szCs w:val="21"/>
        </w:rPr>
        <w:t>2．承包人应在特殊工种之外的其他工种中，筛选出高风险工种，并对其开展针对性的专题安全培训。</w:t>
      </w:r>
    </w:p>
    <w:p w14:paraId="354ACA4E">
      <w:pPr>
        <w:spacing w:line="360" w:lineRule="auto"/>
        <w:ind w:firstLine="560" w:firstLineChars="200"/>
        <w:jc w:val="left"/>
        <w:rPr>
          <w:rFonts w:ascii="宋体" w:hAnsi="宋体"/>
          <w:color w:val="auto"/>
          <w:szCs w:val="21"/>
        </w:rPr>
      </w:pPr>
      <w:r>
        <w:rPr>
          <w:rFonts w:hint="eastAsia" w:ascii="宋体" w:hAnsi="宋体"/>
          <w:color w:val="auto"/>
          <w:szCs w:val="21"/>
        </w:rPr>
        <w:t>3．承包人应组织 “入场培训”和考核。发包人委托的监理公司有权监督培训、考核情况或组织抽查考核。</w:t>
      </w:r>
    </w:p>
    <w:p w14:paraId="365B76AE">
      <w:pPr>
        <w:spacing w:line="360" w:lineRule="auto"/>
        <w:ind w:firstLine="560" w:firstLineChars="200"/>
        <w:jc w:val="left"/>
        <w:rPr>
          <w:rFonts w:ascii="宋体" w:hAnsi="宋体"/>
          <w:color w:val="auto"/>
          <w:szCs w:val="21"/>
        </w:rPr>
      </w:pPr>
      <w:r>
        <w:rPr>
          <w:rFonts w:hint="eastAsia" w:ascii="宋体" w:hAnsi="宋体"/>
          <w:color w:val="auto"/>
          <w:szCs w:val="21"/>
        </w:rPr>
        <w:t>4．承包人应建立安全培训和考核机制，编制培训教材和培训滚动计划。承包人应组织安全考试/考核，建立培训考核记录，发包人委托的监理公司有权查看这些记录。</w:t>
      </w:r>
    </w:p>
    <w:p w14:paraId="4F4445A9">
      <w:pPr>
        <w:spacing w:line="360" w:lineRule="auto"/>
        <w:ind w:firstLine="560" w:firstLineChars="200"/>
        <w:rPr>
          <w:rFonts w:ascii="宋体" w:hAnsi="宋体"/>
          <w:color w:val="auto"/>
          <w:szCs w:val="21"/>
        </w:rPr>
      </w:pPr>
      <w:bookmarkStart w:id="1650" w:name="_Toc532375711"/>
      <w:bookmarkStart w:id="1651" w:name="_Toc247418275"/>
      <w:bookmarkStart w:id="1652" w:name="_Toc239510301"/>
      <w:bookmarkStart w:id="1653" w:name="_Toc247431435"/>
      <w:r>
        <w:rPr>
          <w:rFonts w:hint="eastAsia" w:ascii="宋体" w:hAnsi="宋体"/>
          <w:color w:val="auto"/>
          <w:szCs w:val="21"/>
        </w:rPr>
        <w:t>十二、职业健康与卫生防疫</w:t>
      </w:r>
      <w:bookmarkEnd w:id="1650"/>
      <w:bookmarkEnd w:id="1651"/>
      <w:bookmarkEnd w:id="1652"/>
      <w:bookmarkEnd w:id="1653"/>
    </w:p>
    <w:p w14:paraId="60FCD3DB">
      <w:pPr>
        <w:spacing w:line="360" w:lineRule="auto"/>
        <w:ind w:firstLine="560" w:firstLineChars="200"/>
        <w:jc w:val="left"/>
        <w:rPr>
          <w:rFonts w:ascii="宋体" w:hAnsi="宋体"/>
          <w:color w:val="auto"/>
          <w:szCs w:val="21"/>
        </w:rPr>
      </w:pPr>
      <w:r>
        <w:rPr>
          <w:rFonts w:hint="eastAsia" w:ascii="宋体" w:hAnsi="宋体"/>
          <w:color w:val="auto"/>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00759D44">
      <w:pPr>
        <w:spacing w:line="360" w:lineRule="auto"/>
        <w:ind w:firstLine="560" w:firstLineChars="200"/>
        <w:jc w:val="left"/>
        <w:rPr>
          <w:rFonts w:ascii="宋体" w:hAnsi="宋体"/>
          <w:color w:val="auto"/>
          <w:szCs w:val="21"/>
        </w:rPr>
      </w:pPr>
      <w:r>
        <w:rPr>
          <w:rFonts w:hint="eastAsia" w:ascii="宋体" w:hAnsi="宋体"/>
          <w:color w:val="auto"/>
          <w:szCs w:val="21"/>
        </w:rPr>
        <w:t>2．承包人应保证卫生防疫基本设施的投入，以满足医疗、急救的要求，建立外部医疗支持渠道。</w:t>
      </w:r>
    </w:p>
    <w:p w14:paraId="214F5294">
      <w:pPr>
        <w:spacing w:line="360" w:lineRule="auto"/>
        <w:ind w:firstLine="560" w:firstLineChars="200"/>
        <w:jc w:val="left"/>
        <w:rPr>
          <w:rFonts w:ascii="宋体" w:hAnsi="宋体"/>
          <w:color w:val="auto"/>
          <w:szCs w:val="21"/>
        </w:rPr>
      </w:pPr>
      <w:r>
        <w:rPr>
          <w:rFonts w:hint="eastAsia" w:ascii="宋体" w:hAnsi="宋体"/>
          <w:color w:val="auto"/>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87769FA">
      <w:pPr>
        <w:spacing w:line="360" w:lineRule="auto"/>
        <w:ind w:firstLine="560" w:firstLineChars="200"/>
        <w:rPr>
          <w:rFonts w:ascii="宋体" w:hAnsi="宋体"/>
          <w:color w:val="auto"/>
          <w:szCs w:val="21"/>
        </w:rPr>
      </w:pPr>
      <w:bookmarkStart w:id="1654" w:name="_Toc239510302"/>
      <w:bookmarkStart w:id="1655" w:name="_Toc247431436"/>
      <w:bookmarkStart w:id="1656" w:name="_Toc247418276"/>
      <w:bookmarkStart w:id="1657" w:name="_Toc532375712"/>
      <w:r>
        <w:rPr>
          <w:rFonts w:hint="eastAsia" w:ascii="宋体" w:hAnsi="宋体"/>
          <w:color w:val="auto"/>
          <w:szCs w:val="21"/>
        </w:rPr>
        <w:t>十三、文明施工与环保要求</w:t>
      </w:r>
      <w:bookmarkEnd w:id="1654"/>
      <w:bookmarkEnd w:id="1655"/>
      <w:bookmarkEnd w:id="1656"/>
      <w:bookmarkEnd w:id="1657"/>
    </w:p>
    <w:p w14:paraId="76337177">
      <w:pPr>
        <w:spacing w:line="360" w:lineRule="auto"/>
        <w:ind w:firstLine="560" w:firstLineChars="200"/>
        <w:jc w:val="left"/>
        <w:rPr>
          <w:rFonts w:ascii="宋体" w:hAnsi="宋体"/>
          <w:color w:val="auto"/>
          <w:szCs w:val="21"/>
        </w:rPr>
      </w:pPr>
      <w:r>
        <w:rPr>
          <w:rFonts w:hint="eastAsia" w:ascii="宋体" w:hAnsi="宋体"/>
          <w:color w:val="auto"/>
          <w:szCs w:val="21"/>
        </w:rPr>
        <w:t>1．承包人需制订施工现场的文明施工措施，保持良好的施工现场秩序。施工现场的物料堆放要摆放整齐，安全标志和宣传标志要清楚醒目，废料、废物要分类收集，安全通道要畅通。</w:t>
      </w:r>
    </w:p>
    <w:p w14:paraId="29183D0A">
      <w:pPr>
        <w:spacing w:line="360" w:lineRule="auto"/>
        <w:ind w:firstLine="560" w:firstLineChars="200"/>
        <w:jc w:val="left"/>
        <w:rPr>
          <w:rFonts w:ascii="宋体" w:hAnsi="宋体"/>
          <w:color w:val="auto"/>
          <w:szCs w:val="21"/>
        </w:rPr>
      </w:pPr>
      <w:r>
        <w:rPr>
          <w:rFonts w:hint="eastAsia" w:ascii="宋体" w:hAnsi="宋体"/>
          <w:color w:val="auto"/>
          <w:szCs w:val="21"/>
        </w:rPr>
        <w:t>2．承包人作业时应避免建筑材料抛洒、飞扬、流淌；应尽可能降低噪音、震动。</w:t>
      </w:r>
    </w:p>
    <w:p w14:paraId="4C6A7BC2">
      <w:pPr>
        <w:spacing w:line="360" w:lineRule="auto"/>
        <w:ind w:firstLine="560" w:firstLineChars="200"/>
        <w:jc w:val="left"/>
        <w:rPr>
          <w:rFonts w:ascii="宋体" w:hAnsi="宋体"/>
          <w:color w:val="auto"/>
          <w:szCs w:val="21"/>
        </w:rPr>
      </w:pPr>
      <w:r>
        <w:rPr>
          <w:rFonts w:hint="eastAsia" w:ascii="宋体" w:hAnsi="宋体"/>
          <w:color w:val="auto"/>
          <w:szCs w:val="21"/>
        </w:rPr>
        <w:t>3．承包人应根据实际需要，在施工现场布置临时卫生设施（洗手间、卫生间等），施工作业不破坏环境卫生，不污染现场环境。</w:t>
      </w:r>
    </w:p>
    <w:p w14:paraId="31B78CB3">
      <w:pPr>
        <w:spacing w:line="360" w:lineRule="auto"/>
        <w:ind w:firstLine="560" w:firstLineChars="200"/>
        <w:jc w:val="left"/>
        <w:rPr>
          <w:rFonts w:ascii="宋体" w:hAnsi="宋体"/>
          <w:color w:val="auto"/>
          <w:szCs w:val="21"/>
        </w:rPr>
      </w:pPr>
      <w:r>
        <w:rPr>
          <w:rFonts w:hint="eastAsia" w:ascii="宋体" w:hAnsi="宋体"/>
          <w:color w:val="auto"/>
          <w:szCs w:val="21"/>
        </w:rPr>
        <w:t>4．承包人在施工中应充分重视对环境的保护，保护绿色植被，保护古树。施工如需伤害古树，必须报告发包人委托的监理公司，在未得到指令前，禁止擅自伤害古树。</w:t>
      </w:r>
    </w:p>
    <w:p w14:paraId="681275CA">
      <w:pPr>
        <w:spacing w:line="360" w:lineRule="auto"/>
        <w:ind w:firstLine="560" w:firstLineChars="200"/>
        <w:jc w:val="left"/>
        <w:rPr>
          <w:rFonts w:ascii="宋体" w:hAnsi="宋体"/>
          <w:color w:val="auto"/>
          <w:szCs w:val="21"/>
        </w:rPr>
      </w:pPr>
      <w:r>
        <w:rPr>
          <w:rFonts w:hint="eastAsia" w:ascii="宋体" w:hAnsi="宋体"/>
          <w:color w:val="auto"/>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437BF3AE">
      <w:pPr>
        <w:spacing w:line="360" w:lineRule="auto"/>
        <w:ind w:firstLine="560" w:firstLineChars="200"/>
        <w:jc w:val="left"/>
        <w:rPr>
          <w:rFonts w:ascii="宋体" w:hAnsi="宋体"/>
          <w:color w:val="auto"/>
          <w:szCs w:val="21"/>
        </w:rPr>
      </w:pPr>
      <w:r>
        <w:rPr>
          <w:rFonts w:hint="eastAsia" w:ascii="宋体" w:hAnsi="宋体"/>
          <w:color w:val="auto"/>
          <w:szCs w:val="21"/>
        </w:rPr>
        <w:t>6．承包人在施工中应禁止向环境，排放工业污水、生活污水、废油或其他有害物质。</w:t>
      </w:r>
    </w:p>
    <w:p w14:paraId="7109B238">
      <w:pPr>
        <w:spacing w:line="360" w:lineRule="auto"/>
        <w:ind w:firstLine="560" w:firstLineChars="200"/>
        <w:jc w:val="left"/>
        <w:rPr>
          <w:rFonts w:ascii="宋体" w:hAnsi="宋体"/>
          <w:color w:val="auto"/>
          <w:szCs w:val="21"/>
        </w:rPr>
      </w:pPr>
      <w:r>
        <w:rPr>
          <w:rFonts w:hint="eastAsia" w:ascii="宋体" w:hAnsi="宋体"/>
          <w:color w:val="auto"/>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623D234F">
      <w:pPr>
        <w:spacing w:line="360" w:lineRule="auto"/>
        <w:ind w:firstLine="560" w:firstLineChars="200"/>
        <w:rPr>
          <w:rFonts w:ascii="宋体" w:hAnsi="宋体"/>
          <w:color w:val="auto"/>
          <w:szCs w:val="21"/>
        </w:rPr>
      </w:pPr>
      <w:bookmarkStart w:id="1658" w:name="_Toc247431437"/>
      <w:bookmarkStart w:id="1659" w:name="_Toc532375713"/>
      <w:bookmarkStart w:id="1660" w:name="_Toc247418277"/>
      <w:bookmarkStart w:id="1661" w:name="_Toc239510303"/>
      <w:r>
        <w:rPr>
          <w:rFonts w:hint="eastAsia" w:ascii="宋体" w:hAnsi="宋体"/>
          <w:color w:val="auto"/>
          <w:szCs w:val="21"/>
        </w:rPr>
        <w:t>十四、工程风险管理与事故预防</w:t>
      </w:r>
      <w:bookmarkEnd w:id="1658"/>
      <w:bookmarkEnd w:id="1659"/>
      <w:bookmarkEnd w:id="1660"/>
      <w:bookmarkEnd w:id="1661"/>
    </w:p>
    <w:p w14:paraId="3E68FF50">
      <w:pPr>
        <w:spacing w:line="360" w:lineRule="auto"/>
        <w:ind w:firstLine="560" w:firstLineChars="200"/>
        <w:jc w:val="left"/>
        <w:rPr>
          <w:rFonts w:ascii="宋体" w:hAnsi="宋体"/>
          <w:color w:val="auto"/>
          <w:szCs w:val="21"/>
        </w:rPr>
      </w:pPr>
      <w:bookmarkStart w:id="1662" w:name="_Toc247418278"/>
      <w:bookmarkStart w:id="1663" w:name="_Toc247431438"/>
      <w:bookmarkStart w:id="1664" w:name="_Toc239510304"/>
      <w:r>
        <w:rPr>
          <w:rFonts w:hint="eastAsia" w:ascii="宋体" w:hAnsi="宋体"/>
          <w:color w:val="auto"/>
          <w:szCs w:val="21"/>
        </w:rPr>
        <w:t>（一）基本要求</w:t>
      </w:r>
      <w:bookmarkEnd w:id="1662"/>
      <w:bookmarkEnd w:id="1663"/>
      <w:bookmarkEnd w:id="1664"/>
    </w:p>
    <w:p w14:paraId="1611F271">
      <w:pPr>
        <w:spacing w:line="360" w:lineRule="auto"/>
        <w:ind w:firstLine="560" w:firstLineChars="200"/>
        <w:jc w:val="left"/>
        <w:rPr>
          <w:rFonts w:ascii="宋体" w:hAnsi="宋体"/>
          <w:color w:val="auto"/>
          <w:szCs w:val="21"/>
        </w:rPr>
      </w:pPr>
      <w:bookmarkStart w:id="1665" w:name="_Toc532375714"/>
      <w:r>
        <w:rPr>
          <w:rFonts w:hint="eastAsia" w:ascii="宋体" w:hAnsi="宋体"/>
          <w:color w:val="auto"/>
          <w:szCs w:val="21"/>
        </w:rPr>
        <w:t>1．承包人应对施工过程进行全面、深入的危险源识别和风险分析。在施工安全组织设计中提供危险源及重要危险源清单、作业风险分析报告，该报告应包括（但不限于）如下信息：</w:t>
      </w:r>
      <w:bookmarkEnd w:id="1665"/>
    </w:p>
    <w:p w14:paraId="63BF02E0">
      <w:pPr>
        <w:spacing w:line="360" w:lineRule="auto"/>
        <w:ind w:firstLine="560" w:firstLineChars="200"/>
        <w:jc w:val="left"/>
        <w:rPr>
          <w:rFonts w:ascii="宋体" w:hAnsi="宋体"/>
          <w:color w:val="auto"/>
          <w:szCs w:val="21"/>
        </w:rPr>
      </w:pPr>
      <w:r>
        <w:rPr>
          <w:rFonts w:hint="eastAsia" w:ascii="宋体" w:hAnsi="宋体"/>
          <w:color w:val="auto"/>
          <w:szCs w:val="21"/>
        </w:rPr>
        <w:t>（1）高风险作业和工种清单：作业名称、类别和数量、主要事故风险。</w:t>
      </w:r>
    </w:p>
    <w:p w14:paraId="4AAE81F3">
      <w:pPr>
        <w:spacing w:line="360" w:lineRule="auto"/>
        <w:ind w:firstLine="560" w:firstLineChars="200"/>
        <w:jc w:val="left"/>
        <w:rPr>
          <w:rFonts w:ascii="宋体" w:hAnsi="宋体"/>
          <w:color w:val="auto"/>
          <w:szCs w:val="21"/>
        </w:rPr>
      </w:pPr>
      <w:r>
        <w:rPr>
          <w:rFonts w:hint="eastAsia" w:ascii="宋体" w:hAnsi="宋体"/>
          <w:color w:val="auto"/>
          <w:szCs w:val="21"/>
        </w:rPr>
        <w:t>（2）施工能源和机械的种类、数量和主要事故风险。</w:t>
      </w:r>
    </w:p>
    <w:p w14:paraId="7F726C90">
      <w:pPr>
        <w:spacing w:line="360" w:lineRule="auto"/>
        <w:ind w:firstLine="560" w:firstLineChars="200"/>
        <w:jc w:val="left"/>
        <w:rPr>
          <w:rFonts w:ascii="宋体" w:hAnsi="宋体"/>
          <w:color w:val="auto"/>
          <w:szCs w:val="21"/>
        </w:rPr>
      </w:pPr>
      <w:r>
        <w:rPr>
          <w:rFonts w:hint="eastAsia" w:ascii="宋体" w:hAnsi="宋体"/>
          <w:color w:val="auto"/>
          <w:szCs w:val="21"/>
        </w:rPr>
        <w:t>（3）施工作业条件的类型和主要事故风险。</w:t>
      </w:r>
    </w:p>
    <w:p w14:paraId="58766D3F">
      <w:pPr>
        <w:spacing w:line="360" w:lineRule="auto"/>
        <w:ind w:firstLine="560" w:firstLineChars="200"/>
        <w:jc w:val="left"/>
        <w:rPr>
          <w:rFonts w:ascii="宋体" w:hAnsi="宋体"/>
          <w:color w:val="auto"/>
          <w:szCs w:val="21"/>
        </w:rPr>
      </w:pPr>
      <w:r>
        <w:rPr>
          <w:rFonts w:hint="eastAsia" w:ascii="宋体" w:hAnsi="宋体"/>
          <w:color w:val="auto"/>
          <w:szCs w:val="21"/>
        </w:rPr>
        <w:t>（4）主要工艺过程（或施工活动）的类别及其相关的事故风险。</w:t>
      </w:r>
    </w:p>
    <w:p w14:paraId="30075684">
      <w:pPr>
        <w:spacing w:line="360" w:lineRule="auto"/>
        <w:ind w:firstLine="560" w:firstLineChars="200"/>
        <w:jc w:val="left"/>
        <w:rPr>
          <w:rFonts w:ascii="宋体" w:hAnsi="宋体"/>
          <w:color w:val="auto"/>
          <w:szCs w:val="21"/>
        </w:rPr>
      </w:pPr>
      <w:r>
        <w:rPr>
          <w:rFonts w:hint="eastAsia" w:ascii="宋体" w:hAnsi="宋体"/>
          <w:color w:val="auto"/>
          <w:szCs w:val="21"/>
        </w:rPr>
        <w:t>（5）主要火灾危险（可燃物、点火源）。</w:t>
      </w:r>
    </w:p>
    <w:p w14:paraId="38921507">
      <w:pPr>
        <w:spacing w:line="360" w:lineRule="auto"/>
        <w:ind w:firstLine="560" w:firstLineChars="200"/>
        <w:jc w:val="left"/>
        <w:rPr>
          <w:rFonts w:ascii="宋体" w:hAnsi="宋体"/>
          <w:color w:val="auto"/>
          <w:szCs w:val="21"/>
        </w:rPr>
      </w:pPr>
      <w:r>
        <w:rPr>
          <w:rFonts w:hint="eastAsia" w:ascii="宋体" w:hAnsi="宋体"/>
          <w:color w:val="auto"/>
          <w:szCs w:val="21"/>
        </w:rPr>
        <w:t>（6）主要自然灾害（洪水、大风、雷暴、暴雨、地质灾害等）。</w:t>
      </w:r>
    </w:p>
    <w:p w14:paraId="24208463">
      <w:pPr>
        <w:spacing w:line="360" w:lineRule="auto"/>
        <w:ind w:firstLine="560" w:firstLineChars="200"/>
        <w:jc w:val="left"/>
        <w:rPr>
          <w:rFonts w:ascii="宋体" w:hAnsi="宋体"/>
          <w:color w:val="auto"/>
          <w:szCs w:val="21"/>
        </w:rPr>
      </w:pPr>
      <w:r>
        <w:rPr>
          <w:rFonts w:hint="eastAsia" w:ascii="宋体" w:hAnsi="宋体"/>
          <w:color w:val="auto"/>
          <w:szCs w:val="21"/>
        </w:rPr>
        <w:t>（7）主要环境保护事件（有害垃圾、机械的跑冒滴漏、原材料流失、水土流失等）。</w:t>
      </w:r>
    </w:p>
    <w:p w14:paraId="705A0C60">
      <w:pPr>
        <w:spacing w:line="360" w:lineRule="auto"/>
        <w:ind w:firstLine="560" w:firstLineChars="200"/>
        <w:jc w:val="left"/>
        <w:rPr>
          <w:rFonts w:ascii="宋体" w:hAnsi="宋体"/>
          <w:color w:val="auto"/>
          <w:szCs w:val="21"/>
        </w:rPr>
      </w:pPr>
      <w:r>
        <w:rPr>
          <w:rFonts w:hint="eastAsia" w:ascii="宋体" w:hAnsi="宋体"/>
          <w:color w:val="auto"/>
          <w:szCs w:val="21"/>
        </w:rPr>
        <w:t>（8）其他。</w:t>
      </w:r>
    </w:p>
    <w:p w14:paraId="42220FAA">
      <w:pPr>
        <w:spacing w:line="360" w:lineRule="auto"/>
        <w:ind w:firstLine="560" w:firstLineChars="200"/>
        <w:jc w:val="left"/>
        <w:rPr>
          <w:rFonts w:ascii="宋体" w:hAnsi="宋体"/>
          <w:color w:val="auto"/>
          <w:szCs w:val="21"/>
        </w:rPr>
      </w:pPr>
      <w:r>
        <w:rPr>
          <w:rFonts w:hint="eastAsia" w:ascii="宋体" w:hAnsi="宋体"/>
          <w:color w:val="auto"/>
          <w:szCs w:val="21"/>
        </w:rPr>
        <w:t>2．承包人应针对识别出的危险源制定有针对性的事故预防措施并确保在施工中得到有效落实。</w:t>
      </w:r>
    </w:p>
    <w:p w14:paraId="387A063C">
      <w:pPr>
        <w:spacing w:line="360" w:lineRule="auto"/>
        <w:ind w:firstLine="560" w:firstLineChars="200"/>
        <w:jc w:val="left"/>
        <w:rPr>
          <w:rFonts w:ascii="宋体" w:hAnsi="宋体"/>
          <w:color w:val="auto"/>
          <w:szCs w:val="21"/>
        </w:rPr>
      </w:pPr>
      <w:r>
        <w:rPr>
          <w:rFonts w:hint="eastAsia" w:ascii="宋体" w:hAnsi="宋体"/>
          <w:color w:val="auto"/>
          <w:szCs w:val="21"/>
        </w:rPr>
        <w:t>3．承包人应建立日常施工活动的动态作业风险分析和安全交底制度。该制度应明确规定风险分析的方法、责任和交底的内容、时间及记录。</w:t>
      </w:r>
    </w:p>
    <w:p w14:paraId="4474DF23">
      <w:pPr>
        <w:spacing w:line="360" w:lineRule="auto"/>
        <w:ind w:firstLine="560" w:firstLineChars="200"/>
        <w:jc w:val="left"/>
        <w:rPr>
          <w:rFonts w:ascii="宋体" w:hAnsi="宋体"/>
          <w:color w:val="auto"/>
          <w:szCs w:val="21"/>
        </w:rPr>
      </w:pPr>
      <w:bookmarkStart w:id="1666" w:name="_Toc247431439"/>
      <w:bookmarkStart w:id="1667" w:name="_Toc239510305"/>
      <w:bookmarkStart w:id="1668" w:name="_Toc247418279"/>
      <w:r>
        <w:rPr>
          <w:rFonts w:hint="eastAsia" w:ascii="宋体" w:hAnsi="宋体"/>
          <w:color w:val="auto"/>
          <w:szCs w:val="21"/>
        </w:rPr>
        <w:t>（二）现场作业基本安全条件</w:t>
      </w:r>
      <w:bookmarkEnd w:id="1666"/>
      <w:bookmarkEnd w:id="1667"/>
      <w:bookmarkEnd w:id="1668"/>
    </w:p>
    <w:p w14:paraId="058B76C0">
      <w:pPr>
        <w:spacing w:line="360" w:lineRule="auto"/>
        <w:ind w:firstLine="560" w:firstLineChars="200"/>
        <w:jc w:val="left"/>
        <w:rPr>
          <w:rFonts w:ascii="宋体" w:hAnsi="宋体"/>
          <w:color w:val="auto"/>
          <w:szCs w:val="21"/>
        </w:rPr>
      </w:pPr>
      <w:r>
        <w:rPr>
          <w:rFonts w:hint="eastAsia" w:ascii="宋体" w:hAnsi="宋体"/>
          <w:color w:val="auto"/>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3E9D7D1B">
      <w:pPr>
        <w:spacing w:line="360" w:lineRule="auto"/>
        <w:ind w:firstLine="560" w:firstLineChars="200"/>
        <w:rPr>
          <w:rFonts w:ascii="宋体" w:hAnsi="宋体"/>
          <w:color w:val="auto"/>
          <w:szCs w:val="21"/>
        </w:rPr>
      </w:pPr>
      <w:bookmarkStart w:id="1669" w:name="_Toc247418280"/>
      <w:bookmarkStart w:id="1670" w:name="_Toc239510306"/>
      <w:bookmarkStart w:id="1671" w:name="_Toc532375715"/>
      <w:bookmarkStart w:id="1672" w:name="_Toc247431440"/>
      <w:r>
        <w:rPr>
          <w:rFonts w:hint="eastAsia" w:ascii="宋体" w:hAnsi="宋体"/>
          <w:color w:val="auto"/>
          <w:szCs w:val="21"/>
        </w:rPr>
        <w:t>十五、事故报告与应急救援</w:t>
      </w:r>
      <w:bookmarkEnd w:id="1669"/>
      <w:bookmarkEnd w:id="1670"/>
      <w:bookmarkEnd w:id="1671"/>
      <w:bookmarkEnd w:id="1672"/>
    </w:p>
    <w:p w14:paraId="5DD9F3C0">
      <w:pPr>
        <w:spacing w:line="360" w:lineRule="auto"/>
        <w:ind w:firstLine="560" w:firstLineChars="200"/>
        <w:jc w:val="left"/>
        <w:rPr>
          <w:rFonts w:ascii="宋体" w:hAnsi="宋体"/>
          <w:color w:val="auto"/>
          <w:szCs w:val="21"/>
        </w:rPr>
      </w:pPr>
      <w:r>
        <w:rPr>
          <w:rFonts w:hint="eastAsia" w:ascii="宋体" w:hAnsi="宋体"/>
          <w:color w:val="auto"/>
          <w:szCs w:val="21"/>
        </w:rPr>
        <w:t>1．承包人应制定对于未遂事故及以上级别的安全事件和事故，定期报送安全月度快报、季报、年报和各种专项事故报告等。</w:t>
      </w:r>
    </w:p>
    <w:p w14:paraId="1C296B55">
      <w:pPr>
        <w:spacing w:line="360" w:lineRule="auto"/>
        <w:ind w:firstLine="560" w:firstLineChars="200"/>
        <w:jc w:val="left"/>
        <w:rPr>
          <w:rFonts w:ascii="宋体" w:hAnsi="宋体"/>
          <w:color w:val="auto"/>
          <w:szCs w:val="21"/>
        </w:rPr>
      </w:pPr>
      <w:r>
        <w:rPr>
          <w:rFonts w:hint="eastAsia" w:ascii="宋体" w:hAnsi="宋体"/>
          <w:color w:val="auto"/>
          <w:szCs w:val="21"/>
        </w:rPr>
        <w:t>2．承包人应建立安全事故统计记录、未遂事故统计记录、违章统计记录，并根据统计情况进行分析，并就分析结果制定相应的预防措施。</w:t>
      </w:r>
    </w:p>
    <w:p w14:paraId="1843C908">
      <w:pPr>
        <w:spacing w:line="360" w:lineRule="auto"/>
        <w:ind w:firstLine="560" w:firstLineChars="200"/>
        <w:jc w:val="left"/>
        <w:rPr>
          <w:rFonts w:ascii="宋体" w:hAnsi="宋体"/>
          <w:color w:val="auto"/>
          <w:szCs w:val="21"/>
        </w:rPr>
      </w:pPr>
      <w:r>
        <w:rPr>
          <w:rFonts w:hint="eastAsia" w:ascii="宋体" w:hAnsi="宋体"/>
          <w:color w:val="auto"/>
          <w:szCs w:val="21"/>
        </w:rPr>
        <w:t>3．承包人应建立事故应急救援机制，明确事故处置的基本原则，即现场发生事故时，首先抢救生命，向救援组织报警，并采取措施限制事故扩大。</w:t>
      </w:r>
    </w:p>
    <w:p w14:paraId="07B05A17">
      <w:pPr>
        <w:spacing w:line="360" w:lineRule="auto"/>
        <w:ind w:firstLine="560" w:firstLineChars="200"/>
        <w:jc w:val="left"/>
        <w:rPr>
          <w:rFonts w:ascii="宋体" w:hAnsi="宋体"/>
          <w:color w:val="auto"/>
          <w:szCs w:val="21"/>
        </w:rPr>
      </w:pPr>
      <w:r>
        <w:rPr>
          <w:rFonts w:hint="eastAsia" w:ascii="宋体" w:hAnsi="宋体"/>
          <w:color w:val="auto"/>
          <w:szCs w:val="21"/>
        </w:rPr>
        <w:t>4．承包人应建立相应的应急响应组织，以便能迅速处理突发意外。</w:t>
      </w:r>
    </w:p>
    <w:p w14:paraId="0E964752">
      <w:pPr>
        <w:spacing w:line="360" w:lineRule="auto"/>
        <w:ind w:firstLine="560" w:firstLineChars="200"/>
        <w:jc w:val="left"/>
        <w:rPr>
          <w:rFonts w:ascii="宋体" w:hAnsi="宋体"/>
          <w:color w:val="auto"/>
          <w:szCs w:val="21"/>
        </w:rPr>
      </w:pPr>
      <w:r>
        <w:rPr>
          <w:rFonts w:hint="eastAsia" w:ascii="宋体" w:hAnsi="宋体"/>
          <w:color w:val="auto"/>
          <w:szCs w:val="21"/>
        </w:rPr>
        <w:t>5．承包人应建立专项应急响应预案，包括重大人身伤亡事故的救护预案、火灾响应预案、“四防”预案（防风、防冻、防雷、防暴雨）、重大疫病防护预案、环境污染防护预案、地质灾害防护预案等。</w:t>
      </w:r>
    </w:p>
    <w:p w14:paraId="510931F5">
      <w:pPr>
        <w:spacing w:line="360" w:lineRule="auto"/>
        <w:ind w:firstLine="560" w:firstLineChars="200"/>
        <w:jc w:val="left"/>
        <w:rPr>
          <w:rFonts w:ascii="宋体" w:hAnsi="宋体"/>
          <w:color w:val="auto"/>
          <w:szCs w:val="21"/>
        </w:rPr>
      </w:pPr>
      <w:r>
        <w:rPr>
          <w:rFonts w:hint="eastAsia" w:ascii="宋体" w:hAnsi="宋体"/>
          <w:color w:val="auto"/>
          <w:szCs w:val="21"/>
        </w:rPr>
        <w:t>6．承包人应对应急预案进行适当演练，保证应急预案的可操作性。</w:t>
      </w:r>
    </w:p>
    <w:p w14:paraId="1E10D4E3">
      <w:pPr>
        <w:spacing w:line="360" w:lineRule="auto"/>
        <w:ind w:firstLine="560" w:firstLineChars="200"/>
        <w:jc w:val="left"/>
        <w:rPr>
          <w:rFonts w:ascii="宋体" w:hAnsi="宋体"/>
          <w:color w:val="auto"/>
          <w:szCs w:val="21"/>
        </w:rPr>
      </w:pPr>
      <w:r>
        <w:rPr>
          <w:rFonts w:hint="eastAsia" w:ascii="宋体" w:hAnsi="宋体"/>
          <w:color w:val="auto"/>
          <w:szCs w:val="21"/>
        </w:rPr>
        <w:t>7．在工地的其他施工单位发生重大事故时，承包人应无条件立即配合、支持事故抢险。</w:t>
      </w:r>
    </w:p>
    <w:p w14:paraId="0D2D7F84">
      <w:pPr>
        <w:spacing w:line="360" w:lineRule="auto"/>
        <w:ind w:firstLine="560" w:firstLineChars="200"/>
        <w:jc w:val="left"/>
        <w:rPr>
          <w:rFonts w:ascii="宋体" w:hAnsi="宋体"/>
          <w:color w:val="auto"/>
          <w:szCs w:val="21"/>
        </w:rPr>
      </w:pPr>
      <w:r>
        <w:rPr>
          <w:rFonts w:hint="eastAsia" w:ascii="宋体" w:hAnsi="宋体"/>
          <w:color w:val="auto"/>
          <w:szCs w:val="21"/>
        </w:rPr>
        <w:t>8．承包人必须为事故处置支付各项费用，包括受伤者的抚恤、补偿等费用，并按合同要求赔偿对发包人造成的损失。</w:t>
      </w:r>
    </w:p>
    <w:p w14:paraId="6CE6FC64">
      <w:pPr>
        <w:spacing w:line="360" w:lineRule="auto"/>
        <w:ind w:firstLine="560" w:firstLineChars="200"/>
        <w:jc w:val="left"/>
        <w:rPr>
          <w:rFonts w:ascii="宋体" w:hAnsi="宋体"/>
          <w:color w:val="auto"/>
          <w:szCs w:val="21"/>
        </w:rPr>
      </w:pPr>
      <w:r>
        <w:rPr>
          <w:rFonts w:hint="eastAsia" w:ascii="宋体" w:hAnsi="宋体"/>
          <w:color w:val="auto"/>
          <w:szCs w:val="21"/>
        </w:rPr>
        <w:t>9．由于发包人原因而造成的事故，发包人应负责按事故的具体损失情况给予承包人经济赔偿。</w:t>
      </w:r>
    </w:p>
    <w:p w14:paraId="57D49FBC">
      <w:pPr>
        <w:spacing w:line="360" w:lineRule="auto"/>
        <w:ind w:firstLine="560" w:firstLineChars="200"/>
        <w:jc w:val="left"/>
        <w:rPr>
          <w:rFonts w:ascii="宋体" w:hAnsi="宋体"/>
          <w:color w:val="auto"/>
          <w:szCs w:val="21"/>
        </w:rPr>
      </w:pPr>
      <w:r>
        <w:rPr>
          <w:rFonts w:hint="eastAsia" w:ascii="宋体" w:hAnsi="宋体"/>
          <w:color w:val="auto"/>
          <w:szCs w:val="21"/>
        </w:rPr>
        <w:t>10．涉及承包人员工的伤害事故，承包人除要报告发包人委托的监理公司外，还应负责按照国家、行业和本单位上级公司的要求，上报事故。</w:t>
      </w:r>
    </w:p>
    <w:p w14:paraId="0027CC8D">
      <w:pPr>
        <w:spacing w:line="360" w:lineRule="auto"/>
        <w:ind w:firstLine="560" w:firstLineChars="200"/>
        <w:rPr>
          <w:rFonts w:ascii="宋体" w:hAnsi="宋体"/>
          <w:color w:val="auto"/>
          <w:szCs w:val="21"/>
        </w:rPr>
      </w:pPr>
      <w:bookmarkStart w:id="1673" w:name="_Toc239510307"/>
      <w:bookmarkStart w:id="1674" w:name="_Toc247431441"/>
      <w:bookmarkStart w:id="1675" w:name="_Toc247418281"/>
      <w:bookmarkStart w:id="1676" w:name="_Toc532375716"/>
      <w:r>
        <w:rPr>
          <w:rFonts w:hint="eastAsia" w:ascii="宋体" w:hAnsi="宋体"/>
          <w:color w:val="auto"/>
          <w:szCs w:val="21"/>
        </w:rPr>
        <w:t>十六、安全业绩考核</w:t>
      </w:r>
      <w:bookmarkEnd w:id="1673"/>
      <w:bookmarkEnd w:id="1674"/>
      <w:bookmarkEnd w:id="1675"/>
      <w:bookmarkEnd w:id="1676"/>
    </w:p>
    <w:p w14:paraId="40290E0A">
      <w:pPr>
        <w:spacing w:line="360" w:lineRule="auto"/>
        <w:ind w:firstLine="560" w:firstLineChars="200"/>
        <w:jc w:val="left"/>
        <w:rPr>
          <w:rFonts w:ascii="宋体" w:hAnsi="宋体"/>
          <w:color w:val="auto"/>
          <w:szCs w:val="21"/>
        </w:rPr>
      </w:pPr>
      <w:r>
        <w:rPr>
          <w:rFonts w:hint="eastAsia" w:ascii="宋体" w:hAnsi="宋体"/>
          <w:color w:val="auto"/>
          <w:szCs w:val="21"/>
        </w:rPr>
        <w:t>为了落实安全管理的责任，承包人在施工过程中发生安全事故时，承包人除应按国家有关规定承担责任和处罚外，发包人还将按照以下标准进行考核：</w:t>
      </w:r>
    </w:p>
    <w:tbl>
      <w:tblPr>
        <w:tblStyle w:val="58"/>
        <w:tblW w:w="7005" w:type="dxa"/>
        <w:jc w:val="center"/>
        <w:tblLayout w:type="fixed"/>
        <w:tblCellMar>
          <w:top w:w="0" w:type="dxa"/>
          <w:left w:w="0" w:type="dxa"/>
          <w:bottom w:w="0" w:type="dxa"/>
          <w:right w:w="0" w:type="dxa"/>
        </w:tblCellMar>
      </w:tblPr>
      <w:tblGrid>
        <w:gridCol w:w="3240"/>
        <w:gridCol w:w="3765"/>
      </w:tblGrid>
      <w:tr w14:paraId="19FF68A9">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DEA402">
            <w:pPr>
              <w:spacing w:line="360" w:lineRule="auto"/>
              <w:ind w:firstLine="560" w:firstLineChars="200"/>
              <w:jc w:val="left"/>
              <w:rPr>
                <w:rFonts w:ascii="宋体" w:hAnsi="宋体"/>
                <w:color w:val="auto"/>
                <w:szCs w:val="21"/>
              </w:rPr>
            </w:pPr>
            <w:r>
              <w:rPr>
                <w:rFonts w:hint="eastAsia" w:ascii="宋体" w:hAnsi="宋体"/>
                <w:color w:val="auto"/>
                <w:szCs w:val="21"/>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02516E6">
            <w:pPr>
              <w:spacing w:line="360" w:lineRule="auto"/>
              <w:ind w:firstLine="560" w:firstLineChars="200"/>
              <w:jc w:val="left"/>
              <w:rPr>
                <w:rFonts w:ascii="宋体" w:hAnsi="宋体"/>
                <w:color w:val="auto"/>
                <w:szCs w:val="21"/>
              </w:rPr>
            </w:pPr>
            <w:r>
              <w:rPr>
                <w:rFonts w:hint="eastAsia" w:ascii="宋体" w:hAnsi="宋体"/>
                <w:color w:val="auto"/>
                <w:szCs w:val="21"/>
              </w:rPr>
              <w:t>违约金额</w:t>
            </w:r>
          </w:p>
        </w:tc>
      </w:tr>
      <w:tr w14:paraId="28FA6947">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C246F4">
            <w:pPr>
              <w:spacing w:line="360" w:lineRule="auto"/>
              <w:ind w:firstLine="560" w:firstLineChars="200"/>
              <w:jc w:val="left"/>
              <w:rPr>
                <w:rFonts w:ascii="宋体" w:hAnsi="宋体"/>
                <w:color w:val="auto"/>
                <w:szCs w:val="21"/>
              </w:rPr>
            </w:pPr>
            <w:r>
              <w:rPr>
                <w:rFonts w:hint="eastAsia" w:ascii="宋体" w:hAnsi="宋体"/>
                <w:color w:val="auto"/>
                <w:szCs w:val="21"/>
              </w:rPr>
              <w:t>较大事故</w:t>
            </w:r>
          </w:p>
        </w:tc>
        <w:tc>
          <w:tcPr>
            <w:tcW w:w="3765" w:type="dxa"/>
            <w:tcBorders>
              <w:top w:val="single" w:color="auto" w:sz="8" w:space="0"/>
              <w:left w:val="nil"/>
              <w:bottom w:val="single" w:color="auto" w:sz="8" w:space="0"/>
              <w:right w:val="single" w:color="auto" w:sz="8" w:space="0"/>
            </w:tcBorders>
            <w:noWrap w:val="0"/>
            <w:vAlign w:val="center"/>
          </w:tcPr>
          <w:p w14:paraId="66B6CFE6">
            <w:pPr>
              <w:spacing w:line="360" w:lineRule="auto"/>
              <w:ind w:firstLine="560" w:firstLineChars="200"/>
              <w:jc w:val="left"/>
              <w:rPr>
                <w:rFonts w:ascii="宋体" w:hAnsi="宋体"/>
                <w:color w:val="auto"/>
                <w:szCs w:val="21"/>
              </w:rPr>
            </w:pPr>
            <w:r>
              <w:rPr>
                <w:rFonts w:hint="eastAsia" w:ascii="宋体" w:hAnsi="宋体"/>
                <w:color w:val="auto"/>
                <w:kern w:val="0"/>
                <w:szCs w:val="21"/>
              </w:rPr>
              <w:t>签约合同价</w:t>
            </w:r>
            <w:r>
              <w:rPr>
                <w:rFonts w:hint="eastAsia" w:ascii="宋体" w:hAnsi="宋体"/>
                <w:color w:val="auto"/>
                <w:szCs w:val="21"/>
              </w:rPr>
              <w:t>的0.5‰</w:t>
            </w:r>
          </w:p>
        </w:tc>
      </w:tr>
      <w:tr w14:paraId="4C5BD828">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AE724B5">
            <w:pPr>
              <w:spacing w:line="360" w:lineRule="auto"/>
              <w:ind w:firstLine="560" w:firstLineChars="200"/>
              <w:jc w:val="left"/>
              <w:rPr>
                <w:rFonts w:ascii="宋体" w:hAnsi="宋体"/>
                <w:color w:val="auto"/>
                <w:szCs w:val="21"/>
              </w:rPr>
            </w:pPr>
            <w:r>
              <w:rPr>
                <w:rFonts w:hint="eastAsia" w:ascii="宋体" w:hAnsi="宋体"/>
                <w:color w:val="auto"/>
                <w:szCs w:val="21"/>
              </w:rPr>
              <w:t>重大事故</w:t>
            </w:r>
          </w:p>
        </w:tc>
        <w:tc>
          <w:tcPr>
            <w:tcW w:w="3765" w:type="dxa"/>
            <w:tcBorders>
              <w:top w:val="single" w:color="auto" w:sz="8" w:space="0"/>
              <w:left w:val="nil"/>
              <w:bottom w:val="single" w:color="auto" w:sz="8" w:space="0"/>
              <w:right w:val="single" w:color="auto" w:sz="8" w:space="0"/>
            </w:tcBorders>
            <w:noWrap w:val="0"/>
            <w:vAlign w:val="center"/>
          </w:tcPr>
          <w:p w14:paraId="6A366093">
            <w:pPr>
              <w:spacing w:line="360" w:lineRule="auto"/>
              <w:ind w:firstLine="560" w:firstLineChars="200"/>
              <w:jc w:val="left"/>
              <w:rPr>
                <w:rFonts w:ascii="宋体" w:hAnsi="宋体"/>
                <w:color w:val="auto"/>
                <w:szCs w:val="21"/>
              </w:rPr>
            </w:pPr>
            <w:r>
              <w:rPr>
                <w:rFonts w:hint="eastAsia" w:ascii="宋体" w:hAnsi="宋体"/>
                <w:color w:val="auto"/>
                <w:szCs w:val="21"/>
              </w:rPr>
              <w:t>签约合同价的2‰</w:t>
            </w:r>
          </w:p>
        </w:tc>
      </w:tr>
      <w:tr w14:paraId="2F10F39B">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1F0800">
            <w:pPr>
              <w:spacing w:line="360" w:lineRule="auto"/>
              <w:ind w:firstLine="560" w:firstLineChars="200"/>
              <w:jc w:val="left"/>
              <w:rPr>
                <w:rFonts w:ascii="宋体" w:hAnsi="宋体"/>
                <w:color w:val="auto"/>
                <w:szCs w:val="21"/>
              </w:rPr>
            </w:pPr>
            <w:r>
              <w:rPr>
                <w:rFonts w:hint="eastAsia" w:ascii="宋体" w:hAnsi="宋体"/>
                <w:color w:val="auto"/>
                <w:szCs w:val="21"/>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5082C487">
            <w:pPr>
              <w:spacing w:line="360" w:lineRule="auto"/>
              <w:ind w:firstLine="560" w:firstLineChars="200"/>
              <w:jc w:val="left"/>
              <w:rPr>
                <w:rFonts w:ascii="宋体" w:hAnsi="宋体"/>
                <w:color w:val="auto"/>
                <w:szCs w:val="21"/>
              </w:rPr>
            </w:pPr>
            <w:r>
              <w:rPr>
                <w:rFonts w:hint="eastAsia" w:ascii="宋体" w:hAnsi="宋体"/>
                <w:color w:val="auto"/>
                <w:szCs w:val="21"/>
              </w:rPr>
              <w:t>签约合同价的4‰</w:t>
            </w:r>
          </w:p>
        </w:tc>
      </w:tr>
    </w:tbl>
    <w:p w14:paraId="30CCC18A">
      <w:pPr>
        <w:spacing w:line="360" w:lineRule="auto"/>
        <w:ind w:firstLine="560" w:firstLineChars="200"/>
        <w:jc w:val="left"/>
        <w:rPr>
          <w:rFonts w:ascii="宋体" w:hAnsi="宋体"/>
          <w:color w:val="auto"/>
          <w:szCs w:val="21"/>
        </w:rPr>
      </w:pPr>
      <w:r>
        <w:rPr>
          <w:rFonts w:hint="eastAsia" w:ascii="宋体" w:hAnsi="宋体"/>
          <w:color w:val="auto"/>
          <w:szCs w:val="21"/>
        </w:rPr>
        <w:t>（1）较大事故，是指造成3人以上10人以下死亡，或者10人以上50人以下重伤，或者1000万元以上5000万元以下直接经济损失的事故；</w:t>
      </w:r>
    </w:p>
    <w:p w14:paraId="51ACE84C">
      <w:pPr>
        <w:spacing w:line="360" w:lineRule="auto"/>
        <w:ind w:firstLine="560" w:firstLineChars="200"/>
        <w:jc w:val="left"/>
        <w:rPr>
          <w:rFonts w:ascii="宋体" w:hAnsi="宋体"/>
          <w:color w:val="auto"/>
          <w:szCs w:val="21"/>
        </w:rPr>
      </w:pPr>
      <w:r>
        <w:rPr>
          <w:rFonts w:hint="eastAsia" w:ascii="宋体" w:hAnsi="宋体"/>
          <w:color w:val="auto"/>
          <w:szCs w:val="21"/>
        </w:rPr>
        <w:t>（2）重大事故，是指造成10人以上30人以下死亡，或者50人以上100人以下重伤，或者5000万元以上1亿元以下直接经济损失的事故；</w:t>
      </w:r>
    </w:p>
    <w:p w14:paraId="32AFE1AF">
      <w:pPr>
        <w:spacing w:line="360" w:lineRule="auto"/>
        <w:ind w:firstLine="560" w:firstLineChars="200"/>
        <w:jc w:val="left"/>
        <w:rPr>
          <w:rFonts w:ascii="宋体" w:hAnsi="宋体"/>
          <w:color w:val="auto"/>
          <w:szCs w:val="21"/>
        </w:rPr>
      </w:pPr>
      <w:r>
        <w:rPr>
          <w:rFonts w:hint="eastAsia" w:ascii="宋体" w:hAnsi="宋体"/>
          <w:color w:val="auto"/>
          <w:szCs w:val="21"/>
        </w:rPr>
        <w:t>（3）特别重大事故，是指造成30人以上死亡，或者100人以上重伤（包括急性工业中毒，下同），或者1亿元以上直接经济损失的事故；</w:t>
      </w:r>
    </w:p>
    <w:p w14:paraId="2A5BA6A3">
      <w:pPr>
        <w:spacing w:line="276" w:lineRule="auto"/>
        <w:ind w:firstLine="560" w:firstLineChars="200"/>
        <w:jc w:val="left"/>
        <w:rPr>
          <w:rFonts w:ascii="宋体" w:hAnsi="宋体"/>
          <w:color w:val="auto"/>
          <w:szCs w:val="21"/>
        </w:rPr>
      </w:pPr>
      <w:r>
        <w:rPr>
          <w:rFonts w:hint="eastAsia" w:ascii="宋体" w:hAnsi="宋体"/>
          <w:color w:val="auto"/>
          <w:szCs w:val="21"/>
        </w:rPr>
        <w:t>（4）所称的“以上”包括本数，所称的“以下”不包括本数。</w:t>
      </w:r>
    </w:p>
    <w:p w14:paraId="712B2212">
      <w:pPr>
        <w:spacing w:line="276" w:lineRule="auto"/>
        <w:ind w:firstLine="560" w:firstLineChars="200"/>
        <w:jc w:val="left"/>
        <w:rPr>
          <w:rFonts w:ascii="宋体" w:hAnsi="宋体"/>
          <w:color w:val="auto"/>
          <w:szCs w:val="21"/>
        </w:rPr>
      </w:pPr>
      <w:r>
        <w:rPr>
          <w:rFonts w:hint="eastAsia" w:ascii="宋体" w:hAnsi="宋体"/>
          <w:color w:val="auto"/>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3273811B">
      <w:pPr>
        <w:spacing w:line="276" w:lineRule="auto"/>
        <w:ind w:firstLine="560" w:firstLineChars="200"/>
        <w:rPr>
          <w:rFonts w:ascii="宋体" w:hAnsi="宋体"/>
          <w:color w:val="auto"/>
          <w:szCs w:val="21"/>
        </w:rPr>
      </w:pPr>
      <w:bookmarkStart w:id="1677" w:name="_Toc247418282"/>
      <w:bookmarkStart w:id="1678" w:name="_Toc247431442"/>
      <w:bookmarkStart w:id="1679" w:name="_Toc239510308"/>
      <w:bookmarkStart w:id="1680" w:name="_Toc532375717"/>
      <w:r>
        <w:rPr>
          <w:rFonts w:hint="eastAsia" w:ascii="宋体" w:hAnsi="宋体"/>
          <w:color w:val="auto"/>
          <w:szCs w:val="21"/>
        </w:rPr>
        <w:t>十七、协议条款的修订</w:t>
      </w:r>
      <w:bookmarkEnd w:id="1677"/>
      <w:bookmarkEnd w:id="1678"/>
      <w:bookmarkEnd w:id="1679"/>
      <w:bookmarkEnd w:id="1680"/>
    </w:p>
    <w:p w14:paraId="4EE55C4E">
      <w:pPr>
        <w:spacing w:line="276" w:lineRule="auto"/>
        <w:ind w:firstLine="560" w:firstLineChars="200"/>
        <w:jc w:val="left"/>
        <w:rPr>
          <w:rFonts w:ascii="宋体" w:hAnsi="宋体"/>
          <w:color w:val="auto"/>
          <w:szCs w:val="21"/>
        </w:rPr>
      </w:pPr>
      <w:r>
        <w:rPr>
          <w:rFonts w:hint="eastAsia" w:ascii="宋体" w:hAnsi="宋体"/>
          <w:color w:val="auto"/>
          <w:szCs w:val="21"/>
        </w:rPr>
        <w:t>在项目实施过程中，经双方友好协商，本协议的有关条款也可做出相应的修改。</w:t>
      </w:r>
    </w:p>
    <w:p w14:paraId="68B006A4">
      <w:pPr>
        <w:spacing w:line="276" w:lineRule="auto"/>
        <w:ind w:firstLine="560" w:firstLineChars="200"/>
        <w:jc w:val="left"/>
        <w:rPr>
          <w:rFonts w:ascii="宋体" w:hAnsi="宋体"/>
          <w:color w:val="auto"/>
          <w:szCs w:val="21"/>
        </w:rPr>
      </w:pPr>
      <w:r>
        <w:rPr>
          <w:rFonts w:hint="eastAsia" w:ascii="宋体" w:hAnsi="宋体"/>
          <w:color w:val="auto"/>
          <w:szCs w:val="21"/>
        </w:rPr>
        <w:t>本工程安全管理协议，由发包人、承包人双方在施工承包合同签订后7天内共同签署，作为施工合同附件。</w:t>
      </w:r>
    </w:p>
    <w:p w14:paraId="4208FAC8">
      <w:pPr>
        <w:spacing w:line="360" w:lineRule="auto"/>
        <w:ind w:firstLine="560" w:firstLineChars="200"/>
        <w:jc w:val="left"/>
        <w:rPr>
          <w:rFonts w:ascii="宋体" w:hAnsi="宋体"/>
          <w:color w:val="auto"/>
          <w:szCs w:val="21"/>
        </w:rPr>
      </w:pPr>
      <w:r>
        <w:rPr>
          <w:rFonts w:hint="eastAsia" w:ascii="宋体" w:hAnsi="宋体"/>
          <w:color w:val="auto"/>
          <w:szCs w:val="21"/>
        </w:rPr>
        <w:t>发  包  人（</w:t>
      </w:r>
      <w:r>
        <w:rPr>
          <w:rFonts w:hint="eastAsia" w:ascii="宋体" w:hAnsi="宋体"/>
          <w:color w:val="auto"/>
          <w:szCs w:val="21"/>
          <w:lang w:val="en-US" w:eastAsia="zh-CN"/>
        </w:rPr>
        <w:t>单位</w:t>
      </w:r>
      <w:r>
        <w:rPr>
          <w:rFonts w:hint="eastAsia" w:ascii="宋体" w:hAnsi="宋体"/>
          <w:color w:val="auto"/>
          <w:szCs w:val="21"/>
        </w:rPr>
        <w:t>公章）：</w:t>
      </w:r>
      <w:r>
        <w:rPr>
          <w:rFonts w:hint="eastAsia" w:ascii="宋体" w:hAnsi="宋体" w:cs="宋体"/>
          <w:color w:val="auto"/>
          <w:szCs w:val="21"/>
          <w:u w:val="single"/>
        </w:rPr>
        <w:t xml:space="preserve"> </w:t>
      </w:r>
      <w:r>
        <w:rPr>
          <w:rFonts w:hint="eastAsia" w:ascii="宋体" w:hAnsi="宋体"/>
          <w:color w:val="auto"/>
          <w:szCs w:val="21"/>
          <w:u w:val="single"/>
          <w:lang w:eastAsia="zh-CN"/>
        </w:rPr>
        <w:t>重庆新翔源鞋业有限责任公司</w:t>
      </w:r>
      <w:r>
        <w:rPr>
          <w:rFonts w:hint="eastAsia" w:ascii="宋体" w:hAnsi="宋体" w:cs="宋体"/>
          <w:color w:val="auto"/>
          <w:szCs w:val="21"/>
          <w:u w:val="single"/>
        </w:rPr>
        <w:t xml:space="preserve">  </w:t>
      </w:r>
    </w:p>
    <w:p w14:paraId="6EE8F402">
      <w:pPr>
        <w:spacing w:line="360" w:lineRule="auto"/>
        <w:ind w:firstLine="560" w:firstLineChars="200"/>
        <w:jc w:val="left"/>
        <w:rPr>
          <w:rFonts w:ascii="宋体" w:hAnsi="宋体"/>
          <w:color w:val="auto"/>
          <w:szCs w:val="21"/>
        </w:rPr>
      </w:pPr>
      <w:r>
        <w:rPr>
          <w:rFonts w:hint="eastAsia" w:ascii="宋体" w:hAnsi="宋体"/>
          <w:color w:val="auto"/>
          <w:szCs w:val="21"/>
        </w:rPr>
        <w:t>法定代表人（签名）：</w:t>
      </w:r>
      <w:r>
        <w:rPr>
          <w:rFonts w:hint="eastAsia" w:ascii="宋体" w:hAnsi="宋体" w:cs="宋体"/>
          <w:color w:val="auto"/>
          <w:szCs w:val="21"/>
          <w:u w:val="single"/>
        </w:rPr>
        <w:t xml:space="preserve">                       </w:t>
      </w:r>
      <w:r>
        <w:rPr>
          <w:rFonts w:hint="eastAsia" w:ascii="宋体" w:hAnsi="宋体"/>
          <w:color w:val="auto"/>
          <w:szCs w:val="21"/>
        </w:rPr>
        <w:t xml:space="preserve">  </w:t>
      </w:r>
    </w:p>
    <w:p w14:paraId="7EE1C85C">
      <w:pPr>
        <w:spacing w:line="360" w:lineRule="auto"/>
        <w:ind w:firstLine="560" w:firstLineChars="200"/>
        <w:jc w:val="left"/>
        <w:rPr>
          <w:rFonts w:ascii="宋体" w:hAnsi="宋体"/>
          <w:color w:val="auto"/>
          <w:szCs w:val="21"/>
        </w:rPr>
      </w:pPr>
      <w:r>
        <w:rPr>
          <w:rFonts w:hint="eastAsia" w:ascii="宋体" w:hAnsi="宋体"/>
          <w:color w:val="auto"/>
          <w:szCs w:val="21"/>
        </w:rPr>
        <w:t>或其委托代理人（签名）：</w:t>
      </w:r>
      <w:r>
        <w:rPr>
          <w:rFonts w:hint="eastAsia" w:ascii="宋体" w:hAnsi="宋体" w:cs="宋体"/>
          <w:color w:val="auto"/>
          <w:szCs w:val="21"/>
          <w:u w:val="single"/>
        </w:rPr>
        <w:t xml:space="preserve">                   </w:t>
      </w:r>
      <w:r>
        <w:rPr>
          <w:rFonts w:hint="eastAsia" w:ascii="宋体" w:hAnsi="宋体"/>
          <w:color w:val="auto"/>
          <w:szCs w:val="21"/>
        </w:rPr>
        <w:t xml:space="preserve">  </w:t>
      </w:r>
    </w:p>
    <w:p w14:paraId="517D3526">
      <w:pPr>
        <w:spacing w:line="360" w:lineRule="auto"/>
        <w:ind w:firstLine="560" w:firstLineChars="200"/>
        <w:jc w:val="left"/>
        <w:rPr>
          <w:rFonts w:ascii="宋体" w:hAnsi="宋体"/>
          <w:color w:val="auto"/>
          <w:szCs w:val="21"/>
        </w:rPr>
      </w:pPr>
    </w:p>
    <w:p w14:paraId="01C370DE">
      <w:pPr>
        <w:spacing w:line="360" w:lineRule="auto"/>
        <w:ind w:firstLine="560" w:firstLineChars="200"/>
        <w:jc w:val="left"/>
        <w:rPr>
          <w:rFonts w:ascii="宋体" w:hAnsi="宋体"/>
          <w:color w:val="auto"/>
          <w:kern w:val="0"/>
          <w:szCs w:val="21"/>
        </w:rPr>
      </w:pPr>
      <w:r>
        <w:rPr>
          <w:rFonts w:hint="eastAsia" w:ascii="宋体" w:hAnsi="宋体"/>
          <w:color w:val="auto"/>
          <w:szCs w:val="21"/>
        </w:rPr>
        <w:t>承  包  人（</w:t>
      </w:r>
      <w:r>
        <w:rPr>
          <w:rFonts w:hint="eastAsia" w:ascii="宋体" w:hAnsi="宋体"/>
          <w:color w:val="auto"/>
          <w:szCs w:val="21"/>
          <w:lang w:val="en-US" w:eastAsia="zh-CN"/>
        </w:rPr>
        <w:t>单位</w:t>
      </w:r>
      <w:r>
        <w:rPr>
          <w:rFonts w:hint="eastAsia" w:ascii="宋体" w:hAnsi="宋体"/>
          <w:color w:val="auto"/>
          <w:szCs w:val="21"/>
        </w:rPr>
        <w:t>公章）：</w:t>
      </w:r>
      <w:r>
        <w:rPr>
          <w:rFonts w:hint="eastAsia" w:ascii="宋体" w:hAnsi="宋体" w:cs="宋体"/>
          <w:color w:val="auto"/>
          <w:szCs w:val="21"/>
          <w:u w:val="single"/>
        </w:rPr>
        <w:t xml:space="preserve">  </w:t>
      </w:r>
      <w:r>
        <w:rPr>
          <w:rFonts w:hint="eastAsia" w:ascii="宋体" w:hAnsi="宋体" w:cs="Times New Roman"/>
          <w:color w:val="auto"/>
          <w:szCs w:val="21"/>
          <w:u w:val="single"/>
          <w:lang w:val="en-US" w:eastAsia="zh-CN"/>
        </w:rPr>
        <w:t xml:space="preserve"> </w:t>
      </w:r>
      <w:r>
        <w:rPr>
          <w:rFonts w:hint="eastAsia" w:ascii="宋体" w:hAnsi="宋体" w:cs="宋体"/>
          <w:color w:val="auto"/>
          <w:szCs w:val="21"/>
          <w:u w:val="single"/>
        </w:rPr>
        <w:t xml:space="preserve">  </w:t>
      </w:r>
    </w:p>
    <w:p w14:paraId="3A568B69">
      <w:pPr>
        <w:spacing w:line="360" w:lineRule="auto"/>
        <w:ind w:firstLine="560" w:firstLineChars="200"/>
        <w:jc w:val="left"/>
        <w:rPr>
          <w:rFonts w:ascii="宋体" w:hAnsi="宋体"/>
          <w:color w:val="auto"/>
          <w:szCs w:val="21"/>
        </w:rPr>
      </w:pPr>
      <w:r>
        <w:rPr>
          <w:rFonts w:hint="eastAsia" w:ascii="宋体" w:hAnsi="宋体"/>
          <w:color w:val="auto"/>
          <w:szCs w:val="21"/>
        </w:rPr>
        <w:t>法定代表人（签名）：</w:t>
      </w:r>
      <w:r>
        <w:rPr>
          <w:rFonts w:hint="eastAsia" w:ascii="宋体" w:hAnsi="宋体" w:cs="宋体"/>
          <w:color w:val="auto"/>
          <w:szCs w:val="21"/>
          <w:u w:val="single"/>
        </w:rPr>
        <w:t xml:space="preserve">                       </w:t>
      </w:r>
    </w:p>
    <w:p w14:paraId="0BB15427">
      <w:pPr>
        <w:spacing w:line="360" w:lineRule="auto"/>
        <w:ind w:firstLine="560" w:firstLineChars="200"/>
        <w:jc w:val="left"/>
        <w:rPr>
          <w:rFonts w:ascii="宋体" w:hAnsi="宋体"/>
          <w:color w:val="auto"/>
          <w:kern w:val="0"/>
          <w:szCs w:val="21"/>
        </w:rPr>
      </w:pPr>
      <w:r>
        <w:rPr>
          <w:rFonts w:hint="eastAsia" w:ascii="宋体" w:hAnsi="宋体"/>
          <w:color w:val="auto"/>
          <w:szCs w:val="21"/>
        </w:rPr>
        <w:t>或其委托代理人（签名）：</w:t>
      </w:r>
      <w:r>
        <w:rPr>
          <w:rFonts w:hint="eastAsia" w:ascii="宋体" w:hAnsi="宋体" w:cs="宋体"/>
          <w:color w:val="auto"/>
          <w:szCs w:val="21"/>
          <w:u w:val="single"/>
        </w:rPr>
        <w:t xml:space="preserve">                   </w:t>
      </w:r>
    </w:p>
    <w:p w14:paraId="4839036E">
      <w:pPr>
        <w:snapToGrid w:val="0"/>
        <w:spacing w:line="360" w:lineRule="auto"/>
        <w:jc w:val="left"/>
        <w:rPr>
          <w:rFonts w:ascii="宋体" w:hAnsi="宋体"/>
          <w:color w:val="auto"/>
          <w:kern w:val="0"/>
          <w:szCs w:val="21"/>
        </w:rPr>
      </w:pPr>
      <w:r>
        <w:rPr>
          <w:rFonts w:hint="eastAsia" w:ascii="宋体" w:hAnsi="宋体"/>
          <w:color w:val="auto"/>
          <w:szCs w:val="21"/>
        </w:rPr>
        <w:br w:type="page"/>
      </w:r>
    </w:p>
    <w:p w14:paraId="49CDC0B7">
      <w:pPr>
        <w:spacing w:line="480" w:lineRule="auto"/>
        <w:rPr>
          <w:rFonts w:ascii="宋体" w:hAnsi="宋体"/>
          <w:color w:val="auto"/>
          <w:szCs w:val="21"/>
        </w:rPr>
      </w:pPr>
      <w:r>
        <w:rPr>
          <w:rFonts w:hint="eastAsia" w:ascii="宋体" w:hAnsi="宋体"/>
          <w:color w:val="auto"/>
          <w:szCs w:val="21"/>
        </w:rPr>
        <w:t>附件</w:t>
      </w:r>
      <w:r>
        <w:rPr>
          <w:rFonts w:hint="eastAsia" w:ascii="宋体" w:hAnsi="宋体"/>
          <w:color w:val="auto"/>
          <w:szCs w:val="21"/>
          <w:lang w:val="en-US" w:eastAsia="zh-CN"/>
        </w:rPr>
        <w:t>5</w:t>
      </w:r>
      <w:r>
        <w:rPr>
          <w:rFonts w:hint="eastAsia" w:ascii="宋体" w:hAnsi="宋体"/>
          <w:color w:val="auto"/>
          <w:szCs w:val="21"/>
        </w:rPr>
        <w:t>：</w:t>
      </w:r>
    </w:p>
    <w:p w14:paraId="7C3CBCA7">
      <w:pPr>
        <w:spacing w:before="156" w:beforeLines="50" w:after="156" w:afterLines="50" w:line="480" w:lineRule="auto"/>
        <w:jc w:val="center"/>
        <w:rPr>
          <w:rFonts w:ascii="宋体" w:hAnsi="宋体"/>
          <w:color w:val="auto"/>
          <w:szCs w:val="21"/>
        </w:rPr>
      </w:pPr>
      <w:r>
        <w:rPr>
          <w:rFonts w:hint="eastAsia" w:ascii="宋体" w:hAnsi="宋体"/>
          <w:color w:val="auto"/>
          <w:szCs w:val="21"/>
        </w:rPr>
        <w:t>保障农民工工资支付协议</w:t>
      </w:r>
    </w:p>
    <w:p w14:paraId="312ABB38">
      <w:pPr>
        <w:snapToGrid w:val="0"/>
        <w:spacing w:line="480" w:lineRule="auto"/>
        <w:rPr>
          <w:rFonts w:ascii="宋体" w:hAnsi="宋体"/>
          <w:color w:val="auto"/>
          <w:szCs w:val="21"/>
        </w:rPr>
      </w:pPr>
      <w:r>
        <w:rPr>
          <w:rFonts w:hint="eastAsia" w:ascii="宋体" w:hAnsi="宋体"/>
          <w:color w:val="auto"/>
          <w:szCs w:val="21"/>
        </w:rPr>
        <w:t xml:space="preserve"> 发包人：</w:t>
      </w:r>
      <w:r>
        <w:rPr>
          <w:rFonts w:hint="eastAsia" w:ascii="宋体" w:hAnsi="宋体" w:cs="宋体"/>
          <w:color w:val="auto"/>
          <w:szCs w:val="21"/>
          <w:u w:val="single"/>
        </w:rPr>
        <w:t xml:space="preserve">   </w:t>
      </w:r>
      <w:r>
        <w:rPr>
          <w:rFonts w:hint="eastAsia" w:ascii="宋体" w:hAnsi="宋体"/>
          <w:color w:val="auto"/>
          <w:szCs w:val="21"/>
          <w:u w:val="single"/>
          <w:lang w:eastAsia="zh-CN"/>
        </w:rPr>
        <w:t>重庆新翔源鞋业有限责任公司</w:t>
      </w:r>
      <w:r>
        <w:rPr>
          <w:rFonts w:hint="eastAsia" w:ascii="宋体" w:hAnsi="宋体" w:cs="宋体"/>
          <w:color w:val="auto"/>
          <w:szCs w:val="21"/>
          <w:u w:val="single"/>
        </w:rPr>
        <w:t xml:space="preserve">    </w:t>
      </w:r>
      <w:r>
        <w:rPr>
          <w:rFonts w:hint="eastAsia" w:ascii="宋体" w:hAnsi="宋体"/>
          <w:color w:val="auto"/>
          <w:szCs w:val="21"/>
        </w:rPr>
        <w:t>（发包人）</w:t>
      </w:r>
    </w:p>
    <w:p w14:paraId="37B74608">
      <w:pPr>
        <w:snapToGrid w:val="0"/>
        <w:spacing w:line="360" w:lineRule="auto"/>
        <w:rPr>
          <w:rFonts w:ascii="宋体" w:hAnsi="宋体"/>
          <w:color w:val="auto"/>
          <w:szCs w:val="21"/>
        </w:rPr>
      </w:pPr>
      <w:r>
        <w:rPr>
          <w:rFonts w:hint="eastAsia" w:ascii="宋体" w:hAnsi="宋体"/>
          <w:color w:val="auto"/>
          <w:szCs w:val="21"/>
        </w:rPr>
        <w:t xml:space="preserve"> 承包人：</w:t>
      </w:r>
      <w:r>
        <w:rPr>
          <w:rFonts w:hint="eastAsia" w:ascii="宋体" w:hAnsi="宋体" w:cs="宋体"/>
          <w:color w:val="auto"/>
          <w:szCs w:val="21"/>
          <w:u w:val="single"/>
        </w:rPr>
        <w:t xml:space="preserve">      </w:t>
      </w:r>
      <w:r>
        <w:rPr>
          <w:rFonts w:hint="eastAsia" w:ascii="宋体" w:hAnsi="宋体"/>
          <w:color w:val="auto"/>
          <w:szCs w:val="21"/>
        </w:rPr>
        <w:t>（承包人）</w:t>
      </w:r>
    </w:p>
    <w:p w14:paraId="3690EC21">
      <w:pPr>
        <w:spacing w:line="360" w:lineRule="auto"/>
        <w:ind w:firstLine="280" w:firstLineChars="100"/>
        <w:rPr>
          <w:rFonts w:ascii="宋体" w:hAnsi="宋体"/>
          <w:color w:val="auto"/>
          <w:szCs w:val="21"/>
        </w:rPr>
      </w:pPr>
      <w:r>
        <w:rPr>
          <w:rFonts w:hint="eastAsia" w:ascii="宋体" w:hAnsi="宋体"/>
          <w:color w:val="auto"/>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2889C709">
      <w:pPr>
        <w:spacing w:line="360" w:lineRule="auto"/>
        <w:ind w:firstLine="560" w:firstLineChars="200"/>
        <w:rPr>
          <w:rFonts w:ascii="宋体" w:hAnsi="宋体"/>
          <w:color w:val="auto"/>
          <w:szCs w:val="21"/>
        </w:rPr>
      </w:pPr>
      <w:r>
        <w:rPr>
          <w:rFonts w:hint="eastAsia" w:ascii="宋体" w:hAnsi="宋体"/>
          <w:color w:val="auto"/>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1504ECA5">
      <w:pPr>
        <w:spacing w:line="360" w:lineRule="auto"/>
        <w:ind w:firstLine="560" w:firstLineChars="200"/>
        <w:rPr>
          <w:rFonts w:ascii="宋体" w:hAnsi="宋体"/>
          <w:color w:val="auto"/>
          <w:szCs w:val="21"/>
        </w:rPr>
      </w:pPr>
      <w:r>
        <w:rPr>
          <w:rFonts w:hint="eastAsia" w:ascii="宋体" w:hAnsi="宋体"/>
          <w:color w:val="auto"/>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5B8CB33D">
      <w:pPr>
        <w:spacing w:line="360" w:lineRule="auto"/>
        <w:ind w:firstLine="560" w:firstLineChars="200"/>
        <w:rPr>
          <w:rFonts w:ascii="宋体" w:hAnsi="宋体"/>
          <w:color w:val="auto"/>
          <w:szCs w:val="21"/>
        </w:rPr>
      </w:pPr>
      <w:r>
        <w:rPr>
          <w:rFonts w:hint="eastAsia" w:ascii="宋体" w:hAnsi="宋体"/>
          <w:color w:val="auto"/>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6D5788DD">
      <w:pPr>
        <w:spacing w:line="360" w:lineRule="auto"/>
        <w:ind w:firstLine="560" w:firstLineChars="200"/>
        <w:rPr>
          <w:rFonts w:ascii="宋体" w:hAnsi="宋体"/>
          <w:color w:val="auto"/>
          <w:szCs w:val="21"/>
        </w:rPr>
      </w:pPr>
      <w:r>
        <w:rPr>
          <w:rFonts w:hint="eastAsia" w:ascii="宋体" w:hAnsi="宋体"/>
          <w:color w:val="auto"/>
          <w:szCs w:val="21"/>
        </w:rPr>
        <w:t>四、若发现承包人有下列事项的，发包人在支付当期进度款时暂扣当期应支付进度款5%比例的款项。</w:t>
      </w:r>
      <w:r>
        <w:rPr>
          <w:rFonts w:hint="eastAsia" w:ascii="宋体" w:hAnsi="宋体"/>
          <w:color w:val="auto"/>
          <w:szCs w:val="21"/>
        </w:rPr>
        <w:br w:type="textWrapping"/>
      </w:r>
      <w:r>
        <w:rPr>
          <w:rFonts w:hint="eastAsia" w:ascii="宋体" w:hAnsi="宋体"/>
          <w:color w:val="auto"/>
          <w:szCs w:val="21"/>
        </w:rPr>
        <w:t xml:space="preserve">    （一）现场检查发现项目存在拖欠农民工工资情况并经核查属实的；</w:t>
      </w:r>
    </w:p>
    <w:p w14:paraId="65EF3999">
      <w:pPr>
        <w:spacing w:line="360" w:lineRule="auto"/>
        <w:ind w:firstLine="560" w:firstLineChars="200"/>
        <w:rPr>
          <w:rFonts w:ascii="宋体" w:hAnsi="宋体"/>
          <w:color w:val="auto"/>
          <w:szCs w:val="21"/>
        </w:rPr>
      </w:pPr>
      <w:r>
        <w:rPr>
          <w:rFonts w:hint="eastAsia" w:ascii="宋体" w:hAnsi="宋体"/>
          <w:color w:val="auto"/>
          <w:szCs w:val="21"/>
        </w:rPr>
        <w:t>（二）相关行政管理部门检查发现存在拖欠农民工工资情况并经核查属实的；</w:t>
      </w:r>
      <w:r>
        <w:rPr>
          <w:rFonts w:hint="eastAsia" w:ascii="宋体" w:hAnsi="宋体"/>
          <w:color w:val="auto"/>
          <w:szCs w:val="21"/>
        </w:rPr>
        <w:br w:type="textWrapping"/>
      </w:r>
      <w:r>
        <w:rPr>
          <w:rFonts w:hint="eastAsia" w:ascii="宋体" w:hAnsi="宋体"/>
          <w:color w:val="auto"/>
          <w:szCs w:val="21"/>
        </w:rPr>
        <w:t xml:space="preserve">    （三）有拖欠农民工工资投诉事项并经核查属实的。</w:t>
      </w:r>
      <w:r>
        <w:rPr>
          <w:rFonts w:hint="eastAsia" w:ascii="宋体" w:hAnsi="宋体"/>
          <w:color w:val="auto"/>
          <w:szCs w:val="21"/>
        </w:rPr>
        <w:br w:type="textWrapping"/>
      </w:r>
      <w:r>
        <w:rPr>
          <w:rFonts w:hint="eastAsia" w:ascii="宋体" w:hAnsi="宋体"/>
          <w:color w:val="auto"/>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604C9C56">
      <w:pPr>
        <w:tabs>
          <w:tab w:val="left" w:pos="1080"/>
          <w:tab w:val="left" w:pos="1260"/>
          <w:tab w:val="left" w:pos="1440"/>
        </w:tabs>
        <w:spacing w:line="360" w:lineRule="auto"/>
        <w:ind w:firstLine="560" w:firstLineChars="200"/>
        <w:rPr>
          <w:rFonts w:ascii="宋体" w:hAnsi="宋体"/>
          <w:snapToGrid w:val="0"/>
          <w:color w:val="auto"/>
          <w:spacing w:val="-4"/>
          <w:kern w:val="0"/>
          <w:szCs w:val="21"/>
        </w:rPr>
      </w:pPr>
      <w:r>
        <w:rPr>
          <w:rFonts w:hint="eastAsia" w:ascii="宋体" w:hAnsi="宋体"/>
          <w:color w:val="auto"/>
          <w:szCs w:val="21"/>
        </w:rPr>
        <w:t>六、本协议经双方法定代表人或委托代理人签名并加盖</w:t>
      </w:r>
      <w:r>
        <w:rPr>
          <w:rFonts w:hint="eastAsia" w:ascii="宋体" w:hAnsi="宋体"/>
          <w:color w:val="auto"/>
          <w:szCs w:val="21"/>
          <w:lang w:val="en-US" w:eastAsia="zh-CN"/>
        </w:rPr>
        <w:t>单位</w:t>
      </w:r>
      <w:r>
        <w:rPr>
          <w:rFonts w:hint="eastAsia" w:ascii="宋体" w:hAnsi="宋体"/>
          <w:color w:val="auto"/>
          <w:szCs w:val="21"/>
        </w:rPr>
        <w:t>公章后生效，履行完毕后自然失效。</w:t>
      </w:r>
    </w:p>
    <w:p w14:paraId="464AE3E8">
      <w:pPr>
        <w:spacing w:line="360" w:lineRule="auto"/>
        <w:ind w:firstLine="560" w:firstLineChars="200"/>
        <w:rPr>
          <w:rFonts w:ascii="宋体" w:hAnsi="宋体"/>
          <w:color w:val="auto"/>
          <w:szCs w:val="21"/>
        </w:rPr>
      </w:pPr>
      <w:r>
        <w:rPr>
          <w:rFonts w:hint="eastAsia" w:ascii="宋体" w:hAnsi="宋体"/>
          <w:color w:val="auto"/>
          <w:szCs w:val="21"/>
        </w:rPr>
        <w:t>附件：</w:t>
      </w:r>
    </w:p>
    <w:p w14:paraId="6529A880">
      <w:pPr>
        <w:spacing w:line="360" w:lineRule="auto"/>
        <w:ind w:firstLine="560" w:firstLineChars="200"/>
        <w:rPr>
          <w:rFonts w:ascii="宋体" w:hAnsi="宋体"/>
          <w:color w:val="auto"/>
          <w:szCs w:val="21"/>
        </w:rPr>
      </w:pPr>
      <w:r>
        <w:rPr>
          <w:rFonts w:hint="eastAsia" w:ascii="宋体" w:hAnsi="宋体"/>
          <w:color w:val="auto"/>
          <w:szCs w:val="21"/>
        </w:rPr>
        <w:t>1、关于农民工工资发放情况的说明表</w:t>
      </w:r>
    </w:p>
    <w:p w14:paraId="26FF6D24">
      <w:pPr>
        <w:pStyle w:val="23"/>
        <w:spacing w:line="360" w:lineRule="auto"/>
        <w:ind w:firstLine="640" w:firstLineChars="200"/>
        <w:rPr>
          <w:rFonts w:ascii="宋体" w:hAnsi="宋体"/>
          <w:color w:val="auto"/>
          <w:szCs w:val="21"/>
        </w:rPr>
      </w:pPr>
    </w:p>
    <w:p w14:paraId="65302F37">
      <w:pPr>
        <w:pStyle w:val="23"/>
        <w:spacing w:line="360" w:lineRule="auto"/>
        <w:ind w:firstLine="640" w:firstLineChars="200"/>
        <w:rPr>
          <w:rFonts w:ascii="宋体" w:hAnsi="宋体"/>
          <w:color w:val="auto"/>
          <w:szCs w:val="21"/>
        </w:rPr>
      </w:pPr>
    </w:p>
    <w:p w14:paraId="4165DFBC">
      <w:pPr>
        <w:pStyle w:val="23"/>
        <w:spacing w:line="360" w:lineRule="auto"/>
        <w:ind w:firstLine="640" w:firstLineChars="200"/>
        <w:rPr>
          <w:rFonts w:ascii="宋体" w:hAnsi="宋体"/>
          <w:color w:val="auto"/>
          <w:szCs w:val="21"/>
        </w:rPr>
      </w:pPr>
    </w:p>
    <w:p w14:paraId="5B47D06C">
      <w:pPr>
        <w:spacing w:line="360" w:lineRule="auto"/>
        <w:ind w:firstLine="560" w:firstLineChars="200"/>
        <w:rPr>
          <w:rFonts w:ascii="宋体" w:hAnsi="宋体"/>
          <w:color w:val="auto"/>
          <w:szCs w:val="21"/>
        </w:rPr>
      </w:pPr>
      <w:r>
        <w:rPr>
          <w:rFonts w:hint="eastAsia" w:ascii="宋体" w:hAnsi="宋体"/>
          <w:color w:val="auto"/>
          <w:szCs w:val="21"/>
        </w:rPr>
        <w:t>（以下无正文）</w:t>
      </w:r>
    </w:p>
    <w:p w14:paraId="39CBEBB5">
      <w:pPr>
        <w:spacing w:line="360" w:lineRule="auto"/>
        <w:ind w:firstLine="560" w:firstLineChars="200"/>
        <w:rPr>
          <w:rFonts w:ascii="宋体" w:hAnsi="宋体"/>
          <w:color w:val="auto"/>
          <w:szCs w:val="21"/>
        </w:rPr>
      </w:pPr>
    </w:p>
    <w:p w14:paraId="3711E692">
      <w:pPr>
        <w:spacing w:line="360" w:lineRule="auto"/>
        <w:ind w:firstLine="560" w:firstLineChars="200"/>
        <w:rPr>
          <w:rFonts w:ascii="宋体" w:hAnsi="宋体"/>
          <w:color w:val="auto"/>
          <w:szCs w:val="21"/>
        </w:rPr>
      </w:pPr>
    </w:p>
    <w:p w14:paraId="5C1561DA">
      <w:pPr>
        <w:pStyle w:val="23"/>
        <w:spacing w:line="360" w:lineRule="auto"/>
        <w:rPr>
          <w:rFonts w:ascii="宋体" w:hAnsi="宋体"/>
          <w:color w:val="auto"/>
          <w:szCs w:val="21"/>
        </w:rPr>
      </w:pPr>
    </w:p>
    <w:p w14:paraId="34E470B6">
      <w:pPr>
        <w:spacing w:line="360" w:lineRule="auto"/>
        <w:rPr>
          <w:rFonts w:ascii="宋体" w:hAnsi="宋体"/>
          <w:color w:val="auto"/>
          <w:szCs w:val="21"/>
        </w:rPr>
      </w:pPr>
      <w:r>
        <w:rPr>
          <w:rFonts w:hint="eastAsia" w:ascii="宋体" w:hAnsi="宋体"/>
          <w:color w:val="auto"/>
          <w:szCs w:val="21"/>
        </w:rPr>
        <w:t>发包人：</w:t>
      </w:r>
      <w:r>
        <w:rPr>
          <w:rFonts w:hint="eastAsia" w:ascii="宋体" w:hAnsi="宋体" w:cs="宋体"/>
          <w:color w:val="auto"/>
          <w:szCs w:val="21"/>
          <w:u w:val="single"/>
        </w:rPr>
        <w:t xml:space="preserve"> </w:t>
      </w:r>
      <w:r>
        <w:rPr>
          <w:rFonts w:hint="eastAsia" w:ascii="宋体" w:hAnsi="宋体"/>
          <w:color w:val="auto"/>
          <w:szCs w:val="21"/>
          <w:u w:val="single"/>
          <w:lang w:eastAsia="zh-CN"/>
        </w:rPr>
        <w:t>重庆新翔源鞋业有限责任公司</w:t>
      </w:r>
      <w:r>
        <w:rPr>
          <w:rFonts w:hint="eastAsia" w:ascii="宋体" w:hAnsi="宋体" w:cs="宋体"/>
          <w:color w:val="auto"/>
          <w:szCs w:val="21"/>
          <w:u w:val="single"/>
        </w:rPr>
        <w:t xml:space="preserve"> </w:t>
      </w:r>
      <w:r>
        <w:rPr>
          <w:rFonts w:hint="eastAsia" w:ascii="宋体" w:hAnsi="宋体"/>
          <w:color w:val="auto"/>
          <w:szCs w:val="21"/>
        </w:rPr>
        <w:t>（发包人）</w:t>
      </w:r>
    </w:p>
    <w:p w14:paraId="15A1C04E">
      <w:pPr>
        <w:spacing w:line="360" w:lineRule="auto"/>
        <w:rPr>
          <w:rFonts w:ascii="宋体" w:hAnsi="宋体"/>
          <w:color w:val="auto"/>
          <w:szCs w:val="21"/>
        </w:rPr>
      </w:pPr>
      <w:r>
        <w:rPr>
          <w:rFonts w:hint="eastAsia" w:ascii="宋体" w:hAnsi="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040E15C2">
      <w:pPr>
        <w:spacing w:line="360" w:lineRule="auto"/>
        <w:rPr>
          <w:rFonts w:ascii="宋体" w:hAnsi="宋体"/>
          <w:color w:val="auto"/>
          <w:szCs w:val="21"/>
        </w:rPr>
      </w:pPr>
      <w:r>
        <w:rPr>
          <w:rFonts w:hint="eastAsia" w:ascii="宋体" w:hAnsi="宋体"/>
          <w:color w:val="auto"/>
          <w:szCs w:val="21"/>
        </w:rPr>
        <w:t>或委托代理人：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0FA09336">
      <w:pPr>
        <w:spacing w:line="360" w:lineRule="auto"/>
        <w:rPr>
          <w:rFonts w:ascii="宋体" w:hAnsi="宋体"/>
          <w:color w:val="auto"/>
          <w:szCs w:val="21"/>
        </w:rPr>
      </w:pPr>
      <w:r>
        <w:rPr>
          <w:rFonts w:hint="eastAsia" w:ascii="宋体" w:hAnsi="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284148D3">
      <w:pPr>
        <w:spacing w:line="360" w:lineRule="auto"/>
        <w:rPr>
          <w:rFonts w:ascii="宋体" w:hAnsi="宋体"/>
          <w:color w:val="auto"/>
          <w:szCs w:val="21"/>
        </w:rPr>
      </w:pPr>
    </w:p>
    <w:p w14:paraId="62B41552">
      <w:pPr>
        <w:spacing w:line="360" w:lineRule="auto"/>
        <w:rPr>
          <w:rFonts w:ascii="宋体" w:hAnsi="宋体"/>
          <w:color w:val="auto"/>
          <w:szCs w:val="21"/>
        </w:rPr>
      </w:pPr>
    </w:p>
    <w:p w14:paraId="0ABD3353">
      <w:pPr>
        <w:spacing w:line="360" w:lineRule="auto"/>
        <w:rPr>
          <w:rFonts w:ascii="宋体" w:hAnsi="宋体"/>
          <w:color w:val="auto"/>
          <w:szCs w:val="21"/>
        </w:rPr>
      </w:pPr>
    </w:p>
    <w:p w14:paraId="274DDC4D">
      <w:pPr>
        <w:spacing w:line="360" w:lineRule="auto"/>
        <w:rPr>
          <w:rFonts w:ascii="宋体" w:hAnsi="宋体"/>
          <w:color w:val="auto"/>
          <w:szCs w:val="21"/>
        </w:rPr>
      </w:pPr>
      <w:r>
        <w:rPr>
          <w:rFonts w:hint="eastAsia" w:ascii="宋体" w:hAnsi="宋体"/>
          <w:color w:val="auto"/>
          <w:szCs w:val="21"/>
        </w:rPr>
        <w:t>承包人：</w:t>
      </w:r>
      <w:r>
        <w:rPr>
          <w:rFonts w:hint="eastAsia" w:ascii="宋体" w:hAnsi="宋体" w:cs="宋体"/>
          <w:color w:val="auto"/>
          <w:szCs w:val="21"/>
          <w:u w:val="single"/>
        </w:rPr>
        <w:t xml:space="preserve"> </w:t>
      </w:r>
      <w:r>
        <w:rPr>
          <w:rFonts w:hint="eastAsia" w:ascii="宋体" w:hAnsi="宋体" w:cs="Times New Roman"/>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olor w:val="auto"/>
          <w:szCs w:val="21"/>
        </w:rPr>
        <w:t>（承包人）</w:t>
      </w:r>
    </w:p>
    <w:p w14:paraId="67BD72FA">
      <w:pPr>
        <w:spacing w:line="360" w:lineRule="auto"/>
        <w:rPr>
          <w:rFonts w:ascii="宋体" w:hAnsi="宋体"/>
          <w:color w:val="auto"/>
          <w:szCs w:val="21"/>
        </w:rPr>
      </w:pPr>
      <w:r>
        <w:rPr>
          <w:rFonts w:hint="eastAsia" w:ascii="宋体" w:hAnsi="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5D74FECA">
      <w:pPr>
        <w:spacing w:line="360" w:lineRule="auto"/>
        <w:rPr>
          <w:rFonts w:ascii="宋体" w:hAnsi="宋体"/>
          <w:color w:val="auto"/>
          <w:szCs w:val="21"/>
        </w:rPr>
      </w:pPr>
      <w:r>
        <w:rPr>
          <w:rFonts w:hint="eastAsia" w:ascii="宋体" w:hAnsi="宋体"/>
          <w:color w:val="auto"/>
          <w:szCs w:val="21"/>
        </w:rPr>
        <w:t>或委托代理人：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1E18CE17">
      <w:pPr>
        <w:spacing w:line="360" w:lineRule="auto"/>
        <w:rPr>
          <w:rFonts w:ascii="宋体" w:hAnsi="宋体"/>
          <w:color w:val="auto"/>
          <w:szCs w:val="21"/>
        </w:rPr>
      </w:pPr>
      <w:r>
        <w:rPr>
          <w:rFonts w:hint="eastAsia" w:ascii="宋体" w:hAnsi="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14:paraId="5130FAC5">
      <w:pPr>
        <w:pStyle w:val="2"/>
        <w:rPr>
          <w:rFonts w:hint="eastAsia" w:ascii="方正仿宋_GBK" w:hAnsi="宋体" w:eastAsia="方正仿宋_GBK"/>
          <w:color w:val="auto"/>
          <w:sz w:val="24"/>
          <w:szCs w:val="24"/>
          <w:lang w:val="en-US" w:eastAsia="zh-CN"/>
        </w:rPr>
      </w:pPr>
    </w:p>
    <w:p w14:paraId="2BE7DF7E">
      <w:pPr>
        <w:pStyle w:val="2"/>
        <w:rPr>
          <w:rFonts w:hint="eastAsia" w:ascii="方正仿宋_GBK" w:hAnsi="宋体" w:eastAsia="方正仿宋_GBK"/>
          <w:color w:val="auto"/>
          <w:sz w:val="24"/>
          <w:szCs w:val="24"/>
          <w:lang w:val="en-US" w:eastAsia="zh-CN"/>
        </w:rPr>
      </w:pPr>
    </w:p>
    <w:p w14:paraId="3A87862A">
      <w:pPr>
        <w:rPr>
          <w:rFonts w:hint="eastAsia" w:ascii="方正仿宋_GBK" w:eastAsia="方正仿宋_GBK"/>
          <w:color w:val="auto"/>
          <w:sz w:val="24"/>
        </w:rPr>
      </w:pPr>
      <w:bookmarkStart w:id="1681" w:name="_Toc148265480"/>
      <w:bookmarkStart w:id="1682" w:name="_Toc303945820"/>
    </w:p>
    <w:bookmarkEnd w:id="1681"/>
    <w:bookmarkEnd w:id="1682"/>
    <w:p w14:paraId="64F9640D">
      <w:pPr>
        <w:pStyle w:val="2"/>
        <w:rPr>
          <w:rFonts w:hint="eastAsia" w:ascii="方正仿宋_GBK" w:hAnsi="宋体" w:eastAsia="方正仿宋_GBK"/>
          <w:color w:val="auto"/>
          <w:sz w:val="24"/>
          <w:szCs w:val="24"/>
          <w:lang w:val="en-US" w:eastAsia="zh-CN"/>
        </w:rPr>
      </w:pPr>
    </w:p>
    <w:p w14:paraId="39868CA8">
      <w:pPr>
        <w:pStyle w:val="240"/>
        <w:snapToGrid w:val="0"/>
        <w:spacing w:before="0" w:line="360" w:lineRule="auto"/>
        <w:ind w:firstLine="560" w:firstLineChars="200"/>
        <w:rPr>
          <w:rFonts w:ascii="宋体" w:hAnsi="宋体"/>
          <w:color w:val="auto"/>
          <w:highlight w:val="none"/>
        </w:rPr>
      </w:pPr>
    </w:p>
    <w:p w14:paraId="1BECCD74">
      <w:pPr>
        <w:rPr>
          <w:rFonts w:ascii="宋体" w:hAnsi="宋体"/>
          <w:b w:val="0"/>
          <w:color w:val="auto"/>
          <w:szCs w:val="21"/>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14:paraId="7202161C"/>
                        </w:txbxContent>
                      </wps:txbx>
                      <wps:bodyPr vert="horz" wrap="square" anchor="t" anchorCtr="0"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9ed32QAAAA0BAAAPAAAAAAAA&#10;AAEAIAAAACIAAABkcnMvZG93bnJldi54bWxQSwECFAAUAAAACACHTuJAN2+ZdNgBAACsAwAADgAA&#10;AAAAAAABACAAAAAoAQAAZHJzL2Uyb0RvYy54bWxQSwUGAAAAAAYABgBZAQAAcgUAAAAA&#10;">
                <v:fill on="t" focussize="0,0"/>
                <v:stroke on="f"/>
                <v:imagedata o:title=""/>
                <o:lock v:ext="edit" aspectratio="f"/>
                <v:textbox>
                  <w:txbxContent>
                    <w:p w14:paraId="7202161C"/>
                  </w:txbxContent>
                </v:textbox>
              </v:rect>
            </w:pict>
          </mc:Fallback>
        </mc:AlternateContent>
      </w:r>
      <w:bookmarkEnd w:id="212"/>
      <w:bookmarkEnd w:id="213"/>
      <w:bookmarkEnd w:id="214"/>
    </w:p>
    <w:p w14:paraId="6074D7BC">
      <w:pPr>
        <w:spacing w:line="400" w:lineRule="exact"/>
        <w:ind w:right="12" w:firstLine="480"/>
        <w:rPr>
          <w:rFonts w:hint="default" w:ascii="宋体" w:hAnsi="宋体" w:eastAsia="宋体" w:cs="宋体"/>
          <w:color w:val="auto"/>
          <w:sz w:val="24"/>
          <w:szCs w:val="24"/>
          <w:highlight w:val="none"/>
          <w:lang w:val="en-US" w:eastAsia="zh-CN"/>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634C3D9C">
      <w:pPr>
        <w:pStyle w:val="3"/>
        <w:bidi w:val="0"/>
        <w:jc w:val="center"/>
        <w:rPr>
          <w:rFonts w:hint="eastAsia" w:ascii="宋体" w:hAnsi="宋体" w:eastAsia="宋体" w:cs="宋体"/>
          <w:color w:val="auto"/>
          <w:kern w:val="2"/>
          <w:sz w:val="36"/>
          <w:szCs w:val="36"/>
          <w:highlight w:val="none"/>
          <w:lang w:val="en-US" w:eastAsia="zh-CN" w:bidi="ar-SA"/>
        </w:rPr>
      </w:pPr>
      <w:bookmarkStart w:id="1683" w:name="_Hlt41879464"/>
      <w:bookmarkEnd w:id="1683"/>
      <w:bookmarkStart w:id="1684" w:name="_Toc9538"/>
      <w:bookmarkStart w:id="1685" w:name="_Toc6968"/>
      <w:bookmarkStart w:id="1686" w:name="_Toc65660378"/>
      <w:bookmarkStart w:id="1687" w:name="_Toc12789072"/>
      <w:bookmarkStart w:id="1688" w:name="_Toc27751"/>
      <w:r>
        <w:rPr>
          <w:rFonts w:hint="eastAsia" w:ascii="宋体" w:hAnsi="宋体" w:eastAsia="宋体" w:cs="宋体"/>
          <w:color w:val="auto"/>
          <w:kern w:val="2"/>
          <w:sz w:val="36"/>
          <w:szCs w:val="36"/>
          <w:highlight w:val="none"/>
          <w:lang w:val="en-US" w:eastAsia="zh-CN" w:bidi="ar-SA"/>
        </w:rPr>
        <w:t>第七篇  响应文件格式要求</w:t>
      </w:r>
      <w:bookmarkEnd w:id="1684"/>
      <w:bookmarkEnd w:id="1685"/>
      <w:bookmarkEnd w:id="1686"/>
      <w:bookmarkEnd w:id="1687"/>
      <w:bookmarkEnd w:id="1688"/>
    </w:p>
    <w:p w14:paraId="66B14194">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61E2FC1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630E8D91">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明细报价表（已标价工程量清单）</w:t>
      </w:r>
    </w:p>
    <w:p w14:paraId="4D4D4C34">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二、技术（质量）部分</w:t>
      </w:r>
    </w:p>
    <w:p w14:paraId="04AED13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（一）技术（质量）响应偏离表</w:t>
      </w:r>
    </w:p>
    <w:p w14:paraId="5D7322C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1CB31913">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三、服务部分</w:t>
      </w:r>
    </w:p>
    <w:p w14:paraId="2FABAD3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3DC2F71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（二）其它优惠服务承诺（格式自定）</w:t>
      </w:r>
    </w:p>
    <w:p w14:paraId="56A12117">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5A5333E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5B71D79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CBE8DE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3FFDC73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4C3CE7E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5DA54BDA">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78F1B1D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（一）承诺（格式）</w:t>
      </w:r>
    </w:p>
    <w:p w14:paraId="5CC8751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其他与项目有关的资料（自附）</w:t>
      </w:r>
    </w:p>
    <w:p w14:paraId="13DDA865">
      <w:pPr>
        <w:snapToGrid w:val="0"/>
        <w:spacing w:line="360" w:lineRule="auto"/>
        <w:rPr>
          <w:rFonts w:hint="eastAsia" w:ascii="宋体" w:hAnsi="宋体" w:eastAsia="宋体" w:cs="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3E29D9F0">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689" w:name="_Toc14244"/>
      <w:bookmarkStart w:id="1690" w:name="_Toc26343"/>
      <w:bookmarkStart w:id="1691" w:name="_Toc342913419"/>
      <w:bookmarkStart w:id="1692" w:name="_Toc313888360"/>
      <w:bookmarkStart w:id="1693" w:name="_Toc313008356"/>
      <w:bookmarkStart w:id="1694" w:name="_Toc65660379"/>
      <w:bookmarkStart w:id="1695" w:name="_Toc13392"/>
      <w:bookmarkStart w:id="1696" w:name="_Toc12789073"/>
      <w:bookmarkStart w:id="1697" w:name="_Toc283382454"/>
      <w:r>
        <w:rPr>
          <w:rFonts w:hint="eastAsia" w:ascii="宋体" w:hAnsi="宋体" w:eastAsia="宋体" w:cs="宋体"/>
          <w:color w:val="auto"/>
          <w:sz w:val="24"/>
          <w:szCs w:val="24"/>
          <w:highlight w:val="none"/>
        </w:rPr>
        <w:t>一、经济部分</w:t>
      </w:r>
      <w:bookmarkEnd w:id="1689"/>
      <w:bookmarkEnd w:id="1690"/>
      <w:bookmarkEnd w:id="1691"/>
      <w:bookmarkEnd w:id="1692"/>
      <w:bookmarkEnd w:id="1693"/>
      <w:bookmarkEnd w:id="1694"/>
      <w:bookmarkEnd w:id="1695"/>
    </w:p>
    <w:bookmarkEnd w:id="1696"/>
    <w:bookmarkEnd w:id="1697"/>
    <w:p w14:paraId="255D391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40885314">
      <w:pPr>
        <w:tabs>
          <w:tab w:val="left" w:pos="6300"/>
        </w:tabs>
        <w:snapToGrid w:val="0"/>
        <w:spacing w:line="312"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报价函</w:t>
      </w:r>
    </w:p>
    <w:p w14:paraId="2BA38A98">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2D7EDF8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我方收到____________________________（谈判项目名称）的竞争性谈判文件，经详细研究，决定参加该谈判项目的竞争谈判。</w:t>
      </w:r>
    </w:p>
    <w:p w14:paraId="4807028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1.愿意按照竞争性谈判文件中的一切要求，提供本项目的交货及技术服务，项目初始报价（总价）为人民币大写：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元。其中安全文明施工费暂定金额为人民币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该工程项目经理为___________。工期_____日历天,按合同约定实施和完成承包工程，修补工程中的任何缺陷，工程质量达到</w:t>
      </w:r>
      <w:r>
        <w:rPr>
          <w:rFonts w:hint="eastAsia" w:ascii="宋体" w:hAnsi="宋体" w:eastAsia="宋体" w:cs="宋体"/>
          <w:color w:val="auto"/>
          <w:sz w:val="24"/>
          <w:szCs w:val="24"/>
          <w:highlight w:val="none"/>
          <w:u w:val="single"/>
        </w:rPr>
        <w:t>采购文件要求</w:t>
      </w:r>
      <w:r>
        <w:rPr>
          <w:rFonts w:hint="eastAsia" w:ascii="宋体" w:hAnsi="宋体" w:eastAsia="宋体" w:cs="宋体"/>
          <w:color w:val="auto"/>
          <w:sz w:val="24"/>
          <w:szCs w:val="24"/>
          <w:highlight w:val="none"/>
        </w:rPr>
        <w:t>。以我公司最后报价为准。</w:t>
      </w:r>
    </w:p>
    <w:p w14:paraId="605DA87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7AACC27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3.我方承诺：本次谈判的有效期为提交响应文件截止时间起90天。</w:t>
      </w:r>
    </w:p>
    <w:p w14:paraId="5671B16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4.我方完全理解和接受贵方竞争性谈判文件的一切规定和要求及谈判评审办法。</w:t>
      </w:r>
    </w:p>
    <w:p w14:paraId="0B491CD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5.在整个竞争性谈判过程中，我方若有违规行为，接受按照《中华人民共和国政府采购法》和《竞争性谈判文件》之规定给予惩罚。</w:t>
      </w:r>
    </w:p>
    <w:p w14:paraId="1E36E02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6.我方若成为成交供应商，将按照最终谈判结果签订合同，并且严格履行合同义务。本承诺函将成为合同不可分割的一部分，与合同具有同等的法律效力。</w:t>
      </w:r>
    </w:p>
    <w:p w14:paraId="4683CE2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7.我方同意按竞争性谈判文件规定，交纳竞争性谈判文件要求的保证金。如果我方成为成交供应商，保证在接到成交通知书后，向采购代理机构缴纳竞争性谈判文件规定的采购代理服务费。</w:t>
      </w:r>
    </w:p>
    <w:p w14:paraId="02163E5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8.我方未为采购项目提供整体设计、规范编制或者项目管理、监理、检测等服务。</w:t>
      </w:r>
    </w:p>
    <w:p w14:paraId="68CCBF19">
      <w:pPr>
        <w:snapToGrid w:val="0"/>
        <w:spacing w:line="400" w:lineRule="exact"/>
        <w:ind w:firstLine="360" w:firstLineChars="150"/>
        <w:rPr>
          <w:rFonts w:hint="eastAsia" w:ascii="宋体" w:hAnsi="宋体" w:eastAsia="宋体" w:cs="宋体"/>
          <w:color w:val="auto"/>
          <w:sz w:val="24"/>
          <w:szCs w:val="24"/>
          <w:highlight w:val="none"/>
        </w:rPr>
      </w:pPr>
    </w:p>
    <w:p w14:paraId="4492B15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32794A2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38C18F2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012A05B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7EFD8F1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0DAB621">
      <w:pPr>
        <w:snapToGrid w:val="0"/>
        <w:spacing w:line="400" w:lineRule="exact"/>
        <w:ind w:firstLine="360" w:firstLineChars="15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rPr>
        <w:t xml:space="preserve">                               年   月   日</w:t>
      </w:r>
    </w:p>
    <w:p w14:paraId="3646234A">
      <w:pPr>
        <w:spacing w:line="400" w:lineRule="exact"/>
        <w:ind w:firstLine="480" w:firstLineChars="200"/>
        <w:rPr>
          <w:rFonts w:hint="eastAsia" w:ascii="宋体" w:hAnsi="宋体" w:eastAsia="宋体" w:cs="宋体"/>
          <w:color w:val="auto"/>
          <w:sz w:val="24"/>
          <w:szCs w:val="24"/>
          <w:highlight w:val="none"/>
        </w:rPr>
      </w:pPr>
    </w:p>
    <w:p w14:paraId="090CE231">
      <w:pPr>
        <w:spacing w:line="400" w:lineRule="exact"/>
        <w:ind w:firstLine="480"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明细报价表（已标价工程量清单）</w:t>
      </w:r>
    </w:p>
    <w:p w14:paraId="6DF394C6">
      <w:pPr>
        <w:pStyle w:val="23"/>
        <w:rPr>
          <w:rFonts w:hint="eastAsia" w:ascii="宋体" w:hAnsi="宋体" w:eastAsia="宋体" w:cs="宋体"/>
          <w:color w:val="auto"/>
          <w:sz w:val="24"/>
          <w:szCs w:val="24"/>
          <w:highlight w:val="none"/>
        </w:rPr>
      </w:pPr>
    </w:p>
    <w:p w14:paraId="21D859DB">
      <w:pPr>
        <w:tabs>
          <w:tab w:val="left" w:pos="6300"/>
        </w:tabs>
        <w:snapToGrid w:val="0"/>
        <w:spacing w:line="312" w:lineRule="auto"/>
        <w:ind w:firstLine="482" w:firstLineChars="200"/>
        <w:rPr>
          <w:rFonts w:hint="eastAsia" w:ascii="宋体" w:hAnsi="宋体" w:eastAsia="宋体" w:cs="宋体"/>
          <w:b/>
          <w:bCs/>
          <w:color w:val="auto"/>
          <w:sz w:val="24"/>
          <w:szCs w:val="24"/>
          <w:highlight w:val="none"/>
        </w:rPr>
      </w:pPr>
      <w:bookmarkStart w:id="1698" w:name="_Toc22655"/>
      <w:bookmarkStart w:id="1699" w:name="_Toc65660380"/>
      <w:bookmarkStart w:id="1700" w:name="_Toc313888361"/>
      <w:bookmarkStart w:id="1701" w:name="_Toc342913420"/>
      <w:bookmarkStart w:id="1702" w:name="_Toc14073"/>
      <w:bookmarkStart w:id="1703" w:name="_Toc313008357"/>
      <w:r>
        <w:rPr>
          <w:rFonts w:hint="eastAsia" w:ascii="宋体" w:hAnsi="宋体" w:eastAsia="宋体" w:cs="宋体"/>
          <w:b/>
          <w:bCs/>
          <w:color w:val="auto"/>
          <w:sz w:val="24"/>
          <w:szCs w:val="24"/>
          <w:highlight w:val="none"/>
        </w:rPr>
        <w:t>注1：根据提供的工程量清单报价，可不提供单价分析表；</w:t>
      </w:r>
    </w:p>
    <w:p w14:paraId="7F7BEA58">
      <w:pPr>
        <w:tabs>
          <w:tab w:val="left" w:pos="6300"/>
        </w:tabs>
        <w:snapToGrid w:val="0"/>
        <w:spacing w:line="312"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注2：如挂网工程量清单名称与竞争性</w:t>
      </w:r>
      <w:r>
        <w:rPr>
          <w:rFonts w:hint="eastAsia" w:ascii="宋体" w:hAnsi="宋体" w:eastAsia="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rPr>
        <w:t>文件所示项目名称不一致，以竞争性</w:t>
      </w:r>
      <w:r>
        <w:rPr>
          <w:rFonts w:hint="eastAsia" w:ascii="宋体" w:hAnsi="宋体" w:eastAsia="宋体" w:cs="宋体"/>
          <w:b/>
          <w:bCs/>
          <w:color w:val="auto"/>
          <w:sz w:val="24"/>
          <w:szCs w:val="24"/>
          <w:highlight w:val="none"/>
          <w:lang w:val="en-US" w:eastAsia="zh-CN"/>
        </w:rPr>
        <w:t>谈判</w:t>
      </w:r>
      <w:r>
        <w:rPr>
          <w:rFonts w:hint="eastAsia" w:ascii="宋体" w:hAnsi="宋体" w:eastAsia="宋体" w:cs="宋体"/>
          <w:b/>
          <w:bCs/>
          <w:color w:val="auto"/>
          <w:sz w:val="24"/>
          <w:szCs w:val="24"/>
          <w:highlight w:val="none"/>
        </w:rPr>
        <w:t>文件所示项目名称为准。</w:t>
      </w:r>
    </w:p>
    <w:p w14:paraId="417D3209">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30AF2FA">
      <w:pPr>
        <w:spacing w:line="360" w:lineRule="auto"/>
        <w:jc w:val="right"/>
        <w:rPr>
          <w:rFonts w:hint="eastAsia" w:ascii="宋体" w:hAnsi="宋体" w:eastAsia="宋体" w:cs="宋体"/>
          <w:color w:val="auto"/>
          <w:sz w:val="24"/>
          <w:szCs w:val="24"/>
          <w:highlight w:val="none"/>
        </w:rPr>
      </w:pPr>
    </w:p>
    <w:p w14:paraId="68439A4A">
      <w:pPr>
        <w:spacing w:line="360" w:lineRule="auto"/>
        <w:jc w:val="right"/>
        <w:rPr>
          <w:rFonts w:hint="eastAsia" w:ascii="宋体" w:hAnsi="宋体" w:eastAsia="宋体" w:cs="宋体"/>
          <w:color w:val="auto"/>
          <w:highlight w:val="none"/>
        </w:rPr>
      </w:pPr>
      <w:r>
        <w:rPr>
          <w:rFonts w:hint="eastAsia" w:ascii="宋体" w:hAnsi="宋体" w:eastAsia="宋体" w:cs="宋体"/>
          <w:color w:val="auto"/>
          <w:sz w:val="24"/>
          <w:szCs w:val="24"/>
          <w:highlight w:val="none"/>
        </w:rPr>
        <w:t>供应商名称（公章）或自然人签署：</w:t>
      </w:r>
    </w:p>
    <w:p w14:paraId="6261443C">
      <w:pPr>
        <w:spacing w:line="360" w:lineRule="auto"/>
        <w:ind w:right="48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8E69F7F">
      <w:pPr>
        <w:snapToGrid w:val="0"/>
        <w:spacing w:line="360" w:lineRule="auto"/>
        <w:ind w:firstLine="480" w:firstLineChars="200"/>
        <w:rPr>
          <w:rFonts w:hint="eastAsia" w:ascii="宋体" w:hAnsi="宋体" w:eastAsia="宋体" w:cs="宋体"/>
          <w:color w:val="auto"/>
          <w:sz w:val="24"/>
          <w:szCs w:val="24"/>
          <w:highlight w:val="none"/>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14:paraId="10DF54A8">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bookmarkStart w:id="1704" w:name="_Toc16901"/>
      <w:r>
        <w:rPr>
          <w:rFonts w:hint="eastAsia" w:ascii="宋体" w:hAnsi="宋体" w:eastAsia="宋体" w:cs="宋体"/>
          <w:color w:val="auto"/>
          <w:sz w:val="24"/>
          <w:szCs w:val="24"/>
          <w:highlight w:val="none"/>
        </w:rPr>
        <w:t>二、技术（质量）部分</w:t>
      </w:r>
      <w:bookmarkEnd w:id="1698"/>
      <w:bookmarkEnd w:id="1699"/>
      <w:bookmarkEnd w:id="1700"/>
      <w:bookmarkEnd w:id="1701"/>
      <w:bookmarkEnd w:id="1702"/>
      <w:bookmarkEnd w:id="1703"/>
      <w:bookmarkEnd w:id="1704"/>
    </w:p>
    <w:p w14:paraId="39F1E44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（一）技术（质量）响应偏离表</w:t>
      </w:r>
    </w:p>
    <w:p w14:paraId="52C9B17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225E0D6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C8E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22D77E74">
            <w:pPr>
              <w:tabs>
                <w:tab w:val="left" w:pos="6300"/>
              </w:tabs>
              <w:snapToGrid w:val="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844" w:type="dxa"/>
            <w:noWrap w:val="0"/>
            <w:vAlign w:val="center"/>
          </w:tcPr>
          <w:p w14:paraId="1A4BEC89">
            <w:pPr>
              <w:tabs>
                <w:tab w:val="left" w:pos="6300"/>
              </w:tabs>
              <w:snapToGrid w:val="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w:t>
            </w:r>
          </w:p>
        </w:tc>
        <w:tc>
          <w:tcPr>
            <w:tcW w:w="2952" w:type="dxa"/>
            <w:noWrap w:val="0"/>
            <w:vAlign w:val="center"/>
          </w:tcPr>
          <w:p w14:paraId="47A6288B">
            <w:pPr>
              <w:tabs>
                <w:tab w:val="left" w:pos="6300"/>
              </w:tabs>
              <w:snapToGrid w:val="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响应情况</w:t>
            </w:r>
          </w:p>
        </w:tc>
        <w:tc>
          <w:tcPr>
            <w:tcW w:w="2212" w:type="dxa"/>
            <w:noWrap w:val="0"/>
            <w:vAlign w:val="center"/>
          </w:tcPr>
          <w:p w14:paraId="23152ABB">
            <w:pPr>
              <w:tabs>
                <w:tab w:val="left" w:pos="6300"/>
              </w:tabs>
              <w:snapToGrid w:val="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差异说明</w:t>
            </w:r>
          </w:p>
        </w:tc>
      </w:tr>
      <w:tr w14:paraId="1EB8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B780FAD">
            <w:pPr>
              <w:tabs>
                <w:tab w:val="left" w:pos="6300"/>
              </w:tabs>
              <w:snapToGrid w:val="0"/>
              <w:jc w:val="center"/>
              <w:outlineLvl w:val="0"/>
              <w:rPr>
                <w:rFonts w:hint="eastAsia" w:ascii="宋体" w:hAnsi="宋体" w:eastAsia="宋体" w:cs="宋体"/>
                <w:color w:val="auto"/>
                <w:sz w:val="24"/>
                <w:szCs w:val="24"/>
                <w:highlight w:val="none"/>
              </w:rPr>
            </w:pPr>
          </w:p>
        </w:tc>
        <w:tc>
          <w:tcPr>
            <w:tcW w:w="2844" w:type="dxa"/>
            <w:noWrap w:val="0"/>
            <w:vAlign w:val="center"/>
          </w:tcPr>
          <w:p w14:paraId="6863827F">
            <w:pPr>
              <w:tabs>
                <w:tab w:val="left" w:pos="6300"/>
              </w:tabs>
              <w:snapToGrid w:val="0"/>
              <w:jc w:val="center"/>
              <w:outlineLvl w:val="0"/>
              <w:rPr>
                <w:rFonts w:hint="eastAsia" w:ascii="宋体" w:hAnsi="宋体" w:eastAsia="宋体" w:cs="宋体"/>
                <w:color w:val="auto"/>
                <w:sz w:val="24"/>
                <w:szCs w:val="24"/>
                <w:highlight w:val="none"/>
              </w:rPr>
            </w:pPr>
          </w:p>
        </w:tc>
        <w:tc>
          <w:tcPr>
            <w:tcW w:w="2952" w:type="dxa"/>
            <w:noWrap w:val="0"/>
            <w:vAlign w:val="center"/>
          </w:tcPr>
          <w:p w14:paraId="139721D5">
            <w:pPr>
              <w:tabs>
                <w:tab w:val="left" w:pos="6300"/>
              </w:tabs>
              <w:snapToGrid w:val="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提醒：请注明技术参数或具体内容以及响应文件中技术参数或具体内容的位置（页码）</w:t>
            </w:r>
          </w:p>
        </w:tc>
        <w:tc>
          <w:tcPr>
            <w:tcW w:w="2212" w:type="dxa"/>
            <w:noWrap w:val="0"/>
            <w:vAlign w:val="center"/>
          </w:tcPr>
          <w:p w14:paraId="1453CAD9">
            <w:pPr>
              <w:tabs>
                <w:tab w:val="left" w:pos="6300"/>
              </w:tabs>
              <w:snapToGrid w:val="0"/>
              <w:jc w:val="center"/>
              <w:outlineLvl w:val="0"/>
              <w:rPr>
                <w:rFonts w:hint="eastAsia" w:ascii="宋体" w:hAnsi="宋体" w:eastAsia="宋体" w:cs="宋体"/>
                <w:color w:val="auto"/>
                <w:sz w:val="24"/>
                <w:szCs w:val="24"/>
                <w:highlight w:val="none"/>
              </w:rPr>
            </w:pPr>
          </w:p>
        </w:tc>
      </w:tr>
      <w:tr w14:paraId="06DB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08D079E">
            <w:pPr>
              <w:tabs>
                <w:tab w:val="left" w:pos="6300"/>
              </w:tabs>
              <w:snapToGrid w:val="0"/>
              <w:jc w:val="center"/>
              <w:outlineLvl w:val="0"/>
              <w:rPr>
                <w:rFonts w:hint="eastAsia" w:ascii="宋体" w:hAnsi="宋体" w:eastAsia="宋体" w:cs="宋体"/>
                <w:color w:val="auto"/>
                <w:sz w:val="24"/>
                <w:szCs w:val="24"/>
                <w:highlight w:val="none"/>
              </w:rPr>
            </w:pPr>
          </w:p>
        </w:tc>
        <w:tc>
          <w:tcPr>
            <w:tcW w:w="2844" w:type="dxa"/>
            <w:noWrap w:val="0"/>
            <w:vAlign w:val="center"/>
          </w:tcPr>
          <w:p w14:paraId="35E5A460">
            <w:pPr>
              <w:tabs>
                <w:tab w:val="left" w:pos="6300"/>
              </w:tabs>
              <w:snapToGrid w:val="0"/>
              <w:jc w:val="center"/>
              <w:outlineLvl w:val="0"/>
              <w:rPr>
                <w:rFonts w:hint="eastAsia" w:ascii="宋体" w:hAnsi="宋体" w:eastAsia="宋体" w:cs="宋体"/>
                <w:color w:val="auto"/>
                <w:sz w:val="24"/>
                <w:szCs w:val="24"/>
                <w:highlight w:val="none"/>
              </w:rPr>
            </w:pPr>
          </w:p>
        </w:tc>
        <w:tc>
          <w:tcPr>
            <w:tcW w:w="2952" w:type="dxa"/>
            <w:noWrap w:val="0"/>
            <w:vAlign w:val="center"/>
          </w:tcPr>
          <w:p w14:paraId="07E35D83">
            <w:pPr>
              <w:tabs>
                <w:tab w:val="left" w:pos="6300"/>
              </w:tabs>
              <w:snapToGrid w:val="0"/>
              <w:jc w:val="center"/>
              <w:outlineLvl w:val="0"/>
              <w:rPr>
                <w:rFonts w:hint="eastAsia" w:ascii="宋体" w:hAnsi="宋体" w:eastAsia="宋体" w:cs="宋体"/>
                <w:color w:val="auto"/>
                <w:sz w:val="24"/>
                <w:szCs w:val="24"/>
                <w:highlight w:val="none"/>
              </w:rPr>
            </w:pPr>
          </w:p>
        </w:tc>
        <w:tc>
          <w:tcPr>
            <w:tcW w:w="2212" w:type="dxa"/>
            <w:noWrap w:val="0"/>
            <w:vAlign w:val="center"/>
          </w:tcPr>
          <w:p w14:paraId="56F3DA1B">
            <w:pPr>
              <w:tabs>
                <w:tab w:val="left" w:pos="6300"/>
              </w:tabs>
              <w:snapToGrid w:val="0"/>
              <w:jc w:val="center"/>
              <w:outlineLvl w:val="0"/>
              <w:rPr>
                <w:rFonts w:hint="eastAsia" w:ascii="宋体" w:hAnsi="宋体" w:eastAsia="宋体" w:cs="宋体"/>
                <w:color w:val="auto"/>
                <w:sz w:val="24"/>
                <w:szCs w:val="24"/>
                <w:highlight w:val="none"/>
              </w:rPr>
            </w:pPr>
          </w:p>
        </w:tc>
      </w:tr>
      <w:tr w14:paraId="7C75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C20EABF">
            <w:pPr>
              <w:tabs>
                <w:tab w:val="left" w:pos="6300"/>
              </w:tabs>
              <w:snapToGrid w:val="0"/>
              <w:jc w:val="center"/>
              <w:outlineLvl w:val="0"/>
              <w:rPr>
                <w:rFonts w:hint="eastAsia" w:ascii="宋体" w:hAnsi="宋体" w:eastAsia="宋体" w:cs="宋体"/>
                <w:color w:val="auto"/>
                <w:sz w:val="24"/>
                <w:szCs w:val="24"/>
                <w:highlight w:val="none"/>
              </w:rPr>
            </w:pPr>
          </w:p>
        </w:tc>
        <w:tc>
          <w:tcPr>
            <w:tcW w:w="2844" w:type="dxa"/>
            <w:noWrap w:val="0"/>
            <w:vAlign w:val="center"/>
          </w:tcPr>
          <w:p w14:paraId="27422EFC">
            <w:pPr>
              <w:tabs>
                <w:tab w:val="left" w:pos="6300"/>
              </w:tabs>
              <w:snapToGrid w:val="0"/>
              <w:jc w:val="center"/>
              <w:outlineLvl w:val="0"/>
              <w:rPr>
                <w:rFonts w:hint="eastAsia" w:ascii="宋体" w:hAnsi="宋体" w:eastAsia="宋体" w:cs="宋体"/>
                <w:color w:val="auto"/>
                <w:sz w:val="24"/>
                <w:szCs w:val="24"/>
                <w:highlight w:val="none"/>
              </w:rPr>
            </w:pPr>
          </w:p>
        </w:tc>
        <w:tc>
          <w:tcPr>
            <w:tcW w:w="2952" w:type="dxa"/>
            <w:noWrap w:val="0"/>
            <w:vAlign w:val="center"/>
          </w:tcPr>
          <w:p w14:paraId="3E118286">
            <w:pPr>
              <w:tabs>
                <w:tab w:val="left" w:pos="6300"/>
              </w:tabs>
              <w:snapToGrid w:val="0"/>
              <w:jc w:val="center"/>
              <w:outlineLvl w:val="0"/>
              <w:rPr>
                <w:rFonts w:hint="eastAsia" w:ascii="宋体" w:hAnsi="宋体" w:eastAsia="宋体" w:cs="宋体"/>
                <w:color w:val="auto"/>
                <w:sz w:val="24"/>
                <w:szCs w:val="24"/>
                <w:highlight w:val="none"/>
              </w:rPr>
            </w:pPr>
          </w:p>
        </w:tc>
        <w:tc>
          <w:tcPr>
            <w:tcW w:w="2212" w:type="dxa"/>
            <w:noWrap w:val="0"/>
            <w:vAlign w:val="center"/>
          </w:tcPr>
          <w:p w14:paraId="634E2916">
            <w:pPr>
              <w:tabs>
                <w:tab w:val="left" w:pos="6300"/>
              </w:tabs>
              <w:snapToGrid w:val="0"/>
              <w:jc w:val="center"/>
              <w:outlineLvl w:val="0"/>
              <w:rPr>
                <w:rFonts w:hint="eastAsia" w:ascii="宋体" w:hAnsi="宋体" w:eastAsia="宋体" w:cs="宋体"/>
                <w:color w:val="auto"/>
                <w:sz w:val="24"/>
                <w:szCs w:val="24"/>
                <w:highlight w:val="none"/>
              </w:rPr>
            </w:pPr>
          </w:p>
        </w:tc>
      </w:tr>
      <w:tr w14:paraId="7472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BBB7A0A">
            <w:pPr>
              <w:tabs>
                <w:tab w:val="left" w:pos="6300"/>
              </w:tabs>
              <w:snapToGrid w:val="0"/>
              <w:jc w:val="center"/>
              <w:outlineLvl w:val="0"/>
              <w:rPr>
                <w:rFonts w:hint="eastAsia" w:ascii="宋体" w:hAnsi="宋体" w:eastAsia="宋体" w:cs="宋体"/>
                <w:color w:val="auto"/>
                <w:sz w:val="24"/>
                <w:szCs w:val="24"/>
                <w:highlight w:val="none"/>
              </w:rPr>
            </w:pPr>
          </w:p>
        </w:tc>
        <w:tc>
          <w:tcPr>
            <w:tcW w:w="2844" w:type="dxa"/>
            <w:noWrap w:val="0"/>
            <w:vAlign w:val="center"/>
          </w:tcPr>
          <w:p w14:paraId="2E04CEEA">
            <w:pPr>
              <w:tabs>
                <w:tab w:val="left" w:pos="6300"/>
              </w:tabs>
              <w:snapToGrid w:val="0"/>
              <w:jc w:val="center"/>
              <w:outlineLvl w:val="0"/>
              <w:rPr>
                <w:rFonts w:hint="eastAsia" w:ascii="宋体" w:hAnsi="宋体" w:eastAsia="宋体" w:cs="宋体"/>
                <w:color w:val="auto"/>
                <w:sz w:val="24"/>
                <w:szCs w:val="24"/>
                <w:highlight w:val="none"/>
              </w:rPr>
            </w:pPr>
          </w:p>
        </w:tc>
        <w:tc>
          <w:tcPr>
            <w:tcW w:w="2952" w:type="dxa"/>
            <w:noWrap w:val="0"/>
            <w:vAlign w:val="center"/>
          </w:tcPr>
          <w:p w14:paraId="30F0CE47">
            <w:pPr>
              <w:tabs>
                <w:tab w:val="left" w:pos="6300"/>
              </w:tabs>
              <w:snapToGrid w:val="0"/>
              <w:jc w:val="center"/>
              <w:outlineLvl w:val="0"/>
              <w:rPr>
                <w:rFonts w:hint="eastAsia" w:ascii="宋体" w:hAnsi="宋体" w:eastAsia="宋体" w:cs="宋体"/>
                <w:color w:val="auto"/>
                <w:sz w:val="24"/>
                <w:szCs w:val="24"/>
                <w:highlight w:val="none"/>
              </w:rPr>
            </w:pPr>
          </w:p>
        </w:tc>
        <w:tc>
          <w:tcPr>
            <w:tcW w:w="2212" w:type="dxa"/>
            <w:noWrap w:val="0"/>
            <w:vAlign w:val="center"/>
          </w:tcPr>
          <w:p w14:paraId="236950CE">
            <w:pPr>
              <w:tabs>
                <w:tab w:val="left" w:pos="6300"/>
              </w:tabs>
              <w:snapToGrid w:val="0"/>
              <w:jc w:val="center"/>
              <w:outlineLvl w:val="0"/>
              <w:rPr>
                <w:rFonts w:hint="eastAsia" w:ascii="宋体" w:hAnsi="宋体" w:eastAsia="宋体" w:cs="宋体"/>
                <w:color w:val="auto"/>
                <w:sz w:val="24"/>
                <w:szCs w:val="24"/>
                <w:highlight w:val="none"/>
              </w:rPr>
            </w:pPr>
          </w:p>
        </w:tc>
      </w:tr>
      <w:tr w14:paraId="5BF9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B71245E">
            <w:pPr>
              <w:tabs>
                <w:tab w:val="left" w:pos="6300"/>
              </w:tabs>
              <w:snapToGrid w:val="0"/>
              <w:jc w:val="center"/>
              <w:outlineLvl w:val="0"/>
              <w:rPr>
                <w:rFonts w:hint="eastAsia" w:ascii="宋体" w:hAnsi="宋体" w:eastAsia="宋体" w:cs="宋体"/>
                <w:color w:val="auto"/>
                <w:sz w:val="24"/>
                <w:szCs w:val="24"/>
                <w:highlight w:val="none"/>
              </w:rPr>
            </w:pPr>
          </w:p>
        </w:tc>
        <w:tc>
          <w:tcPr>
            <w:tcW w:w="2844" w:type="dxa"/>
            <w:noWrap w:val="0"/>
            <w:vAlign w:val="center"/>
          </w:tcPr>
          <w:p w14:paraId="0C7BD127">
            <w:pPr>
              <w:tabs>
                <w:tab w:val="left" w:pos="6300"/>
              </w:tabs>
              <w:snapToGrid w:val="0"/>
              <w:jc w:val="center"/>
              <w:outlineLvl w:val="0"/>
              <w:rPr>
                <w:rFonts w:hint="eastAsia" w:ascii="宋体" w:hAnsi="宋体" w:eastAsia="宋体" w:cs="宋体"/>
                <w:color w:val="auto"/>
                <w:sz w:val="24"/>
                <w:szCs w:val="24"/>
                <w:highlight w:val="none"/>
              </w:rPr>
            </w:pPr>
          </w:p>
        </w:tc>
        <w:tc>
          <w:tcPr>
            <w:tcW w:w="2952" w:type="dxa"/>
            <w:noWrap w:val="0"/>
            <w:vAlign w:val="center"/>
          </w:tcPr>
          <w:p w14:paraId="19DC0990">
            <w:pPr>
              <w:tabs>
                <w:tab w:val="left" w:pos="6300"/>
              </w:tabs>
              <w:snapToGrid w:val="0"/>
              <w:jc w:val="center"/>
              <w:outlineLvl w:val="0"/>
              <w:rPr>
                <w:rFonts w:hint="eastAsia" w:ascii="宋体" w:hAnsi="宋体" w:eastAsia="宋体" w:cs="宋体"/>
                <w:color w:val="auto"/>
                <w:sz w:val="24"/>
                <w:szCs w:val="24"/>
                <w:highlight w:val="none"/>
              </w:rPr>
            </w:pPr>
          </w:p>
        </w:tc>
        <w:tc>
          <w:tcPr>
            <w:tcW w:w="2212" w:type="dxa"/>
            <w:noWrap w:val="0"/>
            <w:vAlign w:val="center"/>
          </w:tcPr>
          <w:p w14:paraId="366569D0">
            <w:pPr>
              <w:tabs>
                <w:tab w:val="left" w:pos="6300"/>
              </w:tabs>
              <w:snapToGrid w:val="0"/>
              <w:jc w:val="center"/>
              <w:outlineLvl w:val="0"/>
              <w:rPr>
                <w:rFonts w:hint="eastAsia" w:ascii="宋体" w:hAnsi="宋体" w:eastAsia="宋体" w:cs="宋体"/>
                <w:color w:val="auto"/>
                <w:sz w:val="24"/>
                <w:szCs w:val="24"/>
                <w:highlight w:val="none"/>
              </w:rPr>
            </w:pPr>
          </w:p>
        </w:tc>
      </w:tr>
      <w:tr w14:paraId="6F0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F5E9F10">
            <w:pPr>
              <w:tabs>
                <w:tab w:val="left" w:pos="6300"/>
              </w:tabs>
              <w:snapToGrid w:val="0"/>
              <w:jc w:val="center"/>
              <w:outlineLvl w:val="0"/>
              <w:rPr>
                <w:rFonts w:hint="eastAsia" w:ascii="宋体" w:hAnsi="宋体" w:eastAsia="宋体" w:cs="宋体"/>
                <w:color w:val="auto"/>
                <w:sz w:val="24"/>
                <w:szCs w:val="24"/>
                <w:highlight w:val="none"/>
              </w:rPr>
            </w:pPr>
          </w:p>
        </w:tc>
        <w:tc>
          <w:tcPr>
            <w:tcW w:w="2844" w:type="dxa"/>
            <w:noWrap w:val="0"/>
            <w:vAlign w:val="center"/>
          </w:tcPr>
          <w:p w14:paraId="2950131D">
            <w:pPr>
              <w:tabs>
                <w:tab w:val="left" w:pos="6300"/>
              </w:tabs>
              <w:snapToGrid w:val="0"/>
              <w:jc w:val="center"/>
              <w:outlineLvl w:val="0"/>
              <w:rPr>
                <w:rFonts w:hint="eastAsia" w:ascii="宋体" w:hAnsi="宋体" w:eastAsia="宋体" w:cs="宋体"/>
                <w:color w:val="auto"/>
                <w:sz w:val="24"/>
                <w:szCs w:val="24"/>
                <w:highlight w:val="none"/>
              </w:rPr>
            </w:pPr>
          </w:p>
        </w:tc>
        <w:tc>
          <w:tcPr>
            <w:tcW w:w="2952" w:type="dxa"/>
            <w:noWrap w:val="0"/>
            <w:vAlign w:val="center"/>
          </w:tcPr>
          <w:p w14:paraId="2B018A67">
            <w:pPr>
              <w:tabs>
                <w:tab w:val="left" w:pos="6300"/>
              </w:tabs>
              <w:snapToGrid w:val="0"/>
              <w:jc w:val="center"/>
              <w:outlineLvl w:val="0"/>
              <w:rPr>
                <w:rFonts w:hint="eastAsia" w:ascii="宋体" w:hAnsi="宋体" w:eastAsia="宋体" w:cs="宋体"/>
                <w:color w:val="auto"/>
                <w:sz w:val="24"/>
                <w:szCs w:val="24"/>
                <w:highlight w:val="none"/>
              </w:rPr>
            </w:pPr>
          </w:p>
        </w:tc>
        <w:tc>
          <w:tcPr>
            <w:tcW w:w="2212" w:type="dxa"/>
            <w:noWrap w:val="0"/>
            <w:vAlign w:val="center"/>
          </w:tcPr>
          <w:p w14:paraId="5D46F8C8">
            <w:pPr>
              <w:tabs>
                <w:tab w:val="left" w:pos="6300"/>
              </w:tabs>
              <w:snapToGrid w:val="0"/>
              <w:jc w:val="center"/>
              <w:outlineLvl w:val="0"/>
              <w:rPr>
                <w:rFonts w:hint="eastAsia" w:ascii="宋体" w:hAnsi="宋体" w:eastAsia="宋体" w:cs="宋体"/>
                <w:color w:val="auto"/>
                <w:sz w:val="24"/>
                <w:szCs w:val="24"/>
                <w:highlight w:val="none"/>
              </w:rPr>
            </w:pPr>
          </w:p>
        </w:tc>
      </w:tr>
      <w:tr w14:paraId="26F0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C991783">
            <w:pPr>
              <w:tabs>
                <w:tab w:val="left" w:pos="6300"/>
              </w:tabs>
              <w:snapToGrid w:val="0"/>
              <w:jc w:val="center"/>
              <w:outlineLvl w:val="0"/>
              <w:rPr>
                <w:rFonts w:hint="eastAsia" w:ascii="宋体" w:hAnsi="宋体" w:eastAsia="宋体" w:cs="宋体"/>
                <w:color w:val="auto"/>
                <w:sz w:val="24"/>
                <w:szCs w:val="24"/>
                <w:highlight w:val="none"/>
              </w:rPr>
            </w:pPr>
          </w:p>
        </w:tc>
        <w:tc>
          <w:tcPr>
            <w:tcW w:w="2844" w:type="dxa"/>
            <w:noWrap w:val="0"/>
            <w:vAlign w:val="center"/>
          </w:tcPr>
          <w:p w14:paraId="4DBB7AA1">
            <w:pPr>
              <w:tabs>
                <w:tab w:val="left" w:pos="6300"/>
              </w:tabs>
              <w:snapToGrid w:val="0"/>
              <w:jc w:val="center"/>
              <w:outlineLvl w:val="0"/>
              <w:rPr>
                <w:rFonts w:hint="eastAsia" w:ascii="宋体" w:hAnsi="宋体" w:eastAsia="宋体" w:cs="宋体"/>
                <w:color w:val="auto"/>
                <w:sz w:val="24"/>
                <w:szCs w:val="24"/>
                <w:highlight w:val="none"/>
              </w:rPr>
            </w:pPr>
          </w:p>
        </w:tc>
        <w:tc>
          <w:tcPr>
            <w:tcW w:w="2952" w:type="dxa"/>
            <w:noWrap w:val="0"/>
            <w:vAlign w:val="center"/>
          </w:tcPr>
          <w:p w14:paraId="4EA729F0">
            <w:pPr>
              <w:tabs>
                <w:tab w:val="left" w:pos="6300"/>
              </w:tabs>
              <w:snapToGrid w:val="0"/>
              <w:jc w:val="center"/>
              <w:outlineLvl w:val="0"/>
              <w:rPr>
                <w:rFonts w:hint="eastAsia" w:ascii="宋体" w:hAnsi="宋体" w:eastAsia="宋体" w:cs="宋体"/>
                <w:color w:val="auto"/>
                <w:sz w:val="24"/>
                <w:szCs w:val="24"/>
                <w:highlight w:val="none"/>
              </w:rPr>
            </w:pPr>
          </w:p>
        </w:tc>
        <w:tc>
          <w:tcPr>
            <w:tcW w:w="2212" w:type="dxa"/>
            <w:noWrap w:val="0"/>
            <w:vAlign w:val="center"/>
          </w:tcPr>
          <w:p w14:paraId="2BD03A82">
            <w:pPr>
              <w:tabs>
                <w:tab w:val="left" w:pos="6300"/>
              </w:tabs>
              <w:snapToGrid w:val="0"/>
              <w:jc w:val="center"/>
              <w:outlineLvl w:val="0"/>
              <w:rPr>
                <w:rFonts w:hint="eastAsia" w:ascii="宋体" w:hAnsi="宋体" w:eastAsia="宋体" w:cs="宋体"/>
                <w:color w:val="auto"/>
                <w:sz w:val="24"/>
                <w:szCs w:val="24"/>
                <w:highlight w:val="none"/>
              </w:rPr>
            </w:pPr>
          </w:p>
        </w:tc>
      </w:tr>
      <w:tr w14:paraId="31FB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2858BF5">
            <w:pPr>
              <w:tabs>
                <w:tab w:val="left" w:pos="6300"/>
              </w:tabs>
              <w:snapToGrid w:val="0"/>
              <w:jc w:val="center"/>
              <w:outlineLvl w:val="0"/>
              <w:rPr>
                <w:rFonts w:hint="eastAsia" w:ascii="宋体" w:hAnsi="宋体" w:eastAsia="宋体" w:cs="宋体"/>
                <w:color w:val="auto"/>
                <w:sz w:val="24"/>
                <w:szCs w:val="24"/>
                <w:highlight w:val="none"/>
              </w:rPr>
            </w:pPr>
          </w:p>
        </w:tc>
        <w:tc>
          <w:tcPr>
            <w:tcW w:w="2844" w:type="dxa"/>
            <w:noWrap w:val="0"/>
            <w:vAlign w:val="center"/>
          </w:tcPr>
          <w:p w14:paraId="77EB8A7C">
            <w:pPr>
              <w:tabs>
                <w:tab w:val="left" w:pos="6300"/>
              </w:tabs>
              <w:snapToGrid w:val="0"/>
              <w:jc w:val="center"/>
              <w:outlineLvl w:val="0"/>
              <w:rPr>
                <w:rFonts w:hint="eastAsia" w:ascii="宋体" w:hAnsi="宋体" w:eastAsia="宋体" w:cs="宋体"/>
                <w:color w:val="auto"/>
                <w:sz w:val="24"/>
                <w:szCs w:val="24"/>
                <w:highlight w:val="none"/>
              </w:rPr>
            </w:pPr>
          </w:p>
        </w:tc>
        <w:tc>
          <w:tcPr>
            <w:tcW w:w="2952" w:type="dxa"/>
            <w:noWrap w:val="0"/>
            <w:vAlign w:val="center"/>
          </w:tcPr>
          <w:p w14:paraId="020C5505">
            <w:pPr>
              <w:tabs>
                <w:tab w:val="left" w:pos="6300"/>
              </w:tabs>
              <w:snapToGrid w:val="0"/>
              <w:jc w:val="center"/>
              <w:outlineLvl w:val="0"/>
              <w:rPr>
                <w:rFonts w:hint="eastAsia" w:ascii="宋体" w:hAnsi="宋体" w:eastAsia="宋体" w:cs="宋体"/>
                <w:color w:val="auto"/>
                <w:sz w:val="24"/>
                <w:szCs w:val="24"/>
                <w:highlight w:val="none"/>
              </w:rPr>
            </w:pPr>
          </w:p>
        </w:tc>
        <w:tc>
          <w:tcPr>
            <w:tcW w:w="2212" w:type="dxa"/>
            <w:noWrap w:val="0"/>
            <w:vAlign w:val="center"/>
          </w:tcPr>
          <w:p w14:paraId="584C8D48">
            <w:pPr>
              <w:tabs>
                <w:tab w:val="left" w:pos="6300"/>
              </w:tabs>
              <w:snapToGrid w:val="0"/>
              <w:jc w:val="center"/>
              <w:outlineLvl w:val="0"/>
              <w:rPr>
                <w:rFonts w:hint="eastAsia" w:ascii="宋体" w:hAnsi="宋体" w:eastAsia="宋体" w:cs="宋体"/>
                <w:color w:val="auto"/>
                <w:sz w:val="24"/>
                <w:szCs w:val="24"/>
                <w:highlight w:val="none"/>
              </w:rPr>
            </w:pPr>
          </w:p>
        </w:tc>
      </w:tr>
      <w:tr w14:paraId="22D6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F28B5BB">
            <w:pPr>
              <w:tabs>
                <w:tab w:val="left" w:pos="6300"/>
              </w:tabs>
              <w:snapToGrid w:val="0"/>
              <w:jc w:val="center"/>
              <w:outlineLvl w:val="0"/>
              <w:rPr>
                <w:rFonts w:hint="eastAsia" w:ascii="宋体" w:hAnsi="宋体" w:eastAsia="宋体" w:cs="宋体"/>
                <w:color w:val="auto"/>
                <w:sz w:val="24"/>
                <w:szCs w:val="24"/>
                <w:highlight w:val="none"/>
              </w:rPr>
            </w:pPr>
          </w:p>
        </w:tc>
        <w:tc>
          <w:tcPr>
            <w:tcW w:w="2844" w:type="dxa"/>
            <w:noWrap w:val="0"/>
            <w:vAlign w:val="center"/>
          </w:tcPr>
          <w:p w14:paraId="031A243F">
            <w:pPr>
              <w:tabs>
                <w:tab w:val="left" w:pos="6300"/>
              </w:tabs>
              <w:snapToGrid w:val="0"/>
              <w:jc w:val="center"/>
              <w:outlineLvl w:val="0"/>
              <w:rPr>
                <w:rFonts w:hint="eastAsia" w:ascii="宋体" w:hAnsi="宋体" w:eastAsia="宋体" w:cs="宋体"/>
                <w:color w:val="auto"/>
                <w:sz w:val="24"/>
                <w:szCs w:val="24"/>
                <w:highlight w:val="none"/>
              </w:rPr>
            </w:pPr>
          </w:p>
        </w:tc>
        <w:tc>
          <w:tcPr>
            <w:tcW w:w="2952" w:type="dxa"/>
            <w:noWrap w:val="0"/>
            <w:vAlign w:val="center"/>
          </w:tcPr>
          <w:p w14:paraId="2854B78F">
            <w:pPr>
              <w:tabs>
                <w:tab w:val="left" w:pos="6300"/>
              </w:tabs>
              <w:snapToGrid w:val="0"/>
              <w:jc w:val="center"/>
              <w:outlineLvl w:val="0"/>
              <w:rPr>
                <w:rFonts w:hint="eastAsia" w:ascii="宋体" w:hAnsi="宋体" w:eastAsia="宋体" w:cs="宋体"/>
                <w:color w:val="auto"/>
                <w:sz w:val="24"/>
                <w:szCs w:val="24"/>
                <w:highlight w:val="none"/>
              </w:rPr>
            </w:pPr>
          </w:p>
        </w:tc>
        <w:tc>
          <w:tcPr>
            <w:tcW w:w="2212" w:type="dxa"/>
            <w:noWrap w:val="0"/>
            <w:vAlign w:val="center"/>
          </w:tcPr>
          <w:p w14:paraId="3A4765D1">
            <w:pPr>
              <w:tabs>
                <w:tab w:val="left" w:pos="6300"/>
              </w:tabs>
              <w:snapToGrid w:val="0"/>
              <w:jc w:val="center"/>
              <w:outlineLvl w:val="0"/>
              <w:rPr>
                <w:rFonts w:hint="eastAsia" w:ascii="宋体" w:hAnsi="宋体" w:eastAsia="宋体" w:cs="宋体"/>
                <w:color w:val="auto"/>
                <w:sz w:val="24"/>
                <w:szCs w:val="24"/>
                <w:highlight w:val="none"/>
              </w:rPr>
            </w:pPr>
          </w:p>
        </w:tc>
      </w:tr>
      <w:tr w14:paraId="5B4A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EF75287">
            <w:pPr>
              <w:tabs>
                <w:tab w:val="left" w:pos="6300"/>
              </w:tabs>
              <w:snapToGrid w:val="0"/>
              <w:jc w:val="center"/>
              <w:outlineLvl w:val="0"/>
              <w:rPr>
                <w:rFonts w:hint="eastAsia" w:ascii="宋体" w:hAnsi="宋体" w:eastAsia="宋体" w:cs="宋体"/>
                <w:color w:val="auto"/>
                <w:sz w:val="24"/>
                <w:szCs w:val="24"/>
                <w:highlight w:val="none"/>
              </w:rPr>
            </w:pPr>
          </w:p>
        </w:tc>
        <w:tc>
          <w:tcPr>
            <w:tcW w:w="2844" w:type="dxa"/>
            <w:noWrap w:val="0"/>
            <w:vAlign w:val="center"/>
          </w:tcPr>
          <w:p w14:paraId="266626F0">
            <w:pPr>
              <w:tabs>
                <w:tab w:val="left" w:pos="6300"/>
              </w:tabs>
              <w:snapToGrid w:val="0"/>
              <w:jc w:val="center"/>
              <w:outlineLvl w:val="0"/>
              <w:rPr>
                <w:rFonts w:hint="eastAsia" w:ascii="宋体" w:hAnsi="宋体" w:eastAsia="宋体" w:cs="宋体"/>
                <w:color w:val="auto"/>
                <w:sz w:val="24"/>
                <w:szCs w:val="24"/>
                <w:highlight w:val="none"/>
              </w:rPr>
            </w:pPr>
          </w:p>
        </w:tc>
        <w:tc>
          <w:tcPr>
            <w:tcW w:w="2952" w:type="dxa"/>
            <w:noWrap w:val="0"/>
            <w:vAlign w:val="center"/>
          </w:tcPr>
          <w:p w14:paraId="707E1DBB">
            <w:pPr>
              <w:tabs>
                <w:tab w:val="left" w:pos="6300"/>
              </w:tabs>
              <w:snapToGrid w:val="0"/>
              <w:jc w:val="center"/>
              <w:outlineLvl w:val="0"/>
              <w:rPr>
                <w:rFonts w:hint="eastAsia" w:ascii="宋体" w:hAnsi="宋体" w:eastAsia="宋体" w:cs="宋体"/>
                <w:color w:val="auto"/>
                <w:sz w:val="24"/>
                <w:szCs w:val="24"/>
                <w:highlight w:val="none"/>
              </w:rPr>
            </w:pPr>
          </w:p>
        </w:tc>
        <w:tc>
          <w:tcPr>
            <w:tcW w:w="2212" w:type="dxa"/>
            <w:noWrap w:val="0"/>
            <w:vAlign w:val="center"/>
          </w:tcPr>
          <w:p w14:paraId="346DC088">
            <w:pPr>
              <w:tabs>
                <w:tab w:val="left" w:pos="6300"/>
              </w:tabs>
              <w:snapToGrid w:val="0"/>
              <w:jc w:val="center"/>
              <w:outlineLvl w:val="0"/>
              <w:rPr>
                <w:rFonts w:hint="eastAsia" w:ascii="宋体" w:hAnsi="宋体" w:eastAsia="宋体" w:cs="宋体"/>
                <w:color w:val="auto"/>
                <w:sz w:val="24"/>
                <w:szCs w:val="24"/>
                <w:highlight w:val="none"/>
              </w:rPr>
            </w:pPr>
          </w:p>
        </w:tc>
      </w:tr>
    </w:tbl>
    <w:p w14:paraId="597B1C48">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法定代表人（或其授权代表）或自然人：</w:t>
      </w:r>
    </w:p>
    <w:p w14:paraId="7D5D74C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8D2DB44">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（签署或盖章）</w:t>
      </w:r>
    </w:p>
    <w:p w14:paraId="222181F3">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7D742F7">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5AC883">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谈判项目技术（质量）需求”中所列条款进行比较和响应；</w:t>
      </w:r>
    </w:p>
    <w:p w14:paraId="29740B6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52A9EF3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（二）其他资料（格式自定）</w:t>
      </w:r>
    </w:p>
    <w:p w14:paraId="2D8F38B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4F8B1420">
      <w:pPr>
        <w:pStyle w:val="4"/>
        <w:adjustRightInd w:val="0"/>
        <w:snapToGrid w:val="0"/>
        <w:spacing w:before="0"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br w:type="page"/>
      </w:r>
      <w:bookmarkStart w:id="1705" w:name="_Toc32339"/>
      <w:bookmarkStart w:id="1706" w:name="_Toc65660381"/>
      <w:bookmarkStart w:id="1707" w:name="_Toc32158"/>
      <w:bookmarkStart w:id="1708" w:name="_Toc8390"/>
      <w:bookmarkStart w:id="1709" w:name="_Toc313888362"/>
      <w:bookmarkStart w:id="1710" w:name="_Toc342913421"/>
      <w:bookmarkStart w:id="1711" w:name="_Toc313008358"/>
      <w:r>
        <w:rPr>
          <w:rFonts w:hint="eastAsia" w:ascii="宋体" w:hAnsi="宋体" w:eastAsia="宋体" w:cs="宋体"/>
          <w:color w:val="auto"/>
          <w:sz w:val="24"/>
          <w:szCs w:val="24"/>
          <w:highlight w:val="none"/>
        </w:rPr>
        <w:t>三、服务部分</w:t>
      </w:r>
      <w:bookmarkEnd w:id="1705"/>
      <w:bookmarkEnd w:id="1706"/>
      <w:bookmarkEnd w:id="1707"/>
      <w:bookmarkEnd w:id="1708"/>
    </w:p>
    <w:p w14:paraId="7E2A20E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70BB75D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0962832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B6C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1ED18FD8">
            <w:pPr>
              <w:tabs>
                <w:tab w:val="left" w:pos="6300"/>
              </w:tabs>
              <w:snapToGrid w:val="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184" w:type="dxa"/>
            <w:noWrap w:val="0"/>
            <w:vAlign w:val="center"/>
          </w:tcPr>
          <w:p w14:paraId="0A26886F">
            <w:pPr>
              <w:tabs>
                <w:tab w:val="left" w:pos="6300"/>
              </w:tabs>
              <w:snapToGrid w:val="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w:t>
            </w:r>
          </w:p>
        </w:tc>
        <w:tc>
          <w:tcPr>
            <w:tcW w:w="2438" w:type="dxa"/>
            <w:noWrap w:val="0"/>
            <w:vAlign w:val="center"/>
          </w:tcPr>
          <w:p w14:paraId="5F01FF9F">
            <w:pPr>
              <w:tabs>
                <w:tab w:val="left" w:pos="6300"/>
              </w:tabs>
              <w:snapToGrid w:val="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响应情况</w:t>
            </w:r>
          </w:p>
        </w:tc>
        <w:tc>
          <w:tcPr>
            <w:tcW w:w="2359" w:type="dxa"/>
            <w:noWrap w:val="0"/>
            <w:vAlign w:val="center"/>
          </w:tcPr>
          <w:p w14:paraId="766EC0FF">
            <w:pPr>
              <w:tabs>
                <w:tab w:val="left" w:pos="6300"/>
              </w:tabs>
              <w:snapToGrid w:val="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差异说明</w:t>
            </w:r>
          </w:p>
        </w:tc>
      </w:tr>
      <w:tr w14:paraId="50D7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5249C37">
            <w:pPr>
              <w:tabs>
                <w:tab w:val="left" w:pos="6300"/>
              </w:tabs>
              <w:snapToGrid w:val="0"/>
              <w:jc w:val="center"/>
              <w:outlineLvl w:val="0"/>
              <w:rPr>
                <w:rFonts w:hint="eastAsia" w:ascii="宋体" w:hAnsi="宋体" w:eastAsia="宋体" w:cs="宋体"/>
                <w:color w:val="auto"/>
                <w:sz w:val="24"/>
                <w:szCs w:val="24"/>
                <w:highlight w:val="none"/>
              </w:rPr>
            </w:pPr>
          </w:p>
        </w:tc>
        <w:tc>
          <w:tcPr>
            <w:tcW w:w="3184" w:type="dxa"/>
            <w:noWrap w:val="0"/>
            <w:vAlign w:val="center"/>
          </w:tcPr>
          <w:p w14:paraId="2E7C17B9">
            <w:pPr>
              <w:tabs>
                <w:tab w:val="left" w:pos="6300"/>
              </w:tabs>
              <w:snapToGrid w:val="0"/>
              <w:jc w:val="center"/>
              <w:outlineLvl w:val="0"/>
              <w:rPr>
                <w:rFonts w:hint="eastAsia" w:ascii="宋体" w:hAnsi="宋体" w:eastAsia="宋体" w:cs="宋体"/>
                <w:color w:val="auto"/>
                <w:sz w:val="24"/>
                <w:szCs w:val="24"/>
                <w:highlight w:val="none"/>
              </w:rPr>
            </w:pPr>
          </w:p>
        </w:tc>
        <w:tc>
          <w:tcPr>
            <w:tcW w:w="2438" w:type="dxa"/>
            <w:noWrap w:val="0"/>
            <w:vAlign w:val="center"/>
          </w:tcPr>
          <w:p w14:paraId="25345580">
            <w:pPr>
              <w:tabs>
                <w:tab w:val="left" w:pos="6300"/>
              </w:tabs>
              <w:snapToGrid w:val="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提醒：请注明具体内容以及响应文件中具体内容的位置（页码）</w:t>
            </w:r>
          </w:p>
        </w:tc>
        <w:tc>
          <w:tcPr>
            <w:tcW w:w="2359" w:type="dxa"/>
            <w:noWrap w:val="0"/>
            <w:vAlign w:val="center"/>
          </w:tcPr>
          <w:p w14:paraId="2FE41A8F">
            <w:pPr>
              <w:tabs>
                <w:tab w:val="left" w:pos="6300"/>
              </w:tabs>
              <w:snapToGrid w:val="0"/>
              <w:jc w:val="center"/>
              <w:outlineLvl w:val="0"/>
              <w:rPr>
                <w:rFonts w:hint="eastAsia" w:ascii="宋体" w:hAnsi="宋体" w:eastAsia="宋体" w:cs="宋体"/>
                <w:color w:val="auto"/>
                <w:sz w:val="24"/>
                <w:szCs w:val="24"/>
                <w:highlight w:val="none"/>
              </w:rPr>
            </w:pPr>
          </w:p>
        </w:tc>
      </w:tr>
      <w:tr w14:paraId="1556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C3566C0">
            <w:pPr>
              <w:tabs>
                <w:tab w:val="left" w:pos="6300"/>
              </w:tabs>
              <w:snapToGrid w:val="0"/>
              <w:jc w:val="center"/>
              <w:outlineLvl w:val="0"/>
              <w:rPr>
                <w:rFonts w:hint="eastAsia" w:ascii="宋体" w:hAnsi="宋体" w:eastAsia="宋体" w:cs="宋体"/>
                <w:color w:val="auto"/>
                <w:sz w:val="24"/>
                <w:szCs w:val="24"/>
                <w:highlight w:val="none"/>
              </w:rPr>
            </w:pPr>
          </w:p>
        </w:tc>
        <w:tc>
          <w:tcPr>
            <w:tcW w:w="3184" w:type="dxa"/>
            <w:noWrap w:val="0"/>
            <w:vAlign w:val="center"/>
          </w:tcPr>
          <w:p w14:paraId="484B3419">
            <w:pPr>
              <w:tabs>
                <w:tab w:val="left" w:pos="6300"/>
              </w:tabs>
              <w:snapToGrid w:val="0"/>
              <w:jc w:val="center"/>
              <w:outlineLvl w:val="0"/>
              <w:rPr>
                <w:rFonts w:hint="eastAsia" w:ascii="宋体" w:hAnsi="宋体" w:eastAsia="宋体" w:cs="宋体"/>
                <w:color w:val="auto"/>
                <w:sz w:val="24"/>
                <w:szCs w:val="24"/>
                <w:highlight w:val="none"/>
              </w:rPr>
            </w:pPr>
          </w:p>
        </w:tc>
        <w:tc>
          <w:tcPr>
            <w:tcW w:w="2438" w:type="dxa"/>
            <w:noWrap w:val="0"/>
            <w:vAlign w:val="center"/>
          </w:tcPr>
          <w:p w14:paraId="20E0A9DD">
            <w:pPr>
              <w:tabs>
                <w:tab w:val="left" w:pos="6300"/>
              </w:tabs>
              <w:snapToGrid w:val="0"/>
              <w:jc w:val="center"/>
              <w:outlineLvl w:val="0"/>
              <w:rPr>
                <w:rFonts w:hint="eastAsia" w:ascii="宋体" w:hAnsi="宋体" w:eastAsia="宋体" w:cs="宋体"/>
                <w:color w:val="auto"/>
                <w:sz w:val="24"/>
                <w:szCs w:val="24"/>
                <w:highlight w:val="none"/>
              </w:rPr>
            </w:pPr>
          </w:p>
        </w:tc>
        <w:tc>
          <w:tcPr>
            <w:tcW w:w="2359" w:type="dxa"/>
            <w:noWrap w:val="0"/>
            <w:vAlign w:val="center"/>
          </w:tcPr>
          <w:p w14:paraId="06E2656F">
            <w:pPr>
              <w:tabs>
                <w:tab w:val="left" w:pos="6300"/>
              </w:tabs>
              <w:snapToGrid w:val="0"/>
              <w:jc w:val="center"/>
              <w:outlineLvl w:val="0"/>
              <w:rPr>
                <w:rFonts w:hint="eastAsia" w:ascii="宋体" w:hAnsi="宋体" w:eastAsia="宋体" w:cs="宋体"/>
                <w:color w:val="auto"/>
                <w:sz w:val="24"/>
                <w:szCs w:val="24"/>
                <w:highlight w:val="none"/>
              </w:rPr>
            </w:pPr>
          </w:p>
        </w:tc>
      </w:tr>
      <w:tr w14:paraId="225D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BC2D85A">
            <w:pPr>
              <w:tabs>
                <w:tab w:val="left" w:pos="6300"/>
              </w:tabs>
              <w:snapToGrid w:val="0"/>
              <w:jc w:val="center"/>
              <w:outlineLvl w:val="0"/>
              <w:rPr>
                <w:rFonts w:hint="eastAsia" w:ascii="宋体" w:hAnsi="宋体" w:eastAsia="宋体" w:cs="宋体"/>
                <w:color w:val="auto"/>
                <w:sz w:val="24"/>
                <w:szCs w:val="24"/>
                <w:highlight w:val="none"/>
              </w:rPr>
            </w:pPr>
          </w:p>
        </w:tc>
        <w:tc>
          <w:tcPr>
            <w:tcW w:w="3184" w:type="dxa"/>
            <w:noWrap w:val="0"/>
            <w:vAlign w:val="center"/>
          </w:tcPr>
          <w:p w14:paraId="445F7773">
            <w:pPr>
              <w:tabs>
                <w:tab w:val="left" w:pos="6300"/>
              </w:tabs>
              <w:snapToGrid w:val="0"/>
              <w:jc w:val="center"/>
              <w:outlineLvl w:val="0"/>
              <w:rPr>
                <w:rFonts w:hint="eastAsia" w:ascii="宋体" w:hAnsi="宋体" w:eastAsia="宋体" w:cs="宋体"/>
                <w:color w:val="auto"/>
                <w:sz w:val="24"/>
                <w:szCs w:val="24"/>
                <w:highlight w:val="none"/>
              </w:rPr>
            </w:pPr>
          </w:p>
        </w:tc>
        <w:tc>
          <w:tcPr>
            <w:tcW w:w="2438" w:type="dxa"/>
            <w:noWrap w:val="0"/>
            <w:vAlign w:val="center"/>
          </w:tcPr>
          <w:p w14:paraId="7CCB7A66">
            <w:pPr>
              <w:tabs>
                <w:tab w:val="left" w:pos="6300"/>
              </w:tabs>
              <w:snapToGrid w:val="0"/>
              <w:jc w:val="center"/>
              <w:outlineLvl w:val="0"/>
              <w:rPr>
                <w:rFonts w:hint="eastAsia" w:ascii="宋体" w:hAnsi="宋体" w:eastAsia="宋体" w:cs="宋体"/>
                <w:color w:val="auto"/>
                <w:sz w:val="24"/>
                <w:szCs w:val="24"/>
                <w:highlight w:val="none"/>
              </w:rPr>
            </w:pPr>
          </w:p>
        </w:tc>
        <w:tc>
          <w:tcPr>
            <w:tcW w:w="2359" w:type="dxa"/>
            <w:noWrap w:val="0"/>
            <w:vAlign w:val="center"/>
          </w:tcPr>
          <w:p w14:paraId="63B5928A">
            <w:pPr>
              <w:tabs>
                <w:tab w:val="left" w:pos="6300"/>
              </w:tabs>
              <w:snapToGrid w:val="0"/>
              <w:jc w:val="center"/>
              <w:outlineLvl w:val="0"/>
              <w:rPr>
                <w:rFonts w:hint="eastAsia" w:ascii="宋体" w:hAnsi="宋体" w:eastAsia="宋体" w:cs="宋体"/>
                <w:color w:val="auto"/>
                <w:sz w:val="24"/>
                <w:szCs w:val="24"/>
                <w:highlight w:val="none"/>
              </w:rPr>
            </w:pPr>
          </w:p>
        </w:tc>
      </w:tr>
      <w:tr w14:paraId="55BC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B4243EB">
            <w:pPr>
              <w:tabs>
                <w:tab w:val="left" w:pos="6300"/>
              </w:tabs>
              <w:snapToGrid w:val="0"/>
              <w:jc w:val="center"/>
              <w:outlineLvl w:val="0"/>
              <w:rPr>
                <w:rFonts w:hint="eastAsia" w:ascii="宋体" w:hAnsi="宋体" w:eastAsia="宋体" w:cs="宋体"/>
                <w:color w:val="auto"/>
                <w:sz w:val="24"/>
                <w:szCs w:val="24"/>
                <w:highlight w:val="none"/>
              </w:rPr>
            </w:pPr>
          </w:p>
        </w:tc>
        <w:tc>
          <w:tcPr>
            <w:tcW w:w="3184" w:type="dxa"/>
            <w:noWrap w:val="0"/>
            <w:vAlign w:val="center"/>
          </w:tcPr>
          <w:p w14:paraId="44648700">
            <w:pPr>
              <w:tabs>
                <w:tab w:val="left" w:pos="6300"/>
              </w:tabs>
              <w:snapToGrid w:val="0"/>
              <w:jc w:val="center"/>
              <w:outlineLvl w:val="0"/>
              <w:rPr>
                <w:rFonts w:hint="eastAsia" w:ascii="宋体" w:hAnsi="宋体" w:eastAsia="宋体" w:cs="宋体"/>
                <w:color w:val="auto"/>
                <w:sz w:val="24"/>
                <w:szCs w:val="24"/>
                <w:highlight w:val="none"/>
              </w:rPr>
            </w:pPr>
          </w:p>
        </w:tc>
        <w:tc>
          <w:tcPr>
            <w:tcW w:w="2438" w:type="dxa"/>
            <w:noWrap w:val="0"/>
            <w:vAlign w:val="center"/>
          </w:tcPr>
          <w:p w14:paraId="4971FC3E">
            <w:pPr>
              <w:tabs>
                <w:tab w:val="left" w:pos="6300"/>
              </w:tabs>
              <w:snapToGrid w:val="0"/>
              <w:jc w:val="center"/>
              <w:outlineLvl w:val="0"/>
              <w:rPr>
                <w:rFonts w:hint="eastAsia" w:ascii="宋体" w:hAnsi="宋体" w:eastAsia="宋体" w:cs="宋体"/>
                <w:color w:val="auto"/>
                <w:sz w:val="24"/>
                <w:szCs w:val="24"/>
                <w:highlight w:val="none"/>
              </w:rPr>
            </w:pPr>
          </w:p>
        </w:tc>
        <w:tc>
          <w:tcPr>
            <w:tcW w:w="2359" w:type="dxa"/>
            <w:noWrap w:val="0"/>
            <w:vAlign w:val="center"/>
          </w:tcPr>
          <w:p w14:paraId="7B901378">
            <w:pPr>
              <w:tabs>
                <w:tab w:val="left" w:pos="6300"/>
              </w:tabs>
              <w:snapToGrid w:val="0"/>
              <w:jc w:val="center"/>
              <w:outlineLvl w:val="0"/>
              <w:rPr>
                <w:rFonts w:hint="eastAsia" w:ascii="宋体" w:hAnsi="宋体" w:eastAsia="宋体" w:cs="宋体"/>
                <w:color w:val="auto"/>
                <w:sz w:val="24"/>
                <w:szCs w:val="24"/>
                <w:highlight w:val="none"/>
              </w:rPr>
            </w:pPr>
          </w:p>
        </w:tc>
      </w:tr>
      <w:tr w14:paraId="53F8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06B3F0A">
            <w:pPr>
              <w:tabs>
                <w:tab w:val="left" w:pos="6300"/>
              </w:tabs>
              <w:snapToGrid w:val="0"/>
              <w:jc w:val="center"/>
              <w:outlineLvl w:val="0"/>
              <w:rPr>
                <w:rFonts w:hint="eastAsia" w:ascii="宋体" w:hAnsi="宋体" w:eastAsia="宋体" w:cs="宋体"/>
                <w:color w:val="auto"/>
                <w:sz w:val="24"/>
                <w:szCs w:val="24"/>
                <w:highlight w:val="none"/>
              </w:rPr>
            </w:pPr>
          </w:p>
        </w:tc>
        <w:tc>
          <w:tcPr>
            <w:tcW w:w="3184" w:type="dxa"/>
            <w:noWrap w:val="0"/>
            <w:vAlign w:val="center"/>
          </w:tcPr>
          <w:p w14:paraId="103692B1">
            <w:pPr>
              <w:tabs>
                <w:tab w:val="left" w:pos="6300"/>
              </w:tabs>
              <w:snapToGrid w:val="0"/>
              <w:jc w:val="center"/>
              <w:outlineLvl w:val="0"/>
              <w:rPr>
                <w:rFonts w:hint="eastAsia" w:ascii="宋体" w:hAnsi="宋体" w:eastAsia="宋体" w:cs="宋体"/>
                <w:color w:val="auto"/>
                <w:sz w:val="24"/>
                <w:szCs w:val="24"/>
                <w:highlight w:val="none"/>
              </w:rPr>
            </w:pPr>
          </w:p>
        </w:tc>
        <w:tc>
          <w:tcPr>
            <w:tcW w:w="2438" w:type="dxa"/>
            <w:noWrap w:val="0"/>
            <w:vAlign w:val="center"/>
          </w:tcPr>
          <w:p w14:paraId="19E31277">
            <w:pPr>
              <w:tabs>
                <w:tab w:val="left" w:pos="6300"/>
              </w:tabs>
              <w:snapToGrid w:val="0"/>
              <w:jc w:val="center"/>
              <w:outlineLvl w:val="0"/>
              <w:rPr>
                <w:rFonts w:hint="eastAsia" w:ascii="宋体" w:hAnsi="宋体" w:eastAsia="宋体" w:cs="宋体"/>
                <w:color w:val="auto"/>
                <w:sz w:val="24"/>
                <w:szCs w:val="24"/>
                <w:highlight w:val="none"/>
              </w:rPr>
            </w:pPr>
          </w:p>
        </w:tc>
        <w:tc>
          <w:tcPr>
            <w:tcW w:w="2359" w:type="dxa"/>
            <w:noWrap w:val="0"/>
            <w:vAlign w:val="center"/>
          </w:tcPr>
          <w:p w14:paraId="0B959CBB">
            <w:pPr>
              <w:tabs>
                <w:tab w:val="left" w:pos="6300"/>
              </w:tabs>
              <w:snapToGrid w:val="0"/>
              <w:jc w:val="center"/>
              <w:outlineLvl w:val="0"/>
              <w:rPr>
                <w:rFonts w:hint="eastAsia" w:ascii="宋体" w:hAnsi="宋体" w:eastAsia="宋体" w:cs="宋体"/>
                <w:color w:val="auto"/>
                <w:sz w:val="24"/>
                <w:szCs w:val="24"/>
                <w:highlight w:val="none"/>
              </w:rPr>
            </w:pPr>
          </w:p>
        </w:tc>
      </w:tr>
      <w:tr w14:paraId="42AC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405C64C">
            <w:pPr>
              <w:tabs>
                <w:tab w:val="left" w:pos="6300"/>
              </w:tabs>
              <w:snapToGrid w:val="0"/>
              <w:jc w:val="center"/>
              <w:outlineLvl w:val="0"/>
              <w:rPr>
                <w:rFonts w:hint="eastAsia" w:ascii="宋体" w:hAnsi="宋体" w:eastAsia="宋体" w:cs="宋体"/>
                <w:color w:val="auto"/>
                <w:sz w:val="24"/>
                <w:szCs w:val="24"/>
                <w:highlight w:val="none"/>
              </w:rPr>
            </w:pPr>
          </w:p>
        </w:tc>
        <w:tc>
          <w:tcPr>
            <w:tcW w:w="3184" w:type="dxa"/>
            <w:noWrap w:val="0"/>
            <w:vAlign w:val="center"/>
          </w:tcPr>
          <w:p w14:paraId="498F13AA">
            <w:pPr>
              <w:tabs>
                <w:tab w:val="left" w:pos="6300"/>
              </w:tabs>
              <w:snapToGrid w:val="0"/>
              <w:jc w:val="center"/>
              <w:outlineLvl w:val="0"/>
              <w:rPr>
                <w:rFonts w:hint="eastAsia" w:ascii="宋体" w:hAnsi="宋体" w:eastAsia="宋体" w:cs="宋体"/>
                <w:color w:val="auto"/>
                <w:sz w:val="24"/>
                <w:szCs w:val="24"/>
                <w:highlight w:val="none"/>
              </w:rPr>
            </w:pPr>
          </w:p>
        </w:tc>
        <w:tc>
          <w:tcPr>
            <w:tcW w:w="2438" w:type="dxa"/>
            <w:noWrap w:val="0"/>
            <w:vAlign w:val="center"/>
          </w:tcPr>
          <w:p w14:paraId="525909B8">
            <w:pPr>
              <w:tabs>
                <w:tab w:val="left" w:pos="6300"/>
              </w:tabs>
              <w:snapToGrid w:val="0"/>
              <w:jc w:val="center"/>
              <w:outlineLvl w:val="0"/>
              <w:rPr>
                <w:rFonts w:hint="eastAsia" w:ascii="宋体" w:hAnsi="宋体" w:eastAsia="宋体" w:cs="宋体"/>
                <w:color w:val="auto"/>
                <w:sz w:val="24"/>
                <w:szCs w:val="24"/>
                <w:highlight w:val="none"/>
              </w:rPr>
            </w:pPr>
          </w:p>
        </w:tc>
        <w:tc>
          <w:tcPr>
            <w:tcW w:w="2359" w:type="dxa"/>
            <w:noWrap w:val="0"/>
            <w:vAlign w:val="center"/>
          </w:tcPr>
          <w:p w14:paraId="36B0F398">
            <w:pPr>
              <w:tabs>
                <w:tab w:val="left" w:pos="6300"/>
              </w:tabs>
              <w:snapToGrid w:val="0"/>
              <w:jc w:val="center"/>
              <w:outlineLvl w:val="0"/>
              <w:rPr>
                <w:rFonts w:hint="eastAsia" w:ascii="宋体" w:hAnsi="宋体" w:eastAsia="宋体" w:cs="宋体"/>
                <w:color w:val="auto"/>
                <w:sz w:val="24"/>
                <w:szCs w:val="24"/>
                <w:highlight w:val="none"/>
              </w:rPr>
            </w:pPr>
          </w:p>
        </w:tc>
      </w:tr>
    </w:tbl>
    <w:p w14:paraId="6572E792">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法定代表人（或其授权代表）或自然人：</w:t>
      </w:r>
    </w:p>
    <w:p w14:paraId="579B837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441DA7E">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（签署或盖章）</w:t>
      </w:r>
    </w:p>
    <w:p w14:paraId="7F3BD026">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074CD1E">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07032DB">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谈判项目服务需求”中所列条款进行比较和响应；</w:t>
      </w:r>
    </w:p>
    <w:p w14:paraId="3CEB3BEF">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5D0DDB22">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p>
    <w:p w14:paraId="51D36311">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（二）其它优惠服务承诺（格式自定）</w:t>
      </w:r>
    </w:p>
    <w:p w14:paraId="2874333D">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p>
    <w:p w14:paraId="70936D1C">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712" w:name="_Toc65660382"/>
      <w:bookmarkStart w:id="1713" w:name="_Toc20162"/>
      <w:bookmarkStart w:id="1714" w:name="_Toc2082"/>
      <w:bookmarkStart w:id="1715" w:name="_Toc1111"/>
      <w:r>
        <w:rPr>
          <w:rFonts w:hint="eastAsia" w:ascii="宋体" w:hAnsi="宋体" w:eastAsia="宋体" w:cs="宋体"/>
          <w:color w:val="auto"/>
          <w:sz w:val="24"/>
          <w:szCs w:val="24"/>
          <w:highlight w:val="none"/>
        </w:rPr>
        <w:t>四、</w:t>
      </w:r>
      <w:bookmarkEnd w:id="1709"/>
      <w:bookmarkEnd w:id="1710"/>
      <w:bookmarkEnd w:id="1711"/>
      <w:r>
        <w:rPr>
          <w:rFonts w:hint="eastAsia" w:ascii="宋体" w:hAnsi="宋体" w:eastAsia="宋体" w:cs="宋体"/>
          <w:color w:val="auto"/>
          <w:sz w:val="24"/>
          <w:szCs w:val="24"/>
          <w:highlight w:val="none"/>
        </w:rPr>
        <w:t>资格条件及其他</w:t>
      </w:r>
      <w:bookmarkEnd w:id="1712"/>
      <w:bookmarkEnd w:id="1713"/>
      <w:bookmarkEnd w:id="1714"/>
      <w:bookmarkEnd w:id="1715"/>
      <w:bookmarkStart w:id="1716" w:name="_Toc313888363"/>
      <w:bookmarkStart w:id="1717" w:name="_Toc313008359"/>
      <w:bookmarkStart w:id="1718" w:name="_Toc342913422"/>
    </w:p>
    <w:p w14:paraId="294AA5C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0EC286C">
      <w:pPr>
        <w:tabs>
          <w:tab w:val="left" w:pos="6300"/>
        </w:tabs>
        <w:snapToGrid w:val="0"/>
        <w:spacing w:line="500" w:lineRule="exact"/>
        <w:ind w:firstLine="570"/>
        <w:rPr>
          <w:rFonts w:hint="eastAsia" w:ascii="宋体" w:hAnsi="宋体" w:eastAsia="宋体" w:cs="宋体"/>
          <w:color w:val="auto"/>
          <w:sz w:val="24"/>
          <w:szCs w:val="24"/>
          <w:highlight w:val="none"/>
        </w:rPr>
      </w:pPr>
    </w:p>
    <w:p w14:paraId="218D9210">
      <w:pPr>
        <w:tabs>
          <w:tab w:val="left" w:pos="6300"/>
        </w:tabs>
        <w:snapToGrid w:val="0"/>
        <w:spacing w:line="500" w:lineRule="exact"/>
        <w:ind w:firstLine="570"/>
        <w:rPr>
          <w:rFonts w:hint="eastAsia" w:ascii="宋体" w:hAnsi="宋体" w:eastAsia="宋体" w:cs="宋体"/>
          <w:color w:val="auto"/>
          <w:sz w:val="24"/>
          <w:szCs w:val="24"/>
          <w:highlight w:val="none"/>
        </w:rPr>
      </w:pPr>
    </w:p>
    <w:p w14:paraId="48C019B2">
      <w:pPr>
        <w:tabs>
          <w:tab w:val="left" w:pos="6300"/>
        </w:tabs>
        <w:snapToGrid w:val="0"/>
        <w:spacing w:line="500" w:lineRule="exact"/>
        <w:ind w:firstLine="570"/>
        <w:rPr>
          <w:rFonts w:hint="eastAsia" w:ascii="宋体" w:hAnsi="宋体" w:eastAsia="宋体" w:cs="宋体"/>
          <w:color w:val="auto"/>
          <w:sz w:val="24"/>
          <w:szCs w:val="24"/>
          <w:highlight w:val="none"/>
        </w:rPr>
      </w:pPr>
    </w:p>
    <w:p w14:paraId="0AA90E4A">
      <w:pPr>
        <w:tabs>
          <w:tab w:val="left" w:pos="6300"/>
        </w:tabs>
        <w:snapToGrid w:val="0"/>
        <w:spacing w:line="500" w:lineRule="exact"/>
        <w:ind w:firstLine="570"/>
        <w:rPr>
          <w:rFonts w:hint="eastAsia" w:ascii="宋体" w:hAnsi="宋体" w:eastAsia="宋体" w:cs="宋体"/>
          <w:color w:val="auto"/>
          <w:sz w:val="24"/>
          <w:szCs w:val="24"/>
          <w:highlight w:val="none"/>
        </w:rPr>
      </w:pPr>
    </w:p>
    <w:p w14:paraId="5E1387A0">
      <w:pPr>
        <w:tabs>
          <w:tab w:val="left" w:pos="6300"/>
        </w:tabs>
        <w:snapToGrid w:val="0"/>
        <w:spacing w:line="500" w:lineRule="exact"/>
        <w:ind w:firstLine="570"/>
        <w:rPr>
          <w:rFonts w:hint="eastAsia" w:ascii="宋体" w:hAnsi="宋体" w:eastAsia="宋体" w:cs="宋体"/>
          <w:color w:val="auto"/>
          <w:sz w:val="24"/>
          <w:szCs w:val="24"/>
          <w:highlight w:val="none"/>
        </w:rPr>
      </w:pPr>
    </w:p>
    <w:p w14:paraId="6C43D5F2">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（二）法定代表人身份证明书（格式）</w:t>
      </w:r>
    </w:p>
    <w:p w14:paraId="7A986B8C">
      <w:pPr>
        <w:tabs>
          <w:tab w:val="left" w:pos="6300"/>
        </w:tabs>
        <w:snapToGrid w:val="0"/>
        <w:spacing w:line="500" w:lineRule="exact"/>
        <w:ind w:firstLine="570"/>
        <w:rPr>
          <w:rFonts w:hint="eastAsia" w:ascii="宋体" w:hAnsi="宋体" w:eastAsia="宋体" w:cs="宋体"/>
          <w:color w:val="auto"/>
          <w:sz w:val="24"/>
          <w:szCs w:val="24"/>
          <w:highlight w:val="none"/>
        </w:rPr>
      </w:pPr>
    </w:p>
    <w:p w14:paraId="5CEA9FD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谈判项目名称：</w:t>
      </w:r>
      <w:r>
        <w:rPr>
          <w:rFonts w:hint="eastAsia" w:ascii="宋体" w:hAnsi="宋体" w:eastAsia="宋体" w:cs="宋体"/>
          <w:color w:val="auto"/>
          <w:sz w:val="24"/>
          <w:szCs w:val="24"/>
          <w:highlight w:val="none"/>
          <w:u w:val="single"/>
        </w:rPr>
        <w:t xml:space="preserve">                                                </w:t>
      </w:r>
    </w:p>
    <w:p w14:paraId="33D956A8">
      <w:pPr>
        <w:tabs>
          <w:tab w:val="left" w:pos="6300"/>
        </w:tabs>
        <w:snapToGrid w:val="0"/>
        <w:spacing w:line="500" w:lineRule="exact"/>
        <w:ind w:firstLine="570"/>
        <w:rPr>
          <w:rFonts w:hint="eastAsia" w:ascii="宋体" w:hAnsi="宋体" w:eastAsia="宋体" w:cs="宋体"/>
          <w:color w:val="auto"/>
          <w:sz w:val="24"/>
          <w:szCs w:val="24"/>
          <w:highlight w:val="none"/>
        </w:rPr>
      </w:pPr>
    </w:p>
    <w:p w14:paraId="471333A3">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4D1A834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2E2014E2">
      <w:pPr>
        <w:tabs>
          <w:tab w:val="left" w:pos="6300"/>
        </w:tabs>
        <w:snapToGrid w:val="0"/>
        <w:spacing w:line="500" w:lineRule="exact"/>
        <w:ind w:firstLine="570"/>
        <w:rPr>
          <w:rFonts w:hint="eastAsia" w:ascii="宋体" w:hAnsi="宋体" w:eastAsia="宋体" w:cs="宋体"/>
          <w:color w:val="auto"/>
          <w:sz w:val="24"/>
          <w:szCs w:val="24"/>
          <w:highlight w:val="none"/>
        </w:rPr>
      </w:pPr>
    </w:p>
    <w:p w14:paraId="2CD164C5">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9E898B">
      <w:pPr>
        <w:tabs>
          <w:tab w:val="left" w:pos="6300"/>
        </w:tabs>
        <w:snapToGrid w:val="0"/>
        <w:spacing w:line="500" w:lineRule="exact"/>
        <w:ind w:firstLine="570"/>
        <w:rPr>
          <w:rFonts w:hint="eastAsia" w:ascii="宋体" w:hAnsi="宋体" w:eastAsia="宋体" w:cs="宋体"/>
          <w:color w:val="auto"/>
          <w:sz w:val="24"/>
          <w:szCs w:val="24"/>
          <w:highlight w:val="none"/>
        </w:rPr>
      </w:pPr>
    </w:p>
    <w:p w14:paraId="033ECB6D">
      <w:pPr>
        <w:tabs>
          <w:tab w:val="left" w:pos="6300"/>
        </w:tabs>
        <w:snapToGrid w:val="0"/>
        <w:spacing w:line="500" w:lineRule="exact"/>
        <w:ind w:firstLine="570"/>
        <w:rPr>
          <w:rFonts w:hint="eastAsia" w:ascii="宋体" w:hAnsi="宋体" w:eastAsia="宋体" w:cs="宋体"/>
          <w:color w:val="auto"/>
          <w:sz w:val="24"/>
          <w:szCs w:val="24"/>
          <w:highlight w:val="none"/>
        </w:rPr>
      </w:pPr>
    </w:p>
    <w:p w14:paraId="36113F0C">
      <w:pPr>
        <w:tabs>
          <w:tab w:val="left" w:pos="6300"/>
        </w:tabs>
        <w:snapToGrid w:val="0"/>
        <w:spacing w:line="500" w:lineRule="exact"/>
        <w:ind w:firstLine="570"/>
        <w:rPr>
          <w:rFonts w:hint="eastAsia" w:ascii="宋体" w:hAnsi="宋体" w:eastAsia="宋体" w:cs="宋体"/>
          <w:color w:val="auto"/>
          <w:sz w:val="24"/>
          <w:szCs w:val="24"/>
          <w:highlight w:val="none"/>
        </w:rPr>
      </w:pPr>
    </w:p>
    <w:p w14:paraId="29E06287">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14:paraId="50AA8977">
      <w:pPr>
        <w:tabs>
          <w:tab w:val="left" w:pos="6300"/>
        </w:tabs>
        <w:snapToGrid w:val="0"/>
        <w:spacing w:line="500" w:lineRule="exact"/>
        <w:ind w:firstLine="570"/>
        <w:rPr>
          <w:rFonts w:hint="eastAsia" w:ascii="宋体" w:hAnsi="宋体" w:eastAsia="宋体" w:cs="宋体"/>
          <w:color w:val="auto"/>
          <w:sz w:val="24"/>
          <w:szCs w:val="24"/>
          <w:highlight w:val="none"/>
        </w:rPr>
      </w:pPr>
    </w:p>
    <w:p w14:paraId="241DD3CA">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E01A558">
      <w:pPr>
        <w:tabs>
          <w:tab w:val="left" w:pos="6300"/>
        </w:tabs>
        <w:snapToGrid w:val="0"/>
        <w:spacing w:line="500" w:lineRule="exact"/>
        <w:ind w:firstLine="570"/>
        <w:rPr>
          <w:rFonts w:hint="eastAsia" w:ascii="宋体" w:hAnsi="宋体" w:eastAsia="宋体" w:cs="宋体"/>
          <w:color w:val="auto"/>
          <w:sz w:val="24"/>
          <w:szCs w:val="24"/>
          <w:highlight w:val="none"/>
        </w:rPr>
      </w:pPr>
    </w:p>
    <w:p w14:paraId="6DA95AF2">
      <w:pPr>
        <w:tabs>
          <w:tab w:val="left" w:pos="6300"/>
        </w:tabs>
        <w:snapToGrid w:val="0"/>
        <w:spacing w:line="500" w:lineRule="exact"/>
        <w:ind w:firstLine="570"/>
        <w:rPr>
          <w:rFonts w:hint="eastAsia" w:ascii="宋体" w:hAnsi="宋体" w:eastAsia="宋体" w:cs="宋体"/>
          <w:color w:val="auto"/>
          <w:sz w:val="24"/>
          <w:szCs w:val="24"/>
          <w:highlight w:val="none"/>
        </w:rPr>
      </w:pPr>
    </w:p>
    <w:p w14:paraId="5E1A15F1">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法定代表人电话：XXXXXXX      电子邮箱：XXXXXX@XXXXX（若授权他人办理并签署响应文件的可不填写）</w:t>
      </w:r>
    </w:p>
    <w:p w14:paraId="28A24D3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4540CED1">
      <w:pPr>
        <w:tabs>
          <w:tab w:val="left" w:pos="6300"/>
        </w:tabs>
        <w:snapToGrid w:val="0"/>
        <w:spacing w:line="500" w:lineRule="exact"/>
        <w:ind w:firstLine="570"/>
        <w:rPr>
          <w:rFonts w:hint="eastAsia" w:ascii="宋体" w:hAnsi="宋体" w:eastAsia="宋体" w:cs="宋体"/>
          <w:color w:val="auto"/>
          <w:sz w:val="24"/>
          <w:szCs w:val="24"/>
          <w:highlight w:val="none"/>
        </w:rPr>
      </w:pPr>
    </w:p>
    <w:p w14:paraId="2F81E8B5">
      <w:pPr>
        <w:tabs>
          <w:tab w:val="left" w:pos="6300"/>
        </w:tabs>
        <w:snapToGrid w:val="0"/>
        <w:spacing w:line="500" w:lineRule="exact"/>
        <w:ind w:firstLine="570"/>
        <w:rPr>
          <w:rFonts w:hint="eastAsia" w:ascii="宋体" w:hAnsi="宋体" w:eastAsia="宋体" w:cs="宋体"/>
          <w:color w:val="auto"/>
          <w:sz w:val="24"/>
          <w:szCs w:val="24"/>
          <w:highlight w:val="none"/>
        </w:rPr>
      </w:pPr>
    </w:p>
    <w:p w14:paraId="31B3BABB">
      <w:pPr>
        <w:tabs>
          <w:tab w:val="left" w:pos="6300"/>
        </w:tabs>
        <w:snapToGrid w:val="0"/>
        <w:spacing w:line="500" w:lineRule="exact"/>
        <w:ind w:firstLine="570"/>
        <w:rPr>
          <w:rFonts w:hint="eastAsia" w:ascii="宋体" w:hAnsi="宋体" w:eastAsia="宋体" w:cs="宋体"/>
          <w:color w:val="auto"/>
          <w:sz w:val="24"/>
          <w:szCs w:val="24"/>
          <w:highlight w:val="none"/>
        </w:rPr>
      </w:pPr>
    </w:p>
    <w:p w14:paraId="53105CE9">
      <w:pPr>
        <w:tabs>
          <w:tab w:val="left" w:pos="6300"/>
        </w:tabs>
        <w:snapToGrid w:val="0"/>
        <w:spacing w:line="500" w:lineRule="exact"/>
        <w:ind w:firstLine="570"/>
        <w:rPr>
          <w:rFonts w:hint="eastAsia" w:ascii="宋体" w:hAnsi="宋体" w:eastAsia="宋体" w:cs="宋体"/>
          <w:color w:val="auto"/>
          <w:sz w:val="24"/>
          <w:szCs w:val="24"/>
          <w:highlight w:val="none"/>
        </w:rPr>
      </w:pPr>
    </w:p>
    <w:p w14:paraId="66EB8CF9">
      <w:pPr>
        <w:tabs>
          <w:tab w:val="left" w:pos="6300"/>
        </w:tabs>
        <w:snapToGrid w:val="0"/>
        <w:spacing w:line="500" w:lineRule="exact"/>
        <w:ind w:firstLine="570"/>
        <w:rPr>
          <w:rFonts w:hint="eastAsia" w:ascii="宋体" w:hAnsi="宋体" w:eastAsia="宋体" w:cs="宋体"/>
          <w:color w:val="auto"/>
          <w:sz w:val="24"/>
          <w:szCs w:val="24"/>
          <w:highlight w:val="none"/>
        </w:rPr>
      </w:pPr>
    </w:p>
    <w:p w14:paraId="37BA34FC">
      <w:pPr>
        <w:tabs>
          <w:tab w:val="left" w:pos="6300"/>
        </w:tabs>
        <w:snapToGrid w:val="0"/>
        <w:spacing w:line="500" w:lineRule="exact"/>
        <w:ind w:firstLine="570"/>
        <w:rPr>
          <w:rFonts w:hint="eastAsia" w:ascii="宋体" w:hAnsi="宋体" w:eastAsia="宋体" w:cs="宋体"/>
          <w:color w:val="auto"/>
          <w:sz w:val="24"/>
          <w:szCs w:val="24"/>
          <w:highlight w:val="none"/>
        </w:rPr>
      </w:pPr>
    </w:p>
    <w:p w14:paraId="20D2BD8B">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（三）法定代表人授权委托书（格式）</w:t>
      </w:r>
    </w:p>
    <w:p w14:paraId="2F9CB63D">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644DFA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谈判项目名称：</w:t>
      </w:r>
      <w:r>
        <w:rPr>
          <w:rFonts w:hint="eastAsia" w:ascii="宋体" w:hAnsi="宋体" w:eastAsia="宋体" w:cs="宋体"/>
          <w:color w:val="auto"/>
          <w:sz w:val="24"/>
          <w:szCs w:val="24"/>
          <w:highlight w:val="none"/>
          <w:u w:val="single"/>
        </w:rPr>
        <w:t xml:space="preserve">                                                </w:t>
      </w:r>
    </w:p>
    <w:p w14:paraId="6EB41B83">
      <w:pPr>
        <w:tabs>
          <w:tab w:val="left" w:pos="6300"/>
        </w:tabs>
        <w:snapToGrid w:val="0"/>
        <w:spacing w:line="500" w:lineRule="exact"/>
        <w:ind w:firstLine="570"/>
        <w:rPr>
          <w:rFonts w:hint="eastAsia" w:ascii="宋体" w:hAnsi="宋体" w:eastAsia="宋体" w:cs="宋体"/>
          <w:color w:val="auto"/>
          <w:sz w:val="24"/>
          <w:szCs w:val="24"/>
          <w:highlight w:val="none"/>
        </w:rPr>
      </w:pPr>
    </w:p>
    <w:p w14:paraId="7E4CFD45">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2B0C97D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（被授权人姓名及身份证代码）代表我单位全权办理上述项目的谈判、签约等具体工作，并签署全部有关文件、协议及合同。</w:t>
      </w:r>
    </w:p>
    <w:p w14:paraId="4CBC336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我单位对被授权人的签署负全部责任。</w:t>
      </w:r>
    </w:p>
    <w:p w14:paraId="24BEDC77">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42969092">
      <w:pPr>
        <w:tabs>
          <w:tab w:val="left" w:pos="6300"/>
        </w:tabs>
        <w:snapToGrid w:val="0"/>
        <w:spacing w:line="500" w:lineRule="exact"/>
        <w:ind w:firstLine="570"/>
        <w:rPr>
          <w:rFonts w:hint="eastAsia" w:ascii="宋体" w:hAnsi="宋体" w:eastAsia="宋体" w:cs="宋体"/>
          <w:color w:val="auto"/>
          <w:sz w:val="24"/>
          <w:szCs w:val="24"/>
          <w:highlight w:val="none"/>
        </w:rPr>
      </w:pPr>
    </w:p>
    <w:p w14:paraId="0DB137D9">
      <w:pPr>
        <w:tabs>
          <w:tab w:val="left" w:pos="6300"/>
        </w:tabs>
        <w:snapToGrid w:val="0"/>
        <w:spacing w:line="500" w:lineRule="exact"/>
        <w:ind w:firstLine="570"/>
        <w:rPr>
          <w:rFonts w:hint="eastAsia" w:ascii="宋体" w:hAnsi="宋体" w:eastAsia="宋体" w:cs="宋体"/>
          <w:color w:val="auto"/>
          <w:sz w:val="24"/>
          <w:szCs w:val="24"/>
          <w:highlight w:val="none"/>
        </w:rPr>
      </w:pPr>
    </w:p>
    <w:p w14:paraId="4222B59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14:paraId="33D07CF5">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（签署或盖章）                                （签署或盖章）</w:t>
      </w:r>
    </w:p>
    <w:p w14:paraId="2577B538">
      <w:pPr>
        <w:tabs>
          <w:tab w:val="left" w:pos="6300"/>
        </w:tabs>
        <w:snapToGrid w:val="0"/>
        <w:spacing w:line="500" w:lineRule="exact"/>
        <w:ind w:firstLine="570"/>
        <w:rPr>
          <w:rFonts w:hint="eastAsia" w:ascii="宋体" w:hAnsi="宋体" w:eastAsia="宋体" w:cs="宋体"/>
          <w:color w:val="auto"/>
          <w:sz w:val="24"/>
          <w:szCs w:val="24"/>
          <w:highlight w:val="none"/>
        </w:rPr>
      </w:pPr>
    </w:p>
    <w:p w14:paraId="6F64DA52">
      <w:pPr>
        <w:tabs>
          <w:tab w:val="left" w:pos="6300"/>
        </w:tabs>
        <w:snapToGrid w:val="0"/>
        <w:spacing w:line="500" w:lineRule="exact"/>
        <w:ind w:firstLine="570"/>
        <w:rPr>
          <w:rFonts w:hint="eastAsia" w:ascii="宋体" w:hAnsi="宋体" w:eastAsia="宋体" w:cs="宋体"/>
          <w:color w:val="auto"/>
          <w:sz w:val="24"/>
          <w:szCs w:val="24"/>
          <w:highlight w:val="none"/>
        </w:rPr>
      </w:pPr>
    </w:p>
    <w:p w14:paraId="13B40461">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6345C587">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F7C962">
      <w:pPr>
        <w:tabs>
          <w:tab w:val="left" w:pos="6300"/>
        </w:tabs>
        <w:snapToGrid w:val="0"/>
        <w:spacing w:line="500" w:lineRule="exact"/>
        <w:ind w:firstLine="570"/>
        <w:rPr>
          <w:rFonts w:hint="eastAsia" w:ascii="宋体" w:hAnsi="宋体" w:eastAsia="宋体" w:cs="宋体"/>
          <w:color w:val="auto"/>
          <w:sz w:val="24"/>
          <w:szCs w:val="24"/>
          <w:highlight w:val="none"/>
        </w:rPr>
      </w:pPr>
    </w:p>
    <w:p w14:paraId="1AC13C55">
      <w:pPr>
        <w:tabs>
          <w:tab w:val="left" w:pos="6300"/>
        </w:tabs>
        <w:snapToGrid w:val="0"/>
        <w:spacing w:line="500" w:lineRule="exact"/>
        <w:ind w:firstLine="570"/>
        <w:rPr>
          <w:rFonts w:hint="eastAsia" w:ascii="宋体" w:hAnsi="宋体" w:eastAsia="宋体" w:cs="宋体"/>
          <w:color w:val="auto"/>
          <w:sz w:val="24"/>
          <w:szCs w:val="24"/>
          <w:highlight w:val="none"/>
        </w:rPr>
      </w:pPr>
    </w:p>
    <w:p w14:paraId="34ADD8EF">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5BB37BFD">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7A6FDF31">
      <w:pPr>
        <w:tabs>
          <w:tab w:val="left" w:pos="6300"/>
        </w:tabs>
        <w:snapToGrid w:val="0"/>
        <w:spacing w:line="500" w:lineRule="exact"/>
        <w:ind w:right="480"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被授权人电话：XXXXXXX     电子邮箱：XXXXXX@XXXXX（若法定代表人办理并签署响应文件的可不填写）</w:t>
      </w:r>
    </w:p>
    <w:p w14:paraId="57FEAA9F">
      <w:pPr>
        <w:tabs>
          <w:tab w:val="left" w:pos="6300"/>
        </w:tabs>
        <w:snapToGrid w:val="0"/>
        <w:spacing w:line="500" w:lineRule="exact"/>
        <w:ind w:right="480"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5196632">
      <w:pPr>
        <w:tabs>
          <w:tab w:val="left" w:pos="6300"/>
        </w:tabs>
        <w:snapToGrid w:val="0"/>
        <w:spacing w:line="500" w:lineRule="exact"/>
        <w:ind w:right="480"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1.若为法定代表人办理并签署响应文件的，不提供此文件。</w:t>
      </w:r>
    </w:p>
    <w:p w14:paraId="2F9DE993">
      <w:pPr>
        <w:tabs>
          <w:tab w:val="left" w:pos="6300"/>
        </w:tabs>
        <w:snapToGrid w:val="0"/>
        <w:spacing w:line="4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szCs w:val="24"/>
          <w:highlight w:val="none"/>
        </w:rPr>
        <w:t>出具。</w:t>
      </w:r>
    </w:p>
    <w:p w14:paraId="119F9E05">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（四）基本资格条件承诺函（格式）</w:t>
      </w:r>
    </w:p>
    <w:p w14:paraId="0EFAAD74">
      <w:pPr>
        <w:tabs>
          <w:tab w:val="left" w:pos="6300"/>
        </w:tabs>
        <w:snapToGrid w:val="0"/>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基本资格条件承诺函</w:t>
      </w:r>
    </w:p>
    <w:p w14:paraId="54A1CB75">
      <w:pPr>
        <w:tabs>
          <w:tab w:val="left" w:pos="6300"/>
        </w:tabs>
        <w:snapToGrid w:val="0"/>
        <w:spacing w:line="530" w:lineRule="exact"/>
        <w:rPr>
          <w:rFonts w:hint="eastAsia" w:ascii="宋体" w:hAnsi="宋体" w:eastAsia="宋体" w:cs="宋体"/>
          <w:color w:val="auto"/>
          <w:sz w:val="24"/>
          <w:szCs w:val="24"/>
          <w:highlight w:val="none"/>
        </w:rPr>
      </w:pPr>
    </w:p>
    <w:p w14:paraId="14664EE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w:t>
      </w:r>
    </w:p>
    <w:p w14:paraId="1684B53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171CBAC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2AF6578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F9545E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75D7707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0AB7613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46EBCF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89FE0AD">
      <w:pPr>
        <w:tabs>
          <w:tab w:val="left" w:pos="6300"/>
        </w:tabs>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44D47FFA">
      <w:pPr>
        <w:widowControl/>
        <w:spacing w:line="400" w:lineRule="exact"/>
        <w:ind w:firstLine="7920" w:firstLineChars="3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AFE5B69">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（五）特定资格条件证书或证明文件</w:t>
      </w:r>
    </w:p>
    <w:p w14:paraId="4915D6DA">
      <w:pPr>
        <w:widowControl/>
        <w:spacing w:line="400" w:lineRule="exact"/>
        <w:ind w:firstLine="480" w:firstLineChars="200"/>
        <w:jc w:val="left"/>
        <w:rPr>
          <w:rFonts w:hint="eastAsia" w:ascii="宋体" w:hAnsi="宋体" w:eastAsia="宋体" w:cs="宋体"/>
          <w:color w:val="auto"/>
          <w:sz w:val="24"/>
          <w:szCs w:val="24"/>
          <w:highlight w:val="none"/>
        </w:rPr>
      </w:pPr>
    </w:p>
    <w:p w14:paraId="3199C97C">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719" w:name="_Toc2080"/>
      <w:bookmarkStart w:id="1720" w:name="_Toc65660383"/>
      <w:bookmarkStart w:id="1721" w:name="_Toc17010"/>
      <w:r>
        <w:rPr>
          <w:rFonts w:hint="eastAsia" w:ascii="宋体" w:hAnsi="宋体" w:eastAsia="宋体" w:cs="宋体"/>
          <w:color w:val="auto"/>
          <w:sz w:val="24"/>
          <w:szCs w:val="24"/>
          <w:highlight w:val="none"/>
        </w:rPr>
        <w:t>五、</w:t>
      </w:r>
      <w:bookmarkEnd w:id="1716"/>
      <w:bookmarkEnd w:id="1717"/>
      <w:bookmarkEnd w:id="1718"/>
      <w:r>
        <w:rPr>
          <w:rFonts w:hint="eastAsia" w:ascii="宋体" w:hAnsi="宋体" w:eastAsia="宋体" w:cs="宋体"/>
          <w:color w:val="auto"/>
          <w:sz w:val="24"/>
          <w:szCs w:val="24"/>
          <w:highlight w:val="none"/>
        </w:rPr>
        <w:t>其他资料</w:t>
      </w:r>
      <w:bookmarkEnd w:id="1719"/>
      <w:bookmarkEnd w:id="1720"/>
      <w:bookmarkEnd w:id="1721"/>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一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格式</w:t>
      </w:r>
      <w:r>
        <w:rPr>
          <w:rFonts w:hint="eastAsia" w:ascii="宋体" w:hAnsi="宋体" w:eastAsia="宋体" w:cs="宋体"/>
          <w:color w:val="auto"/>
          <w:sz w:val="24"/>
          <w:szCs w:val="24"/>
          <w:highlight w:val="none"/>
        </w:rPr>
        <w:t>）</w:t>
      </w:r>
    </w:p>
    <w:p w14:paraId="30FFBA02">
      <w:pPr>
        <w:tabs>
          <w:tab w:val="left" w:pos="6300"/>
        </w:tabs>
        <w:snapToGrid w:val="0"/>
        <w:spacing w:line="500" w:lineRule="exac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承诺函</w:t>
      </w:r>
    </w:p>
    <w:p w14:paraId="75C399CB">
      <w:pPr>
        <w:tabs>
          <w:tab w:val="left" w:pos="6300"/>
        </w:tabs>
        <w:snapToGrid w:val="0"/>
        <w:spacing w:line="530" w:lineRule="exact"/>
        <w:rPr>
          <w:rFonts w:hint="eastAsia" w:ascii="宋体" w:hAnsi="宋体" w:eastAsia="宋体" w:cs="宋体"/>
          <w:color w:val="auto"/>
          <w:sz w:val="24"/>
          <w:szCs w:val="24"/>
          <w:highlight w:val="none"/>
        </w:rPr>
      </w:pPr>
    </w:p>
    <w:p w14:paraId="54AFCEE2">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w:t>
      </w:r>
    </w:p>
    <w:p w14:paraId="3AD32B4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090317BB">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（一）拟派项目经理到岗履职和未被禁止参与投标的承诺：</w:t>
      </w:r>
    </w:p>
    <w:p w14:paraId="6B7D17F6">
      <w:pPr>
        <w:pStyle w:val="38"/>
        <w:rPr>
          <w:rFonts w:hint="eastAsia" w:ascii="宋体" w:hAnsi="宋体" w:eastAsia="宋体" w:cs="宋体"/>
          <w:color w:val="auto"/>
          <w:sz w:val="24"/>
          <w:szCs w:val="24"/>
          <w:highlight w:val="none"/>
          <w:lang w:eastAsia="zh-CN"/>
        </w:rPr>
      </w:pPr>
    </w:p>
    <w:p w14:paraId="500F9BEE">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1.我公司</w:t>
      </w:r>
      <w:r>
        <w:rPr>
          <w:rFonts w:hint="eastAsia" w:ascii="宋体" w:hAnsi="宋体" w:eastAsia="宋体" w:cs="宋体"/>
          <w:color w:val="auto"/>
          <w:sz w:val="24"/>
          <w:szCs w:val="24"/>
          <w:highlight w:val="none"/>
          <w:lang w:eastAsia="zh-CN"/>
        </w:rPr>
        <w:t>承诺拟派项目经理按注册建造师的相关规定到岗履职和未被禁止参与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w:t>
      </w:r>
    </w:p>
    <w:p w14:paraId="1E0E84E8">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.1到岗履职承诺要求：</w:t>
      </w:r>
      <w:r>
        <w:rPr>
          <w:rFonts w:hint="eastAsia" w:ascii="宋体" w:hAnsi="宋体" w:eastAsia="宋体" w:cs="宋体"/>
          <w:color w:val="auto"/>
          <w:sz w:val="24"/>
          <w:szCs w:val="24"/>
          <w:highlight w:val="none"/>
          <w:lang w:val="en-US" w:eastAsia="zh-CN"/>
        </w:rPr>
        <w:t>我公司</w:t>
      </w:r>
      <w:r>
        <w:rPr>
          <w:rFonts w:hint="eastAsia" w:ascii="宋体" w:hAnsi="宋体" w:eastAsia="宋体" w:cs="宋体"/>
          <w:color w:val="auto"/>
          <w:sz w:val="24"/>
          <w:szCs w:val="24"/>
          <w:highlight w:val="none"/>
          <w:lang w:eastAsia="zh-CN"/>
        </w:rPr>
        <w:t>承诺拟派项目经理中标后在本项目任职，签订合同时拟派的项目经理必须与响应文件中的项目经理一致，并满足办理施工许可手续的相关要求。不能按承诺到岗履约的，按合同相关条款处罚并上报行政主管部门，给采购人造成损失的，供应商依法承担违约赔偿责任。拟派项目经理中标后不得随意更换。</w:t>
      </w:r>
    </w:p>
    <w:p w14:paraId="0A043059">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.2未被禁止参与投标承诺要求：</w:t>
      </w:r>
      <w:r>
        <w:rPr>
          <w:rFonts w:hint="eastAsia" w:ascii="宋体" w:hAnsi="宋体" w:eastAsia="宋体" w:cs="宋体"/>
          <w:color w:val="auto"/>
          <w:sz w:val="24"/>
          <w:szCs w:val="24"/>
          <w:highlight w:val="none"/>
          <w:lang w:val="en-US" w:eastAsia="zh-CN"/>
        </w:rPr>
        <w:t>我公司</w:t>
      </w:r>
      <w:r>
        <w:rPr>
          <w:rFonts w:hint="eastAsia" w:ascii="宋体" w:hAnsi="宋体" w:eastAsia="宋体" w:cs="宋体"/>
          <w:color w:val="auto"/>
          <w:sz w:val="24"/>
          <w:szCs w:val="24"/>
          <w:highlight w:val="none"/>
          <w:lang w:eastAsia="zh-CN"/>
        </w:rPr>
        <w:t>承诺拟派项目经理未被重庆市住房和城乡建设主管部门暂停在渝承揽新业务。若被暂停在渝承揽新业务但仍参加谈判申请，将被否决谈判申请；已取得中标候选人资格或中标资格的，采购人有权取消其中标候选人资格或中标资格；给采购人造成损失的，供应商依法承担违约赔偿责任。</w:t>
      </w:r>
    </w:p>
    <w:p w14:paraId="45F674F4">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.3项目经理的其它承诺：为保证中标人拟派的项目经理到本项目到岗履职，中标人还需承诺：</w:t>
      </w:r>
    </w:p>
    <w:p w14:paraId="4EDA9DB8">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中标人拟派本项目的项目经理有在其他项目任职的情形的（或有在其他项目中标或拟中标的情形的），应在收到中标通知书后14日内，办理完成放弃在其他项目任职的手续（或办理完成放弃在其他项目中标或拟中标的手续），采购人在合同签订前有权对中标人拟派项目经理在其他项目的任职情形（或在其他项目的中标或拟中标情形）进行核查，若与中标人承诺内容不符或中标人未在上述时间内按照谈判文件规定递交放弃在其他项目任职、中标或拟中标的相关资料，视为中标人放弃中标资格，采购人不退还其谈判申请保证金。在合同签订时，中标人需确保拟派项目经理符合《建筑施工企业项目经理资质管理办法》规定的项目经理任职条件，否则视为中标人放弃中标资格，采购人不退还其谈判申请保证金。</w:t>
      </w:r>
    </w:p>
    <w:p w14:paraId="7E0EBFA9">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放弃在其他项目任职的需提供：①经业主或建设单位同意任职变更的文件；②负责项目监管的行业行政主管部门出具同意任职变更的证明材料。</w:t>
      </w:r>
    </w:p>
    <w:p w14:paraId="535AB919">
      <w:p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放弃在其他项目中标或拟中标的需提供：①经中标或拟中标的其他项目建设单位同意的放弃中标函。</w:t>
      </w:r>
    </w:p>
    <w:p w14:paraId="187F5DDA">
      <w:pPr>
        <w:numPr>
          <w:ilvl w:val="0"/>
          <w:numId w:val="0"/>
        </w:numPr>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我公司</w:t>
      </w:r>
      <w:r>
        <w:rPr>
          <w:rFonts w:hint="eastAsia" w:ascii="宋体" w:hAnsi="宋体" w:eastAsia="宋体" w:cs="宋体"/>
          <w:color w:val="auto"/>
          <w:sz w:val="24"/>
          <w:szCs w:val="24"/>
          <w:highlight w:val="none"/>
          <w:lang w:eastAsia="zh-CN"/>
        </w:rPr>
        <w:t>承诺：供应商及参与项目的所有人员须严格遵守国家保密法规及发包人管理规定，相关人员不得擅自携带手机、相机、录音设备等进入施工现场，对布局、安防设施、施工图纸等全部信息承担保密义务。因施工场所的特殊性，投标人必须作出承诺所有参与施工人员无犯罪记录，签订《保密协议》，禁止无关人员进入施工现场，若投标人违反保密约定，按照相关规定进行处理，招标人有权立即终止合同，并追究其法律责任，中标单位在施工期间须严格遵守甲方管理规定。如未提供以上</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lang w:eastAsia="zh-CN"/>
        </w:rPr>
        <w:t>，则视为投标无效。</w:t>
      </w:r>
    </w:p>
    <w:p w14:paraId="7C8AF1ED">
      <w:pPr>
        <w:numPr>
          <w:ilvl w:val="0"/>
          <w:numId w:val="0"/>
        </w:numPr>
        <w:snapToGrid w:val="0"/>
        <w:spacing w:line="42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我公司</w:t>
      </w:r>
      <w:r>
        <w:rPr>
          <w:rFonts w:hint="eastAsia" w:ascii="宋体" w:hAnsi="宋体" w:eastAsia="宋体" w:cs="宋体"/>
          <w:color w:val="auto"/>
          <w:sz w:val="24"/>
          <w:szCs w:val="24"/>
          <w:highlight w:val="none"/>
          <w:lang w:eastAsia="zh-CN"/>
        </w:rPr>
        <w:t>承诺提供的</w:t>
      </w:r>
      <w:r>
        <w:rPr>
          <w:rFonts w:hint="eastAsia" w:ascii="宋体" w:hAnsi="宋体" w:eastAsia="宋体" w:cs="宋体"/>
          <w:color w:val="auto"/>
          <w:sz w:val="24"/>
          <w:szCs w:val="24"/>
          <w:highlight w:val="none"/>
          <w:lang w:val="en-US" w:eastAsia="zh-CN"/>
        </w:rPr>
        <w:t>竞争性谈判文件要求的</w:t>
      </w:r>
      <w:r>
        <w:rPr>
          <w:rFonts w:hint="eastAsia" w:ascii="宋体" w:hAnsi="宋体" w:eastAsia="宋体" w:cs="宋体"/>
          <w:color w:val="auto"/>
          <w:sz w:val="24"/>
          <w:szCs w:val="24"/>
          <w:highlight w:val="none"/>
          <w:lang w:eastAsia="zh-CN"/>
        </w:rPr>
        <w:t>证明材料真实有效，不存在弄虚作假情形。采购人在合同签订前均有权对供应商提供的资料进行核实，若发现弄虚作假，取消其中标资格，并按相关法律法规报监督部门处理，其谈判申请保证金不予退还，供应商承担因此造成的相关责任并赔偿相应损失。</w:t>
      </w:r>
    </w:p>
    <w:p w14:paraId="7DF6F4A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42EB53F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50FD12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4F78E0EC">
      <w:pPr>
        <w:tabs>
          <w:tab w:val="left" w:pos="6300"/>
        </w:tabs>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5037E88E">
      <w:pPr>
        <w:widowControl/>
        <w:spacing w:line="400" w:lineRule="exact"/>
        <w:ind w:firstLine="7920" w:firstLineChars="3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825AB5E">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rPr>
      </w:pPr>
    </w:p>
    <w:p w14:paraId="20C4BED3">
      <w:pPr>
        <w:widowControl/>
        <w:spacing w:line="400" w:lineRule="exact"/>
        <w:jc w:val="left"/>
        <w:rPr>
          <w:rFonts w:hint="eastAsia" w:ascii="宋体" w:hAnsi="宋体" w:eastAsia="宋体" w:cs="宋体"/>
          <w:color w:val="auto"/>
          <w:sz w:val="24"/>
          <w:szCs w:val="24"/>
          <w:highlight w:val="none"/>
        </w:rPr>
      </w:pPr>
    </w:p>
    <w:p w14:paraId="4C080184">
      <w:pPr>
        <w:widowControl/>
        <w:spacing w:line="400" w:lineRule="exact"/>
        <w:jc w:val="left"/>
        <w:rPr>
          <w:rFonts w:hint="eastAsia" w:ascii="宋体" w:hAnsi="宋体" w:eastAsia="宋体" w:cs="宋体"/>
          <w:color w:val="auto"/>
          <w:sz w:val="24"/>
          <w:szCs w:val="24"/>
          <w:highlight w:val="none"/>
        </w:rPr>
      </w:pPr>
    </w:p>
    <w:p w14:paraId="6F8C03D0">
      <w:pPr>
        <w:widowControl/>
        <w:spacing w:line="400" w:lineRule="exact"/>
        <w:jc w:val="left"/>
        <w:rPr>
          <w:rFonts w:hint="eastAsia" w:ascii="宋体" w:hAnsi="宋体" w:eastAsia="宋体" w:cs="宋体"/>
          <w:color w:val="auto"/>
          <w:sz w:val="24"/>
          <w:szCs w:val="24"/>
          <w:highlight w:val="none"/>
        </w:rPr>
      </w:pPr>
    </w:p>
    <w:p w14:paraId="6828A51E">
      <w:pPr>
        <w:widowControl/>
        <w:spacing w:line="400" w:lineRule="exact"/>
        <w:jc w:val="left"/>
        <w:rPr>
          <w:rFonts w:hint="eastAsia" w:ascii="宋体" w:hAnsi="宋体" w:eastAsia="宋体" w:cs="宋体"/>
          <w:color w:val="auto"/>
          <w:sz w:val="24"/>
          <w:szCs w:val="24"/>
          <w:highlight w:val="none"/>
        </w:rPr>
      </w:pPr>
    </w:p>
    <w:p w14:paraId="2CB29210">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）其他与项目有关的资料（自附）</w:t>
      </w:r>
    </w:p>
    <w:p w14:paraId="0C447CC0">
      <w:pPr>
        <w:spacing w:line="360" w:lineRule="auto"/>
        <w:ind w:firstLine="480" w:firstLineChars="200"/>
        <w:rPr>
          <w:rFonts w:hint="eastAsia" w:ascii="宋体" w:hAnsi="宋体" w:eastAsia="宋体" w:cs="宋体"/>
          <w:color w:val="auto"/>
          <w:sz w:val="24"/>
          <w:szCs w:val="24"/>
          <w:highlight w:val="none"/>
        </w:rPr>
      </w:pPr>
    </w:p>
    <w:p w14:paraId="303584D7">
      <w:pPr>
        <w:spacing w:line="360" w:lineRule="auto"/>
        <w:ind w:firstLine="480" w:firstLineChars="200"/>
        <w:jc w:val="center"/>
        <w:rPr>
          <w:rFonts w:hint="eastAsia" w:ascii="宋体" w:hAnsi="宋体" w:eastAsia="宋体" w:cs="宋体"/>
          <w:color w:val="auto"/>
          <w:sz w:val="24"/>
          <w:szCs w:val="24"/>
          <w:highlight w:val="none"/>
        </w:rPr>
      </w:pPr>
    </w:p>
    <w:p w14:paraId="0EBBC5EE">
      <w:pPr>
        <w:spacing w:line="360" w:lineRule="auto"/>
        <w:ind w:firstLine="480" w:firstLineChars="200"/>
        <w:jc w:val="center"/>
        <w:rPr>
          <w:rFonts w:hint="eastAsia" w:ascii="宋体" w:hAnsi="宋体" w:eastAsia="宋体" w:cs="宋体"/>
          <w:color w:val="auto"/>
          <w:sz w:val="24"/>
          <w:szCs w:val="24"/>
          <w:highlight w:val="none"/>
        </w:rPr>
      </w:pPr>
    </w:p>
    <w:p w14:paraId="76703137">
      <w:pPr>
        <w:spacing w:line="360" w:lineRule="auto"/>
        <w:ind w:firstLine="480" w:firstLineChars="200"/>
        <w:jc w:val="center"/>
        <w:rPr>
          <w:rFonts w:hint="eastAsia" w:ascii="宋体" w:hAnsi="宋体" w:eastAsia="宋体" w:cs="宋体"/>
          <w:color w:val="auto"/>
          <w:sz w:val="24"/>
          <w:szCs w:val="24"/>
          <w:highlight w:val="none"/>
        </w:rPr>
      </w:pPr>
    </w:p>
    <w:p w14:paraId="7E08705E">
      <w:pPr>
        <w:spacing w:line="360" w:lineRule="auto"/>
        <w:ind w:firstLine="480" w:firstLineChars="200"/>
        <w:jc w:val="center"/>
        <w:rPr>
          <w:rFonts w:hint="eastAsia" w:ascii="宋体" w:hAnsi="宋体" w:eastAsia="宋体" w:cs="宋体"/>
          <w:color w:val="auto"/>
          <w:sz w:val="24"/>
          <w:szCs w:val="24"/>
          <w:highlight w:val="none"/>
        </w:rPr>
      </w:pPr>
    </w:p>
    <w:p w14:paraId="34432A35">
      <w:pPr>
        <w:spacing w:line="360" w:lineRule="auto"/>
        <w:ind w:firstLine="480" w:firstLineChars="200"/>
        <w:jc w:val="center"/>
        <w:rPr>
          <w:rFonts w:hint="eastAsia" w:ascii="宋体" w:hAnsi="宋体" w:eastAsia="宋体" w:cs="宋体"/>
          <w:color w:val="auto"/>
          <w:sz w:val="24"/>
          <w:szCs w:val="24"/>
          <w:highlight w:val="none"/>
        </w:rPr>
      </w:pPr>
    </w:p>
    <w:p w14:paraId="58FCC949">
      <w:pPr>
        <w:spacing w:line="360" w:lineRule="auto"/>
        <w:ind w:firstLine="480" w:firstLineChars="200"/>
        <w:jc w:val="center"/>
        <w:rPr>
          <w:rFonts w:hint="eastAsia" w:ascii="宋体" w:hAnsi="宋体" w:eastAsia="宋体" w:cs="宋体"/>
          <w:color w:val="auto"/>
          <w:sz w:val="24"/>
          <w:szCs w:val="24"/>
          <w:highlight w:val="none"/>
        </w:rPr>
      </w:pPr>
    </w:p>
    <w:p w14:paraId="6E4BF5A4">
      <w:pPr>
        <w:spacing w:line="360" w:lineRule="auto"/>
        <w:ind w:firstLine="480" w:firstLineChars="200"/>
        <w:jc w:val="center"/>
        <w:rPr>
          <w:rFonts w:hint="eastAsia" w:ascii="宋体" w:hAnsi="宋体" w:eastAsia="宋体" w:cs="宋体"/>
          <w:color w:val="auto"/>
          <w:sz w:val="24"/>
          <w:szCs w:val="24"/>
          <w:highlight w:val="none"/>
        </w:rPr>
      </w:pPr>
    </w:p>
    <w:p w14:paraId="21D76B78">
      <w:pPr>
        <w:spacing w:line="360" w:lineRule="auto"/>
        <w:ind w:firstLine="480" w:firstLineChars="200"/>
        <w:jc w:val="center"/>
        <w:rPr>
          <w:rFonts w:hint="eastAsia" w:ascii="宋体" w:hAnsi="宋体" w:eastAsia="宋体" w:cs="宋体"/>
          <w:color w:val="auto"/>
          <w:sz w:val="24"/>
          <w:szCs w:val="24"/>
          <w:highlight w:val="none"/>
        </w:rPr>
      </w:pPr>
    </w:p>
    <w:p w14:paraId="2C5CD8B6">
      <w:pPr>
        <w:spacing w:line="360" w:lineRule="auto"/>
        <w:ind w:firstLine="480" w:firstLineChars="200"/>
        <w:jc w:val="center"/>
        <w:rPr>
          <w:rFonts w:hint="eastAsia" w:ascii="宋体" w:hAnsi="宋体" w:eastAsia="宋体" w:cs="宋体"/>
          <w:color w:val="auto"/>
          <w:sz w:val="24"/>
          <w:szCs w:val="24"/>
          <w:highlight w:val="none"/>
        </w:rPr>
      </w:pPr>
    </w:p>
    <w:p w14:paraId="201E93A0">
      <w:pPr>
        <w:spacing w:line="360" w:lineRule="auto"/>
        <w:ind w:firstLine="480" w:firstLineChars="200"/>
        <w:jc w:val="center"/>
        <w:rPr>
          <w:rFonts w:hint="eastAsia" w:ascii="宋体" w:hAnsi="宋体" w:eastAsia="宋体" w:cs="宋体"/>
          <w:color w:val="auto"/>
          <w:sz w:val="24"/>
          <w:szCs w:val="24"/>
          <w:highlight w:val="none"/>
        </w:rPr>
      </w:pPr>
    </w:p>
    <w:p w14:paraId="5B6FFA2C">
      <w:pPr>
        <w:spacing w:line="360" w:lineRule="auto"/>
        <w:ind w:firstLine="480" w:firstLineChars="200"/>
        <w:jc w:val="center"/>
        <w:rPr>
          <w:rFonts w:hint="eastAsia" w:ascii="宋体" w:hAnsi="宋体" w:eastAsia="宋体" w:cs="宋体"/>
          <w:color w:val="auto"/>
          <w:sz w:val="24"/>
          <w:szCs w:val="24"/>
          <w:highlight w:val="none"/>
        </w:rPr>
      </w:pPr>
    </w:p>
    <w:p w14:paraId="2ACED360">
      <w:pPr>
        <w:spacing w:line="360" w:lineRule="auto"/>
        <w:ind w:firstLine="480" w:firstLineChars="200"/>
        <w:jc w:val="center"/>
        <w:rPr>
          <w:rFonts w:hint="eastAsia" w:ascii="宋体" w:hAnsi="宋体" w:eastAsia="宋体" w:cs="宋体"/>
          <w:color w:val="auto"/>
          <w:sz w:val="24"/>
          <w:szCs w:val="24"/>
          <w:highlight w:val="none"/>
        </w:rPr>
      </w:pPr>
    </w:p>
    <w:p w14:paraId="7AE56ED0">
      <w:pPr>
        <w:spacing w:line="360" w:lineRule="auto"/>
        <w:ind w:firstLine="480" w:firstLineChars="200"/>
        <w:jc w:val="center"/>
        <w:rPr>
          <w:rFonts w:hint="eastAsia" w:ascii="宋体" w:hAnsi="宋体" w:eastAsia="宋体" w:cs="宋体"/>
          <w:color w:val="auto"/>
          <w:sz w:val="24"/>
          <w:szCs w:val="24"/>
          <w:highlight w:val="none"/>
        </w:rPr>
      </w:pPr>
    </w:p>
    <w:p w14:paraId="0D628FD3">
      <w:pPr>
        <w:spacing w:line="360" w:lineRule="auto"/>
        <w:ind w:firstLine="480" w:firstLineChars="200"/>
        <w:jc w:val="center"/>
        <w:rPr>
          <w:rFonts w:hint="eastAsia" w:ascii="宋体" w:hAnsi="宋体" w:eastAsia="宋体" w:cs="宋体"/>
          <w:color w:val="auto"/>
          <w:sz w:val="24"/>
          <w:szCs w:val="24"/>
          <w:highlight w:val="none"/>
        </w:rPr>
      </w:pPr>
    </w:p>
    <w:p w14:paraId="6AD19036">
      <w:pPr>
        <w:spacing w:line="360" w:lineRule="auto"/>
        <w:ind w:firstLine="480" w:firstLineChars="200"/>
        <w:jc w:val="center"/>
        <w:rPr>
          <w:rFonts w:hint="eastAsia" w:ascii="宋体" w:hAnsi="宋体" w:eastAsia="宋体" w:cs="宋体"/>
          <w:color w:val="auto"/>
          <w:sz w:val="24"/>
          <w:szCs w:val="24"/>
          <w:highlight w:val="none"/>
        </w:rPr>
      </w:pPr>
    </w:p>
    <w:p w14:paraId="47698B59">
      <w:pPr>
        <w:spacing w:line="360" w:lineRule="auto"/>
        <w:ind w:firstLine="480" w:firstLineChars="200"/>
        <w:jc w:val="center"/>
        <w:rPr>
          <w:rFonts w:hint="eastAsia" w:ascii="宋体" w:hAnsi="宋体" w:eastAsia="宋体" w:cs="宋体"/>
          <w:color w:val="auto"/>
          <w:sz w:val="24"/>
          <w:szCs w:val="24"/>
          <w:highlight w:val="none"/>
        </w:rPr>
      </w:pPr>
    </w:p>
    <w:p w14:paraId="54931806">
      <w:pPr>
        <w:spacing w:line="360" w:lineRule="auto"/>
        <w:ind w:firstLine="480" w:firstLineChars="200"/>
        <w:jc w:val="center"/>
        <w:rPr>
          <w:rFonts w:hint="eastAsia" w:ascii="宋体" w:hAnsi="宋体" w:eastAsia="宋体" w:cs="宋体"/>
          <w:color w:val="auto"/>
          <w:sz w:val="24"/>
          <w:szCs w:val="24"/>
          <w:highlight w:val="none"/>
        </w:rPr>
      </w:pPr>
    </w:p>
    <w:p w14:paraId="2562B49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20B060901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EFC6">
    <w:pPr>
      <w:pStyle w:val="36"/>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- 18 -</w:t>
    </w:r>
    <w:r>
      <w:rPr>
        <w:rFonts w:ascii="宋体"/>
        <w:sz w:val="21"/>
        <w:szCs w:val="21"/>
      </w:rPr>
      <w:fldChar w:fldCharType="end"/>
    </w:r>
  </w:p>
  <w:p w14:paraId="3A016805">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BBEB">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75BE4C3">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6FF3">
    <w:pPr>
      <w:pStyle w:val="36"/>
      <w:framePr w:wrap="around" w:vAnchor="text" w:hAnchor="margin" w:xAlign="center" w:y="1"/>
      <w:rPr>
        <w:rStyle w:val="61"/>
      </w:rPr>
    </w:pPr>
  </w:p>
  <w:p w14:paraId="5272C857">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C9E3">
    <w:pPr>
      <w:pStyle w:val="36"/>
      <w:jc w:val="center"/>
    </w:pPr>
    <w:r>
      <w:t xml:space="preserve">- </w:t>
    </w:r>
    <w:r>
      <w:fldChar w:fldCharType="begin"/>
    </w:r>
    <w:r>
      <w:instrText xml:space="preserve"> PAGE </w:instrText>
    </w:r>
    <w:r>
      <w:fldChar w:fldCharType="separate"/>
    </w:r>
    <w:r>
      <w:t>243</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89DEE">
    <w:pPr>
      <w:pStyle w:val="36"/>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248B4">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2AEF9CF0">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DCAB">
    <w:pPr>
      <w:pStyle w:val="37"/>
      <w:pBdr>
        <w:bottom w:val="none" w:color="auto" w:sz="0" w:space="1"/>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C3EE">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F8E4">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E608B">
    <w:pPr>
      <w:pStyle w:val="37"/>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AC334"/>
    <w:multiLevelType w:val="singleLevel"/>
    <w:tmpl w:val="ED6AC334"/>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25"/>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19D7F9B"/>
    <w:multiLevelType w:val="singleLevel"/>
    <w:tmpl w:val="219D7F9B"/>
    <w:lvl w:ilvl="0" w:tentative="0">
      <w:start w:val="1"/>
      <w:numFmt w:val="decimal"/>
      <w:suff w:val="nothing"/>
      <w:lvlText w:val="（%1）"/>
      <w:lvlJc w:val="left"/>
    </w:lvl>
  </w:abstractNum>
  <w:num w:numId="1">
    <w:abstractNumId w:val="10"/>
  </w:num>
  <w:num w:numId="2">
    <w:abstractNumId w:val="7"/>
  </w:num>
  <w:num w:numId="3">
    <w:abstractNumId w:val="5"/>
  </w:num>
  <w:num w:numId="4">
    <w:abstractNumId w:val="11"/>
  </w:num>
  <w:num w:numId="5">
    <w:abstractNumId w:val="2"/>
  </w:num>
  <w:num w:numId="6">
    <w:abstractNumId w:val="13"/>
  </w:num>
  <w:num w:numId="7">
    <w:abstractNumId w:val="4"/>
  </w:num>
  <w:num w:numId="8">
    <w:abstractNumId w:val="6"/>
  </w:num>
  <w:num w:numId="9">
    <w:abstractNumId w:val="3"/>
  </w:num>
  <w:num w:numId="10">
    <w:abstractNumId w:val="12"/>
  </w:num>
  <w:num w:numId="11">
    <w:abstractNumId w:val="8"/>
  </w:num>
  <w:num w:numId="12">
    <w:abstractNumId w:val="9"/>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Y2VlMmYzNjFmODk0NjIwYWQzNTEwMTQzZjEwYTAifQ=="/>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44D3"/>
    <w:rsid w:val="000B711E"/>
    <w:rsid w:val="000B7377"/>
    <w:rsid w:val="000B7F54"/>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05E1"/>
    <w:rsid w:val="00211874"/>
    <w:rsid w:val="00211A92"/>
    <w:rsid w:val="0022065B"/>
    <w:rsid w:val="00222097"/>
    <w:rsid w:val="0022517B"/>
    <w:rsid w:val="00225B78"/>
    <w:rsid w:val="00227BA9"/>
    <w:rsid w:val="00231797"/>
    <w:rsid w:val="00235F8F"/>
    <w:rsid w:val="00237759"/>
    <w:rsid w:val="0024359D"/>
    <w:rsid w:val="00244E68"/>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2BAB"/>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19F5"/>
    <w:rsid w:val="003B2501"/>
    <w:rsid w:val="003B7B71"/>
    <w:rsid w:val="003C0A38"/>
    <w:rsid w:val="003D0E0A"/>
    <w:rsid w:val="003D1569"/>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5262"/>
    <w:rsid w:val="00627DD2"/>
    <w:rsid w:val="00635B4B"/>
    <w:rsid w:val="00640026"/>
    <w:rsid w:val="006414B7"/>
    <w:rsid w:val="00654A48"/>
    <w:rsid w:val="006552FD"/>
    <w:rsid w:val="0065651B"/>
    <w:rsid w:val="00664607"/>
    <w:rsid w:val="0066468B"/>
    <w:rsid w:val="00670089"/>
    <w:rsid w:val="00670560"/>
    <w:rsid w:val="006809DA"/>
    <w:rsid w:val="00680AE4"/>
    <w:rsid w:val="00683C20"/>
    <w:rsid w:val="00684E51"/>
    <w:rsid w:val="0069086A"/>
    <w:rsid w:val="00695990"/>
    <w:rsid w:val="0069635B"/>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40F0"/>
    <w:rsid w:val="009C4958"/>
    <w:rsid w:val="009C7326"/>
    <w:rsid w:val="009D01D6"/>
    <w:rsid w:val="009D2934"/>
    <w:rsid w:val="009D6931"/>
    <w:rsid w:val="009E1F06"/>
    <w:rsid w:val="009E2AF3"/>
    <w:rsid w:val="009E737D"/>
    <w:rsid w:val="009E749B"/>
    <w:rsid w:val="009F3B26"/>
    <w:rsid w:val="009F3FE9"/>
    <w:rsid w:val="009F4390"/>
    <w:rsid w:val="009F5335"/>
    <w:rsid w:val="009F5682"/>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01161"/>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5D2A"/>
    <w:rsid w:val="00D41BA9"/>
    <w:rsid w:val="00D456F3"/>
    <w:rsid w:val="00D46250"/>
    <w:rsid w:val="00D52376"/>
    <w:rsid w:val="00D54CA1"/>
    <w:rsid w:val="00D57B9E"/>
    <w:rsid w:val="00D60F92"/>
    <w:rsid w:val="00D612C2"/>
    <w:rsid w:val="00D64080"/>
    <w:rsid w:val="00D66A2D"/>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339E"/>
    <w:rsid w:val="00E2709C"/>
    <w:rsid w:val="00E308E8"/>
    <w:rsid w:val="00E3245B"/>
    <w:rsid w:val="00E34DF5"/>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97428"/>
    <w:rsid w:val="00FA0979"/>
    <w:rsid w:val="00FA5828"/>
    <w:rsid w:val="00FB3FC5"/>
    <w:rsid w:val="00FB4BA6"/>
    <w:rsid w:val="00FC3EBE"/>
    <w:rsid w:val="00FC66C2"/>
    <w:rsid w:val="00FC6F58"/>
    <w:rsid w:val="00FC6FA8"/>
    <w:rsid w:val="00FD2470"/>
    <w:rsid w:val="00FD26B5"/>
    <w:rsid w:val="00FD5823"/>
    <w:rsid w:val="00FE1B42"/>
    <w:rsid w:val="00FE1C27"/>
    <w:rsid w:val="00FE215B"/>
    <w:rsid w:val="00FE5C31"/>
    <w:rsid w:val="00FE68B1"/>
    <w:rsid w:val="00FF25BA"/>
    <w:rsid w:val="00FF3BC9"/>
    <w:rsid w:val="00FF748B"/>
    <w:rsid w:val="00FF7623"/>
    <w:rsid w:val="014063FE"/>
    <w:rsid w:val="019B1886"/>
    <w:rsid w:val="01D24850"/>
    <w:rsid w:val="027433E3"/>
    <w:rsid w:val="02746DA9"/>
    <w:rsid w:val="029D518A"/>
    <w:rsid w:val="02F474A0"/>
    <w:rsid w:val="03015719"/>
    <w:rsid w:val="037F1AAB"/>
    <w:rsid w:val="03A57FB3"/>
    <w:rsid w:val="03B1713F"/>
    <w:rsid w:val="044C50BA"/>
    <w:rsid w:val="0480254A"/>
    <w:rsid w:val="04BD1B14"/>
    <w:rsid w:val="04D46D43"/>
    <w:rsid w:val="04F512AE"/>
    <w:rsid w:val="050B1E5D"/>
    <w:rsid w:val="051F3CCC"/>
    <w:rsid w:val="05D76C05"/>
    <w:rsid w:val="06AE5BB8"/>
    <w:rsid w:val="076007A2"/>
    <w:rsid w:val="0765096C"/>
    <w:rsid w:val="07941252"/>
    <w:rsid w:val="07B23486"/>
    <w:rsid w:val="08393BA7"/>
    <w:rsid w:val="08C52A1E"/>
    <w:rsid w:val="095347F5"/>
    <w:rsid w:val="0A3E5BBE"/>
    <w:rsid w:val="0AA23527"/>
    <w:rsid w:val="0AC37758"/>
    <w:rsid w:val="0AC53614"/>
    <w:rsid w:val="0B9C6927"/>
    <w:rsid w:val="0BCB0FBA"/>
    <w:rsid w:val="0BE63462"/>
    <w:rsid w:val="0CD341D4"/>
    <w:rsid w:val="0DAD4E1B"/>
    <w:rsid w:val="0DAE2941"/>
    <w:rsid w:val="0DFE0FE4"/>
    <w:rsid w:val="0E2F56F4"/>
    <w:rsid w:val="0E3D3B5D"/>
    <w:rsid w:val="0E6714E8"/>
    <w:rsid w:val="0ECC7523"/>
    <w:rsid w:val="0F070785"/>
    <w:rsid w:val="0F53554E"/>
    <w:rsid w:val="0F6E05DA"/>
    <w:rsid w:val="0FBF3715"/>
    <w:rsid w:val="107752B0"/>
    <w:rsid w:val="11194576"/>
    <w:rsid w:val="118934A9"/>
    <w:rsid w:val="11A92009"/>
    <w:rsid w:val="11DE3332"/>
    <w:rsid w:val="12B979AB"/>
    <w:rsid w:val="12D62551"/>
    <w:rsid w:val="146B6E96"/>
    <w:rsid w:val="15127C5A"/>
    <w:rsid w:val="157252CB"/>
    <w:rsid w:val="15C9656A"/>
    <w:rsid w:val="16A668AC"/>
    <w:rsid w:val="16AC0262"/>
    <w:rsid w:val="16E86EC4"/>
    <w:rsid w:val="17285513"/>
    <w:rsid w:val="172939E3"/>
    <w:rsid w:val="17435EA8"/>
    <w:rsid w:val="179C3F7D"/>
    <w:rsid w:val="182E5BC6"/>
    <w:rsid w:val="18355BC4"/>
    <w:rsid w:val="189F7A56"/>
    <w:rsid w:val="18BF3C55"/>
    <w:rsid w:val="193D1081"/>
    <w:rsid w:val="196547FC"/>
    <w:rsid w:val="196A1E12"/>
    <w:rsid w:val="1A1104E0"/>
    <w:rsid w:val="1AAE21D3"/>
    <w:rsid w:val="1ABD3F8C"/>
    <w:rsid w:val="1ABF786B"/>
    <w:rsid w:val="1B0E2C78"/>
    <w:rsid w:val="1B2A02DD"/>
    <w:rsid w:val="1BA4182E"/>
    <w:rsid w:val="1BCB46BE"/>
    <w:rsid w:val="1BE74017"/>
    <w:rsid w:val="1BF400B9"/>
    <w:rsid w:val="1C746C70"/>
    <w:rsid w:val="1C7F7DAE"/>
    <w:rsid w:val="1CC657BF"/>
    <w:rsid w:val="1CDF302E"/>
    <w:rsid w:val="1D7A0725"/>
    <w:rsid w:val="1D7F39B2"/>
    <w:rsid w:val="1DF1193F"/>
    <w:rsid w:val="1E324BDA"/>
    <w:rsid w:val="1EBA4A39"/>
    <w:rsid w:val="1EED5E6E"/>
    <w:rsid w:val="1F011944"/>
    <w:rsid w:val="1F1840BF"/>
    <w:rsid w:val="1F244811"/>
    <w:rsid w:val="1F500A11"/>
    <w:rsid w:val="1F7167C8"/>
    <w:rsid w:val="1F8A3A14"/>
    <w:rsid w:val="1FC205C7"/>
    <w:rsid w:val="20DF4E70"/>
    <w:rsid w:val="213F2B3A"/>
    <w:rsid w:val="21E738ED"/>
    <w:rsid w:val="222119FE"/>
    <w:rsid w:val="222D60D3"/>
    <w:rsid w:val="22373BFD"/>
    <w:rsid w:val="22883309"/>
    <w:rsid w:val="23416B11"/>
    <w:rsid w:val="23552736"/>
    <w:rsid w:val="23A3664D"/>
    <w:rsid w:val="23E10C30"/>
    <w:rsid w:val="23F073B8"/>
    <w:rsid w:val="245B32B8"/>
    <w:rsid w:val="24950498"/>
    <w:rsid w:val="24EF141E"/>
    <w:rsid w:val="250F7D12"/>
    <w:rsid w:val="255E0351"/>
    <w:rsid w:val="256B7F0B"/>
    <w:rsid w:val="25A466AC"/>
    <w:rsid w:val="25D24FC7"/>
    <w:rsid w:val="25F15DB5"/>
    <w:rsid w:val="262B0B7B"/>
    <w:rsid w:val="264527BE"/>
    <w:rsid w:val="266A7FA7"/>
    <w:rsid w:val="26BE379D"/>
    <w:rsid w:val="27872535"/>
    <w:rsid w:val="27901BB0"/>
    <w:rsid w:val="28504206"/>
    <w:rsid w:val="285223EF"/>
    <w:rsid w:val="285C5E53"/>
    <w:rsid w:val="28DC5DAD"/>
    <w:rsid w:val="29425F1E"/>
    <w:rsid w:val="29B55102"/>
    <w:rsid w:val="29BD5B86"/>
    <w:rsid w:val="2AB90504"/>
    <w:rsid w:val="2ABB0720"/>
    <w:rsid w:val="2ABB69E6"/>
    <w:rsid w:val="2B286BC5"/>
    <w:rsid w:val="2B365FF8"/>
    <w:rsid w:val="2B830B12"/>
    <w:rsid w:val="2BEB4A42"/>
    <w:rsid w:val="2C2D2523"/>
    <w:rsid w:val="2C336112"/>
    <w:rsid w:val="2C4751E9"/>
    <w:rsid w:val="2D8C619A"/>
    <w:rsid w:val="2D8F7C42"/>
    <w:rsid w:val="2DE30850"/>
    <w:rsid w:val="2DEE4968"/>
    <w:rsid w:val="2E0A7F38"/>
    <w:rsid w:val="2E1168A9"/>
    <w:rsid w:val="2EE30245"/>
    <w:rsid w:val="2EE92046"/>
    <w:rsid w:val="2F05640D"/>
    <w:rsid w:val="2F507B8E"/>
    <w:rsid w:val="2F57706B"/>
    <w:rsid w:val="2F6A6270"/>
    <w:rsid w:val="2F77273B"/>
    <w:rsid w:val="2F995076"/>
    <w:rsid w:val="303135DC"/>
    <w:rsid w:val="305D0819"/>
    <w:rsid w:val="30DA5678"/>
    <w:rsid w:val="30DA7426"/>
    <w:rsid w:val="310E761B"/>
    <w:rsid w:val="31903F88"/>
    <w:rsid w:val="31B803C2"/>
    <w:rsid w:val="32880BED"/>
    <w:rsid w:val="33136C1F"/>
    <w:rsid w:val="33F055F4"/>
    <w:rsid w:val="3501317C"/>
    <w:rsid w:val="350526E1"/>
    <w:rsid w:val="350E435C"/>
    <w:rsid w:val="35670F33"/>
    <w:rsid w:val="35D371FD"/>
    <w:rsid w:val="35DE56EF"/>
    <w:rsid w:val="361E4B80"/>
    <w:rsid w:val="36853990"/>
    <w:rsid w:val="36EA2EF3"/>
    <w:rsid w:val="37B34EDB"/>
    <w:rsid w:val="3879275F"/>
    <w:rsid w:val="39366FC5"/>
    <w:rsid w:val="39C80763"/>
    <w:rsid w:val="3A1D4AF7"/>
    <w:rsid w:val="3A445910"/>
    <w:rsid w:val="3A7C73DC"/>
    <w:rsid w:val="3B0D2CD2"/>
    <w:rsid w:val="3B8F2ACF"/>
    <w:rsid w:val="3CC72F54"/>
    <w:rsid w:val="3D17730C"/>
    <w:rsid w:val="3D396C7C"/>
    <w:rsid w:val="3D3E0D3C"/>
    <w:rsid w:val="3DC8302F"/>
    <w:rsid w:val="3DCC7111"/>
    <w:rsid w:val="3DF53AF1"/>
    <w:rsid w:val="3E391C30"/>
    <w:rsid w:val="3E8D1015"/>
    <w:rsid w:val="3F2C077B"/>
    <w:rsid w:val="3F914D8F"/>
    <w:rsid w:val="3FDF05B5"/>
    <w:rsid w:val="40880C4C"/>
    <w:rsid w:val="409A0980"/>
    <w:rsid w:val="40BB7C80"/>
    <w:rsid w:val="41056899"/>
    <w:rsid w:val="414C48A8"/>
    <w:rsid w:val="41792343"/>
    <w:rsid w:val="41941FC6"/>
    <w:rsid w:val="42576B28"/>
    <w:rsid w:val="42693067"/>
    <w:rsid w:val="427F481C"/>
    <w:rsid w:val="42C615B8"/>
    <w:rsid w:val="4311195E"/>
    <w:rsid w:val="434A3F97"/>
    <w:rsid w:val="43D7786D"/>
    <w:rsid w:val="441A7E0D"/>
    <w:rsid w:val="44637395"/>
    <w:rsid w:val="460074D7"/>
    <w:rsid w:val="461F6313"/>
    <w:rsid w:val="463177EE"/>
    <w:rsid w:val="4664764A"/>
    <w:rsid w:val="46713F31"/>
    <w:rsid w:val="468A0C53"/>
    <w:rsid w:val="46E93AC7"/>
    <w:rsid w:val="473E7B0D"/>
    <w:rsid w:val="481F7331"/>
    <w:rsid w:val="482561D2"/>
    <w:rsid w:val="486B657D"/>
    <w:rsid w:val="486F26F2"/>
    <w:rsid w:val="48880F53"/>
    <w:rsid w:val="48967C7F"/>
    <w:rsid w:val="49473891"/>
    <w:rsid w:val="49500D12"/>
    <w:rsid w:val="49546655"/>
    <w:rsid w:val="49B36F8D"/>
    <w:rsid w:val="49BB5BEF"/>
    <w:rsid w:val="4A0C2326"/>
    <w:rsid w:val="4AA038D0"/>
    <w:rsid w:val="4C9824E5"/>
    <w:rsid w:val="4D0B2CA0"/>
    <w:rsid w:val="4D3161C8"/>
    <w:rsid w:val="4D3A1520"/>
    <w:rsid w:val="4E3F2D9E"/>
    <w:rsid w:val="4EC20D6C"/>
    <w:rsid w:val="4EEA75FE"/>
    <w:rsid w:val="4F2E4CF6"/>
    <w:rsid w:val="4F304989"/>
    <w:rsid w:val="4F6B0AC5"/>
    <w:rsid w:val="4F90367A"/>
    <w:rsid w:val="50654C44"/>
    <w:rsid w:val="50B514C6"/>
    <w:rsid w:val="51BB25F2"/>
    <w:rsid w:val="51D301F0"/>
    <w:rsid w:val="51E20667"/>
    <w:rsid w:val="5232179A"/>
    <w:rsid w:val="52F45CCD"/>
    <w:rsid w:val="531E68CD"/>
    <w:rsid w:val="53D7168B"/>
    <w:rsid w:val="53F341D7"/>
    <w:rsid w:val="545C6AF1"/>
    <w:rsid w:val="55153435"/>
    <w:rsid w:val="551663CF"/>
    <w:rsid w:val="55735E2A"/>
    <w:rsid w:val="565B6CF8"/>
    <w:rsid w:val="565E627F"/>
    <w:rsid w:val="570109B9"/>
    <w:rsid w:val="576A0517"/>
    <w:rsid w:val="57911D3D"/>
    <w:rsid w:val="58B42C80"/>
    <w:rsid w:val="58C63C68"/>
    <w:rsid w:val="5953321D"/>
    <w:rsid w:val="595C45CC"/>
    <w:rsid w:val="59D9651C"/>
    <w:rsid w:val="5A4F7C8D"/>
    <w:rsid w:val="5AA24261"/>
    <w:rsid w:val="5AF026EC"/>
    <w:rsid w:val="5B081C96"/>
    <w:rsid w:val="5B356172"/>
    <w:rsid w:val="5B3B6A66"/>
    <w:rsid w:val="5B3E042E"/>
    <w:rsid w:val="5B445318"/>
    <w:rsid w:val="5B4945FE"/>
    <w:rsid w:val="5B503CBD"/>
    <w:rsid w:val="5B8A5421"/>
    <w:rsid w:val="5BA34735"/>
    <w:rsid w:val="5BD75000"/>
    <w:rsid w:val="5BE963CF"/>
    <w:rsid w:val="5C0827EA"/>
    <w:rsid w:val="5C087E03"/>
    <w:rsid w:val="5C4A213B"/>
    <w:rsid w:val="5C6739B4"/>
    <w:rsid w:val="5CC76D88"/>
    <w:rsid w:val="5CD050B5"/>
    <w:rsid w:val="5D02548B"/>
    <w:rsid w:val="5D1B313B"/>
    <w:rsid w:val="5D2E6280"/>
    <w:rsid w:val="5D375134"/>
    <w:rsid w:val="5D4C56C6"/>
    <w:rsid w:val="5D881B63"/>
    <w:rsid w:val="5DA432EE"/>
    <w:rsid w:val="5E055233"/>
    <w:rsid w:val="5E7B54F5"/>
    <w:rsid w:val="5E910B3F"/>
    <w:rsid w:val="5EF429B2"/>
    <w:rsid w:val="5F2D2C93"/>
    <w:rsid w:val="5F3538F6"/>
    <w:rsid w:val="5F5F40CC"/>
    <w:rsid w:val="5F7506A1"/>
    <w:rsid w:val="5FE61094"/>
    <w:rsid w:val="606A5821"/>
    <w:rsid w:val="60B66CB8"/>
    <w:rsid w:val="61923281"/>
    <w:rsid w:val="61E433B1"/>
    <w:rsid w:val="623205C0"/>
    <w:rsid w:val="6252473E"/>
    <w:rsid w:val="627875F1"/>
    <w:rsid w:val="627B5AC3"/>
    <w:rsid w:val="632443AD"/>
    <w:rsid w:val="63343EC4"/>
    <w:rsid w:val="633D30F1"/>
    <w:rsid w:val="636B7EDD"/>
    <w:rsid w:val="63E63410"/>
    <w:rsid w:val="63F00669"/>
    <w:rsid w:val="63FC0ABA"/>
    <w:rsid w:val="64283A29"/>
    <w:rsid w:val="64B4763C"/>
    <w:rsid w:val="656B0C10"/>
    <w:rsid w:val="66026C47"/>
    <w:rsid w:val="663A6C47"/>
    <w:rsid w:val="666A0BEA"/>
    <w:rsid w:val="66754267"/>
    <w:rsid w:val="67177D85"/>
    <w:rsid w:val="68BE670A"/>
    <w:rsid w:val="690436E5"/>
    <w:rsid w:val="693E3CEF"/>
    <w:rsid w:val="696A488C"/>
    <w:rsid w:val="69821E2D"/>
    <w:rsid w:val="6A4B66C3"/>
    <w:rsid w:val="6AE573F8"/>
    <w:rsid w:val="6B4750DC"/>
    <w:rsid w:val="6C4668DD"/>
    <w:rsid w:val="6D82064E"/>
    <w:rsid w:val="6D9A2DFC"/>
    <w:rsid w:val="6DF82FAB"/>
    <w:rsid w:val="6E010407"/>
    <w:rsid w:val="6E756203"/>
    <w:rsid w:val="6E9D3406"/>
    <w:rsid w:val="6EB63AA7"/>
    <w:rsid w:val="6EE60768"/>
    <w:rsid w:val="6F286FD3"/>
    <w:rsid w:val="6F5614BA"/>
    <w:rsid w:val="6FAD7807"/>
    <w:rsid w:val="6FB01184"/>
    <w:rsid w:val="7020414E"/>
    <w:rsid w:val="706202C3"/>
    <w:rsid w:val="70E86E67"/>
    <w:rsid w:val="71183FCD"/>
    <w:rsid w:val="71306BB5"/>
    <w:rsid w:val="71384703"/>
    <w:rsid w:val="71600CA6"/>
    <w:rsid w:val="72026C0C"/>
    <w:rsid w:val="721C3F61"/>
    <w:rsid w:val="72951D13"/>
    <w:rsid w:val="72F77ADC"/>
    <w:rsid w:val="74597C2E"/>
    <w:rsid w:val="74890514"/>
    <w:rsid w:val="75123F8E"/>
    <w:rsid w:val="751A6F0B"/>
    <w:rsid w:val="75530B22"/>
    <w:rsid w:val="75723606"/>
    <w:rsid w:val="75A82D16"/>
    <w:rsid w:val="76944F4E"/>
    <w:rsid w:val="76A5715B"/>
    <w:rsid w:val="76C70E7F"/>
    <w:rsid w:val="76FB1E6F"/>
    <w:rsid w:val="770162FB"/>
    <w:rsid w:val="772868C8"/>
    <w:rsid w:val="77C803D3"/>
    <w:rsid w:val="77E3618D"/>
    <w:rsid w:val="77F116DF"/>
    <w:rsid w:val="78866B18"/>
    <w:rsid w:val="78995758"/>
    <w:rsid w:val="789E5CA1"/>
    <w:rsid w:val="78AC6133"/>
    <w:rsid w:val="78E06AB0"/>
    <w:rsid w:val="78FD1F6B"/>
    <w:rsid w:val="79164C36"/>
    <w:rsid w:val="796C0D18"/>
    <w:rsid w:val="7A6554C0"/>
    <w:rsid w:val="7B2B073C"/>
    <w:rsid w:val="7B99015F"/>
    <w:rsid w:val="7B9D2AF7"/>
    <w:rsid w:val="7C2F624D"/>
    <w:rsid w:val="7CAD4FBB"/>
    <w:rsid w:val="7CEA3568"/>
    <w:rsid w:val="7CEC1B6D"/>
    <w:rsid w:val="7D2526D2"/>
    <w:rsid w:val="7E6A1ADC"/>
    <w:rsid w:val="7E91341B"/>
    <w:rsid w:val="7F2456E3"/>
    <w:rsid w:val="7F511D83"/>
    <w:rsid w:val="7F906D50"/>
    <w:rsid w:val="7FCD2B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67"/>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1"/>
    <w:uiPriority w:val="0"/>
    <w:rPr>
      <w:rFonts w:ascii="仿宋_GB2312" w:eastAsia="仿宋_GB2312"/>
      <w:sz w:val="32"/>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uiPriority w:val="0"/>
    <w:pPr>
      <w:adjustRightInd w:val="0"/>
      <w:snapToGrid w:val="0"/>
      <w:spacing w:after="120" w:afterLines="0" w:afterAutospacing="0" w:line="360" w:lineRule="auto"/>
      <w:ind w:left="420" w:leftChars="200"/>
    </w:pPr>
    <w:rPr>
      <w:sz w:val="24"/>
    </w:rPr>
  </w:style>
  <w:style w:type="paragraph" w:styleId="28">
    <w:name w:val="List Bullet 2"/>
    <w:basedOn w:val="1"/>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2"/>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0"/>
    <w:next w:val="20"/>
    <w:link w:val="76"/>
    <w:qFormat/>
    <w:uiPriority w:val="0"/>
    <w:pPr>
      <w:adjustRightInd/>
      <w:spacing w:line="240" w:lineRule="auto"/>
      <w:textAlignment w:val="auto"/>
    </w:pPr>
  </w:style>
  <w:style w:type="paragraph" w:styleId="56">
    <w:name w:val="Body Text First Indent"/>
    <w:basedOn w:val="23"/>
    <w:qFormat/>
    <w:uiPriority w:val="0"/>
    <w:pPr>
      <w:spacing w:line="360" w:lineRule="auto"/>
      <w:ind w:firstLine="420"/>
    </w:pPr>
    <w:rPr>
      <w:rFonts w:ascii="宋体" w:hAnsi="宋体"/>
      <w:sz w:val="24"/>
    </w:rPr>
  </w:style>
  <w:style w:type="paragraph" w:styleId="57">
    <w:name w:val="Body Text First Indent 2"/>
    <w:basedOn w:val="24"/>
    <w:link w:val="77"/>
    <w:uiPriority w:val="0"/>
    <w:pPr>
      <w:spacing w:after="120" w:afterLines="0" w:line="240" w:lineRule="auto"/>
      <w:ind w:left="420" w:leftChars="200" w:firstLine="420" w:firstLineChars="200"/>
    </w:p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1 Char"/>
    <w:link w:val="3"/>
    <w:qFormat/>
    <w:uiPriority w:val="0"/>
    <w:rPr>
      <w:rFonts w:ascii="宋体"/>
    </w:rPr>
  </w:style>
  <w:style w:type="character" w:customStyle="1" w:styleId="68">
    <w:name w:val="标题 2 Char"/>
    <w:link w:val="4"/>
    <w:qFormat/>
    <w:uiPriority w:val="0"/>
    <w:rPr>
      <w:rFonts w:ascii="Arial" w:hAnsi="Arial" w:eastAsia="黑体"/>
      <w:b/>
      <w:kern w:val="2"/>
      <w:sz w:val="32"/>
    </w:rPr>
  </w:style>
  <w:style w:type="character" w:customStyle="1" w:styleId="69">
    <w:name w:val="标题 3 Char"/>
    <w:link w:val="5"/>
    <w:uiPriority w:val="0"/>
    <w:rPr>
      <w:rFonts w:eastAsia="宋体"/>
      <w:b/>
      <w:kern w:val="2"/>
      <w:sz w:val="32"/>
      <w:lang w:val="en-US" w:eastAsia="zh-CN"/>
    </w:rPr>
  </w:style>
  <w:style w:type="character" w:customStyle="1" w:styleId="70">
    <w:name w:val="批注文字 Char"/>
    <w:link w:val="20"/>
    <w:qFormat/>
    <w:uiPriority w:val="0"/>
    <w:rPr>
      <w:sz w:val="24"/>
    </w:rPr>
  </w:style>
  <w:style w:type="character" w:customStyle="1" w:styleId="71">
    <w:name w:val="正文文本缩进 Char"/>
    <w:link w:val="24"/>
    <w:qFormat/>
    <w:uiPriority w:val="0"/>
    <w:rPr>
      <w:kern w:val="2"/>
      <w:sz w:val="44"/>
    </w:rPr>
  </w:style>
  <w:style w:type="character" w:customStyle="1" w:styleId="72">
    <w:name w:val="纯文本 Char"/>
    <w:link w:val="31"/>
    <w:uiPriority w:val="0"/>
    <w:rPr>
      <w:rFonts w:ascii="宋体" w:hAnsi="Courier New"/>
      <w:kern w:val="2"/>
      <w:sz w:val="21"/>
    </w:rPr>
  </w:style>
  <w:style w:type="character" w:customStyle="1" w:styleId="73">
    <w:name w:val="日期 Char"/>
    <w:link w:val="33"/>
    <w:qFormat/>
    <w:uiPriority w:val="0"/>
    <w:rPr>
      <w:kern w:val="2"/>
      <w:sz w:val="28"/>
    </w:rPr>
  </w:style>
  <w:style w:type="character" w:customStyle="1" w:styleId="74">
    <w:name w:val="正文文本缩进 2 Char"/>
    <w:link w:val="34"/>
    <w:qFormat/>
    <w:uiPriority w:val="0"/>
    <w:rPr>
      <w:kern w:val="2"/>
      <w:sz w:val="28"/>
    </w:rPr>
  </w:style>
  <w:style w:type="character" w:customStyle="1" w:styleId="75">
    <w:name w:val="脚注文本 Char"/>
    <w:link w:val="41"/>
    <w:uiPriority w:val="0"/>
    <w:rPr>
      <w:kern w:val="2"/>
      <w:sz w:val="18"/>
    </w:rPr>
  </w:style>
  <w:style w:type="character" w:customStyle="1" w:styleId="76">
    <w:name w:val="批注主题 Char"/>
    <w:link w:val="55"/>
    <w:uiPriority w:val="0"/>
  </w:style>
  <w:style w:type="character" w:customStyle="1" w:styleId="77">
    <w:name w:val="正文首行缩进 2 Char"/>
    <w:link w:val="57"/>
    <w:qFormat/>
    <w:uiPriority w:val="0"/>
  </w:style>
  <w:style w:type="character" w:customStyle="1" w:styleId="78">
    <w:name w:val="content-white1"/>
    <w:qFormat/>
    <w:uiPriority w:val="0"/>
    <w:rPr>
      <w:rFonts w:ascii="_x000B__x000C_" w:hAnsi="_x000B__x000C_"/>
      <w:color w:val="auto"/>
      <w:sz w:val="18"/>
      <w:u w:val="none"/>
    </w:rPr>
  </w:style>
  <w:style w:type="character" w:customStyle="1" w:styleId="79">
    <w:name w:val=" Char Char3"/>
    <w:qFormat/>
    <w:uiPriority w:val="0"/>
    <w:rPr>
      <w:rFonts w:eastAsia="宋体"/>
      <w:kern w:val="2"/>
      <w:sz w:val="18"/>
      <w:lang w:val="en-US" w:eastAsia="zh-CN"/>
    </w:rPr>
  </w:style>
  <w:style w:type="character" w:customStyle="1" w:styleId="80">
    <w:name w:val="Table Text Char Char Char Char"/>
    <w:link w:val="81"/>
    <w:uiPriority w:val="0"/>
    <w:rPr>
      <w:rFonts w:ascii="Arial" w:hAnsi="Arial"/>
      <w:kern w:val="2"/>
      <w:sz w:val="18"/>
      <w:lang w:val="en-US" w:eastAsia="zh-CN" w:bidi="ar-SA"/>
    </w:rPr>
  </w:style>
  <w:style w:type="paragraph" w:customStyle="1" w:styleId="81">
    <w:name w:val="Table Text Char Char Char"/>
    <w:link w:val="80"/>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 Char Char7"/>
    <w:uiPriority w:val="0"/>
    <w:rPr>
      <w:rFonts w:ascii="宋体" w:hAnsi="宋体" w:eastAsia="宋体"/>
      <w:kern w:val="2"/>
      <w:sz w:val="28"/>
    </w:rPr>
  </w:style>
  <w:style w:type="character" w:customStyle="1" w:styleId="83">
    <w:name w:val="未命名11"/>
    <w:qFormat/>
    <w:uiPriority w:val="0"/>
    <w:rPr>
      <w:color w:val="77FFFF"/>
      <w:sz w:val="24"/>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v151"/>
    <w:uiPriority w:val="0"/>
    <w:rPr>
      <w:sz w:val="18"/>
    </w:rPr>
  </w:style>
  <w:style w:type="character" w:customStyle="1" w:styleId="88">
    <w:name w:val=" Char Char2"/>
    <w:qFormat/>
    <w:uiPriority w:val="0"/>
    <w:rPr>
      <w:rFonts w:eastAsia="宋体"/>
      <w:kern w:val="2"/>
      <w:sz w:val="18"/>
      <w:lang w:val="en-US" w:eastAsia="zh-CN"/>
    </w:rPr>
  </w:style>
  <w:style w:type="character" w:customStyle="1" w:styleId="89">
    <w:name w:val="Table Text Char"/>
    <w:link w:val="90"/>
    <w:uiPriority w:val="0"/>
    <w:rPr>
      <w:rFonts w:ascii="Arial" w:hAnsi="Arial"/>
      <w:kern w:val="2"/>
      <w:sz w:val="18"/>
      <w:lang w:val="en-US" w:eastAsia="zh-CN" w:bidi="ar-SA"/>
    </w:rPr>
  </w:style>
  <w:style w:type="paragraph" w:customStyle="1" w:styleId="90">
    <w:name w:val="Table Text"/>
    <w:link w:val="89"/>
    <w:uiPriority w:val="0"/>
    <w:pPr>
      <w:snapToGrid w:val="0"/>
      <w:spacing w:before="80" w:after="80"/>
    </w:pPr>
    <w:rPr>
      <w:rFonts w:ascii="Arial" w:hAnsi="Arial" w:eastAsia="宋体" w:cs="Times New Roman"/>
      <w:kern w:val="2"/>
      <w:sz w:val="18"/>
      <w:lang w:val="en-US" w:eastAsia="zh-CN" w:bidi="ar-SA"/>
    </w:rPr>
  </w:style>
  <w:style w:type="character" w:customStyle="1" w:styleId="91">
    <w:name w:val="Table Heading Char Char"/>
    <w:uiPriority w:val="0"/>
    <w:rPr>
      <w:rFonts w:ascii="Arial" w:hAnsi="Arial" w:eastAsia="黑体"/>
      <w:kern w:val="2"/>
      <w:sz w:val="18"/>
      <w:lang w:val="en-US" w:eastAsia="zh-CN"/>
    </w:rPr>
  </w:style>
  <w:style w:type="character" w:customStyle="1" w:styleId="92">
    <w:name w:val=" Char Char11"/>
    <w:uiPriority w:val="0"/>
    <w:rPr>
      <w:rFonts w:ascii="宋体"/>
      <w:kern w:val="2"/>
      <w:sz w:val="28"/>
    </w:rPr>
  </w:style>
  <w:style w:type="character" w:customStyle="1" w:styleId="93">
    <w:name w:val="样式 宋体"/>
    <w:uiPriority w:val="0"/>
    <w:rPr>
      <w:rFonts w:ascii="宋体" w:hAnsi="宋体" w:eastAsia="宋体"/>
      <w:sz w:val="28"/>
    </w:rPr>
  </w:style>
  <w:style w:type="character" w:customStyle="1" w:styleId="94">
    <w:name w:val="正文 + 三号 Char"/>
    <w:uiPriority w:val="0"/>
    <w:rPr>
      <w:rFonts w:eastAsia="宋体"/>
      <w:kern w:val="2"/>
      <w:sz w:val="21"/>
      <w:lang w:val="en-US" w:eastAsia="zh-CN"/>
    </w:rPr>
  </w:style>
  <w:style w:type="character" w:customStyle="1" w:styleId="95">
    <w:name w:val="crowed11"/>
    <w:uiPriority w:val="0"/>
    <w:rPr>
      <w:rFonts w:hint="default" w:ascii="_x000B__x000C_" w:hAnsi="_x000B__x000C_"/>
      <w:sz w:val="24"/>
    </w:rPr>
  </w:style>
  <w:style w:type="character" w:customStyle="1" w:styleId="96">
    <w:name w:val="font1"/>
    <w:uiPriority w:val="0"/>
    <w:rPr>
      <w:color w:val="000000"/>
      <w:sz w:val="18"/>
    </w:rPr>
  </w:style>
  <w:style w:type="character" w:customStyle="1" w:styleId="97">
    <w:name w:val="H2 Char"/>
    <w:uiPriority w:val="0"/>
    <w:rPr>
      <w:rFonts w:ascii="Arial" w:hAnsi="Arial" w:eastAsia="宋体"/>
      <w:kern w:val="2"/>
      <w:sz w:val="28"/>
      <w:lang w:val="en-US" w:eastAsia="zh-CN"/>
    </w:rPr>
  </w:style>
  <w:style w:type="character" w:customStyle="1" w:styleId="98">
    <w:name w:val=" Char Char4"/>
    <w:uiPriority w:val="0"/>
    <w:rPr>
      <w:rFonts w:eastAsia="宋体"/>
      <w:b/>
      <w:kern w:val="2"/>
      <w:sz w:val="21"/>
      <w:lang w:val="en-US" w:eastAsia="zh-CN"/>
    </w:rPr>
  </w:style>
  <w:style w:type="character" w:customStyle="1" w:styleId="99">
    <w:name w:val="title_emph1"/>
    <w:uiPriority w:val="0"/>
    <w:rPr>
      <w:rFonts w:hint="default" w:ascii="Arial" w:hAnsi="Arial"/>
      <w:b/>
      <w:sz w:val="20"/>
    </w:rPr>
  </w:style>
  <w:style w:type="character" w:customStyle="1" w:styleId="100">
    <w:name w:val=" Char Char6"/>
    <w:uiPriority w:val="0"/>
    <w:rPr>
      <w:rFonts w:ascii="仿宋_GB2312" w:eastAsia="仿宋_GB2312"/>
      <w:kern w:val="2"/>
      <w:sz w:val="32"/>
    </w:rPr>
  </w:style>
  <w:style w:type="character" w:customStyle="1" w:styleId="101">
    <w:name w:val="top-det1"/>
    <w:uiPriority w:val="0"/>
    <w:rPr>
      <w:b/>
      <w:color w:val="000000"/>
    </w:rPr>
  </w:style>
  <w:style w:type="character" w:customStyle="1" w:styleId="102">
    <w:name w:val=" Char Char5"/>
    <w:uiPriority w:val="0"/>
    <w:rPr>
      <w:rFonts w:ascii="Arial" w:hAnsi="Arial" w:eastAsia="宋体"/>
      <w:b/>
      <w:smallCaps/>
      <w:kern w:val="28"/>
      <w:sz w:val="36"/>
      <w:lang w:val="en-US" w:eastAsia="en-US"/>
    </w:rPr>
  </w:style>
  <w:style w:type="character" w:customStyle="1" w:styleId="103">
    <w:name w:val="标书正文:  0.74 厘米 Char1"/>
    <w:uiPriority w:val="0"/>
    <w:rPr>
      <w:rFonts w:eastAsia="宋体"/>
      <w:kern w:val="2"/>
      <w:sz w:val="24"/>
      <w:lang w:val="en-US" w:eastAsia="zh-CN"/>
    </w:rPr>
  </w:style>
  <w:style w:type="character" w:customStyle="1" w:styleId="104">
    <w:name w:val="Table Text Char1 Char"/>
    <w:uiPriority w:val="0"/>
    <w:rPr>
      <w:rFonts w:ascii="Arial" w:hAnsi="Arial"/>
      <w:kern w:val="2"/>
      <w:sz w:val="18"/>
      <w:lang w:val="en-US" w:eastAsia="zh-CN" w:bidi="ar-SA"/>
    </w:rPr>
  </w:style>
  <w:style w:type="character" w:customStyle="1" w:styleId="105">
    <w:name w:val=" Char Char"/>
    <w:uiPriority w:val="0"/>
    <w:rPr>
      <w:rFonts w:ascii="宋体" w:hAnsi="宋体" w:eastAsia="宋体"/>
      <w:kern w:val="2"/>
      <w:sz w:val="24"/>
      <w:lang w:val="en-US" w:eastAsia="zh-CN" w:bidi="ar-SA"/>
    </w:rPr>
  </w:style>
  <w:style w:type="paragraph" w:customStyle="1" w:styleId="106">
    <w:name w:val="IN Feature"/>
    <w:next w:val="107"/>
    <w:uiPriority w:val="0"/>
    <w:pPr>
      <w:keepNext/>
      <w:keepLines/>
      <w:spacing w:before="240" w:after="240"/>
      <w:outlineLvl w:val="7"/>
    </w:pPr>
    <w:rPr>
      <w:rFonts w:ascii="Arial" w:hAnsi="Arial" w:eastAsia="黑体" w:cs="Times New Roman"/>
      <w:sz w:val="21"/>
      <w:lang w:val="en-US" w:eastAsia="zh-CN" w:bidi="ar-SA"/>
    </w:rPr>
  </w:style>
  <w:style w:type="paragraph" w:customStyle="1" w:styleId="107">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8">
    <w:name w:val="表文字"/>
    <w:uiPriority w:val="0"/>
    <w:rPr>
      <w:rFonts w:ascii="宋体" w:hAnsi="Times New Roman" w:eastAsia="宋体" w:cs="Times New Roman"/>
      <w:kern w:val="2"/>
      <w:lang w:val="en-US" w:eastAsia="zh-CN" w:bidi="ar-SA"/>
    </w:rPr>
  </w:style>
  <w:style w:type="paragraph" w:customStyle="1" w:styleId="109">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10">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11">
    <w:name w:val="Char1 Char Char Char"/>
    <w:basedOn w:val="1"/>
    <w:uiPriority w:val="0"/>
    <w:rPr>
      <w:rFonts w:ascii="Tahoma" w:hAnsi="Tahoma"/>
      <w:sz w:val="30"/>
    </w:rPr>
  </w:style>
  <w:style w:type="paragraph" w:customStyle="1" w:styleId="112">
    <w:name w:val="二级列表"/>
    <w:basedOn w:val="113"/>
    <w:next w:val="113"/>
    <w:uiPriority w:val="0"/>
    <w:pPr>
      <w:tabs>
        <w:tab w:val="left" w:pos="2120"/>
      </w:tabs>
      <w:ind w:firstLine="0" w:firstLineChars="0"/>
    </w:pPr>
    <w:rPr>
      <w:b/>
    </w:rPr>
  </w:style>
  <w:style w:type="paragraph" w:customStyle="1" w:styleId="113">
    <w:name w:val="段落正文"/>
    <w:basedOn w:val="1"/>
    <w:uiPriority w:val="0"/>
    <w:pPr>
      <w:spacing w:before="156" w:beforeLines="50" w:beforeAutospacing="0" w:line="360" w:lineRule="auto"/>
      <w:ind w:firstLine="200" w:firstLineChars="200"/>
    </w:pPr>
    <w:rPr>
      <w:spacing w:val="2"/>
      <w:sz w:val="24"/>
    </w:rPr>
  </w:style>
  <w:style w:type="paragraph" w:customStyle="1" w:styleId="114">
    <w:name w:val="00"/>
    <w:basedOn w:val="1"/>
    <w:uiPriority w:val="0"/>
    <w:pPr>
      <w:autoSpaceDE w:val="0"/>
      <w:autoSpaceDN w:val="0"/>
      <w:adjustRightInd w:val="0"/>
      <w:jc w:val="left"/>
    </w:pPr>
    <w:rPr>
      <w:rFonts w:ascii="黑体" w:eastAsia="黑体"/>
      <w:b/>
      <w:kern w:val="0"/>
      <w:sz w:val="20"/>
    </w:rPr>
  </w:style>
  <w:style w:type="paragraph" w:customStyle="1" w:styleId="115">
    <w:name w:val="1.正文"/>
    <w:basedOn w:val="1"/>
    <w:uiPriority w:val="0"/>
    <w:pPr>
      <w:spacing w:line="360" w:lineRule="auto"/>
      <w:ind w:left="540" w:leftChars="225" w:firstLine="540" w:firstLineChars="225"/>
    </w:pPr>
    <w:rPr>
      <w:sz w:val="24"/>
    </w:rPr>
  </w:style>
  <w:style w:type="paragraph" w:customStyle="1" w:styleId="116">
    <w:name w:val="内容标题"/>
    <w:basedOn w:val="18"/>
    <w:uiPriority w:val="0"/>
    <w:rPr>
      <w:rFonts w:ascii="Tahoma" w:hAnsi="Tahoma"/>
      <w:sz w:val="24"/>
    </w:rPr>
  </w:style>
  <w:style w:type="paragraph" w:customStyle="1" w:styleId="117">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8">
    <w:name w:val="表头"/>
    <w:basedOn w:val="119"/>
    <w:uiPriority w:val="0"/>
    <w:pPr>
      <w:jc w:val="center"/>
    </w:pPr>
    <w:rPr>
      <w:b/>
      <w:bCs/>
    </w:rPr>
  </w:style>
  <w:style w:type="paragraph" w:customStyle="1" w:styleId="119">
    <w:name w:val="表格正文"/>
    <w:basedOn w:val="1"/>
    <w:uiPriority w:val="0"/>
    <w:rPr>
      <w:rFonts w:ascii="Calibri" w:hAnsi="Calibri" w:eastAsia="仿宋" w:cs="宋体"/>
      <w:sz w:val="24"/>
    </w:rPr>
  </w:style>
  <w:style w:type="paragraph" w:customStyle="1" w:styleId="120">
    <w:name w:val="正文1"/>
    <w:basedOn w:val="1"/>
    <w:uiPriority w:val="0"/>
    <w:pPr>
      <w:spacing w:line="300" w:lineRule="auto"/>
      <w:ind w:firstLine="200" w:firstLineChars="200"/>
    </w:pPr>
    <w:rPr>
      <w:sz w:val="24"/>
    </w:rPr>
  </w:style>
  <w:style w:type="paragraph" w:customStyle="1" w:styleId="121">
    <w:name w:val="附录1"/>
    <w:basedOn w:val="1"/>
    <w:next w:val="1"/>
    <w:uiPriority w:val="0"/>
    <w:pPr>
      <w:tabs>
        <w:tab w:val="left" w:pos="1304"/>
      </w:tabs>
      <w:ind w:left="425" w:hanging="425"/>
      <w:outlineLvl w:val="0"/>
    </w:pPr>
    <w:rPr>
      <w:rFonts w:ascii="黑体" w:hAnsi="黑体" w:eastAsia="黑体"/>
      <w:b/>
      <w:sz w:val="44"/>
    </w:rPr>
  </w:style>
  <w:style w:type="paragraph" w:customStyle="1" w:styleId="122">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123">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4">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5">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Title - Date"/>
    <w:basedOn w:val="54"/>
    <w:next w:val="1"/>
    <w:uiPriority w:val="0"/>
    <w:pPr>
      <w:spacing w:before="240" w:beforeLines="0" w:beforeAutospacing="0" w:after="720" w:afterLines="0" w:afterAutospacing="0"/>
    </w:pPr>
    <w:rPr>
      <w:sz w:val="28"/>
    </w:rPr>
  </w:style>
  <w:style w:type="paragraph" w:customStyle="1" w:styleId="127">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128">
    <w:name w:val="没有缩进（为图形使用）"/>
    <w:basedOn w:val="1"/>
    <w:uiPriority w:val="0"/>
    <w:pPr>
      <w:spacing w:before="120" w:beforeLines="0" w:beforeAutospacing="0" w:after="120" w:afterLines="0" w:afterAutospacing="0" w:line="360" w:lineRule="auto"/>
    </w:pPr>
    <w:rPr>
      <w:sz w:val="24"/>
    </w:rPr>
  </w:style>
  <w:style w:type="paragraph" w:customStyle="1" w:styleId="129">
    <w:name w:val=" Char1 Char Char Char"/>
    <w:basedOn w:val="1"/>
    <w:uiPriority w:val="0"/>
    <w:rPr>
      <w:rFonts w:ascii="Tahoma" w:hAnsi="Tahoma"/>
      <w:sz w:val="24"/>
    </w:rPr>
  </w:style>
  <w:style w:type="paragraph" w:customStyle="1" w:styleId="130">
    <w:name w:val=" Char1"/>
    <w:basedOn w:val="1"/>
    <w:uiPriority w:val="0"/>
    <w:rPr>
      <w:sz w:val="21"/>
    </w:rPr>
  </w:style>
  <w:style w:type="paragraph" w:customStyle="1" w:styleId="131">
    <w:name w:val="表头样式"/>
    <w:basedOn w:val="1"/>
    <w:uiPriority w:val="0"/>
    <w:pPr>
      <w:autoSpaceDE w:val="0"/>
      <w:autoSpaceDN w:val="0"/>
      <w:adjustRightInd w:val="0"/>
      <w:spacing w:line="360" w:lineRule="auto"/>
      <w:jc w:val="left"/>
    </w:pPr>
    <w:rPr>
      <w:b/>
      <w:kern w:val="0"/>
      <w:sz w:val="21"/>
    </w:rPr>
  </w:style>
  <w:style w:type="paragraph" w:customStyle="1" w:styleId="132">
    <w:name w:val="样式 正文缩进正文（首行缩进两字）表正文正文非缩进特点标题4段1 + 首行缩进:  2 字符"/>
    <w:basedOn w:val="16"/>
    <w:uiPriority w:val="0"/>
    <w:pPr>
      <w:ind w:firstLine="480" w:firstLineChars="200"/>
    </w:pPr>
  </w:style>
  <w:style w:type="paragraph" w:customStyle="1" w:styleId="133">
    <w:name w:val="样式4"/>
    <w:basedOn w:val="6"/>
    <w:uiPriority w:val="0"/>
    <w:pPr>
      <w:adjustRightInd w:val="0"/>
      <w:snapToGrid w:val="0"/>
    </w:pPr>
  </w:style>
  <w:style w:type="paragraph" w:customStyle="1" w:styleId="134">
    <w:name w:val="Body Text Indent 2"/>
    <w:basedOn w:val="1"/>
    <w:uiPriority w:val="0"/>
    <w:pPr>
      <w:adjustRightInd w:val="0"/>
      <w:spacing w:before="120" w:beforeLines="0" w:beforeAutospacing="0"/>
      <w:ind w:firstLine="420"/>
      <w:textAlignment w:val="baseline"/>
    </w:pPr>
    <w:rPr>
      <w:sz w:val="24"/>
    </w:rPr>
  </w:style>
  <w:style w:type="paragraph" w:customStyle="1" w:styleId="135">
    <w:name w:val="首行缩进 1"/>
    <w:basedOn w:val="1"/>
    <w:uiPriority w:val="0"/>
    <w:pPr>
      <w:spacing w:after="120" w:afterLines="0" w:afterAutospacing="0" w:line="360" w:lineRule="auto"/>
      <w:ind w:firstLine="200" w:firstLineChars="200"/>
    </w:pPr>
    <w:rPr>
      <w:sz w:val="24"/>
    </w:rPr>
  </w:style>
  <w:style w:type="paragraph" w:customStyle="1" w:styleId="136">
    <w:name w:val="样式 首行缩进:  0.74 厘米"/>
    <w:basedOn w:val="1"/>
    <w:qFormat/>
    <w:uiPriority w:val="0"/>
    <w:pPr>
      <w:spacing w:line="360" w:lineRule="auto"/>
      <w:ind w:firstLine="420"/>
    </w:pPr>
    <w:rPr>
      <w:sz w:val="24"/>
    </w:rPr>
  </w:style>
  <w:style w:type="paragraph" w:customStyle="1" w:styleId="137">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8">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140">
    <w:name w:val="Title - Revision"/>
    <w:basedOn w:val="54"/>
    <w:uiPriority w:val="0"/>
    <w:pPr>
      <w:spacing w:before="720" w:beforeLines="0" w:beforeAutospacing="0"/>
    </w:pPr>
  </w:style>
  <w:style w:type="paragraph" w:customStyle="1" w:styleId="141">
    <w:name w:val="文本框样式1"/>
    <w:basedOn w:val="1"/>
    <w:uiPriority w:val="0"/>
    <w:pPr>
      <w:adjustRightInd w:val="0"/>
      <w:snapToGrid w:val="0"/>
      <w:spacing w:before="60" w:beforeLines="0" w:beforeAutospacing="0" w:line="180" w:lineRule="exact"/>
      <w:jc w:val="center"/>
    </w:pPr>
    <w:rPr>
      <w:sz w:val="21"/>
    </w:rPr>
  </w:style>
  <w:style w:type="paragraph" w:customStyle="1" w:styleId="142">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1"/>
    <w:basedOn w:val="1"/>
    <w:next w:val="31"/>
    <w:uiPriority w:val="0"/>
    <w:rPr>
      <w:rFonts w:ascii="宋体" w:hAnsi="Courier New"/>
      <w:sz w:val="21"/>
    </w:rPr>
  </w:style>
  <w:style w:type="paragraph" w:customStyle="1" w:styleId="144">
    <w:name w:val="Table Contents"/>
    <w:basedOn w:val="23"/>
    <w:uiPriority w:val="0"/>
    <w:pPr>
      <w:suppressAutoHyphens/>
      <w:jc w:val="left"/>
    </w:pPr>
    <w:rPr>
      <w:rFonts w:ascii="Times New Roman" w:eastAsia="Times New Roman"/>
      <w:kern w:val="0"/>
      <w:sz w:val="24"/>
    </w:rPr>
  </w:style>
  <w:style w:type="paragraph" w:customStyle="1" w:styleId="145">
    <w:name w:val="Item Step in Table"/>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7">
    <w:name w:val="Char Char Char Char Char Char Char"/>
    <w:basedOn w:val="18"/>
    <w:uiPriority w:val="0"/>
    <w:rPr>
      <w:rFonts w:ascii="宋体" w:hAnsi="Tahoma"/>
    </w:rPr>
  </w:style>
  <w:style w:type="paragraph" w:customStyle="1" w:styleId="148">
    <w:name w:val="默认段落字体 Para Char Char Char Char Char Char Char Char Char1 Char Char Char Char"/>
    <w:basedOn w:val="1"/>
    <w:uiPriority w:val="0"/>
    <w:rPr>
      <w:rFonts w:ascii="Tahoma" w:hAnsi="Tahoma"/>
      <w:sz w:val="24"/>
    </w:rPr>
  </w:style>
  <w:style w:type="paragraph" w:customStyle="1" w:styleId="149">
    <w:name w:val="标题无"/>
    <w:basedOn w:val="1"/>
    <w:uiPriority w:val="0"/>
    <w:pPr>
      <w:spacing w:line="360" w:lineRule="auto"/>
    </w:pPr>
    <w:rPr>
      <w:sz w:val="24"/>
    </w:rPr>
  </w:style>
  <w:style w:type="paragraph" w:customStyle="1" w:styleId="150">
    <w:name w:val="样式1"/>
    <w:basedOn w:val="6"/>
    <w:uiPriority w:val="0"/>
    <w:pPr>
      <w:tabs>
        <w:tab w:val="left" w:pos="720"/>
      </w:tabs>
      <w:spacing w:before="500" w:beforeLines="0" w:beforeAutospacing="0" w:after="260" w:afterLines="0" w:afterAutospacing="0" w:line="560" w:lineRule="atLeast"/>
      <w:ind w:left="420" w:hanging="420"/>
    </w:pPr>
  </w:style>
  <w:style w:type="paragraph" w:customStyle="1" w:styleId="151">
    <w:name w:val="二级条标题"/>
    <w:basedOn w:val="152"/>
    <w:next w:val="154"/>
    <w:uiPriority w:val="0"/>
    <w:pPr>
      <w:ind w:left="840"/>
      <w:outlineLvl w:val="3"/>
    </w:pPr>
  </w:style>
  <w:style w:type="paragraph" w:customStyle="1" w:styleId="152">
    <w:name w:val="一级条标题"/>
    <w:basedOn w:val="153"/>
    <w:next w:val="154"/>
    <w:uiPriority w:val="0"/>
    <w:pPr>
      <w:numPr>
        <w:ilvl w:val="1"/>
        <w:numId w:val="0"/>
      </w:numPr>
      <w:spacing w:before="0" w:beforeLines="0" w:beforeAutospacing="0" w:after="0" w:afterLines="0" w:afterAutospacing="0"/>
      <w:ind w:left="525"/>
      <w:outlineLvl w:val="2"/>
    </w:pPr>
    <w:rPr>
      <w:sz w:val="21"/>
    </w:rPr>
  </w:style>
  <w:style w:type="paragraph" w:customStyle="1" w:styleId="153">
    <w:name w:val="章标题"/>
    <w:next w:val="1"/>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_"/>
    <w:basedOn w:val="1"/>
    <w:uiPriority w:val="0"/>
    <w:pPr>
      <w:adjustRightInd w:val="0"/>
      <w:spacing w:line="360" w:lineRule="auto"/>
      <w:ind w:left="480" w:firstLine="200" w:firstLineChars="200"/>
      <w:textAlignment w:val="baseline"/>
    </w:pPr>
    <w:rPr>
      <w:kern w:val="0"/>
      <w:sz w:val="24"/>
    </w:rPr>
  </w:style>
  <w:style w:type="paragraph" w:customStyle="1" w:styleId="156">
    <w:name w:val="关键词"/>
    <w:basedOn w:val="1"/>
    <w:next w:val="1"/>
    <w:uiPriority w:val="0"/>
    <w:pPr>
      <w:spacing w:line="360" w:lineRule="auto"/>
    </w:pPr>
    <w:rPr>
      <w:rFonts w:eastAsia="黑体"/>
      <w:sz w:val="20"/>
    </w:rPr>
  </w:style>
  <w:style w:type="paragraph" w:customStyle="1" w:styleId="157">
    <w:name w:val="样式2"/>
    <w:basedOn w:val="6"/>
    <w:uiPriority w:val="0"/>
    <w:pPr>
      <w:numPr>
        <w:ilvl w:val="0"/>
        <w:numId w:val="6"/>
      </w:numPr>
      <w:spacing w:before="560" w:beforeLines="0" w:line="400" w:lineRule="exact"/>
      <w:jc w:val="center"/>
      <w:outlineLvl w:val="0"/>
    </w:pPr>
    <w:rPr>
      <w:b w:val="0"/>
      <w:sz w:val="44"/>
    </w:rPr>
  </w:style>
  <w:style w:type="paragraph" w:customStyle="1" w:styleId="158">
    <w:name w:val="表头文本"/>
    <w:uiPriority w:val="0"/>
    <w:pPr>
      <w:jc w:val="center"/>
    </w:pPr>
    <w:rPr>
      <w:rFonts w:ascii="Arial" w:hAnsi="Arial" w:eastAsia="宋体" w:cs="Times New Roman"/>
      <w:b/>
      <w:sz w:val="21"/>
      <w:lang w:val="en-US" w:eastAsia="zh-CN" w:bidi="ar-SA"/>
    </w:rPr>
  </w:style>
  <w:style w:type="paragraph" w:customStyle="1" w:styleId="159">
    <w:name w:val="_Style 158"/>
    <w:uiPriority w:val="0"/>
    <w:rPr>
      <w:rFonts w:ascii="Times New Roman" w:hAnsi="Times New Roman" w:eastAsia="宋体" w:cs="Times New Roman"/>
      <w:kern w:val="2"/>
      <w:sz w:val="21"/>
      <w:lang w:val="en-US" w:eastAsia="zh-CN" w:bidi="ar-SA"/>
    </w:rPr>
  </w:style>
  <w:style w:type="paragraph" w:customStyle="1" w:styleId="160">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1">
    <w:name w:val="样式 标题 1 + 居中 段前: 6 磅 段后: 6 磅 行距: 1.5 倍行距"/>
    <w:basedOn w:val="3"/>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2">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3">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5">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66">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67">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68">
    <w:name w:val="样式1xz"/>
    <w:basedOn w:val="1"/>
    <w:uiPriority w:val="0"/>
    <w:pPr>
      <w:tabs>
        <w:tab w:val="left" w:pos="1050"/>
        <w:tab w:val="right" w:leader="dot" w:pos="8296"/>
      </w:tabs>
    </w:pPr>
    <w:rPr>
      <w:caps/>
      <w:spacing w:val="20"/>
      <w:sz w:val="24"/>
    </w:rPr>
  </w:style>
  <w:style w:type="paragraph" w:customStyle="1" w:styleId="169">
    <w:name w:val="样式 宋体 五号 行距: 单倍行距"/>
    <w:basedOn w:val="1"/>
    <w:uiPriority w:val="0"/>
    <w:pPr>
      <w:adjustRightInd w:val="0"/>
      <w:jc w:val="left"/>
    </w:pPr>
    <w:rPr>
      <w:rFonts w:ascii="宋体" w:hAnsi="宋体"/>
      <w:kern w:val="0"/>
      <w:sz w:val="21"/>
    </w:rPr>
  </w:style>
  <w:style w:type="paragraph" w:customStyle="1" w:styleId="170">
    <w:name w:val="图片文字"/>
    <w:basedOn w:val="1"/>
    <w:uiPriority w:val="0"/>
    <w:pPr>
      <w:spacing w:line="240" w:lineRule="atLeast"/>
      <w:jc w:val="center"/>
    </w:pPr>
    <w:rPr>
      <w:sz w:val="21"/>
    </w:rPr>
  </w:style>
  <w:style w:type="paragraph" w:customStyle="1" w:styleId="171">
    <w:name w:val="Char"/>
    <w:basedOn w:val="1"/>
    <w:uiPriority w:val="0"/>
    <w:pPr>
      <w:spacing w:line="240" w:lineRule="atLeast"/>
      <w:ind w:left="420" w:firstLine="420"/>
    </w:pPr>
    <w:rPr>
      <w:kern w:val="0"/>
      <w:sz w:val="21"/>
    </w:rPr>
  </w:style>
  <w:style w:type="paragraph" w:customStyle="1" w:styleId="172">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3">
    <w:name w:val="Note"/>
    <w:basedOn w:val="1"/>
    <w:uiPriority w:val="0"/>
    <w:pPr>
      <w:pBdr>
        <w:top w:val="single" w:color="auto" w:sz="12" w:space="3"/>
        <w:bottom w:val="single" w:color="auto" w:sz="12" w:space="3"/>
      </w:pBdr>
      <w:spacing w:line="360" w:lineRule="auto"/>
    </w:pPr>
    <w:rPr>
      <w:sz w:val="24"/>
    </w:rPr>
  </w:style>
  <w:style w:type="paragraph" w:customStyle="1" w:styleId="174">
    <w:name w:val=" Char"/>
    <w:basedOn w:val="1"/>
    <w:uiPriority w:val="0"/>
    <w:pPr>
      <w:spacing w:line="240" w:lineRule="atLeast"/>
      <w:ind w:left="420" w:firstLine="420"/>
    </w:pPr>
    <w:rPr>
      <w:kern w:val="0"/>
      <w:sz w:val="21"/>
    </w:rPr>
  </w:style>
  <w:style w:type="paragraph" w:customStyle="1" w:styleId="175">
    <w:name w:val=" Char Char Char"/>
    <w:basedOn w:val="1"/>
    <w:uiPriority w:val="0"/>
    <w:rPr>
      <w:rFonts w:ascii="Tahoma" w:hAnsi="Tahoma"/>
      <w:sz w:val="24"/>
    </w:rPr>
  </w:style>
  <w:style w:type="paragraph" w:customStyle="1" w:styleId="176">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77">
    <w:name w:val="标书正文:  0.74 厘米"/>
    <w:basedOn w:val="1"/>
    <w:uiPriority w:val="0"/>
    <w:pPr>
      <w:snapToGrid w:val="0"/>
      <w:spacing w:line="360" w:lineRule="auto"/>
      <w:ind w:firstLine="420"/>
    </w:pPr>
    <w:rPr>
      <w:sz w:val="24"/>
    </w:rPr>
  </w:style>
  <w:style w:type="paragraph" w:customStyle="1" w:styleId="178">
    <w:name w:val=" Char Char 字元 字元 字元 Char Char Char Char"/>
    <w:basedOn w:val="1"/>
    <w:uiPriority w:val="0"/>
    <w:pPr>
      <w:adjustRightInd w:val="0"/>
      <w:spacing w:line="360" w:lineRule="auto"/>
    </w:pPr>
    <w:rPr>
      <w:kern w:val="0"/>
      <w:sz w:val="24"/>
    </w:rPr>
  </w:style>
  <w:style w:type="paragraph" w:customStyle="1" w:styleId="179">
    <w:name w:val="样式 标题 6第五层条 + 三号 段前: 0.5 行"/>
    <w:basedOn w:val="8"/>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0">
    <w:name w:val="列表项目"/>
    <w:basedOn w:val="1"/>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1">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2">
    <w:name w:val=" Char Char14 Char Char"/>
    <w:basedOn w:val="1"/>
    <w:uiPriority w:val="0"/>
    <w:rPr>
      <w:sz w:val="21"/>
      <w:szCs w:val="24"/>
    </w:rPr>
  </w:style>
  <w:style w:type="paragraph" w:customStyle="1" w:styleId="183">
    <w:name w:val="表号"/>
    <w:basedOn w:val="1"/>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4">
    <w:name w:val="可研正文"/>
    <w:basedOn w:val="23"/>
    <w:uiPriority w:val="0"/>
    <w:pPr>
      <w:adjustRightInd w:val="0"/>
      <w:snapToGrid w:val="0"/>
      <w:spacing w:line="440" w:lineRule="exact"/>
      <w:ind w:firstLine="567"/>
    </w:pPr>
    <w:rPr>
      <w:sz w:val="28"/>
    </w:rPr>
  </w:style>
  <w:style w:type="paragraph" w:customStyle="1" w:styleId="185">
    <w:name w:val="标题2"/>
    <w:basedOn w:val="4"/>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6">
    <w:name w:val="首行缩进"/>
    <w:basedOn w:val="1"/>
    <w:uiPriority w:val="0"/>
    <w:pPr>
      <w:numPr>
        <w:ilvl w:val="0"/>
        <w:numId w:val="8"/>
      </w:numPr>
      <w:spacing w:line="360" w:lineRule="auto"/>
    </w:pPr>
    <w:rPr>
      <w:rFonts w:eastAsia="仿宋_GB2312"/>
    </w:rPr>
  </w:style>
  <w:style w:type="paragraph" w:customStyle="1" w:styleId="187">
    <w:name w:val="样式 宋体 五号 两端对齐 行距: 单倍行距"/>
    <w:basedOn w:val="1"/>
    <w:uiPriority w:val="0"/>
    <w:pPr>
      <w:adjustRightInd w:val="0"/>
      <w:textAlignment w:val="baseline"/>
    </w:pPr>
    <w:rPr>
      <w:rFonts w:ascii="宋体" w:hAnsi="宋体"/>
      <w:kern w:val="0"/>
      <w:sz w:val="21"/>
    </w:rPr>
  </w:style>
  <w:style w:type="paragraph" w:customStyle="1" w:styleId="188">
    <w:name w:val="正文 + 三号"/>
    <w:basedOn w:val="1"/>
    <w:uiPriority w:val="0"/>
    <w:rPr>
      <w:sz w:val="21"/>
    </w:rPr>
  </w:style>
  <w:style w:type="paragraph" w:customStyle="1" w:styleId="189">
    <w:name w:val=" Char Char1 Char"/>
    <w:basedOn w:val="1"/>
    <w:uiPriority w:val="0"/>
    <w:rPr>
      <w:rFonts w:ascii="Tahoma" w:hAnsi="Tahoma"/>
      <w:sz w:val="24"/>
      <w:szCs w:val="24"/>
    </w:rPr>
  </w:style>
  <w:style w:type="paragraph" w:customStyle="1" w:styleId="190">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191">
    <w:name w:val="正文格式 Char"/>
    <w:basedOn w:val="1"/>
    <w:uiPriority w:val="0"/>
    <w:pPr>
      <w:widowControl/>
      <w:adjustRightInd w:val="0"/>
      <w:spacing w:line="440" w:lineRule="atLeast"/>
      <w:ind w:firstLine="510"/>
      <w:textAlignment w:val="baseline"/>
    </w:pPr>
    <w:rPr>
      <w:kern w:val="0"/>
      <w:sz w:val="24"/>
    </w:rPr>
  </w:style>
  <w:style w:type="paragraph" w:customStyle="1" w:styleId="192">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93">
    <w:name w:val="bt"/>
    <w:basedOn w:val="1"/>
    <w:next w:val="23"/>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4">
    <w:name w:val="样式 正文首行缩进 2 + 首行缩进:  2 字符"/>
    <w:basedOn w:val="1"/>
    <w:uiPriority w:val="0"/>
    <w:pPr>
      <w:numPr>
        <w:ilvl w:val="0"/>
        <w:numId w:val="9"/>
      </w:numPr>
      <w:adjustRightInd w:val="0"/>
      <w:snapToGrid w:val="0"/>
      <w:spacing w:line="360" w:lineRule="auto"/>
    </w:pPr>
    <w:rPr>
      <w:rFonts w:ascii="Arial" w:hAnsi="Arial"/>
      <w:b/>
      <w:sz w:val="24"/>
    </w:rPr>
  </w:style>
  <w:style w:type="paragraph" w:customStyle="1" w:styleId="195">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摘要"/>
    <w:basedOn w:val="1"/>
    <w:next w:val="4"/>
    <w:uiPriority w:val="0"/>
    <w:pPr>
      <w:spacing w:line="360" w:lineRule="auto"/>
    </w:pPr>
    <w:rPr>
      <w:rFonts w:eastAsia="黑体"/>
      <w:sz w:val="20"/>
    </w:rPr>
  </w:style>
  <w:style w:type="paragraph" w:customStyle="1" w:styleId="197">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98">
    <w:name w:val="正文（首行不缩进）"/>
    <w:basedOn w:val="1"/>
    <w:uiPriority w:val="0"/>
    <w:pPr>
      <w:autoSpaceDE w:val="0"/>
      <w:autoSpaceDN w:val="0"/>
      <w:adjustRightInd w:val="0"/>
      <w:spacing w:line="360" w:lineRule="auto"/>
      <w:jc w:val="left"/>
    </w:pPr>
    <w:rPr>
      <w:kern w:val="0"/>
      <w:sz w:val="21"/>
    </w:rPr>
  </w:style>
  <w:style w:type="paragraph" w:customStyle="1" w:styleId="199">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CSS1级正文 Char"/>
    <w:basedOn w:val="23"/>
    <w:uiPriority w:val="0"/>
    <w:pPr>
      <w:adjustRightInd w:val="0"/>
      <w:snapToGrid w:val="0"/>
      <w:spacing w:line="360" w:lineRule="auto"/>
      <w:ind w:firstLine="480"/>
    </w:pPr>
    <w:rPr>
      <w:rFonts w:ascii="Times New Roman" w:eastAsia="宋体"/>
      <w:sz w:val="24"/>
    </w:rPr>
  </w:style>
  <w:style w:type="paragraph" w:customStyle="1" w:styleId="201">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2">
    <w:name w:val="操作步骤"/>
    <w:basedOn w:val="1"/>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 Char2 Char Char Char Char Char Char"/>
    <w:basedOn w:val="1"/>
    <w:uiPriority w:val="0"/>
    <w:rPr>
      <w:rFonts w:ascii="仿宋_GB2312"/>
      <w:b/>
      <w:sz w:val="30"/>
    </w:rPr>
  </w:style>
  <w:style w:type="paragraph" w:customStyle="1" w:styleId="204">
    <w:name w:val="简单回函地址"/>
    <w:basedOn w:val="1"/>
    <w:uiPriority w:val="0"/>
    <w:pPr>
      <w:adjustRightInd w:val="0"/>
      <w:snapToGrid w:val="0"/>
      <w:spacing w:line="360" w:lineRule="auto"/>
    </w:pPr>
    <w:rPr>
      <w:sz w:val="24"/>
    </w:rPr>
  </w:style>
  <w:style w:type="paragraph" w:customStyle="1" w:styleId="205">
    <w:name w:val="样式 样式 首行缩进:  2 字符 + 首行缩进:  2 字符"/>
    <w:basedOn w:val="1"/>
    <w:uiPriority w:val="0"/>
    <w:pPr>
      <w:numPr>
        <w:ilvl w:val="0"/>
        <w:numId w:val="11"/>
      </w:numPr>
      <w:tabs>
        <w:tab w:val="clear" w:pos="1230"/>
      </w:tabs>
      <w:spacing w:line="360" w:lineRule="auto"/>
      <w:ind w:firstLine="480" w:firstLineChars="200"/>
    </w:pPr>
    <w:rPr>
      <w:sz w:val="24"/>
    </w:rPr>
  </w:style>
  <w:style w:type="paragraph" w:customStyle="1" w:styleId="206">
    <w:name w:val="样式 标题 1章标题Heading 0Section HeadPIM 1H1h11st levell11H1..."/>
    <w:basedOn w:val="3"/>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7">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8">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09">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0">
    <w:name w:val="Style Heading 3h3Heading 3 - oldLevel 3 HeadH3level_3PIM 3se..."/>
    <w:basedOn w:val="5"/>
    <w:uiPriority w:val="0"/>
    <w:pPr>
      <w:numPr>
        <w:ilvl w:val="2"/>
        <w:numId w:val="2"/>
      </w:numPr>
      <w:tabs>
        <w:tab w:val="left" w:pos="709"/>
        <w:tab w:val="left" w:pos="1620"/>
      </w:tabs>
      <w:spacing w:line="413" w:lineRule="auto"/>
    </w:pPr>
  </w:style>
  <w:style w:type="paragraph" w:customStyle="1" w:styleId="211">
    <w:name w:val="文本1"/>
    <w:basedOn w:val="1"/>
    <w:qFormat/>
    <w:uiPriority w:val="0"/>
    <w:pPr>
      <w:adjustRightInd w:val="0"/>
      <w:spacing w:line="312" w:lineRule="atLeast"/>
      <w:jc w:val="center"/>
      <w:textAlignment w:val="baseline"/>
    </w:pPr>
    <w:rPr>
      <w:kern w:val="0"/>
      <w:sz w:val="18"/>
    </w:rPr>
  </w:style>
  <w:style w:type="paragraph" w:customStyle="1" w:styleId="212">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3">
    <w:name w:val="样式3"/>
    <w:basedOn w:val="3"/>
    <w:next w:val="3"/>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4">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15">
    <w:name w:val="标题3——2"/>
    <w:basedOn w:val="5"/>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7">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8">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0">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1">
    <w:name w:val="af"/>
    <w:basedOn w:val="1"/>
    <w:qFormat/>
    <w:uiPriority w:val="0"/>
    <w:pPr>
      <w:widowControl/>
      <w:spacing w:line="300" w:lineRule="atLeast"/>
      <w:jc w:val="left"/>
    </w:pPr>
    <w:rPr>
      <w:rFonts w:ascii="宋体" w:hAnsi="宋体"/>
      <w:kern w:val="0"/>
      <w:sz w:val="18"/>
    </w:rPr>
  </w:style>
  <w:style w:type="paragraph" w:customStyle="1" w:styleId="222">
    <w:name w:val="文章正文"/>
    <w:basedOn w:val="1"/>
    <w:qFormat/>
    <w:uiPriority w:val="0"/>
    <w:pPr>
      <w:ind w:firstLine="560" w:firstLineChars="200"/>
    </w:pPr>
    <w:rPr>
      <w:rFonts w:ascii="仿宋_GB2312" w:hAnsi="宋体" w:eastAsia="仿宋_GB2312"/>
      <w:color w:val="000000"/>
    </w:rPr>
  </w:style>
  <w:style w:type="paragraph" w:customStyle="1" w:styleId="22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qFormat/>
    <w:uiPriority w:val="0"/>
    <w:rPr>
      <w:rFonts w:ascii="Tahoma" w:hAnsi="Tahoma"/>
      <w:sz w:val="24"/>
    </w:rPr>
  </w:style>
  <w:style w:type="paragraph" w:customStyle="1" w:styleId="229">
    <w:name w:val="编号正文"/>
    <w:basedOn w:val="199"/>
    <w:qFormat/>
    <w:uiPriority w:val="0"/>
    <w:pPr>
      <w:snapToGrid/>
      <w:spacing w:line="360" w:lineRule="auto"/>
      <w:ind w:left="1407" w:hanging="1047"/>
      <w:jc w:val="left"/>
    </w:pPr>
    <w:rPr>
      <w:rFonts w:eastAsia="仿宋_GB2312"/>
    </w:rPr>
  </w:style>
  <w:style w:type="paragraph" w:customStyle="1" w:styleId="230">
    <w:name w:val="表格内文字"/>
    <w:basedOn w:val="31"/>
    <w:qFormat/>
    <w:uiPriority w:val="0"/>
    <w:pPr>
      <w:adjustRightInd w:val="0"/>
    </w:pPr>
    <w:rPr>
      <w:color w:val="000000"/>
      <w:lang w:val="en-GB"/>
    </w:rPr>
  </w:style>
  <w:style w:type="paragraph" w:customStyle="1" w:styleId="231">
    <w:name w:val="样式 行距: 1.5 倍行距1"/>
    <w:basedOn w:val="1"/>
    <w:qFormat/>
    <w:uiPriority w:val="0"/>
    <w:pPr>
      <w:snapToGrid w:val="0"/>
    </w:pPr>
    <w:rPr>
      <w:sz w:val="21"/>
    </w:rPr>
  </w:style>
  <w:style w:type="paragraph" w:customStyle="1" w:styleId="232">
    <w:name w:val=" Char Char Char Char Char Char Char"/>
    <w:basedOn w:val="1"/>
    <w:qFormat/>
    <w:uiPriority w:val="0"/>
    <w:rPr>
      <w:rFonts w:ascii="Tahoma" w:hAnsi="Tahoma"/>
      <w:sz w:val="24"/>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qFormat/>
    <w:uiPriority w:val="0"/>
    <w:pPr>
      <w:adjustRightInd w:val="0"/>
      <w:spacing w:before="40" w:beforeLines="0" w:beforeAutospacing="0" w:after="40" w:afterLines="0" w:afterAutospacing="0"/>
    </w:pPr>
    <w:rPr>
      <w:sz w:val="24"/>
    </w:rPr>
  </w:style>
  <w:style w:type="paragraph" w:customStyle="1" w:styleId="23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qFormat/>
    <w:uiPriority w:val="0"/>
    <w:pPr>
      <w:tabs>
        <w:tab w:val="left" w:pos="360"/>
      </w:tabs>
    </w:pPr>
    <w:rPr>
      <w:sz w:val="24"/>
    </w:rPr>
  </w:style>
  <w:style w:type="paragraph" w:customStyle="1" w:styleId="2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4"/>
    <w:qFormat/>
    <w:uiPriority w:val="0"/>
    <w:pPr>
      <w:spacing w:before="60" w:beforeLines="0" w:after="60" w:afterLines="0" w:line="360" w:lineRule="auto"/>
      <w:ind w:left="0" w:firstLine="482"/>
    </w:pPr>
    <w:rPr>
      <w:rFonts w:ascii="Arial" w:hAnsi="Arial"/>
      <w:sz w:val="24"/>
    </w:rPr>
  </w:style>
  <w:style w:type="paragraph" w:styleId="239">
    <w:name w:val="List Paragraph"/>
    <w:basedOn w:val="1"/>
    <w:unhideWhenUsed/>
    <w:qFormat/>
    <w:uiPriority w:val="99"/>
    <w:pPr>
      <w:ind w:firstLine="420" w:firstLineChars="200"/>
    </w:pPr>
  </w:style>
  <w:style w:type="paragraph" w:customStyle="1" w:styleId="240">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1">
    <w:name w:val="列出段落11"/>
    <w:basedOn w:val="1"/>
    <w:qFormat/>
    <w:uiPriority w:val="0"/>
    <w:pPr>
      <w:ind w:firstLine="42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199</Pages>
  <Words>26049</Words>
  <Characters>27261</Characters>
  <Lines>166</Lines>
  <Paragraphs>46</Paragraphs>
  <TotalTime>0</TotalTime>
  <ScaleCrop>false</ScaleCrop>
  <LinksUpToDate>false</LinksUpToDate>
  <CharactersWithSpaces>28393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2022-06-13T08:38:00Z</dcterms:created>
  <dc:creator>罗成</dc:creator>
  <cp:lastModifiedBy>圆圆</cp:lastModifiedBy>
  <cp:lastPrinted>2022-05-18T09:11:00Z</cp:lastPrinted>
  <dcterms:modified xsi:type="dcterms:W3CDTF">2025-09-15T08:17:21Z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BC6ECBF0E0A44692B6DC6728FC323BE9_13</vt:lpwstr>
  </property>
  <property fmtid="{D5CDD505-2E9C-101B-9397-08002B2CF9AE}" pid="4" name="KSOTemplateDocerSaveRecord">
    <vt:lpwstr>eyJoZGlkIjoiZjI1Mjk2NzY4YWIyYWVmYTI0MTlmNjc5YTMzZTJjNmIiLCJ1c2VySWQiOiIxMTM5NTc0NTM3In0=</vt:lpwstr>
  </property>
</Properties>
</file>