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9A02EA">
      <w:pPr>
        <w:rPr>
          <w:rFonts w:ascii="黑体" w:hAnsi="黑体" w:eastAsia="黑体"/>
          <w:b/>
          <w:bCs/>
          <w:color w:val="FF0000"/>
          <w:spacing w:val="80"/>
          <w:sz w:val="44"/>
          <w:szCs w:val="44"/>
        </w:rPr>
      </w:pPr>
      <w:r>
        <w:rPr>
          <w:rFonts w:hint="eastAsia" w:ascii="宋体" w:hAnsi="宋体"/>
        </w:rPr>
        <w:t xml:space="preserve"> </w:t>
      </w:r>
    </w:p>
    <w:p w14:paraId="6510B3D8">
      <w:pPr>
        <w:rPr>
          <w:rFonts w:ascii="黑体" w:hAnsi="黑体" w:eastAsia="黑体"/>
          <w:b/>
          <w:bCs/>
          <w:color w:val="FF0000"/>
          <w:spacing w:val="80"/>
          <w:sz w:val="44"/>
          <w:szCs w:val="44"/>
        </w:rPr>
      </w:pPr>
    </w:p>
    <w:p w14:paraId="7CDC7832">
      <w:pPr>
        <w:rPr>
          <w:rFonts w:ascii="方正小标宋_GBK" w:hAnsi="方正小标宋_GBK" w:eastAsia="方正小标宋_GBK" w:cs="方正小标宋_GBK"/>
          <w:spacing w:val="80"/>
          <w:sz w:val="96"/>
          <w:szCs w:val="96"/>
        </w:rPr>
      </w:pPr>
      <w:bookmarkStart w:id="0" w:name="_Toc12808"/>
      <w:bookmarkStart w:id="1" w:name="_Toc18159"/>
      <w:bookmarkStart w:id="2" w:name="_Toc313893526"/>
      <w:bookmarkStart w:id="3" w:name="_Toc18881"/>
      <w:bookmarkStart w:id="4" w:name="_Toc3463"/>
      <w:bookmarkStart w:id="5" w:name="_Toc26820"/>
      <w:bookmarkStart w:id="6" w:name="_Toc25458"/>
      <w:bookmarkStart w:id="7" w:name="_Toc7625"/>
      <w:bookmarkStart w:id="8" w:name="_Toc317775175"/>
    </w:p>
    <w:p w14:paraId="1A2B9580">
      <w:pPr>
        <w:ind w:firstLine="1120" w:firstLineChars="100"/>
        <w:rPr>
          <w:rFonts w:ascii="方正小标宋_GBK" w:hAnsi="方正小标宋_GBK" w:eastAsia="方正小标宋_GBK" w:cs="方正小标宋_GBK"/>
          <w:spacing w:val="80"/>
          <w:sz w:val="96"/>
          <w:szCs w:val="96"/>
        </w:rPr>
      </w:pPr>
      <w:r>
        <w:rPr>
          <w:rFonts w:hint="eastAsia" w:ascii="方正小标宋_GBK" w:hAnsi="方正小标宋_GBK" w:eastAsia="方正小标宋_GBK" w:cs="方正小标宋_GBK"/>
          <w:spacing w:val="80"/>
          <w:sz w:val="96"/>
          <w:szCs w:val="96"/>
        </w:rPr>
        <w:t>网上竞采文件</w:t>
      </w:r>
    </w:p>
    <w:p w14:paraId="4A4786C0">
      <w:pPr>
        <w:rPr>
          <w:rFonts w:ascii="方正小标宋_GBK" w:hAnsi="方正小标宋_GBK" w:eastAsia="方正小标宋_GBK" w:cs="方正小标宋_GBK"/>
          <w:sz w:val="32"/>
          <w:szCs w:val="32"/>
        </w:rPr>
      </w:pPr>
    </w:p>
    <w:p w14:paraId="29544EE7">
      <w:pPr>
        <w:rPr>
          <w:rFonts w:ascii="方正小标宋_GBK" w:hAnsi="方正小标宋_GBK" w:eastAsia="方正小标宋_GBK" w:cs="方正小标宋_GBK"/>
          <w:sz w:val="32"/>
          <w:szCs w:val="32"/>
        </w:rPr>
      </w:pPr>
    </w:p>
    <w:p w14:paraId="2B401B1F">
      <w:pPr>
        <w:rPr>
          <w:rFonts w:ascii="方正小标宋_GBK" w:hAnsi="方正小标宋_GBK" w:eastAsia="方正小标宋_GBK" w:cs="方正小标宋_GBK"/>
          <w:sz w:val="32"/>
          <w:szCs w:val="32"/>
        </w:rPr>
      </w:pPr>
    </w:p>
    <w:p w14:paraId="6337DF0D">
      <w:pPr>
        <w:rPr>
          <w:rFonts w:ascii="方正小标宋_GBK" w:hAnsi="方正小标宋_GBK" w:eastAsia="方正小标宋_GBK" w:cs="方正小标宋_GBK"/>
          <w:sz w:val="32"/>
          <w:szCs w:val="32"/>
        </w:rPr>
      </w:pPr>
    </w:p>
    <w:p w14:paraId="6F658A08">
      <w:pPr>
        <w:ind w:firstLine="640" w:firstLineChars="200"/>
        <w:rPr>
          <w:rFonts w:hint="default" w:ascii="华文仿宋" w:hAnsi="华文仿宋" w:eastAsia="华文仿宋" w:cs="仿宋"/>
          <w:color w:val="000000"/>
          <w:sz w:val="36"/>
          <w:szCs w:val="30"/>
          <w:lang w:val="en-US" w:eastAsia="zh-CN"/>
        </w:rPr>
      </w:pPr>
      <w:r>
        <w:rPr>
          <w:rFonts w:hint="eastAsia" w:ascii="方正小标宋_GBK" w:hAnsi="方正小标宋_GBK" w:eastAsia="方正小标宋_GBK" w:cs="方正小标宋_GBK"/>
          <w:sz w:val="32"/>
          <w:szCs w:val="32"/>
        </w:rPr>
        <w:t>项目名称：</w:t>
      </w:r>
      <w:r>
        <w:rPr>
          <w:rFonts w:hint="eastAsia" w:ascii="华文仿宋" w:hAnsi="华文仿宋" w:eastAsia="华文仿宋" w:cs="仿宋"/>
          <w:color w:val="000000"/>
          <w:sz w:val="28"/>
          <w:szCs w:val="24"/>
        </w:rPr>
        <w:t>四害</w:t>
      </w:r>
      <w:r>
        <w:rPr>
          <w:rFonts w:hint="eastAsia" w:ascii="华文仿宋" w:hAnsi="华文仿宋" w:eastAsia="华文仿宋" w:cs="仿宋"/>
          <w:color w:val="000000"/>
          <w:sz w:val="28"/>
          <w:szCs w:val="24"/>
          <w:lang w:val="en-US" w:eastAsia="zh-CN"/>
        </w:rPr>
        <w:t>防治供应商采购</w:t>
      </w:r>
    </w:p>
    <w:p w14:paraId="0D27CC87">
      <w:pPr>
        <w:rPr>
          <w:rFonts w:ascii="方正小标宋_GBK" w:hAnsi="方正小标宋_GBK" w:eastAsia="方正小标宋_GBK" w:cs="方正小标宋_GBK"/>
          <w:sz w:val="32"/>
          <w:szCs w:val="32"/>
        </w:rPr>
      </w:pPr>
    </w:p>
    <w:p w14:paraId="20AA8D1A">
      <w:pPr>
        <w:ind w:firstLine="640" w:firstLineChars="200"/>
        <w:rPr>
          <w:rFonts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32"/>
          <w:szCs w:val="32"/>
        </w:rPr>
        <w:t>采购单位：</w:t>
      </w:r>
      <w:r>
        <w:rPr>
          <w:rFonts w:hint="eastAsia" w:ascii="华文仿宋" w:hAnsi="华文仿宋" w:eastAsia="华文仿宋" w:cs="仿宋"/>
          <w:color w:val="000000"/>
          <w:sz w:val="28"/>
          <w:szCs w:val="24"/>
        </w:rPr>
        <w:t>重庆临空文化旅游发展有限公司渝北假日酒店分公司</w:t>
      </w:r>
    </w:p>
    <w:p w14:paraId="3194B302">
      <w:pPr>
        <w:rPr>
          <w:rFonts w:ascii="方正小标宋_GBK" w:hAnsi="方正小标宋_GBK" w:eastAsia="方正小标宋_GBK" w:cs="方正小标宋_GBK"/>
          <w:sz w:val="32"/>
          <w:szCs w:val="32"/>
        </w:rPr>
      </w:pPr>
    </w:p>
    <w:p w14:paraId="738DCC3A">
      <w:pPr>
        <w:rPr>
          <w:rFonts w:ascii="方正小标宋_GBK" w:hAnsi="方正小标宋_GBK" w:eastAsia="方正小标宋_GBK" w:cs="方正小标宋_GBK"/>
          <w:sz w:val="32"/>
          <w:szCs w:val="32"/>
        </w:rPr>
      </w:pPr>
    </w:p>
    <w:p w14:paraId="113822AA">
      <w:pPr>
        <w:rPr>
          <w:rFonts w:ascii="方正小标宋_GBK" w:hAnsi="方正小标宋_GBK" w:eastAsia="方正小标宋_GBK" w:cs="方正小标宋_GBK"/>
          <w:sz w:val="32"/>
          <w:szCs w:val="32"/>
        </w:rPr>
      </w:pPr>
    </w:p>
    <w:p w14:paraId="5E349115">
      <w:pPr>
        <w:rPr>
          <w:rFonts w:ascii="方正小标宋_GBK" w:hAnsi="方正小标宋_GBK" w:eastAsia="方正小标宋_GBK" w:cs="方正小标宋_GBK"/>
          <w:sz w:val="32"/>
          <w:szCs w:val="32"/>
        </w:rPr>
      </w:pPr>
    </w:p>
    <w:p w14:paraId="2EBF48DE">
      <w:pPr>
        <w:ind w:firstLine="3200" w:firstLineChars="10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二〇二</w:t>
      </w:r>
      <w:r>
        <w:rPr>
          <w:rFonts w:hint="eastAsia" w:ascii="方正小标宋_GBK" w:hAnsi="方正小标宋_GBK" w:eastAsia="方正小标宋_GBK" w:cs="方正小标宋_GBK"/>
          <w:sz w:val="32"/>
          <w:szCs w:val="32"/>
          <w:lang w:val="en-US" w:eastAsia="zh-CN"/>
        </w:rPr>
        <w:t>五</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五</w:t>
      </w:r>
      <w:r>
        <w:rPr>
          <w:rFonts w:hint="eastAsia" w:ascii="方正小标宋_GBK" w:hAnsi="方正小标宋_GBK" w:eastAsia="方正小标宋_GBK" w:cs="方正小标宋_GBK"/>
          <w:sz w:val="32"/>
          <w:szCs w:val="32"/>
        </w:rPr>
        <w:t>月</w:t>
      </w:r>
    </w:p>
    <w:p w14:paraId="08C2AB63">
      <w:pPr>
        <w:rPr>
          <w:rFonts w:ascii="方正小标宋_GBK" w:hAnsi="方正小标宋_GBK" w:eastAsia="方正小标宋_GBK" w:cs="方正小标宋_GBK"/>
          <w:sz w:val="32"/>
          <w:szCs w:val="32"/>
        </w:rPr>
      </w:pPr>
    </w:p>
    <w:p w14:paraId="461F13FE">
      <w:pPr>
        <w:ind w:firstLine="480" w:firstLineChars="200"/>
        <w:rPr>
          <w:rFonts w:ascii="宋体" w:hAnsi="宋体" w:cs="宋体"/>
          <w:sz w:val="32"/>
          <w:szCs w:val="32"/>
        </w:rPr>
      </w:pPr>
      <w:r>
        <w:rPr>
          <w:rFonts w:ascii="宋体" w:hAnsi="宋体" w:cs="宋体"/>
          <w:sz w:val="24"/>
          <w:szCs w:val="24"/>
        </w:rPr>
        <w:br w:type="page"/>
      </w:r>
      <w:r>
        <w:rPr>
          <w:rFonts w:hint="eastAsia" w:ascii="黑体" w:hAnsi="黑体" w:eastAsia="黑体" w:cs="黑体"/>
          <w:sz w:val="32"/>
          <w:szCs w:val="32"/>
        </w:rPr>
        <w:t>一、采购内容</w:t>
      </w:r>
      <w:bookmarkEnd w:id="0"/>
      <w:bookmarkEnd w:id="1"/>
      <w:bookmarkEnd w:id="2"/>
      <w:bookmarkEnd w:id="3"/>
      <w:bookmarkEnd w:id="4"/>
      <w:bookmarkEnd w:id="5"/>
      <w:bookmarkEnd w:id="6"/>
      <w:bookmarkEnd w:id="7"/>
      <w:bookmarkEnd w:id="8"/>
    </w:p>
    <w:tbl>
      <w:tblPr>
        <w:tblStyle w:val="57"/>
        <w:tblW w:w="10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4"/>
        <w:gridCol w:w="1523"/>
        <w:gridCol w:w="1984"/>
        <w:gridCol w:w="1870"/>
        <w:gridCol w:w="1735"/>
      </w:tblGrid>
      <w:tr w14:paraId="6176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44" w:type="dxa"/>
            <w:tcBorders>
              <w:top w:val="single" w:color="auto" w:sz="4" w:space="0"/>
              <w:left w:val="single" w:color="auto" w:sz="4" w:space="0"/>
              <w:right w:val="single" w:color="auto" w:sz="4" w:space="0"/>
            </w:tcBorders>
            <w:vAlign w:val="center"/>
          </w:tcPr>
          <w:p w14:paraId="08A5BAD0">
            <w:pP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项目名称</w:t>
            </w:r>
          </w:p>
        </w:tc>
        <w:tc>
          <w:tcPr>
            <w:tcW w:w="1523" w:type="dxa"/>
            <w:tcBorders>
              <w:top w:val="single" w:color="auto" w:sz="4" w:space="0"/>
              <w:left w:val="single" w:color="auto" w:sz="4" w:space="0"/>
              <w:right w:val="single" w:color="auto" w:sz="4" w:space="0"/>
            </w:tcBorders>
            <w:vAlign w:val="center"/>
          </w:tcPr>
          <w:p w14:paraId="3CBF403D">
            <w:pP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单位</w:t>
            </w:r>
          </w:p>
        </w:tc>
        <w:tc>
          <w:tcPr>
            <w:tcW w:w="1984" w:type="dxa"/>
            <w:tcBorders>
              <w:top w:val="single" w:color="auto" w:sz="4" w:space="0"/>
              <w:left w:val="single" w:color="auto" w:sz="4" w:space="0"/>
              <w:right w:val="single" w:color="auto" w:sz="4" w:space="0"/>
            </w:tcBorders>
            <w:vAlign w:val="center"/>
          </w:tcPr>
          <w:p w14:paraId="5204AF22">
            <w:pP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采购预算</w:t>
            </w:r>
          </w:p>
          <w:p w14:paraId="2C3DCD23">
            <w:pP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（元）</w:t>
            </w:r>
          </w:p>
        </w:tc>
        <w:tc>
          <w:tcPr>
            <w:tcW w:w="1870" w:type="dxa"/>
            <w:tcBorders>
              <w:top w:val="single" w:color="auto" w:sz="4" w:space="0"/>
              <w:left w:val="single" w:color="auto" w:sz="4" w:space="0"/>
              <w:right w:val="single" w:color="auto" w:sz="4" w:space="0"/>
            </w:tcBorders>
            <w:vAlign w:val="center"/>
          </w:tcPr>
          <w:p w14:paraId="20751F4E">
            <w:pP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资金来源</w:t>
            </w:r>
          </w:p>
        </w:tc>
        <w:tc>
          <w:tcPr>
            <w:tcW w:w="1735" w:type="dxa"/>
            <w:tcBorders>
              <w:top w:val="single" w:color="auto" w:sz="4" w:space="0"/>
              <w:left w:val="single" w:color="auto" w:sz="4" w:space="0"/>
              <w:right w:val="single" w:color="auto" w:sz="4" w:space="0"/>
            </w:tcBorders>
            <w:vAlign w:val="center"/>
          </w:tcPr>
          <w:p w14:paraId="2AC878EA">
            <w:pP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备注</w:t>
            </w:r>
          </w:p>
        </w:tc>
      </w:tr>
      <w:tr w14:paraId="29A5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3444" w:type="dxa"/>
            <w:tcBorders>
              <w:top w:val="single" w:color="auto" w:sz="4" w:space="0"/>
              <w:left w:val="single" w:color="auto" w:sz="4" w:space="0"/>
              <w:bottom w:val="single" w:color="auto" w:sz="4" w:space="0"/>
              <w:right w:val="single" w:color="auto" w:sz="4" w:space="0"/>
            </w:tcBorders>
            <w:vAlign w:val="center"/>
          </w:tcPr>
          <w:p w14:paraId="1C1CF930">
            <w:pPr>
              <w:rPr>
                <w:rFonts w:hint="default" w:ascii="宋体" w:hAnsi="宋体" w:eastAsia="宋体" w:cs="宋体"/>
                <w:color w:val="FF0000"/>
                <w:kern w:val="0"/>
                <w:sz w:val="28"/>
                <w:szCs w:val="28"/>
                <w:highlight w:val="yellow"/>
                <w:lang w:val="en-US" w:eastAsia="zh-CN" w:bidi="ar"/>
              </w:rPr>
            </w:pPr>
            <w:bookmarkStart w:id="9" w:name="_Hlk344477914"/>
            <w:r>
              <w:rPr>
                <w:rFonts w:hint="eastAsia" w:ascii="宋体" w:hAnsi="宋体" w:cs="宋体"/>
                <w:color w:val="FF0000"/>
                <w:kern w:val="0"/>
                <w:sz w:val="28"/>
                <w:szCs w:val="28"/>
                <w:highlight w:val="yellow"/>
                <w:lang w:bidi="ar"/>
              </w:rPr>
              <w:t>四害</w:t>
            </w:r>
            <w:r>
              <w:rPr>
                <w:rFonts w:hint="eastAsia" w:ascii="宋体" w:hAnsi="宋体" w:cs="宋体"/>
                <w:color w:val="FF0000"/>
                <w:kern w:val="0"/>
                <w:sz w:val="28"/>
                <w:szCs w:val="28"/>
                <w:highlight w:val="yellow"/>
                <w:lang w:val="en-US" w:eastAsia="zh-CN" w:bidi="ar"/>
              </w:rPr>
              <w:t>防治供应商采购</w:t>
            </w:r>
          </w:p>
        </w:tc>
        <w:tc>
          <w:tcPr>
            <w:tcW w:w="1523" w:type="dxa"/>
            <w:tcBorders>
              <w:top w:val="single" w:color="auto" w:sz="4" w:space="0"/>
              <w:left w:val="single" w:color="auto" w:sz="4" w:space="0"/>
              <w:bottom w:val="single" w:color="auto" w:sz="4" w:space="0"/>
              <w:right w:val="single" w:color="auto" w:sz="4" w:space="0"/>
            </w:tcBorders>
            <w:vAlign w:val="center"/>
          </w:tcPr>
          <w:p w14:paraId="318488E2">
            <w:pPr>
              <w:rPr>
                <w:rFonts w:hint="default" w:ascii="宋体" w:hAnsi="宋体" w:eastAsia="宋体" w:cs="宋体"/>
                <w:color w:val="FF0000"/>
                <w:kern w:val="0"/>
                <w:sz w:val="28"/>
                <w:szCs w:val="28"/>
                <w:highlight w:val="yellow"/>
                <w:lang w:val="en-US" w:eastAsia="zh-CN" w:bidi="ar"/>
              </w:rPr>
            </w:pPr>
            <w:r>
              <w:rPr>
                <w:rFonts w:hint="eastAsia" w:ascii="宋体" w:hAnsi="宋体" w:cs="宋体"/>
                <w:color w:val="FF0000"/>
                <w:kern w:val="0"/>
                <w:sz w:val="28"/>
                <w:szCs w:val="28"/>
                <w:highlight w:val="yellow"/>
                <w:lang w:val="en-US" w:eastAsia="zh-CN" w:bidi="ar"/>
              </w:rPr>
              <w:t>1家</w:t>
            </w:r>
          </w:p>
        </w:tc>
        <w:tc>
          <w:tcPr>
            <w:tcW w:w="1984" w:type="dxa"/>
            <w:tcBorders>
              <w:top w:val="single" w:color="auto" w:sz="4" w:space="0"/>
              <w:left w:val="single" w:color="auto" w:sz="4" w:space="0"/>
              <w:bottom w:val="single" w:color="auto" w:sz="4" w:space="0"/>
              <w:right w:val="single" w:color="auto" w:sz="4" w:space="0"/>
            </w:tcBorders>
            <w:vAlign w:val="center"/>
          </w:tcPr>
          <w:p w14:paraId="63EAE89B">
            <w:pPr>
              <w:rPr>
                <w:rFonts w:hint="default" w:ascii="宋体" w:hAnsi="宋体" w:cs="宋体"/>
                <w:color w:val="FF0000"/>
                <w:kern w:val="0"/>
                <w:sz w:val="28"/>
                <w:szCs w:val="28"/>
                <w:highlight w:val="yellow"/>
                <w:lang w:val="en-US" w:bidi="ar"/>
              </w:rPr>
            </w:pPr>
            <w:r>
              <w:rPr>
                <w:rFonts w:hint="eastAsia" w:ascii="宋体" w:hAnsi="宋体" w:cs="宋体"/>
                <w:color w:val="FF0000"/>
                <w:kern w:val="0"/>
                <w:sz w:val="28"/>
                <w:szCs w:val="28"/>
                <w:highlight w:val="yellow"/>
                <w:lang w:val="en-US" w:eastAsia="zh-CN" w:bidi="ar"/>
              </w:rPr>
              <w:t>40000.00</w:t>
            </w:r>
          </w:p>
        </w:tc>
        <w:tc>
          <w:tcPr>
            <w:tcW w:w="1870" w:type="dxa"/>
            <w:tcBorders>
              <w:top w:val="single" w:color="auto" w:sz="4" w:space="0"/>
              <w:left w:val="single" w:color="auto" w:sz="4" w:space="0"/>
              <w:bottom w:val="single" w:color="auto" w:sz="4" w:space="0"/>
              <w:right w:val="single" w:color="auto" w:sz="4" w:space="0"/>
            </w:tcBorders>
            <w:vAlign w:val="center"/>
          </w:tcPr>
          <w:p w14:paraId="296CFD48">
            <w:pPr>
              <w:rPr>
                <w:rFonts w:hint="eastAsia" w:ascii="宋体" w:hAnsi="宋体" w:cs="宋体"/>
                <w:color w:val="FF0000"/>
                <w:kern w:val="0"/>
                <w:sz w:val="28"/>
                <w:szCs w:val="28"/>
                <w:highlight w:val="yellow"/>
                <w:lang w:bidi="ar"/>
              </w:rPr>
            </w:pPr>
            <w:r>
              <w:rPr>
                <w:rFonts w:hint="eastAsia" w:ascii="宋体" w:hAnsi="宋体" w:cs="宋体"/>
                <w:color w:val="FF0000"/>
                <w:kern w:val="0"/>
                <w:sz w:val="28"/>
                <w:szCs w:val="28"/>
                <w:highlight w:val="yellow"/>
                <w:lang w:bidi="ar"/>
              </w:rPr>
              <w:t>自筹</w:t>
            </w:r>
          </w:p>
        </w:tc>
        <w:tc>
          <w:tcPr>
            <w:tcW w:w="1735" w:type="dxa"/>
            <w:tcBorders>
              <w:top w:val="single" w:color="auto" w:sz="4" w:space="0"/>
              <w:left w:val="single" w:color="auto" w:sz="4" w:space="0"/>
              <w:bottom w:val="single" w:color="auto" w:sz="4" w:space="0"/>
              <w:right w:val="single" w:color="auto" w:sz="4" w:space="0"/>
            </w:tcBorders>
            <w:vAlign w:val="center"/>
          </w:tcPr>
          <w:p w14:paraId="2CA7C3F3">
            <w:pPr>
              <w:rPr>
                <w:rFonts w:hint="eastAsia" w:ascii="宋体" w:hAnsi="宋体" w:cs="宋体"/>
                <w:color w:val="FF0000"/>
                <w:kern w:val="0"/>
                <w:sz w:val="28"/>
                <w:szCs w:val="28"/>
                <w:highlight w:val="yellow"/>
                <w:lang w:bidi="ar"/>
              </w:rPr>
            </w:pPr>
          </w:p>
        </w:tc>
      </w:tr>
      <w:bookmarkEnd w:id="9"/>
    </w:tbl>
    <w:p w14:paraId="6EBE4EE0">
      <w:pPr>
        <w:ind w:firstLine="240" w:firstLineChars="100"/>
        <w:rPr>
          <w:rFonts w:ascii="宋体" w:hAnsi="宋体" w:cs="宋体"/>
          <w:sz w:val="24"/>
          <w:szCs w:val="24"/>
        </w:rPr>
      </w:pPr>
      <w:bookmarkStart w:id="10" w:name="_Toc6462"/>
      <w:bookmarkStart w:id="11" w:name="_Toc19437"/>
      <w:bookmarkStart w:id="12" w:name="_Toc15727"/>
      <w:bookmarkStart w:id="13" w:name="_Toc22399"/>
      <w:bookmarkStart w:id="14" w:name="_Toc1790"/>
      <w:bookmarkStart w:id="15" w:name="_Toc25190"/>
      <w:bookmarkStart w:id="16" w:name="_Toc15576"/>
      <w:bookmarkStart w:id="17" w:name="_Toc373860293"/>
      <w:bookmarkStart w:id="18" w:name="_Toc317775178"/>
    </w:p>
    <w:p w14:paraId="7D961CC6">
      <w:pPr>
        <w:ind w:firstLine="320" w:firstLineChars="100"/>
        <w:rPr>
          <w:rFonts w:ascii="黑体" w:hAnsi="黑体" w:eastAsia="黑体" w:cs="黑体"/>
          <w:sz w:val="32"/>
          <w:szCs w:val="32"/>
        </w:rPr>
      </w:pPr>
      <w:r>
        <w:rPr>
          <w:rFonts w:hint="eastAsia" w:ascii="黑体" w:hAnsi="黑体" w:eastAsia="黑体" w:cs="黑体"/>
          <w:sz w:val="32"/>
          <w:szCs w:val="32"/>
        </w:rPr>
        <w:t>二、</w:t>
      </w:r>
      <w:bookmarkEnd w:id="10"/>
      <w:bookmarkEnd w:id="11"/>
      <w:bookmarkEnd w:id="12"/>
      <w:bookmarkEnd w:id="13"/>
      <w:bookmarkEnd w:id="14"/>
      <w:bookmarkEnd w:id="15"/>
      <w:bookmarkEnd w:id="16"/>
      <w:r>
        <w:rPr>
          <w:rFonts w:hint="eastAsia" w:ascii="黑体" w:hAnsi="黑体" w:eastAsia="黑体" w:cs="黑体"/>
          <w:sz w:val="32"/>
          <w:szCs w:val="32"/>
        </w:rPr>
        <w:t>供应商资格条件</w:t>
      </w:r>
    </w:p>
    <w:p w14:paraId="0505D371">
      <w:pPr>
        <w:rPr>
          <w:rFonts w:ascii="黑体" w:hAnsi="黑体" w:eastAsia="黑体" w:cs="黑体"/>
          <w:sz w:val="32"/>
          <w:szCs w:val="32"/>
        </w:rPr>
      </w:pPr>
      <w:r>
        <w:rPr>
          <w:rFonts w:hint="eastAsia" w:ascii="仿宋_GB2312" w:hAnsi="仿宋_GB2312" w:eastAsia="仿宋_GB2312" w:cs="仿宋_GB2312"/>
          <w:sz w:val="32"/>
          <w:szCs w:val="32"/>
        </w:rPr>
        <w:t>（一）满足《中华人民共和国政府采购法》第二十二条规定。</w:t>
      </w:r>
    </w:p>
    <w:p w14:paraId="1EAF61DF">
      <w:pPr>
        <w:rPr>
          <w:rFonts w:ascii="仿宋_GB2312" w:hAnsi="仿宋_GB2312" w:cs="仿宋_GB2312" w:eastAsiaTheme="minorEastAsia"/>
          <w:sz w:val="24"/>
          <w:szCs w:val="32"/>
        </w:rPr>
      </w:pPr>
      <w:r>
        <w:rPr>
          <w:rFonts w:hint="eastAsia" w:ascii="仿宋_GB2312" w:hAnsi="仿宋_GB2312" w:eastAsia="仿宋_GB2312" w:cs="仿宋_GB2312"/>
          <w:sz w:val="24"/>
          <w:szCs w:val="32"/>
        </w:rPr>
        <w:t>（1） 具有独立承担民事责任的能力 </w:t>
      </w:r>
    </w:p>
    <w:p w14:paraId="60EDA83D">
      <w:pPr>
        <w:rPr>
          <w:rFonts w:ascii="仿宋_GB2312" w:hAnsi="仿宋_GB2312" w:cs="仿宋_GB2312" w:eastAsiaTheme="minorEastAsia"/>
          <w:sz w:val="24"/>
          <w:szCs w:val="32"/>
        </w:rPr>
      </w:pPr>
      <w:r>
        <w:rPr>
          <w:rFonts w:hint="eastAsia" w:ascii="仿宋_GB2312" w:hAnsi="仿宋_GB2312" w:eastAsia="仿宋_GB2312" w:cs="仿宋_GB2312"/>
          <w:sz w:val="24"/>
          <w:szCs w:val="32"/>
        </w:rPr>
        <w:t>（2） 具有良好的商业信誉和健全的财务会计制度 </w:t>
      </w:r>
    </w:p>
    <w:p w14:paraId="137E0265">
      <w:pPr>
        <w:rPr>
          <w:rFonts w:ascii="仿宋_GB2312" w:hAnsi="仿宋_GB2312" w:cs="仿宋_GB2312" w:eastAsiaTheme="minorEastAsia"/>
          <w:sz w:val="24"/>
          <w:szCs w:val="32"/>
        </w:rPr>
      </w:pPr>
      <w:r>
        <w:rPr>
          <w:rFonts w:hint="eastAsia" w:ascii="仿宋_GB2312" w:hAnsi="仿宋_GB2312" w:eastAsia="仿宋_GB2312" w:cs="仿宋_GB2312"/>
          <w:sz w:val="24"/>
          <w:szCs w:val="32"/>
        </w:rPr>
        <w:t>（3） 具有履行合同所必须的设备和专业技术能力 </w:t>
      </w:r>
    </w:p>
    <w:p w14:paraId="17F7DFE9">
      <w:pPr>
        <w:rPr>
          <w:rFonts w:ascii="仿宋_GB2312" w:hAnsi="仿宋_GB2312" w:eastAsia="仿宋_GB2312" w:cs="仿宋_GB2312"/>
          <w:b/>
          <w:bCs/>
          <w:i/>
          <w:iCs/>
          <w:color w:val="FF0000"/>
          <w:sz w:val="28"/>
          <w:szCs w:val="32"/>
          <w:u w:val="single"/>
        </w:rPr>
      </w:pPr>
      <w:r>
        <w:rPr>
          <w:rFonts w:hint="eastAsia" w:ascii="仿宋_GB2312" w:hAnsi="仿宋_GB2312" w:eastAsia="仿宋_GB2312" w:cs="仿宋_GB2312"/>
          <w:sz w:val="24"/>
          <w:szCs w:val="32"/>
        </w:rPr>
        <w:t>（4） 有依法缴纳税收和社会保障资金的良好记录 </w:t>
      </w:r>
    </w:p>
    <w:bookmarkEnd w:id="17"/>
    <w:bookmarkEnd w:id="18"/>
    <w:p w14:paraId="04956E5C">
      <w:pPr>
        <w:rPr>
          <w:rFonts w:hint="default" w:ascii="黑体" w:hAnsi="黑体" w:eastAsia="仿宋_GB2312" w:cs="黑体"/>
          <w:sz w:val="32"/>
          <w:szCs w:val="32"/>
          <w:lang w:val="en-US" w:eastAsia="zh-CN"/>
        </w:rPr>
      </w:pPr>
      <w:r>
        <w:rPr>
          <w:rFonts w:hint="eastAsia" w:ascii="仿宋_GB2312" w:hAnsi="仿宋_GB2312" w:eastAsia="仿宋_GB2312" w:cs="仿宋_GB2312"/>
          <w:sz w:val="24"/>
          <w:szCs w:val="32"/>
        </w:rPr>
        <w:t xml:space="preserve">（5） </w:t>
      </w:r>
      <w:r>
        <w:rPr>
          <w:rFonts w:hint="eastAsia" w:ascii="仿宋" w:hAnsi="仿宋" w:eastAsia="仿宋" w:cs="仿宋"/>
          <w:color w:val="000000"/>
          <w:sz w:val="24"/>
          <w:szCs w:val="24"/>
          <w:lang w:val="en-US" w:eastAsia="zh-CN"/>
        </w:rPr>
        <w:t>持有中国卫生有害生物防治协会颁发的A级资质证书</w:t>
      </w:r>
    </w:p>
    <w:p w14:paraId="0DD8A70E">
      <w:pPr>
        <w:ind w:firstLine="320" w:firstLineChars="100"/>
        <w:rPr>
          <w:rFonts w:ascii="黑体" w:hAnsi="黑体" w:eastAsia="黑体" w:cs="黑体"/>
          <w:sz w:val="32"/>
          <w:szCs w:val="32"/>
        </w:rPr>
      </w:pPr>
      <w:r>
        <w:rPr>
          <w:rFonts w:hint="eastAsia" w:ascii="黑体" w:hAnsi="黑体" w:eastAsia="黑体" w:cs="黑体"/>
          <w:sz w:val="32"/>
          <w:szCs w:val="32"/>
        </w:rPr>
        <w:t>三、报价时间</w:t>
      </w:r>
    </w:p>
    <w:p w14:paraId="4020BFBD">
      <w:pPr>
        <w:ind w:firstLine="240" w:firstLineChars="100"/>
        <w:rPr>
          <w:rFonts w:ascii="仿宋_GB2312" w:hAnsi="仿宋_GB2312" w:eastAsia="仿宋_GB2312" w:cs="仿宋_GB2312"/>
          <w:sz w:val="24"/>
          <w:szCs w:val="32"/>
        </w:rPr>
      </w:pPr>
      <w:r>
        <w:rPr>
          <w:rFonts w:hint="eastAsia" w:ascii="仿宋_GB2312" w:hAnsi="仿宋_GB2312" w:eastAsia="仿宋_GB2312" w:cs="仿宋_GB2312"/>
          <w:sz w:val="24"/>
          <w:szCs w:val="32"/>
        </w:rPr>
        <w:t>报价开始时间：公告发布之后</w:t>
      </w:r>
    </w:p>
    <w:p w14:paraId="02312903">
      <w:pPr>
        <w:ind w:firstLine="240" w:firstLineChars="100"/>
        <w:rPr>
          <w:rFonts w:ascii="仿宋_GB2312" w:hAnsi="仿宋_GB2312" w:cs="仿宋_GB2312" w:eastAsiaTheme="minorEastAsia"/>
          <w:b/>
          <w:bCs/>
          <w:i/>
          <w:iCs/>
          <w:color w:val="FF0000"/>
          <w:sz w:val="32"/>
          <w:szCs w:val="32"/>
          <w:u w:val="single"/>
        </w:rPr>
      </w:pPr>
      <w:r>
        <w:rPr>
          <w:rFonts w:hint="eastAsia" w:ascii="仿宋_GB2312" w:hAnsi="仿宋_GB2312" w:eastAsia="仿宋_GB2312" w:cs="仿宋_GB2312"/>
          <w:sz w:val="24"/>
          <w:szCs w:val="32"/>
        </w:rPr>
        <w:t>报价截止时间：202</w:t>
      </w:r>
      <w:r>
        <w:rPr>
          <w:rFonts w:hint="eastAsia" w:ascii="仿宋_GB2312" w:hAnsi="仿宋_GB2312" w:eastAsia="仿宋_GB2312" w:cs="仿宋_GB2312"/>
          <w:sz w:val="24"/>
          <w:szCs w:val="32"/>
          <w:lang w:val="en-US" w:eastAsia="zh-CN"/>
        </w:rPr>
        <w:t>5</w:t>
      </w:r>
      <w:r>
        <w:rPr>
          <w:rFonts w:hint="eastAsia" w:ascii="仿宋_GB2312" w:hAnsi="仿宋_GB2312" w:cs="仿宋_GB2312" w:eastAsiaTheme="minorEastAsia"/>
          <w:sz w:val="24"/>
          <w:szCs w:val="32"/>
        </w:rPr>
        <w:t>年</w:t>
      </w:r>
      <w:r>
        <w:rPr>
          <w:rFonts w:hint="eastAsia" w:ascii="仿宋_GB2312" w:hAnsi="仿宋_GB2312" w:cs="仿宋_GB2312" w:eastAsiaTheme="minorEastAsia"/>
          <w:sz w:val="24"/>
          <w:szCs w:val="32"/>
          <w:lang w:val="en-US" w:eastAsia="zh-CN"/>
        </w:rPr>
        <w:t>6</w:t>
      </w:r>
      <w:r>
        <w:rPr>
          <w:rFonts w:hint="eastAsia" w:ascii="仿宋_GB2312" w:hAnsi="仿宋_GB2312" w:cs="仿宋_GB2312" w:eastAsiaTheme="minorEastAsia"/>
          <w:sz w:val="24"/>
          <w:szCs w:val="32"/>
        </w:rPr>
        <w:t>月</w:t>
      </w:r>
      <w:r>
        <w:rPr>
          <w:rFonts w:hint="eastAsia" w:ascii="仿宋_GB2312" w:hAnsi="仿宋_GB2312" w:cs="仿宋_GB2312" w:eastAsiaTheme="minorEastAsia"/>
          <w:sz w:val="24"/>
          <w:szCs w:val="32"/>
          <w:lang w:val="en-US" w:eastAsia="zh-CN"/>
        </w:rPr>
        <w:t>5</w:t>
      </w:r>
      <w:r>
        <w:rPr>
          <w:rFonts w:hint="eastAsia" w:ascii="仿宋_GB2312" w:hAnsi="仿宋_GB2312" w:cs="仿宋_GB2312" w:eastAsiaTheme="minorEastAsia"/>
          <w:sz w:val="24"/>
          <w:szCs w:val="32"/>
        </w:rPr>
        <w:t>日12:00</w:t>
      </w:r>
    </w:p>
    <w:p w14:paraId="4C3C6ABD">
      <w:pPr>
        <w:ind w:firstLine="320" w:firstLineChars="100"/>
        <w:rPr>
          <w:rFonts w:ascii="黑体" w:hAnsi="黑体" w:eastAsia="黑体" w:cs="黑体"/>
          <w:sz w:val="32"/>
          <w:szCs w:val="32"/>
        </w:rPr>
      </w:pPr>
      <w:r>
        <w:rPr>
          <w:rFonts w:hint="eastAsia" w:ascii="黑体" w:hAnsi="黑体" w:eastAsia="黑体" w:cs="黑体"/>
          <w:sz w:val="32"/>
          <w:szCs w:val="32"/>
        </w:rPr>
        <w:t>四、招标内容</w:t>
      </w:r>
    </w:p>
    <w:tbl>
      <w:tblPr>
        <w:tblStyle w:val="57"/>
        <w:tblW w:w="9525" w:type="dxa"/>
        <w:tblInd w:w="-30" w:type="dxa"/>
        <w:tblLayout w:type="fixed"/>
        <w:tblCellMar>
          <w:top w:w="0" w:type="dxa"/>
          <w:left w:w="108" w:type="dxa"/>
          <w:bottom w:w="0" w:type="dxa"/>
          <w:right w:w="108" w:type="dxa"/>
        </w:tblCellMar>
      </w:tblPr>
      <w:tblGrid>
        <w:gridCol w:w="9525"/>
      </w:tblGrid>
      <w:tr w14:paraId="7DC6D468">
        <w:tblPrEx>
          <w:tblCellMar>
            <w:top w:w="0" w:type="dxa"/>
            <w:left w:w="108" w:type="dxa"/>
            <w:bottom w:w="0" w:type="dxa"/>
            <w:right w:w="108" w:type="dxa"/>
          </w:tblCellMar>
        </w:tblPrEx>
        <w:trPr>
          <w:trHeight w:val="870" w:hRule="atLeast"/>
        </w:trPr>
        <w:tc>
          <w:tcPr>
            <w:tcW w:w="9525" w:type="dxa"/>
            <w:tcBorders>
              <w:top w:val="nil"/>
              <w:left w:val="nil"/>
              <w:bottom w:val="single" w:color="000000" w:sz="4" w:space="0"/>
              <w:right w:val="nil"/>
            </w:tcBorders>
            <w:noWrap/>
            <w:vAlign w:val="bottom"/>
          </w:tcPr>
          <w:p w14:paraId="4D7844D4">
            <w:pPr>
              <w:ind w:firstLine="720" w:firstLineChars="300"/>
              <w:rPr>
                <w:rFonts w:ascii="仿宋" w:hAnsi="仿宋" w:eastAsia="仿宋" w:cs="仿宋"/>
                <w:color w:val="000000"/>
                <w:sz w:val="24"/>
                <w:szCs w:val="24"/>
              </w:rPr>
            </w:pPr>
            <w:r>
              <w:rPr>
                <w:rFonts w:hint="eastAsia" w:ascii="仿宋" w:hAnsi="仿宋" w:eastAsia="仿宋" w:cs="仿宋"/>
                <w:color w:val="000000"/>
                <w:sz w:val="24"/>
                <w:szCs w:val="24"/>
              </w:rPr>
              <w:t>（一）</w:t>
            </w:r>
            <w:r>
              <w:rPr>
                <w:rFonts w:hint="eastAsia" w:ascii="仿宋" w:hAnsi="仿宋" w:eastAsia="仿宋" w:cs="仿宋"/>
                <w:color w:val="000000"/>
                <w:sz w:val="24"/>
                <w:szCs w:val="24"/>
                <w:lang w:val="en-US" w:eastAsia="zh-CN"/>
              </w:rPr>
              <w:t>酒店及员工宿舍区域四害防制服务</w:t>
            </w:r>
            <w:r>
              <w:rPr>
                <w:rFonts w:hint="eastAsia" w:ascii="仿宋" w:hAnsi="仿宋" w:eastAsia="仿宋" w:cs="仿宋"/>
                <w:color w:val="000000"/>
                <w:sz w:val="24"/>
                <w:szCs w:val="24"/>
              </w:rPr>
              <w:t>。</w:t>
            </w:r>
          </w:p>
          <w:tbl>
            <w:tblPr>
              <w:tblStyle w:val="58"/>
              <w:tblW w:w="9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1559"/>
              <w:gridCol w:w="4650"/>
            </w:tblGrid>
            <w:tr w14:paraId="2ADC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8" w:type="dxa"/>
                  <w:tcBorders>
                    <w:top w:val="single" w:color="auto" w:sz="4" w:space="0"/>
                  </w:tcBorders>
                  <w:vAlign w:val="center"/>
                </w:tcPr>
                <w:p w14:paraId="28471E53">
                  <w:pPr>
                    <w:jc w:val="center"/>
                    <w:rPr>
                      <w:rFonts w:ascii="Arial" w:hAnsi="Arial" w:cs="Arial"/>
                      <w:b/>
                      <w:bCs/>
                      <w:color w:val="000000"/>
                      <w:kern w:val="0"/>
                      <w:sz w:val="22"/>
                      <w:szCs w:val="22"/>
                    </w:rPr>
                  </w:pPr>
                  <w:r>
                    <w:rPr>
                      <w:rFonts w:hint="eastAsia" w:ascii="微软雅黑" w:hAnsi="微软雅黑" w:eastAsia="微软雅黑" w:cs="微软雅黑"/>
                      <w:b/>
                      <w:bCs/>
                      <w:color w:val="000000"/>
                      <w:kern w:val="0"/>
                      <w:sz w:val="22"/>
                      <w:szCs w:val="22"/>
                    </w:rPr>
                    <w:t>名称</w:t>
                  </w:r>
                </w:p>
              </w:tc>
              <w:tc>
                <w:tcPr>
                  <w:tcW w:w="1559" w:type="dxa"/>
                  <w:tcBorders>
                    <w:top w:val="single" w:color="auto" w:sz="4" w:space="0"/>
                  </w:tcBorders>
                  <w:vAlign w:val="center"/>
                </w:tcPr>
                <w:p w14:paraId="6919B70B">
                  <w:pPr>
                    <w:jc w:val="center"/>
                    <w:rPr>
                      <w:rFonts w:ascii="Arial" w:hAnsi="Arial" w:cs="Arial"/>
                      <w:b/>
                      <w:bCs/>
                      <w:color w:val="000000"/>
                      <w:kern w:val="0"/>
                      <w:sz w:val="22"/>
                      <w:szCs w:val="22"/>
                    </w:rPr>
                  </w:pPr>
                  <w:r>
                    <w:rPr>
                      <w:rFonts w:hint="eastAsia" w:ascii="微软雅黑" w:hAnsi="微软雅黑" w:eastAsia="微软雅黑" w:cs="微软雅黑"/>
                      <w:b/>
                      <w:bCs/>
                      <w:color w:val="000000"/>
                      <w:kern w:val="0"/>
                      <w:sz w:val="22"/>
                      <w:szCs w:val="22"/>
                    </w:rPr>
                    <w:t>面积（平方米）</w:t>
                  </w:r>
                </w:p>
              </w:tc>
              <w:tc>
                <w:tcPr>
                  <w:tcW w:w="4650" w:type="dxa"/>
                  <w:tcBorders>
                    <w:top w:val="single" w:color="auto" w:sz="4" w:space="0"/>
                    <w:right w:val="single" w:color="auto" w:sz="4" w:space="0"/>
                  </w:tcBorders>
                  <w:vAlign w:val="center"/>
                </w:tcPr>
                <w:p w14:paraId="1E6E9BF4">
                  <w:pPr>
                    <w:jc w:val="center"/>
                    <w:rPr>
                      <w:rFonts w:ascii="Arial" w:hAnsi="Arial" w:cs="Arial"/>
                      <w:b/>
                      <w:bCs/>
                      <w:color w:val="000000"/>
                      <w:kern w:val="0"/>
                      <w:sz w:val="22"/>
                      <w:szCs w:val="22"/>
                    </w:rPr>
                  </w:pPr>
                  <w:r>
                    <w:rPr>
                      <w:rFonts w:hint="eastAsia" w:ascii="微软雅黑" w:hAnsi="微软雅黑" w:eastAsia="微软雅黑" w:cs="微软雅黑"/>
                      <w:b/>
                      <w:bCs/>
                      <w:color w:val="000000"/>
                      <w:kern w:val="0"/>
                      <w:sz w:val="22"/>
                      <w:szCs w:val="22"/>
                    </w:rPr>
                    <w:t>备注</w:t>
                  </w:r>
                </w:p>
              </w:tc>
            </w:tr>
            <w:tr w14:paraId="144D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8" w:type="dxa"/>
                  <w:tcBorders>
                    <w:left w:val="single" w:color="auto" w:sz="4" w:space="0"/>
                    <w:bottom w:val="single" w:color="auto" w:sz="4" w:space="0"/>
                  </w:tcBorders>
                  <w:vAlign w:val="center"/>
                </w:tcPr>
                <w:p w14:paraId="55FA46C5">
                  <w:pPr>
                    <w:jc w:val="left"/>
                    <w:rPr>
                      <w:rFonts w:ascii="仿宋" w:hAnsi="仿宋" w:eastAsia="仿宋" w:cs="仿宋"/>
                      <w:color w:val="000000"/>
                      <w:sz w:val="24"/>
                      <w:szCs w:val="24"/>
                      <w:highlight w:val="yellow"/>
                    </w:rPr>
                  </w:pPr>
                  <w:r>
                    <w:rPr>
                      <w:rFonts w:hint="eastAsia" w:ascii="仿宋" w:hAnsi="仿宋" w:eastAsia="仿宋" w:cs="仿宋"/>
                      <w:color w:val="000000"/>
                      <w:sz w:val="24"/>
                      <w:szCs w:val="24"/>
                    </w:rPr>
                    <w:t>四害防治服务</w:t>
                  </w:r>
                </w:p>
              </w:tc>
              <w:tc>
                <w:tcPr>
                  <w:tcW w:w="1559" w:type="dxa"/>
                  <w:tcBorders>
                    <w:bottom w:val="single" w:color="auto" w:sz="4" w:space="0"/>
                  </w:tcBorders>
                  <w:vAlign w:val="center"/>
                </w:tcPr>
                <w:p w14:paraId="73C47B05">
                  <w:pPr>
                    <w:jc w:val="center"/>
                    <w:rPr>
                      <w:rFonts w:ascii="仿宋" w:hAnsi="仿宋" w:eastAsia="仿宋" w:cs="仿宋"/>
                      <w:color w:val="000000"/>
                      <w:sz w:val="24"/>
                      <w:szCs w:val="24"/>
                      <w:highlight w:val="yellow"/>
                    </w:rPr>
                  </w:pPr>
                  <w:r>
                    <w:rPr>
                      <w:rFonts w:hint="eastAsia" w:ascii="仿宋" w:hAnsi="仿宋" w:eastAsia="仿宋" w:cs="仿宋"/>
                      <w:color w:val="000000"/>
                      <w:sz w:val="24"/>
                      <w:szCs w:val="24"/>
                    </w:rPr>
                    <w:t>20901</w:t>
                  </w:r>
                </w:p>
              </w:tc>
              <w:tc>
                <w:tcPr>
                  <w:tcW w:w="4650" w:type="dxa"/>
                  <w:tcBorders>
                    <w:bottom w:val="single" w:color="auto" w:sz="4" w:space="0"/>
                    <w:right w:val="single" w:color="auto" w:sz="4" w:space="0"/>
                  </w:tcBorders>
                  <w:vAlign w:val="center"/>
                </w:tcPr>
                <w:p w14:paraId="37B9781E">
                  <w:pPr>
                    <w:jc w:val="left"/>
                    <w:rPr>
                      <w:rFonts w:ascii="仿宋" w:hAnsi="仿宋" w:eastAsia="仿宋" w:cs="仿宋"/>
                      <w:color w:val="000000"/>
                      <w:sz w:val="24"/>
                      <w:szCs w:val="24"/>
                      <w:highlight w:val="yellow"/>
                    </w:rPr>
                  </w:pPr>
                </w:p>
              </w:tc>
            </w:tr>
          </w:tbl>
          <w:p w14:paraId="38740F9B">
            <w:pPr>
              <w:rPr>
                <w:rFonts w:eastAsia="Times New Roman" w:cs="Calibri"/>
                <w:color w:val="000000"/>
                <w:kern w:val="0"/>
                <w:sz w:val="36"/>
                <w:szCs w:val="36"/>
              </w:rPr>
            </w:pPr>
          </w:p>
        </w:tc>
      </w:tr>
    </w:tbl>
    <w:p w14:paraId="4CCDD724">
      <w:pPr>
        <w:ind w:firstLine="640" w:firstLineChars="200"/>
        <w:rPr>
          <w:rFonts w:ascii="黑体" w:hAnsi="黑体" w:eastAsia="黑体" w:cs="黑体"/>
          <w:sz w:val="32"/>
          <w:szCs w:val="32"/>
        </w:rPr>
      </w:pPr>
      <w:r>
        <w:rPr>
          <w:rFonts w:hint="eastAsia" w:ascii="黑体" w:hAnsi="黑体" w:eastAsia="黑体" w:cs="黑体"/>
          <w:sz w:val="32"/>
          <w:szCs w:val="32"/>
        </w:rPr>
        <w:t>五、成交原则：</w:t>
      </w:r>
    </w:p>
    <w:p w14:paraId="3E9855D7">
      <w:pPr>
        <w:ind w:firstLine="480" w:firstLineChars="200"/>
        <w:rPr>
          <w:rFonts w:ascii="黑体" w:hAnsi="黑体" w:eastAsia="黑体" w:cs="黑体"/>
          <w:sz w:val="32"/>
          <w:szCs w:val="32"/>
        </w:rPr>
      </w:pPr>
      <w:r>
        <w:rPr>
          <w:rFonts w:hint="eastAsia" w:ascii="仿宋_GB2312" w:hAnsi="仿宋_GB2312" w:eastAsia="仿宋_GB2312" w:cs="仿宋_GB2312"/>
          <w:sz w:val="24"/>
          <w:szCs w:val="32"/>
        </w:rPr>
        <w:t>在符合项目要求的供应商数量不少于“3家”的前提下，按报价最</w:t>
      </w:r>
      <w:r>
        <w:rPr>
          <w:rFonts w:hint="eastAsia" w:ascii="仿宋_GB2312" w:hAnsi="仿宋_GB2312" w:eastAsia="仿宋_GB2312" w:cs="仿宋_GB2312"/>
          <w:color w:val="FF0000"/>
          <w:sz w:val="24"/>
          <w:szCs w:val="32"/>
          <w:highlight w:val="yellow"/>
        </w:rPr>
        <w:t>低</w:t>
      </w:r>
      <w:r>
        <w:rPr>
          <w:rFonts w:hint="eastAsia" w:ascii="仿宋_GB2312" w:hAnsi="仿宋_GB2312" w:eastAsia="仿宋_GB2312" w:cs="仿宋_GB2312"/>
          <w:sz w:val="24"/>
          <w:szCs w:val="32"/>
        </w:rPr>
        <w:t>的原则推荐成交供应商，如出现两个以上相同最低报价的，由采购人自行选择成交供应商。</w:t>
      </w:r>
    </w:p>
    <w:p w14:paraId="4B0C3787">
      <w:pPr>
        <w:ind w:firstLine="640" w:firstLineChars="200"/>
        <w:rPr>
          <w:rFonts w:ascii="黑体" w:hAnsi="黑体" w:eastAsia="黑体" w:cs="黑体"/>
          <w:sz w:val="32"/>
          <w:szCs w:val="32"/>
        </w:rPr>
      </w:pPr>
      <w:r>
        <w:rPr>
          <w:rFonts w:hint="eastAsia" w:ascii="黑体" w:hAnsi="黑体" w:eastAsia="黑体" w:cs="黑体"/>
          <w:sz w:val="32"/>
          <w:szCs w:val="32"/>
        </w:rPr>
        <w:t>六、响应文件要求</w:t>
      </w:r>
    </w:p>
    <w:p w14:paraId="2B616402">
      <w:pPr>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文件必须上传：是</w:t>
      </w:r>
    </w:p>
    <w:p w14:paraId="325CB0B8">
      <w:pPr>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文件上传说明：</w:t>
      </w:r>
    </w:p>
    <w:p w14:paraId="563765BC">
      <w:pPr>
        <w:ind w:firstLine="640" w:firstLineChars="200"/>
        <w:rPr>
          <w:rFonts w:ascii="黑体" w:hAnsi="黑体" w:eastAsia="黑体" w:cs="黑体"/>
          <w:sz w:val="32"/>
          <w:szCs w:val="32"/>
        </w:rPr>
      </w:pPr>
      <w:r>
        <w:rPr>
          <w:rFonts w:hint="eastAsia" w:ascii="黑体" w:hAnsi="黑体" w:eastAsia="黑体" w:cs="黑体"/>
          <w:sz w:val="32"/>
          <w:szCs w:val="32"/>
        </w:rPr>
        <w:t>七、商务条款</w:t>
      </w:r>
    </w:p>
    <w:p w14:paraId="28A07C07">
      <w:pPr>
        <w:ind w:firstLine="480" w:firstLineChars="200"/>
        <w:rPr>
          <w:rFonts w:ascii="仿宋" w:hAnsi="仿宋" w:eastAsia="仿宋" w:cs="仿宋"/>
          <w:sz w:val="24"/>
          <w:szCs w:val="24"/>
        </w:rPr>
      </w:pPr>
      <w:r>
        <w:rPr>
          <w:rFonts w:hint="eastAsia" w:ascii="仿宋" w:hAnsi="仿宋" w:eastAsia="仿宋" w:cs="仿宋"/>
          <w:sz w:val="24"/>
          <w:szCs w:val="24"/>
        </w:rPr>
        <w:t>（一）服务期：</w:t>
      </w:r>
      <w:r>
        <w:rPr>
          <w:rFonts w:hint="eastAsia" w:ascii="仿宋" w:hAnsi="仿宋" w:eastAsia="仿宋" w:cs="仿宋"/>
          <w:color w:val="FF0000"/>
          <w:sz w:val="24"/>
          <w:szCs w:val="24"/>
        </w:rPr>
        <w:t>自合同签订之日起</w:t>
      </w:r>
      <w:r>
        <w:rPr>
          <w:rFonts w:hint="eastAsia" w:ascii="仿宋" w:hAnsi="仿宋" w:eastAsia="仿宋" w:cs="仿宋"/>
          <w:color w:val="FF0000"/>
          <w:sz w:val="24"/>
          <w:szCs w:val="24"/>
          <w:u w:val="single"/>
        </w:rPr>
        <w:t xml:space="preserve">   1  </w:t>
      </w:r>
      <w:r>
        <w:rPr>
          <w:rFonts w:hint="eastAsia" w:ascii="仿宋" w:hAnsi="仿宋" w:eastAsia="仿宋" w:cs="仿宋"/>
          <w:color w:val="FF0000"/>
          <w:sz w:val="24"/>
          <w:szCs w:val="24"/>
        </w:rPr>
        <w:t>年（按自然日计算）。</w:t>
      </w:r>
    </w:p>
    <w:p w14:paraId="21181989">
      <w:pPr>
        <w:ind w:firstLine="480" w:firstLineChars="200"/>
        <w:rPr>
          <w:rFonts w:ascii="仿宋" w:hAnsi="仿宋" w:eastAsia="仿宋" w:cs="仿宋"/>
          <w:sz w:val="24"/>
          <w:szCs w:val="24"/>
        </w:rPr>
      </w:pPr>
      <w:r>
        <w:rPr>
          <w:rFonts w:hint="eastAsia" w:ascii="仿宋" w:hAnsi="仿宋" w:eastAsia="仿宋" w:cs="仿宋"/>
          <w:sz w:val="24"/>
          <w:szCs w:val="24"/>
        </w:rPr>
        <w:t>（二）服务地点：</w:t>
      </w:r>
      <w:r>
        <w:rPr>
          <w:rFonts w:hint="eastAsia" w:ascii="仿宋_GB2312" w:hAnsi="仿宋_GB2312" w:eastAsia="仿宋_GB2312" w:cs="仿宋_GB2312"/>
          <w:color w:val="000000" w:themeColor="text1"/>
          <w:sz w:val="24"/>
          <w:szCs w:val="24"/>
          <w14:textFill>
            <w14:solidFill>
              <w14:schemeClr w14:val="tx1"/>
            </w14:solidFill>
          </w14:textFill>
        </w:rPr>
        <w:t>重庆市渝北区数据谷仙谷路1号</w:t>
      </w:r>
    </w:p>
    <w:p w14:paraId="3F8457C6">
      <w:pPr>
        <w:ind w:firstLine="480" w:firstLineChars="200"/>
        <w:rPr>
          <w:rFonts w:ascii="仿宋" w:hAnsi="仿宋" w:eastAsia="仿宋" w:cs="仿宋"/>
          <w:sz w:val="24"/>
          <w:szCs w:val="24"/>
        </w:rPr>
      </w:pPr>
      <w:r>
        <w:rPr>
          <w:rFonts w:hint="eastAsia" w:ascii="仿宋" w:hAnsi="仿宋" w:eastAsia="仿宋" w:cs="仿宋"/>
          <w:sz w:val="24"/>
          <w:szCs w:val="24"/>
        </w:rPr>
        <w:t>（三）报价要求：竞采本次报价为人民币报价，报价须包含但不限于：完成本项目所需的服务费、人工费及提供服务所需的设备或货物购买（制造）费、辅材费、运输费、装卸费、安装调试费、培训费及各种应纳的税费等完成本项目所需的所有费用。因成交供应商自身原因造成漏报、少报皆由其自行承担责任，采购人不再补偿任何费用。</w:t>
      </w:r>
    </w:p>
    <w:p w14:paraId="70CA54D3">
      <w:pPr>
        <w:ind w:firstLine="480" w:firstLineChars="20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四</w:t>
      </w:r>
      <w:r>
        <w:rPr>
          <w:rFonts w:hint="eastAsia" w:ascii="仿宋" w:hAnsi="仿宋" w:eastAsia="仿宋" w:cs="仿宋"/>
          <w:sz w:val="24"/>
          <w:szCs w:val="24"/>
        </w:rPr>
        <w:t>）其它</w:t>
      </w:r>
    </w:p>
    <w:p w14:paraId="2A573DEE">
      <w:pPr>
        <w:ind w:firstLine="480" w:firstLineChars="200"/>
        <w:rPr>
          <w:rFonts w:ascii="仿宋" w:hAnsi="仿宋" w:eastAsia="仿宋" w:cs="仿宋"/>
          <w:sz w:val="24"/>
          <w:szCs w:val="24"/>
        </w:rPr>
      </w:pPr>
      <w:r>
        <w:rPr>
          <w:rFonts w:hint="eastAsia" w:ascii="仿宋" w:hAnsi="仿宋" w:eastAsia="仿宋" w:cs="仿宋"/>
          <w:sz w:val="24"/>
          <w:szCs w:val="24"/>
        </w:rPr>
        <w:t>如</w:t>
      </w:r>
      <w:r>
        <w:rPr>
          <w:rFonts w:hint="eastAsia" w:ascii="仿宋" w:hAnsi="仿宋" w:eastAsia="仿宋" w:cs="仿宋"/>
          <w:sz w:val="24"/>
          <w:szCs w:val="24"/>
          <w:lang w:val="en-US" w:eastAsia="zh-CN"/>
        </w:rPr>
        <w:t>投标人</w:t>
      </w:r>
      <w:r>
        <w:rPr>
          <w:rFonts w:hint="eastAsia" w:ascii="仿宋" w:hAnsi="仿宋" w:eastAsia="仿宋" w:cs="仿宋"/>
          <w:sz w:val="24"/>
          <w:szCs w:val="24"/>
        </w:rPr>
        <w:t>在期限内因特殊原因而且提前终止本承包协议的，必须提前</w:t>
      </w:r>
      <w:r>
        <w:rPr>
          <w:rFonts w:hint="eastAsia" w:ascii="仿宋" w:hAnsi="仿宋" w:eastAsia="仿宋" w:cs="仿宋"/>
          <w:sz w:val="24"/>
          <w:szCs w:val="24"/>
          <w:lang w:val="en-US" w:eastAsia="zh-CN"/>
        </w:rPr>
        <w:t>30</w:t>
      </w:r>
      <w:r>
        <w:rPr>
          <w:rFonts w:hint="eastAsia" w:ascii="仿宋" w:hAnsi="仿宋" w:eastAsia="仿宋" w:cs="仿宋"/>
          <w:sz w:val="24"/>
          <w:szCs w:val="24"/>
        </w:rPr>
        <w:t>天书面通知</w:t>
      </w:r>
      <w:r>
        <w:rPr>
          <w:rFonts w:hint="eastAsia" w:ascii="仿宋" w:hAnsi="仿宋" w:eastAsia="仿宋" w:cs="仿宋"/>
          <w:sz w:val="24"/>
          <w:szCs w:val="24"/>
          <w:lang w:val="en-US" w:eastAsia="zh-CN"/>
        </w:rPr>
        <w:t>采购人</w:t>
      </w:r>
      <w:r>
        <w:rPr>
          <w:rFonts w:hint="eastAsia" w:ascii="仿宋" w:hAnsi="仿宋" w:eastAsia="仿宋" w:cs="仿宋"/>
          <w:sz w:val="24"/>
          <w:szCs w:val="24"/>
        </w:rPr>
        <w:t>。</w:t>
      </w:r>
    </w:p>
    <w:p w14:paraId="6959D359">
      <w:pPr>
        <w:ind w:firstLine="640" w:firstLineChars="200"/>
        <w:rPr>
          <w:rFonts w:ascii="黑体" w:hAnsi="黑体" w:eastAsia="黑体" w:cs="黑体"/>
          <w:szCs w:val="32"/>
        </w:rPr>
      </w:pPr>
      <w:r>
        <w:rPr>
          <w:rFonts w:hint="eastAsia" w:ascii="黑体" w:hAnsi="黑体" w:eastAsia="黑体" w:cs="黑体"/>
          <w:sz w:val="32"/>
          <w:szCs w:val="32"/>
        </w:rPr>
        <w:t>八、质量保证及服务要求</w:t>
      </w:r>
    </w:p>
    <w:p w14:paraId="1A95F73E">
      <w:pPr>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（一）成交供应商须免费提供现场技术培训与技术支持。</w:t>
      </w:r>
    </w:p>
    <w:p w14:paraId="40DBCFFF">
      <w:pPr>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（二）</w:t>
      </w:r>
      <w:r>
        <w:rPr>
          <w:rFonts w:hint="eastAsia" w:ascii="仿宋_GB2312" w:hAnsi="仿宋_GB2312" w:eastAsia="仿宋_GB2312" w:cs="仿宋_GB2312"/>
          <w:kern w:val="2"/>
          <w:sz w:val="24"/>
          <w:szCs w:val="32"/>
          <w:lang w:val="en-US" w:eastAsia="zh-CN" w:bidi="ar-SA"/>
        </w:rPr>
        <w:t>如遇特殊情况，投标单位需在在接到采购人通知后，四小时内到达现场进行有害生物防制处理</w:t>
      </w:r>
      <w:r>
        <w:rPr>
          <w:rFonts w:hint="eastAsia" w:ascii="仿宋_GB2312" w:hAnsi="仿宋_GB2312" w:eastAsia="仿宋_GB2312" w:cs="仿宋_GB2312"/>
          <w:sz w:val="24"/>
          <w:szCs w:val="32"/>
        </w:rPr>
        <w:t>。</w:t>
      </w:r>
    </w:p>
    <w:p w14:paraId="42A4346F">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（三）有害生物防治服务要求及标准</w:t>
      </w:r>
    </w:p>
    <w:p w14:paraId="1B441F13">
      <w:pPr>
        <w:pStyle w:val="254"/>
        <w:spacing w:line="360" w:lineRule="auto"/>
        <w:ind w:firstLine="720" w:firstLineChars="300"/>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kern w:val="2"/>
          <w:sz w:val="24"/>
          <w:szCs w:val="32"/>
          <w:lang w:val="en-US" w:eastAsia="zh-CN" w:bidi="ar-SA"/>
        </w:rPr>
        <w:t>1. 灭鼠标准：</w:t>
      </w:r>
    </w:p>
    <w:p w14:paraId="618A0169">
      <w:pPr>
        <w:pStyle w:val="254"/>
        <w:widowControl/>
        <w:shd w:val="clear" w:color="auto" w:fill="FFFFFF"/>
        <w:spacing w:line="360" w:lineRule="auto"/>
        <w:ind w:firstLine="720" w:firstLineChars="300"/>
        <w:jc w:val="left"/>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kern w:val="2"/>
          <w:sz w:val="24"/>
          <w:szCs w:val="32"/>
          <w:lang w:val="en-US" w:eastAsia="zh-CN" w:bidi="ar-SA"/>
        </w:rPr>
        <w:t>1.1、5平方米标准房间布放20*20厘米滑石粉块两块，一夜后阳性粉块不超过3%；</w:t>
      </w:r>
    </w:p>
    <w:p w14:paraId="1AACEB55">
      <w:pPr>
        <w:pStyle w:val="254"/>
        <w:widowControl/>
        <w:shd w:val="clear" w:color="auto" w:fill="FFFFFF"/>
        <w:spacing w:line="360" w:lineRule="auto"/>
        <w:ind w:firstLine="720" w:firstLineChars="300"/>
        <w:jc w:val="left"/>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kern w:val="2"/>
          <w:sz w:val="24"/>
          <w:szCs w:val="32"/>
          <w:lang w:val="en-US" w:eastAsia="zh-CN" w:bidi="ar-SA"/>
        </w:rPr>
        <w:t>1.2、 有鼠洞、鼠粪、鼠咬等痕迹的房间不超过2%；</w:t>
      </w:r>
    </w:p>
    <w:p w14:paraId="5C1DA72F">
      <w:pPr>
        <w:pStyle w:val="254"/>
        <w:widowControl/>
        <w:shd w:val="clear" w:color="auto" w:fill="FFFFFF"/>
        <w:spacing w:line="360" w:lineRule="auto"/>
        <w:ind w:firstLine="720" w:firstLineChars="300"/>
        <w:jc w:val="left"/>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kern w:val="2"/>
          <w:sz w:val="24"/>
          <w:szCs w:val="32"/>
          <w:lang w:val="en-US" w:eastAsia="zh-CN" w:bidi="ar-SA"/>
        </w:rPr>
        <w:t>1.3、 重点单位防鼠设备不合格处不超过5%；</w:t>
      </w:r>
    </w:p>
    <w:p w14:paraId="21C6BEAB">
      <w:pPr>
        <w:pStyle w:val="254"/>
        <w:widowControl/>
        <w:shd w:val="clear" w:color="auto" w:fill="FFFFFF"/>
        <w:spacing w:line="360" w:lineRule="auto"/>
        <w:ind w:firstLine="720" w:firstLineChars="300"/>
        <w:jc w:val="left"/>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kern w:val="2"/>
          <w:sz w:val="24"/>
          <w:szCs w:val="32"/>
          <w:lang w:val="en-US" w:eastAsia="zh-CN" w:bidi="ar-SA"/>
        </w:rPr>
        <w:t>1.4、 不同类型的外环境累计2000米，鼠迹不超过5处；</w:t>
      </w:r>
    </w:p>
    <w:p w14:paraId="0DF17C94">
      <w:pPr>
        <w:pStyle w:val="254"/>
        <w:widowControl/>
        <w:shd w:val="clear" w:color="auto" w:fill="FFFFFF"/>
        <w:spacing w:line="360" w:lineRule="auto"/>
        <w:ind w:left="630" w:leftChars="300" w:firstLine="0" w:firstLineChars="0"/>
        <w:jc w:val="left"/>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kern w:val="2"/>
          <w:sz w:val="24"/>
          <w:szCs w:val="32"/>
          <w:lang w:val="en-US" w:eastAsia="zh-CN" w:bidi="ar-SA"/>
        </w:rPr>
        <w:t>1.5、 服务开始后一个月灭杀率达97%，辖区室内阳性率为零，室外粉迹法阳性率不超过2%。</w:t>
      </w:r>
    </w:p>
    <w:p w14:paraId="7E434078">
      <w:pPr>
        <w:pStyle w:val="254"/>
        <w:widowControl/>
        <w:shd w:val="clear" w:color="auto" w:fill="FFFFFF"/>
        <w:spacing w:line="360" w:lineRule="auto"/>
        <w:ind w:firstLine="720" w:firstLineChars="300"/>
        <w:jc w:val="left"/>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kern w:val="2"/>
          <w:sz w:val="24"/>
          <w:szCs w:val="32"/>
          <w:lang w:val="en-US" w:eastAsia="zh-CN" w:bidi="ar-SA"/>
        </w:rPr>
        <w:t>2. 灭蚊标准：</w:t>
      </w:r>
    </w:p>
    <w:p w14:paraId="5702EE55">
      <w:pPr>
        <w:pStyle w:val="254"/>
        <w:widowControl/>
        <w:shd w:val="clear" w:color="auto" w:fill="FFFFFF"/>
        <w:spacing w:line="360" w:lineRule="auto"/>
        <w:ind w:left="450" w:leftChars="100" w:hanging="240" w:hangingChars="100"/>
        <w:jc w:val="left"/>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kern w:val="2"/>
          <w:sz w:val="24"/>
          <w:szCs w:val="32"/>
          <w:lang w:val="en-US" w:eastAsia="zh-CN" w:bidi="ar-SA"/>
        </w:rPr>
        <w:t xml:space="preserve">    2.1、 居民住宅、单位内外环境各种存水容器和积水中，蚊幼虫及蛹的阳性率不超过3％；</w:t>
      </w:r>
      <w:r>
        <w:rPr>
          <w:rFonts w:hint="eastAsia" w:ascii="仿宋_GB2312" w:hAnsi="仿宋_GB2312" w:eastAsia="仿宋_GB2312" w:cs="仿宋_GB2312"/>
          <w:kern w:val="2"/>
          <w:sz w:val="24"/>
          <w:szCs w:val="32"/>
          <w:lang w:val="en-US" w:eastAsia="zh-CN" w:bidi="ar-SA"/>
        </w:rPr>
        <w:tab/>
      </w:r>
    </w:p>
    <w:p w14:paraId="0DB03F07">
      <w:pPr>
        <w:pStyle w:val="254"/>
        <w:widowControl/>
        <w:shd w:val="clear" w:color="auto" w:fill="FFFFFF"/>
        <w:spacing w:line="360" w:lineRule="auto"/>
        <w:ind w:left="420" w:leftChars="200" w:firstLine="240" w:firstLineChars="100"/>
        <w:jc w:val="left"/>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kern w:val="2"/>
          <w:sz w:val="24"/>
          <w:szCs w:val="32"/>
          <w:lang w:val="en-US" w:eastAsia="zh-CN" w:bidi="ar-SA"/>
        </w:rPr>
        <w:t xml:space="preserve"> 2.2、 用500ml收集勺采集城区内大中型水体中的蚊幼虫或蛹阳性率不超过3％，阳性勺内幼虫或蛹的平均数不超过5只；</w:t>
      </w:r>
    </w:p>
    <w:p w14:paraId="06D607D9">
      <w:pPr>
        <w:pStyle w:val="254"/>
        <w:widowControl/>
        <w:shd w:val="clear" w:color="auto" w:fill="FFFFFF"/>
        <w:spacing w:line="360" w:lineRule="auto"/>
        <w:ind w:firstLine="720" w:firstLineChars="300"/>
        <w:jc w:val="left"/>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kern w:val="2"/>
          <w:sz w:val="24"/>
          <w:szCs w:val="32"/>
          <w:lang w:val="en-US" w:eastAsia="zh-CN" w:bidi="ar-SA"/>
        </w:rPr>
        <w:t>2.3、 特殊场所白天人诱蚊30分钟，平均每人次诱获成蚊数不超过1只。</w:t>
      </w:r>
    </w:p>
    <w:p w14:paraId="3DA6BA51">
      <w:pPr>
        <w:pStyle w:val="254"/>
        <w:spacing w:line="360" w:lineRule="auto"/>
        <w:ind w:firstLine="720" w:firstLineChars="300"/>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kern w:val="2"/>
          <w:sz w:val="24"/>
          <w:szCs w:val="32"/>
          <w:lang w:val="en-US" w:eastAsia="zh-CN" w:bidi="ar-SA"/>
        </w:rPr>
        <w:t>3. 灭蝇标准：</w:t>
      </w:r>
    </w:p>
    <w:p w14:paraId="1FD22056">
      <w:pPr>
        <w:pStyle w:val="254"/>
        <w:widowControl/>
        <w:shd w:val="clear" w:color="auto" w:fill="FFFFFF"/>
        <w:spacing w:line="360" w:lineRule="auto"/>
        <w:ind w:left="450" w:leftChars="100" w:hanging="240" w:hangingChars="100"/>
        <w:jc w:val="left"/>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kern w:val="2"/>
          <w:sz w:val="24"/>
          <w:szCs w:val="32"/>
          <w:lang w:val="en-US" w:eastAsia="zh-CN" w:bidi="ar-SA"/>
        </w:rPr>
        <w:t xml:space="preserve">    3.1、 重点单位有蝇房间不超过1％，其它单位不超过3％，平均每阳性房间不超过3只；</w:t>
      </w:r>
    </w:p>
    <w:p w14:paraId="7ABC65BA">
      <w:pPr>
        <w:pStyle w:val="254"/>
        <w:widowControl/>
        <w:shd w:val="clear" w:color="auto" w:fill="FFFFFF"/>
        <w:spacing w:line="360" w:lineRule="auto"/>
        <w:ind w:left="420" w:leftChars="200" w:firstLine="240" w:firstLineChars="100"/>
        <w:jc w:val="left"/>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kern w:val="2"/>
          <w:sz w:val="24"/>
          <w:szCs w:val="32"/>
          <w:lang w:val="en-US" w:eastAsia="zh-CN" w:bidi="ar-SA"/>
        </w:rPr>
        <w:t>3.2、 重点单位防蝇设施不合格房间不超过5％；加工、销售直接入口食品的场所不得有蝇；</w:t>
      </w:r>
    </w:p>
    <w:p w14:paraId="7A585A68">
      <w:pPr>
        <w:pStyle w:val="254"/>
        <w:widowControl/>
        <w:shd w:val="clear" w:color="auto" w:fill="FFFFFF"/>
        <w:spacing w:line="360" w:lineRule="auto"/>
        <w:ind w:firstLine="720" w:firstLineChars="300"/>
        <w:jc w:val="left"/>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kern w:val="2"/>
          <w:sz w:val="24"/>
          <w:szCs w:val="32"/>
          <w:lang w:val="en-US" w:eastAsia="zh-CN" w:bidi="ar-SA"/>
        </w:rPr>
        <w:t>3.3、 蝇类孳生地得到有效治理，幼虫和蛹的检出率不超过3％。</w:t>
      </w:r>
    </w:p>
    <w:p w14:paraId="1A01F935">
      <w:pPr>
        <w:pStyle w:val="254"/>
        <w:widowControl/>
        <w:shd w:val="clear" w:color="auto" w:fill="FFFFFF"/>
        <w:spacing w:line="360" w:lineRule="auto"/>
        <w:ind w:firstLine="720" w:firstLineChars="300"/>
        <w:jc w:val="left"/>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kern w:val="2"/>
          <w:sz w:val="24"/>
          <w:szCs w:val="32"/>
          <w:lang w:val="en-US" w:eastAsia="zh-CN" w:bidi="ar-SA"/>
        </w:rPr>
        <w:t>4. 灭蟑螂标准：</w:t>
      </w:r>
    </w:p>
    <w:p w14:paraId="25C7FA4F">
      <w:pPr>
        <w:pStyle w:val="254"/>
        <w:widowControl/>
        <w:shd w:val="clear" w:color="auto" w:fill="FFFFFF"/>
        <w:spacing w:line="360" w:lineRule="auto"/>
        <w:ind w:left="420" w:leftChars="200" w:firstLine="240" w:firstLineChars="100"/>
        <w:jc w:val="left"/>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kern w:val="2"/>
          <w:sz w:val="24"/>
          <w:szCs w:val="32"/>
          <w:lang w:val="en-US" w:eastAsia="zh-CN" w:bidi="ar-SA"/>
        </w:rPr>
        <w:t>4.1、 室内有蟑螂成虫或若虫阳性房间不超过3％，平均每间房大蠊不超过5只，小蠊不超过10只。</w:t>
      </w:r>
    </w:p>
    <w:p w14:paraId="4A5414C3">
      <w:pPr>
        <w:pStyle w:val="254"/>
        <w:widowControl/>
        <w:shd w:val="clear" w:color="auto" w:fill="FFFFFF"/>
        <w:spacing w:line="360" w:lineRule="auto"/>
        <w:ind w:firstLine="480"/>
        <w:jc w:val="left"/>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kern w:val="2"/>
          <w:sz w:val="24"/>
          <w:szCs w:val="32"/>
          <w:lang w:val="en-US" w:eastAsia="zh-CN" w:bidi="ar-SA"/>
        </w:rPr>
        <w:t>4.2、 有活蟑螂卵鞘房间不超过2％，平均每间房不超过4只。</w:t>
      </w:r>
    </w:p>
    <w:p w14:paraId="1C5528AC">
      <w:pPr>
        <w:pStyle w:val="254"/>
        <w:widowControl/>
        <w:shd w:val="clear" w:color="auto" w:fill="FFFFFF"/>
        <w:spacing w:line="360" w:lineRule="auto"/>
        <w:ind w:firstLine="480"/>
        <w:jc w:val="left"/>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kern w:val="2"/>
          <w:sz w:val="24"/>
          <w:szCs w:val="32"/>
          <w:lang w:val="en-US" w:eastAsia="zh-CN" w:bidi="ar-SA"/>
        </w:rPr>
        <w:t>4.3、 有蟑螂粪便蜕皮等蟑迹的房间不超过5％。</w:t>
      </w:r>
    </w:p>
    <w:p w14:paraId="2FDFCB33">
      <w:pPr>
        <w:widowControl/>
        <w:shd w:val="clear" w:color="auto" w:fill="FFFFFF"/>
        <w:spacing w:line="360" w:lineRule="auto"/>
        <w:ind w:firstLine="480" w:firstLineChars="200"/>
        <w:jc w:val="left"/>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kern w:val="2"/>
          <w:sz w:val="24"/>
          <w:szCs w:val="32"/>
          <w:lang w:val="en-US" w:eastAsia="zh-CN" w:bidi="ar-SA"/>
        </w:rPr>
        <w:t>4.4、 服务开始后一个月灭蟑率达98%以上，室内蟑螂成虫或若虫阳性房间不超过3%。</w:t>
      </w:r>
    </w:p>
    <w:p w14:paraId="546C6D04">
      <w:pPr>
        <w:pStyle w:val="254"/>
        <w:widowControl/>
        <w:shd w:val="clear" w:color="auto" w:fill="FFFFFF"/>
        <w:spacing w:line="360" w:lineRule="auto"/>
        <w:ind w:left="153" w:leftChars="73" w:firstLine="0" w:firstLineChars="0"/>
        <w:jc w:val="left"/>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kern w:val="2"/>
          <w:sz w:val="24"/>
          <w:szCs w:val="32"/>
          <w:lang w:val="en-US" w:eastAsia="zh-CN" w:bidi="ar-SA"/>
        </w:rPr>
        <w:t>备注：有害生物防制服务所使用的药剂及操作流程要符合酒店食品卫生安全体系认证项目（FSMS）的要求。</w:t>
      </w:r>
    </w:p>
    <w:p w14:paraId="10B6F1CF">
      <w:pPr>
        <w:spacing w:line="360" w:lineRule="auto"/>
        <w:ind w:firstLine="480" w:firstLineChars="200"/>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kern w:val="2"/>
          <w:sz w:val="24"/>
          <w:szCs w:val="32"/>
          <w:lang w:val="en-US" w:eastAsia="zh-CN" w:bidi="ar-SA"/>
        </w:rPr>
        <w:t>5. 有害生物防制服务具体要求及施工频率</w:t>
      </w:r>
    </w:p>
    <w:p w14:paraId="461CBEAB">
      <w:pPr>
        <w:spacing w:line="480" w:lineRule="exact"/>
        <w:ind w:firstLine="480" w:firstLineChars="200"/>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kern w:val="2"/>
          <w:sz w:val="24"/>
          <w:szCs w:val="32"/>
          <w:lang w:val="en-US" w:eastAsia="zh-CN" w:bidi="ar-SA"/>
        </w:rPr>
        <w:t xml:space="preserve">5.1、必须定期、保质、按时服务，控制“四害”密度，使密度达到最低水平。 </w:t>
      </w:r>
    </w:p>
    <w:p w14:paraId="08146061">
      <w:pPr>
        <w:spacing w:line="480" w:lineRule="exact"/>
        <w:ind w:firstLine="480" w:firstLineChars="200"/>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kern w:val="2"/>
          <w:sz w:val="24"/>
          <w:szCs w:val="32"/>
          <w:lang w:val="en-US" w:eastAsia="zh-CN" w:bidi="ar-SA"/>
        </w:rPr>
        <w:t>5.2、现场作业时，要遵守酒店有关规章制度，做到安全操作。</w:t>
      </w:r>
    </w:p>
    <w:p w14:paraId="598F028C">
      <w:pPr>
        <w:spacing w:line="480" w:lineRule="exact"/>
        <w:ind w:firstLine="480" w:firstLineChars="200"/>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kern w:val="2"/>
          <w:sz w:val="24"/>
          <w:szCs w:val="32"/>
          <w:lang w:val="en-US" w:eastAsia="zh-CN" w:bidi="ar-SA"/>
        </w:rPr>
        <w:t>5.3、在为酒店提供服务使用的药品应是全国爱卫会要求的环保药品。</w:t>
      </w:r>
    </w:p>
    <w:p w14:paraId="295049EB">
      <w:pPr>
        <w:spacing w:line="480" w:lineRule="exact"/>
        <w:ind w:firstLine="480" w:firstLineChars="200"/>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kern w:val="2"/>
          <w:sz w:val="24"/>
          <w:szCs w:val="32"/>
          <w:lang w:val="en-US" w:eastAsia="zh-CN" w:bidi="ar-SA"/>
        </w:rPr>
        <w:t>5.4、为确保消杀服务质量，若消杀效果未达到要求，应再次安排人员、时间及时补杀，且不需另付费用。</w:t>
      </w:r>
    </w:p>
    <w:p w14:paraId="656FBBB9">
      <w:pPr>
        <w:spacing w:line="360" w:lineRule="auto"/>
        <w:ind w:firstLine="480" w:firstLineChars="200"/>
        <w:jc w:val="left"/>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kern w:val="2"/>
          <w:sz w:val="24"/>
          <w:szCs w:val="32"/>
          <w:lang w:val="en-US" w:eastAsia="zh-CN" w:bidi="ar-SA"/>
        </w:rPr>
        <w:t>5.5、如不在消杀时间段在酒店发现蚊虫，杀虫公司应及时派人进行消杀。</w:t>
      </w:r>
    </w:p>
    <w:p w14:paraId="61115ACA">
      <w:pPr>
        <w:spacing w:line="360" w:lineRule="auto"/>
        <w:ind w:firstLine="480" w:firstLineChars="200"/>
        <w:jc w:val="left"/>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kern w:val="2"/>
          <w:sz w:val="24"/>
          <w:szCs w:val="32"/>
          <w:lang w:val="en-US" w:eastAsia="zh-CN" w:bidi="ar-SA"/>
        </w:rPr>
        <w:t xml:space="preserve">5.6、有害生物防制服务平率： </w:t>
      </w:r>
    </w:p>
    <w:tbl>
      <w:tblPr>
        <w:tblStyle w:val="57"/>
        <w:tblW w:w="10065" w:type="dxa"/>
        <w:tblInd w:w="0" w:type="dxa"/>
        <w:tblLayout w:type="fixed"/>
        <w:tblCellMar>
          <w:top w:w="0" w:type="dxa"/>
          <w:left w:w="108" w:type="dxa"/>
          <w:bottom w:w="0" w:type="dxa"/>
          <w:right w:w="108" w:type="dxa"/>
        </w:tblCellMar>
      </w:tblPr>
      <w:tblGrid>
        <w:gridCol w:w="2560"/>
        <w:gridCol w:w="1952"/>
        <w:gridCol w:w="2920"/>
        <w:gridCol w:w="2633"/>
      </w:tblGrid>
      <w:tr w14:paraId="7853F52E">
        <w:tblPrEx>
          <w:tblCellMar>
            <w:top w:w="0" w:type="dxa"/>
            <w:left w:w="108" w:type="dxa"/>
            <w:bottom w:w="0" w:type="dxa"/>
            <w:right w:w="108" w:type="dxa"/>
          </w:tblCellMar>
        </w:tblPrEx>
        <w:trPr>
          <w:trHeight w:val="540" w:hRule="atLeast"/>
        </w:trPr>
        <w:tc>
          <w:tcPr>
            <w:tcW w:w="2560" w:type="dxa"/>
            <w:tcBorders>
              <w:top w:val="single" w:color="auto" w:sz="4" w:space="0"/>
              <w:left w:val="single" w:color="auto" w:sz="4" w:space="0"/>
              <w:bottom w:val="single" w:color="auto" w:sz="4" w:space="0"/>
              <w:right w:val="single" w:color="auto" w:sz="4" w:space="0"/>
            </w:tcBorders>
            <w:vAlign w:val="center"/>
          </w:tcPr>
          <w:p w14:paraId="5BCEBB65">
            <w:pPr>
              <w:widowControl/>
              <w:spacing w:line="360" w:lineRule="auto"/>
              <w:ind w:firstLine="200" w:firstLineChars="0"/>
              <w:jc w:val="center"/>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sz w:val="24"/>
                <w:szCs w:val="32"/>
              </w:rPr>
              <w:t>虫害防治服务内容</w:t>
            </w:r>
          </w:p>
        </w:tc>
        <w:tc>
          <w:tcPr>
            <w:tcW w:w="1952" w:type="dxa"/>
            <w:tcBorders>
              <w:top w:val="single" w:color="auto" w:sz="4" w:space="0"/>
              <w:left w:val="nil"/>
              <w:bottom w:val="single" w:color="auto" w:sz="4" w:space="0"/>
              <w:right w:val="single" w:color="auto" w:sz="4" w:space="0"/>
            </w:tcBorders>
            <w:vAlign w:val="center"/>
          </w:tcPr>
          <w:p w14:paraId="7A85E727">
            <w:pPr>
              <w:widowControl/>
              <w:spacing w:line="360" w:lineRule="auto"/>
              <w:ind w:firstLine="200" w:firstLineChars="0"/>
              <w:jc w:val="center"/>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sz w:val="24"/>
                <w:szCs w:val="32"/>
              </w:rPr>
              <w:t>虫害防治标准</w:t>
            </w:r>
          </w:p>
        </w:tc>
        <w:tc>
          <w:tcPr>
            <w:tcW w:w="2920" w:type="dxa"/>
            <w:tcBorders>
              <w:top w:val="single" w:color="auto" w:sz="4" w:space="0"/>
              <w:left w:val="nil"/>
              <w:bottom w:val="single" w:color="auto" w:sz="4" w:space="0"/>
              <w:right w:val="single" w:color="auto" w:sz="4" w:space="0"/>
            </w:tcBorders>
            <w:vAlign w:val="center"/>
          </w:tcPr>
          <w:p w14:paraId="6A362A1D">
            <w:pPr>
              <w:widowControl/>
              <w:spacing w:line="360" w:lineRule="auto"/>
              <w:ind w:firstLine="200" w:firstLineChars="0"/>
              <w:jc w:val="center"/>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sz w:val="24"/>
                <w:szCs w:val="32"/>
              </w:rPr>
              <w:t>方式</w:t>
            </w:r>
          </w:p>
        </w:tc>
        <w:tc>
          <w:tcPr>
            <w:tcW w:w="2633" w:type="dxa"/>
            <w:tcBorders>
              <w:top w:val="single" w:color="auto" w:sz="4" w:space="0"/>
              <w:left w:val="nil"/>
              <w:bottom w:val="single" w:color="auto" w:sz="4" w:space="0"/>
              <w:right w:val="single" w:color="auto" w:sz="4" w:space="0"/>
            </w:tcBorders>
            <w:vAlign w:val="center"/>
          </w:tcPr>
          <w:p w14:paraId="7C3825F4">
            <w:pPr>
              <w:widowControl/>
              <w:spacing w:line="360" w:lineRule="auto"/>
              <w:ind w:firstLine="200" w:firstLineChars="0"/>
              <w:jc w:val="center"/>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sz w:val="24"/>
                <w:szCs w:val="32"/>
              </w:rPr>
              <w:t>频率</w:t>
            </w:r>
          </w:p>
        </w:tc>
      </w:tr>
      <w:tr w14:paraId="4CAE890A">
        <w:tblPrEx>
          <w:tblCellMar>
            <w:top w:w="0" w:type="dxa"/>
            <w:left w:w="108" w:type="dxa"/>
            <w:bottom w:w="0" w:type="dxa"/>
            <w:right w:w="108" w:type="dxa"/>
          </w:tblCellMar>
        </w:tblPrEx>
        <w:trPr>
          <w:trHeight w:val="540" w:hRule="atLeast"/>
        </w:trPr>
        <w:tc>
          <w:tcPr>
            <w:tcW w:w="2560" w:type="dxa"/>
            <w:vMerge w:val="restart"/>
            <w:tcBorders>
              <w:top w:val="nil"/>
              <w:left w:val="single" w:color="auto" w:sz="4" w:space="0"/>
              <w:bottom w:val="single" w:color="auto" w:sz="4" w:space="0"/>
              <w:right w:val="single" w:color="auto" w:sz="4" w:space="0"/>
            </w:tcBorders>
            <w:vAlign w:val="center"/>
          </w:tcPr>
          <w:p w14:paraId="2DC4A09C">
            <w:pPr>
              <w:widowControl/>
              <w:spacing w:line="360" w:lineRule="auto"/>
              <w:ind w:firstLine="200" w:firstLineChars="0"/>
              <w:jc w:val="center"/>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sz w:val="24"/>
                <w:szCs w:val="32"/>
              </w:rPr>
              <w:t>鼠类防治</w:t>
            </w:r>
          </w:p>
        </w:tc>
        <w:tc>
          <w:tcPr>
            <w:tcW w:w="1952" w:type="dxa"/>
            <w:vMerge w:val="restart"/>
            <w:tcBorders>
              <w:top w:val="nil"/>
              <w:left w:val="single" w:color="auto" w:sz="4" w:space="0"/>
              <w:bottom w:val="single" w:color="auto" w:sz="4" w:space="0"/>
              <w:right w:val="single" w:color="auto" w:sz="4" w:space="0"/>
            </w:tcBorders>
            <w:vAlign w:val="center"/>
          </w:tcPr>
          <w:p w14:paraId="663213FA">
            <w:pPr>
              <w:widowControl/>
              <w:spacing w:line="360" w:lineRule="auto"/>
              <w:ind w:firstLine="200" w:firstLineChars="0"/>
              <w:jc w:val="center"/>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sz w:val="24"/>
                <w:szCs w:val="32"/>
              </w:rPr>
              <w:t>参照上述灭鼠标准执行</w:t>
            </w:r>
          </w:p>
        </w:tc>
        <w:tc>
          <w:tcPr>
            <w:tcW w:w="2920" w:type="dxa"/>
            <w:tcBorders>
              <w:top w:val="nil"/>
              <w:left w:val="nil"/>
              <w:bottom w:val="single" w:color="auto" w:sz="4" w:space="0"/>
              <w:right w:val="single" w:color="auto" w:sz="4" w:space="0"/>
            </w:tcBorders>
            <w:vAlign w:val="center"/>
          </w:tcPr>
          <w:p w14:paraId="5A19BD6E">
            <w:pPr>
              <w:widowControl/>
              <w:spacing w:line="360" w:lineRule="auto"/>
              <w:jc w:val="left"/>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sz w:val="24"/>
                <w:szCs w:val="32"/>
              </w:rPr>
              <w:t>鼠情布药和预防性灭杀</w:t>
            </w:r>
          </w:p>
        </w:tc>
        <w:tc>
          <w:tcPr>
            <w:tcW w:w="2633" w:type="dxa"/>
            <w:tcBorders>
              <w:top w:val="nil"/>
              <w:left w:val="nil"/>
              <w:bottom w:val="single" w:color="auto" w:sz="4" w:space="0"/>
              <w:right w:val="single" w:color="auto" w:sz="4" w:space="0"/>
            </w:tcBorders>
            <w:vAlign w:val="center"/>
          </w:tcPr>
          <w:p w14:paraId="06285681">
            <w:pPr>
              <w:widowControl/>
              <w:spacing w:line="360" w:lineRule="auto"/>
              <w:jc w:val="center"/>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sz w:val="24"/>
                <w:szCs w:val="32"/>
              </w:rPr>
              <w:t>8次/月</w:t>
            </w:r>
          </w:p>
        </w:tc>
      </w:tr>
      <w:tr w14:paraId="1B666CCF">
        <w:tblPrEx>
          <w:tblCellMar>
            <w:top w:w="0" w:type="dxa"/>
            <w:left w:w="108" w:type="dxa"/>
            <w:bottom w:w="0" w:type="dxa"/>
            <w:right w:w="108" w:type="dxa"/>
          </w:tblCellMar>
        </w:tblPrEx>
        <w:trPr>
          <w:trHeight w:val="540" w:hRule="atLeast"/>
        </w:trPr>
        <w:tc>
          <w:tcPr>
            <w:tcW w:w="2560" w:type="dxa"/>
            <w:vMerge w:val="continue"/>
            <w:tcBorders>
              <w:top w:val="nil"/>
              <w:left w:val="single" w:color="auto" w:sz="4" w:space="0"/>
              <w:bottom w:val="single" w:color="auto" w:sz="4" w:space="0"/>
              <w:right w:val="single" w:color="auto" w:sz="4" w:space="0"/>
            </w:tcBorders>
            <w:vAlign w:val="center"/>
          </w:tcPr>
          <w:p w14:paraId="193243B4">
            <w:pPr>
              <w:widowControl/>
              <w:spacing w:line="360" w:lineRule="auto"/>
              <w:ind w:firstLine="200" w:firstLineChars="0"/>
              <w:jc w:val="left"/>
              <w:rPr>
                <w:rFonts w:hint="eastAsia" w:ascii="仿宋_GB2312" w:hAnsi="仿宋_GB2312" w:eastAsia="仿宋_GB2312" w:cs="仿宋_GB2312"/>
                <w:kern w:val="2"/>
                <w:sz w:val="24"/>
                <w:szCs w:val="32"/>
                <w:lang w:val="en-US" w:eastAsia="zh-CN" w:bidi="ar-SA"/>
              </w:rPr>
            </w:pPr>
          </w:p>
        </w:tc>
        <w:tc>
          <w:tcPr>
            <w:tcW w:w="1952" w:type="dxa"/>
            <w:vMerge w:val="continue"/>
            <w:tcBorders>
              <w:top w:val="nil"/>
              <w:left w:val="single" w:color="auto" w:sz="4" w:space="0"/>
              <w:bottom w:val="single" w:color="auto" w:sz="4" w:space="0"/>
              <w:right w:val="single" w:color="auto" w:sz="4" w:space="0"/>
            </w:tcBorders>
            <w:vAlign w:val="center"/>
          </w:tcPr>
          <w:p w14:paraId="1D7B9BA1">
            <w:pPr>
              <w:widowControl/>
              <w:spacing w:line="360" w:lineRule="auto"/>
              <w:ind w:firstLine="200" w:firstLineChars="0"/>
              <w:jc w:val="left"/>
              <w:rPr>
                <w:rFonts w:hint="eastAsia" w:ascii="仿宋_GB2312" w:hAnsi="仿宋_GB2312" w:eastAsia="仿宋_GB2312" w:cs="仿宋_GB2312"/>
                <w:kern w:val="2"/>
                <w:sz w:val="24"/>
                <w:szCs w:val="32"/>
                <w:lang w:val="en-US" w:eastAsia="zh-CN" w:bidi="ar-SA"/>
              </w:rPr>
            </w:pPr>
          </w:p>
        </w:tc>
        <w:tc>
          <w:tcPr>
            <w:tcW w:w="2920" w:type="dxa"/>
            <w:tcBorders>
              <w:top w:val="nil"/>
              <w:left w:val="nil"/>
              <w:bottom w:val="single" w:color="auto" w:sz="4" w:space="0"/>
              <w:right w:val="single" w:color="auto" w:sz="4" w:space="0"/>
            </w:tcBorders>
            <w:vAlign w:val="center"/>
          </w:tcPr>
          <w:p w14:paraId="129D538B">
            <w:pPr>
              <w:widowControl/>
              <w:spacing w:line="360" w:lineRule="auto"/>
              <w:jc w:val="left"/>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sz w:val="24"/>
                <w:szCs w:val="32"/>
              </w:rPr>
              <w:t>鼠情检查</w:t>
            </w:r>
          </w:p>
        </w:tc>
        <w:tc>
          <w:tcPr>
            <w:tcW w:w="2633" w:type="dxa"/>
            <w:tcBorders>
              <w:top w:val="nil"/>
              <w:left w:val="nil"/>
              <w:bottom w:val="single" w:color="auto" w:sz="4" w:space="0"/>
              <w:right w:val="single" w:color="auto" w:sz="4" w:space="0"/>
            </w:tcBorders>
            <w:vAlign w:val="center"/>
          </w:tcPr>
          <w:p w14:paraId="17560EC8">
            <w:pPr>
              <w:widowControl/>
              <w:spacing w:line="360" w:lineRule="auto"/>
              <w:jc w:val="center"/>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sz w:val="24"/>
                <w:szCs w:val="32"/>
              </w:rPr>
              <w:t>8次/月</w:t>
            </w:r>
          </w:p>
        </w:tc>
      </w:tr>
      <w:tr w14:paraId="0232EE91">
        <w:tblPrEx>
          <w:tblCellMar>
            <w:top w:w="0" w:type="dxa"/>
            <w:left w:w="108" w:type="dxa"/>
            <w:bottom w:w="0" w:type="dxa"/>
            <w:right w:w="108" w:type="dxa"/>
          </w:tblCellMar>
        </w:tblPrEx>
        <w:trPr>
          <w:trHeight w:val="540" w:hRule="atLeast"/>
        </w:trPr>
        <w:tc>
          <w:tcPr>
            <w:tcW w:w="2560" w:type="dxa"/>
            <w:vMerge w:val="restart"/>
            <w:tcBorders>
              <w:top w:val="nil"/>
              <w:left w:val="single" w:color="auto" w:sz="4" w:space="0"/>
              <w:bottom w:val="single" w:color="auto" w:sz="4" w:space="0"/>
              <w:right w:val="single" w:color="auto" w:sz="4" w:space="0"/>
            </w:tcBorders>
            <w:vAlign w:val="center"/>
          </w:tcPr>
          <w:p w14:paraId="5122F673">
            <w:pPr>
              <w:widowControl/>
              <w:spacing w:line="360" w:lineRule="auto"/>
              <w:ind w:firstLine="200" w:firstLineChars="0"/>
              <w:jc w:val="center"/>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sz w:val="24"/>
                <w:szCs w:val="32"/>
              </w:rPr>
              <w:t>蟑螂防治</w:t>
            </w:r>
          </w:p>
        </w:tc>
        <w:tc>
          <w:tcPr>
            <w:tcW w:w="1952" w:type="dxa"/>
            <w:vMerge w:val="restart"/>
            <w:tcBorders>
              <w:top w:val="nil"/>
              <w:left w:val="single" w:color="auto" w:sz="4" w:space="0"/>
              <w:bottom w:val="single" w:color="auto" w:sz="4" w:space="0"/>
              <w:right w:val="single" w:color="auto" w:sz="4" w:space="0"/>
            </w:tcBorders>
            <w:vAlign w:val="center"/>
          </w:tcPr>
          <w:p w14:paraId="7B488A42">
            <w:pPr>
              <w:widowControl/>
              <w:spacing w:line="360" w:lineRule="auto"/>
              <w:ind w:firstLine="200" w:firstLineChars="0"/>
              <w:jc w:val="center"/>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sz w:val="24"/>
                <w:szCs w:val="32"/>
              </w:rPr>
              <w:t>参照上述灭蟑螂标准执行</w:t>
            </w:r>
          </w:p>
        </w:tc>
        <w:tc>
          <w:tcPr>
            <w:tcW w:w="2920" w:type="dxa"/>
            <w:tcBorders>
              <w:top w:val="nil"/>
              <w:left w:val="nil"/>
              <w:bottom w:val="single" w:color="auto" w:sz="4" w:space="0"/>
              <w:right w:val="single" w:color="auto" w:sz="4" w:space="0"/>
            </w:tcBorders>
            <w:vAlign w:val="center"/>
          </w:tcPr>
          <w:p w14:paraId="691F14E2">
            <w:pPr>
              <w:widowControl/>
              <w:spacing w:line="360" w:lineRule="auto"/>
              <w:jc w:val="left"/>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sz w:val="24"/>
                <w:szCs w:val="32"/>
              </w:rPr>
              <w:t>蟑螂药布药和预防性灭杀</w:t>
            </w:r>
          </w:p>
        </w:tc>
        <w:tc>
          <w:tcPr>
            <w:tcW w:w="2633" w:type="dxa"/>
            <w:tcBorders>
              <w:top w:val="nil"/>
              <w:left w:val="nil"/>
              <w:bottom w:val="single" w:color="auto" w:sz="4" w:space="0"/>
              <w:right w:val="single" w:color="auto" w:sz="4" w:space="0"/>
            </w:tcBorders>
            <w:vAlign w:val="center"/>
          </w:tcPr>
          <w:p w14:paraId="259CF078">
            <w:pPr>
              <w:widowControl/>
              <w:spacing w:line="360" w:lineRule="auto"/>
              <w:jc w:val="center"/>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sz w:val="24"/>
                <w:szCs w:val="32"/>
              </w:rPr>
              <w:t>8次/月</w:t>
            </w:r>
          </w:p>
        </w:tc>
      </w:tr>
      <w:tr w14:paraId="0195D18D">
        <w:tblPrEx>
          <w:tblCellMar>
            <w:top w:w="0" w:type="dxa"/>
            <w:left w:w="108" w:type="dxa"/>
            <w:bottom w:w="0" w:type="dxa"/>
            <w:right w:w="108" w:type="dxa"/>
          </w:tblCellMar>
        </w:tblPrEx>
        <w:trPr>
          <w:trHeight w:val="540" w:hRule="atLeast"/>
        </w:trPr>
        <w:tc>
          <w:tcPr>
            <w:tcW w:w="2560" w:type="dxa"/>
            <w:vMerge w:val="continue"/>
            <w:tcBorders>
              <w:top w:val="nil"/>
              <w:left w:val="single" w:color="auto" w:sz="4" w:space="0"/>
              <w:bottom w:val="single" w:color="auto" w:sz="4" w:space="0"/>
              <w:right w:val="single" w:color="auto" w:sz="4" w:space="0"/>
            </w:tcBorders>
            <w:vAlign w:val="center"/>
          </w:tcPr>
          <w:p w14:paraId="41FEFA34">
            <w:pPr>
              <w:widowControl/>
              <w:spacing w:line="360" w:lineRule="auto"/>
              <w:ind w:firstLine="200" w:firstLineChars="0"/>
              <w:jc w:val="left"/>
              <w:rPr>
                <w:rFonts w:hint="eastAsia" w:ascii="仿宋_GB2312" w:hAnsi="仿宋_GB2312" w:eastAsia="仿宋_GB2312" w:cs="仿宋_GB2312"/>
                <w:kern w:val="2"/>
                <w:sz w:val="24"/>
                <w:szCs w:val="32"/>
                <w:lang w:val="en-US" w:eastAsia="zh-CN" w:bidi="ar-SA"/>
              </w:rPr>
            </w:pPr>
          </w:p>
        </w:tc>
        <w:tc>
          <w:tcPr>
            <w:tcW w:w="1952" w:type="dxa"/>
            <w:vMerge w:val="continue"/>
            <w:tcBorders>
              <w:top w:val="nil"/>
              <w:left w:val="single" w:color="auto" w:sz="4" w:space="0"/>
              <w:bottom w:val="single" w:color="auto" w:sz="4" w:space="0"/>
              <w:right w:val="single" w:color="auto" w:sz="4" w:space="0"/>
            </w:tcBorders>
            <w:vAlign w:val="center"/>
          </w:tcPr>
          <w:p w14:paraId="0A360C6C">
            <w:pPr>
              <w:widowControl/>
              <w:spacing w:line="360" w:lineRule="auto"/>
              <w:ind w:firstLine="200" w:firstLineChars="0"/>
              <w:jc w:val="left"/>
              <w:rPr>
                <w:rFonts w:hint="eastAsia" w:ascii="仿宋_GB2312" w:hAnsi="仿宋_GB2312" w:eastAsia="仿宋_GB2312" w:cs="仿宋_GB2312"/>
                <w:kern w:val="2"/>
                <w:sz w:val="24"/>
                <w:szCs w:val="32"/>
                <w:lang w:val="en-US" w:eastAsia="zh-CN" w:bidi="ar-SA"/>
              </w:rPr>
            </w:pPr>
          </w:p>
        </w:tc>
        <w:tc>
          <w:tcPr>
            <w:tcW w:w="2920" w:type="dxa"/>
            <w:tcBorders>
              <w:top w:val="nil"/>
              <w:left w:val="nil"/>
              <w:bottom w:val="single" w:color="auto" w:sz="4" w:space="0"/>
              <w:right w:val="single" w:color="auto" w:sz="4" w:space="0"/>
            </w:tcBorders>
            <w:vAlign w:val="center"/>
          </w:tcPr>
          <w:p w14:paraId="605D3959">
            <w:pPr>
              <w:widowControl/>
              <w:spacing w:line="360" w:lineRule="auto"/>
              <w:ind w:firstLine="200" w:firstLineChars="0"/>
              <w:jc w:val="left"/>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sz w:val="24"/>
                <w:szCs w:val="32"/>
              </w:rPr>
              <w:t>蟑螂检查</w:t>
            </w:r>
          </w:p>
        </w:tc>
        <w:tc>
          <w:tcPr>
            <w:tcW w:w="2633" w:type="dxa"/>
            <w:tcBorders>
              <w:top w:val="nil"/>
              <w:left w:val="nil"/>
              <w:bottom w:val="single" w:color="auto" w:sz="4" w:space="0"/>
              <w:right w:val="single" w:color="auto" w:sz="4" w:space="0"/>
            </w:tcBorders>
            <w:vAlign w:val="center"/>
          </w:tcPr>
          <w:p w14:paraId="6C8C3806">
            <w:pPr>
              <w:widowControl/>
              <w:spacing w:line="360" w:lineRule="auto"/>
              <w:jc w:val="center"/>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sz w:val="24"/>
                <w:szCs w:val="32"/>
              </w:rPr>
              <w:t>8次/月</w:t>
            </w:r>
          </w:p>
        </w:tc>
      </w:tr>
      <w:tr w14:paraId="044038C8">
        <w:tblPrEx>
          <w:tblCellMar>
            <w:top w:w="0" w:type="dxa"/>
            <w:left w:w="108" w:type="dxa"/>
            <w:bottom w:w="0" w:type="dxa"/>
            <w:right w:w="108" w:type="dxa"/>
          </w:tblCellMar>
        </w:tblPrEx>
        <w:trPr>
          <w:trHeight w:val="753" w:hRule="atLeast"/>
        </w:trPr>
        <w:tc>
          <w:tcPr>
            <w:tcW w:w="2560" w:type="dxa"/>
            <w:tcBorders>
              <w:top w:val="nil"/>
              <w:left w:val="single" w:color="auto" w:sz="4" w:space="0"/>
              <w:bottom w:val="single" w:color="auto" w:sz="4" w:space="0"/>
              <w:right w:val="single" w:color="auto" w:sz="4" w:space="0"/>
            </w:tcBorders>
            <w:vAlign w:val="center"/>
          </w:tcPr>
          <w:p w14:paraId="62789CA0">
            <w:pPr>
              <w:widowControl/>
              <w:spacing w:line="360" w:lineRule="auto"/>
              <w:ind w:firstLine="200" w:firstLineChars="0"/>
              <w:jc w:val="center"/>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sz w:val="24"/>
                <w:szCs w:val="32"/>
              </w:rPr>
              <w:t>蚊蝇防治</w:t>
            </w:r>
          </w:p>
        </w:tc>
        <w:tc>
          <w:tcPr>
            <w:tcW w:w="1952" w:type="dxa"/>
            <w:tcBorders>
              <w:top w:val="nil"/>
              <w:left w:val="single" w:color="auto" w:sz="4" w:space="0"/>
              <w:bottom w:val="single" w:color="auto" w:sz="4" w:space="0"/>
              <w:right w:val="single" w:color="auto" w:sz="4" w:space="0"/>
            </w:tcBorders>
            <w:vAlign w:val="center"/>
          </w:tcPr>
          <w:p w14:paraId="1C2AC847">
            <w:pPr>
              <w:widowControl/>
              <w:spacing w:line="360" w:lineRule="auto"/>
              <w:ind w:firstLine="200" w:firstLineChars="0"/>
              <w:jc w:val="center"/>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sz w:val="24"/>
                <w:szCs w:val="32"/>
              </w:rPr>
              <w:t>参照上述灭蝇灭蚊标准执行</w:t>
            </w:r>
          </w:p>
        </w:tc>
        <w:tc>
          <w:tcPr>
            <w:tcW w:w="2920" w:type="dxa"/>
            <w:tcBorders>
              <w:top w:val="nil"/>
              <w:left w:val="nil"/>
              <w:bottom w:val="single" w:color="auto" w:sz="4" w:space="0"/>
              <w:right w:val="single" w:color="auto" w:sz="4" w:space="0"/>
            </w:tcBorders>
            <w:vAlign w:val="center"/>
          </w:tcPr>
          <w:p w14:paraId="3B97F75A">
            <w:pPr>
              <w:widowControl/>
              <w:spacing w:line="360" w:lineRule="auto"/>
              <w:jc w:val="left"/>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sz w:val="24"/>
                <w:szCs w:val="32"/>
              </w:rPr>
              <w:t>蚊蝇布药和预防性灭杀</w:t>
            </w:r>
          </w:p>
        </w:tc>
        <w:tc>
          <w:tcPr>
            <w:tcW w:w="2633" w:type="dxa"/>
            <w:tcBorders>
              <w:top w:val="nil"/>
              <w:left w:val="nil"/>
              <w:bottom w:val="single" w:color="auto" w:sz="4" w:space="0"/>
              <w:right w:val="single" w:color="auto" w:sz="4" w:space="0"/>
            </w:tcBorders>
            <w:vAlign w:val="center"/>
          </w:tcPr>
          <w:p w14:paraId="49944137">
            <w:pPr>
              <w:widowControl/>
              <w:spacing w:line="360" w:lineRule="auto"/>
              <w:jc w:val="center"/>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sz w:val="24"/>
                <w:szCs w:val="32"/>
              </w:rPr>
              <w:t>8次/月</w:t>
            </w:r>
          </w:p>
        </w:tc>
      </w:tr>
      <w:tr w14:paraId="72C8105C">
        <w:tblPrEx>
          <w:tblCellMar>
            <w:top w:w="0" w:type="dxa"/>
            <w:left w:w="108" w:type="dxa"/>
            <w:bottom w:w="0" w:type="dxa"/>
            <w:right w:w="108" w:type="dxa"/>
          </w:tblCellMar>
        </w:tblPrEx>
        <w:trPr>
          <w:trHeight w:val="540" w:hRule="atLeast"/>
        </w:trPr>
        <w:tc>
          <w:tcPr>
            <w:tcW w:w="2560" w:type="dxa"/>
            <w:tcBorders>
              <w:top w:val="nil"/>
              <w:left w:val="single" w:color="auto" w:sz="4" w:space="0"/>
              <w:bottom w:val="single" w:color="auto" w:sz="4" w:space="0"/>
              <w:right w:val="single" w:color="auto" w:sz="4" w:space="0"/>
            </w:tcBorders>
            <w:vAlign w:val="center"/>
          </w:tcPr>
          <w:p w14:paraId="42966C44">
            <w:pPr>
              <w:widowControl/>
              <w:spacing w:line="360" w:lineRule="auto"/>
              <w:ind w:firstLine="200" w:firstLineChars="0"/>
              <w:jc w:val="center"/>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sz w:val="24"/>
                <w:szCs w:val="32"/>
              </w:rPr>
              <w:t>虫害防治服务内容</w:t>
            </w:r>
          </w:p>
        </w:tc>
        <w:tc>
          <w:tcPr>
            <w:tcW w:w="1952" w:type="dxa"/>
            <w:tcBorders>
              <w:top w:val="nil"/>
              <w:left w:val="single" w:color="auto" w:sz="4" w:space="0"/>
              <w:bottom w:val="single" w:color="auto" w:sz="4" w:space="0"/>
              <w:right w:val="single" w:color="auto" w:sz="4" w:space="0"/>
            </w:tcBorders>
            <w:vAlign w:val="center"/>
          </w:tcPr>
          <w:p w14:paraId="33ED0542">
            <w:pPr>
              <w:widowControl/>
              <w:spacing w:line="360" w:lineRule="auto"/>
              <w:ind w:firstLine="200" w:firstLineChars="0"/>
              <w:jc w:val="center"/>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sz w:val="24"/>
                <w:szCs w:val="32"/>
              </w:rPr>
              <w:t>虫害防治标准</w:t>
            </w:r>
          </w:p>
        </w:tc>
        <w:tc>
          <w:tcPr>
            <w:tcW w:w="2920" w:type="dxa"/>
            <w:tcBorders>
              <w:top w:val="nil"/>
              <w:left w:val="nil"/>
              <w:bottom w:val="single" w:color="auto" w:sz="4" w:space="0"/>
              <w:right w:val="single" w:color="auto" w:sz="4" w:space="0"/>
            </w:tcBorders>
            <w:vAlign w:val="center"/>
          </w:tcPr>
          <w:p w14:paraId="1FA0F847">
            <w:pPr>
              <w:widowControl/>
              <w:spacing w:line="360" w:lineRule="auto"/>
              <w:ind w:firstLine="200" w:firstLineChars="0"/>
              <w:jc w:val="center"/>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sz w:val="24"/>
                <w:szCs w:val="32"/>
              </w:rPr>
              <w:t>方式</w:t>
            </w:r>
          </w:p>
        </w:tc>
        <w:tc>
          <w:tcPr>
            <w:tcW w:w="2633" w:type="dxa"/>
            <w:tcBorders>
              <w:top w:val="nil"/>
              <w:left w:val="nil"/>
              <w:bottom w:val="single" w:color="auto" w:sz="4" w:space="0"/>
              <w:right w:val="single" w:color="auto" w:sz="4" w:space="0"/>
            </w:tcBorders>
            <w:vAlign w:val="center"/>
          </w:tcPr>
          <w:p w14:paraId="1F98A122">
            <w:pPr>
              <w:widowControl/>
              <w:spacing w:line="360" w:lineRule="auto"/>
              <w:ind w:firstLine="200" w:firstLineChars="0"/>
              <w:jc w:val="center"/>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sz w:val="24"/>
                <w:szCs w:val="32"/>
              </w:rPr>
              <w:t>频率</w:t>
            </w:r>
          </w:p>
        </w:tc>
      </w:tr>
    </w:tbl>
    <w:p w14:paraId="1A69137B">
      <w:pPr>
        <w:widowControl/>
        <w:shd w:val="clear" w:color="auto" w:fill="FFFFFF"/>
        <w:spacing w:line="360" w:lineRule="auto"/>
        <w:ind w:firstLine="420" w:firstLineChars="175"/>
        <w:jc w:val="left"/>
        <w:rPr>
          <w:rFonts w:hint="eastAsia" w:ascii="仿宋_GB2312" w:hAnsi="仿宋_GB2312" w:eastAsia="仿宋_GB2312" w:cs="仿宋_GB2312"/>
          <w:kern w:val="2"/>
          <w:sz w:val="24"/>
          <w:szCs w:val="32"/>
          <w:lang w:val="en-US" w:eastAsia="zh-CN" w:bidi="ar-SA"/>
        </w:rPr>
      </w:pPr>
    </w:p>
    <w:p w14:paraId="113BEB3E">
      <w:pPr>
        <w:widowControl/>
        <w:shd w:val="clear" w:color="auto" w:fill="FFFFFF"/>
        <w:spacing w:line="360" w:lineRule="auto"/>
        <w:ind w:firstLine="420" w:firstLineChars="175"/>
        <w:jc w:val="left"/>
        <w:rPr>
          <w:rFonts w:hint="default" w:ascii="仿宋_GB2312" w:hAnsi="仿宋_GB2312" w:eastAsia="仿宋_GB2312" w:cs="仿宋_GB2312"/>
          <w:kern w:val="2"/>
          <w:sz w:val="24"/>
          <w:szCs w:val="32"/>
          <w:lang w:val="en-US" w:eastAsia="zh-CN" w:bidi="ar-SA"/>
        </w:rPr>
      </w:pPr>
      <w:r>
        <w:rPr>
          <w:rFonts w:hint="eastAsia" w:ascii="仿宋_GB2312" w:hAnsi="仿宋_GB2312" w:eastAsia="仿宋_GB2312" w:cs="仿宋_GB2312"/>
          <w:kern w:val="2"/>
          <w:sz w:val="24"/>
          <w:szCs w:val="32"/>
          <w:lang w:val="en-US" w:eastAsia="zh-CN" w:bidi="ar-SA"/>
        </w:rPr>
        <w:t>6、中标单位在合同签署前，需提供1份为采购人购买的保额不低于100万元的第三责任保单。</w:t>
      </w:r>
    </w:p>
    <w:p w14:paraId="4E711023">
      <w:pPr>
        <w:ind w:firstLine="643" w:firstLineChars="200"/>
        <w:rPr>
          <w:rFonts w:ascii="黑体" w:hAnsi="黑体" w:eastAsia="黑体" w:cs="黑体"/>
          <w:b/>
          <w:sz w:val="32"/>
          <w:szCs w:val="32"/>
        </w:rPr>
      </w:pPr>
      <w:r>
        <w:rPr>
          <w:rFonts w:hint="eastAsia" w:ascii="黑体" w:hAnsi="黑体" w:eastAsia="黑体" w:cs="黑体"/>
          <w:b/>
          <w:sz w:val="32"/>
          <w:szCs w:val="32"/>
        </w:rPr>
        <w:t>九、其它要求</w:t>
      </w:r>
    </w:p>
    <w:p w14:paraId="6FEFE9CD">
      <w:pPr>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w:t>
      </w:r>
      <w:r>
        <w:rPr>
          <w:rFonts w:hint="eastAsia" w:cs="仿宋_GB2312" w:asciiTheme="minorEastAsia" w:hAnsiTheme="minorEastAsia" w:eastAsiaTheme="minorEastAsia"/>
          <w:sz w:val="24"/>
          <w:szCs w:val="32"/>
        </w:rPr>
        <w:t>一</w:t>
      </w:r>
      <w:r>
        <w:rPr>
          <w:rFonts w:hint="eastAsia" w:ascii="仿宋_GB2312" w:hAnsi="仿宋_GB2312" w:eastAsia="仿宋_GB2312" w:cs="仿宋_GB2312"/>
          <w:sz w:val="24"/>
          <w:szCs w:val="32"/>
        </w:rPr>
        <w:t>）采购异议处理：</w:t>
      </w:r>
    </w:p>
    <w:p w14:paraId="1AE730B4">
      <w:pPr>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1、供应商对采购文件中供应商特定资格条件、技术质量和商务要求、评审标准及评审细则有异议的，应及时向采购人或代理机构提出。</w:t>
      </w:r>
    </w:p>
    <w:p w14:paraId="6118677F">
      <w:pPr>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2、供应商对成交结果或中标结果有异议的，应当在成交预公示发布之日起三个日历日内以书面形式向采购人（采购代理机构）提出，并附相关证明材料。</w:t>
      </w:r>
    </w:p>
    <w:p w14:paraId="75C8777E">
      <w:pPr>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3、采购人、采购代理机构在收到供应商书面异议后两个工作日内，通过补遗方式对异议进行答复。</w:t>
      </w:r>
    </w:p>
    <w:p w14:paraId="0B7E4B70">
      <w:pPr>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4、对于供应商弄虚作假、恶意中标或中标后不履行服务承诺等不良行为，采购人有权取消其中标资格或扣除全部保证金。情节严重者，直接列入“违法失信行为名单”公开曝光。</w:t>
      </w:r>
    </w:p>
    <w:p w14:paraId="1F1A1EB7">
      <w:pPr>
        <w:ind w:firstLine="643" w:firstLineChars="200"/>
        <w:rPr>
          <w:rFonts w:ascii="黑体" w:hAnsi="黑体" w:eastAsia="黑体" w:cs="黑体"/>
          <w:b/>
          <w:sz w:val="32"/>
          <w:szCs w:val="32"/>
        </w:rPr>
      </w:pPr>
      <w:r>
        <w:rPr>
          <w:rFonts w:hint="eastAsia" w:ascii="黑体" w:hAnsi="黑体" w:eastAsia="黑体" w:cs="黑体"/>
          <w:b/>
          <w:sz w:val="32"/>
          <w:szCs w:val="32"/>
        </w:rPr>
        <w:t>十、供应商响应文件要求</w:t>
      </w:r>
    </w:p>
    <w:p w14:paraId="24617F33">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供应商必须在平台上按要求上传响应文件，未按要求提供的视为无效供应商。</w:t>
      </w:r>
    </w:p>
    <w:p w14:paraId="0785C67B">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（一）响应文件内容</w:t>
      </w:r>
    </w:p>
    <w:p w14:paraId="776CD9F1">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盖鲜章的《报价函》《明细报价表》各1份。</w:t>
      </w:r>
    </w:p>
    <w:p w14:paraId="2519FCF0">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盖鲜章的</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法定代表人身份证明书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1份</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其中应包含法定代表人身份证复印件</w:t>
      </w:r>
      <w:r>
        <w:rPr>
          <w:rFonts w:hint="eastAsia" w:ascii="仿宋_GB2312" w:hAnsi="仿宋_GB2312" w:eastAsia="仿宋_GB2312" w:cs="仿宋_GB2312"/>
          <w:sz w:val="24"/>
          <w:szCs w:val="24"/>
        </w:rPr>
        <w:t>。若法定代表人委托他人投标，</w:t>
      </w:r>
      <w:r>
        <w:rPr>
          <w:rFonts w:hint="eastAsia" w:ascii="仿宋_GB2312" w:hAnsi="仿宋_GB2312" w:eastAsia="仿宋_GB2312" w:cs="仿宋_GB2312"/>
          <w:sz w:val="24"/>
          <w:szCs w:val="24"/>
          <w:lang w:eastAsia="zh-Hans"/>
        </w:rPr>
        <w:t>请</w:t>
      </w:r>
      <w:r>
        <w:rPr>
          <w:rFonts w:hint="eastAsia" w:ascii="仿宋_GB2312" w:hAnsi="仿宋_GB2312" w:eastAsia="仿宋_GB2312" w:cs="仿宋_GB2312"/>
          <w:sz w:val="24"/>
          <w:szCs w:val="24"/>
        </w:rPr>
        <w:t>提供盖鲜章的《法定代表人授权委托书》</w:t>
      </w:r>
      <w:r>
        <w:rPr>
          <w:rFonts w:ascii="仿宋_GB2312" w:hAnsi="仿宋_GB2312" w:eastAsia="仿宋_GB2312" w:cs="仿宋_GB2312"/>
          <w:sz w:val="24"/>
          <w:szCs w:val="24"/>
        </w:rPr>
        <w:t>1</w:t>
      </w:r>
      <w:r>
        <w:rPr>
          <w:rFonts w:hint="eastAsia" w:ascii="仿宋_GB2312" w:hAnsi="仿宋_GB2312" w:eastAsia="仿宋_GB2312" w:cs="仿宋_GB2312"/>
          <w:sz w:val="24"/>
          <w:szCs w:val="24"/>
          <w:lang w:eastAsia="zh-Hans"/>
        </w:rPr>
        <w:t>份</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其中应包含</w:t>
      </w:r>
      <w:r>
        <w:rPr>
          <w:rFonts w:hint="eastAsia" w:ascii="仿宋_GB2312" w:hAnsi="仿宋_GB2312" w:eastAsia="仿宋_GB2312" w:cs="仿宋_GB2312"/>
          <w:sz w:val="24"/>
          <w:szCs w:val="24"/>
        </w:rPr>
        <w:t>法定代表人及被授权人身份证复印件各1份。</w:t>
      </w:r>
    </w:p>
    <w:p w14:paraId="22E9742E">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盖鲜章的基本资格条件承诺函。</w:t>
      </w:r>
    </w:p>
    <w:p w14:paraId="3655C222">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其他应提供的资料。</w:t>
      </w:r>
    </w:p>
    <w:p w14:paraId="3DAE4AC2">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（二）提交文件的要求</w:t>
      </w:r>
    </w:p>
    <w:p w14:paraId="7469FB26">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color w:val="FF0000"/>
          <w:sz w:val="24"/>
          <w:szCs w:val="24"/>
        </w:rPr>
        <w:t>1</w:t>
      </w:r>
      <w:r>
        <w:rPr>
          <w:rFonts w:ascii="仿宋_GB2312" w:hAnsi="仿宋_GB2312" w:eastAsia="仿宋_GB2312" w:cs="仿宋_GB2312"/>
          <w:color w:val="FF0000"/>
          <w:sz w:val="24"/>
          <w:szCs w:val="24"/>
        </w:rPr>
        <w:t>.</w:t>
      </w:r>
      <w:r>
        <w:rPr>
          <w:rFonts w:hint="eastAsia" w:ascii="仿宋_GB2312" w:hAnsi="仿宋_GB2312" w:eastAsia="仿宋_GB2312" w:cs="仿宋_GB2312"/>
          <w:color w:val="FF0000"/>
          <w:sz w:val="24"/>
          <w:szCs w:val="24"/>
        </w:rPr>
        <w:t>供应商线上报名、报价时需上传盖鲜章后的电子文档一份。</w:t>
      </w:r>
    </w:p>
    <w:p w14:paraId="20CC41A8">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供应商在系统中的报价与响应文件中的报价不一致时</w:t>
      </w:r>
      <w:r>
        <w:rPr>
          <w:rFonts w:ascii="仿宋_GB2312" w:hAnsi="仿宋_GB2312" w:eastAsia="仿宋_GB2312" w:cs="仿宋_GB2312"/>
          <w:sz w:val="24"/>
          <w:szCs w:val="24"/>
          <w:lang w:eastAsia="zh-Hans"/>
        </w:rPr>
        <w:t>，</w:t>
      </w:r>
      <w:r>
        <w:rPr>
          <w:rFonts w:hint="eastAsia" w:ascii="仿宋_GB2312" w:hAnsi="仿宋_GB2312" w:eastAsia="仿宋_GB2312" w:cs="仿宋_GB2312"/>
          <w:sz w:val="24"/>
          <w:szCs w:val="24"/>
        </w:rPr>
        <w:t>采购人将以</w:t>
      </w:r>
      <w:r>
        <w:rPr>
          <w:rFonts w:hint="eastAsia" w:ascii="仿宋_GB2312" w:hAnsi="仿宋_GB2312" w:eastAsia="仿宋_GB2312" w:cs="仿宋_GB2312"/>
          <w:sz w:val="24"/>
          <w:szCs w:val="24"/>
          <w:lang w:eastAsia="zh-Hans"/>
        </w:rPr>
        <w:t>系统中供应商的报价作为评判依据</w:t>
      </w:r>
      <w:r>
        <w:rPr>
          <w:rFonts w:hint="eastAsia" w:ascii="仿宋_GB2312" w:hAnsi="仿宋_GB2312" w:eastAsia="仿宋_GB2312" w:cs="仿宋_GB2312"/>
          <w:sz w:val="24"/>
          <w:szCs w:val="24"/>
        </w:rPr>
        <w:t>。</w:t>
      </w:r>
    </w:p>
    <w:p w14:paraId="0A4C67FB">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供应商只能有一个有效报价，供应商只能以自己单位名义提交响应文件。</w:t>
      </w:r>
    </w:p>
    <w:p w14:paraId="039B4C6E">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 供应商制作的响应文件电子文档，须按照要求制作，规定签字、盖章的地方必须按规定签字、盖章，上传的文件需字迹清晰，未按要求制作响应文件的作废标处理。</w:t>
      </w:r>
    </w:p>
    <w:p w14:paraId="560B84F4"/>
    <w:p w14:paraId="3B5DF414">
      <w:pPr>
        <w:ind w:firstLine="643" w:firstLineChars="200"/>
        <w:rPr>
          <w:rFonts w:ascii="黑体" w:hAnsi="黑体" w:eastAsia="黑体" w:cs="黑体"/>
          <w:b/>
          <w:sz w:val="32"/>
          <w:szCs w:val="32"/>
        </w:rPr>
      </w:pPr>
      <w:r>
        <w:rPr>
          <w:rFonts w:hint="eastAsia" w:ascii="黑体" w:hAnsi="黑体" w:eastAsia="黑体" w:cs="黑体"/>
          <w:b/>
          <w:sz w:val="32"/>
          <w:szCs w:val="32"/>
        </w:rPr>
        <w:t>十一、成交规则</w:t>
      </w:r>
    </w:p>
    <w:p w14:paraId="57009C21">
      <w:pPr>
        <w:ind w:firstLine="480" w:firstLineChars="200"/>
        <w:rPr>
          <w:rFonts w:ascii="仿宋_GB2312" w:hAnsi="仿宋_GB2312" w:eastAsia="仿宋_GB2312" w:cs="仿宋_GB2312"/>
          <w:b/>
          <w:bCs/>
          <w:i/>
          <w:iCs/>
          <w:color w:val="FF0000"/>
          <w:sz w:val="24"/>
          <w:szCs w:val="24"/>
          <w:u w:val="single"/>
        </w:rPr>
      </w:pPr>
      <w:r>
        <w:rPr>
          <w:rFonts w:hint="eastAsia" w:ascii="仿宋_GB2312" w:hAnsi="仿宋_GB2312" w:eastAsia="仿宋_GB2312" w:cs="仿宋_GB2312"/>
          <w:sz w:val="24"/>
          <w:szCs w:val="24"/>
        </w:rPr>
        <w:t>采购人在符合审查的供应商中，手动确认报价最低的成为成交供应商。</w:t>
      </w:r>
    </w:p>
    <w:p w14:paraId="444E3BD5">
      <w:pPr>
        <w:pStyle w:val="4"/>
        <w:numPr>
          <w:ilvl w:val="0"/>
          <w:numId w:val="12"/>
        </w:numPr>
        <w:spacing w:before="0" w:after="0" w:line="360" w:lineRule="auto"/>
        <w:ind w:firstLine="643" w:firstLineChars="200"/>
        <w:rPr>
          <w:rFonts w:ascii="黑体" w:hAnsi="黑体" w:eastAsia="黑体" w:cs="黑体"/>
          <w:szCs w:val="32"/>
        </w:rPr>
      </w:pPr>
      <w:bookmarkStart w:id="19" w:name="_Toc27955"/>
      <w:bookmarkStart w:id="20" w:name="_Toc5085"/>
      <w:bookmarkStart w:id="21" w:name="_Toc3475"/>
      <w:bookmarkStart w:id="22" w:name="_Toc25886"/>
      <w:bookmarkStart w:id="23" w:name="_Toc9654"/>
      <w:bookmarkStart w:id="24" w:name="_Toc11828"/>
      <w:bookmarkStart w:id="25" w:name="_Toc20778"/>
      <w:bookmarkStart w:id="26" w:name="_Toc31315"/>
      <w:bookmarkStart w:id="27" w:name="_Toc25516"/>
      <w:bookmarkStart w:id="28" w:name="_Toc14778"/>
      <w:bookmarkStart w:id="29" w:name="_Toc9027"/>
      <w:bookmarkStart w:id="30" w:name="_Toc13969"/>
      <w:bookmarkStart w:id="31" w:name="_Toc15478"/>
      <w:bookmarkStart w:id="32" w:name="_Toc19730"/>
      <w:r>
        <w:rPr>
          <w:rFonts w:hint="eastAsia" w:ascii="黑体" w:hAnsi="黑体" w:eastAsia="黑体" w:cs="黑体"/>
          <w:szCs w:val="32"/>
        </w:rPr>
        <w:t>付款方式</w:t>
      </w:r>
    </w:p>
    <w:p w14:paraId="3850955B">
      <w:pPr>
        <w:ind w:firstLine="480" w:firstLineChars="200"/>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highlight w:val="yellow"/>
          <w:lang w:val="en-US" w:eastAsia="zh-CN"/>
        </w:rPr>
        <w:t>（一）四害防制服务按月支付费用，</w:t>
      </w:r>
      <w:r>
        <w:rPr>
          <w:rFonts w:hint="eastAsia" w:ascii="仿宋_GB2312" w:hAnsi="仿宋_GB2312" w:eastAsia="仿宋_GB2312" w:cs="仿宋_GB2312"/>
          <w:color w:val="FF0000"/>
          <w:sz w:val="24"/>
          <w:szCs w:val="24"/>
          <w:highlight w:val="yellow"/>
        </w:rPr>
        <w:t>中标人向采购人开具增值税专用发票，30日内采购人向中标人</w:t>
      </w:r>
      <w:r>
        <w:rPr>
          <w:rFonts w:hint="eastAsia" w:ascii="仿宋_GB2312" w:hAnsi="仿宋_GB2312" w:eastAsia="仿宋_GB2312" w:cs="仿宋_GB2312"/>
          <w:color w:val="FF0000"/>
          <w:sz w:val="24"/>
          <w:szCs w:val="24"/>
          <w:highlight w:val="yellow"/>
          <w:lang w:val="en-US" w:eastAsia="zh-CN"/>
        </w:rPr>
        <w:t>按月</w:t>
      </w:r>
      <w:r>
        <w:rPr>
          <w:rFonts w:hint="eastAsia" w:ascii="仿宋_GB2312" w:hAnsi="仿宋_GB2312" w:eastAsia="仿宋_GB2312" w:cs="仿宋_GB2312"/>
          <w:color w:val="FF0000"/>
          <w:sz w:val="24"/>
          <w:szCs w:val="24"/>
          <w:highlight w:val="yellow"/>
        </w:rPr>
        <w:t>支付</w:t>
      </w:r>
      <w:r>
        <w:rPr>
          <w:rFonts w:hint="eastAsia" w:ascii="仿宋_GB2312" w:hAnsi="仿宋_GB2312" w:eastAsia="仿宋_GB2312" w:cs="仿宋_GB2312"/>
          <w:color w:val="FF0000"/>
          <w:sz w:val="24"/>
          <w:szCs w:val="24"/>
          <w:highlight w:val="yellow"/>
          <w:lang w:val="en-US" w:eastAsia="zh-CN"/>
        </w:rPr>
        <w:t>月度四害防治费用</w:t>
      </w:r>
      <w:r>
        <w:rPr>
          <w:rFonts w:hint="eastAsia" w:ascii="仿宋_GB2312" w:hAnsi="仿宋_GB2312" w:eastAsia="仿宋_GB2312" w:cs="仿宋_GB2312"/>
          <w:color w:val="FF0000"/>
          <w:sz w:val="24"/>
          <w:szCs w:val="24"/>
          <w:highlight w:val="yellow"/>
        </w:rPr>
        <w:t>。</w:t>
      </w:r>
    </w:p>
    <w:p w14:paraId="3A66866E">
      <w:pPr>
        <w:ind w:firstLine="643" w:firstLineChars="200"/>
        <w:rPr>
          <w:rFonts w:ascii="黑体" w:hAnsi="黑体" w:eastAsia="黑体" w:cs="黑体"/>
          <w:b/>
          <w:sz w:val="32"/>
          <w:szCs w:val="32"/>
        </w:rPr>
      </w:pPr>
      <w:r>
        <w:rPr>
          <w:rFonts w:hint="eastAsia" w:ascii="黑体" w:hAnsi="黑体" w:eastAsia="黑体" w:cs="黑体"/>
          <w:b/>
          <w:sz w:val="32"/>
          <w:szCs w:val="32"/>
        </w:rPr>
        <w:t>十三、联系方式</w:t>
      </w:r>
      <w:bookmarkEnd w:id="19"/>
      <w:bookmarkEnd w:id="20"/>
      <w:bookmarkEnd w:id="21"/>
      <w:bookmarkEnd w:id="22"/>
      <w:bookmarkEnd w:id="23"/>
      <w:bookmarkEnd w:id="24"/>
      <w:bookmarkEnd w:id="25"/>
    </w:p>
    <w:p w14:paraId="11476F3B">
      <w:pPr>
        <w:ind w:firstLine="480" w:firstLineChars="200"/>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采购单位：</w:t>
      </w:r>
      <w:r>
        <w:rPr>
          <w:rFonts w:hint="eastAsia" w:ascii="仿宋" w:hAnsi="仿宋" w:eastAsia="仿宋" w:cs="仿宋"/>
          <w:b/>
          <w:bCs/>
          <w:color w:val="000000" w:themeColor="text1"/>
          <w:kern w:val="0"/>
          <w:sz w:val="24"/>
          <w:szCs w:val="24"/>
          <w14:textFill>
            <w14:solidFill>
              <w14:schemeClr w14:val="tx1"/>
            </w14:solidFill>
          </w14:textFill>
        </w:rPr>
        <w:t>重庆临空文化旅游发展有限公司渝北假日酒店分公司</w:t>
      </w:r>
    </w:p>
    <w:p w14:paraId="5C43C49F">
      <w:pPr>
        <w:ind w:firstLine="480" w:firstLineChars="200"/>
        <w:rPr>
          <w:rFonts w:hint="eastAsia" w:ascii="仿宋_GB2312" w:hAnsi="仿宋_GB2312" w:eastAsia="仿宋_GB2312" w:cs="仿宋_GB2312"/>
          <w:b/>
          <w:bCs/>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联系人：</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唐老师</w:t>
      </w:r>
    </w:p>
    <w:p w14:paraId="68F70FE4">
      <w:pPr>
        <w:ind w:firstLine="480" w:firstLineChars="200"/>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电话：1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38</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8302 1776</w:t>
      </w:r>
    </w:p>
    <w:p w14:paraId="4C51D7FD">
      <w:pPr>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地址：重庆市渝北区数据谷仙谷路1号</w:t>
      </w:r>
      <w:bookmarkStart w:id="33" w:name="_GoBack"/>
      <w:bookmarkEnd w:id="33"/>
    </w:p>
    <w:bookmarkEnd w:id="26"/>
    <w:bookmarkEnd w:id="27"/>
    <w:bookmarkEnd w:id="28"/>
    <w:bookmarkEnd w:id="29"/>
    <w:bookmarkEnd w:id="30"/>
    <w:bookmarkEnd w:id="31"/>
    <w:bookmarkEnd w:id="32"/>
    <w:p w14:paraId="76A13C2A">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十四、其它有关规定</w:t>
      </w:r>
    </w:p>
    <w:p w14:paraId="33409C1F">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一</w:t>
      </w:r>
      <w:r>
        <w:rPr>
          <w:rFonts w:hint="eastAsia" w:ascii="仿宋_GB2312" w:hAnsi="仿宋_GB2312" w:eastAsia="仿宋_GB2312" w:cs="仿宋_GB2312"/>
          <w:sz w:val="24"/>
          <w:szCs w:val="24"/>
        </w:rPr>
        <w:t>）凡有意参加此项目的供应商，请于公告发布之日起至报价截止时间之前，在行采家（https://www.gec123.com/）下载查看本项目竞采文件，无论供应商下载查看与否，均视为已知晓所有实质性要求内容。</w:t>
      </w:r>
    </w:p>
    <w:p w14:paraId="0564347A">
      <w:pPr>
        <w:widowControl/>
        <w:wordWrap w:val="0"/>
        <w:autoSpaceDE w:val="0"/>
        <w:autoSpaceDN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二</w:t>
      </w:r>
      <w:r>
        <w:rPr>
          <w:rFonts w:hint="eastAsia" w:ascii="仿宋_GB2312" w:hAnsi="仿宋_GB2312" w:eastAsia="仿宋_GB2312" w:cs="仿宋_GB2312"/>
          <w:sz w:val="24"/>
          <w:szCs w:val="24"/>
        </w:rPr>
        <w:t>）</w:t>
      </w:r>
      <w:r>
        <w:rPr>
          <w:rFonts w:hint="eastAsia" w:ascii="仿宋_GB2312" w:hAnsi="仿宋_GB2312" w:eastAsia="仿宋_GB2312" w:cs="仿宋_GB2312"/>
          <w:b/>
          <w:bCs/>
          <w:color w:val="000000" w:themeColor="text1"/>
          <w:sz w:val="24"/>
          <w:szCs w:val="24"/>
          <w14:textFill>
            <w14:solidFill>
              <w14:schemeClr w14:val="tx1"/>
            </w14:solidFill>
          </w14:textFill>
        </w:rPr>
        <w:t>供应商应于报价开始前</w:t>
      </w:r>
      <w:r>
        <w:rPr>
          <w:rFonts w:hint="eastAsia" w:ascii="仿宋_GB2312" w:hAnsi="仿宋_GB2312" w:eastAsia="仿宋_GB2312" w:cs="仿宋_GB2312"/>
          <w:color w:val="000000" w:themeColor="text1"/>
          <w:sz w:val="24"/>
          <w:szCs w:val="24"/>
          <w14:textFill>
            <w14:solidFill>
              <w14:schemeClr w14:val="tx1"/>
            </w14:solidFill>
          </w14:textFill>
        </w:rPr>
        <w:t>完成</w:t>
      </w:r>
      <w:r>
        <w:rPr>
          <w:rFonts w:hint="eastAsia" w:ascii="仿宋_GB2312" w:hAnsi="仿宋_GB2312" w:eastAsia="仿宋_GB2312" w:cs="仿宋_GB2312"/>
          <w:sz w:val="24"/>
          <w:szCs w:val="24"/>
        </w:rPr>
        <w:t>行采家</w:t>
      </w:r>
      <w:r>
        <w:rPr>
          <w:rFonts w:hint="eastAsia" w:ascii="仿宋_GB2312" w:hAnsi="仿宋_GB2312" w:eastAsia="仿宋_GB2312" w:cs="仿宋_GB2312"/>
          <w:color w:val="000000" w:themeColor="text1"/>
          <w:sz w:val="24"/>
          <w:szCs w:val="24"/>
          <w14:textFill>
            <w14:solidFill>
              <w14:schemeClr w14:val="tx1"/>
            </w14:solidFill>
          </w14:textFill>
        </w:rPr>
        <w:t>账号注册、</w:t>
      </w:r>
      <w:r>
        <w:rPr>
          <w:rFonts w:hint="eastAsia" w:ascii="仿宋_GB2312" w:hAnsi="仿宋_GB2312" w:eastAsia="仿宋_GB2312" w:cs="仿宋_GB2312"/>
          <w:sz w:val="24"/>
          <w:szCs w:val="24"/>
        </w:rPr>
        <w:t>行采家</w:t>
      </w:r>
      <w:r>
        <w:rPr>
          <w:rFonts w:hint="eastAsia" w:ascii="仿宋_GB2312" w:hAnsi="仿宋_GB2312" w:eastAsia="仿宋_GB2312" w:cs="仿宋_GB2312"/>
          <w:color w:val="000000" w:themeColor="text1"/>
          <w:sz w:val="24"/>
          <w:szCs w:val="24"/>
          <w14:textFill>
            <w14:solidFill>
              <w14:schemeClr w14:val="tx1"/>
            </w14:solidFill>
          </w14:textFill>
        </w:rPr>
        <w:t>账号关联等操作</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themeColor="text1"/>
          <w:sz w:val="24"/>
          <w:szCs w:val="24"/>
          <w14:textFill>
            <w14:solidFill>
              <w14:schemeClr w14:val="tx1"/>
            </w14:solidFill>
          </w14:textFill>
        </w:rPr>
        <w:t>提前学习网上竞采操作手册并检查账号是否可用，</w:t>
      </w:r>
      <w:r>
        <w:rPr>
          <w:rFonts w:hint="eastAsia" w:ascii="仿宋_GB2312" w:hAnsi="仿宋_GB2312" w:eastAsia="仿宋_GB2312" w:cs="仿宋_GB2312"/>
          <w:sz w:val="24"/>
          <w:szCs w:val="24"/>
        </w:rPr>
        <w:t>遇到操作问题请及时咨询手册中的客服电话，如因账号注册关联、操作不熟练等原因导致供应商未成功报价，责任由供应商自行承担。</w:t>
      </w:r>
    </w:p>
    <w:p w14:paraId="2ED7351A">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三</w:t>
      </w:r>
      <w:r>
        <w:rPr>
          <w:rFonts w:hint="eastAsia" w:ascii="仿宋_GB2312" w:hAnsi="仿宋_GB2312" w:eastAsia="仿宋_GB2312" w:cs="仿宋_GB2312"/>
          <w:sz w:val="24"/>
          <w:szCs w:val="24"/>
        </w:rPr>
        <w:t>）无论竞采结果如何，供应商参与本项目的所有费用均自行承担。</w:t>
      </w:r>
    </w:p>
    <w:p w14:paraId="2DC64E15">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四</w:t>
      </w:r>
      <w:r>
        <w:rPr>
          <w:rFonts w:hint="eastAsia" w:ascii="仿宋_GB2312" w:hAnsi="仿宋_GB2312" w:eastAsia="仿宋_GB2312" w:cs="仿宋_GB2312"/>
          <w:sz w:val="24"/>
          <w:szCs w:val="24"/>
        </w:rPr>
        <w:t>）其他未尽事宜由双方在采购合同中详细约定。</w:t>
      </w:r>
    </w:p>
    <w:p w14:paraId="1A53E123">
      <w:pPr>
        <w:rPr>
          <w:rFonts w:ascii="方正小标宋_GBK" w:eastAsia="方正小标宋_GBK"/>
          <w:sz w:val="44"/>
          <w:szCs w:val="44"/>
        </w:rPr>
      </w:pPr>
      <w:r>
        <w:rPr>
          <w:rFonts w:ascii="方正小标宋_GBK" w:eastAsia="方正小标宋_GBK"/>
          <w:sz w:val="44"/>
          <w:szCs w:val="44"/>
        </w:rPr>
        <w:t xml:space="preserve"> </w:t>
      </w:r>
      <w:r>
        <w:rPr>
          <w:rFonts w:ascii="方正小标宋_GBK" w:eastAsia="方正小标宋_GBK"/>
          <w:sz w:val="44"/>
          <w:szCs w:val="44"/>
        </w:rPr>
        <w:br w:type="page"/>
      </w:r>
    </w:p>
    <w:p w14:paraId="7B87FAED">
      <w:pPr>
        <w:ind w:firstLine="2200" w:firstLineChars="500"/>
      </w:pPr>
      <w:r>
        <w:rPr>
          <w:rFonts w:hint="eastAsia" w:ascii="方正小标宋_GBK" w:eastAsia="方正小标宋_GBK"/>
          <w:sz w:val="44"/>
          <w:szCs w:val="44"/>
        </w:rPr>
        <w:t>供应商编制响应文件要求</w:t>
      </w:r>
    </w:p>
    <w:p w14:paraId="48B61556">
      <w:pPr>
        <w:rPr>
          <w:rFonts w:ascii="黑体" w:hAnsi="黑体" w:eastAsia="黑体" w:cs="黑体"/>
          <w:sz w:val="32"/>
          <w:szCs w:val="32"/>
        </w:rPr>
      </w:pPr>
      <w:r>
        <w:rPr>
          <w:rFonts w:hint="eastAsia" w:ascii="黑体" w:hAnsi="黑体" w:eastAsia="黑体" w:cs="黑体"/>
          <w:sz w:val="32"/>
          <w:szCs w:val="32"/>
        </w:rPr>
        <w:t>一、报价</w:t>
      </w:r>
    </w:p>
    <w:p w14:paraId="60BBA26B">
      <w:pPr>
        <w:rPr>
          <w:rFonts w:ascii="宋体" w:hAnsi="宋体" w:cs="宋体"/>
          <w:color w:val="FF0000"/>
          <w:sz w:val="24"/>
          <w:szCs w:val="24"/>
        </w:rPr>
      </w:pPr>
      <w:r>
        <w:rPr>
          <w:rFonts w:hint="eastAsia" w:ascii="仿宋_GB2312" w:hAnsi="仿宋_GB2312" w:eastAsia="仿宋_GB2312" w:cs="仿宋_GB2312"/>
          <w:sz w:val="32"/>
          <w:szCs w:val="32"/>
        </w:rPr>
        <w:t>（一）报价函</w:t>
      </w:r>
    </w:p>
    <w:p w14:paraId="2341F163">
      <w:pPr>
        <w:ind w:firstLine="3840" w:firstLineChars="1200"/>
        <w:rPr>
          <w:rFonts w:ascii="宋体" w:hAnsi="宋体" w:cs="宋体"/>
          <w:color w:val="FF0000"/>
          <w:sz w:val="24"/>
          <w:szCs w:val="24"/>
        </w:rPr>
      </w:pPr>
      <w:r>
        <w:rPr>
          <w:rFonts w:hint="eastAsia" w:ascii="黑体" w:hAnsi="黑体" w:eastAsia="黑体" w:cs="黑体"/>
          <w:sz w:val="32"/>
          <w:szCs w:val="32"/>
        </w:rPr>
        <w:t>报 价 函</w:t>
      </w:r>
    </w:p>
    <w:p w14:paraId="76752213"/>
    <w:p w14:paraId="5216E928"/>
    <w:p w14:paraId="6C6F7831">
      <w:pPr>
        <w:rPr>
          <w:rStyle w:val="64"/>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Style w:val="64"/>
          <w:rFonts w:hint="eastAsia" w:ascii="仿宋_GB2312" w:hAnsi="仿宋_GB2312" w:eastAsia="仿宋_GB2312" w:cs="仿宋_GB2312"/>
          <w:color w:val="auto"/>
          <w:sz w:val="32"/>
          <w:szCs w:val="32"/>
        </w:rPr>
        <w:t>（采购单位名称）：</w:t>
      </w:r>
    </w:p>
    <w:p w14:paraId="0F519888">
      <w:pPr>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我方收到</w:t>
      </w:r>
      <w:r>
        <w:rPr>
          <w:rStyle w:val="64"/>
          <w:rFonts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rPr>
        <w:t>（项目名称）的竞采文件，经详细研究，决定参加该项目。</w:t>
      </w:r>
    </w:p>
    <w:p w14:paraId="547E846E">
      <w:pPr>
        <w:ind w:firstLine="640" w:firstLineChars="200"/>
        <w:rPr>
          <w:rStyle w:val="64"/>
          <w:rFonts w:ascii="仿宋_GB2312" w:hAnsi="仿宋_GB2312" w:eastAsia="仿宋_GB2312" w:cs="仿宋_GB2312"/>
          <w:sz w:val="32"/>
          <w:szCs w:val="32"/>
        </w:rPr>
      </w:pPr>
      <w:r>
        <w:rPr>
          <w:rStyle w:val="64"/>
          <w:rFonts w:ascii="仿宋_GB2312" w:hAnsi="仿宋_GB2312" w:eastAsia="仿宋_GB2312" w:cs="仿宋_GB2312"/>
          <w:sz w:val="32"/>
          <w:szCs w:val="32"/>
        </w:rPr>
        <w:t>1</w:t>
      </w:r>
      <w:r>
        <w:rPr>
          <w:rStyle w:val="64"/>
          <w:rFonts w:hint="eastAsia" w:ascii="仿宋_GB2312" w:hAnsi="仿宋_GB2312" w:eastAsia="仿宋_GB2312" w:cs="仿宋_GB2312"/>
          <w:sz w:val="32"/>
          <w:szCs w:val="32"/>
          <w:lang w:eastAsia="zh-Hans"/>
        </w:rPr>
        <w:t>.</w:t>
      </w:r>
      <w:r>
        <w:rPr>
          <w:rStyle w:val="64"/>
          <w:rFonts w:hint="eastAsia" w:ascii="仿宋_GB2312" w:hAnsi="仿宋_GB2312" w:eastAsia="仿宋_GB2312" w:cs="仿宋_GB2312"/>
          <w:sz w:val="32"/>
          <w:szCs w:val="32"/>
        </w:rPr>
        <w:t>愿意按照竞采文件中的一切要求，提供本项目的商品、及服务，报价为人民币大写：</w:t>
      </w:r>
      <w:r>
        <w:rPr>
          <w:rStyle w:val="64"/>
          <w:rFonts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rPr>
        <w:t>元整；人民币小写</w:t>
      </w:r>
      <w:r>
        <w:rPr>
          <w:rStyle w:val="64"/>
          <w:rFonts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rPr>
        <w:t>元。</w:t>
      </w:r>
    </w:p>
    <w:p w14:paraId="6D50186A">
      <w:pPr>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2</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我方现提交的响应文件为：</w:t>
      </w:r>
      <w:r>
        <w:rPr>
          <w:rStyle w:val="64"/>
          <w:rFonts w:hint="eastAsia" w:ascii="仿宋_GB2312" w:hAnsi="仿宋_GB2312" w:eastAsia="仿宋_GB2312" w:cs="仿宋_GB2312"/>
          <w:color w:val="FF0000"/>
          <w:sz w:val="32"/>
          <w:szCs w:val="32"/>
        </w:rPr>
        <w:t>响应文件正本壹份</w:t>
      </w:r>
      <w:r>
        <w:rPr>
          <w:rStyle w:val="64"/>
          <w:rFonts w:hint="eastAsia" w:ascii="仿宋_GB2312" w:hAnsi="仿宋_GB2312" w:eastAsia="仿宋_GB2312" w:cs="仿宋_GB2312"/>
          <w:sz w:val="32"/>
          <w:szCs w:val="32"/>
        </w:rPr>
        <w:t>。</w:t>
      </w:r>
    </w:p>
    <w:p w14:paraId="7A11EABB">
      <w:pPr>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3</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我方承诺：本次报价的有效期为</w:t>
      </w:r>
      <w:r>
        <w:rPr>
          <w:rStyle w:val="64"/>
          <w:rFonts w:hint="eastAsia" w:ascii="仿宋_GB2312" w:hAnsi="仿宋_GB2312" w:eastAsia="仿宋_GB2312" w:cs="仿宋_GB2312"/>
          <w:color w:val="FF0000"/>
          <w:sz w:val="32"/>
          <w:szCs w:val="32"/>
        </w:rPr>
        <w:t>90</w:t>
      </w:r>
      <w:r>
        <w:rPr>
          <w:rStyle w:val="64"/>
          <w:rFonts w:hint="eastAsia" w:ascii="仿宋_GB2312" w:hAnsi="仿宋_GB2312" w:eastAsia="仿宋_GB2312" w:cs="仿宋_GB2312"/>
          <w:sz w:val="32"/>
          <w:szCs w:val="32"/>
        </w:rPr>
        <w:t>天。</w:t>
      </w:r>
      <w:r>
        <w:rPr>
          <w:rFonts w:hint="eastAsia" w:ascii="仿宋_GB2312" w:hAnsi="仿宋_GB2312" w:eastAsia="仿宋_GB2312" w:cs="仿宋_GB2312"/>
          <w:b/>
          <w:bCs/>
          <w:i/>
          <w:iCs/>
          <w:color w:val="FF0000"/>
          <w:sz w:val="32"/>
          <w:szCs w:val="32"/>
          <w:u w:val="single"/>
        </w:rPr>
        <w:t>（请采购人自行完善）</w:t>
      </w:r>
    </w:p>
    <w:p w14:paraId="1F4AFC23">
      <w:pPr>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4</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我方完全理解和接受竞采文件的一切规定、要求和评审办法。</w:t>
      </w:r>
    </w:p>
    <w:p w14:paraId="14728C40">
      <w:pPr>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5</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在整个采购过程中，我方若有违规行为，愿意接受重庆市政府采购云平台相关管理方的</w:t>
      </w:r>
      <w:r>
        <w:rPr>
          <w:rStyle w:val="64"/>
          <w:rFonts w:hint="eastAsia" w:ascii="仿宋_GB2312" w:hAnsi="仿宋_GB2312" w:eastAsia="仿宋_GB2312" w:cs="仿宋_GB2312"/>
          <w:sz w:val="32"/>
          <w:szCs w:val="32"/>
          <w:lang w:eastAsia="zh-Hans"/>
        </w:rPr>
        <w:t>处</w:t>
      </w:r>
      <w:r>
        <w:rPr>
          <w:rStyle w:val="64"/>
          <w:rFonts w:hint="eastAsia" w:ascii="仿宋_GB2312" w:hAnsi="仿宋_GB2312" w:eastAsia="仿宋_GB2312" w:cs="仿宋_GB2312"/>
          <w:sz w:val="32"/>
          <w:szCs w:val="32"/>
        </w:rPr>
        <w:t>罚。</w:t>
      </w:r>
    </w:p>
    <w:p w14:paraId="6F2C8AA5">
      <w:pPr>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6</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我方若中选，将按照竞采结果签订合同，并且严格履行合同义务。本承诺函将成为合同不可分割的一部分，与合同具有同等的法律效力。</w:t>
      </w:r>
    </w:p>
    <w:p w14:paraId="0D9AF30D">
      <w:pPr>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7</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我方理解，最低报价不是成交的唯一条件。</w:t>
      </w:r>
    </w:p>
    <w:p w14:paraId="4F8007B5"/>
    <w:p w14:paraId="7265F91E">
      <w:pPr>
        <w:rPr>
          <w:rStyle w:val="64"/>
          <w:rFonts w:ascii="仿宋_GB2312" w:hAnsi="仿宋_GB2312" w:eastAsia="仿宋_GB2312" w:cs="仿宋_GB2312"/>
          <w:sz w:val="32"/>
          <w:szCs w:val="32"/>
        </w:rPr>
      </w:pPr>
    </w:p>
    <w:p w14:paraId="35A20C6B">
      <w:pPr>
        <w:ind w:firstLine="4800" w:firstLineChars="15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供应商名称（公章）：</w:t>
      </w:r>
    </w:p>
    <w:p w14:paraId="69685888">
      <w:pPr>
        <w:rPr>
          <w:rFonts w:ascii="仿宋" w:hAnsi="仿宋" w:eastAsia="仿宋" w:cs="宋体"/>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Style w:val="64"/>
          <w:rFonts w:ascii="仿宋_GB2312" w:hAnsi="仿宋_GB2312" w:eastAsia="仿宋_GB2312" w:cs="仿宋_GB2312"/>
          <w:sz w:val="32"/>
          <w:szCs w:val="32"/>
        </w:rPr>
        <w:t xml:space="preserve">                                  </w:t>
      </w:r>
      <w:r>
        <w:rPr>
          <w:rStyle w:val="64"/>
          <w:rFonts w:hint="eastAsia" w:ascii="仿宋_GB2312" w:hAnsi="仿宋_GB2312" w:eastAsia="仿宋_GB2312" w:cs="仿宋_GB2312"/>
          <w:sz w:val="32"/>
          <w:szCs w:val="32"/>
        </w:rPr>
        <w:t>年  月  日</w:t>
      </w:r>
      <w:r>
        <w:rPr>
          <w:rFonts w:hint="eastAsia" w:ascii="仿宋" w:hAnsi="仿宋" w:eastAsia="仿宋" w:cs="宋体"/>
          <w:sz w:val="24"/>
          <w:szCs w:val="24"/>
        </w:rPr>
        <w:t xml:space="preserve">                                        </w:t>
      </w:r>
    </w:p>
    <w:p w14:paraId="7016248B">
      <w:pPr>
        <w:rPr>
          <w:rFonts w:ascii="方正仿宋_GBK" w:hAnsi="宋体" w:eastAsia="方正仿宋_GBK" w:cs="方正仿宋_GBK"/>
          <w:sz w:val="24"/>
          <w:szCs w:val="24"/>
        </w:rPr>
      </w:pPr>
      <w:r>
        <w:rPr>
          <w:rFonts w:hint="eastAsia" w:ascii="仿宋_GB2312" w:hAnsi="仿宋_GB2312" w:eastAsia="仿宋_GB2312" w:cs="仿宋_GB2312"/>
          <w:sz w:val="32"/>
          <w:szCs w:val="32"/>
        </w:rPr>
        <w:t xml:space="preserve">（二）明细报价表   </w:t>
      </w:r>
      <w:r>
        <w:rPr>
          <w:rFonts w:hint="eastAsia" w:ascii="方正仿宋_GBK" w:hAnsi="宋体" w:eastAsia="方正仿宋_GBK" w:cs="方正仿宋_GBK"/>
          <w:sz w:val="24"/>
          <w:szCs w:val="24"/>
        </w:rPr>
        <w:t xml:space="preserve">     </w:t>
      </w:r>
    </w:p>
    <w:p w14:paraId="185FFB03">
      <w:pPr>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14:paraId="730A0A5C">
      <w:pPr>
        <w:ind w:firstLine="3840" w:firstLineChars="1200"/>
        <w:rPr>
          <w:rFonts w:ascii="仿宋_GB2312" w:hAnsi="仿宋_GB2312" w:eastAsia="仿宋_GB2312" w:cs="仿宋_GB2312"/>
          <w:szCs w:val="32"/>
        </w:rPr>
      </w:pPr>
      <w:r>
        <w:rPr>
          <w:rFonts w:hint="eastAsia" w:ascii="黑体" w:hAnsi="黑体" w:eastAsia="黑体" w:cs="黑体"/>
          <w:sz w:val="32"/>
          <w:szCs w:val="32"/>
        </w:rPr>
        <w:t>明细报价表</w:t>
      </w:r>
      <w:r>
        <w:rPr>
          <w:rFonts w:hint="eastAsia" w:ascii="仿宋_GB2312" w:hAnsi="仿宋_GB2312" w:eastAsia="仿宋_GB2312" w:cs="仿宋_GB2312"/>
          <w:i/>
          <w:iCs/>
          <w:color w:val="FF0000"/>
          <w:szCs w:val="32"/>
          <w:u w:val="single"/>
        </w:rPr>
        <w:t>（请采购人自行</w:t>
      </w:r>
      <w:r>
        <w:rPr>
          <w:rFonts w:hint="eastAsia" w:ascii="仿宋_GB2312" w:hAnsi="仿宋_GB2312" w:cs="仿宋_GB2312" w:eastAsiaTheme="minorEastAsia"/>
          <w:i/>
          <w:iCs/>
          <w:color w:val="FF0000"/>
          <w:szCs w:val="32"/>
          <w:u w:val="single"/>
        </w:rPr>
        <w:t>填写</w:t>
      </w:r>
      <w:r>
        <w:rPr>
          <w:rFonts w:hint="eastAsia" w:ascii="仿宋_GB2312" w:hAnsi="仿宋_GB2312" w:eastAsia="仿宋_GB2312" w:cs="仿宋_GB2312"/>
          <w:i/>
          <w:iCs/>
          <w:color w:val="FF0000"/>
          <w:szCs w:val="32"/>
          <w:u w:val="single"/>
        </w:rPr>
        <w:t xml:space="preserve">本表） </w:t>
      </w:r>
    </w:p>
    <w:p w14:paraId="1561451B">
      <w:pPr>
        <w:tabs>
          <w:tab w:val="left" w:pos="2975"/>
          <w:tab w:val="center" w:pos="4765"/>
        </w:tabs>
        <w:spacing w:line="312" w:lineRule="auto"/>
        <w:jc w:val="left"/>
        <w:rPr>
          <w:rFonts w:ascii="仿宋" w:hAnsi="仿宋" w:eastAsia="仿宋" w:cs="仿宋"/>
          <w:b/>
          <w:sz w:val="24"/>
          <w:szCs w:val="24"/>
        </w:rPr>
      </w:pPr>
      <w:r>
        <w:rPr>
          <w:rFonts w:hint="eastAsia" w:ascii="仿宋" w:hAnsi="仿宋" w:eastAsia="仿宋" w:cs="仿宋"/>
          <w:b/>
          <w:sz w:val="24"/>
          <w:szCs w:val="24"/>
        </w:rPr>
        <w:t>明细报价表</w:t>
      </w:r>
    </w:p>
    <w:tbl>
      <w:tblPr>
        <w:tblStyle w:val="57"/>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3D32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14:paraId="3EC25B43">
            <w:pPr>
              <w:jc w:val="center"/>
              <w:rPr>
                <w:rFonts w:ascii="仿宋" w:hAnsi="仿宋" w:eastAsia="仿宋" w:cs="仿宋"/>
                <w:b/>
                <w:sz w:val="24"/>
                <w:szCs w:val="24"/>
              </w:rPr>
            </w:pPr>
            <w:r>
              <w:rPr>
                <w:rFonts w:hint="eastAsia" w:ascii="仿宋" w:hAnsi="仿宋" w:eastAsia="仿宋" w:cs="仿宋"/>
                <w:b/>
                <w:sz w:val="24"/>
                <w:szCs w:val="24"/>
              </w:rPr>
              <w:t>序号</w:t>
            </w:r>
          </w:p>
        </w:tc>
        <w:tc>
          <w:tcPr>
            <w:tcW w:w="1695" w:type="dxa"/>
            <w:vAlign w:val="center"/>
          </w:tcPr>
          <w:p w14:paraId="6694DBA4">
            <w:pPr>
              <w:jc w:val="center"/>
              <w:rPr>
                <w:rFonts w:ascii="仿宋" w:hAnsi="仿宋" w:eastAsia="仿宋" w:cs="仿宋"/>
                <w:b/>
                <w:sz w:val="24"/>
                <w:szCs w:val="24"/>
              </w:rPr>
            </w:pPr>
            <w:r>
              <w:rPr>
                <w:rFonts w:hint="eastAsia" w:ascii="仿宋" w:hAnsi="仿宋" w:eastAsia="仿宋" w:cs="仿宋"/>
                <w:b/>
                <w:sz w:val="24"/>
                <w:szCs w:val="24"/>
              </w:rPr>
              <w:t>名称</w:t>
            </w:r>
          </w:p>
        </w:tc>
        <w:tc>
          <w:tcPr>
            <w:tcW w:w="3404" w:type="dxa"/>
            <w:vAlign w:val="center"/>
          </w:tcPr>
          <w:p w14:paraId="568A4467">
            <w:pPr>
              <w:jc w:val="center"/>
              <w:rPr>
                <w:rFonts w:ascii="仿宋" w:hAnsi="仿宋" w:eastAsia="仿宋" w:cs="仿宋"/>
                <w:b/>
                <w:sz w:val="24"/>
                <w:szCs w:val="24"/>
              </w:rPr>
            </w:pPr>
            <w:r>
              <w:rPr>
                <w:rFonts w:hint="eastAsia" w:ascii="仿宋" w:hAnsi="仿宋" w:eastAsia="仿宋" w:cs="仿宋"/>
                <w:b/>
                <w:sz w:val="24"/>
                <w:szCs w:val="24"/>
              </w:rPr>
              <w:t>相关信息</w:t>
            </w:r>
          </w:p>
        </w:tc>
        <w:tc>
          <w:tcPr>
            <w:tcW w:w="1344" w:type="dxa"/>
            <w:vAlign w:val="center"/>
          </w:tcPr>
          <w:p w14:paraId="173483BB">
            <w:pPr>
              <w:jc w:val="center"/>
              <w:rPr>
                <w:rFonts w:ascii="仿宋" w:hAnsi="仿宋" w:eastAsia="仿宋" w:cs="仿宋"/>
                <w:b/>
                <w:sz w:val="24"/>
                <w:szCs w:val="24"/>
              </w:rPr>
            </w:pPr>
            <w:r>
              <w:rPr>
                <w:rFonts w:hint="eastAsia" w:ascii="仿宋" w:hAnsi="仿宋" w:eastAsia="仿宋" w:cs="仿宋"/>
                <w:b/>
                <w:sz w:val="24"/>
                <w:szCs w:val="24"/>
              </w:rPr>
              <w:t>数量</w:t>
            </w:r>
          </w:p>
        </w:tc>
        <w:tc>
          <w:tcPr>
            <w:tcW w:w="1344" w:type="dxa"/>
            <w:vAlign w:val="center"/>
          </w:tcPr>
          <w:p w14:paraId="6D4A0A87">
            <w:pPr>
              <w:jc w:val="center"/>
              <w:rPr>
                <w:rFonts w:ascii="仿宋" w:hAnsi="仿宋" w:eastAsia="仿宋" w:cs="仿宋"/>
                <w:b/>
                <w:sz w:val="24"/>
                <w:szCs w:val="24"/>
              </w:rPr>
            </w:pPr>
            <w:r>
              <w:rPr>
                <w:rFonts w:hint="eastAsia" w:ascii="仿宋" w:hAnsi="仿宋" w:eastAsia="仿宋" w:cs="仿宋"/>
                <w:b/>
                <w:sz w:val="24"/>
                <w:szCs w:val="24"/>
              </w:rPr>
              <w:t>单价</w:t>
            </w:r>
          </w:p>
        </w:tc>
        <w:tc>
          <w:tcPr>
            <w:tcW w:w="1344" w:type="dxa"/>
            <w:vAlign w:val="center"/>
          </w:tcPr>
          <w:p w14:paraId="06CFBBB3">
            <w:pPr>
              <w:jc w:val="center"/>
              <w:rPr>
                <w:rFonts w:ascii="仿宋" w:hAnsi="仿宋" w:eastAsia="仿宋" w:cs="仿宋"/>
                <w:b/>
                <w:sz w:val="24"/>
                <w:szCs w:val="24"/>
              </w:rPr>
            </w:pPr>
            <w:r>
              <w:rPr>
                <w:rFonts w:hint="eastAsia" w:ascii="仿宋" w:hAnsi="仿宋" w:eastAsia="仿宋" w:cs="仿宋"/>
                <w:b/>
                <w:sz w:val="24"/>
                <w:szCs w:val="24"/>
              </w:rPr>
              <w:t>合计</w:t>
            </w:r>
          </w:p>
        </w:tc>
      </w:tr>
      <w:tr w14:paraId="6360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9BFA92B">
            <w:pPr>
              <w:pStyle w:val="23"/>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2111</w:t>
            </w:r>
          </w:p>
        </w:tc>
        <w:tc>
          <w:tcPr>
            <w:tcW w:w="1695" w:type="dxa"/>
            <w:vAlign w:val="center"/>
          </w:tcPr>
          <w:p w14:paraId="7D966B33">
            <w:pPr>
              <w:jc w:val="center"/>
              <w:rPr>
                <w:rFonts w:ascii="仿宋" w:hAnsi="仿宋" w:eastAsia="仿宋" w:cs="仿宋"/>
                <w:sz w:val="24"/>
                <w:szCs w:val="24"/>
              </w:rPr>
            </w:pPr>
          </w:p>
        </w:tc>
        <w:tc>
          <w:tcPr>
            <w:tcW w:w="3404" w:type="dxa"/>
          </w:tcPr>
          <w:p w14:paraId="345F4F1D">
            <w:pPr>
              <w:jc w:val="center"/>
              <w:rPr>
                <w:rFonts w:ascii="仿宋" w:hAnsi="仿宋" w:eastAsia="仿宋" w:cs="仿宋"/>
                <w:sz w:val="24"/>
                <w:szCs w:val="24"/>
              </w:rPr>
            </w:pPr>
          </w:p>
        </w:tc>
        <w:tc>
          <w:tcPr>
            <w:tcW w:w="1344" w:type="dxa"/>
            <w:vAlign w:val="center"/>
          </w:tcPr>
          <w:p w14:paraId="4D1A47C1">
            <w:pPr>
              <w:jc w:val="center"/>
              <w:rPr>
                <w:rFonts w:ascii="仿宋" w:hAnsi="仿宋" w:eastAsia="仿宋" w:cs="仿宋"/>
                <w:sz w:val="24"/>
                <w:szCs w:val="24"/>
              </w:rPr>
            </w:pPr>
          </w:p>
        </w:tc>
        <w:tc>
          <w:tcPr>
            <w:tcW w:w="1344" w:type="dxa"/>
          </w:tcPr>
          <w:p w14:paraId="436BD50E">
            <w:pPr>
              <w:jc w:val="center"/>
              <w:rPr>
                <w:rFonts w:ascii="仿宋" w:hAnsi="仿宋" w:eastAsia="仿宋" w:cs="仿宋"/>
                <w:sz w:val="24"/>
                <w:szCs w:val="24"/>
              </w:rPr>
            </w:pPr>
          </w:p>
        </w:tc>
        <w:tc>
          <w:tcPr>
            <w:tcW w:w="1344" w:type="dxa"/>
          </w:tcPr>
          <w:p w14:paraId="05D8ED8B">
            <w:pPr>
              <w:jc w:val="center"/>
              <w:rPr>
                <w:rFonts w:ascii="仿宋" w:hAnsi="仿宋" w:eastAsia="仿宋" w:cs="仿宋"/>
                <w:sz w:val="24"/>
                <w:szCs w:val="24"/>
              </w:rPr>
            </w:pPr>
          </w:p>
        </w:tc>
      </w:tr>
      <w:tr w14:paraId="3235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4A397BC">
            <w:pPr>
              <w:pStyle w:val="23"/>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22</w:t>
            </w:r>
          </w:p>
        </w:tc>
        <w:tc>
          <w:tcPr>
            <w:tcW w:w="1695" w:type="dxa"/>
            <w:vAlign w:val="center"/>
          </w:tcPr>
          <w:p w14:paraId="0CF4AC5B">
            <w:pPr>
              <w:jc w:val="center"/>
              <w:rPr>
                <w:rFonts w:ascii="仿宋" w:hAnsi="仿宋" w:eastAsia="仿宋" w:cs="仿宋"/>
                <w:sz w:val="24"/>
                <w:szCs w:val="24"/>
              </w:rPr>
            </w:pPr>
          </w:p>
        </w:tc>
        <w:tc>
          <w:tcPr>
            <w:tcW w:w="3404" w:type="dxa"/>
          </w:tcPr>
          <w:p w14:paraId="5BFBBAA0">
            <w:pPr>
              <w:jc w:val="center"/>
              <w:rPr>
                <w:rFonts w:ascii="仿宋" w:hAnsi="仿宋" w:eastAsia="仿宋" w:cs="仿宋"/>
                <w:sz w:val="24"/>
                <w:szCs w:val="24"/>
              </w:rPr>
            </w:pPr>
          </w:p>
        </w:tc>
        <w:tc>
          <w:tcPr>
            <w:tcW w:w="1344" w:type="dxa"/>
            <w:vAlign w:val="center"/>
          </w:tcPr>
          <w:p w14:paraId="424B2AAF">
            <w:pPr>
              <w:jc w:val="center"/>
              <w:rPr>
                <w:rFonts w:ascii="仿宋" w:hAnsi="仿宋" w:eastAsia="仿宋" w:cs="仿宋"/>
                <w:sz w:val="24"/>
                <w:szCs w:val="24"/>
              </w:rPr>
            </w:pPr>
          </w:p>
        </w:tc>
        <w:tc>
          <w:tcPr>
            <w:tcW w:w="1344" w:type="dxa"/>
          </w:tcPr>
          <w:p w14:paraId="49054D7B">
            <w:pPr>
              <w:jc w:val="center"/>
              <w:rPr>
                <w:rFonts w:ascii="仿宋" w:hAnsi="仿宋" w:eastAsia="仿宋" w:cs="仿宋"/>
                <w:sz w:val="24"/>
                <w:szCs w:val="24"/>
              </w:rPr>
            </w:pPr>
          </w:p>
        </w:tc>
        <w:tc>
          <w:tcPr>
            <w:tcW w:w="1344" w:type="dxa"/>
          </w:tcPr>
          <w:p w14:paraId="15DD5EF4">
            <w:pPr>
              <w:jc w:val="center"/>
              <w:rPr>
                <w:rFonts w:ascii="仿宋" w:hAnsi="仿宋" w:eastAsia="仿宋" w:cs="仿宋"/>
                <w:sz w:val="24"/>
                <w:szCs w:val="24"/>
              </w:rPr>
            </w:pPr>
          </w:p>
        </w:tc>
      </w:tr>
      <w:tr w14:paraId="2267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26FD5D1A">
            <w:pPr>
              <w:pStyle w:val="23"/>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13</w:t>
            </w:r>
          </w:p>
        </w:tc>
        <w:tc>
          <w:tcPr>
            <w:tcW w:w="1695" w:type="dxa"/>
            <w:vAlign w:val="center"/>
          </w:tcPr>
          <w:p w14:paraId="12B55A0F">
            <w:pPr>
              <w:jc w:val="center"/>
              <w:rPr>
                <w:rFonts w:ascii="仿宋" w:hAnsi="仿宋" w:eastAsia="仿宋" w:cs="仿宋"/>
                <w:sz w:val="24"/>
                <w:szCs w:val="24"/>
              </w:rPr>
            </w:pPr>
          </w:p>
        </w:tc>
        <w:tc>
          <w:tcPr>
            <w:tcW w:w="3404" w:type="dxa"/>
          </w:tcPr>
          <w:p w14:paraId="6699388D">
            <w:pPr>
              <w:jc w:val="center"/>
              <w:rPr>
                <w:rFonts w:ascii="仿宋" w:hAnsi="仿宋" w:eastAsia="仿宋" w:cs="仿宋"/>
                <w:sz w:val="24"/>
                <w:szCs w:val="24"/>
              </w:rPr>
            </w:pPr>
          </w:p>
        </w:tc>
        <w:tc>
          <w:tcPr>
            <w:tcW w:w="1344" w:type="dxa"/>
            <w:vAlign w:val="center"/>
          </w:tcPr>
          <w:p w14:paraId="7F846A46">
            <w:pPr>
              <w:jc w:val="center"/>
              <w:rPr>
                <w:rFonts w:ascii="仿宋" w:hAnsi="仿宋" w:eastAsia="仿宋" w:cs="仿宋"/>
                <w:sz w:val="24"/>
                <w:szCs w:val="24"/>
              </w:rPr>
            </w:pPr>
          </w:p>
        </w:tc>
        <w:tc>
          <w:tcPr>
            <w:tcW w:w="1344" w:type="dxa"/>
          </w:tcPr>
          <w:p w14:paraId="06CF3F82">
            <w:pPr>
              <w:jc w:val="center"/>
              <w:rPr>
                <w:rFonts w:ascii="仿宋" w:hAnsi="仿宋" w:eastAsia="仿宋" w:cs="仿宋"/>
                <w:sz w:val="24"/>
                <w:szCs w:val="24"/>
              </w:rPr>
            </w:pPr>
          </w:p>
        </w:tc>
        <w:tc>
          <w:tcPr>
            <w:tcW w:w="1344" w:type="dxa"/>
          </w:tcPr>
          <w:p w14:paraId="60F7E364">
            <w:pPr>
              <w:jc w:val="center"/>
              <w:rPr>
                <w:rFonts w:ascii="仿宋" w:hAnsi="仿宋" w:eastAsia="仿宋" w:cs="仿宋"/>
                <w:sz w:val="24"/>
                <w:szCs w:val="24"/>
              </w:rPr>
            </w:pPr>
          </w:p>
        </w:tc>
      </w:tr>
      <w:tr w14:paraId="08D0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74E8E34">
            <w:pPr>
              <w:pStyle w:val="23"/>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4</w:t>
            </w:r>
          </w:p>
        </w:tc>
        <w:tc>
          <w:tcPr>
            <w:tcW w:w="1695" w:type="dxa"/>
            <w:vAlign w:val="center"/>
          </w:tcPr>
          <w:p w14:paraId="7DCA7084">
            <w:pPr>
              <w:jc w:val="center"/>
              <w:rPr>
                <w:rFonts w:ascii="仿宋" w:hAnsi="仿宋" w:eastAsia="仿宋" w:cs="仿宋"/>
                <w:sz w:val="24"/>
                <w:szCs w:val="24"/>
              </w:rPr>
            </w:pPr>
          </w:p>
        </w:tc>
        <w:tc>
          <w:tcPr>
            <w:tcW w:w="3404" w:type="dxa"/>
          </w:tcPr>
          <w:p w14:paraId="6AF643EA">
            <w:pPr>
              <w:jc w:val="center"/>
              <w:rPr>
                <w:rFonts w:ascii="仿宋" w:hAnsi="仿宋" w:eastAsia="仿宋" w:cs="仿宋"/>
                <w:sz w:val="24"/>
                <w:szCs w:val="24"/>
              </w:rPr>
            </w:pPr>
          </w:p>
        </w:tc>
        <w:tc>
          <w:tcPr>
            <w:tcW w:w="1344" w:type="dxa"/>
            <w:vAlign w:val="center"/>
          </w:tcPr>
          <w:p w14:paraId="2E936B08">
            <w:pPr>
              <w:jc w:val="center"/>
              <w:rPr>
                <w:rFonts w:ascii="仿宋" w:hAnsi="仿宋" w:eastAsia="仿宋" w:cs="仿宋"/>
                <w:sz w:val="24"/>
                <w:szCs w:val="24"/>
              </w:rPr>
            </w:pPr>
          </w:p>
        </w:tc>
        <w:tc>
          <w:tcPr>
            <w:tcW w:w="1344" w:type="dxa"/>
          </w:tcPr>
          <w:p w14:paraId="3A6C9EAE">
            <w:pPr>
              <w:jc w:val="center"/>
              <w:rPr>
                <w:rFonts w:ascii="仿宋" w:hAnsi="仿宋" w:eastAsia="仿宋" w:cs="仿宋"/>
                <w:sz w:val="24"/>
                <w:szCs w:val="24"/>
              </w:rPr>
            </w:pPr>
          </w:p>
        </w:tc>
        <w:tc>
          <w:tcPr>
            <w:tcW w:w="1344" w:type="dxa"/>
          </w:tcPr>
          <w:p w14:paraId="162CB0C0">
            <w:pPr>
              <w:jc w:val="center"/>
              <w:rPr>
                <w:rFonts w:ascii="仿宋" w:hAnsi="仿宋" w:eastAsia="仿宋" w:cs="仿宋"/>
                <w:sz w:val="24"/>
                <w:szCs w:val="24"/>
              </w:rPr>
            </w:pPr>
          </w:p>
        </w:tc>
      </w:tr>
      <w:tr w14:paraId="522C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9A33383">
            <w:pPr>
              <w:pStyle w:val="23"/>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5</w:t>
            </w:r>
          </w:p>
        </w:tc>
        <w:tc>
          <w:tcPr>
            <w:tcW w:w="1695" w:type="dxa"/>
            <w:vAlign w:val="center"/>
          </w:tcPr>
          <w:p w14:paraId="425979D2">
            <w:pPr>
              <w:jc w:val="center"/>
              <w:rPr>
                <w:rFonts w:ascii="仿宋" w:hAnsi="仿宋" w:eastAsia="仿宋" w:cs="仿宋"/>
                <w:sz w:val="24"/>
                <w:szCs w:val="24"/>
              </w:rPr>
            </w:pPr>
          </w:p>
        </w:tc>
        <w:tc>
          <w:tcPr>
            <w:tcW w:w="3404" w:type="dxa"/>
          </w:tcPr>
          <w:p w14:paraId="5CD9979B">
            <w:pPr>
              <w:jc w:val="center"/>
              <w:rPr>
                <w:rFonts w:ascii="仿宋" w:hAnsi="仿宋" w:eastAsia="仿宋" w:cs="仿宋"/>
                <w:sz w:val="24"/>
                <w:szCs w:val="24"/>
              </w:rPr>
            </w:pPr>
          </w:p>
        </w:tc>
        <w:tc>
          <w:tcPr>
            <w:tcW w:w="1344" w:type="dxa"/>
            <w:vAlign w:val="center"/>
          </w:tcPr>
          <w:p w14:paraId="7688FCD0">
            <w:pPr>
              <w:jc w:val="center"/>
              <w:rPr>
                <w:rFonts w:ascii="仿宋" w:hAnsi="仿宋" w:eastAsia="仿宋" w:cs="仿宋"/>
                <w:sz w:val="24"/>
                <w:szCs w:val="24"/>
              </w:rPr>
            </w:pPr>
          </w:p>
        </w:tc>
        <w:tc>
          <w:tcPr>
            <w:tcW w:w="1344" w:type="dxa"/>
          </w:tcPr>
          <w:p w14:paraId="1A11002E">
            <w:pPr>
              <w:jc w:val="center"/>
              <w:rPr>
                <w:rFonts w:ascii="仿宋" w:hAnsi="仿宋" w:eastAsia="仿宋" w:cs="仿宋"/>
                <w:sz w:val="24"/>
                <w:szCs w:val="24"/>
              </w:rPr>
            </w:pPr>
          </w:p>
        </w:tc>
        <w:tc>
          <w:tcPr>
            <w:tcW w:w="1344" w:type="dxa"/>
          </w:tcPr>
          <w:p w14:paraId="7D102F59">
            <w:pPr>
              <w:jc w:val="center"/>
              <w:rPr>
                <w:rFonts w:ascii="仿宋" w:hAnsi="仿宋" w:eastAsia="仿宋" w:cs="仿宋"/>
                <w:sz w:val="24"/>
                <w:szCs w:val="24"/>
              </w:rPr>
            </w:pPr>
          </w:p>
        </w:tc>
      </w:tr>
      <w:tr w14:paraId="6563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79FA626">
            <w:pPr>
              <w:pStyle w:val="23"/>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6</w:t>
            </w:r>
          </w:p>
        </w:tc>
        <w:tc>
          <w:tcPr>
            <w:tcW w:w="1695" w:type="dxa"/>
            <w:vAlign w:val="center"/>
          </w:tcPr>
          <w:p w14:paraId="0D129268">
            <w:pPr>
              <w:jc w:val="center"/>
              <w:rPr>
                <w:rFonts w:ascii="仿宋" w:hAnsi="仿宋" w:eastAsia="仿宋" w:cs="仿宋"/>
                <w:sz w:val="24"/>
                <w:szCs w:val="24"/>
              </w:rPr>
            </w:pPr>
          </w:p>
        </w:tc>
        <w:tc>
          <w:tcPr>
            <w:tcW w:w="3404" w:type="dxa"/>
          </w:tcPr>
          <w:p w14:paraId="5DD25CDC">
            <w:pPr>
              <w:jc w:val="center"/>
              <w:rPr>
                <w:rFonts w:ascii="仿宋" w:hAnsi="仿宋" w:eastAsia="仿宋" w:cs="仿宋"/>
                <w:sz w:val="24"/>
                <w:szCs w:val="24"/>
              </w:rPr>
            </w:pPr>
          </w:p>
        </w:tc>
        <w:tc>
          <w:tcPr>
            <w:tcW w:w="1344" w:type="dxa"/>
            <w:vAlign w:val="center"/>
          </w:tcPr>
          <w:p w14:paraId="537ABCBF">
            <w:pPr>
              <w:jc w:val="center"/>
              <w:rPr>
                <w:rFonts w:ascii="仿宋" w:hAnsi="仿宋" w:eastAsia="仿宋" w:cs="仿宋"/>
                <w:sz w:val="24"/>
                <w:szCs w:val="24"/>
              </w:rPr>
            </w:pPr>
          </w:p>
        </w:tc>
        <w:tc>
          <w:tcPr>
            <w:tcW w:w="1344" w:type="dxa"/>
          </w:tcPr>
          <w:p w14:paraId="24ABD0B2">
            <w:pPr>
              <w:jc w:val="center"/>
              <w:rPr>
                <w:rFonts w:ascii="仿宋" w:hAnsi="仿宋" w:eastAsia="仿宋" w:cs="仿宋"/>
                <w:sz w:val="24"/>
                <w:szCs w:val="24"/>
              </w:rPr>
            </w:pPr>
          </w:p>
        </w:tc>
        <w:tc>
          <w:tcPr>
            <w:tcW w:w="1344" w:type="dxa"/>
          </w:tcPr>
          <w:p w14:paraId="5D8CDBC2">
            <w:pPr>
              <w:jc w:val="center"/>
              <w:rPr>
                <w:rFonts w:ascii="仿宋" w:hAnsi="仿宋" w:eastAsia="仿宋" w:cs="仿宋"/>
                <w:sz w:val="24"/>
                <w:szCs w:val="24"/>
              </w:rPr>
            </w:pPr>
          </w:p>
        </w:tc>
      </w:tr>
      <w:tr w14:paraId="4605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23176295">
            <w:pPr>
              <w:pStyle w:val="23"/>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7</w:t>
            </w:r>
          </w:p>
        </w:tc>
        <w:tc>
          <w:tcPr>
            <w:tcW w:w="1695" w:type="dxa"/>
            <w:vAlign w:val="center"/>
          </w:tcPr>
          <w:p w14:paraId="2C5E71A4">
            <w:pPr>
              <w:jc w:val="center"/>
              <w:rPr>
                <w:rFonts w:ascii="仿宋" w:hAnsi="仿宋" w:eastAsia="仿宋" w:cs="仿宋"/>
                <w:sz w:val="24"/>
                <w:szCs w:val="24"/>
              </w:rPr>
            </w:pPr>
          </w:p>
        </w:tc>
        <w:tc>
          <w:tcPr>
            <w:tcW w:w="3404" w:type="dxa"/>
          </w:tcPr>
          <w:p w14:paraId="0149B585">
            <w:pPr>
              <w:jc w:val="center"/>
              <w:rPr>
                <w:rFonts w:ascii="仿宋" w:hAnsi="仿宋" w:eastAsia="仿宋" w:cs="仿宋"/>
                <w:sz w:val="24"/>
                <w:szCs w:val="24"/>
              </w:rPr>
            </w:pPr>
          </w:p>
        </w:tc>
        <w:tc>
          <w:tcPr>
            <w:tcW w:w="1344" w:type="dxa"/>
            <w:vAlign w:val="center"/>
          </w:tcPr>
          <w:p w14:paraId="613A7B0A">
            <w:pPr>
              <w:jc w:val="center"/>
              <w:rPr>
                <w:rFonts w:ascii="仿宋" w:hAnsi="仿宋" w:eastAsia="仿宋" w:cs="仿宋"/>
                <w:sz w:val="24"/>
                <w:szCs w:val="24"/>
              </w:rPr>
            </w:pPr>
          </w:p>
        </w:tc>
        <w:tc>
          <w:tcPr>
            <w:tcW w:w="1344" w:type="dxa"/>
          </w:tcPr>
          <w:p w14:paraId="37D4F403">
            <w:pPr>
              <w:jc w:val="center"/>
              <w:rPr>
                <w:rFonts w:ascii="仿宋" w:hAnsi="仿宋" w:eastAsia="仿宋" w:cs="仿宋"/>
                <w:sz w:val="24"/>
                <w:szCs w:val="24"/>
              </w:rPr>
            </w:pPr>
          </w:p>
        </w:tc>
        <w:tc>
          <w:tcPr>
            <w:tcW w:w="1344" w:type="dxa"/>
          </w:tcPr>
          <w:p w14:paraId="6D7FD987">
            <w:pPr>
              <w:jc w:val="center"/>
              <w:rPr>
                <w:rFonts w:ascii="仿宋" w:hAnsi="仿宋" w:eastAsia="仿宋" w:cs="仿宋"/>
                <w:sz w:val="24"/>
                <w:szCs w:val="24"/>
              </w:rPr>
            </w:pPr>
          </w:p>
        </w:tc>
      </w:tr>
      <w:tr w14:paraId="085D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2187A6B">
            <w:pPr>
              <w:pStyle w:val="23"/>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8</w:t>
            </w:r>
          </w:p>
        </w:tc>
        <w:tc>
          <w:tcPr>
            <w:tcW w:w="1695" w:type="dxa"/>
            <w:vAlign w:val="center"/>
          </w:tcPr>
          <w:p w14:paraId="758305C5">
            <w:pPr>
              <w:jc w:val="center"/>
              <w:rPr>
                <w:rFonts w:ascii="仿宋" w:hAnsi="仿宋" w:eastAsia="仿宋" w:cs="仿宋"/>
                <w:sz w:val="24"/>
                <w:szCs w:val="24"/>
              </w:rPr>
            </w:pPr>
            <w:r>
              <w:rPr>
                <w:rFonts w:hint="eastAsia" w:ascii="仿宋" w:hAnsi="仿宋" w:eastAsia="仿宋" w:cs="仿宋"/>
                <w:sz w:val="24"/>
                <w:szCs w:val="24"/>
              </w:rPr>
              <w:t>人工费</w:t>
            </w:r>
          </w:p>
        </w:tc>
        <w:tc>
          <w:tcPr>
            <w:tcW w:w="3404" w:type="dxa"/>
          </w:tcPr>
          <w:p w14:paraId="7AC51491">
            <w:pPr>
              <w:jc w:val="center"/>
              <w:rPr>
                <w:rFonts w:ascii="仿宋" w:hAnsi="仿宋" w:eastAsia="仿宋" w:cs="仿宋"/>
                <w:sz w:val="24"/>
                <w:szCs w:val="24"/>
              </w:rPr>
            </w:pPr>
          </w:p>
        </w:tc>
        <w:tc>
          <w:tcPr>
            <w:tcW w:w="1344" w:type="dxa"/>
            <w:vAlign w:val="center"/>
          </w:tcPr>
          <w:p w14:paraId="559A36FA">
            <w:pPr>
              <w:jc w:val="center"/>
              <w:rPr>
                <w:rFonts w:ascii="仿宋" w:hAnsi="仿宋" w:eastAsia="仿宋" w:cs="仿宋"/>
                <w:sz w:val="24"/>
                <w:szCs w:val="24"/>
              </w:rPr>
            </w:pPr>
            <w:r>
              <w:rPr>
                <w:rFonts w:hint="eastAsia" w:ascii="仿宋" w:hAnsi="仿宋" w:eastAsia="仿宋" w:cs="仿宋"/>
                <w:sz w:val="24"/>
                <w:szCs w:val="24"/>
              </w:rPr>
              <w:t>/</w:t>
            </w:r>
          </w:p>
        </w:tc>
        <w:tc>
          <w:tcPr>
            <w:tcW w:w="1344" w:type="dxa"/>
          </w:tcPr>
          <w:p w14:paraId="341A8F50">
            <w:pPr>
              <w:jc w:val="center"/>
              <w:rPr>
                <w:rFonts w:ascii="仿宋" w:hAnsi="仿宋" w:eastAsia="仿宋" w:cs="仿宋"/>
                <w:sz w:val="24"/>
                <w:szCs w:val="24"/>
              </w:rPr>
            </w:pPr>
          </w:p>
        </w:tc>
        <w:tc>
          <w:tcPr>
            <w:tcW w:w="1344" w:type="dxa"/>
          </w:tcPr>
          <w:p w14:paraId="20EF93EF">
            <w:pPr>
              <w:jc w:val="center"/>
              <w:rPr>
                <w:rFonts w:ascii="仿宋" w:hAnsi="仿宋" w:eastAsia="仿宋" w:cs="仿宋"/>
                <w:sz w:val="24"/>
                <w:szCs w:val="24"/>
              </w:rPr>
            </w:pPr>
          </w:p>
        </w:tc>
      </w:tr>
      <w:tr w14:paraId="3D4C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977EF79">
            <w:pPr>
              <w:pStyle w:val="23"/>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9</w:t>
            </w:r>
          </w:p>
        </w:tc>
        <w:tc>
          <w:tcPr>
            <w:tcW w:w="1695" w:type="dxa"/>
            <w:vAlign w:val="center"/>
          </w:tcPr>
          <w:p w14:paraId="1789FE5E">
            <w:pPr>
              <w:jc w:val="center"/>
              <w:rPr>
                <w:rFonts w:ascii="仿宋" w:hAnsi="仿宋" w:eastAsia="仿宋" w:cs="仿宋"/>
                <w:sz w:val="24"/>
                <w:szCs w:val="24"/>
              </w:rPr>
            </w:pPr>
            <w:r>
              <w:rPr>
                <w:rFonts w:hint="eastAsia" w:ascii="仿宋" w:hAnsi="仿宋" w:eastAsia="仿宋" w:cs="仿宋"/>
                <w:sz w:val="24"/>
                <w:szCs w:val="24"/>
              </w:rPr>
              <w:t>各种税费</w:t>
            </w:r>
          </w:p>
        </w:tc>
        <w:tc>
          <w:tcPr>
            <w:tcW w:w="3404" w:type="dxa"/>
          </w:tcPr>
          <w:p w14:paraId="21850573">
            <w:pPr>
              <w:jc w:val="center"/>
              <w:rPr>
                <w:rFonts w:ascii="仿宋" w:hAnsi="仿宋" w:eastAsia="仿宋" w:cs="仿宋"/>
                <w:sz w:val="24"/>
                <w:szCs w:val="24"/>
              </w:rPr>
            </w:pPr>
          </w:p>
        </w:tc>
        <w:tc>
          <w:tcPr>
            <w:tcW w:w="1344" w:type="dxa"/>
            <w:vAlign w:val="center"/>
          </w:tcPr>
          <w:p w14:paraId="57446BF8">
            <w:pPr>
              <w:jc w:val="center"/>
              <w:rPr>
                <w:rFonts w:ascii="仿宋" w:hAnsi="仿宋" w:eastAsia="仿宋" w:cs="仿宋"/>
                <w:sz w:val="24"/>
                <w:szCs w:val="24"/>
              </w:rPr>
            </w:pPr>
            <w:r>
              <w:rPr>
                <w:rFonts w:hint="eastAsia" w:ascii="仿宋" w:hAnsi="仿宋" w:eastAsia="仿宋" w:cs="仿宋"/>
                <w:sz w:val="24"/>
                <w:szCs w:val="24"/>
              </w:rPr>
              <w:t>/</w:t>
            </w:r>
          </w:p>
        </w:tc>
        <w:tc>
          <w:tcPr>
            <w:tcW w:w="1344" w:type="dxa"/>
          </w:tcPr>
          <w:p w14:paraId="7BE4F8C9">
            <w:pPr>
              <w:jc w:val="center"/>
              <w:rPr>
                <w:rFonts w:ascii="仿宋" w:hAnsi="仿宋" w:eastAsia="仿宋" w:cs="仿宋"/>
                <w:sz w:val="24"/>
                <w:szCs w:val="24"/>
              </w:rPr>
            </w:pPr>
          </w:p>
        </w:tc>
        <w:tc>
          <w:tcPr>
            <w:tcW w:w="1344" w:type="dxa"/>
          </w:tcPr>
          <w:p w14:paraId="4C57906D">
            <w:pPr>
              <w:jc w:val="center"/>
              <w:rPr>
                <w:rFonts w:ascii="仿宋" w:hAnsi="仿宋" w:eastAsia="仿宋" w:cs="仿宋"/>
                <w:sz w:val="24"/>
                <w:szCs w:val="24"/>
              </w:rPr>
            </w:pPr>
          </w:p>
        </w:tc>
      </w:tr>
      <w:tr w14:paraId="3212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4969B8C">
            <w:pPr>
              <w:pStyle w:val="23"/>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10</w:t>
            </w:r>
          </w:p>
        </w:tc>
        <w:tc>
          <w:tcPr>
            <w:tcW w:w="1695" w:type="dxa"/>
            <w:vAlign w:val="center"/>
          </w:tcPr>
          <w:p w14:paraId="18DB41FA">
            <w:pPr>
              <w:jc w:val="center"/>
              <w:rPr>
                <w:rFonts w:ascii="仿宋" w:hAnsi="仿宋" w:eastAsia="仿宋" w:cs="仿宋"/>
                <w:sz w:val="24"/>
                <w:szCs w:val="24"/>
              </w:rPr>
            </w:pPr>
            <w:r>
              <w:rPr>
                <w:rFonts w:hint="eastAsia" w:ascii="仿宋" w:hAnsi="仿宋" w:eastAsia="仿宋" w:cs="仿宋"/>
                <w:sz w:val="24"/>
                <w:szCs w:val="24"/>
              </w:rPr>
              <w:t>其他费用</w:t>
            </w:r>
          </w:p>
        </w:tc>
        <w:tc>
          <w:tcPr>
            <w:tcW w:w="3404" w:type="dxa"/>
          </w:tcPr>
          <w:p w14:paraId="6C52F12E">
            <w:pPr>
              <w:jc w:val="center"/>
              <w:rPr>
                <w:rFonts w:ascii="仿宋" w:hAnsi="仿宋" w:eastAsia="仿宋" w:cs="仿宋"/>
                <w:sz w:val="24"/>
                <w:szCs w:val="24"/>
              </w:rPr>
            </w:pPr>
          </w:p>
        </w:tc>
        <w:tc>
          <w:tcPr>
            <w:tcW w:w="1344" w:type="dxa"/>
            <w:vAlign w:val="center"/>
          </w:tcPr>
          <w:p w14:paraId="2C146137">
            <w:pPr>
              <w:jc w:val="center"/>
              <w:rPr>
                <w:rFonts w:ascii="仿宋" w:hAnsi="仿宋" w:eastAsia="仿宋" w:cs="仿宋"/>
                <w:sz w:val="24"/>
                <w:szCs w:val="24"/>
              </w:rPr>
            </w:pPr>
            <w:r>
              <w:rPr>
                <w:rFonts w:hint="eastAsia" w:ascii="仿宋" w:hAnsi="仿宋" w:eastAsia="仿宋" w:cs="仿宋"/>
                <w:sz w:val="24"/>
                <w:szCs w:val="24"/>
              </w:rPr>
              <w:t>/</w:t>
            </w:r>
          </w:p>
        </w:tc>
        <w:tc>
          <w:tcPr>
            <w:tcW w:w="1344" w:type="dxa"/>
          </w:tcPr>
          <w:p w14:paraId="6B0DE731">
            <w:pPr>
              <w:jc w:val="center"/>
              <w:rPr>
                <w:rFonts w:ascii="仿宋" w:hAnsi="仿宋" w:eastAsia="仿宋" w:cs="仿宋"/>
                <w:sz w:val="24"/>
                <w:szCs w:val="24"/>
              </w:rPr>
            </w:pPr>
          </w:p>
        </w:tc>
        <w:tc>
          <w:tcPr>
            <w:tcW w:w="1344" w:type="dxa"/>
          </w:tcPr>
          <w:p w14:paraId="44AC8997">
            <w:pPr>
              <w:jc w:val="center"/>
              <w:rPr>
                <w:rFonts w:ascii="仿宋" w:hAnsi="仿宋" w:eastAsia="仿宋" w:cs="仿宋"/>
                <w:sz w:val="24"/>
                <w:szCs w:val="24"/>
              </w:rPr>
            </w:pPr>
          </w:p>
        </w:tc>
      </w:tr>
      <w:tr w14:paraId="4797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86FE8CA">
            <w:pPr>
              <w:pStyle w:val="23"/>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11</w:t>
            </w:r>
          </w:p>
        </w:tc>
        <w:tc>
          <w:tcPr>
            <w:tcW w:w="1695" w:type="dxa"/>
            <w:vAlign w:val="center"/>
          </w:tcPr>
          <w:p w14:paraId="5187B8FE">
            <w:pPr>
              <w:jc w:val="center"/>
              <w:rPr>
                <w:rFonts w:ascii="仿宋" w:hAnsi="仿宋" w:eastAsia="仿宋" w:cs="仿宋"/>
                <w:sz w:val="24"/>
                <w:szCs w:val="24"/>
              </w:rPr>
            </w:pPr>
            <w:r>
              <w:rPr>
                <w:rFonts w:hint="eastAsia" w:ascii="仿宋" w:hAnsi="仿宋" w:eastAsia="仿宋" w:cs="仿宋"/>
                <w:sz w:val="24"/>
                <w:szCs w:val="24"/>
              </w:rPr>
              <w:t>……</w:t>
            </w:r>
          </w:p>
        </w:tc>
        <w:tc>
          <w:tcPr>
            <w:tcW w:w="3404" w:type="dxa"/>
          </w:tcPr>
          <w:p w14:paraId="5157F310">
            <w:pPr>
              <w:jc w:val="center"/>
              <w:rPr>
                <w:rFonts w:ascii="仿宋" w:hAnsi="仿宋" w:eastAsia="仿宋" w:cs="仿宋"/>
                <w:sz w:val="24"/>
                <w:szCs w:val="24"/>
              </w:rPr>
            </w:pPr>
          </w:p>
        </w:tc>
        <w:tc>
          <w:tcPr>
            <w:tcW w:w="1344" w:type="dxa"/>
            <w:vAlign w:val="center"/>
          </w:tcPr>
          <w:p w14:paraId="28FBFF86">
            <w:pPr>
              <w:jc w:val="center"/>
              <w:rPr>
                <w:rFonts w:ascii="仿宋" w:hAnsi="仿宋" w:eastAsia="仿宋" w:cs="仿宋"/>
                <w:sz w:val="24"/>
                <w:szCs w:val="24"/>
              </w:rPr>
            </w:pPr>
            <w:r>
              <w:rPr>
                <w:rFonts w:hint="eastAsia" w:ascii="仿宋" w:hAnsi="仿宋" w:eastAsia="仿宋" w:cs="仿宋"/>
                <w:sz w:val="24"/>
                <w:szCs w:val="24"/>
              </w:rPr>
              <w:t>/</w:t>
            </w:r>
          </w:p>
        </w:tc>
        <w:tc>
          <w:tcPr>
            <w:tcW w:w="1344" w:type="dxa"/>
          </w:tcPr>
          <w:p w14:paraId="11A0C361">
            <w:pPr>
              <w:jc w:val="center"/>
              <w:rPr>
                <w:rFonts w:ascii="仿宋" w:hAnsi="仿宋" w:eastAsia="仿宋" w:cs="仿宋"/>
                <w:sz w:val="24"/>
                <w:szCs w:val="24"/>
              </w:rPr>
            </w:pPr>
          </w:p>
        </w:tc>
        <w:tc>
          <w:tcPr>
            <w:tcW w:w="1344" w:type="dxa"/>
          </w:tcPr>
          <w:p w14:paraId="7F63FAD4">
            <w:pPr>
              <w:jc w:val="center"/>
              <w:rPr>
                <w:rFonts w:ascii="仿宋" w:hAnsi="仿宋" w:eastAsia="仿宋" w:cs="仿宋"/>
                <w:sz w:val="24"/>
                <w:szCs w:val="24"/>
              </w:rPr>
            </w:pPr>
          </w:p>
        </w:tc>
      </w:tr>
      <w:tr w14:paraId="44FB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A56E375">
            <w:pPr>
              <w:pStyle w:val="23"/>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12</w:t>
            </w:r>
          </w:p>
        </w:tc>
        <w:tc>
          <w:tcPr>
            <w:tcW w:w="1695" w:type="dxa"/>
            <w:vAlign w:val="center"/>
          </w:tcPr>
          <w:p w14:paraId="2EDEDAC5">
            <w:pPr>
              <w:jc w:val="center"/>
              <w:rPr>
                <w:rFonts w:ascii="仿宋" w:hAnsi="仿宋" w:eastAsia="仿宋" w:cs="仿宋"/>
                <w:sz w:val="24"/>
                <w:szCs w:val="24"/>
              </w:rPr>
            </w:pPr>
            <w:r>
              <w:rPr>
                <w:rFonts w:hint="eastAsia" w:ascii="仿宋" w:hAnsi="仿宋" w:eastAsia="仿宋" w:cs="仿宋"/>
                <w:sz w:val="24"/>
                <w:szCs w:val="24"/>
              </w:rPr>
              <w:t>总计</w:t>
            </w:r>
          </w:p>
        </w:tc>
        <w:tc>
          <w:tcPr>
            <w:tcW w:w="7436" w:type="dxa"/>
            <w:gridSpan w:val="4"/>
          </w:tcPr>
          <w:p w14:paraId="58ED7D4A">
            <w:pPr>
              <w:rPr>
                <w:rFonts w:ascii="仿宋" w:hAnsi="仿宋" w:eastAsia="仿宋" w:cs="仿宋"/>
                <w:sz w:val="24"/>
                <w:szCs w:val="24"/>
              </w:rPr>
            </w:pPr>
          </w:p>
        </w:tc>
      </w:tr>
    </w:tbl>
    <w:p w14:paraId="28345EB6">
      <w:pPr>
        <w:snapToGrid w:val="0"/>
        <w:spacing w:line="312" w:lineRule="auto"/>
        <w:ind w:firstLine="480" w:firstLineChars="200"/>
        <w:rPr>
          <w:rFonts w:ascii="仿宋" w:hAnsi="仿宋" w:eastAsia="仿宋" w:cs="仿宋"/>
          <w:sz w:val="24"/>
          <w:szCs w:val="24"/>
        </w:rPr>
      </w:pPr>
    </w:p>
    <w:p w14:paraId="627285F2">
      <w:pPr>
        <w:snapToGrid w:val="0"/>
        <w:spacing w:line="312" w:lineRule="auto"/>
        <w:ind w:firstLine="480" w:firstLineChars="200"/>
        <w:rPr>
          <w:rFonts w:ascii="仿宋" w:hAnsi="仿宋" w:eastAsia="仿宋" w:cs="仿宋"/>
          <w:sz w:val="24"/>
          <w:szCs w:val="24"/>
        </w:rPr>
      </w:pPr>
    </w:p>
    <w:p w14:paraId="1C7E807A">
      <w:pPr>
        <w:snapToGrid w:val="0"/>
        <w:spacing w:line="312" w:lineRule="auto"/>
        <w:rPr>
          <w:rFonts w:ascii="仿宋" w:hAnsi="仿宋" w:eastAsia="仿宋" w:cs="仿宋"/>
          <w:sz w:val="24"/>
          <w:szCs w:val="24"/>
        </w:rPr>
      </w:pPr>
      <w:r>
        <w:rPr>
          <w:rFonts w:hint="eastAsia" w:ascii="仿宋" w:hAnsi="仿宋" w:eastAsia="仿宋" w:cs="仿宋"/>
          <w:sz w:val="24"/>
          <w:szCs w:val="24"/>
        </w:rPr>
        <w:t>注：本表可根据项目实际情况调整，并逐页盖章。</w:t>
      </w:r>
    </w:p>
    <w:p w14:paraId="1FAC5FF0">
      <w:pPr>
        <w:pStyle w:val="37"/>
        <w:spacing w:line="312" w:lineRule="auto"/>
        <w:ind w:firstLine="480"/>
        <w:rPr>
          <w:rFonts w:ascii="仿宋" w:hAnsi="仿宋" w:eastAsia="仿宋" w:cs="仿宋"/>
          <w:sz w:val="24"/>
          <w:szCs w:val="24"/>
        </w:rPr>
      </w:pPr>
    </w:p>
    <w:p w14:paraId="73039E91">
      <w:pPr>
        <w:rPr>
          <w:rFonts w:ascii="方正仿宋_GBK" w:hAnsi="宋体" w:eastAsia="方正仿宋_GBK" w:cs="方正仿宋_GBK"/>
          <w:sz w:val="32"/>
          <w:szCs w:val="32"/>
        </w:rPr>
      </w:pPr>
    </w:p>
    <w:p w14:paraId="5AC6F69B">
      <w:pPr>
        <w:ind w:firstLine="5440" w:firstLineChars="1700"/>
        <w:rPr>
          <w:rFonts w:ascii="Times New Roman" w:hAnsi="Times New Roman"/>
          <w:sz w:val="32"/>
          <w:szCs w:val="32"/>
        </w:rPr>
      </w:pPr>
      <w:r>
        <w:rPr>
          <w:rFonts w:hint="eastAsia" w:ascii="方正仿宋_GBK" w:hAnsi="方正仿宋_GBK" w:eastAsia="方正仿宋_GBK" w:cs="方正仿宋_GBK"/>
          <w:sz w:val="32"/>
          <w:szCs w:val="32"/>
        </w:rPr>
        <w:t>供应商名称（公章）：</w:t>
      </w:r>
    </w:p>
    <w:p w14:paraId="1B2FE332">
      <w:pP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 xml:space="preserve">     年</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月</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日</w:t>
      </w:r>
    </w:p>
    <w:p w14:paraId="0988F458">
      <w:pPr>
        <w:rPr>
          <w:rFonts w:ascii="方正仿宋_GBK" w:hAnsi="方正仿宋_GBK" w:eastAsia="方正仿宋_GBK" w:cs="Arial"/>
        </w:rPr>
      </w:pPr>
      <w:r>
        <w:br w:type="page"/>
      </w:r>
    </w:p>
    <w:p w14:paraId="1426C633">
      <w:pPr>
        <w:rPr>
          <w:rFonts w:ascii="宋体" w:hAnsi="宋体" w:cs="宋体"/>
          <w:b/>
          <w:bCs/>
          <w:color w:val="FF0000"/>
          <w:sz w:val="24"/>
          <w:szCs w:val="24"/>
        </w:rPr>
      </w:pPr>
      <w:r>
        <w:rPr>
          <w:rFonts w:hint="eastAsia" w:ascii="黑体" w:hAnsi="黑体" w:eastAsia="黑体" w:cs="黑体"/>
          <w:b/>
          <w:sz w:val="32"/>
          <w:szCs w:val="32"/>
        </w:rPr>
        <w:t>二、法定代表人身份证明书（格式）、法定代表人授权委托书（格式）</w:t>
      </w:r>
    </w:p>
    <w:p w14:paraId="74446900">
      <w:pPr>
        <w:rPr>
          <w:rFonts w:ascii="宋体" w:hAnsi="宋体" w:cs="宋体"/>
          <w:b/>
          <w:bCs/>
          <w:sz w:val="24"/>
          <w:szCs w:val="24"/>
        </w:rPr>
      </w:pPr>
    </w:p>
    <w:p w14:paraId="4B469766">
      <w:pPr>
        <w:ind w:firstLine="2891" w:firstLineChars="900"/>
        <w:rPr>
          <w:rFonts w:ascii="黑体" w:hAnsi="黑体" w:eastAsia="黑体" w:cs="黑体"/>
          <w:b/>
          <w:bCs/>
          <w:sz w:val="32"/>
          <w:szCs w:val="32"/>
        </w:rPr>
      </w:pPr>
      <w:r>
        <w:rPr>
          <w:rFonts w:hint="eastAsia" w:ascii="黑体" w:hAnsi="黑体" w:eastAsia="黑体" w:cs="黑体"/>
          <w:b/>
          <w:bCs/>
          <w:sz w:val="32"/>
          <w:szCs w:val="32"/>
        </w:rPr>
        <w:t>法定代表人身份证明书</w:t>
      </w:r>
    </w:p>
    <w:p w14:paraId="7A2CEA79">
      <w:pPr>
        <w:rPr>
          <w:rFonts w:ascii="仿宋_GB2312" w:hAnsi="仿宋_GB2312" w:eastAsia="仿宋_GB2312" w:cs="仿宋_GB2312"/>
          <w:sz w:val="32"/>
          <w:szCs w:val="32"/>
          <w:u w:val="single"/>
        </w:rPr>
      </w:pPr>
    </w:p>
    <w:p w14:paraId="578D851E">
      <w:pP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1136CCF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（法定代表人名称及身份证代码）是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代表我单位全权办理上述项目的竞采报价、签约等具体工作，并签署全部有关文件、协议及合同。签字负全部责任。</w:t>
      </w:r>
    </w:p>
    <w:p w14:paraId="2C59754C">
      <w:pPr>
        <w:rPr>
          <w:rFonts w:ascii="仿宋_GB2312" w:hAnsi="仿宋_GB2312" w:eastAsia="仿宋_GB2312" w:cs="仿宋_GB2312"/>
          <w:sz w:val="32"/>
          <w:szCs w:val="32"/>
        </w:rPr>
      </w:pPr>
    </w:p>
    <w:p w14:paraId="59DF36C9">
      <w:pP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法定代表人（签字或盖章）：                          </w:t>
      </w:r>
    </w:p>
    <w:p w14:paraId="617B9422">
      <w:pP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供应商名称（公章）</w:t>
      </w:r>
    </w:p>
    <w:p w14:paraId="7A220051">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年   月   日</w:t>
      </w:r>
    </w:p>
    <w:p w14:paraId="32D3A635"/>
    <w:p w14:paraId="1D94DB80">
      <w:pPr>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（附：法定代表人身份证正反面复印件）</w:t>
      </w:r>
    </w:p>
    <w:p w14:paraId="6AF200DC"/>
    <w:p w14:paraId="36E56D47">
      <w:pPr>
        <w:rPr>
          <w:rFonts w:ascii="宋体" w:hAnsi="宋体" w:cs="宋体"/>
          <w:sz w:val="24"/>
          <w:szCs w:val="24"/>
        </w:rPr>
      </w:pPr>
      <w:r>
        <w:rPr>
          <w:rFonts w:ascii="宋体" w:hAnsi="宋体" w:cs="宋体"/>
          <w:sz w:val="24"/>
          <w:szCs w:val="24"/>
        </w:rPr>
        <w:br w:type="page"/>
      </w:r>
    </w:p>
    <w:p w14:paraId="2B9C67DB"/>
    <w:p w14:paraId="14BAC4BC">
      <w:pPr>
        <w:ind w:firstLine="2891" w:firstLineChars="900"/>
        <w:rPr>
          <w:rFonts w:ascii="黑体" w:hAnsi="黑体" w:eastAsia="黑体" w:cs="黑体"/>
          <w:b/>
          <w:bCs/>
          <w:sz w:val="32"/>
          <w:szCs w:val="32"/>
        </w:rPr>
      </w:pPr>
      <w:r>
        <w:rPr>
          <w:rFonts w:hint="eastAsia" w:ascii="黑体" w:hAnsi="黑体" w:eastAsia="黑体" w:cs="黑体"/>
          <w:b/>
          <w:bCs/>
          <w:sz w:val="32"/>
          <w:szCs w:val="32"/>
        </w:rPr>
        <w:t>法定代表人授权委托书</w:t>
      </w:r>
    </w:p>
    <w:p w14:paraId="19992BAE">
      <w:pPr>
        <w:rPr>
          <w:rFonts w:ascii="仿宋_GB2312" w:hAnsi="仿宋_GB2312" w:eastAsia="仿宋_GB2312" w:cs="仿宋_GB2312"/>
          <w:sz w:val="32"/>
          <w:szCs w:val="32"/>
          <w:u w:val="single"/>
        </w:rPr>
      </w:pPr>
    </w:p>
    <w:p w14:paraId="1C9C1FE4">
      <w:pP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03FDE85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的法定代表人，特授权</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（被授权人姓名及身份证代码）电话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w:t>
      </w:r>
    </w:p>
    <w:p w14:paraId="66EFAA5C">
      <w:pPr>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我单位对被授权人的签字负全部责任。</w:t>
      </w:r>
    </w:p>
    <w:p w14:paraId="2123B0E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在撤消授权</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书面通知以前，本授权书一直有效。被授权人在授权书有效期内签署的所有文件不因授权的撤消而失效。</w:t>
      </w:r>
    </w:p>
    <w:p w14:paraId="50AF281D">
      <w:pPr>
        <w:rPr>
          <w:rFonts w:ascii="仿宋_GB2312" w:hAnsi="仿宋_GB2312" w:eastAsia="仿宋_GB2312" w:cs="仿宋_GB2312"/>
          <w:sz w:val="32"/>
          <w:szCs w:val="32"/>
        </w:rPr>
      </w:pPr>
    </w:p>
    <w:p w14:paraId="544FD72A">
      <w:pPr>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                          法定代表人：</w:t>
      </w:r>
    </w:p>
    <w:p w14:paraId="58A17006">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（签字或盖章）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（签字或盖章）</w:t>
      </w:r>
    </w:p>
    <w:p w14:paraId="5B04F883">
      <w:pPr>
        <w:rPr>
          <w:rFonts w:ascii="仿宋_GB2312" w:hAnsi="仿宋_GB2312" w:eastAsia="仿宋_GB2312" w:cs="仿宋_GB2312"/>
          <w:sz w:val="32"/>
          <w:szCs w:val="32"/>
        </w:rPr>
      </w:pPr>
    </w:p>
    <w:p w14:paraId="18C32D92">
      <w:pPr>
        <w:rPr>
          <w:rFonts w:ascii="仿宋_GB2312" w:hAnsi="仿宋_GB2312" w:eastAsia="仿宋_GB2312" w:cs="仿宋_GB2312"/>
          <w:sz w:val="32"/>
          <w:szCs w:val="32"/>
        </w:rPr>
      </w:pPr>
      <w:r>
        <w:rPr>
          <w:rFonts w:hint="eastAsia" w:ascii="仿宋_GB2312" w:hAnsi="仿宋_GB2312" w:eastAsia="仿宋_GB2312" w:cs="仿宋_GB2312"/>
          <w:sz w:val="32"/>
          <w:szCs w:val="32"/>
        </w:rPr>
        <w:t>（附：被授权人、法定代表人身份证正反面复印件）</w:t>
      </w:r>
    </w:p>
    <w:p w14:paraId="650C876F">
      <w:pPr>
        <w:rPr>
          <w:rFonts w:ascii="仿宋_GB2312" w:hAnsi="仿宋_GB2312" w:eastAsia="仿宋_GB2312" w:cs="仿宋_GB2312"/>
          <w:sz w:val="32"/>
          <w:szCs w:val="32"/>
        </w:rPr>
      </w:pPr>
    </w:p>
    <w:p w14:paraId="7DFF4C17">
      <w:pP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12C223CD">
      <w:pP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1F42F704">
      <w:r>
        <w:br w:type="page"/>
      </w:r>
    </w:p>
    <w:p w14:paraId="677FAB4F">
      <w:pPr>
        <w:rPr>
          <w:rFonts w:ascii="黑体" w:hAnsi="黑体" w:eastAsia="黑体" w:cs="黑体"/>
          <w:b/>
          <w:sz w:val="32"/>
          <w:szCs w:val="32"/>
        </w:rPr>
      </w:pPr>
      <w:r>
        <w:rPr>
          <w:rFonts w:hint="eastAsia" w:ascii="黑体" w:hAnsi="黑体" w:eastAsia="黑体" w:cs="黑体"/>
          <w:b/>
          <w:sz w:val="32"/>
          <w:szCs w:val="32"/>
          <w:lang w:eastAsia="zh-Hans"/>
        </w:rPr>
        <w:t>三</w:t>
      </w:r>
      <w:r>
        <w:rPr>
          <w:rFonts w:ascii="黑体" w:hAnsi="黑体" w:eastAsia="黑体" w:cs="黑体"/>
          <w:b/>
          <w:sz w:val="32"/>
          <w:szCs w:val="32"/>
          <w:lang w:eastAsia="zh-Hans"/>
        </w:rPr>
        <w:t>、</w:t>
      </w:r>
      <w:r>
        <w:rPr>
          <w:rFonts w:hint="eastAsia" w:ascii="黑体" w:hAnsi="黑体" w:eastAsia="黑体" w:cs="黑体"/>
          <w:b/>
          <w:sz w:val="32"/>
          <w:szCs w:val="32"/>
        </w:rPr>
        <w:t>基本资格条件承诺函</w:t>
      </w:r>
    </w:p>
    <w:p w14:paraId="6F1425ED"/>
    <w:p w14:paraId="2782DEA9">
      <w:pPr>
        <w:ind w:firstLine="2891" w:firstLineChars="900"/>
        <w:rPr>
          <w:rFonts w:ascii="黑体" w:hAnsi="黑体" w:eastAsia="黑体" w:cs="黑体"/>
          <w:b/>
          <w:sz w:val="32"/>
          <w:szCs w:val="32"/>
        </w:rPr>
      </w:pPr>
      <w:r>
        <w:rPr>
          <w:rFonts w:hint="eastAsia" w:ascii="黑体" w:hAnsi="黑体" w:eastAsia="黑体" w:cs="黑体"/>
          <w:b/>
          <w:sz w:val="32"/>
          <w:szCs w:val="32"/>
        </w:rPr>
        <w:t>基本资格条件承诺函</w:t>
      </w:r>
    </w:p>
    <w:p w14:paraId="711F8A10">
      <w:pPr>
        <w:rPr>
          <w:rFonts w:ascii="方正仿宋_GBK" w:hAnsi="宋体" w:eastAsia="方正仿宋_GBK" w:cs="方正仿宋_GBK"/>
          <w:b/>
          <w:sz w:val="24"/>
          <w:szCs w:val="24"/>
        </w:rPr>
      </w:pPr>
      <w:r>
        <w:rPr>
          <w:rFonts w:ascii="方正仿宋_GBK" w:hAnsi="宋体" w:eastAsia="方正仿宋_GBK" w:cs="方正仿宋_GBK"/>
          <w:b/>
          <w:sz w:val="24"/>
          <w:szCs w:val="24"/>
        </w:rPr>
        <w:t xml:space="preserve"> </w:t>
      </w:r>
    </w:p>
    <w:p w14:paraId="2C4D09B3">
      <w:pPr>
        <w:rPr>
          <w:rFonts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22EFC191">
      <w:pPr>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（供应商名称）郑重承诺：</w:t>
      </w:r>
    </w:p>
    <w:p w14:paraId="3D4590B0">
      <w:pPr>
        <w:rPr>
          <w:rFonts w:ascii="仿宋_GB2312" w:hAnsi="仿宋_GB2312" w:eastAsia="仿宋_GB2312" w:cs="仿宋_GB2312"/>
          <w:sz w:val="32"/>
          <w:szCs w:val="32"/>
        </w:rPr>
      </w:pPr>
      <w:r>
        <w:rPr>
          <w:rFonts w:hint="eastAsia" w:ascii="仿宋_GB2312" w:hAnsi="仿宋_GB2312" w:eastAsia="仿宋_GB2312" w:cs="仿宋_GB2312"/>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67B1A23E">
      <w:pPr>
        <w:rPr>
          <w:rFonts w:ascii="仿宋_GB2312" w:hAnsi="仿宋_GB2312" w:eastAsia="仿宋_GB2312" w:cs="仿宋_GB2312"/>
          <w:sz w:val="32"/>
          <w:szCs w:val="32"/>
        </w:rPr>
      </w:pPr>
      <w:r>
        <w:rPr>
          <w:rFonts w:hint="eastAsia" w:ascii="仿宋_GB2312" w:hAnsi="仿宋_GB2312" w:eastAsia="仿宋_GB2312" w:cs="仿宋_GB2312"/>
          <w:sz w:val="32"/>
          <w:szCs w:val="32"/>
        </w:rPr>
        <w:t>2.我方未列入在信用中国网站（www.creditchina.gov.cn）“失信被执行人”、“重大税收违法案件当事人名单”中，也未列入中国政府采购网（www.ccgp.gov.cn）“政府采购严重违法失信行为记录名单”中。</w:t>
      </w:r>
    </w:p>
    <w:p w14:paraId="0961D653">
      <w:pPr>
        <w:rPr>
          <w:rFonts w:ascii="仿宋_GB2312" w:hAnsi="仿宋_GB2312" w:eastAsia="仿宋_GB2312" w:cs="仿宋_GB2312"/>
          <w:sz w:val="32"/>
          <w:szCs w:val="32"/>
        </w:rPr>
      </w:pPr>
      <w:r>
        <w:rPr>
          <w:rFonts w:hint="eastAsia" w:ascii="仿宋_GB2312" w:hAnsi="仿宋_GB2312" w:eastAsia="仿宋_GB2312" w:cs="仿宋_GB2312"/>
          <w:sz w:val="32"/>
          <w:szCs w:val="32"/>
        </w:rPr>
        <w:t>3.我方在项目评审环节结束后，随时接受采购人检查验证，配合提供相关证明材料，证明符合《中华人民共和国政府采购法》第二十二条规定的供应商基本资格条件。</w:t>
      </w:r>
    </w:p>
    <w:p w14:paraId="0D60019E">
      <w:pPr>
        <w:rPr>
          <w:rFonts w:ascii="仿宋_GB2312" w:hAnsi="仿宋_GB2312" w:eastAsia="仿宋_GB2312" w:cs="仿宋_GB2312"/>
          <w:sz w:val="32"/>
          <w:szCs w:val="32"/>
        </w:rPr>
      </w:pPr>
      <w:r>
        <w:rPr>
          <w:rFonts w:hint="eastAsia" w:ascii="仿宋_GB2312" w:hAnsi="仿宋_GB2312" w:eastAsia="仿宋_GB2312" w:cs="仿宋_GB2312"/>
          <w:sz w:val="32"/>
          <w:szCs w:val="32"/>
        </w:rPr>
        <w:t>我方对以上承诺负全部法律责任。</w:t>
      </w:r>
    </w:p>
    <w:p w14:paraId="2C92C969">
      <w:pPr>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14:paraId="477DA190"/>
    <w:p w14:paraId="5DAF66C8">
      <w:pP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55B809B2">
      <w:pP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43AD72E0">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33CD4D37">
      <w:pPr>
        <w:rPr>
          <w:rFonts w:ascii="黑体" w:hAnsi="黑体" w:eastAsia="黑体" w:cs="黑体"/>
          <w:b/>
          <w:sz w:val="32"/>
          <w:szCs w:val="32"/>
        </w:rPr>
      </w:pPr>
      <w:r>
        <w:rPr>
          <w:rFonts w:hint="eastAsia" w:ascii="黑体" w:hAnsi="黑体" w:eastAsia="黑体" w:cs="黑体"/>
          <w:b/>
          <w:sz w:val="32"/>
          <w:szCs w:val="32"/>
        </w:rPr>
        <w:t>四、特定资格条件证书或证明文件</w:t>
      </w:r>
    </w:p>
    <w:p w14:paraId="25EF29B7"/>
    <w:p w14:paraId="309AAD0D">
      <w:pPr>
        <w:rPr>
          <w:rFonts w:ascii="宋体" w:hAnsi="宋体" w:cs="宋体"/>
          <w:sz w:val="24"/>
          <w:szCs w:val="24"/>
        </w:rPr>
      </w:pPr>
    </w:p>
    <w:p w14:paraId="30B5844A"/>
    <w:p w14:paraId="4484B324"/>
    <w:p w14:paraId="390A0BEF"/>
    <w:p w14:paraId="2669CC28"/>
    <w:p w14:paraId="2870A6E2"/>
    <w:p w14:paraId="6692CC0B"/>
    <w:p w14:paraId="7D9DD59C"/>
    <w:p w14:paraId="068336E1"/>
    <w:p w14:paraId="7287A497"/>
    <w:p w14:paraId="28AE1341"/>
    <w:p w14:paraId="4E267C4D"/>
    <w:p w14:paraId="0EBB7065"/>
    <w:p w14:paraId="40FFADCA">
      <w:pPr>
        <w:rPr>
          <w:rFonts w:ascii="宋体" w:hAnsi="宋体" w:cs="宋体"/>
          <w:sz w:val="24"/>
          <w:szCs w:val="24"/>
        </w:rPr>
      </w:pPr>
      <w:r>
        <w:rPr>
          <w:rFonts w:ascii="宋体" w:hAnsi="宋体" w:cs="宋体"/>
          <w:sz w:val="24"/>
          <w:szCs w:val="24"/>
        </w:rPr>
        <w:t>---------------------------------------------------------------------</w:t>
      </w:r>
    </w:p>
    <w:p w14:paraId="51D8C04F">
      <w:pPr>
        <w:rPr>
          <w:rFonts w:ascii="宋体" w:hAnsi="宋体" w:cs="宋体"/>
          <w:sz w:val="24"/>
          <w:szCs w:val="24"/>
        </w:rPr>
      </w:pPr>
    </w:p>
    <w:p w14:paraId="5AE97F04">
      <w:pPr>
        <w:rPr>
          <w:rFonts w:ascii="宋体" w:hAnsi="宋体" w:cs="宋体"/>
          <w:sz w:val="24"/>
          <w:szCs w:val="24"/>
        </w:rPr>
      </w:pPr>
    </w:p>
    <w:p w14:paraId="02A2AA8D">
      <w:pPr>
        <w:rPr>
          <w:rFonts w:ascii="仿宋_GB2312" w:hAnsi="仿宋_GB2312" w:eastAsia="仿宋_GB2312" w:cs="仿宋_GB2312"/>
          <w:sz w:val="32"/>
          <w:szCs w:val="32"/>
        </w:rPr>
      </w:pPr>
    </w:p>
    <w:p w14:paraId="45E8880C">
      <w:pPr>
        <w:rPr>
          <w:rFonts w:ascii="仿宋_GB2312" w:hAnsi="仿宋_GB2312" w:eastAsia="仿宋_GB2312" w:cs="仿宋_GB2312"/>
          <w:sz w:val="32"/>
          <w:szCs w:val="32"/>
        </w:rPr>
      </w:pPr>
    </w:p>
    <w:p w14:paraId="40C02887">
      <w:pPr>
        <w:rPr>
          <w:rFonts w:ascii="仿宋_GB2312" w:hAnsi="仿宋_GB2312" w:eastAsia="仿宋_GB2312" w:cs="仿宋_GB2312"/>
          <w:sz w:val="32"/>
          <w:szCs w:val="32"/>
        </w:rPr>
      </w:pPr>
    </w:p>
    <w:p w14:paraId="0731F2DC">
      <w:pPr>
        <w:rPr>
          <w:rFonts w:ascii="仿宋_GB2312" w:hAnsi="仿宋_GB2312" w:eastAsia="仿宋_GB2312" w:cs="仿宋_GB2312"/>
          <w:sz w:val="32"/>
          <w:szCs w:val="32"/>
        </w:rPr>
      </w:pPr>
    </w:p>
    <w:p w14:paraId="4805B50B">
      <w:pPr>
        <w:rPr>
          <w:rFonts w:ascii="仿宋_GB2312" w:hAnsi="仿宋_GB2312" w:eastAsia="仿宋_GB2312" w:cs="仿宋_GB2312"/>
          <w:sz w:val="32"/>
          <w:szCs w:val="32"/>
        </w:rPr>
      </w:pPr>
    </w:p>
    <w:p w14:paraId="389D2835">
      <w:pPr>
        <w:rPr>
          <w:rFonts w:ascii="仿宋_GB2312" w:hAnsi="仿宋_GB2312" w:eastAsia="仿宋_GB2312" w:cs="仿宋_GB2312"/>
          <w:sz w:val="32"/>
          <w:szCs w:val="32"/>
        </w:rPr>
      </w:pPr>
    </w:p>
    <w:p w14:paraId="0265FF80">
      <w:pPr>
        <w:rPr>
          <w:rFonts w:ascii="仿宋_GB2312" w:hAnsi="仿宋_GB2312" w:eastAsia="仿宋_GB2312" w:cs="仿宋_GB2312"/>
          <w:sz w:val="32"/>
          <w:szCs w:val="32"/>
        </w:rPr>
      </w:pPr>
    </w:p>
    <w:p w14:paraId="5685E69A">
      <w:pPr>
        <w:rPr>
          <w:rFonts w:ascii="仿宋_GB2312" w:hAnsi="仿宋_GB2312" w:eastAsia="仿宋_GB2312" w:cs="仿宋_GB2312"/>
          <w:sz w:val="32"/>
          <w:szCs w:val="32"/>
        </w:rPr>
      </w:pPr>
    </w:p>
    <w:p w14:paraId="1D772F3A">
      <w:pPr>
        <w:ind w:firstLine="3840" w:firstLineChars="1200"/>
        <w:rPr>
          <w:rFonts w:ascii="宋体" w:hAnsi="宋体" w:cs="宋体"/>
          <w:sz w:val="24"/>
          <w:szCs w:val="24"/>
        </w:rPr>
      </w:pPr>
      <w:r>
        <w:rPr>
          <w:rFonts w:hint="eastAsia" w:ascii="仿宋_GB2312" w:hAnsi="仿宋_GB2312" w:eastAsia="仿宋_GB2312" w:cs="仿宋_GB2312"/>
          <w:sz w:val="32"/>
          <w:szCs w:val="32"/>
        </w:rPr>
        <w:t>（结束）</w:t>
      </w:r>
    </w:p>
    <w:sectPr>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300000000000000"/>
    <w:charset w:val="88"/>
    <w:family w:val="auto"/>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宋体"/>
    <w:panose1 w:val="00000000000000000000"/>
    <w:charset w:val="86"/>
    <w:family w:val="modern"/>
    <w:pitch w:val="default"/>
    <w:sig w:usb0="00000000" w:usb1="00000000" w:usb2="00000010" w:usb3="00000000" w:csb0="00040000" w:csb1="00000000"/>
  </w:font>
  <w:font w:name="PingFang SC">
    <w:altName w:val="宋体"/>
    <w:panose1 w:val="00000000000000000000"/>
    <w:charset w:val="86"/>
    <w:family w:val="auto"/>
    <w:pitch w:val="default"/>
    <w:sig w:usb0="00000000" w:usb1="00000000" w:usb2="00000017"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C6F7E">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E4DDD">
                          <w:pPr>
                            <w:pStyle w:val="35"/>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MJr46C4CAABTBAAADgAAAAAAAAABACAAAAAgAQAAZHJzL2Uyb0RvYy54bWxQSwUGAAAA&#10;AAYABgBZAQAAwAUAAAAA&#10;">
              <v:fill on="f" focussize="0,0"/>
              <v:stroke on="f" weight="0.5pt"/>
              <v:imagedata o:title=""/>
              <o:lock v:ext="edit" aspectratio="f"/>
              <v:textbox inset="0mm,0mm,0mm,0mm" style="mso-fit-shape-to-text:t;">
                <w:txbxContent>
                  <w:p w14:paraId="3D0E4DDD">
                    <w:pPr>
                      <w:pStyle w:val="35"/>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A2F09">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237A90">
                          <w:pPr>
                            <w:pStyle w:val="35"/>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1uftNEAAAADAQAADwAAAAAAAAABACAAAAAiAAAAZHJzL2Rvd25yZXYueG1sUEsBAhQAFAAA&#10;AAgAh07iQIkCTj8vAgAAUwQAAA4AAAAAAAAAAQAgAAAAIAEAAGRycy9lMm9Eb2MueG1sUEsFBgAA&#10;AAAGAAYAWQEAAMEFAAAAAA==&#10;">
              <v:fill on="f" focussize="0,0"/>
              <v:stroke on="f" weight="0.5pt"/>
              <v:imagedata o:title=""/>
              <o:lock v:ext="edit" aspectratio="f"/>
              <v:textbox inset="0mm,0mm,0mm,0mm" style="mso-fit-shape-to-text:t;">
                <w:txbxContent>
                  <w:p w14:paraId="54237A90">
                    <w:pPr>
                      <w:pStyle w:val="35"/>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7">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9">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0">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01D2165"/>
    <w:multiLevelType w:val="singleLevel"/>
    <w:tmpl w:val="301D2165"/>
    <w:lvl w:ilvl="0" w:tentative="0">
      <w:start w:val="12"/>
      <w:numFmt w:val="chineseCounting"/>
      <w:suff w:val="nothing"/>
      <w:lvlText w:val="%1、"/>
      <w:lvlJc w:val="left"/>
      <w:rPr>
        <w:rFonts w:hint="eastAsia"/>
      </w:rPr>
    </w:lvl>
  </w:abstractNum>
  <w:num w:numId="1">
    <w:abstractNumId w:val="6"/>
  </w:num>
  <w:num w:numId="2">
    <w:abstractNumId w:val="3"/>
  </w:num>
  <w:num w:numId="3">
    <w:abstractNumId w:val="8"/>
  </w:num>
  <w:num w:numId="4">
    <w:abstractNumId w:val="5"/>
  </w:num>
  <w:num w:numId="5">
    <w:abstractNumId w:val="1"/>
  </w:num>
  <w:num w:numId="6">
    <w:abstractNumId w:val="7"/>
  </w:num>
  <w:num w:numId="7">
    <w:abstractNumId w:val="9"/>
  </w:num>
  <w:num w:numId="8">
    <w:abstractNumId w:val="2"/>
  </w:num>
  <w:num w:numId="9">
    <w:abstractNumId w:val="10"/>
  </w:num>
  <w:num w:numId="10">
    <w:abstractNumId w:val="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gutterAtTop/>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3MGU1YTY5YzEzMGE0OWQ2YWViYjYwNjEyZjlkZjgifQ=="/>
  </w:docVars>
  <w:rsids>
    <w:rsidRoot w:val="00172A27"/>
    <w:rsid w:val="0000128D"/>
    <w:rsid w:val="00001BE6"/>
    <w:rsid w:val="0001050B"/>
    <w:rsid w:val="000144C9"/>
    <w:rsid w:val="0002088C"/>
    <w:rsid w:val="00031BD6"/>
    <w:rsid w:val="00033CCB"/>
    <w:rsid w:val="00033DAB"/>
    <w:rsid w:val="000342CA"/>
    <w:rsid w:val="000370BC"/>
    <w:rsid w:val="000401A2"/>
    <w:rsid w:val="00042D13"/>
    <w:rsid w:val="00052049"/>
    <w:rsid w:val="00056A6E"/>
    <w:rsid w:val="000709B9"/>
    <w:rsid w:val="00077C51"/>
    <w:rsid w:val="000831AB"/>
    <w:rsid w:val="0008422C"/>
    <w:rsid w:val="00084C93"/>
    <w:rsid w:val="00090AF2"/>
    <w:rsid w:val="000A7CED"/>
    <w:rsid w:val="000B4CFC"/>
    <w:rsid w:val="000D5AC6"/>
    <w:rsid w:val="000E232C"/>
    <w:rsid w:val="000E3326"/>
    <w:rsid w:val="000F1833"/>
    <w:rsid w:val="0011647C"/>
    <w:rsid w:val="00116BB6"/>
    <w:rsid w:val="00117275"/>
    <w:rsid w:val="001173E3"/>
    <w:rsid w:val="00122234"/>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935DF"/>
    <w:rsid w:val="001A3E64"/>
    <w:rsid w:val="001E44D9"/>
    <w:rsid w:val="001E73E2"/>
    <w:rsid w:val="001F34F8"/>
    <w:rsid w:val="001F74AE"/>
    <w:rsid w:val="002122FC"/>
    <w:rsid w:val="0021327B"/>
    <w:rsid w:val="0021595A"/>
    <w:rsid w:val="00223B9B"/>
    <w:rsid w:val="0022457A"/>
    <w:rsid w:val="0022691C"/>
    <w:rsid w:val="00226A1A"/>
    <w:rsid w:val="00227B9B"/>
    <w:rsid w:val="002377DE"/>
    <w:rsid w:val="00247D62"/>
    <w:rsid w:val="002676F5"/>
    <w:rsid w:val="00297EC4"/>
    <w:rsid w:val="002B0676"/>
    <w:rsid w:val="002C7EDF"/>
    <w:rsid w:val="002F2847"/>
    <w:rsid w:val="002F5C86"/>
    <w:rsid w:val="00313FC6"/>
    <w:rsid w:val="00314FE1"/>
    <w:rsid w:val="00316DF3"/>
    <w:rsid w:val="00330491"/>
    <w:rsid w:val="003332D6"/>
    <w:rsid w:val="00333713"/>
    <w:rsid w:val="0033562A"/>
    <w:rsid w:val="003453EB"/>
    <w:rsid w:val="003609C0"/>
    <w:rsid w:val="00373616"/>
    <w:rsid w:val="00375908"/>
    <w:rsid w:val="00382DE2"/>
    <w:rsid w:val="003876E3"/>
    <w:rsid w:val="003878EB"/>
    <w:rsid w:val="003A0967"/>
    <w:rsid w:val="003A4687"/>
    <w:rsid w:val="003B48D3"/>
    <w:rsid w:val="003B645F"/>
    <w:rsid w:val="003D263C"/>
    <w:rsid w:val="003D7E49"/>
    <w:rsid w:val="003E69B4"/>
    <w:rsid w:val="003E7CAB"/>
    <w:rsid w:val="003F7078"/>
    <w:rsid w:val="003F75E7"/>
    <w:rsid w:val="00415960"/>
    <w:rsid w:val="00421287"/>
    <w:rsid w:val="00427B1F"/>
    <w:rsid w:val="0043243B"/>
    <w:rsid w:val="004359F4"/>
    <w:rsid w:val="00442270"/>
    <w:rsid w:val="0044680D"/>
    <w:rsid w:val="00460545"/>
    <w:rsid w:val="004916E8"/>
    <w:rsid w:val="00493794"/>
    <w:rsid w:val="0049400F"/>
    <w:rsid w:val="00495D1A"/>
    <w:rsid w:val="0049754E"/>
    <w:rsid w:val="004A1198"/>
    <w:rsid w:val="004A2061"/>
    <w:rsid w:val="004A6CE1"/>
    <w:rsid w:val="004B4D5B"/>
    <w:rsid w:val="004C55B8"/>
    <w:rsid w:val="004D15E1"/>
    <w:rsid w:val="004D4610"/>
    <w:rsid w:val="00507899"/>
    <w:rsid w:val="005106F8"/>
    <w:rsid w:val="00521F48"/>
    <w:rsid w:val="00531162"/>
    <w:rsid w:val="00537A61"/>
    <w:rsid w:val="00544AC9"/>
    <w:rsid w:val="0055266E"/>
    <w:rsid w:val="00554DA2"/>
    <w:rsid w:val="0055762B"/>
    <w:rsid w:val="0056207B"/>
    <w:rsid w:val="00562F84"/>
    <w:rsid w:val="00580744"/>
    <w:rsid w:val="005B78AA"/>
    <w:rsid w:val="005C2802"/>
    <w:rsid w:val="005C530A"/>
    <w:rsid w:val="005C7A84"/>
    <w:rsid w:val="005D2A0C"/>
    <w:rsid w:val="005D5645"/>
    <w:rsid w:val="005F22A3"/>
    <w:rsid w:val="006018D6"/>
    <w:rsid w:val="006048B1"/>
    <w:rsid w:val="00610016"/>
    <w:rsid w:val="00617690"/>
    <w:rsid w:val="0062081E"/>
    <w:rsid w:val="00622379"/>
    <w:rsid w:val="00624671"/>
    <w:rsid w:val="00625F79"/>
    <w:rsid w:val="00643888"/>
    <w:rsid w:val="006447E2"/>
    <w:rsid w:val="006452FB"/>
    <w:rsid w:val="0065313C"/>
    <w:rsid w:val="00664DC0"/>
    <w:rsid w:val="00667DF3"/>
    <w:rsid w:val="00675CDE"/>
    <w:rsid w:val="006802F3"/>
    <w:rsid w:val="00684D9B"/>
    <w:rsid w:val="006A2801"/>
    <w:rsid w:val="006A3401"/>
    <w:rsid w:val="006B425D"/>
    <w:rsid w:val="006C353F"/>
    <w:rsid w:val="006C7CD3"/>
    <w:rsid w:val="006F2AB8"/>
    <w:rsid w:val="006F3687"/>
    <w:rsid w:val="006F70D8"/>
    <w:rsid w:val="00720493"/>
    <w:rsid w:val="00723BC4"/>
    <w:rsid w:val="00724258"/>
    <w:rsid w:val="00731090"/>
    <w:rsid w:val="00740692"/>
    <w:rsid w:val="007442A0"/>
    <w:rsid w:val="00754A02"/>
    <w:rsid w:val="00755658"/>
    <w:rsid w:val="00764963"/>
    <w:rsid w:val="00773049"/>
    <w:rsid w:val="00786D24"/>
    <w:rsid w:val="00791D34"/>
    <w:rsid w:val="00793CCF"/>
    <w:rsid w:val="00794A8C"/>
    <w:rsid w:val="007A3A16"/>
    <w:rsid w:val="007B6393"/>
    <w:rsid w:val="007C6CE4"/>
    <w:rsid w:val="007D57AF"/>
    <w:rsid w:val="007E13BD"/>
    <w:rsid w:val="007E1D36"/>
    <w:rsid w:val="007F0771"/>
    <w:rsid w:val="007F2A53"/>
    <w:rsid w:val="008263C2"/>
    <w:rsid w:val="00854CC0"/>
    <w:rsid w:val="00854ED3"/>
    <w:rsid w:val="00862785"/>
    <w:rsid w:val="00866B42"/>
    <w:rsid w:val="00872901"/>
    <w:rsid w:val="008825DA"/>
    <w:rsid w:val="00886E69"/>
    <w:rsid w:val="008937A6"/>
    <w:rsid w:val="00894E75"/>
    <w:rsid w:val="008A6F88"/>
    <w:rsid w:val="008F3680"/>
    <w:rsid w:val="0091124C"/>
    <w:rsid w:val="00915E2B"/>
    <w:rsid w:val="009261F0"/>
    <w:rsid w:val="009302D1"/>
    <w:rsid w:val="00936181"/>
    <w:rsid w:val="00936197"/>
    <w:rsid w:val="00940646"/>
    <w:rsid w:val="009415FC"/>
    <w:rsid w:val="0095185A"/>
    <w:rsid w:val="009546D9"/>
    <w:rsid w:val="009570EF"/>
    <w:rsid w:val="00962AED"/>
    <w:rsid w:val="00962B1E"/>
    <w:rsid w:val="00963009"/>
    <w:rsid w:val="009710AF"/>
    <w:rsid w:val="0097589B"/>
    <w:rsid w:val="00975FD0"/>
    <w:rsid w:val="009858DD"/>
    <w:rsid w:val="0099728C"/>
    <w:rsid w:val="009A317C"/>
    <w:rsid w:val="009A770F"/>
    <w:rsid w:val="009A7A4F"/>
    <w:rsid w:val="009B4011"/>
    <w:rsid w:val="009B5C25"/>
    <w:rsid w:val="009C25EB"/>
    <w:rsid w:val="009C273F"/>
    <w:rsid w:val="009E4DB9"/>
    <w:rsid w:val="009E62CD"/>
    <w:rsid w:val="009F3E88"/>
    <w:rsid w:val="00A02201"/>
    <w:rsid w:val="00A06259"/>
    <w:rsid w:val="00A074B2"/>
    <w:rsid w:val="00A13D05"/>
    <w:rsid w:val="00A3078D"/>
    <w:rsid w:val="00A31286"/>
    <w:rsid w:val="00A47DF6"/>
    <w:rsid w:val="00A56F1E"/>
    <w:rsid w:val="00A614CD"/>
    <w:rsid w:val="00A8591D"/>
    <w:rsid w:val="00A878B3"/>
    <w:rsid w:val="00A9133B"/>
    <w:rsid w:val="00AC755D"/>
    <w:rsid w:val="00AF3E34"/>
    <w:rsid w:val="00AF70BC"/>
    <w:rsid w:val="00B000A7"/>
    <w:rsid w:val="00B01F29"/>
    <w:rsid w:val="00B3337A"/>
    <w:rsid w:val="00B43355"/>
    <w:rsid w:val="00B47D95"/>
    <w:rsid w:val="00B47F90"/>
    <w:rsid w:val="00B510B8"/>
    <w:rsid w:val="00B539A0"/>
    <w:rsid w:val="00B60CC0"/>
    <w:rsid w:val="00B60F1F"/>
    <w:rsid w:val="00B730A8"/>
    <w:rsid w:val="00B85F50"/>
    <w:rsid w:val="00B86F31"/>
    <w:rsid w:val="00B93A95"/>
    <w:rsid w:val="00BA1F2C"/>
    <w:rsid w:val="00BB3E0F"/>
    <w:rsid w:val="00BB3F7A"/>
    <w:rsid w:val="00BC4CA6"/>
    <w:rsid w:val="00BD5A39"/>
    <w:rsid w:val="00BF23A8"/>
    <w:rsid w:val="00BF771D"/>
    <w:rsid w:val="00C0607C"/>
    <w:rsid w:val="00C14479"/>
    <w:rsid w:val="00C34570"/>
    <w:rsid w:val="00C3553D"/>
    <w:rsid w:val="00C83661"/>
    <w:rsid w:val="00C909A2"/>
    <w:rsid w:val="00C911DE"/>
    <w:rsid w:val="00CB395B"/>
    <w:rsid w:val="00CC15A7"/>
    <w:rsid w:val="00CC4F85"/>
    <w:rsid w:val="00CD1DFB"/>
    <w:rsid w:val="00CD3B75"/>
    <w:rsid w:val="00CD410E"/>
    <w:rsid w:val="00CD444E"/>
    <w:rsid w:val="00D10115"/>
    <w:rsid w:val="00D21D58"/>
    <w:rsid w:val="00D226A5"/>
    <w:rsid w:val="00D2377C"/>
    <w:rsid w:val="00D40159"/>
    <w:rsid w:val="00D421AB"/>
    <w:rsid w:val="00D67E66"/>
    <w:rsid w:val="00D7041E"/>
    <w:rsid w:val="00D858CC"/>
    <w:rsid w:val="00D90A19"/>
    <w:rsid w:val="00DA1980"/>
    <w:rsid w:val="00DA4850"/>
    <w:rsid w:val="00DC044C"/>
    <w:rsid w:val="00DC165B"/>
    <w:rsid w:val="00DE5729"/>
    <w:rsid w:val="00DF02E6"/>
    <w:rsid w:val="00E02B47"/>
    <w:rsid w:val="00E17A14"/>
    <w:rsid w:val="00E2740B"/>
    <w:rsid w:val="00E40564"/>
    <w:rsid w:val="00E45B7C"/>
    <w:rsid w:val="00E46A0A"/>
    <w:rsid w:val="00E54E2D"/>
    <w:rsid w:val="00E62733"/>
    <w:rsid w:val="00E64683"/>
    <w:rsid w:val="00E670E8"/>
    <w:rsid w:val="00E863F1"/>
    <w:rsid w:val="00E90390"/>
    <w:rsid w:val="00EB6C11"/>
    <w:rsid w:val="00ED535E"/>
    <w:rsid w:val="00ED6923"/>
    <w:rsid w:val="00EF3D13"/>
    <w:rsid w:val="00F10101"/>
    <w:rsid w:val="00F2033F"/>
    <w:rsid w:val="00F36DB4"/>
    <w:rsid w:val="00F91500"/>
    <w:rsid w:val="00FC7767"/>
    <w:rsid w:val="00FD14FB"/>
    <w:rsid w:val="00FD2836"/>
    <w:rsid w:val="00FF7DDB"/>
    <w:rsid w:val="01C761D7"/>
    <w:rsid w:val="03802AE2"/>
    <w:rsid w:val="051938B7"/>
    <w:rsid w:val="05A84572"/>
    <w:rsid w:val="07610150"/>
    <w:rsid w:val="08ED3546"/>
    <w:rsid w:val="0BAA1613"/>
    <w:rsid w:val="0EFE3F6B"/>
    <w:rsid w:val="0FDF5034"/>
    <w:rsid w:val="101E0686"/>
    <w:rsid w:val="1113068A"/>
    <w:rsid w:val="11B54E79"/>
    <w:rsid w:val="185A2B6B"/>
    <w:rsid w:val="18785A09"/>
    <w:rsid w:val="1A5F63DA"/>
    <w:rsid w:val="1AAE39CC"/>
    <w:rsid w:val="1C0E01AF"/>
    <w:rsid w:val="1D9A7008"/>
    <w:rsid w:val="1EDE0A23"/>
    <w:rsid w:val="1FA94D17"/>
    <w:rsid w:val="201E74B3"/>
    <w:rsid w:val="20527938"/>
    <w:rsid w:val="206A094A"/>
    <w:rsid w:val="209A3FC7"/>
    <w:rsid w:val="20C26BE6"/>
    <w:rsid w:val="210103FB"/>
    <w:rsid w:val="214E3DC8"/>
    <w:rsid w:val="24861ACA"/>
    <w:rsid w:val="24FB1784"/>
    <w:rsid w:val="27066653"/>
    <w:rsid w:val="28076755"/>
    <w:rsid w:val="28E53169"/>
    <w:rsid w:val="295959FF"/>
    <w:rsid w:val="2A9A00C1"/>
    <w:rsid w:val="2E7F1A64"/>
    <w:rsid w:val="2EA259FA"/>
    <w:rsid w:val="31D874D8"/>
    <w:rsid w:val="34CC3626"/>
    <w:rsid w:val="357339A5"/>
    <w:rsid w:val="367479D5"/>
    <w:rsid w:val="37AE007A"/>
    <w:rsid w:val="39046C30"/>
    <w:rsid w:val="39333B77"/>
    <w:rsid w:val="39D961DF"/>
    <w:rsid w:val="3A9248CD"/>
    <w:rsid w:val="3B381919"/>
    <w:rsid w:val="3C0435A9"/>
    <w:rsid w:val="3C292337"/>
    <w:rsid w:val="3EDB7D99"/>
    <w:rsid w:val="3FCD46EF"/>
    <w:rsid w:val="404559C5"/>
    <w:rsid w:val="411B1F4A"/>
    <w:rsid w:val="43260821"/>
    <w:rsid w:val="44E00A16"/>
    <w:rsid w:val="45605CF4"/>
    <w:rsid w:val="4597723C"/>
    <w:rsid w:val="45FB04BF"/>
    <w:rsid w:val="47B0109E"/>
    <w:rsid w:val="488A5330"/>
    <w:rsid w:val="48E00EFA"/>
    <w:rsid w:val="4A7B537E"/>
    <w:rsid w:val="4A9B157C"/>
    <w:rsid w:val="4BC9209C"/>
    <w:rsid w:val="4BCA7EAF"/>
    <w:rsid w:val="4E99569F"/>
    <w:rsid w:val="4F2E0C11"/>
    <w:rsid w:val="50707007"/>
    <w:rsid w:val="556E68C4"/>
    <w:rsid w:val="578C5DF7"/>
    <w:rsid w:val="57FC2C7E"/>
    <w:rsid w:val="59F30A18"/>
    <w:rsid w:val="5A9515D1"/>
    <w:rsid w:val="5AD23E79"/>
    <w:rsid w:val="5B8C0E98"/>
    <w:rsid w:val="5BA01BCD"/>
    <w:rsid w:val="5BFDB513"/>
    <w:rsid w:val="5C225659"/>
    <w:rsid w:val="5C3F47FE"/>
    <w:rsid w:val="6118535B"/>
    <w:rsid w:val="61B7431A"/>
    <w:rsid w:val="62F15D85"/>
    <w:rsid w:val="639635F7"/>
    <w:rsid w:val="643A375C"/>
    <w:rsid w:val="65F91B55"/>
    <w:rsid w:val="67B15328"/>
    <w:rsid w:val="68DB7FF2"/>
    <w:rsid w:val="68E077CF"/>
    <w:rsid w:val="697F2231"/>
    <w:rsid w:val="69B60E95"/>
    <w:rsid w:val="6B164870"/>
    <w:rsid w:val="6DF32EAA"/>
    <w:rsid w:val="6EA939B8"/>
    <w:rsid w:val="6F960E56"/>
    <w:rsid w:val="705C5F19"/>
    <w:rsid w:val="71287CA7"/>
    <w:rsid w:val="7183443D"/>
    <w:rsid w:val="74306F73"/>
    <w:rsid w:val="751E519F"/>
    <w:rsid w:val="76DB3120"/>
    <w:rsid w:val="7927265A"/>
    <w:rsid w:val="7A501376"/>
    <w:rsid w:val="7B214D90"/>
    <w:rsid w:val="7B4857E2"/>
    <w:rsid w:val="7DAB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93"/>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7"/>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autoRedefine/>
    <w:semiHidden/>
    <w:unhideWhenUsed/>
    <w:qFormat/>
    <w:uiPriority w:val="1"/>
  </w:style>
  <w:style w:type="table" w:default="1" w:styleId="57">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5"/>
    <w:autoRedefine/>
    <w:qFormat/>
    <w:uiPriority w:val="0"/>
    <w:pPr>
      <w:adjustRightInd w:val="0"/>
      <w:spacing w:line="360" w:lineRule="atLeast"/>
      <w:jc w:val="left"/>
      <w:textAlignment w:val="baseline"/>
    </w:pPr>
    <w:rPr>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numPr>
        <w:ilvl w:val="0"/>
        <w:numId w:val="2"/>
      </w:numPr>
      <w:adjustRightInd w:val="0"/>
      <w:snapToGrid w:val="0"/>
      <w:spacing w:line="360" w:lineRule="auto"/>
    </w:pPr>
    <w:rPr>
      <w:sz w:val="24"/>
    </w:rPr>
  </w:style>
  <w:style w:type="paragraph" w:styleId="22">
    <w:name w:val="Body Text"/>
    <w:basedOn w:val="1"/>
    <w:autoRedefine/>
    <w:qFormat/>
    <w:uiPriority w:val="0"/>
    <w:rPr>
      <w:rFonts w:ascii="仿宋_GB2312" w:eastAsia="仿宋_GB2312"/>
      <w:sz w:val="32"/>
    </w:rPr>
  </w:style>
  <w:style w:type="paragraph" w:styleId="23">
    <w:name w:val="Body Text Indent"/>
    <w:basedOn w:val="1"/>
    <w:link w:val="82"/>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List Bullet 2"/>
    <w:basedOn w:val="1"/>
    <w:autoRedefine/>
    <w:qFormat/>
    <w:uiPriority w:val="0"/>
    <w:pPr>
      <w:numPr>
        <w:ilvl w:val="0"/>
        <w:numId w:val="3"/>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89"/>
    <w:autoRedefine/>
    <w:qFormat/>
    <w:uiPriority w:val="0"/>
    <w:rPr>
      <w:rFonts w:ascii="宋体" w:hAnsi="Courier New"/>
    </w:rPr>
  </w:style>
  <w:style w:type="paragraph" w:styleId="31">
    <w:name w:val="toc 8"/>
    <w:basedOn w:val="1"/>
    <w:next w:val="1"/>
    <w:autoRedefine/>
    <w:qFormat/>
    <w:uiPriority w:val="0"/>
    <w:pPr>
      <w:ind w:left="2940" w:leftChars="1400"/>
    </w:pPr>
  </w:style>
  <w:style w:type="paragraph" w:styleId="32">
    <w:name w:val="Date"/>
    <w:basedOn w:val="1"/>
    <w:next w:val="1"/>
    <w:link w:val="109"/>
    <w:autoRedefine/>
    <w:qFormat/>
    <w:uiPriority w:val="99"/>
  </w:style>
  <w:style w:type="paragraph" w:styleId="33">
    <w:name w:val="Body Text Indent 2"/>
    <w:basedOn w:val="1"/>
    <w:link w:val="71"/>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link w:val="85"/>
    <w:autoRedefine/>
    <w:qFormat/>
    <w:uiPriority w:val="0"/>
    <w:pPr>
      <w:tabs>
        <w:tab w:val="center" w:pos="4153"/>
        <w:tab w:val="right" w:pos="8306"/>
      </w:tabs>
      <w:snapToGrid w:val="0"/>
      <w:jc w:val="left"/>
    </w:pPr>
    <w:rPr>
      <w:sz w:val="18"/>
    </w:rPr>
  </w:style>
  <w:style w:type="paragraph" w:styleId="36">
    <w:name w:val="header"/>
    <w:basedOn w:val="1"/>
    <w:link w:val="11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69"/>
    <w:autoRedefine/>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rPr>
  </w:style>
  <w:style w:type="paragraph" w:styleId="53">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autoRedefine/>
    <w:qFormat/>
    <w:uiPriority w:val="0"/>
    <w:pPr>
      <w:adjustRightInd/>
      <w:spacing w:line="240" w:lineRule="auto"/>
      <w:textAlignment w:val="auto"/>
    </w:pPr>
  </w:style>
  <w:style w:type="paragraph" w:styleId="55">
    <w:name w:val="Body Text First Indent"/>
    <w:basedOn w:val="1"/>
    <w:autoRedefine/>
    <w:qFormat/>
    <w:uiPriority w:val="0"/>
    <w:pPr>
      <w:spacing w:line="360" w:lineRule="auto"/>
      <w:ind w:firstLine="420"/>
    </w:pPr>
    <w:rPr>
      <w:rFonts w:ascii="宋体" w:hAnsi="宋体"/>
      <w:sz w:val="24"/>
    </w:rPr>
  </w:style>
  <w:style w:type="paragraph" w:styleId="56">
    <w:name w:val="Body Text First Indent 2"/>
    <w:basedOn w:val="23"/>
    <w:link w:val="81"/>
    <w:autoRedefine/>
    <w:qFormat/>
    <w:uiPriority w:val="0"/>
    <w:pPr>
      <w:spacing w:after="120" w:line="240" w:lineRule="auto"/>
      <w:ind w:left="420" w:leftChars="200" w:firstLine="420" w:firstLineChars="200"/>
    </w:pPr>
  </w:style>
  <w:style w:type="table" w:styleId="58">
    <w:name w:val="Table Grid"/>
    <w:basedOn w:val="5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autoRedefine/>
    <w:qFormat/>
    <w:uiPriority w:val="22"/>
    <w:rPr>
      <w:b/>
    </w:rPr>
  </w:style>
  <w:style w:type="character" w:styleId="61">
    <w:name w:val="page number"/>
    <w:basedOn w:val="59"/>
    <w:autoRedefine/>
    <w:qFormat/>
    <w:uiPriority w:val="0"/>
  </w:style>
  <w:style w:type="character" w:styleId="62">
    <w:name w:val="FollowedHyperlink"/>
    <w:autoRedefine/>
    <w:qFormat/>
    <w:uiPriority w:val="0"/>
    <w:rPr>
      <w:color w:val="333333"/>
      <w:u w:val="none"/>
    </w:rPr>
  </w:style>
  <w:style w:type="character" w:styleId="63">
    <w:name w:val="Emphasis"/>
    <w:autoRedefine/>
    <w:qFormat/>
    <w:uiPriority w:val="0"/>
    <w:rPr>
      <w:i/>
    </w:rPr>
  </w:style>
  <w:style w:type="character" w:styleId="64">
    <w:name w:val="Hyperlink"/>
    <w:autoRedefine/>
    <w:qFormat/>
    <w:uiPriority w:val="99"/>
    <w:rPr>
      <w:color w:val="333333"/>
      <w:u w:val="none"/>
    </w:rPr>
  </w:style>
  <w:style w:type="character" w:styleId="65">
    <w:name w:val="annotation reference"/>
    <w:autoRedefine/>
    <w:qFormat/>
    <w:uiPriority w:val="0"/>
    <w:rPr>
      <w:sz w:val="21"/>
      <w:szCs w:val="21"/>
    </w:rPr>
  </w:style>
  <w:style w:type="character" w:styleId="66">
    <w:name w:val="footnote reference"/>
    <w:autoRedefine/>
    <w:qFormat/>
    <w:uiPriority w:val="0"/>
    <w:rPr>
      <w:position w:val="6"/>
      <w:sz w:val="14"/>
      <w:vertAlign w:val="superscript"/>
    </w:rPr>
  </w:style>
  <w:style w:type="paragraph" w:customStyle="1" w:styleId="67">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8">
    <w:name w:val="Char Char6"/>
    <w:autoRedefine/>
    <w:qFormat/>
    <w:uiPriority w:val="0"/>
    <w:rPr>
      <w:rFonts w:ascii="仿宋_GB2312" w:eastAsia="仿宋_GB2312"/>
      <w:kern w:val="2"/>
      <w:sz w:val="32"/>
    </w:rPr>
  </w:style>
  <w:style w:type="character" w:customStyle="1" w:styleId="69">
    <w:name w:val="脚注文本 Char"/>
    <w:link w:val="40"/>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Char"/>
    <w:link w:val="33"/>
    <w:qFormat/>
    <w:uiPriority w:val="0"/>
    <w:rPr>
      <w:kern w:val="2"/>
      <w:sz w:val="28"/>
    </w:rPr>
  </w:style>
  <w:style w:type="character" w:customStyle="1" w:styleId="72">
    <w:name w:val="Char Char"/>
    <w:autoRedefine/>
    <w:qFormat/>
    <w:uiPriority w:val="0"/>
    <w:rPr>
      <w:rFonts w:ascii="宋体" w:hAnsi="宋体" w:eastAsia="宋体"/>
      <w:kern w:val="2"/>
      <w:sz w:val="24"/>
      <w:lang w:val="en-US" w:eastAsia="zh-CN" w:bidi="ar-SA"/>
    </w:rPr>
  </w:style>
  <w:style w:type="character" w:customStyle="1" w:styleId="73">
    <w:name w:val="Table Text Char"/>
    <w:autoRedefine/>
    <w:qFormat/>
    <w:uiPriority w:val="0"/>
    <w:rPr>
      <w:rFonts w:ascii="Arial" w:hAnsi="Arial"/>
      <w:kern w:val="2"/>
      <w:sz w:val="18"/>
      <w:lang w:val="en-US" w:eastAsia="zh-CN" w:bidi="ar-SA"/>
    </w:rPr>
  </w:style>
  <w:style w:type="character" w:customStyle="1" w:styleId="74">
    <w:name w:val="批注主题 Char"/>
    <w:basedOn w:val="75"/>
    <w:link w:val="54"/>
    <w:autoRedefine/>
    <w:qFormat/>
    <w:uiPriority w:val="0"/>
    <w:rPr>
      <w:sz w:val="24"/>
    </w:rPr>
  </w:style>
  <w:style w:type="character" w:customStyle="1" w:styleId="75">
    <w:name w:val="批注文字 Char"/>
    <w:link w:val="19"/>
    <w:autoRedefine/>
    <w:qFormat/>
    <w:uiPriority w:val="0"/>
    <w:rPr>
      <w:sz w:val="24"/>
    </w:rPr>
  </w:style>
  <w:style w:type="character" w:customStyle="1" w:styleId="76">
    <w:name w:val="标书正文:  0.74 厘米 Char1"/>
    <w:autoRedefine/>
    <w:qFormat/>
    <w:uiPriority w:val="0"/>
    <w:rPr>
      <w:rFonts w:eastAsia="宋体"/>
      <w:kern w:val="2"/>
      <w:sz w:val="24"/>
      <w:lang w:val="en-US" w:eastAsia="zh-CN"/>
    </w:rPr>
  </w:style>
  <w:style w:type="character" w:customStyle="1" w:styleId="77">
    <w:name w:val="Char Char11"/>
    <w:autoRedefine/>
    <w:qFormat/>
    <w:uiPriority w:val="0"/>
    <w:rPr>
      <w:rFonts w:ascii="宋体"/>
      <w:kern w:val="2"/>
      <w:sz w:val="28"/>
    </w:rPr>
  </w:style>
  <w:style w:type="character" w:customStyle="1" w:styleId="78">
    <w:name w:val="Char Char7"/>
    <w:autoRedefine/>
    <w:qFormat/>
    <w:uiPriority w:val="0"/>
    <w:rPr>
      <w:rFonts w:ascii="宋体" w:hAnsi="宋体" w:eastAsia="宋体"/>
      <w:kern w:val="2"/>
      <w:sz w:val="28"/>
    </w:rPr>
  </w:style>
  <w:style w:type="character" w:customStyle="1" w:styleId="79">
    <w:name w:val="文字 Char"/>
    <w:autoRedefine/>
    <w:qFormat/>
    <w:uiPriority w:val="0"/>
    <w:rPr>
      <w:rFonts w:ascii="宋体"/>
      <w:kern w:val="2"/>
      <w:sz w:val="28"/>
    </w:rPr>
  </w:style>
  <w:style w:type="character" w:customStyle="1" w:styleId="80">
    <w:name w:val="Char Char5"/>
    <w:autoRedefine/>
    <w:qFormat/>
    <w:uiPriority w:val="0"/>
    <w:rPr>
      <w:rFonts w:ascii="Arial" w:hAnsi="Arial" w:eastAsia="宋体"/>
      <w:b/>
      <w:smallCaps/>
      <w:kern w:val="28"/>
      <w:sz w:val="36"/>
      <w:lang w:val="en-US" w:eastAsia="en-US"/>
    </w:rPr>
  </w:style>
  <w:style w:type="character" w:customStyle="1" w:styleId="81">
    <w:name w:val="正文首行缩进 2 Char"/>
    <w:basedOn w:val="82"/>
    <w:link w:val="56"/>
    <w:autoRedefine/>
    <w:qFormat/>
    <w:uiPriority w:val="0"/>
    <w:rPr>
      <w:kern w:val="2"/>
      <w:sz w:val="44"/>
    </w:rPr>
  </w:style>
  <w:style w:type="character" w:customStyle="1" w:styleId="82">
    <w:name w:val="正文文本缩进 Char"/>
    <w:link w:val="23"/>
    <w:autoRedefine/>
    <w:qFormat/>
    <w:uiPriority w:val="0"/>
    <w:rPr>
      <w:kern w:val="2"/>
      <w:sz w:val="44"/>
    </w:rPr>
  </w:style>
  <w:style w:type="character" w:customStyle="1" w:styleId="83">
    <w:name w:val="font61"/>
    <w:autoRedefine/>
    <w:qFormat/>
    <w:uiPriority w:val="0"/>
    <w:rPr>
      <w:rFonts w:hint="eastAsia" w:ascii="微软雅黑" w:hAnsi="微软雅黑" w:eastAsia="微软雅黑" w:cs="微软雅黑"/>
      <w:color w:val="000000"/>
      <w:sz w:val="24"/>
      <w:szCs w:val="24"/>
      <w:u w:val="none"/>
    </w:rPr>
  </w:style>
  <w:style w:type="character" w:customStyle="1" w:styleId="84">
    <w:name w:val="title_emph1"/>
    <w:autoRedefine/>
    <w:qFormat/>
    <w:uiPriority w:val="0"/>
    <w:rPr>
      <w:rFonts w:hint="default" w:ascii="Arial" w:hAnsi="Arial"/>
      <w:b/>
      <w:sz w:val="20"/>
    </w:rPr>
  </w:style>
  <w:style w:type="character" w:customStyle="1" w:styleId="85">
    <w:name w:val="页脚 Char"/>
    <w:link w:val="35"/>
    <w:autoRedefine/>
    <w:qFormat/>
    <w:uiPriority w:val="99"/>
    <w:rPr>
      <w:kern w:val="2"/>
      <w:sz w:val="18"/>
    </w:rPr>
  </w:style>
  <w:style w:type="character" w:customStyle="1" w:styleId="86">
    <w:name w:val="Comment Text Char"/>
    <w:autoRedefine/>
    <w:semiHidden/>
    <w:qFormat/>
    <w:locked/>
    <w:uiPriority w:val="0"/>
    <w:rPr>
      <w:rFonts w:ascii="Times New Roman" w:hAnsi="Times New Roman" w:cs="Times New Roman"/>
      <w:sz w:val="20"/>
      <w:szCs w:val="20"/>
    </w:rPr>
  </w:style>
  <w:style w:type="character" w:customStyle="1" w:styleId="87">
    <w:name w:val="v151"/>
    <w:autoRedefine/>
    <w:qFormat/>
    <w:uiPriority w:val="0"/>
    <w:rPr>
      <w:sz w:val="18"/>
    </w:rPr>
  </w:style>
  <w:style w:type="character" w:customStyle="1" w:styleId="88">
    <w:name w:val="font1"/>
    <w:autoRedefine/>
    <w:qFormat/>
    <w:uiPriority w:val="0"/>
    <w:rPr>
      <w:color w:val="000000"/>
      <w:sz w:val="18"/>
    </w:rPr>
  </w:style>
  <w:style w:type="character" w:customStyle="1" w:styleId="89">
    <w:name w:val="纯文本 Char"/>
    <w:link w:val="30"/>
    <w:autoRedefine/>
    <w:qFormat/>
    <w:locked/>
    <w:uiPriority w:val="99"/>
    <w:rPr>
      <w:rFonts w:ascii="宋体" w:hAnsi="Courier New"/>
      <w:kern w:val="2"/>
      <w:sz w:val="21"/>
    </w:rPr>
  </w:style>
  <w:style w:type="character" w:customStyle="1" w:styleId="90">
    <w:name w:val="Char Char Char Char Char Char Char Char Char"/>
    <w:autoRedefine/>
    <w:qFormat/>
    <w:uiPriority w:val="0"/>
    <w:rPr>
      <w:rFonts w:ascii="宋体" w:hAnsi="宋体" w:eastAsia="宋体"/>
      <w:kern w:val="2"/>
      <w:sz w:val="24"/>
      <w:lang w:val="en-US" w:eastAsia="zh-CN" w:bidi="ar-SA"/>
    </w:rPr>
  </w:style>
  <w:style w:type="character" w:customStyle="1" w:styleId="91">
    <w:name w:val="Table Text Char Char Char Char"/>
    <w:link w:val="92"/>
    <w:autoRedefine/>
    <w:qFormat/>
    <w:uiPriority w:val="0"/>
    <w:rPr>
      <w:rFonts w:ascii="Arial" w:hAnsi="Arial"/>
      <w:kern w:val="2"/>
      <w:sz w:val="18"/>
      <w:lang w:val="en-US" w:eastAsia="zh-CN" w:bidi="ar-SA"/>
    </w:rPr>
  </w:style>
  <w:style w:type="paragraph" w:customStyle="1" w:styleId="92">
    <w:name w:val="Table Text"/>
    <w:link w:val="9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Char"/>
    <w:link w:val="3"/>
    <w:autoRedefine/>
    <w:qFormat/>
    <w:uiPriority w:val="0"/>
    <w:rPr>
      <w:rFonts w:ascii="Arial" w:hAnsi="Arial" w:eastAsia="黑体"/>
      <w:b/>
      <w:kern w:val="2"/>
      <w:sz w:val="32"/>
    </w:rPr>
  </w:style>
  <w:style w:type="character" w:customStyle="1" w:styleId="94">
    <w:name w:val="H2 Char"/>
    <w:autoRedefine/>
    <w:qFormat/>
    <w:uiPriority w:val="0"/>
    <w:rPr>
      <w:rFonts w:ascii="Arial" w:hAnsi="Arial" w:eastAsia="宋体"/>
      <w:kern w:val="2"/>
      <w:sz w:val="28"/>
      <w:lang w:val="en-US" w:eastAsia="zh-CN"/>
    </w:rPr>
  </w:style>
  <w:style w:type="character" w:customStyle="1" w:styleId="95">
    <w:name w:val="top-det1"/>
    <w:autoRedefine/>
    <w:qFormat/>
    <w:uiPriority w:val="0"/>
    <w:rPr>
      <w:b/>
      <w:color w:val="000000"/>
    </w:rPr>
  </w:style>
  <w:style w:type="character" w:customStyle="1" w:styleId="96">
    <w:name w:val="批注文字 字符"/>
    <w:autoRedefine/>
    <w:qFormat/>
    <w:uiPriority w:val="0"/>
    <w:rPr>
      <w:sz w:val="24"/>
    </w:rPr>
  </w:style>
  <w:style w:type="character" w:customStyle="1" w:styleId="97">
    <w:name w:val="标题 3 Char"/>
    <w:link w:val="4"/>
    <w:autoRedefine/>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autoRedefine/>
    <w:qFormat/>
    <w:uiPriority w:val="0"/>
    <w:rPr>
      <w:rFonts w:ascii="Arial" w:hAnsi="Arial"/>
      <w:kern w:val="2"/>
      <w:sz w:val="18"/>
      <w:lang w:val="en-US" w:eastAsia="zh-CN" w:bidi="ar-SA"/>
    </w:rPr>
  </w:style>
  <w:style w:type="character" w:customStyle="1" w:styleId="100">
    <w:name w:val="标题 2 字符"/>
    <w:autoRedefine/>
    <w:qFormat/>
    <w:uiPriority w:val="99"/>
    <w:rPr>
      <w:rFonts w:ascii="Arial" w:hAnsi="Arial" w:eastAsia="黑体"/>
      <w:b/>
      <w:kern w:val="2"/>
      <w:sz w:val="32"/>
    </w:rPr>
  </w:style>
  <w:style w:type="character" w:customStyle="1" w:styleId="101">
    <w:name w:val="Table Heading Char Char"/>
    <w:autoRedefine/>
    <w:qFormat/>
    <w:uiPriority w:val="0"/>
    <w:rPr>
      <w:rFonts w:ascii="Arial" w:hAnsi="Arial" w:eastAsia="黑体"/>
      <w:kern w:val="2"/>
      <w:sz w:val="18"/>
      <w:lang w:val="en-US" w:eastAsia="zh-CN"/>
    </w:rPr>
  </w:style>
  <w:style w:type="character" w:customStyle="1" w:styleId="102">
    <w:name w:val="文字 Char Char"/>
    <w:link w:val="103"/>
    <w:autoRedefine/>
    <w:qFormat/>
    <w:uiPriority w:val="0"/>
    <w:rPr>
      <w:rFonts w:ascii="宋体"/>
      <w:kern w:val="2"/>
      <w:sz w:val="28"/>
    </w:rPr>
  </w:style>
  <w:style w:type="paragraph" w:customStyle="1" w:styleId="103">
    <w:name w:val="文字"/>
    <w:basedOn w:val="1"/>
    <w:link w:val="102"/>
    <w:autoRedefine/>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Char"/>
    <w:link w:val="32"/>
    <w:qFormat/>
    <w:uiPriority w:val="99"/>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Char"/>
    <w:link w:val="36"/>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7"/>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qFormat/>
    <w:uiPriority w:val="0"/>
    <w:pPr>
      <w:adjustRightInd w:val="0"/>
      <w:jc w:val="left"/>
    </w:pPr>
    <w:rPr>
      <w:rFonts w:ascii="宋体" w:hAnsi="宋体"/>
      <w:kern w:val="0"/>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3"/>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3"/>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qFormat/>
    <w:uiPriority w:val="0"/>
    <w:pPr>
      <w:spacing w:before="60" w:after="60" w:line="360" w:lineRule="auto"/>
      <w:ind w:left="0" w:firstLine="482"/>
    </w:pPr>
    <w:rPr>
      <w:rFonts w:ascii="Arial" w:hAnsi="Arial"/>
      <w:sz w:val="24"/>
    </w:rPr>
  </w:style>
  <w:style w:type="paragraph" w:customStyle="1" w:styleId="141">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rPr>
  </w:style>
  <w:style w:type="paragraph" w:customStyle="1" w:styleId="150">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rPr>
  </w:style>
  <w:style w:type="paragraph" w:customStyle="1" w:styleId="161">
    <w:name w:val="列表项目"/>
    <w:basedOn w:val="1"/>
    <w:qFormat/>
    <w:uiPriority w:val="0"/>
    <w:pPr>
      <w:tabs>
        <w:tab w:val="left" w:pos="420"/>
      </w:tabs>
      <w:spacing w:line="288" w:lineRule="auto"/>
      <w:ind w:left="840" w:leftChars="200" w:hanging="420" w:hangingChars="200"/>
    </w:pPr>
  </w:style>
  <w:style w:type="paragraph" w:customStyle="1" w:styleId="162">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2"/>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7"/>
    <w:autoRedefine/>
    <w:qFormat/>
    <w:uiPriority w:val="0"/>
    <w:pPr>
      <w:widowControl/>
      <w:adjustRightInd/>
      <w:snapToGrid/>
      <w:spacing w:before="156" w:beforeLines="50"/>
      <w:jc w:val="left"/>
    </w:pPr>
    <w:rPr>
      <w:snapToGrid w:val="0"/>
      <w:kern w:val="24"/>
      <w:sz w:val="28"/>
    </w:rPr>
  </w:style>
  <w:style w:type="paragraph" w:customStyle="1" w:styleId="169">
    <w:name w:val="1"/>
    <w:basedOn w:val="1"/>
    <w:next w:val="30"/>
    <w:qFormat/>
    <w:uiPriority w:val="0"/>
    <w:rPr>
      <w:rFonts w:ascii="宋体" w:hAnsi="Courier New"/>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autoRedefine/>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autoRedefine/>
    <w:qFormat/>
    <w:uiPriority w:val="0"/>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autoRedefine/>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0" w:beforeLines="0" w:after="0" w:afterLines="0"/>
      <w:ind w:left="525"/>
      <w:outlineLvl w:val="2"/>
    </w:pPr>
    <w:rPr>
      <w:sz w:val="21"/>
    </w:rPr>
  </w:style>
  <w:style w:type="paragraph" w:customStyle="1" w:styleId="18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autoRedefine/>
    <w:qFormat/>
    <w:uiPriority w:val="0"/>
    <w:pPr>
      <w:spacing w:line="240" w:lineRule="atLeast"/>
      <w:ind w:left="420" w:firstLine="420"/>
    </w:pPr>
    <w:rPr>
      <w:kern w:val="0"/>
    </w:rPr>
  </w:style>
  <w:style w:type="paragraph" w:customStyle="1" w:styleId="191">
    <w:name w:val="样式 宋体 五号 两端对齐 行距: 单倍行距"/>
    <w:basedOn w:val="1"/>
    <w:autoRedefine/>
    <w:qFormat/>
    <w:uiPriority w:val="0"/>
    <w:pPr>
      <w:adjustRightInd w:val="0"/>
      <w:textAlignment w:val="baseline"/>
    </w:pPr>
    <w:rPr>
      <w:rFonts w:ascii="宋体" w:hAnsi="宋体"/>
      <w:kern w:val="0"/>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autoRedefine/>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style>
  <w:style w:type="paragraph" w:customStyle="1" w:styleId="201">
    <w:name w:val="Style Heading 3h3Heading 3 - oldLevel 3 HeadH3level_3PIM 3se..."/>
    <w:basedOn w:val="4"/>
    <w:qFormat/>
    <w:uiPriority w:val="0"/>
    <w:pPr>
      <w:tabs>
        <w:tab w:val="left" w:pos="709"/>
        <w:tab w:val="left" w:pos="1620"/>
      </w:tabs>
      <w:ind w:left="1620" w:hanging="360"/>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autoRedefine/>
    <w:qFormat/>
    <w:uiPriority w:val="0"/>
    <w:pPr>
      <w:numPr>
        <w:ilvl w:val="0"/>
        <w:numId w:val="9"/>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autoRedefine/>
    <w:qFormat/>
    <w:uiPriority w:val="0"/>
    <w:rPr>
      <w:rFonts w:ascii="Tahoma" w:hAnsi="Tahoma"/>
      <w:sz w:val="24"/>
    </w:rPr>
  </w:style>
  <w:style w:type="paragraph" w:customStyle="1" w:styleId="211">
    <w:name w:val="二级列表"/>
    <w:basedOn w:val="158"/>
    <w:next w:val="158"/>
    <w:autoRedefine/>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autoRedefine/>
    <w:qFormat/>
    <w:uiPriority w:val="0"/>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autoRedefine/>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style>
  <w:style w:type="paragraph" w:customStyle="1" w:styleId="228">
    <w:name w:val="摘要"/>
    <w:basedOn w:val="1"/>
    <w:next w:val="3"/>
    <w:autoRedefine/>
    <w:qFormat/>
    <w:uiPriority w:val="0"/>
    <w:pPr>
      <w:spacing w:line="360" w:lineRule="auto"/>
    </w:pPr>
    <w:rPr>
      <w:rFonts w:eastAsia="黑体"/>
      <w:sz w:val="20"/>
    </w:rPr>
  </w:style>
  <w:style w:type="paragraph" w:customStyle="1" w:styleId="229">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2"/>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style>
  <w:style w:type="paragraph" w:customStyle="1" w:styleId="236">
    <w:name w:val="Char Char Char Char Char Char Char1"/>
    <w:basedOn w:val="17"/>
    <w:autoRedefine/>
    <w:qFormat/>
    <w:uiPriority w:val="0"/>
    <w:rPr>
      <w:rFonts w:ascii="宋体" w:hAnsi="Tahoma"/>
    </w:rPr>
  </w:style>
  <w:style w:type="paragraph" w:customStyle="1" w:styleId="237">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qFormat/>
    <w:uiPriority w:val="0"/>
    <w:pPr>
      <w:adjustRightInd w:val="0"/>
      <w:snapToGrid w:val="0"/>
    </w:pPr>
  </w:style>
  <w:style w:type="paragraph" w:customStyle="1" w:styleId="239">
    <w:name w:val="正文（首行不缩进）"/>
    <w:basedOn w:val="1"/>
    <w:autoRedefine/>
    <w:qFormat/>
    <w:uiPriority w:val="0"/>
    <w:pPr>
      <w:autoSpaceDE w:val="0"/>
      <w:autoSpaceDN w:val="0"/>
      <w:adjustRightInd w:val="0"/>
      <w:spacing w:line="360" w:lineRule="auto"/>
      <w:jc w:val="left"/>
    </w:pPr>
    <w:rPr>
      <w:kern w:val="0"/>
    </w:rPr>
  </w:style>
  <w:style w:type="paragraph" w:customStyle="1" w:styleId="240">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autoRedefine/>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46">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1"/>
      </w:numPr>
      <w:spacing w:line="360" w:lineRule="auto"/>
    </w:pPr>
    <w:rPr>
      <w:rFonts w:eastAsia="仿宋_GB2312"/>
    </w:rPr>
  </w:style>
  <w:style w:type="paragraph" w:customStyle="1" w:styleId="250">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59"/>
    <w:qFormat/>
    <w:uiPriority w:val="0"/>
    <w:rPr>
      <w:color w:val="605E5C"/>
      <w:shd w:val="clear" w:color="auto" w:fill="E1DFDD"/>
    </w:rPr>
  </w:style>
  <w:style w:type="paragraph" w:customStyle="1" w:styleId="252">
    <w:name w:val="目录 11"/>
    <w:basedOn w:val="1"/>
    <w:next w:val="1"/>
    <w:qFormat/>
    <w:uiPriority w:val="0"/>
    <w:pPr>
      <w:jc w:val="center"/>
    </w:pPr>
    <w:rPr>
      <w:sz w:val="30"/>
      <w:szCs w:val="30"/>
    </w:rPr>
  </w:style>
  <w:style w:type="paragraph" w:customStyle="1" w:styleId="253">
    <w:name w:val="p1"/>
    <w:basedOn w:val="1"/>
    <w:qFormat/>
    <w:uiPriority w:val="0"/>
    <w:pPr>
      <w:jc w:val="left"/>
    </w:pPr>
    <w:rPr>
      <w:rFonts w:ascii="PingFang SC" w:hAnsi="PingFang SC" w:eastAsia="PingFang SC"/>
      <w:color w:val="121416"/>
      <w:kern w:val="0"/>
      <w:sz w:val="28"/>
      <w:szCs w:val="28"/>
    </w:rPr>
  </w:style>
  <w:style w:type="paragraph" w:styleId="254">
    <w:name w:val="List Paragraph"/>
    <w:basedOn w:val="1"/>
    <w:autoRedefine/>
    <w:unhideWhenUsed/>
    <w:qFormat/>
    <w:uiPriority w:val="34"/>
    <w:pPr>
      <w:ind w:firstLine="420" w:firstLineChars="200"/>
    </w:pPr>
  </w:style>
  <w:style w:type="paragraph" w:customStyle="1" w:styleId="255">
    <w:name w:val="Table Paragraph"/>
    <w:basedOn w:val="1"/>
    <w:autoRedefine/>
    <w:qFormat/>
    <w:uiPriority w:val="1"/>
    <w:pPr>
      <w:autoSpaceDE w:val="0"/>
      <w:autoSpaceDN w:val="0"/>
      <w:jc w:val="left"/>
    </w:pPr>
    <w:rPr>
      <w:rFonts w:ascii="宋体" w:hAnsi="宋体" w:cs="宋体"/>
      <w:kern w:val="0"/>
      <w:sz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11</Pages>
  <Words>3955</Words>
  <Characters>4209</Characters>
  <Lines>52</Lines>
  <Paragraphs>14</Paragraphs>
  <TotalTime>5</TotalTime>
  <ScaleCrop>false</ScaleCrop>
  <LinksUpToDate>false</LinksUpToDate>
  <CharactersWithSpaces>4880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2023-12-08T02:54:00Z</dcterms:created>
  <dc:creator>罗成</dc:creator>
  <cp:lastModifiedBy>WPS_1622706653</cp:lastModifiedBy>
  <cp:lastPrinted>2018-08-06T16:28:00Z</cp:lastPrinted>
  <dcterms:modified xsi:type="dcterms:W3CDTF">2025-05-29T08:58:34Z</dcterms:modified>
  <dc:title>竞争性谈判文件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0A6B3F3BDF9A47CBAEC7307267E77EA3_13</vt:lpwstr>
  </property>
  <property fmtid="{D5CDD505-2E9C-101B-9397-08002B2CF9AE}" pid="4" name="KSOTemplateDocerSaveRecord">
    <vt:lpwstr>eyJoZGlkIjoiNjFjYTgwYzUzYTZmN2M4YjlhMjdmZGYxZDdiYzQ3ZTAiLCJ1c2VySWQiOiIxMjEzMjc5MzM3In0=</vt:lpwstr>
  </property>
</Properties>
</file>