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E4CC5">
      <w:pPr>
        <w:spacing w:line="700" w:lineRule="exact"/>
        <w:jc w:val="center"/>
        <w:rPr>
          <w:rFonts w:hint="eastAsia" w:ascii="仿宋" w:hAnsi="仿宋" w:eastAsia="仿宋" w:cs="仿宋"/>
          <w:b/>
          <w:color w:val="auto"/>
          <w:sz w:val="32"/>
          <w:szCs w:val="32"/>
          <w:highlight w:val="none"/>
        </w:rPr>
      </w:pPr>
    </w:p>
    <w:p w14:paraId="6CB5E84E">
      <w:pPr>
        <w:spacing w:line="700" w:lineRule="exact"/>
        <w:rPr>
          <w:rFonts w:hint="eastAsia" w:ascii="仿宋" w:hAnsi="仿宋" w:eastAsia="仿宋" w:cs="仿宋"/>
          <w:b/>
          <w:color w:val="auto"/>
          <w:sz w:val="36"/>
          <w:szCs w:val="36"/>
          <w:highlight w:val="none"/>
          <w:lang w:eastAsia="zh-CN"/>
        </w:rPr>
      </w:pPr>
    </w:p>
    <w:p w14:paraId="799B4CEB">
      <w:pPr>
        <w:pStyle w:val="8"/>
        <w:rPr>
          <w:rFonts w:hint="eastAsia" w:ascii="仿宋" w:hAnsi="仿宋" w:eastAsia="仿宋" w:cs="仿宋"/>
          <w:b/>
          <w:color w:val="auto"/>
          <w:sz w:val="36"/>
          <w:szCs w:val="36"/>
          <w:highlight w:val="none"/>
          <w:lang w:eastAsia="zh-CN"/>
        </w:rPr>
      </w:pPr>
    </w:p>
    <w:p w14:paraId="5CB0CD07">
      <w:pPr>
        <w:rPr>
          <w:rFonts w:hint="eastAsia" w:ascii="仿宋" w:hAnsi="仿宋" w:eastAsia="仿宋" w:cs="仿宋"/>
          <w:color w:val="auto"/>
          <w:highlight w:val="none"/>
          <w:lang w:eastAsia="zh-CN"/>
        </w:rPr>
      </w:pPr>
    </w:p>
    <w:p w14:paraId="28D8C99F">
      <w:pPr>
        <w:pStyle w:val="8"/>
        <w:jc w:val="both"/>
        <w:rPr>
          <w:rFonts w:hint="eastAsia" w:ascii="仿宋" w:hAnsi="仿宋" w:eastAsia="仿宋" w:cs="仿宋"/>
          <w:b/>
          <w:bCs w:val="0"/>
          <w:color w:val="auto"/>
          <w:sz w:val="56"/>
          <w:szCs w:val="56"/>
          <w:highlight w:val="none"/>
        </w:rPr>
      </w:pPr>
    </w:p>
    <w:p w14:paraId="041B9C56">
      <w:pPr>
        <w:pStyle w:val="23"/>
        <w:rPr>
          <w:rFonts w:hint="eastAsia" w:ascii="仿宋" w:hAnsi="仿宋" w:eastAsia="仿宋" w:cs="仿宋"/>
          <w:b/>
          <w:bCs w:val="0"/>
          <w:color w:val="auto"/>
          <w:sz w:val="56"/>
          <w:szCs w:val="56"/>
          <w:highlight w:val="none"/>
        </w:rPr>
      </w:pPr>
      <w:r>
        <w:rPr>
          <w:rFonts w:eastAsia="方正仿宋_GBK"/>
          <w:b/>
          <w:kern w:val="10"/>
          <w:sz w:val="32"/>
          <w:szCs w:val="32"/>
          <w:highlight w:val="none"/>
        </w:rPr>
        <w:drawing>
          <wp:anchor distT="0" distB="0" distL="114300" distR="114300" simplePos="0" relativeHeight="251661312" behindDoc="0" locked="0" layoutInCell="1" allowOverlap="1">
            <wp:simplePos x="0" y="0"/>
            <wp:positionH relativeFrom="column">
              <wp:posOffset>2000885</wp:posOffset>
            </wp:positionH>
            <wp:positionV relativeFrom="paragraph">
              <wp:posOffset>423545</wp:posOffset>
            </wp:positionV>
            <wp:extent cx="1773555" cy="539115"/>
            <wp:effectExtent l="0" t="0" r="17145" b="13335"/>
            <wp:wrapNone/>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16"/>
                    <a:stretch>
                      <a:fillRect/>
                    </a:stretch>
                  </pic:blipFill>
                  <pic:spPr>
                    <a:xfrm>
                      <a:off x="0" y="0"/>
                      <a:ext cx="1773555" cy="539115"/>
                    </a:xfrm>
                    <a:prstGeom prst="rect">
                      <a:avLst/>
                    </a:prstGeom>
                    <a:noFill/>
                    <a:ln>
                      <a:noFill/>
                    </a:ln>
                  </pic:spPr>
                </pic:pic>
              </a:graphicData>
            </a:graphic>
          </wp:anchor>
        </w:drawing>
      </w:r>
    </w:p>
    <w:p w14:paraId="57D09651">
      <w:pPr>
        <w:pStyle w:val="8"/>
        <w:jc w:val="center"/>
        <w:rPr>
          <w:rFonts w:hint="eastAsia" w:ascii="仿宋" w:hAnsi="仿宋" w:eastAsia="仿宋" w:cs="仿宋"/>
          <w:b/>
          <w:bCs w:val="0"/>
          <w:color w:val="auto"/>
          <w:sz w:val="144"/>
          <w:szCs w:val="144"/>
          <w:highlight w:val="none"/>
          <w:lang w:eastAsia="zh-CN"/>
        </w:rPr>
      </w:pPr>
      <w:r>
        <w:rPr>
          <w:rFonts w:hint="eastAsia" w:ascii="仿宋" w:hAnsi="仿宋" w:eastAsia="仿宋" w:cs="仿宋"/>
          <w:b/>
          <w:bCs w:val="0"/>
          <w:color w:val="auto"/>
          <w:sz w:val="144"/>
          <w:szCs w:val="144"/>
          <w:highlight w:val="none"/>
          <w:lang w:val="en-US" w:eastAsia="zh-CN"/>
        </w:rPr>
        <w:t>采购</w:t>
      </w:r>
      <w:r>
        <w:rPr>
          <w:rFonts w:hint="eastAsia" w:ascii="仿宋" w:hAnsi="仿宋" w:eastAsia="仿宋" w:cs="仿宋"/>
          <w:b/>
          <w:bCs w:val="0"/>
          <w:color w:val="auto"/>
          <w:sz w:val="144"/>
          <w:szCs w:val="144"/>
          <w:highlight w:val="none"/>
          <w:lang w:eastAsia="zh-CN"/>
        </w:rPr>
        <w:t>文件</w:t>
      </w:r>
    </w:p>
    <w:p w14:paraId="322BB054">
      <w:pPr>
        <w:pStyle w:val="23"/>
        <w:jc w:val="center"/>
        <w:rPr>
          <w:rFonts w:hint="default"/>
          <w:color w:val="auto"/>
          <w:sz w:val="36"/>
          <w:szCs w:val="36"/>
          <w:highlight w:val="none"/>
          <w:lang w:val="en-US" w:eastAsia="zh-CN"/>
        </w:rPr>
      </w:pPr>
      <w:r>
        <w:rPr>
          <w:rFonts w:hint="eastAsia" w:ascii="仿宋" w:hAnsi="仿宋" w:eastAsia="仿宋" w:cs="仿宋"/>
          <w:b/>
          <w:color w:val="auto"/>
          <w:sz w:val="32"/>
          <w:szCs w:val="32"/>
          <w:highlight w:val="none"/>
          <w:lang w:val="en-US" w:eastAsia="zh-CN"/>
        </w:rPr>
        <w:t>项目名称：</w:t>
      </w:r>
      <w:r>
        <w:rPr>
          <w:rFonts w:hint="eastAsia" w:ascii="仿宋" w:hAnsi="仿宋" w:eastAsia="仿宋" w:cs="仿宋"/>
          <w:b/>
          <w:color w:val="auto"/>
          <w:sz w:val="32"/>
          <w:szCs w:val="32"/>
          <w:highlight w:val="none"/>
          <w:lang w:eastAsia="zh-CN"/>
        </w:rPr>
        <w:t>2026年春季珊瑚鲁能小学研学活动采购</w:t>
      </w:r>
    </w:p>
    <w:p w14:paraId="6E990233">
      <w:pPr>
        <w:pStyle w:val="8"/>
        <w:jc w:val="center"/>
        <w:rPr>
          <w:rFonts w:hint="eastAsia" w:ascii="仿宋" w:hAnsi="仿宋" w:eastAsia="仿宋" w:cs="仿宋"/>
          <w:b/>
          <w:color w:val="auto"/>
          <w:sz w:val="36"/>
          <w:szCs w:val="36"/>
          <w:highlight w:val="none"/>
        </w:rPr>
      </w:pPr>
    </w:p>
    <w:p w14:paraId="0CDE7BD4">
      <w:pPr>
        <w:pStyle w:val="8"/>
        <w:rPr>
          <w:rFonts w:hint="eastAsia" w:ascii="仿宋" w:hAnsi="仿宋" w:eastAsia="仿宋" w:cs="仿宋"/>
          <w:b/>
          <w:color w:val="auto"/>
          <w:sz w:val="36"/>
          <w:szCs w:val="36"/>
          <w:highlight w:val="none"/>
        </w:rPr>
      </w:pPr>
    </w:p>
    <w:p w14:paraId="29A99F1F">
      <w:pPr>
        <w:rPr>
          <w:rFonts w:hint="eastAsia" w:ascii="仿宋" w:hAnsi="仿宋" w:eastAsia="仿宋" w:cs="仿宋"/>
          <w:b/>
          <w:color w:val="auto"/>
          <w:sz w:val="36"/>
          <w:szCs w:val="36"/>
          <w:highlight w:val="none"/>
        </w:rPr>
      </w:pPr>
    </w:p>
    <w:p w14:paraId="6C765B60">
      <w:pPr>
        <w:pStyle w:val="25"/>
        <w:rPr>
          <w:rFonts w:hint="eastAsia"/>
          <w:color w:val="auto"/>
          <w:highlight w:val="none"/>
        </w:rPr>
      </w:pPr>
    </w:p>
    <w:p w14:paraId="6ABC0132">
      <w:pPr>
        <w:pStyle w:val="8"/>
        <w:rPr>
          <w:rFonts w:hint="eastAsia" w:ascii="仿宋" w:hAnsi="仿宋" w:eastAsia="仿宋" w:cs="仿宋"/>
          <w:b/>
          <w:color w:val="auto"/>
          <w:sz w:val="36"/>
          <w:szCs w:val="36"/>
          <w:highlight w:val="none"/>
        </w:rPr>
      </w:pPr>
    </w:p>
    <w:p w14:paraId="219410D4">
      <w:pPr>
        <w:rPr>
          <w:rFonts w:hint="eastAsia" w:ascii="仿宋" w:hAnsi="仿宋" w:eastAsia="仿宋" w:cs="仿宋"/>
          <w:b/>
          <w:color w:val="auto"/>
          <w:sz w:val="36"/>
          <w:szCs w:val="36"/>
          <w:highlight w:val="none"/>
        </w:rPr>
      </w:pPr>
    </w:p>
    <w:p w14:paraId="70D0F5CC">
      <w:pPr>
        <w:pStyle w:val="8"/>
        <w:rPr>
          <w:rFonts w:hint="eastAsia" w:ascii="仿宋" w:hAnsi="仿宋" w:eastAsia="仿宋" w:cs="仿宋"/>
          <w:b/>
          <w:color w:val="auto"/>
          <w:sz w:val="36"/>
          <w:szCs w:val="36"/>
          <w:highlight w:val="none"/>
        </w:rPr>
      </w:pPr>
    </w:p>
    <w:p w14:paraId="0AB6F28C">
      <w:pPr>
        <w:spacing w:line="700" w:lineRule="exact"/>
        <w:jc w:val="both"/>
        <w:rPr>
          <w:rFonts w:hint="eastAsia" w:ascii="仿宋" w:hAnsi="仿宋" w:eastAsia="仿宋" w:cs="仿宋"/>
          <w:b/>
          <w:color w:val="auto"/>
          <w:sz w:val="32"/>
          <w:szCs w:val="32"/>
          <w:highlight w:val="none"/>
          <w:lang w:eastAsia="zh-CN"/>
        </w:rPr>
      </w:pPr>
    </w:p>
    <w:p w14:paraId="7C1B59A5">
      <w:pPr>
        <w:spacing w:line="360" w:lineRule="auto"/>
        <w:ind w:firstLine="964" w:firstLineChars="300"/>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eastAsia="zh-CN"/>
        </w:rPr>
        <w:t>采</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lang w:eastAsia="zh-CN"/>
        </w:rPr>
        <w:t>购</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lang w:eastAsia="zh-CN"/>
        </w:rPr>
        <w:t>人：</w:t>
      </w:r>
      <w:r>
        <w:rPr>
          <w:rFonts w:hint="eastAsia" w:ascii="仿宋" w:hAnsi="仿宋" w:eastAsia="仿宋" w:cs="仿宋"/>
          <w:b/>
          <w:color w:val="auto"/>
          <w:sz w:val="32"/>
          <w:szCs w:val="32"/>
          <w:highlight w:val="none"/>
          <w:lang w:val="en-US" w:eastAsia="zh-CN"/>
        </w:rPr>
        <w:t>重庆市南岸区珊瑚鲁能小学校</w:t>
      </w:r>
    </w:p>
    <w:p w14:paraId="0CDC3565">
      <w:pPr>
        <w:spacing w:line="360" w:lineRule="auto"/>
        <w:ind w:firstLine="964" w:firstLineChars="300"/>
        <w:jc w:val="left"/>
        <w:rPr>
          <w:rFonts w:hint="default" w:ascii="仿宋" w:hAnsi="仿宋" w:eastAsia="仿宋" w:cs="仿宋"/>
          <w:b/>
          <w:color w:val="auto"/>
          <w:sz w:val="32"/>
          <w:szCs w:val="32"/>
          <w:highlight w:val="none"/>
          <w:lang w:val="en-US"/>
        </w:rPr>
      </w:pPr>
      <w:r>
        <w:rPr>
          <w:rFonts w:hint="eastAsia" w:ascii="仿宋" w:hAnsi="仿宋" w:eastAsia="仿宋" w:cs="仿宋"/>
          <w:b/>
          <w:color w:val="auto"/>
          <w:sz w:val="32"/>
          <w:szCs w:val="32"/>
          <w:highlight w:val="none"/>
        </w:rPr>
        <w:t>采购代理机构：重庆天合工程技术咨询有限公司</w:t>
      </w:r>
    </w:p>
    <w:p w14:paraId="4D878723">
      <w:pPr>
        <w:spacing w:line="360" w:lineRule="auto"/>
        <w:jc w:val="center"/>
        <w:rPr>
          <w:rFonts w:hint="eastAsia" w:ascii="仿宋" w:hAnsi="仿宋" w:eastAsia="仿宋" w:cs="仿宋"/>
          <w:color w:val="auto"/>
          <w:highlight w:val="none"/>
        </w:rPr>
        <w:sectPr>
          <w:headerReference r:id="rId3" w:type="default"/>
          <w:pgSz w:w="11907" w:h="16840"/>
          <w:pgMar w:top="1134" w:right="1247" w:bottom="1134" w:left="1247" w:header="851" w:footer="992" w:gutter="0"/>
          <w:pgNumType w:fmt="decimal" w:start="1"/>
          <w:cols w:space="720" w:num="1"/>
          <w:docGrid w:linePitch="381" w:charSpace="-5735"/>
        </w:sectPr>
      </w:pPr>
      <w:r>
        <w:rPr>
          <w:rFonts w:hint="eastAsia" w:ascii="仿宋" w:hAnsi="仿宋" w:eastAsia="仿宋" w:cs="仿宋"/>
          <w:b/>
          <w:color w:val="auto"/>
          <w:sz w:val="32"/>
          <w:szCs w:val="32"/>
          <w:highlight w:val="none"/>
        </w:rPr>
        <w:t>二〇二</w:t>
      </w:r>
      <w:r>
        <w:rPr>
          <w:rFonts w:hint="eastAsia" w:ascii="仿宋" w:hAnsi="仿宋" w:eastAsia="仿宋" w:cs="仿宋"/>
          <w:b/>
          <w:color w:val="auto"/>
          <w:sz w:val="32"/>
          <w:szCs w:val="32"/>
          <w:highlight w:val="none"/>
          <w:lang w:val="en-US" w:eastAsia="zh-CN"/>
        </w:rPr>
        <w:t>六</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五</w:t>
      </w:r>
      <w:r>
        <w:rPr>
          <w:rFonts w:hint="eastAsia" w:ascii="仿宋" w:hAnsi="仿宋" w:eastAsia="仿宋" w:cs="仿宋"/>
          <w:b/>
          <w:color w:val="auto"/>
          <w:sz w:val="32"/>
          <w:szCs w:val="32"/>
          <w:highlight w:val="none"/>
        </w:rPr>
        <w:t>月</w:t>
      </w:r>
    </w:p>
    <w:p w14:paraId="11198ABD">
      <w:pPr>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目  录</w:t>
      </w:r>
    </w:p>
    <w:p w14:paraId="357813AF">
      <w:pPr>
        <w:pStyle w:val="22"/>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TOC \o "1-3" \h \z \u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_Toc11097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szCs w:val="32"/>
          <w:highlight w:val="none"/>
        </w:rPr>
        <w:t xml:space="preserve">第一篇  </w:t>
      </w:r>
      <w:r>
        <w:rPr>
          <w:rFonts w:hint="eastAsia" w:ascii="仿宋" w:hAnsi="仿宋" w:eastAsia="仿宋" w:cs="仿宋"/>
          <w:bCs/>
          <w:color w:val="auto"/>
          <w:szCs w:val="32"/>
          <w:highlight w:val="none"/>
          <w:lang w:eastAsia="zh-CN"/>
        </w:rPr>
        <w:t>采购公告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_Toc11097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rPr>
        <w:fldChar w:fldCharType="end"/>
      </w:r>
    </w:p>
    <w:p w14:paraId="4D68837A">
      <w:pPr>
        <w:pStyle w:val="22"/>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_Toc25630 </w:instrText>
      </w:r>
      <w:r>
        <w:rPr>
          <w:rFonts w:hint="eastAsia" w:ascii="仿宋" w:hAnsi="仿宋" w:eastAsia="仿宋" w:cs="仿宋"/>
          <w:bCs/>
          <w:color w:val="auto"/>
          <w:szCs w:val="24"/>
          <w:highlight w:val="none"/>
        </w:rPr>
        <w:fldChar w:fldCharType="separate"/>
      </w:r>
      <w:r>
        <w:rPr>
          <w:rFonts w:hint="eastAsia" w:ascii="仿宋" w:hAnsi="仿宋" w:eastAsia="仿宋" w:cs="仿宋"/>
          <w:bCs/>
          <w:color w:val="auto"/>
          <w:szCs w:val="32"/>
          <w:highlight w:val="none"/>
        </w:rPr>
        <w:t>第</w:t>
      </w:r>
      <w:r>
        <w:rPr>
          <w:rFonts w:hint="eastAsia" w:ascii="仿宋" w:hAnsi="仿宋" w:eastAsia="仿宋" w:cs="仿宋"/>
          <w:bCs/>
          <w:color w:val="auto"/>
          <w:szCs w:val="32"/>
          <w:highlight w:val="none"/>
          <w:lang w:val="en-US" w:eastAsia="zh-CN"/>
        </w:rPr>
        <w:t>二</w:t>
      </w:r>
      <w:r>
        <w:rPr>
          <w:rFonts w:hint="eastAsia" w:ascii="仿宋" w:hAnsi="仿宋" w:eastAsia="仿宋" w:cs="仿宋"/>
          <w:bCs/>
          <w:color w:val="auto"/>
          <w:szCs w:val="32"/>
          <w:highlight w:val="none"/>
        </w:rPr>
        <w:t>篇  项目服务需求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_Toc25630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49CA108A">
      <w:pPr>
        <w:pStyle w:val="22"/>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_Toc412 </w:instrText>
      </w:r>
      <w:r>
        <w:rPr>
          <w:rFonts w:hint="eastAsia" w:ascii="仿宋" w:hAnsi="仿宋" w:eastAsia="仿宋" w:cs="仿宋"/>
          <w:bCs/>
          <w:color w:val="auto"/>
          <w:szCs w:val="24"/>
          <w:highlight w:val="none"/>
        </w:rPr>
        <w:fldChar w:fldCharType="separate"/>
      </w:r>
      <w:r>
        <w:rPr>
          <w:rFonts w:hint="eastAsia" w:ascii="仿宋" w:hAnsi="仿宋" w:eastAsia="仿宋" w:cs="仿宋"/>
          <w:bCs/>
          <w:color w:val="auto"/>
          <w:szCs w:val="32"/>
          <w:highlight w:val="none"/>
        </w:rPr>
        <w:t>第</w:t>
      </w:r>
      <w:r>
        <w:rPr>
          <w:rFonts w:hint="eastAsia" w:ascii="仿宋" w:hAnsi="仿宋" w:eastAsia="仿宋" w:cs="仿宋"/>
          <w:bCs/>
          <w:color w:val="auto"/>
          <w:szCs w:val="32"/>
          <w:highlight w:val="none"/>
          <w:lang w:val="en-US" w:eastAsia="zh-CN"/>
        </w:rPr>
        <w:t>三</w:t>
      </w:r>
      <w:r>
        <w:rPr>
          <w:rFonts w:hint="eastAsia" w:ascii="仿宋" w:hAnsi="仿宋" w:eastAsia="仿宋" w:cs="仿宋"/>
          <w:bCs/>
          <w:color w:val="auto"/>
          <w:szCs w:val="32"/>
          <w:highlight w:val="none"/>
        </w:rPr>
        <w:t xml:space="preserve">篇  </w:t>
      </w:r>
      <w:r>
        <w:rPr>
          <w:rFonts w:hint="eastAsia" w:ascii="仿宋" w:hAnsi="仿宋" w:eastAsia="仿宋" w:cs="仿宋"/>
          <w:bCs/>
          <w:color w:val="auto"/>
          <w:szCs w:val="32"/>
          <w:highlight w:val="none"/>
          <w:lang w:val="en-US" w:eastAsia="zh-CN"/>
        </w:rPr>
        <w:t>项目</w:t>
      </w:r>
      <w:r>
        <w:rPr>
          <w:rFonts w:hint="eastAsia" w:ascii="仿宋" w:hAnsi="仿宋" w:eastAsia="仿宋" w:cs="仿宋"/>
          <w:bCs/>
          <w:color w:val="auto"/>
          <w:szCs w:val="32"/>
          <w:highlight w:val="none"/>
        </w:rPr>
        <w:t>商务要求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_Toc412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2B613844">
      <w:pPr>
        <w:pStyle w:val="22"/>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_Toc27973 </w:instrText>
      </w:r>
      <w:r>
        <w:rPr>
          <w:rFonts w:hint="eastAsia" w:ascii="仿宋" w:hAnsi="仿宋" w:eastAsia="仿宋" w:cs="仿宋"/>
          <w:bCs/>
          <w:color w:val="auto"/>
          <w:szCs w:val="24"/>
          <w:highlight w:val="none"/>
        </w:rPr>
        <w:fldChar w:fldCharType="separate"/>
      </w:r>
      <w:r>
        <w:rPr>
          <w:rFonts w:hint="eastAsia" w:ascii="仿宋" w:hAnsi="仿宋" w:eastAsia="仿宋" w:cs="仿宋"/>
          <w:bCs/>
          <w:color w:val="auto"/>
          <w:szCs w:val="32"/>
          <w:highlight w:val="none"/>
          <w:lang w:val="en-US" w:eastAsia="zh-CN"/>
        </w:rPr>
        <w:t>第四篇  资格审查及评标办法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_Toc27973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6484C018">
      <w:pPr>
        <w:pStyle w:val="22"/>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_Toc27619 </w:instrText>
      </w:r>
      <w:r>
        <w:rPr>
          <w:rFonts w:hint="eastAsia" w:ascii="仿宋" w:hAnsi="仿宋" w:eastAsia="仿宋" w:cs="仿宋"/>
          <w:bCs/>
          <w:color w:val="auto"/>
          <w:szCs w:val="24"/>
          <w:highlight w:val="none"/>
        </w:rPr>
        <w:fldChar w:fldCharType="separate"/>
      </w:r>
      <w:r>
        <w:rPr>
          <w:rFonts w:hint="eastAsia" w:ascii="仿宋" w:hAnsi="仿宋" w:eastAsia="仿宋" w:cs="仿宋"/>
          <w:bCs/>
          <w:color w:val="auto"/>
          <w:szCs w:val="32"/>
          <w:highlight w:val="none"/>
        </w:rPr>
        <w:t>第</w:t>
      </w:r>
      <w:r>
        <w:rPr>
          <w:rFonts w:hint="eastAsia" w:ascii="仿宋" w:hAnsi="仿宋" w:eastAsia="仿宋" w:cs="仿宋"/>
          <w:bCs/>
          <w:color w:val="auto"/>
          <w:szCs w:val="32"/>
          <w:highlight w:val="none"/>
          <w:lang w:val="en-US" w:eastAsia="zh-CN"/>
        </w:rPr>
        <w:t>五</w:t>
      </w:r>
      <w:r>
        <w:rPr>
          <w:rFonts w:hint="eastAsia" w:ascii="仿宋" w:hAnsi="仿宋" w:eastAsia="仿宋" w:cs="仿宋"/>
          <w:bCs/>
          <w:color w:val="auto"/>
          <w:szCs w:val="32"/>
          <w:highlight w:val="none"/>
        </w:rPr>
        <w:t>篇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_Toc27619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486C398C">
      <w:pPr>
        <w:pStyle w:val="22"/>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_Toc26968 </w:instrText>
      </w:r>
      <w:r>
        <w:rPr>
          <w:rFonts w:hint="eastAsia" w:ascii="仿宋" w:hAnsi="仿宋" w:eastAsia="仿宋" w:cs="仿宋"/>
          <w:bCs/>
          <w:color w:val="auto"/>
          <w:szCs w:val="24"/>
          <w:highlight w:val="none"/>
        </w:rPr>
        <w:fldChar w:fldCharType="separate"/>
      </w:r>
      <w:r>
        <w:rPr>
          <w:rFonts w:hint="eastAsia" w:ascii="仿宋" w:hAnsi="仿宋" w:eastAsia="仿宋" w:cs="仿宋"/>
          <w:bCs/>
          <w:color w:val="auto"/>
          <w:szCs w:val="32"/>
          <w:highlight w:val="none"/>
        </w:rPr>
        <w:t>第</w:t>
      </w:r>
      <w:r>
        <w:rPr>
          <w:rFonts w:hint="eastAsia" w:ascii="仿宋" w:hAnsi="仿宋" w:eastAsia="仿宋" w:cs="仿宋"/>
          <w:bCs/>
          <w:color w:val="auto"/>
          <w:szCs w:val="32"/>
          <w:highlight w:val="none"/>
          <w:lang w:val="en-US" w:eastAsia="zh-CN"/>
        </w:rPr>
        <w:t>六</w:t>
      </w:r>
      <w:r>
        <w:rPr>
          <w:rFonts w:hint="eastAsia" w:ascii="仿宋" w:hAnsi="仿宋" w:eastAsia="仿宋" w:cs="仿宋"/>
          <w:bCs/>
          <w:color w:val="auto"/>
          <w:szCs w:val="32"/>
          <w:highlight w:val="none"/>
        </w:rPr>
        <w:t>篇  合同主要条款和格式合同（样本）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_Toc26968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19</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3F640FEF">
      <w:pPr>
        <w:pStyle w:val="22"/>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_Toc11628 </w:instrText>
      </w:r>
      <w:r>
        <w:rPr>
          <w:rFonts w:hint="eastAsia" w:ascii="仿宋" w:hAnsi="仿宋" w:eastAsia="仿宋" w:cs="仿宋"/>
          <w:bCs/>
          <w:color w:val="auto"/>
          <w:szCs w:val="24"/>
          <w:highlight w:val="none"/>
        </w:rPr>
        <w:fldChar w:fldCharType="separate"/>
      </w:r>
      <w:r>
        <w:rPr>
          <w:rFonts w:hint="eastAsia" w:ascii="仿宋" w:hAnsi="仿宋" w:eastAsia="仿宋" w:cs="仿宋"/>
          <w:bCs/>
          <w:color w:val="auto"/>
          <w:szCs w:val="32"/>
          <w:highlight w:val="none"/>
        </w:rPr>
        <w:t>第</w:t>
      </w:r>
      <w:r>
        <w:rPr>
          <w:rFonts w:hint="eastAsia" w:ascii="仿宋" w:hAnsi="仿宋" w:eastAsia="仿宋" w:cs="仿宋"/>
          <w:bCs/>
          <w:color w:val="auto"/>
          <w:szCs w:val="32"/>
          <w:highlight w:val="none"/>
          <w:lang w:val="en-US" w:eastAsia="zh-CN"/>
        </w:rPr>
        <w:t>七</w:t>
      </w:r>
      <w:r>
        <w:rPr>
          <w:rFonts w:hint="eastAsia" w:ascii="仿宋" w:hAnsi="仿宋" w:eastAsia="仿宋" w:cs="仿宋"/>
          <w:bCs/>
          <w:color w:val="auto"/>
          <w:szCs w:val="32"/>
          <w:highlight w:val="none"/>
        </w:rPr>
        <w:t>篇  响应文件格式要求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_Toc11628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674A19AA">
      <w:pPr>
        <w:pStyle w:val="13"/>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_Toc9358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28"/>
          <w:highlight w:val="none"/>
        </w:rPr>
        <w:t>一、经济部分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_Toc9358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39CCD64D">
      <w:pPr>
        <w:pStyle w:val="13"/>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_Toc24658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28"/>
          <w:highlight w:val="none"/>
        </w:rPr>
        <w:t>二、</w:t>
      </w:r>
      <w:r>
        <w:rPr>
          <w:rFonts w:hint="eastAsia" w:ascii="仿宋" w:hAnsi="仿宋" w:eastAsia="仿宋" w:cs="仿宋"/>
          <w:color w:val="auto"/>
          <w:szCs w:val="28"/>
          <w:highlight w:val="none"/>
          <w:lang w:val="en-US" w:eastAsia="zh-CN"/>
        </w:rPr>
        <w:t>服务</w:t>
      </w:r>
      <w:r>
        <w:rPr>
          <w:rFonts w:hint="eastAsia" w:ascii="仿宋" w:hAnsi="仿宋" w:eastAsia="仿宋" w:cs="仿宋"/>
          <w:color w:val="auto"/>
          <w:szCs w:val="28"/>
          <w:highlight w:val="none"/>
        </w:rPr>
        <w:t>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_Toc24658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2AA9C3CB">
      <w:pPr>
        <w:pStyle w:val="13"/>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_Toc7672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28"/>
          <w:highlight w:val="none"/>
        </w:rPr>
        <w:t>三、商务部分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_Toc7672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28</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1F217B9D">
      <w:pPr>
        <w:pStyle w:val="13"/>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_Toc21733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28"/>
          <w:highlight w:val="none"/>
        </w:rPr>
        <w:t>四、资格条件及其他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_Toc21733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30</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4D245349">
      <w:pPr>
        <w:pStyle w:val="13"/>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_Toc22647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28"/>
          <w:highlight w:val="none"/>
        </w:rPr>
        <w:t>五、其他应提供的资料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_Toc22647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35</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706F68A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 w:val="24"/>
          <w:szCs w:val="24"/>
          <w:highlight w:val="none"/>
        </w:rPr>
        <w:sectPr>
          <w:headerReference r:id="rId5" w:type="first"/>
          <w:footerReference r:id="rId7" w:type="first"/>
          <w:headerReference r:id="rId4" w:type="default"/>
          <w:footerReference r:id="rId6" w:type="default"/>
          <w:pgSz w:w="11907" w:h="16840"/>
          <w:pgMar w:top="1440" w:right="1797" w:bottom="1440" w:left="1797" w:header="851" w:footer="992" w:gutter="0"/>
          <w:pgNumType w:fmt="numberInDash" w:start="1"/>
          <w:cols w:space="720" w:num="1"/>
          <w:titlePg/>
          <w:docGrid w:type="lines" w:linePitch="380" w:charSpace="-5735"/>
        </w:sectPr>
      </w:pPr>
      <w:r>
        <w:rPr>
          <w:rFonts w:hint="eastAsia" w:ascii="仿宋" w:hAnsi="仿宋" w:eastAsia="仿宋" w:cs="仿宋"/>
          <w:bCs/>
          <w:color w:val="auto"/>
          <w:szCs w:val="24"/>
          <w:highlight w:val="none"/>
        </w:rPr>
        <w:fldChar w:fldCharType="end"/>
      </w:r>
    </w:p>
    <w:p w14:paraId="4F05514E">
      <w:pPr>
        <w:pStyle w:val="3"/>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32"/>
          <w:szCs w:val="32"/>
          <w:highlight w:val="none"/>
          <w:lang w:eastAsia="zh-CN"/>
        </w:rPr>
      </w:pPr>
      <w:bookmarkStart w:id="0" w:name="_Toc152480139"/>
      <w:bookmarkStart w:id="1" w:name="_Toc11097"/>
      <w:bookmarkStart w:id="2" w:name="_Toc12789052"/>
      <w:bookmarkStart w:id="3" w:name="_Toc11641050"/>
      <w:bookmarkStart w:id="4" w:name="_Toc128744981"/>
      <w:r>
        <w:rPr>
          <w:rStyle w:val="36"/>
          <w:rFonts w:hint="eastAsia" w:ascii="仿宋" w:hAnsi="仿宋" w:eastAsia="仿宋" w:cs="仿宋"/>
          <w:b/>
          <w:bCs/>
          <w:color w:val="auto"/>
          <w:sz w:val="32"/>
          <w:szCs w:val="32"/>
          <w:highlight w:val="none"/>
        </w:rPr>
        <w:t xml:space="preserve">第一篇  </w:t>
      </w:r>
      <w:bookmarkEnd w:id="0"/>
      <w:r>
        <w:rPr>
          <w:rStyle w:val="36"/>
          <w:rFonts w:hint="eastAsia" w:ascii="仿宋" w:hAnsi="仿宋" w:eastAsia="仿宋" w:cs="仿宋"/>
          <w:b/>
          <w:bCs/>
          <w:color w:val="auto"/>
          <w:sz w:val="32"/>
          <w:szCs w:val="32"/>
          <w:highlight w:val="none"/>
          <w:lang w:eastAsia="zh-CN"/>
        </w:rPr>
        <w:t>采购公告</w:t>
      </w:r>
      <w:bookmarkEnd w:id="1"/>
    </w:p>
    <w:p w14:paraId="02DEEA3D">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bookmarkStart w:id="5" w:name="_Toc379619850"/>
      <w:r>
        <w:rPr>
          <w:rFonts w:hint="eastAsia" w:ascii="仿宋" w:hAnsi="仿宋" w:eastAsia="仿宋" w:cs="仿宋"/>
          <w:color w:val="auto"/>
          <w:sz w:val="24"/>
          <w:szCs w:val="24"/>
          <w:highlight w:val="none"/>
          <w:u w:val="single"/>
          <w:lang w:eastAsia="zh-CN"/>
        </w:rPr>
        <w:t>重庆天合工程技术咨询有限公司</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u w:val="single"/>
          <w:lang w:val="en-US" w:eastAsia="zh-CN"/>
        </w:rPr>
        <w:t>重庆市南岸区珊瑚鲁能小学校</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val="en-US" w:eastAsia="zh-CN"/>
        </w:rPr>
        <w:t>2026年春季珊瑚鲁能小学研学活动采购</w:t>
      </w:r>
      <w:r>
        <w:rPr>
          <w:rFonts w:hint="eastAsia" w:ascii="仿宋" w:hAnsi="仿宋" w:eastAsia="仿宋" w:cs="仿宋"/>
          <w:color w:val="auto"/>
          <w:sz w:val="24"/>
          <w:szCs w:val="24"/>
          <w:highlight w:val="none"/>
        </w:rPr>
        <w:t>进行采购。欢迎具备相关资质的供应商参加</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w:t>
      </w:r>
      <w:bookmarkStart w:id="136" w:name="_GoBack"/>
      <w:bookmarkEnd w:id="136"/>
    </w:p>
    <w:p w14:paraId="76B82F75">
      <w:pPr>
        <w:pStyle w:val="4"/>
        <w:pageBreakBefore w:val="0"/>
        <w:numPr>
          <w:ilvl w:val="0"/>
          <w:numId w:val="0"/>
        </w:numPr>
        <w:kinsoku/>
        <w:wordWrap/>
        <w:overflowPunct/>
        <w:topLinePunct w:val="0"/>
        <w:autoSpaceDE/>
        <w:autoSpaceDN/>
        <w:bidi w:val="0"/>
        <w:spacing w:before="0" w:after="0" w:line="360" w:lineRule="auto"/>
        <w:jc w:val="left"/>
        <w:textAlignment w:val="auto"/>
        <w:rPr>
          <w:rFonts w:hint="eastAsia" w:ascii="仿宋" w:hAnsi="仿宋" w:eastAsia="仿宋" w:cs="仿宋"/>
          <w:color w:val="auto"/>
          <w:sz w:val="24"/>
          <w:szCs w:val="24"/>
          <w:highlight w:val="none"/>
        </w:rPr>
      </w:pPr>
      <w:bookmarkStart w:id="6" w:name="_Toc24133"/>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项目内容</w:t>
      </w:r>
      <w:bookmarkEnd w:id="5"/>
      <w:bookmarkEnd w:id="6"/>
    </w:p>
    <w:tbl>
      <w:tblPr>
        <w:tblStyle w:val="26"/>
        <w:tblW w:w="10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3079"/>
        <w:gridCol w:w="1818"/>
        <w:gridCol w:w="1784"/>
        <w:gridCol w:w="1262"/>
        <w:gridCol w:w="1462"/>
      </w:tblGrid>
      <w:tr w14:paraId="1FC7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3" w:type="dxa"/>
            <w:noWrap w:val="0"/>
            <w:vAlign w:val="center"/>
          </w:tcPr>
          <w:p w14:paraId="0F66DB13">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3079" w:type="dxa"/>
            <w:noWrap w:val="0"/>
            <w:vAlign w:val="center"/>
          </w:tcPr>
          <w:p w14:paraId="4485286C">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项目名称</w:t>
            </w:r>
          </w:p>
        </w:tc>
        <w:tc>
          <w:tcPr>
            <w:tcW w:w="1818" w:type="dxa"/>
            <w:noWrap w:val="0"/>
            <w:vAlign w:val="center"/>
          </w:tcPr>
          <w:p w14:paraId="5E5ED734">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采购预算（</w:t>
            </w:r>
            <w:r>
              <w:rPr>
                <w:rFonts w:hint="eastAsia" w:ascii="仿宋" w:hAnsi="仿宋" w:eastAsia="仿宋" w:cs="仿宋"/>
                <w:b/>
                <w:bCs/>
                <w:color w:val="auto"/>
                <w:kern w:val="0"/>
                <w:sz w:val="24"/>
                <w:szCs w:val="24"/>
                <w:highlight w:val="none"/>
                <w:lang w:val="en-US" w:eastAsia="zh-CN"/>
              </w:rPr>
              <w:t>元</w:t>
            </w:r>
            <w:r>
              <w:rPr>
                <w:rFonts w:hint="eastAsia" w:ascii="仿宋" w:hAnsi="仿宋" w:eastAsia="仿宋" w:cs="仿宋"/>
                <w:b/>
                <w:bCs/>
                <w:color w:val="auto"/>
                <w:kern w:val="0"/>
                <w:sz w:val="24"/>
                <w:szCs w:val="24"/>
                <w:highlight w:val="none"/>
                <w:lang w:eastAsia="zh-CN"/>
              </w:rPr>
              <w:t>）</w:t>
            </w:r>
          </w:p>
        </w:tc>
        <w:tc>
          <w:tcPr>
            <w:tcW w:w="1784" w:type="dxa"/>
            <w:noWrap w:val="0"/>
            <w:vAlign w:val="center"/>
          </w:tcPr>
          <w:p w14:paraId="42D64C43">
            <w:pPr>
              <w:pageBreakBefore w:val="0"/>
              <w:widowControl/>
              <w:kinsoku/>
              <w:wordWrap/>
              <w:overflowPunct/>
              <w:topLinePunct w:val="0"/>
              <w:autoSpaceDE/>
              <w:autoSpaceDN/>
              <w:bidi w:val="0"/>
              <w:spacing w:line="360" w:lineRule="auto"/>
              <w:jc w:val="center"/>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采购单价限价（元/人）</w:t>
            </w:r>
          </w:p>
        </w:tc>
        <w:tc>
          <w:tcPr>
            <w:tcW w:w="1262" w:type="dxa"/>
            <w:noWrap w:val="0"/>
            <w:vAlign w:val="center"/>
          </w:tcPr>
          <w:p w14:paraId="3B52318E">
            <w:pPr>
              <w:pStyle w:val="12"/>
              <w:pageBreakBefore w:val="0"/>
              <w:kinsoku/>
              <w:wordWrap/>
              <w:overflowPunct/>
              <w:topLinePunct w:val="0"/>
              <w:autoSpaceDE/>
              <w:autoSpaceDN/>
              <w:bidi w:val="0"/>
              <w:spacing w:line="360" w:lineRule="auto"/>
              <w:ind w:left="0"/>
              <w:jc w:val="center"/>
              <w:textAlignment w:val="auto"/>
              <w:outlineLvl w:val="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预估人数（人）</w:t>
            </w:r>
          </w:p>
        </w:tc>
        <w:tc>
          <w:tcPr>
            <w:tcW w:w="1462" w:type="dxa"/>
            <w:shd w:val="clear" w:color="auto" w:fill="auto"/>
            <w:noWrap w:val="0"/>
            <w:vAlign w:val="center"/>
          </w:tcPr>
          <w:p w14:paraId="0F234FF7">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rPr>
              <w:t>成交供应商数量（名）</w:t>
            </w:r>
          </w:p>
        </w:tc>
      </w:tr>
      <w:tr w14:paraId="28CA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03" w:type="dxa"/>
            <w:noWrap w:val="0"/>
            <w:vAlign w:val="center"/>
          </w:tcPr>
          <w:p w14:paraId="5F5A1F1A">
            <w:pPr>
              <w:pStyle w:val="37"/>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079" w:type="dxa"/>
            <w:noWrap w:val="0"/>
            <w:vAlign w:val="center"/>
          </w:tcPr>
          <w:p w14:paraId="51247C3B">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2026年春季珊瑚鲁能小学研学活动采购</w:t>
            </w:r>
          </w:p>
        </w:tc>
        <w:tc>
          <w:tcPr>
            <w:tcW w:w="1818" w:type="dxa"/>
            <w:shd w:val="clear" w:color="auto" w:fill="auto"/>
            <w:noWrap w:val="0"/>
            <w:vAlign w:val="center"/>
          </w:tcPr>
          <w:p w14:paraId="6A8427ED">
            <w:pPr>
              <w:pageBreakBefore w:val="0"/>
              <w:widowControl/>
              <w:kinsoku/>
              <w:wordWrap/>
              <w:overflowPunct/>
              <w:topLinePunct w:val="0"/>
              <w:autoSpaceDE/>
              <w:autoSpaceDN/>
              <w:bidi w:val="0"/>
              <w:spacing w:line="360" w:lineRule="auto"/>
              <w:jc w:val="center"/>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408760.00</w:t>
            </w:r>
          </w:p>
        </w:tc>
        <w:tc>
          <w:tcPr>
            <w:tcW w:w="1784" w:type="dxa"/>
            <w:noWrap w:val="0"/>
            <w:vAlign w:val="center"/>
          </w:tcPr>
          <w:p w14:paraId="714CB945">
            <w:pPr>
              <w:pageBreakBefore w:val="0"/>
              <w:widowControl/>
              <w:kinsoku/>
              <w:wordWrap/>
              <w:overflowPunct/>
              <w:topLinePunct w:val="0"/>
              <w:autoSpaceDE/>
              <w:autoSpaceDN/>
              <w:bidi w:val="0"/>
              <w:spacing w:line="36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220</w:t>
            </w:r>
          </w:p>
        </w:tc>
        <w:tc>
          <w:tcPr>
            <w:tcW w:w="1262" w:type="dxa"/>
            <w:noWrap w:val="0"/>
            <w:vAlign w:val="center"/>
          </w:tcPr>
          <w:p w14:paraId="1F3216EE">
            <w:pPr>
              <w:pageBreakBefore w:val="0"/>
              <w:widowControl/>
              <w:kinsoku/>
              <w:wordWrap/>
              <w:overflowPunct/>
              <w:topLinePunct w:val="0"/>
              <w:autoSpaceDE/>
              <w:autoSpaceDN/>
              <w:bidi w:val="0"/>
              <w:spacing w:line="36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1858</w:t>
            </w:r>
          </w:p>
        </w:tc>
        <w:tc>
          <w:tcPr>
            <w:tcW w:w="1462" w:type="dxa"/>
            <w:shd w:val="clear" w:color="auto" w:fill="auto"/>
            <w:noWrap w:val="0"/>
            <w:vAlign w:val="center"/>
          </w:tcPr>
          <w:p w14:paraId="46ECBA08">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r>
    </w:tbl>
    <w:p w14:paraId="6F4A434B">
      <w:pPr>
        <w:pStyle w:val="4"/>
        <w:pageBreakBefore w:val="0"/>
        <w:numPr>
          <w:ilvl w:val="0"/>
          <w:numId w:val="3"/>
        </w:numPr>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lang w:val="en-US" w:eastAsia="zh-CN"/>
        </w:rPr>
      </w:pPr>
      <w:bookmarkStart w:id="7" w:name="_Toc27485"/>
      <w:bookmarkStart w:id="8" w:name="_Toc152480140"/>
      <w:r>
        <w:rPr>
          <w:rFonts w:hint="eastAsia" w:ascii="仿宋" w:hAnsi="仿宋" w:eastAsia="仿宋" w:cs="仿宋"/>
          <w:color w:val="auto"/>
          <w:sz w:val="24"/>
          <w:szCs w:val="24"/>
          <w:highlight w:val="none"/>
          <w:lang w:val="en-US" w:eastAsia="zh-CN"/>
        </w:rPr>
        <w:t>采购预算金额</w:t>
      </w:r>
    </w:p>
    <w:p w14:paraId="625519FC">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yellow"/>
          <w:lang w:val="en-US" w:eastAsia="zh-CN"/>
        </w:rPr>
      </w:pPr>
      <w:r>
        <w:rPr>
          <w:rFonts w:hint="eastAsia" w:ascii="仿宋" w:hAnsi="仿宋" w:eastAsia="仿宋" w:cs="仿宋"/>
          <w:strike w:val="0"/>
          <w:dstrike w:val="0"/>
          <w:color w:val="auto"/>
          <w:sz w:val="24"/>
          <w:highlight w:val="none"/>
          <w:lang w:val="en-US" w:eastAsia="zh-CN"/>
        </w:rPr>
        <w:t>自筹资金</w:t>
      </w:r>
    </w:p>
    <w:p w14:paraId="5D58FC33">
      <w:pPr>
        <w:pStyle w:val="4"/>
        <w:pageBreakBefore w:val="0"/>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、资格要求</w:t>
      </w:r>
      <w:bookmarkEnd w:id="7"/>
    </w:p>
    <w:p w14:paraId="37352148">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供应商是指向采购人提供服务或者货物的法人、其他组织或者自然人。合格的供应商应符合政府采购法第二十二条规定的基本资格条件和采购方设置的特定资格条件。</w:t>
      </w:r>
    </w:p>
    <w:p w14:paraId="5FCBBDDC">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bookmarkStart w:id="9" w:name="_Toc487204774"/>
      <w:bookmarkStart w:id="10" w:name="_Toc1359"/>
      <w:r>
        <w:rPr>
          <w:rFonts w:hint="eastAsia" w:ascii="仿宋" w:hAnsi="仿宋" w:eastAsia="仿宋" w:cs="仿宋"/>
          <w:color w:val="auto"/>
          <w:sz w:val="24"/>
          <w:szCs w:val="24"/>
          <w:highlight w:val="none"/>
        </w:rPr>
        <w:t>（一）基本</w:t>
      </w:r>
      <w:r>
        <w:rPr>
          <w:rFonts w:hint="eastAsia" w:ascii="仿宋" w:hAnsi="仿宋" w:eastAsia="仿宋" w:cs="仿宋"/>
          <w:color w:val="auto"/>
          <w:sz w:val="24"/>
          <w:szCs w:val="24"/>
          <w:highlight w:val="none"/>
          <w:lang w:val="en-US" w:eastAsia="zh-CN"/>
        </w:rPr>
        <w:t>资格</w:t>
      </w:r>
      <w:r>
        <w:rPr>
          <w:rFonts w:hint="eastAsia" w:ascii="仿宋" w:hAnsi="仿宋" w:eastAsia="仿宋" w:cs="仿宋"/>
          <w:color w:val="auto"/>
          <w:sz w:val="24"/>
          <w:szCs w:val="24"/>
          <w:highlight w:val="none"/>
        </w:rPr>
        <w:t>条件</w:t>
      </w:r>
    </w:p>
    <w:p w14:paraId="7B9E12D0">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1B5A69F0">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2C09F7D6">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6380593F">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031B31CC">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14:paraId="589EDE7B">
      <w:pPr>
        <w:pageBreakBefore w:val="0"/>
        <w:tabs>
          <w:tab w:val="left" w:pos="630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4A6C3EBA">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rPr>
        <w:t>（二）特定资格条件</w:t>
      </w:r>
      <w:bookmarkStart w:id="11" w:name="_Toc7308"/>
      <w:r>
        <w:rPr>
          <w:rFonts w:hint="eastAsia" w:ascii="仿宋" w:hAnsi="仿宋" w:eastAsia="仿宋" w:cs="仿宋"/>
          <w:color w:val="auto"/>
          <w:sz w:val="24"/>
          <w:szCs w:val="24"/>
          <w:highlight w:val="none"/>
          <w:lang w:eastAsia="zh-CN"/>
        </w:rPr>
        <w:t>：供应商须具备有效期内的旅行社业务经营许可证（提供证书复印件并加盖供应商公章）</w:t>
      </w:r>
      <w:r>
        <w:rPr>
          <w:rFonts w:hint="eastAsia" w:ascii="仿宋" w:hAnsi="仿宋" w:eastAsia="仿宋" w:cs="仿宋"/>
          <w:b w:val="0"/>
          <w:bCs w:val="0"/>
          <w:color w:val="auto"/>
          <w:kern w:val="2"/>
          <w:sz w:val="24"/>
          <w:szCs w:val="24"/>
          <w:highlight w:val="none"/>
          <w:lang w:val="en-US" w:eastAsia="zh-CN" w:bidi="ar-SA"/>
        </w:rPr>
        <w:t>。</w:t>
      </w:r>
    </w:p>
    <w:p w14:paraId="7123FB4E">
      <w:pPr>
        <w:pStyle w:val="4"/>
        <w:pageBreakBefore w:val="0"/>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有关说明</w:t>
      </w:r>
      <w:bookmarkEnd w:id="9"/>
      <w:bookmarkEnd w:id="10"/>
      <w:bookmarkEnd w:id="11"/>
    </w:p>
    <w:p w14:paraId="35186E4D">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bookmarkStart w:id="12" w:name="_Toc6018"/>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需通过重庆市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t>）进行注册。</w:t>
      </w:r>
    </w:p>
    <w:p w14:paraId="04204D75">
      <w:pPr>
        <w:snapToGrid w:val="0"/>
        <w:spacing w:line="360" w:lineRule="auto"/>
        <w:ind w:firstLine="480" w:firstLineChars="200"/>
        <w:rPr>
          <w:rFonts w:ascii="仿宋" w:hAnsi="仿宋" w:eastAsia="仿宋" w:cs="仿宋"/>
          <w:color w:val="auto"/>
          <w:sz w:val="24"/>
          <w:szCs w:val="24"/>
          <w:highlight w:val="none"/>
        </w:rPr>
      </w:pPr>
      <w:bookmarkStart w:id="13" w:name="_Toc1606"/>
      <w:bookmarkStart w:id="14" w:name="_Toc403569774"/>
      <w:r>
        <w:rPr>
          <w:rFonts w:hint="eastAsia" w:ascii="仿宋" w:hAnsi="仿宋" w:eastAsia="仿宋" w:cs="仿宋"/>
          <w:color w:val="auto"/>
          <w:sz w:val="24"/>
          <w:szCs w:val="24"/>
          <w:highlight w:val="none"/>
        </w:rPr>
        <w:t>（二）凡有意参加采购的供应商，请于公告发布之日起至提交首次响应文件截止时间之前，在“重庆市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t>）”下载本项目</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以及补遗等采购前公布的所有项目资料，无论供应商下载与否，均视为已知晓所有采购实质性要求内容。</w:t>
      </w:r>
    </w:p>
    <w:p w14:paraId="3E2A89A5">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（三）网上采购报名</w:t>
      </w:r>
    </w:p>
    <w:p w14:paraId="765FFF5F">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供应商在2026年 5月14日17：00前将《采购文件获取表》（加盖供应商公章）扫描后发送至指定邮箱：1183645255@qq.com，其报名才被接收。</w:t>
      </w:r>
    </w:p>
    <w:p w14:paraId="2DCC5BD1">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工本费：人民币300元/份（售后不退），由供应商在现场投标时将纸质响应文件和工本费一并递交。</w:t>
      </w:r>
    </w:p>
    <w:p w14:paraId="7B7C9AD0">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（四）线上报价</w:t>
      </w:r>
    </w:p>
    <w:p w14:paraId="35BD14FA">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1.线上报价时间：按本项目网上公告规定的报价截止时间为准。</w:t>
      </w:r>
    </w:p>
    <w:p w14:paraId="08441154">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线上报价要求：按本项目规定的时间在“重庆市行采家（https://www.gec123.com/）”进行网上报价，并在规定的时间内上传响应文件电子文档。未在规定时间内报价和上传响应文件电子文档的供应商不具备竞标资格。</w:t>
      </w:r>
    </w:p>
    <w:p w14:paraId="611BF9A4">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3.供应商制作的响应文件电子文档，须按照要求制作，规定签字、盖章的地方必须按其规定签字、盖章，未按要求制作响应文件的按无效投标处理。</w:t>
      </w:r>
    </w:p>
    <w:p w14:paraId="426D929B">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（五）线下纸质文件递交：</w:t>
      </w:r>
    </w:p>
    <w:p w14:paraId="366DD431">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1.递交响应文件地点：重庆市南岸区珊瑚鲁能小学校会议室。</w:t>
      </w:r>
    </w:p>
    <w:p w14:paraId="21F4CE1F">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2.响应文件递交开始时间：2026年5月15日北京时间14:30时；</w:t>
      </w:r>
    </w:p>
    <w:p w14:paraId="72788E61">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响应文件递交截止时间：2026年5月15日北京时间15:00时。</w:t>
      </w:r>
    </w:p>
    <w:p w14:paraId="46BD5345">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现场递交纸质响应文件一式二份，其中正本一份，副本一份，副本可为正本的复印件。上传的响应文件电子文档内容应与纸质文件正本一致，供应商的线上报价与纸质响应文件报价函中的报价一致，如不一致按废标处理。如纸质响应文件正本与副本不一致，以正本为准。</w:t>
      </w:r>
    </w:p>
    <w:p w14:paraId="7B2FBACA">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4.已参与线上报价的供应商应在规定的时间内现场递交纸质响应文件，否则按无效投标处理。</w:t>
      </w:r>
    </w:p>
    <w:p w14:paraId="42070A84">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采购人将以平台的线上资料作为评判依据，供应商纸质响应文件辅助评审。</w:t>
      </w:r>
    </w:p>
    <w:p w14:paraId="7EDC1096">
      <w:pPr>
        <w:pStyle w:val="4"/>
        <w:pageBreakBefore w:val="0"/>
        <w:widowControl w:val="0"/>
        <w:kinsoku/>
        <w:wordWrap/>
        <w:overflowPunct/>
        <w:topLinePunct w:val="0"/>
        <w:autoSpaceDE/>
        <w:autoSpaceDN/>
        <w:bidi w:val="0"/>
        <w:adjustRightInd/>
        <w:snapToGrid w:val="0"/>
        <w:spacing w:before="0" w:after="0" w:line="360" w:lineRule="auto"/>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、其它有关规定</w:t>
      </w:r>
      <w:bookmarkEnd w:id="13"/>
      <w:bookmarkEnd w:id="14"/>
    </w:p>
    <w:p w14:paraId="361DDA88">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（一）单位负责人为同一人或者存在直接控股、管理关系的不同供应商，不得参加同一合同项（分包）下的政府采购活动，否则均为无效响应。</w:t>
      </w:r>
    </w:p>
    <w:p w14:paraId="6CD26C78">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（二）为采购项目提供整体设计、规范编制或者项目管理、监理、检测等服务的供应商，不得再参加该采购项目的其他采购活动。</w:t>
      </w:r>
    </w:p>
    <w:p w14:paraId="2253E119">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（三）本项目的澄清文件（如果有）一律在重庆市行采家（</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"https://www.gec123.com/"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https://www.gec123.com/</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）发布，请各供应商注意下载；无论供应商下载与否，均视同供应商已知晓本项目澄清文件（如果有）的内容。</w:t>
      </w:r>
    </w:p>
    <w:p w14:paraId="2255D6CF">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（四）超过响应文件递交截止时间递交的响应文件，恕不接收。</w:t>
      </w:r>
    </w:p>
    <w:p w14:paraId="384EEDA3">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（五）比选费用：无论比选结果如何，供应商参与本项目的所有费用均应由供应商自行承担。</w:t>
      </w:r>
    </w:p>
    <w:p w14:paraId="7515B0D5">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（六）本项目不接受联合体参与比选。</w:t>
      </w:r>
    </w:p>
    <w:p w14:paraId="696C9568">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（七）本项目不接受分包。</w:t>
      </w:r>
    </w:p>
    <w:p w14:paraId="7A3627BF">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DC6540F">
      <w:pPr>
        <w:pStyle w:val="4"/>
        <w:pageBreakBefore w:val="0"/>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、联系方式</w:t>
      </w:r>
      <w:bookmarkEnd w:id="12"/>
    </w:p>
    <w:p w14:paraId="61A50FDA">
      <w:pPr>
        <w:pageBreakBefore w:val="0"/>
        <w:kinsoku/>
        <w:wordWrap/>
        <w:overflowPunct/>
        <w:topLinePunct w:val="0"/>
        <w:autoSpaceDE/>
        <w:autoSpaceDN/>
        <w:bidi w:val="0"/>
        <w:snapToGrid w:val="0"/>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（一）采购人：重庆市南岸区珊瑚鲁能小学校</w:t>
      </w:r>
    </w:p>
    <w:p w14:paraId="32150C5C">
      <w:pPr>
        <w:pageBreakBefore w:val="0"/>
        <w:kinsoku/>
        <w:wordWrap/>
        <w:overflowPunct/>
        <w:topLinePunct w:val="0"/>
        <w:autoSpaceDE/>
        <w:autoSpaceDN/>
        <w:bidi w:val="0"/>
        <w:snapToGrid w:val="0"/>
        <w:spacing w:line="360" w:lineRule="auto"/>
        <w:ind w:firstLine="1200" w:firstLineChars="5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联系人：胡老师</w:t>
      </w:r>
    </w:p>
    <w:p w14:paraId="60807E22">
      <w:pPr>
        <w:pageBreakBefore w:val="0"/>
        <w:kinsoku/>
        <w:wordWrap/>
        <w:overflowPunct/>
        <w:topLinePunct w:val="0"/>
        <w:autoSpaceDE/>
        <w:autoSpaceDN/>
        <w:bidi w:val="0"/>
        <w:snapToGrid w:val="0"/>
        <w:spacing w:line="360" w:lineRule="auto"/>
        <w:ind w:firstLine="1200" w:firstLineChars="5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话：023-81392728</w:t>
      </w:r>
    </w:p>
    <w:p w14:paraId="0241309D">
      <w:pPr>
        <w:pageBreakBefore w:val="0"/>
        <w:kinsoku/>
        <w:wordWrap/>
        <w:overflowPunct/>
        <w:topLinePunct w:val="0"/>
        <w:autoSpaceDE/>
        <w:autoSpaceDN/>
        <w:bidi w:val="0"/>
        <w:snapToGrid w:val="0"/>
        <w:spacing w:line="360" w:lineRule="auto"/>
        <w:ind w:firstLine="1200" w:firstLineChars="5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地  址：重庆南岸区天文街道茶园新区天文大道17号  </w:t>
      </w:r>
    </w:p>
    <w:p w14:paraId="74168D88">
      <w:pPr>
        <w:pageBreakBefore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en-US" w:eastAsia="zh-CN"/>
        </w:rPr>
      </w:pPr>
    </w:p>
    <w:p w14:paraId="521A8E19">
      <w:pPr>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（二）采购代理机构：</w:t>
      </w:r>
      <w:r>
        <w:rPr>
          <w:rFonts w:hint="eastAsia" w:ascii="仿宋" w:hAnsi="仿宋" w:eastAsia="仿宋" w:cs="Times New Roman"/>
          <w:color w:val="auto"/>
          <w:sz w:val="24"/>
          <w:szCs w:val="24"/>
          <w:highlight w:val="none"/>
        </w:rPr>
        <w:t>重庆天合工程技术咨询有限公司</w:t>
      </w:r>
    </w:p>
    <w:p w14:paraId="2CABB1D9">
      <w:pPr>
        <w:pageBreakBefore w:val="0"/>
        <w:kinsoku/>
        <w:wordWrap/>
        <w:overflowPunct/>
        <w:topLinePunct w:val="0"/>
        <w:autoSpaceDE/>
        <w:autoSpaceDN/>
        <w:bidi w:val="0"/>
        <w:snapToGrid w:val="0"/>
        <w:spacing w:line="360" w:lineRule="auto"/>
        <w:ind w:firstLine="1200" w:firstLineChars="5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联系人：黄老师</w:t>
      </w:r>
    </w:p>
    <w:p w14:paraId="21E60AE1">
      <w:pPr>
        <w:pageBreakBefore w:val="0"/>
        <w:kinsoku/>
        <w:wordWrap/>
        <w:overflowPunct/>
        <w:topLinePunct w:val="0"/>
        <w:autoSpaceDE/>
        <w:autoSpaceDN/>
        <w:bidi w:val="0"/>
        <w:snapToGrid w:val="0"/>
        <w:spacing w:line="360" w:lineRule="auto"/>
        <w:ind w:firstLine="1200" w:firstLineChars="5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w:t>
      </w:r>
      <w:r>
        <w:rPr>
          <w:rFonts w:hint="eastAsia" w:ascii="仿宋" w:hAnsi="仿宋" w:eastAsia="仿宋" w:cs="Times New Roman"/>
          <w:color w:val="auto"/>
          <w:sz w:val="24"/>
          <w:szCs w:val="24"/>
          <w:highlight w:val="none"/>
          <w:lang w:val="en-US" w:eastAsia="zh-CN"/>
        </w:rPr>
        <w:t>17623265085</w:t>
      </w:r>
      <w:r>
        <w:rPr>
          <w:rFonts w:hint="eastAsia" w:ascii="仿宋" w:hAnsi="仿宋" w:eastAsia="仿宋" w:cs="仿宋"/>
          <w:color w:val="auto"/>
          <w:sz w:val="24"/>
          <w:szCs w:val="24"/>
          <w:highlight w:val="none"/>
          <w:lang w:val="en-US" w:eastAsia="zh-CN"/>
        </w:rPr>
        <w:t xml:space="preserve">  </w:t>
      </w:r>
    </w:p>
    <w:p w14:paraId="740649AA">
      <w:pPr>
        <w:pageBreakBefore w:val="0"/>
        <w:kinsoku/>
        <w:wordWrap/>
        <w:overflowPunct/>
        <w:topLinePunct w:val="0"/>
        <w:autoSpaceDE/>
        <w:autoSpaceDN/>
        <w:bidi w:val="0"/>
        <w:snapToGrid w:val="0"/>
        <w:spacing w:line="360" w:lineRule="auto"/>
        <w:ind w:firstLine="1200" w:firstLineChars="500"/>
        <w:textAlignment w:val="auto"/>
        <w:rPr>
          <w:rFonts w:hint="eastAsia" w:ascii="仿宋" w:hAnsi="仿宋" w:eastAsia="仿宋" w:cs="仿宋"/>
          <w:color w:val="auto"/>
          <w:sz w:val="24"/>
          <w:szCs w:val="24"/>
          <w:highlight w:val="none"/>
          <w:lang w:val="en-US" w:eastAsia="zh-CN"/>
        </w:rPr>
        <w:sectPr>
          <w:footerReference r:id="rId8" w:type="default"/>
          <w:pgSz w:w="11907" w:h="16840"/>
          <w:pgMar w:top="1440" w:right="1423" w:bottom="1440" w:left="1423" w:header="964" w:footer="992" w:gutter="0"/>
          <w:pgNumType w:fmt="decimal" w:start="1"/>
          <w:cols w:space="720" w:num="1"/>
          <w:docGrid w:type="linesAndChars" w:linePitch="312" w:charSpace="0"/>
        </w:sectPr>
      </w:pPr>
      <w:r>
        <w:rPr>
          <w:rFonts w:hint="eastAsia" w:ascii="仿宋" w:hAnsi="仿宋" w:eastAsia="仿宋" w:cs="仿宋"/>
          <w:color w:val="auto"/>
          <w:sz w:val="24"/>
          <w:szCs w:val="24"/>
          <w:highlight w:val="none"/>
          <w:lang w:val="en-US" w:eastAsia="zh-CN"/>
        </w:rPr>
        <w:t>地  址：</w:t>
      </w:r>
      <w:r>
        <w:rPr>
          <w:rFonts w:hint="default" w:ascii="仿宋" w:hAnsi="仿宋" w:eastAsia="仿宋" w:cs="Times New Roman"/>
          <w:color w:val="auto"/>
          <w:sz w:val="24"/>
          <w:szCs w:val="24"/>
          <w:highlight w:val="none"/>
          <w:lang w:val="en-US" w:eastAsia="zh-CN"/>
        </w:rPr>
        <w:t>重庆市北碚区嘉瑞大道旭辉.嘉悦广场4幢17-11</w:t>
      </w:r>
      <w:r>
        <w:rPr>
          <w:rFonts w:hint="eastAsia" w:ascii="仿宋" w:hAnsi="仿宋" w:eastAsia="仿宋" w:cs="仿宋"/>
          <w:color w:val="auto"/>
          <w:sz w:val="24"/>
          <w:szCs w:val="24"/>
          <w:highlight w:val="none"/>
          <w:lang w:val="en-US" w:eastAsia="zh-CN"/>
        </w:rPr>
        <w:t xml:space="preserve"> </w:t>
      </w:r>
      <w:bookmarkEnd w:id="8"/>
      <w:bookmarkStart w:id="15" w:name="_Toc152480141"/>
      <w:bookmarkStart w:id="16" w:name="_Toc376349875"/>
      <w:bookmarkStart w:id="17" w:name="_Toc102227313"/>
      <w:r>
        <w:rPr>
          <w:rFonts w:hint="eastAsia" w:ascii="仿宋" w:hAnsi="仿宋" w:eastAsia="仿宋" w:cs="仿宋"/>
          <w:color w:val="auto"/>
          <w:sz w:val="24"/>
          <w:szCs w:val="24"/>
          <w:highlight w:val="none"/>
          <w:lang w:val="en-US" w:eastAsia="zh-CN"/>
        </w:rPr>
        <w:t xml:space="preserve">  </w:t>
      </w:r>
    </w:p>
    <w:bookmarkEnd w:id="2"/>
    <w:bookmarkEnd w:id="3"/>
    <w:bookmarkEnd w:id="4"/>
    <w:bookmarkEnd w:id="15"/>
    <w:bookmarkEnd w:id="16"/>
    <w:bookmarkEnd w:id="17"/>
    <w:p w14:paraId="4A07F7E9">
      <w:pPr>
        <w:pStyle w:val="3"/>
        <w:keepNext/>
        <w:keepLines/>
        <w:pageBreakBefore w:val="0"/>
        <w:widowControl w:val="0"/>
        <w:numPr>
          <w:ilvl w:val="0"/>
          <w:numId w:val="4"/>
        </w:numPr>
        <w:kinsoku/>
        <w:wordWrap/>
        <w:overflowPunct/>
        <w:topLinePunct w:val="0"/>
        <w:autoSpaceDE/>
        <w:autoSpaceDN/>
        <w:bidi w:val="0"/>
        <w:adjustRightInd/>
        <w:snapToGrid/>
        <w:spacing w:before="0" w:after="0" w:line="360" w:lineRule="auto"/>
        <w:jc w:val="center"/>
        <w:textAlignment w:val="auto"/>
        <w:rPr>
          <w:rStyle w:val="36"/>
          <w:rFonts w:hint="eastAsia" w:ascii="仿宋" w:hAnsi="仿宋" w:eastAsia="仿宋" w:cs="仿宋"/>
          <w:b/>
          <w:bCs/>
          <w:color w:val="auto"/>
          <w:sz w:val="32"/>
          <w:szCs w:val="32"/>
          <w:highlight w:val="none"/>
        </w:rPr>
      </w:pPr>
      <w:bookmarkStart w:id="18" w:name="_Toc25630"/>
      <w:bookmarkStart w:id="19" w:name="_Toc6453"/>
      <w:bookmarkStart w:id="20" w:name="_Toc487204778"/>
      <w:bookmarkStart w:id="21" w:name="_Toc128744991"/>
      <w:r>
        <w:rPr>
          <w:rStyle w:val="36"/>
          <w:rFonts w:hint="eastAsia" w:ascii="仿宋" w:hAnsi="仿宋" w:eastAsia="仿宋" w:cs="仿宋"/>
          <w:b/>
          <w:bCs/>
          <w:color w:val="auto"/>
          <w:sz w:val="32"/>
          <w:szCs w:val="32"/>
          <w:highlight w:val="none"/>
        </w:rPr>
        <w:t xml:space="preserve"> 项目服务需求</w:t>
      </w:r>
      <w:bookmarkEnd w:id="18"/>
    </w:p>
    <w:p w14:paraId="56FC672E">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lang w:val="en-US" w:eastAsia="zh-CN"/>
        </w:rPr>
      </w:pPr>
      <w:bookmarkStart w:id="22" w:name="_Toc412"/>
      <w:r>
        <w:rPr>
          <w:rFonts w:hint="eastAsia" w:ascii="仿宋" w:hAnsi="仿宋" w:eastAsia="仿宋" w:cs="仿宋"/>
          <w:color w:val="auto"/>
          <w:sz w:val="24"/>
          <w:szCs w:val="24"/>
          <w:highlight w:val="none"/>
          <w:lang w:val="en-US" w:eastAsia="zh-CN"/>
        </w:rPr>
        <w:t>一、项目概况</w:t>
      </w:r>
    </w:p>
    <w:p w14:paraId="228A7D9B">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（一）本项目旨在为</w:t>
      </w:r>
      <w:r>
        <w:rPr>
          <w:rFonts w:hint="eastAsia" w:ascii="仿宋" w:hAnsi="仿宋" w:eastAsia="仿宋" w:cs="仿宋"/>
          <w:color w:val="auto"/>
          <w:sz w:val="24"/>
          <w:szCs w:val="24"/>
          <w:highlight w:val="none"/>
          <w:lang w:val="en-US" w:eastAsia="zh-CN"/>
        </w:rPr>
        <w:t>重庆市南岸区珊瑚鲁能小学校三年级及四年级</w:t>
      </w:r>
      <w:r>
        <w:rPr>
          <w:rFonts w:hint="eastAsia" w:ascii="仿宋" w:hAnsi="仿宋" w:eastAsia="仿宋" w:cs="仿宋"/>
          <w:strike w:val="0"/>
          <w:dstrike w:val="0"/>
          <w:color w:val="auto"/>
          <w:sz w:val="24"/>
          <w:highlight w:val="none"/>
          <w:lang w:val="en-US" w:eastAsia="zh-CN"/>
        </w:rPr>
        <w:t>学生的研学活动遴选一家服务供应商。</w:t>
      </w:r>
    </w:p>
    <w:p w14:paraId="462B5BAF">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成交供应商须充分调研</w:t>
      </w:r>
      <w:r>
        <w:rPr>
          <w:rFonts w:hint="eastAsia" w:ascii="仿宋" w:hAnsi="仿宋" w:eastAsia="仿宋" w:cs="仿宋"/>
          <w:color w:val="auto"/>
          <w:sz w:val="24"/>
          <w:szCs w:val="24"/>
          <w:highlight w:val="none"/>
          <w:lang w:val="en-US" w:eastAsia="zh-CN"/>
        </w:rPr>
        <w:t>重庆市南岸区珊瑚鲁能小学校</w:t>
      </w:r>
      <w:r>
        <w:rPr>
          <w:rFonts w:hint="eastAsia" w:ascii="仿宋" w:hAnsi="仿宋" w:eastAsia="仿宋" w:cs="仿宋"/>
          <w:strike w:val="0"/>
          <w:dstrike w:val="0"/>
          <w:color w:val="auto"/>
          <w:sz w:val="24"/>
          <w:highlight w:val="none"/>
          <w:lang w:val="en-US" w:eastAsia="zh-CN"/>
        </w:rPr>
        <w:t>教育教学实际，为</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strike w:val="0"/>
          <w:dstrike w:val="0"/>
          <w:color w:val="auto"/>
          <w:sz w:val="24"/>
          <w:highlight w:val="none"/>
          <w:lang w:val="en-US" w:eastAsia="zh-CN"/>
        </w:rPr>
        <w:t>定制提供一次研学服务，服务内容包括为基于</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strike w:val="0"/>
          <w:dstrike w:val="0"/>
          <w:color w:val="auto"/>
          <w:sz w:val="24"/>
          <w:highlight w:val="none"/>
          <w:lang w:val="en-US" w:eastAsia="zh-CN"/>
        </w:rPr>
        <w:t>教育教学实际提供科学、可行、高质的年度研学服务方案、课程方案、安全预案、活动成果、研学报告等，组织学生参与研学活动，为学生提供高质量的研学基地、高质量的研学过程体验、高水平的后勤保障。</w:t>
      </w:r>
    </w:p>
    <w:p w14:paraId="5F424C5C">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成交供应商定制的研学活动方案在开展前须报采购人审核，经采购人审核通过后方可组织实施。若成交供应商因缺乏履约所必需的专业技术能力，导致活动方案修改2次及以上仍无法通过采购人审核的，采购人有权解除合同，成交供应商须配合解除合同并赔偿采购人因此遭受的一切损失。</w:t>
      </w:r>
    </w:p>
    <w:p w14:paraId="447768AF">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（二）课程要求：活动课程内容应以知识拓展、理论应用、综合性学习、研究性学习为主要形式，以充分体现学生的探究心理与创新意愿。</w:t>
      </w:r>
    </w:p>
    <w:p w14:paraId="5F20B653">
      <w:pPr>
        <w:kinsoku/>
        <w:wordWrap/>
        <w:overflowPunct/>
        <w:topLinePunct w:val="0"/>
        <w:autoSpaceDE/>
        <w:autoSpaceDN/>
        <w:bidi w:val="0"/>
        <w:snapToGrid w:val="0"/>
        <w:spacing w:line="360" w:lineRule="auto"/>
        <w:ind w:firstLine="480" w:firstLineChars="200"/>
        <w:jc w:val="left"/>
        <w:textAlignment w:val="auto"/>
        <w:rPr>
          <w:rFonts w:hint="eastAsia" w:eastAsia="宋体"/>
          <w:lang w:eastAsia="zh-CN"/>
        </w:rPr>
      </w:pPr>
      <w:r>
        <w:rPr>
          <w:rFonts w:hint="eastAsia" w:ascii="仿宋" w:hAnsi="仿宋" w:eastAsia="仿宋" w:cs="仿宋"/>
          <w:strike w:val="0"/>
          <w:dstrike w:val="0"/>
          <w:color w:val="auto"/>
          <w:sz w:val="24"/>
          <w:highlight w:val="none"/>
          <w:lang w:val="en-US" w:eastAsia="zh-CN"/>
        </w:rPr>
        <w:t>（三）研学活动参与年级的暂定总人数为1858人，其中三年级1008人，四年级850人。</w:t>
      </w:r>
    </w:p>
    <w:p w14:paraId="26A12A20">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二、项目服务需求</w:t>
      </w:r>
    </w:p>
    <w:p w14:paraId="29AA2586">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r>
        <w:rPr>
          <w:rFonts w:hint="default" w:ascii="仿宋" w:hAnsi="仿宋" w:eastAsia="仿宋" w:cs="仿宋"/>
          <w:strike w:val="0"/>
          <w:dstrike w:val="0"/>
          <w:color w:val="auto"/>
          <w:sz w:val="24"/>
          <w:highlight w:val="none"/>
          <w:lang w:val="en-US" w:eastAsia="zh-CN"/>
        </w:rPr>
        <w:t>（一）研学课程设计</w:t>
      </w:r>
    </w:p>
    <w:p w14:paraId="31E1B434">
      <w:pPr>
        <w:kinsoku/>
        <w:wordWrap/>
        <w:overflowPunct/>
        <w:topLinePunct w:val="0"/>
        <w:autoSpaceDE/>
        <w:autoSpaceDN/>
        <w:bidi w:val="0"/>
        <w:snapToGrid w:val="0"/>
        <w:spacing w:line="360" w:lineRule="auto"/>
        <w:ind w:firstLine="480" w:firstLineChars="200"/>
        <w:jc w:val="left"/>
        <w:textAlignment w:val="auto"/>
        <w:rPr>
          <w:rFonts w:hint="eastAsia" w:eastAsia="宋体"/>
          <w:lang w:eastAsia="zh-CN"/>
        </w:rPr>
      </w:pPr>
      <w:r>
        <w:rPr>
          <w:rFonts w:hint="eastAsia" w:ascii="仿宋" w:hAnsi="仿宋" w:eastAsia="仿宋" w:cs="仿宋"/>
          <w:strike w:val="0"/>
          <w:dstrike w:val="0"/>
          <w:color w:val="auto"/>
          <w:sz w:val="24"/>
          <w:highlight w:val="none"/>
          <w:lang w:val="en-US" w:eastAsia="zh-CN"/>
        </w:rPr>
        <w:t>1、供应商提供的研学课程设计需符合《中小学德育工作指南》及义务教育课程标准相关要求，且应贴合学生实际情况，基于三年级和四年级在教育教学方面的具体实际，有针对性地为每个年级分别设计并定制适合其特点的研学路线，以更好地满足不同年级学生的学习需求和发展目标。确保研学活动的内容与形式契合学生的知识水平、认知能力及教学目标，进而提升研学活动的教育价值与实际效果。</w:t>
      </w:r>
    </w:p>
    <w:p w14:paraId="5F5F52F1">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2、研学活动实施要求</w:t>
      </w:r>
    </w:p>
    <w:p w14:paraId="4473A2B7">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供应商须组织高水平专家团队制定研学活动方案，明确阐述本次研学活动的目标、对象、地点、课程内容及实施细节等。</w:t>
      </w:r>
    </w:p>
    <w:p w14:paraId="4856995F">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3、研学活动出行时间安排</w:t>
      </w:r>
    </w:p>
    <w:p w14:paraId="2141A405">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每批学生须在一天内往返，上午8:30至9:00从学校出发，下午5:00至5:30返回学校。</w:t>
      </w:r>
    </w:p>
    <w:p w14:paraId="2D1F596E">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（二）</w:t>
      </w:r>
      <w:r>
        <w:rPr>
          <w:rFonts w:hint="default" w:ascii="仿宋" w:hAnsi="仿宋" w:eastAsia="仿宋" w:cs="仿宋"/>
          <w:strike w:val="0"/>
          <w:dstrike w:val="0"/>
          <w:color w:val="auto"/>
          <w:sz w:val="24"/>
          <w:highlight w:val="none"/>
          <w:lang w:val="en-US" w:eastAsia="zh-CN"/>
        </w:rPr>
        <w:t>资质要求</w:t>
      </w:r>
    </w:p>
    <w:p w14:paraId="35213A8C">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r>
        <w:rPr>
          <w:rFonts w:hint="default" w:ascii="仿宋" w:hAnsi="仿宋" w:eastAsia="仿宋" w:cs="仿宋"/>
          <w:strike w:val="0"/>
          <w:dstrike w:val="0"/>
          <w:color w:val="auto"/>
          <w:sz w:val="24"/>
          <w:highlight w:val="none"/>
          <w:lang w:val="en-US" w:eastAsia="zh-CN"/>
        </w:rPr>
        <w:t>1.必须是</w:t>
      </w:r>
      <w:r>
        <w:rPr>
          <w:rFonts w:hint="eastAsia" w:ascii="仿宋" w:hAnsi="仿宋" w:eastAsia="仿宋" w:cs="仿宋"/>
          <w:strike w:val="0"/>
          <w:dstrike w:val="0"/>
          <w:color w:val="auto"/>
          <w:sz w:val="24"/>
          <w:highlight w:val="none"/>
          <w:lang w:val="en-US" w:eastAsia="zh-CN"/>
        </w:rPr>
        <w:t>符合重庆</w:t>
      </w:r>
      <w:r>
        <w:rPr>
          <w:rFonts w:hint="default" w:ascii="仿宋" w:hAnsi="仿宋" w:eastAsia="仿宋" w:cs="仿宋"/>
          <w:strike w:val="0"/>
          <w:dstrike w:val="0"/>
          <w:color w:val="auto"/>
          <w:sz w:val="24"/>
          <w:highlight w:val="none"/>
          <w:lang w:val="en-US" w:eastAsia="zh-CN"/>
        </w:rPr>
        <w:t>市或区教委相关要求的实践教育基地或研学服务公司。</w:t>
      </w:r>
    </w:p>
    <w:p w14:paraId="49225E15">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r>
        <w:rPr>
          <w:rFonts w:hint="default" w:ascii="仿宋" w:hAnsi="仿宋" w:eastAsia="仿宋" w:cs="仿宋"/>
          <w:strike w:val="0"/>
          <w:dstrike w:val="0"/>
          <w:color w:val="auto"/>
          <w:sz w:val="24"/>
          <w:highlight w:val="none"/>
          <w:lang w:val="en-US" w:eastAsia="zh-CN"/>
        </w:rPr>
        <w:t>2.必须有正规的营业执照</w:t>
      </w:r>
      <w:r>
        <w:rPr>
          <w:rFonts w:hint="eastAsia" w:ascii="仿宋" w:hAnsi="仿宋" w:eastAsia="仿宋" w:cs="仿宋"/>
          <w:strike w:val="0"/>
          <w:dstrike w:val="0"/>
          <w:color w:val="auto"/>
          <w:sz w:val="24"/>
          <w:highlight w:val="none"/>
          <w:lang w:val="en-US" w:eastAsia="zh-CN"/>
        </w:rPr>
        <w:t>，</w:t>
      </w:r>
      <w:r>
        <w:rPr>
          <w:rFonts w:hint="default" w:ascii="仿宋" w:hAnsi="仿宋" w:eastAsia="仿宋" w:cs="仿宋"/>
          <w:strike w:val="0"/>
          <w:dstrike w:val="0"/>
          <w:color w:val="auto"/>
          <w:sz w:val="24"/>
          <w:highlight w:val="none"/>
          <w:lang w:val="en-US" w:eastAsia="zh-CN"/>
        </w:rPr>
        <w:t>具备合法经营资格；必须有专门服务于研学实践教育活动的部门以及专职的研学实践教育导师队伍；</w:t>
      </w:r>
      <w:r>
        <w:rPr>
          <w:rFonts w:hint="eastAsia" w:ascii="仿宋" w:hAnsi="仿宋" w:eastAsia="仿宋" w:cs="仿宋"/>
          <w:strike w:val="0"/>
          <w:dstrike w:val="0"/>
          <w:color w:val="auto"/>
          <w:sz w:val="24"/>
          <w:highlight w:val="none"/>
          <w:lang w:val="en-US" w:eastAsia="zh-CN"/>
        </w:rPr>
        <w:t>具备丰富的</w:t>
      </w:r>
      <w:r>
        <w:rPr>
          <w:rFonts w:hint="default" w:ascii="仿宋" w:hAnsi="仿宋" w:eastAsia="仿宋" w:cs="仿宋"/>
          <w:strike w:val="0"/>
          <w:dstrike w:val="0"/>
          <w:color w:val="auto"/>
          <w:sz w:val="24"/>
          <w:highlight w:val="none"/>
          <w:lang w:val="en-US" w:eastAsia="zh-CN"/>
        </w:rPr>
        <w:t>从业经历、有独立承接</w:t>
      </w:r>
      <w:r>
        <w:rPr>
          <w:rFonts w:hint="eastAsia" w:ascii="仿宋" w:hAnsi="仿宋" w:eastAsia="仿宋" w:cs="仿宋"/>
          <w:strike w:val="0"/>
          <w:dstrike w:val="0"/>
          <w:color w:val="auto"/>
          <w:sz w:val="24"/>
          <w:highlight w:val="none"/>
          <w:lang w:val="en-US" w:eastAsia="zh-CN"/>
        </w:rPr>
        <w:t>多</w:t>
      </w:r>
      <w:r>
        <w:rPr>
          <w:rFonts w:hint="default" w:ascii="仿宋" w:hAnsi="仿宋" w:eastAsia="仿宋" w:cs="仿宋"/>
          <w:strike w:val="0"/>
          <w:dstrike w:val="0"/>
          <w:color w:val="auto"/>
          <w:sz w:val="24"/>
          <w:highlight w:val="none"/>
          <w:lang w:val="en-US" w:eastAsia="zh-CN"/>
        </w:rPr>
        <w:t>人中小学生研学实践教育活动团队的经验。</w:t>
      </w:r>
    </w:p>
    <w:p w14:paraId="1C5BFCC5">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3</w:t>
      </w:r>
      <w:r>
        <w:rPr>
          <w:rFonts w:hint="default" w:ascii="仿宋" w:hAnsi="仿宋" w:eastAsia="仿宋" w:cs="仿宋"/>
          <w:strike w:val="0"/>
          <w:dstrike w:val="0"/>
          <w:color w:val="auto"/>
          <w:sz w:val="24"/>
          <w:highlight w:val="none"/>
          <w:lang w:val="en-US" w:eastAsia="zh-CN"/>
        </w:rPr>
        <w:t>.近两年内无重大质量投诉记录、不良记录、经济纠纷及安全责任事故。</w:t>
      </w:r>
    </w:p>
    <w:p w14:paraId="6E242615">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4</w:t>
      </w:r>
      <w:r>
        <w:rPr>
          <w:rFonts w:hint="default" w:ascii="仿宋" w:hAnsi="仿宋" w:eastAsia="仿宋" w:cs="仿宋"/>
          <w:strike w:val="0"/>
          <w:dstrike w:val="0"/>
          <w:color w:val="auto"/>
          <w:sz w:val="24"/>
          <w:highlight w:val="none"/>
          <w:lang w:val="en-US" w:eastAsia="zh-CN"/>
        </w:rPr>
        <w:t>.有切实可行的安全应急预案，能够保证出行师生的人身财产等安全。团队出行要做好安全及医疗卫生保障。</w:t>
      </w:r>
      <w:r>
        <w:rPr>
          <w:rFonts w:hint="eastAsia" w:ascii="仿宋" w:hAnsi="仿宋" w:eastAsia="仿宋" w:cs="仿宋"/>
          <w:sz w:val="24"/>
          <w:szCs w:val="24"/>
          <w:lang w:val="en-US" w:eastAsia="zh-CN"/>
        </w:rPr>
        <w:t>在组织开展外出活动之前，要对师生进行安全专题教育，制定安全应急预案，发放告家长书，完善安全保障措施。</w:t>
      </w:r>
    </w:p>
    <w:p w14:paraId="474DB4D1">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（三）专业团队配备</w:t>
      </w:r>
    </w:p>
    <w:p w14:paraId="7C033276">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1.成交供应商应至少派遣一人作为项目负责人，负责督导社会实践教育活动资料审批、社会实践教育活动按计划开展、统筹协调社会实践教育活动各项工作。</w:t>
      </w:r>
    </w:p>
    <w:p w14:paraId="379719EC">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2.成交供应商应为每班研学活动团队至少配备1名专业社会实践教育活动老师，负责课程执行、餐食、交通等相关活动的组织、执行、安全管理。 </w:t>
      </w:r>
    </w:p>
    <w:p w14:paraId="08EB9F00">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3.为每个研学团队配备足量的专业安保人员；全程配备医务人员，具备医师资格证，并并全称携带药品随时保障学生健康安全。</w:t>
      </w:r>
    </w:p>
    <w:p w14:paraId="798E4BE3">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4.成交供应商应就社会实践教育活动方案设计成立专家组，专家组成员须具有丰富的社会实践教育活动组织经验。</w:t>
      </w:r>
    </w:p>
    <w:p w14:paraId="1E74DA1C">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trike w:val="0"/>
          <w:dstrike w:val="0"/>
          <w:color w:val="auto"/>
          <w:sz w:val="24"/>
          <w:highlight w:val="none"/>
          <w:lang w:val="en-US" w:eastAsia="zh-CN"/>
        </w:rPr>
        <w:t>（四）</w:t>
      </w:r>
      <w:r>
        <w:rPr>
          <w:rFonts w:hint="eastAsia" w:ascii="仿宋" w:hAnsi="仿宋" w:eastAsia="仿宋" w:cs="仿宋"/>
          <w:sz w:val="24"/>
          <w:szCs w:val="24"/>
          <w:lang w:val="en-US" w:eastAsia="zh-CN"/>
        </w:rPr>
        <w:t>安全保障措施：</w:t>
      </w:r>
    </w:p>
    <w:p w14:paraId="0FED7D4B">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1.制定全面的安全管理制度，涵盖交通、活动场地、饮食等各个环节安全规范与操作流程。</w:t>
      </w:r>
    </w:p>
    <w:p w14:paraId="30EEF1B4">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2.针对可能出现的突发情况，如恶劣天气、学生突发疾病、交通事故等，制定详细应急预案，并提前组织演练。</w:t>
      </w:r>
    </w:p>
    <w:p w14:paraId="46A481A2">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（五）餐饮安排：</w:t>
      </w:r>
    </w:p>
    <w:p w14:paraId="13696CBA">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研学供餐单位应当具有餐饮许可证，配餐单位必须具有集体用餐配送资质的餐饮单位。供餐单位需保证食材新鲜卫生，膳食标准不低于学校标准，食材要进行留样。</w:t>
      </w:r>
    </w:p>
    <w:p w14:paraId="7DA6BD95">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（六）交通服务保障：</w:t>
      </w:r>
    </w:p>
    <w:p w14:paraId="597E2EB9">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1.司机资质：司机必须持有A1或A2驾驶证，具备丰富的大型客车驾驶经验，且近3年内无重大交通违法记录，提供驾驶证、从业资格证以及无违法记录证明。</w:t>
      </w:r>
    </w:p>
    <w:p w14:paraId="5E0837AA">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车辆类型：选用正规旅游客运公司大巴车，具有道路旅客运输经营许可证，且符合车辆审批要求。车辆定期维护保养。每辆车配备急救箱、灭火器等安全设备，行驶过程中严格遵守交通规则，确保交通安全。配备的大型大巴车需保证每个班级一辆车，满足团队出行需求。</w:t>
      </w:r>
    </w:p>
    <w:p w14:paraId="13E65FCB">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（七）保险服务</w:t>
      </w:r>
    </w:p>
    <w:p w14:paraId="3D284748">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供应商需按要求购买相关责任保险及人身意外保险，按相关要求为每位社会实践教育活动服务参与人员提供足额的第三方责任险及人身意外保险。保单复印件交学校备案。</w:t>
      </w:r>
    </w:p>
    <w:p w14:paraId="72891BB1">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（八）社会实践教育活动基地要求</w:t>
      </w:r>
    </w:p>
    <w:p w14:paraId="564C43B2">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应当提供涵盖红色文化、科学教育、法制教育、心理健康、安全教育、智慧劳育等符合社会实践教育活动要求的重庆市中小学生社会实践教育活动实践基地或重庆市青少年社会实践体验基地。</w:t>
      </w:r>
    </w:p>
    <w:p w14:paraId="55805D93">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（九）其它要求</w:t>
      </w:r>
    </w:p>
    <w:p w14:paraId="661ADA64">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在服务履约期间，若学校结合家长、学生研讨结果，有权提出重新遴选重庆市中小学生社会实践教育活动实践基地或重庆市青少年社会实践体验基地修改课程内容的需求，成交供应商单位必须配合，按照学校合理要求完成相关调整工作，确保服务符合实际需求。</w:t>
      </w:r>
    </w:p>
    <w:p w14:paraId="4DB52FED">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2.成交供应商的工作人员在为采购人的服务期间，因疾病、工伤、意外伤害、疾病传染、劳动保护、职业病等所产生的一切费用，均由成交供应商自行负责。</w:t>
      </w:r>
    </w:p>
    <w:p w14:paraId="7D5F7A0A">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3.成交供应商须通过公益捐赠的形式提供社会实践教育活动服务中除学生外的随行工作人员的全程费用。并对家庭困难的学生应给予适当的优惠或减免。</w:t>
      </w:r>
    </w:p>
    <w:p w14:paraId="3EB52EB2">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02AA445A">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5.成交供应商人员因自身工作失误造成设备、现场、人员及其他损失由成交供</w:t>
      </w:r>
      <w:r>
        <w:rPr>
          <w:rFonts w:hint="eastAsia" w:ascii="仿宋" w:hAnsi="仿宋" w:eastAsia="仿宋" w:cs="仿宋"/>
          <w:sz w:val="24"/>
          <w:szCs w:val="24"/>
          <w:highlight w:val="none"/>
          <w:lang w:val="en-US" w:eastAsia="zh-CN"/>
        </w:rPr>
        <w:t>应商自行负责，采购人不承担责任。</w:t>
      </w:r>
    </w:p>
    <w:p w14:paraId="2863F1CF">
      <w:pPr>
        <w:kinsoku/>
        <w:wordWrap/>
        <w:overflowPunct/>
        <w:topLinePunct w:val="0"/>
        <w:autoSpaceDE/>
        <w:autoSpaceDN/>
        <w:bidi w:val="0"/>
        <w:snapToGrid w:val="0"/>
        <w:spacing w:line="360" w:lineRule="auto"/>
        <w:ind w:firstLine="480" w:firstLineChars="200"/>
        <w:jc w:val="left"/>
        <w:textAlignment w:val="auto"/>
        <w:rPr>
          <w:rFonts w:hint="eastAsia" w:eastAsia="宋体"/>
          <w:highlight w:val="none"/>
          <w:lang w:eastAsia="zh-CN"/>
        </w:rPr>
      </w:pPr>
      <w:r>
        <w:rPr>
          <w:rFonts w:hint="eastAsia" w:ascii="仿宋" w:hAnsi="仿宋" w:eastAsia="仿宋" w:cs="仿宋"/>
          <w:sz w:val="24"/>
          <w:szCs w:val="24"/>
          <w:highlight w:val="none"/>
          <w:lang w:val="en-US" w:eastAsia="zh-CN"/>
        </w:rPr>
        <w:t>6.供应商需承诺此前开展的研学活动未收到投诉或投诉率较低，且须保证所提供的相关证明材料真实有效，不存在弄虚作假情形。采购人在合同签订前有权对供应商提供的资料进行核实，若发现弄虚作假，将按相关规定取消其成交资格，并按相关法律法规报监督部门处理；供应商须承担因此造成的相关责任并赔偿相应损失。</w:t>
      </w:r>
      <w:r>
        <w:rPr>
          <w:rFonts w:hint="eastAsia" w:ascii="仿宋" w:hAnsi="仿宋" w:eastAsia="仿宋" w:cs="仿宋"/>
          <w:b/>
          <w:bCs/>
          <w:sz w:val="24"/>
          <w:szCs w:val="24"/>
          <w:highlight w:val="none"/>
          <w:lang w:val="en-US" w:eastAsia="zh-CN"/>
        </w:rPr>
        <w:t>（承诺格式自拟）</w:t>
      </w:r>
      <w:r>
        <w:rPr>
          <w:rFonts w:hint="eastAsia" w:ascii="仿宋" w:hAnsi="仿宋" w:eastAsia="仿宋" w:cs="仿宋"/>
          <w:sz w:val="24"/>
          <w:szCs w:val="24"/>
          <w:highlight w:val="none"/>
          <w:lang w:val="en-US" w:eastAsia="zh-CN"/>
        </w:rPr>
        <w:t>。</w:t>
      </w:r>
    </w:p>
    <w:p w14:paraId="59E66F75">
      <w:pPr>
        <w:rPr>
          <w:rStyle w:val="36"/>
          <w:rFonts w:hint="eastAsia" w:ascii="仿宋" w:hAnsi="仿宋" w:eastAsia="仿宋" w:cs="仿宋"/>
          <w:b/>
          <w:bCs/>
          <w:color w:val="auto"/>
          <w:sz w:val="32"/>
          <w:szCs w:val="32"/>
          <w:highlight w:val="none"/>
        </w:rPr>
      </w:pPr>
      <w:r>
        <w:rPr>
          <w:rStyle w:val="36"/>
          <w:rFonts w:hint="eastAsia" w:ascii="仿宋" w:hAnsi="仿宋" w:eastAsia="仿宋" w:cs="仿宋"/>
          <w:b/>
          <w:bCs/>
          <w:color w:val="auto"/>
          <w:sz w:val="32"/>
          <w:szCs w:val="32"/>
          <w:highlight w:val="none"/>
        </w:rPr>
        <w:br w:type="page"/>
      </w:r>
    </w:p>
    <w:p w14:paraId="460800E0">
      <w:pPr>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Style w:val="36"/>
          <w:rFonts w:hint="eastAsia" w:ascii="仿宋" w:hAnsi="仿宋" w:eastAsia="仿宋" w:cs="仿宋"/>
          <w:b/>
          <w:bCs/>
          <w:color w:val="auto"/>
          <w:sz w:val="32"/>
          <w:szCs w:val="32"/>
          <w:highlight w:val="none"/>
        </w:rPr>
      </w:pPr>
      <w:r>
        <w:rPr>
          <w:rStyle w:val="36"/>
          <w:rFonts w:hint="eastAsia" w:ascii="仿宋" w:hAnsi="仿宋" w:eastAsia="仿宋" w:cs="仿宋"/>
          <w:b/>
          <w:bCs/>
          <w:color w:val="auto"/>
          <w:sz w:val="32"/>
          <w:szCs w:val="32"/>
          <w:highlight w:val="none"/>
        </w:rPr>
        <w:t>第</w:t>
      </w:r>
      <w:r>
        <w:rPr>
          <w:rStyle w:val="36"/>
          <w:rFonts w:hint="eastAsia" w:ascii="仿宋" w:hAnsi="仿宋" w:eastAsia="仿宋" w:cs="仿宋"/>
          <w:b/>
          <w:bCs/>
          <w:color w:val="auto"/>
          <w:sz w:val="32"/>
          <w:szCs w:val="32"/>
          <w:highlight w:val="none"/>
          <w:lang w:val="en-US" w:eastAsia="zh-CN"/>
        </w:rPr>
        <w:t>三</w:t>
      </w:r>
      <w:r>
        <w:rPr>
          <w:rStyle w:val="36"/>
          <w:rFonts w:hint="eastAsia" w:ascii="仿宋" w:hAnsi="仿宋" w:eastAsia="仿宋" w:cs="仿宋"/>
          <w:b/>
          <w:bCs/>
          <w:color w:val="auto"/>
          <w:sz w:val="32"/>
          <w:szCs w:val="32"/>
          <w:highlight w:val="none"/>
        </w:rPr>
        <w:t xml:space="preserve">篇  </w:t>
      </w:r>
      <w:r>
        <w:rPr>
          <w:rStyle w:val="36"/>
          <w:rFonts w:hint="eastAsia" w:ascii="仿宋" w:hAnsi="仿宋" w:eastAsia="仿宋" w:cs="仿宋"/>
          <w:b/>
          <w:bCs/>
          <w:color w:val="auto"/>
          <w:sz w:val="32"/>
          <w:szCs w:val="32"/>
          <w:highlight w:val="none"/>
          <w:lang w:val="en-US" w:eastAsia="zh-CN"/>
        </w:rPr>
        <w:t>项目</w:t>
      </w:r>
      <w:r>
        <w:rPr>
          <w:rStyle w:val="36"/>
          <w:rFonts w:hint="eastAsia" w:ascii="仿宋" w:hAnsi="仿宋" w:eastAsia="仿宋" w:cs="仿宋"/>
          <w:b/>
          <w:bCs/>
          <w:color w:val="auto"/>
          <w:sz w:val="32"/>
          <w:szCs w:val="32"/>
          <w:highlight w:val="none"/>
        </w:rPr>
        <w:t>商务要求</w:t>
      </w:r>
      <w:bookmarkEnd w:id="22"/>
    </w:p>
    <w:p w14:paraId="37AF7494">
      <w:pPr>
        <w:keepNext/>
        <w:keepLines/>
        <w:kinsoku/>
        <w:wordWrap/>
        <w:overflowPunct/>
        <w:topLinePunct w:val="0"/>
        <w:autoSpaceDE/>
        <w:autoSpaceDN/>
        <w:bidi w:val="0"/>
        <w:snapToGrid w:val="0"/>
        <w:spacing w:line="360" w:lineRule="auto"/>
        <w:ind w:firstLine="480" w:firstLineChars="200"/>
        <w:textAlignment w:val="auto"/>
        <w:outlineLvl w:val="1"/>
        <w:rPr>
          <w:rFonts w:hint="eastAsia" w:ascii="仿宋" w:hAnsi="仿宋" w:eastAsia="仿宋" w:cs="仿宋"/>
          <w:b/>
          <w:strike w:val="0"/>
          <w:dstrike w:val="0"/>
          <w:color w:val="auto"/>
          <w:sz w:val="24"/>
          <w:highlight w:val="none"/>
        </w:rPr>
      </w:pPr>
      <w:bookmarkStart w:id="23" w:name="_Toc20341"/>
      <w:r>
        <w:rPr>
          <w:rFonts w:hint="eastAsia" w:ascii="仿宋" w:hAnsi="仿宋" w:eastAsia="仿宋" w:cs="仿宋"/>
          <w:b/>
          <w:strike w:val="0"/>
          <w:dstrike w:val="0"/>
          <w:color w:val="auto"/>
          <w:sz w:val="24"/>
          <w:highlight w:val="none"/>
        </w:rPr>
        <w:t>一、</w:t>
      </w:r>
      <w:r>
        <w:rPr>
          <w:rFonts w:hint="eastAsia" w:ascii="仿宋" w:hAnsi="仿宋" w:eastAsia="仿宋" w:cs="仿宋"/>
          <w:b/>
          <w:strike w:val="0"/>
          <w:dstrike w:val="0"/>
          <w:color w:val="auto"/>
          <w:sz w:val="24"/>
          <w:highlight w:val="none"/>
          <w:lang w:val="en-US" w:eastAsia="zh-CN"/>
        </w:rPr>
        <w:t>服务</w:t>
      </w:r>
      <w:r>
        <w:rPr>
          <w:rFonts w:hint="eastAsia" w:ascii="仿宋" w:hAnsi="仿宋" w:eastAsia="仿宋" w:cs="仿宋"/>
          <w:b/>
          <w:strike w:val="0"/>
          <w:dstrike w:val="0"/>
          <w:color w:val="auto"/>
          <w:sz w:val="24"/>
          <w:highlight w:val="none"/>
        </w:rPr>
        <w:t>期、</w:t>
      </w:r>
      <w:r>
        <w:rPr>
          <w:rFonts w:hint="eastAsia" w:ascii="仿宋" w:hAnsi="仿宋" w:eastAsia="仿宋" w:cs="仿宋"/>
          <w:b/>
          <w:strike w:val="0"/>
          <w:dstrike w:val="0"/>
          <w:color w:val="auto"/>
          <w:sz w:val="24"/>
          <w:highlight w:val="none"/>
          <w:lang w:val="en-US" w:eastAsia="zh-CN"/>
        </w:rPr>
        <w:t>服务</w:t>
      </w:r>
      <w:r>
        <w:rPr>
          <w:rFonts w:hint="eastAsia" w:ascii="仿宋" w:hAnsi="仿宋" w:eastAsia="仿宋" w:cs="仿宋"/>
          <w:b/>
          <w:strike w:val="0"/>
          <w:dstrike w:val="0"/>
          <w:color w:val="auto"/>
          <w:sz w:val="24"/>
          <w:highlight w:val="none"/>
        </w:rPr>
        <w:t>地点及质量要求和验收方式</w:t>
      </w:r>
      <w:bookmarkEnd w:id="23"/>
    </w:p>
    <w:p w14:paraId="1741E785">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rPr>
        <w:t>（一）</w:t>
      </w:r>
      <w:r>
        <w:rPr>
          <w:rFonts w:hint="eastAsia" w:ascii="仿宋" w:hAnsi="仿宋" w:eastAsia="仿宋" w:cs="仿宋"/>
          <w:strike w:val="0"/>
          <w:dstrike w:val="0"/>
          <w:color w:val="auto"/>
          <w:sz w:val="24"/>
          <w:highlight w:val="none"/>
          <w:lang w:val="en-US" w:eastAsia="zh-CN"/>
        </w:rPr>
        <w:t>服务</w:t>
      </w:r>
      <w:r>
        <w:rPr>
          <w:rFonts w:hint="eastAsia" w:ascii="仿宋" w:hAnsi="仿宋" w:eastAsia="仿宋" w:cs="仿宋"/>
          <w:strike w:val="0"/>
          <w:dstrike w:val="0"/>
          <w:color w:val="auto"/>
          <w:sz w:val="24"/>
          <w:highlight w:val="none"/>
        </w:rPr>
        <w:t>期：</w:t>
      </w:r>
      <w:r>
        <w:rPr>
          <w:rFonts w:hint="eastAsia" w:ascii="仿宋" w:hAnsi="仿宋" w:eastAsia="仿宋" w:cs="仿宋"/>
          <w:strike w:val="0"/>
          <w:dstrike w:val="0"/>
          <w:color w:val="auto"/>
          <w:sz w:val="24"/>
          <w:highlight w:val="none"/>
          <w:lang w:val="en-US" w:eastAsia="zh-CN"/>
        </w:rPr>
        <w:t>每批研学活动的开展时间为1天，预计于2026年下半年出行，具体安排以采购人需求为准。</w:t>
      </w:r>
    </w:p>
    <w:p w14:paraId="6E9D00FC">
      <w:p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（二）</w:t>
      </w:r>
      <w:r>
        <w:rPr>
          <w:rFonts w:hint="eastAsia" w:ascii="仿宋" w:hAnsi="仿宋" w:eastAsia="仿宋" w:cs="仿宋"/>
          <w:strike w:val="0"/>
          <w:dstrike w:val="0"/>
          <w:color w:val="auto"/>
          <w:sz w:val="24"/>
          <w:highlight w:val="none"/>
          <w:lang w:val="en-US" w:eastAsia="zh-CN"/>
        </w:rPr>
        <w:t>服务</w:t>
      </w:r>
      <w:r>
        <w:rPr>
          <w:rFonts w:hint="eastAsia" w:ascii="仿宋" w:hAnsi="仿宋" w:eastAsia="仿宋" w:cs="仿宋"/>
          <w:strike w:val="0"/>
          <w:dstrike w:val="0"/>
          <w:color w:val="auto"/>
          <w:sz w:val="24"/>
          <w:highlight w:val="none"/>
        </w:rPr>
        <w:t>地点：</w:t>
      </w:r>
      <w:r>
        <w:rPr>
          <w:rFonts w:hint="eastAsia" w:ascii="仿宋" w:hAnsi="仿宋" w:eastAsia="仿宋" w:cs="仿宋"/>
          <w:strike w:val="0"/>
          <w:dstrike w:val="0"/>
          <w:color w:val="auto"/>
          <w:sz w:val="24"/>
          <w:highlight w:val="none"/>
          <w:lang w:val="en-US" w:eastAsia="zh-CN"/>
        </w:rPr>
        <w:t>采购人指定地点</w:t>
      </w:r>
      <w:r>
        <w:rPr>
          <w:rFonts w:hint="eastAsia" w:ascii="仿宋" w:hAnsi="仿宋" w:eastAsia="仿宋" w:cs="仿宋"/>
          <w:strike w:val="0"/>
          <w:dstrike w:val="0"/>
          <w:color w:val="auto"/>
          <w:sz w:val="24"/>
          <w:highlight w:val="none"/>
        </w:rPr>
        <w:t>。</w:t>
      </w:r>
    </w:p>
    <w:p w14:paraId="6BF0B00F">
      <w:pPr>
        <w:snapToGrid w:val="0"/>
        <w:spacing w:line="360" w:lineRule="auto"/>
        <w:ind w:firstLine="480" w:firstLineChars="200"/>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rPr>
        <w:t>（三）验收方式：</w:t>
      </w:r>
      <w:bookmarkStart w:id="24" w:name="_Toc31947"/>
      <w:r>
        <w:rPr>
          <w:rFonts w:hint="eastAsia" w:ascii="仿宋" w:hAnsi="仿宋" w:eastAsia="仿宋" w:cs="仿宋"/>
          <w:strike w:val="0"/>
          <w:dstrike w:val="0"/>
          <w:color w:val="auto"/>
          <w:sz w:val="24"/>
          <w:highlight w:val="none"/>
          <w:lang w:val="en-US" w:eastAsia="zh-CN"/>
        </w:rPr>
        <w:t>由采购人按照采购文件要求自行组织验收。</w:t>
      </w:r>
    </w:p>
    <w:p w14:paraId="695757AA">
      <w:pPr>
        <w:numPr>
          <w:ilvl w:val="0"/>
          <w:numId w:val="0"/>
        </w:numPr>
        <w:kinsoku/>
        <w:wordWrap/>
        <w:overflowPunct/>
        <w:topLinePunct w:val="0"/>
        <w:autoSpaceDE/>
        <w:autoSpaceDN/>
        <w:bidi w:val="0"/>
        <w:snapToGrid w:val="0"/>
        <w:spacing w:line="360" w:lineRule="auto"/>
        <w:ind w:firstLine="480" w:firstLineChars="200"/>
        <w:jc w:val="left"/>
        <w:textAlignment w:val="auto"/>
        <w:outlineLvl w:val="1"/>
        <w:rPr>
          <w:rFonts w:hint="eastAsia" w:ascii="仿宋" w:hAnsi="仿宋" w:eastAsia="仿宋" w:cs="仿宋"/>
          <w:b/>
          <w:strike w:val="0"/>
          <w:dstrike w:val="0"/>
          <w:color w:val="auto"/>
          <w:sz w:val="24"/>
          <w:highlight w:val="none"/>
        </w:rPr>
      </w:pPr>
      <w:bookmarkStart w:id="25" w:name="_Toc3327"/>
      <w:r>
        <w:rPr>
          <w:rFonts w:hint="eastAsia" w:ascii="仿宋" w:hAnsi="仿宋" w:eastAsia="仿宋" w:cs="仿宋"/>
          <w:strike w:val="0"/>
          <w:dstrike w:val="0"/>
          <w:color w:val="auto"/>
          <w:sz w:val="24"/>
          <w:highlight w:val="none"/>
          <w:lang w:val="en-US" w:eastAsia="zh-CN"/>
        </w:rPr>
        <w:t>二</w:t>
      </w:r>
      <w:r>
        <w:rPr>
          <w:rFonts w:hint="eastAsia" w:ascii="仿宋" w:hAnsi="仿宋" w:eastAsia="仿宋" w:cs="仿宋"/>
          <w:b/>
          <w:strike w:val="0"/>
          <w:dstrike w:val="0"/>
          <w:color w:val="auto"/>
          <w:sz w:val="24"/>
          <w:highlight w:val="none"/>
        </w:rPr>
        <w:t>、报价要求</w:t>
      </w:r>
      <w:bookmarkEnd w:id="24"/>
      <w:bookmarkEnd w:id="25"/>
    </w:p>
    <w:p w14:paraId="207ED23E">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rPr>
      </w:pPr>
      <w:bookmarkStart w:id="26" w:name="_Toc8916"/>
      <w:r>
        <w:rPr>
          <w:rFonts w:hint="eastAsia" w:ascii="仿宋" w:hAnsi="仿宋" w:eastAsia="仿宋" w:cs="仿宋"/>
          <w:strike w:val="0"/>
          <w:dstrike w:val="0"/>
          <w:color w:val="auto"/>
          <w:sz w:val="24"/>
          <w:highlight w:val="none"/>
        </w:rPr>
        <w:t>（一）本次报价须为固定单价报价</w:t>
      </w:r>
      <w:r>
        <w:rPr>
          <w:rFonts w:hint="eastAsia" w:ascii="仿宋" w:hAnsi="仿宋" w:eastAsia="仿宋" w:cs="仿宋"/>
          <w:strike w:val="0"/>
          <w:dstrike w:val="0"/>
          <w:color w:val="auto"/>
          <w:sz w:val="24"/>
          <w:highlight w:val="none"/>
          <w:lang w:eastAsia="zh-CN"/>
        </w:rPr>
        <w:t>，</w:t>
      </w:r>
      <w:r>
        <w:rPr>
          <w:rFonts w:hint="eastAsia" w:ascii="仿宋" w:hAnsi="仿宋" w:eastAsia="仿宋" w:cs="仿宋"/>
          <w:strike w:val="0"/>
          <w:dstrike w:val="0"/>
          <w:color w:val="auto"/>
          <w:sz w:val="24"/>
          <w:highlight w:val="none"/>
        </w:rPr>
        <w:t>供应商应充分考虑项目实施过程中的各种成本与风险，报价需涵盖完成研学课程项目的全部费用。供应商提供详细的分项报价表，分项报价为含税价，税费不单列。分项报价表明细至少应包含课程研发、师资、交通、场地、餐饮、物料、保险等主要项目，且价格不得超过采购人设定的限价。在“分项报价明细表”的“相关信息”一栏中，供应商须详细列出每项费用的明细组成情况。因成交供应商自身原因造成漏报、少报皆由其自行承担责任，采购人不再补偿。</w:t>
      </w:r>
    </w:p>
    <w:p w14:paraId="138C3D21">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（二）</w:t>
      </w:r>
      <w:r>
        <w:rPr>
          <w:rFonts w:hint="eastAsia" w:ascii="仿宋" w:hAnsi="仿宋" w:eastAsia="仿宋" w:cs="仿宋"/>
          <w:strike w:val="0"/>
          <w:dstrike w:val="0"/>
          <w:color w:val="auto"/>
          <w:sz w:val="24"/>
          <w:highlight w:val="none"/>
          <w:lang w:val="en-US" w:eastAsia="zh-CN"/>
        </w:rPr>
        <w:t>供应商须在投标函及平台线上提供本项目的投标暂定总报价，该报价仅作为本项目投标报价得分的计算依据</w:t>
      </w:r>
      <w:r>
        <w:rPr>
          <w:rFonts w:hint="eastAsia" w:ascii="仿宋" w:hAnsi="仿宋" w:eastAsia="仿宋" w:cs="仿宋"/>
          <w:strike w:val="0"/>
          <w:dstrike w:val="0"/>
          <w:color w:val="auto"/>
          <w:sz w:val="24"/>
          <w:highlight w:val="none"/>
        </w:rPr>
        <w:t>。</w:t>
      </w:r>
    </w:p>
    <w:bookmarkEnd w:id="26"/>
    <w:p w14:paraId="0528C253">
      <w:pPr>
        <w:keepNext/>
        <w:keepLines/>
        <w:kinsoku/>
        <w:wordWrap/>
        <w:overflowPunct/>
        <w:topLinePunct w:val="0"/>
        <w:autoSpaceDE/>
        <w:autoSpaceDN/>
        <w:bidi w:val="0"/>
        <w:snapToGrid w:val="0"/>
        <w:spacing w:line="360" w:lineRule="auto"/>
        <w:ind w:firstLine="480" w:firstLineChars="200"/>
        <w:textAlignment w:val="auto"/>
        <w:outlineLvl w:val="1"/>
        <w:rPr>
          <w:rFonts w:hint="eastAsia" w:ascii="仿宋" w:hAnsi="仿宋" w:eastAsia="仿宋" w:cs="仿宋"/>
          <w:b/>
          <w:bCs/>
          <w:strike w:val="0"/>
          <w:dstrike w:val="0"/>
          <w:color w:val="auto"/>
          <w:sz w:val="24"/>
          <w:highlight w:val="none"/>
        </w:rPr>
      </w:pPr>
      <w:bookmarkStart w:id="27" w:name="_Toc12530"/>
      <w:bookmarkStart w:id="28" w:name="_Toc28111"/>
      <w:r>
        <w:rPr>
          <w:rFonts w:hint="eastAsia" w:ascii="仿宋" w:hAnsi="仿宋" w:eastAsia="仿宋" w:cs="仿宋"/>
          <w:b/>
          <w:bCs/>
          <w:strike w:val="0"/>
          <w:dstrike w:val="0"/>
          <w:color w:val="auto"/>
          <w:sz w:val="24"/>
          <w:highlight w:val="none"/>
          <w:lang w:val="en-US" w:eastAsia="zh-CN"/>
        </w:rPr>
        <w:t>三</w:t>
      </w:r>
      <w:r>
        <w:rPr>
          <w:rFonts w:hint="eastAsia" w:ascii="仿宋" w:hAnsi="仿宋" w:eastAsia="仿宋" w:cs="仿宋"/>
          <w:b/>
          <w:bCs/>
          <w:strike w:val="0"/>
          <w:dstrike w:val="0"/>
          <w:color w:val="auto"/>
          <w:sz w:val="24"/>
          <w:highlight w:val="none"/>
        </w:rPr>
        <w:t>、</w:t>
      </w:r>
      <w:bookmarkStart w:id="29" w:name="_Toc28851"/>
      <w:r>
        <w:rPr>
          <w:rFonts w:hint="eastAsia" w:ascii="仿宋" w:hAnsi="仿宋" w:eastAsia="仿宋" w:cs="仿宋"/>
          <w:b/>
          <w:bCs/>
          <w:strike w:val="0"/>
          <w:dstrike w:val="0"/>
          <w:color w:val="auto"/>
          <w:sz w:val="24"/>
          <w:highlight w:val="none"/>
        </w:rPr>
        <w:t>付款方式</w:t>
      </w:r>
      <w:bookmarkEnd w:id="29"/>
    </w:p>
    <w:p w14:paraId="75894E5A">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sz w:val="24"/>
          <w:highlight w:val="none"/>
          <w:lang w:eastAsia="zh-CN"/>
        </w:rPr>
      </w:pPr>
      <w:r>
        <w:rPr>
          <w:rFonts w:hint="eastAsia" w:ascii="仿宋" w:hAnsi="仿宋" w:eastAsia="仿宋" w:cs="仿宋"/>
          <w:strike w:val="0"/>
          <w:dstrike w:val="0"/>
          <w:color w:val="auto"/>
          <w:sz w:val="24"/>
          <w:highlight w:val="none"/>
          <w:lang w:eastAsia="zh-CN"/>
        </w:rPr>
        <w:t>（</w:t>
      </w:r>
      <w:r>
        <w:rPr>
          <w:rFonts w:hint="eastAsia" w:ascii="仿宋" w:hAnsi="仿宋" w:eastAsia="仿宋" w:cs="仿宋"/>
          <w:strike w:val="0"/>
          <w:dstrike w:val="0"/>
          <w:color w:val="auto"/>
          <w:sz w:val="24"/>
          <w:highlight w:val="none"/>
          <w:lang w:val="en-US" w:eastAsia="zh-CN"/>
        </w:rPr>
        <w:t>一</w:t>
      </w:r>
      <w:r>
        <w:rPr>
          <w:rFonts w:hint="eastAsia" w:ascii="仿宋" w:hAnsi="仿宋" w:eastAsia="仿宋" w:cs="仿宋"/>
          <w:strike w:val="0"/>
          <w:dstrike w:val="0"/>
          <w:color w:val="auto"/>
          <w:sz w:val="24"/>
          <w:highlight w:val="none"/>
          <w:lang w:eastAsia="zh-CN"/>
        </w:rPr>
        <w:t>）</w:t>
      </w:r>
      <w:r>
        <w:rPr>
          <w:rFonts w:hint="eastAsia" w:ascii="仿宋" w:hAnsi="仿宋" w:eastAsia="仿宋" w:cs="仿宋"/>
          <w:strike w:val="0"/>
          <w:dstrike w:val="0"/>
          <w:color w:val="auto"/>
          <w:sz w:val="24"/>
          <w:highlight w:val="none"/>
        </w:rPr>
        <w:t>最终结算金额以实际发生的人数为准</w:t>
      </w:r>
      <w:r>
        <w:rPr>
          <w:rFonts w:hint="eastAsia" w:ascii="仿宋" w:hAnsi="仿宋" w:eastAsia="仿宋" w:cs="仿宋"/>
          <w:strike w:val="0"/>
          <w:dstrike w:val="0"/>
          <w:color w:val="auto"/>
          <w:sz w:val="24"/>
          <w:highlight w:val="none"/>
          <w:lang w:eastAsia="zh-CN"/>
        </w:rPr>
        <w:t>，结算总金额=Σ（各年级实际出行人数×对应</w:t>
      </w:r>
      <w:r>
        <w:rPr>
          <w:rFonts w:hint="eastAsia" w:ascii="仿宋" w:hAnsi="仿宋" w:eastAsia="仿宋" w:cs="仿宋"/>
          <w:strike w:val="0"/>
          <w:dstrike w:val="0"/>
          <w:color w:val="auto"/>
          <w:sz w:val="24"/>
          <w:highlight w:val="none"/>
          <w:lang w:val="en-US" w:eastAsia="zh-CN"/>
        </w:rPr>
        <w:t>年级成交</w:t>
      </w:r>
      <w:r>
        <w:rPr>
          <w:rFonts w:hint="eastAsia" w:ascii="仿宋" w:hAnsi="仿宋" w:eastAsia="仿宋" w:cs="仿宋"/>
          <w:strike w:val="0"/>
          <w:dstrike w:val="0"/>
          <w:color w:val="auto"/>
          <w:sz w:val="24"/>
          <w:highlight w:val="none"/>
          <w:lang w:eastAsia="zh-CN"/>
        </w:rPr>
        <w:t>单价），实际出行人数由采购人在研学活动开展前书面确认，作为最终结算依据。</w:t>
      </w:r>
    </w:p>
    <w:p w14:paraId="55F6CEE2">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sz w:val="24"/>
          <w:highlight w:val="none"/>
          <w:lang w:eastAsia="zh-CN"/>
        </w:rPr>
      </w:pPr>
      <w:r>
        <w:rPr>
          <w:rFonts w:hint="eastAsia" w:ascii="仿宋" w:hAnsi="仿宋" w:eastAsia="仿宋" w:cs="仿宋"/>
          <w:strike w:val="0"/>
          <w:dstrike w:val="0"/>
          <w:color w:val="auto"/>
          <w:sz w:val="24"/>
          <w:highlight w:val="none"/>
          <w:lang w:eastAsia="zh-CN"/>
        </w:rPr>
        <w:t>（</w:t>
      </w:r>
      <w:r>
        <w:rPr>
          <w:rFonts w:hint="eastAsia" w:ascii="仿宋" w:hAnsi="仿宋" w:eastAsia="仿宋" w:cs="仿宋"/>
          <w:strike w:val="0"/>
          <w:dstrike w:val="0"/>
          <w:color w:val="auto"/>
          <w:sz w:val="24"/>
          <w:highlight w:val="none"/>
          <w:lang w:val="en-US" w:eastAsia="zh-CN"/>
        </w:rPr>
        <w:t>二</w:t>
      </w:r>
      <w:r>
        <w:rPr>
          <w:rFonts w:hint="eastAsia" w:ascii="仿宋" w:hAnsi="仿宋" w:eastAsia="仿宋" w:cs="仿宋"/>
          <w:strike w:val="0"/>
          <w:dstrike w:val="0"/>
          <w:color w:val="auto"/>
          <w:sz w:val="24"/>
          <w:highlight w:val="none"/>
          <w:lang w:eastAsia="zh-CN"/>
        </w:rPr>
        <w:t>）服务结束经采购人验收通过后，成交供应商提供等额发票给采购人，采购人审核无误后，15个工作日内支付给成交供应商扣除服务费（如有）后的结算金额。</w:t>
      </w:r>
    </w:p>
    <w:p w14:paraId="72B138A5">
      <w:pPr>
        <w:pStyle w:val="3"/>
        <w:kinsoku/>
        <w:wordWrap/>
        <w:overflowPunct/>
        <w:topLinePunct w:val="0"/>
        <w:autoSpaceDE/>
        <w:autoSpaceDN/>
        <w:bidi w:val="0"/>
        <w:snapToGrid w:val="0"/>
        <w:spacing w:before="0" w:after="0" w:line="360" w:lineRule="auto"/>
        <w:ind w:firstLine="480" w:firstLineChars="200"/>
        <w:textAlignment w:val="auto"/>
        <w:outlineLvl w:val="1"/>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四</w:t>
      </w:r>
      <w:r>
        <w:rPr>
          <w:rFonts w:hint="eastAsia" w:ascii="仿宋" w:hAnsi="仿宋" w:eastAsia="仿宋" w:cs="仿宋"/>
          <w:strike w:val="0"/>
          <w:dstrike w:val="0"/>
          <w:color w:val="auto"/>
          <w:sz w:val="24"/>
          <w:highlight w:val="none"/>
        </w:rPr>
        <w:t>、</w:t>
      </w:r>
      <w:r>
        <w:rPr>
          <w:rFonts w:hint="eastAsia" w:ascii="仿宋" w:hAnsi="仿宋" w:eastAsia="仿宋" w:cs="仿宋"/>
          <w:strike w:val="0"/>
          <w:dstrike w:val="0"/>
          <w:color w:val="auto"/>
          <w:sz w:val="24"/>
          <w:highlight w:val="none"/>
          <w:lang w:val="en-US" w:eastAsia="zh-CN"/>
        </w:rPr>
        <w:t>其他要求</w:t>
      </w:r>
    </w:p>
    <w:p w14:paraId="0F478099">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成交供应商须严格按照采购文件采购人服务要求及所自身提供的方案实施本项目，成交供应商在实施过程中接受采购人的监督和意见，根据采购人意见进行项目实施的调整。未经采购人允许，不得改变实施方案。否则将取消成交供应商承办资格，由采购人选择排名后一位成交候选人承办本项目。保证活动顺利开展。</w:t>
      </w:r>
    </w:p>
    <w:p w14:paraId="5327C2BE">
      <w:pPr>
        <w:pStyle w:val="3"/>
        <w:kinsoku/>
        <w:wordWrap/>
        <w:overflowPunct/>
        <w:topLinePunct w:val="0"/>
        <w:autoSpaceDE/>
        <w:autoSpaceDN/>
        <w:bidi w:val="0"/>
        <w:snapToGrid w:val="0"/>
        <w:spacing w:before="0" w:after="0" w:line="360" w:lineRule="auto"/>
        <w:ind w:firstLine="480" w:firstLineChars="200"/>
        <w:textAlignment w:val="auto"/>
        <w:outlineLvl w:val="1"/>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五、履约担保</w:t>
      </w:r>
    </w:p>
    <w:p w14:paraId="7C9BFB95">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（一）履约保证金：3万元整。</w:t>
      </w:r>
    </w:p>
    <w:p w14:paraId="1D56736F">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（二）签订合同前</w:t>
      </w:r>
      <w:r>
        <w:rPr>
          <w:rFonts w:hint="eastAsia" w:ascii="仿宋" w:hAnsi="仿宋" w:eastAsia="仿宋" w:cs="仿宋"/>
          <w:strike w:val="0"/>
          <w:dstrike w:val="0"/>
          <w:color w:val="auto"/>
          <w:kern w:val="0"/>
          <w:sz w:val="24"/>
          <w:szCs w:val="24"/>
          <w:highlight w:val="none"/>
        </w:rPr>
        <w:t>向</w:t>
      </w:r>
      <w:r>
        <w:rPr>
          <w:rFonts w:hint="eastAsia" w:ascii="仿宋" w:hAnsi="仿宋" w:eastAsia="仿宋" w:cs="仿宋"/>
          <w:strike w:val="0"/>
          <w:dstrike w:val="0"/>
          <w:color w:val="auto"/>
          <w:kern w:val="0"/>
          <w:sz w:val="24"/>
          <w:szCs w:val="24"/>
          <w:highlight w:val="none"/>
          <w:lang w:val="en-US" w:eastAsia="zh-CN"/>
        </w:rPr>
        <w:t>采购人</w:t>
      </w:r>
      <w:r>
        <w:rPr>
          <w:rFonts w:hint="eastAsia" w:ascii="仿宋" w:hAnsi="仿宋" w:eastAsia="仿宋" w:cs="仿宋"/>
          <w:strike w:val="0"/>
          <w:dstrike w:val="0"/>
          <w:color w:val="auto"/>
          <w:kern w:val="0"/>
          <w:sz w:val="24"/>
          <w:szCs w:val="24"/>
          <w:highlight w:val="none"/>
        </w:rPr>
        <w:t>缴纳</w:t>
      </w:r>
      <w:r>
        <w:rPr>
          <w:rFonts w:hint="eastAsia" w:ascii="仿宋" w:hAnsi="仿宋" w:eastAsia="仿宋" w:cs="仿宋"/>
          <w:strike w:val="0"/>
          <w:dstrike w:val="0"/>
          <w:color w:val="auto"/>
          <w:kern w:val="0"/>
          <w:sz w:val="24"/>
          <w:szCs w:val="24"/>
          <w:highlight w:val="none"/>
          <w:lang w:val="en-US" w:eastAsia="zh-CN"/>
        </w:rPr>
        <w:t>足额的</w:t>
      </w:r>
      <w:r>
        <w:rPr>
          <w:rFonts w:hint="eastAsia" w:ascii="仿宋" w:hAnsi="仿宋" w:eastAsia="仿宋" w:cs="仿宋"/>
          <w:strike w:val="0"/>
          <w:dstrike w:val="0"/>
          <w:color w:val="auto"/>
          <w:kern w:val="0"/>
          <w:sz w:val="24"/>
          <w:szCs w:val="24"/>
          <w:highlight w:val="none"/>
        </w:rPr>
        <w:t>履约保证金（以支票、汇票、本票或者金融机构、担保机构出具的保函等非现金形式提交）</w:t>
      </w:r>
      <w:r>
        <w:rPr>
          <w:rFonts w:hint="eastAsia" w:ascii="仿宋" w:hAnsi="仿宋" w:eastAsia="仿宋" w:cs="仿宋"/>
          <w:strike w:val="0"/>
          <w:dstrike w:val="0"/>
          <w:color w:val="auto"/>
          <w:kern w:val="0"/>
          <w:sz w:val="24"/>
          <w:szCs w:val="24"/>
          <w:highlight w:val="none"/>
          <w:lang w:eastAsia="zh-CN"/>
        </w:rPr>
        <w:t>，成交供应商</w:t>
      </w:r>
      <w:r>
        <w:rPr>
          <w:rFonts w:hint="eastAsia" w:ascii="仿宋" w:hAnsi="仿宋" w:eastAsia="仿宋" w:cs="仿宋"/>
          <w:strike w:val="0"/>
          <w:dstrike w:val="0"/>
          <w:color w:val="auto"/>
          <w:kern w:val="0"/>
          <w:sz w:val="24"/>
          <w:szCs w:val="24"/>
          <w:highlight w:val="none"/>
        </w:rPr>
        <w:t>若未按时缴纳履约保证金，则失去成为</w:t>
      </w:r>
      <w:r>
        <w:rPr>
          <w:rFonts w:hint="eastAsia" w:ascii="仿宋" w:hAnsi="仿宋" w:eastAsia="仿宋" w:cs="仿宋"/>
          <w:strike w:val="0"/>
          <w:dstrike w:val="0"/>
          <w:color w:val="auto"/>
          <w:kern w:val="0"/>
          <w:sz w:val="24"/>
          <w:szCs w:val="24"/>
          <w:highlight w:val="none"/>
          <w:lang w:eastAsia="zh-CN"/>
        </w:rPr>
        <w:t>成交供应商</w:t>
      </w:r>
      <w:r>
        <w:rPr>
          <w:rFonts w:hint="eastAsia" w:ascii="仿宋" w:hAnsi="仿宋" w:eastAsia="仿宋" w:cs="仿宋"/>
          <w:strike w:val="0"/>
          <w:dstrike w:val="0"/>
          <w:color w:val="auto"/>
          <w:kern w:val="0"/>
          <w:sz w:val="24"/>
          <w:szCs w:val="24"/>
          <w:highlight w:val="none"/>
        </w:rPr>
        <w:t>资格。</w:t>
      </w:r>
    </w:p>
    <w:p w14:paraId="434DE4E9">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三）为了保障学生社会实践教育活动安全以及更好为学生服务，成交供应商必须在成交通知书发出后5个工作日内向采购人提交由具备相应资质的金融机构（如银行、保险公司、担保公司等）出具的履约保函。该保函需明确承诺：若供应商未按采购合同约定履行义务，采购人有权凭此保函向出具机构提出索赔，出具机构将在保函约定金额范围内，无条件向采购人支付相应款项，以承担担保责任。履约保函由采购人财务科代收代管，经采购人考核合格后及活动服务合同圆满结束后无息退还。</w:t>
      </w:r>
    </w:p>
    <w:p w14:paraId="40D9E2E7">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（四）履约担保的退还时间：项目验收合格后，采购人按相关程序无息退还履约保证金。</w:t>
      </w:r>
    </w:p>
    <w:p w14:paraId="56010333">
      <w:pPr>
        <w:pStyle w:val="3"/>
        <w:kinsoku/>
        <w:wordWrap/>
        <w:overflowPunct/>
        <w:topLinePunct w:val="0"/>
        <w:autoSpaceDE/>
        <w:autoSpaceDN/>
        <w:bidi w:val="0"/>
        <w:snapToGrid w:val="0"/>
        <w:spacing w:before="0" w:after="0" w:line="360" w:lineRule="auto"/>
        <w:ind w:firstLine="480" w:firstLineChars="200"/>
        <w:textAlignment w:val="auto"/>
        <w:outlineLvl w:val="1"/>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六、</w:t>
      </w:r>
      <w:bookmarkEnd w:id="27"/>
      <w:bookmarkEnd w:id="28"/>
      <w:r>
        <w:rPr>
          <w:rFonts w:hint="eastAsia" w:ascii="仿宋" w:hAnsi="仿宋" w:eastAsia="仿宋" w:cs="仿宋"/>
          <w:strike w:val="0"/>
          <w:dstrike w:val="0"/>
          <w:color w:val="auto"/>
          <w:sz w:val="24"/>
          <w:highlight w:val="none"/>
          <w:lang w:val="en-US" w:eastAsia="zh-CN"/>
        </w:rPr>
        <w:t>转包、分包</w:t>
      </w:r>
    </w:p>
    <w:p w14:paraId="772B3478">
      <w:p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成交供应商未经采购人书面同意，不得将项目转包、分包给第三方，如成交供应商将本项目转包、分包给第三方的，采购人有权解除合同，并不支付任何费用，同时采购人有权要求成交供应商按合同总金额的10 %支付违约金，因此给采购人造成的损失应由成交供应商承担赔偿责任。</w:t>
      </w:r>
    </w:p>
    <w:p w14:paraId="7A79E620">
      <w:pPr>
        <w:pStyle w:val="3"/>
        <w:kinsoku/>
        <w:wordWrap/>
        <w:overflowPunct/>
        <w:topLinePunct w:val="0"/>
        <w:autoSpaceDE/>
        <w:autoSpaceDN/>
        <w:bidi w:val="0"/>
        <w:snapToGrid w:val="0"/>
        <w:spacing w:before="0" w:after="0" w:line="360" w:lineRule="auto"/>
        <w:ind w:firstLine="480" w:firstLineChars="200"/>
        <w:textAlignment w:val="auto"/>
        <w:outlineLvl w:val="1"/>
        <w:rPr>
          <w:rFonts w:hint="eastAsia" w:ascii="仿宋" w:hAnsi="仿宋" w:eastAsia="仿宋" w:cs="仿宋"/>
          <w:strike w:val="0"/>
          <w:dstrike w:val="0"/>
          <w:color w:val="auto"/>
          <w:sz w:val="24"/>
          <w:highlight w:val="none"/>
          <w:lang w:val="en-US" w:eastAsia="zh-CN"/>
        </w:rPr>
      </w:pPr>
      <w:bookmarkStart w:id="30" w:name="_Toc4149"/>
      <w:bookmarkStart w:id="31" w:name="_Toc31486"/>
      <w:bookmarkStart w:id="32" w:name="_Toc10843"/>
      <w:bookmarkStart w:id="33" w:name="_Toc4881"/>
      <w:bookmarkStart w:id="34" w:name="_Toc30463"/>
      <w:bookmarkStart w:id="35" w:name="_Toc30526"/>
      <w:bookmarkStart w:id="36" w:name="_Toc29264"/>
      <w:bookmarkStart w:id="37" w:name="_Toc13717"/>
      <w:r>
        <w:rPr>
          <w:rFonts w:hint="eastAsia" w:ascii="仿宋" w:hAnsi="仿宋" w:eastAsia="仿宋" w:cs="仿宋"/>
          <w:strike w:val="0"/>
          <w:dstrike w:val="0"/>
          <w:color w:val="auto"/>
          <w:sz w:val="24"/>
          <w:highlight w:val="none"/>
          <w:lang w:val="en-US" w:eastAsia="zh-CN"/>
        </w:rPr>
        <w:t>七、其他</w:t>
      </w:r>
      <w:bookmarkEnd w:id="30"/>
      <w:bookmarkEnd w:id="31"/>
      <w:bookmarkEnd w:id="32"/>
      <w:bookmarkEnd w:id="33"/>
      <w:bookmarkEnd w:id="34"/>
      <w:bookmarkEnd w:id="35"/>
      <w:bookmarkEnd w:id="36"/>
      <w:bookmarkEnd w:id="37"/>
    </w:p>
    <w:p w14:paraId="55684EA2">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（一）成交供应商确定后，由采购人和成交单位按照相关规定和程序办理有关手续，签订合同。</w:t>
      </w:r>
    </w:p>
    <w:p w14:paraId="3B107B46">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（二）其他未尽事宜由供需双方在采购合同中详细约定。</w:t>
      </w:r>
    </w:p>
    <w:p w14:paraId="251F294D">
      <w:p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trike w:val="0"/>
          <w:dstrike w:val="0"/>
          <w:color w:val="auto"/>
          <w:sz w:val="24"/>
          <w:highlight w:val="none"/>
        </w:rPr>
      </w:pPr>
    </w:p>
    <w:p w14:paraId="181FE286">
      <w:pPr>
        <w:rPr>
          <w:rFonts w:hint="eastAsia" w:ascii="仿宋" w:hAnsi="仿宋" w:eastAsia="仿宋" w:cs="仿宋"/>
          <w:color w:val="auto"/>
          <w:sz w:val="24"/>
          <w:szCs w:val="24"/>
          <w:highlight w:val="none"/>
        </w:rPr>
      </w:pPr>
    </w:p>
    <w:p w14:paraId="3D336E67">
      <w:pPr>
        <w:rPr>
          <w:rFonts w:hint="eastAsia" w:ascii="仿宋" w:hAnsi="仿宋" w:eastAsia="仿宋" w:cs="仿宋"/>
          <w:color w:val="auto"/>
          <w:highlight w:val="none"/>
        </w:rPr>
      </w:pPr>
    </w:p>
    <w:p w14:paraId="23B4B6B0">
      <w:pPr>
        <w:pStyle w:val="32"/>
        <w:rPr>
          <w:rFonts w:hint="eastAsia" w:ascii="仿宋" w:hAnsi="仿宋" w:eastAsia="仿宋" w:cs="仿宋"/>
          <w:color w:val="auto"/>
          <w:highlight w:val="none"/>
        </w:rPr>
      </w:pPr>
    </w:p>
    <w:p w14:paraId="3EFE97D8">
      <w:pPr>
        <w:pStyle w:val="32"/>
        <w:ind w:left="0" w:leftChars="0" w:firstLine="0" w:firstLineChars="0"/>
        <w:rPr>
          <w:rFonts w:hint="eastAsia" w:ascii="仿宋" w:hAnsi="仿宋" w:eastAsia="仿宋" w:cs="仿宋"/>
          <w:color w:val="auto"/>
          <w:highlight w:val="none"/>
        </w:rPr>
      </w:pPr>
    </w:p>
    <w:p w14:paraId="4B929F1A">
      <w:pPr>
        <w:rPr>
          <w:rStyle w:val="36"/>
          <w:rFonts w:hint="eastAsia" w:ascii="仿宋" w:hAnsi="仿宋" w:eastAsia="仿宋" w:cs="仿宋"/>
          <w:b/>
          <w:bCs/>
          <w:color w:val="auto"/>
          <w:sz w:val="32"/>
          <w:szCs w:val="32"/>
          <w:highlight w:val="none"/>
          <w:lang w:val="en-US" w:eastAsia="zh-CN"/>
        </w:rPr>
      </w:pPr>
      <w:bookmarkStart w:id="38" w:name="_Toc27973"/>
      <w:r>
        <w:rPr>
          <w:rStyle w:val="36"/>
          <w:rFonts w:hint="eastAsia" w:ascii="仿宋" w:hAnsi="仿宋" w:eastAsia="仿宋" w:cs="仿宋"/>
          <w:b/>
          <w:bCs/>
          <w:color w:val="auto"/>
          <w:sz w:val="32"/>
          <w:szCs w:val="32"/>
          <w:highlight w:val="none"/>
          <w:lang w:val="en-US" w:eastAsia="zh-CN"/>
        </w:rPr>
        <w:br w:type="page"/>
      </w:r>
    </w:p>
    <w:p w14:paraId="73862376">
      <w:pPr>
        <w:pStyle w:val="3"/>
        <w:numPr>
          <w:ilvl w:val="0"/>
          <w:numId w:val="5"/>
        </w:numPr>
        <w:spacing w:line="360" w:lineRule="auto"/>
        <w:ind w:left="-280" w:leftChars="-100" w:firstLine="560" w:firstLineChars="175"/>
        <w:jc w:val="center"/>
        <w:rPr>
          <w:rStyle w:val="36"/>
          <w:rFonts w:hint="eastAsia" w:ascii="仿宋" w:hAnsi="仿宋" w:eastAsia="仿宋" w:cs="仿宋"/>
          <w:b/>
          <w:bCs/>
          <w:color w:val="auto"/>
          <w:sz w:val="32"/>
          <w:szCs w:val="32"/>
          <w:highlight w:val="none"/>
          <w:lang w:val="en-US" w:eastAsia="zh-CN"/>
        </w:rPr>
      </w:pPr>
      <w:r>
        <w:rPr>
          <w:rStyle w:val="36"/>
          <w:rFonts w:hint="eastAsia" w:ascii="仿宋" w:hAnsi="仿宋" w:eastAsia="仿宋" w:cs="仿宋"/>
          <w:b/>
          <w:bCs/>
          <w:color w:val="auto"/>
          <w:sz w:val="32"/>
          <w:szCs w:val="32"/>
          <w:highlight w:val="none"/>
          <w:lang w:val="en-US" w:eastAsia="zh-CN"/>
        </w:rPr>
        <w:t>资格审查及评标办法</w:t>
      </w:r>
      <w:bookmarkEnd w:id="38"/>
    </w:p>
    <w:p w14:paraId="2030114B">
      <w:pPr>
        <w:pageBreakBefore w:val="0"/>
        <w:kinsoku/>
        <w:wordWrap/>
        <w:overflowPunct/>
        <w:topLinePunct w:val="0"/>
        <w:autoSpaceDE/>
        <w:autoSpaceDN/>
        <w:bidi w:val="0"/>
        <w:adjustRightIn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资格性符合性检查</w:t>
      </w:r>
    </w:p>
    <w:p w14:paraId="44C38051">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资格性检查。依据法律法规和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的规定，对响应文件中的资格证明等进行审查，以确定供应商是否具备</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资格。资格性检查资料表如下：</w:t>
      </w:r>
    </w:p>
    <w:tbl>
      <w:tblPr>
        <w:tblStyle w:val="26"/>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118"/>
        <w:gridCol w:w="3126"/>
        <w:gridCol w:w="4801"/>
      </w:tblGrid>
      <w:tr w14:paraId="045D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center"/>
          </w:tcPr>
          <w:p w14:paraId="1C85B7A4">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4244" w:type="dxa"/>
            <w:gridSpan w:val="2"/>
            <w:noWrap w:val="0"/>
            <w:vAlign w:val="center"/>
          </w:tcPr>
          <w:p w14:paraId="099FCF11">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4801" w:type="dxa"/>
            <w:noWrap w:val="0"/>
            <w:vAlign w:val="center"/>
          </w:tcPr>
          <w:p w14:paraId="7B37BB2E">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14:paraId="4F63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restart"/>
            <w:noWrap w:val="0"/>
            <w:vAlign w:val="center"/>
          </w:tcPr>
          <w:p w14:paraId="6B0DC4FB">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18" w:type="dxa"/>
            <w:vMerge w:val="restart"/>
            <w:noWrap w:val="0"/>
            <w:vAlign w:val="center"/>
          </w:tcPr>
          <w:p w14:paraId="4504B5E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zh-CN"/>
              </w:rPr>
              <w:t>应符合的基本资格条件</w:t>
            </w:r>
          </w:p>
        </w:tc>
        <w:tc>
          <w:tcPr>
            <w:tcW w:w="3126" w:type="dxa"/>
            <w:noWrap w:val="0"/>
            <w:vAlign w:val="center"/>
          </w:tcPr>
          <w:p w14:paraId="4F73A69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4801" w:type="dxa"/>
            <w:noWrap w:val="0"/>
            <w:vAlign w:val="center"/>
          </w:tcPr>
          <w:p w14:paraId="3DE57D2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供应商法人营业执照（副本）或事业单位法人证书（</w:t>
            </w:r>
            <w:r>
              <w:rPr>
                <w:rFonts w:hint="eastAsia" w:ascii="仿宋" w:hAnsi="仿宋" w:eastAsia="仿宋" w:cs="仿宋"/>
                <w:color w:val="auto"/>
                <w:sz w:val="24"/>
                <w:szCs w:val="24"/>
                <w:highlight w:val="none"/>
                <w:lang w:val="en-US" w:eastAsia="zh-CN"/>
              </w:rPr>
              <w:t>正本</w:t>
            </w:r>
            <w:r>
              <w:rPr>
                <w:rFonts w:hint="eastAsia" w:ascii="仿宋" w:hAnsi="仿宋" w:eastAsia="仿宋" w:cs="仿宋"/>
                <w:color w:val="auto"/>
                <w:sz w:val="24"/>
                <w:szCs w:val="24"/>
                <w:highlight w:val="none"/>
              </w:rPr>
              <w:t>）或个体工商户营业执照或有效的自然人身份证明、组织机构代码证复印件（注</w:t>
            </w:r>
            <w:r>
              <w:rPr>
                <w:rFonts w:hint="eastAsia" w:ascii="仿宋" w:hAnsi="仿宋" w:eastAsia="仿宋" w:cs="仿宋"/>
                <w:color w:val="auto"/>
                <w:kern w:val="0"/>
                <w:sz w:val="24"/>
                <w:szCs w:val="24"/>
                <w:highlight w:val="none"/>
              </w:rPr>
              <w:sym w:font="Wingdings" w:char="F081"/>
            </w:r>
            <w:r>
              <w:rPr>
                <w:rFonts w:hint="eastAsia" w:ascii="仿宋" w:hAnsi="仿宋" w:eastAsia="仿宋" w:cs="仿宋"/>
                <w:color w:val="auto"/>
                <w:sz w:val="24"/>
                <w:szCs w:val="24"/>
                <w:highlight w:val="none"/>
              </w:rPr>
              <w:t xml:space="preserve">）； </w:t>
            </w:r>
          </w:p>
          <w:p w14:paraId="2D6BD28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供应商法定代表人身份证明和法定代表人授权代表委托书。</w:t>
            </w:r>
          </w:p>
        </w:tc>
      </w:tr>
      <w:tr w14:paraId="6404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57" w:type="dxa"/>
            <w:vMerge w:val="continue"/>
            <w:noWrap w:val="0"/>
            <w:vAlign w:val="center"/>
          </w:tcPr>
          <w:p w14:paraId="5050301E">
            <w:pPr>
              <w:keepNext/>
              <w:keepLines/>
              <w:pageBreakBefore w:val="0"/>
              <w:kinsoku/>
              <w:wordWrap/>
              <w:overflowPunct/>
              <w:topLinePunct w:val="0"/>
              <w:autoSpaceDE/>
              <w:autoSpaceDN/>
              <w:bidi w:val="0"/>
              <w:adjustRightInd/>
              <w:spacing w:before="260" w:after="260" w:line="240" w:lineRule="auto"/>
              <w:jc w:val="center"/>
              <w:textAlignment w:val="auto"/>
              <w:outlineLvl w:val="2"/>
              <w:rPr>
                <w:rFonts w:hint="eastAsia" w:ascii="仿宋" w:hAnsi="仿宋" w:eastAsia="仿宋" w:cs="仿宋"/>
                <w:color w:val="auto"/>
                <w:sz w:val="24"/>
                <w:szCs w:val="24"/>
                <w:highlight w:val="none"/>
              </w:rPr>
            </w:pPr>
          </w:p>
        </w:tc>
        <w:tc>
          <w:tcPr>
            <w:tcW w:w="1118" w:type="dxa"/>
            <w:vMerge w:val="continue"/>
            <w:noWrap w:val="0"/>
            <w:vAlign w:val="center"/>
          </w:tcPr>
          <w:p w14:paraId="0CC6E027">
            <w:pPr>
              <w:keepNext w:val="0"/>
              <w:keepLines w:val="0"/>
              <w:pageBreakBefore w:val="0"/>
              <w:widowControl w:val="0"/>
              <w:kinsoku/>
              <w:wordWrap/>
              <w:overflowPunct/>
              <w:topLinePunct w:val="0"/>
              <w:autoSpaceDE/>
              <w:autoSpaceDN/>
              <w:bidi w:val="0"/>
              <w:adjustRightInd/>
              <w:snapToGrid w:val="0"/>
              <w:spacing w:before="260" w:after="260" w:line="240" w:lineRule="auto"/>
              <w:jc w:val="both"/>
              <w:textAlignment w:val="auto"/>
              <w:outlineLvl w:val="2"/>
              <w:rPr>
                <w:rFonts w:hint="eastAsia" w:ascii="仿宋" w:hAnsi="仿宋" w:eastAsia="仿宋" w:cs="仿宋"/>
                <w:color w:val="auto"/>
                <w:sz w:val="24"/>
                <w:szCs w:val="24"/>
                <w:highlight w:val="none"/>
                <w:lang w:val="zh-CN"/>
              </w:rPr>
            </w:pPr>
          </w:p>
        </w:tc>
        <w:tc>
          <w:tcPr>
            <w:tcW w:w="3126" w:type="dxa"/>
            <w:noWrap w:val="0"/>
            <w:vAlign w:val="center"/>
          </w:tcPr>
          <w:p w14:paraId="436B7FF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4801" w:type="dxa"/>
            <w:vMerge w:val="restart"/>
            <w:noWrap w:val="0"/>
            <w:vAlign w:val="center"/>
          </w:tcPr>
          <w:p w14:paraId="5664B0A2">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both"/>
              <w:textAlignment w:val="auto"/>
              <w:rPr>
                <w:rFonts w:hint="eastAsia"/>
                <w:color w:val="auto"/>
                <w:highlight w:val="none"/>
              </w:rPr>
            </w:pPr>
            <w:r>
              <w:rPr>
                <w:rFonts w:hint="eastAsia" w:ascii="仿宋" w:hAnsi="仿宋" w:eastAsia="仿宋" w:cs="仿宋"/>
                <w:color w:val="auto"/>
                <w:sz w:val="24"/>
                <w:szCs w:val="24"/>
                <w:highlight w:val="none"/>
                <w:lang w:val="en-US" w:eastAsia="zh-CN"/>
              </w:rPr>
              <w:t>供应商提供基本承诺函（见格式文件）。</w:t>
            </w:r>
          </w:p>
        </w:tc>
      </w:tr>
      <w:tr w14:paraId="1C2E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57" w:type="dxa"/>
            <w:vMerge w:val="continue"/>
            <w:noWrap w:val="0"/>
            <w:vAlign w:val="center"/>
          </w:tcPr>
          <w:p w14:paraId="2903B6EC">
            <w:pPr>
              <w:keepNext/>
              <w:keepLines/>
              <w:pageBreakBefore w:val="0"/>
              <w:kinsoku/>
              <w:wordWrap/>
              <w:overflowPunct/>
              <w:topLinePunct w:val="0"/>
              <w:autoSpaceDE/>
              <w:autoSpaceDN/>
              <w:bidi w:val="0"/>
              <w:adjustRightInd/>
              <w:spacing w:before="260" w:after="260" w:line="240" w:lineRule="auto"/>
              <w:jc w:val="center"/>
              <w:textAlignment w:val="auto"/>
              <w:outlineLvl w:val="2"/>
              <w:rPr>
                <w:rFonts w:hint="eastAsia" w:ascii="仿宋" w:hAnsi="仿宋" w:eastAsia="仿宋" w:cs="仿宋"/>
                <w:color w:val="auto"/>
                <w:sz w:val="24"/>
                <w:szCs w:val="24"/>
                <w:highlight w:val="none"/>
              </w:rPr>
            </w:pPr>
          </w:p>
        </w:tc>
        <w:tc>
          <w:tcPr>
            <w:tcW w:w="1118" w:type="dxa"/>
            <w:vMerge w:val="continue"/>
            <w:noWrap w:val="0"/>
            <w:vAlign w:val="center"/>
          </w:tcPr>
          <w:p w14:paraId="1A46D183">
            <w:pPr>
              <w:keepNext w:val="0"/>
              <w:keepLines w:val="0"/>
              <w:pageBreakBefore w:val="0"/>
              <w:widowControl w:val="0"/>
              <w:kinsoku/>
              <w:wordWrap/>
              <w:overflowPunct/>
              <w:topLinePunct w:val="0"/>
              <w:autoSpaceDE/>
              <w:autoSpaceDN/>
              <w:bidi w:val="0"/>
              <w:adjustRightInd/>
              <w:snapToGrid w:val="0"/>
              <w:spacing w:before="260" w:after="260" w:line="240" w:lineRule="auto"/>
              <w:jc w:val="both"/>
              <w:textAlignment w:val="auto"/>
              <w:outlineLvl w:val="2"/>
              <w:rPr>
                <w:rFonts w:hint="eastAsia" w:ascii="仿宋" w:hAnsi="仿宋" w:eastAsia="仿宋" w:cs="仿宋"/>
                <w:color w:val="auto"/>
                <w:sz w:val="24"/>
                <w:szCs w:val="24"/>
                <w:highlight w:val="none"/>
                <w:lang w:val="zh-CN"/>
              </w:rPr>
            </w:pPr>
          </w:p>
        </w:tc>
        <w:tc>
          <w:tcPr>
            <w:tcW w:w="3126" w:type="dxa"/>
            <w:noWrap w:val="0"/>
            <w:vAlign w:val="center"/>
          </w:tcPr>
          <w:p w14:paraId="4EF91DE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4801" w:type="dxa"/>
            <w:vMerge w:val="continue"/>
            <w:noWrap w:val="0"/>
            <w:vAlign w:val="center"/>
          </w:tcPr>
          <w:p w14:paraId="37EDF63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p>
        </w:tc>
      </w:tr>
      <w:tr w14:paraId="20CA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57" w:type="dxa"/>
            <w:vMerge w:val="continue"/>
            <w:noWrap w:val="0"/>
            <w:vAlign w:val="center"/>
          </w:tcPr>
          <w:p w14:paraId="17504100">
            <w:pPr>
              <w:keepNext/>
              <w:keepLines/>
              <w:pageBreakBefore w:val="0"/>
              <w:kinsoku/>
              <w:wordWrap/>
              <w:overflowPunct/>
              <w:topLinePunct w:val="0"/>
              <w:autoSpaceDE/>
              <w:autoSpaceDN/>
              <w:bidi w:val="0"/>
              <w:adjustRightInd/>
              <w:spacing w:before="260" w:after="260" w:line="240" w:lineRule="auto"/>
              <w:jc w:val="center"/>
              <w:textAlignment w:val="auto"/>
              <w:outlineLvl w:val="2"/>
              <w:rPr>
                <w:rFonts w:hint="eastAsia" w:ascii="仿宋" w:hAnsi="仿宋" w:eastAsia="仿宋" w:cs="仿宋"/>
                <w:color w:val="auto"/>
                <w:sz w:val="24"/>
                <w:szCs w:val="24"/>
                <w:highlight w:val="none"/>
              </w:rPr>
            </w:pPr>
          </w:p>
        </w:tc>
        <w:tc>
          <w:tcPr>
            <w:tcW w:w="1118" w:type="dxa"/>
            <w:vMerge w:val="continue"/>
            <w:noWrap w:val="0"/>
            <w:vAlign w:val="center"/>
          </w:tcPr>
          <w:p w14:paraId="521E0346">
            <w:pPr>
              <w:keepNext w:val="0"/>
              <w:keepLines w:val="0"/>
              <w:pageBreakBefore w:val="0"/>
              <w:widowControl w:val="0"/>
              <w:kinsoku/>
              <w:wordWrap/>
              <w:overflowPunct/>
              <w:topLinePunct w:val="0"/>
              <w:autoSpaceDE/>
              <w:autoSpaceDN/>
              <w:bidi w:val="0"/>
              <w:adjustRightInd/>
              <w:snapToGrid w:val="0"/>
              <w:spacing w:before="260" w:after="260" w:line="240" w:lineRule="auto"/>
              <w:jc w:val="both"/>
              <w:textAlignment w:val="auto"/>
              <w:outlineLvl w:val="2"/>
              <w:rPr>
                <w:rFonts w:hint="eastAsia" w:ascii="仿宋" w:hAnsi="仿宋" w:eastAsia="仿宋" w:cs="仿宋"/>
                <w:color w:val="auto"/>
                <w:sz w:val="24"/>
                <w:szCs w:val="24"/>
                <w:highlight w:val="none"/>
                <w:lang w:val="zh-CN"/>
              </w:rPr>
            </w:pPr>
          </w:p>
        </w:tc>
        <w:tc>
          <w:tcPr>
            <w:tcW w:w="3126" w:type="dxa"/>
            <w:noWrap w:val="0"/>
            <w:vAlign w:val="center"/>
          </w:tcPr>
          <w:p w14:paraId="04AACAC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4801" w:type="dxa"/>
            <w:vMerge w:val="continue"/>
            <w:noWrap w:val="0"/>
            <w:vAlign w:val="center"/>
          </w:tcPr>
          <w:p w14:paraId="2D6C688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p>
        </w:tc>
      </w:tr>
      <w:tr w14:paraId="059E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57" w:type="dxa"/>
            <w:vMerge w:val="continue"/>
            <w:noWrap w:val="0"/>
            <w:vAlign w:val="center"/>
          </w:tcPr>
          <w:p w14:paraId="33290BA8">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p>
        </w:tc>
        <w:tc>
          <w:tcPr>
            <w:tcW w:w="1118" w:type="dxa"/>
            <w:vMerge w:val="continue"/>
            <w:noWrap w:val="0"/>
            <w:vAlign w:val="center"/>
          </w:tcPr>
          <w:p w14:paraId="288A5B4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lang w:val="zh-CN"/>
              </w:rPr>
            </w:pPr>
          </w:p>
        </w:tc>
        <w:tc>
          <w:tcPr>
            <w:tcW w:w="3126" w:type="dxa"/>
            <w:noWrap w:val="0"/>
            <w:vAlign w:val="center"/>
          </w:tcPr>
          <w:p w14:paraId="302664C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（5）参加政府采购活动前三年内，在经营活动中没有重大违法记录（注②）</w:t>
            </w:r>
          </w:p>
        </w:tc>
        <w:tc>
          <w:tcPr>
            <w:tcW w:w="4801" w:type="dxa"/>
            <w:vMerge w:val="continue"/>
            <w:noWrap w:val="0"/>
            <w:vAlign w:val="center"/>
          </w:tcPr>
          <w:p w14:paraId="13453DE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p>
        </w:tc>
      </w:tr>
      <w:tr w14:paraId="44FD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57" w:type="dxa"/>
            <w:vMerge w:val="continue"/>
            <w:noWrap w:val="0"/>
            <w:vAlign w:val="center"/>
          </w:tcPr>
          <w:p w14:paraId="2ECA1F94">
            <w:pPr>
              <w:keepNext/>
              <w:keepLines/>
              <w:pageBreakBefore w:val="0"/>
              <w:kinsoku/>
              <w:wordWrap/>
              <w:overflowPunct/>
              <w:topLinePunct w:val="0"/>
              <w:autoSpaceDE/>
              <w:autoSpaceDN/>
              <w:bidi w:val="0"/>
              <w:adjustRightInd/>
              <w:spacing w:before="260" w:after="260" w:line="240" w:lineRule="auto"/>
              <w:jc w:val="center"/>
              <w:textAlignment w:val="auto"/>
              <w:outlineLvl w:val="2"/>
              <w:rPr>
                <w:rFonts w:hint="eastAsia" w:ascii="仿宋" w:hAnsi="仿宋" w:eastAsia="仿宋" w:cs="仿宋"/>
                <w:color w:val="auto"/>
                <w:sz w:val="24"/>
                <w:szCs w:val="24"/>
                <w:highlight w:val="none"/>
              </w:rPr>
            </w:pPr>
          </w:p>
        </w:tc>
        <w:tc>
          <w:tcPr>
            <w:tcW w:w="1118" w:type="dxa"/>
            <w:vMerge w:val="continue"/>
            <w:noWrap w:val="0"/>
            <w:vAlign w:val="center"/>
          </w:tcPr>
          <w:p w14:paraId="7245F77B">
            <w:pPr>
              <w:keepNext w:val="0"/>
              <w:keepLines w:val="0"/>
              <w:pageBreakBefore w:val="0"/>
              <w:widowControl w:val="0"/>
              <w:kinsoku/>
              <w:wordWrap/>
              <w:overflowPunct/>
              <w:topLinePunct w:val="0"/>
              <w:autoSpaceDE/>
              <w:autoSpaceDN/>
              <w:bidi w:val="0"/>
              <w:adjustRightInd/>
              <w:snapToGrid w:val="0"/>
              <w:spacing w:before="260" w:after="260" w:line="240" w:lineRule="auto"/>
              <w:jc w:val="both"/>
              <w:textAlignment w:val="auto"/>
              <w:outlineLvl w:val="2"/>
              <w:rPr>
                <w:rFonts w:hint="eastAsia" w:ascii="仿宋" w:hAnsi="仿宋" w:eastAsia="仿宋" w:cs="仿宋"/>
                <w:color w:val="auto"/>
                <w:sz w:val="24"/>
                <w:szCs w:val="24"/>
                <w:highlight w:val="none"/>
                <w:lang w:val="zh-CN"/>
              </w:rPr>
            </w:pPr>
          </w:p>
        </w:tc>
        <w:tc>
          <w:tcPr>
            <w:tcW w:w="3126" w:type="dxa"/>
            <w:noWrap w:val="0"/>
            <w:vAlign w:val="center"/>
          </w:tcPr>
          <w:p w14:paraId="7FBD01B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4801" w:type="dxa"/>
            <w:noWrap w:val="0"/>
            <w:vAlign w:val="center"/>
          </w:tcPr>
          <w:p w14:paraId="33940948">
            <w:pPr>
              <w:keepNext w:val="0"/>
              <w:keepLines w:val="0"/>
              <w:pageBreakBefore w:val="0"/>
              <w:widowControl w:val="0"/>
              <w:kinsoku/>
              <w:wordWrap/>
              <w:overflowPunct/>
              <w:topLinePunct w:val="0"/>
              <w:autoSpaceDE/>
              <w:autoSpaceDN/>
              <w:bidi w:val="0"/>
              <w:adjustRightInd/>
              <w:snapToGrid w:val="0"/>
              <w:spacing w:before="260" w:after="260" w:line="240" w:lineRule="auto"/>
              <w:jc w:val="both"/>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14:paraId="757E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57" w:type="dxa"/>
            <w:noWrap w:val="0"/>
            <w:vAlign w:val="center"/>
          </w:tcPr>
          <w:p w14:paraId="364F481C">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4244" w:type="dxa"/>
            <w:gridSpan w:val="2"/>
            <w:noWrap w:val="0"/>
            <w:vAlign w:val="center"/>
          </w:tcPr>
          <w:p w14:paraId="581BC51F">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特定资格条件</w:t>
            </w:r>
          </w:p>
        </w:tc>
        <w:tc>
          <w:tcPr>
            <w:tcW w:w="4801" w:type="dxa"/>
            <w:noWrap w:val="0"/>
            <w:vAlign w:val="center"/>
          </w:tcPr>
          <w:p w14:paraId="25D77A7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4"/>
                <w:szCs w:val="24"/>
                <w:highlight w:val="none"/>
                <w:lang w:eastAsia="zh-CN"/>
              </w:rPr>
            </w:pPr>
            <w:bookmarkStart w:id="39" w:name="_Toc13413"/>
            <w:bookmarkStart w:id="40" w:name="_Toc11965"/>
            <w:r>
              <w:rPr>
                <w:rFonts w:hint="eastAsia" w:ascii="仿宋" w:hAnsi="仿宋" w:eastAsia="仿宋" w:cs="仿宋"/>
                <w:color w:val="auto"/>
                <w:sz w:val="24"/>
                <w:szCs w:val="24"/>
                <w:highlight w:val="none"/>
              </w:rPr>
              <w:t>按第一篇“资格要求（二）特定资格条件”的要求提交证明文件并加盖供应商公章。</w:t>
            </w:r>
            <w:bookmarkEnd w:id="39"/>
            <w:bookmarkEnd w:id="40"/>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如果有</w:t>
            </w:r>
            <w:r>
              <w:rPr>
                <w:rFonts w:hint="eastAsia" w:ascii="仿宋" w:hAnsi="仿宋" w:eastAsia="仿宋" w:cs="仿宋"/>
                <w:color w:val="auto"/>
                <w:sz w:val="24"/>
                <w:szCs w:val="24"/>
                <w:highlight w:val="none"/>
                <w:lang w:eastAsia="zh-CN"/>
              </w:rPr>
              <w:t>）</w:t>
            </w:r>
          </w:p>
        </w:tc>
      </w:tr>
    </w:tbl>
    <w:p w14:paraId="66D1E793">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3B92B49D">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w:char="F081"/>
      </w:r>
      <w:r>
        <w:rPr>
          <w:rFonts w:hint="eastAsia" w:ascii="仿宋" w:hAnsi="仿宋" w:eastAsia="仿宋" w:cs="仿宋"/>
          <w:color w:val="auto"/>
          <w:kern w:val="0"/>
          <w:sz w:val="24"/>
          <w:szCs w:val="24"/>
          <w:highlight w:val="none"/>
        </w:rPr>
        <w:t>供应商按“五证合一”登记制度办理营业执照的，组织机构代码证、税务登记证（副本）和社会保险登记证以供应商所提供的营业执照（副本）复印件为准。</w:t>
      </w:r>
    </w:p>
    <w:p w14:paraId="41C93475">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w:char="F082"/>
      </w:r>
      <w:r>
        <w:rPr>
          <w:rFonts w:hint="eastAsia" w:ascii="仿宋" w:hAnsi="仿宋" w:eastAsia="仿宋" w:cs="仿宋"/>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3E8BCE9">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二</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符合性检查。依据</w:t>
      </w:r>
      <w:r>
        <w:rPr>
          <w:rFonts w:hint="eastAsia" w:ascii="仿宋" w:hAnsi="仿宋" w:eastAsia="仿宋" w:cs="仿宋"/>
          <w:color w:val="auto"/>
          <w:kern w:val="0"/>
          <w:sz w:val="24"/>
          <w:szCs w:val="24"/>
          <w:highlight w:val="none"/>
          <w:lang w:val="en-US" w:eastAsia="zh-CN"/>
        </w:rPr>
        <w:t>采购</w:t>
      </w:r>
      <w:r>
        <w:rPr>
          <w:rFonts w:hint="eastAsia" w:ascii="仿宋" w:hAnsi="仿宋" w:eastAsia="仿宋" w:cs="仿宋"/>
          <w:color w:val="auto"/>
          <w:kern w:val="0"/>
          <w:sz w:val="24"/>
          <w:szCs w:val="24"/>
          <w:highlight w:val="none"/>
          <w:lang w:eastAsia="zh-CN"/>
        </w:rPr>
        <w:t>文件</w:t>
      </w:r>
      <w:r>
        <w:rPr>
          <w:rFonts w:hint="eastAsia" w:ascii="仿宋" w:hAnsi="仿宋" w:eastAsia="仿宋" w:cs="仿宋"/>
          <w:color w:val="auto"/>
          <w:kern w:val="0"/>
          <w:sz w:val="24"/>
          <w:szCs w:val="24"/>
          <w:highlight w:val="none"/>
        </w:rPr>
        <w:t>的规定，从响应文件的有效性、完整性和对</w:t>
      </w:r>
      <w:r>
        <w:rPr>
          <w:rFonts w:hint="eastAsia" w:ascii="仿宋" w:hAnsi="仿宋" w:eastAsia="仿宋" w:cs="仿宋"/>
          <w:color w:val="auto"/>
          <w:kern w:val="0"/>
          <w:sz w:val="24"/>
          <w:szCs w:val="24"/>
          <w:highlight w:val="none"/>
          <w:lang w:eastAsia="zh-CN"/>
        </w:rPr>
        <w:t>招标文件</w:t>
      </w:r>
      <w:r>
        <w:rPr>
          <w:rFonts w:hint="eastAsia" w:ascii="仿宋" w:hAnsi="仿宋" w:eastAsia="仿宋" w:cs="仿宋"/>
          <w:color w:val="auto"/>
          <w:kern w:val="0"/>
          <w:sz w:val="24"/>
          <w:szCs w:val="24"/>
          <w:highlight w:val="none"/>
        </w:rPr>
        <w:t>的响应程度进行审查，以确定是否对</w:t>
      </w:r>
      <w:r>
        <w:rPr>
          <w:rFonts w:hint="eastAsia" w:ascii="仿宋" w:hAnsi="仿宋" w:eastAsia="仿宋" w:cs="仿宋"/>
          <w:color w:val="auto"/>
          <w:kern w:val="0"/>
          <w:sz w:val="24"/>
          <w:szCs w:val="24"/>
          <w:highlight w:val="none"/>
          <w:lang w:val="en-US" w:eastAsia="zh-CN"/>
        </w:rPr>
        <w:t>采购</w:t>
      </w:r>
      <w:r>
        <w:rPr>
          <w:rFonts w:hint="eastAsia" w:ascii="仿宋" w:hAnsi="仿宋" w:eastAsia="仿宋" w:cs="仿宋"/>
          <w:color w:val="auto"/>
          <w:kern w:val="0"/>
          <w:sz w:val="24"/>
          <w:szCs w:val="24"/>
          <w:highlight w:val="none"/>
          <w:lang w:eastAsia="zh-CN"/>
        </w:rPr>
        <w:t>文件</w:t>
      </w:r>
      <w:r>
        <w:rPr>
          <w:rFonts w:hint="eastAsia" w:ascii="仿宋" w:hAnsi="仿宋" w:eastAsia="仿宋" w:cs="仿宋"/>
          <w:color w:val="auto"/>
          <w:kern w:val="0"/>
          <w:sz w:val="24"/>
          <w:szCs w:val="24"/>
          <w:highlight w:val="none"/>
        </w:rPr>
        <w:t>的实质性要求作出响应。符合性检查资料表如下：</w:t>
      </w:r>
    </w:p>
    <w:tbl>
      <w:tblPr>
        <w:tblStyle w:val="26"/>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455"/>
        <w:gridCol w:w="1905"/>
        <w:gridCol w:w="6043"/>
      </w:tblGrid>
      <w:tr w14:paraId="46EF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37CDF9FB">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noWrap w:val="0"/>
            <w:vAlign w:val="center"/>
          </w:tcPr>
          <w:p w14:paraId="5D0AF350">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56C8C303">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76C7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55" w:type="dxa"/>
            <w:vMerge w:val="restart"/>
            <w:tcBorders>
              <w:top w:val="single" w:color="auto" w:sz="4" w:space="0"/>
              <w:left w:val="single" w:color="auto" w:sz="4" w:space="0"/>
              <w:bottom w:val="single" w:color="auto" w:sz="4" w:space="0"/>
              <w:right w:val="single" w:color="auto" w:sz="4" w:space="0"/>
            </w:tcBorders>
            <w:noWrap w:val="0"/>
            <w:vAlign w:val="center"/>
          </w:tcPr>
          <w:p w14:paraId="2FD08826">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56FEDA74">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B5D3703">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响应文件签署</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5EC02212">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响应文件上法定代表人或其授权代表人的签字齐全。</w:t>
            </w:r>
          </w:p>
        </w:tc>
      </w:tr>
      <w:tr w14:paraId="1250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1DCF159F">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3068D3A4">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905" w:type="dxa"/>
            <w:tcBorders>
              <w:top w:val="single" w:color="auto" w:sz="4" w:space="0"/>
              <w:left w:val="single" w:color="auto" w:sz="4" w:space="0"/>
              <w:right w:val="single" w:color="auto" w:sz="4" w:space="0"/>
            </w:tcBorders>
            <w:noWrap w:val="0"/>
            <w:vAlign w:val="center"/>
          </w:tcPr>
          <w:p w14:paraId="2BC62077">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68ABAD8D">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规定的格式，签字或盖章齐全。</w:t>
            </w:r>
          </w:p>
        </w:tc>
      </w:tr>
      <w:tr w14:paraId="6D4C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31655213">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36B74A2F">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2F669D90">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响应方案</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7BFB832B">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每个分包只能有一个响应方案。</w:t>
            </w:r>
          </w:p>
        </w:tc>
      </w:tr>
      <w:tr w14:paraId="485D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7F63E046">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224CDF79">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ECAFD82">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4FE576E2">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只能有一个有效报价，不得提交选择性报价。</w:t>
            </w:r>
          </w:p>
        </w:tc>
      </w:tr>
      <w:tr w14:paraId="083D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26BE4538">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1A2421A">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592F290">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3C57F724">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文件数量符合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lang w:val="zh-CN"/>
              </w:rPr>
              <w:t>要求。</w:t>
            </w:r>
          </w:p>
        </w:tc>
      </w:tr>
      <w:tr w14:paraId="473C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55" w:type="dxa"/>
            <w:vMerge w:val="restart"/>
            <w:tcBorders>
              <w:top w:val="single" w:color="auto" w:sz="4" w:space="0"/>
              <w:left w:val="single" w:color="auto" w:sz="4" w:space="0"/>
              <w:bottom w:val="single" w:color="auto" w:sz="4" w:space="0"/>
              <w:right w:val="single" w:color="auto" w:sz="4" w:space="0"/>
            </w:tcBorders>
            <w:noWrap w:val="0"/>
            <w:vAlign w:val="center"/>
          </w:tcPr>
          <w:p w14:paraId="3B4240E2">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10AB997D">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lang w:eastAsia="zh-CN"/>
              </w:rPr>
              <w:t>招标文件</w:t>
            </w:r>
            <w:r>
              <w:rPr>
                <w:rFonts w:hint="eastAsia" w:ascii="仿宋" w:hAnsi="仿宋" w:eastAsia="仿宋" w:cs="仿宋"/>
                <w:color w:val="auto"/>
                <w:kern w:val="0"/>
                <w:sz w:val="24"/>
                <w:szCs w:val="24"/>
                <w:highlight w:val="none"/>
              </w:rPr>
              <w:t>的响应程度审查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44BCBC85">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79B2CFBE">
            <w:pPr>
              <w:pStyle w:val="15"/>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w:t>
            </w:r>
            <w:r>
              <w:rPr>
                <w:rFonts w:hint="eastAsia" w:ascii="仿宋" w:hAnsi="仿宋" w:eastAsia="仿宋" w:cs="仿宋"/>
                <w:color w:val="auto"/>
                <w:kern w:val="2"/>
                <w:sz w:val="24"/>
                <w:szCs w:val="24"/>
                <w:highlight w:val="none"/>
                <w:lang w:val="zh-CN" w:eastAsia="zh-CN" w:bidi="ar-SA"/>
              </w:rPr>
              <w:t>招标文件第二篇、第三篇</w:t>
            </w:r>
            <w:r>
              <w:rPr>
                <w:rFonts w:hint="eastAsia" w:ascii="仿宋" w:hAnsi="仿宋" w:eastAsia="仿宋" w:cs="仿宋"/>
                <w:color w:val="auto"/>
                <w:kern w:val="2"/>
                <w:sz w:val="24"/>
                <w:szCs w:val="24"/>
                <w:highlight w:val="none"/>
                <w:lang w:val="en-US" w:eastAsia="zh-CN" w:bidi="ar-SA"/>
              </w:rPr>
              <w:t>的全部内容进行响应</w:t>
            </w:r>
            <w:r>
              <w:rPr>
                <w:rFonts w:hint="eastAsia" w:ascii="仿宋" w:hAnsi="仿宋" w:eastAsia="仿宋" w:cs="仿宋"/>
                <w:color w:val="auto"/>
                <w:kern w:val="2"/>
                <w:sz w:val="24"/>
                <w:szCs w:val="24"/>
                <w:highlight w:val="none"/>
                <w:lang w:val="zh-CN" w:eastAsia="zh-CN" w:bidi="ar-SA"/>
              </w:rPr>
              <w:t>。</w:t>
            </w:r>
          </w:p>
        </w:tc>
      </w:tr>
      <w:tr w14:paraId="0BC1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3EA1075D">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156C401A">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sz w:val="24"/>
                <w:szCs w:val="24"/>
                <w:highlight w:val="none"/>
                <w:lang w:val="zh-CN"/>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E5EC22A">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有效期</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73B60865">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2"/>
                <w:sz w:val="24"/>
                <w:szCs w:val="24"/>
                <w:highlight w:val="none"/>
                <w:lang w:val="zh-CN" w:eastAsia="zh-CN" w:bidi="ar-SA"/>
              </w:rPr>
              <w:t>投标有效期为</w:t>
            </w:r>
            <w:r>
              <w:rPr>
                <w:rFonts w:hint="eastAsia" w:ascii="仿宋" w:hAnsi="仿宋" w:eastAsia="仿宋" w:cs="仿宋"/>
                <w:color w:val="auto"/>
                <w:kern w:val="2"/>
                <w:sz w:val="24"/>
                <w:szCs w:val="24"/>
                <w:highlight w:val="none"/>
                <w:lang w:val="en-US" w:eastAsia="zh-CN" w:bidi="ar-SA"/>
              </w:rPr>
              <w:t>响应</w:t>
            </w:r>
            <w:r>
              <w:rPr>
                <w:rFonts w:hint="eastAsia" w:ascii="仿宋" w:hAnsi="仿宋" w:eastAsia="仿宋" w:cs="仿宋"/>
                <w:color w:val="auto"/>
                <w:kern w:val="2"/>
                <w:sz w:val="24"/>
                <w:szCs w:val="24"/>
                <w:highlight w:val="none"/>
                <w:lang w:val="zh-CN" w:eastAsia="zh-CN" w:bidi="ar-SA"/>
              </w:rPr>
              <w:t>文件递交截止时间起90天。</w:t>
            </w:r>
          </w:p>
        </w:tc>
      </w:tr>
    </w:tbl>
    <w:p w14:paraId="0122A95F">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过程中的任何一方不得向他人透露与</w:t>
      </w: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rPr>
        <w:t>有关的技术资料、价格或其他信息。</w:t>
      </w:r>
    </w:p>
    <w:p w14:paraId="12B6288C">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评审委员会</w:t>
      </w:r>
      <w:r>
        <w:rPr>
          <w:rFonts w:hint="eastAsia" w:ascii="仿宋" w:hAnsi="仿宋" w:eastAsia="仿宋" w:cs="仿宋"/>
          <w:color w:val="auto"/>
          <w:sz w:val="24"/>
          <w:szCs w:val="24"/>
          <w:highlight w:val="none"/>
        </w:rPr>
        <w:t>采用</w:t>
      </w:r>
      <w:r>
        <w:rPr>
          <w:rFonts w:hint="eastAsia" w:ascii="仿宋" w:hAnsi="仿宋" w:eastAsia="仿宋" w:cs="仿宋"/>
          <w:b/>
          <w:bCs/>
          <w:color w:val="auto"/>
          <w:sz w:val="24"/>
          <w:szCs w:val="24"/>
          <w:highlight w:val="none"/>
        </w:rPr>
        <w:t>综合评分法</w:t>
      </w:r>
      <w:r>
        <w:rPr>
          <w:rFonts w:hint="eastAsia" w:ascii="仿宋" w:hAnsi="仿宋" w:eastAsia="仿宋" w:cs="仿宋"/>
          <w:color w:val="auto"/>
          <w:sz w:val="24"/>
          <w:szCs w:val="24"/>
          <w:highlight w:val="none"/>
        </w:rPr>
        <w:t>对供应商的响应文件和报价进行综合评分。综合评分法，是指响应文件满足</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全部实质性要求且按照评审因素的量化指标评审得分最高的供应商为成交候选供应商的评审方法。供应商总得分为价格、</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、商务等评定因素分别按照相应权重值计算分项得分后相加，满分为100分。</w:t>
      </w:r>
    </w:p>
    <w:p w14:paraId="7FF50DED">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评审委员会</w:t>
      </w:r>
      <w:r>
        <w:rPr>
          <w:rFonts w:hint="eastAsia" w:ascii="仿宋" w:hAnsi="仿宋" w:eastAsia="仿宋" w:cs="仿宋"/>
          <w:color w:val="auto"/>
          <w:sz w:val="24"/>
          <w:szCs w:val="24"/>
          <w:highlight w:val="none"/>
        </w:rPr>
        <w:t>各成员独立对每个有效响应（通过资格性检查、符合性检查的供应商）的文件进行评价、打分，然后汇总每个供应商每项评分因素的得分，并根据综合评分情况按照评审得分由高到低顺序推荐</w:t>
      </w:r>
      <w:r>
        <w:rPr>
          <w:rFonts w:hint="eastAsia" w:ascii="仿宋" w:hAnsi="仿宋" w:eastAsia="仿宋" w:cs="仿宋"/>
          <w:color w:val="auto"/>
          <w:kern w:val="0"/>
          <w:sz w:val="24"/>
          <w:szCs w:val="24"/>
          <w:highlight w:val="none"/>
        </w:rPr>
        <w:t>综合得分排名前三的</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为本项目</w:t>
      </w:r>
      <w:r>
        <w:rPr>
          <w:rFonts w:hint="eastAsia" w:ascii="仿宋" w:hAnsi="仿宋" w:eastAsia="仿宋" w:cs="仿宋"/>
          <w:color w:val="auto"/>
          <w:kern w:val="0"/>
          <w:sz w:val="24"/>
          <w:szCs w:val="24"/>
          <w:highlight w:val="none"/>
          <w:lang w:val="en-US" w:eastAsia="zh-CN"/>
        </w:rPr>
        <w:t>成交</w:t>
      </w:r>
      <w:r>
        <w:rPr>
          <w:rFonts w:hint="eastAsia" w:ascii="仿宋" w:hAnsi="仿宋" w:eastAsia="仿宋" w:cs="仿宋"/>
          <w:color w:val="auto"/>
          <w:kern w:val="0"/>
          <w:sz w:val="24"/>
          <w:szCs w:val="24"/>
          <w:highlight w:val="none"/>
        </w:rPr>
        <w:t>候选人</w:t>
      </w:r>
      <w:r>
        <w:rPr>
          <w:rFonts w:hint="eastAsia" w:ascii="仿宋" w:hAnsi="仿宋" w:eastAsia="仿宋" w:cs="仿宋"/>
          <w:color w:val="auto"/>
          <w:sz w:val="24"/>
          <w:szCs w:val="24"/>
          <w:highlight w:val="none"/>
        </w:rPr>
        <w:t>，并编写评审报告。若供应商的评审得分相同的，按照</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报价由低到高的顺序排列推荐。评审得分且</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报价相同的，按照技术指标优劣顺序排列推荐。以上都相同的，按商务条款的优劣顺序排列推荐。</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部分得分为0分的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，将失去成为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候选人的资格。</w:t>
      </w:r>
    </w:p>
    <w:p w14:paraId="0F4E99D5">
      <w:pPr>
        <w:pStyle w:val="4"/>
        <w:pageBreakBefore w:val="0"/>
        <w:kinsoku/>
        <w:wordWrap/>
        <w:overflowPunct/>
        <w:topLinePunct w:val="0"/>
        <w:autoSpaceDE/>
        <w:autoSpaceDN/>
        <w:bidi w:val="0"/>
        <w:adjustRightInd/>
        <w:spacing w:before="0" w:after="0" w:line="420" w:lineRule="exact"/>
        <w:textAlignment w:val="auto"/>
        <w:rPr>
          <w:rFonts w:hint="eastAsia" w:ascii="仿宋" w:hAnsi="仿宋" w:eastAsia="仿宋" w:cs="仿宋"/>
          <w:color w:val="auto"/>
          <w:sz w:val="24"/>
          <w:szCs w:val="24"/>
          <w:highlight w:val="none"/>
          <w:lang w:val="en-US" w:eastAsia="zh-CN"/>
        </w:rPr>
      </w:pPr>
      <w:bookmarkStart w:id="41" w:name="_Toc11790"/>
      <w:r>
        <w:rPr>
          <w:rFonts w:hint="eastAsia" w:ascii="仿宋" w:hAnsi="仿宋" w:eastAsia="仿宋" w:cs="仿宋"/>
          <w:color w:val="auto"/>
          <w:sz w:val="24"/>
          <w:szCs w:val="24"/>
          <w:highlight w:val="none"/>
          <w:lang w:val="en-US" w:eastAsia="zh-CN"/>
        </w:rPr>
        <w:t>二、评审标准</w:t>
      </w:r>
      <w:bookmarkEnd w:id="41"/>
    </w:p>
    <w:p w14:paraId="12E7F722">
      <w:pPr>
        <w:rPr>
          <w:rFonts w:hint="eastAsia"/>
          <w:color w:val="auto"/>
          <w:highlight w:val="none"/>
          <w:lang w:val="en-US" w:eastAsia="zh-CN"/>
        </w:rPr>
      </w:pPr>
      <w:r>
        <w:rPr>
          <w:rFonts w:hint="eastAsia" w:ascii="仿宋" w:hAnsi="仿宋" w:eastAsia="仿宋" w:cs="仿宋"/>
          <w:color w:val="auto"/>
          <w:sz w:val="24"/>
          <w:szCs w:val="24"/>
          <w:highlight w:val="none"/>
          <w:lang w:val="en-US" w:eastAsia="zh-CN"/>
        </w:rPr>
        <w:br w:type="page"/>
      </w:r>
    </w:p>
    <w:tbl>
      <w:tblPr>
        <w:tblStyle w:val="26"/>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61"/>
        <w:gridCol w:w="1247"/>
        <w:gridCol w:w="4376"/>
        <w:gridCol w:w="2551"/>
      </w:tblGrid>
      <w:tr w14:paraId="3969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9" w:type="dxa"/>
            <w:vAlign w:val="center"/>
          </w:tcPr>
          <w:p w14:paraId="681D5DD6">
            <w:pPr>
              <w:adjustRightInd w:val="0"/>
              <w:snapToGrid w:val="0"/>
              <w:ind w:firstLine="28"/>
              <w:jc w:val="center"/>
              <w:rPr>
                <w:rFonts w:hint="eastAsia" w:ascii="仿宋" w:hAnsi="仿宋" w:eastAsia="仿宋" w:cs="仿宋"/>
                <w:color w:val="auto"/>
                <w:sz w:val="21"/>
                <w:szCs w:val="21"/>
                <w:highlight w:val="none"/>
              </w:rPr>
            </w:pPr>
            <w:bookmarkStart w:id="42" w:name="_Toc102227320"/>
            <w:bookmarkStart w:id="43" w:name="_Toc342913394"/>
            <w:bookmarkStart w:id="44" w:name="_Toc487204784"/>
            <w:bookmarkStart w:id="45" w:name="_Toc426965635"/>
            <w:r>
              <w:rPr>
                <w:rFonts w:hint="eastAsia" w:ascii="仿宋" w:hAnsi="仿宋" w:eastAsia="仿宋" w:cs="仿宋"/>
                <w:color w:val="auto"/>
                <w:sz w:val="21"/>
                <w:szCs w:val="21"/>
                <w:highlight w:val="none"/>
              </w:rPr>
              <w:t>序号</w:t>
            </w:r>
          </w:p>
        </w:tc>
        <w:tc>
          <w:tcPr>
            <w:tcW w:w="1061" w:type="dxa"/>
            <w:vAlign w:val="center"/>
          </w:tcPr>
          <w:p w14:paraId="7DB828AC">
            <w:pPr>
              <w:adjustRightInd w:val="0"/>
              <w:snapToGrid w:val="0"/>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评分因素及权重</w:t>
            </w:r>
          </w:p>
        </w:tc>
        <w:tc>
          <w:tcPr>
            <w:tcW w:w="1247" w:type="dxa"/>
            <w:vAlign w:val="center"/>
          </w:tcPr>
          <w:p w14:paraId="21F89B49">
            <w:pPr>
              <w:adjustRightInd w:val="0"/>
              <w:snapToGrid w:val="0"/>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w:t>
            </w:r>
          </w:p>
        </w:tc>
        <w:tc>
          <w:tcPr>
            <w:tcW w:w="4376" w:type="dxa"/>
            <w:vAlign w:val="center"/>
          </w:tcPr>
          <w:p w14:paraId="6EB5EC10">
            <w:pPr>
              <w:adjustRightInd w:val="0"/>
              <w:snapToGrid w:val="0"/>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评分标准</w:t>
            </w:r>
          </w:p>
        </w:tc>
        <w:tc>
          <w:tcPr>
            <w:tcW w:w="2551" w:type="dxa"/>
            <w:vAlign w:val="center"/>
          </w:tcPr>
          <w:p w14:paraId="7D797838">
            <w:pPr>
              <w:adjustRightInd w:val="0"/>
              <w:snapToGrid w:val="0"/>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14:paraId="083F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Align w:val="center"/>
          </w:tcPr>
          <w:p w14:paraId="0D5A1FDE">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061" w:type="dxa"/>
            <w:vAlign w:val="center"/>
          </w:tcPr>
          <w:p w14:paraId="7A77A19E">
            <w:pPr>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投标</w:t>
            </w:r>
            <w:r>
              <w:rPr>
                <w:rFonts w:hint="eastAsia" w:ascii="仿宋" w:hAnsi="仿宋" w:eastAsia="仿宋" w:cs="仿宋"/>
                <w:bCs/>
                <w:color w:val="auto"/>
                <w:sz w:val="21"/>
                <w:szCs w:val="21"/>
                <w:highlight w:val="none"/>
              </w:rPr>
              <w:t>报价</w:t>
            </w:r>
          </w:p>
          <w:p w14:paraId="2A6E3739">
            <w:pPr>
              <w:ind w:firstLine="28"/>
              <w:jc w:val="lef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w:t>
            </w:r>
            <w:r>
              <w:rPr>
                <w:rFonts w:hint="eastAsia" w:ascii="仿宋" w:hAnsi="仿宋" w:eastAsia="仿宋" w:cs="仿宋"/>
                <w:bCs/>
                <w:color w:val="auto"/>
                <w:sz w:val="21"/>
                <w:szCs w:val="21"/>
                <w:highlight w:val="none"/>
                <w:lang w:val="en-US" w:eastAsia="zh-CN"/>
              </w:rPr>
              <w:t>20</w:t>
            </w:r>
            <w:r>
              <w:rPr>
                <w:rFonts w:hint="eastAsia" w:ascii="仿宋" w:hAnsi="仿宋" w:eastAsia="仿宋" w:cs="仿宋"/>
                <w:bCs/>
                <w:color w:val="auto"/>
                <w:sz w:val="21"/>
                <w:szCs w:val="21"/>
                <w:highlight w:val="none"/>
              </w:rPr>
              <w:t>%）</w:t>
            </w:r>
          </w:p>
        </w:tc>
        <w:tc>
          <w:tcPr>
            <w:tcW w:w="1247" w:type="dxa"/>
            <w:vAlign w:val="center"/>
          </w:tcPr>
          <w:p w14:paraId="50B0F33B">
            <w:pPr>
              <w:ind w:firstLine="28"/>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w:t>
            </w:r>
            <w:r>
              <w:rPr>
                <w:rFonts w:hint="eastAsia" w:ascii="仿宋" w:hAnsi="仿宋" w:eastAsia="仿宋" w:cs="仿宋"/>
                <w:bCs/>
                <w:color w:val="auto"/>
                <w:sz w:val="21"/>
                <w:szCs w:val="21"/>
                <w:highlight w:val="none"/>
                <w:lang w:val="en-US" w:eastAsia="zh-CN"/>
              </w:rPr>
              <w:t>20</w:t>
            </w:r>
            <w:r>
              <w:rPr>
                <w:rFonts w:hint="eastAsia" w:ascii="仿宋" w:hAnsi="仿宋" w:eastAsia="仿宋" w:cs="仿宋"/>
                <w:bCs/>
                <w:color w:val="auto"/>
                <w:sz w:val="21"/>
                <w:szCs w:val="21"/>
                <w:highlight w:val="none"/>
              </w:rPr>
              <w:t>分）</w:t>
            </w:r>
          </w:p>
        </w:tc>
        <w:tc>
          <w:tcPr>
            <w:tcW w:w="4376" w:type="dxa"/>
            <w:vAlign w:val="center"/>
          </w:tcPr>
          <w:p w14:paraId="5D945504">
            <w:pPr>
              <w:ind w:firstLine="210" w:firstLineChars="10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有效的投标报价中的最低折扣</w:t>
            </w:r>
            <w:r>
              <w:rPr>
                <w:rFonts w:hint="eastAsia" w:ascii="仿宋" w:hAnsi="仿宋" w:eastAsia="仿宋" w:cs="仿宋"/>
                <w:bCs/>
                <w:color w:val="auto"/>
                <w:sz w:val="21"/>
                <w:szCs w:val="21"/>
                <w:highlight w:val="none"/>
                <w:lang w:val="en-US" w:eastAsia="zh-CN"/>
              </w:rPr>
              <w:t>比例</w:t>
            </w:r>
            <w:r>
              <w:rPr>
                <w:rFonts w:hint="eastAsia" w:ascii="仿宋" w:hAnsi="仿宋" w:eastAsia="仿宋" w:cs="仿宋"/>
                <w:bCs/>
                <w:color w:val="auto"/>
                <w:sz w:val="21"/>
                <w:szCs w:val="21"/>
                <w:highlight w:val="none"/>
              </w:rPr>
              <w:t>为评标基准折扣，其价格分为满分。其他</w:t>
            </w:r>
            <w:r>
              <w:rPr>
                <w:rFonts w:hint="eastAsia" w:ascii="仿宋" w:hAnsi="仿宋" w:eastAsia="仿宋" w:cs="仿宋"/>
                <w:bCs/>
                <w:color w:val="auto"/>
                <w:sz w:val="21"/>
                <w:szCs w:val="21"/>
                <w:highlight w:val="none"/>
                <w:lang w:val="en-US" w:eastAsia="zh-CN"/>
              </w:rPr>
              <w:t>供应商</w:t>
            </w:r>
            <w:r>
              <w:rPr>
                <w:rFonts w:hint="eastAsia" w:ascii="仿宋" w:hAnsi="仿宋" w:eastAsia="仿宋" w:cs="仿宋"/>
                <w:bCs/>
                <w:color w:val="auto"/>
                <w:sz w:val="21"/>
                <w:szCs w:val="21"/>
                <w:highlight w:val="none"/>
              </w:rPr>
              <w:t>的报价分统一按照下列公式计算：</w:t>
            </w:r>
          </w:p>
          <w:p w14:paraId="61673220">
            <w:pPr>
              <w:ind w:firstLine="28"/>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投标报价得分＝（评标基准</w:t>
            </w:r>
            <w:r>
              <w:rPr>
                <w:rFonts w:hint="eastAsia" w:ascii="仿宋" w:hAnsi="仿宋" w:eastAsia="仿宋" w:cs="仿宋"/>
                <w:bCs/>
                <w:color w:val="auto"/>
                <w:sz w:val="21"/>
                <w:szCs w:val="21"/>
                <w:highlight w:val="none"/>
                <w:lang w:val="en-US" w:eastAsia="zh-CN"/>
              </w:rPr>
              <w:t>价</w:t>
            </w:r>
            <w:r>
              <w:rPr>
                <w:rFonts w:hint="eastAsia" w:ascii="仿宋" w:hAnsi="仿宋" w:eastAsia="仿宋" w:cs="仿宋"/>
                <w:bCs/>
                <w:color w:val="auto"/>
                <w:sz w:val="21"/>
                <w:szCs w:val="21"/>
                <w:highlight w:val="none"/>
              </w:rPr>
              <w:t>/投标</w:t>
            </w:r>
            <w:r>
              <w:rPr>
                <w:rFonts w:hint="eastAsia" w:ascii="仿宋" w:hAnsi="仿宋" w:eastAsia="仿宋" w:cs="仿宋"/>
                <w:bCs/>
                <w:color w:val="auto"/>
                <w:sz w:val="21"/>
                <w:szCs w:val="21"/>
                <w:highlight w:val="none"/>
                <w:lang w:val="en-US" w:eastAsia="zh-CN"/>
              </w:rPr>
              <w:t>报价</w:t>
            </w:r>
            <w:r>
              <w:rPr>
                <w:rFonts w:hint="eastAsia" w:ascii="仿宋" w:hAnsi="仿宋" w:eastAsia="仿宋" w:cs="仿宋"/>
                <w:bCs/>
                <w:color w:val="auto"/>
                <w:sz w:val="21"/>
                <w:szCs w:val="21"/>
                <w:highlight w:val="none"/>
              </w:rPr>
              <w:t>）×价格权重×100。</w:t>
            </w:r>
          </w:p>
        </w:tc>
        <w:tc>
          <w:tcPr>
            <w:tcW w:w="2551" w:type="dxa"/>
            <w:vAlign w:val="center"/>
          </w:tcPr>
          <w:p w14:paraId="32D44C48">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投标报价</w:t>
            </w:r>
            <w:r>
              <w:rPr>
                <w:rFonts w:hint="eastAsia" w:ascii="仿宋" w:hAnsi="仿宋" w:eastAsia="仿宋" w:cs="仿宋"/>
                <w:color w:val="auto"/>
                <w:sz w:val="21"/>
                <w:szCs w:val="21"/>
                <w:highlight w:val="none"/>
                <w:lang w:eastAsia="zh-CN"/>
              </w:rPr>
              <w:t>最多保留至小数点后两位。</w:t>
            </w:r>
          </w:p>
        </w:tc>
      </w:tr>
      <w:tr w14:paraId="2058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jc w:val="center"/>
        </w:trPr>
        <w:tc>
          <w:tcPr>
            <w:tcW w:w="729" w:type="dxa"/>
            <w:vMerge w:val="restart"/>
            <w:vAlign w:val="center"/>
          </w:tcPr>
          <w:p w14:paraId="5C6082E3">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061" w:type="dxa"/>
            <w:vMerge w:val="restart"/>
            <w:vAlign w:val="center"/>
          </w:tcPr>
          <w:p w14:paraId="6CD2A9B6">
            <w:pPr>
              <w:adjustRightInd w:val="0"/>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服务部分</w:t>
            </w:r>
          </w:p>
          <w:p w14:paraId="1CBA0A31">
            <w:pPr>
              <w:adjustRightInd w:val="0"/>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rPr>
              <w:t>%）</w:t>
            </w:r>
          </w:p>
        </w:tc>
        <w:tc>
          <w:tcPr>
            <w:tcW w:w="1247" w:type="dxa"/>
            <w:vAlign w:val="center"/>
          </w:tcPr>
          <w:p w14:paraId="0DC079B0">
            <w:pPr>
              <w:ind w:firstLine="28"/>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研学课程主题设计</w:t>
            </w:r>
          </w:p>
          <w:p w14:paraId="00E7A32A">
            <w:pPr>
              <w:pStyle w:val="8"/>
              <w:jc w:val="center"/>
              <w:rPr>
                <w:rFonts w:hint="eastAsia"/>
                <w:lang w:val="en-US" w:eastAsia="zh-CN"/>
              </w:rPr>
            </w:pPr>
            <w:r>
              <w:rPr>
                <w:rFonts w:hint="eastAsia" w:ascii="仿宋" w:hAnsi="仿宋" w:eastAsia="仿宋" w:cs="仿宋"/>
                <w:bCs/>
                <w:color w:val="auto"/>
                <w:sz w:val="21"/>
                <w:szCs w:val="21"/>
                <w:highlight w:val="none"/>
                <w:lang w:val="en-US" w:eastAsia="zh-CN"/>
              </w:rPr>
              <w:t>（15分）</w:t>
            </w:r>
          </w:p>
        </w:tc>
        <w:tc>
          <w:tcPr>
            <w:tcW w:w="4376" w:type="dxa"/>
            <w:vAlign w:val="center"/>
          </w:tcPr>
          <w:p w14:paraId="62C7B39B">
            <w:pPr>
              <w:ind w:firstLine="210" w:firstLineChars="100"/>
              <w:jc w:val="left"/>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zh-CN" w:eastAsia="zh-CN"/>
              </w:rPr>
              <w:t>根据不同学段研学课程主题提供设计方案，方案</w:t>
            </w:r>
            <w:r>
              <w:rPr>
                <w:rFonts w:hint="eastAsia" w:ascii="仿宋" w:hAnsi="仿宋" w:eastAsia="仿宋" w:cs="仿宋"/>
                <w:bCs/>
                <w:color w:val="auto"/>
                <w:sz w:val="21"/>
                <w:szCs w:val="21"/>
                <w:highlight w:val="none"/>
                <w:lang w:val="en-US" w:eastAsia="zh-CN"/>
              </w:rPr>
              <w:t>内容包括但不限于</w:t>
            </w:r>
            <w:r>
              <w:rPr>
                <w:rFonts w:hint="eastAsia" w:ascii="仿宋" w:hAnsi="仿宋" w:eastAsia="仿宋" w:cs="仿宋"/>
                <w:bCs/>
                <w:color w:val="auto"/>
                <w:sz w:val="21"/>
                <w:szCs w:val="21"/>
                <w:highlight w:val="none"/>
                <w:lang w:val="zh-CN" w:eastAsia="zh-CN"/>
              </w:rPr>
              <w:t>围绕学校育人目标、学生需求及学科知识、研学特色、鲜明的教育意义</w:t>
            </w:r>
            <w:r>
              <w:rPr>
                <w:rFonts w:hint="eastAsia" w:ascii="仿宋" w:hAnsi="仿宋" w:eastAsia="仿宋" w:cs="仿宋"/>
                <w:bCs/>
                <w:color w:val="auto"/>
                <w:sz w:val="21"/>
                <w:szCs w:val="21"/>
                <w:highlight w:val="none"/>
                <w:lang w:val="en-US" w:eastAsia="zh-CN"/>
              </w:rPr>
              <w:t>等内容。</w:t>
            </w:r>
          </w:p>
          <w:p w14:paraId="6936AB8D">
            <w:pPr>
              <w:ind w:left="210" w:leftChars="75" w:firstLine="0" w:firstLineChars="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方案内容不存在瑕疵，得15分；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方案内容存在1处瑕疵，得11分；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方案内容存在2处瑕疵，得7分；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方案内容存在3处瑕疵，得3分；</w:t>
            </w:r>
          </w:p>
          <w:p w14:paraId="51FD6C15">
            <w:pPr>
              <w:ind w:firstLine="210" w:firstLineChars="100"/>
              <w:jc w:val="left"/>
              <w:rPr>
                <w:rFonts w:hint="eastAsia" w:ascii="仿宋" w:hAnsi="仿宋" w:eastAsia="仿宋" w:cs="仿宋"/>
                <w:bCs/>
                <w:color w:val="auto"/>
                <w:sz w:val="21"/>
                <w:szCs w:val="21"/>
                <w:highlight w:val="none"/>
                <w:lang w:val="zh-CN" w:eastAsia="zh-CN"/>
              </w:rPr>
            </w:pPr>
            <w:r>
              <w:rPr>
                <w:rFonts w:hint="eastAsia" w:ascii="仿宋" w:hAnsi="仿宋" w:eastAsia="仿宋" w:cs="仿宋"/>
                <w:bCs/>
                <w:color w:val="auto"/>
                <w:sz w:val="21"/>
                <w:szCs w:val="21"/>
                <w:highlight w:val="none"/>
                <w:lang w:val="en-US" w:eastAsia="zh-CN"/>
              </w:rPr>
              <w:t>方案内容存在4处及以上瑕疵或未提供方案得0分。</w:t>
            </w:r>
            <w:r>
              <w:rPr>
                <w:rFonts w:hint="eastAsia" w:ascii="仿宋" w:hAnsi="仿宋" w:eastAsia="仿宋" w:cs="仿宋"/>
                <w:bCs/>
                <w:color w:val="auto"/>
                <w:sz w:val="21"/>
                <w:szCs w:val="21"/>
                <w:highlight w:val="none"/>
                <w:lang w:val="zh-CN" w:eastAsia="zh-CN"/>
              </w:rPr>
              <w:t>践价值等</w:t>
            </w:r>
            <w:r>
              <w:rPr>
                <w:rFonts w:hint="eastAsia" w:ascii="仿宋" w:hAnsi="仿宋" w:eastAsia="仿宋" w:cs="仿宋"/>
                <w:bCs/>
                <w:color w:val="auto"/>
                <w:sz w:val="21"/>
                <w:szCs w:val="21"/>
                <w:highlight w:val="none"/>
                <w:lang w:val="en-US" w:eastAsia="zh-CN"/>
              </w:rPr>
              <w:t>内容</w:t>
            </w:r>
            <w:r>
              <w:rPr>
                <w:rFonts w:hint="eastAsia" w:ascii="仿宋" w:hAnsi="仿宋" w:eastAsia="仿宋" w:cs="仿宋"/>
                <w:bCs/>
                <w:color w:val="auto"/>
                <w:sz w:val="21"/>
                <w:szCs w:val="21"/>
                <w:highlight w:val="none"/>
                <w:lang w:val="zh-CN" w:eastAsia="zh-CN"/>
              </w:rPr>
              <w:t>。</w:t>
            </w:r>
          </w:p>
        </w:tc>
        <w:tc>
          <w:tcPr>
            <w:tcW w:w="2551" w:type="dxa"/>
            <w:vMerge w:val="restart"/>
            <w:vAlign w:val="center"/>
          </w:tcPr>
          <w:p w14:paraId="394168AF">
            <w:pPr>
              <w:rPr>
                <w:rFonts w:hint="eastAsia" w:ascii="仿宋" w:hAnsi="仿宋" w:eastAsia="仿宋" w:cs="仿宋"/>
                <w:color w:val="auto"/>
                <w:sz w:val="21"/>
                <w:szCs w:val="21"/>
                <w:highlight w:val="none"/>
              </w:rPr>
            </w:pPr>
          </w:p>
          <w:p w14:paraId="1F429B3B">
            <w:pPr>
              <w:rPr>
                <w:rFonts w:hint="eastAsia" w:ascii="仿宋" w:hAnsi="仿宋" w:eastAsia="仿宋" w:cs="仿宋"/>
                <w:color w:val="auto"/>
                <w:sz w:val="21"/>
                <w:szCs w:val="21"/>
                <w:highlight w:val="none"/>
              </w:rPr>
            </w:pPr>
          </w:p>
          <w:p w14:paraId="46AAE9E8">
            <w:pPr>
              <w:rPr>
                <w:rFonts w:hint="eastAsia" w:ascii="仿宋" w:hAnsi="仿宋" w:eastAsia="仿宋" w:cs="仿宋"/>
                <w:color w:val="auto"/>
                <w:sz w:val="21"/>
                <w:szCs w:val="21"/>
                <w:highlight w:val="none"/>
              </w:rPr>
            </w:pPr>
          </w:p>
          <w:p w14:paraId="03859759">
            <w:pPr>
              <w:rPr>
                <w:rFonts w:hint="eastAsia" w:ascii="仿宋" w:hAnsi="仿宋" w:eastAsia="仿宋" w:cs="仿宋"/>
                <w:color w:val="auto"/>
                <w:sz w:val="21"/>
                <w:szCs w:val="21"/>
                <w:highlight w:val="none"/>
              </w:rPr>
            </w:pPr>
          </w:p>
          <w:p w14:paraId="6292F4DA">
            <w:pPr>
              <w:ind w:firstLine="210" w:firstLineChars="100"/>
              <w:jc w:val="left"/>
              <w:rPr>
                <w:rFonts w:hint="eastAsia" w:ascii="仿宋" w:hAnsi="仿宋" w:eastAsia="仿宋" w:cs="仿宋"/>
                <w:bCs/>
                <w:color w:val="auto"/>
                <w:sz w:val="21"/>
                <w:szCs w:val="21"/>
                <w:highlight w:val="none"/>
                <w:lang w:val="en-US" w:eastAsia="zh-CN"/>
              </w:rPr>
            </w:pPr>
          </w:p>
          <w:p w14:paraId="6F4E2545">
            <w:pPr>
              <w:ind w:firstLine="210" w:firstLineChars="10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1、服务方案格式由供应商自拟。</w:t>
            </w:r>
          </w:p>
          <w:p w14:paraId="5678FC0D">
            <w:pPr>
              <w:ind w:firstLine="210" w:firstLineChars="10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2、评审委员会根据供应商的服务方案进行独立评审打分。供应商的得分取所有评审委员会成员打分的算术平均值。</w:t>
            </w:r>
          </w:p>
          <w:p w14:paraId="191B6C5D">
            <w:pPr>
              <w:rPr>
                <w:rFonts w:hint="eastAsia" w:ascii="仿宋" w:hAnsi="仿宋" w:eastAsia="仿宋" w:cs="仿宋"/>
                <w:color w:val="auto"/>
                <w:sz w:val="21"/>
                <w:szCs w:val="21"/>
                <w:highlight w:val="none"/>
              </w:rPr>
            </w:pPr>
          </w:p>
        </w:tc>
      </w:tr>
      <w:tr w14:paraId="176D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jc w:val="center"/>
        </w:trPr>
        <w:tc>
          <w:tcPr>
            <w:tcW w:w="729" w:type="dxa"/>
            <w:vMerge w:val="continue"/>
            <w:vAlign w:val="center"/>
          </w:tcPr>
          <w:p w14:paraId="5ACD5686">
            <w:pPr>
              <w:adjustRightInd w:val="0"/>
              <w:snapToGrid w:val="0"/>
              <w:jc w:val="center"/>
              <w:rPr>
                <w:rFonts w:hint="eastAsia" w:ascii="仿宋" w:hAnsi="仿宋" w:eastAsia="仿宋" w:cs="仿宋"/>
                <w:color w:val="auto"/>
                <w:sz w:val="21"/>
                <w:szCs w:val="21"/>
                <w:highlight w:val="none"/>
              </w:rPr>
            </w:pPr>
          </w:p>
        </w:tc>
        <w:tc>
          <w:tcPr>
            <w:tcW w:w="1061" w:type="dxa"/>
            <w:vMerge w:val="continue"/>
            <w:vAlign w:val="center"/>
          </w:tcPr>
          <w:p w14:paraId="54346E6A">
            <w:pPr>
              <w:adjustRightInd w:val="0"/>
              <w:snapToGrid w:val="0"/>
              <w:rPr>
                <w:rFonts w:hint="eastAsia" w:ascii="仿宋" w:hAnsi="仿宋" w:eastAsia="仿宋" w:cs="仿宋"/>
                <w:color w:val="auto"/>
                <w:sz w:val="21"/>
                <w:szCs w:val="21"/>
                <w:highlight w:val="none"/>
              </w:rPr>
            </w:pPr>
          </w:p>
        </w:tc>
        <w:tc>
          <w:tcPr>
            <w:tcW w:w="1247" w:type="dxa"/>
            <w:shd w:val="clear" w:color="auto" w:fill="auto"/>
            <w:vAlign w:val="center"/>
          </w:tcPr>
          <w:p w14:paraId="5EE2AFF9">
            <w:pPr>
              <w:ind w:firstLine="28"/>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研学服务方案结构</w:t>
            </w:r>
          </w:p>
          <w:p w14:paraId="50677EAB">
            <w:pPr>
              <w:ind w:firstLine="28"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lang w:val="en-US" w:eastAsia="zh-CN"/>
              </w:rPr>
              <w:t>（15分）</w:t>
            </w:r>
          </w:p>
        </w:tc>
        <w:tc>
          <w:tcPr>
            <w:tcW w:w="4376" w:type="dxa"/>
            <w:shd w:val="clear" w:color="auto" w:fill="auto"/>
            <w:vAlign w:val="center"/>
          </w:tcPr>
          <w:p w14:paraId="6EFFAD9F">
            <w:pPr>
              <w:ind w:firstLine="210" w:firstLineChars="10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根据本项目需求提供针对本项目的研学服务方案结构，包含不限于：策划构思、行程计划、执行团队、安全保障、媒体宣传等内容。</w:t>
            </w:r>
          </w:p>
          <w:p w14:paraId="6E9523E4">
            <w:pPr>
              <w:ind w:left="210" w:leftChars="75" w:firstLine="0" w:firstLineChars="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方案内容不存在瑕疵，得15分；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方案内容存在1处瑕疵，得11分；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方案内容存在2处瑕疵，得7分；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方案内容存在3处瑕疵，得3分；</w:t>
            </w:r>
          </w:p>
          <w:p w14:paraId="72E0E325">
            <w:pPr>
              <w:ind w:firstLine="210" w:firstLineChars="100"/>
              <w:jc w:val="left"/>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lang w:val="en-US" w:eastAsia="zh-CN"/>
              </w:rPr>
              <w:t>方案内容存在4处及以上瑕疵或未提供方案得0分。</w:t>
            </w:r>
          </w:p>
        </w:tc>
        <w:tc>
          <w:tcPr>
            <w:tcW w:w="2551" w:type="dxa"/>
            <w:vMerge w:val="continue"/>
            <w:vAlign w:val="center"/>
          </w:tcPr>
          <w:p w14:paraId="3A681B66">
            <w:pPr>
              <w:rPr>
                <w:rFonts w:hint="eastAsia" w:ascii="仿宋" w:hAnsi="仿宋" w:eastAsia="仿宋" w:cs="仿宋"/>
                <w:color w:val="auto"/>
                <w:sz w:val="21"/>
                <w:szCs w:val="21"/>
                <w:highlight w:val="none"/>
              </w:rPr>
            </w:pPr>
          </w:p>
        </w:tc>
      </w:tr>
      <w:tr w14:paraId="3BE5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9" w:type="dxa"/>
            <w:vMerge w:val="continue"/>
            <w:vAlign w:val="center"/>
          </w:tcPr>
          <w:p w14:paraId="1758EC38">
            <w:pPr>
              <w:adjustRightInd w:val="0"/>
              <w:snapToGrid w:val="0"/>
              <w:rPr>
                <w:rFonts w:hint="eastAsia" w:ascii="仿宋" w:hAnsi="仿宋" w:eastAsia="仿宋" w:cs="仿宋"/>
                <w:color w:val="auto"/>
                <w:sz w:val="21"/>
                <w:szCs w:val="21"/>
                <w:highlight w:val="none"/>
              </w:rPr>
            </w:pPr>
          </w:p>
        </w:tc>
        <w:tc>
          <w:tcPr>
            <w:tcW w:w="1061" w:type="dxa"/>
            <w:vMerge w:val="continue"/>
            <w:vAlign w:val="center"/>
          </w:tcPr>
          <w:p w14:paraId="623554AB">
            <w:pPr>
              <w:adjustRightInd w:val="0"/>
              <w:snapToGrid w:val="0"/>
              <w:rPr>
                <w:rFonts w:hint="eastAsia" w:ascii="仿宋" w:hAnsi="仿宋" w:eastAsia="仿宋" w:cs="仿宋"/>
                <w:color w:val="auto"/>
                <w:sz w:val="21"/>
                <w:szCs w:val="21"/>
                <w:highlight w:val="none"/>
              </w:rPr>
            </w:pPr>
          </w:p>
        </w:tc>
        <w:tc>
          <w:tcPr>
            <w:tcW w:w="1247" w:type="dxa"/>
            <w:vAlign w:val="center"/>
          </w:tcPr>
          <w:p w14:paraId="32215658">
            <w:pPr>
              <w:ind w:firstLine="28"/>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方案实施安排</w:t>
            </w:r>
          </w:p>
          <w:p w14:paraId="7C93E8B0">
            <w:pPr>
              <w:ind w:firstLine="28"/>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（15分）</w:t>
            </w:r>
          </w:p>
        </w:tc>
        <w:tc>
          <w:tcPr>
            <w:tcW w:w="4376" w:type="dxa"/>
            <w:vAlign w:val="center"/>
          </w:tcPr>
          <w:p w14:paraId="61EEB26D">
            <w:pPr>
              <w:ind w:firstLine="210" w:firstLineChars="10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根据</w:t>
            </w:r>
            <w:r>
              <w:rPr>
                <w:rFonts w:hint="eastAsia" w:ascii="仿宋" w:hAnsi="仿宋" w:eastAsia="仿宋" w:cs="仿宋"/>
                <w:bCs/>
                <w:color w:val="auto"/>
                <w:sz w:val="21"/>
                <w:szCs w:val="21"/>
                <w:highlight w:val="none"/>
              </w:rPr>
              <w:t>本项目</w:t>
            </w:r>
            <w:r>
              <w:rPr>
                <w:rFonts w:hint="eastAsia" w:ascii="仿宋" w:hAnsi="仿宋" w:eastAsia="仿宋" w:cs="仿宋"/>
                <w:bCs/>
                <w:color w:val="auto"/>
                <w:sz w:val="21"/>
                <w:szCs w:val="21"/>
                <w:highlight w:val="none"/>
                <w:lang w:val="en-US" w:eastAsia="zh-CN"/>
              </w:rPr>
              <w:t>的需求，</w:t>
            </w:r>
            <w:r>
              <w:rPr>
                <w:rFonts w:hint="eastAsia" w:ascii="仿宋" w:hAnsi="仿宋" w:eastAsia="仿宋" w:cs="仿宋"/>
                <w:bCs/>
                <w:color w:val="auto"/>
                <w:sz w:val="21"/>
                <w:szCs w:val="21"/>
                <w:highlight w:val="none"/>
              </w:rPr>
              <w:t>提供</w:t>
            </w:r>
            <w:r>
              <w:rPr>
                <w:rFonts w:hint="eastAsia" w:ascii="仿宋" w:hAnsi="仿宋" w:eastAsia="仿宋" w:cs="仿宋"/>
                <w:bCs/>
                <w:color w:val="auto"/>
                <w:sz w:val="21"/>
                <w:szCs w:val="21"/>
                <w:highlight w:val="none"/>
                <w:lang w:val="en-US" w:eastAsia="zh-CN"/>
              </w:rPr>
              <w:t>针对本项目的方案实施安排</w:t>
            </w:r>
            <w:r>
              <w:rPr>
                <w:rFonts w:hint="eastAsia" w:ascii="仿宋" w:hAnsi="仿宋" w:eastAsia="仿宋" w:cs="仿宋"/>
                <w:bCs/>
                <w:color w:val="auto"/>
                <w:sz w:val="21"/>
                <w:szCs w:val="21"/>
                <w:highlight w:val="none"/>
              </w:rPr>
              <w:t>，包含但不限于</w:t>
            </w:r>
            <w:r>
              <w:rPr>
                <w:rFonts w:hint="eastAsia" w:ascii="仿宋" w:hAnsi="仿宋" w:eastAsia="仿宋" w:cs="仿宋"/>
                <w:bCs/>
                <w:color w:val="auto"/>
                <w:sz w:val="21"/>
                <w:szCs w:val="21"/>
                <w:highlight w:val="none"/>
                <w:lang w:val="en-US" w:eastAsia="zh-CN"/>
              </w:rPr>
              <w:t>行前课程教育、活动全程实施、整体总控、费用收取、摄像摄影、现场工作人员安排、活动材料、参与活动人员的餐饮及交通等内容。</w:t>
            </w:r>
          </w:p>
          <w:p w14:paraId="7E5A5C89">
            <w:pPr>
              <w:ind w:left="210" w:leftChars="75" w:firstLine="0" w:firstLineChars="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方案内容不存在瑕疵，得15分；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方案内容存在1处瑕疵，得11分；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方案内容存在2处瑕疵，得7分；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方案内容存在3处瑕疵，得3分；</w:t>
            </w:r>
          </w:p>
          <w:p w14:paraId="1CEB3EC9">
            <w:pPr>
              <w:ind w:firstLine="210" w:firstLineChars="100"/>
              <w:jc w:val="left"/>
              <w:rPr>
                <w:rFonts w:hint="eastAsia" w:ascii="仿宋" w:hAnsi="仿宋" w:eastAsia="仿宋" w:cs="仿宋"/>
                <w:bCs/>
                <w:color w:val="auto"/>
                <w:sz w:val="21"/>
                <w:szCs w:val="21"/>
                <w:highlight w:val="none"/>
                <w:lang w:val="zh-CN" w:eastAsia="zh-CN"/>
              </w:rPr>
            </w:pPr>
            <w:r>
              <w:rPr>
                <w:rFonts w:hint="eastAsia" w:ascii="仿宋" w:hAnsi="仿宋" w:eastAsia="仿宋" w:cs="仿宋"/>
                <w:bCs/>
                <w:color w:val="auto"/>
                <w:sz w:val="21"/>
                <w:szCs w:val="21"/>
                <w:highlight w:val="none"/>
                <w:lang w:val="en-US" w:eastAsia="zh-CN"/>
              </w:rPr>
              <w:t>方案内容存在4处及以上瑕疵或未提供方案得0分。</w:t>
            </w:r>
          </w:p>
        </w:tc>
        <w:tc>
          <w:tcPr>
            <w:tcW w:w="2551" w:type="dxa"/>
            <w:vMerge w:val="continue"/>
            <w:vAlign w:val="center"/>
          </w:tcPr>
          <w:p w14:paraId="4DAB65A3">
            <w:pPr>
              <w:rPr>
                <w:rFonts w:hint="eastAsia" w:ascii="仿宋" w:hAnsi="仿宋" w:eastAsia="仿宋" w:cs="仿宋"/>
                <w:color w:val="auto"/>
                <w:sz w:val="21"/>
                <w:szCs w:val="21"/>
                <w:highlight w:val="none"/>
              </w:rPr>
            </w:pPr>
          </w:p>
        </w:tc>
      </w:tr>
      <w:tr w14:paraId="0BA8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continue"/>
            <w:vAlign w:val="center"/>
          </w:tcPr>
          <w:p w14:paraId="24E881A0">
            <w:pPr>
              <w:adjustRightInd w:val="0"/>
              <w:snapToGrid w:val="0"/>
              <w:rPr>
                <w:rFonts w:hint="eastAsia" w:ascii="仿宋" w:hAnsi="仿宋" w:eastAsia="仿宋" w:cs="仿宋"/>
                <w:color w:val="auto"/>
                <w:sz w:val="21"/>
                <w:szCs w:val="21"/>
                <w:highlight w:val="none"/>
              </w:rPr>
            </w:pPr>
          </w:p>
        </w:tc>
        <w:tc>
          <w:tcPr>
            <w:tcW w:w="1061" w:type="dxa"/>
            <w:vMerge w:val="continue"/>
            <w:vAlign w:val="center"/>
          </w:tcPr>
          <w:p w14:paraId="1DD4F099">
            <w:pPr>
              <w:adjustRightInd w:val="0"/>
              <w:snapToGrid w:val="0"/>
              <w:rPr>
                <w:rFonts w:hint="eastAsia" w:ascii="仿宋" w:hAnsi="仿宋" w:eastAsia="仿宋" w:cs="仿宋"/>
                <w:color w:val="auto"/>
                <w:sz w:val="21"/>
                <w:szCs w:val="21"/>
                <w:highlight w:val="none"/>
              </w:rPr>
            </w:pPr>
          </w:p>
        </w:tc>
        <w:tc>
          <w:tcPr>
            <w:tcW w:w="1247" w:type="dxa"/>
            <w:vAlign w:val="top"/>
          </w:tcPr>
          <w:p w14:paraId="3597E429">
            <w:pPr>
              <w:pStyle w:val="54"/>
              <w:jc w:val="center"/>
              <w:rPr>
                <w:rFonts w:hint="eastAsia" w:ascii="仿宋" w:hAnsi="仿宋" w:eastAsia="仿宋" w:cs="仿宋"/>
                <w:color w:val="auto"/>
                <w:sz w:val="20"/>
                <w:highlight w:val="none"/>
              </w:rPr>
            </w:pPr>
          </w:p>
          <w:p w14:paraId="414B16E8">
            <w:pPr>
              <w:pStyle w:val="54"/>
              <w:spacing w:before="152" w:line="240" w:lineRule="auto"/>
              <w:ind w:left="107" w:leftChars="0" w:right="96" w:rightChars="0"/>
              <w:jc w:val="center"/>
              <w:rPr>
                <w:rFonts w:hint="eastAsia" w:ascii="仿宋" w:hAnsi="仿宋" w:eastAsia="仿宋" w:cs="仿宋"/>
                <w:color w:val="auto"/>
                <w:spacing w:val="-16"/>
                <w:sz w:val="21"/>
                <w:highlight w:val="none"/>
                <w:lang w:val="en-US" w:eastAsia="zh-CN"/>
              </w:rPr>
            </w:pPr>
            <w:r>
              <w:rPr>
                <w:rFonts w:hint="eastAsia" w:ascii="仿宋" w:hAnsi="仿宋" w:eastAsia="仿宋" w:cs="仿宋"/>
                <w:color w:val="auto"/>
                <w:spacing w:val="-16"/>
                <w:sz w:val="21"/>
                <w:highlight w:val="none"/>
                <w:lang w:val="en-US" w:eastAsia="zh-CN"/>
              </w:rPr>
              <w:t>应急服务方案</w:t>
            </w:r>
          </w:p>
          <w:p w14:paraId="5BE539C5">
            <w:pPr>
              <w:pStyle w:val="54"/>
              <w:spacing w:before="152" w:line="240" w:lineRule="auto"/>
              <w:ind w:left="107" w:leftChars="0" w:right="96" w:rightChars="0"/>
              <w:jc w:val="center"/>
              <w:rPr>
                <w:rFonts w:hint="eastAsia" w:ascii="仿宋" w:hAnsi="仿宋" w:eastAsia="仿宋" w:cs="仿宋"/>
                <w:color w:val="auto"/>
                <w:kern w:val="2"/>
                <w:sz w:val="21"/>
                <w:highlight w:val="none"/>
                <w:lang w:val="en-US" w:eastAsia="zh-CN" w:bidi="zh-CN"/>
              </w:rPr>
            </w:pPr>
            <w:r>
              <w:rPr>
                <w:rFonts w:hint="eastAsia" w:ascii="仿宋" w:hAnsi="仿宋" w:eastAsia="仿宋" w:cs="仿宋"/>
                <w:bCs/>
                <w:color w:val="auto"/>
                <w:sz w:val="21"/>
                <w:szCs w:val="21"/>
                <w:highlight w:val="none"/>
                <w:lang w:val="en-US" w:eastAsia="zh-CN"/>
              </w:rPr>
              <w:t>（15分）</w:t>
            </w:r>
          </w:p>
        </w:tc>
        <w:tc>
          <w:tcPr>
            <w:tcW w:w="4376" w:type="dxa"/>
            <w:vAlign w:val="top"/>
          </w:tcPr>
          <w:p w14:paraId="23D20901">
            <w:pPr>
              <w:ind w:firstLine="210" w:firstLineChars="10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根据本项目需求提供针对本项目的应急服务方案，包含不限于具备安全应急预案，涵盖交通、场地、饮食、医疗等各方面可能出现的安全问题，明确应急处理流程和责任人，提供全面有效的安全措施，如活动场地安全评估、交通工具安全保障、安全防护设备配备、购买足额保险等内容。</w:t>
            </w:r>
          </w:p>
          <w:p w14:paraId="22369F9C">
            <w:pPr>
              <w:ind w:left="210" w:leftChars="75" w:firstLine="0" w:firstLineChars="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方案内容不存在瑕疵，得15分；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方案内容存在1处瑕疵，得11分；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方案内容存在2处瑕疵，得7分；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方案内容存在3处瑕疵，得3分；</w:t>
            </w:r>
          </w:p>
          <w:p w14:paraId="15765313">
            <w:pPr>
              <w:ind w:firstLine="210" w:firstLineChars="100"/>
              <w:jc w:val="left"/>
              <w:rPr>
                <w:rFonts w:hint="eastAsia" w:ascii="仿宋" w:hAnsi="仿宋" w:eastAsia="仿宋" w:cs="仿宋"/>
                <w:color w:val="auto"/>
                <w:sz w:val="21"/>
                <w:highlight w:val="none"/>
                <w:lang w:val="zh-CN" w:eastAsia="zh-CN"/>
              </w:rPr>
            </w:pPr>
            <w:r>
              <w:rPr>
                <w:rFonts w:hint="eastAsia" w:ascii="仿宋" w:hAnsi="仿宋" w:eastAsia="仿宋" w:cs="仿宋"/>
                <w:bCs/>
                <w:color w:val="auto"/>
                <w:sz w:val="21"/>
                <w:szCs w:val="21"/>
                <w:highlight w:val="none"/>
                <w:lang w:val="en-US" w:eastAsia="zh-CN"/>
              </w:rPr>
              <w:t>方案内容存在4处及以上瑕疵或未提供方案得0分。</w:t>
            </w:r>
          </w:p>
        </w:tc>
        <w:tc>
          <w:tcPr>
            <w:tcW w:w="2551" w:type="dxa"/>
            <w:vMerge w:val="continue"/>
            <w:vAlign w:val="center"/>
          </w:tcPr>
          <w:p w14:paraId="3B7D727E">
            <w:pPr>
              <w:rPr>
                <w:rFonts w:hint="eastAsia" w:ascii="仿宋" w:hAnsi="仿宋" w:eastAsia="仿宋" w:cs="仿宋"/>
                <w:color w:val="auto"/>
                <w:sz w:val="21"/>
                <w:szCs w:val="21"/>
                <w:highlight w:val="none"/>
              </w:rPr>
            </w:pPr>
          </w:p>
        </w:tc>
      </w:tr>
      <w:tr w14:paraId="235A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4" w:type="dxa"/>
            <w:gridSpan w:val="5"/>
            <w:vAlign w:val="center"/>
          </w:tcPr>
          <w:p w14:paraId="409A31BC">
            <w:pPr>
              <w:rPr>
                <w:rFonts w:hint="eastAsia" w:ascii="仿宋" w:hAnsi="仿宋" w:eastAsia="仿宋" w:cs="仿宋"/>
                <w:color w:val="auto"/>
                <w:sz w:val="21"/>
                <w:szCs w:val="21"/>
                <w:highlight w:val="none"/>
                <w:shd w:val="solid" w:color="FFFFFF" w:fill="FFFFFF"/>
                <w:lang w:val="en-US" w:eastAsia="zh-CN"/>
              </w:rPr>
            </w:pPr>
            <w:r>
              <w:rPr>
                <w:rFonts w:hint="eastAsia" w:ascii="仿宋" w:hAnsi="仿宋" w:eastAsia="仿宋" w:cs="仿宋"/>
                <w:color w:val="auto"/>
                <w:sz w:val="21"/>
                <w:szCs w:val="21"/>
                <w:highlight w:val="none"/>
                <w:shd w:val="solid" w:color="FFFFFF" w:fill="FFFFFF"/>
                <w:lang w:val="en-US" w:eastAsia="zh-CN"/>
              </w:rPr>
              <w:t>本项内容中所称的“瑕疵”指以下任意一种情形：</w:t>
            </w:r>
          </w:p>
          <w:p w14:paraId="45104006">
            <w:pPr>
              <w:ind w:firstLine="210" w:firstLineChars="100"/>
              <w:rPr>
                <w:rFonts w:hint="eastAsia" w:ascii="仿宋" w:hAnsi="仿宋" w:eastAsia="仿宋" w:cs="仿宋"/>
                <w:color w:val="auto"/>
                <w:sz w:val="21"/>
                <w:szCs w:val="21"/>
                <w:highlight w:val="none"/>
                <w:shd w:val="solid" w:color="FFFFFF" w:fill="FFFFFF"/>
                <w:lang w:val="en-US" w:eastAsia="zh-CN"/>
              </w:rPr>
            </w:pPr>
            <w:r>
              <w:rPr>
                <w:rFonts w:hint="eastAsia" w:ascii="仿宋" w:hAnsi="仿宋" w:eastAsia="仿宋" w:cs="仿宋"/>
                <w:color w:val="auto"/>
                <w:sz w:val="21"/>
                <w:szCs w:val="21"/>
                <w:highlight w:val="none"/>
                <w:shd w:val="solid" w:color="FFFFFF" w:fill="FFFFFF"/>
                <w:lang w:val="en-US" w:eastAsia="zh-CN"/>
              </w:rPr>
              <w:t>①方案内容缺项、内容表述不完整或缺少关键分析点；</w:t>
            </w:r>
          </w:p>
          <w:p w14:paraId="40D17E4E">
            <w:pPr>
              <w:ind w:firstLine="210" w:firstLineChars="100"/>
              <w:rPr>
                <w:rFonts w:hint="eastAsia" w:ascii="仿宋" w:hAnsi="仿宋" w:eastAsia="仿宋" w:cs="仿宋"/>
                <w:color w:val="auto"/>
                <w:sz w:val="21"/>
                <w:szCs w:val="21"/>
                <w:highlight w:val="none"/>
                <w:shd w:val="solid" w:color="FFFFFF" w:fill="FFFFFF"/>
                <w:lang w:val="en-US" w:eastAsia="zh-CN"/>
              </w:rPr>
            </w:pPr>
            <w:r>
              <w:rPr>
                <w:rFonts w:hint="eastAsia" w:ascii="仿宋" w:hAnsi="仿宋" w:eastAsia="仿宋" w:cs="仿宋"/>
                <w:color w:val="auto"/>
                <w:sz w:val="21"/>
                <w:szCs w:val="21"/>
                <w:highlight w:val="none"/>
                <w:shd w:val="solid" w:color="FFFFFF" w:fill="FFFFFF"/>
                <w:lang w:val="en-US" w:eastAsia="zh-CN"/>
              </w:rPr>
              <w:t>②方案内容表述前后矛盾不合理、无连贯性；</w:t>
            </w:r>
          </w:p>
          <w:p w14:paraId="79C584FE">
            <w:pPr>
              <w:ind w:firstLine="210" w:firstLineChars="100"/>
              <w:rPr>
                <w:rFonts w:hint="eastAsia" w:ascii="仿宋" w:hAnsi="仿宋" w:eastAsia="仿宋" w:cs="仿宋"/>
                <w:color w:val="auto"/>
                <w:sz w:val="21"/>
                <w:szCs w:val="21"/>
                <w:highlight w:val="none"/>
                <w:shd w:val="solid" w:color="FFFFFF" w:fill="FFFFFF"/>
                <w:lang w:val="en-US" w:eastAsia="zh-CN"/>
              </w:rPr>
            </w:pPr>
            <w:r>
              <w:rPr>
                <w:rFonts w:hint="eastAsia" w:ascii="仿宋" w:hAnsi="仿宋" w:eastAsia="仿宋" w:cs="仿宋"/>
                <w:color w:val="auto"/>
                <w:sz w:val="21"/>
                <w:szCs w:val="21"/>
                <w:highlight w:val="none"/>
                <w:shd w:val="solid" w:color="FFFFFF" w:fill="FFFFFF"/>
                <w:lang w:val="en-US" w:eastAsia="zh-CN"/>
              </w:rPr>
              <w:t>③内容存在逻辑漏洞、无实用性、常识错误、方案没有科学性；</w:t>
            </w:r>
          </w:p>
          <w:p w14:paraId="0D337729">
            <w:pPr>
              <w:ind w:firstLine="210" w:firstLineChars="100"/>
              <w:rPr>
                <w:rFonts w:hint="eastAsia" w:ascii="仿宋" w:hAnsi="仿宋" w:eastAsia="仿宋" w:cs="仿宋"/>
                <w:color w:val="auto"/>
                <w:sz w:val="21"/>
                <w:szCs w:val="21"/>
                <w:highlight w:val="none"/>
                <w:shd w:val="solid" w:color="FFFFFF" w:fill="FFFFFF"/>
                <w:lang w:val="en-US" w:eastAsia="zh-CN"/>
              </w:rPr>
            </w:pPr>
            <w:r>
              <w:rPr>
                <w:rFonts w:hint="eastAsia" w:ascii="仿宋" w:hAnsi="仿宋" w:eastAsia="仿宋" w:cs="仿宋"/>
                <w:color w:val="auto"/>
                <w:sz w:val="21"/>
                <w:szCs w:val="21"/>
                <w:highlight w:val="none"/>
                <w:shd w:val="solid" w:color="FFFFFF" w:fill="FFFFFF"/>
                <w:lang w:val="en-US" w:eastAsia="zh-CN"/>
              </w:rPr>
              <w:t>④现状了解不合实际、方案不适用本项目特性或非专门针对本项目制定、也不适用于采购人项目实施环境；</w:t>
            </w:r>
          </w:p>
          <w:p w14:paraId="6B381B78">
            <w:pPr>
              <w:ind w:firstLine="210" w:firstLineChars="100"/>
              <w:rPr>
                <w:rFonts w:hint="eastAsia" w:ascii="仿宋" w:hAnsi="仿宋" w:eastAsia="仿宋" w:cs="仿宋"/>
                <w:color w:val="auto"/>
                <w:sz w:val="21"/>
                <w:szCs w:val="21"/>
                <w:highlight w:val="none"/>
                <w:shd w:val="solid" w:color="FFFFFF" w:fill="FFFFFF"/>
                <w:lang w:val="en-US" w:eastAsia="zh-CN"/>
              </w:rPr>
            </w:pPr>
            <w:r>
              <w:rPr>
                <w:rFonts w:hint="eastAsia" w:ascii="仿宋" w:hAnsi="仿宋" w:eastAsia="仿宋" w:cs="仿宋"/>
                <w:color w:val="auto"/>
                <w:sz w:val="21"/>
                <w:szCs w:val="21"/>
                <w:highlight w:val="none"/>
                <w:shd w:val="solid" w:color="FFFFFF" w:fill="FFFFFF"/>
                <w:lang w:val="en-US" w:eastAsia="zh-CN"/>
              </w:rPr>
              <w:t>⑤方案中提出的相关措施举措不利于本项目目标的实现、现有技术条件下不可能出现；</w:t>
            </w:r>
          </w:p>
          <w:p w14:paraId="52A75066">
            <w:pPr>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shd w:val="solid" w:color="FFFFFF" w:fill="FFFFFF"/>
                <w:lang w:val="en-US" w:eastAsia="zh-CN"/>
              </w:rPr>
              <w:t>⑥提出的对项目的阐述和理解不准确、针对项目提出的意见与解决方法、控制措施等无针对性，不贴合项目实际情况的情形。</w:t>
            </w:r>
          </w:p>
        </w:tc>
      </w:tr>
      <w:tr w14:paraId="6BFD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29" w:type="dxa"/>
            <w:vMerge w:val="restart"/>
            <w:vAlign w:val="center"/>
          </w:tcPr>
          <w:p w14:paraId="11BD3296">
            <w:pPr>
              <w:tabs>
                <w:tab w:val="left" w:pos="312"/>
              </w:tabs>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061" w:type="dxa"/>
            <w:vMerge w:val="restart"/>
            <w:vAlign w:val="center"/>
          </w:tcPr>
          <w:p w14:paraId="60E360ED">
            <w:pPr>
              <w:tabs>
                <w:tab w:val="left" w:pos="312"/>
              </w:tabs>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商务部分（20%）</w:t>
            </w:r>
          </w:p>
        </w:tc>
        <w:tc>
          <w:tcPr>
            <w:tcW w:w="1247" w:type="dxa"/>
            <w:vAlign w:val="center"/>
          </w:tcPr>
          <w:p w14:paraId="18DD80B4">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服务人员</w:t>
            </w:r>
          </w:p>
          <w:p w14:paraId="796780F4">
            <w:pPr>
              <w:pStyle w:val="8"/>
              <w:jc w:val="center"/>
              <w:rPr>
                <w:rFonts w:hint="default"/>
                <w:highlight w:val="none"/>
                <w:lang w:val="en-US" w:eastAsia="zh-CN"/>
              </w:rPr>
            </w:pPr>
            <w:r>
              <w:rPr>
                <w:rFonts w:hint="eastAsia" w:ascii="仿宋" w:hAnsi="仿宋" w:eastAsia="仿宋" w:cs="仿宋"/>
                <w:color w:val="auto"/>
                <w:sz w:val="21"/>
                <w:szCs w:val="21"/>
                <w:highlight w:val="none"/>
                <w:lang w:val="en-US" w:eastAsia="zh-CN"/>
              </w:rPr>
              <w:t>（8分）</w:t>
            </w:r>
          </w:p>
        </w:tc>
        <w:tc>
          <w:tcPr>
            <w:tcW w:w="4376" w:type="dxa"/>
            <w:vAlign w:val="center"/>
          </w:tcPr>
          <w:p w14:paraId="3BAC5038">
            <w:pPr>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供应商拟派本项目课程设计团队成员具有教育类高级及以上职称证书的，提供1个证书得4分，本项目最多得8分。</w:t>
            </w:r>
          </w:p>
        </w:tc>
        <w:tc>
          <w:tcPr>
            <w:tcW w:w="2551" w:type="dxa"/>
            <w:vAlign w:val="center"/>
          </w:tcPr>
          <w:p w14:paraId="1487E186">
            <w:pPr>
              <w:ind w:left="78" w:leftChars="28"/>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提供人员相关证书证明材料并加盖供应商公章。</w:t>
            </w:r>
          </w:p>
        </w:tc>
      </w:tr>
      <w:tr w14:paraId="1C02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29" w:type="dxa"/>
            <w:vMerge w:val="continue"/>
            <w:vAlign w:val="center"/>
          </w:tcPr>
          <w:p w14:paraId="7245A2F4">
            <w:pPr>
              <w:tabs>
                <w:tab w:val="left" w:pos="312"/>
              </w:tabs>
              <w:jc w:val="center"/>
              <w:rPr>
                <w:rFonts w:hint="eastAsia" w:ascii="仿宋" w:hAnsi="仿宋" w:eastAsia="仿宋" w:cs="仿宋"/>
                <w:color w:val="auto"/>
                <w:sz w:val="21"/>
                <w:szCs w:val="21"/>
                <w:highlight w:val="none"/>
                <w:lang w:val="en-US" w:eastAsia="zh-CN"/>
              </w:rPr>
            </w:pPr>
          </w:p>
        </w:tc>
        <w:tc>
          <w:tcPr>
            <w:tcW w:w="1061" w:type="dxa"/>
            <w:vMerge w:val="continue"/>
            <w:vAlign w:val="center"/>
          </w:tcPr>
          <w:p w14:paraId="7B554B38">
            <w:pPr>
              <w:tabs>
                <w:tab w:val="left" w:pos="312"/>
              </w:tabs>
              <w:jc w:val="center"/>
              <w:rPr>
                <w:rFonts w:hint="eastAsia" w:ascii="仿宋" w:hAnsi="仿宋" w:eastAsia="仿宋" w:cs="仿宋"/>
                <w:color w:val="auto"/>
                <w:sz w:val="21"/>
                <w:szCs w:val="21"/>
                <w:highlight w:val="none"/>
                <w:lang w:val="en-US" w:eastAsia="zh-CN"/>
              </w:rPr>
            </w:pPr>
          </w:p>
        </w:tc>
        <w:tc>
          <w:tcPr>
            <w:tcW w:w="1247" w:type="dxa"/>
            <w:shd w:val="clear" w:color="auto" w:fill="auto"/>
            <w:vAlign w:val="center"/>
          </w:tcPr>
          <w:p w14:paraId="2A96E5B0">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企业实力</w:t>
            </w:r>
          </w:p>
          <w:p w14:paraId="57613E1E">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分）</w:t>
            </w:r>
          </w:p>
        </w:tc>
        <w:tc>
          <w:tcPr>
            <w:tcW w:w="4376" w:type="dxa"/>
            <w:shd w:val="clear" w:color="auto" w:fill="auto"/>
            <w:vAlign w:val="center"/>
          </w:tcPr>
          <w:p w14:paraId="014472AB">
            <w:pPr>
              <w:ind w:firstLine="210" w:firstLineChars="1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年1月1日至今（以合同时间为准）具有</w:t>
            </w:r>
            <w:r>
              <w:rPr>
                <w:rFonts w:hint="eastAsia" w:ascii="仿宋" w:hAnsi="仿宋" w:eastAsia="仿宋" w:cs="仿宋"/>
                <w:color w:val="auto"/>
                <w:sz w:val="21"/>
                <w:szCs w:val="21"/>
                <w:highlight w:val="none"/>
                <w:lang w:val="en-US" w:eastAsia="zh-CN"/>
              </w:rPr>
              <w:t>研学活动服务</w:t>
            </w:r>
            <w:r>
              <w:rPr>
                <w:rFonts w:hint="eastAsia" w:ascii="仿宋" w:hAnsi="仿宋" w:eastAsia="仿宋" w:cs="仿宋"/>
                <w:color w:val="auto"/>
                <w:sz w:val="21"/>
                <w:szCs w:val="21"/>
                <w:highlight w:val="none"/>
              </w:rPr>
              <w:t>业绩</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rPr>
              <w:t>，每个得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本项</w:t>
            </w:r>
            <w:r>
              <w:rPr>
                <w:rFonts w:hint="eastAsia" w:ascii="仿宋" w:hAnsi="仿宋" w:eastAsia="仿宋" w:cs="仿宋"/>
                <w:color w:val="auto"/>
                <w:sz w:val="21"/>
                <w:szCs w:val="21"/>
                <w:highlight w:val="none"/>
              </w:rPr>
              <w:t>最多得</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分。</w:t>
            </w:r>
          </w:p>
        </w:tc>
        <w:tc>
          <w:tcPr>
            <w:tcW w:w="2551" w:type="dxa"/>
            <w:shd w:val="clear" w:color="auto" w:fill="auto"/>
            <w:vAlign w:val="center"/>
          </w:tcPr>
          <w:p w14:paraId="62B70C07">
            <w:pPr>
              <w:ind w:left="78" w:leftChars="28"/>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提供合同复印件</w:t>
            </w:r>
            <w:r>
              <w:rPr>
                <w:rFonts w:hint="eastAsia" w:ascii="仿宋" w:hAnsi="仿宋" w:eastAsia="仿宋" w:cs="仿宋"/>
                <w:color w:val="auto"/>
                <w:sz w:val="21"/>
                <w:szCs w:val="21"/>
                <w:highlight w:val="none"/>
                <w:lang w:val="en-US" w:eastAsia="zh-CN"/>
              </w:rPr>
              <w:t>并</w:t>
            </w:r>
            <w:r>
              <w:rPr>
                <w:rFonts w:hint="eastAsia" w:ascii="仿宋" w:hAnsi="仿宋" w:eastAsia="仿宋" w:cs="仿宋"/>
                <w:color w:val="auto"/>
                <w:sz w:val="21"/>
                <w:szCs w:val="21"/>
                <w:highlight w:val="none"/>
              </w:rPr>
              <w:t>加盖</w:t>
            </w:r>
            <w:r>
              <w:rPr>
                <w:rFonts w:hint="eastAsia" w:ascii="仿宋" w:hAnsi="仿宋" w:eastAsia="仿宋" w:cs="仿宋"/>
                <w:color w:val="auto"/>
                <w:sz w:val="21"/>
                <w:szCs w:val="21"/>
                <w:highlight w:val="none"/>
                <w:lang w:eastAsia="zh-CN"/>
              </w:rPr>
              <w:t>供应商公</w:t>
            </w:r>
            <w:r>
              <w:rPr>
                <w:rFonts w:hint="eastAsia" w:ascii="仿宋" w:hAnsi="仿宋" w:eastAsia="仿宋" w:cs="仿宋"/>
                <w:color w:val="auto"/>
                <w:sz w:val="21"/>
                <w:szCs w:val="21"/>
                <w:highlight w:val="none"/>
              </w:rPr>
              <w:t>章。</w:t>
            </w:r>
          </w:p>
        </w:tc>
      </w:tr>
    </w:tbl>
    <w:p w14:paraId="475592C9">
      <w:pPr>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说明：</w:t>
      </w:r>
      <w:r>
        <w:rPr>
          <w:rFonts w:hint="eastAsia" w:ascii="仿宋" w:hAnsi="仿宋" w:eastAsia="仿宋" w:cs="仿宋"/>
          <w:color w:val="auto"/>
          <w:sz w:val="24"/>
          <w:szCs w:val="24"/>
          <w:highlight w:val="none"/>
        </w:rPr>
        <w:t>政府采购评审中出现下列情形之一的，评审委员会应当启动异常低价投标（响应）审查程序：</w:t>
      </w:r>
    </w:p>
    <w:p w14:paraId="17C4047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1.投标（响应）报价低于全部通过符合性审查供应商投标（响应）报价平均值50%的，即投标（响应）报价&lt;全部通过符合性审查供应商投标（响应）报价平均值×50%；</w:t>
      </w:r>
    </w:p>
    <w:p w14:paraId="478ED1C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2.投标（响应）报价低于通过符合性审查的次低报价供应商投标（响应）报价50%的，即投标（响应）报价&lt;通过符合性审查的次低报价供应商投标（响应）报价×50%；</w:t>
      </w:r>
    </w:p>
    <w:p w14:paraId="4417E91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3.投标（响应）报价低于采购项目最高限价45%的，即投标（响应）报价&lt;采购项目最高限价×45%；</w:t>
      </w:r>
    </w:p>
    <w:p w14:paraId="69CFB4F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4.评审委员会基于专业判断，认为供应商报价过低，有可能影响产品质量或者不能诚信履约的其他情形。</w:t>
      </w:r>
    </w:p>
    <w:p w14:paraId="0ED14C71">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53EE05D">
      <w:pPr>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b/>
          <w:bCs/>
          <w:color w:val="auto"/>
          <w:sz w:val="24"/>
          <w:szCs w:val="24"/>
          <w:highlight w:val="none"/>
          <w:lang w:eastAsia="zh-CN"/>
        </w:rPr>
      </w:pPr>
      <w:bookmarkStart w:id="46" w:name="_Toc27805"/>
      <w:r>
        <w:rPr>
          <w:rFonts w:hint="eastAsia" w:ascii="仿宋" w:hAnsi="仿宋" w:eastAsia="仿宋" w:cs="仿宋"/>
          <w:b/>
          <w:bCs/>
          <w:color w:val="auto"/>
          <w:sz w:val="24"/>
          <w:szCs w:val="24"/>
          <w:highlight w:val="none"/>
          <w:lang w:eastAsia="zh-CN"/>
        </w:rPr>
        <w:t>三、无效</w:t>
      </w:r>
      <w:bookmarkEnd w:id="46"/>
      <w:r>
        <w:rPr>
          <w:rFonts w:hint="eastAsia" w:ascii="仿宋" w:hAnsi="仿宋" w:eastAsia="仿宋" w:cs="仿宋"/>
          <w:b/>
          <w:bCs/>
          <w:color w:val="auto"/>
          <w:sz w:val="24"/>
          <w:szCs w:val="24"/>
          <w:highlight w:val="none"/>
          <w:lang w:val="en-US" w:eastAsia="zh-CN"/>
        </w:rPr>
        <w:t>响应</w:t>
      </w:r>
    </w:p>
    <w:p w14:paraId="4C42F7E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不符合规定的基本资格条件或特定资格条件的；</w:t>
      </w:r>
    </w:p>
    <w:p w14:paraId="35B48A57">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的法定代表人（或其授权代表）或自然人未参加</w:t>
      </w:r>
      <w:r>
        <w:rPr>
          <w:rFonts w:hint="eastAsia" w:ascii="仿宋" w:hAnsi="仿宋" w:eastAsia="仿宋" w:cs="仿宋"/>
          <w:color w:val="auto"/>
          <w:sz w:val="24"/>
          <w:szCs w:val="24"/>
          <w:highlight w:val="none"/>
          <w:lang w:eastAsia="zh-CN"/>
        </w:rPr>
        <w:t>竞选</w:t>
      </w:r>
      <w:r>
        <w:rPr>
          <w:rFonts w:hint="eastAsia" w:ascii="仿宋" w:hAnsi="仿宋" w:eastAsia="仿宋" w:cs="仿宋"/>
          <w:color w:val="auto"/>
          <w:sz w:val="24"/>
          <w:szCs w:val="24"/>
          <w:highlight w:val="none"/>
        </w:rPr>
        <w:t>；</w:t>
      </w:r>
    </w:p>
    <w:p w14:paraId="75C97E4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所提交的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不按第七篇“</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编制要求”规定签字、盖章；</w:t>
      </w:r>
    </w:p>
    <w:p w14:paraId="2B343B96">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投标报价</w:t>
      </w:r>
      <w:r>
        <w:rPr>
          <w:rFonts w:hint="eastAsia" w:ascii="仿宋" w:hAnsi="仿宋" w:eastAsia="仿宋" w:cs="仿宋"/>
          <w:color w:val="auto"/>
          <w:sz w:val="24"/>
          <w:szCs w:val="24"/>
          <w:highlight w:val="none"/>
        </w:rPr>
        <w:t>超过采购预算或最高限价的；</w:t>
      </w:r>
    </w:p>
    <w:p w14:paraId="21C2382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）法定代表人为同一个人的两个及两个以上法人，母公司、全资子公司及其控股公司，在同一分包采购中同时参与</w:t>
      </w:r>
      <w:r>
        <w:rPr>
          <w:rFonts w:hint="eastAsia" w:ascii="仿宋" w:hAnsi="仿宋" w:eastAsia="仿宋" w:cs="仿宋"/>
          <w:color w:val="auto"/>
          <w:sz w:val="24"/>
          <w:szCs w:val="24"/>
          <w:highlight w:val="none"/>
          <w:lang w:eastAsia="zh-CN"/>
        </w:rPr>
        <w:t>竞选</w:t>
      </w:r>
      <w:r>
        <w:rPr>
          <w:rFonts w:hint="eastAsia" w:ascii="仿宋" w:hAnsi="仿宋" w:eastAsia="仿宋" w:cs="仿宋"/>
          <w:color w:val="auto"/>
          <w:sz w:val="24"/>
          <w:szCs w:val="24"/>
          <w:highlight w:val="none"/>
        </w:rPr>
        <w:t>；</w:t>
      </w:r>
    </w:p>
    <w:p w14:paraId="715DE6D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）单位负责人为同一人或者存在直接控股、管理关系的不同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，参加同一合同项下的采购活动的；</w:t>
      </w:r>
    </w:p>
    <w:p w14:paraId="55621CA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）为采购项目提供整体设计、规范编制或者项目管理、监理、检测等服务的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，再参加该采购项目的其他采购活动；</w:t>
      </w:r>
    </w:p>
    <w:p w14:paraId="512A18D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内容有与国家现行法律法规相违背的内容，或附有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无法接受的条件。</w:t>
      </w:r>
    </w:p>
    <w:p w14:paraId="2250902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以联合体形式参与</w:t>
      </w:r>
      <w:r>
        <w:rPr>
          <w:rFonts w:hint="eastAsia" w:ascii="仿宋" w:hAnsi="仿宋" w:eastAsia="仿宋" w:cs="仿宋"/>
          <w:color w:val="auto"/>
          <w:sz w:val="24"/>
          <w:szCs w:val="24"/>
          <w:highlight w:val="none"/>
          <w:lang w:eastAsia="zh-CN"/>
        </w:rPr>
        <w:t>竞选</w:t>
      </w:r>
      <w:r>
        <w:rPr>
          <w:rFonts w:hint="eastAsia" w:ascii="仿宋" w:hAnsi="仿宋" w:eastAsia="仿宋" w:cs="仿宋"/>
          <w:color w:val="auto"/>
          <w:sz w:val="24"/>
          <w:szCs w:val="24"/>
          <w:highlight w:val="none"/>
        </w:rPr>
        <w:t>的；</w:t>
      </w:r>
    </w:p>
    <w:p w14:paraId="6C0C26A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进行合同分包的；</w:t>
      </w:r>
    </w:p>
    <w:p w14:paraId="5EB7B85F">
      <w:pPr>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b/>
          <w:bCs/>
          <w:color w:val="auto"/>
          <w:sz w:val="24"/>
          <w:szCs w:val="24"/>
          <w:highlight w:val="none"/>
          <w:lang w:eastAsia="zh-CN"/>
        </w:rPr>
      </w:pPr>
      <w:bookmarkStart w:id="47" w:name="_Toc25230"/>
      <w:r>
        <w:rPr>
          <w:rFonts w:hint="eastAsia" w:ascii="仿宋" w:hAnsi="仿宋" w:eastAsia="仿宋" w:cs="仿宋"/>
          <w:b/>
          <w:bCs/>
          <w:color w:val="auto"/>
          <w:sz w:val="24"/>
          <w:szCs w:val="24"/>
          <w:highlight w:val="none"/>
          <w:lang w:eastAsia="zh-CN"/>
        </w:rPr>
        <w:t>四、采购终止</w:t>
      </w:r>
      <w:bookmarkEnd w:id="47"/>
    </w:p>
    <w:p w14:paraId="6D02BDA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应当终止采购活动，发布项目终止公告并说明原因，重新开展采购活动：</w:t>
      </w:r>
    </w:p>
    <w:p w14:paraId="1FFDA497">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（一）因情况变化，不再符合规定的采购方式适用情形的；</w:t>
      </w:r>
    </w:p>
    <w:p w14:paraId="406B874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21888A1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sectPr>
          <w:footerReference r:id="rId9" w:type="default"/>
          <w:pgSz w:w="11907" w:h="16840"/>
          <w:pgMar w:top="1440" w:right="1480" w:bottom="1440" w:left="1480" w:header="964" w:footer="992" w:gutter="0"/>
          <w:pgNumType w:fmt="decimal"/>
          <w:cols w:space="720" w:num="1"/>
          <w:docGrid w:type="linesAndChars" w:linePitch="381" w:charSpace="0"/>
        </w:sectPr>
      </w:pPr>
      <w:r>
        <w:rPr>
          <w:rFonts w:hint="eastAsia" w:ascii="仿宋" w:hAnsi="仿宋" w:eastAsia="仿宋" w:cs="仿宋"/>
          <w:color w:val="auto"/>
          <w:sz w:val="24"/>
          <w:szCs w:val="24"/>
          <w:highlight w:val="none"/>
        </w:rPr>
        <w:t>（三）在采购过程中符合要求的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或者报价未超过采购预算的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不足</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家的。</w:t>
      </w:r>
    </w:p>
    <w:bookmarkEnd w:id="42"/>
    <w:bookmarkEnd w:id="43"/>
    <w:bookmarkEnd w:id="44"/>
    <w:bookmarkEnd w:id="45"/>
    <w:p w14:paraId="471DD2E6">
      <w:pPr>
        <w:pStyle w:val="3"/>
        <w:pageBreakBefore w:val="0"/>
        <w:widowControl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sz w:val="32"/>
          <w:szCs w:val="32"/>
          <w:highlight w:val="none"/>
        </w:rPr>
      </w:pPr>
      <w:bookmarkStart w:id="48" w:name="_Toc27619"/>
      <w:r>
        <w:rPr>
          <w:rStyle w:val="36"/>
          <w:rFonts w:hint="eastAsia" w:ascii="仿宋" w:hAnsi="仿宋" w:eastAsia="仿宋" w:cs="仿宋"/>
          <w:b/>
          <w:bCs/>
          <w:color w:val="auto"/>
          <w:sz w:val="32"/>
          <w:szCs w:val="32"/>
          <w:highlight w:val="none"/>
        </w:rPr>
        <w:t>第</w:t>
      </w:r>
      <w:r>
        <w:rPr>
          <w:rStyle w:val="36"/>
          <w:rFonts w:hint="eastAsia" w:ascii="仿宋" w:hAnsi="仿宋" w:eastAsia="仿宋" w:cs="仿宋"/>
          <w:b/>
          <w:bCs/>
          <w:color w:val="auto"/>
          <w:sz w:val="32"/>
          <w:szCs w:val="32"/>
          <w:highlight w:val="none"/>
          <w:lang w:val="en-US" w:eastAsia="zh-CN"/>
        </w:rPr>
        <w:t>五</w:t>
      </w:r>
      <w:r>
        <w:rPr>
          <w:rStyle w:val="36"/>
          <w:rFonts w:hint="eastAsia" w:ascii="仿宋" w:hAnsi="仿宋" w:eastAsia="仿宋" w:cs="仿宋"/>
          <w:b/>
          <w:bCs/>
          <w:color w:val="auto"/>
          <w:sz w:val="32"/>
          <w:szCs w:val="32"/>
          <w:highlight w:val="none"/>
        </w:rPr>
        <w:t>篇  供应商须知</w:t>
      </w:r>
      <w:bookmarkEnd w:id="19"/>
      <w:bookmarkEnd w:id="20"/>
      <w:bookmarkEnd w:id="48"/>
    </w:p>
    <w:p w14:paraId="1B9108C0">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49" w:name="_Toc342913389"/>
      <w:bookmarkStart w:id="50" w:name="_Toc32059"/>
      <w:bookmarkStart w:id="51" w:name="_Toc20643"/>
      <w:bookmarkStart w:id="52" w:name="_Toc426965630"/>
      <w:bookmarkStart w:id="53" w:name="_Toc487204779"/>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费用</w:t>
      </w:r>
      <w:bookmarkEnd w:id="49"/>
      <w:bookmarkEnd w:id="50"/>
      <w:bookmarkEnd w:id="51"/>
      <w:bookmarkEnd w:id="52"/>
      <w:bookmarkEnd w:id="53"/>
    </w:p>
    <w:p w14:paraId="0EE797F0">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参与采购的供应商应承担其编制响应文件与递交响应文件所涉及的一切费用，不论采购结果如何，采购人和采购代理机构在任何情况下无义务也无责任承担这些费用。</w:t>
      </w:r>
    </w:p>
    <w:p w14:paraId="12CDA8DA">
      <w:pPr>
        <w:pStyle w:val="4"/>
        <w:pageBreakBefore w:val="0"/>
        <w:widowControl w:val="0"/>
        <w:tabs>
          <w:tab w:val="left" w:pos="2640"/>
        </w:tabs>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54" w:name="_Toc426965631"/>
      <w:bookmarkStart w:id="55" w:name="_Toc342913391"/>
      <w:bookmarkStart w:id="56" w:name="_Toc18383"/>
      <w:bookmarkStart w:id="57" w:name="_Toc487204780"/>
      <w:bookmarkStart w:id="58" w:name="_Toc7850"/>
      <w:r>
        <w:rPr>
          <w:rFonts w:hint="eastAsia" w:ascii="仿宋" w:hAnsi="仿宋" w:eastAsia="仿宋" w:cs="仿宋"/>
          <w:color w:val="auto"/>
          <w:sz w:val="24"/>
          <w:szCs w:val="24"/>
          <w:highlight w:val="none"/>
        </w:rPr>
        <w:t>二、</w:t>
      </w:r>
      <w:bookmarkEnd w:id="54"/>
      <w:bookmarkEnd w:id="55"/>
      <w:bookmarkEnd w:id="56"/>
      <w:bookmarkEnd w:id="57"/>
      <w:bookmarkEnd w:id="58"/>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ab/>
      </w:r>
    </w:p>
    <w:p w14:paraId="40DC5638">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（一）采购文件由采购公告、项目服务需求、项目商务要求、资格审查及评标办法、供应商须知、合同主要条款和格式合同（样本）、响应文件格式要求七部分组成。</w:t>
      </w:r>
    </w:p>
    <w:p w14:paraId="57E7A622">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（二）采购人（或采购代理机构）所作的一切有效的书面通知、修改及补充，都是招标文件不可分割的部分。</w:t>
      </w:r>
    </w:p>
    <w:p w14:paraId="2284034B">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（三）招标文件的解释</w:t>
      </w:r>
    </w:p>
    <w:p w14:paraId="76E1182E">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如对采购文件有疑问，必须以书面形式在提交响应文件截止时间1个工作日前向采购人（或采购代理机构）要求澄清，采购人（或采购代理机构）可视具体情况做出处理或答复。如供应商未提出疑问，视为完全理解并同意本招标文件。一经进入采购程序，即视为供应商已详细阅读全部文件资料，完全理解招标文件所有条款内容并同意放弃对这方面有不明白及误解的权利。</w:t>
      </w:r>
      <w:bookmarkStart w:id="59" w:name="_Toc318159160"/>
      <w:bookmarkStart w:id="60" w:name="_Toc318159349"/>
      <w:bookmarkStart w:id="61" w:name="_Toc318159780"/>
      <w:bookmarkStart w:id="62" w:name="_Toc318166429"/>
    </w:p>
    <w:bookmarkEnd w:id="59"/>
    <w:bookmarkEnd w:id="60"/>
    <w:bookmarkEnd w:id="61"/>
    <w:bookmarkEnd w:id="62"/>
    <w:p w14:paraId="0B2E49E6">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63" w:name="_Toc102227318"/>
      <w:bookmarkStart w:id="64" w:name="_Toc18927"/>
      <w:bookmarkStart w:id="65" w:name="_Toc426965632"/>
      <w:bookmarkStart w:id="66" w:name="_Toc26774"/>
      <w:bookmarkStart w:id="67" w:name="_Toc342913392"/>
      <w:bookmarkStart w:id="68" w:name="_Toc487204781"/>
      <w:bookmarkStart w:id="69" w:name="_Toc179714297"/>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要求</w:t>
      </w:r>
      <w:bookmarkEnd w:id="63"/>
      <w:bookmarkEnd w:id="64"/>
      <w:bookmarkEnd w:id="65"/>
      <w:bookmarkEnd w:id="66"/>
      <w:bookmarkEnd w:id="67"/>
      <w:bookmarkEnd w:id="68"/>
      <w:bookmarkEnd w:id="69"/>
    </w:p>
    <w:p w14:paraId="4B4F3D9C">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5940D0F8">
      <w:pPr>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1.供应商应当按照</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文件的要求编制响应文件，并对</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提出的要求和条件作出实质性响应，同时应编制完整的页码、目录。</w:t>
      </w:r>
    </w:p>
    <w:p w14:paraId="0AF9D925">
      <w:pPr>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103594EC">
      <w:pPr>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633885D8">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联合体</w:t>
      </w:r>
    </w:p>
    <w:p w14:paraId="38AC3363">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本项目不接受联合体投标。</w:t>
      </w:r>
    </w:p>
    <w:p w14:paraId="5988EE14">
      <w:pPr>
        <w:pageBreakBefore w:val="0"/>
        <w:widowControl w:val="0"/>
        <w:numPr>
          <w:ilvl w:val="0"/>
          <w:numId w:val="0"/>
        </w:numPr>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投标有效期：响应文件及有关承诺文件有效期为提交响应文件截止时间起90天。</w:t>
      </w:r>
    </w:p>
    <w:p w14:paraId="25999DDC">
      <w:pPr>
        <w:pageBreakBefore w:val="0"/>
        <w:widowControl w:val="0"/>
        <w:kinsoku/>
        <w:wordWrap/>
        <w:overflowPunct/>
        <w:topLinePunct w:val="0"/>
        <w:autoSpaceDE/>
        <w:autoSpaceDN/>
        <w:bidi w:val="0"/>
        <w:adjustRightInd/>
        <w:snapToGrid w:val="0"/>
        <w:spacing w:line="440" w:lineRule="exact"/>
        <w:ind w:firstLine="219"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（二）报价要求</w:t>
      </w:r>
    </w:p>
    <w:p w14:paraId="07CB67C8">
      <w:pPr>
        <w:pageBreakBefore w:val="0"/>
        <w:widowControl w:val="0"/>
        <w:kinsoku/>
        <w:wordWrap/>
        <w:overflowPunct/>
        <w:topLinePunct w:val="0"/>
        <w:autoSpaceDE/>
        <w:autoSpaceDN/>
        <w:bidi w:val="0"/>
        <w:adjustRightInd/>
        <w:snapToGrid w:val="0"/>
        <w:spacing w:line="440" w:lineRule="exact"/>
        <w:ind w:firstLine="429" w:firstLineChars="196"/>
        <w:jc w:val="left"/>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1.供应商应严格按照“</w:t>
      </w:r>
      <w:r>
        <w:rPr>
          <w:rFonts w:hint="eastAsia" w:ascii="仿宋" w:hAnsi="仿宋" w:eastAsia="仿宋" w:cs="仿宋"/>
          <w:bCs/>
          <w:color w:val="auto"/>
          <w:sz w:val="24"/>
          <w:highlight w:val="none"/>
          <w:lang w:eastAsia="zh-CN"/>
        </w:rPr>
        <w:t>响应文件</w:t>
      </w:r>
      <w:r>
        <w:rPr>
          <w:rFonts w:hint="eastAsia" w:ascii="仿宋" w:hAnsi="仿宋" w:eastAsia="仿宋" w:cs="仿宋"/>
          <w:bCs/>
          <w:color w:val="auto"/>
          <w:sz w:val="24"/>
          <w:highlight w:val="none"/>
        </w:rPr>
        <w:t>格式”中“</w:t>
      </w:r>
      <w:r>
        <w:rPr>
          <w:rFonts w:hint="eastAsia" w:ascii="仿宋" w:hAnsi="仿宋" w:eastAsia="仿宋" w:cs="仿宋"/>
          <w:bCs/>
          <w:color w:val="auto"/>
          <w:sz w:val="24"/>
          <w:highlight w:val="none"/>
          <w:lang w:val="en-US" w:eastAsia="zh-CN"/>
        </w:rPr>
        <w:t>报价函</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的格式填写报价。</w:t>
      </w:r>
    </w:p>
    <w:p w14:paraId="6D64C4AE">
      <w:pPr>
        <w:pageBreakBefore w:val="0"/>
        <w:widowControl w:val="0"/>
        <w:kinsoku/>
        <w:wordWrap/>
        <w:overflowPunct/>
        <w:topLinePunct w:val="0"/>
        <w:autoSpaceDE/>
        <w:autoSpaceDN/>
        <w:bidi w:val="0"/>
        <w:adjustRightInd/>
        <w:snapToGrid w:val="0"/>
        <w:spacing w:line="440" w:lineRule="exact"/>
        <w:ind w:left="2" w:leftChars="1" w:firstLine="438"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2.供应商的报价为一次性报价，即在投标有效期内投标价格固定不变。</w:t>
      </w:r>
    </w:p>
    <w:p w14:paraId="60351139">
      <w:pPr>
        <w:pageBreakBefore w:val="0"/>
        <w:widowControl w:val="0"/>
        <w:kinsoku/>
        <w:wordWrap/>
        <w:overflowPunct/>
        <w:topLinePunct w:val="0"/>
        <w:autoSpaceDE/>
        <w:autoSpaceDN/>
        <w:bidi w:val="0"/>
        <w:adjustRightInd/>
        <w:snapToGrid w:val="0"/>
        <w:spacing w:line="440" w:lineRule="exact"/>
        <w:ind w:left="2" w:leftChars="1" w:firstLine="438"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3.本项目只接受一个投标报价，有选择的或有条件的报价将不予接受。</w:t>
      </w:r>
    </w:p>
    <w:p w14:paraId="46FDDFAD">
      <w:pPr>
        <w:pageBreakBefore w:val="0"/>
        <w:widowControl w:val="0"/>
        <w:kinsoku/>
        <w:wordWrap/>
        <w:overflowPunct/>
        <w:topLinePunct w:val="0"/>
        <w:autoSpaceDE/>
        <w:autoSpaceDN/>
        <w:bidi w:val="0"/>
        <w:adjustRightInd/>
        <w:snapToGrid w:val="0"/>
        <w:spacing w:line="440" w:lineRule="exact"/>
        <w:ind w:firstLine="219"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（三）修正错误</w:t>
      </w:r>
    </w:p>
    <w:p w14:paraId="4F93359D">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若响应文件出现计算或表达上的错误，修正错误的原则如下：</w:t>
      </w:r>
    </w:p>
    <w:p w14:paraId="5570C4F1">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1.响应文件中报价函的内容与响应文件中相应内容不一致的，以报价函为准；</w:t>
      </w:r>
    </w:p>
    <w:p w14:paraId="30A28AD3">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2.大写金额和小写金额不一致的，以大写金额为准；</w:t>
      </w:r>
    </w:p>
    <w:p w14:paraId="11B48E99">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3.单价金额小数点或者百分比有明显错位的，以报价函总价为准，并修改单价；</w:t>
      </w:r>
    </w:p>
    <w:p w14:paraId="78C63CC9">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14:paraId="74DA0D82">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5.若供应商上传的</w:t>
      </w:r>
      <w:r>
        <w:rPr>
          <w:rFonts w:hint="eastAsia" w:ascii="仿宋" w:hAnsi="仿宋" w:eastAsia="仿宋" w:cs="仿宋"/>
          <w:color w:val="auto"/>
          <w:sz w:val="24"/>
          <w:szCs w:val="24"/>
          <w:highlight w:val="none"/>
          <w:lang w:val="en-US" w:eastAsia="zh-CN"/>
        </w:rPr>
        <w:t>电子</w:t>
      </w:r>
      <w:r>
        <w:rPr>
          <w:rFonts w:hint="eastAsia" w:ascii="仿宋" w:hAnsi="仿宋" w:eastAsia="仿宋" w:cs="仿宋"/>
          <w:color w:val="auto"/>
          <w:sz w:val="24"/>
          <w:szCs w:val="24"/>
          <w:highlight w:val="none"/>
        </w:rPr>
        <w:t>响应文件中报价函价格与</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平台网上竞采所填报的价格不一致，以</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平台</w:t>
      </w:r>
      <w:r>
        <w:rPr>
          <w:rFonts w:hint="eastAsia" w:ascii="仿宋" w:hAnsi="仿宋" w:eastAsia="仿宋" w:cs="仿宋"/>
          <w:color w:val="auto"/>
          <w:sz w:val="24"/>
          <w:szCs w:val="24"/>
          <w:highlight w:val="none"/>
          <w:lang w:val="en-US" w:eastAsia="zh-CN"/>
        </w:rPr>
        <w:t>电子</w:t>
      </w:r>
      <w:r>
        <w:rPr>
          <w:rFonts w:hint="eastAsia" w:ascii="仿宋" w:hAnsi="仿宋" w:eastAsia="仿宋" w:cs="仿宋"/>
          <w:color w:val="auto"/>
          <w:sz w:val="24"/>
          <w:szCs w:val="24"/>
          <w:highlight w:val="none"/>
        </w:rPr>
        <w:t>竞采为准。</w:t>
      </w:r>
    </w:p>
    <w:p w14:paraId="3CCF2544">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648788CD">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（四）响应文件的签署和递交</w:t>
      </w:r>
    </w:p>
    <w:p w14:paraId="60534585">
      <w:pPr>
        <w:pageBreakBefore w:val="0"/>
        <w:widowControl w:val="0"/>
        <w:kinsoku/>
        <w:wordWrap/>
        <w:overflowPunct/>
        <w:topLinePunct w:val="0"/>
        <w:autoSpaceDE/>
        <w:autoSpaceDN/>
        <w:bidi w:val="0"/>
        <w:adjustRightInd/>
        <w:spacing w:line="440" w:lineRule="exact"/>
        <w:ind w:firstLine="438"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1.按照</w:t>
      </w:r>
      <w:r>
        <w:rPr>
          <w:rFonts w:hint="eastAsia" w:ascii="仿宋" w:hAnsi="仿宋" w:eastAsia="仿宋" w:cs="仿宋"/>
          <w:color w:val="auto"/>
          <w:sz w:val="24"/>
          <w:highlight w:val="none"/>
          <w:lang w:val="en-US" w:eastAsia="zh-CN"/>
        </w:rPr>
        <w:t>采购文件第七篇响应文件编制要求中规定签字、盖章的地方必须按其规定签字、盖章。</w:t>
      </w:r>
    </w:p>
    <w:p w14:paraId="73790B48">
      <w:pPr>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供应商须在线上上传盖章后的</w:t>
      </w:r>
      <w:r>
        <w:rPr>
          <w:rFonts w:hint="eastAsia" w:ascii="仿宋" w:hAnsi="仿宋" w:eastAsia="仿宋" w:cs="仿宋"/>
          <w:color w:val="auto"/>
          <w:sz w:val="24"/>
          <w:szCs w:val="24"/>
          <w:highlight w:val="none"/>
          <w:lang w:val="en-US" w:eastAsia="zh-CN"/>
        </w:rPr>
        <w:t>响应文件</w:t>
      </w:r>
      <w:r>
        <w:rPr>
          <w:rFonts w:hint="eastAsia" w:ascii="仿宋" w:hAnsi="仿宋" w:eastAsia="仿宋" w:cs="仿宋"/>
          <w:color w:val="auto"/>
          <w:sz w:val="24"/>
          <w:szCs w:val="24"/>
          <w:highlight w:val="none"/>
        </w:rPr>
        <w:t>电子文档一份。</w:t>
      </w:r>
    </w:p>
    <w:p w14:paraId="540740B9">
      <w:pPr>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b/>
          <w:bCs/>
          <w:color w:val="auto"/>
          <w:sz w:val="24"/>
          <w:szCs w:val="24"/>
          <w:highlight w:val="none"/>
          <w:lang w:val="en-US" w:eastAsia="zh-CN"/>
        </w:rPr>
        <w:t>纸质响应文件一式二份，一正一副，副本可为正本复印件，当副本与正本不一致时，以正本为准。</w:t>
      </w:r>
    </w:p>
    <w:p w14:paraId="2BE0560C">
      <w:pPr>
        <w:pageBreakBefore w:val="0"/>
        <w:widowControl w:val="0"/>
        <w:kinsoku/>
        <w:wordWrap/>
        <w:overflowPunct/>
        <w:topLinePunct w:val="0"/>
        <w:autoSpaceDE/>
        <w:autoSpaceDN/>
        <w:bidi w:val="0"/>
        <w:adjustRightInd/>
        <w:spacing w:line="440" w:lineRule="exact"/>
        <w:ind w:firstLine="438" w:firstLineChars="200"/>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4.上传的响应文件电子文档内容应与纸质文件正本一致，供应商的线上报价与纸质响应文件报价函中的报价一致，如不一致按废标处理。如纸质响应文件正本与副本不一致，以正本为准。</w:t>
      </w:r>
    </w:p>
    <w:p w14:paraId="19C49435">
      <w:pPr>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（七）响应文件语言：简体中文</w:t>
      </w:r>
    </w:p>
    <w:p w14:paraId="1B8A4B9E">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）无效响应</w:t>
      </w:r>
    </w:p>
    <w:p w14:paraId="3CAE11E8">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供应商发生以下条款情况之一者，视为无效响应，其响应文件将被拒绝：</w:t>
      </w:r>
    </w:p>
    <w:p w14:paraId="5165E60D">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1、供应商不符合资格要求的；</w:t>
      </w:r>
    </w:p>
    <w:p w14:paraId="23FE5B8D">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2、供应商所提交的响应文件不按规定签字、盖章的；</w:t>
      </w:r>
    </w:p>
    <w:p w14:paraId="4E6077EE">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3、供应商的报价超过采购预算（若有采购预算单价，则含采购预算单价）的；</w:t>
      </w:r>
    </w:p>
    <w:p w14:paraId="30EA05E7">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4、供应商响应文件附有采购人无法接受的条件的；</w:t>
      </w:r>
    </w:p>
    <w:p w14:paraId="760319F3">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5、供应商串通投标的；</w:t>
      </w:r>
    </w:p>
    <w:p w14:paraId="3DA09B4F">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6、供应商组成联合体投标的；</w:t>
      </w:r>
    </w:p>
    <w:p w14:paraId="53B061DD">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7、法律、法规和</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规定的其他无效情形。</w:t>
      </w:r>
      <w:bookmarkStart w:id="70" w:name="_Toc492721019"/>
      <w:bookmarkStart w:id="71" w:name="_Toc493506302"/>
    </w:p>
    <w:p w14:paraId="3B247B6A">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（七）废标条款</w:t>
      </w:r>
      <w:bookmarkEnd w:id="70"/>
      <w:bookmarkEnd w:id="71"/>
    </w:p>
    <w:p w14:paraId="4AC46175">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出现下列情形之一的，采购人或者采购代理机构应当终止采购活动，发布项目终止公告并说明原因，重新开展采购活动：</w:t>
      </w:r>
    </w:p>
    <w:p w14:paraId="6AD5232D">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1、因情况变化，不再符合规定的采购方式适用情形的；</w:t>
      </w:r>
    </w:p>
    <w:p w14:paraId="0C43B59A">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2、出现影响采购公正的违法、违规行为的；</w:t>
      </w:r>
    </w:p>
    <w:p w14:paraId="204C3F7A">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废标后，除采购任务取消情形外，应当重新组织采购。</w:t>
      </w:r>
    </w:p>
    <w:p w14:paraId="27787EB5">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lang w:eastAsia="zh-CN"/>
        </w:rPr>
        <w:t>）采购代理服务费</w:t>
      </w:r>
      <w:bookmarkStart w:id="72" w:name="_Toc102227319"/>
      <w:bookmarkStart w:id="73" w:name="_Toc31741"/>
      <w:bookmarkStart w:id="74" w:name="_Toc179714298"/>
      <w:bookmarkStart w:id="75" w:name="_Toc426965633"/>
      <w:bookmarkStart w:id="76" w:name="_Toc487204782"/>
      <w:bookmarkStart w:id="77" w:name="_Toc342913393"/>
    </w:p>
    <w:p w14:paraId="0A443C87">
      <w:pPr>
        <w:pStyle w:val="4"/>
        <w:pageBreakBefore w:val="0"/>
        <w:widowControl w:val="0"/>
        <w:kinsoku/>
        <w:wordWrap/>
        <w:overflowPunct/>
        <w:topLinePunct w:val="0"/>
        <w:autoSpaceDE/>
        <w:autoSpaceDN/>
        <w:bidi w:val="0"/>
        <w:adjustRightInd/>
        <w:spacing w:before="0" w:after="0" w:line="440" w:lineRule="exact"/>
        <w:ind w:firstLine="657" w:firstLineChars="300"/>
        <w:textAlignment w:val="auto"/>
        <w:rPr>
          <w:rFonts w:hint="eastAsia" w:ascii="仿宋" w:hAnsi="仿宋" w:eastAsia="仿宋" w:cs="仿宋"/>
          <w:b w:val="0"/>
          <w:bCs w:val="0"/>
          <w:color w:val="auto"/>
          <w:sz w:val="24"/>
          <w:szCs w:val="24"/>
          <w:highlight w:val="none"/>
          <w:lang w:val="en-US" w:eastAsia="zh-CN"/>
        </w:rPr>
      </w:pPr>
      <w:bookmarkStart w:id="78" w:name="_Toc6943"/>
      <w:r>
        <w:rPr>
          <w:rFonts w:hint="eastAsia" w:ascii="仿宋" w:hAnsi="仿宋" w:eastAsia="仿宋" w:cs="仿宋"/>
          <w:b w:val="0"/>
          <w:bCs w:val="0"/>
          <w:color w:val="auto"/>
          <w:sz w:val="24"/>
          <w:szCs w:val="24"/>
          <w:highlight w:val="none"/>
          <w:lang w:val="en-US" w:eastAsia="zh-CN"/>
        </w:rPr>
        <w:t>本项目采购代理服务费由成交供应商支付，本项目代理服务费以固定金额6000元收取。</w:t>
      </w:r>
    </w:p>
    <w:p w14:paraId="74B2B9FB">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四、评标</w:t>
      </w:r>
      <w:bookmarkEnd w:id="78"/>
    </w:p>
    <w:p w14:paraId="10C26460">
      <w:pPr>
        <w:pageBreakBefore w:val="0"/>
        <w:widowControl w:val="0"/>
        <w:numPr>
          <w:ilvl w:val="0"/>
          <w:numId w:val="0"/>
        </w:numPr>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第四篇</w:t>
      </w:r>
      <w:r>
        <w:rPr>
          <w:rFonts w:hint="eastAsia" w:ascii="仿宋" w:hAnsi="仿宋" w:eastAsia="仿宋" w:cs="仿宋"/>
          <w:color w:val="auto"/>
          <w:sz w:val="24"/>
          <w:szCs w:val="24"/>
          <w:highlight w:val="none"/>
          <w:lang w:val="en-US" w:eastAsia="zh-CN"/>
        </w:rPr>
        <w:t xml:space="preserve"> 资格评审及评标办法</w:t>
      </w:r>
      <w:r>
        <w:rPr>
          <w:rFonts w:hint="eastAsia" w:ascii="仿宋" w:hAnsi="仿宋" w:eastAsia="仿宋" w:cs="仿宋"/>
          <w:color w:val="auto"/>
          <w:sz w:val="24"/>
          <w:szCs w:val="24"/>
          <w:highlight w:val="none"/>
        </w:rPr>
        <w:t>”内容。</w:t>
      </w:r>
    </w:p>
    <w:p w14:paraId="56706E43">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lang w:val="en-US" w:eastAsia="zh-CN"/>
        </w:rPr>
      </w:pPr>
      <w:bookmarkStart w:id="79" w:name="_Toc8575"/>
      <w:r>
        <w:rPr>
          <w:rFonts w:hint="eastAsia" w:ascii="仿宋" w:hAnsi="仿宋" w:eastAsia="仿宋" w:cs="仿宋"/>
          <w:color w:val="auto"/>
          <w:sz w:val="24"/>
          <w:szCs w:val="24"/>
          <w:highlight w:val="none"/>
          <w:lang w:val="en-US" w:eastAsia="zh-CN"/>
        </w:rPr>
        <w:t>五、定标</w:t>
      </w:r>
      <w:bookmarkEnd w:id="79"/>
    </w:p>
    <w:p w14:paraId="02420B51">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（一）定标原则</w:t>
      </w:r>
    </w:p>
    <w:p w14:paraId="3D2C821A">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采购人或其授权的</w:t>
      </w:r>
      <w:r>
        <w:rPr>
          <w:rFonts w:hint="eastAsia" w:ascii="仿宋" w:hAnsi="仿宋" w:eastAsia="仿宋" w:cs="仿宋"/>
          <w:color w:val="auto"/>
          <w:sz w:val="24"/>
          <w:szCs w:val="24"/>
          <w:highlight w:val="none"/>
          <w:lang w:eastAsia="zh-CN"/>
        </w:rPr>
        <w:t>评审委员会</w:t>
      </w:r>
      <w:r>
        <w:rPr>
          <w:rFonts w:hint="eastAsia" w:ascii="仿宋" w:hAnsi="仿宋" w:eastAsia="仿宋" w:cs="仿宋"/>
          <w:color w:val="auto"/>
          <w:sz w:val="24"/>
          <w:szCs w:val="24"/>
          <w:highlight w:val="none"/>
        </w:rPr>
        <w:t>应按照评标报告中推荐的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候选人排名顺序确定</w:t>
      </w:r>
      <w:r>
        <w:rPr>
          <w:rFonts w:hint="eastAsia" w:ascii="仿宋" w:hAnsi="仿宋" w:eastAsia="仿宋" w:cs="仿宋"/>
          <w:color w:val="auto"/>
          <w:sz w:val="24"/>
          <w:szCs w:val="24"/>
          <w:highlight w:val="none"/>
          <w:lang w:val="en-US" w:eastAsia="zh-CN"/>
        </w:rPr>
        <w:t>1名成交供应商</w:t>
      </w:r>
      <w:r>
        <w:rPr>
          <w:rFonts w:hint="eastAsia" w:ascii="仿宋" w:hAnsi="仿宋" w:eastAsia="仿宋" w:cs="仿宋"/>
          <w:color w:val="auto"/>
          <w:sz w:val="24"/>
          <w:szCs w:val="24"/>
          <w:highlight w:val="none"/>
        </w:rPr>
        <w:t>。</w:t>
      </w:r>
    </w:p>
    <w:p w14:paraId="1418FF8D">
      <w:pPr>
        <w:pStyle w:val="14"/>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（二）定标程序</w:t>
      </w:r>
    </w:p>
    <w:p w14:paraId="52C8542D">
      <w:pPr>
        <w:pStyle w:val="14"/>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应当在评标结束后2个工作日内将评标报告送采购人。</w:t>
      </w:r>
    </w:p>
    <w:p w14:paraId="149CC542">
      <w:pPr>
        <w:pStyle w:val="14"/>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采购人应当自收到评标报告之日起５个工作日内，在评标报告确定的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候选人名单中按顺序确定</w:t>
      </w:r>
      <w:r>
        <w:rPr>
          <w:rFonts w:hint="eastAsia" w:ascii="仿宋" w:hAnsi="仿宋" w:eastAsia="仿宋" w:cs="仿宋"/>
          <w:color w:val="auto"/>
          <w:sz w:val="24"/>
          <w:szCs w:val="24"/>
          <w:highlight w:val="none"/>
          <w:lang w:val="en-US" w:eastAsia="zh-CN"/>
        </w:rPr>
        <w:t>1名成交供应商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候选人并列的，由采购人或者采购人委托</w:t>
      </w:r>
      <w:r>
        <w:rPr>
          <w:rFonts w:hint="eastAsia" w:ascii="仿宋" w:hAnsi="仿宋" w:eastAsia="仿宋" w:cs="仿宋"/>
          <w:color w:val="auto"/>
          <w:sz w:val="24"/>
          <w:szCs w:val="24"/>
          <w:highlight w:val="none"/>
          <w:lang w:eastAsia="zh-CN"/>
        </w:rPr>
        <w:t>评审委员会</w:t>
      </w: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规定的方式确定</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未规定的，采取随机抽取的方式确定。</w:t>
      </w:r>
    </w:p>
    <w:p w14:paraId="44AB5140">
      <w:pPr>
        <w:pStyle w:val="14"/>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3.采购人应当自</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确定之日起2个工作日内，在重庆市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"https://www.gec123.com/" </w:instrText>
      </w:r>
      <w:r>
        <w:rPr>
          <w:rFonts w:hint="eastAsia" w:ascii="仿宋" w:hAnsi="仿宋" w:eastAsia="仿宋" w:cs="仿宋"/>
          <w:color w:val="auto"/>
          <w:sz w:val="24"/>
          <w:szCs w:val="24"/>
          <w:highlight w:val="none"/>
        </w:rPr>
        <w:fldChar w:fldCharType="separate"/>
      </w:r>
      <w:r>
        <w:rPr>
          <w:rStyle w:val="30"/>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上公示成交</w:t>
      </w:r>
      <w:r>
        <w:rPr>
          <w:rFonts w:hint="eastAsia" w:ascii="仿宋" w:hAnsi="仿宋" w:eastAsia="仿宋" w:cs="仿宋"/>
          <w:color w:val="auto"/>
          <w:sz w:val="24"/>
          <w:szCs w:val="24"/>
          <w:highlight w:val="none"/>
        </w:rPr>
        <w:t>结果。</w:t>
      </w:r>
      <w:r>
        <w:rPr>
          <w:rFonts w:hint="eastAsia" w:ascii="仿宋" w:hAnsi="仿宋" w:eastAsia="仿宋" w:cs="仿宋"/>
          <w:color w:val="auto"/>
          <w:sz w:val="24"/>
          <w:szCs w:val="24"/>
          <w:highlight w:val="none"/>
          <w:lang w:val="en-US" w:eastAsia="zh-CN"/>
        </w:rPr>
        <w:t>成交结果</w:t>
      </w:r>
      <w:r>
        <w:rPr>
          <w:rFonts w:hint="eastAsia" w:ascii="仿宋" w:hAnsi="仿宋" w:eastAsia="仿宋" w:cs="仿宋"/>
          <w:color w:val="auto"/>
          <w:sz w:val="24"/>
          <w:szCs w:val="24"/>
          <w:highlight w:val="none"/>
        </w:rPr>
        <w:t>公告期限为1个工作日。</w:t>
      </w:r>
    </w:p>
    <w:p w14:paraId="383A0A2E">
      <w:pPr>
        <w:pStyle w:val="14"/>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变更</w:t>
      </w:r>
    </w:p>
    <w:p w14:paraId="06C0B818">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拒绝与采购人签订合同的，采购人可以按照评标报告推荐的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候选人顺序，确定排名下一位的候选人为</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，也可以重新开展采购活动。</w:t>
      </w:r>
    </w:p>
    <w:p w14:paraId="78451C24">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lang w:val="en-US" w:eastAsia="zh-CN"/>
        </w:rPr>
      </w:pPr>
      <w:bookmarkStart w:id="80" w:name="_Toc6153"/>
      <w:bookmarkStart w:id="81" w:name="_Toc493506310"/>
      <w:r>
        <w:rPr>
          <w:rFonts w:hint="eastAsia" w:ascii="仿宋" w:hAnsi="仿宋" w:eastAsia="仿宋" w:cs="仿宋"/>
          <w:color w:val="auto"/>
          <w:sz w:val="24"/>
          <w:szCs w:val="24"/>
          <w:highlight w:val="none"/>
          <w:lang w:val="en-US" w:eastAsia="zh-CN"/>
        </w:rPr>
        <w:t>六、成交通知书</w:t>
      </w:r>
      <w:bookmarkEnd w:id="80"/>
      <w:bookmarkEnd w:id="81"/>
    </w:p>
    <w:p w14:paraId="04527D71">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（一）成交供应商确定后，采购代理机构将在重庆市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"https://www.gec123.com/" </w:instrText>
      </w:r>
      <w:r>
        <w:rPr>
          <w:rFonts w:hint="eastAsia" w:ascii="仿宋" w:hAnsi="仿宋" w:eastAsia="仿宋" w:cs="仿宋"/>
          <w:color w:val="auto"/>
          <w:sz w:val="24"/>
          <w:szCs w:val="24"/>
          <w:highlight w:val="none"/>
        </w:rPr>
        <w:fldChar w:fldCharType="separate"/>
      </w:r>
      <w:r>
        <w:rPr>
          <w:rStyle w:val="30"/>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"http://www.cqgp.gov.cn）上发布成交结果公示。"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上</w:t>
      </w:r>
      <w:r>
        <w:rPr>
          <w:rFonts w:hint="eastAsia" w:ascii="仿宋" w:hAnsi="仿宋" w:eastAsia="仿宋" w:cs="仿宋"/>
          <w:color w:val="auto"/>
          <w:sz w:val="24"/>
          <w:szCs w:val="24"/>
          <w:highlight w:val="none"/>
          <w:lang w:val="en-US" w:eastAsia="zh-CN"/>
        </w:rPr>
        <w:t>公示</w:t>
      </w:r>
      <w:r>
        <w:rPr>
          <w:rFonts w:hint="eastAsia" w:ascii="仿宋" w:hAnsi="仿宋" w:eastAsia="仿宋" w:cs="仿宋"/>
          <w:color w:val="auto"/>
          <w:sz w:val="24"/>
          <w:szCs w:val="24"/>
          <w:highlight w:val="none"/>
        </w:rPr>
        <w:t>成交结果公</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结果公告发出同时，采购代理机构将以书面形式发出《成交通知书》。《成交通知书》一经发出即发生法律效力。</w:t>
      </w:r>
    </w:p>
    <w:p w14:paraId="66DF446B">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）《成交通知书》将作为签订合同的依据。</w:t>
      </w:r>
    </w:p>
    <w:p w14:paraId="6C27ACF5">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）如有供应商对成交结果提出质疑的，在质疑处理完毕后发出成交通知书。</w:t>
      </w:r>
    </w:p>
    <w:p w14:paraId="1DE7A6C2">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（四）成交</w:t>
      </w:r>
      <w:r>
        <w:rPr>
          <w:rFonts w:hint="eastAsia" w:ascii="仿宋" w:hAnsi="仿宋" w:eastAsia="仿宋" w:cs="仿宋"/>
          <w:color w:val="auto"/>
          <w:sz w:val="24"/>
          <w:szCs w:val="24"/>
          <w:highlight w:val="none"/>
        </w:rPr>
        <w:t>通知书发出后，采购人改变</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结果，或者</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放弃中标，应当承担相应的法律责任。</w:t>
      </w:r>
      <w:bookmarkEnd w:id="21"/>
      <w:bookmarkEnd w:id="72"/>
      <w:bookmarkEnd w:id="73"/>
      <w:bookmarkEnd w:id="74"/>
      <w:bookmarkEnd w:id="75"/>
      <w:bookmarkEnd w:id="76"/>
      <w:bookmarkEnd w:id="77"/>
      <w:bookmarkStart w:id="82" w:name="_Toc128744993"/>
      <w:bookmarkStart w:id="83" w:name="_Toc12789058"/>
    </w:p>
    <w:p w14:paraId="597CFA42">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84" w:name="_Toc31626"/>
      <w:bookmarkStart w:id="85" w:name="_Toc3695"/>
      <w:bookmarkStart w:id="86" w:name="_Toc487204786"/>
      <w:bookmarkStart w:id="87" w:name="_Toc426965637"/>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、关于质疑和投诉</w:t>
      </w:r>
      <w:bookmarkEnd w:id="84"/>
      <w:bookmarkEnd w:id="85"/>
      <w:bookmarkEnd w:id="86"/>
      <w:bookmarkEnd w:id="87"/>
    </w:p>
    <w:p w14:paraId="1F7D772C">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（一）质疑内容、时限</w:t>
      </w:r>
    </w:p>
    <w:p w14:paraId="582CA478">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1、供应商对成交结果有异议的，应当在</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结果公</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发布之日起七个工作日内以书面形式向采购人、采购代理机构提出质疑，并附相关证明材料。</w:t>
      </w:r>
    </w:p>
    <w:p w14:paraId="03390FAA">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中供应商特定资格条件、技术</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和商务要求、评审标准及评审细则有异议的，应主要向采购人提出质疑，其他问题可向采购代理机构提出质疑。</w:t>
      </w:r>
    </w:p>
    <w:p w14:paraId="04150E73">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（二）质疑答复</w:t>
      </w:r>
    </w:p>
    <w:p w14:paraId="61292823">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采购人、采购代理机构将参照《重庆市政府采购供应商质疑投诉处理暂行规定》的相关规定对质疑内容作出答复和处理。</w:t>
      </w:r>
    </w:p>
    <w:p w14:paraId="3F76B9A8">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88" w:name="_Toc102227322"/>
      <w:bookmarkStart w:id="89" w:name="_Toc15991"/>
      <w:bookmarkStart w:id="90" w:name="_Toc426965638"/>
      <w:bookmarkStart w:id="91" w:name="_Toc342913396"/>
      <w:bookmarkStart w:id="92" w:name="_Toc23427"/>
      <w:bookmarkStart w:id="93" w:name="_Toc487204787"/>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、签订</w:t>
      </w:r>
      <w:bookmarkEnd w:id="88"/>
      <w:r>
        <w:rPr>
          <w:rFonts w:hint="eastAsia" w:ascii="仿宋" w:hAnsi="仿宋" w:eastAsia="仿宋" w:cs="仿宋"/>
          <w:color w:val="auto"/>
          <w:sz w:val="24"/>
          <w:szCs w:val="24"/>
          <w:highlight w:val="none"/>
        </w:rPr>
        <w:t>合同</w:t>
      </w:r>
      <w:bookmarkEnd w:id="89"/>
      <w:bookmarkEnd w:id="90"/>
      <w:bookmarkEnd w:id="91"/>
      <w:bookmarkEnd w:id="92"/>
      <w:bookmarkEnd w:id="93"/>
    </w:p>
    <w:p w14:paraId="7431C59E">
      <w:pPr>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（一）采购人应当自</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通知书发出之日起</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十日内，按照</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成交供应商响应</w:t>
      </w:r>
      <w:r>
        <w:rPr>
          <w:rFonts w:hint="eastAsia" w:ascii="仿宋" w:hAnsi="仿宋" w:eastAsia="仿宋" w:cs="仿宋"/>
          <w:color w:val="auto"/>
          <w:sz w:val="24"/>
          <w:szCs w:val="24"/>
          <w:highlight w:val="none"/>
        </w:rPr>
        <w:t>文件的约定，与</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签订书面合同。所签订的合同不得对</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成交供应商响应</w:t>
      </w:r>
      <w:r>
        <w:rPr>
          <w:rFonts w:hint="eastAsia" w:ascii="仿宋" w:hAnsi="仿宋" w:eastAsia="仿宋" w:cs="仿宋"/>
          <w:color w:val="auto"/>
          <w:sz w:val="24"/>
          <w:szCs w:val="24"/>
          <w:highlight w:val="none"/>
        </w:rPr>
        <w:t>文件作实质性修改。</w:t>
      </w:r>
    </w:p>
    <w:p w14:paraId="3D27B432">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、成交供应商的响应文件及有效承诺文件等，均为签订合同的依据。</w:t>
      </w:r>
    </w:p>
    <w:p w14:paraId="08269BC7">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（三）成交供应商未按照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确定的事项签订合同，或者与采购人另行订立背离合同实质性内容协议的，将承担相关法律责任。</w:t>
      </w:r>
    </w:p>
    <w:p w14:paraId="16752221">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（四）采购人不得向成交供应商提出超出</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以外的任何要求作为签订合同的条件，不得与成交供应商订立背离</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确定的合同文本以及采购标的、采购金额、采购数量、技术和服务要求等实质性内容的协议。</w:t>
      </w:r>
    </w:p>
    <w:p w14:paraId="04E17B01">
      <w:pPr>
        <w:pStyle w:val="8"/>
        <w:rPr>
          <w:rFonts w:hint="eastAsi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）除不可抗力等因素外，成交通知书发出后，采购人改变成交结果，或者成交供应商无正当理由拒绝签订采购合同的，应当承担相应的法律责任。</w:t>
      </w:r>
    </w:p>
    <w:bookmarkEnd w:id="82"/>
    <w:bookmarkEnd w:id="83"/>
    <w:p w14:paraId="70DE4168">
      <w:pPr>
        <w:rPr>
          <w:rStyle w:val="36"/>
          <w:rFonts w:hint="eastAsia" w:ascii="仿宋" w:hAnsi="仿宋" w:eastAsia="仿宋" w:cs="仿宋"/>
          <w:b/>
          <w:bCs/>
          <w:color w:val="auto"/>
          <w:sz w:val="36"/>
          <w:szCs w:val="36"/>
          <w:highlight w:val="none"/>
        </w:rPr>
      </w:pPr>
      <w:r>
        <w:rPr>
          <w:rStyle w:val="36"/>
          <w:rFonts w:hint="eastAsia" w:ascii="仿宋" w:hAnsi="仿宋" w:eastAsia="仿宋" w:cs="仿宋"/>
          <w:b/>
          <w:bCs/>
          <w:color w:val="auto"/>
          <w:sz w:val="36"/>
          <w:szCs w:val="36"/>
          <w:highlight w:val="none"/>
        </w:rPr>
        <w:br w:type="page"/>
      </w:r>
    </w:p>
    <w:p w14:paraId="42DB1830">
      <w:pPr>
        <w:widowControl/>
        <w:numPr>
          <w:ilvl w:val="0"/>
          <w:numId w:val="0"/>
        </w:numPr>
        <w:ind w:leftChars="0"/>
        <w:jc w:val="center"/>
        <w:rPr>
          <w:rStyle w:val="36"/>
          <w:rFonts w:hint="eastAsia" w:ascii="仿宋" w:hAnsi="仿宋" w:eastAsia="仿宋" w:cs="仿宋"/>
          <w:b/>
          <w:bCs/>
          <w:color w:val="auto"/>
          <w:sz w:val="32"/>
          <w:szCs w:val="32"/>
          <w:highlight w:val="none"/>
        </w:rPr>
      </w:pPr>
      <w:bookmarkStart w:id="94" w:name="_Toc26968"/>
      <w:r>
        <w:rPr>
          <w:rStyle w:val="36"/>
          <w:rFonts w:hint="eastAsia" w:ascii="仿宋" w:hAnsi="仿宋" w:eastAsia="仿宋" w:cs="仿宋"/>
          <w:b/>
          <w:bCs/>
          <w:color w:val="auto"/>
          <w:sz w:val="32"/>
          <w:szCs w:val="32"/>
          <w:highlight w:val="none"/>
          <w:lang w:val="en-US" w:eastAsia="zh-CN"/>
        </w:rPr>
        <w:t>第六篇</w:t>
      </w:r>
      <w:r>
        <w:rPr>
          <w:rStyle w:val="36"/>
          <w:rFonts w:hint="eastAsia" w:ascii="仿宋" w:hAnsi="仿宋" w:eastAsia="仿宋" w:cs="仿宋"/>
          <w:b/>
          <w:bCs/>
          <w:color w:val="auto"/>
          <w:sz w:val="32"/>
          <w:szCs w:val="32"/>
          <w:highlight w:val="none"/>
        </w:rPr>
        <w:t xml:space="preserve"> 合同主要条款和格式合同</w:t>
      </w:r>
      <w:bookmarkEnd w:id="94"/>
    </w:p>
    <w:p w14:paraId="2EC36BCD">
      <w:pPr>
        <w:pStyle w:val="8"/>
        <w:numPr>
          <w:ilvl w:val="0"/>
          <w:numId w:val="0"/>
        </w:numPr>
        <w:ind w:leftChars="0"/>
        <w:rPr>
          <w:rFonts w:hint="eastAsia" w:ascii="仿宋" w:hAnsi="仿宋" w:eastAsia="仿宋" w:cs="仿宋"/>
          <w:color w:val="auto"/>
          <w:highlight w:val="none"/>
        </w:rPr>
      </w:pPr>
    </w:p>
    <w:p w14:paraId="4F9DD8C5">
      <w:pPr>
        <w:keepNext/>
        <w:keepLines/>
        <w:numPr>
          <w:ilvl w:val="0"/>
          <w:numId w:val="0"/>
        </w:numPr>
        <w:kinsoku/>
        <w:wordWrap/>
        <w:overflowPunct/>
        <w:topLinePunct w:val="0"/>
        <w:autoSpaceDE/>
        <w:autoSpaceDN/>
        <w:bidi w:val="0"/>
        <w:snapToGrid w:val="0"/>
        <w:spacing w:line="312" w:lineRule="auto"/>
        <w:jc w:val="center"/>
        <w:textAlignment w:val="auto"/>
        <w:outlineLvl w:val="0"/>
        <w:rPr>
          <w:rFonts w:hint="eastAsia" w:ascii="仿宋" w:hAnsi="仿宋" w:eastAsia="仿宋" w:cs="仿宋"/>
          <w:b/>
          <w:bCs/>
          <w:strike w:val="0"/>
          <w:dstrike w:val="0"/>
          <w:color w:val="auto"/>
          <w:sz w:val="22"/>
          <w:szCs w:val="13"/>
          <w:highlight w:val="none"/>
          <w:lang w:val="en-US" w:eastAsia="zh-CN"/>
        </w:rPr>
      </w:pPr>
      <w:bookmarkStart w:id="95" w:name="_Toc16754"/>
      <w:bookmarkStart w:id="96" w:name="_Toc5274"/>
      <w:r>
        <w:rPr>
          <w:rFonts w:hint="eastAsia" w:ascii="仿宋" w:hAnsi="仿宋" w:eastAsia="仿宋" w:cs="仿宋"/>
          <w:b/>
          <w:bCs/>
          <w:strike w:val="0"/>
          <w:dstrike w:val="0"/>
          <w:color w:val="auto"/>
          <w:sz w:val="22"/>
          <w:szCs w:val="13"/>
          <w:highlight w:val="none"/>
          <w:lang w:val="en-US" w:eastAsia="zh-CN"/>
        </w:rPr>
        <w:t>由成交供应商与采购人自行拟定</w:t>
      </w:r>
      <w:bookmarkEnd w:id="95"/>
      <w:bookmarkEnd w:id="96"/>
    </w:p>
    <w:p w14:paraId="0FA2C964">
      <w:pPr>
        <w:keepNext w:val="0"/>
        <w:keepLines w:val="0"/>
        <w:pageBreakBefore w:val="0"/>
        <w:widowControl w:val="0"/>
        <w:kinsoku/>
        <w:wordWrap/>
        <w:overflowPunct/>
        <w:topLinePunct w:val="0"/>
        <w:autoSpaceDE/>
        <w:autoSpaceDN/>
        <w:bidi w:val="0"/>
        <w:adjustRightInd/>
        <w:snapToGrid w:val="0"/>
        <w:spacing w:line="440" w:lineRule="exact"/>
        <w:ind w:firstLine="520"/>
        <w:textAlignment w:val="auto"/>
        <w:outlineLvl w:val="1"/>
        <w:rPr>
          <w:rFonts w:hint="eastAsia" w:ascii="仿宋" w:hAnsi="仿宋" w:eastAsia="仿宋" w:cs="仿宋"/>
          <w:b/>
          <w:strike w:val="0"/>
          <w:dstrike w:val="0"/>
          <w:color w:val="auto"/>
          <w:kern w:val="0"/>
          <w:sz w:val="24"/>
          <w:szCs w:val="21"/>
          <w:highlight w:val="none"/>
        </w:rPr>
      </w:pPr>
      <w:bookmarkStart w:id="97" w:name="_Toc5708"/>
      <w:bookmarkStart w:id="98" w:name="_Toc63600441"/>
      <w:bookmarkStart w:id="99" w:name="_Toc19812"/>
      <w:r>
        <w:rPr>
          <w:rFonts w:hint="eastAsia" w:ascii="仿宋" w:hAnsi="仿宋" w:eastAsia="仿宋" w:cs="仿宋"/>
          <w:b/>
          <w:strike w:val="0"/>
          <w:dstrike w:val="0"/>
          <w:color w:val="auto"/>
          <w:kern w:val="0"/>
          <w:sz w:val="24"/>
          <w:szCs w:val="21"/>
          <w:highlight w:val="none"/>
        </w:rPr>
        <w:t>一、合同主要条款</w:t>
      </w:r>
      <w:bookmarkEnd w:id="97"/>
      <w:bookmarkEnd w:id="98"/>
      <w:bookmarkEnd w:id="99"/>
    </w:p>
    <w:p w14:paraId="3D1C1B90">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1.定义</w:t>
      </w:r>
    </w:p>
    <w:p w14:paraId="04D46D5F">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（1）甲方（需方）即采购人，是指通过招标采购，接受合同服务的各级国家机关、事业单位和团体组织。</w:t>
      </w:r>
    </w:p>
    <w:p w14:paraId="1082DFFA">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（2）乙方（供方）即</w:t>
      </w:r>
      <w:r>
        <w:rPr>
          <w:rFonts w:hint="eastAsia" w:ascii="仿宋" w:hAnsi="仿宋" w:eastAsia="仿宋" w:cs="仿宋"/>
          <w:bCs/>
          <w:strike w:val="0"/>
          <w:dstrike w:val="0"/>
          <w:color w:val="auto"/>
          <w:sz w:val="24"/>
          <w:szCs w:val="18"/>
          <w:highlight w:val="none"/>
          <w:lang w:eastAsia="zh-CN"/>
        </w:rPr>
        <w:t>成交供应商</w:t>
      </w:r>
      <w:r>
        <w:rPr>
          <w:rFonts w:hint="eastAsia" w:ascii="仿宋" w:hAnsi="仿宋" w:eastAsia="仿宋" w:cs="仿宋"/>
          <w:bCs/>
          <w:strike w:val="0"/>
          <w:dstrike w:val="0"/>
          <w:color w:val="auto"/>
          <w:sz w:val="24"/>
          <w:szCs w:val="18"/>
          <w:highlight w:val="none"/>
        </w:rPr>
        <w:t>，是指中标后提供合同货服务的自然人、法人及其他组织。</w:t>
      </w:r>
    </w:p>
    <w:p w14:paraId="691E70ED">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（3）合同是指由甲乙双方按照招标文件和</w:t>
      </w:r>
      <w:r>
        <w:rPr>
          <w:rFonts w:hint="eastAsia" w:ascii="仿宋" w:hAnsi="仿宋" w:eastAsia="仿宋" w:cs="仿宋"/>
          <w:bCs/>
          <w:strike w:val="0"/>
          <w:dstrike w:val="0"/>
          <w:color w:val="auto"/>
          <w:sz w:val="24"/>
          <w:szCs w:val="18"/>
          <w:highlight w:val="none"/>
          <w:lang w:eastAsia="zh-CN"/>
        </w:rPr>
        <w:t>电子响应文件</w:t>
      </w:r>
      <w:r>
        <w:rPr>
          <w:rFonts w:hint="eastAsia" w:ascii="仿宋" w:hAnsi="仿宋" w:eastAsia="仿宋" w:cs="仿宋"/>
          <w:bCs/>
          <w:strike w:val="0"/>
          <w:dstrike w:val="0"/>
          <w:color w:val="auto"/>
          <w:sz w:val="24"/>
          <w:szCs w:val="18"/>
          <w:highlight w:val="none"/>
        </w:rPr>
        <w:t>的实质性内容，通过协商一致达成的书面协议。</w:t>
      </w:r>
    </w:p>
    <w:p w14:paraId="7DDC080F">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（4）合同价格指以中标价格为依据，在供方全面履行合同义务后，需方（或财政部门）应支付给供方的金额。</w:t>
      </w:r>
    </w:p>
    <w:p w14:paraId="4A3DB1D4">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2.服务内容</w:t>
      </w:r>
    </w:p>
    <w:p w14:paraId="44F5B1DE">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合同包括以下内容：服务名称、实施方式、服务期限、服务成果等内容。</w:t>
      </w:r>
    </w:p>
    <w:p w14:paraId="2D305F39">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3.合同价格</w:t>
      </w:r>
    </w:p>
    <w:p w14:paraId="34C9E997">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（1）合同价格即合同总价。</w:t>
      </w:r>
    </w:p>
    <w:p w14:paraId="2E48AA18">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（2）合同价格包括提供服务所需提供的所有人、财、物、税费等一切费用，所有税费由乙方负担。</w:t>
      </w:r>
    </w:p>
    <w:p w14:paraId="4891C24C">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（3）合同价格为不变价。</w:t>
      </w:r>
    </w:p>
    <w:p w14:paraId="32D6FE80">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4.转包或分包</w:t>
      </w:r>
    </w:p>
    <w:p w14:paraId="73209DD3">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（1）本合同范围的服务，应由乙方直接供应，不得转让他人供应；</w:t>
      </w:r>
    </w:p>
    <w:p w14:paraId="4E44D5A3">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（2）如有转让和未经甲方同意的分包行为，甲方有权解除合同，没收履约保证金并追究乙方的违约责任。</w:t>
      </w:r>
    </w:p>
    <w:p w14:paraId="785725AC">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5.质量保证及售后服务</w:t>
      </w:r>
    </w:p>
    <w:p w14:paraId="3C03F10A">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5.1乙方应按招标文件规定的服务要求、质量标准向甲方保质保量的提供服务。</w:t>
      </w:r>
    </w:p>
    <w:p w14:paraId="08358B34">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5.2乙方提供的服务如果存在质量问题，乙方应负责更正。对达不到服务要求者，根据实际情况，经双方协商，可按以下办法处理：</w:t>
      </w:r>
    </w:p>
    <w:p w14:paraId="5164A356">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5.2.1重做：由乙方承担所发生的全部费用。</w:t>
      </w:r>
    </w:p>
    <w:p w14:paraId="69F3AB34">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5.2.2贬值处理：由甲乙双方合议定价。</w:t>
      </w:r>
    </w:p>
    <w:p w14:paraId="4A820F0B">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5.2.3退款处理：乙方应退还甲方支付的合同款。</w:t>
      </w:r>
    </w:p>
    <w:p w14:paraId="2B05ACEE">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5.3乙方应对服务过程中出现的安全问题负责处理解决并承担一切费用。</w:t>
      </w:r>
    </w:p>
    <w:p w14:paraId="6045C7C3">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6.付款</w:t>
      </w:r>
    </w:p>
    <w:p w14:paraId="551480B0">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6.1本合同使用货币币制如未作特别说明均为人民币。</w:t>
      </w:r>
    </w:p>
    <w:p w14:paraId="5085AAC0">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6.2付款方式：银行转账、现金支票。</w:t>
      </w:r>
    </w:p>
    <w:p w14:paraId="458C04A1">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6.3付款方法：同本项目“第三篇 商务条款”中关于付款方式的约定。</w:t>
      </w:r>
    </w:p>
    <w:p w14:paraId="36C1805A">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7.检查验收</w:t>
      </w:r>
    </w:p>
    <w:p w14:paraId="30FC8D94">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（1）服务验收</w:t>
      </w:r>
    </w:p>
    <w:p w14:paraId="154868BB">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供方所供服务的各种指标不得低于招标文件和</w:t>
      </w:r>
      <w:r>
        <w:rPr>
          <w:rFonts w:hint="eastAsia" w:ascii="仿宋" w:hAnsi="仿宋" w:eastAsia="仿宋" w:cs="仿宋"/>
          <w:strike w:val="0"/>
          <w:dstrike w:val="0"/>
          <w:color w:val="auto"/>
          <w:sz w:val="24"/>
          <w:szCs w:val="18"/>
          <w:highlight w:val="none"/>
          <w:lang w:eastAsia="zh-CN"/>
        </w:rPr>
        <w:t>电子响应文件</w:t>
      </w:r>
      <w:r>
        <w:rPr>
          <w:rFonts w:hint="eastAsia" w:ascii="仿宋" w:hAnsi="仿宋" w:eastAsia="仿宋" w:cs="仿宋"/>
          <w:strike w:val="0"/>
          <w:dstrike w:val="0"/>
          <w:color w:val="auto"/>
          <w:sz w:val="24"/>
          <w:szCs w:val="18"/>
          <w:highlight w:val="none"/>
        </w:rPr>
        <w:t>的约定，服务质量要求按照招标文件和</w:t>
      </w:r>
      <w:r>
        <w:rPr>
          <w:rFonts w:hint="eastAsia" w:ascii="仿宋" w:hAnsi="仿宋" w:eastAsia="仿宋" w:cs="仿宋"/>
          <w:strike w:val="0"/>
          <w:dstrike w:val="0"/>
          <w:color w:val="auto"/>
          <w:sz w:val="24"/>
          <w:szCs w:val="18"/>
          <w:highlight w:val="none"/>
          <w:lang w:eastAsia="zh-CN"/>
        </w:rPr>
        <w:t>电子响应文件</w:t>
      </w:r>
      <w:r>
        <w:rPr>
          <w:rFonts w:hint="eastAsia" w:ascii="仿宋" w:hAnsi="仿宋" w:eastAsia="仿宋" w:cs="仿宋"/>
          <w:strike w:val="0"/>
          <w:dstrike w:val="0"/>
          <w:color w:val="auto"/>
          <w:sz w:val="24"/>
          <w:szCs w:val="18"/>
          <w:highlight w:val="none"/>
        </w:rPr>
        <w:t>的内容执行。</w:t>
      </w:r>
    </w:p>
    <w:p w14:paraId="3BED4BDE">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（2）货物验收报告应由需方、供方经办人签字，并加盖双方公章，以此作为支付凭据。</w:t>
      </w:r>
    </w:p>
    <w:p w14:paraId="74FCB2CF">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8.索赔</w:t>
      </w:r>
    </w:p>
    <w:p w14:paraId="7288D5CF">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供方对所提供服务与合同要求不符负有责任，并且需方提出索赔，供方应按需方同意的下述一种或多种方法解决索赔事宜。</w:t>
      </w:r>
    </w:p>
    <w:p w14:paraId="00E034C9">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（1）供方同意需方拒绝服务并把拒绝部分的金额以合同规定的同类货币付给需方，供方负担发生的一切损失和费用。</w:t>
      </w:r>
    </w:p>
    <w:p w14:paraId="4A1486ED">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（2）根据服务的疵劣和受损程度以及需方遭受损失的金额，经双方同意降低服务价格。</w:t>
      </w:r>
    </w:p>
    <w:p w14:paraId="52C12AAE">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9.知识产权</w:t>
      </w:r>
    </w:p>
    <w:p w14:paraId="1B7DEDBB">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甲方在中华人民共和国境内使用乙方提供的服务时免受第三方提出的侵犯其专利权或其它知识产权的起诉。如果第三方提出侵权指控，乙方应承担由此而引起的一切法律责任和费用。</w:t>
      </w:r>
    </w:p>
    <w:p w14:paraId="76EAAD84">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10.合同争议的解决</w:t>
      </w:r>
    </w:p>
    <w:p w14:paraId="3AF45DA0">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（1）当事人友好协商达成一致</w:t>
      </w:r>
    </w:p>
    <w:p w14:paraId="2095485F">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（2）在60天内当事人协商不能达成协议的，可提请采购人当地仲裁机构仲裁。</w:t>
      </w:r>
    </w:p>
    <w:p w14:paraId="5C09AB9B">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11.违约责任</w:t>
      </w:r>
    </w:p>
    <w:p w14:paraId="5013C4C5">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按</w:t>
      </w:r>
      <w:r>
        <w:rPr>
          <w:rFonts w:hint="eastAsia" w:ascii="仿宋" w:hAnsi="仿宋" w:eastAsia="仿宋" w:cs="仿宋"/>
          <w:strike w:val="0"/>
          <w:dstrike w:val="0"/>
          <w:color w:val="auto"/>
          <w:sz w:val="24"/>
          <w:szCs w:val="18"/>
          <w:highlight w:val="none"/>
        </w:rPr>
        <w:t>《中华人民共和国民法典》</w:t>
      </w:r>
      <w:r>
        <w:rPr>
          <w:rFonts w:hint="eastAsia" w:ascii="仿宋" w:hAnsi="仿宋" w:eastAsia="仿宋" w:cs="仿宋"/>
          <w:bCs/>
          <w:strike w:val="0"/>
          <w:dstrike w:val="0"/>
          <w:color w:val="auto"/>
          <w:sz w:val="24"/>
          <w:szCs w:val="18"/>
          <w:highlight w:val="none"/>
        </w:rPr>
        <w:t>、《中华人民共和国政府采购法》有关条款，或由供需双方约定。</w:t>
      </w:r>
    </w:p>
    <w:p w14:paraId="2A5979A9">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12.合同生效及其它</w:t>
      </w:r>
    </w:p>
    <w:p w14:paraId="5BFD6178">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（1）合同生效及其效力应符合</w:t>
      </w:r>
      <w:r>
        <w:rPr>
          <w:rFonts w:hint="eastAsia" w:ascii="仿宋" w:hAnsi="仿宋" w:eastAsia="仿宋" w:cs="仿宋"/>
          <w:strike w:val="0"/>
          <w:dstrike w:val="0"/>
          <w:color w:val="auto"/>
          <w:sz w:val="24"/>
          <w:szCs w:val="18"/>
          <w:highlight w:val="none"/>
        </w:rPr>
        <w:t>《中华人民共和国民法典》</w:t>
      </w:r>
      <w:r>
        <w:rPr>
          <w:rFonts w:hint="eastAsia" w:ascii="仿宋" w:hAnsi="仿宋" w:eastAsia="仿宋" w:cs="仿宋"/>
          <w:bCs/>
          <w:strike w:val="0"/>
          <w:dstrike w:val="0"/>
          <w:color w:val="auto"/>
          <w:sz w:val="24"/>
          <w:szCs w:val="18"/>
          <w:highlight w:val="none"/>
        </w:rPr>
        <w:t>有关规定。</w:t>
      </w:r>
    </w:p>
    <w:p w14:paraId="27B6FE76">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（2）合同应经当事人法定代表人或委托代理人签字，加盖双方合同专用章或公章。</w:t>
      </w:r>
    </w:p>
    <w:p w14:paraId="21C7103C">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（3）合同所包括附件，是合同不可分割的一部分，具有同等法法律效力。</w:t>
      </w:r>
    </w:p>
    <w:p w14:paraId="5E7E61EA">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（4）本合同条件未尽事宜依照</w:t>
      </w:r>
      <w:r>
        <w:rPr>
          <w:rFonts w:hint="eastAsia" w:ascii="仿宋" w:hAnsi="仿宋" w:eastAsia="仿宋" w:cs="仿宋"/>
          <w:strike w:val="0"/>
          <w:dstrike w:val="0"/>
          <w:color w:val="auto"/>
          <w:sz w:val="24"/>
          <w:szCs w:val="18"/>
          <w:highlight w:val="none"/>
        </w:rPr>
        <w:t>《中华人民共和国民法典》</w:t>
      </w:r>
      <w:r>
        <w:rPr>
          <w:rFonts w:hint="eastAsia" w:ascii="仿宋" w:hAnsi="仿宋" w:eastAsia="仿宋" w:cs="仿宋"/>
          <w:bCs/>
          <w:strike w:val="0"/>
          <w:dstrike w:val="0"/>
          <w:color w:val="auto"/>
          <w:sz w:val="24"/>
          <w:szCs w:val="18"/>
          <w:highlight w:val="none"/>
        </w:rPr>
        <w:t>，由供需双方共同协商确定。</w:t>
      </w:r>
    </w:p>
    <w:p w14:paraId="2115BE51">
      <w:pPr>
        <w:kinsoku/>
        <w:wordWrap/>
        <w:overflowPunct/>
        <w:topLinePunct w:val="0"/>
        <w:autoSpaceDE/>
        <w:autoSpaceDN/>
        <w:bidi w:val="0"/>
        <w:snapToGrid w:val="0"/>
        <w:spacing w:line="312" w:lineRule="auto"/>
        <w:ind w:firstLine="438"/>
        <w:textAlignment w:val="auto"/>
        <w:rPr>
          <w:rFonts w:hint="eastAsia" w:ascii="仿宋" w:hAnsi="仿宋" w:eastAsia="仿宋" w:cs="仿宋"/>
          <w:strike w:val="0"/>
          <w:dstrike w:val="0"/>
          <w:color w:val="auto"/>
          <w:sz w:val="24"/>
          <w:szCs w:val="18"/>
          <w:highlight w:val="none"/>
        </w:rPr>
        <w:sectPr>
          <w:footerReference r:id="rId10" w:type="default"/>
          <w:pgSz w:w="11907" w:h="16840"/>
          <w:pgMar w:top="1134" w:right="1191" w:bottom="1134" w:left="1304" w:header="794" w:footer="992" w:gutter="0"/>
          <w:cols w:space="720" w:num="1"/>
          <w:docGrid w:type="linesAndChars" w:linePitch="393" w:charSpace="-4325"/>
        </w:sectPr>
      </w:pPr>
    </w:p>
    <w:p w14:paraId="62A8B616">
      <w:pPr>
        <w:pStyle w:val="3"/>
        <w:kinsoku/>
        <w:wordWrap/>
        <w:overflowPunct/>
        <w:topLinePunct w:val="0"/>
        <w:autoSpaceDE/>
        <w:autoSpaceDN/>
        <w:bidi w:val="0"/>
        <w:snapToGrid w:val="0"/>
        <w:spacing w:before="196" w:after="196" w:line="240" w:lineRule="auto"/>
        <w:ind w:firstLine="520"/>
        <w:textAlignment w:val="auto"/>
        <w:rPr>
          <w:rFonts w:hint="eastAsia" w:ascii="仿宋" w:hAnsi="仿宋" w:eastAsia="仿宋" w:cs="仿宋"/>
          <w:strike w:val="0"/>
          <w:dstrike w:val="0"/>
          <w:color w:val="auto"/>
          <w:szCs w:val="22"/>
          <w:highlight w:val="none"/>
        </w:rPr>
      </w:pPr>
      <w:bookmarkStart w:id="100" w:name="_Toc13640"/>
      <w:bookmarkStart w:id="101" w:name="_Toc63600442"/>
      <w:bookmarkStart w:id="102" w:name="_Toc22943"/>
      <w:r>
        <w:rPr>
          <w:rFonts w:hint="eastAsia" w:ascii="仿宋" w:hAnsi="仿宋" w:eastAsia="仿宋" w:cs="仿宋"/>
          <w:strike w:val="0"/>
          <w:dstrike w:val="0"/>
          <w:color w:val="auto"/>
          <w:szCs w:val="22"/>
          <w:highlight w:val="none"/>
        </w:rPr>
        <w:t>二、政府采购合同（格式）</w:t>
      </w:r>
      <w:bookmarkEnd w:id="100"/>
      <w:bookmarkEnd w:id="101"/>
      <w:bookmarkEnd w:id="102"/>
    </w:p>
    <w:p w14:paraId="05048B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32"/>
          <w:szCs w:val="21"/>
          <w:highlight w:val="none"/>
        </w:rPr>
      </w:pPr>
      <w:bookmarkStart w:id="103" w:name="_Toc23764521"/>
      <w:r>
        <w:rPr>
          <w:rFonts w:hint="eastAsia" w:ascii="仿宋" w:hAnsi="仿宋" w:eastAsia="仿宋" w:cs="仿宋"/>
          <w:b/>
          <w:color w:val="auto"/>
          <w:sz w:val="32"/>
          <w:szCs w:val="21"/>
          <w:highlight w:val="none"/>
        </w:rPr>
        <w:t>重庆市政府采购合同（仅供参考）</w:t>
      </w:r>
    </w:p>
    <w:bookmarkEnd w:id="103"/>
    <w:p w14:paraId="2EF7E4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（项目号：     ）</w:t>
      </w:r>
    </w:p>
    <w:p w14:paraId="14347F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甲方（需方）：___________________________      计价单位：____________</w:t>
      </w:r>
    </w:p>
    <w:p w14:paraId="09E044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      计量单位：_____________</w:t>
      </w:r>
    </w:p>
    <w:p w14:paraId="0A62A4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93B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3071" w:type="dxa"/>
            <w:noWrap w:val="0"/>
            <w:vAlign w:val="center"/>
          </w:tcPr>
          <w:p w14:paraId="557FA6F6">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984" w:type="dxa"/>
            <w:noWrap w:val="0"/>
            <w:vAlign w:val="center"/>
          </w:tcPr>
          <w:p w14:paraId="0EB60F13">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298" w:type="dxa"/>
            <w:gridSpan w:val="2"/>
            <w:noWrap w:val="0"/>
            <w:vAlign w:val="center"/>
          </w:tcPr>
          <w:p w14:paraId="4539098E">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综合单价</w:t>
            </w:r>
          </w:p>
        </w:tc>
        <w:tc>
          <w:tcPr>
            <w:tcW w:w="1134" w:type="dxa"/>
            <w:noWrap w:val="0"/>
            <w:vAlign w:val="center"/>
          </w:tcPr>
          <w:p w14:paraId="4AE79255">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559" w:type="dxa"/>
            <w:noWrap w:val="0"/>
            <w:vAlign w:val="center"/>
          </w:tcPr>
          <w:p w14:paraId="4FE6A66B">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交货时间</w:t>
            </w:r>
          </w:p>
        </w:tc>
        <w:tc>
          <w:tcPr>
            <w:tcW w:w="1567" w:type="dxa"/>
            <w:noWrap w:val="0"/>
            <w:vAlign w:val="center"/>
          </w:tcPr>
          <w:p w14:paraId="59207150">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交货地点</w:t>
            </w:r>
          </w:p>
        </w:tc>
      </w:tr>
      <w:tr w14:paraId="122B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3071" w:type="dxa"/>
            <w:noWrap w:val="0"/>
            <w:vAlign w:val="center"/>
          </w:tcPr>
          <w:p w14:paraId="2DFA3053">
            <w:pPr>
              <w:spacing w:line="240" w:lineRule="auto"/>
              <w:jc w:val="center"/>
              <w:rPr>
                <w:rFonts w:hint="eastAsia" w:ascii="仿宋" w:hAnsi="仿宋" w:eastAsia="仿宋" w:cs="仿宋"/>
                <w:color w:val="auto"/>
                <w:sz w:val="21"/>
                <w:szCs w:val="21"/>
                <w:highlight w:val="none"/>
              </w:rPr>
            </w:pPr>
          </w:p>
        </w:tc>
        <w:tc>
          <w:tcPr>
            <w:tcW w:w="984" w:type="dxa"/>
            <w:noWrap w:val="0"/>
            <w:vAlign w:val="center"/>
          </w:tcPr>
          <w:p w14:paraId="29D0F51B">
            <w:pPr>
              <w:spacing w:line="240" w:lineRule="auto"/>
              <w:jc w:val="center"/>
              <w:rPr>
                <w:rFonts w:hint="eastAsia" w:ascii="仿宋" w:hAnsi="仿宋" w:eastAsia="仿宋" w:cs="仿宋"/>
                <w:color w:val="auto"/>
                <w:sz w:val="21"/>
                <w:szCs w:val="21"/>
                <w:highlight w:val="none"/>
              </w:rPr>
            </w:pPr>
          </w:p>
        </w:tc>
        <w:tc>
          <w:tcPr>
            <w:tcW w:w="1298" w:type="dxa"/>
            <w:gridSpan w:val="2"/>
            <w:noWrap w:val="0"/>
            <w:vAlign w:val="center"/>
          </w:tcPr>
          <w:p w14:paraId="349BA0CD">
            <w:pPr>
              <w:spacing w:line="240" w:lineRule="auto"/>
              <w:jc w:val="center"/>
              <w:rPr>
                <w:rFonts w:hint="eastAsia" w:ascii="仿宋" w:hAnsi="仿宋" w:eastAsia="仿宋" w:cs="仿宋"/>
                <w:color w:val="auto"/>
                <w:sz w:val="21"/>
                <w:szCs w:val="21"/>
                <w:highlight w:val="none"/>
              </w:rPr>
            </w:pPr>
          </w:p>
        </w:tc>
        <w:tc>
          <w:tcPr>
            <w:tcW w:w="1134" w:type="dxa"/>
            <w:noWrap w:val="0"/>
            <w:vAlign w:val="center"/>
          </w:tcPr>
          <w:p w14:paraId="3A611457">
            <w:pPr>
              <w:spacing w:line="240" w:lineRule="auto"/>
              <w:jc w:val="center"/>
              <w:rPr>
                <w:rFonts w:hint="eastAsia" w:ascii="仿宋" w:hAnsi="仿宋" w:eastAsia="仿宋" w:cs="仿宋"/>
                <w:color w:val="auto"/>
                <w:sz w:val="21"/>
                <w:szCs w:val="21"/>
                <w:highlight w:val="none"/>
              </w:rPr>
            </w:pPr>
          </w:p>
        </w:tc>
        <w:tc>
          <w:tcPr>
            <w:tcW w:w="1559" w:type="dxa"/>
            <w:noWrap w:val="0"/>
            <w:vAlign w:val="center"/>
          </w:tcPr>
          <w:p w14:paraId="09F4E698">
            <w:pPr>
              <w:spacing w:line="240" w:lineRule="auto"/>
              <w:jc w:val="center"/>
              <w:rPr>
                <w:rFonts w:hint="eastAsia" w:ascii="仿宋" w:hAnsi="仿宋" w:eastAsia="仿宋" w:cs="仿宋"/>
                <w:color w:val="auto"/>
                <w:sz w:val="21"/>
                <w:szCs w:val="21"/>
                <w:highlight w:val="none"/>
              </w:rPr>
            </w:pPr>
          </w:p>
        </w:tc>
        <w:tc>
          <w:tcPr>
            <w:tcW w:w="1567" w:type="dxa"/>
            <w:noWrap w:val="0"/>
            <w:vAlign w:val="center"/>
          </w:tcPr>
          <w:p w14:paraId="02E8791B">
            <w:pPr>
              <w:spacing w:line="240" w:lineRule="auto"/>
              <w:jc w:val="center"/>
              <w:rPr>
                <w:rFonts w:hint="eastAsia" w:ascii="仿宋" w:hAnsi="仿宋" w:eastAsia="仿宋" w:cs="仿宋"/>
                <w:color w:val="auto"/>
                <w:sz w:val="21"/>
                <w:szCs w:val="21"/>
                <w:highlight w:val="none"/>
              </w:rPr>
            </w:pPr>
          </w:p>
        </w:tc>
      </w:tr>
      <w:tr w14:paraId="57FD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9613" w:type="dxa"/>
            <w:gridSpan w:val="7"/>
            <w:noWrap w:val="0"/>
            <w:vAlign w:val="center"/>
          </w:tcPr>
          <w:p w14:paraId="2DA794B1">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5EE3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9613" w:type="dxa"/>
            <w:gridSpan w:val="7"/>
            <w:noWrap w:val="0"/>
            <w:vAlign w:val="center"/>
          </w:tcPr>
          <w:p w14:paraId="47D7350A">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35CA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9613" w:type="dxa"/>
            <w:gridSpan w:val="7"/>
            <w:noWrap w:val="0"/>
            <w:vAlign w:val="top"/>
          </w:tcPr>
          <w:p w14:paraId="4C9D837D">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一、服务要求：</w:t>
            </w:r>
          </w:p>
        </w:tc>
      </w:tr>
      <w:tr w14:paraId="5F5C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5CDC9691">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二、验收方式：</w:t>
            </w:r>
          </w:p>
        </w:tc>
      </w:tr>
      <w:tr w14:paraId="09F1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30452507">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三、付款方式：</w:t>
            </w:r>
          </w:p>
          <w:p w14:paraId="182F9BF4">
            <w:pPr>
              <w:spacing w:line="240" w:lineRule="auto"/>
              <w:rPr>
                <w:rFonts w:hint="eastAsia" w:ascii="仿宋" w:hAnsi="仿宋" w:eastAsia="仿宋" w:cs="仿宋"/>
                <w:color w:val="auto"/>
                <w:highlight w:val="none"/>
              </w:rPr>
            </w:pPr>
          </w:p>
        </w:tc>
      </w:tr>
      <w:tr w14:paraId="642A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3833BE31">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四、违约责任：</w:t>
            </w:r>
          </w:p>
          <w:p w14:paraId="19701B9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按《中华人民共和国民法典》、《中华人民共和国政府采购法》执行，或按双方约定。</w:t>
            </w:r>
          </w:p>
        </w:tc>
      </w:tr>
      <w:tr w14:paraId="1895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4F6F400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五、其他约定事项：</w:t>
            </w:r>
          </w:p>
          <w:p w14:paraId="37CA08B0">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1.采购文件及其澄清文件、响应文件和承诺是本合同不可分割的部分。</w:t>
            </w:r>
          </w:p>
          <w:p w14:paraId="40A6D9D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2.本合同如发生争议由双方协商解决，协商不成向需方所在人民法院提请诉讼。</w:t>
            </w:r>
          </w:p>
          <w:p w14:paraId="248C0631">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3.本合同一式__份， 需方__份，供方__份，具同等法律效力。</w:t>
            </w:r>
          </w:p>
          <w:p w14:paraId="1AA6E0F9">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14:paraId="0742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44" w:type="dxa"/>
            <w:gridSpan w:val="3"/>
            <w:noWrap w:val="0"/>
            <w:vAlign w:val="top"/>
          </w:tcPr>
          <w:p w14:paraId="7EA4A048">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6D656938">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480D4FFF">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7C61316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4984" w:type="dxa"/>
            <w:gridSpan w:val="5"/>
            <w:noWrap w:val="0"/>
            <w:vAlign w:val="top"/>
          </w:tcPr>
          <w:p w14:paraId="630E179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5DA4217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6112C27A">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027E3F68">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6071943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49B04D3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7920C14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14:paraId="1445A76E">
            <w:pPr>
              <w:widowControl/>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7CA9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01208782">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1B3D2FBC">
            <w:pPr>
              <w:spacing w:line="240" w:lineRule="auto"/>
              <w:rPr>
                <w:rFonts w:hint="eastAsia" w:ascii="仿宋" w:hAnsi="仿宋" w:eastAsia="仿宋" w:cs="仿宋"/>
                <w:color w:val="auto"/>
                <w:sz w:val="21"/>
                <w:szCs w:val="21"/>
                <w:highlight w:val="none"/>
              </w:rPr>
            </w:pPr>
          </w:p>
        </w:tc>
      </w:tr>
    </w:tbl>
    <w:p w14:paraId="56E78842">
      <w:pPr>
        <w:rPr>
          <w:rFonts w:hint="eastAsia" w:ascii="仿宋" w:hAnsi="仿宋" w:eastAsia="仿宋" w:cs="仿宋"/>
          <w:color w:val="auto"/>
          <w:sz w:val="21"/>
          <w:szCs w:val="21"/>
          <w:highlight w:val="none"/>
          <w:lang w:eastAsia="zh-CN"/>
        </w:rPr>
        <w:sectPr>
          <w:pgSz w:w="11907" w:h="16840"/>
          <w:pgMar w:top="1134" w:right="1191" w:bottom="1134" w:left="1304" w:header="964" w:footer="992" w:gutter="0"/>
          <w:cols w:space="720" w:num="1"/>
          <w:docGrid w:linePitch="312" w:charSpace="0"/>
        </w:sectPr>
      </w:pPr>
      <w:r>
        <w:rPr>
          <w:rFonts w:hint="eastAsia" w:ascii="仿宋" w:hAnsi="仿宋" w:eastAsia="仿宋" w:cs="仿宋"/>
          <w:color w:val="auto"/>
          <w:sz w:val="24"/>
          <w:highlight w:val="none"/>
        </w:rPr>
        <w:t>签约时间：           年   月   日      签约地点</w:t>
      </w:r>
      <w:r>
        <w:rPr>
          <w:rFonts w:hint="eastAsia" w:ascii="仿宋" w:hAnsi="仿宋" w:eastAsia="仿宋" w:cs="仿宋"/>
          <w:color w:val="auto"/>
          <w:sz w:val="24"/>
          <w:highlight w:val="none"/>
          <w:lang w:eastAsia="zh-CN"/>
        </w:rPr>
        <w:t>：</w:t>
      </w:r>
    </w:p>
    <w:p w14:paraId="1254EB9D">
      <w:pPr>
        <w:widowControl/>
        <w:spacing w:line="360" w:lineRule="auto"/>
        <w:jc w:val="center"/>
        <w:rPr>
          <w:rStyle w:val="36"/>
          <w:rFonts w:hint="eastAsia" w:ascii="仿宋" w:hAnsi="仿宋" w:eastAsia="仿宋" w:cs="仿宋"/>
          <w:b/>
          <w:bCs/>
          <w:color w:val="auto"/>
          <w:sz w:val="36"/>
          <w:szCs w:val="36"/>
          <w:highlight w:val="none"/>
        </w:rPr>
      </w:pPr>
      <w:bookmarkStart w:id="104" w:name="_Toc11628"/>
      <w:r>
        <w:rPr>
          <w:rStyle w:val="36"/>
          <w:rFonts w:hint="eastAsia" w:ascii="仿宋" w:hAnsi="仿宋" w:eastAsia="仿宋" w:cs="仿宋"/>
          <w:b/>
          <w:bCs/>
          <w:color w:val="auto"/>
          <w:sz w:val="32"/>
          <w:szCs w:val="32"/>
          <w:highlight w:val="none"/>
        </w:rPr>
        <w:t>第</w:t>
      </w:r>
      <w:r>
        <w:rPr>
          <w:rStyle w:val="36"/>
          <w:rFonts w:hint="eastAsia" w:ascii="仿宋" w:hAnsi="仿宋" w:eastAsia="仿宋" w:cs="仿宋"/>
          <w:b/>
          <w:bCs/>
          <w:color w:val="auto"/>
          <w:sz w:val="32"/>
          <w:szCs w:val="32"/>
          <w:highlight w:val="none"/>
          <w:lang w:val="en-US" w:eastAsia="zh-CN"/>
        </w:rPr>
        <w:t>七</w:t>
      </w:r>
      <w:r>
        <w:rPr>
          <w:rStyle w:val="36"/>
          <w:rFonts w:hint="eastAsia" w:ascii="仿宋" w:hAnsi="仿宋" w:eastAsia="仿宋" w:cs="仿宋"/>
          <w:b/>
          <w:bCs/>
          <w:color w:val="auto"/>
          <w:sz w:val="32"/>
          <w:szCs w:val="32"/>
          <w:highlight w:val="none"/>
        </w:rPr>
        <w:t>篇  响应文件格式要求</w:t>
      </w:r>
      <w:bookmarkEnd w:id="104"/>
    </w:p>
    <w:p w14:paraId="7FFBFB68">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一、经济部分</w:t>
      </w:r>
    </w:p>
    <w:p w14:paraId="6C044BF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14:paraId="4F0C3509">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分项目报价明细表</w:t>
      </w:r>
    </w:p>
    <w:p w14:paraId="0C20DDDF">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服务</w:t>
      </w:r>
      <w:r>
        <w:rPr>
          <w:rFonts w:hint="eastAsia" w:ascii="仿宋" w:hAnsi="仿宋" w:eastAsia="仿宋" w:cs="仿宋"/>
          <w:b/>
          <w:bCs/>
          <w:color w:val="auto"/>
          <w:sz w:val="24"/>
          <w:szCs w:val="24"/>
          <w:highlight w:val="none"/>
        </w:rPr>
        <w:t>部分</w:t>
      </w:r>
    </w:p>
    <w:p w14:paraId="7196727C">
      <w:p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（一）服务方案</w:t>
      </w:r>
    </w:p>
    <w:p w14:paraId="0565638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highlight w:val="none"/>
        </w:rPr>
        <w:t>（二）服务响应偏离表</w:t>
      </w:r>
    </w:p>
    <w:p w14:paraId="576243E2">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三、商务部分</w:t>
      </w:r>
    </w:p>
    <w:p w14:paraId="0A10589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2F5422E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商务部分相关证明材料</w:t>
      </w:r>
    </w:p>
    <w:p w14:paraId="03DFA1C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其它</w:t>
      </w:r>
    </w:p>
    <w:p w14:paraId="0D80CC26">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四、资格条件及其他</w:t>
      </w:r>
    </w:p>
    <w:p w14:paraId="61C45EC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3E5701B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（二）组织机构代码证复印件</w:t>
      </w:r>
    </w:p>
    <w:p w14:paraId="6E5181B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（三）法定代表人身份证明书（格式）</w:t>
      </w:r>
    </w:p>
    <w:p w14:paraId="0B61EF4A">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（四）法定代表人授权委托书（格式）</w:t>
      </w:r>
    </w:p>
    <w:p w14:paraId="029355F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strike w:val="0"/>
          <w:dstrike w:val="0"/>
          <w:color w:val="auto"/>
          <w:sz w:val="24"/>
          <w:highlight w:val="none"/>
        </w:rPr>
        <w:t>基本资格条件承诺函</w:t>
      </w:r>
      <w:r>
        <w:rPr>
          <w:rFonts w:hint="eastAsia" w:ascii="仿宋" w:hAnsi="仿宋" w:eastAsia="仿宋" w:cs="仿宋"/>
          <w:color w:val="auto"/>
          <w:sz w:val="24"/>
          <w:szCs w:val="24"/>
          <w:highlight w:val="none"/>
        </w:rPr>
        <w:t>（格式）</w:t>
      </w:r>
    </w:p>
    <w:p w14:paraId="692D33E8">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（六）特定资格条件证明</w:t>
      </w:r>
    </w:p>
    <w:p w14:paraId="0C5DB906">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五、其他应提供的资料</w:t>
      </w:r>
    </w:p>
    <w:p w14:paraId="240892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（一）其他与项目有关的资料（自附）</w:t>
      </w:r>
    </w:p>
    <w:p w14:paraId="0374F264">
      <w:pPr>
        <w:pStyle w:val="8"/>
        <w:rPr>
          <w:rFonts w:hint="eastAsia" w:ascii="仿宋" w:hAnsi="仿宋" w:eastAsia="仿宋" w:cs="仿宋"/>
          <w:color w:val="auto"/>
          <w:highlight w:val="none"/>
        </w:rPr>
      </w:pPr>
    </w:p>
    <w:p w14:paraId="0F8B551C">
      <w:pPr>
        <w:pStyle w:val="40"/>
        <w:ind w:left="0"/>
        <w:jc w:val="both"/>
        <w:rPr>
          <w:rFonts w:hint="eastAsia" w:ascii="仿宋" w:hAnsi="仿宋" w:eastAsia="仿宋" w:cs="仿宋"/>
          <w:color w:val="auto"/>
          <w:highlight w:val="none"/>
        </w:rPr>
        <w:sectPr>
          <w:headerReference r:id="rId11" w:type="default"/>
          <w:footerReference r:id="rId12" w:type="default"/>
          <w:pgSz w:w="11907" w:h="16840"/>
          <w:pgMar w:top="1134" w:right="1191" w:bottom="1134" w:left="1304" w:header="851" w:footer="992" w:gutter="0"/>
          <w:pgNumType w:fmt="decimal"/>
          <w:cols w:space="720" w:num="1"/>
        </w:sectPr>
      </w:pPr>
    </w:p>
    <w:p w14:paraId="1145190F">
      <w:pPr>
        <w:pStyle w:val="4"/>
        <w:spacing w:before="0" w:after="0" w:line="360" w:lineRule="auto"/>
        <w:rPr>
          <w:rFonts w:hint="eastAsia" w:ascii="仿宋" w:hAnsi="仿宋" w:eastAsia="仿宋" w:cs="仿宋"/>
          <w:color w:val="auto"/>
          <w:sz w:val="28"/>
          <w:szCs w:val="28"/>
          <w:highlight w:val="none"/>
        </w:rPr>
      </w:pPr>
      <w:bookmarkStart w:id="105" w:name="_Toc14854"/>
      <w:bookmarkStart w:id="106" w:name="_Toc486608277"/>
      <w:bookmarkStart w:id="107" w:name="_Toc486585240"/>
      <w:bookmarkStart w:id="108" w:name="_Toc487204797"/>
      <w:bookmarkStart w:id="109" w:name="_Toc9358"/>
      <w:r>
        <w:rPr>
          <w:rFonts w:hint="eastAsia" w:ascii="仿宋" w:hAnsi="仿宋" w:eastAsia="仿宋" w:cs="仿宋"/>
          <w:color w:val="auto"/>
          <w:sz w:val="28"/>
          <w:szCs w:val="28"/>
          <w:highlight w:val="none"/>
        </w:rPr>
        <w:t>一、经济部分</w:t>
      </w:r>
      <w:bookmarkEnd w:id="105"/>
      <w:bookmarkEnd w:id="106"/>
      <w:bookmarkEnd w:id="107"/>
      <w:bookmarkEnd w:id="108"/>
      <w:bookmarkEnd w:id="109"/>
    </w:p>
    <w:p w14:paraId="13975535">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14:paraId="4A5B9677">
      <w:pPr>
        <w:tabs>
          <w:tab w:val="left" w:pos="6300"/>
        </w:tabs>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报价函</w:t>
      </w:r>
    </w:p>
    <w:p w14:paraId="6D5BAA4A">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3ACFA52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项目名称）的</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，经详细研究，决定参加该项目的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w:t>
      </w:r>
    </w:p>
    <w:p w14:paraId="4659CD9B">
      <w:pPr>
        <w:tabs>
          <w:tab w:val="left" w:pos="6300"/>
        </w:tabs>
        <w:snapToGrid w:val="0"/>
        <w:spacing w:line="360" w:lineRule="auto"/>
        <w:ind w:firstLine="480" w:firstLineChars="2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rPr>
        <w:t>1.愿意按照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中的一切要求，</w:t>
      </w:r>
      <w:r>
        <w:rPr>
          <w:rFonts w:hint="eastAsia" w:ascii="仿宋" w:hAnsi="仿宋" w:eastAsia="仿宋" w:cs="仿宋"/>
          <w:color w:val="auto"/>
          <w:sz w:val="24"/>
          <w:szCs w:val="24"/>
          <w:highlight w:val="none"/>
          <w:lang w:val="en-US" w:eastAsia="zh-CN"/>
        </w:rPr>
        <w:t>根据采购文件需求</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投标暂定总</w:t>
      </w:r>
      <w:r>
        <w:rPr>
          <w:rFonts w:hint="eastAsia" w:ascii="仿宋" w:hAnsi="仿宋" w:eastAsia="仿宋" w:cs="仿宋"/>
          <w:color w:val="auto"/>
          <w:sz w:val="24"/>
          <w:szCs w:val="24"/>
          <w:highlight w:val="none"/>
        </w:rPr>
        <w:t>报价为人民币大写：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元</w:t>
      </w:r>
      <w:r>
        <w:rPr>
          <w:rFonts w:hint="eastAsia" w:ascii="仿宋" w:hAnsi="仿宋" w:eastAsia="仿宋" w:cs="仿宋"/>
          <w:color w:val="auto"/>
          <w:sz w:val="24"/>
          <w:szCs w:val="24"/>
          <w:highlight w:val="none"/>
        </w:rPr>
        <w:t>；人民币小写：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u w:val="none"/>
          <w:lang w:val="en-US" w:eastAsia="zh-CN"/>
        </w:rPr>
        <w:t>。</w:t>
      </w:r>
    </w:p>
    <w:p w14:paraId="0FBFEBDF">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w:t>
      </w:r>
      <w:r>
        <w:rPr>
          <w:rFonts w:hint="eastAsia" w:ascii="仿宋" w:hAnsi="仿宋" w:eastAsia="仿宋" w:cs="仿宋"/>
          <w:color w:val="auto"/>
          <w:sz w:val="24"/>
          <w:szCs w:val="24"/>
          <w:highlight w:val="none"/>
          <w:lang w:val="en-US" w:eastAsia="zh-CN"/>
        </w:rPr>
        <w:t>电子</w:t>
      </w:r>
      <w:r>
        <w:rPr>
          <w:rFonts w:hint="eastAsia" w:ascii="仿宋" w:hAnsi="仿宋" w:eastAsia="仿宋" w:cs="仿宋"/>
          <w:color w:val="auto"/>
          <w:sz w:val="24"/>
          <w:szCs w:val="24"/>
          <w:highlight w:val="none"/>
        </w:rPr>
        <w:t>响应文件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4109DE74">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的有效期为90天。</w:t>
      </w:r>
    </w:p>
    <w:p w14:paraId="0865DAE7">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的一切规定和要求及评审办法。</w:t>
      </w:r>
    </w:p>
    <w:p w14:paraId="5CFEEC5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过程中，我方若有违规行为，接受按照《中华人民共和国政府采购法》和《</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》之规定给予惩罚。</w:t>
      </w:r>
    </w:p>
    <w:p w14:paraId="7278EE08">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结果签订合同，并且严格履行合同义务。本承诺函将成为合同不可分割的一部分，与合同具有同等的法律效力。</w:t>
      </w:r>
    </w:p>
    <w:p w14:paraId="0A8317F4">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.我方未为采购项目提供整体设计、规范编制或者项目管理、监理、检测等服务。</w:t>
      </w:r>
    </w:p>
    <w:p w14:paraId="1597011A">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8、我方同意按采购文件规定，如果我方成为成交供应商，保证在接到成交通知书前，向采购代理机构缴纳采购文件规定的采购代理服务费。</w:t>
      </w:r>
    </w:p>
    <w:p w14:paraId="335DF24A">
      <w:pPr>
        <w:tabs>
          <w:tab w:val="left" w:pos="6300"/>
        </w:tabs>
        <w:snapToGrid w:val="0"/>
        <w:spacing w:line="360" w:lineRule="auto"/>
        <w:ind w:firstLine="570"/>
        <w:rPr>
          <w:rFonts w:hint="eastAsia" w:ascii="仿宋" w:hAnsi="仿宋" w:eastAsia="仿宋" w:cs="仿宋"/>
          <w:color w:val="auto"/>
          <w:sz w:val="24"/>
          <w:szCs w:val="24"/>
          <w:highlight w:val="none"/>
        </w:rPr>
      </w:pPr>
    </w:p>
    <w:p w14:paraId="79955C1C">
      <w:pPr>
        <w:tabs>
          <w:tab w:val="left" w:pos="6300"/>
        </w:tabs>
        <w:snapToGrid w:val="0"/>
        <w:spacing w:line="360" w:lineRule="auto"/>
        <w:rPr>
          <w:rFonts w:hint="eastAsia" w:ascii="仿宋" w:hAnsi="仿宋" w:eastAsia="仿宋" w:cs="仿宋"/>
          <w:color w:val="auto"/>
          <w:sz w:val="24"/>
          <w:szCs w:val="24"/>
          <w:highlight w:val="none"/>
        </w:rPr>
      </w:pPr>
    </w:p>
    <w:p w14:paraId="286DEE80">
      <w:pPr>
        <w:tabs>
          <w:tab w:val="left" w:pos="6300"/>
        </w:tabs>
        <w:snapToGrid w:val="0"/>
        <w:spacing w:line="360" w:lineRule="auto"/>
        <w:ind w:firstLine="570"/>
        <w:rPr>
          <w:rFonts w:hint="eastAsia" w:ascii="仿宋" w:hAnsi="仿宋" w:eastAsia="仿宋" w:cs="仿宋"/>
          <w:color w:val="auto"/>
          <w:sz w:val="24"/>
          <w:szCs w:val="24"/>
          <w:highlight w:val="none"/>
        </w:rPr>
      </w:pPr>
    </w:p>
    <w:p w14:paraId="3FE36D6F">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49EA3224">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0E517752">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4F78F726">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p w14:paraId="55D40EAD">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08086222">
      <w:pPr>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261BB1D6">
      <w:pPr>
        <w:widowControl/>
        <w:spacing w:line="380" w:lineRule="exact"/>
        <w:jc w:val="left"/>
        <w:rPr>
          <w:rFonts w:hint="eastAsia" w:ascii="仿宋" w:hAnsi="仿宋" w:eastAsia="仿宋" w:cs="仿宋"/>
          <w:color w:val="auto"/>
          <w:sz w:val="24"/>
          <w:szCs w:val="24"/>
          <w:highlight w:val="none"/>
        </w:rPr>
        <w:sectPr>
          <w:pgSz w:w="11907" w:h="16840"/>
          <w:pgMar w:top="1134" w:right="1191" w:bottom="1134" w:left="1304" w:header="851" w:footer="992" w:gutter="0"/>
          <w:pgNumType w:fmt="decimal"/>
          <w:cols w:space="720" w:num="1"/>
        </w:sectPr>
      </w:pPr>
    </w:p>
    <w:p w14:paraId="16687180">
      <w:pPr>
        <w:pageBreakBefore w:val="0"/>
        <w:widowControl w:val="0"/>
        <w:tabs>
          <w:tab w:val="left" w:pos="6300"/>
        </w:tabs>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bookmarkStart w:id="110" w:name="_Toc486585241"/>
      <w:bookmarkStart w:id="111" w:name="_Toc3192"/>
      <w:bookmarkStart w:id="112" w:name="_Toc24658"/>
      <w:bookmarkStart w:id="113" w:name="_Toc487204798"/>
      <w:bookmarkStart w:id="114" w:name="_Toc486608278"/>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分项报价明细表</w:t>
      </w:r>
    </w:p>
    <w:p w14:paraId="13BFD5ED">
      <w:pPr>
        <w:spacing w:line="360" w:lineRule="auto"/>
        <w:ind w:firstLine="480" w:firstLineChars="2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项目名称：</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tbl>
      <w:tblPr>
        <w:tblStyle w:val="26"/>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445"/>
        <w:gridCol w:w="1380"/>
        <w:gridCol w:w="1635"/>
        <w:gridCol w:w="1635"/>
        <w:gridCol w:w="1635"/>
      </w:tblGrid>
      <w:tr w14:paraId="6AFB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220" w:type="dxa"/>
            <w:vAlign w:val="center"/>
          </w:tcPr>
          <w:p w14:paraId="7DF4CF4D">
            <w:pPr>
              <w:keepNext w:val="0"/>
              <w:keepLines w:val="0"/>
              <w:suppressLineNumbers w:val="0"/>
              <w:spacing w:before="0" w:beforeAutospacing="0" w:after="0" w:afterAutospacing="0" w:line="400" w:lineRule="exact"/>
              <w:ind w:right="0"/>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序号</w:t>
            </w:r>
          </w:p>
        </w:tc>
        <w:tc>
          <w:tcPr>
            <w:tcW w:w="2445" w:type="dxa"/>
            <w:vAlign w:val="center"/>
          </w:tcPr>
          <w:p w14:paraId="316DE687">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相关信息</w:t>
            </w:r>
          </w:p>
        </w:tc>
        <w:tc>
          <w:tcPr>
            <w:tcW w:w="1380" w:type="dxa"/>
            <w:vAlign w:val="center"/>
          </w:tcPr>
          <w:p w14:paraId="05590D43">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对应年级</w:t>
            </w:r>
          </w:p>
        </w:tc>
        <w:tc>
          <w:tcPr>
            <w:tcW w:w="1635" w:type="dxa"/>
            <w:vAlign w:val="center"/>
          </w:tcPr>
          <w:p w14:paraId="58E0CFCB">
            <w:pPr>
              <w:keepNext w:val="0"/>
              <w:keepLines w:val="0"/>
              <w:suppressLineNumbers w:val="0"/>
              <w:spacing w:before="0" w:beforeAutospacing="0" w:after="0" w:afterAutospacing="0" w:line="400" w:lineRule="exact"/>
              <w:ind w:left="0" w:right="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暂定人数</w:t>
            </w:r>
          </w:p>
        </w:tc>
        <w:tc>
          <w:tcPr>
            <w:tcW w:w="1635" w:type="dxa"/>
            <w:vAlign w:val="center"/>
          </w:tcPr>
          <w:p w14:paraId="2FD9E712">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单价</w:t>
            </w:r>
            <w:r>
              <w:rPr>
                <w:rFonts w:hint="eastAsia" w:ascii="仿宋" w:hAnsi="仿宋" w:eastAsia="仿宋" w:cs="仿宋"/>
                <w:color w:val="000000" w:themeColor="text1"/>
                <w:sz w:val="22"/>
                <w:szCs w:val="22"/>
                <w:highlight w:val="none"/>
                <w:lang w:val="en-US" w:eastAsia="zh-CN"/>
                <w14:textFill>
                  <w14:solidFill>
                    <w14:schemeClr w14:val="tx1"/>
                  </w14:solidFill>
                </w14:textFill>
              </w:rPr>
              <w:t>报价</w:t>
            </w:r>
          </w:p>
          <w:p w14:paraId="151E7AA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（元/人）</w:t>
            </w:r>
          </w:p>
        </w:tc>
        <w:tc>
          <w:tcPr>
            <w:tcW w:w="1635" w:type="dxa"/>
            <w:vAlign w:val="center"/>
          </w:tcPr>
          <w:p w14:paraId="73CE2DA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合计（元）</w:t>
            </w:r>
          </w:p>
        </w:tc>
      </w:tr>
      <w:tr w14:paraId="5F8F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220" w:type="dxa"/>
            <w:tcBorders>
              <w:bottom w:val="single" w:color="auto" w:sz="4" w:space="0"/>
            </w:tcBorders>
            <w:vAlign w:val="center"/>
          </w:tcPr>
          <w:p w14:paraId="64B65B79">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lang w:val="en-US" w:eastAsia="zh-CN"/>
                <w14:textFill>
                  <w14:solidFill>
                    <w14:schemeClr w14:val="tx1"/>
                  </w14:solidFill>
                </w14:textFill>
              </w:rPr>
            </w:pPr>
            <w:r>
              <w:rPr>
                <w:rFonts w:hint="eastAsia" w:ascii="仿宋" w:hAnsi="仿宋" w:eastAsia="仿宋" w:cs="仿宋"/>
                <w:color w:val="000000" w:themeColor="text1"/>
                <w:sz w:val="22"/>
                <w:highlight w:val="none"/>
                <w:lang w:val="en-US" w:eastAsia="zh-CN"/>
                <w14:textFill>
                  <w14:solidFill>
                    <w14:schemeClr w14:val="tx1"/>
                  </w14:solidFill>
                </w14:textFill>
              </w:rPr>
              <w:t>1</w:t>
            </w:r>
          </w:p>
        </w:tc>
        <w:tc>
          <w:tcPr>
            <w:tcW w:w="2445" w:type="dxa"/>
            <w:tcBorders>
              <w:bottom w:val="single" w:color="auto" w:sz="4" w:space="0"/>
            </w:tcBorders>
            <w:vAlign w:val="center"/>
          </w:tcPr>
          <w:p w14:paraId="3E848EDA">
            <w:pPr>
              <w:spacing w:line="240" w:lineRule="auto"/>
              <w:jc w:val="center"/>
              <w:rPr>
                <w:rFonts w:hint="eastAsia" w:ascii="仿宋" w:hAnsi="仿宋" w:eastAsia="仿宋" w:cs="仿宋"/>
                <w:color w:val="000000" w:themeColor="text1"/>
                <w:sz w:val="22"/>
                <w:highlight w:val="none"/>
                <w14:textFill>
                  <w14:solidFill>
                    <w14:schemeClr w14:val="tx1"/>
                  </w14:solidFill>
                </w14:textFill>
              </w:rPr>
            </w:pPr>
          </w:p>
        </w:tc>
        <w:tc>
          <w:tcPr>
            <w:tcW w:w="1380" w:type="dxa"/>
            <w:tcBorders>
              <w:bottom w:val="single" w:color="auto" w:sz="4" w:space="0"/>
            </w:tcBorders>
            <w:vAlign w:val="center"/>
          </w:tcPr>
          <w:p w14:paraId="20C5F55A">
            <w:pPr>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strike w:val="0"/>
                <w:dstrike w:val="0"/>
                <w:color w:val="auto"/>
                <w:sz w:val="24"/>
                <w:szCs w:val="24"/>
                <w:highlight w:val="none"/>
                <w:lang w:val="en-US" w:eastAsia="zh-CN"/>
              </w:rPr>
              <w:t>三年级</w:t>
            </w:r>
          </w:p>
        </w:tc>
        <w:tc>
          <w:tcPr>
            <w:tcW w:w="1635" w:type="dxa"/>
            <w:tcBorders>
              <w:bottom w:val="single" w:color="auto" w:sz="4" w:space="0"/>
            </w:tcBorders>
            <w:vAlign w:val="center"/>
          </w:tcPr>
          <w:p w14:paraId="51698CF4">
            <w:pPr>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strike w:val="0"/>
                <w:dstrike w:val="0"/>
                <w:color w:val="auto"/>
                <w:sz w:val="24"/>
                <w:szCs w:val="24"/>
                <w:highlight w:val="none"/>
                <w:lang w:val="en-US" w:eastAsia="zh-CN"/>
              </w:rPr>
              <w:t>1008 人</w:t>
            </w:r>
          </w:p>
        </w:tc>
        <w:tc>
          <w:tcPr>
            <w:tcW w:w="1635" w:type="dxa"/>
            <w:tcBorders>
              <w:bottom w:val="single" w:color="auto" w:sz="4" w:space="0"/>
            </w:tcBorders>
            <w:vAlign w:val="center"/>
          </w:tcPr>
          <w:p w14:paraId="3D13323A">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14:textFill>
                  <w14:solidFill>
                    <w14:schemeClr w14:val="tx1"/>
                  </w14:solidFill>
                </w14:textFill>
              </w:rPr>
            </w:pPr>
          </w:p>
        </w:tc>
        <w:tc>
          <w:tcPr>
            <w:tcW w:w="1635" w:type="dxa"/>
            <w:tcBorders>
              <w:bottom w:val="single" w:color="auto" w:sz="4" w:space="0"/>
            </w:tcBorders>
            <w:vAlign w:val="center"/>
          </w:tcPr>
          <w:p w14:paraId="69971B56">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14:textFill>
                  <w14:solidFill>
                    <w14:schemeClr w14:val="tx1"/>
                  </w14:solidFill>
                </w14:textFill>
              </w:rPr>
            </w:pPr>
          </w:p>
        </w:tc>
      </w:tr>
      <w:tr w14:paraId="5325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220" w:type="dxa"/>
            <w:vAlign w:val="center"/>
          </w:tcPr>
          <w:p w14:paraId="78D8C1BA">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lang w:val="en-US" w:eastAsia="zh-CN"/>
                <w14:textFill>
                  <w14:solidFill>
                    <w14:schemeClr w14:val="tx1"/>
                  </w14:solidFill>
                </w14:textFill>
              </w:rPr>
            </w:pPr>
            <w:r>
              <w:rPr>
                <w:rFonts w:hint="eastAsia" w:ascii="仿宋" w:hAnsi="仿宋" w:eastAsia="仿宋" w:cs="仿宋"/>
                <w:color w:val="000000" w:themeColor="text1"/>
                <w:sz w:val="22"/>
                <w:highlight w:val="none"/>
                <w:lang w:val="en-US" w:eastAsia="zh-CN"/>
                <w14:textFill>
                  <w14:solidFill>
                    <w14:schemeClr w14:val="tx1"/>
                  </w14:solidFill>
                </w14:textFill>
              </w:rPr>
              <w:t>2</w:t>
            </w:r>
          </w:p>
        </w:tc>
        <w:tc>
          <w:tcPr>
            <w:tcW w:w="2445" w:type="dxa"/>
            <w:vAlign w:val="center"/>
          </w:tcPr>
          <w:p w14:paraId="382FBAE3">
            <w:pPr>
              <w:spacing w:line="240" w:lineRule="auto"/>
              <w:jc w:val="center"/>
              <w:rPr>
                <w:rFonts w:hint="eastAsia" w:ascii="仿宋" w:hAnsi="仿宋" w:eastAsia="仿宋" w:cs="仿宋"/>
                <w:color w:val="000000" w:themeColor="text1"/>
                <w:sz w:val="22"/>
                <w:highlight w:val="none"/>
                <w14:textFill>
                  <w14:solidFill>
                    <w14:schemeClr w14:val="tx1"/>
                  </w14:solidFill>
                </w14:textFill>
              </w:rPr>
            </w:pPr>
          </w:p>
        </w:tc>
        <w:tc>
          <w:tcPr>
            <w:tcW w:w="1380" w:type="dxa"/>
            <w:vAlign w:val="center"/>
          </w:tcPr>
          <w:p w14:paraId="181D3923">
            <w:pPr>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strike w:val="0"/>
                <w:dstrike w:val="0"/>
                <w:color w:val="auto"/>
                <w:sz w:val="24"/>
                <w:szCs w:val="24"/>
                <w:highlight w:val="none"/>
                <w:lang w:val="en-US" w:eastAsia="zh-CN"/>
              </w:rPr>
              <w:t>四年级</w:t>
            </w:r>
          </w:p>
        </w:tc>
        <w:tc>
          <w:tcPr>
            <w:tcW w:w="1635" w:type="dxa"/>
            <w:vAlign w:val="center"/>
          </w:tcPr>
          <w:p w14:paraId="7C296E26">
            <w:pPr>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strike w:val="0"/>
                <w:dstrike w:val="0"/>
                <w:color w:val="auto"/>
                <w:sz w:val="24"/>
                <w:szCs w:val="24"/>
                <w:highlight w:val="none"/>
                <w:lang w:val="en-US" w:eastAsia="zh-CN"/>
              </w:rPr>
              <w:t>850人</w:t>
            </w:r>
          </w:p>
        </w:tc>
        <w:tc>
          <w:tcPr>
            <w:tcW w:w="1635" w:type="dxa"/>
            <w:vAlign w:val="center"/>
          </w:tcPr>
          <w:p w14:paraId="76F864BC">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14:textFill>
                  <w14:solidFill>
                    <w14:schemeClr w14:val="tx1"/>
                  </w14:solidFill>
                </w14:textFill>
              </w:rPr>
            </w:pPr>
          </w:p>
        </w:tc>
        <w:tc>
          <w:tcPr>
            <w:tcW w:w="1635" w:type="dxa"/>
            <w:vAlign w:val="center"/>
          </w:tcPr>
          <w:p w14:paraId="1AB1F454">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14:textFill>
                  <w14:solidFill>
                    <w14:schemeClr w14:val="tx1"/>
                  </w14:solidFill>
                </w14:textFill>
              </w:rPr>
            </w:pPr>
          </w:p>
        </w:tc>
      </w:tr>
      <w:tr w14:paraId="46CE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665" w:type="dxa"/>
            <w:gridSpan w:val="2"/>
            <w:vAlign w:val="center"/>
          </w:tcPr>
          <w:p w14:paraId="5F04FDD9">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2"/>
                <w:highlight w:val="none"/>
                <w:lang w:val="en-US" w:eastAsia="zh-CN"/>
                <w14:textFill>
                  <w14:solidFill>
                    <w14:schemeClr w14:val="tx1"/>
                  </w14:solidFill>
                </w14:textFill>
              </w:rPr>
            </w:pPr>
            <w:r>
              <w:rPr>
                <w:rFonts w:hint="eastAsia" w:ascii="仿宋" w:hAnsi="仿宋" w:eastAsia="仿宋" w:cs="仿宋"/>
                <w:color w:val="000000" w:themeColor="text1"/>
                <w:sz w:val="22"/>
                <w:highlight w:val="none"/>
                <w:lang w:val="en-US" w:eastAsia="zh-CN"/>
                <w14:textFill>
                  <w14:solidFill>
                    <w14:schemeClr w14:val="tx1"/>
                  </w14:solidFill>
                </w14:textFill>
              </w:rPr>
              <w:t>投标暂定总报价（元）</w:t>
            </w:r>
          </w:p>
        </w:tc>
        <w:tc>
          <w:tcPr>
            <w:tcW w:w="6285" w:type="dxa"/>
            <w:gridSpan w:val="4"/>
            <w:vAlign w:val="center"/>
          </w:tcPr>
          <w:p w14:paraId="16DAD346">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lang w:val="en-US" w:eastAsia="zh-CN"/>
                <w14:textFill>
                  <w14:solidFill>
                    <w14:schemeClr w14:val="tx1"/>
                  </w14:solidFill>
                </w14:textFill>
              </w:rPr>
            </w:pPr>
          </w:p>
        </w:tc>
      </w:tr>
    </w:tbl>
    <w:p w14:paraId="1987C852">
      <w:pPr>
        <w:snapToGrid w:val="0"/>
        <w:spacing w:line="500" w:lineRule="exact"/>
        <w:rPr>
          <w:rFonts w:hint="eastAsia" w:ascii="仿宋" w:hAnsi="仿宋" w:eastAsia="仿宋" w:cs="仿宋"/>
          <w:color w:val="000000" w:themeColor="text1"/>
          <w:sz w:val="22"/>
          <w:highlight w:val="none"/>
          <w14:textFill>
            <w14:solidFill>
              <w14:schemeClr w14:val="tx1"/>
            </w14:solidFill>
          </w14:textFill>
        </w:rPr>
      </w:pPr>
    </w:p>
    <w:p w14:paraId="18125A6C">
      <w:pPr>
        <w:snapToGrid w:val="0"/>
        <w:spacing w:line="5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注：1.供应商应完整填写本表。</w:t>
      </w:r>
    </w:p>
    <w:p w14:paraId="4169F262">
      <w:pPr>
        <w:snapToGrid w:val="0"/>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2.该表可扩展</w:t>
      </w:r>
      <w:bookmarkStart w:id="115" w:name="OLE_LINK1"/>
      <w:bookmarkStart w:id="116" w:name="OLE_LINK2"/>
      <w:r>
        <w:rPr>
          <w:rFonts w:hint="eastAsia" w:ascii="仿宋" w:hAnsi="仿宋" w:eastAsia="仿宋" w:cs="仿宋"/>
          <w:color w:val="000000" w:themeColor="text1"/>
          <w:sz w:val="24"/>
          <w:szCs w:val="24"/>
          <w:highlight w:val="none"/>
          <w14:textFill>
            <w14:solidFill>
              <w14:schemeClr w14:val="tx1"/>
            </w14:solidFill>
          </w14:textFill>
        </w:rPr>
        <w:t>。</w:t>
      </w:r>
      <w:bookmarkEnd w:id="115"/>
      <w:bookmarkEnd w:id="116"/>
    </w:p>
    <w:p w14:paraId="67EF131D">
      <w:pPr>
        <w:snapToGrid w:val="0"/>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1F14A3EC">
      <w:pPr>
        <w:pStyle w:val="2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4999BD3C">
      <w:pPr>
        <w:spacing w:line="312" w:lineRule="auto"/>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供应商名称（公章）：</w:t>
      </w:r>
    </w:p>
    <w:p w14:paraId="1D04410C">
      <w:pPr>
        <w:spacing w:line="312" w:lineRule="auto"/>
        <w:ind w:right="480" w:firstLine="6480" w:firstLineChars="27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   月  日</w:t>
      </w:r>
    </w:p>
    <w:p w14:paraId="2A7462AF">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08C44C71">
      <w:pPr>
        <w:pStyle w:val="4"/>
        <w:spacing w:before="0" w:after="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部分</w:t>
      </w:r>
      <w:bookmarkEnd w:id="110"/>
      <w:bookmarkEnd w:id="111"/>
      <w:bookmarkEnd w:id="112"/>
      <w:bookmarkEnd w:id="113"/>
      <w:bookmarkEnd w:id="114"/>
    </w:p>
    <w:p w14:paraId="1FC6C33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服务方案</w:t>
      </w:r>
    </w:p>
    <w:p w14:paraId="628237C6">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rPr>
        <w:t>供应商根据招标文件“第四篇 资格审查及评标办法”中服务部分的评审标准编制服务方案，</w:t>
      </w:r>
      <w:r>
        <w:rPr>
          <w:rFonts w:hint="eastAsia" w:ascii="仿宋" w:hAnsi="仿宋" w:eastAsia="仿宋" w:cs="仿宋"/>
          <w:color w:val="auto"/>
          <w:sz w:val="24"/>
          <w:szCs w:val="24"/>
          <w:highlight w:val="none"/>
        </w:rPr>
        <w:t>格式自拟</w:t>
      </w:r>
      <w:r>
        <w:rPr>
          <w:rFonts w:hint="eastAsia" w:ascii="仿宋" w:hAnsi="仿宋" w:eastAsia="仿宋" w:cs="仿宋"/>
          <w:color w:val="auto"/>
          <w:sz w:val="24"/>
          <w:szCs w:val="24"/>
          <w:highlight w:val="none"/>
          <w:lang w:eastAsia="zh-CN"/>
        </w:rPr>
        <w:t>。</w:t>
      </w:r>
    </w:p>
    <w:p w14:paraId="5BBF2B40">
      <w:pPr>
        <w:snapToGrid w:val="0"/>
        <w:spacing w:line="360" w:lineRule="auto"/>
        <w:jc w:val="center"/>
        <w:rPr>
          <w:rFonts w:hint="eastAsia" w:ascii="仿宋" w:hAnsi="仿宋" w:eastAsia="仿宋" w:cs="仿宋"/>
          <w:color w:val="auto"/>
          <w:highlight w:val="none"/>
        </w:rPr>
      </w:pPr>
    </w:p>
    <w:p w14:paraId="52F48085">
      <w:pPr>
        <w:snapToGrid w:val="0"/>
        <w:spacing w:line="360" w:lineRule="auto"/>
        <w:jc w:val="center"/>
        <w:rPr>
          <w:rFonts w:hint="eastAsia" w:ascii="仿宋" w:hAnsi="仿宋" w:eastAsia="仿宋" w:cs="仿宋"/>
          <w:color w:val="auto"/>
          <w:highlight w:val="none"/>
        </w:rPr>
      </w:pPr>
    </w:p>
    <w:p w14:paraId="2919DE0F">
      <w:pPr>
        <w:snapToGrid w:val="0"/>
        <w:spacing w:line="360" w:lineRule="auto"/>
        <w:jc w:val="center"/>
        <w:rPr>
          <w:rFonts w:hint="eastAsia" w:ascii="仿宋" w:hAnsi="仿宋" w:eastAsia="仿宋" w:cs="仿宋"/>
          <w:color w:val="auto"/>
          <w:highlight w:val="none"/>
        </w:rPr>
      </w:pPr>
    </w:p>
    <w:p w14:paraId="55D31833">
      <w:pPr>
        <w:snapToGrid w:val="0"/>
        <w:spacing w:line="360" w:lineRule="auto"/>
        <w:jc w:val="center"/>
        <w:rPr>
          <w:rFonts w:hint="eastAsia" w:ascii="仿宋" w:hAnsi="仿宋" w:eastAsia="仿宋" w:cs="仿宋"/>
          <w:color w:val="auto"/>
          <w:highlight w:val="none"/>
        </w:rPr>
      </w:pPr>
    </w:p>
    <w:p w14:paraId="1581A2FC">
      <w:pPr>
        <w:snapToGrid w:val="0"/>
        <w:spacing w:line="360" w:lineRule="auto"/>
        <w:jc w:val="center"/>
        <w:rPr>
          <w:rFonts w:hint="eastAsia" w:ascii="仿宋" w:hAnsi="仿宋" w:eastAsia="仿宋" w:cs="仿宋"/>
          <w:color w:val="auto"/>
          <w:highlight w:val="none"/>
        </w:rPr>
      </w:pPr>
    </w:p>
    <w:p w14:paraId="32A933BE">
      <w:pPr>
        <w:snapToGrid w:val="0"/>
        <w:spacing w:line="360" w:lineRule="auto"/>
        <w:jc w:val="center"/>
        <w:rPr>
          <w:rFonts w:hint="eastAsia" w:ascii="仿宋" w:hAnsi="仿宋" w:eastAsia="仿宋" w:cs="仿宋"/>
          <w:color w:val="auto"/>
          <w:highlight w:val="none"/>
        </w:rPr>
      </w:pPr>
    </w:p>
    <w:p w14:paraId="6AC6B027">
      <w:pPr>
        <w:snapToGrid w:val="0"/>
        <w:spacing w:line="360" w:lineRule="auto"/>
        <w:jc w:val="center"/>
        <w:rPr>
          <w:rFonts w:hint="eastAsia" w:ascii="仿宋" w:hAnsi="仿宋" w:eastAsia="仿宋" w:cs="仿宋"/>
          <w:color w:val="auto"/>
          <w:highlight w:val="none"/>
        </w:rPr>
      </w:pPr>
    </w:p>
    <w:p w14:paraId="6CDC826D">
      <w:pPr>
        <w:snapToGrid w:val="0"/>
        <w:spacing w:line="360" w:lineRule="auto"/>
        <w:jc w:val="center"/>
        <w:rPr>
          <w:rFonts w:hint="eastAsia" w:ascii="仿宋" w:hAnsi="仿宋" w:eastAsia="仿宋" w:cs="仿宋"/>
          <w:color w:val="auto"/>
          <w:highlight w:val="none"/>
        </w:rPr>
      </w:pPr>
    </w:p>
    <w:p w14:paraId="2259FAD2">
      <w:pPr>
        <w:snapToGrid w:val="0"/>
        <w:spacing w:line="360" w:lineRule="auto"/>
        <w:jc w:val="center"/>
        <w:rPr>
          <w:rFonts w:hint="eastAsia" w:ascii="仿宋" w:hAnsi="仿宋" w:eastAsia="仿宋" w:cs="仿宋"/>
          <w:color w:val="auto"/>
          <w:highlight w:val="none"/>
        </w:rPr>
      </w:pPr>
    </w:p>
    <w:p w14:paraId="416FA802">
      <w:pPr>
        <w:snapToGrid w:val="0"/>
        <w:spacing w:line="360" w:lineRule="auto"/>
        <w:jc w:val="center"/>
        <w:rPr>
          <w:rFonts w:hint="eastAsia" w:ascii="仿宋" w:hAnsi="仿宋" w:eastAsia="仿宋" w:cs="仿宋"/>
          <w:color w:val="auto"/>
          <w:highlight w:val="none"/>
        </w:rPr>
      </w:pPr>
    </w:p>
    <w:p w14:paraId="3BC79D3F">
      <w:pPr>
        <w:snapToGrid w:val="0"/>
        <w:spacing w:line="360" w:lineRule="auto"/>
        <w:jc w:val="center"/>
        <w:rPr>
          <w:rFonts w:hint="eastAsia" w:ascii="仿宋" w:hAnsi="仿宋" w:eastAsia="仿宋" w:cs="仿宋"/>
          <w:color w:val="auto"/>
          <w:highlight w:val="none"/>
        </w:rPr>
      </w:pPr>
    </w:p>
    <w:p w14:paraId="5FC4F6AA">
      <w:pPr>
        <w:snapToGrid w:val="0"/>
        <w:spacing w:line="360" w:lineRule="auto"/>
        <w:jc w:val="center"/>
        <w:rPr>
          <w:rFonts w:hint="eastAsia" w:ascii="仿宋" w:hAnsi="仿宋" w:eastAsia="仿宋" w:cs="仿宋"/>
          <w:color w:val="auto"/>
          <w:highlight w:val="none"/>
        </w:rPr>
      </w:pPr>
    </w:p>
    <w:p w14:paraId="69681DF4">
      <w:pPr>
        <w:snapToGrid w:val="0"/>
        <w:spacing w:line="360" w:lineRule="auto"/>
        <w:jc w:val="center"/>
        <w:rPr>
          <w:rFonts w:hint="eastAsia" w:ascii="仿宋" w:hAnsi="仿宋" w:eastAsia="仿宋" w:cs="仿宋"/>
          <w:color w:val="auto"/>
          <w:highlight w:val="none"/>
        </w:rPr>
      </w:pPr>
    </w:p>
    <w:p w14:paraId="0761044A">
      <w:pPr>
        <w:snapToGrid w:val="0"/>
        <w:spacing w:line="360" w:lineRule="auto"/>
        <w:jc w:val="center"/>
        <w:rPr>
          <w:rFonts w:hint="eastAsia" w:ascii="仿宋" w:hAnsi="仿宋" w:eastAsia="仿宋" w:cs="仿宋"/>
          <w:color w:val="auto"/>
          <w:highlight w:val="none"/>
        </w:rPr>
      </w:pPr>
    </w:p>
    <w:p w14:paraId="48D246A1">
      <w:pPr>
        <w:snapToGrid w:val="0"/>
        <w:spacing w:line="360" w:lineRule="auto"/>
        <w:jc w:val="center"/>
        <w:rPr>
          <w:rFonts w:hint="eastAsia" w:ascii="仿宋" w:hAnsi="仿宋" w:eastAsia="仿宋" w:cs="仿宋"/>
          <w:color w:val="auto"/>
          <w:highlight w:val="none"/>
        </w:rPr>
      </w:pPr>
    </w:p>
    <w:p w14:paraId="34FE57C6">
      <w:pPr>
        <w:snapToGrid w:val="0"/>
        <w:spacing w:line="360" w:lineRule="auto"/>
        <w:jc w:val="center"/>
        <w:rPr>
          <w:rFonts w:hint="eastAsia" w:ascii="仿宋" w:hAnsi="仿宋" w:eastAsia="仿宋" w:cs="仿宋"/>
          <w:color w:val="auto"/>
          <w:highlight w:val="none"/>
        </w:rPr>
      </w:pPr>
    </w:p>
    <w:p w14:paraId="39F40FE7">
      <w:pPr>
        <w:snapToGrid w:val="0"/>
        <w:spacing w:line="360" w:lineRule="auto"/>
        <w:jc w:val="center"/>
        <w:rPr>
          <w:rFonts w:hint="eastAsia" w:ascii="仿宋" w:hAnsi="仿宋" w:eastAsia="仿宋" w:cs="仿宋"/>
          <w:color w:val="auto"/>
          <w:highlight w:val="none"/>
        </w:rPr>
      </w:pPr>
    </w:p>
    <w:p w14:paraId="13BFDADF">
      <w:pPr>
        <w:snapToGrid w:val="0"/>
        <w:spacing w:line="360" w:lineRule="auto"/>
        <w:jc w:val="center"/>
        <w:rPr>
          <w:rFonts w:hint="eastAsia" w:ascii="仿宋" w:hAnsi="仿宋" w:eastAsia="仿宋" w:cs="仿宋"/>
          <w:color w:val="auto"/>
          <w:highlight w:val="none"/>
        </w:rPr>
      </w:pPr>
    </w:p>
    <w:p w14:paraId="69BD7CFC">
      <w:pPr>
        <w:snapToGrid w:val="0"/>
        <w:spacing w:line="360" w:lineRule="auto"/>
        <w:jc w:val="center"/>
        <w:rPr>
          <w:rFonts w:hint="eastAsia" w:ascii="仿宋" w:hAnsi="仿宋" w:eastAsia="仿宋" w:cs="仿宋"/>
          <w:color w:val="auto"/>
          <w:highlight w:val="none"/>
        </w:rPr>
      </w:pPr>
    </w:p>
    <w:p w14:paraId="6764BF08">
      <w:pPr>
        <w:snapToGrid w:val="0"/>
        <w:spacing w:line="360" w:lineRule="auto"/>
        <w:jc w:val="center"/>
        <w:rPr>
          <w:rFonts w:hint="eastAsia" w:ascii="仿宋" w:hAnsi="仿宋" w:eastAsia="仿宋" w:cs="仿宋"/>
          <w:color w:val="auto"/>
          <w:highlight w:val="none"/>
        </w:rPr>
      </w:pPr>
    </w:p>
    <w:p w14:paraId="197C1F3C">
      <w:pPr>
        <w:snapToGrid w:val="0"/>
        <w:spacing w:line="360" w:lineRule="auto"/>
        <w:jc w:val="center"/>
        <w:rPr>
          <w:rFonts w:hint="eastAsia" w:ascii="仿宋" w:hAnsi="仿宋" w:eastAsia="仿宋" w:cs="仿宋"/>
          <w:color w:val="auto"/>
          <w:highlight w:val="none"/>
        </w:rPr>
      </w:pPr>
    </w:p>
    <w:p w14:paraId="5F891AD9">
      <w:pPr>
        <w:snapToGrid w:val="0"/>
        <w:spacing w:line="360" w:lineRule="auto"/>
        <w:jc w:val="center"/>
        <w:rPr>
          <w:rFonts w:hint="eastAsia" w:ascii="仿宋" w:hAnsi="仿宋" w:eastAsia="仿宋" w:cs="仿宋"/>
          <w:color w:val="auto"/>
          <w:highlight w:val="none"/>
        </w:rPr>
      </w:pPr>
    </w:p>
    <w:p w14:paraId="4B079FE0">
      <w:pPr>
        <w:snapToGrid w:val="0"/>
        <w:spacing w:line="360" w:lineRule="auto"/>
        <w:rPr>
          <w:rFonts w:hint="eastAsia" w:ascii="仿宋" w:hAnsi="仿宋" w:eastAsia="仿宋" w:cs="仿宋"/>
          <w:color w:val="auto"/>
          <w:highlight w:val="none"/>
        </w:rPr>
      </w:pPr>
    </w:p>
    <w:p w14:paraId="10006F0E">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响应偏离表</w:t>
      </w:r>
    </w:p>
    <w:p w14:paraId="23B3CA20">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7658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799BF5D0">
            <w:pPr>
              <w:tabs>
                <w:tab w:val="left" w:pos="6300"/>
              </w:tabs>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658" w:type="dxa"/>
            <w:noWrap w:val="0"/>
            <w:vAlign w:val="center"/>
          </w:tcPr>
          <w:p w14:paraId="2A7754CE">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c>
        <w:tc>
          <w:tcPr>
            <w:tcW w:w="2759" w:type="dxa"/>
            <w:noWrap w:val="0"/>
            <w:vAlign w:val="center"/>
          </w:tcPr>
          <w:p w14:paraId="0A285333">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067" w:type="dxa"/>
            <w:noWrap w:val="0"/>
            <w:vAlign w:val="center"/>
          </w:tcPr>
          <w:p w14:paraId="2F34534D">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6B98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859095B">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79FA6149">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30DF0EF6">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5845B9E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0E3E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779B1FF">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3770FF6B">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70D7453E">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7EC7863B">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5123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7D37B00">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01DF9DBB">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466CC4DF">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7EE79099">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4D4F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32206E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119009CF">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498C7F66">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615B032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001F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47D26EC">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0EA0014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0F7BB200">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126EB18C">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6395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B0F66E5">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715E10D5">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2F2E46FF">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225B414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50CF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A813303">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0C5F56C4">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69ED8AC5">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5FC6641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bl>
    <w:p w14:paraId="3FE0E49B">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                      </w:t>
      </w:r>
      <w:r>
        <w:rPr>
          <w:rFonts w:hint="eastAsia" w:ascii="仿宋" w:hAnsi="仿宋" w:eastAsia="仿宋" w:cs="仿宋"/>
          <w:color w:val="auto"/>
          <w:sz w:val="24"/>
          <w:szCs w:val="24"/>
          <w:highlight w:val="none"/>
          <w:lang w:val="en-US" w:eastAsia="zh-CN"/>
        </w:rPr>
        <w:t>法定代表人或</w:t>
      </w:r>
      <w:r>
        <w:rPr>
          <w:rFonts w:hint="eastAsia" w:ascii="仿宋" w:hAnsi="仿宋" w:eastAsia="仿宋" w:cs="仿宋"/>
          <w:color w:val="auto"/>
          <w:sz w:val="24"/>
          <w:szCs w:val="24"/>
          <w:highlight w:val="none"/>
        </w:rPr>
        <w:t>法定代表人授权代表：</w:t>
      </w:r>
    </w:p>
    <w:p w14:paraId="2AEB550D">
      <w:pPr>
        <w:spacing w:line="500" w:lineRule="exact"/>
        <w:rPr>
          <w:rFonts w:hint="eastAsia" w:ascii="仿宋" w:hAnsi="仿宋" w:eastAsia="仿宋" w:cs="仿宋"/>
          <w:color w:val="auto"/>
          <w:sz w:val="24"/>
          <w:szCs w:val="24"/>
          <w:highlight w:val="none"/>
        </w:rPr>
      </w:pPr>
    </w:p>
    <w:p w14:paraId="44ECDE12">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14:paraId="47BB1AEC">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0DEAAEE1">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F3025DA">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篇  项目</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需求”中</w:t>
      </w:r>
      <w:r>
        <w:rPr>
          <w:rFonts w:hint="eastAsia" w:ascii="仿宋" w:hAnsi="仿宋" w:eastAsia="仿宋" w:cs="仿宋"/>
          <w:color w:val="auto"/>
          <w:kern w:val="2"/>
          <w:sz w:val="24"/>
          <w:szCs w:val="24"/>
          <w:highlight w:val="none"/>
          <w:lang w:val="en-US" w:eastAsia="zh-CN" w:bidi="ar-SA"/>
        </w:rPr>
        <w:t>的内容</w:t>
      </w:r>
      <w:r>
        <w:rPr>
          <w:rFonts w:hint="eastAsia" w:ascii="仿宋" w:hAnsi="仿宋" w:eastAsia="仿宋" w:cs="仿宋"/>
          <w:color w:val="auto"/>
          <w:sz w:val="24"/>
          <w:szCs w:val="24"/>
          <w:highlight w:val="none"/>
        </w:rPr>
        <w:t>进行比较和响应；</w:t>
      </w:r>
    </w:p>
    <w:p w14:paraId="3A2E5063">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2.该表必须按照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要求逐条如实填写，根据响应情况在“差异说明”项填写正偏离或负偏离及原因，完全符合的填写“无差异”；</w:t>
      </w:r>
    </w:p>
    <w:p w14:paraId="7C9EC200">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3.该表可扩展，并逐页签字或盖章；</w:t>
      </w:r>
    </w:p>
    <w:p w14:paraId="787C70A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4.可附相关技术支撑材料。（格式自定）</w:t>
      </w:r>
    </w:p>
    <w:p w14:paraId="38EFCCC1">
      <w:pPr>
        <w:pStyle w:val="4"/>
        <w:spacing w:before="0" w:after="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117" w:name="_Toc487204799"/>
      <w:bookmarkStart w:id="118" w:name="_Toc486608279"/>
      <w:bookmarkStart w:id="119" w:name="_Toc486585242"/>
      <w:bookmarkStart w:id="120" w:name="_Toc17029"/>
      <w:bookmarkStart w:id="121" w:name="_Toc7672"/>
      <w:r>
        <w:rPr>
          <w:rFonts w:hint="eastAsia" w:ascii="仿宋" w:hAnsi="仿宋" w:eastAsia="仿宋" w:cs="仿宋"/>
          <w:color w:val="auto"/>
          <w:sz w:val="28"/>
          <w:szCs w:val="28"/>
          <w:highlight w:val="none"/>
        </w:rPr>
        <w:t>三、商务部分</w:t>
      </w:r>
      <w:bookmarkEnd w:id="117"/>
      <w:bookmarkEnd w:id="118"/>
      <w:bookmarkEnd w:id="119"/>
      <w:bookmarkEnd w:id="120"/>
      <w:bookmarkEnd w:id="121"/>
    </w:p>
    <w:p w14:paraId="056032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7F450454">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商务响应偏离表</w:t>
      </w:r>
    </w:p>
    <w:p w14:paraId="545DDD4C">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项目名称：</w:t>
      </w:r>
    </w:p>
    <w:tbl>
      <w:tblPr>
        <w:tblStyle w:val="26"/>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A5F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15CE687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noWrap w:val="0"/>
            <w:vAlign w:val="center"/>
          </w:tcPr>
          <w:p w14:paraId="28B6AFB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商务</w:t>
            </w:r>
            <w:r>
              <w:rPr>
                <w:rFonts w:hint="eastAsia" w:ascii="仿宋" w:hAnsi="仿宋" w:eastAsia="仿宋" w:cs="仿宋"/>
                <w:color w:val="auto"/>
                <w:sz w:val="24"/>
                <w:szCs w:val="24"/>
                <w:highlight w:val="none"/>
              </w:rPr>
              <w:t>需求</w:t>
            </w:r>
          </w:p>
        </w:tc>
        <w:tc>
          <w:tcPr>
            <w:tcW w:w="2434" w:type="dxa"/>
            <w:noWrap w:val="0"/>
            <w:vAlign w:val="center"/>
          </w:tcPr>
          <w:p w14:paraId="653E89E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noWrap w:val="0"/>
            <w:vAlign w:val="center"/>
          </w:tcPr>
          <w:p w14:paraId="3CC9867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差异</w:t>
            </w:r>
            <w:r>
              <w:rPr>
                <w:rFonts w:hint="eastAsia" w:ascii="仿宋" w:hAnsi="仿宋" w:eastAsia="仿宋" w:cs="仿宋"/>
                <w:color w:val="auto"/>
                <w:sz w:val="24"/>
                <w:szCs w:val="24"/>
                <w:highlight w:val="none"/>
              </w:rPr>
              <w:t>说明</w:t>
            </w:r>
          </w:p>
        </w:tc>
      </w:tr>
      <w:tr w14:paraId="710C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6EB6E5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10CFF2B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04FDEA1A">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28C40E8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5C34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89EC587">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09BCC99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5261810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51896BB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D4A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BA9149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6574DC0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2D923AF7">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04983DB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849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8C9926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4BF19D4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279A670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0BEBCFA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3FF5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D8F2BDB">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21EB717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54C2C3A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73AA900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394A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5DC88E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7823BBB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6C7616D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4E092B9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bl>
    <w:p w14:paraId="058485E5">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                          </w:t>
      </w:r>
      <w:r>
        <w:rPr>
          <w:rFonts w:hint="eastAsia" w:ascii="仿宋" w:hAnsi="仿宋" w:eastAsia="仿宋" w:cs="仿宋"/>
          <w:color w:val="auto"/>
          <w:sz w:val="24"/>
          <w:szCs w:val="24"/>
          <w:highlight w:val="none"/>
          <w:lang w:val="en-US" w:eastAsia="zh-CN"/>
        </w:rPr>
        <w:t>法定代表人或</w:t>
      </w:r>
      <w:r>
        <w:rPr>
          <w:rFonts w:hint="eastAsia" w:ascii="仿宋" w:hAnsi="仿宋" w:eastAsia="仿宋" w:cs="仿宋"/>
          <w:color w:val="auto"/>
          <w:sz w:val="24"/>
          <w:szCs w:val="24"/>
          <w:highlight w:val="none"/>
        </w:rPr>
        <w:t>法定代表人授权代表：</w:t>
      </w:r>
    </w:p>
    <w:p w14:paraId="0493F917">
      <w:pPr>
        <w:spacing w:line="5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14:paraId="5391B2F7">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73B348A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1A01A939">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篇 项目商务</w:t>
      </w:r>
      <w:r>
        <w:rPr>
          <w:rFonts w:hint="eastAsia" w:ascii="仿宋" w:hAnsi="仿宋" w:eastAsia="仿宋" w:cs="仿宋"/>
          <w:color w:val="auto"/>
          <w:sz w:val="24"/>
          <w:szCs w:val="24"/>
          <w:highlight w:val="none"/>
          <w:lang w:val="en-US" w:eastAsia="zh-CN"/>
        </w:rPr>
        <w:t>要</w:t>
      </w:r>
      <w:r>
        <w:rPr>
          <w:rFonts w:hint="eastAsia" w:ascii="仿宋" w:hAnsi="仿宋" w:eastAsia="仿宋" w:cs="仿宋"/>
          <w:color w:val="auto"/>
          <w:sz w:val="24"/>
          <w:szCs w:val="24"/>
          <w:highlight w:val="none"/>
        </w:rPr>
        <w:t>求”中</w:t>
      </w:r>
      <w:r>
        <w:rPr>
          <w:rFonts w:hint="eastAsia" w:ascii="仿宋" w:hAnsi="仿宋" w:eastAsia="仿宋" w:cs="仿宋"/>
          <w:color w:val="auto"/>
          <w:kern w:val="2"/>
          <w:sz w:val="24"/>
          <w:szCs w:val="24"/>
          <w:highlight w:val="none"/>
          <w:lang w:val="en-US" w:eastAsia="zh-CN" w:bidi="ar-SA"/>
        </w:rPr>
        <w:t>的内容</w:t>
      </w:r>
      <w:r>
        <w:rPr>
          <w:rFonts w:hint="eastAsia" w:ascii="仿宋" w:hAnsi="仿宋" w:eastAsia="仿宋" w:cs="仿宋"/>
          <w:color w:val="auto"/>
          <w:sz w:val="24"/>
          <w:szCs w:val="24"/>
          <w:highlight w:val="none"/>
        </w:rPr>
        <w:t>进行比较和响应；</w:t>
      </w:r>
    </w:p>
    <w:p w14:paraId="23F87DDD">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2.该表必须按照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要求逐条如实填写，根据响应情况在“差异说明”项填写正偏离或负偏离及原因，完全符合的填写“无差异”；</w:t>
      </w:r>
    </w:p>
    <w:p w14:paraId="43790594">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3.该表可扩展，并逐页签字或盖章；</w:t>
      </w:r>
    </w:p>
    <w:p w14:paraId="766A1EF5">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highlight w:val="none"/>
        </w:rPr>
        <w:br w:type="page"/>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商务部分相关证明材料</w:t>
      </w:r>
    </w:p>
    <w:p w14:paraId="4A1E5746">
      <w:pPr>
        <w:pStyle w:val="8"/>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供应商根据招标文件“第四篇 资格审查及评标办法”中商务部分的评审标准编制，</w:t>
      </w:r>
      <w:r>
        <w:rPr>
          <w:rFonts w:hint="eastAsia" w:ascii="仿宋" w:hAnsi="仿宋" w:eastAsia="仿宋" w:cs="仿宋"/>
          <w:color w:val="auto"/>
          <w:sz w:val="24"/>
          <w:szCs w:val="24"/>
          <w:highlight w:val="none"/>
        </w:rPr>
        <w:t>格式自拟</w:t>
      </w:r>
      <w:r>
        <w:rPr>
          <w:rFonts w:hint="eastAsia" w:ascii="仿宋" w:hAnsi="仿宋" w:eastAsia="仿宋" w:cs="仿宋"/>
          <w:color w:val="auto"/>
          <w:sz w:val="24"/>
          <w:szCs w:val="24"/>
          <w:highlight w:val="none"/>
          <w:lang w:eastAsia="zh-CN"/>
        </w:rPr>
        <w:t>。</w:t>
      </w:r>
    </w:p>
    <w:p w14:paraId="5C590135">
      <w:pPr>
        <w:spacing w:line="380" w:lineRule="exact"/>
        <w:ind w:firstLine="240" w:firstLineChars="100"/>
        <w:rPr>
          <w:rFonts w:hint="eastAsia" w:ascii="仿宋" w:hAnsi="仿宋" w:eastAsia="仿宋" w:cs="仿宋"/>
          <w:color w:val="auto"/>
          <w:sz w:val="24"/>
          <w:szCs w:val="24"/>
          <w:highlight w:val="none"/>
          <w:lang w:eastAsia="zh-CN"/>
        </w:rPr>
      </w:pPr>
    </w:p>
    <w:p w14:paraId="74DFF27A">
      <w:pPr>
        <w:spacing w:line="38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其它（格式自定）</w:t>
      </w:r>
    </w:p>
    <w:p w14:paraId="3D56F206">
      <w:pPr>
        <w:pStyle w:val="4"/>
        <w:spacing w:before="0" w:after="0" w:line="360" w:lineRule="auto"/>
        <w:rPr>
          <w:rFonts w:hint="eastAsia" w:ascii="仿宋" w:hAnsi="仿宋" w:eastAsia="仿宋" w:cs="仿宋"/>
          <w:color w:val="auto"/>
          <w:sz w:val="28"/>
          <w:szCs w:val="28"/>
          <w:highlight w:val="none"/>
        </w:rPr>
      </w:pPr>
      <w:r>
        <w:rPr>
          <w:rFonts w:hint="eastAsia" w:ascii="仿宋" w:hAnsi="仿宋" w:eastAsia="仿宋" w:cs="仿宋"/>
          <w:b w:val="0"/>
          <w:color w:val="auto"/>
          <w:sz w:val="28"/>
          <w:szCs w:val="28"/>
          <w:highlight w:val="none"/>
        </w:rPr>
        <w:br w:type="page"/>
      </w:r>
      <w:bookmarkStart w:id="122" w:name="_Toc486585243"/>
      <w:bookmarkStart w:id="123" w:name="_Toc23557"/>
      <w:bookmarkStart w:id="124" w:name="_Toc486608280"/>
      <w:bookmarkStart w:id="125" w:name="_Toc8290"/>
      <w:bookmarkStart w:id="126" w:name="_Toc487204800"/>
      <w:bookmarkStart w:id="127" w:name="_Toc21733"/>
      <w:r>
        <w:rPr>
          <w:rFonts w:hint="eastAsia" w:ascii="仿宋" w:hAnsi="仿宋" w:eastAsia="仿宋" w:cs="仿宋"/>
          <w:color w:val="auto"/>
          <w:sz w:val="28"/>
          <w:szCs w:val="28"/>
          <w:highlight w:val="none"/>
        </w:rPr>
        <w:t>四、资格条件及其他</w:t>
      </w:r>
      <w:bookmarkEnd w:id="122"/>
      <w:bookmarkEnd w:id="123"/>
      <w:bookmarkEnd w:id="124"/>
      <w:bookmarkEnd w:id="125"/>
      <w:bookmarkEnd w:id="126"/>
      <w:bookmarkEnd w:id="127"/>
    </w:p>
    <w:p w14:paraId="1978FF46">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00F1629C">
      <w:pPr>
        <w:tabs>
          <w:tab w:val="left" w:pos="6300"/>
        </w:tabs>
        <w:snapToGrid w:val="0"/>
        <w:spacing w:line="360" w:lineRule="auto"/>
        <w:ind w:firstLine="570"/>
        <w:rPr>
          <w:rFonts w:hint="eastAsia" w:ascii="仿宋" w:hAnsi="仿宋" w:eastAsia="仿宋" w:cs="仿宋"/>
          <w:color w:val="auto"/>
          <w:sz w:val="24"/>
          <w:szCs w:val="24"/>
          <w:highlight w:val="none"/>
        </w:rPr>
      </w:pPr>
    </w:p>
    <w:p w14:paraId="15C9E122">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（二）组织机构代码证复印件</w:t>
      </w:r>
    </w:p>
    <w:p w14:paraId="76E5FD1D">
      <w:pPr>
        <w:tabs>
          <w:tab w:val="left" w:pos="6300"/>
        </w:tabs>
        <w:snapToGrid w:val="0"/>
        <w:spacing w:line="380" w:lineRule="exact"/>
        <w:ind w:firstLine="570"/>
        <w:rPr>
          <w:rFonts w:hint="eastAsia" w:ascii="仿宋" w:hAnsi="仿宋" w:eastAsia="仿宋" w:cs="仿宋"/>
          <w:color w:val="auto"/>
          <w:sz w:val="24"/>
          <w:szCs w:val="24"/>
          <w:highlight w:val="none"/>
        </w:rPr>
      </w:pPr>
    </w:p>
    <w:p w14:paraId="0C88E4C0">
      <w:pPr>
        <w:widowControl/>
        <w:spacing w:line="360" w:lineRule="auto"/>
        <w:ind w:firstLine="56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（三）法定代表人身份证明书（格式）</w:t>
      </w:r>
    </w:p>
    <w:p w14:paraId="126587B0">
      <w:pPr>
        <w:tabs>
          <w:tab w:val="left" w:pos="6300"/>
        </w:tabs>
        <w:snapToGrid w:val="0"/>
        <w:spacing w:line="360" w:lineRule="auto"/>
        <w:ind w:firstLine="570"/>
        <w:rPr>
          <w:rFonts w:hint="eastAsia" w:ascii="仿宋" w:hAnsi="仿宋" w:eastAsia="仿宋" w:cs="仿宋"/>
          <w:color w:val="auto"/>
          <w:sz w:val="24"/>
          <w:szCs w:val="24"/>
          <w:highlight w:val="none"/>
        </w:rPr>
      </w:pPr>
    </w:p>
    <w:p w14:paraId="15245FA9">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33F9291E">
      <w:pPr>
        <w:tabs>
          <w:tab w:val="left" w:pos="6300"/>
        </w:tabs>
        <w:snapToGrid w:val="0"/>
        <w:spacing w:line="360" w:lineRule="auto"/>
        <w:ind w:firstLine="570"/>
        <w:rPr>
          <w:rFonts w:hint="eastAsia" w:ascii="仿宋" w:hAnsi="仿宋" w:eastAsia="仿宋" w:cs="仿宋"/>
          <w:color w:val="auto"/>
          <w:sz w:val="24"/>
          <w:szCs w:val="24"/>
          <w:highlight w:val="none"/>
        </w:rPr>
      </w:pPr>
    </w:p>
    <w:p w14:paraId="343E1770">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1221B4A2">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（法定代表人姓名）</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任</w:t>
      </w:r>
      <w:r>
        <w:rPr>
          <w:rFonts w:hint="eastAsia" w:ascii="仿宋" w:hAnsi="仿宋" w:eastAsia="仿宋" w:cs="仿宋"/>
          <w:color w:val="auto"/>
          <w:sz w:val="24"/>
          <w:szCs w:val="24"/>
          <w:highlight w:val="none"/>
          <w:u w:val="single"/>
        </w:rPr>
        <w:t>（职务名称）</w:t>
      </w:r>
      <w:r>
        <w:rPr>
          <w:rFonts w:hint="eastAsia" w:ascii="仿宋" w:hAnsi="仿宋" w:eastAsia="仿宋" w:cs="仿宋"/>
          <w:color w:val="auto"/>
          <w:sz w:val="24"/>
          <w:szCs w:val="24"/>
          <w:highlight w:val="none"/>
        </w:rPr>
        <w:t>职务，是</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的法定代表人。</w:t>
      </w:r>
    </w:p>
    <w:p w14:paraId="1EC91C64">
      <w:pPr>
        <w:tabs>
          <w:tab w:val="left" w:pos="6300"/>
        </w:tabs>
        <w:snapToGrid w:val="0"/>
        <w:spacing w:line="360" w:lineRule="auto"/>
        <w:ind w:firstLine="570"/>
        <w:rPr>
          <w:rFonts w:hint="eastAsia" w:ascii="仿宋" w:hAnsi="仿宋" w:eastAsia="仿宋" w:cs="仿宋"/>
          <w:color w:val="auto"/>
          <w:sz w:val="24"/>
          <w:szCs w:val="24"/>
          <w:highlight w:val="none"/>
        </w:rPr>
      </w:pPr>
    </w:p>
    <w:p w14:paraId="0C6C64EE">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4F8FF19F">
      <w:pPr>
        <w:tabs>
          <w:tab w:val="left" w:pos="6300"/>
        </w:tabs>
        <w:snapToGrid w:val="0"/>
        <w:spacing w:line="360" w:lineRule="auto"/>
        <w:ind w:firstLine="570"/>
        <w:rPr>
          <w:rFonts w:hint="eastAsia" w:ascii="仿宋" w:hAnsi="仿宋" w:eastAsia="仿宋" w:cs="仿宋"/>
          <w:color w:val="auto"/>
          <w:sz w:val="24"/>
          <w:szCs w:val="24"/>
          <w:highlight w:val="none"/>
        </w:rPr>
      </w:pPr>
    </w:p>
    <w:p w14:paraId="4287E17D">
      <w:pPr>
        <w:tabs>
          <w:tab w:val="left" w:pos="6300"/>
        </w:tabs>
        <w:snapToGrid w:val="0"/>
        <w:spacing w:line="360" w:lineRule="auto"/>
        <w:ind w:firstLine="570"/>
        <w:rPr>
          <w:rFonts w:hint="eastAsia" w:ascii="仿宋" w:hAnsi="仿宋" w:eastAsia="仿宋" w:cs="仿宋"/>
          <w:color w:val="auto"/>
          <w:sz w:val="24"/>
          <w:szCs w:val="24"/>
          <w:highlight w:val="none"/>
        </w:rPr>
      </w:pPr>
    </w:p>
    <w:p w14:paraId="0BB8F68F">
      <w:pPr>
        <w:tabs>
          <w:tab w:val="left" w:pos="6300"/>
        </w:tabs>
        <w:snapToGrid w:val="0"/>
        <w:spacing w:line="360" w:lineRule="auto"/>
        <w:ind w:firstLine="570"/>
        <w:rPr>
          <w:rFonts w:hint="eastAsia" w:ascii="仿宋" w:hAnsi="仿宋" w:eastAsia="仿宋" w:cs="仿宋"/>
          <w:color w:val="auto"/>
          <w:sz w:val="24"/>
          <w:szCs w:val="24"/>
          <w:highlight w:val="none"/>
        </w:rPr>
      </w:pPr>
    </w:p>
    <w:p w14:paraId="2396F2A3">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（供应商公章）</w:t>
      </w:r>
    </w:p>
    <w:p w14:paraId="2D5F1E8B">
      <w:pPr>
        <w:tabs>
          <w:tab w:val="left" w:pos="6300"/>
        </w:tabs>
        <w:snapToGrid w:val="0"/>
        <w:spacing w:line="360" w:lineRule="auto"/>
        <w:ind w:firstLine="570"/>
        <w:rPr>
          <w:rFonts w:hint="eastAsia" w:ascii="仿宋" w:hAnsi="仿宋" w:eastAsia="仿宋" w:cs="仿宋"/>
          <w:color w:val="auto"/>
          <w:sz w:val="24"/>
          <w:szCs w:val="24"/>
          <w:highlight w:val="none"/>
        </w:rPr>
      </w:pPr>
    </w:p>
    <w:p w14:paraId="2364549F">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242937BD">
      <w:pPr>
        <w:tabs>
          <w:tab w:val="left" w:pos="6300"/>
        </w:tabs>
        <w:snapToGrid w:val="0"/>
        <w:spacing w:line="360" w:lineRule="auto"/>
        <w:ind w:firstLine="570"/>
        <w:rPr>
          <w:rFonts w:hint="eastAsia" w:ascii="仿宋" w:hAnsi="仿宋" w:eastAsia="仿宋" w:cs="仿宋"/>
          <w:color w:val="auto"/>
          <w:sz w:val="24"/>
          <w:szCs w:val="24"/>
          <w:highlight w:val="none"/>
        </w:rPr>
      </w:pPr>
    </w:p>
    <w:p w14:paraId="5C28C411">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w:t>
      </w:r>
      <w:r>
        <w:rPr>
          <w:rFonts w:hint="eastAsia" w:ascii="仿宋" w:hAnsi="仿宋" w:eastAsia="仿宋" w:cs="仿宋"/>
          <w:color w:val="auto"/>
          <w:sz w:val="24"/>
          <w:szCs w:val="24"/>
          <w:highlight w:val="none"/>
          <w:lang w:val="en-US" w:eastAsia="zh-CN"/>
        </w:rPr>
        <w:t>双</w:t>
      </w:r>
      <w:r>
        <w:rPr>
          <w:rFonts w:hint="eastAsia" w:ascii="仿宋" w:hAnsi="仿宋" w:eastAsia="仿宋" w:cs="仿宋"/>
          <w:color w:val="auto"/>
          <w:sz w:val="24"/>
          <w:szCs w:val="24"/>
          <w:highlight w:val="none"/>
        </w:rPr>
        <w:t>面复印件）</w:t>
      </w:r>
    </w:p>
    <w:p w14:paraId="5E8312CF">
      <w:pPr>
        <w:tabs>
          <w:tab w:val="left" w:pos="6300"/>
        </w:tabs>
        <w:snapToGrid w:val="0"/>
        <w:spacing w:line="360" w:lineRule="auto"/>
        <w:ind w:firstLine="570"/>
        <w:rPr>
          <w:rFonts w:hint="eastAsia" w:ascii="仿宋" w:hAnsi="仿宋" w:eastAsia="仿宋" w:cs="仿宋"/>
          <w:color w:val="auto"/>
          <w:sz w:val="24"/>
          <w:szCs w:val="24"/>
          <w:highlight w:val="none"/>
        </w:rPr>
      </w:pPr>
    </w:p>
    <w:p w14:paraId="195102C9">
      <w:pPr>
        <w:tabs>
          <w:tab w:val="left" w:pos="6300"/>
        </w:tabs>
        <w:snapToGrid w:val="0"/>
        <w:spacing w:line="380" w:lineRule="exact"/>
        <w:ind w:firstLine="570"/>
        <w:rPr>
          <w:rFonts w:hint="eastAsia" w:ascii="仿宋" w:hAnsi="仿宋" w:eastAsia="仿宋" w:cs="仿宋"/>
          <w:color w:val="auto"/>
          <w:highlight w:val="none"/>
        </w:rPr>
      </w:pPr>
    </w:p>
    <w:p w14:paraId="6BB94C24">
      <w:pPr>
        <w:tabs>
          <w:tab w:val="left" w:pos="6300"/>
        </w:tabs>
        <w:snapToGrid w:val="0"/>
        <w:spacing w:line="380" w:lineRule="exact"/>
        <w:ind w:firstLine="570"/>
        <w:rPr>
          <w:rFonts w:hint="eastAsia" w:ascii="仿宋" w:hAnsi="仿宋" w:eastAsia="仿宋" w:cs="仿宋"/>
          <w:color w:val="auto"/>
          <w:highlight w:val="none"/>
        </w:rPr>
      </w:pPr>
    </w:p>
    <w:p w14:paraId="1ABC0CD2">
      <w:pPr>
        <w:tabs>
          <w:tab w:val="left" w:pos="6300"/>
        </w:tabs>
        <w:snapToGrid w:val="0"/>
        <w:spacing w:line="380" w:lineRule="exact"/>
        <w:ind w:firstLine="570"/>
        <w:rPr>
          <w:rFonts w:hint="eastAsia" w:ascii="仿宋" w:hAnsi="仿宋" w:eastAsia="仿宋" w:cs="仿宋"/>
          <w:color w:val="auto"/>
          <w:highlight w:val="none"/>
        </w:rPr>
      </w:pPr>
    </w:p>
    <w:p w14:paraId="44C961EF">
      <w:pPr>
        <w:tabs>
          <w:tab w:val="left" w:pos="6300"/>
        </w:tabs>
        <w:snapToGrid w:val="0"/>
        <w:spacing w:line="380" w:lineRule="exact"/>
        <w:ind w:firstLine="570"/>
        <w:rPr>
          <w:rFonts w:hint="eastAsia" w:ascii="仿宋" w:hAnsi="仿宋" w:eastAsia="仿宋" w:cs="仿宋"/>
          <w:color w:val="auto"/>
          <w:highlight w:val="none"/>
        </w:rPr>
      </w:pPr>
    </w:p>
    <w:p w14:paraId="24C7E226">
      <w:pPr>
        <w:tabs>
          <w:tab w:val="left" w:pos="6300"/>
        </w:tabs>
        <w:snapToGrid w:val="0"/>
        <w:spacing w:line="380" w:lineRule="exact"/>
        <w:ind w:firstLine="570"/>
        <w:rPr>
          <w:rFonts w:hint="eastAsia" w:ascii="仿宋" w:hAnsi="仿宋" w:eastAsia="仿宋" w:cs="仿宋"/>
          <w:color w:val="auto"/>
          <w:highlight w:val="none"/>
        </w:rPr>
      </w:pPr>
    </w:p>
    <w:p w14:paraId="0856A9F9">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（四）法定代表人授权委托书（格式）</w:t>
      </w:r>
    </w:p>
    <w:p w14:paraId="49288510">
      <w:pPr>
        <w:tabs>
          <w:tab w:val="left" w:pos="6300"/>
        </w:tabs>
        <w:snapToGrid w:val="0"/>
        <w:spacing w:line="360" w:lineRule="auto"/>
        <w:ind w:firstLine="570"/>
        <w:rPr>
          <w:rFonts w:hint="eastAsia" w:ascii="仿宋" w:hAnsi="仿宋" w:eastAsia="仿宋" w:cs="仿宋"/>
          <w:color w:val="auto"/>
          <w:sz w:val="24"/>
          <w:szCs w:val="24"/>
          <w:highlight w:val="none"/>
        </w:rPr>
      </w:pPr>
    </w:p>
    <w:p w14:paraId="3607FC6F">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62B1D0ED">
      <w:pPr>
        <w:tabs>
          <w:tab w:val="left" w:pos="6300"/>
        </w:tabs>
        <w:snapToGrid w:val="0"/>
        <w:spacing w:line="360" w:lineRule="auto"/>
        <w:ind w:firstLine="570"/>
        <w:rPr>
          <w:rFonts w:hint="eastAsia" w:ascii="仿宋" w:hAnsi="仿宋" w:eastAsia="仿宋" w:cs="仿宋"/>
          <w:color w:val="auto"/>
          <w:sz w:val="24"/>
          <w:szCs w:val="24"/>
          <w:highlight w:val="none"/>
        </w:rPr>
      </w:pPr>
    </w:p>
    <w:p w14:paraId="477E5020">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009DDF83">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（供应商法定代表人名称）</w:t>
      </w:r>
      <w:r>
        <w:rPr>
          <w:rFonts w:hint="eastAsia" w:ascii="仿宋" w:hAnsi="仿宋" w:eastAsia="仿宋" w:cs="仿宋"/>
          <w:color w:val="auto"/>
          <w:sz w:val="24"/>
          <w:szCs w:val="24"/>
          <w:highlight w:val="none"/>
        </w:rPr>
        <w:t>是</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的法定代表人，特授权</w:t>
      </w:r>
      <w:r>
        <w:rPr>
          <w:rFonts w:hint="eastAsia" w:ascii="仿宋" w:hAnsi="仿宋" w:eastAsia="仿宋" w:cs="仿宋"/>
          <w:color w:val="auto"/>
          <w:sz w:val="24"/>
          <w:szCs w:val="24"/>
          <w:highlight w:val="none"/>
          <w:u w:val="single"/>
        </w:rPr>
        <w:t>（被授权人姓名及身份证代码）</w:t>
      </w:r>
      <w:r>
        <w:rPr>
          <w:rFonts w:hint="eastAsia" w:ascii="仿宋" w:hAnsi="仿宋" w:eastAsia="仿宋" w:cs="仿宋"/>
          <w:color w:val="auto"/>
          <w:sz w:val="24"/>
          <w:szCs w:val="24"/>
          <w:highlight w:val="none"/>
        </w:rPr>
        <w:t>代表我单位全权办理上述项目的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、签约等具体工作，并签署全部有关文件、协议及合同。</w:t>
      </w:r>
    </w:p>
    <w:p w14:paraId="78FF5A42">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2E22FA2E">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235DAFD7">
      <w:pPr>
        <w:tabs>
          <w:tab w:val="left" w:pos="6300"/>
        </w:tabs>
        <w:snapToGrid w:val="0"/>
        <w:spacing w:line="360" w:lineRule="auto"/>
        <w:ind w:firstLine="570"/>
        <w:rPr>
          <w:rFonts w:hint="eastAsia" w:ascii="仿宋" w:hAnsi="仿宋" w:eastAsia="仿宋" w:cs="仿宋"/>
          <w:color w:val="auto"/>
          <w:sz w:val="24"/>
          <w:szCs w:val="24"/>
          <w:highlight w:val="none"/>
        </w:rPr>
      </w:pPr>
    </w:p>
    <w:p w14:paraId="02F432E4">
      <w:pPr>
        <w:tabs>
          <w:tab w:val="left" w:pos="6300"/>
        </w:tabs>
        <w:snapToGrid w:val="0"/>
        <w:spacing w:line="360" w:lineRule="auto"/>
        <w:ind w:firstLine="570"/>
        <w:rPr>
          <w:rFonts w:hint="eastAsia" w:ascii="仿宋" w:hAnsi="仿宋" w:eastAsia="仿宋" w:cs="仿宋"/>
          <w:color w:val="auto"/>
          <w:sz w:val="24"/>
          <w:szCs w:val="24"/>
          <w:highlight w:val="none"/>
        </w:rPr>
      </w:pPr>
    </w:p>
    <w:p w14:paraId="1096F350">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                                   供应商法定代表人：</w:t>
      </w:r>
    </w:p>
    <w:p w14:paraId="78B854DE">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053B92F6">
      <w:pPr>
        <w:tabs>
          <w:tab w:val="left" w:pos="6300"/>
        </w:tabs>
        <w:snapToGrid w:val="0"/>
        <w:spacing w:line="360" w:lineRule="auto"/>
        <w:ind w:firstLine="570"/>
        <w:rPr>
          <w:rFonts w:hint="eastAsia" w:ascii="仿宋" w:hAnsi="仿宋" w:eastAsia="仿宋" w:cs="仿宋"/>
          <w:color w:val="auto"/>
          <w:sz w:val="24"/>
          <w:szCs w:val="24"/>
          <w:highlight w:val="none"/>
        </w:rPr>
      </w:pPr>
    </w:p>
    <w:p w14:paraId="28066EF2">
      <w:pPr>
        <w:tabs>
          <w:tab w:val="left" w:pos="6300"/>
        </w:tabs>
        <w:snapToGrid w:val="0"/>
        <w:spacing w:line="360" w:lineRule="auto"/>
        <w:ind w:firstLine="570"/>
        <w:rPr>
          <w:rFonts w:hint="eastAsia" w:ascii="仿宋" w:hAnsi="仿宋" w:eastAsia="仿宋" w:cs="仿宋"/>
          <w:color w:val="auto"/>
          <w:sz w:val="24"/>
          <w:szCs w:val="24"/>
          <w:highlight w:val="none"/>
        </w:rPr>
      </w:pPr>
    </w:p>
    <w:p w14:paraId="37FF9CBD">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w:t>
      </w:r>
      <w:r>
        <w:rPr>
          <w:rFonts w:hint="eastAsia" w:ascii="仿宋" w:hAnsi="仿宋" w:eastAsia="仿宋" w:cs="仿宋"/>
          <w:color w:val="auto"/>
          <w:sz w:val="24"/>
          <w:szCs w:val="24"/>
          <w:highlight w:val="none"/>
          <w:lang w:val="en-US" w:eastAsia="zh-CN"/>
        </w:rPr>
        <w:t>双</w:t>
      </w:r>
      <w:r>
        <w:rPr>
          <w:rFonts w:hint="eastAsia" w:ascii="仿宋" w:hAnsi="仿宋" w:eastAsia="仿宋" w:cs="仿宋"/>
          <w:color w:val="auto"/>
          <w:sz w:val="24"/>
          <w:szCs w:val="24"/>
          <w:highlight w:val="none"/>
        </w:rPr>
        <w:t>面复印件）</w:t>
      </w:r>
    </w:p>
    <w:p w14:paraId="58273C82">
      <w:pPr>
        <w:tabs>
          <w:tab w:val="left" w:pos="6300"/>
        </w:tabs>
        <w:snapToGrid w:val="0"/>
        <w:spacing w:line="360" w:lineRule="auto"/>
        <w:ind w:firstLine="570"/>
        <w:rPr>
          <w:rFonts w:hint="eastAsia" w:ascii="仿宋" w:hAnsi="仿宋" w:eastAsia="仿宋" w:cs="仿宋"/>
          <w:color w:val="auto"/>
          <w:sz w:val="24"/>
          <w:szCs w:val="24"/>
          <w:highlight w:val="none"/>
        </w:rPr>
      </w:pPr>
    </w:p>
    <w:p w14:paraId="125CE410">
      <w:pPr>
        <w:tabs>
          <w:tab w:val="left" w:pos="6300"/>
        </w:tabs>
        <w:snapToGrid w:val="0"/>
        <w:spacing w:line="360" w:lineRule="auto"/>
        <w:ind w:firstLine="570"/>
        <w:rPr>
          <w:rFonts w:hint="eastAsia" w:ascii="仿宋" w:hAnsi="仿宋" w:eastAsia="仿宋" w:cs="仿宋"/>
          <w:color w:val="auto"/>
          <w:sz w:val="24"/>
          <w:szCs w:val="24"/>
          <w:highlight w:val="none"/>
        </w:rPr>
      </w:pPr>
    </w:p>
    <w:p w14:paraId="4E927B2C">
      <w:pPr>
        <w:tabs>
          <w:tab w:val="left" w:pos="6300"/>
        </w:tabs>
        <w:snapToGrid w:val="0"/>
        <w:spacing w:line="360" w:lineRule="auto"/>
        <w:ind w:firstLine="570"/>
        <w:rPr>
          <w:rFonts w:hint="eastAsia" w:ascii="仿宋" w:hAnsi="仿宋" w:eastAsia="仿宋" w:cs="仿宋"/>
          <w:color w:val="auto"/>
          <w:sz w:val="24"/>
          <w:szCs w:val="24"/>
          <w:highlight w:val="none"/>
        </w:rPr>
      </w:pPr>
    </w:p>
    <w:p w14:paraId="00FD3415">
      <w:pPr>
        <w:tabs>
          <w:tab w:val="left" w:pos="6300"/>
        </w:tabs>
        <w:snapToGrid w:val="0"/>
        <w:spacing w:line="360"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740D1C5E">
      <w:pPr>
        <w:tabs>
          <w:tab w:val="left" w:pos="6300"/>
        </w:tabs>
        <w:snapToGrid w:val="0"/>
        <w:spacing w:line="360"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74691816">
      <w:pPr>
        <w:pStyle w:val="8"/>
        <w:rPr>
          <w:rFonts w:hint="eastAsia" w:ascii="仿宋" w:hAnsi="仿宋" w:eastAsia="仿宋" w:cs="仿宋"/>
          <w:color w:val="auto"/>
          <w:highlight w:val="none"/>
        </w:rPr>
      </w:pPr>
    </w:p>
    <w:p w14:paraId="65DA159B">
      <w:pPr>
        <w:pStyle w:val="8"/>
        <w:rPr>
          <w:rFonts w:hint="eastAsia" w:ascii="仿宋" w:hAnsi="仿宋" w:eastAsia="仿宋" w:cs="仿宋"/>
          <w:color w:val="auto"/>
          <w:highlight w:val="none"/>
        </w:rPr>
      </w:pPr>
    </w:p>
    <w:p w14:paraId="4028824D">
      <w:pPr>
        <w:pStyle w:val="8"/>
        <w:rPr>
          <w:rFonts w:hint="eastAsia" w:ascii="仿宋" w:hAnsi="仿宋" w:eastAsia="仿宋" w:cs="仿宋"/>
          <w:color w:val="auto"/>
          <w:highlight w:val="none"/>
        </w:rPr>
      </w:pPr>
    </w:p>
    <w:p w14:paraId="1E42C64F">
      <w:pPr>
        <w:pStyle w:val="8"/>
        <w:rPr>
          <w:rFonts w:hint="eastAsia" w:ascii="仿宋" w:hAnsi="仿宋" w:eastAsia="仿宋" w:cs="仿宋"/>
          <w:color w:val="auto"/>
          <w:highlight w:val="none"/>
        </w:rPr>
      </w:pPr>
    </w:p>
    <w:p w14:paraId="7816D180">
      <w:pPr>
        <w:tabs>
          <w:tab w:val="left" w:pos="6300"/>
        </w:tabs>
        <w:snapToGrid w:val="0"/>
        <w:spacing w:line="360" w:lineRule="auto"/>
        <w:ind w:firstLine="570"/>
        <w:rPr>
          <w:rFonts w:hint="eastAsia" w:ascii="仿宋" w:hAnsi="仿宋" w:eastAsia="仿宋" w:cs="仿宋"/>
          <w:color w:val="auto"/>
          <w:highlight w:val="none"/>
        </w:rPr>
      </w:pPr>
    </w:p>
    <w:p w14:paraId="4639ECBB">
      <w:pPr>
        <w:tabs>
          <w:tab w:val="left" w:pos="6300"/>
        </w:tabs>
        <w:snapToGrid w:val="0"/>
        <w:spacing w:line="360" w:lineRule="auto"/>
        <w:ind w:firstLine="570"/>
        <w:rPr>
          <w:rFonts w:hint="eastAsia" w:ascii="仿宋" w:hAnsi="仿宋" w:eastAsia="仿宋" w:cs="仿宋"/>
          <w:color w:val="auto"/>
          <w:highlight w:val="none"/>
        </w:rPr>
      </w:pPr>
    </w:p>
    <w:p w14:paraId="5E27F157">
      <w:pPr>
        <w:tabs>
          <w:tab w:val="left" w:pos="6300"/>
        </w:tabs>
        <w:snapToGrid w:val="0"/>
        <w:spacing w:line="360" w:lineRule="auto"/>
        <w:ind w:firstLine="570"/>
        <w:rPr>
          <w:rFonts w:hint="eastAsia" w:ascii="仿宋" w:hAnsi="仿宋" w:eastAsia="仿宋" w:cs="仿宋"/>
          <w:color w:val="auto"/>
          <w:highlight w:val="none"/>
        </w:rPr>
      </w:pPr>
    </w:p>
    <w:p w14:paraId="2B0C115A">
      <w:pPr>
        <w:tabs>
          <w:tab w:val="left" w:pos="6300"/>
        </w:tabs>
        <w:snapToGrid w:val="0"/>
        <w:spacing w:line="360" w:lineRule="auto"/>
        <w:ind w:firstLine="570"/>
        <w:rPr>
          <w:rFonts w:hint="eastAsia" w:ascii="仿宋" w:hAnsi="仿宋" w:eastAsia="仿宋" w:cs="仿宋"/>
          <w:color w:val="auto"/>
          <w:highlight w:val="none"/>
        </w:rPr>
      </w:pPr>
    </w:p>
    <w:p w14:paraId="0F608C45">
      <w:pPr>
        <w:pStyle w:val="41"/>
        <w:spacing w:line="360" w:lineRule="auto"/>
        <w:ind w:left="0" w:leftChars="0" w:firstLine="0" w:firstLineChars="0"/>
        <w:jc w:val="center"/>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lang w:val="en-US" w:eastAsia="zh-CN"/>
        </w:rPr>
        <w:t>五</w:t>
      </w:r>
      <w:r>
        <w:rPr>
          <w:rFonts w:hint="eastAsia" w:ascii="仿宋" w:hAnsi="仿宋" w:eastAsia="仿宋" w:cs="仿宋"/>
          <w:color w:val="auto"/>
          <w:sz w:val="24"/>
          <w:szCs w:val="20"/>
          <w:highlight w:val="none"/>
        </w:rPr>
        <w:t>）</w:t>
      </w:r>
      <w:r>
        <w:rPr>
          <w:rFonts w:hint="eastAsia" w:ascii="仿宋" w:hAnsi="仿宋" w:eastAsia="仿宋" w:cs="仿宋"/>
          <w:strike w:val="0"/>
          <w:dstrike w:val="0"/>
          <w:color w:val="auto"/>
          <w:sz w:val="24"/>
          <w:highlight w:val="none"/>
        </w:rPr>
        <w:t>基本资格条件承诺函</w:t>
      </w:r>
    </w:p>
    <w:p w14:paraId="0EE6BE2C">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项目名称：</w:t>
      </w:r>
    </w:p>
    <w:p w14:paraId="416EC4EA">
      <w:pPr>
        <w:tabs>
          <w:tab w:val="left" w:pos="6300"/>
        </w:tabs>
        <w:snapToGrid w:val="0"/>
        <w:spacing w:line="360" w:lineRule="auto"/>
        <w:ind w:firstLine="570"/>
        <w:rPr>
          <w:rFonts w:hint="eastAsia" w:ascii="仿宋" w:hAnsi="仿宋" w:eastAsia="仿宋" w:cs="仿宋"/>
          <w:color w:val="auto"/>
          <w:sz w:val="24"/>
          <w:szCs w:val="28"/>
          <w:highlight w:val="none"/>
        </w:rPr>
      </w:pPr>
    </w:p>
    <w:p w14:paraId="297D2762">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致：</w:t>
      </w:r>
      <w:r>
        <w:rPr>
          <w:rFonts w:hint="eastAsia" w:ascii="仿宋" w:hAnsi="仿宋" w:eastAsia="仿宋" w:cs="仿宋"/>
          <w:color w:val="auto"/>
          <w:sz w:val="24"/>
          <w:szCs w:val="28"/>
          <w:highlight w:val="none"/>
          <w:u w:val="single"/>
          <w:lang w:val="en-US" w:eastAsia="zh-CN"/>
        </w:rPr>
        <w:t xml:space="preserve">             </w:t>
      </w:r>
      <w:r>
        <w:rPr>
          <w:rFonts w:hint="eastAsia" w:ascii="仿宋" w:hAnsi="仿宋" w:eastAsia="仿宋" w:cs="仿宋"/>
          <w:color w:val="auto"/>
          <w:sz w:val="24"/>
          <w:szCs w:val="28"/>
          <w:highlight w:val="none"/>
        </w:rPr>
        <w:t>（采购</w:t>
      </w:r>
      <w:r>
        <w:rPr>
          <w:rFonts w:hint="eastAsia" w:ascii="仿宋" w:hAnsi="仿宋" w:eastAsia="仿宋" w:cs="仿宋"/>
          <w:color w:val="auto"/>
          <w:sz w:val="24"/>
          <w:szCs w:val="28"/>
          <w:highlight w:val="none"/>
          <w:lang w:eastAsia="zh-CN"/>
        </w:rPr>
        <w:t>人</w:t>
      </w:r>
      <w:r>
        <w:rPr>
          <w:rFonts w:hint="eastAsia" w:ascii="仿宋" w:hAnsi="仿宋" w:eastAsia="仿宋" w:cs="仿宋"/>
          <w:color w:val="auto"/>
          <w:sz w:val="24"/>
          <w:szCs w:val="28"/>
          <w:highlight w:val="none"/>
        </w:rPr>
        <w:t>名称）</w:t>
      </w:r>
    </w:p>
    <w:p w14:paraId="1EAFDC23">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（供应商名称）郑重承诺：</w:t>
      </w:r>
    </w:p>
    <w:p w14:paraId="2661A906">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13231952">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DCE9F11">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7AD06F50">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3A3D0B7F">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00AF2D24">
      <w:pPr>
        <w:tabs>
          <w:tab w:val="left" w:pos="6300"/>
        </w:tabs>
        <w:snapToGrid w:val="0"/>
        <w:spacing w:line="360" w:lineRule="auto"/>
        <w:ind w:firstLine="480" w:firstLineChars="200"/>
        <w:rPr>
          <w:rFonts w:hint="eastAsia" w:ascii="仿宋" w:hAnsi="仿宋" w:eastAsia="仿宋" w:cs="仿宋"/>
          <w:color w:val="auto"/>
          <w:sz w:val="24"/>
          <w:szCs w:val="28"/>
          <w:highlight w:val="none"/>
        </w:rPr>
      </w:pPr>
    </w:p>
    <w:p w14:paraId="6FDE107C">
      <w:pPr>
        <w:tabs>
          <w:tab w:val="left" w:pos="6300"/>
        </w:tabs>
        <w:snapToGrid w:val="0"/>
        <w:spacing w:line="360" w:lineRule="auto"/>
        <w:ind w:firstLine="570"/>
        <w:rPr>
          <w:rFonts w:hint="eastAsia" w:ascii="仿宋" w:hAnsi="仿宋" w:eastAsia="仿宋" w:cs="仿宋"/>
          <w:color w:val="auto"/>
          <w:sz w:val="24"/>
          <w:szCs w:val="28"/>
          <w:highlight w:val="none"/>
        </w:rPr>
      </w:pPr>
    </w:p>
    <w:p w14:paraId="31423572">
      <w:pPr>
        <w:tabs>
          <w:tab w:val="left" w:pos="6300"/>
        </w:tabs>
        <w:snapToGrid w:val="0"/>
        <w:spacing w:line="360" w:lineRule="auto"/>
        <w:ind w:firstLine="570"/>
        <w:rPr>
          <w:rFonts w:hint="eastAsia" w:ascii="仿宋" w:hAnsi="仿宋" w:eastAsia="仿宋" w:cs="仿宋"/>
          <w:color w:val="auto"/>
          <w:sz w:val="24"/>
          <w:szCs w:val="28"/>
          <w:highlight w:val="none"/>
        </w:rPr>
      </w:pPr>
    </w:p>
    <w:p w14:paraId="324E47A8">
      <w:pPr>
        <w:tabs>
          <w:tab w:val="left" w:pos="6300"/>
        </w:tabs>
        <w:snapToGrid w:val="0"/>
        <w:spacing w:line="360" w:lineRule="auto"/>
        <w:ind w:right="424" w:firstLine="570"/>
        <w:jc w:val="righ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w:t>
      </w:r>
    </w:p>
    <w:p w14:paraId="0C4CBCE1">
      <w:pPr>
        <w:tabs>
          <w:tab w:val="left" w:pos="6300"/>
        </w:tabs>
        <w:snapToGrid w:val="0"/>
        <w:spacing w:line="360" w:lineRule="auto"/>
        <w:ind w:right="480" w:firstLine="570"/>
        <w:jc w:val="righ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年   月   日</w:t>
      </w:r>
    </w:p>
    <w:p w14:paraId="309808FA">
      <w:pPr>
        <w:tabs>
          <w:tab w:val="left" w:pos="6300"/>
        </w:tabs>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highlight w:val="none"/>
        </w:rPr>
        <w:br w:type="page"/>
      </w:r>
    </w:p>
    <w:p w14:paraId="4D31F43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（六）特定资格条件证明</w:t>
      </w:r>
    </w:p>
    <w:p w14:paraId="238B8F4C">
      <w:pPr>
        <w:pStyle w:val="4"/>
        <w:numPr>
          <w:ilvl w:val="0"/>
          <w:numId w:val="6"/>
        </w:num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128" w:name="_Toc29032"/>
      <w:bookmarkStart w:id="129" w:name="_Toc487204801"/>
      <w:bookmarkStart w:id="130" w:name="_Toc486608281"/>
      <w:bookmarkStart w:id="131" w:name="_Toc486585244"/>
      <w:bookmarkStart w:id="132" w:name="_Toc22647"/>
      <w:bookmarkStart w:id="133" w:name="_Toc11824"/>
      <w:r>
        <w:rPr>
          <w:rFonts w:hint="eastAsia" w:ascii="仿宋" w:hAnsi="仿宋" w:eastAsia="仿宋" w:cs="仿宋"/>
          <w:color w:val="auto"/>
          <w:sz w:val="28"/>
          <w:szCs w:val="28"/>
          <w:highlight w:val="none"/>
        </w:rPr>
        <w:t>其他应提供的资料</w:t>
      </w:r>
      <w:bookmarkEnd w:id="128"/>
      <w:bookmarkEnd w:id="129"/>
      <w:bookmarkEnd w:id="130"/>
      <w:bookmarkEnd w:id="131"/>
      <w:bookmarkEnd w:id="132"/>
      <w:bookmarkEnd w:id="133"/>
    </w:p>
    <w:p w14:paraId="5458C072">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w:t>
      </w:r>
    </w:p>
    <w:p w14:paraId="6C6A8C77">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其他与项目有关的资料（自附）：其他与本项目有关的资料等。</w:t>
      </w:r>
    </w:p>
    <w:p w14:paraId="0AECBB11">
      <w:pPr>
        <w:tabs>
          <w:tab w:val="left" w:pos="6300"/>
        </w:tabs>
        <w:snapToGrid w:val="0"/>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（结束）</w:t>
      </w:r>
    </w:p>
    <w:p w14:paraId="2D071837">
      <w:pPr>
        <w:pStyle w:val="8"/>
        <w:rPr>
          <w:rFonts w:hint="eastAsia" w:ascii="仿宋" w:hAnsi="仿宋" w:eastAsia="仿宋" w:cs="仿宋"/>
          <w:color w:val="auto"/>
          <w:highlight w:val="none"/>
        </w:rPr>
      </w:pPr>
    </w:p>
    <w:p w14:paraId="574CCC37">
      <w:pPr>
        <w:pStyle w:val="8"/>
        <w:rPr>
          <w:rFonts w:hint="eastAsia" w:ascii="仿宋" w:hAnsi="仿宋" w:eastAsia="仿宋" w:cs="仿宋"/>
          <w:color w:val="auto"/>
          <w:highlight w:val="none"/>
        </w:rPr>
      </w:pPr>
    </w:p>
    <w:p w14:paraId="3FB4ABBF">
      <w:pPr>
        <w:pStyle w:val="8"/>
        <w:rPr>
          <w:rFonts w:hint="eastAsia" w:ascii="仿宋" w:hAnsi="仿宋" w:eastAsia="仿宋" w:cs="仿宋"/>
          <w:color w:val="auto"/>
          <w:highlight w:val="none"/>
        </w:rPr>
      </w:pPr>
    </w:p>
    <w:p w14:paraId="23FBC8FB">
      <w:pPr>
        <w:pStyle w:val="42"/>
        <w:jc w:val="both"/>
        <w:outlineLvl w:val="9"/>
        <w:rPr>
          <w:rFonts w:hint="eastAsia" w:ascii="仿宋" w:hAnsi="仿宋" w:eastAsia="仿宋" w:cs="仿宋"/>
          <w:color w:val="auto"/>
          <w:sz w:val="36"/>
          <w:szCs w:val="36"/>
          <w:highlight w:val="none"/>
        </w:rPr>
      </w:pPr>
      <w:bookmarkStart w:id="134" w:name="_Toc23244"/>
      <w:bookmarkStart w:id="135" w:name="_Toc3096"/>
    </w:p>
    <w:p w14:paraId="53BC13D6">
      <w:pPr>
        <w:pStyle w:val="42"/>
        <w:jc w:val="both"/>
        <w:outlineLvl w:val="9"/>
        <w:rPr>
          <w:rFonts w:hint="eastAsia" w:ascii="仿宋" w:hAnsi="仿宋" w:eastAsia="仿宋" w:cs="仿宋"/>
          <w:color w:val="auto"/>
          <w:sz w:val="36"/>
          <w:szCs w:val="36"/>
          <w:highlight w:val="none"/>
        </w:rPr>
      </w:pPr>
    </w:p>
    <w:bookmarkEnd w:id="134"/>
    <w:bookmarkEnd w:id="135"/>
    <w:p w14:paraId="0B549140">
      <w:pPr>
        <w:rPr>
          <w:rFonts w:hint="eastAsia" w:ascii="仿宋" w:hAnsi="仿宋" w:eastAsia="仿宋" w:cs="仿宋"/>
          <w:color w:val="auto"/>
          <w:highlight w:val="none"/>
        </w:rPr>
      </w:pPr>
    </w:p>
    <w:sectPr>
      <w:headerReference r:id="rId13" w:type="default"/>
      <w:footerReference r:id="rId14"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CF6ADC0-B3D6-4445-AA3F-DD618DE4238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506FB6F8-08AC-4B14-AFB6-483E7F279481}"/>
  </w:font>
  <w:font w:name="华文中宋">
    <w:panose1 w:val="02010600040101010101"/>
    <w:charset w:val="86"/>
    <w:family w:val="auto"/>
    <w:pitch w:val="default"/>
    <w:sig w:usb0="00000287" w:usb1="080F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方正黑体_GBK">
    <w:panose1 w:val="02010600010101010101"/>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3" w:fontKey="{A1F13C9F-5654-40B6-A154-08BC5966FD5D}"/>
  </w:font>
  <w:font w:name="等线">
    <w:panose1 w:val="02010600030101010101"/>
    <w:charset w:val="86"/>
    <w:family w:val="auto"/>
    <w:pitch w:val="default"/>
    <w:sig w:usb0="A00002BF" w:usb1="38CF7CFA" w:usb2="00000016" w:usb3="00000000" w:csb0="0004000F" w:csb1="00000000"/>
    <w:embedRegular r:id="rId4" w:fontKey="{004F609E-7ED1-4C28-9C5E-A621737DFD5E}"/>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4B862">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BEB1F">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82026">
    <w:pPr>
      <w:pStyle w:val="1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52C49">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E52C49">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A3B7B">
    <w:pPr>
      <w:pStyle w:val="8"/>
      <w:kinsoku w:val="0"/>
      <w:overflowPunct w:val="0"/>
      <w:spacing w:line="14" w:lineRule="auto"/>
      <w:rPr>
        <w:rFonts w:ascii="Times New Roman" w:eastAsia="等线"/>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B7052">
                          <w:pPr>
                            <w:pStyle w:val="1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9FB7052">
                    <w:pPr>
                      <w:pStyle w:val="1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8FFEB">
    <w:pPr>
      <w:pStyle w:val="17"/>
      <w:jc w:val="center"/>
      <w:rPr>
        <w:rFonts w:hint="eastAsia" w:ascii="宋体" w:hAnsi="宋体"/>
        <w:sz w:val="21"/>
        <w:szCs w:val="21"/>
      </w:rPr>
    </w:pPr>
    <w:r>
      <w:rPr>
        <w:rFonts w:ascii="宋体" w:hAnsi="宋体"/>
        <w:sz w:val="21"/>
        <w:szCs w:val="21"/>
      </w:rPr>
      <w:fldChar w:fldCharType="begin"/>
    </w:r>
    <w:r>
      <w:rPr>
        <w:rStyle w:val="29"/>
        <w:rFonts w:ascii="宋体" w:hAnsi="宋体"/>
        <w:sz w:val="21"/>
        <w:szCs w:val="21"/>
      </w:rPr>
      <w:instrText xml:space="preserve"> PAGE </w:instrText>
    </w:r>
    <w:r>
      <w:rPr>
        <w:rFonts w:ascii="宋体" w:hAnsi="宋体"/>
        <w:sz w:val="21"/>
        <w:szCs w:val="21"/>
      </w:rPr>
      <w:fldChar w:fldCharType="separate"/>
    </w:r>
    <w:r>
      <w:rPr>
        <w:rStyle w:val="29"/>
        <w:rFonts w:ascii="宋体" w:hAnsi="宋体"/>
        <w:sz w:val="21"/>
        <w:szCs w:val="21"/>
      </w:rPr>
      <w:t>- 14 -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8E859">
    <w:pPr>
      <w:pStyle w:val="17"/>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C7665">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4C7665">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AAB4E">
    <w:pPr>
      <w:pStyle w:val="17"/>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67F98">
                          <w:pPr>
                            <w:pStyle w:val="1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3067F98">
                    <w:pPr>
                      <w:pStyle w:val="1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5B0E9">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9ADCC">
    <w:pPr>
      <w:pStyle w:val="19"/>
      <w:pBdr>
        <w:bottom w:val="single" w:color="auto" w:sz="4" w:space="0"/>
      </w:pBdr>
      <w:ind w:firstLine="480" w:firstLineChars="200"/>
      <w:jc w:val="center"/>
    </w:pPr>
    <w:r>
      <w:rPr>
        <w:rFonts w:hint="eastAsia" w:ascii="仿宋" w:hAnsi="仿宋" w:eastAsia="仿宋" w:cs="仿宋"/>
        <w:color w:val="auto"/>
        <w:sz w:val="24"/>
        <w:szCs w:val="24"/>
        <w:highlight w:val="none"/>
        <w:lang w:val="en-US" w:eastAsia="zh-CN"/>
      </w:rPr>
      <w:t>重庆天合工程技术咨询有限公司</w:t>
    </w:r>
  </w:p>
  <w:p w14:paraId="6FE43F0E">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7BA3">
    <w:pPr>
      <w:pStyle w:val="1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E6534">
    <w:pPr>
      <w:pStyle w:val="1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3779">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B5ED6"/>
    <w:multiLevelType w:val="singleLevel"/>
    <w:tmpl w:val="87DB5ED6"/>
    <w:lvl w:ilvl="0" w:tentative="0">
      <w:start w:val="1"/>
      <w:numFmt w:val="decimal"/>
      <w:pStyle w:val="6"/>
      <w:lvlText w:val="%1."/>
      <w:lvlJc w:val="left"/>
      <w:pPr>
        <w:tabs>
          <w:tab w:val="left" w:pos="780"/>
        </w:tabs>
        <w:ind w:left="780" w:hanging="360"/>
      </w:pPr>
    </w:lvl>
  </w:abstractNum>
  <w:abstractNum w:abstractNumId="1">
    <w:nsid w:val="AD17C386"/>
    <w:multiLevelType w:val="singleLevel"/>
    <w:tmpl w:val="AD17C386"/>
    <w:lvl w:ilvl="0" w:tentative="0">
      <w:start w:val="2"/>
      <w:numFmt w:val="chineseCounting"/>
      <w:suff w:val="space"/>
      <w:lvlText w:val="第%1篇"/>
      <w:lvlJc w:val="left"/>
      <w:rPr>
        <w:rFonts w:hint="eastAsia"/>
      </w:rPr>
    </w:lvl>
  </w:abstractNum>
  <w:abstractNum w:abstractNumId="2">
    <w:nsid w:val="E791D362"/>
    <w:multiLevelType w:val="singleLevel"/>
    <w:tmpl w:val="E791D362"/>
    <w:lvl w:ilvl="0" w:tentative="0">
      <w:start w:val="2"/>
      <w:numFmt w:val="chineseCounting"/>
      <w:suff w:val="nothing"/>
      <w:lvlText w:val="%1、"/>
      <w:lvlJc w:val="left"/>
      <w:rPr>
        <w:rFonts w:hint="eastAsia"/>
      </w:rPr>
    </w:lvl>
  </w:abstractNum>
  <w:abstractNum w:abstractNumId="3">
    <w:nsid w:val="00000001"/>
    <w:multiLevelType w:val="singleLevel"/>
    <w:tmpl w:val="00000001"/>
    <w:lvl w:ilvl="0" w:tentative="0">
      <w:start w:val="5"/>
      <w:numFmt w:val="chineseCounting"/>
      <w:suff w:val="nothing"/>
      <w:lvlText w:val="%1、"/>
      <w:lvlJc w:val="left"/>
      <w:rPr>
        <w:rFonts w:hint="eastAsia"/>
      </w:rPr>
    </w:lvl>
  </w:abstractNum>
  <w:abstractNum w:abstractNumId="4">
    <w:nsid w:val="00000008"/>
    <w:multiLevelType w:val="multilevel"/>
    <w:tmpl w:val="00000008"/>
    <w:lvl w:ilvl="0" w:tentative="0">
      <w:start w:val="1"/>
      <w:numFmt w:val="decimal"/>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6B382A4"/>
    <w:multiLevelType w:val="singleLevel"/>
    <w:tmpl w:val="16B382A4"/>
    <w:lvl w:ilvl="0" w:tentative="0">
      <w:start w:val="4"/>
      <w:numFmt w:val="chineseCounting"/>
      <w:suff w:val="space"/>
      <w:lvlText w:val="第%1篇"/>
      <w:lvlJc w:val="left"/>
      <w:rPr>
        <w:rFonts w:hint="eastAsia"/>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2ZDZhMGM2YTZmNTIzNDhkZTA0NDZhYjg5NTkwYjQifQ=="/>
    <w:docVar w:name="KSO_WPS_MARK_KEY" w:val="c803ea8f-7280-498d-bf9b-14580dde0c63"/>
  </w:docVars>
  <w:rsids>
    <w:rsidRoot w:val="15F27B3D"/>
    <w:rsid w:val="00A4569D"/>
    <w:rsid w:val="01234987"/>
    <w:rsid w:val="01476F06"/>
    <w:rsid w:val="018F7A2B"/>
    <w:rsid w:val="020F0015"/>
    <w:rsid w:val="02395F7E"/>
    <w:rsid w:val="02650025"/>
    <w:rsid w:val="02D555FA"/>
    <w:rsid w:val="02EE64DC"/>
    <w:rsid w:val="03C11353"/>
    <w:rsid w:val="04043AA5"/>
    <w:rsid w:val="04284AA8"/>
    <w:rsid w:val="04B22A34"/>
    <w:rsid w:val="04C41BB7"/>
    <w:rsid w:val="04DC696D"/>
    <w:rsid w:val="04DE3EDE"/>
    <w:rsid w:val="058A1B8B"/>
    <w:rsid w:val="05B4400B"/>
    <w:rsid w:val="05B44CC5"/>
    <w:rsid w:val="0619721E"/>
    <w:rsid w:val="064424ED"/>
    <w:rsid w:val="0678777B"/>
    <w:rsid w:val="06A76277"/>
    <w:rsid w:val="06C62F02"/>
    <w:rsid w:val="06F86E33"/>
    <w:rsid w:val="06FC6EF5"/>
    <w:rsid w:val="07740BAF"/>
    <w:rsid w:val="07C57E8F"/>
    <w:rsid w:val="08052513"/>
    <w:rsid w:val="085E7023"/>
    <w:rsid w:val="08957AB3"/>
    <w:rsid w:val="08A01C35"/>
    <w:rsid w:val="08CA7B35"/>
    <w:rsid w:val="09043DBF"/>
    <w:rsid w:val="090A4BBE"/>
    <w:rsid w:val="09130588"/>
    <w:rsid w:val="09664528"/>
    <w:rsid w:val="09ED0DD1"/>
    <w:rsid w:val="0A055623"/>
    <w:rsid w:val="0A1B6841"/>
    <w:rsid w:val="0A240835"/>
    <w:rsid w:val="0A3767AC"/>
    <w:rsid w:val="0A47413B"/>
    <w:rsid w:val="0A515D78"/>
    <w:rsid w:val="0ADF6D37"/>
    <w:rsid w:val="0AE62162"/>
    <w:rsid w:val="0B505AAC"/>
    <w:rsid w:val="0C234952"/>
    <w:rsid w:val="0C347EC5"/>
    <w:rsid w:val="0C4C3EA9"/>
    <w:rsid w:val="0C6216DF"/>
    <w:rsid w:val="0C984D39"/>
    <w:rsid w:val="0C9E047D"/>
    <w:rsid w:val="0CC223BD"/>
    <w:rsid w:val="0CE11CD3"/>
    <w:rsid w:val="0D483109"/>
    <w:rsid w:val="0D5A43A4"/>
    <w:rsid w:val="0D7A4BB7"/>
    <w:rsid w:val="0D887163"/>
    <w:rsid w:val="0D9A4CA4"/>
    <w:rsid w:val="0DC9092E"/>
    <w:rsid w:val="0DCD5FA5"/>
    <w:rsid w:val="0E1A3BB0"/>
    <w:rsid w:val="0F097B31"/>
    <w:rsid w:val="0F0F4C4C"/>
    <w:rsid w:val="0F735C05"/>
    <w:rsid w:val="0FAF4B2E"/>
    <w:rsid w:val="0FB32491"/>
    <w:rsid w:val="0FDA17CC"/>
    <w:rsid w:val="0FFE34C4"/>
    <w:rsid w:val="10032A13"/>
    <w:rsid w:val="104355C3"/>
    <w:rsid w:val="105977B8"/>
    <w:rsid w:val="105F371A"/>
    <w:rsid w:val="111C5FB6"/>
    <w:rsid w:val="114E32D1"/>
    <w:rsid w:val="11916802"/>
    <w:rsid w:val="11C46F35"/>
    <w:rsid w:val="11D65957"/>
    <w:rsid w:val="11E51EB6"/>
    <w:rsid w:val="11EA6B90"/>
    <w:rsid w:val="11EF79F9"/>
    <w:rsid w:val="12486EC1"/>
    <w:rsid w:val="125014BC"/>
    <w:rsid w:val="125530B6"/>
    <w:rsid w:val="129515B2"/>
    <w:rsid w:val="129E6161"/>
    <w:rsid w:val="12FB2A0C"/>
    <w:rsid w:val="13010D0C"/>
    <w:rsid w:val="131119A8"/>
    <w:rsid w:val="13464D8E"/>
    <w:rsid w:val="139528FB"/>
    <w:rsid w:val="13AA7707"/>
    <w:rsid w:val="14217DBC"/>
    <w:rsid w:val="143350AC"/>
    <w:rsid w:val="145C0E18"/>
    <w:rsid w:val="14741FA9"/>
    <w:rsid w:val="14BB5C5C"/>
    <w:rsid w:val="151C4634"/>
    <w:rsid w:val="1525173B"/>
    <w:rsid w:val="152A2022"/>
    <w:rsid w:val="15610531"/>
    <w:rsid w:val="15686D2B"/>
    <w:rsid w:val="157D3325"/>
    <w:rsid w:val="15C01464"/>
    <w:rsid w:val="15CA02E3"/>
    <w:rsid w:val="15E16695"/>
    <w:rsid w:val="15E213DA"/>
    <w:rsid w:val="15F27B3D"/>
    <w:rsid w:val="1628375A"/>
    <w:rsid w:val="164737D0"/>
    <w:rsid w:val="1681494B"/>
    <w:rsid w:val="16903DD9"/>
    <w:rsid w:val="16BE185B"/>
    <w:rsid w:val="16E30149"/>
    <w:rsid w:val="16FD7554"/>
    <w:rsid w:val="17391002"/>
    <w:rsid w:val="17407C36"/>
    <w:rsid w:val="17800047"/>
    <w:rsid w:val="178735B7"/>
    <w:rsid w:val="1788225D"/>
    <w:rsid w:val="17AF79E2"/>
    <w:rsid w:val="17B80644"/>
    <w:rsid w:val="184D7CD9"/>
    <w:rsid w:val="186F4AA4"/>
    <w:rsid w:val="18E50FD9"/>
    <w:rsid w:val="1958006D"/>
    <w:rsid w:val="196A036B"/>
    <w:rsid w:val="1981125E"/>
    <w:rsid w:val="19981ADD"/>
    <w:rsid w:val="1A2405D9"/>
    <w:rsid w:val="1A267B69"/>
    <w:rsid w:val="1A4C65B4"/>
    <w:rsid w:val="1A8553A7"/>
    <w:rsid w:val="1ACD65AA"/>
    <w:rsid w:val="1B2700BD"/>
    <w:rsid w:val="1B8076CB"/>
    <w:rsid w:val="1C2075F2"/>
    <w:rsid w:val="1CF111F1"/>
    <w:rsid w:val="1D274763"/>
    <w:rsid w:val="1D463F90"/>
    <w:rsid w:val="1E905EC3"/>
    <w:rsid w:val="1EA9518B"/>
    <w:rsid w:val="1EB22300"/>
    <w:rsid w:val="1EB4768C"/>
    <w:rsid w:val="1EC807A5"/>
    <w:rsid w:val="1FC9286B"/>
    <w:rsid w:val="1FE26B5A"/>
    <w:rsid w:val="20C04A0E"/>
    <w:rsid w:val="20EE0532"/>
    <w:rsid w:val="211749D8"/>
    <w:rsid w:val="21681B68"/>
    <w:rsid w:val="21AD61D1"/>
    <w:rsid w:val="21D02660"/>
    <w:rsid w:val="21DA38AD"/>
    <w:rsid w:val="21FB01ED"/>
    <w:rsid w:val="220841F8"/>
    <w:rsid w:val="222C2718"/>
    <w:rsid w:val="22D54668"/>
    <w:rsid w:val="2325329A"/>
    <w:rsid w:val="23712C4B"/>
    <w:rsid w:val="23DC2A87"/>
    <w:rsid w:val="24001979"/>
    <w:rsid w:val="24F904EE"/>
    <w:rsid w:val="24FB0F40"/>
    <w:rsid w:val="2544021F"/>
    <w:rsid w:val="254F6211"/>
    <w:rsid w:val="255E2348"/>
    <w:rsid w:val="2584600A"/>
    <w:rsid w:val="25846BC7"/>
    <w:rsid w:val="25900E53"/>
    <w:rsid w:val="26655168"/>
    <w:rsid w:val="26ED4C77"/>
    <w:rsid w:val="27643FAE"/>
    <w:rsid w:val="277D34B8"/>
    <w:rsid w:val="27ED463A"/>
    <w:rsid w:val="28137439"/>
    <w:rsid w:val="28456613"/>
    <w:rsid w:val="28E4213F"/>
    <w:rsid w:val="291E06B3"/>
    <w:rsid w:val="29205067"/>
    <w:rsid w:val="29760C95"/>
    <w:rsid w:val="2A062EAB"/>
    <w:rsid w:val="2A685EFA"/>
    <w:rsid w:val="2AC90714"/>
    <w:rsid w:val="2B7E3F6B"/>
    <w:rsid w:val="2BE54292"/>
    <w:rsid w:val="2C1874AC"/>
    <w:rsid w:val="2C3A2FF6"/>
    <w:rsid w:val="2CA14D71"/>
    <w:rsid w:val="2CAA393D"/>
    <w:rsid w:val="2CC56A9D"/>
    <w:rsid w:val="2CD50CF4"/>
    <w:rsid w:val="2D0651E1"/>
    <w:rsid w:val="2D7C30AE"/>
    <w:rsid w:val="2DA61733"/>
    <w:rsid w:val="2DBB500D"/>
    <w:rsid w:val="2DDB69E3"/>
    <w:rsid w:val="2DE10854"/>
    <w:rsid w:val="2E75141F"/>
    <w:rsid w:val="2EC649C2"/>
    <w:rsid w:val="2ECE79A9"/>
    <w:rsid w:val="2F78636C"/>
    <w:rsid w:val="2FF705EB"/>
    <w:rsid w:val="30427438"/>
    <w:rsid w:val="306955CD"/>
    <w:rsid w:val="30970AA9"/>
    <w:rsid w:val="30AE3EC3"/>
    <w:rsid w:val="30BC0D4E"/>
    <w:rsid w:val="30CF5A24"/>
    <w:rsid w:val="3101316C"/>
    <w:rsid w:val="3115045E"/>
    <w:rsid w:val="311859B6"/>
    <w:rsid w:val="3158022B"/>
    <w:rsid w:val="31600614"/>
    <w:rsid w:val="31A77880"/>
    <w:rsid w:val="31C51E84"/>
    <w:rsid w:val="3203666F"/>
    <w:rsid w:val="320F4EAD"/>
    <w:rsid w:val="32113AB2"/>
    <w:rsid w:val="32335152"/>
    <w:rsid w:val="32413BA5"/>
    <w:rsid w:val="32747406"/>
    <w:rsid w:val="33CF2B0E"/>
    <w:rsid w:val="33F325FE"/>
    <w:rsid w:val="33FB393B"/>
    <w:rsid w:val="34346E4D"/>
    <w:rsid w:val="34F560B8"/>
    <w:rsid w:val="356E0666"/>
    <w:rsid w:val="35977EFB"/>
    <w:rsid w:val="35B07A9B"/>
    <w:rsid w:val="35D72112"/>
    <w:rsid w:val="362045DC"/>
    <w:rsid w:val="363A0D7C"/>
    <w:rsid w:val="36753BAB"/>
    <w:rsid w:val="369B1F42"/>
    <w:rsid w:val="36A51949"/>
    <w:rsid w:val="36B974D5"/>
    <w:rsid w:val="36FE50D3"/>
    <w:rsid w:val="37021BF9"/>
    <w:rsid w:val="371812F1"/>
    <w:rsid w:val="377F774B"/>
    <w:rsid w:val="37CF521C"/>
    <w:rsid w:val="37DD32BE"/>
    <w:rsid w:val="37FA215C"/>
    <w:rsid w:val="38213B8C"/>
    <w:rsid w:val="38730703"/>
    <w:rsid w:val="388560F7"/>
    <w:rsid w:val="389B393F"/>
    <w:rsid w:val="389F6EF9"/>
    <w:rsid w:val="38C2216F"/>
    <w:rsid w:val="38E468EF"/>
    <w:rsid w:val="38FA5C39"/>
    <w:rsid w:val="39587AEC"/>
    <w:rsid w:val="39953421"/>
    <w:rsid w:val="399B3851"/>
    <w:rsid w:val="399D5494"/>
    <w:rsid w:val="39B625C5"/>
    <w:rsid w:val="39C1487F"/>
    <w:rsid w:val="3A4A55E9"/>
    <w:rsid w:val="3AC37B79"/>
    <w:rsid w:val="3AEB2011"/>
    <w:rsid w:val="3B9A4359"/>
    <w:rsid w:val="3BA90120"/>
    <w:rsid w:val="3BD8388E"/>
    <w:rsid w:val="3C5D4E21"/>
    <w:rsid w:val="3CCD252E"/>
    <w:rsid w:val="3D21011D"/>
    <w:rsid w:val="3D2739F3"/>
    <w:rsid w:val="3DD21629"/>
    <w:rsid w:val="3DD7060B"/>
    <w:rsid w:val="3EEA38FE"/>
    <w:rsid w:val="3F7304B8"/>
    <w:rsid w:val="3F845FB1"/>
    <w:rsid w:val="3F951006"/>
    <w:rsid w:val="3F954B5E"/>
    <w:rsid w:val="3F9B2476"/>
    <w:rsid w:val="3FA532F5"/>
    <w:rsid w:val="3FBB2467"/>
    <w:rsid w:val="3FE772C1"/>
    <w:rsid w:val="3FED2FEE"/>
    <w:rsid w:val="40097BA8"/>
    <w:rsid w:val="402D503C"/>
    <w:rsid w:val="40CC5652"/>
    <w:rsid w:val="40F75092"/>
    <w:rsid w:val="41286718"/>
    <w:rsid w:val="412F7DA3"/>
    <w:rsid w:val="41340231"/>
    <w:rsid w:val="415B010F"/>
    <w:rsid w:val="421F4207"/>
    <w:rsid w:val="42B63FDE"/>
    <w:rsid w:val="42DF1732"/>
    <w:rsid w:val="42E31790"/>
    <w:rsid w:val="437A3E83"/>
    <w:rsid w:val="438244D6"/>
    <w:rsid w:val="43B22060"/>
    <w:rsid w:val="43B22274"/>
    <w:rsid w:val="43F8380F"/>
    <w:rsid w:val="440F2B13"/>
    <w:rsid w:val="441D6FCB"/>
    <w:rsid w:val="44C91833"/>
    <w:rsid w:val="452877C4"/>
    <w:rsid w:val="452D1DC2"/>
    <w:rsid w:val="4541257C"/>
    <w:rsid w:val="45917192"/>
    <w:rsid w:val="45AD56DD"/>
    <w:rsid w:val="45DB06BA"/>
    <w:rsid w:val="46274A64"/>
    <w:rsid w:val="466943CF"/>
    <w:rsid w:val="469A25DB"/>
    <w:rsid w:val="46E25009"/>
    <w:rsid w:val="46E71F62"/>
    <w:rsid w:val="46FD7C6B"/>
    <w:rsid w:val="47291754"/>
    <w:rsid w:val="475907FB"/>
    <w:rsid w:val="477C2B8D"/>
    <w:rsid w:val="478379D3"/>
    <w:rsid w:val="47A62E54"/>
    <w:rsid w:val="47FD3CCE"/>
    <w:rsid w:val="4838187B"/>
    <w:rsid w:val="48DF5182"/>
    <w:rsid w:val="49103D93"/>
    <w:rsid w:val="494C0B34"/>
    <w:rsid w:val="497062C7"/>
    <w:rsid w:val="49827FD4"/>
    <w:rsid w:val="49CC3FD2"/>
    <w:rsid w:val="49F70545"/>
    <w:rsid w:val="4A1A0690"/>
    <w:rsid w:val="4A1E66C4"/>
    <w:rsid w:val="4A2F1E5B"/>
    <w:rsid w:val="4A35264E"/>
    <w:rsid w:val="4A626023"/>
    <w:rsid w:val="4A760EB9"/>
    <w:rsid w:val="4AAC44E4"/>
    <w:rsid w:val="4ADD62DF"/>
    <w:rsid w:val="4AEC6208"/>
    <w:rsid w:val="4BD13FAE"/>
    <w:rsid w:val="4BD910AC"/>
    <w:rsid w:val="4C2D394C"/>
    <w:rsid w:val="4C477240"/>
    <w:rsid w:val="4C6B09FD"/>
    <w:rsid w:val="4CB7713E"/>
    <w:rsid w:val="4CB812B3"/>
    <w:rsid w:val="4CCB1545"/>
    <w:rsid w:val="4D0E2CE7"/>
    <w:rsid w:val="4D4B71DA"/>
    <w:rsid w:val="4D8E608C"/>
    <w:rsid w:val="4DE904E0"/>
    <w:rsid w:val="4E1E4793"/>
    <w:rsid w:val="4E903E4A"/>
    <w:rsid w:val="4E9C2FF1"/>
    <w:rsid w:val="4ED137BE"/>
    <w:rsid w:val="4EE51018"/>
    <w:rsid w:val="4F3602C7"/>
    <w:rsid w:val="4F3E5DD9"/>
    <w:rsid w:val="4F5F0A3F"/>
    <w:rsid w:val="4F64710F"/>
    <w:rsid w:val="4F813436"/>
    <w:rsid w:val="4FF21AC3"/>
    <w:rsid w:val="4FF35381"/>
    <w:rsid w:val="50575F45"/>
    <w:rsid w:val="506858AC"/>
    <w:rsid w:val="507A5297"/>
    <w:rsid w:val="50AC2B50"/>
    <w:rsid w:val="50DE6667"/>
    <w:rsid w:val="511E4CB5"/>
    <w:rsid w:val="515A6B83"/>
    <w:rsid w:val="516B2689"/>
    <w:rsid w:val="51B44E19"/>
    <w:rsid w:val="521C02F9"/>
    <w:rsid w:val="52672C7F"/>
    <w:rsid w:val="5268268C"/>
    <w:rsid w:val="528374C6"/>
    <w:rsid w:val="52E85C8C"/>
    <w:rsid w:val="533B4B1A"/>
    <w:rsid w:val="53477946"/>
    <w:rsid w:val="535A1853"/>
    <w:rsid w:val="53A91F63"/>
    <w:rsid w:val="53E159C4"/>
    <w:rsid w:val="53FA7FA7"/>
    <w:rsid w:val="540D3E2D"/>
    <w:rsid w:val="54175782"/>
    <w:rsid w:val="54684619"/>
    <w:rsid w:val="549A0AF6"/>
    <w:rsid w:val="54C01673"/>
    <w:rsid w:val="54DA770D"/>
    <w:rsid w:val="550030D5"/>
    <w:rsid w:val="55432F3C"/>
    <w:rsid w:val="554A42CB"/>
    <w:rsid w:val="555D55F0"/>
    <w:rsid w:val="56114DE8"/>
    <w:rsid w:val="561B56E8"/>
    <w:rsid w:val="56652BA1"/>
    <w:rsid w:val="567E2150"/>
    <w:rsid w:val="569B56B8"/>
    <w:rsid w:val="572A0ECA"/>
    <w:rsid w:val="579D2DD8"/>
    <w:rsid w:val="57B77B82"/>
    <w:rsid w:val="57E246ED"/>
    <w:rsid w:val="582C7791"/>
    <w:rsid w:val="583C10B5"/>
    <w:rsid w:val="58406E56"/>
    <w:rsid w:val="58501A77"/>
    <w:rsid w:val="58607961"/>
    <w:rsid w:val="58695A9C"/>
    <w:rsid w:val="588624F5"/>
    <w:rsid w:val="58BC103B"/>
    <w:rsid w:val="5912036F"/>
    <w:rsid w:val="59364D46"/>
    <w:rsid w:val="59DC3B9C"/>
    <w:rsid w:val="5A35604F"/>
    <w:rsid w:val="5A6667DB"/>
    <w:rsid w:val="5A6C6166"/>
    <w:rsid w:val="5A6D1A51"/>
    <w:rsid w:val="5A7C2ADE"/>
    <w:rsid w:val="5A82610B"/>
    <w:rsid w:val="5AC46EDC"/>
    <w:rsid w:val="5AD1170E"/>
    <w:rsid w:val="5ADC263D"/>
    <w:rsid w:val="5ADC2CAF"/>
    <w:rsid w:val="5B332B4B"/>
    <w:rsid w:val="5B4403C8"/>
    <w:rsid w:val="5BA50883"/>
    <w:rsid w:val="5BB24978"/>
    <w:rsid w:val="5BCE722B"/>
    <w:rsid w:val="5C0F77B4"/>
    <w:rsid w:val="5C8E4EE7"/>
    <w:rsid w:val="5CCE649C"/>
    <w:rsid w:val="5CD76C1A"/>
    <w:rsid w:val="5DC13FDF"/>
    <w:rsid w:val="5DD02C46"/>
    <w:rsid w:val="5DE3776C"/>
    <w:rsid w:val="5E7058AA"/>
    <w:rsid w:val="5E80564D"/>
    <w:rsid w:val="5EBD78BB"/>
    <w:rsid w:val="5ED16751"/>
    <w:rsid w:val="5ED90A88"/>
    <w:rsid w:val="5F772160"/>
    <w:rsid w:val="5F8473CC"/>
    <w:rsid w:val="5FDB59F9"/>
    <w:rsid w:val="5FE84C69"/>
    <w:rsid w:val="6017753B"/>
    <w:rsid w:val="604F2F3E"/>
    <w:rsid w:val="60505500"/>
    <w:rsid w:val="60CC0D9D"/>
    <w:rsid w:val="61113EEE"/>
    <w:rsid w:val="614668E5"/>
    <w:rsid w:val="61E65B83"/>
    <w:rsid w:val="62057D23"/>
    <w:rsid w:val="62265778"/>
    <w:rsid w:val="627B5AC3"/>
    <w:rsid w:val="62A14300"/>
    <w:rsid w:val="62D24148"/>
    <w:rsid w:val="632255DC"/>
    <w:rsid w:val="633069A3"/>
    <w:rsid w:val="63413963"/>
    <w:rsid w:val="639E134A"/>
    <w:rsid w:val="63AA549B"/>
    <w:rsid w:val="63B8083F"/>
    <w:rsid w:val="63EF7FBF"/>
    <w:rsid w:val="63F3350A"/>
    <w:rsid w:val="64090D71"/>
    <w:rsid w:val="646162FE"/>
    <w:rsid w:val="649243B7"/>
    <w:rsid w:val="64C847E7"/>
    <w:rsid w:val="651C5879"/>
    <w:rsid w:val="65392872"/>
    <w:rsid w:val="65416FD1"/>
    <w:rsid w:val="654725D5"/>
    <w:rsid w:val="654F1CBF"/>
    <w:rsid w:val="657243E5"/>
    <w:rsid w:val="65CA60EB"/>
    <w:rsid w:val="66E04CB7"/>
    <w:rsid w:val="6700146B"/>
    <w:rsid w:val="673A16C7"/>
    <w:rsid w:val="6786252D"/>
    <w:rsid w:val="67C42D8A"/>
    <w:rsid w:val="680E2179"/>
    <w:rsid w:val="68166CA5"/>
    <w:rsid w:val="68987B0B"/>
    <w:rsid w:val="68BF7E9D"/>
    <w:rsid w:val="68F54761"/>
    <w:rsid w:val="692B3716"/>
    <w:rsid w:val="693F39D6"/>
    <w:rsid w:val="69B35552"/>
    <w:rsid w:val="69B5008A"/>
    <w:rsid w:val="69BD4A6E"/>
    <w:rsid w:val="6A405C13"/>
    <w:rsid w:val="6B0A0927"/>
    <w:rsid w:val="6B1B260E"/>
    <w:rsid w:val="6B52083F"/>
    <w:rsid w:val="6BCA420C"/>
    <w:rsid w:val="6BCD3902"/>
    <w:rsid w:val="6C0A75AE"/>
    <w:rsid w:val="6C88441D"/>
    <w:rsid w:val="6CC6326B"/>
    <w:rsid w:val="6CDD086B"/>
    <w:rsid w:val="6D07276D"/>
    <w:rsid w:val="6D380807"/>
    <w:rsid w:val="6D3C70D5"/>
    <w:rsid w:val="6D546C01"/>
    <w:rsid w:val="6D592EA5"/>
    <w:rsid w:val="6D864587"/>
    <w:rsid w:val="6D95621A"/>
    <w:rsid w:val="6DAC18D3"/>
    <w:rsid w:val="6DFB21AE"/>
    <w:rsid w:val="6E3878FF"/>
    <w:rsid w:val="6E500DAD"/>
    <w:rsid w:val="6E510B4F"/>
    <w:rsid w:val="6E661DDC"/>
    <w:rsid w:val="6E7F2DDF"/>
    <w:rsid w:val="6E8A2F09"/>
    <w:rsid w:val="6EC201F1"/>
    <w:rsid w:val="6EED1AF7"/>
    <w:rsid w:val="6EFF7A7C"/>
    <w:rsid w:val="6F3E6422"/>
    <w:rsid w:val="6F5A1CBD"/>
    <w:rsid w:val="6F7637EB"/>
    <w:rsid w:val="6F7C2E7B"/>
    <w:rsid w:val="700E56BD"/>
    <w:rsid w:val="70A865FA"/>
    <w:rsid w:val="70D005A5"/>
    <w:rsid w:val="70D70CB1"/>
    <w:rsid w:val="713E0B95"/>
    <w:rsid w:val="716B4757"/>
    <w:rsid w:val="718A77F3"/>
    <w:rsid w:val="71BC1C54"/>
    <w:rsid w:val="71E82A49"/>
    <w:rsid w:val="71EC41F4"/>
    <w:rsid w:val="72181581"/>
    <w:rsid w:val="723304F4"/>
    <w:rsid w:val="726D3FAD"/>
    <w:rsid w:val="729D3AAD"/>
    <w:rsid w:val="730833A3"/>
    <w:rsid w:val="731D6723"/>
    <w:rsid w:val="732E0F33"/>
    <w:rsid w:val="734B045B"/>
    <w:rsid w:val="737955C7"/>
    <w:rsid w:val="73AD1C57"/>
    <w:rsid w:val="73D16993"/>
    <w:rsid w:val="73F833B2"/>
    <w:rsid w:val="73FF69C1"/>
    <w:rsid w:val="74090111"/>
    <w:rsid w:val="740B2A1F"/>
    <w:rsid w:val="742415D0"/>
    <w:rsid w:val="743401C8"/>
    <w:rsid w:val="743B379E"/>
    <w:rsid w:val="74884E3D"/>
    <w:rsid w:val="74A46C6C"/>
    <w:rsid w:val="74B11819"/>
    <w:rsid w:val="74B26768"/>
    <w:rsid w:val="74C07CAE"/>
    <w:rsid w:val="75220F16"/>
    <w:rsid w:val="753D6129"/>
    <w:rsid w:val="755512CD"/>
    <w:rsid w:val="756D0B18"/>
    <w:rsid w:val="75801B52"/>
    <w:rsid w:val="75B72E5F"/>
    <w:rsid w:val="761C5F12"/>
    <w:rsid w:val="76481D09"/>
    <w:rsid w:val="76A96C4B"/>
    <w:rsid w:val="76C669FB"/>
    <w:rsid w:val="772A1B8E"/>
    <w:rsid w:val="772E0EFE"/>
    <w:rsid w:val="77AA3ED9"/>
    <w:rsid w:val="77B21B30"/>
    <w:rsid w:val="77F07394"/>
    <w:rsid w:val="784B0474"/>
    <w:rsid w:val="7879400A"/>
    <w:rsid w:val="78FE4C68"/>
    <w:rsid w:val="79F0205C"/>
    <w:rsid w:val="79F3410E"/>
    <w:rsid w:val="7A043BC3"/>
    <w:rsid w:val="7A0E59EB"/>
    <w:rsid w:val="7A5C2227"/>
    <w:rsid w:val="7AC42AC2"/>
    <w:rsid w:val="7B1D5512"/>
    <w:rsid w:val="7B206311"/>
    <w:rsid w:val="7B871B1C"/>
    <w:rsid w:val="7B9D5E38"/>
    <w:rsid w:val="7B9E45DB"/>
    <w:rsid w:val="7C667077"/>
    <w:rsid w:val="7C765B6B"/>
    <w:rsid w:val="7CA26617"/>
    <w:rsid w:val="7CB7159F"/>
    <w:rsid w:val="7CC55A2F"/>
    <w:rsid w:val="7D045F27"/>
    <w:rsid w:val="7D3467E3"/>
    <w:rsid w:val="7DBB1012"/>
    <w:rsid w:val="7DCE6DD0"/>
    <w:rsid w:val="7E2C060E"/>
    <w:rsid w:val="7E5971A9"/>
    <w:rsid w:val="7F0D7F93"/>
    <w:rsid w:val="7F286BFF"/>
    <w:rsid w:val="7FE0070B"/>
    <w:rsid w:val="7FE6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hAnsi="Times New Roman" w:eastAsia="宋体" w:cs="宋体"/>
    </w:rPr>
  </w:style>
  <w:style w:type="paragraph" w:styleId="3">
    <w:name w:val="heading 2"/>
    <w:basedOn w:val="1"/>
    <w:next w:val="1"/>
    <w:link w:val="36"/>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spacing w:before="280" w:after="290" w:line="372" w:lineRule="auto"/>
      <w:outlineLvl w:val="3"/>
    </w:pPr>
    <w:rPr>
      <w:sz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6">
    <w:name w:val="List Number 2"/>
    <w:basedOn w:val="1"/>
    <w:qFormat/>
    <w:uiPriority w:val="0"/>
    <w:pPr>
      <w:numPr>
        <w:ilvl w:val="0"/>
        <w:numId w:val="1"/>
      </w:numPr>
    </w:pPr>
  </w:style>
  <w:style w:type="paragraph" w:styleId="7">
    <w:name w:val="Normal Indent"/>
    <w:basedOn w:val="1"/>
    <w:next w:val="8"/>
    <w:qFormat/>
    <w:uiPriority w:val="0"/>
    <w:pPr>
      <w:adjustRightInd w:val="0"/>
      <w:snapToGrid w:val="0"/>
      <w:spacing w:line="360" w:lineRule="auto"/>
      <w:ind w:firstLine="420"/>
    </w:pPr>
    <w:rPr>
      <w:rFonts w:ascii="Times New Roman" w:hAnsi="Times New Roman" w:eastAsia="宋体" w:cs="Times New Roman"/>
      <w:sz w:val="24"/>
      <w:szCs w:val="20"/>
    </w:rPr>
  </w:style>
  <w:style w:type="paragraph" w:styleId="8">
    <w:name w:val="Body Text"/>
    <w:basedOn w:val="1"/>
    <w:next w:val="9"/>
    <w:qFormat/>
    <w:uiPriority w:val="0"/>
    <w:pPr>
      <w:spacing w:after="120"/>
    </w:pPr>
    <w:rPr>
      <w:rFonts w:ascii="Times New Roman" w:hAnsi="Times New Roman" w:eastAsia="宋体" w:cs="Times New Roman"/>
    </w:rPr>
  </w:style>
  <w:style w:type="paragraph" w:customStyle="1" w:styleId="9">
    <w:name w:val="Default"/>
    <w:next w:val="10"/>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0">
    <w:name w:val="明显引用1"/>
    <w:basedOn w:val="1"/>
    <w:next w:val="1"/>
    <w:qFormat/>
    <w:uiPriority w:val="0"/>
    <w:pPr>
      <w:wordWrap w:val="0"/>
      <w:spacing w:before="360" w:after="360"/>
      <w:ind w:left="950" w:right="950"/>
      <w:jc w:val="center"/>
    </w:pPr>
    <w:rPr>
      <w:b/>
      <w:bCs/>
      <w:i/>
      <w:iCs/>
      <w:color w:val="4F81BD"/>
      <w:kern w:val="0"/>
    </w:rPr>
  </w:style>
  <w:style w:type="paragraph" w:styleId="11">
    <w:name w:val="annotation text"/>
    <w:basedOn w:val="1"/>
    <w:qFormat/>
    <w:uiPriority w:val="0"/>
    <w:pPr>
      <w:adjustRightInd w:val="0"/>
      <w:spacing w:line="360" w:lineRule="atLeast"/>
      <w:jc w:val="left"/>
      <w:textAlignment w:val="baseline"/>
    </w:pPr>
    <w:rPr>
      <w:kern w:val="0"/>
      <w:sz w:val="24"/>
    </w:rPr>
  </w:style>
  <w:style w:type="paragraph" w:styleId="12">
    <w:name w:val="Body Text Indent"/>
    <w:basedOn w:val="1"/>
    <w:qFormat/>
    <w:uiPriority w:val="0"/>
    <w:pPr>
      <w:spacing w:line="700" w:lineRule="exact"/>
      <w:ind w:left="960"/>
    </w:pPr>
    <w:rPr>
      <w:rFonts w:ascii="Times New Roman" w:hAnsi="Times New Roman" w:eastAsia="宋体" w:cs="Times New Roman"/>
      <w:sz w:val="44"/>
      <w:szCs w:val="44"/>
    </w:rPr>
  </w:style>
  <w:style w:type="paragraph" w:styleId="13">
    <w:name w:val="toc 3"/>
    <w:basedOn w:val="1"/>
    <w:next w:val="1"/>
    <w:qFormat/>
    <w:uiPriority w:val="0"/>
    <w:pPr>
      <w:widowControl w:val="0"/>
      <w:tabs>
        <w:tab w:val="right" w:leader="dot" w:pos="8300"/>
      </w:tabs>
      <w:spacing w:before="0" w:after="0" w:line="540" w:lineRule="atLeast"/>
      <w:ind w:left="1120" w:leftChars="400" w:right="0"/>
      <w:jc w:val="both"/>
    </w:pPr>
    <w:rPr>
      <w:rFonts w:ascii="宋体" w:hAnsi="宋体" w:eastAsia="宋体" w:cs="宋体"/>
      <w:kern w:val="2"/>
      <w:sz w:val="28"/>
      <w:szCs w:val="28"/>
      <w:lang w:val="en-US" w:eastAsia="zh-CN" w:bidi="ar-SA"/>
    </w:rPr>
  </w:style>
  <w:style w:type="paragraph" w:styleId="14">
    <w:name w:val="Plain Text"/>
    <w:basedOn w:val="1"/>
    <w:qFormat/>
    <w:uiPriority w:val="0"/>
    <w:rPr>
      <w:rFonts w:ascii="宋体" w:hAnsi="Courier New" w:eastAsia="宋体" w:cs="宋体"/>
      <w:sz w:val="21"/>
      <w:szCs w:val="21"/>
    </w:rPr>
  </w:style>
  <w:style w:type="paragraph" w:styleId="15">
    <w:name w:val="Date"/>
    <w:basedOn w:val="1"/>
    <w:next w:val="1"/>
    <w:qFormat/>
    <w:uiPriority w:val="0"/>
    <w:rPr>
      <w:rFonts w:ascii="Times New Roman" w:hAnsi="Times New Roman" w:eastAsia="宋体" w:cs="Times New Roman"/>
      <w:sz w:val="24"/>
      <w:szCs w:val="24"/>
    </w:rPr>
  </w:style>
  <w:style w:type="paragraph" w:styleId="16">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17">
    <w:name w:val="footer"/>
    <w:basedOn w:val="1"/>
    <w:next w:val="1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18">
    <w:name w:val="索引 51"/>
    <w:basedOn w:val="1"/>
    <w:next w:val="1"/>
    <w:qFormat/>
    <w:uiPriority w:val="0"/>
    <w:pPr>
      <w:ind w:left="1680"/>
    </w:p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0">
    <w:name w:val="toc 1"/>
    <w:basedOn w:val="1"/>
    <w:next w:val="1"/>
    <w:qFormat/>
    <w:uiPriority w:val="0"/>
    <w:pPr>
      <w:widowControl w:val="0"/>
      <w:tabs>
        <w:tab w:val="right" w:leader="dot" w:pos="8300"/>
      </w:tabs>
      <w:spacing w:after="0" w:line="300" w:lineRule="atLeast"/>
      <w:jc w:val="both"/>
    </w:pPr>
    <w:rPr>
      <w:rFonts w:ascii="仿宋_GB2312" w:hAnsi="华文中宋" w:eastAsia="仿宋_GB2312" w:cs="仿宋_GB2312"/>
      <w:b/>
      <w:bCs/>
      <w:kern w:val="2"/>
      <w:sz w:val="28"/>
      <w:szCs w:val="28"/>
      <w:lang w:val="en-US" w:eastAsia="zh-CN" w:bidi="ar-SA"/>
    </w:rPr>
  </w:style>
  <w:style w:type="paragraph" w:styleId="21">
    <w:name w:val="List"/>
    <w:basedOn w:val="1"/>
    <w:semiHidden/>
    <w:qFormat/>
    <w:uiPriority w:val="0"/>
    <w:pPr>
      <w:ind w:left="200" w:hanging="200" w:hangingChars="200"/>
    </w:pPr>
  </w:style>
  <w:style w:type="paragraph" w:styleId="22">
    <w:name w:val="toc 2"/>
    <w:basedOn w:val="1"/>
    <w:next w:val="1"/>
    <w:qFormat/>
    <w:uiPriority w:val="0"/>
    <w:pPr>
      <w:widowControl w:val="0"/>
      <w:tabs>
        <w:tab w:val="right" w:leader="dot" w:pos="8300"/>
      </w:tabs>
      <w:spacing w:before="0" w:after="0" w:line="360" w:lineRule="auto"/>
      <w:ind w:left="278" w:right="0"/>
      <w:jc w:val="left"/>
    </w:pPr>
    <w:rPr>
      <w:rFonts w:ascii="仿宋_GB2312" w:hAnsi="华文中宋" w:eastAsia="仿宋_GB2312" w:cs="仿宋_GB2312"/>
      <w:kern w:val="2"/>
      <w:sz w:val="28"/>
      <w:szCs w:val="28"/>
      <w:lang w:val="en-US" w:eastAsia="zh-CN" w:bidi="ar-SA"/>
    </w:rPr>
  </w:style>
  <w:style w:type="paragraph" w:styleId="23">
    <w:name w:val="Body Text 2"/>
    <w:basedOn w:val="1"/>
    <w:qFormat/>
    <w:uiPriority w:val="0"/>
    <w:pPr>
      <w:adjustRightInd w:val="0"/>
      <w:snapToGrid w:val="0"/>
      <w:spacing w:after="120" w:line="480" w:lineRule="auto"/>
    </w:pPr>
    <w:rPr>
      <w:sz w:val="24"/>
    </w:rPr>
  </w:style>
  <w:style w:type="paragraph" w:styleId="2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5">
    <w:name w:val="Body Text First Indent"/>
    <w:basedOn w:val="8"/>
    <w:next w:val="1"/>
    <w:qFormat/>
    <w:uiPriority w:val="0"/>
    <w:pPr>
      <w:spacing w:line="360" w:lineRule="auto"/>
      <w:ind w:firstLine="420"/>
    </w:pPr>
    <w:rPr>
      <w:rFonts w:ascii="宋体" w:hAnsi="宋体"/>
      <w:sz w:val="24"/>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rPr>
      <w:rFonts w:ascii="Times New Roman" w:hAnsi="Times New Roman" w:eastAsia="宋体" w:cs="Times New Roman"/>
    </w:rPr>
  </w:style>
  <w:style w:type="character" w:styleId="30">
    <w:name w:val="Hyperlink"/>
    <w:basedOn w:val="28"/>
    <w:qFormat/>
    <w:uiPriority w:val="0"/>
    <w:rPr>
      <w:color w:val="0000FF"/>
      <w:u w:val="single"/>
    </w:rPr>
  </w:style>
  <w:style w:type="character" w:styleId="31">
    <w:name w:val="annotation reference"/>
    <w:qFormat/>
    <w:uiPriority w:val="0"/>
    <w:rPr>
      <w:sz w:val="21"/>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表格文字"/>
    <w:basedOn w:val="1"/>
    <w:qFormat/>
    <w:uiPriority w:val="0"/>
    <w:pPr>
      <w:spacing w:before="25" w:after="25"/>
    </w:pPr>
    <w:rPr>
      <w:bCs/>
      <w:spacing w:val="10"/>
      <w:sz w:val="24"/>
    </w:rPr>
  </w:style>
  <w:style w:type="paragraph" w:customStyle="1" w:styleId="34">
    <w:name w:val="正文（缩进）"/>
    <w:basedOn w:val="1"/>
    <w:qFormat/>
    <w:uiPriority w:val="0"/>
    <w:pPr>
      <w:spacing w:beforeLines="50" w:afterLines="50"/>
      <w:ind w:firstLine="480" w:firstLineChars="200"/>
    </w:pPr>
    <w:rPr>
      <w:rFonts w:ascii="Calibri" w:hAnsi="Calibri" w:eastAsia="宋体" w:cs="Times New Roman"/>
      <w:sz w:val="21"/>
    </w:rPr>
  </w:style>
  <w:style w:type="paragraph" w:customStyle="1" w:styleId="35">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36">
    <w:name w:val="标题 2 Char"/>
    <w:link w:val="3"/>
    <w:qFormat/>
    <w:uiPriority w:val="0"/>
    <w:rPr>
      <w:rFonts w:ascii="Arial" w:hAnsi="Arial" w:eastAsia="黑体" w:cs="Arial"/>
      <w:b/>
      <w:bCs/>
      <w:sz w:val="32"/>
      <w:szCs w:val="32"/>
    </w:rPr>
  </w:style>
  <w:style w:type="paragraph" w:customStyle="1" w:styleId="37">
    <w:name w:val="1"/>
    <w:basedOn w:val="1"/>
    <w:next w:val="14"/>
    <w:qFormat/>
    <w:uiPriority w:val="0"/>
    <w:rPr>
      <w:rFonts w:ascii="宋体" w:hAnsi="Courier New" w:eastAsia="宋体" w:cs="宋体"/>
      <w:sz w:val="21"/>
      <w:szCs w:val="21"/>
    </w:rPr>
  </w:style>
  <w:style w:type="paragraph" w:customStyle="1" w:styleId="38">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样式 (中文) 仿宋_GB2312 小四 行距: 固定值 22 磅"/>
    <w:basedOn w:val="1"/>
    <w:qFormat/>
    <w:uiPriority w:val="0"/>
    <w:pPr>
      <w:spacing w:line="400" w:lineRule="exact"/>
      <w:ind w:firstLine="150" w:firstLineChars="150"/>
    </w:pPr>
    <w:rPr>
      <w:rFonts w:ascii="Times New Roman" w:hAnsi="Times New Roman" w:eastAsia="仿宋_GB2312" w:cs="Times New Roman"/>
      <w:sz w:val="24"/>
      <w:szCs w:val="20"/>
    </w:rPr>
  </w:style>
  <w:style w:type="paragraph" w:customStyle="1" w:styleId="4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43">
    <w:name w:val="标书正文1"/>
    <w:basedOn w:val="1"/>
    <w:qFormat/>
    <w:uiPriority w:val="0"/>
    <w:pPr>
      <w:spacing w:line="520" w:lineRule="exact"/>
      <w:ind w:firstLine="640" w:firstLineChars="200"/>
    </w:pPr>
  </w:style>
  <w:style w:type="paragraph" w:customStyle="1" w:styleId="44">
    <w:name w:val="电建正文"/>
    <w:basedOn w:val="45"/>
    <w:qFormat/>
    <w:uiPriority w:val="0"/>
    <w:pPr>
      <w:tabs>
        <w:tab w:val="left" w:pos="720"/>
      </w:tabs>
      <w:spacing w:line="360" w:lineRule="auto"/>
      <w:ind w:firstLine="200" w:firstLineChars="200"/>
    </w:pPr>
    <w:rPr>
      <w:rFonts w:ascii="Tahoma" w:hAnsi="Tahoma"/>
      <w:sz w:val="24"/>
    </w:rPr>
  </w:style>
  <w:style w:type="paragraph" w:customStyle="1" w:styleId="45">
    <w:name w:val="List First"/>
    <w:basedOn w:val="21"/>
    <w:next w:val="21"/>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customStyle="1" w:styleId="46">
    <w:name w:val="标题 5（有编号）（绿盟科技）"/>
    <w:basedOn w:val="1"/>
    <w:next w:val="47"/>
    <w:qFormat/>
    <w:uiPriority w:val="0"/>
    <w:pPr>
      <w:keepNext/>
      <w:keepLines/>
      <w:numPr>
        <w:ilvl w:val="4"/>
        <w:numId w:val="2"/>
      </w:numPr>
      <w:spacing w:before="280" w:after="156" w:line="377" w:lineRule="auto"/>
      <w:outlineLvl w:val="4"/>
    </w:pPr>
    <w:rPr>
      <w:rFonts w:ascii="Arial" w:hAnsi="Arial" w:eastAsia="黑体"/>
      <w:b/>
      <w:kern w:val="0"/>
      <w:szCs w:val="28"/>
    </w:rPr>
  </w:style>
  <w:style w:type="paragraph" w:customStyle="1" w:styleId="47">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48">
    <w:name w:val="NormalCharacter"/>
    <w:qFormat/>
    <w:uiPriority w:val="0"/>
  </w:style>
  <w:style w:type="paragraph" w:customStyle="1" w:styleId="49">
    <w:name w:val="BodyText"/>
    <w:basedOn w:val="1"/>
    <w:next w:val="50"/>
    <w:qFormat/>
    <w:uiPriority w:val="99"/>
    <w:pPr>
      <w:spacing w:line="500" w:lineRule="exact"/>
      <w:textAlignment w:val="baseline"/>
    </w:pPr>
    <w:rPr>
      <w:rFonts w:ascii="宋体" w:hAnsi="宋体" w:cs="宋体"/>
      <w:kern w:val="0"/>
    </w:rPr>
  </w:style>
  <w:style w:type="paragraph" w:customStyle="1" w:styleId="50">
    <w:name w:val="BodyTextIndent"/>
    <w:basedOn w:val="1"/>
    <w:qFormat/>
    <w:uiPriority w:val="0"/>
    <w:pPr>
      <w:spacing w:line="700" w:lineRule="exact"/>
      <w:ind w:left="960"/>
      <w:jc w:val="both"/>
      <w:textAlignment w:val="baseline"/>
    </w:pPr>
    <w:rPr>
      <w:rFonts w:ascii="Times New Roman" w:hAnsi="Times New Roman" w:eastAsia="宋体"/>
      <w:kern w:val="2"/>
      <w:sz w:val="44"/>
      <w:szCs w:val="28"/>
      <w:lang w:val="en-US" w:eastAsia="zh-CN" w:bidi="ar-SA"/>
    </w:rPr>
  </w:style>
  <w:style w:type="paragraph" w:customStyle="1" w:styleId="51">
    <w:name w:val="正文文本1"/>
    <w:basedOn w:val="52"/>
    <w:next w:val="52"/>
    <w:qFormat/>
    <w:uiPriority w:val="0"/>
    <w:pPr>
      <w:spacing w:line="500" w:lineRule="exact"/>
      <w:textAlignment w:val="baseline"/>
    </w:pPr>
    <w:rPr>
      <w:rFonts w:ascii="宋体" w:hAnsi="宋体" w:cs="宋体"/>
      <w:kern w:val="0"/>
    </w:rPr>
  </w:style>
  <w:style w:type="paragraph" w:customStyle="1" w:styleId="52">
    <w:name w:val="正文1"/>
    <w:basedOn w:val="1"/>
    <w:next w:val="53"/>
    <w:qFormat/>
    <w:uiPriority w:val="0"/>
    <w:pPr>
      <w:spacing w:line="300" w:lineRule="auto"/>
      <w:ind w:firstLine="200" w:firstLineChars="200"/>
    </w:pPr>
    <w:rPr>
      <w:sz w:val="24"/>
    </w:rPr>
  </w:style>
  <w:style w:type="paragraph" w:customStyle="1" w:styleId="53">
    <w:name w:val="目录 11"/>
    <w:basedOn w:val="52"/>
    <w:next w:val="52"/>
    <w:qFormat/>
    <w:uiPriority w:val="0"/>
    <w:pPr>
      <w:tabs>
        <w:tab w:val="left" w:pos="1260"/>
        <w:tab w:val="left" w:pos="1685"/>
        <w:tab w:val="right" w:leader="dot" w:pos="8400"/>
      </w:tabs>
      <w:spacing w:line="360" w:lineRule="auto"/>
    </w:pPr>
    <w:rPr>
      <w:rFonts w:ascii="Times New Roman" w:hAnsi="Times New Roman" w:eastAsia="宋体" w:cs="Times New Roman"/>
      <w:b/>
    </w:rPr>
  </w:style>
  <w:style w:type="paragraph" w:customStyle="1" w:styleId="5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15518</Words>
  <Characters>16087</Characters>
  <Lines>0</Lines>
  <Paragraphs>0</Paragraphs>
  <TotalTime>6</TotalTime>
  <ScaleCrop>false</ScaleCrop>
  <LinksUpToDate>false</LinksUpToDate>
  <CharactersWithSpaces>16759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2022-03-07T07:07:00Z</dcterms:created>
  <dc:creator>小小小朋友o∩_∩o</dc:creator>
  <cp:lastModifiedBy>一颗逗子</cp:lastModifiedBy>
  <cp:lastPrinted>2023-07-17T08:04:00Z</cp:lastPrinted>
  <dcterms:modified xsi:type="dcterms:W3CDTF">2026-05-11T09:06:38Z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59129EA9B33049099139A371A8BBE908_13</vt:lpwstr>
  </property>
  <property fmtid="{D5CDD505-2E9C-101B-9397-08002B2CF9AE}" pid="4" name="KSOTemplateDocerSaveRecord">
    <vt:lpwstr>eyJoZGlkIjoiMzYwNDIzMzNkMjdlZTgzNWIzMzRlNGYxYmQ1NGYwNjYiLCJ1c2VySWQiOiIyODI1MzMwMSJ9</vt:lpwstr>
  </property>
</Properties>
</file>