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344B0">
      <w:pPr>
        <w:spacing w:line="360" w:lineRule="auto"/>
        <w:jc w:val="left"/>
        <w:outlineLvl w:val="9"/>
        <w:rPr>
          <w:rFonts w:ascii="宋体" w:hAnsi="宋体" w:cs="宋体"/>
          <w:b/>
          <w:bCs/>
          <w:sz w:val="36"/>
          <w:szCs w:val="36"/>
          <w:highlight w:val="none"/>
        </w:rPr>
      </w:pPr>
    </w:p>
    <w:p w14:paraId="6673D4F2">
      <w:pPr>
        <w:jc w:val="center"/>
        <w:outlineLvl w:val="9"/>
        <w:rPr>
          <w:rFonts w:ascii="宋体" w:hAnsi="宋体" w:cs="宋体"/>
          <w:highlight w:val="none"/>
        </w:rPr>
      </w:pPr>
    </w:p>
    <w:p w14:paraId="38DFDB01">
      <w:pPr>
        <w:spacing w:line="1320" w:lineRule="exact"/>
        <w:jc w:val="center"/>
        <w:outlineLvl w:val="9"/>
        <w:rPr>
          <w:rFonts w:hint="eastAsia" w:ascii="宋体" w:hAnsi="宋体" w:cs="宋体"/>
          <w:sz w:val="84"/>
          <w:szCs w:val="84"/>
          <w:highlight w:val="none"/>
        </w:rPr>
      </w:pPr>
      <w:bookmarkStart w:id="0" w:name="_Toc18758"/>
      <w:bookmarkStart w:id="1" w:name="_Toc31370"/>
      <w:bookmarkStart w:id="2" w:name="_Toc16779"/>
      <w:bookmarkStart w:id="3" w:name="_Toc31917"/>
      <w:bookmarkStart w:id="4" w:name="_Toc17591"/>
      <w:bookmarkStart w:id="5" w:name="_Toc19609"/>
      <w:bookmarkStart w:id="6" w:name="_Toc2781"/>
      <w:bookmarkStart w:id="7" w:name="_Toc30988"/>
      <w:bookmarkStart w:id="8" w:name="_Toc5209"/>
      <w:bookmarkStart w:id="9" w:name="_Toc7408"/>
    </w:p>
    <w:p w14:paraId="5E6EFBB7">
      <w:pPr>
        <w:spacing w:line="1320" w:lineRule="exact"/>
        <w:jc w:val="center"/>
        <w:outlineLvl w:val="9"/>
        <w:rPr>
          <w:rFonts w:hint="eastAsia" w:ascii="宋体" w:hAnsi="宋体" w:cs="宋体"/>
          <w:sz w:val="84"/>
          <w:szCs w:val="84"/>
          <w:highlight w:val="none"/>
        </w:rPr>
      </w:pPr>
      <w:r>
        <w:rPr>
          <w:rFonts w:hint="eastAsia" w:ascii="宋体" w:hAnsi="宋体" w:cs="宋体"/>
          <w:sz w:val="84"/>
          <w:szCs w:val="84"/>
          <w:highlight w:val="none"/>
        </w:rPr>
        <w:t>网上竞采文件</w:t>
      </w:r>
      <w:bookmarkEnd w:id="0"/>
      <w:bookmarkEnd w:id="1"/>
      <w:bookmarkEnd w:id="2"/>
      <w:bookmarkEnd w:id="3"/>
      <w:bookmarkEnd w:id="4"/>
      <w:bookmarkEnd w:id="5"/>
      <w:bookmarkEnd w:id="6"/>
      <w:bookmarkEnd w:id="7"/>
      <w:bookmarkEnd w:id="8"/>
      <w:bookmarkEnd w:id="9"/>
    </w:p>
    <w:p w14:paraId="3A307E90">
      <w:pPr>
        <w:outlineLvl w:val="9"/>
        <w:rPr>
          <w:rFonts w:hint="eastAsia"/>
          <w:highlight w:val="none"/>
        </w:rPr>
      </w:pPr>
    </w:p>
    <w:p w14:paraId="0AD24334">
      <w:pPr>
        <w:outlineLvl w:val="9"/>
        <w:rPr>
          <w:highlight w:val="none"/>
        </w:rPr>
      </w:pPr>
    </w:p>
    <w:p w14:paraId="2CBF2DD1">
      <w:pPr>
        <w:spacing w:line="700" w:lineRule="exact"/>
        <w:jc w:val="left"/>
        <w:outlineLvl w:val="9"/>
        <w:rPr>
          <w:rFonts w:hint="eastAsia" w:ascii="宋体" w:hAnsi="宋体" w:eastAsia="宋体" w:cs="宋体"/>
          <w:sz w:val="36"/>
          <w:szCs w:val="30"/>
          <w:highlight w:val="none"/>
        </w:rPr>
      </w:pPr>
    </w:p>
    <w:p w14:paraId="05492B1E">
      <w:pPr>
        <w:pStyle w:val="27"/>
        <w:spacing w:line="360" w:lineRule="auto"/>
        <w:jc w:val="both"/>
        <w:outlineLvl w:val="9"/>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重庆市沙坪坝区二塘小学校平整门口路面项目</w:t>
      </w:r>
    </w:p>
    <w:p w14:paraId="2AA6C979">
      <w:pPr>
        <w:pStyle w:val="27"/>
        <w:spacing w:line="360" w:lineRule="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w:t>
      </w:r>
      <w:r>
        <w:rPr>
          <w:rFonts w:hint="eastAsia" w:ascii="宋体" w:hAnsi="宋体" w:cs="宋体"/>
          <w:sz w:val="28"/>
          <w:szCs w:val="28"/>
          <w:highlight w:val="none"/>
          <w:lang w:val="en-US" w:eastAsia="zh-CN"/>
        </w:rPr>
        <w:t>执行</w:t>
      </w:r>
      <w:r>
        <w:rPr>
          <w:rFonts w:hint="eastAsia" w:ascii="宋体" w:hAnsi="宋体" w:eastAsia="宋体" w:cs="宋体"/>
          <w:sz w:val="28"/>
          <w:szCs w:val="28"/>
          <w:highlight w:val="none"/>
          <w:lang w:val="en-US" w:eastAsia="zh-CN"/>
        </w:rPr>
        <w:t>编号：</w:t>
      </w:r>
      <w:r>
        <w:rPr>
          <w:rFonts w:hint="eastAsia" w:ascii="宋体" w:hAnsi="宋体" w:cs="宋体"/>
          <w:sz w:val="28"/>
          <w:szCs w:val="28"/>
          <w:highlight w:val="none"/>
          <w:lang w:val="en-US" w:eastAsia="zh-CN"/>
        </w:rPr>
        <w:t>ZZY</w:t>
      </w:r>
      <w:r>
        <w:rPr>
          <w:rFonts w:hint="eastAsia" w:ascii="宋体" w:hAnsi="宋体" w:eastAsia="宋体" w:cs="宋体"/>
          <w:sz w:val="28"/>
          <w:szCs w:val="28"/>
          <w:highlight w:val="none"/>
          <w:lang w:val="en-US" w:eastAsia="zh-CN"/>
        </w:rPr>
        <w:t>-CG-202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052101</w:t>
      </w:r>
    </w:p>
    <w:p w14:paraId="0888642F">
      <w:pPr>
        <w:pStyle w:val="27"/>
        <w:ind w:firstLine="0"/>
        <w:outlineLvl w:val="9"/>
        <w:rPr>
          <w:rFonts w:ascii="宋体" w:hAnsi="宋体" w:cs="宋体"/>
          <w:highlight w:val="none"/>
        </w:rPr>
      </w:pPr>
    </w:p>
    <w:p w14:paraId="64095BF3">
      <w:pPr>
        <w:spacing w:line="500" w:lineRule="exact"/>
        <w:ind w:firstLine="2340" w:firstLineChars="650"/>
        <w:outlineLvl w:val="9"/>
        <w:rPr>
          <w:rFonts w:ascii="宋体" w:hAnsi="宋体" w:cs="宋体"/>
          <w:sz w:val="36"/>
          <w:szCs w:val="36"/>
          <w:highlight w:val="none"/>
        </w:rPr>
      </w:pPr>
    </w:p>
    <w:p w14:paraId="328CF8E4">
      <w:pPr>
        <w:pStyle w:val="38"/>
        <w:ind w:left="980" w:hanging="420"/>
        <w:outlineLvl w:val="9"/>
        <w:rPr>
          <w:rFonts w:hint="default"/>
          <w:highlight w:val="none"/>
        </w:rPr>
      </w:pPr>
    </w:p>
    <w:p w14:paraId="21BCB04F">
      <w:pPr>
        <w:outlineLvl w:val="9"/>
        <w:rPr>
          <w:highlight w:val="none"/>
        </w:rPr>
      </w:pPr>
    </w:p>
    <w:p w14:paraId="7206F46E">
      <w:pPr>
        <w:pStyle w:val="27"/>
        <w:ind w:firstLine="0"/>
        <w:outlineLvl w:val="9"/>
        <w:rPr>
          <w:rFonts w:ascii="宋体" w:hAnsi="宋体" w:cs="宋体"/>
          <w:sz w:val="36"/>
          <w:szCs w:val="36"/>
          <w:highlight w:val="none"/>
        </w:rPr>
      </w:pPr>
    </w:p>
    <w:p w14:paraId="0A43433C">
      <w:pPr>
        <w:spacing w:line="700" w:lineRule="exact"/>
        <w:ind w:left="560" w:leftChars="200" w:firstLine="0" w:firstLineChars="0"/>
        <w:jc w:val="left"/>
        <w:outlineLvl w:val="9"/>
        <w:rPr>
          <w:rFonts w:hint="eastAsia" w:ascii="宋体" w:hAnsi="宋体" w:cs="宋体"/>
          <w:sz w:val="36"/>
          <w:szCs w:val="30"/>
          <w:highlight w:val="none"/>
          <w:u w:val="none"/>
          <w:lang w:eastAsia="zh-CN"/>
        </w:rPr>
      </w:pPr>
      <w:r>
        <w:rPr>
          <w:rFonts w:hint="eastAsia" w:ascii="宋体" w:hAnsi="宋体" w:eastAsia="宋体" w:cs="宋体"/>
          <w:sz w:val="36"/>
          <w:szCs w:val="30"/>
          <w:highlight w:val="none"/>
        </w:rPr>
        <w:t>采</w:t>
      </w:r>
      <w:r>
        <w:rPr>
          <w:rFonts w:hint="eastAsia" w:ascii="宋体" w:hAnsi="宋体" w:eastAsia="宋体" w:cs="宋体"/>
          <w:sz w:val="36"/>
          <w:szCs w:val="30"/>
          <w:highlight w:val="none"/>
          <w:lang w:val="en-US" w:eastAsia="zh-CN"/>
        </w:rPr>
        <w:t xml:space="preserve"> </w:t>
      </w:r>
      <w:r>
        <w:rPr>
          <w:rFonts w:hint="eastAsia" w:ascii="宋体" w:hAnsi="宋体" w:eastAsia="宋体" w:cs="宋体"/>
          <w:sz w:val="36"/>
          <w:szCs w:val="30"/>
          <w:highlight w:val="none"/>
        </w:rPr>
        <w:t>购</w:t>
      </w:r>
      <w:r>
        <w:rPr>
          <w:rFonts w:hint="eastAsia" w:ascii="宋体" w:hAnsi="宋体" w:eastAsia="宋体" w:cs="宋体"/>
          <w:sz w:val="36"/>
          <w:szCs w:val="30"/>
          <w:highlight w:val="none"/>
          <w:lang w:val="en-US" w:eastAsia="zh-CN"/>
        </w:rPr>
        <w:t xml:space="preserve"> </w:t>
      </w:r>
      <w:r>
        <w:rPr>
          <w:rFonts w:hint="eastAsia" w:ascii="宋体" w:hAnsi="宋体" w:eastAsia="宋体" w:cs="宋体"/>
          <w:sz w:val="36"/>
          <w:szCs w:val="30"/>
          <w:highlight w:val="none"/>
        </w:rPr>
        <w:t>人：</w:t>
      </w:r>
      <w:r>
        <w:rPr>
          <w:rFonts w:hint="eastAsia" w:ascii="宋体" w:hAnsi="宋体" w:cs="宋体"/>
          <w:sz w:val="36"/>
          <w:szCs w:val="30"/>
          <w:highlight w:val="none"/>
          <w:u w:val="none"/>
          <w:lang w:eastAsia="zh-CN"/>
        </w:rPr>
        <w:t>重庆市沙坪坝区二塘小学校</w:t>
      </w:r>
    </w:p>
    <w:p w14:paraId="12581DB6">
      <w:pPr>
        <w:spacing w:line="700" w:lineRule="exact"/>
        <w:ind w:left="560" w:leftChars="200" w:firstLine="0" w:firstLineChars="0"/>
        <w:jc w:val="left"/>
        <w:outlineLvl w:val="9"/>
        <w:rPr>
          <w:rFonts w:hint="eastAsia" w:ascii="宋体" w:hAnsi="宋体" w:eastAsia="宋体" w:cs="宋体"/>
          <w:sz w:val="36"/>
          <w:szCs w:val="30"/>
          <w:highlight w:val="none"/>
          <w:lang w:val="en-US" w:eastAsia="zh-CN"/>
        </w:rPr>
      </w:pPr>
      <w:r>
        <w:rPr>
          <w:rFonts w:hint="eastAsia" w:ascii="宋体" w:hAnsi="宋体" w:eastAsia="宋体" w:cs="宋体"/>
          <w:sz w:val="36"/>
          <w:szCs w:val="30"/>
          <w:highlight w:val="none"/>
          <w:lang w:val="en-US" w:eastAsia="zh-CN"/>
        </w:rPr>
        <w:t>采购代理机构：</w:t>
      </w:r>
      <w:r>
        <w:rPr>
          <w:rFonts w:hint="eastAsia" w:ascii="宋体" w:hAnsi="宋体" w:cs="宋体"/>
          <w:sz w:val="36"/>
          <w:szCs w:val="30"/>
          <w:highlight w:val="none"/>
          <w:lang w:val="en-US" w:eastAsia="zh-CN"/>
        </w:rPr>
        <w:t>中知屹</w:t>
      </w:r>
      <w:r>
        <w:rPr>
          <w:rFonts w:hint="eastAsia" w:ascii="宋体" w:hAnsi="宋体" w:eastAsia="宋体" w:cs="宋体"/>
          <w:sz w:val="36"/>
          <w:szCs w:val="30"/>
          <w:highlight w:val="none"/>
          <w:lang w:val="en-US" w:eastAsia="zh-CN"/>
        </w:rPr>
        <w:t>项目管理（重庆）有限责任公司</w:t>
      </w:r>
    </w:p>
    <w:p w14:paraId="3B460576">
      <w:pPr>
        <w:pStyle w:val="10"/>
        <w:outlineLvl w:val="9"/>
        <w:rPr>
          <w:rFonts w:ascii="宋体" w:hAnsi="宋体" w:cs="宋体"/>
          <w:sz w:val="36"/>
          <w:szCs w:val="36"/>
          <w:highlight w:val="none"/>
        </w:rPr>
      </w:pPr>
    </w:p>
    <w:p w14:paraId="488454BA">
      <w:pPr>
        <w:spacing w:line="480" w:lineRule="exact"/>
        <w:jc w:val="center"/>
        <w:outlineLvl w:val="9"/>
        <w:rPr>
          <w:rFonts w:ascii="宋体" w:hAnsi="宋体" w:cs="宋体"/>
          <w:b/>
          <w:bCs/>
          <w:sz w:val="36"/>
          <w:szCs w:val="36"/>
          <w:highlight w:val="none"/>
        </w:rPr>
      </w:pPr>
      <w:bookmarkStart w:id="10" w:name="_Toc572"/>
      <w:r>
        <w:rPr>
          <w:rFonts w:hint="eastAsia" w:ascii="宋体" w:hAnsi="宋体" w:cs="宋体"/>
          <w:b/>
          <w:bCs/>
          <w:sz w:val="36"/>
          <w:szCs w:val="36"/>
          <w:highlight w:val="none"/>
        </w:rPr>
        <w:t>二〇二</w:t>
      </w:r>
      <w:r>
        <w:rPr>
          <w:rFonts w:hint="eastAsia" w:ascii="宋体" w:hAnsi="宋体" w:cs="宋体"/>
          <w:b/>
          <w:bCs/>
          <w:sz w:val="36"/>
          <w:szCs w:val="36"/>
          <w:highlight w:val="none"/>
          <w:lang w:val="en-US" w:eastAsia="zh-CN"/>
        </w:rPr>
        <w:t>六</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月</w:t>
      </w:r>
      <w:bookmarkEnd w:id="10"/>
    </w:p>
    <w:p w14:paraId="34C769DE">
      <w:pPr>
        <w:spacing w:line="480" w:lineRule="exact"/>
        <w:jc w:val="center"/>
        <w:outlineLvl w:val="9"/>
        <w:rPr>
          <w:rFonts w:hint="eastAsia" w:ascii="宋体" w:hAnsi="宋体" w:cs="宋体"/>
          <w:sz w:val="44"/>
          <w:szCs w:val="28"/>
          <w:highlight w:val="none"/>
        </w:rPr>
      </w:pPr>
    </w:p>
    <w:p w14:paraId="74A1A5C0">
      <w:pPr>
        <w:outlineLvl w:val="9"/>
        <w:rPr>
          <w:highlight w:val="none"/>
        </w:rPr>
      </w:pPr>
      <w:r>
        <w:rPr>
          <w:rFonts w:hint="eastAsia" w:ascii="宋体" w:hAnsi="宋体" w:cs="宋体"/>
          <w:sz w:val="44"/>
          <w:szCs w:val="28"/>
          <w:highlight w:val="none"/>
        </w:rPr>
        <w:br w:type="page"/>
      </w:r>
    </w:p>
    <w:p w14:paraId="7442D1BA">
      <w:pPr>
        <w:spacing w:line="480" w:lineRule="exact"/>
        <w:jc w:val="center"/>
        <w:outlineLvl w:val="0"/>
        <w:rPr>
          <w:rFonts w:hint="eastAsia" w:ascii="宋体" w:hAnsi="宋体" w:cs="宋体"/>
          <w:sz w:val="44"/>
          <w:szCs w:val="28"/>
          <w:highlight w:val="none"/>
        </w:rPr>
      </w:pPr>
      <w:bookmarkStart w:id="11" w:name="_Toc7168"/>
      <w:r>
        <w:rPr>
          <w:rFonts w:hint="eastAsia" w:ascii="宋体" w:hAnsi="宋体" w:cs="宋体"/>
          <w:sz w:val="44"/>
          <w:szCs w:val="28"/>
          <w:highlight w:val="none"/>
        </w:rPr>
        <w:t>目   录</w:t>
      </w:r>
      <w:bookmarkEnd w:id="11"/>
    </w:p>
    <w:p w14:paraId="1FEAF65C">
      <w:pPr>
        <w:pStyle w:val="3"/>
        <w:outlineLvl w:val="9"/>
        <w:rPr>
          <w:rFonts w:hint="eastAsia" w:ascii="宋体" w:hAnsi="宋体" w:cs="宋体"/>
          <w:sz w:val="44"/>
          <w:szCs w:val="28"/>
          <w:highlight w:val="none"/>
        </w:rPr>
      </w:pPr>
    </w:p>
    <w:p w14:paraId="0E7D0B97">
      <w:pPr>
        <w:rPr>
          <w:highlight w:val="none"/>
        </w:rPr>
      </w:pPr>
    </w:p>
    <w:p w14:paraId="55F6B672">
      <w:pPr>
        <w:pStyle w:val="22"/>
        <w:tabs>
          <w:tab w:val="right" w:leader="dot" w:pos="9412"/>
        </w:tabs>
        <w:spacing w:line="360" w:lineRule="auto"/>
        <w:rPr>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_Toc13061 </w:instrText>
      </w:r>
      <w:r>
        <w:rPr>
          <w:rFonts w:hint="eastAsia" w:ascii="宋体" w:hAnsi="宋体" w:cs="宋体"/>
          <w:szCs w:val="24"/>
          <w:highlight w:val="none"/>
        </w:rPr>
        <w:fldChar w:fldCharType="separate"/>
      </w:r>
      <w:r>
        <w:rPr>
          <w:rFonts w:hint="eastAsia" w:ascii="宋体" w:hAnsi="宋体" w:eastAsia="宋体" w:cs="宋体"/>
          <w:szCs w:val="30"/>
          <w:highlight w:val="none"/>
        </w:rPr>
        <w:t>第一篇  网上竞采邀请书</w:t>
      </w:r>
      <w:r>
        <w:rPr>
          <w:highlight w:val="none"/>
        </w:rPr>
        <w:tab/>
      </w:r>
      <w:r>
        <w:rPr>
          <w:highlight w:val="none"/>
        </w:rPr>
        <w:fldChar w:fldCharType="begin"/>
      </w:r>
      <w:r>
        <w:rPr>
          <w:highlight w:val="none"/>
        </w:rPr>
        <w:instrText xml:space="preserve"> PAGEREF _Toc13061 \h </w:instrText>
      </w:r>
      <w:r>
        <w:rPr>
          <w:highlight w:val="none"/>
        </w:rPr>
        <w:fldChar w:fldCharType="separate"/>
      </w:r>
      <w:r>
        <w:rPr>
          <w:highlight w:val="none"/>
        </w:rPr>
        <w:t>- 1 -</w:t>
      </w:r>
      <w:r>
        <w:rPr>
          <w:highlight w:val="none"/>
        </w:rPr>
        <w:fldChar w:fldCharType="end"/>
      </w:r>
      <w:r>
        <w:rPr>
          <w:rFonts w:hint="eastAsia" w:ascii="宋体" w:hAnsi="宋体" w:cs="宋体"/>
          <w:szCs w:val="24"/>
          <w:highlight w:val="none"/>
        </w:rPr>
        <w:fldChar w:fldCharType="end"/>
      </w:r>
    </w:p>
    <w:p w14:paraId="761EBBF0">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_Toc13814 </w:instrText>
      </w:r>
      <w:r>
        <w:rPr>
          <w:rFonts w:hint="eastAsia" w:ascii="宋体" w:hAnsi="宋体" w:cs="宋体"/>
          <w:szCs w:val="24"/>
          <w:highlight w:val="none"/>
        </w:rPr>
        <w:fldChar w:fldCharType="separate"/>
      </w:r>
      <w:r>
        <w:rPr>
          <w:rFonts w:hint="eastAsia" w:ascii="宋体" w:hAnsi="宋体" w:eastAsia="宋体" w:cs="宋体"/>
          <w:szCs w:val="30"/>
          <w:highlight w:val="none"/>
        </w:rPr>
        <w:t>第二篇  项目</w:t>
      </w:r>
      <w:r>
        <w:rPr>
          <w:rFonts w:hint="eastAsia" w:ascii="宋体" w:hAnsi="宋体" w:eastAsia="宋体" w:cs="宋体"/>
          <w:szCs w:val="30"/>
          <w:highlight w:val="none"/>
          <w:lang w:val="en-US" w:eastAsia="zh-CN"/>
        </w:rPr>
        <w:t>技术服务</w:t>
      </w:r>
      <w:r>
        <w:rPr>
          <w:rFonts w:hint="eastAsia" w:ascii="宋体" w:hAnsi="宋体" w:eastAsia="宋体" w:cs="宋体"/>
          <w:szCs w:val="30"/>
          <w:highlight w:val="none"/>
        </w:rPr>
        <w:t>需求</w:t>
      </w:r>
      <w:r>
        <w:rPr>
          <w:highlight w:val="none"/>
        </w:rPr>
        <w:tab/>
      </w:r>
      <w:r>
        <w:rPr>
          <w:highlight w:val="none"/>
        </w:rPr>
        <w:fldChar w:fldCharType="begin"/>
      </w:r>
      <w:r>
        <w:rPr>
          <w:highlight w:val="none"/>
        </w:rPr>
        <w:instrText xml:space="preserve"> PAGEREF _Toc13814 \h </w:instrText>
      </w:r>
      <w:r>
        <w:rPr>
          <w:highlight w:val="none"/>
        </w:rPr>
        <w:fldChar w:fldCharType="separate"/>
      </w:r>
      <w:r>
        <w:rPr>
          <w:highlight w:val="none"/>
        </w:rPr>
        <w:t>- 4 -</w:t>
      </w:r>
      <w:r>
        <w:rPr>
          <w:highlight w:val="none"/>
        </w:rPr>
        <w:fldChar w:fldCharType="end"/>
      </w:r>
      <w:r>
        <w:rPr>
          <w:rFonts w:hint="eastAsia" w:ascii="宋体" w:hAnsi="宋体" w:cs="宋体"/>
          <w:szCs w:val="24"/>
          <w:highlight w:val="none"/>
        </w:rPr>
        <w:fldChar w:fldCharType="end"/>
      </w:r>
    </w:p>
    <w:p w14:paraId="3BB7BBC2">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_Toc16114 </w:instrText>
      </w:r>
      <w:r>
        <w:rPr>
          <w:rFonts w:hint="eastAsia" w:ascii="宋体" w:hAnsi="宋体" w:cs="宋体"/>
          <w:szCs w:val="24"/>
          <w:highlight w:val="none"/>
        </w:rPr>
        <w:fldChar w:fldCharType="separate"/>
      </w:r>
      <w:r>
        <w:rPr>
          <w:rFonts w:hint="eastAsia" w:ascii="宋体" w:hAnsi="宋体" w:eastAsia="宋体" w:cs="宋体"/>
          <w:szCs w:val="30"/>
          <w:highlight w:val="none"/>
        </w:rPr>
        <w:t>第三篇  项目商务需求</w:t>
      </w:r>
      <w:r>
        <w:rPr>
          <w:highlight w:val="none"/>
        </w:rPr>
        <w:tab/>
      </w:r>
      <w:r>
        <w:rPr>
          <w:highlight w:val="none"/>
        </w:rPr>
        <w:fldChar w:fldCharType="begin"/>
      </w:r>
      <w:r>
        <w:rPr>
          <w:highlight w:val="none"/>
        </w:rPr>
        <w:instrText xml:space="preserve"> PAGEREF _Toc16114 \h </w:instrText>
      </w:r>
      <w:r>
        <w:rPr>
          <w:highlight w:val="none"/>
        </w:rPr>
        <w:fldChar w:fldCharType="separate"/>
      </w:r>
      <w:r>
        <w:rPr>
          <w:highlight w:val="none"/>
        </w:rPr>
        <w:t>- 5 -</w:t>
      </w:r>
      <w:r>
        <w:rPr>
          <w:highlight w:val="none"/>
        </w:rPr>
        <w:fldChar w:fldCharType="end"/>
      </w:r>
      <w:r>
        <w:rPr>
          <w:rFonts w:hint="eastAsia" w:ascii="宋体" w:hAnsi="宋体" w:cs="宋体"/>
          <w:szCs w:val="24"/>
          <w:highlight w:val="none"/>
        </w:rPr>
        <w:fldChar w:fldCharType="end"/>
      </w:r>
    </w:p>
    <w:p w14:paraId="76B487CD">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_Toc29321 </w:instrText>
      </w:r>
      <w:r>
        <w:rPr>
          <w:rFonts w:hint="eastAsia" w:ascii="宋体" w:hAnsi="宋体" w:cs="宋体"/>
          <w:szCs w:val="24"/>
          <w:highlight w:val="none"/>
        </w:rPr>
        <w:fldChar w:fldCharType="separate"/>
      </w:r>
      <w:r>
        <w:rPr>
          <w:rFonts w:hint="eastAsia" w:ascii="宋体" w:hAnsi="宋体" w:eastAsia="宋体" w:cs="宋体"/>
          <w:bCs/>
          <w:szCs w:val="30"/>
          <w:highlight w:val="none"/>
        </w:rPr>
        <w:t>第四篇  开标程序及方法、评审标准、无效响应和</w:t>
      </w:r>
      <w:r>
        <w:rPr>
          <w:rFonts w:hint="eastAsia" w:ascii="宋体" w:hAnsi="宋体" w:eastAsia="宋体" w:cs="宋体"/>
          <w:bCs/>
          <w:szCs w:val="36"/>
          <w:highlight w:val="none"/>
        </w:rPr>
        <w:t>采购终止</w:t>
      </w:r>
      <w:r>
        <w:rPr>
          <w:highlight w:val="none"/>
        </w:rPr>
        <w:tab/>
      </w:r>
      <w:r>
        <w:rPr>
          <w:highlight w:val="none"/>
        </w:rPr>
        <w:fldChar w:fldCharType="begin"/>
      </w:r>
      <w:r>
        <w:rPr>
          <w:highlight w:val="none"/>
        </w:rPr>
        <w:instrText xml:space="preserve"> PAGEREF _Toc29321 \h </w:instrText>
      </w:r>
      <w:r>
        <w:rPr>
          <w:highlight w:val="none"/>
        </w:rPr>
        <w:fldChar w:fldCharType="separate"/>
      </w:r>
      <w:r>
        <w:rPr>
          <w:highlight w:val="none"/>
        </w:rPr>
        <w:t>- 8 -</w:t>
      </w:r>
      <w:r>
        <w:rPr>
          <w:highlight w:val="none"/>
        </w:rPr>
        <w:fldChar w:fldCharType="end"/>
      </w:r>
      <w:r>
        <w:rPr>
          <w:rFonts w:hint="eastAsia" w:ascii="宋体" w:hAnsi="宋体" w:cs="宋体"/>
          <w:szCs w:val="24"/>
          <w:highlight w:val="none"/>
        </w:rPr>
        <w:fldChar w:fldCharType="end"/>
      </w:r>
    </w:p>
    <w:p w14:paraId="414BA22D">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_Toc19218 </w:instrText>
      </w:r>
      <w:r>
        <w:rPr>
          <w:rFonts w:hint="eastAsia" w:ascii="宋体" w:hAnsi="宋体" w:cs="宋体"/>
          <w:szCs w:val="24"/>
          <w:highlight w:val="none"/>
        </w:rPr>
        <w:fldChar w:fldCharType="separate"/>
      </w:r>
      <w:r>
        <w:rPr>
          <w:rFonts w:hint="eastAsia" w:ascii="宋体" w:hAnsi="宋体" w:eastAsia="宋体" w:cs="宋体"/>
          <w:szCs w:val="30"/>
          <w:highlight w:val="none"/>
        </w:rPr>
        <w:t>第五篇  供应商须知</w:t>
      </w:r>
      <w:r>
        <w:rPr>
          <w:highlight w:val="none"/>
        </w:rPr>
        <w:tab/>
      </w:r>
      <w:r>
        <w:rPr>
          <w:highlight w:val="none"/>
        </w:rPr>
        <w:fldChar w:fldCharType="begin"/>
      </w:r>
      <w:r>
        <w:rPr>
          <w:highlight w:val="none"/>
        </w:rPr>
        <w:instrText xml:space="preserve"> PAGEREF _Toc19218 \h </w:instrText>
      </w:r>
      <w:r>
        <w:rPr>
          <w:highlight w:val="none"/>
        </w:rPr>
        <w:fldChar w:fldCharType="separate"/>
      </w:r>
      <w:r>
        <w:rPr>
          <w:highlight w:val="none"/>
        </w:rPr>
        <w:t>- 12 -</w:t>
      </w:r>
      <w:r>
        <w:rPr>
          <w:highlight w:val="none"/>
        </w:rPr>
        <w:fldChar w:fldCharType="end"/>
      </w:r>
      <w:r>
        <w:rPr>
          <w:rFonts w:hint="eastAsia" w:ascii="宋体" w:hAnsi="宋体" w:cs="宋体"/>
          <w:szCs w:val="24"/>
          <w:highlight w:val="none"/>
        </w:rPr>
        <w:fldChar w:fldCharType="end"/>
      </w:r>
    </w:p>
    <w:p w14:paraId="08063EAE">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_Toc2747 </w:instrText>
      </w:r>
      <w:r>
        <w:rPr>
          <w:rFonts w:hint="eastAsia" w:ascii="宋体" w:hAnsi="宋体" w:cs="宋体"/>
          <w:szCs w:val="24"/>
          <w:highlight w:val="none"/>
        </w:rPr>
        <w:fldChar w:fldCharType="separate"/>
      </w:r>
      <w:r>
        <w:rPr>
          <w:rFonts w:hint="eastAsia" w:ascii="宋体" w:hAnsi="宋体" w:eastAsia="宋体" w:cs="宋体"/>
          <w:szCs w:val="30"/>
          <w:highlight w:val="none"/>
        </w:rPr>
        <w:t>第六篇  合同草案条款</w:t>
      </w:r>
      <w:r>
        <w:rPr>
          <w:highlight w:val="none"/>
        </w:rPr>
        <w:tab/>
      </w:r>
      <w:r>
        <w:rPr>
          <w:highlight w:val="none"/>
        </w:rPr>
        <w:fldChar w:fldCharType="begin"/>
      </w:r>
      <w:r>
        <w:rPr>
          <w:highlight w:val="none"/>
        </w:rPr>
        <w:instrText xml:space="preserve"> PAGEREF _Toc2747 \h </w:instrText>
      </w:r>
      <w:r>
        <w:rPr>
          <w:highlight w:val="none"/>
        </w:rPr>
        <w:fldChar w:fldCharType="separate"/>
      </w:r>
      <w:r>
        <w:rPr>
          <w:highlight w:val="none"/>
        </w:rPr>
        <w:t>- 17 -</w:t>
      </w:r>
      <w:r>
        <w:rPr>
          <w:highlight w:val="none"/>
        </w:rPr>
        <w:fldChar w:fldCharType="end"/>
      </w:r>
      <w:r>
        <w:rPr>
          <w:rFonts w:hint="eastAsia" w:ascii="宋体" w:hAnsi="宋体" w:cs="宋体"/>
          <w:szCs w:val="24"/>
          <w:highlight w:val="none"/>
        </w:rPr>
        <w:fldChar w:fldCharType="end"/>
      </w:r>
    </w:p>
    <w:p w14:paraId="3DFF397F">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_Toc18021 </w:instrText>
      </w:r>
      <w:r>
        <w:rPr>
          <w:rFonts w:hint="eastAsia" w:ascii="宋体" w:hAnsi="宋体" w:cs="宋体"/>
          <w:szCs w:val="24"/>
          <w:highlight w:val="none"/>
        </w:rPr>
        <w:fldChar w:fldCharType="separate"/>
      </w:r>
      <w:r>
        <w:rPr>
          <w:rFonts w:hint="eastAsia" w:ascii="宋体" w:hAnsi="宋体" w:eastAsia="宋体" w:cs="宋体"/>
          <w:szCs w:val="30"/>
          <w:highlight w:val="none"/>
        </w:rPr>
        <w:t>第七篇  响应文件格式要求</w:t>
      </w:r>
      <w:r>
        <w:rPr>
          <w:highlight w:val="none"/>
        </w:rPr>
        <w:tab/>
      </w:r>
      <w:r>
        <w:rPr>
          <w:highlight w:val="none"/>
        </w:rPr>
        <w:fldChar w:fldCharType="begin"/>
      </w:r>
      <w:r>
        <w:rPr>
          <w:highlight w:val="none"/>
        </w:rPr>
        <w:instrText xml:space="preserve"> PAGEREF _Toc18021 \h </w:instrText>
      </w:r>
      <w:r>
        <w:rPr>
          <w:highlight w:val="none"/>
        </w:rPr>
        <w:fldChar w:fldCharType="separate"/>
      </w:r>
      <w:r>
        <w:rPr>
          <w:highlight w:val="none"/>
        </w:rPr>
        <w:t>- 27 -</w:t>
      </w:r>
      <w:r>
        <w:rPr>
          <w:highlight w:val="none"/>
        </w:rPr>
        <w:fldChar w:fldCharType="end"/>
      </w:r>
      <w:r>
        <w:rPr>
          <w:rFonts w:hint="eastAsia" w:ascii="宋体" w:hAnsi="宋体" w:cs="宋体"/>
          <w:szCs w:val="24"/>
          <w:highlight w:val="none"/>
        </w:rPr>
        <w:fldChar w:fldCharType="end"/>
      </w:r>
    </w:p>
    <w:p w14:paraId="31F1761F">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_Toc24609 </w:instrText>
      </w:r>
      <w:r>
        <w:rPr>
          <w:rFonts w:hint="eastAsia" w:ascii="宋体" w:hAnsi="宋体" w:cs="宋体"/>
          <w:szCs w:val="24"/>
          <w:highlight w:val="none"/>
        </w:rPr>
        <w:fldChar w:fldCharType="separate"/>
      </w:r>
      <w:r>
        <w:rPr>
          <w:rFonts w:hint="eastAsia" w:ascii="宋体" w:hAnsi="宋体" w:eastAsia="宋体" w:cs="宋体"/>
          <w:szCs w:val="30"/>
          <w:highlight w:val="none"/>
        </w:rPr>
        <w:t>附件</w:t>
      </w:r>
      <w:r>
        <w:rPr>
          <w:rFonts w:hint="eastAsia" w:ascii="宋体" w:hAnsi="宋体" w:eastAsia="宋体" w:cs="宋体"/>
          <w:szCs w:val="30"/>
          <w:highlight w:val="none"/>
          <w:lang w:val="en-US" w:eastAsia="zh-CN"/>
        </w:rPr>
        <w:t>一</w:t>
      </w:r>
      <w:r>
        <w:rPr>
          <w:rFonts w:hint="eastAsia" w:ascii="宋体" w:hAnsi="宋体" w:eastAsia="宋体" w:cs="宋体"/>
          <w:szCs w:val="30"/>
          <w:highlight w:val="none"/>
        </w:rPr>
        <w:t>：</w:t>
      </w:r>
      <w:r>
        <w:rPr>
          <w:highlight w:val="none"/>
        </w:rPr>
        <w:tab/>
      </w:r>
      <w:r>
        <w:rPr>
          <w:highlight w:val="none"/>
        </w:rPr>
        <w:fldChar w:fldCharType="begin"/>
      </w:r>
      <w:r>
        <w:rPr>
          <w:highlight w:val="none"/>
        </w:rPr>
        <w:instrText xml:space="preserve"> PAGEREF _Toc24609 \h </w:instrText>
      </w:r>
      <w:r>
        <w:rPr>
          <w:highlight w:val="none"/>
        </w:rPr>
        <w:fldChar w:fldCharType="separate"/>
      </w:r>
      <w:r>
        <w:rPr>
          <w:highlight w:val="none"/>
        </w:rPr>
        <w:t>- 41 -</w:t>
      </w:r>
      <w:r>
        <w:rPr>
          <w:highlight w:val="none"/>
        </w:rPr>
        <w:fldChar w:fldCharType="end"/>
      </w:r>
      <w:r>
        <w:rPr>
          <w:rFonts w:hint="eastAsia" w:ascii="宋体" w:hAnsi="宋体" w:cs="宋体"/>
          <w:szCs w:val="24"/>
          <w:highlight w:val="none"/>
        </w:rPr>
        <w:fldChar w:fldCharType="end"/>
      </w:r>
    </w:p>
    <w:p w14:paraId="47AE2581">
      <w:pPr>
        <w:pStyle w:val="22"/>
        <w:tabs>
          <w:tab w:val="right" w:leader="dot" w:pos="9402"/>
        </w:tabs>
        <w:spacing w:line="360" w:lineRule="auto"/>
        <w:ind w:left="0" w:leftChars="0"/>
        <w:outlineLvl w:val="9"/>
        <w:rPr>
          <w:rFonts w:hint="eastAsia" w:ascii="宋体" w:hAnsi="宋体" w:cs="宋体"/>
          <w:szCs w:val="24"/>
          <w:highlight w:val="none"/>
        </w:rPr>
      </w:pPr>
      <w:r>
        <w:rPr>
          <w:rFonts w:hint="eastAsia" w:ascii="宋体" w:hAnsi="宋体" w:cs="宋体"/>
          <w:szCs w:val="24"/>
          <w:highlight w:val="none"/>
        </w:rPr>
        <w:fldChar w:fldCharType="end"/>
      </w:r>
    </w:p>
    <w:p w14:paraId="10BED953">
      <w:pPr>
        <w:bidi w:val="0"/>
        <w:outlineLvl w:val="9"/>
        <w:rPr>
          <w:highlight w:val="none"/>
        </w:rPr>
      </w:pPr>
    </w:p>
    <w:p w14:paraId="11B1FEA0">
      <w:pPr>
        <w:tabs>
          <w:tab w:val="left" w:pos="7547"/>
        </w:tabs>
        <w:bidi w:val="0"/>
        <w:jc w:val="left"/>
        <w:outlineLvl w:val="9"/>
        <w:rPr>
          <w:rFonts w:hint="eastAsia" w:eastAsia="宋体"/>
          <w:highlight w:val="none"/>
          <w:lang w:eastAsia="zh-CN"/>
        </w:rPr>
        <w:sectPr>
          <w:headerReference r:id="rId4" w:type="first"/>
          <w:headerReference r:id="rId3" w:type="default"/>
          <w:pgSz w:w="11907" w:h="16840"/>
          <w:pgMar w:top="1134" w:right="1191" w:bottom="1134" w:left="1304" w:header="567" w:footer="992" w:gutter="0"/>
          <w:pgNumType w:start="1"/>
          <w:cols w:space="720" w:num="1"/>
          <w:titlePg/>
          <w:docGrid w:linePitch="381" w:charSpace="-5735"/>
        </w:sectPr>
      </w:pPr>
      <w:r>
        <w:rPr>
          <w:rFonts w:hint="eastAsia"/>
          <w:highlight w:val="none"/>
          <w:lang w:eastAsia="zh-CN"/>
        </w:rPr>
        <w:tab/>
      </w:r>
    </w:p>
    <w:p w14:paraId="1A466BC5">
      <w:pPr>
        <w:pStyle w:val="3"/>
        <w:spacing w:before="0" w:after="0" w:line="360" w:lineRule="auto"/>
        <w:jc w:val="center"/>
        <w:outlineLvl w:val="0"/>
        <w:rPr>
          <w:rFonts w:ascii="宋体" w:hAnsi="宋体" w:eastAsia="宋体" w:cs="宋体"/>
          <w:b w:val="0"/>
          <w:sz w:val="36"/>
          <w:szCs w:val="30"/>
          <w:highlight w:val="none"/>
        </w:rPr>
      </w:pPr>
      <w:bookmarkStart w:id="12" w:name="_Toc11641050"/>
      <w:bookmarkStart w:id="13" w:name="_Toc12789052"/>
      <w:bookmarkStart w:id="14" w:name="_Toc13061"/>
      <w:r>
        <w:rPr>
          <w:rFonts w:hint="eastAsia" w:ascii="宋体" w:hAnsi="宋体" w:eastAsia="宋体" w:cs="宋体"/>
          <w:b w:val="0"/>
          <w:sz w:val="36"/>
          <w:szCs w:val="30"/>
          <w:highlight w:val="none"/>
        </w:rPr>
        <w:t>第一篇  网上竞采邀请书</w:t>
      </w:r>
      <w:bookmarkEnd w:id="12"/>
      <w:bookmarkEnd w:id="13"/>
      <w:bookmarkEnd w:id="14"/>
    </w:p>
    <w:p w14:paraId="0F2F2D0B">
      <w:pPr>
        <w:pStyle w:val="15"/>
        <w:spacing w:afterAutospacing="0"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u w:val="single"/>
          <w:lang w:val="en-US" w:eastAsia="zh-CN" w:bidi="ar-SA"/>
        </w:rPr>
        <w:t>中知屹</w:t>
      </w:r>
      <w:r>
        <w:rPr>
          <w:rFonts w:hint="eastAsia" w:ascii="宋体" w:hAnsi="宋体" w:eastAsia="宋体" w:cs="宋体"/>
          <w:kern w:val="2"/>
          <w:sz w:val="21"/>
          <w:szCs w:val="21"/>
          <w:highlight w:val="none"/>
          <w:u w:val="single"/>
          <w:lang w:val="en-US" w:eastAsia="zh-CN" w:bidi="ar-SA"/>
        </w:rPr>
        <w:t>项目管理（重庆）有限责任公司</w:t>
      </w:r>
      <w:r>
        <w:rPr>
          <w:rFonts w:hint="eastAsia" w:ascii="宋体" w:hAnsi="宋体" w:eastAsia="宋体" w:cs="宋体"/>
          <w:kern w:val="2"/>
          <w:sz w:val="21"/>
          <w:szCs w:val="21"/>
          <w:highlight w:val="none"/>
          <w:lang w:val="en-US" w:eastAsia="zh-CN" w:bidi="ar-SA"/>
        </w:rPr>
        <w:t>（以下简称：采购代理机构）接受</w:t>
      </w:r>
      <w:r>
        <w:rPr>
          <w:rFonts w:hint="eastAsia" w:ascii="宋体" w:hAnsi="宋体" w:cs="宋体"/>
          <w:kern w:val="2"/>
          <w:sz w:val="21"/>
          <w:szCs w:val="21"/>
          <w:highlight w:val="none"/>
          <w:u w:val="single"/>
          <w:lang w:val="en-US" w:eastAsia="zh-CN" w:bidi="ar-SA"/>
        </w:rPr>
        <w:t>重庆市沙坪坝区二塘小学校</w:t>
      </w:r>
      <w:r>
        <w:rPr>
          <w:rFonts w:hint="eastAsia" w:ascii="宋体" w:hAnsi="宋体" w:eastAsia="宋体" w:cs="宋体"/>
          <w:kern w:val="2"/>
          <w:sz w:val="21"/>
          <w:szCs w:val="21"/>
          <w:highlight w:val="none"/>
          <w:lang w:val="en-US" w:eastAsia="zh-CN" w:bidi="ar-SA"/>
        </w:rPr>
        <w:t>（以下简称：采购人）的委托，对</w:t>
      </w:r>
      <w:r>
        <w:rPr>
          <w:rFonts w:hint="eastAsia" w:ascii="宋体" w:hAnsi="宋体" w:cs="宋体"/>
          <w:kern w:val="2"/>
          <w:sz w:val="21"/>
          <w:szCs w:val="21"/>
          <w:highlight w:val="none"/>
          <w:u w:val="single"/>
          <w:lang w:val="en-US" w:eastAsia="zh-CN" w:bidi="ar-SA"/>
        </w:rPr>
        <w:t>重庆市沙坪坝区二塘小学校平整门口路面项目</w:t>
      </w:r>
      <w:r>
        <w:rPr>
          <w:rFonts w:hint="eastAsia" w:ascii="宋体" w:hAnsi="宋体" w:eastAsia="宋体" w:cs="宋体"/>
          <w:kern w:val="2"/>
          <w:sz w:val="21"/>
          <w:szCs w:val="21"/>
          <w:highlight w:val="none"/>
          <w:lang w:val="en-US" w:eastAsia="zh-CN" w:bidi="ar-SA"/>
        </w:rPr>
        <w:t>进行网上竞采采购。欢迎有资格的供应商前来参加网上竞采。</w:t>
      </w:r>
    </w:p>
    <w:p w14:paraId="6D56CF07">
      <w:pPr>
        <w:snapToGrid w:val="0"/>
        <w:spacing w:before="159" w:beforeLines="50" w:beforeAutospacing="0" w:after="159" w:afterLines="50" w:afterAutospacing="0" w:line="400" w:lineRule="exact"/>
        <w:ind w:firstLine="482" w:firstLineChars="200"/>
        <w:outlineLvl w:val="1"/>
        <w:rPr>
          <w:rFonts w:ascii="宋体" w:hAnsi="宋体" w:cs="宋体"/>
          <w:b/>
          <w:bCs/>
          <w:sz w:val="24"/>
          <w:szCs w:val="24"/>
          <w:highlight w:val="none"/>
        </w:rPr>
      </w:pPr>
      <w:bookmarkStart w:id="15" w:name="_Toc29871"/>
      <w:bookmarkStart w:id="16" w:name="_Toc313893526"/>
      <w:bookmarkStart w:id="17" w:name="_Toc10337"/>
      <w:bookmarkStart w:id="18" w:name="_Toc317775175"/>
      <w:r>
        <w:rPr>
          <w:rFonts w:hint="eastAsia" w:ascii="宋体" w:hAnsi="宋体" w:cs="宋体"/>
          <w:b/>
          <w:bCs/>
          <w:sz w:val="24"/>
          <w:szCs w:val="24"/>
          <w:highlight w:val="none"/>
        </w:rPr>
        <w:t>一、网上竞采采购内容</w:t>
      </w:r>
      <w:bookmarkEnd w:id="15"/>
      <w:bookmarkEnd w:id="16"/>
      <w:bookmarkEnd w:id="17"/>
      <w:bookmarkEnd w:id="18"/>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1883"/>
        <w:gridCol w:w="1650"/>
        <w:gridCol w:w="1617"/>
        <w:gridCol w:w="1043"/>
      </w:tblGrid>
      <w:tr w14:paraId="3293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094" w:type="dxa"/>
            <w:tcBorders>
              <w:top w:val="single" w:color="auto" w:sz="4" w:space="0"/>
              <w:left w:val="single" w:color="auto" w:sz="4" w:space="0"/>
              <w:right w:val="single" w:color="auto" w:sz="4" w:space="0"/>
            </w:tcBorders>
            <w:vAlign w:val="center"/>
          </w:tcPr>
          <w:p w14:paraId="45A1D10B">
            <w:pPr>
              <w:snapToGrid w:val="0"/>
              <w:spacing w:beforeAutospacing="0" w:line="400" w:lineRule="exact"/>
              <w:jc w:val="center"/>
              <w:rPr>
                <w:rFonts w:ascii="宋体" w:hAnsi="宋体" w:cs="宋体"/>
                <w:b/>
                <w:sz w:val="24"/>
                <w:szCs w:val="24"/>
                <w:highlight w:val="none"/>
              </w:rPr>
            </w:pPr>
            <w:bookmarkStart w:id="19" w:name="_Toc27165"/>
            <w:bookmarkStart w:id="20" w:name="_Toc373860293"/>
            <w:bookmarkStart w:id="21" w:name="_Toc317775178"/>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名称</w:t>
            </w:r>
          </w:p>
        </w:tc>
        <w:tc>
          <w:tcPr>
            <w:tcW w:w="1883" w:type="dxa"/>
            <w:tcBorders>
              <w:top w:val="single" w:color="auto" w:sz="4" w:space="0"/>
              <w:left w:val="single" w:color="auto" w:sz="4" w:space="0"/>
              <w:right w:val="single" w:color="auto" w:sz="4" w:space="0"/>
            </w:tcBorders>
            <w:vAlign w:val="center"/>
          </w:tcPr>
          <w:p w14:paraId="3A1CB2E7">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最高限价（元）</w:t>
            </w:r>
          </w:p>
        </w:tc>
        <w:tc>
          <w:tcPr>
            <w:tcW w:w="1650" w:type="dxa"/>
            <w:tcBorders>
              <w:top w:val="single" w:color="auto" w:sz="4" w:space="0"/>
              <w:left w:val="single" w:color="auto" w:sz="4" w:space="0"/>
              <w:right w:val="single" w:color="auto" w:sz="4" w:space="0"/>
            </w:tcBorders>
            <w:vAlign w:val="center"/>
          </w:tcPr>
          <w:p w14:paraId="09C3A313">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保证金（元）</w:t>
            </w:r>
          </w:p>
        </w:tc>
        <w:tc>
          <w:tcPr>
            <w:tcW w:w="1617" w:type="dxa"/>
            <w:tcBorders>
              <w:top w:val="single" w:color="auto" w:sz="4" w:space="0"/>
              <w:left w:val="single" w:color="auto" w:sz="4" w:space="0"/>
              <w:right w:val="single" w:color="auto" w:sz="4" w:space="0"/>
            </w:tcBorders>
            <w:vAlign w:val="center"/>
          </w:tcPr>
          <w:p w14:paraId="62C7A7B0">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成交供应商数量（名）</w:t>
            </w:r>
          </w:p>
        </w:tc>
        <w:tc>
          <w:tcPr>
            <w:tcW w:w="1043" w:type="dxa"/>
            <w:tcBorders>
              <w:top w:val="single" w:color="auto" w:sz="4" w:space="0"/>
              <w:left w:val="single" w:color="auto" w:sz="4" w:space="0"/>
              <w:right w:val="single" w:color="auto" w:sz="4" w:space="0"/>
            </w:tcBorders>
            <w:vAlign w:val="center"/>
          </w:tcPr>
          <w:p w14:paraId="21BBA048">
            <w:pPr>
              <w:snapToGrid w:val="0"/>
              <w:spacing w:line="4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备注</w:t>
            </w:r>
          </w:p>
        </w:tc>
      </w:tr>
      <w:tr w14:paraId="646A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094" w:type="dxa"/>
            <w:tcBorders>
              <w:top w:val="single" w:color="auto" w:sz="4" w:space="0"/>
              <w:left w:val="single" w:color="auto" w:sz="4" w:space="0"/>
              <w:bottom w:val="single" w:color="auto" w:sz="4" w:space="0"/>
              <w:right w:val="single" w:color="auto" w:sz="4" w:space="0"/>
            </w:tcBorders>
            <w:vAlign w:val="center"/>
          </w:tcPr>
          <w:p w14:paraId="53C211C1">
            <w:pPr>
              <w:wordWrap w:val="0"/>
              <w:spacing w:line="520" w:lineRule="exact"/>
              <w:jc w:val="center"/>
              <w:rPr>
                <w:rFonts w:hint="eastAsia" w:ascii="宋体" w:hAnsi="宋体" w:eastAsia="宋体" w:cs="宋体"/>
                <w:sz w:val="21"/>
                <w:szCs w:val="21"/>
                <w:highlight w:val="none"/>
                <w:lang w:val="en-US" w:eastAsia="zh-CN"/>
              </w:rPr>
            </w:pPr>
            <w:bookmarkStart w:id="22" w:name="_Hlk344477914"/>
            <w:r>
              <w:rPr>
                <w:rFonts w:hint="eastAsia" w:ascii="宋体" w:hAnsi="宋体" w:cs="宋体"/>
                <w:sz w:val="21"/>
                <w:szCs w:val="21"/>
                <w:highlight w:val="none"/>
                <w:lang w:val="en-US" w:eastAsia="zh-CN"/>
              </w:rPr>
              <w:t>重庆市沙坪坝区二塘小学校平整门口路面项目</w:t>
            </w:r>
          </w:p>
        </w:tc>
        <w:tc>
          <w:tcPr>
            <w:tcW w:w="1883" w:type="dxa"/>
            <w:tcBorders>
              <w:top w:val="single" w:color="auto" w:sz="4" w:space="0"/>
              <w:left w:val="single" w:color="auto" w:sz="4" w:space="0"/>
              <w:bottom w:val="single" w:color="auto" w:sz="4" w:space="0"/>
              <w:right w:val="single" w:color="auto" w:sz="4" w:space="0"/>
            </w:tcBorders>
            <w:vAlign w:val="center"/>
          </w:tcPr>
          <w:p w14:paraId="4CB9532F">
            <w:pPr>
              <w:wordWrap w:val="0"/>
              <w:spacing w:line="520" w:lineRule="exact"/>
              <w:jc w:val="center"/>
              <w:rPr>
                <w:rFonts w:hint="default" w:ascii="宋体" w:hAnsi="宋体" w:eastAsia="宋体" w:cs="宋体"/>
                <w:sz w:val="21"/>
                <w:szCs w:val="21"/>
                <w:highlight w:val="none"/>
                <w:lang w:val="en-US" w:eastAsia="zh-CN"/>
              </w:rPr>
            </w:pPr>
            <w:r>
              <w:rPr>
                <w:rFonts w:hint="eastAsia" w:ascii="宋体" w:hAnsi="宋体" w:cs="宋体"/>
                <w:color w:val="000000"/>
                <w:kern w:val="0"/>
                <w:sz w:val="23"/>
                <w:szCs w:val="23"/>
                <w:highlight w:val="none"/>
                <w:lang w:val="en-US" w:eastAsia="zh-CN" w:bidi="ar"/>
              </w:rPr>
              <w:t>36000.00</w:t>
            </w:r>
          </w:p>
        </w:tc>
        <w:tc>
          <w:tcPr>
            <w:tcW w:w="1650" w:type="dxa"/>
            <w:tcBorders>
              <w:top w:val="single" w:color="auto" w:sz="4" w:space="0"/>
              <w:left w:val="single" w:color="auto" w:sz="4" w:space="0"/>
              <w:bottom w:val="single" w:color="auto" w:sz="4" w:space="0"/>
              <w:right w:val="single" w:color="auto" w:sz="4" w:space="0"/>
            </w:tcBorders>
            <w:vAlign w:val="center"/>
          </w:tcPr>
          <w:p w14:paraId="45B86AF7">
            <w:pPr>
              <w:wordWrap w:val="0"/>
              <w:spacing w:line="5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c>
          <w:tcPr>
            <w:tcW w:w="1617" w:type="dxa"/>
            <w:tcBorders>
              <w:top w:val="single" w:color="auto" w:sz="4" w:space="0"/>
              <w:left w:val="single" w:color="auto" w:sz="4" w:space="0"/>
              <w:bottom w:val="single" w:color="auto" w:sz="4" w:space="0"/>
              <w:right w:val="single" w:color="auto" w:sz="4" w:space="0"/>
            </w:tcBorders>
            <w:vAlign w:val="center"/>
          </w:tcPr>
          <w:p w14:paraId="7114534B">
            <w:pPr>
              <w:wordWrap w:val="0"/>
              <w:spacing w:line="5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43" w:type="dxa"/>
            <w:tcBorders>
              <w:top w:val="single" w:color="auto" w:sz="4" w:space="0"/>
              <w:left w:val="single" w:color="auto" w:sz="4" w:space="0"/>
              <w:bottom w:val="single" w:color="auto" w:sz="4" w:space="0"/>
              <w:right w:val="single" w:color="auto" w:sz="4" w:space="0"/>
            </w:tcBorders>
            <w:vAlign w:val="center"/>
          </w:tcPr>
          <w:p w14:paraId="4E5909B1">
            <w:pPr>
              <w:snapToGrid w:val="0"/>
              <w:spacing w:line="400" w:lineRule="exact"/>
              <w:jc w:val="center"/>
              <w:rPr>
                <w:rFonts w:ascii="宋体" w:hAnsi="宋体" w:cs="宋体"/>
                <w:sz w:val="24"/>
                <w:szCs w:val="24"/>
                <w:highlight w:val="none"/>
              </w:rPr>
            </w:pPr>
          </w:p>
        </w:tc>
      </w:tr>
      <w:bookmarkEnd w:id="19"/>
      <w:bookmarkEnd w:id="22"/>
    </w:tbl>
    <w:p w14:paraId="09DAFFE9">
      <w:pPr>
        <w:snapToGrid w:val="0"/>
        <w:spacing w:before="159" w:beforeLines="50" w:beforeAutospacing="0" w:after="159" w:afterLines="50" w:afterAutospacing="0" w:line="400" w:lineRule="exact"/>
        <w:ind w:firstLine="480" w:firstLineChars="200"/>
        <w:rPr>
          <w:rFonts w:hint="default" w:ascii="宋体" w:hAnsi="宋体" w:cs="宋体"/>
          <w:b w:val="0"/>
          <w:bCs w:val="0"/>
          <w:sz w:val="24"/>
          <w:szCs w:val="24"/>
          <w:highlight w:val="none"/>
          <w:lang w:val="en-US" w:eastAsia="zh-CN"/>
        </w:rPr>
      </w:pPr>
      <w:bookmarkStart w:id="23" w:name="_Toc14941"/>
      <w:r>
        <w:rPr>
          <w:rFonts w:hint="eastAsia" w:ascii="宋体" w:hAnsi="宋体" w:cs="宋体"/>
          <w:b w:val="0"/>
          <w:bCs w:val="0"/>
          <w:sz w:val="24"/>
          <w:szCs w:val="24"/>
          <w:highlight w:val="none"/>
          <w:lang w:val="en-US" w:eastAsia="zh-CN"/>
        </w:rPr>
        <w:t>资金来源：财政资金</w:t>
      </w:r>
    </w:p>
    <w:p w14:paraId="3131FFAE">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rPr>
      </w:pPr>
      <w:bookmarkStart w:id="24" w:name="_Toc7649"/>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rPr>
        <w:t>、供应商资格条件</w:t>
      </w:r>
      <w:bookmarkEnd w:id="23"/>
      <w:bookmarkEnd w:id="24"/>
    </w:p>
    <w:p w14:paraId="15E7558E">
      <w:pPr>
        <w:wordWrap w:val="0"/>
        <w:spacing w:beforeAutospacing="0" w:line="360" w:lineRule="auto"/>
        <w:ind w:firstLine="480"/>
        <w:rPr>
          <w:rFonts w:hint="eastAsia" w:ascii="宋体" w:hAnsi="宋体" w:eastAsia="宋体" w:cs="宋体"/>
          <w:sz w:val="21"/>
          <w:szCs w:val="21"/>
          <w:highlight w:val="none"/>
          <w:lang w:eastAsia="zh-CN"/>
        </w:rPr>
      </w:pPr>
      <w:bookmarkStart w:id="25" w:name="_Toc6513"/>
      <w:r>
        <w:rPr>
          <w:rFonts w:hint="eastAsia" w:ascii="宋体" w:hAnsi="宋体" w:eastAsia="宋体" w:cs="宋体"/>
          <w:sz w:val="21"/>
          <w:szCs w:val="21"/>
          <w:highlight w:val="none"/>
          <w:lang w:eastAsia="zh-CN"/>
        </w:rPr>
        <w:t>（一）一般资格条件</w:t>
      </w:r>
    </w:p>
    <w:p w14:paraId="22950F10">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1.具有独立承担民事责任的能力；</w:t>
      </w:r>
    </w:p>
    <w:p w14:paraId="648A808D">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2.具有良好的商业信誉和健全的财务会计制度；</w:t>
      </w:r>
    </w:p>
    <w:p w14:paraId="609EEDCB">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3.具有履行合同所必需的设备和专业技术能力；</w:t>
      </w:r>
    </w:p>
    <w:p w14:paraId="3035E294">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4.有依法缴纳税收和社会保障资金的良好记录；</w:t>
      </w:r>
    </w:p>
    <w:p w14:paraId="4F481339">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5.参加政府采购活动前三年内，在经营活动中没有重大违法记录；</w:t>
      </w:r>
    </w:p>
    <w:p w14:paraId="1D0DAE70">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6.法律、行政法规规定的其他条件。</w:t>
      </w:r>
    </w:p>
    <w:p w14:paraId="2742814D">
      <w:pPr>
        <w:wordWrap w:val="0"/>
        <w:spacing w:line="360" w:lineRule="auto"/>
        <w:ind w:firstLine="48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（二）落实政府采购政策需满足的资格要求：无。</w:t>
      </w:r>
    </w:p>
    <w:p w14:paraId="1F8262DE">
      <w:pPr>
        <w:wordWrap w:val="0"/>
        <w:spacing w:line="360" w:lineRule="auto"/>
        <w:ind w:firstLine="569" w:firstLineChars="271"/>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)特定资格条件</w:t>
      </w:r>
      <w:r>
        <w:rPr>
          <w:rFonts w:hint="eastAsia" w:ascii="宋体" w:hAnsi="宋体" w:cs="宋体"/>
          <w:sz w:val="21"/>
          <w:szCs w:val="21"/>
          <w:highlight w:val="none"/>
          <w:lang w:eastAsia="zh-CN"/>
        </w:rPr>
        <w:t>：</w:t>
      </w:r>
    </w:p>
    <w:p w14:paraId="76B6119A">
      <w:pPr>
        <w:wordWrap w:val="0"/>
        <w:spacing w:line="360" w:lineRule="auto"/>
        <w:ind w:firstLine="569" w:firstLineChars="271"/>
        <w:rPr>
          <w:rFonts w:hint="eastAsia" w:ascii="宋体" w:hAnsi="宋体" w:cs="宋体"/>
          <w:sz w:val="21"/>
          <w:szCs w:val="21"/>
          <w:highlight w:val="none"/>
          <w:lang w:eastAsia="zh-CN"/>
        </w:rPr>
      </w:pPr>
      <w:r>
        <w:rPr>
          <w:rFonts w:hint="eastAsia" w:ascii="宋体" w:hAnsi="宋体" w:cs="宋体"/>
          <w:sz w:val="21"/>
          <w:szCs w:val="21"/>
          <w:highlight w:val="none"/>
          <w:lang w:eastAsia="zh-CN"/>
        </w:rPr>
        <w:t>1.供应商应具备建设行政主管部门颁发的：</w:t>
      </w:r>
      <w:r>
        <w:rPr>
          <w:rFonts w:hint="eastAsia" w:ascii="宋体" w:hAnsi="宋体" w:cs="宋体"/>
          <w:sz w:val="21"/>
          <w:szCs w:val="21"/>
          <w:highlight w:val="none"/>
          <w:lang w:val="en-US" w:eastAsia="zh-CN"/>
        </w:rPr>
        <w:t>市政公用工程</w:t>
      </w:r>
      <w:r>
        <w:rPr>
          <w:rFonts w:hint="eastAsia" w:ascii="宋体" w:hAnsi="宋体" w:cs="宋体"/>
          <w:sz w:val="21"/>
          <w:szCs w:val="21"/>
          <w:highlight w:val="none"/>
          <w:lang w:eastAsia="zh-CN"/>
        </w:rPr>
        <w:t>总承包叁级及以上资质（提供相关的证书复印件并加盖供应商公章）</w:t>
      </w:r>
    </w:p>
    <w:p w14:paraId="4B2C7DF3">
      <w:pPr>
        <w:wordWrap w:val="0"/>
        <w:spacing w:line="360" w:lineRule="auto"/>
        <w:ind w:firstLine="569" w:firstLineChars="271"/>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2.具备建设行政主管部门颁发的有效的安全生产许可证。（提供相关的证书复印件并加盖供应商公章）</w:t>
      </w:r>
      <w:r>
        <w:rPr>
          <w:rFonts w:hint="eastAsia" w:ascii="宋体" w:hAnsi="宋体" w:eastAsia="宋体" w:cs="宋体"/>
          <w:sz w:val="21"/>
          <w:szCs w:val="21"/>
          <w:highlight w:val="none"/>
          <w:lang w:val="en-US" w:eastAsia="zh-CN"/>
        </w:rPr>
        <w:t>。</w:t>
      </w:r>
    </w:p>
    <w:p w14:paraId="5515CE20">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26" w:name="_Toc28181"/>
      <w:r>
        <w:rPr>
          <w:rFonts w:hint="eastAsia" w:ascii="宋体" w:hAnsi="宋体" w:cs="宋体"/>
          <w:b/>
          <w:bCs/>
          <w:sz w:val="24"/>
          <w:szCs w:val="24"/>
          <w:highlight w:val="none"/>
          <w:lang w:val="en-US" w:eastAsia="zh-CN"/>
        </w:rPr>
        <w:t>三、网上竞采有关说明</w:t>
      </w:r>
      <w:bookmarkEnd w:id="20"/>
      <w:bookmarkEnd w:id="25"/>
      <w:bookmarkEnd w:id="26"/>
    </w:p>
    <w:bookmarkEnd w:id="21"/>
    <w:p w14:paraId="731FC49B">
      <w:pPr>
        <w:wordWrap w:val="0"/>
        <w:spacing w:line="240" w:lineRule="auto"/>
        <w:ind w:firstLine="480"/>
        <w:rPr>
          <w:rFonts w:ascii="宋体" w:hAnsi="宋体" w:cs="宋体"/>
          <w:sz w:val="21"/>
          <w:szCs w:val="21"/>
          <w:highlight w:val="none"/>
        </w:rPr>
      </w:pPr>
      <w:bookmarkStart w:id="27" w:name="_Toc525047161"/>
      <w:bookmarkStart w:id="28" w:name="_Toc521053053"/>
      <w:bookmarkStart w:id="29" w:name="_Toc373860294"/>
      <w:r>
        <w:rPr>
          <w:rFonts w:hint="eastAsia" w:ascii="宋体" w:hAnsi="宋体" w:cs="宋体"/>
          <w:sz w:val="21"/>
          <w:szCs w:val="21"/>
          <w:highlight w:val="none"/>
        </w:rPr>
        <w:t>1.报名和采购文件发售期：</w:t>
      </w:r>
      <w:r>
        <w:rPr>
          <w:rFonts w:hint="eastAsia" w:ascii="宋体" w:hAnsi="宋体" w:cs="宋体"/>
          <w:sz w:val="21"/>
          <w:szCs w:val="21"/>
          <w:highlight w:val="none"/>
          <w:lang w:val="en-US" w:eastAsia="zh-CN"/>
        </w:rPr>
        <w:t>2026年5月21日</w:t>
      </w:r>
      <w:r>
        <w:rPr>
          <w:rFonts w:hint="eastAsia" w:ascii="宋体" w:hAnsi="宋体" w:cs="宋体"/>
          <w:sz w:val="21"/>
          <w:szCs w:val="21"/>
          <w:highlight w:val="none"/>
        </w:rPr>
        <w:t>至202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日17：00。</w:t>
      </w:r>
    </w:p>
    <w:p w14:paraId="3536A205">
      <w:pPr>
        <w:wordWrap w:val="0"/>
        <w:spacing w:line="520" w:lineRule="exact"/>
        <w:ind w:firstLine="480"/>
        <w:rPr>
          <w:rFonts w:hint="eastAsia" w:ascii="宋体" w:hAnsi="宋体" w:eastAsia="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竞采</w:t>
      </w:r>
      <w:r>
        <w:rPr>
          <w:rFonts w:hint="eastAsia" w:ascii="宋体" w:hAnsi="宋体" w:cs="宋体"/>
          <w:sz w:val="21"/>
          <w:szCs w:val="21"/>
          <w:highlight w:val="none"/>
        </w:rPr>
        <w:t>文件</w:t>
      </w:r>
      <w:r>
        <w:rPr>
          <w:rFonts w:hint="eastAsia" w:ascii="宋体" w:hAnsi="宋体" w:cs="宋体"/>
          <w:sz w:val="21"/>
          <w:szCs w:val="21"/>
          <w:highlight w:val="none"/>
          <w:lang w:val="en-US" w:eastAsia="zh-CN"/>
        </w:rPr>
        <w:t>工本费</w:t>
      </w:r>
      <w:r>
        <w:rPr>
          <w:rFonts w:hint="eastAsia" w:ascii="宋体" w:hAnsi="宋体" w:cs="宋体"/>
          <w:sz w:val="21"/>
          <w:szCs w:val="21"/>
          <w:highlight w:val="none"/>
        </w:rPr>
        <w:t>：人民币300元/份（售后不退）,微</w:t>
      </w:r>
      <w:r>
        <w:rPr>
          <w:rFonts w:hint="eastAsia" w:ascii="宋体" w:hAnsi="宋体" w:eastAsia="宋体" w:cs="宋体"/>
          <w:sz w:val="21"/>
          <w:szCs w:val="21"/>
          <w:highlight w:val="none"/>
        </w:rPr>
        <w:t>信转账方式递交</w:t>
      </w:r>
      <w:r>
        <w:rPr>
          <w:rFonts w:hint="eastAsia" w:ascii="宋体" w:hAnsi="宋体" w:eastAsia="宋体" w:cs="宋体"/>
          <w:sz w:val="21"/>
          <w:szCs w:val="21"/>
          <w:highlight w:val="none"/>
          <w:lang w:val="en-US" w:eastAsia="zh-CN"/>
        </w:rPr>
        <w:t>下方</w:t>
      </w:r>
      <w:r>
        <w:rPr>
          <w:rFonts w:hint="eastAsia" w:ascii="宋体" w:hAnsi="宋体" w:cs="宋体"/>
          <w:sz w:val="21"/>
          <w:szCs w:val="21"/>
          <w:highlight w:val="none"/>
          <w:lang w:val="en-US" w:eastAsia="zh-CN"/>
        </w:rPr>
        <w:t>收款</w:t>
      </w:r>
      <w:r>
        <w:rPr>
          <w:rFonts w:hint="eastAsia" w:ascii="宋体" w:hAnsi="宋体" w:eastAsia="宋体" w:cs="宋体"/>
          <w:sz w:val="21"/>
          <w:szCs w:val="21"/>
          <w:highlight w:val="none"/>
        </w:rPr>
        <w:t>二维码中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转账请备注</w:t>
      </w:r>
      <w:r>
        <w:rPr>
          <w:rFonts w:hint="eastAsia" w:ascii="宋体" w:hAnsi="宋体" w:cs="宋体"/>
          <w:sz w:val="21"/>
          <w:szCs w:val="21"/>
          <w:highlight w:val="none"/>
          <w:lang w:val="en-US" w:eastAsia="zh-CN"/>
        </w:rPr>
        <w:t>供应商单位名</w:t>
      </w:r>
      <w:r>
        <w:rPr>
          <w:rFonts w:hint="eastAsia" w:ascii="宋体" w:hAnsi="宋体" w:eastAsia="宋体" w:cs="宋体"/>
          <w:sz w:val="21"/>
          <w:szCs w:val="21"/>
          <w:highlight w:val="none"/>
        </w:rPr>
        <w:t>称及</w:t>
      </w:r>
      <w:r>
        <w:rPr>
          <w:rFonts w:hint="eastAsia" w:ascii="宋体" w:hAnsi="宋体" w:cs="宋体"/>
          <w:sz w:val="21"/>
          <w:szCs w:val="21"/>
          <w:highlight w:val="none"/>
          <w:lang w:val="en-US" w:eastAsia="zh-CN"/>
        </w:rPr>
        <w:t>二塘小学路面项目</w:t>
      </w:r>
      <w:r>
        <w:rPr>
          <w:rFonts w:hint="eastAsia" w:ascii="宋体" w:hAnsi="宋体" w:eastAsia="宋体" w:cs="宋体"/>
          <w:sz w:val="21"/>
          <w:szCs w:val="21"/>
          <w:highlight w:val="none"/>
        </w:rPr>
        <w:t>。</w:t>
      </w:r>
    </w:p>
    <w:p w14:paraId="1F45880B">
      <w:pPr>
        <w:wordWrap w:val="0"/>
        <w:spacing w:line="240" w:lineRule="auto"/>
        <w:ind w:firstLine="480"/>
        <w:rPr>
          <w:rFonts w:hint="eastAsia" w:ascii="宋体" w:hAnsi="宋体" w:eastAsia="宋体" w:cs="宋体"/>
          <w:sz w:val="21"/>
          <w:szCs w:val="21"/>
          <w:highlight w:val="none"/>
          <w:lang w:eastAsia="zh-CN"/>
        </w:rPr>
      </w:pPr>
    </w:p>
    <w:p w14:paraId="7950C272">
      <w:pPr>
        <w:pStyle w:val="25"/>
        <w:rPr>
          <w:rFonts w:hint="eastAsia"/>
          <w:highlight w:val="none"/>
          <w:lang w:eastAsia="zh-CN"/>
        </w:rPr>
      </w:pPr>
    </w:p>
    <w:p w14:paraId="622BA130">
      <w:pPr>
        <w:pStyle w:val="25"/>
        <w:rPr>
          <w:rFonts w:hint="eastAsia"/>
          <w:highlight w:val="none"/>
          <w:lang w:eastAsia="zh-CN"/>
        </w:rPr>
      </w:pPr>
      <w:r>
        <w:rPr>
          <w:rFonts w:hint="eastAsia"/>
          <w:highlight w:val="none"/>
          <w:lang w:eastAsia="zh-CN"/>
        </w:rPr>
        <w:drawing>
          <wp:inline distT="0" distB="0" distL="114300" distR="114300">
            <wp:extent cx="1270635" cy="1419860"/>
            <wp:effectExtent l="0" t="0" r="5715" b="8890"/>
            <wp:docPr id="3" name="图片 3" descr="中知屹-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知屹-收款码"/>
                    <pic:cNvPicPr>
                      <a:picLocks noChangeAspect="1"/>
                    </pic:cNvPicPr>
                  </pic:nvPicPr>
                  <pic:blipFill>
                    <a:blip r:embed="rId16"/>
                    <a:srcRect l="19007" t="18427" r="19130" b="31280"/>
                    <a:stretch>
                      <a:fillRect/>
                    </a:stretch>
                  </pic:blipFill>
                  <pic:spPr>
                    <a:xfrm>
                      <a:off x="0" y="0"/>
                      <a:ext cx="1270635" cy="1419860"/>
                    </a:xfrm>
                    <a:prstGeom prst="rect">
                      <a:avLst/>
                    </a:prstGeom>
                  </pic:spPr>
                </pic:pic>
              </a:graphicData>
            </a:graphic>
          </wp:inline>
        </w:drawing>
      </w:r>
    </w:p>
    <w:p w14:paraId="21C560A8">
      <w:pPr>
        <w:wordWrap w:val="0"/>
        <w:spacing w:line="520" w:lineRule="exact"/>
        <w:ind w:firstLine="480"/>
        <w:rPr>
          <w:rFonts w:ascii="宋体" w:hAnsi="宋体" w:cs="宋体"/>
          <w:sz w:val="21"/>
          <w:szCs w:val="21"/>
          <w:highlight w:val="none"/>
        </w:rPr>
      </w:pPr>
      <w:r>
        <w:rPr>
          <w:rFonts w:hint="eastAsia" w:ascii="宋体" w:hAnsi="宋体" w:cs="宋体"/>
          <w:sz w:val="21"/>
          <w:szCs w:val="21"/>
          <w:highlight w:val="none"/>
        </w:rPr>
        <w:t>3.报名及</w:t>
      </w:r>
      <w:r>
        <w:rPr>
          <w:rFonts w:hint="eastAsia" w:ascii="宋体" w:hAnsi="宋体" w:cs="宋体"/>
          <w:sz w:val="21"/>
          <w:szCs w:val="21"/>
          <w:highlight w:val="none"/>
          <w:lang w:val="en-US" w:eastAsia="zh-CN"/>
        </w:rPr>
        <w:t>竞采</w:t>
      </w:r>
      <w:r>
        <w:rPr>
          <w:rFonts w:hint="eastAsia" w:ascii="宋体" w:hAnsi="宋体" w:cs="宋体"/>
          <w:sz w:val="21"/>
          <w:szCs w:val="21"/>
          <w:highlight w:val="none"/>
        </w:rPr>
        <w:t>文件购买：</w:t>
      </w:r>
    </w:p>
    <w:p w14:paraId="63D50933">
      <w:pPr>
        <w:wordWrap w:val="0"/>
        <w:spacing w:line="520" w:lineRule="exact"/>
        <w:ind w:firstLine="480"/>
        <w:rPr>
          <w:rFonts w:ascii="宋体" w:hAnsi="宋体" w:cs="宋体"/>
          <w:sz w:val="21"/>
          <w:szCs w:val="21"/>
          <w:highlight w:val="none"/>
        </w:rPr>
      </w:pPr>
      <w:r>
        <w:rPr>
          <w:highlight w:val="none"/>
        </w:rPr>
        <w:fldChar w:fldCharType="begin"/>
      </w:r>
      <w:r>
        <w:rPr>
          <w:highlight w:val="none"/>
        </w:rPr>
        <w:instrText xml:space="preserve"> HYPERLINK "mailto:在招标文件发售期内，投标人将《采购文件发售登记表》（见附件1）加盖投标人公章扫描后发送至caoyu@yiji023.com。（邮件命名以" </w:instrText>
      </w:r>
      <w:r>
        <w:rPr>
          <w:highlight w:val="none"/>
        </w:rPr>
        <w:fldChar w:fldCharType="separate"/>
      </w:r>
      <w:r>
        <w:rPr>
          <w:rStyle w:val="32"/>
          <w:rFonts w:hint="eastAsia" w:ascii="宋体" w:hAnsi="宋体" w:cs="宋体"/>
          <w:color w:val="000000"/>
          <w:sz w:val="21"/>
          <w:szCs w:val="21"/>
          <w:highlight w:val="none"/>
          <w:u w:val="none"/>
        </w:rPr>
        <w:t>在</w:t>
      </w:r>
      <w:r>
        <w:rPr>
          <w:rStyle w:val="32"/>
          <w:rFonts w:hint="eastAsia" w:ascii="宋体" w:hAnsi="宋体" w:cs="宋体"/>
          <w:color w:val="000000"/>
          <w:sz w:val="21"/>
          <w:szCs w:val="21"/>
          <w:highlight w:val="none"/>
          <w:u w:val="none"/>
          <w:lang w:val="en-US" w:eastAsia="zh-CN"/>
        </w:rPr>
        <w:t>竞采</w:t>
      </w:r>
      <w:r>
        <w:rPr>
          <w:rStyle w:val="32"/>
          <w:rFonts w:hint="eastAsia" w:ascii="宋体" w:hAnsi="宋体" w:cs="宋体"/>
          <w:color w:val="000000"/>
          <w:sz w:val="21"/>
          <w:szCs w:val="21"/>
          <w:highlight w:val="none"/>
          <w:u w:val="none"/>
        </w:rPr>
        <w:t>文件发售期内，</w:t>
      </w:r>
      <w:r>
        <w:rPr>
          <w:rStyle w:val="32"/>
          <w:rFonts w:hint="eastAsia" w:ascii="宋体" w:hAnsi="宋体" w:cs="宋体"/>
          <w:color w:val="000000"/>
          <w:sz w:val="21"/>
          <w:szCs w:val="21"/>
          <w:highlight w:val="none"/>
          <w:u w:val="none"/>
          <w:lang w:val="en-US" w:eastAsia="zh-CN"/>
        </w:rPr>
        <w:t>供应商</w:t>
      </w:r>
      <w:r>
        <w:rPr>
          <w:rStyle w:val="32"/>
          <w:rFonts w:hint="eastAsia" w:ascii="宋体" w:hAnsi="宋体" w:cs="宋体"/>
          <w:color w:val="000000"/>
          <w:sz w:val="21"/>
          <w:szCs w:val="21"/>
          <w:highlight w:val="none"/>
          <w:u w:val="none"/>
        </w:rPr>
        <w:t>将《竞采文件发售登记表》（见附件1）</w:t>
      </w:r>
      <w:r>
        <w:rPr>
          <w:rStyle w:val="32"/>
          <w:rFonts w:hint="eastAsia" w:ascii="宋体" w:hAnsi="宋体" w:cs="宋体"/>
          <w:color w:val="000000"/>
          <w:sz w:val="21"/>
          <w:szCs w:val="21"/>
          <w:highlight w:val="none"/>
          <w:u w:val="none"/>
          <w:lang w:val="en-US" w:eastAsia="zh-CN"/>
        </w:rPr>
        <w:t>及竞采文件工本费支付凭证</w:t>
      </w:r>
      <w:r>
        <w:rPr>
          <w:rStyle w:val="32"/>
          <w:rFonts w:hint="eastAsia" w:ascii="宋体" w:hAnsi="宋体" w:cs="宋体"/>
          <w:color w:val="000000"/>
          <w:sz w:val="21"/>
          <w:szCs w:val="21"/>
          <w:highlight w:val="none"/>
          <w:u w:val="none"/>
        </w:rPr>
        <w:t>加盖</w:t>
      </w:r>
      <w:r>
        <w:rPr>
          <w:rStyle w:val="32"/>
          <w:rFonts w:hint="eastAsia" w:ascii="宋体" w:hAnsi="宋体" w:cs="宋体"/>
          <w:color w:val="000000"/>
          <w:sz w:val="21"/>
          <w:szCs w:val="21"/>
          <w:highlight w:val="none"/>
          <w:u w:val="none"/>
          <w:lang w:val="en-US" w:eastAsia="zh-CN"/>
        </w:rPr>
        <w:t>供应商</w:t>
      </w:r>
      <w:r>
        <w:rPr>
          <w:rStyle w:val="32"/>
          <w:rFonts w:hint="eastAsia" w:ascii="宋体" w:hAnsi="宋体" w:cs="宋体"/>
          <w:color w:val="000000"/>
          <w:sz w:val="21"/>
          <w:szCs w:val="21"/>
          <w:highlight w:val="none"/>
          <w:u w:val="none"/>
        </w:rPr>
        <w:t>公章扫描后发送至</w:t>
      </w:r>
      <w:r>
        <w:rPr>
          <w:rStyle w:val="32"/>
          <w:rFonts w:hint="eastAsia" w:ascii="宋体" w:hAnsi="宋体" w:cs="宋体"/>
          <w:color w:val="000000"/>
          <w:sz w:val="21"/>
          <w:szCs w:val="21"/>
          <w:highlight w:val="none"/>
          <w:u w:val="none"/>
          <w:lang w:val="en-US" w:eastAsia="zh-CN"/>
        </w:rPr>
        <w:t>3104189673</w:t>
      </w:r>
      <w:r>
        <w:rPr>
          <w:rStyle w:val="32"/>
          <w:rFonts w:hint="eastAsia" w:ascii="宋体" w:hAnsi="宋体" w:cs="宋体"/>
          <w:color w:val="000000"/>
          <w:sz w:val="21"/>
          <w:szCs w:val="21"/>
          <w:highlight w:val="none"/>
          <w:u w:val="none"/>
        </w:rPr>
        <w:t>@qq.com。（</w:t>
      </w:r>
      <w:r>
        <w:rPr>
          <w:rStyle w:val="32"/>
          <w:rFonts w:hint="eastAsia" w:ascii="宋体" w:hAnsi="宋体" w:cs="宋体"/>
          <w:b/>
          <w:bCs/>
          <w:color w:val="000000"/>
          <w:sz w:val="21"/>
          <w:szCs w:val="21"/>
          <w:highlight w:val="none"/>
          <w:u w:val="none"/>
        </w:rPr>
        <w:t>邮件命名以</w:t>
      </w:r>
      <w:r>
        <w:rPr>
          <w:rStyle w:val="32"/>
          <w:rFonts w:hint="eastAsia" w:ascii="宋体" w:hAnsi="宋体" w:cs="宋体"/>
          <w:b/>
          <w:bCs/>
          <w:color w:val="000000"/>
          <w:sz w:val="21"/>
          <w:szCs w:val="21"/>
          <w:highlight w:val="none"/>
          <w:u w:val="none"/>
        </w:rPr>
        <w:fldChar w:fldCharType="end"/>
      </w:r>
      <w:r>
        <w:rPr>
          <w:rFonts w:hint="eastAsia" w:ascii="宋体" w:hAnsi="宋体" w:cs="宋体"/>
          <w:b/>
          <w:bCs/>
          <w:color w:val="000000"/>
          <w:sz w:val="21"/>
          <w:szCs w:val="21"/>
          <w:highlight w:val="none"/>
        </w:rPr>
        <w:t>公司简称+项目简称为准</w:t>
      </w:r>
      <w:r>
        <w:rPr>
          <w:rFonts w:hint="eastAsia" w:ascii="宋体" w:hAnsi="宋体" w:cs="宋体"/>
          <w:color w:val="000000"/>
          <w:sz w:val="21"/>
          <w:szCs w:val="21"/>
          <w:highlight w:val="none"/>
        </w:rPr>
        <w:t>）</w:t>
      </w:r>
    </w:p>
    <w:p w14:paraId="70601836">
      <w:pPr>
        <w:wordWrap w:val="0"/>
        <w:spacing w:afterAutospacing="0" w:line="520" w:lineRule="exact"/>
        <w:ind w:firstLine="480"/>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4.</w:t>
      </w:r>
      <w:r>
        <w:rPr>
          <w:rFonts w:hint="eastAsia" w:ascii="宋体" w:hAnsi="宋体" w:cs="宋体"/>
          <w:b/>
          <w:bCs/>
          <w:sz w:val="21"/>
          <w:szCs w:val="21"/>
          <w:highlight w:val="none"/>
        </w:rPr>
        <w:t>在采购文件发售期内，按时间要求购买了采购文件并将采购文件发售登记表发送至指定邮箱的供应商，其报名和响应文件才能被接收。</w:t>
      </w:r>
    </w:p>
    <w:p w14:paraId="61EA4C69">
      <w:pPr>
        <w:pStyle w:val="10"/>
        <w:spacing w:line="360" w:lineRule="auto"/>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提示：采购代理机构对报名的潜在供应商信用记录及关联性进行查询</w:t>
      </w:r>
      <w:r>
        <w:rPr>
          <w:rFonts w:hint="eastAsia" w:ascii="宋体" w:hAnsi="宋体" w:eastAsia="宋体" w:cs="宋体"/>
          <w:b/>
          <w:bCs/>
          <w:sz w:val="21"/>
          <w:szCs w:val="21"/>
          <w:highlight w:val="none"/>
          <w:lang w:eastAsia="zh-CN"/>
        </w:rPr>
        <w:t>。</w:t>
      </w:r>
    </w:p>
    <w:p w14:paraId="64DF3BF8">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0" w:name="_Toc13249"/>
      <w:bookmarkStart w:id="31" w:name="_Toc22322"/>
      <w:bookmarkStart w:id="32" w:name="_Toc11156"/>
      <w:r>
        <w:rPr>
          <w:rFonts w:hint="eastAsia" w:ascii="宋体" w:hAnsi="宋体" w:cs="宋体"/>
          <w:b/>
          <w:bCs/>
          <w:sz w:val="24"/>
          <w:szCs w:val="24"/>
          <w:highlight w:val="none"/>
          <w:lang w:val="en-US" w:eastAsia="zh-CN"/>
        </w:rPr>
        <w:t>四、投标时间地点及程序</w:t>
      </w:r>
      <w:bookmarkEnd w:id="30"/>
      <w:bookmarkEnd w:id="31"/>
      <w:bookmarkEnd w:id="32"/>
    </w:p>
    <w:p w14:paraId="081BD0C0">
      <w:pPr>
        <w:snapToGrid w:val="0"/>
        <w:spacing w:line="520" w:lineRule="exact"/>
        <w:ind w:firstLine="480"/>
        <w:rPr>
          <w:rFonts w:ascii="宋体" w:hAnsi="宋体" w:cs="宋体"/>
          <w:b/>
          <w:bCs/>
          <w:sz w:val="21"/>
          <w:szCs w:val="21"/>
          <w:highlight w:val="none"/>
        </w:rPr>
      </w:pPr>
      <w:r>
        <w:rPr>
          <w:rFonts w:hint="eastAsia" w:ascii="宋体" w:hAnsi="宋体" w:cs="宋体"/>
          <w:b/>
          <w:bCs/>
          <w:sz w:val="21"/>
          <w:szCs w:val="21"/>
          <w:highlight w:val="none"/>
        </w:rPr>
        <w:t>（一）线上报价投标</w:t>
      </w:r>
    </w:p>
    <w:p w14:paraId="415809C6">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1、线上报价开始时间：以</w:t>
      </w:r>
      <w:r>
        <w:rPr>
          <w:rFonts w:hint="eastAsia" w:ascii="宋体" w:hAnsi="宋体" w:cs="宋体"/>
          <w:b/>
          <w:bCs/>
          <w:sz w:val="21"/>
          <w:szCs w:val="21"/>
          <w:highlight w:val="none"/>
          <w:lang w:eastAsia="zh-CN"/>
        </w:rPr>
        <w:t>行采家电子竞采平台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上</w:t>
      </w:r>
      <w:r>
        <w:rPr>
          <w:rFonts w:hint="eastAsia" w:ascii="宋体" w:hAnsi="宋体" w:cs="宋体"/>
          <w:sz w:val="21"/>
          <w:szCs w:val="21"/>
          <w:highlight w:val="none"/>
          <w:lang w:val="en-US" w:eastAsia="zh-CN"/>
        </w:rPr>
        <w:t>本</w:t>
      </w:r>
      <w:r>
        <w:rPr>
          <w:rFonts w:hint="eastAsia" w:ascii="宋体" w:hAnsi="宋体" w:cs="宋体"/>
          <w:sz w:val="21"/>
          <w:szCs w:val="21"/>
          <w:highlight w:val="none"/>
        </w:rPr>
        <w:t>项目发布的开始时间为准</w:t>
      </w:r>
    </w:p>
    <w:p w14:paraId="6D5CB2E2">
      <w:pPr>
        <w:wordWrap w:val="0"/>
        <w:spacing w:line="520" w:lineRule="exact"/>
        <w:ind w:firstLine="569" w:firstLineChars="271"/>
        <w:rPr>
          <w:rFonts w:ascii="宋体" w:hAnsi="宋体" w:cs="宋体"/>
          <w:sz w:val="21"/>
          <w:szCs w:val="21"/>
          <w:highlight w:val="none"/>
        </w:rPr>
      </w:pPr>
      <w:r>
        <w:rPr>
          <w:rFonts w:hint="eastAsia" w:ascii="宋体" w:hAnsi="宋体" w:cs="宋体"/>
          <w:sz w:val="21"/>
          <w:szCs w:val="21"/>
          <w:highlight w:val="none"/>
        </w:rPr>
        <w:t>响应文件上传截止时间：以</w:t>
      </w:r>
      <w:r>
        <w:rPr>
          <w:rFonts w:hint="eastAsia" w:ascii="宋体" w:hAnsi="宋体" w:cs="宋体"/>
          <w:b/>
          <w:bCs/>
          <w:sz w:val="21"/>
          <w:szCs w:val="21"/>
          <w:highlight w:val="none"/>
          <w:lang w:eastAsia="zh-CN"/>
        </w:rPr>
        <w:t>行采家电子竞</w:t>
      </w:r>
      <w:bookmarkStart w:id="307" w:name="_GoBack"/>
      <w:bookmarkEnd w:id="307"/>
      <w:r>
        <w:rPr>
          <w:rFonts w:hint="eastAsia" w:ascii="宋体" w:hAnsi="宋体" w:cs="宋体"/>
          <w:b/>
          <w:bCs/>
          <w:sz w:val="21"/>
          <w:szCs w:val="21"/>
          <w:highlight w:val="none"/>
          <w:lang w:eastAsia="zh-CN"/>
        </w:rPr>
        <w:t>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上</w:t>
      </w:r>
      <w:r>
        <w:rPr>
          <w:rFonts w:hint="eastAsia" w:ascii="宋体" w:hAnsi="宋体" w:cs="宋体"/>
          <w:sz w:val="21"/>
          <w:szCs w:val="21"/>
          <w:highlight w:val="none"/>
          <w:lang w:val="en-US" w:eastAsia="zh-CN"/>
        </w:rPr>
        <w:t>本</w:t>
      </w:r>
      <w:r>
        <w:rPr>
          <w:rFonts w:hint="eastAsia" w:ascii="宋体" w:hAnsi="宋体" w:cs="宋体"/>
          <w:sz w:val="21"/>
          <w:szCs w:val="21"/>
          <w:highlight w:val="none"/>
        </w:rPr>
        <w:t>项目的</w:t>
      </w:r>
      <w:r>
        <w:rPr>
          <w:rFonts w:hint="eastAsia" w:ascii="宋体" w:hAnsi="宋体" w:cs="宋体"/>
          <w:sz w:val="21"/>
          <w:szCs w:val="21"/>
          <w:highlight w:val="none"/>
          <w:lang w:val="en-US" w:eastAsia="zh-CN"/>
        </w:rPr>
        <w:t>上传截止</w:t>
      </w:r>
      <w:r>
        <w:rPr>
          <w:rFonts w:hint="eastAsia" w:ascii="宋体" w:hAnsi="宋体" w:cs="宋体"/>
          <w:sz w:val="21"/>
          <w:szCs w:val="21"/>
          <w:highlight w:val="none"/>
        </w:rPr>
        <w:t>时间开始为准</w:t>
      </w:r>
      <w:r>
        <w:rPr>
          <w:rFonts w:hint="eastAsia" w:ascii="宋体" w:hAnsi="宋体" w:eastAsia="宋体" w:cs="宋体"/>
          <w:color w:val="auto"/>
          <w:sz w:val="21"/>
          <w:szCs w:val="21"/>
          <w:highlight w:val="none"/>
        </w:rPr>
        <w:t>。</w:t>
      </w:r>
    </w:p>
    <w:p w14:paraId="1A8B3637">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2、线上报价要求：按时在</w:t>
      </w:r>
      <w:r>
        <w:rPr>
          <w:rFonts w:hint="eastAsia" w:ascii="宋体" w:hAnsi="宋体" w:cs="宋体"/>
          <w:b/>
          <w:bCs/>
          <w:sz w:val="21"/>
          <w:szCs w:val="21"/>
          <w:highlight w:val="none"/>
          <w:lang w:eastAsia="zh-CN"/>
        </w:rPr>
        <w:t>行采家电子竞采平台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进行网上报价，未在规定时间内报价的供应商将失去</w:t>
      </w:r>
      <w:r>
        <w:rPr>
          <w:rFonts w:hint="eastAsia" w:ascii="宋体" w:hAnsi="宋体" w:cs="宋体"/>
          <w:sz w:val="21"/>
          <w:szCs w:val="21"/>
          <w:highlight w:val="none"/>
          <w:lang w:val="en-US" w:eastAsia="zh-CN"/>
        </w:rPr>
        <w:t>竞采报价</w:t>
      </w:r>
      <w:r>
        <w:rPr>
          <w:rFonts w:hint="eastAsia" w:ascii="宋体" w:hAnsi="宋体" w:cs="宋体"/>
          <w:sz w:val="21"/>
          <w:szCs w:val="21"/>
          <w:highlight w:val="none"/>
        </w:rPr>
        <w:t>资格。</w:t>
      </w:r>
    </w:p>
    <w:p w14:paraId="0529BBEB">
      <w:pPr>
        <w:wordWrap w:val="0"/>
        <w:spacing w:line="520" w:lineRule="exact"/>
        <w:ind w:firstLine="480"/>
        <w:rPr>
          <w:rFonts w:ascii="宋体" w:hAnsi="宋体" w:cs="宋体"/>
          <w:b/>
          <w:bCs/>
          <w:sz w:val="21"/>
          <w:szCs w:val="21"/>
          <w:highlight w:val="none"/>
        </w:rPr>
      </w:pP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三</w:t>
      </w:r>
      <w:r>
        <w:rPr>
          <w:rFonts w:hint="eastAsia" w:ascii="宋体" w:hAnsi="宋体" w:cs="宋体"/>
          <w:b/>
          <w:bCs/>
          <w:sz w:val="21"/>
          <w:szCs w:val="21"/>
          <w:highlight w:val="none"/>
        </w:rPr>
        <w:t>）响应文件递交方式</w:t>
      </w:r>
    </w:p>
    <w:p w14:paraId="60D3415F">
      <w:pPr>
        <w:tabs>
          <w:tab w:val="left" w:pos="3779"/>
        </w:tabs>
        <w:wordWrap w:val="0"/>
        <w:spacing w:line="520" w:lineRule="exact"/>
        <w:ind w:firstLine="480"/>
        <w:rPr>
          <w:rFonts w:ascii="宋体" w:hAnsi="宋体" w:cs="宋体"/>
          <w:sz w:val="21"/>
          <w:szCs w:val="21"/>
          <w:highlight w:val="none"/>
        </w:rPr>
      </w:pPr>
      <w:r>
        <w:rPr>
          <w:rFonts w:hint="eastAsia" w:ascii="宋体" w:hAnsi="宋体" w:cs="宋体"/>
          <w:sz w:val="21"/>
          <w:szCs w:val="21"/>
          <w:highlight w:val="none"/>
        </w:rPr>
        <w:t>本项目采用线上报价线下评审的方式，供应商按采购文件要求进行线上报价。线上报价时上传</w:t>
      </w:r>
      <w:r>
        <w:rPr>
          <w:rFonts w:hint="eastAsia" w:ascii="宋体" w:hAnsi="宋体" w:cs="宋体"/>
          <w:b/>
          <w:bCs/>
          <w:color w:val="FF0000"/>
          <w:sz w:val="21"/>
          <w:szCs w:val="21"/>
          <w:highlight w:val="none"/>
        </w:rPr>
        <w:t>加盖公章后的完整的响应文件电子档一份（响应文件须</w:t>
      </w:r>
      <w:r>
        <w:rPr>
          <w:rFonts w:hint="eastAsia" w:ascii="宋体" w:hAnsi="宋体" w:cs="宋体"/>
          <w:b/>
          <w:bCs/>
          <w:color w:val="FF0000"/>
          <w:sz w:val="21"/>
          <w:szCs w:val="21"/>
          <w:highlight w:val="none"/>
          <w:lang w:val="en-US" w:eastAsia="zh-CN"/>
        </w:rPr>
        <w:t>签字盖章后</w:t>
      </w:r>
      <w:r>
        <w:rPr>
          <w:rFonts w:hint="eastAsia" w:ascii="宋体" w:hAnsi="宋体" w:cs="宋体"/>
          <w:b/>
          <w:bCs/>
          <w:color w:val="FF0000"/>
          <w:sz w:val="21"/>
          <w:szCs w:val="21"/>
          <w:highlight w:val="none"/>
        </w:rPr>
        <w:t>扫描成一个PDF格式文件上传）及</w:t>
      </w:r>
      <w:r>
        <w:rPr>
          <w:rFonts w:hint="eastAsia" w:ascii="宋体" w:hAnsi="宋体" w:cs="宋体"/>
          <w:b/>
          <w:bCs/>
          <w:color w:val="FF0000"/>
          <w:sz w:val="21"/>
          <w:szCs w:val="21"/>
          <w:highlight w:val="none"/>
          <w:lang w:val="en-US" w:eastAsia="zh-CN"/>
        </w:rPr>
        <w:t>完整的</w:t>
      </w:r>
      <w:r>
        <w:rPr>
          <w:rFonts w:hint="eastAsia" w:ascii="宋体" w:hAnsi="宋体" w:cs="宋体"/>
          <w:b/>
          <w:bCs/>
          <w:color w:val="FF0000"/>
          <w:sz w:val="21"/>
          <w:szCs w:val="21"/>
          <w:highlight w:val="none"/>
        </w:rPr>
        <w:t>工程量清单电子</w:t>
      </w:r>
      <w:r>
        <w:rPr>
          <w:rFonts w:hint="eastAsia" w:ascii="宋体" w:hAnsi="宋体" w:cs="宋体"/>
          <w:b/>
          <w:bCs/>
          <w:color w:val="FF0000"/>
          <w:sz w:val="21"/>
          <w:szCs w:val="21"/>
          <w:highlight w:val="none"/>
          <w:lang w:val="en-US" w:eastAsia="zh-CN"/>
        </w:rPr>
        <w:t>表格</w:t>
      </w:r>
      <w:r>
        <w:rPr>
          <w:rFonts w:hint="eastAsia" w:ascii="宋体" w:hAnsi="宋体" w:cs="宋体"/>
          <w:b/>
          <w:bCs/>
          <w:color w:val="FF0000"/>
          <w:sz w:val="21"/>
          <w:szCs w:val="21"/>
          <w:highlight w:val="none"/>
        </w:rPr>
        <w:t>版一份</w:t>
      </w:r>
      <w:r>
        <w:rPr>
          <w:rFonts w:hint="eastAsia" w:ascii="宋体" w:hAnsi="宋体" w:cs="宋体"/>
          <w:sz w:val="21"/>
          <w:szCs w:val="21"/>
          <w:highlight w:val="none"/>
        </w:rPr>
        <w:t>，文件内容应清晰、无涂改，若因</w:t>
      </w:r>
      <w:r>
        <w:rPr>
          <w:rFonts w:hint="eastAsia" w:ascii="宋体" w:hAnsi="宋体" w:cs="宋体"/>
          <w:sz w:val="21"/>
          <w:szCs w:val="21"/>
          <w:highlight w:val="none"/>
          <w:lang w:val="en-US" w:eastAsia="zh-CN"/>
        </w:rPr>
        <w:t>上传</w:t>
      </w:r>
      <w:r>
        <w:rPr>
          <w:rFonts w:hint="eastAsia" w:ascii="宋体" w:hAnsi="宋体" w:cs="宋体"/>
          <w:sz w:val="21"/>
          <w:szCs w:val="21"/>
          <w:highlight w:val="none"/>
        </w:rPr>
        <w:t>文件</w:t>
      </w:r>
      <w:r>
        <w:rPr>
          <w:rFonts w:hint="eastAsia" w:ascii="宋体" w:hAnsi="宋体" w:cs="宋体"/>
          <w:sz w:val="21"/>
          <w:szCs w:val="21"/>
          <w:highlight w:val="none"/>
          <w:lang w:val="en-US" w:eastAsia="zh-CN"/>
        </w:rPr>
        <w:t>格式不符、</w:t>
      </w:r>
      <w:r>
        <w:rPr>
          <w:rFonts w:hint="eastAsia" w:ascii="宋体" w:hAnsi="宋体" w:cs="宋体"/>
          <w:sz w:val="21"/>
          <w:szCs w:val="21"/>
          <w:highlight w:val="none"/>
        </w:rPr>
        <w:t>内容模糊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无法打开等</w:t>
      </w:r>
      <w:r>
        <w:rPr>
          <w:rFonts w:hint="eastAsia" w:ascii="宋体" w:hAnsi="宋体" w:cs="宋体"/>
          <w:sz w:val="21"/>
          <w:szCs w:val="21"/>
          <w:highlight w:val="none"/>
        </w:rPr>
        <w:t>导致无法进行评审，</w:t>
      </w:r>
      <w:r>
        <w:rPr>
          <w:rFonts w:hint="eastAsia" w:ascii="宋体" w:hAnsi="宋体" w:cs="宋体"/>
          <w:sz w:val="21"/>
          <w:szCs w:val="21"/>
          <w:highlight w:val="none"/>
          <w:lang w:val="en-US" w:eastAsia="zh-CN"/>
        </w:rPr>
        <w:t>由评审小组作无效响应处理</w:t>
      </w:r>
      <w:r>
        <w:rPr>
          <w:rFonts w:hint="eastAsia" w:ascii="宋体" w:hAnsi="宋体" w:cs="宋体"/>
          <w:sz w:val="21"/>
          <w:szCs w:val="21"/>
          <w:highlight w:val="none"/>
        </w:rPr>
        <w:t>。</w:t>
      </w:r>
    </w:p>
    <w:p w14:paraId="7875D0D2">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3" w:name="_Toc7823"/>
      <w:r>
        <w:rPr>
          <w:rFonts w:hint="eastAsia" w:ascii="宋体" w:hAnsi="宋体" w:cs="宋体"/>
          <w:b/>
          <w:bCs/>
          <w:sz w:val="24"/>
          <w:szCs w:val="24"/>
          <w:highlight w:val="none"/>
          <w:lang w:val="en-US" w:eastAsia="zh-CN"/>
        </w:rPr>
        <w:t>五、投标保证金</w:t>
      </w:r>
      <w:bookmarkEnd w:id="33"/>
    </w:p>
    <w:p w14:paraId="5735DB46">
      <w:pPr>
        <w:spacing w:beforeAutospacing="0" w:afterAutospacing="0"/>
        <w:ind w:firstLine="720" w:firstLineChars="300"/>
        <w:outlineLvl w:val="9"/>
        <w:rPr>
          <w:rFonts w:hint="eastAsia" w:ascii="宋体" w:hAnsi="宋体" w:eastAsia="宋体" w:cs="宋体"/>
          <w:b w:val="0"/>
          <w:kern w:val="2"/>
          <w:sz w:val="24"/>
          <w:szCs w:val="24"/>
          <w:highlight w:val="none"/>
          <w:lang w:val="en-US" w:eastAsia="zh-CN" w:bidi="ar-SA"/>
        </w:rPr>
      </w:pPr>
      <w:bookmarkStart w:id="34" w:name="_Toc17108"/>
      <w:bookmarkStart w:id="35" w:name="_Toc20556"/>
      <w:bookmarkStart w:id="36" w:name="_Toc4547"/>
      <w:r>
        <w:rPr>
          <w:rFonts w:hint="eastAsia" w:ascii="宋体" w:hAnsi="宋体" w:eastAsia="宋体" w:cs="宋体"/>
          <w:b w:val="0"/>
          <w:kern w:val="2"/>
          <w:sz w:val="24"/>
          <w:szCs w:val="24"/>
          <w:highlight w:val="none"/>
          <w:lang w:val="en-US" w:eastAsia="zh-CN" w:bidi="ar-SA"/>
        </w:rPr>
        <w:t>无。</w:t>
      </w:r>
      <w:bookmarkEnd w:id="34"/>
      <w:bookmarkEnd w:id="35"/>
      <w:bookmarkEnd w:id="36"/>
    </w:p>
    <w:bookmarkEnd w:id="27"/>
    <w:bookmarkEnd w:id="28"/>
    <w:bookmarkEnd w:id="29"/>
    <w:p w14:paraId="16FEB939">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7" w:name="_Toc25546"/>
      <w:bookmarkStart w:id="38" w:name="_Toc525047163"/>
      <w:bookmarkStart w:id="39" w:name="_Toc65660336"/>
      <w:bookmarkStart w:id="40" w:name="_Toc15939"/>
      <w:bookmarkStart w:id="41" w:name="_Toc6563"/>
      <w:bookmarkStart w:id="42" w:name="_Toc26051"/>
      <w:bookmarkStart w:id="43" w:name="_Toc521053055"/>
      <w:bookmarkStart w:id="44" w:name="_Toc16269"/>
      <w:bookmarkStart w:id="45" w:name="_Toc102227313"/>
      <w:r>
        <w:rPr>
          <w:rFonts w:hint="eastAsia" w:ascii="宋体" w:hAnsi="宋体" w:cs="宋体"/>
          <w:b/>
          <w:bCs/>
          <w:sz w:val="24"/>
          <w:szCs w:val="24"/>
          <w:highlight w:val="none"/>
          <w:lang w:val="en-US" w:eastAsia="zh-CN"/>
        </w:rPr>
        <w:t>六、其它有关规定</w:t>
      </w:r>
      <w:bookmarkEnd w:id="37"/>
      <w:bookmarkEnd w:id="38"/>
      <w:bookmarkEnd w:id="39"/>
      <w:bookmarkEnd w:id="40"/>
      <w:bookmarkEnd w:id="41"/>
      <w:bookmarkEnd w:id="42"/>
      <w:bookmarkEnd w:id="43"/>
      <w:bookmarkEnd w:id="44"/>
    </w:p>
    <w:p w14:paraId="743D7D92">
      <w:pPr>
        <w:wordWrap w:val="0"/>
        <w:spacing w:beforeAutospacing="0"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（一）单位负责人为同一人或者存在直接控股、管理关系的不同供应商，不得参加同一合同项（包）下的网上竞采活动，否则均为无效。</w:t>
      </w:r>
    </w:p>
    <w:p w14:paraId="7E8CC7E9">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（二）为采购项目提供整体设计、规范编制或者项目管理、监理、检测等服务的供应商，不得再参加该采购项目的网上竞采活动。</w:t>
      </w:r>
    </w:p>
    <w:p w14:paraId="2D16EFC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本项目在响应文件提交截止时间前发布的网上竞采文件及补遗文件（如果有）一律在重庆市行采家（https://www.gec123.com）上发布，请各供应商无论下载与否，均视同供应商已知晓本项目网上竞采文件、补遗文件（如果有）的内容。</w:t>
      </w:r>
    </w:p>
    <w:p w14:paraId="5F0D289C">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（四）超过响应文件截止时间递交的响应文件，恕不接收。</w:t>
      </w:r>
    </w:p>
    <w:p w14:paraId="4D2530D5">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（五）网上竞采费用：无论网上竞采结果如何，供应商参与本项目网上竞采的所有费用均应由供应商自行承担。</w:t>
      </w:r>
    </w:p>
    <w:p w14:paraId="3DD45CAB">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（六）本项目不接受联合体参与网上竞采，否则按无效处理。</w:t>
      </w:r>
    </w:p>
    <w:p w14:paraId="3EE0EDF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（七）本项目不接受合同分包，否则按无效处理。</w:t>
      </w:r>
    </w:p>
    <w:p w14:paraId="0034AC87">
      <w:pPr>
        <w:wordWrap w:val="0"/>
        <w:spacing w:afterAutospacing="0" w:line="360" w:lineRule="auto"/>
        <w:ind w:firstLine="48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sz w:val="21"/>
          <w:szCs w:val="21"/>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6789A32">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46" w:name="_Toc1733"/>
      <w:bookmarkStart w:id="47" w:name="_Toc17606"/>
      <w:bookmarkStart w:id="48" w:name="_Toc65660337"/>
      <w:bookmarkStart w:id="49" w:name="_Toc10415"/>
      <w:bookmarkStart w:id="50" w:name="_Toc521053056"/>
      <w:bookmarkStart w:id="51" w:name="_Toc525047164"/>
      <w:bookmarkStart w:id="52" w:name="_Toc29174"/>
      <w:bookmarkStart w:id="53" w:name="_Toc4826"/>
      <w:r>
        <w:rPr>
          <w:rFonts w:hint="eastAsia" w:ascii="宋体" w:hAnsi="宋体" w:cs="宋体"/>
          <w:b/>
          <w:bCs/>
          <w:sz w:val="24"/>
          <w:szCs w:val="24"/>
          <w:highlight w:val="none"/>
          <w:lang w:val="en-US" w:eastAsia="zh-CN"/>
        </w:rPr>
        <w:t>七、联系方式</w:t>
      </w:r>
      <w:bookmarkEnd w:id="46"/>
      <w:bookmarkEnd w:id="47"/>
      <w:bookmarkEnd w:id="48"/>
      <w:bookmarkEnd w:id="49"/>
      <w:bookmarkEnd w:id="50"/>
      <w:bookmarkEnd w:id="51"/>
      <w:bookmarkEnd w:id="52"/>
      <w:bookmarkEnd w:id="53"/>
    </w:p>
    <w:p w14:paraId="5E3A3C64">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（一）采购人：</w:t>
      </w:r>
      <w:r>
        <w:rPr>
          <w:rFonts w:hint="eastAsia" w:ascii="宋体" w:hAnsi="宋体" w:cs="宋体"/>
          <w:sz w:val="21"/>
          <w:szCs w:val="21"/>
          <w:highlight w:val="none"/>
          <w:lang w:eastAsia="zh-CN"/>
        </w:rPr>
        <w:t>重庆市沙坪坝区二塘小学校</w:t>
      </w:r>
    </w:p>
    <w:p w14:paraId="25DA09CD">
      <w:pPr>
        <w:snapToGrid w:val="0"/>
        <w:spacing w:line="520" w:lineRule="exact"/>
        <w:ind w:firstLine="48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李老师</w:t>
      </w:r>
    </w:p>
    <w:p w14:paraId="053BFDED">
      <w:pPr>
        <w:snapToGrid w:val="0"/>
        <w:spacing w:line="520" w:lineRule="exact"/>
        <w:ind w:firstLine="48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电  话：15310161656</w:t>
      </w:r>
    </w:p>
    <w:p w14:paraId="6E6EFD0C">
      <w:pPr>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地  址：沙坪坝区先锋街42号</w:t>
      </w:r>
    </w:p>
    <w:p w14:paraId="7260E0D0">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（二）代理机构：</w:t>
      </w:r>
      <w:r>
        <w:rPr>
          <w:rFonts w:hint="eastAsia" w:ascii="宋体" w:hAnsi="宋体" w:cs="宋体"/>
          <w:sz w:val="21"/>
          <w:szCs w:val="21"/>
          <w:highlight w:val="none"/>
          <w:lang w:val="en-US" w:eastAsia="zh-CN"/>
        </w:rPr>
        <w:t>中知屹</w:t>
      </w:r>
      <w:r>
        <w:rPr>
          <w:rFonts w:hint="eastAsia" w:ascii="宋体" w:hAnsi="宋体" w:eastAsia="宋体" w:cs="宋体"/>
          <w:sz w:val="21"/>
          <w:szCs w:val="21"/>
          <w:highlight w:val="none"/>
          <w:lang w:val="en-US" w:eastAsia="zh-CN"/>
        </w:rPr>
        <w:t>项目管理（重庆）有限责任公司</w:t>
      </w:r>
    </w:p>
    <w:p w14:paraId="41D0BF26">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val="en-US" w:eastAsia="zh-CN"/>
        </w:rPr>
        <w:t xml:space="preserve"> 刘老师</w:t>
      </w:r>
    </w:p>
    <w:p w14:paraId="5B402F6E">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电  话：</w:t>
      </w:r>
      <w:r>
        <w:rPr>
          <w:rFonts w:hint="eastAsia" w:ascii="宋体" w:hAnsi="宋体" w:cs="宋体"/>
          <w:sz w:val="21"/>
          <w:szCs w:val="21"/>
          <w:highlight w:val="none"/>
          <w:lang w:val="en-US" w:eastAsia="zh-CN"/>
        </w:rPr>
        <w:t>18983243100</w:t>
      </w:r>
    </w:p>
    <w:p w14:paraId="4A3131DB">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sz w:val="24"/>
          <w:szCs w:val="24"/>
          <w:highlight w:val="none"/>
          <w:lang w:val="en-US" w:eastAsia="zh-CN"/>
        </w:rPr>
        <w:sectPr>
          <w:headerReference r:id="rId5" w:type="default"/>
          <w:footerReference r:id="rId6" w:type="default"/>
          <w:pgSz w:w="11907" w:h="16840"/>
          <w:pgMar w:top="1134" w:right="1418" w:bottom="1134" w:left="1418" w:header="850" w:footer="992" w:gutter="0"/>
          <w:pgNumType w:fmt="numberInDash" w:start="1"/>
          <w:cols w:space="720" w:num="1"/>
          <w:docGrid w:linePitch="312" w:charSpace="0"/>
        </w:sectPr>
      </w:pPr>
      <w:r>
        <w:rPr>
          <w:rFonts w:hint="eastAsia" w:ascii="宋体" w:hAnsi="宋体" w:eastAsia="宋体" w:cs="宋体"/>
          <w:sz w:val="21"/>
          <w:szCs w:val="21"/>
          <w:highlight w:val="none"/>
        </w:rPr>
        <w:t>地  址：重庆市高新区</w:t>
      </w:r>
      <w:r>
        <w:rPr>
          <w:rFonts w:hint="eastAsia" w:ascii="宋体" w:hAnsi="宋体" w:cs="宋体"/>
          <w:sz w:val="21"/>
          <w:szCs w:val="21"/>
          <w:highlight w:val="none"/>
          <w:lang w:val="en-US" w:eastAsia="zh-CN"/>
        </w:rPr>
        <w:t>大学城南路835号</w:t>
      </w:r>
    </w:p>
    <w:p w14:paraId="44B8EAEF">
      <w:pPr>
        <w:pStyle w:val="3"/>
        <w:spacing w:before="0" w:after="0" w:afterAutospacing="0" w:line="360" w:lineRule="auto"/>
        <w:jc w:val="center"/>
        <w:outlineLvl w:val="0"/>
        <w:rPr>
          <w:rFonts w:ascii="宋体" w:hAnsi="宋体" w:eastAsia="宋体" w:cs="宋体"/>
          <w:b/>
          <w:bCs/>
          <w:sz w:val="36"/>
          <w:szCs w:val="30"/>
          <w:highlight w:val="none"/>
        </w:rPr>
      </w:pPr>
      <w:bookmarkStart w:id="54" w:name="_Toc13814"/>
      <w:bookmarkStart w:id="55" w:name="_Toc13293"/>
      <w:r>
        <w:rPr>
          <w:rFonts w:hint="eastAsia" w:ascii="宋体" w:hAnsi="宋体" w:eastAsia="宋体" w:cs="宋体"/>
          <w:b/>
          <w:bCs/>
          <w:sz w:val="36"/>
          <w:szCs w:val="30"/>
          <w:highlight w:val="none"/>
        </w:rPr>
        <w:t>第二篇  项目</w:t>
      </w:r>
      <w:r>
        <w:rPr>
          <w:rFonts w:hint="eastAsia" w:ascii="宋体" w:hAnsi="宋体" w:eastAsia="宋体" w:cs="宋体"/>
          <w:b/>
          <w:bCs/>
          <w:sz w:val="36"/>
          <w:szCs w:val="30"/>
          <w:highlight w:val="none"/>
          <w:lang w:val="en-US" w:eastAsia="zh-CN"/>
        </w:rPr>
        <w:t>技术服务</w:t>
      </w:r>
      <w:r>
        <w:rPr>
          <w:rFonts w:hint="eastAsia" w:ascii="宋体" w:hAnsi="宋体" w:eastAsia="宋体" w:cs="宋体"/>
          <w:b/>
          <w:bCs/>
          <w:sz w:val="36"/>
          <w:szCs w:val="30"/>
          <w:highlight w:val="none"/>
        </w:rPr>
        <w:t>需求</w:t>
      </w:r>
      <w:bookmarkEnd w:id="54"/>
    </w:p>
    <w:bookmarkEnd w:id="55"/>
    <w:p w14:paraId="474CDE49">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rPr>
      </w:pPr>
      <w:bookmarkStart w:id="56" w:name="_Toc76462326"/>
      <w:bookmarkStart w:id="57" w:name="_Toc344475116"/>
      <w:bookmarkStart w:id="58" w:name="_Toc9256"/>
      <w:bookmarkStart w:id="59" w:name="_Toc313536013"/>
      <w:r>
        <w:rPr>
          <w:rFonts w:hint="eastAsia" w:ascii="宋体" w:hAnsi="宋体" w:cs="宋体"/>
          <w:b/>
          <w:color w:val="auto"/>
          <w:kern w:val="1"/>
          <w:sz w:val="24"/>
          <w:szCs w:val="24"/>
          <w:highlight w:val="none"/>
          <w:lang w:val="en-US" w:eastAsia="zh-CN"/>
        </w:rPr>
        <w:t>一、</w:t>
      </w:r>
      <w:r>
        <w:rPr>
          <w:rFonts w:hint="eastAsia" w:ascii="宋体" w:hAnsi="宋体" w:eastAsia="宋体" w:cs="宋体"/>
          <w:b/>
          <w:color w:val="auto"/>
          <w:kern w:val="1"/>
          <w:sz w:val="24"/>
          <w:szCs w:val="24"/>
          <w:highlight w:val="none"/>
        </w:rPr>
        <w:t>项目概况</w:t>
      </w:r>
    </w:p>
    <w:p w14:paraId="2F7F85CE">
      <w:pPr>
        <w:spacing w:line="360" w:lineRule="auto"/>
        <w:ind w:firstLine="480"/>
        <w:rPr>
          <w:rFonts w:hint="eastAsia" w:ascii="宋体" w:hAnsi="宋体" w:cs="宋体"/>
          <w:kern w:val="1"/>
          <w:sz w:val="21"/>
          <w:szCs w:val="21"/>
          <w:highlight w:val="none"/>
          <w:lang w:eastAsia="zh-CN"/>
        </w:rPr>
      </w:pPr>
      <w:r>
        <w:rPr>
          <w:rFonts w:hint="eastAsia" w:ascii="宋体" w:hAnsi="宋体" w:eastAsia="宋体" w:cs="宋体"/>
          <w:kern w:val="2"/>
          <w:sz w:val="21"/>
          <w:szCs w:val="21"/>
          <w:highlight w:val="none"/>
          <w:lang w:val="en-US" w:eastAsia="zh-CN" w:bidi="ar-SA"/>
        </w:rPr>
        <w:t>（一）</w:t>
      </w:r>
      <w:r>
        <w:rPr>
          <w:rFonts w:hint="eastAsia" w:ascii="宋体" w:hAnsi="宋体" w:cs="宋体"/>
          <w:kern w:val="1"/>
          <w:sz w:val="21"/>
          <w:szCs w:val="21"/>
          <w:highlight w:val="none"/>
        </w:rPr>
        <w:t>本项目位于</w:t>
      </w:r>
      <w:r>
        <w:rPr>
          <w:rFonts w:hint="eastAsia" w:ascii="宋体" w:hAnsi="宋体" w:cs="宋体"/>
          <w:kern w:val="1"/>
          <w:sz w:val="21"/>
          <w:szCs w:val="21"/>
          <w:highlight w:val="none"/>
          <w:lang w:eastAsia="zh-CN"/>
        </w:rPr>
        <w:t>重庆市沙坪坝区二塘小学校内，对</w:t>
      </w:r>
      <w:r>
        <w:rPr>
          <w:rFonts w:hint="eastAsia" w:ascii="宋体" w:hAnsi="宋体" w:cs="宋体"/>
          <w:kern w:val="1"/>
          <w:sz w:val="21"/>
          <w:szCs w:val="21"/>
          <w:highlight w:val="none"/>
          <w:u w:val="single"/>
          <w:lang w:val="en-US" w:eastAsia="zh-CN"/>
        </w:rPr>
        <w:t>重庆市沙坪坝区二塘小学校平整门口路面项目</w:t>
      </w:r>
      <w:r>
        <w:rPr>
          <w:rFonts w:hint="eastAsia" w:ascii="宋体" w:hAnsi="宋体" w:cs="宋体"/>
          <w:kern w:val="1"/>
          <w:sz w:val="21"/>
          <w:szCs w:val="21"/>
          <w:highlight w:val="none"/>
          <w:lang w:eastAsia="zh-CN"/>
        </w:rPr>
        <w:t>，详见工程量清单。</w:t>
      </w:r>
    </w:p>
    <w:p w14:paraId="75BCFE29">
      <w:pPr>
        <w:spacing w:line="360" w:lineRule="auto"/>
        <w:ind w:firstLine="48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w:t>
      </w:r>
      <w:r>
        <w:rPr>
          <w:rFonts w:hint="eastAsia" w:ascii="宋体" w:hAnsi="宋体" w:cs="宋体"/>
          <w:kern w:val="2"/>
          <w:sz w:val="21"/>
          <w:szCs w:val="21"/>
          <w:highlight w:val="none"/>
          <w:lang w:val="en-US" w:eastAsia="zh-CN" w:bidi="ar-SA"/>
        </w:rPr>
        <w:t>根据工程量清单完成本项目的全部施工内容。</w:t>
      </w:r>
    </w:p>
    <w:p w14:paraId="279CB9C3">
      <w:pPr>
        <w:numPr>
          <w:ilvl w:val="0"/>
          <w:numId w:val="0"/>
        </w:numPr>
        <w:spacing w:before="159" w:beforeLines="50" w:beforeAutospacing="0" w:after="159" w:afterLines="50" w:afterAutospacing="0" w:line="360" w:lineRule="auto"/>
        <w:ind w:firstLine="482" w:firstLineChars="200"/>
        <w:jc w:val="both"/>
        <w:outlineLvl w:val="1"/>
        <w:rPr>
          <w:rFonts w:hint="default"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二、</w:t>
      </w:r>
      <w:r>
        <w:rPr>
          <w:rFonts w:hint="eastAsia" w:ascii="宋体" w:hAnsi="宋体" w:cs="宋体"/>
          <w:b/>
          <w:color w:val="auto"/>
          <w:kern w:val="1"/>
          <w:sz w:val="24"/>
          <w:szCs w:val="24"/>
          <w:highlight w:val="none"/>
          <w:lang w:val="en-US" w:eastAsia="zh-CN"/>
        </w:rPr>
        <w:t>采购内容</w:t>
      </w:r>
    </w:p>
    <w:p w14:paraId="39FA7CD3">
      <w:pPr>
        <w:widowControl/>
        <w:spacing w:beforeAutospacing="0" w:afterAutospacing="0"/>
        <w:ind w:firstLine="420" w:firstLineChars="200"/>
        <w:jc w:val="left"/>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  详见随本次公告发布的</w:t>
      </w:r>
      <w:r>
        <w:rPr>
          <w:rFonts w:hint="eastAsia" w:ascii="宋体" w:hAnsi="宋体" w:cs="宋体"/>
          <w:color w:val="auto"/>
          <w:kern w:val="1"/>
          <w:sz w:val="21"/>
          <w:szCs w:val="21"/>
          <w:highlight w:val="none"/>
          <w:lang w:val="en-US" w:eastAsia="zh-CN"/>
        </w:rPr>
        <w:t>工程量清单</w:t>
      </w:r>
      <w:r>
        <w:rPr>
          <w:rFonts w:hint="eastAsia" w:ascii="宋体" w:hAnsi="宋体" w:eastAsia="宋体" w:cs="宋体"/>
          <w:color w:val="auto"/>
          <w:kern w:val="1"/>
          <w:sz w:val="21"/>
          <w:szCs w:val="21"/>
          <w:highlight w:val="none"/>
          <w:lang w:val="en-US" w:eastAsia="zh-CN"/>
        </w:rPr>
        <w:t>。</w:t>
      </w:r>
    </w:p>
    <w:bookmarkEnd w:id="56"/>
    <w:bookmarkEnd w:id="57"/>
    <w:bookmarkEnd w:id="58"/>
    <w:bookmarkEnd w:id="59"/>
    <w:p w14:paraId="5E96DA8A">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lang w:val="en-US" w:eastAsia="zh-CN"/>
        </w:rPr>
      </w:pPr>
      <w:bookmarkStart w:id="60" w:name="_Toc6259"/>
      <w:r>
        <w:rPr>
          <w:rFonts w:hint="eastAsia" w:ascii="宋体" w:hAnsi="宋体" w:eastAsia="宋体" w:cs="宋体"/>
          <w:b/>
          <w:color w:val="auto"/>
          <w:kern w:val="1"/>
          <w:sz w:val="24"/>
          <w:szCs w:val="24"/>
          <w:highlight w:val="none"/>
          <w:lang w:val="en-US" w:eastAsia="zh-CN"/>
        </w:rPr>
        <w:t>三、人员要求</w:t>
      </w:r>
    </w:p>
    <w:p w14:paraId="24681CF2">
      <w:pPr>
        <w:numPr>
          <w:ilvl w:val="0"/>
          <w:numId w:val="0"/>
        </w:numPr>
        <w:spacing w:before="159" w:beforeLines="50" w:beforeAutospacing="0" w:after="159" w:afterLines="50" w:afterAutospacing="0"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供应商提交承诺：</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后在签订合同之前，须按照建设行政主管部门的要求组建施工项目部，配置项目管理班子，出具任命文件。任命文件应当明确施工项目部的职责、岗位设置、人员配备，并书面通知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。相关岗位管理人员应持有建设行政主管部门要求的岗位证书，并提供</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为其缴纳的养老保险证明材料。</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后不能满足该要求的，</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人可取消其</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资格，给</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人造成损失的，</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依法承担违约赔偿责任。</w:t>
      </w:r>
    </w:p>
    <w:p w14:paraId="76145532">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四、项目实施要求</w:t>
      </w:r>
      <w:bookmarkEnd w:id="60"/>
    </w:p>
    <w:p w14:paraId="542278B0">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进行</w:t>
      </w:r>
      <w:r>
        <w:rPr>
          <w:rFonts w:hint="eastAsia" w:ascii="宋体" w:hAnsi="宋体" w:cs="宋体"/>
          <w:sz w:val="21"/>
          <w:szCs w:val="21"/>
          <w:highlight w:val="none"/>
          <w:lang w:val="en-US" w:eastAsia="zh-CN"/>
        </w:rPr>
        <w:t>施工</w:t>
      </w:r>
      <w:r>
        <w:rPr>
          <w:rFonts w:hint="eastAsia" w:ascii="宋体" w:hAnsi="宋体" w:cs="宋体"/>
          <w:sz w:val="21"/>
          <w:szCs w:val="21"/>
          <w:highlight w:val="none"/>
        </w:rPr>
        <w:t>作业时必须保证文明施工、安全施工要求，做好防坠保护工作等，若发生安全事故，一切经济损失及法律责任由成交人自负。</w:t>
      </w:r>
    </w:p>
    <w:p w14:paraId="300DE051">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在项目完成过程中，成交人应负责保护环境清洁卫生，及时清理垃圾（垃圾清理费及相关费用，已包含在竞采报价中）。</w:t>
      </w:r>
    </w:p>
    <w:p w14:paraId="158E3BCB">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成交人承担施工区域内自身设备和人员的安全责任。</w:t>
      </w:r>
    </w:p>
    <w:p w14:paraId="067197CE">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成交供应商须严格按工程量清单及施工图要求施工，在实施过程中发现设计错误或清单漏项导致局部实施内容需要调整，须先征得采购人书面同意后方可实施。</w:t>
      </w:r>
    </w:p>
    <w:p w14:paraId="77B81952">
      <w:pPr>
        <w:widowControl/>
        <w:numPr>
          <w:ilvl w:val="0"/>
          <w:numId w:val="1"/>
        </w:numPr>
        <w:spacing w:line="360" w:lineRule="auto"/>
        <w:ind w:firstLine="420" w:firstLineChars="200"/>
        <w:jc w:val="left"/>
        <w:rPr>
          <w:sz w:val="21"/>
          <w:szCs w:val="21"/>
          <w:highlight w:val="none"/>
        </w:rPr>
      </w:pPr>
      <w:r>
        <w:rPr>
          <w:rFonts w:hint="eastAsia" w:ascii="宋体" w:hAnsi="宋体" w:cs="宋体"/>
          <w:sz w:val="21"/>
          <w:szCs w:val="21"/>
          <w:highlight w:val="none"/>
        </w:rPr>
        <w:t>成交供应商须严格按竞采文件要求、</w:t>
      </w:r>
      <w:r>
        <w:rPr>
          <w:rFonts w:hint="eastAsia"/>
          <w:sz w:val="21"/>
          <w:szCs w:val="21"/>
          <w:highlight w:val="none"/>
        </w:rPr>
        <w:t>工程量清单</w:t>
      </w:r>
      <w:r>
        <w:rPr>
          <w:rFonts w:hint="eastAsia" w:ascii="宋体" w:hAnsi="宋体" w:cs="宋体"/>
          <w:sz w:val="21"/>
          <w:szCs w:val="21"/>
          <w:highlight w:val="none"/>
        </w:rPr>
        <w:t>内容及施工图严格施工，在实施过程中发现已发布的</w:t>
      </w:r>
      <w:r>
        <w:rPr>
          <w:rFonts w:hint="eastAsia"/>
          <w:sz w:val="21"/>
          <w:szCs w:val="21"/>
          <w:highlight w:val="none"/>
        </w:rPr>
        <w:t>工程量清单与施工图</w:t>
      </w:r>
      <w:r>
        <w:rPr>
          <w:rFonts w:hint="eastAsia" w:ascii="宋体" w:hAnsi="宋体" w:cs="宋体"/>
          <w:sz w:val="21"/>
          <w:szCs w:val="21"/>
          <w:highlight w:val="none"/>
        </w:rPr>
        <w:t>有漏项导致局部实施内容需要调整，须先征得采购人书面同意后方可实施，但采购人不再额外支付任何费用。</w:t>
      </w:r>
    </w:p>
    <w:p w14:paraId="77040CAD">
      <w:pPr>
        <w:widowControl/>
        <w:numPr>
          <w:ilvl w:val="0"/>
          <w:numId w:val="1"/>
        </w:numPr>
        <w:spacing w:line="360" w:lineRule="auto"/>
        <w:ind w:firstLine="420" w:firstLineChars="200"/>
        <w:jc w:val="left"/>
        <w:rPr>
          <w:sz w:val="21"/>
          <w:szCs w:val="21"/>
          <w:highlight w:val="none"/>
        </w:rPr>
      </w:pPr>
      <w:r>
        <w:rPr>
          <w:rFonts w:hint="eastAsia"/>
          <w:sz w:val="21"/>
          <w:szCs w:val="21"/>
          <w:highlight w:val="none"/>
        </w:rPr>
        <w:t>供应商负责购买、运输本项目所需材料。</w:t>
      </w:r>
    </w:p>
    <w:p w14:paraId="0908F6A2">
      <w:pPr>
        <w:widowControl/>
        <w:numPr>
          <w:ilvl w:val="0"/>
          <w:numId w:val="1"/>
        </w:numPr>
        <w:spacing w:line="360" w:lineRule="auto"/>
        <w:ind w:firstLine="420" w:firstLineChars="200"/>
        <w:jc w:val="left"/>
        <w:rPr>
          <w:sz w:val="21"/>
          <w:szCs w:val="21"/>
          <w:highlight w:val="none"/>
        </w:rPr>
      </w:pPr>
      <w:r>
        <w:rPr>
          <w:rFonts w:hint="eastAsia"/>
          <w:sz w:val="21"/>
          <w:szCs w:val="21"/>
          <w:highlight w:val="none"/>
        </w:rPr>
        <w:t>供应商负责完成相关区域的维修、改造工作。</w:t>
      </w:r>
    </w:p>
    <w:p w14:paraId="33D821B9">
      <w:pPr>
        <w:widowControl/>
        <w:numPr>
          <w:ilvl w:val="0"/>
          <w:numId w:val="1"/>
        </w:numPr>
        <w:spacing w:line="360" w:lineRule="auto"/>
        <w:ind w:firstLine="420" w:firstLineChars="200"/>
        <w:jc w:val="left"/>
        <w:rPr>
          <w:rFonts w:hint="default" w:ascii="Times New Roman" w:hAnsi="Times New Roman" w:cs="Times New Roman"/>
          <w:color w:val="auto"/>
          <w:sz w:val="21"/>
          <w:szCs w:val="21"/>
          <w:highlight w:val="none"/>
          <w:lang w:val="en-US" w:eastAsia="zh-CN"/>
        </w:rPr>
      </w:pPr>
      <w:r>
        <w:rPr>
          <w:rFonts w:hint="eastAsia"/>
          <w:sz w:val="21"/>
          <w:szCs w:val="21"/>
          <w:highlight w:val="none"/>
        </w:rPr>
        <w:t>供应商负责改造期间施工区域及因施工造成的清洁卫生管理（每天派遣1名人员全天对现场进行清理）。</w:t>
      </w:r>
    </w:p>
    <w:p w14:paraId="6BD5EA97">
      <w:pPr>
        <w:widowControl/>
        <w:numPr>
          <w:ilvl w:val="0"/>
          <w:numId w:val="1"/>
        </w:numPr>
        <w:spacing w:line="360" w:lineRule="auto"/>
        <w:ind w:firstLine="420" w:firstLineChars="200"/>
        <w:jc w:val="left"/>
        <w:rPr>
          <w:rFonts w:hint="default" w:ascii="Times New Roman" w:hAnsi="Times New Roman" w:cs="Times New Roman"/>
          <w:color w:val="auto"/>
          <w:sz w:val="21"/>
          <w:szCs w:val="21"/>
          <w:highlight w:val="none"/>
          <w:lang w:val="en-US" w:eastAsia="zh-CN"/>
        </w:rPr>
      </w:pPr>
      <w:r>
        <w:rPr>
          <w:rFonts w:hint="eastAsia"/>
          <w:sz w:val="21"/>
          <w:szCs w:val="21"/>
          <w:highlight w:val="none"/>
        </w:rPr>
        <w:t>供应商负责改造结束后的除渣、清扫工作。</w:t>
      </w:r>
    </w:p>
    <w:p w14:paraId="66B9F3C7">
      <w:pPr>
        <w:numPr>
          <w:ilvl w:val="0"/>
          <w:numId w:val="0"/>
        </w:numPr>
        <w:spacing w:line="360" w:lineRule="auto"/>
        <w:rPr>
          <w:rFonts w:hint="eastAsia" w:ascii="宋体" w:hAnsi="宋体" w:eastAsia="宋体" w:cs="宋体"/>
          <w:sz w:val="21"/>
          <w:szCs w:val="21"/>
          <w:highlight w:val="none"/>
          <w:lang w:val="en-US" w:eastAsia="zh-CN"/>
        </w:rPr>
      </w:pPr>
    </w:p>
    <w:p w14:paraId="27F0F4EC">
      <w:pPr>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p>
    <w:p w14:paraId="2CFA875A">
      <w:pPr>
        <w:pStyle w:val="4"/>
        <w:spacing w:before="0" w:after="0" w:afterAutospacing="0" w:line="360" w:lineRule="auto"/>
        <w:jc w:val="center"/>
        <w:outlineLvl w:val="0"/>
        <w:rPr>
          <w:rFonts w:ascii="宋体" w:hAnsi="宋体" w:eastAsia="宋体" w:cs="宋体"/>
          <w:b/>
          <w:bCs/>
          <w:sz w:val="36"/>
          <w:szCs w:val="30"/>
          <w:highlight w:val="none"/>
        </w:rPr>
      </w:pPr>
      <w:bookmarkStart w:id="61" w:name="_Toc16114"/>
      <w:r>
        <w:rPr>
          <w:rFonts w:hint="eastAsia" w:ascii="宋体" w:hAnsi="宋体" w:eastAsia="宋体" w:cs="宋体"/>
          <w:b/>
          <w:bCs/>
          <w:sz w:val="36"/>
          <w:szCs w:val="30"/>
          <w:highlight w:val="none"/>
        </w:rPr>
        <w:t xml:space="preserve">第三篇  </w:t>
      </w:r>
      <w:bookmarkEnd w:id="45"/>
      <w:r>
        <w:rPr>
          <w:rFonts w:hint="eastAsia" w:ascii="宋体" w:hAnsi="宋体" w:eastAsia="宋体" w:cs="宋体"/>
          <w:b/>
          <w:bCs/>
          <w:sz w:val="36"/>
          <w:szCs w:val="30"/>
          <w:highlight w:val="none"/>
        </w:rPr>
        <w:t>项目商务需求</w:t>
      </w:r>
      <w:bookmarkEnd w:id="61"/>
    </w:p>
    <w:p w14:paraId="5606FE63">
      <w:pPr>
        <w:wordWrap w:val="0"/>
        <w:spacing w:line="520" w:lineRule="exact"/>
        <w:ind w:firstLine="482"/>
        <w:outlineLvl w:val="1"/>
        <w:rPr>
          <w:rFonts w:ascii="宋体" w:hAnsi="宋体" w:cs="宋体"/>
          <w:b/>
          <w:bCs/>
          <w:sz w:val="21"/>
          <w:szCs w:val="21"/>
          <w:highlight w:val="none"/>
        </w:rPr>
      </w:pPr>
      <w:bookmarkStart w:id="62" w:name="_Toc525658704"/>
      <w:bookmarkStart w:id="63" w:name="_Toc516231412"/>
      <w:bookmarkStart w:id="64" w:name="_Toc65660343"/>
      <w:bookmarkStart w:id="65" w:name="_Toc2129"/>
      <w:bookmarkStart w:id="66" w:name="_Toc1838"/>
      <w:bookmarkStart w:id="67" w:name="_Toc8103"/>
      <w:bookmarkStart w:id="68" w:name="_Toc24110"/>
      <w:bookmarkStart w:id="69" w:name="_Toc6453"/>
      <w:bookmarkStart w:id="70" w:name="_Toc487204778"/>
      <w:bookmarkStart w:id="71" w:name="_Toc3115"/>
      <w:bookmarkStart w:id="72" w:name="_Toc342913389"/>
      <w:r>
        <w:rPr>
          <w:rFonts w:hint="eastAsia" w:ascii="宋体" w:hAnsi="宋体" w:cs="宋体"/>
          <w:b/>
          <w:bCs/>
          <w:sz w:val="21"/>
          <w:szCs w:val="21"/>
          <w:highlight w:val="none"/>
          <w:lang w:val="en-US" w:eastAsia="zh-CN"/>
        </w:rPr>
        <w:t>一、工期</w:t>
      </w:r>
      <w:r>
        <w:rPr>
          <w:rFonts w:hint="eastAsia" w:ascii="宋体" w:hAnsi="宋体" w:cs="宋体"/>
          <w:b/>
          <w:bCs/>
          <w:sz w:val="21"/>
          <w:szCs w:val="21"/>
          <w:highlight w:val="none"/>
        </w:rPr>
        <w:t>时间、地点及验收方式</w:t>
      </w:r>
    </w:p>
    <w:p w14:paraId="79331B5B">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工期</w:t>
      </w:r>
      <w:r>
        <w:rPr>
          <w:rFonts w:hint="eastAsia" w:ascii="宋体" w:hAnsi="宋体" w:cs="宋体"/>
          <w:sz w:val="21"/>
          <w:szCs w:val="21"/>
          <w:highlight w:val="none"/>
        </w:rPr>
        <w:t>时间：</w:t>
      </w:r>
      <w:r>
        <w:rPr>
          <w:rFonts w:hint="eastAsia" w:ascii="宋体" w:hAnsi="宋体" w:cs="宋体"/>
          <w:sz w:val="21"/>
          <w:szCs w:val="21"/>
          <w:highlight w:val="none"/>
          <w:lang w:val="en-US" w:eastAsia="zh-CN"/>
        </w:rPr>
        <w:t>自采购合同签订之日起，</w:t>
      </w:r>
      <w:r>
        <w:rPr>
          <w:rFonts w:hint="eastAsia" w:ascii="宋体" w:hAnsi="宋体" w:cs="宋体"/>
          <w:sz w:val="21"/>
          <w:szCs w:val="21"/>
          <w:highlight w:val="none"/>
        </w:rPr>
        <w:t>共</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日历天。</w:t>
      </w:r>
    </w:p>
    <w:p w14:paraId="02B2FE3A">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工程</w:t>
      </w:r>
      <w:r>
        <w:rPr>
          <w:rFonts w:hint="eastAsia" w:ascii="宋体" w:hAnsi="宋体" w:cs="宋体"/>
          <w:sz w:val="21"/>
          <w:szCs w:val="21"/>
          <w:highlight w:val="none"/>
        </w:rPr>
        <w:t>地点：采购人指定地点。</w:t>
      </w:r>
    </w:p>
    <w:p w14:paraId="590DE0C3">
      <w:pPr>
        <w:wordWrap w:val="0"/>
        <w:spacing w:line="360" w:lineRule="auto"/>
        <w:ind w:firstLine="480"/>
        <w:rPr>
          <w:rFonts w:hint="eastAsia" w:ascii="宋体" w:hAnsi="宋体" w:cs="宋体"/>
          <w:sz w:val="21"/>
          <w:szCs w:val="21"/>
          <w:highlight w:val="none"/>
          <w:lang w:eastAsia="zh-CN"/>
        </w:rPr>
      </w:pPr>
      <w:r>
        <w:rPr>
          <w:rFonts w:hint="eastAsia" w:ascii="宋体" w:hAnsi="宋体" w:cs="宋体"/>
          <w:sz w:val="21"/>
          <w:szCs w:val="21"/>
          <w:highlight w:val="none"/>
        </w:rPr>
        <w:t>3.验收方式：由采购人组织验收（成交供应商出具成果后，甲方若提出修改，乙方无条件接受，并在规定的时间完成修改）</w:t>
      </w:r>
      <w:r>
        <w:rPr>
          <w:rFonts w:hint="eastAsia" w:ascii="宋体" w:hAnsi="宋体" w:cs="宋体"/>
          <w:sz w:val="21"/>
          <w:szCs w:val="21"/>
          <w:highlight w:val="none"/>
          <w:lang w:eastAsia="zh-CN"/>
        </w:rPr>
        <w:t>。</w:t>
      </w:r>
    </w:p>
    <w:p w14:paraId="462E634F">
      <w:pPr>
        <w:wordWrap w:val="0"/>
        <w:spacing w:line="520" w:lineRule="exact"/>
        <w:ind w:firstLine="482"/>
        <w:outlineLvl w:val="1"/>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二、质量要求</w:t>
      </w:r>
    </w:p>
    <w:p w14:paraId="6D038B57">
      <w:pPr>
        <w:wordWrap w:val="0"/>
        <w:spacing w:line="360" w:lineRule="auto"/>
        <w:ind w:firstLine="48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1.质量要求：</w:t>
      </w:r>
      <w:r>
        <w:rPr>
          <w:rFonts w:hint="eastAsia" w:ascii="宋体" w:hAnsi="宋体" w:eastAsia="宋体" w:cs="宋体"/>
          <w:kern w:val="2"/>
          <w:sz w:val="21"/>
          <w:szCs w:val="21"/>
          <w:highlight w:val="none"/>
          <w:lang w:val="en-US" w:eastAsia="zh-CN" w:bidi="ar-SA"/>
        </w:rPr>
        <w:t>符合强制性质量标准，符合国家和重庆市现行有关施工质量验收规范要求，并达到合格标准。</w:t>
      </w:r>
    </w:p>
    <w:p w14:paraId="75AE78E0">
      <w:pPr>
        <w:pStyle w:val="21"/>
        <w:spacing w:line="360" w:lineRule="auto"/>
        <w:ind w:left="400" w:leftChars="0" w:firstLine="10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2.责任缺陷期（质保期）：自工程验收合格之日起</w:t>
      </w:r>
      <w:r>
        <w:rPr>
          <w:rFonts w:hint="eastAsia" w:ascii="宋体" w:hAnsi="宋体" w:cs="宋体"/>
          <w:kern w:val="2"/>
          <w:sz w:val="21"/>
          <w:szCs w:val="21"/>
          <w:highlight w:val="none"/>
          <w:lang w:val="en-US" w:eastAsia="zh-CN" w:bidi="ar-SA"/>
        </w:rPr>
        <w:t>壹</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（防水部分伍年）</w:t>
      </w:r>
      <w:r>
        <w:rPr>
          <w:rFonts w:hint="eastAsia" w:ascii="宋体" w:hAnsi="宋体" w:eastAsia="宋体" w:cs="宋体"/>
          <w:kern w:val="2"/>
          <w:sz w:val="21"/>
          <w:szCs w:val="21"/>
          <w:highlight w:val="none"/>
          <w:lang w:val="en-US" w:eastAsia="zh-CN" w:bidi="ar-SA"/>
        </w:rPr>
        <w:t>。</w:t>
      </w:r>
    </w:p>
    <w:bookmarkEnd w:id="62"/>
    <w:bookmarkEnd w:id="63"/>
    <w:p w14:paraId="18521570">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三、</w:t>
      </w:r>
      <w:bookmarkEnd w:id="64"/>
      <w:bookmarkEnd w:id="65"/>
      <w:bookmarkEnd w:id="66"/>
      <w:bookmarkEnd w:id="67"/>
      <w:bookmarkEnd w:id="68"/>
      <w:bookmarkStart w:id="73" w:name="_Toc11110"/>
      <w:bookmarkStart w:id="74" w:name="_Toc12184"/>
      <w:bookmarkStart w:id="75" w:name="_Toc65660344"/>
      <w:bookmarkStart w:id="76" w:name="_Toc16974"/>
      <w:bookmarkStart w:id="77" w:name="_Toc122"/>
      <w:r>
        <w:rPr>
          <w:rFonts w:hint="eastAsia" w:ascii="宋体" w:hAnsi="宋体" w:cs="宋体"/>
          <w:b/>
          <w:bCs/>
          <w:sz w:val="21"/>
          <w:szCs w:val="21"/>
          <w:highlight w:val="none"/>
          <w:lang w:val="en-US" w:eastAsia="zh-CN"/>
        </w:rPr>
        <w:t>报价要求</w:t>
      </w:r>
      <w:bookmarkEnd w:id="73"/>
      <w:bookmarkEnd w:id="74"/>
      <w:bookmarkEnd w:id="75"/>
      <w:bookmarkEnd w:id="76"/>
      <w:bookmarkEnd w:id="77"/>
    </w:p>
    <w:p w14:paraId="4050218B">
      <w:pPr>
        <w:numPr>
          <w:ilvl w:val="0"/>
          <w:numId w:val="2"/>
        </w:numPr>
        <w:spacing w:line="360" w:lineRule="auto"/>
        <w:ind w:firstLine="420" w:firstLineChars="200"/>
        <w:jc w:val="left"/>
        <w:rPr>
          <w:rFonts w:ascii="宋体" w:hAnsi="宋体" w:cs="宋体"/>
          <w:sz w:val="21"/>
          <w:szCs w:val="21"/>
          <w:highlight w:val="none"/>
        </w:rPr>
      </w:pPr>
      <w:bookmarkStart w:id="78" w:name="_Toc27519"/>
      <w:bookmarkStart w:id="79" w:name="_Toc11000"/>
      <w:bookmarkStart w:id="80" w:name="_Toc9192"/>
      <w:bookmarkStart w:id="81" w:name="_Toc7562"/>
      <w:bookmarkStart w:id="82" w:name="_Toc65660345"/>
      <w:r>
        <w:rPr>
          <w:rFonts w:hint="eastAsia" w:ascii="宋体" w:hAnsi="宋体" w:cs="宋体"/>
          <w:sz w:val="21"/>
          <w:szCs w:val="21"/>
          <w:highlight w:val="none"/>
        </w:rPr>
        <w:t>工程计价方式：</w:t>
      </w:r>
    </w:p>
    <w:p w14:paraId="1964CDF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本工程采用工程量清单计价。</w:t>
      </w:r>
    </w:p>
    <w:p w14:paraId="542491F3">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竞采报价范围：</w:t>
      </w:r>
    </w:p>
    <w:p w14:paraId="0332946B">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各供应商对采购人提供的工程量清单，结合供应商自身情况及市场行情进行报价。</w:t>
      </w:r>
    </w:p>
    <w:p w14:paraId="194A4059">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报价要求：</w:t>
      </w:r>
    </w:p>
    <w:p w14:paraId="6C6E9CB4">
      <w:pPr>
        <w:wordWrap w:val="0"/>
        <w:spacing w:line="520" w:lineRule="exact"/>
        <w:ind w:firstLine="760"/>
        <w:rPr>
          <w:rFonts w:ascii="宋体" w:hAnsi="宋体" w:cs="宋体"/>
          <w:sz w:val="21"/>
          <w:szCs w:val="21"/>
          <w:highlight w:val="none"/>
        </w:rPr>
      </w:pPr>
      <w:r>
        <w:rPr>
          <w:rFonts w:hint="eastAsia" w:ascii="宋体" w:hAnsi="宋体" w:cs="宋体"/>
          <w:sz w:val="21"/>
          <w:szCs w:val="21"/>
          <w:highlight w:val="none"/>
        </w:rPr>
        <w:t>3.1 本次报价须为人民币报价，供应商以竞采文件、工程量清单、国家技术和经济规范及标准为依据，由供应商结合自身实力、市场行情自主合理报价。项目总价和子项目价以及各项单价不能超过附件中项目招标清单上所列价格，否则做无效响应处理。报价应包括完成采购范围内工程项目的人工费、材料费、机械费、企业管理费、利润、风险费用、措施费（含易撒漏物资密闭运输的费用）、规费、安全文明施工费、税金、政策性文件规定、报建（如需）、验收、后期服务、保险、疫情防控等履行完本项目的所有费用，采购人不再支付任何费用。</w:t>
      </w:r>
    </w:p>
    <w:p w14:paraId="6594E1E8">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sz w:val="21"/>
          <w:szCs w:val="21"/>
          <w:highlight w:val="none"/>
        </w:rPr>
        <w:t>3.2 报价依据：</w:t>
      </w:r>
      <w:r>
        <w:rPr>
          <w:rFonts w:hint="eastAsia" w:ascii="宋体" w:hAnsi="宋体" w:cs="宋体"/>
          <w:bCs/>
          <w:kern w:val="0"/>
          <w:sz w:val="21"/>
          <w:szCs w:val="21"/>
          <w:highlight w:val="none"/>
        </w:rPr>
        <w:t>本竞采工程由供应商以竞采文件、合同条件、工程量清单、本次竞采范围的施工设计图纸、国家技术和经济规范及标准、《建设工程工程量清单计价规范》（GB50500-2013）、《房屋建筑与装饰工程量计算规范》（GB50854-2013）、《通用安装工程工程量计算规范》（GB50856-2013）、《市政工程工程量计算规范》GB50857-2013、《园林绿化工程工程量计算规范》（GB50858-2013）、《构筑物工程工程量计算规范》（GB50860-2013）、《重庆市建设工程工程量清单计价规则》（CQQDGZ-2013）、《重庆市建设工程费用定额》（CQFYDE-2018）、《重庆市市政工程计价定额》（CQSZDE-2018）、《重庆市房屋建筑与装饰工程计价定额》（CQJZZSDE-2018）、《重庆市通用安装工程计价定额》（CQAZDE-2018）、《重庆市构筑物工程计价定额》（CQGZWDE-2018）、《重庆市绿色建筑工程计价定额》（CQLSJZDE-2018）、《重庆市园林绿化工程计价定额》（CQYLLHDE-2018）、《重庆市房屋修缮工程计价定额》（CQSXDE-2018）、《重庆市建设工程施工机械台班定额》（CQJXDE-2018）、《重庆市建设工程施工仪器仪表台班定额》（CQYQYBDE-2018）、《重庆市建设工程混凝土及砂浆配合比表》（CQPHBB-2018）及其配套、修改、调整文件以及《重庆市城乡建设委员会关于建筑业营业税改征增值税调整建设工程计价依据的通知》（渝建发[2016]35号）、《重庆市城乡建设委员会关于适用增值税新税率调整建设工程计价依据的通知》（渝建〔2019〕143号）及相关配套文件为依据，由竞采供应商充分踏勘现场、结合自身实力、市场行情自主合理报价。投标总报价应包括且不限于完成竞采范围内工程项目的人工费、材料费（不含税）、机械（具）费、防尘降噪费、保险费、缺陷修复费、环保费、企业管理费、利润、风险费用、措施费（含安全文明施工费和竣工档案编制费）、二次或多次转运费、工程施工配合费（各专项验收及综合验收配合费）、总承包服务费、规费、税金、涉及周边市民的干扰、临时占用、场内外交通组织、成品保护、施工场地、交通转换措施、现场交通运行维护、影响等协调及费用、场地内的其他施工单位配合（协调）费、水土保持措施及配合费用、成品保护及既有管线保护、预制构件制作、安装、运输、上下车、吊装、施工用水用电等施工合同明示或暗示的所有责任、义务和风险以及政策性文件规定的所有费用。同时预制构配件采购人人不提供场地，供应商自行考虑，费用包含在投标报价中。供应商的投标报价视为是一个有经验的承包商，本竞采范围内各专业施工图需要根据实际情况做相应完善的部分不得增加任何费用，在对工程充分了解及对风险充分估计后所作的完备报价，中标后，不论实际工程量作如何变化其综合单价不作调整</w:t>
      </w:r>
      <w:r>
        <w:rPr>
          <w:rFonts w:hint="eastAsia" w:ascii="宋体" w:hAnsi="宋体" w:cs="宋体"/>
          <w:sz w:val="21"/>
          <w:szCs w:val="21"/>
          <w:highlight w:val="none"/>
        </w:rPr>
        <w:t>。</w:t>
      </w:r>
      <w:r>
        <w:rPr>
          <w:rFonts w:hint="eastAsia" w:ascii="宋体" w:hAnsi="宋体" w:cs="宋体"/>
          <w:bCs/>
          <w:kern w:val="0"/>
          <w:sz w:val="21"/>
          <w:szCs w:val="21"/>
          <w:highlight w:val="none"/>
        </w:rPr>
        <w:t>供应商应结合现场实际情况对采购人提供的资料的准确性进行复核，并对复核的结果负责，同时对既有设施的保护负有责任并在施工过程中负有安全责任。</w:t>
      </w:r>
    </w:p>
    <w:p w14:paraId="77DC053A">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bCs/>
          <w:kern w:val="0"/>
          <w:sz w:val="21"/>
          <w:szCs w:val="21"/>
          <w:highlight w:val="none"/>
        </w:rPr>
        <w:t>3.3 供应商应认真填写工程量清单中所列的本合同各工程子目的单价和总价。供应商没有填入单价和总价的工程子目，采购人将认为该子目的价款已包括在工程量清单其他子目的单价和总价中。供应商在工程量清单中多报或少报的子目和单价或总价发包人将不予接受，并将被视为重大偏差，其响应文件将被否决。供应商须按采购人提供的工程量清单填报价格，不得随意更改工程量清单内的排序、项目编码、项目名称、项目特征、计量单位、工程量（措施项目清单除外），否则作未响应商务部分需求。供应商的报价不得超过总价最高限价，否则按无效竞标处理。</w:t>
      </w:r>
    </w:p>
    <w:p w14:paraId="7C63B1DF">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bCs/>
          <w:kern w:val="0"/>
          <w:sz w:val="21"/>
          <w:szCs w:val="21"/>
          <w:highlight w:val="none"/>
        </w:rPr>
        <w:t>3.4 报价函中的总报价必须与已标价工程量清单总报价一致，否则作未响应商务部分要求。</w:t>
      </w:r>
    </w:p>
    <w:p w14:paraId="2F4159C0">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安全文明施工费：</w:t>
      </w:r>
    </w:p>
    <w:p w14:paraId="01F530D2">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4.1根据“重庆市住房和城乡建设委员会关于修订发布《重庆市建设工程安全文明施工费计取及使用管理规定》的通知（渝建管〔2024〕38号）”规定，安全文明施工费由安全施工费、文明施工费、环境保护费及临时设施费组成。</w:t>
      </w:r>
    </w:p>
    <w:p w14:paraId="010C1F2A">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4.2工程量清单报价中的安全文明施工费必须按照</w:t>
      </w:r>
      <w:r>
        <w:rPr>
          <w:rFonts w:hint="eastAsia" w:ascii="宋体" w:hAnsi="宋体" w:cs="宋体"/>
          <w:sz w:val="21"/>
          <w:szCs w:val="21"/>
          <w:highlight w:val="none"/>
          <w:lang w:val="en-US" w:eastAsia="zh-CN"/>
        </w:rPr>
        <w:t>相关规定进行编制</w:t>
      </w:r>
      <w:r>
        <w:rPr>
          <w:rFonts w:hint="eastAsia" w:ascii="宋体" w:hAnsi="宋体" w:cs="宋体"/>
          <w:sz w:val="21"/>
          <w:szCs w:val="21"/>
          <w:highlight w:val="none"/>
        </w:rPr>
        <w:t>填报，否则视为对竞采文件不作实质性响应，其响应文件为无效响应。</w:t>
      </w:r>
    </w:p>
    <w:p w14:paraId="7745ECD1">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4.3安全文明施工费的要求与内容、提取支付方法以及违反约定造成损失的赔偿等条款，按照现行规范性要求执行，做到专款专用。</w:t>
      </w:r>
    </w:p>
    <w:p w14:paraId="339D0890">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本工程所需材料、设备由供应商结合市场行情及自身实力进行自主报价。</w:t>
      </w:r>
    </w:p>
    <w:p w14:paraId="2A8BF5E6">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人工费由供应商按重庆市建设工程造价管理总站发布的施工当期《重庆工程造价信息》公布的人工价并结合市场行情及自身实力进行自主报价，由各供应商结合市场行情自主测算计入各分部分项综合单价中。</w:t>
      </w:r>
    </w:p>
    <w:p w14:paraId="73C8C435">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措施项目费：</w:t>
      </w:r>
      <w:r>
        <w:rPr>
          <w:rFonts w:hint="eastAsia" w:ascii="宋体" w:hAnsi="宋体" w:cs="宋体"/>
          <w:sz w:val="21"/>
          <w:szCs w:val="21"/>
          <w:highlight w:val="none"/>
          <w:lang w:val="en-US" w:eastAsia="zh-CN"/>
        </w:rPr>
        <w:t>按现行有关规范文件自行编制</w:t>
      </w:r>
      <w:r>
        <w:rPr>
          <w:rFonts w:hint="eastAsia" w:ascii="宋体" w:hAnsi="宋体" w:cs="宋体"/>
          <w:sz w:val="21"/>
          <w:szCs w:val="21"/>
          <w:highlight w:val="none"/>
        </w:rPr>
        <w:t>。</w:t>
      </w:r>
    </w:p>
    <w:p w14:paraId="293180CF">
      <w:pPr>
        <w:numPr>
          <w:ilvl w:val="0"/>
          <w:numId w:val="2"/>
        </w:numPr>
        <w:spacing w:line="360" w:lineRule="auto"/>
        <w:ind w:firstLine="420" w:firstLineChars="200"/>
        <w:rPr>
          <w:rFonts w:ascii="宋体" w:hAnsi="宋体" w:cs="宋体"/>
          <w:bCs/>
          <w:kern w:val="0"/>
          <w:sz w:val="21"/>
          <w:szCs w:val="21"/>
          <w:highlight w:val="none"/>
        </w:rPr>
      </w:pPr>
      <w:r>
        <w:rPr>
          <w:rFonts w:hint="eastAsia" w:ascii="宋体" w:hAnsi="宋体" w:cs="宋体"/>
          <w:sz w:val="21"/>
          <w:szCs w:val="21"/>
          <w:highlight w:val="none"/>
        </w:rPr>
        <w:t>税金：按《重庆市建设工程费用定额》（CQFYDE-2018）、《重庆市住房和城乡建设委员会关于适用增值税新税率调整建设工程计价依据的通知》（渝建〔2019〕143号）要求执行。</w:t>
      </w:r>
    </w:p>
    <w:p w14:paraId="126D5F54">
      <w:pPr>
        <w:numPr>
          <w:ilvl w:val="0"/>
          <w:numId w:val="2"/>
        </w:numPr>
        <w:spacing w:line="360" w:lineRule="auto"/>
        <w:ind w:firstLine="420" w:firstLineChars="200"/>
        <w:rPr>
          <w:rFonts w:ascii="宋体" w:hAnsi="宋体" w:cs="宋体"/>
          <w:bCs/>
          <w:kern w:val="0"/>
          <w:sz w:val="21"/>
          <w:szCs w:val="21"/>
          <w:highlight w:val="none"/>
        </w:rPr>
      </w:pPr>
      <w:r>
        <w:rPr>
          <w:rFonts w:hint="eastAsia" w:ascii="宋体" w:hAnsi="宋体" w:cs="宋体"/>
          <w:sz w:val="21"/>
          <w:szCs w:val="21"/>
          <w:highlight w:val="none"/>
        </w:rPr>
        <w:t>规费：</w:t>
      </w:r>
      <w:r>
        <w:rPr>
          <w:rFonts w:hint="eastAsia" w:ascii="宋体" w:hAnsi="宋体" w:cs="宋体"/>
          <w:sz w:val="21"/>
          <w:szCs w:val="21"/>
          <w:highlight w:val="none"/>
          <w:lang w:val="en-US" w:eastAsia="zh-CN"/>
        </w:rPr>
        <w:t>按现行有关规范文件自行编制</w:t>
      </w:r>
      <w:r>
        <w:rPr>
          <w:rFonts w:hint="eastAsia" w:ascii="宋体" w:hAnsi="宋体" w:cs="宋体"/>
          <w:sz w:val="21"/>
          <w:szCs w:val="21"/>
          <w:highlight w:val="none"/>
        </w:rPr>
        <w:t>。</w:t>
      </w:r>
    </w:p>
    <w:p w14:paraId="34CA6A97">
      <w:pPr>
        <w:numPr>
          <w:ilvl w:val="0"/>
          <w:numId w:val="2"/>
        </w:numPr>
        <w:spacing w:line="360" w:lineRule="auto"/>
        <w:ind w:firstLine="420" w:firstLineChars="200"/>
        <w:rPr>
          <w:rFonts w:ascii="宋体" w:hAnsi="宋体" w:cs="宋体"/>
          <w:color w:val="auto"/>
          <w:sz w:val="21"/>
          <w:szCs w:val="21"/>
          <w:highlight w:val="none"/>
        </w:rPr>
      </w:pPr>
      <w:r>
        <w:rPr>
          <w:rFonts w:hint="eastAsia" w:ascii="宋体" w:hAnsi="宋体" w:cs="宋体"/>
          <w:bCs/>
          <w:kern w:val="0"/>
          <w:sz w:val="21"/>
          <w:szCs w:val="21"/>
          <w:highlight w:val="none"/>
        </w:rPr>
        <w:t>供应商只有严格按采购人提供的《工程量清单》和本竞采文件中提供的已标价工程量清单表格格式内所有项目进行报价，不得出现漏项或增项，否则视为对竞采文件不作实质性响应，其投标文件按否决投标处理。报价空白或报价为零，则视为该子项的价款已包括在分部分项工程量清单其他子目的单价和合价中，中标后必须完成该子项工作内容，采购人不对该子项进行结算与支付。施工过程中，因采购人原因需要对报价空白或报价为零的项目减少实施工程量或不予实施，采购人将按投标报价时计价原则计算出该项的综合单价以及相应的规费、措施费和税金，并据此从结算价中扣除。</w:t>
      </w:r>
    </w:p>
    <w:p w14:paraId="66A9B894">
      <w:pPr>
        <w:numPr>
          <w:ilvl w:val="0"/>
          <w:numId w:val="2"/>
        </w:numPr>
        <w:spacing w:line="360" w:lineRule="auto"/>
        <w:ind w:firstLine="420" w:firstLineChars="200"/>
        <w:rPr>
          <w:rFonts w:ascii="宋体" w:hAnsi="宋体" w:cs="宋体"/>
          <w:color w:val="auto"/>
          <w:sz w:val="21"/>
          <w:szCs w:val="21"/>
          <w:highlight w:val="none"/>
        </w:rPr>
      </w:pPr>
      <w:r>
        <w:rPr>
          <w:rFonts w:hint="eastAsia" w:ascii="宋体" w:hAnsi="宋体" w:cs="宋体"/>
          <w:sz w:val="21"/>
          <w:szCs w:val="21"/>
          <w:highlight w:val="none"/>
        </w:rPr>
        <w:t>本次采购设置最高投标限价为人民币：</w:t>
      </w:r>
      <w:r>
        <w:rPr>
          <w:rFonts w:hint="eastAsia" w:ascii="宋体" w:hAnsi="宋体" w:cs="宋体"/>
          <w:sz w:val="21"/>
          <w:szCs w:val="21"/>
          <w:highlight w:val="none"/>
          <w:lang w:val="en-US" w:eastAsia="zh-CN"/>
        </w:rPr>
        <w:t>36000.00</w:t>
      </w:r>
      <w:r>
        <w:rPr>
          <w:rFonts w:hint="eastAsia" w:ascii="宋体" w:hAnsi="宋体" w:cs="宋体"/>
          <w:sz w:val="21"/>
          <w:szCs w:val="21"/>
          <w:highlight w:val="none"/>
        </w:rPr>
        <w:t>元。供应商的投标总报价不得超过最高限价，否则由评审小组会作无效响应处理。</w:t>
      </w:r>
    </w:p>
    <w:p w14:paraId="527BCE31">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四、结算及付款方式</w:t>
      </w:r>
      <w:bookmarkEnd w:id="78"/>
      <w:bookmarkEnd w:id="79"/>
      <w:bookmarkEnd w:id="80"/>
      <w:bookmarkEnd w:id="81"/>
      <w:bookmarkEnd w:id="82"/>
    </w:p>
    <w:p w14:paraId="66BDFFC0">
      <w:pPr>
        <w:numPr>
          <w:ilvl w:val="0"/>
          <w:numId w:val="3"/>
        </w:numPr>
        <w:wordWrap w:val="0"/>
        <w:spacing w:line="520" w:lineRule="exact"/>
        <w:ind w:firstLine="75"/>
        <w:rPr>
          <w:rFonts w:ascii="宋体" w:hAnsi="宋体" w:cs="宋体"/>
          <w:color w:val="auto"/>
          <w:sz w:val="21"/>
          <w:szCs w:val="21"/>
          <w:highlight w:val="none"/>
        </w:rPr>
      </w:pPr>
      <w:bookmarkStart w:id="83" w:name="_Toc27290"/>
      <w:bookmarkStart w:id="84" w:name="_Toc7228"/>
      <w:bookmarkStart w:id="85" w:name="_Toc3786"/>
      <w:bookmarkStart w:id="86" w:name="_Toc65660346"/>
      <w:bookmarkStart w:id="87" w:name="_Toc24751"/>
      <w:r>
        <w:rPr>
          <w:rFonts w:hint="eastAsia" w:ascii="宋体" w:hAnsi="宋体" w:cs="宋体"/>
          <w:color w:val="auto"/>
          <w:sz w:val="21"/>
          <w:szCs w:val="21"/>
          <w:highlight w:val="none"/>
        </w:rPr>
        <w:t>结算原则：结算总价=分部分项工程量清单综合单价×实际完成工程量＋措施项目费＋规费＋设计变更、招标工程量清单漏项或新增项目价款＋合同约定其它费用＋税金。</w:t>
      </w:r>
      <w:r>
        <w:rPr>
          <w:rFonts w:hint="eastAsia" w:ascii="宋体" w:hAnsi="宋体" w:cs="宋体"/>
          <w:color w:val="auto"/>
          <w:sz w:val="21"/>
          <w:szCs w:val="21"/>
          <w:highlight w:val="none"/>
          <w:lang w:val="en-US" w:eastAsia="zh-CN"/>
        </w:rPr>
        <w:t>未经审批的增量、变更部分不予结算。具体以双方签订的合同为准。</w:t>
      </w:r>
    </w:p>
    <w:p w14:paraId="058F09AB">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1.1成交人以实际完成工程量编制符合《建设工程工程量清单计价规范》（GB50500-2013）及重庆市相关工程量清单计价规则要求的结算清单</w:t>
      </w:r>
      <w:r>
        <w:rPr>
          <w:rFonts w:hint="eastAsia" w:ascii="宋体" w:hAnsi="宋体" w:cs="宋体"/>
          <w:sz w:val="21"/>
          <w:szCs w:val="21"/>
          <w:highlight w:val="none"/>
          <w:lang w:val="en-US" w:eastAsia="zh-CN"/>
        </w:rPr>
        <w:t>及竣工结算资料</w:t>
      </w:r>
      <w:r>
        <w:rPr>
          <w:rFonts w:hint="eastAsia" w:ascii="宋体" w:hAnsi="宋体" w:cs="宋体"/>
          <w:sz w:val="21"/>
          <w:szCs w:val="21"/>
          <w:highlight w:val="none"/>
        </w:rPr>
        <w:t>，并绘制竣工图。</w:t>
      </w:r>
    </w:p>
    <w:p w14:paraId="711C4F33">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1.2采购人以成交人提供的竣工结算资料报送相关审计单位，以最终审计结果为结算依据。</w:t>
      </w:r>
    </w:p>
    <w:p w14:paraId="2578390A">
      <w:pPr>
        <w:numPr>
          <w:ilvl w:val="0"/>
          <w:numId w:val="3"/>
        </w:numPr>
        <w:wordWrap w:val="0"/>
        <w:spacing w:line="520" w:lineRule="exact"/>
        <w:ind w:firstLine="75"/>
        <w:rPr>
          <w:rFonts w:ascii="宋体" w:hAnsi="宋体" w:cs="宋体"/>
          <w:sz w:val="21"/>
          <w:szCs w:val="21"/>
          <w:highlight w:val="none"/>
        </w:rPr>
      </w:pPr>
      <w:r>
        <w:rPr>
          <w:rFonts w:hint="eastAsia" w:ascii="宋体" w:hAnsi="宋体" w:cs="宋体"/>
          <w:sz w:val="21"/>
          <w:szCs w:val="21"/>
          <w:highlight w:val="none"/>
        </w:rPr>
        <w:t>付款方式及履约保证金</w:t>
      </w:r>
    </w:p>
    <w:p w14:paraId="71886748">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2.1 合同签订前成交人向采购人支付成交金额的3%做为履约保证金。</w:t>
      </w:r>
    </w:p>
    <w:p w14:paraId="75A63B30">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2.2 项目验收合格，经第三方评审完成后，采购人按照程序全额支付工程款。</w:t>
      </w:r>
    </w:p>
    <w:p w14:paraId="57DAC597">
      <w:pPr>
        <w:wordWrap w:val="0"/>
        <w:spacing w:line="520" w:lineRule="exact"/>
        <w:ind w:left="1000"/>
        <w:rPr>
          <w:rFonts w:ascii="宋体" w:hAnsi="宋体" w:cs="宋体"/>
          <w:color w:val="auto"/>
          <w:sz w:val="21"/>
          <w:szCs w:val="21"/>
          <w:highlight w:val="none"/>
        </w:rPr>
      </w:pPr>
      <w:r>
        <w:rPr>
          <w:rFonts w:hint="eastAsia" w:ascii="宋体" w:hAnsi="宋体" w:cs="宋体"/>
          <w:sz w:val="21"/>
          <w:szCs w:val="21"/>
          <w:highlight w:val="none"/>
        </w:rPr>
        <w:t>2.3 项目验收合格后，采购人一次性退还</w:t>
      </w:r>
      <w:r>
        <w:rPr>
          <w:rFonts w:hint="eastAsia" w:ascii="宋体" w:hAnsi="宋体" w:cs="宋体"/>
          <w:color w:val="auto"/>
          <w:sz w:val="21"/>
          <w:szCs w:val="21"/>
          <w:highlight w:val="none"/>
        </w:rPr>
        <w:t>。</w:t>
      </w:r>
    </w:p>
    <w:p w14:paraId="0BE4DC0F">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五、</w:t>
      </w:r>
      <w:bookmarkEnd w:id="83"/>
      <w:bookmarkEnd w:id="84"/>
      <w:bookmarkEnd w:id="85"/>
      <w:bookmarkEnd w:id="86"/>
      <w:bookmarkEnd w:id="87"/>
      <w:r>
        <w:rPr>
          <w:rFonts w:hint="eastAsia" w:ascii="宋体" w:hAnsi="宋体" w:cs="宋体"/>
          <w:b/>
          <w:bCs/>
          <w:sz w:val="21"/>
          <w:szCs w:val="21"/>
          <w:highlight w:val="none"/>
          <w:lang w:val="en-US" w:eastAsia="zh-CN"/>
        </w:rPr>
        <w:t>其他</w:t>
      </w:r>
    </w:p>
    <w:p w14:paraId="1C9BF934">
      <w:pPr>
        <w:snapToGrid w:val="0"/>
        <w:spacing w:beforeAutospacing="0" w:line="400" w:lineRule="exact"/>
        <w:ind w:firstLine="1033" w:firstLineChars="492"/>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其他未尽事宜由供需双方在采购合同中详细约定。</w:t>
      </w:r>
    </w:p>
    <w:p w14:paraId="0B75421D">
      <w:pPr>
        <w:rPr>
          <w:rFonts w:ascii="宋体" w:hAnsi="宋体" w:cs="宋体"/>
          <w:sz w:val="36"/>
          <w:szCs w:val="30"/>
          <w:highlight w:val="none"/>
        </w:rPr>
      </w:pPr>
      <w:r>
        <w:rPr>
          <w:rFonts w:hint="eastAsia" w:ascii="宋体" w:hAnsi="宋体" w:cs="宋体"/>
          <w:sz w:val="36"/>
          <w:szCs w:val="30"/>
          <w:highlight w:val="none"/>
        </w:rPr>
        <w:br w:type="page"/>
      </w:r>
    </w:p>
    <w:bookmarkEnd w:id="69"/>
    <w:bookmarkEnd w:id="70"/>
    <w:bookmarkEnd w:id="71"/>
    <w:p w14:paraId="03D92083">
      <w:pPr>
        <w:pStyle w:val="3"/>
        <w:pageBreakBefore/>
        <w:snapToGrid w:val="0"/>
        <w:spacing w:before="0" w:after="0" w:afterAutospacing="0" w:line="360" w:lineRule="auto"/>
        <w:jc w:val="center"/>
        <w:outlineLvl w:val="0"/>
        <w:rPr>
          <w:rFonts w:ascii="宋体" w:hAnsi="宋体" w:eastAsia="宋体" w:cs="宋体"/>
          <w:b/>
          <w:bCs/>
          <w:sz w:val="36"/>
          <w:szCs w:val="30"/>
          <w:highlight w:val="none"/>
        </w:rPr>
      </w:pPr>
      <w:bookmarkStart w:id="88" w:name="_Toc29321"/>
      <w:bookmarkStart w:id="89" w:name="_Toc102227319"/>
      <w:bookmarkStart w:id="90" w:name="_Toc179714298"/>
      <w:bookmarkStart w:id="91" w:name="_Toc487204782"/>
      <w:bookmarkStart w:id="92" w:name="_Toc342913393"/>
      <w:bookmarkStart w:id="93" w:name="_Toc426965633"/>
      <w:bookmarkStart w:id="94" w:name="_Toc31741"/>
      <w:bookmarkStart w:id="95" w:name="_Toc31795"/>
      <w:r>
        <w:rPr>
          <w:rFonts w:hint="eastAsia" w:ascii="宋体" w:hAnsi="宋体" w:eastAsia="宋体" w:cs="宋体"/>
          <w:b/>
          <w:bCs/>
          <w:sz w:val="36"/>
          <w:szCs w:val="30"/>
          <w:highlight w:val="none"/>
        </w:rPr>
        <w:t>第四篇  开标程序及方法、评审标准、无效响应和</w:t>
      </w:r>
      <w:r>
        <w:rPr>
          <w:rFonts w:hint="eastAsia" w:ascii="宋体" w:hAnsi="宋体" w:eastAsia="宋体" w:cs="宋体"/>
          <w:b/>
          <w:bCs/>
          <w:sz w:val="36"/>
          <w:szCs w:val="36"/>
          <w:highlight w:val="none"/>
        </w:rPr>
        <w:t>采购终止</w:t>
      </w:r>
      <w:bookmarkEnd w:id="88"/>
    </w:p>
    <w:bookmarkEnd w:id="89"/>
    <w:bookmarkEnd w:id="90"/>
    <w:bookmarkEnd w:id="91"/>
    <w:bookmarkEnd w:id="92"/>
    <w:bookmarkEnd w:id="93"/>
    <w:bookmarkEnd w:id="94"/>
    <w:bookmarkEnd w:id="95"/>
    <w:p w14:paraId="2B9AEB8F">
      <w:pPr>
        <w:pStyle w:val="4"/>
        <w:adjustRightInd w:val="0"/>
        <w:snapToGrid w:val="0"/>
        <w:spacing w:before="0" w:after="0" w:line="400" w:lineRule="exact"/>
        <w:rPr>
          <w:rFonts w:hint="eastAsia" w:ascii="宋体" w:hAnsi="宋体" w:eastAsia="宋体" w:cs="宋体"/>
          <w:color w:val="auto"/>
          <w:sz w:val="24"/>
          <w:highlight w:val="none"/>
        </w:rPr>
      </w:pPr>
      <w:bookmarkStart w:id="96" w:name="_Toc18312"/>
      <w:r>
        <w:rPr>
          <w:rFonts w:hint="eastAsia" w:ascii="宋体" w:hAnsi="宋体" w:eastAsia="宋体" w:cs="宋体"/>
          <w:color w:val="auto"/>
          <w:sz w:val="24"/>
          <w:highlight w:val="none"/>
        </w:rPr>
        <w:t>一、网上竞采程序及成交标准</w:t>
      </w:r>
      <w:bookmarkEnd w:id="96"/>
    </w:p>
    <w:p w14:paraId="772A7FF3">
      <w:pPr>
        <w:snapToGrid w:val="0"/>
        <w:spacing w:line="400" w:lineRule="exact"/>
        <w:ind w:firstLine="5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（一）本项目网上竞采按照竞采文件规定的时间和地点进行。</w:t>
      </w:r>
      <w:r>
        <w:rPr>
          <w:rFonts w:hint="eastAsia" w:ascii="宋体" w:hAnsi="宋体" w:cs="宋体"/>
          <w:color w:val="auto"/>
          <w:sz w:val="21"/>
          <w:szCs w:val="21"/>
          <w:highlight w:val="none"/>
          <w:lang w:val="en-US" w:eastAsia="zh-CN"/>
        </w:rPr>
        <w:t>由采购人依法组建竞采评审小组。</w:t>
      </w:r>
    </w:p>
    <w:p w14:paraId="09D4D719">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（二）资格性符合性检查</w:t>
      </w:r>
    </w:p>
    <w:p w14:paraId="4ABD00E7">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1.资格性检查。依据法律法规和竞采文件的规定，对响应文件中的资格证明、投标保证金等进行审查，以确定供应商是否具备资格。资格性检查资料表如下：</w:t>
      </w:r>
    </w:p>
    <w:tbl>
      <w:tblPr>
        <w:tblStyle w:val="29"/>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28D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6" w:type="dxa"/>
            <w:vAlign w:val="center"/>
          </w:tcPr>
          <w:p w14:paraId="3822CAB4">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85" w:type="dxa"/>
            <w:gridSpan w:val="2"/>
            <w:vAlign w:val="center"/>
          </w:tcPr>
          <w:p w14:paraId="250043D8">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5155" w:type="dxa"/>
            <w:vAlign w:val="center"/>
          </w:tcPr>
          <w:p w14:paraId="771BE10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4B0D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0A037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vAlign w:val="center"/>
          </w:tcPr>
          <w:p w14:paraId="5EF3A9A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应符合的基本资格条件</w:t>
            </w:r>
          </w:p>
        </w:tc>
        <w:tc>
          <w:tcPr>
            <w:tcW w:w="2976" w:type="dxa"/>
            <w:vAlign w:val="center"/>
          </w:tcPr>
          <w:p w14:paraId="41AE04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155" w:type="dxa"/>
            <w:vAlign w:val="center"/>
          </w:tcPr>
          <w:p w14:paraId="07D988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43FC7D2">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2.由非独立法人的分公司参加竞采的，另须提供法人单位授权书。</w:t>
            </w:r>
          </w:p>
          <w:p w14:paraId="0D4E9829">
            <w:pPr>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.供应商法定代表人身份证明和法定代表人授权代表委托书。</w:t>
            </w:r>
          </w:p>
        </w:tc>
      </w:tr>
      <w:tr w14:paraId="5DBD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59AE43F">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1FE9AAB">
            <w:pPr>
              <w:spacing w:line="360" w:lineRule="auto"/>
              <w:rPr>
                <w:rFonts w:hint="eastAsia" w:ascii="宋体" w:hAnsi="宋体" w:eastAsia="宋体" w:cs="宋体"/>
                <w:color w:val="auto"/>
                <w:sz w:val="21"/>
                <w:szCs w:val="21"/>
                <w:highlight w:val="none"/>
                <w:lang w:val="zh-CN"/>
              </w:rPr>
            </w:pPr>
          </w:p>
        </w:tc>
        <w:tc>
          <w:tcPr>
            <w:tcW w:w="2976" w:type="dxa"/>
            <w:vAlign w:val="center"/>
          </w:tcPr>
          <w:p w14:paraId="6F2D39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tc>
        <w:tc>
          <w:tcPr>
            <w:tcW w:w="5155" w:type="dxa"/>
            <w:vMerge w:val="restart"/>
            <w:vAlign w:val="center"/>
          </w:tcPr>
          <w:p w14:paraId="59C414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供应商提供“基本资格条件承诺函”（详见第七篇）。</w:t>
            </w:r>
          </w:p>
          <w:p w14:paraId="78983F57">
            <w:pPr>
              <w:spacing w:line="360" w:lineRule="auto"/>
              <w:rPr>
                <w:rFonts w:hint="eastAsia" w:ascii="宋体" w:hAnsi="宋体" w:eastAsia="宋体" w:cs="宋体"/>
                <w:color w:val="auto"/>
                <w:sz w:val="21"/>
                <w:szCs w:val="21"/>
                <w:highlight w:val="none"/>
              </w:rPr>
            </w:pPr>
          </w:p>
        </w:tc>
      </w:tr>
      <w:tr w14:paraId="748E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126EE7C">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0876F31">
            <w:pPr>
              <w:spacing w:line="360" w:lineRule="auto"/>
              <w:rPr>
                <w:rFonts w:hint="eastAsia" w:ascii="宋体" w:hAnsi="宋体" w:eastAsia="宋体" w:cs="宋体"/>
                <w:color w:val="auto"/>
                <w:sz w:val="21"/>
                <w:szCs w:val="21"/>
                <w:highlight w:val="none"/>
                <w:lang w:val="zh-CN"/>
              </w:rPr>
            </w:pPr>
          </w:p>
        </w:tc>
        <w:tc>
          <w:tcPr>
            <w:tcW w:w="2976" w:type="dxa"/>
            <w:vAlign w:val="center"/>
          </w:tcPr>
          <w:p w14:paraId="01FF579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tc>
        <w:tc>
          <w:tcPr>
            <w:tcW w:w="5155" w:type="dxa"/>
            <w:vMerge w:val="continue"/>
            <w:vAlign w:val="center"/>
          </w:tcPr>
          <w:p w14:paraId="37A5CE3F">
            <w:pPr>
              <w:spacing w:line="360" w:lineRule="auto"/>
              <w:rPr>
                <w:rFonts w:hint="eastAsia" w:ascii="宋体" w:hAnsi="宋体" w:eastAsia="宋体" w:cs="宋体"/>
                <w:color w:val="auto"/>
                <w:sz w:val="21"/>
                <w:szCs w:val="21"/>
                <w:highlight w:val="none"/>
              </w:rPr>
            </w:pPr>
          </w:p>
        </w:tc>
      </w:tr>
      <w:tr w14:paraId="2675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E8F5946">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49EEF901">
            <w:pPr>
              <w:spacing w:line="360" w:lineRule="auto"/>
              <w:rPr>
                <w:rFonts w:hint="eastAsia" w:ascii="宋体" w:hAnsi="宋体" w:eastAsia="宋体" w:cs="宋体"/>
                <w:color w:val="auto"/>
                <w:sz w:val="21"/>
                <w:szCs w:val="21"/>
                <w:highlight w:val="none"/>
                <w:lang w:val="zh-CN"/>
              </w:rPr>
            </w:pPr>
          </w:p>
        </w:tc>
        <w:tc>
          <w:tcPr>
            <w:tcW w:w="2976" w:type="dxa"/>
            <w:vAlign w:val="center"/>
          </w:tcPr>
          <w:p w14:paraId="1DB3DE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（4）有依法缴纳税收和社会保障金的良好记录</w:t>
            </w:r>
          </w:p>
        </w:tc>
        <w:tc>
          <w:tcPr>
            <w:tcW w:w="5155" w:type="dxa"/>
            <w:vMerge w:val="continue"/>
            <w:vAlign w:val="center"/>
          </w:tcPr>
          <w:p w14:paraId="3CF323F0">
            <w:pPr>
              <w:spacing w:line="360" w:lineRule="auto"/>
              <w:rPr>
                <w:rFonts w:hint="eastAsia" w:ascii="宋体" w:hAnsi="宋体" w:eastAsia="宋体" w:cs="宋体"/>
                <w:color w:val="auto"/>
                <w:sz w:val="21"/>
                <w:szCs w:val="21"/>
                <w:highlight w:val="none"/>
              </w:rPr>
            </w:pPr>
          </w:p>
        </w:tc>
      </w:tr>
      <w:tr w14:paraId="78EB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B7D9DE6">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767F090B">
            <w:pPr>
              <w:spacing w:line="360" w:lineRule="auto"/>
              <w:rPr>
                <w:rFonts w:hint="eastAsia" w:ascii="宋体" w:hAnsi="宋体" w:eastAsia="宋体" w:cs="宋体"/>
                <w:color w:val="auto"/>
                <w:sz w:val="21"/>
                <w:szCs w:val="21"/>
                <w:highlight w:val="none"/>
                <w:lang w:val="zh-CN"/>
              </w:rPr>
            </w:pPr>
          </w:p>
        </w:tc>
        <w:tc>
          <w:tcPr>
            <w:tcW w:w="2976" w:type="dxa"/>
            <w:vAlign w:val="center"/>
          </w:tcPr>
          <w:p w14:paraId="53BA7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5155" w:type="dxa"/>
            <w:vMerge w:val="continue"/>
            <w:vAlign w:val="center"/>
          </w:tcPr>
          <w:p w14:paraId="6A56BEAE">
            <w:pPr>
              <w:spacing w:line="360" w:lineRule="auto"/>
              <w:rPr>
                <w:rFonts w:hint="eastAsia" w:ascii="宋体" w:hAnsi="宋体" w:eastAsia="宋体" w:cs="宋体"/>
                <w:bCs/>
                <w:color w:val="auto"/>
                <w:sz w:val="21"/>
                <w:szCs w:val="21"/>
                <w:highlight w:val="none"/>
              </w:rPr>
            </w:pPr>
          </w:p>
        </w:tc>
      </w:tr>
      <w:tr w14:paraId="7A3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46716BF">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0F8F773E">
            <w:pPr>
              <w:spacing w:line="360" w:lineRule="auto"/>
              <w:rPr>
                <w:rFonts w:hint="eastAsia" w:ascii="宋体" w:hAnsi="宋体" w:eastAsia="宋体" w:cs="宋体"/>
                <w:color w:val="auto"/>
                <w:sz w:val="21"/>
                <w:szCs w:val="21"/>
                <w:highlight w:val="none"/>
                <w:lang w:val="zh-CN"/>
              </w:rPr>
            </w:pPr>
          </w:p>
        </w:tc>
        <w:tc>
          <w:tcPr>
            <w:tcW w:w="2976" w:type="dxa"/>
            <w:vAlign w:val="center"/>
          </w:tcPr>
          <w:p w14:paraId="4F678B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5155" w:type="dxa"/>
            <w:vAlign w:val="center"/>
          </w:tcPr>
          <w:p w14:paraId="74879566">
            <w:pPr>
              <w:spacing w:line="360" w:lineRule="auto"/>
              <w:rPr>
                <w:rFonts w:hint="eastAsia" w:ascii="宋体" w:hAnsi="宋体" w:eastAsia="宋体" w:cs="宋体"/>
                <w:color w:val="auto"/>
                <w:sz w:val="21"/>
                <w:szCs w:val="21"/>
                <w:highlight w:val="none"/>
              </w:rPr>
            </w:pPr>
          </w:p>
        </w:tc>
      </w:tr>
      <w:tr w14:paraId="59AD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7C6A84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685" w:type="dxa"/>
            <w:gridSpan w:val="2"/>
            <w:vAlign w:val="center"/>
          </w:tcPr>
          <w:p w14:paraId="419C0A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5155" w:type="dxa"/>
            <w:vAlign w:val="center"/>
          </w:tcPr>
          <w:p w14:paraId="7CDD3F1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按“第一篇三、资格条件（二）落实政府采购政策需满足的资格要求提交（如果有）</w:t>
            </w:r>
          </w:p>
        </w:tc>
      </w:tr>
      <w:tr w14:paraId="61AA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1965B5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685" w:type="dxa"/>
            <w:gridSpan w:val="2"/>
            <w:vAlign w:val="center"/>
          </w:tcPr>
          <w:p w14:paraId="37E658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特定资格条件</w:t>
            </w:r>
          </w:p>
        </w:tc>
        <w:tc>
          <w:tcPr>
            <w:tcW w:w="5155" w:type="dxa"/>
            <w:vAlign w:val="center"/>
          </w:tcPr>
          <w:p w14:paraId="6C89DE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按“第一篇三、资格条件（三）本项目的特定资格要求”的要求提交（如果有）。</w:t>
            </w:r>
          </w:p>
        </w:tc>
      </w:tr>
    </w:tbl>
    <w:p w14:paraId="6B51AEA5">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57B69A98">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2.符合性检查。依据竞采文件的规定，从响应文件的有效性、完整性和对采购文件的响应程度进行审查，以确定是否对竞采文件的实质性要求作出响应。符合性检查资料表如下：</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74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03F90F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6CC02C4B">
            <w:pPr>
              <w:spacing w:line="2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25AB6E5C">
            <w:pPr>
              <w:spacing w:line="2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41C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vMerge w:val="restart"/>
            <w:vAlign w:val="center"/>
          </w:tcPr>
          <w:p w14:paraId="2E320DBB">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0B591D7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vAlign w:val="center"/>
          </w:tcPr>
          <w:p w14:paraId="7B1426A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w:t>
            </w:r>
          </w:p>
        </w:tc>
        <w:tc>
          <w:tcPr>
            <w:tcW w:w="5409" w:type="dxa"/>
            <w:vAlign w:val="center"/>
          </w:tcPr>
          <w:p w14:paraId="3EDDF5DA">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响应文件上法定代表人或其授权代表人的签字齐全。</w:t>
            </w:r>
          </w:p>
        </w:tc>
      </w:tr>
      <w:tr w14:paraId="5C2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5" w:type="dxa"/>
            <w:vMerge w:val="continue"/>
            <w:vAlign w:val="center"/>
          </w:tcPr>
          <w:p w14:paraId="157320C5">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7FBD9854">
            <w:pPr>
              <w:spacing w:line="240" w:lineRule="exact"/>
              <w:rPr>
                <w:rFonts w:hint="eastAsia" w:ascii="宋体" w:hAnsi="宋体" w:eastAsia="宋体" w:cs="宋体"/>
                <w:color w:val="auto"/>
                <w:kern w:val="0"/>
                <w:sz w:val="21"/>
                <w:szCs w:val="21"/>
                <w:highlight w:val="none"/>
              </w:rPr>
            </w:pPr>
          </w:p>
        </w:tc>
        <w:tc>
          <w:tcPr>
            <w:tcW w:w="1984" w:type="dxa"/>
            <w:vAlign w:val="center"/>
          </w:tcPr>
          <w:p w14:paraId="0AB127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10EB3B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法定代表人身份证明及授权委托书有效，符合网上竞采文件规定的格式，签字或盖章齐全。</w:t>
            </w:r>
          </w:p>
        </w:tc>
      </w:tr>
      <w:tr w14:paraId="531B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continue"/>
            <w:vAlign w:val="center"/>
          </w:tcPr>
          <w:p w14:paraId="7D8AF212">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35C61FFA">
            <w:pPr>
              <w:spacing w:line="240" w:lineRule="exact"/>
              <w:rPr>
                <w:rFonts w:hint="eastAsia" w:ascii="宋体" w:hAnsi="宋体" w:eastAsia="宋体" w:cs="宋体"/>
                <w:color w:val="auto"/>
                <w:kern w:val="0"/>
                <w:sz w:val="21"/>
                <w:szCs w:val="21"/>
                <w:highlight w:val="none"/>
              </w:rPr>
            </w:pPr>
          </w:p>
        </w:tc>
        <w:tc>
          <w:tcPr>
            <w:tcW w:w="1984" w:type="dxa"/>
            <w:vAlign w:val="center"/>
          </w:tcPr>
          <w:p w14:paraId="64553F8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73D81870">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2D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5" w:type="dxa"/>
            <w:vMerge w:val="continue"/>
            <w:vAlign w:val="center"/>
          </w:tcPr>
          <w:p w14:paraId="6DE7429C">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42F981DE">
            <w:pPr>
              <w:spacing w:line="240" w:lineRule="exact"/>
              <w:rPr>
                <w:rFonts w:hint="eastAsia" w:ascii="宋体" w:hAnsi="宋体" w:eastAsia="宋体" w:cs="宋体"/>
                <w:color w:val="auto"/>
                <w:kern w:val="0"/>
                <w:sz w:val="21"/>
                <w:szCs w:val="21"/>
                <w:highlight w:val="none"/>
              </w:rPr>
            </w:pPr>
          </w:p>
        </w:tc>
        <w:tc>
          <w:tcPr>
            <w:tcW w:w="1984" w:type="dxa"/>
            <w:vAlign w:val="center"/>
          </w:tcPr>
          <w:p w14:paraId="367B509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0CCC5BF7">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316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restart"/>
            <w:vAlign w:val="center"/>
          </w:tcPr>
          <w:p w14:paraId="40112EAD">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Merge w:val="restart"/>
            <w:vAlign w:val="center"/>
          </w:tcPr>
          <w:p w14:paraId="18844FF3">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1F1CDCF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格式</w:t>
            </w:r>
          </w:p>
        </w:tc>
        <w:tc>
          <w:tcPr>
            <w:tcW w:w="5409" w:type="dxa"/>
            <w:vAlign w:val="center"/>
          </w:tcPr>
          <w:p w14:paraId="6DD328B3">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zh-CN"/>
              </w:rPr>
              <w:t>符合</w:t>
            </w:r>
            <w:r>
              <w:rPr>
                <w:rFonts w:hint="eastAsia" w:ascii="宋体" w:hAnsi="宋体" w:eastAsia="宋体" w:cs="宋体"/>
                <w:color w:val="auto"/>
                <w:sz w:val="21"/>
                <w:szCs w:val="21"/>
                <w:highlight w:val="none"/>
              </w:rPr>
              <w:t>网上竞采文件</w:t>
            </w:r>
            <w:r>
              <w:rPr>
                <w:rFonts w:hint="eastAsia" w:ascii="宋体" w:hAnsi="宋体" w:eastAsia="宋体" w:cs="宋体"/>
                <w:color w:val="auto"/>
                <w:sz w:val="21"/>
                <w:szCs w:val="21"/>
                <w:highlight w:val="none"/>
                <w:lang w:val="zh-CN"/>
              </w:rPr>
              <w:t>要求。</w:t>
            </w:r>
          </w:p>
        </w:tc>
      </w:tr>
      <w:tr w14:paraId="7DD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75" w:type="dxa"/>
            <w:vMerge w:val="continue"/>
            <w:vAlign w:val="center"/>
          </w:tcPr>
          <w:p w14:paraId="73429A1C">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5FC76703">
            <w:pPr>
              <w:rPr>
                <w:rFonts w:hint="eastAsia" w:ascii="宋体" w:hAnsi="宋体" w:eastAsia="宋体" w:cs="宋体"/>
                <w:color w:val="auto"/>
                <w:kern w:val="0"/>
                <w:sz w:val="21"/>
                <w:szCs w:val="21"/>
                <w:highlight w:val="none"/>
              </w:rPr>
            </w:pPr>
          </w:p>
        </w:tc>
        <w:tc>
          <w:tcPr>
            <w:tcW w:w="1984" w:type="dxa"/>
            <w:vAlign w:val="center"/>
          </w:tcPr>
          <w:p w14:paraId="618B08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文件内容</w:t>
            </w:r>
          </w:p>
        </w:tc>
        <w:tc>
          <w:tcPr>
            <w:tcW w:w="5409" w:type="dxa"/>
            <w:vAlign w:val="center"/>
          </w:tcPr>
          <w:p w14:paraId="332C95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文件内容齐全、无遗漏。</w:t>
            </w:r>
          </w:p>
        </w:tc>
      </w:tr>
      <w:tr w14:paraId="71D4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restart"/>
            <w:vAlign w:val="center"/>
          </w:tcPr>
          <w:p w14:paraId="27C5D16A">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47F58947">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网上竞采文件的响应程度审查</w:t>
            </w:r>
          </w:p>
        </w:tc>
        <w:tc>
          <w:tcPr>
            <w:tcW w:w="1984" w:type="dxa"/>
            <w:vAlign w:val="center"/>
          </w:tcPr>
          <w:p w14:paraId="2C5304B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技术响应</w:t>
            </w:r>
          </w:p>
        </w:tc>
        <w:tc>
          <w:tcPr>
            <w:tcW w:w="5409" w:type="dxa"/>
            <w:vAlign w:val="center"/>
          </w:tcPr>
          <w:p w14:paraId="656C5587">
            <w:pPr>
              <w:pStyle w:val="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对本网上竞采文件第二篇规定的实质性要求作出响应。</w:t>
            </w:r>
          </w:p>
        </w:tc>
      </w:tr>
      <w:tr w14:paraId="17EC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continue"/>
            <w:vAlign w:val="center"/>
          </w:tcPr>
          <w:p w14:paraId="51324B8E">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4C7B746D">
            <w:pPr>
              <w:rPr>
                <w:rFonts w:hint="eastAsia" w:ascii="宋体" w:hAnsi="宋体" w:eastAsia="宋体" w:cs="宋体"/>
                <w:color w:val="auto"/>
                <w:kern w:val="0"/>
                <w:sz w:val="21"/>
                <w:szCs w:val="21"/>
                <w:highlight w:val="none"/>
              </w:rPr>
            </w:pPr>
          </w:p>
        </w:tc>
        <w:tc>
          <w:tcPr>
            <w:tcW w:w="1984" w:type="dxa"/>
            <w:vAlign w:val="center"/>
          </w:tcPr>
          <w:p w14:paraId="0AFFC1E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商务响应</w:t>
            </w:r>
          </w:p>
        </w:tc>
        <w:tc>
          <w:tcPr>
            <w:tcW w:w="5409" w:type="dxa"/>
            <w:vAlign w:val="center"/>
          </w:tcPr>
          <w:p w14:paraId="0F3D017A">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对本网上竞采文件第三篇规定的实质性要求作出响应。</w:t>
            </w:r>
          </w:p>
        </w:tc>
      </w:tr>
      <w:tr w14:paraId="5923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5" w:type="dxa"/>
            <w:vMerge w:val="continue"/>
            <w:vAlign w:val="center"/>
          </w:tcPr>
          <w:p w14:paraId="4C2B41ED">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67CD0171">
            <w:pPr>
              <w:spacing w:line="240" w:lineRule="exact"/>
              <w:rPr>
                <w:rFonts w:hint="eastAsia" w:ascii="宋体" w:hAnsi="宋体" w:eastAsia="宋体" w:cs="宋体"/>
                <w:color w:val="auto"/>
                <w:sz w:val="21"/>
                <w:szCs w:val="21"/>
                <w:highlight w:val="none"/>
                <w:lang w:val="zh-CN"/>
              </w:rPr>
            </w:pPr>
          </w:p>
        </w:tc>
        <w:tc>
          <w:tcPr>
            <w:tcW w:w="1984" w:type="dxa"/>
            <w:vAlign w:val="center"/>
          </w:tcPr>
          <w:p w14:paraId="44D7BF9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竞采有效期</w:t>
            </w:r>
          </w:p>
        </w:tc>
        <w:tc>
          <w:tcPr>
            <w:tcW w:w="5409" w:type="dxa"/>
            <w:vAlign w:val="center"/>
          </w:tcPr>
          <w:p w14:paraId="18FACDF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满足网上竞采文件</w:t>
            </w:r>
            <w:r>
              <w:rPr>
                <w:rFonts w:hint="eastAsia" w:ascii="宋体" w:hAnsi="宋体" w:eastAsia="宋体" w:cs="宋体"/>
                <w:color w:val="auto"/>
                <w:sz w:val="21"/>
                <w:szCs w:val="21"/>
                <w:highlight w:val="none"/>
                <w:lang w:val="zh-CN"/>
              </w:rPr>
              <w:t>规定。</w:t>
            </w:r>
          </w:p>
        </w:tc>
      </w:tr>
    </w:tbl>
    <w:p w14:paraId="29E859B8">
      <w:pPr>
        <w:snapToGrid w:val="0"/>
        <w:spacing w:line="40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三）澄清说明</w:t>
      </w:r>
    </w:p>
    <w:p w14:paraId="355023B2">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839469">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8EA0322">
      <w:pPr>
        <w:snapToGrid w:val="0"/>
        <w:spacing w:line="400" w:lineRule="exact"/>
        <w:ind w:firstLine="54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3.评审的依据为网上竞采文件和响应文件（含有效的补充文件）。竞采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小组判断响应文件对网上竞采文件的响应，仅基于响应文件本身而不靠外部证据</w:t>
      </w:r>
      <w:r>
        <w:rPr>
          <w:rFonts w:hint="eastAsia" w:ascii="宋体" w:hAnsi="宋体" w:eastAsia="宋体" w:cs="宋体"/>
          <w:sz w:val="21"/>
          <w:szCs w:val="21"/>
          <w:highlight w:val="none"/>
        </w:rPr>
        <w:t>。</w:t>
      </w:r>
    </w:p>
    <w:p w14:paraId="5A1225CF">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二、评定成交的标准</w:t>
      </w:r>
    </w:p>
    <w:p w14:paraId="68573ECC">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1.采用综合评分法。满分100分。对供应商的响应文件（含有效书面承诺）进行评审。通过资格评审和符合性评审的合格供应商，</w:t>
      </w:r>
      <w:r>
        <w:rPr>
          <w:rFonts w:hint="eastAsia" w:ascii="宋体" w:hAnsi="宋体" w:cs="宋体"/>
          <w:color w:val="auto"/>
          <w:sz w:val="21"/>
          <w:szCs w:val="21"/>
          <w:highlight w:val="none"/>
          <w:lang w:val="en-US" w:eastAsia="zh-CN"/>
        </w:rPr>
        <w:t>竞采</w:t>
      </w:r>
      <w:r>
        <w:rPr>
          <w:rFonts w:hint="eastAsia" w:ascii="宋体" w:hAnsi="宋体" w:eastAsia="宋体" w:cs="宋体"/>
          <w:color w:val="auto"/>
          <w:sz w:val="21"/>
          <w:szCs w:val="21"/>
          <w:highlight w:val="none"/>
        </w:rPr>
        <w:t>评审小组各成员按照供应商响应文件进行评分。推荐综合得分得分由高到低的3名成交候选供应商，综合得分最高的成交候选供应商为成交供应商。若供应商的评审得分相同的，按照报价由低到高的顺序排列推荐。评审得分且报价相同的，按照服务指标优劣顺序排列推荐。以上都相同的，按商务条款的优劣顺序排列推荐。（提示：服务部分得分为0分的供应商将不能成为成交候选供应商。）</w:t>
      </w:r>
    </w:p>
    <w:p w14:paraId="70CFC78A">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2.评审标准</w:t>
      </w:r>
    </w:p>
    <w:tbl>
      <w:tblPr>
        <w:tblStyle w:val="29"/>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12"/>
        <w:gridCol w:w="1105"/>
        <w:gridCol w:w="1685"/>
        <w:gridCol w:w="3206"/>
        <w:gridCol w:w="2244"/>
      </w:tblGrid>
      <w:tr w14:paraId="31B4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8" w:type="dxa"/>
            <w:noWrap w:val="0"/>
            <w:vAlign w:val="center"/>
          </w:tcPr>
          <w:p w14:paraId="1A059280">
            <w:pPr>
              <w:spacing w:line="360" w:lineRule="auto"/>
              <w:jc w:val="center"/>
              <w:rPr>
                <w:rFonts w:hint="eastAsia" w:ascii="宋体" w:hAnsi="宋体" w:eastAsia="宋体" w:cs="宋体"/>
                <w:b/>
                <w:color w:val="000000"/>
                <w:sz w:val="21"/>
                <w:szCs w:val="21"/>
                <w:highlight w:val="none"/>
              </w:rPr>
            </w:pPr>
            <w:bookmarkStart w:id="97" w:name="_Toc8881"/>
            <w:bookmarkStart w:id="98" w:name="_Toc15278"/>
            <w:bookmarkStart w:id="99" w:name="_Toc1719"/>
            <w:r>
              <w:rPr>
                <w:rFonts w:hint="eastAsia" w:ascii="宋体" w:hAnsi="宋体" w:eastAsia="宋体" w:cs="宋体"/>
                <w:b/>
                <w:color w:val="000000"/>
                <w:sz w:val="21"/>
                <w:szCs w:val="21"/>
                <w:highlight w:val="none"/>
              </w:rPr>
              <w:t>序号</w:t>
            </w:r>
          </w:p>
        </w:tc>
        <w:tc>
          <w:tcPr>
            <w:tcW w:w="1212" w:type="dxa"/>
            <w:noWrap w:val="0"/>
            <w:vAlign w:val="center"/>
          </w:tcPr>
          <w:p w14:paraId="3E9AE6F6">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评分因素</w:t>
            </w:r>
          </w:p>
          <w:p w14:paraId="282E70DF">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及权重</w:t>
            </w:r>
          </w:p>
        </w:tc>
        <w:tc>
          <w:tcPr>
            <w:tcW w:w="1105" w:type="dxa"/>
            <w:noWrap w:val="0"/>
            <w:vAlign w:val="center"/>
          </w:tcPr>
          <w:p w14:paraId="14701BA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分值</w:t>
            </w:r>
          </w:p>
        </w:tc>
        <w:tc>
          <w:tcPr>
            <w:tcW w:w="4891" w:type="dxa"/>
            <w:gridSpan w:val="2"/>
            <w:noWrap w:val="0"/>
            <w:vAlign w:val="center"/>
          </w:tcPr>
          <w:p w14:paraId="183C20AC">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评分标准（以下评分标准为举例）</w:t>
            </w:r>
          </w:p>
        </w:tc>
        <w:tc>
          <w:tcPr>
            <w:tcW w:w="2244" w:type="dxa"/>
            <w:noWrap w:val="0"/>
            <w:vAlign w:val="center"/>
          </w:tcPr>
          <w:p w14:paraId="09ACBB14">
            <w:pPr>
              <w:pStyle w:val="62"/>
              <w:spacing w:before="0" w:after="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tc>
      </w:tr>
      <w:tr w14:paraId="3556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8" w:type="dxa"/>
            <w:noWrap w:val="0"/>
            <w:vAlign w:val="center"/>
          </w:tcPr>
          <w:p w14:paraId="2D21EDD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12" w:type="dxa"/>
            <w:noWrap w:val="0"/>
            <w:vAlign w:val="center"/>
          </w:tcPr>
          <w:p w14:paraId="00D9BD29">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p w14:paraId="442D63F7">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w:t>
            </w:r>
          </w:p>
        </w:tc>
        <w:tc>
          <w:tcPr>
            <w:tcW w:w="1105" w:type="dxa"/>
            <w:noWrap w:val="0"/>
            <w:vAlign w:val="center"/>
          </w:tcPr>
          <w:p w14:paraId="449082EB">
            <w:pPr>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响应总报价</w:t>
            </w:r>
          </w:p>
          <w:p w14:paraId="48DD385B">
            <w:pPr>
              <w:snapToGrid w:val="0"/>
              <w:spacing w:line="360" w:lineRule="auto"/>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（40分）</w:t>
            </w:r>
          </w:p>
        </w:tc>
        <w:tc>
          <w:tcPr>
            <w:tcW w:w="4891" w:type="dxa"/>
            <w:gridSpan w:val="2"/>
            <w:noWrap w:val="0"/>
            <w:vAlign w:val="center"/>
          </w:tcPr>
          <w:p w14:paraId="037C12F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w:t>
            </w:r>
            <w:r>
              <w:rPr>
                <w:rFonts w:hint="eastAsia" w:ascii="宋体" w:hAnsi="宋体" w:cs="宋体"/>
                <w:color w:val="000000"/>
                <w:sz w:val="21"/>
                <w:szCs w:val="21"/>
                <w:highlight w:val="none"/>
                <w:lang w:eastAsia="zh-CN"/>
              </w:rPr>
              <w:t>竞采</w:t>
            </w:r>
            <w:r>
              <w:rPr>
                <w:rFonts w:hint="eastAsia" w:ascii="宋体" w:hAnsi="宋体" w:eastAsia="宋体" w:cs="宋体"/>
                <w:color w:val="000000"/>
                <w:sz w:val="21"/>
                <w:szCs w:val="21"/>
                <w:highlight w:val="none"/>
              </w:rPr>
              <w:t>文件要求且投标价格最低的投标报价为评标基准价，按照下列公式计算每个响应供应商的投标报价得分。</w:t>
            </w:r>
          </w:p>
          <w:p w14:paraId="7E35D0E3">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投标报价得分＝（基准价/投标报价）×</w:t>
            </w: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rPr>
              <w:t>分</w:t>
            </w:r>
          </w:p>
          <w:p w14:paraId="2692A97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投标报价得分四舍五入，并</w:t>
            </w:r>
            <w:r>
              <w:rPr>
                <w:rFonts w:hint="eastAsia" w:ascii="宋体" w:hAnsi="宋体" w:eastAsia="宋体" w:cs="宋体"/>
                <w:sz w:val="21"/>
                <w:szCs w:val="21"/>
                <w:highlight w:val="none"/>
              </w:rPr>
              <w:t>取小数点后两位，第三位四舍五入。</w:t>
            </w:r>
          </w:p>
        </w:tc>
        <w:tc>
          <w:tcPr>
            <w:tcW w:w="2244" w:type="dxa"/>
            <w:noWrap w:val="0"/>
            <w:vAlign w:val="center"/>
          </w:tcPr>
          <w:p w14:paraId="3EC0EE90">
            <w:pPr>
              <w:snapToGrid w:val="0"/>
              <w:spacing w:line="360" w:lineRule="auto"/>
              <w:ind w:firstLine="420" w:firstLineChars="200"/>
              <w:rPr>
                <w:rFonts w:hint="eastAsia" w:ascii="宋体" w:hAnsi="宋体" w:eastAsia="宋体" w:cs="宋体"/>
                <w:sz w:val="21"/>
                <w:szCs w:val="21"/>
                <w:highlight w:val="none"/>
              </w:rPr>
            </w:pPr>
          </w:p>
        </w:tc>
      </w:tr>
      <w:tr w14:paraId="3101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restart"/>
            <w:noWrap w:val="0"/>
            <w:vAlign w:val="center"/>
          </w:tcPr>
          <w:p w14:paraId="03EA2C4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12" w:type="dxa"/>
            <w:vMerge w:val="restart"/>
            <w:noWrap w:val="0"/>
            <w:vAlign w:val="center"/>
          </w:tcPr>
          <w:p w14:paraId="04D4AED0">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服务部分</w:t>
            </w:r>
          </w:p>
          <w:p w14:paraId="2740EBE7">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w:t>
            </w:r>
          </w:p>
        </w:tc>
        <w:tc>
          <w:tcPr>
            <w:tcW w:w="1105" w:type="dxa"/>
            <w:vMerge w:val="restart"/>
            <w:noWrap w:val="0"/>
            <w:vAlign w:val="center"/>
          </w:tcPr>
          <w:p w14:paraId="11DF310E">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val="en-US" w:eastAsia="zh-CN"/>
              </w:rPr>
              <w:t>方案</w:t>
            </w:r>
          </w:p>
          <w:p w14:paraId="72EE3477">
            <w:pPr>
              <w:snapToGri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50（分）</w:t>
            </w:r>
          </w:p>
        </w:tc>
        <w:tc>
          <w:tcPr>
            <w:tcW w:w="1685" w:type="dxa"/>
            <w:noWrap w:val="0"/>
            <w:vAlign w:val="center"/>
          </w:tcPr>
          <w:p w14:paraId="548BA1B5">
            <w:pPr>
              <w:pStyle w:val="2"/>
              <w:spacing w:line="360" w:lineRule="auto"/>
              <w:ind w:firstLine="420" w:firstLineChars="200"/>
              <w:rPr>
                <w:rFonts w:hint="default"/>
                <w:highlight w:val="none"/>
                <w:lang w:val="en-US"/>
              </w:rPr>
            </w:pPr>
            <w:r>
              <w:rPr>
                <w:rFonts w:hint="eastAsia" w:ascii="宋体" w:hAnsi="宋体" w:eastAsia="宋体" w:cs="宋体"/>
                <w:sz w:val="21"/>
                <w:szCs w:val="21"/>
                <w:highlight w:val="none"/>
                <w:lang w:val="en-US" w:eastAsia="zh-CN"/>
              </w:rPr>
              <w:t>1、施工方案与技术措施（10分）</w:t>
            </w:r>
          </w:p>
        </w:tc>
        <w:tc>
          <w:tcPr>
            <w:tcW w:w="3206" w:type="dxa"/>
            <w:noWrap w:val="0"/>
            <w:vAlign w:val="center"/>
          </w:tcPr>
          <w:p w14:paraId="29B74893">
            <w:pPr>
              <w:pStyle w:val="2"/>
              <w:spacing w:line="360" w:lineRule="auto"/>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zh-TW" w:eastAsia="zh-CN" w:bidi="ar-SA"/>
              </w:rPr>
              <w:t>各单位工程（和分部分项）所采用的施工方案、技术和必要的措施，既要保证工程质量和安全，又要加快施工进度。方案与施工现场结合高，对设计意图了解充分，且符合项目现场的实际情况。评审专家对其完整性、全面性、合理性等进行评审。</w:t>
            </w:r>
          </w:p>
        </w:tc>
        <w:tc>
          <w:tcPr>
            <w:tcW w:w="2244" w:type="dxa"/>
            <w:vMerge w:val="restart"/>
            <w:noWrap w:val="0"/>
            <w:vAlign w:val="center"/>
          </w:tcPr>
          <w:p w14:paraId="7A2CBE2E">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TW" w:eastAsia="zh-CN" w:bidi="ar-SA"/>
              </w:rPr>
              <w:t>方案</w:t>
            </w:r>
            <w:r>
              <w:rPr>
                <w:rFonts w:hint="eastAsia" w:ascii="宋体" w:hAnsi="宋体" w:eastAsia="宋体" w:cs="宋体"/>
                <w:kern w:val="2"/>
                <w:sz w:val="21"/>
                <w:szCs w:val="21"/>
                <w:highlight w:val="none"/>
                <w:lang w:val="en-US" w:eastAsia="zh-CN" w:bidi="ar-SA"/>
              </w:rPr>
              <w:t>完整包含以上内容且描述清晰合理，可实施性强的得</w:t>
            </w:r>
            <w:r>
              <w:rPr>
                <w:rFonts w:hint="eastAsia"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分，每有一项缺项扣</w:t>
            </w:r>
            <w:r>
              <w:rPr>
                <w:rFonts w:hint="eastAsia"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分，每有一项不足或有缺陷或内容不完整或不够详尽之处的</w:t>
            </w:r>
            <w:r>
              <w:rPr>
                <w:rFonts w:hint="eastAsia" w:hAnsi="宋体" w:cs="宋体"/>
                <w:kern w:val="2"/>
                <w:sz w:val="21"/>
                <w:szCs w:val="21"/>
                <w:highlight w:val="none"/>
                <w:lang w:val="en-US" w:eastAsia="zh-CN" w:bidi="ar-SA"/>
              </w:rPr>
              <w:t>一处</w:t>
            </w:r>
            <w:r>
              <w:rPr>
                <w:rFonts w:hint="eastAsia" w:ascii="宋体" w:hAnsi="宋体" w:eastAsia="宋体" w:cs="宋体"/>
                <w:kern w:val="2"/>
                <w:sz w:val="21"/>
                <w:szCs w:val="21"/>
                <w:highlight w:val="none"/>
                <w:lang w:val="en-US" w:eastAsia="zh-CN" w:bidi="ar-SA"/>
              </w:rPr>
              <w:t>扣</w:t>
            </w:r>
            <w:r>
              <w:rPr>
                <w:rFonts w:hint="eastAsia"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分，扣完为止。</w:t>
            </w:r>
          </w:p>
          <w:p w14:paraId="4816302B">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根据供应商提供的方案进行评审，提供相关方案，格式自定。</w:t>
            </w:r>
          </w:p>
          <w:p w14:paraId="2AA8ED98">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注：本项内容中所称的“每有一项不足或有缺陷或与本项目不符或内容不完整或不够详尽之处的或描述不清晰、不合理或可实施性差的”：</w:t>
            </w:r>
          </w:p>
          <w:p w14:paraId="247C9467">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①内容表述不完整或缺少关键分析点；</w:t>
            </w:r>
          </w:p>
          <w:p w14:paraId="281EFFEE">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②计划及措施不科学合理方案；</w:t>
            </w:r>
          </w:p>
          <w:p w14:paraId="28FAD880">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③内容表述前后矛盾、无连贯性、内容存在逻辑漏洞；</w:t>
            </w:r>
          </w:p>
          <w:p w14:paraId="5182B0F3">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④常识性错误；</w:t>
            </w:r>
          </w:p>
          <w:p w14:paraId="32C608AC">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⑤技术方案并不适用本项目特性或非专门针对本项目制定；</w:t>
            </w:r>
          </w:p>
          <w:p w14:paraId="7FF0565B">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⑥方案中提出的措施举措不利于本项目目标的实现；</w:t>
            </w:r>
          </w:p>
          <w:p w14:paraId="7F4E4E09">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⑦现有技术条件下不可能实现的目标；</w:t>
            </w:r>
          </w:p>
          <w:p w14:paraId="6868D519">
            <w:pPr>
              <w:snapToGrid w:val="0"/>
              <w:spacing w:line="360" w:lineRule="auto"/>
              <w:ind w:left="0" w:leftChars="0" w:firstLine="279" w:firstLineChars="133"/>
              <w:rPr>
                <w:rFonts w:hint="eastAsia"/>
                <w:highlight w:val="none"/>
              </w:rPr>
            </w:pPr>
            <w:r>
              <w:rPr>
                <w:rFonts w:hint="eastAsia" w:ascii="宋体" w:hAnsi="宋体" w:eastAsia="宋体" w:cs="宋体"/>
                <w:kern w:val="2"/>
                <w:sz w:val="21"/>
                <w:szCs w:val="21"/>
                <w:highlight w:val="none"/>
                <w:lang w:val="en-US" w:eastAsia="zh-CN" w:bidi="ar-SA"/>
              </w:rPr>
              <w:t>上述任意一种情形为1处“描述不够清晰或针对性不够强”。</w:t>
            </w:r>
          </w:p>
        </w:tc>
      </w:tr>
      <w:tr w14:paraId="78DB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64525CE">
            <w:pPr>
              <w:pStyle w:val="2"/>
              <w:spacing w:line="360" w:lineRule="auto"/>
              <w:ind w:firstLine="560" w:firstLineChars="200"/>
              <w:rPr>
                <w:highlight w:val="none"/>
              </w:rPr>
            </w:pPr>
          </w:p>
        </w:tc>
        <w:tc>
          <w:tcPr>
            <w:tcW w:w="1212" w:type="dxa"/>
            <w:vMerge w:val="continue"/>
            <w:noWrap w:val="0"/>
            <w:vAlign w:val="center"/>
          </w:tcPr>
          <w:p w14:paraId="63F63100">
            <w:pPr>
              <w:pStyle w:val="2"/>
              <w:spacing w:line="360" w:lineRule="auto"/>
              <w:ind w:firstLine="560" w:firstLineChars="200"/>
              <w:rPr>
                <w:highlight w:val="none"/>
              </w:rPr>
            </w:pPr>
          </w:p>
        </w:tc>
        <w:tc>
          <w:tcPr>
            <w:tcW w:w="1105" w:type="dxa"/>
            <w:vMerge w:val="continue"/>
            <w:noWrap w:val="0"/>
            <w:vAlign w:val="center"/>
          </w:tcPr>
          <w:p w14:paraId="5D04784C">
            <w:pPr>
              <w:pStyle w:val="2"/>
              <w:spacing w:line="360" w:lineRule="auto"/>
              <w:ind w:firstLine="560" w:firstLineChars="200"/>
              <w:rPr>
                <w:highlight w:val="none"/>
              </w:rPr>
            </w:pPr>
          </w:p>
        </w:tc>
        <w:tc>
          <w:tcPr>
            <w:tcW w:w="1685" w:type="dxa"/>
            <w:noWrap w:val="0"/>
            <w:vAlign w:val="center"/>
          </w:tcPr>
          <w:p w14:paraId="3D5E4EA2">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2、</w:t>
            </w:r>
            <w:r>
              <w:rPr>
                <w:rFonts w:hint="eastAsia" w:ascii="宋体" w:hAnsi="宋体" w:eastAsia="宋体" w:cs="宋体"/>
                <w:color w:val="auto"/>
                <w:kern w:val="0"/>
                <w:sz w:val="21"/>
                <w:szCs w:val="15"/>
                <w:highlight w:val="none"/>
              </w:rPr>
              <w:t>质量管理体系与措施</w:t>
            </w:r>
          </w:p>
          <w:p w14:paraId="4E5FDF33">
            <w:pPr>
              <w:keepNext w:val="0"/>
              <w:keepLines w:val="0"/>
              <w:suppressLineNumbers w:val="0"/>
              <w:tabs>
                <w:tab w:val="left" w:pos="1875"/>
              </w:tabs>
              <w:spacing w:before="0" w:beforeAutospacing="0" w:after="0" w:afterAutospacing="0" w:line="360" w:lineRule="auto"/>
              <w:ind w:left="0" w:leftChars="0" w:right="0" w:rightChars="0"/>
              <w:jc w:val="center"/>
              <w:rPr>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2726B1DE">
            <w:pPr>
              <w:keepNext w:val="0"/>
              <w:keepLines w:val="0"/>
              <w:suppressLineNumbers w:val="0"/>
              <w:spacing w:before="0" w:beforeAutospacing="0" w:after="0" w:afterAutospacing="0" w:line="360" w:lineRule="auto"/>
              <w:ind w:left="0" w:leftChars="0" w:right="0" w:rightChars="0" w:firstLine="420" w:firstLineChars="200"/>
              <w:rPr>
                <w:sz w:val="21"/>
                <w:szCs w:val="15"/>
                <w:highlight w:val="none"/>
              </w:rPr>
            </w:pPr>
            <w:r>
              <w:rPr>
                <w:rFonts w:hint="eastAsia" w:ascii="宋体" w:hAnsi="宋体" w:eastAsia="宋体" w:cs="宋体"/>
                <w:color w:val="auto"/>
                <w:sz w:val="21"/>
                <w:szCs w:val="15"/>
                <w:highlight w:val="none"/>
              </w:rPr>
              <w:t>对本项目的施工有完备的质量保证体系且质量检查监督机构健全，具有有效的质量控制措施和项目各阶段质量控制方式。评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专家对其安装、维修维护等的质量管理体系、措施合理、针对性进行评审。</w:t>
            </w:r>
          </w:p>
        </w:tc>
        <w:tc>
          <w:tcPr>
            <w:tcW w:w="2244" w:type="dxa"/>
            <w:vMerge w:val="continue"/>
            <w:noWrap w:val="0"/>
            <w:vAlign w:val="center"/>
          </w:tcPr>
          <w:p w14:paraId="4DD523AE">
            <w:pPr>
              <w:pStyle w:val="2"/>
              <w:spacing w:line="360" w:lineRule="auto"/>
              <w:ind w:firstLine="560" w:firstLineChars="200"/>
              <w:rPr>
                <w:highlight w:val="none"/>
              </w:rPr>
            </w:pPr>
          </w:p>
        </w:tc>
      </w:tr>
      <w:tr w14:paraId="53FF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2B84CB46">
            <w:pPr>
              <w:pStyle w:val="2"/>
              <w:spacing w:line="360" w:lineRule="auto"/>
              <w:ind w:firstLine="560" w:firstLineChars="200"/>
              <w:rPr>
                <w:highlight w:val="none"/>
              </w:rPr>
            </w:pPr>
          </w:p>
        </w:tc>
        <w:tc>
          <w:tcPr>
            <w:tcW w:w="1212" w:type="dxa"/>
            <w:vMerge w:val="continue"/>
            <w:noWrap w:val="0"/>
            <w:vAlign w:val="center"/>
          </w:tcPr>
          <w:p w14:paraId="47027C22">
            <w:pPr>
              <w:pStyle w:val="2"/>
              <w:spacing w:line="360" w:lineRule="auto"/>
              <w:ind w:firstLine="560" w:firstLineChars="200"/>
              <w:rPr>
                <w:highlight w:val="none"/>
              </w:rPr>
            </w:pPr>
          </w:p>
        </w:tc>
        <w:tc>
          <w:tcPr>
            <w:tcW w:w="1105" w:type="dxa"/>
            <w:vMerge w:val="continue"/>
            <w:noWrap w:val="0"/>
            <w:vAlign w:val="center"/>
          </w:tcPr>
          <w:p w14:paraId="7E9AB81F">
            <w:pPr>
              <w:pStyle w:val="2"/>
              <w:spacing w:line="360" w:lineRule="auto"/>
              <w:ind w:firstLine="560" w:firstLineChars="200"/>
              <w:rPr>
                <w:highlight w:val="none"/>
              </w:rPr>
            </w:pPr>
          </w:p>
        </w:tc>
        <w:tc>
          <w:tcPr>
            <w:tcW w:w="1685" w:type="dxa"/>
            <w:noWrap w:val="0"/>
            <w:vAlign w:val="center"/>
          </w:tcPr>
          <w:p w14:paraId="675984AD">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3、</w:t>
            </w:r>
            <w:r>
              <w:rPr>
                <w:rFonts w:hint="eastAsia" w:ascii="宋体" w:hAnsi="宋体" w:eastAsia="宋体" w:cs="宋体"/>
                <w:color w:val="auto"/>
                <w:kern w:val="0"/>
                <w:sz w:val="21"/>
                <w:szCs w:val="15"/>
                <w:highlight w:val="none"/>
              </w:rPr>
              <w:t>安全管理体系与措施</w:t>
            </w:r>
          </w:p>
          <w:p w14:paraId="433390BA">
            <w:pPr>
              <w:keepNext w:val="0"/>
              <w:keepLines w:val="0"/>
              <w:suppressLineNumbers w:val="0"/>
              <w:tabs>
                <w:tab w:val="left" w:pos="1875"/>
              </w:tabs>
              <w:spacing w:before="0" w:beforeAutospacing="0" w:after="0" w:afterAutospacing="0" w:line="360" w:lineRule="auto"/>
              <w:ind w:left="0" w:leftChars="0" w:right="0" w:rightChars="0"/>
              <w:jc w:val="center"/>
              <w:rPr>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68815871">
            <w:pPr>
              <w:keepNext w:val="0"/>
              <w:keepLines w:val="0"/>
              <w:suppressLineNumbers w:val="0"/>
              <w:spacing w:before="0" w:beforeAutospacing="0" w:after="0" w:afterAutospacing="0" w:line="360" w:lineRule="auto"/>
              <w:ind w:left="0" w:leftChars="0" w:right="0" w:rightChars="0" w:firstLine="420" w:firstLineChars="200"/>
              <w:jc w:val="left"/>
              <w:rPr>
                <w:sz w:val="21"/>
                <w:szCs w:val="15"/>
                <w:highlight w:val="none"/>
              </w:rPr>
            </w:pPr>
            <w:r>
              <w:rPr>
                <w:rFonts w:hint="eastAsia" w:ascii="宋体" w:hAnsi="宋体" w:eastAsia="宋体" w:cs="宋体"/>
                <w:color w:val="auto"/>
                <w:kern w:val="0"/>
                <w:sz w:val="21"/>
                <w:szCs w:val="16"/>
                <w:highlight w:val="none"/>
              </w:rPr>
              <w:t>施工现场有必要的安全保障体系，施工现场管理人员安全生产职责明确，施工安全保证目标明确，针对工程实施内容、周边环境和工艺，确定安全风险点并制定具体安全保护措施。评审专家对其安全管理体系健全、措施合理、应急方案保障措施进行评审。</w:t>
            </w:r>
          </w:p>
        </w:tc>
        <w:tc>
          <w:tcPr>
            <w:tcW w:w="2244" w:type="dxa"/>
            <w:vMerge w:val="continue"/>
            <w:noWrap w:val="0"/>
            <w:vAlign w:val="center"/>
          </w:tcPr>
          <w:p w14:paraId="34623DE5">
            <w:pPr>
              <w:pStyle w:val="2"/>
              <w:spacing w:line="360" w:lineRule="auto"/>
              <w:ind w:firstLine="560" w:firstLineChars="200"/>
              <w:rPr>
                <w:highlight w:val="none"/>
              </w:rPr>
            </w:pPr>
          </w:p>
        </w:tc>
      </w:tr>
      <w:tr w14:paraId="297C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76E3B0F">
            <w:pPr>
              <w:pStyle w:val="2"/>
              <w:spacing w:line="360" w:lineRule="auto"/>
              <w:ind w:firstLine="560" w:firstLineChars="200"/>
              <w:rPr>
                <w:highlight w:val="none"/>
              </w:rPr>
            </w:pPr>
          </w:p>
        </w:tc>
        <w:tc>
          <w:tcPr>
            <w:tcW w:w="1212" w:type="dxa"/>
            <w:vMerge w:val="continue"/>
            <w:noWrap w:val="0"/>
            <w:vAlign w:val="center"/>
          </w:tcPr>
          <w:p w14:paraId="6983C75C">
            <w:pPr>
              <w:pStyle w:val="2"/>
              <w:spacing w:line="360" w:lineRule="auto"/>
              <w:ind w:firstLine="560" w:firstLineChars="200"/>
              <w:rPr>
                <w:highlight w:val="none"/>
              </w:rPr>
            </w:pPr>
          </w:p>
        </w:tc>
        <w:tc>
          <w:tcPr>
            <w:tcW w:w="1105" w:type="dxa"/>
            <w:vMerge w:val="continue"/>
            <w:noWrap w:val="0"/>
            <w:vAlign w:val="center"/>
          </w:tcPr>
          <w:p w14:paraId="60A45213">
            <w:pPr>
              <w:pStyle w:val="2"/>
              <w:spacing w:line="360" w:lineRule="auto"/>
              <w:ind w:firstLine="560" w:firstLineChars="200"/>
              <w:rPr>
                <w:highlight w:val="none"/>
              </w:rPr>
            </w:pPr>
          </w:p>
        </w:tc>
        <w:tc>
          <w:tcPr>
            <w:tcW w:w="1685" w:type="dxa"/>
            <w:noWrap w:val="0"/>
            <w:vAlign w:val="center"/>
          </w:tcPr>
          <w:p w14:paraId="0BD539CF">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4、</w:t>
            </w:r>
            <w:r>
              <w:rPr>
                <w:rFonts w:hint="eastAsia" w:ascii="宋体" w:hAnsi="宋体" w:eastAsia="宋体" w:cs="宋体"/>
                <w:color w:val="auto"/>
                <w:kern w:val="0"/>
                <w:sz w:val="21"/>
                <w:szCs w:val="15"/>
                <w:highlight w:val="none"/>
              </w:rPr>
              <w:t>工程进度计划与措施</w:t>
            </w:r>
          </w:p>
          <w:p w14:paraId="2EF5E0E1">
            <w:pPr>
              <w:keepNext w:val="0"/>
              <w:keepLines w:val="0"/>
              <w:suppressLineNumbers w:val="0"/>
              <w:tabs>
                <w:tab w:val="left" w:pos="1875"/>
              </w:tabs>
              <w:spacing w:before="0" w:beforeAutospacing="0" w:after="0" w:afterAutospacing="0" w:line="360" w:lineRule="auto"/>
              <w:ind w:left="0" w:leftChars="0" w:right="0" w:rightChars="0"/>
              <w:jc w:val="center"/>
              <w:rPr>
                <w:rFonts w:hint="eastAsia" w:ascii="宋体" w:hAnsi="宋体" w:eastAsia="宋体" w:cs="宋体"/>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772BF40E">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s="宋体"/>
                <w:sz w:val="21"/>
                <w:szCs w:val="15"/>
                <w:highlight w:val="none"/>
              </w:rPr>
            </w:pPr>
            <w:r>
              <w:rPr>
                <w:rFonts w:hint="eastAsia" w:ascii="宋体" w:hAnsi="宋体" w:eastAsia="宋体" w:cs="宋体"/>
                <w:color w:val="auto"/>
                <w:sz w:val="21"/>
                <w:szCs w:val="15"/>
                <w:highlight w:val="none"/>
              </w:rPr>
              <w:t>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专家对施工方案中进度计划和控制性工期是否满足</w:t>
            </w:r>
            <w:r>
              <w:rPr>
                <w:rFonts w:hint="eastAsia" w:ascii="宋体" w:hAnsi="宋体" w:eastAsia="宋体" w:cs="宋体"/>
                <w:color w:val="auto"/>
                <w:sz w:val="21"/>
                <w:szCs w:val="15"/>
                <w:highlight w:val="none"/>
                <w:lang w:val="en-US" w:eastAsia="zh-CN"/>
              </w:rPr>
              <w:t>竞采</w:t>
            </w:r>
            <w:r>
              <w:rPr>
                <w:rFonts w:hint="eastAsia" w:ascii="宋体" w:hAnsi="宋体" w:eastAsia="宋体" w:cs="宋体"/>
                <w:color w:val="auto"/>
                <w:sz w:val="21"/>
                <w:szCs w:val="15"/>
                <w:highlight w:val="none"/>
                <w:lang w:eastAsia="zh-CN"/>
              </w:rPr>
              <w:t>文件</w:t>
            </w:r>
            <w:r>
              <w:rPr>
                <w:rFonts w:hint="eastAsia" w:ascii="宋体" w:hAnsi="宋体" w:eastAsia="宋体" w:cs="宋体"/>
                <w:color w:val="auto"/>
                <w:sz w:val="21"/>
                <w:szCs w:val="15"/>
                <w:highlight w:val="none"/>
              </w:rPr>
              <w:t>要求，各关键节点的工期是否切实可行，保证工期的措施是否可行。施工总体进度计划（含网络图）是否合理，控制点是否符合施工合同节点工期，进度补救措施是否可行，是否保证在</w:t>
            </w:r>
            <w:r>
              <w:rPr>
                <w:rFonts w:hint="eastAsia" w:ascii="宋体" w:hAnsi="宋体" w:eastAsia="宋体" w:cs="宋体"/>
                <w:color w:val="auto"/>
                <w:sz w:val="21"/>
                <w:szCs w:val="15"/>
                <w:highlight w:val="none"/>
                <w:lang w:val="en-US" w:eastAsia="zh-CN"/>
              </w:rPr>
              <w:t>采购</w:t>
            </w:r>
            <w:r>
              <w:rPr>
                <w:rFonts w:hint="eastAsia" w:ascii="宋体" w:hAnsi="宋体" w:eastAsia="宋体" w:cs="宋体"/>
                <w:color w:val="auto"/>
                <w:sz w:val="21"/>
                <w:szCs w:val="15"/>
                <w:highlight w:val="none"/>
                <w:lang w:eastAsia="zh-CN"/>
              </w:rPr>
              <w:t>人</w:t>
            </w:r>
            <w:r>
              <w:rPr>
                <w:rFonts w:hint="eastAsia" w:ascii="宋体" w:hAnsi="宋体" w:eastAsia="宋体" w:cs="宋体"/>
                <w:color w:val="auto"/>
                <w:sz w:val="21"/>
                <w:szCs w:val="15"/>
                <w:highlight w:val="none"/>
              </w:rPr>
              <w:t>规定的工期内完成。是否制定可行的赶工措施。</w:t>
            </w:r>
          </w:p>
        </w:tc>
        <w:tc>
          <w:tcPr>
            <w:tcW w:w="2244" w:type="dxa"/>
            <w:vMerge w:val="continue"/>
            <w:noWrap w:val="0"/>
            <w:vAlign w:val="center"/>
          </w:tcPr>
          <w:p w14:paraId="785A174E">
            <w:pPr>
              <w:pStyle w:val="2"/>
              <w:spacing w:line="360" w:lineRule="auto"/>
              <w:ind w:firstLine="560" w:firstLineChars="200"/>
              <w:rPr>
                <w:highlight w:val="none"/>
              </w:rPr>
            </w:pPr>
          </w:p>
        </w:tc>
      </w:tr>
      <w:tr w14:paraId="51E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67024AC">
            <w:pPr>
              <w:pStyle w:val="2"/>
              <w:spacing w:line="360" w:lineRule="auto"/>
              <w:ind w:firstLine="560" w:firstLineChars="200"/>
              <w:rPr>
                <w:highlight w:val="none"/>
              </w:rPr>
            </w:pPr>
          </w:p>
        </w:tc>
        <w:tc>
          <w:tcPr>
            <w:tcW w:w="1212" w:type="dxa"/>
            <w:vMerge w:val="continue"/>
            <w:noWrap w:val="0"/>
            <w:vAlign w:val="center"/>
          </w:tcPr>
          <w:p w14:paraId="18609A94">
            <w:pPr>
              <w:pStyle w:val="2"/>
              <w:spacing w:line="360" w:lineRule="auto"/>
              <w:ind w:firstLine="560" w:firstLineChars="200"/>
              <w:rPr>
                <w:highlight w:val="none"/>
              </w:rPr>
            </w:pPr>
          </w:p>
        </w:tc>
        <w:tc>
          <w:tcPr>
            <w:tcW w:w="1105" w:type="dxa"/>
            <w:vMerge w:val="continue"/>
            <w:noWrap w:val="0"/>
            <w:vAlign w:val="center"/>
          </w:tcPr>
          <w:p w14:paraId="50CB7918">
            <w:pPr>
              <w:pStyle w:val="2"/>
              <w:spacing w:line="360" w:lineRule="auto"/>
              <w:ind w:firstLine="560" w:firstLineChars="200"/>
              <w:rPr>
                <w:highlight w:val="none"/>
              </w:rPr>
            </w:pPr>
          </w:p>
        </w:tc>
        <w:tc>
          <w:tcPr>
            <w:tcW w:w="1685" w:type="dxa"/>
            <w:noWrap w:val="0"/>
            <w:vAlign w:val="center"/>
          </w:tcPr>
          <w:p w14:paraId="4A61A36D">
            <w:pPr>
              <w:pStyle w:val="2"/>
              <w:numPr>
                <w:ilvl w:val="0"/>
                <w:numId w:val="0"/>
              </w:num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lang w:val="en-US" w:eastAsia="zh-CN"/>
              </w:rPr>
              <w:t>责任缺陷期质保方案</w:t>
            </w:r>
          </w:p>
          <w:p w14:paraId="422231CE">
            <w:pPr>
              <w:pStyle w:val="2"/>
              <w:numPr>
                <w:ilvl w:val="0"/>
                <w:numId w:val="0"/>
              </w:numPr>
              <w:spacing w:line="360" w:lineRule="auto"/>
              <w:jc w:val="center"/>
              <w:rPr>
                <w:highlight w:val="none"/>
              </w:rPr>
            </w:pPr>
            <w:r>
              <w:rPr>
                <w:rFonts w:hint="eastAsia" w:ascii="宋体" w:hAnsi="宋体" w:eastAsia="宋体" w:cs="宋体"/>
                <w:sz w:val="21"/>
                <w:szCs w:val="21"/>
                <w:highlight w:val="none"/>
                <w:lang w:val="en-US" w:eastAsia="zh-CN"/>
              </w:rPr>
              <w:t>（10分）</w:t>
            </w:r>
          </w:p>
        </w:tc>
        <w:tc>
          <w:tcPr>
            <w:tcW w:w="3206" w:type="dxa"/>
            <w:noWrap w:val="0"/>
            <w:vAlign w:val="center"/>
          </w:tcPr>
          <w:p w14:paraId="48C61B6D">
            <w:pPr>
              <w:pStyle w:val="2"/>
              <w:spacing w:line="360" w:lineRule="auto"/>
              <w:ind w:firstLine="420" w:firstLineChars="200"/>
              <w:rPr>
                <w:highlight w:val="none"/>
              </w:rPr>
            </w:pPr>
            <w:r>
              <w:rPr>
                <w:rFonts w:hint="eastAsia" w:ascii="宋体" w:hAnsi="宋体" w:eastAsia="宋体" w:cs="宋体"/>
                <w:color w:val="auto"/>
                <w:sz w:val="21"/>
                <w:szCs w:val="15"/>
                <w:highlight w:val="none"/>
              </w:rPr>
              <w:t>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w:t>
            </w:r>
            <w:r>
              <w:rPr>
                <w:rFonts w:hint="eastAsia" w:ascii="宋体" w:hAnsi="宋体" w:eastAsia="宋体" w:cs="宋体"/>
                <w:sz w:val="21"/>
                <w:szCs w:val="21"/>
                <w:highlight w:val="none"/>
                <w:lang w:val="en-US" w:eastAsia="zh-CN"/>
              </w:rPr>
              <w:t>责任缺陷期质保方案中是否</w:t>
            </w:r>
            <w:r>
              <w:rPr>
                <w:rFonts w:hint="eastAsia" w:ascii="宋体" w:hAnsi="宋体" w:eastAsia="宋体" w:cs="宋体"/>
                <w:color w:val="auto"/>
                <w:sz w:val="21"/>
                <w:szCs w:val="15"/>
                <w:highlight w:val="none"/>
              </w:rPr>
              <w:t>满足</w:t>
            </w:r>
            <w:r>
              <w:rPr>
                <w:rFonts w:hint="eastAsia" w:ascii="宋体" w:hAnsi="宋体" w:eastAsia="宋体" w:cs="宋体"/>
                <w:color w:val="auto"/>
                <w:sz w:val="21"/>
                <w:szCs w:val="15"/>
                <w:highlight w:val="none"/>
                <w:lang w:val="en-US" w:eastAsia="zh-CN"/>
              </w:rPr>
              <w:t>竞采</w:t>
            </w:r>
            <w:r>
              <w:rPr>
                <w:rFonts w:hint="eastAsia" w:ascii="宋体" w:hAnsi="宋体" w:eastAsia="宋体" w:cs="宋体"/>
                <w:color w:val="auto"/>
                <w:sz w:val="21"/>
                <w:szCs w:val="15"/>
                <w:highlight w:val="none"/>
                <w:lang w:eastAsia="zh-CN"/>
              </w:rPr>
              <w:t>文件</w:t>
            </w:r>
            <w:r>
              <w:rPr>
                <w:rFonts w:hint="eastAsia" w:ascii="宋体" w:hAnsi="宋体" w:eastAsia="宋体" w:cs="宋体"/>
                <w:color w:val="auto"/>
                <w:sz w:val="21"/>
                <w:szCs w:val="15"/>
                <w:highlight w:val="none"/>
              </w:rPr>
              <w:t>要求</w:t>
            </w:r>
            <w:r>
              <w:rPr>
                <w:rFonts w:hint="eastAsia" w:ascii="宋体" w:hAnsi="宋体" w:eastAsia="宋体" w:cs="宋体"/>
                <w:sz w:val="21"/>
                <w:szCs w:val="21"/>
                <w:highlight w:val="none"/>
                <w:lang w:val="en-US" w:eastAsia="zh-CN"/>
              </w:rPr>
              <w:t>，责任缺陷期服务机制及分工是否合理；责任缺陷期更换、维修质量措施</w:t>
            </w:r>
            <w:r>
              <w:rPr>
                <w:rFonts w:hint="eastAsia" w:ascii="宋体" w:hAnsi="宋体" w:eastAsia="宋体" w:cs="宋体"/>
                <w:color w:val="auto"/>
                <w:sz w:val="21"/>
                <w:szCs w:val="15"/>
                <w:highlight w:val="none"/>
              </w:rPr>
              <w:t>是否</w:t>
            </w:r>
            <w:r>
              <w:rPr>
                <w:rFonts w:hint="eastAsia" w:ascii="宋体" w:hAnsi="宋体" w:eastAsia="宋体" w:cs="宋体"/>
                <w:color w:val="auto"/>
                <w:sz w:val="21"/>
                <w:szCs w:val="15"/>
                <w:highlight w:val="none"/>
                <w:lang w:val="en-US" w:eastAsia="zh-CN"/>
              </w:rPr>
              <w:t>符合本项目需求</w:t>
            </w:r>
            <w:r>
              <w:rPr>
                <w:rFonts w:hint="eastAsia" w:ascii="宋体" w:hAnsi="宋体" w:eastAsia="宋体" w:cs="宋体"/>
                <w:sz w:val="21"/>
                <w:szCs w:val="21"/>
                <w:highlight w:val="none"/>
                <w:lang w:val="en-US" w:eastAsia="zh-CN"/>
              </w:rPr>
              <w:t>；响应时间及服务承诺是否可行。</w:t>
            </w:r>
          </w:p>
        </w:tc>
        <w:tc>
          <w:tcPr>
            <w:tcW w:w="2244" w:type="dxa"/>
            <w:vMerge w:val="continue"/>
            <w:noWrap w:val="0"/>
            <w:vAlign w:val="center"/>
          </w:tcPr>
          <w:p w14:paraId="212A9283">
            <w:pPr>
              <w:pStyle w:val="2"/>
              <w:spacing w:line="360" w:lineRule="auto"/>
              <w:ind w:firstLine="560" w:firstLineChars="200"/>
              <w:rPr>
                <w:highlight w:val="none"/>
              </w:rPr>
            </w:pPr>
          </w:p>
        </w:tc>
      </w:tr>
      <w:tr w14:paraId="47B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78" w:type="dxa"/>
            <w:noWrap w:val="0"/>
            <w:vAlign w:val="center"/>
          </w:tcPr>
          <w:p w14:paraId="678F9FCB">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212" w:type="dxa"/>
            <w:noWrap w:val="0"/>
            <w:vAlign w:val="center"/>
          </w:tcPr>
          <w:p w14:paraId="04FE349C">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商务部分</w:t>
            </w:r>
          </w:p>
          <w:p w14:paraId="0D784611">
            <w:pPr>
              <w:snapToGrid w:val="0"/>
              <w:spacing w:line="360" w:lineRule="auto"/>
              <w:rPr>
                <w:rFonts w:hint="default"/>
                <w:highlight w:val="none"/>
                <w:lang w:val="en-US" w:eastAsia="zh-CN"/>
              </w:rPr>
            </w:pPr>
            <w:r>
              <w:rPr>
                <w:rFonts w:hint="eastAsia" w:ascii="宋体" w:hAnsi="宋体" w:eastAsia="宋体" w:cs="宋体"/>
                <w:sz w:val="21"/>
                <w:szCs w:val="21"/>
                <w:highlight w:val="none"/>
                <w:lang w:val="en-US" w:eastAsia="zh-CN"/>
              </w:rPr>
              <w:t>（10%）</w:t>
            </w:r>
          </w:p>
        </w:tc>
        <w:tc>
          <w:tcPr>
            <w:tcW w:w="1105" w:type="dxa"/>
            <w:noWrap w:val="0"/>
            <w:vAlign w:val="center"/>
          </w:tcPr>
          <w:p w14:paraId="49704C72">
            <w:pPr>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业绩</w:t>
            </w:r>
          </w:p>
          <w:p w14:paraId="29389F9C">
            <w:pPr>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（10分）</w:t>
            </w:r>
          </w:p>
        </w:tc>
        <w:tc>
          <w:tcPr>
            <w:tcW w:w="4891" w:type="dxa"/>
            <w:gridSpan w:val="2"/>
            <w:noWrap w:val="0"/>
            <w:vAlign w:val="center"/>
          </w:tcPr>
          <w:p w14:paraId="0F79E1C4">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2"/>
                <w:sz w:val="21"/>
                <w:szCs w:val="21"/>
                <w:highlight w:val="none"/>
                <w:lang w:val="zh-TW" w:eastAsia="zh-CN" w:bidi="ar-SA"/>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供应商具有自2021年1月1日起提供过类似服务的业绩，每提供1份合同得5分，最高得10分。</w:t>
            </w:r>
          </w:p>
        </w:tc>
        <w:tc>
          <w:tcPr>
            <w:tcW w:w="2244" w:type="dxa"/>
            <w:noWrap w:val="0"/>
            <w:vAlign w:val="center"/>
          </w:tcPr>
          <w:p w14:paraId="3B1E649C">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完整</w:t>
            </w:r>
            <w:r>
              <w:rPr>
                <w:rFonts w:hint="eastAsia" w:ascii="宋体" w:hAnsi="宋体" w:eastAsia="宋体" w:cs="宋体"/>
                <w:color w:val="auto"/>
                <w:sz w:val="21"/>
                <w:szCs w:val="21"/>
                <w:highlight w:val="none"/>
                <w:lang w:val="en-US" w:eastAsia="zh-CN"/>
              </w:rPr>
              <w:t>合同文件扫描件并加盖供应商公章，原件</w:t>
            </w:r>
            <w:r>
              <w:rPr>
                <w:rFonts w:hint="eastAsia" w:ascii="宋体" w:hAnsi="宋体" w:cs="宋体"/>
                <w:color w:val="auto"/>
                <w:sz w:val="21"/>
                <w:szCs w:val="21"/>
                <w:highlight w:val="none"/>
                <w:lang w:val="en-US" w:eastAsia="zh-CN"/>
              </w:rPr>
              <w:t>备查</w:t>
            </w:r>
            <w:r>
              <w:rPr>
                <w:rFonts w:hint="eastAsia" w:ascii="宋体" w:hAnsi="宋体" w:eastAsia="宋体" w:cs="宋体"/>
                <w:color w:val="auto"/>
                <w:sz w:val="21"/>
                <w:szCs w:val="21"/>
                <w:highlight w:val="none"/>
                <w:lang w:val="en-US" w:eastAsia="zh-CN"/>
              </w:rPr>
              <w:t>。</w:t>
            </w:r>
          </w:p>
        </w:tc>
      </w:tr>
    </w:tbl>
    <w:p w14:paraId="4E985718">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.异常低价：参照《关于推动解决政府采购异常低价问题的通知》规定，评审中出现下列情形之一的，竞采小组应当启动异常低价投标(响应)审查程序：</w:t>
      </w:r>
    </w:p>
    <w:p w14:paraId="45521F3E">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.1投标（响应）报价低于全部通过符合性审查供应商投标(响应)报价平均值65%的，即投标(响应)报价&lt;全部通过符合性审查供应商投标(响应)报价平均值×65%;</w:t>
      </w:r>
    </w:p>
    <w:p w14:paraId="1A59BD0A">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.2投标（响应）报价低于通过符合性审查的次低报价供应商投标(响应)报价</w:t>
      </w:r>
      <w:r>
        <w:rPr>
          <w:rFonts w:hint="eastAsia" w:ascii="宋体" w:hAnsi="宋体" w:cs="宋体"/>
          <w:b w:val="0"/>
          <w:bCs w:val="0"/>
          <w:sz w:val="21"/>
          <w:szCs w:val="21"/>
          <w:highlight w:val="none"/>
          <w:lang w:val="en-US" w:eastAsia="zh-CN"/>
        </w:rPr>
        <w:t>65</w:t>
      </w:r>
      <w:r>
        <w:rPr>
          <w:rFonts w:hint="eastAsia" w:ascii="宋体" w:hAnsi="宋体" w:eastAsia="宋体" w:cs="宋体"/>
          <w:b w:val="0"/>
          <w:bCs w:val="0"/>
          <w:sz w:val="21"/>
          <w:szCs w:val="21"/>
          <w:highlight w:val="none"/>
        </w:rPr>
        <w:t>%的，即投标(响应)报价&lt;通过符合性审查的次低报价供应商投标(响应)报价×65%;</w:t>
      </w:r>
    </w:p>
    <w:p w14:paraId="0B88E423">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.3投标（响应）报价低于采购项目最高限价65%的，即投标(响应)报价&lt;采购项目最高限价×65%;</w:t>
      </w:r>
    </w:p>
    <w:p w14:paraId="36962752">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.4评审委员会基于专业判断，认为供应商报价过低，有可能影响产品质量或者不能诚信履约的其他情形。</w:t>
      </w:r>
    </w:p>
    <w:p w14:paraId="396F5466">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供应商投标报价低于以上标准的，须在响应文件中提供“投标报价合理性说明”</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并</w:t>
      </w:r>
      <w:r>
        <w:rPr>
          <w:rFonts w:hint="eastAsia" w:ascii="宋体" w:hAnsi="宋体" w:eastAsia="宋体" w:cs="宋体"/>
          <w:b w:val="0"/>
          <w:bCs w:val="0"/>
          <w:sz w:val="21"/>
          <w:szCs w:val="21"/>
          <w:highlight w:val="none"/>
        </w:rPr>
        <w:t>提交实质性的证明材料；供应商</w:t>
      </w:r>
      <w:r>
        <w:rPr>
          <w:rFonts w:hint="eastAsia" w:ascii="宋体" w:hAnsi="宋体" w:eastAsia="宋体" w:cs="宋体"/>
          <w:b w:val="0"/>
          <w:bCs w:val="0"/>
          <w:sz w:val="21"/>
          <w:szCs w:val="21"/>
          <w:highlight w:val="none"/>
        </w:rPr>
        <w:t>“投标报价合理性说明”</w:t>
      </w:r>
      <w:r>
        <w:rPr>
          <w:rFonts w:hint="eastAsia" w:ascii="宋体" w:hAnsi="宋体" w:eastAsia="宋体" w:cs="宋体"/>
          <w:b w:val="0"/>
          <w:bCs w:val="0"/>
          <w:sz w:val="21"/>
          <w:szCs w:val="21"/>
          <w:highlight w:val="none"/>
          <w:lang w:val="en-US" w:eastAsia="zh-CN"/>
        </w:rPr>
        <w:t>未提交</w:t>
      </w:r>
      <w:r>
        <w:rPr>
          <w:rFonts w:hint="eastAsia" w:ascii="宋体" w:hAnsi="宋体" w:eastAsia="宋体" w:cs="宋体"/>
          <w:b w:val="0"/>
          <w:bCs w:val="0"/>
          <w:sz w:val="21"/>
          <w:szCs w:val="21"/>
          <w:highlight w:val="none"/>
        </w:rPr>
        <w:t>实质性的证明材料</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sz w:val="21"/>
          <w:szCs w:val="21"/>
          <w:highlight w:val="none"/>
        </w:rPr>
        <w:t>不能证明其报价合理性的，竞采小组应当将其作为无效响应处理。供应商不得以提供下列事由证明其报价合理性:</w:t>
      </w:r>
    </w:p>
    <w:p w14:paraId="7F059E33">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（1）亏本让利(包含但不限于:</w:t>
      </w:r>
      <w:r>
        <w:rPr>
          <w:rFonts w:hint="eastAsia" w:ascii="微软雅黑" w:hAnsi="微软雅黑" w:eastAsia="微软雅黑" w:cs="微软雅黑"/>
          <w:b w:val="0"/>
          <w:bCs w:val="0"/>
          <w:sz w:val="21"/>
          <w:szCs w:val="21"/>
          <w:highlight w:val="none"/>
        </w:rPr>
        <w:t>①</w:t>
      </w:r>
      <w:r>
        <w:rPr>
          <w:rFonts w:hint="eastAsia" w:ascii="宋体" w:hAnsi="宋体" w:eastAsia="宋体" w:cs="宋体"/>
          <w:b w:val="0"/>
          <w:bCs w:val="0"/>
          <w:sz w:val="21"/>
          <w:szCs w:val="21"/>
          <w:highlight w:val="none"/>
        </w:rPr>
        <w:t>供应商自身亏本让利；</w:t>
      </w:r>
      <w:r>
        <w:rPr>
          <w:rFonts w:hint="eastAsia" w:ascii="微软雅黑" w:hAnsi="微软雅黑" w:eastAsia="微软雅黑" w:cs="微软雅黑"/>
          <w:b w:val="0"/>
          <w:bCs w:val="0"/>
          <w:sz w:val="21"/>
          <w:szCs w:val="21"/>
          <w:highlight w:val="none"/>
        </w:rPr>
        <w:t>②</w:t>
      </w:r>
      <w:r>
        <w:rPr>
          <w:rFonts w:hint="eastAsia" w:ascii="宋体" w:hAnsi="宋体" w:eastAsia="宋体" w:cs="宋体"/>
          <w:b w:val="0"/>
          <w:bCs w:val="0"/>
          <w:sz w:val="21"/>
          <w:szCs w:val="21"/>
          <w:highlight w:val="none"/>
        </w:rPr>
        <w:t>供应商与第三方服务商或供应商签定的服务或材料设备协议约定亏本让利或低于成本价或明显低于市场价的；</w:t>
      </w:r>
      <w:r>
        <w:rPr>
          <w:rFonts w:hint="eastAsia" w:ascii="微软雅黑" w:hAnsi="微软雅黑" w:eastAsia="微软雅黑" w:cs="微软雅黑"/>
          <w:b w:val="0"/>
          <w:bCs w:val="0"/>
          <w:sz w:val="21"/>
          <w:szCs w:val="21"/>
          <w:highlight w:val="none"/>
        </w:rPr>
        <w:t>③</w:t>
      </w:r>
      <w:r>
        <w:rPr>
          <w:rFonts w:hint="eastAsia" w:ascii="宋体" w:hAnsi="宋体" w:eastAsia="宋体" w:cs="宋体"/>
          <w:b w:val="0"/>
          <w:bCs w:val="0"/>
          <w:sz w:val="21"/>
          <w:szCs w:val="21"/>
          <w:highlight w:val="none"/>
        </w:rPr>
        <w:t>自有闲置设备、货物、自有劳务人员低价占领市场等理由进行解释。)</w:t>
      </w:r>
    </w:p>
    <w:p w14:paraId="1592FFDE">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（2）企业市场拓展或者品牌宣传；</w:t>
      </w:r>
    </w:p>
    <w:p w14:paraId="436EAC82">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（3）降低或者改变原服务内容、服务标准、服务时间、售后标准；</w:t>
      </w:r>
    </w:p>
    <w:p w14:paraId="07DCCE4C">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（4）为取得类似项目业绩；</w:t>
      </w:r>
    </w:p>
    <w:p w14:paraId="72928F7F">
      <w:pPr>
        <w:snapToGrid w:val="0"/>
        <w:spacing w:before="159" w:beforeLines="50" w:beforeAutospacing="0" w:after="159" w:afterLines="50" w:afterAutospacing="0" w:line="400" w:lineRule="exact"/>
        <w:ind w:firstLine="420" w:firstLineChars="200"/>
        <w:outlineLvl w:val="9"/>
        <w:rPr>
          <w:rFonts w:hint="eastAsia" w:ascii="宋体" w:hAnsi="宋体" w:cs="宋体"/>
          <w:b/>
          <w:bCs/>
          <w:sz w:val="24"/>
          <w:szCs w:val="24"/>
          <w:highlight w:val="none"/>
        </w:rPr>
      </w:pPr>
      <w:r>
        <w:rPr>
          <w:rFonts w:hint="eastAsia" w:ascii="宋体" w:hAnsi="宋体" w:eastAsia="宋体" w:cs="宋体"/>
          <w:b w:val="0"/>
          <w:bCs w:val="0"/>
          <w:sz w:val="21"/>
          <w:szCs w:val="21"/>
          <w:highlight w:val="none"/>
        </w:rPr>
        <w:t>（5）评审小组认为其他不具有实质性的内容的事由。</w:t>
      </w:r>
    </w:p>
    <w:bookmarkEnd w:id="97"/>
    <w:p w14:paraId="0B80B49D">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三、无效报价</w:t>
      </w:r>
    </w:p>
    <w:p w14:paraId="62E52139">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供应商发生以下条款情况之一者，视为无效报价：</w:t>
      </w:r>
    </w:p>
    <w:p w14:paraId="0EA75E62">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（一）供应商不符合规定的资格条件的；</w:t>
      </w:r>
    </w:p>
    <w:p w14:paraId="2ABD33EB">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（二）供应商未通过实质性响应审查的；</w:t>
      </w:r>
    </w:p>
    <w:p w14:paraId="33669FD1">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（三）供应商所提交的响应文件未按“第七篇响应文件格式要求”要求签署或盖章的；</w:t>
      </w:r>
    </w:p>
    <w:p w14:paraId="5418CAB8">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（四）供应商的报价超过采购预算或最高限价的；</w:t>
      </w:r>
    </w:p>
    <w:p w14:paraId="03837669">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（五）供应商不接受评审小组修正后的价格的；</w:t>
      </w:r>
    </w:p>
    <w:p w14:paraId="40CDEAA1">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（六）单位负责人为同一人或者存在直接控股、管理关系的不同供应商，</w:t>
      </w:r>
      <w:r>
        <w:rPr>
          <w:rFonts w:hint="eastAsia" w:ascii="宋体" w:hAnsi="宋体" w:eastAsia="宋体" w:cs="宋体"/>
          <w:sz w:val="21"/>
          <w:szCs w:val="21"/>
          <w:highlight w:val="none"/>
          <w:lang w:val="en-US" w:eastAsia="zh-CN"/>
        </w:rPr>
        <w:t>有其他关联关系的，</w:t>
      </w:r>
      <w:r>
        <w:rPr>
          <w:rFonts w:hint="eastAsia" w:ascii="宋体" w:hAnsi="宋体" w:eastAsia="宋体" w:cs="宋体"/>
          <w:sz w:val="21"/>
          <w:szCs w:val="21"/>
          <w:highlight w:val="none"/>
        </w:rPr>
        <w:t>参加同一合同项（包）报价的；</w:t>
      </w:r>
    </w:p>
    <w:p w14:paraId="518BA45B">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（七）为采购项目提供整体设计、规范编制或者项目管理、监理、检测等服务的供应商再参加该采购项目的其他采购活动的；</w:t>
      </w:r>
    </w:p>
    <w:p w14:paraId="1FE57AC2">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（八）同一合同项（包）下的货物，制造商参与报价，再委托代理商参与报价的；</w:t>
      </w:r>
    </w:p>
    <w:p w14:paraId="5FC6F2F6">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（九）供应商响应文件内容有与国家现行法律法规相违背的内容，或附有采购人无法接受条件的；</w:t>
      </w:r>
    </w:p>
    <w:p w14:paraId="6F3AEE55">
      <w:pPr>
        <w:pStyle w:val="15"/>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（十）法律、法规和竞采文件规定的其他无效情形。</w:t>
      </w:r>
    </w:p>
    <w:p w14:paraId="75BDD64A">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四、采购终止</w:t>
      </w:r>
    </w:p>
    <w:p w14:paraId="74138582">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出现下列情形之一的，采购人或者采购代理机构应当终止竞采采购活动，发布项目终止公告并说明原因，重新开展采购活动：</w:t>
      </w:r>
    </w:p>
    <w:p w14:paraId="5C3289B2">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（一）因情况变化，不再符合规定的竞采采购方式适用情形的；</w:t>
      </w:r>
    </w:p>
    <w:p w14:paraId="0A1DFEE7">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（二）出现影响采购公正的违法、违规行为的；</w:t>
      </w:r>
    </w:p>
    <w:p w14:paraId="209ABFC0">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（三）在采购过程中符合竞争要求的供应商或者报价未超过采购预算的供应商不足3家的。</w:t>
      </w:r>
    </w:p>
    <w:p w14:paraId="4B4EA7B0">
      <w:pPr>
        <w:snapToGrid w:val="0"/>
        <w:spacing w:line="400" w:lineRule="exact"/>
        <w:ind w:firstLine="420" w:firstLineChars="200"/>
        <w:rPr>
          <w:rFonts w:ascii="宋体" w:hAnsi="宋体" w:cs="宋体"/>
          <w:sz w:val="21"/>
          <w:szCs w:val="21"/>
          <w:highlight w:val="none"/>
        </w:rPr>
      </w:pPr>
    </w:p>
    <w:p w14:paraId="4C2BBF95">
      <w:pPr>
        <w:jc w:val="center"/>
        <w:rPr>
          <w:rFonts w:ascii="宋体" w:hAnsi="宋体" w:cs="宋体"/>
          <w:sz w:val="22"/>
          <w:szCs w:val="22"/>
          <w:highlight w:val="none"/>
        </w:rPr>
      </w:pPr>
      <w:r>
        <w:rPr>
          <w:rFonts w:hint="eastAsia" w:ascii="宋体" w:hAnsi="宋体" w:cs="宋体"/>
          <w:sz w:val="22"/>
          <w:szCs w:val="22"/>
          <w:highlight w:val="none"/>
        </w:rPr>
        <w:br w:type="page"/>
      </w:r>
    </w:p>
    <w:p w14:paraId="1C806920">
      <w:pPr>
        <w:pStyle w:val="3"/>
        <w:pageBreakBefore/>
        <w:snapToGrid w:val="0"/>
        <w:spacing w:before="0" w:after="0" w:afterAutospacing="0" w:line="360" w:lineRule="auto"/>
        <w:jc w:val="center"/>
        <w:outlineLvl w:val="0"/>
        <w:rPr>
          <w:rFonts w:ascii="宋体" w:hAnsi="宋体" w:eastAsia="宋体" w:cs="宋体"/>
          <w:b/>
          <w:bCs/>
          <w:sz w:val="36"/>
          <w:szCs w:val="30"/>
          <w:highlight w:val="none"/>
        </w:rPr>
      </w:pPr>
      <w:bookmarkStart w:id="100" w:name="_Toc19218"/>
      <w:r>
        <w:rPr>
          <w:rFonts w:hint="eastAsia" w:ascii="宋体" w:hAnsi="宋体" w:eastAsia="宋体" w:cs="宋体"/>
          <w:b/>
          <w:bCs/>
          <w:sz w:val="36"/>
          <w:szCs w:val="30"/>
          <w:highlight w:val="none"/>
        </w:rPr>
        <w:t>第五篇  供应商须知</w:t>
      </w:r>
      <w:bookmarkEnd w:id="100"/>
    </w:p>
    <w:bookmarkEnd w:id="72"/>
    <w:bookmarkEnd w:id="98"/>
    <w:bookmarkEnd w:id="99"/>
    <w:p w14:paraId="638C6221">
      <w:pPr>
        <w:snapToGrid w:val="0"/>
        <w:spacing w:beforeLines="50" w:afterLines="50" w:line="360" w:lineRule="auto"/>
        <w:outlineLvl w:val="1"/>
        <w:rPr>
          <w:rFonts w:hint="eastAsia" w:ascii="宋体" w:hAnsi="宋体" w:eastAsia="宋体" w:cs="宋体"/>
          <w:b/>
          <w:bCs/>
          <w:sz w:val="21"/>
          <w:szCs w:val="21"/>
          <w:highlight w:val="none"/>
        </w:rPr>
      </w:pPr>
      <w:bookmarkStart w:id="101" w:name="_Toc12789059"/>
      <w:bookmarkStart w:id="102" w:name="_Toc11641055"/>
      <w:r>
        <w:rPr>
          <w:rFonts w:hint="eastAsia" w:ascii="宋体" w:hAnsi="宋体" w:eastAsia="宋体" w:cs="宋体"/>
          <w:b/>
          <w:bCs/>
          <w:sz w:val="21"/>
          <w:szCs w:val="21"/>
          <w:highlight w:val="none"/>
        </w:rPr>
        <w:t>一、网上竞采说明</w:t>
      </w:r>
    </w:p>
    <w:p w14:paraId="08118B6C">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w:t>
      </w:r>
      <w:r>
        <w:rPr>
          <w:rFonts w:hint="eastAsia" w:ascii="宋体" w:hAnsi="宋体" w:eastAsia="宋体" w:cs="宋体"/>
          <w:sz w:val="21"/>
          <w:szCs w:val="21"/>
          <w:highlight w:val="none"/>
          <w:lang w:val="en-US" w:eastAsia="zh-CN"/>
        </w:rPr>
        <w:t>限额下</w:t>
      </w:r>
      <w:r>
        <w:rPr>
          <w:rFonts w:hint="eastAsia" w:ascii="宋体" w:hAnsi="宋体" w:eastAsia="宋体" w:cs="宋体"/>
          <w:sz w:val="21"/>
          <w:szCs w:val="21"/>
          <w:highlight w:val="none"/>
        </w:rPr>
        <w:t>非政府采购项目，</w:t>
      </w:r>
      <w:r>
        <w:rPr>
          <w:rFonts w:hint="eastAsia" w:ascii="宋体" w:hAnsi="宋体" w:eastAsia="宋体" w:cs="宋体"/>
          <w:sz w:val="21"/>
          <w:szCs w:val="21"/>
          <w:highlight w:val="none"/>
          <w:lang w:val="en-US" w:eastAsia="zh-CN"/>
        </w:rPr>
        <w:t>由</w:t>
      </w: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val="en-US" w:eastAsia="zh-CN"/>
        </w:rPr>
        <w:t>根据实际需求进行的</w:t>
      </w:r>
      <w:r>
        <w:rPr>
          <w:rFonts w:hint="eastAsia" w:ascii="宋体" w:hAnsi="宋体" w:eastAsia="宋体" w:cs="宋体"/>
          <w:sz w:val="21"/>
          <w:szCs w:val="21"/>
          <w:highlight w:val="none"/>
        </w:rPr>
        <w:t>自主采购</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本竞采文件符合采购人实际需求，不适用《中华人民共和国政府采购法》及其实施条例的有关规定，由采购人按照公开、公平、公正、高效廉洁的原则自行组织实施。</w:t>
      </w:r>
    </w:p>
    <w:p w14:paraId="48B68AAE">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2、参与竞采的供应商应对本项目竞采文件仔细阅读并对采购人需求、现场情况进行了解，采购人不因成交供应商的任何理由提高结算比例及不额外支付任何费用。</w:t>
      </w:r>
    </w:p>
    <w:p w14:paraId="715C1920">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3、参与竞采的供应商应承担其编制响应文件与递交响应文件所涉及的一切费用，不论竞采结果如何，采购人在任何情况下无义务也无责任承担这些费用。</w:t>
      </w:r>
    </w:p>
    <w:p w14:paraId="2FC57FA6">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二、网上竞采通知书</w:t>
      </w:r>
      <w:r>
        <w:rPr>
          <w:rFonts w:hint="eastAsia" w:ascii="宋体" w:hAnsi="宋体" w:eastAsia="宋体" w:cs="宋体"/>
          <w:b/>
          <w:bCs/>
          <w:sz w:val="21"/>
          <w:szCs w:val="21"/>
          <w:highlight w:val="none"/>
        </w:rPr>
        <w:tab/>
      </w:r>
    </w:p>
    <w:p w14:paraId="1751E15C">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一）网上竞采通知书由网上竞采邀请书、网上竞采项目技术（服务）需求、网上竞采项目商务需求、采购程序、评定成交的标准、无效报价及采购终止、供应商须知、合同草案条款、响应文件格式要求七部分组成。</w:t>
      </w:r>
    </w:p>
    <w:p w14:paraId="2C5EE31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（二）采购人（或采购代理机构）所作的一切有效的书面通知、修改及补充，都是网上竞采通知书不可分割的部分。</w:t>
      </w:r>
    </w:p>
    <w:p w14:paraId="6E79056C">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（三）竞采文件的解释</w:t>
      </w:r>
    </w:p>
    <w:p w14:paraId="2F614F7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供应商如对竞采文件有疑问，必须以书面形式在提交响应文件截止时间前1个工作日北京时间12：00前向采购代理机构要求澄清，采购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14:paraId="67210FE2">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供应商下载本项目竞采文件、工程量清单（如有）、施工图后（如有），应认真核对，如有疑问请于报价开始时间之前以书面形式与向采购代理机构提出质疑。报价开始后，供应商的投标报价视为履行完本项目的所有费用，若因工程量清单（如有）与施工图（如有）漏项，采购人不再额外支付任何费用，供应商必须按要求完成所有采购内容。</w:t>
      </w:r>
    </w:p>
    <w:p w14:paraId="5FD00BA8">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三、网上竞采要求</w:t>
      </w:r>
    </w:p>
    <w:p w14:paraId="3D21030F">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（一）响应文件</w:t>
      </w:r>
    </w:p>
    <w:p w14:paraId="5FCC244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供应商应当按照网上竞采文件的要求编制响应文件，并对网上竞采文件提出的要求和条件作出实质性响应，响应文件原则上采用软面订本。</w:t>
      </w:r>
    </w:p>
    <w:p w14:paraId="1AA6A96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1.响应文件组成</w:t>
      </w:r>
    </w:p>
    <w:p w14:paraId="6553EED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D61F82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2.竞采有效期：响应文件及有关承诺文件有效期为提交响应文件截止时间起90天。</w:t>
      </w:r>
    </w:p>
    <w:p w14:paraId="385A965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（二）保证金：</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06A89C0D">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（三）评审</w:t>
      </w:r>
    </w:p>
    <w:p w14:paraId="1D61E426">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1.本项目为网上竞采，以供应商网上报价及上传的响应文件为评审依据，不组织开标会。</w:t>
      </w:r>
    </w:p>
    <w:p w14:paraId="3F171F04">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2.根据采购人时间安排，在网上竞采有效时间内组织竞采评审；</w:t>
      </w:r>
    </w:p>
    <w:p w14:paraId="768FABB2">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3.竞采评审小组由采购人参照政府采购相关要求组建。</w:t>
      </w:r>
    </w:p>
    <w:p w14:paraId="7CA999E5">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（四）修正错误</w:t>
      </w:r>
    </w:p>
    <w:p w14:paraId="356C177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若供应商所递交的响应文件或报价中的价格出现大写金额和小写金额不一致的错误，以大写金额修正为准。明细报价合计与总报价不一致的，按无效报价处理。</w:t>
      </w:r>
    </w:p>
    <w:p w14:paraId="4853CCE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网上竞采评审小组或采购人按上述修正错误的原则及方法修正供应商的报价，供应商同意并签署确认后，修正后的报价对供应商具有约束作用。如果供应商不接受修正后的价格，将视为无效报价。</w:t>
      </w:r>
    </w:p>
    <w:p w14:paraId="54D816D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（四）提交响应文件的份数</w:t>
      </w:r>
    </w:p>
    <w:p w14:paraId="34041E9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线上报价时上传加盖公章后的完整的响应文件电子档一份（响应文件须签字盖章后的正本扫描成一个PDF格式文件）及完整的工程量清单电子表格版（如有）一份。未按要求制作、上传的，按无效响应处理。</w:t>
      </w:r>
    </w:p>
    <w:p w14:paraId="1C908FA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2.供应商线下递交响应文件</w:t>
      </w:r>
      <w:r>
        <w:rPr>
          <w:rFonts w:hint="eastAsia" w:ascii="宋体" w:hAnsi="宋体" w:eastAsia="宋体" w:cs="宋体"/>
          <w:b/>
          <w:bCs/>
          <w:sz w:val="21"/>
          <w:szCs w:val="21"/>
          <w:highlight w:val="none"/>
        </w:rPr>
        <w:t>（本项目不要求提供）</w:t>
      </w:r>
      <w:r>
        <w:rPr>
          <w:rFonts w:hint="eastAsia" w:ascii="宋体" w:hAnsi="宋体" w:eastAsia="宋体" w:cs="宋体"/>
          <w:sz w:val="21"/>
          <w:szCs w:val="21"/>
          <w:highlight w:val="none"/>
        </w:rPr>
        <w:t>：一式贰份，其中正本一份，副本一份；副本可为正本的复印件，应与正本一致，如出现不一致情况以正本为准。网上上传的电子文档与正本不一致的，以网上上传的电子文档为准。</w:t>
      </w:r>
    </w:p>
    <w:p w14:paraId="78214ED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3.在响应文件正本中，竞采文件第七篇响应文件格式中规定签字、盖章的地方必须按其规定签字、盖章。</w:t>
      </w:r>
    </w:p>
    <w:p w14:paraId="7E74524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4.响应文件内容除签名外，其余均为打印。若供应商对响应文件的错处作必要修改，则应在修改处加盖供应商公章或由法定代表人或法定代表人授权代表签字确认。</w:t>
      </w:r>
    </w:p>
    <w:p w14:paraId="6FCA121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5.电报、电话、传真形式的响应文件概不接受。</w:t>
      </w:r>
    </w:p>
    <w:p w14:paraId="6FE7ABC8">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（五）响应文件上传及线下递交要求</w:t>
      </w:r>
    </w:p>
    <w:p w14:paraId="4819CEE6">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1.线上报价时间：按本项目网上公告规定的报价截止时间为准。</w:t>
      </w:r>
    </w:p>
    <w:p w14:paraId="38AFF296">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2.线上报价要求：按本项目规定的时间在公告发布网站上进行网上报价，并在规定的时间内上传响应文件电子文档（响应文件须签字盖章后的正本扫描成一个PDF格式文件）及完整的工程量清单电子表格版（如有）一份。未在规定时间内报价和上传响应文件电子文档的供应商不具备竞标资格。</w:t>
      </w:r>
    </w:p>
    <w:p w14:paraId="700443FD">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3.供应商线下递交响应文件</w:t>
      </w:r>
      <w:r>
        <w:rPr>
          <w:rFonts w:hint="eastAsia" w:ascii="宋体" w:hAnsi="宋体" w:eastAsia="宋体" w:cs="宋体"/>
          <w:b/>
          <w:bCs/>
          <w:sz w:val="21"/>
          <w:szCs w:val="21"/>
          <w:highlight w:val="none"/>
        </w:rPr>
        <w:t>（本项目不要求提供）</w:t>
      </w:r>
      <w:r>
        <w:rPr>
          <w:rFonts w:hint="eastAsia" w:ascii="宋体" w:hAnsi="宋体" w:eastAsia="宋体" w:cs="宋体"/>
          <w:sz w:val="21"/>
          <w:szCs w:val="21"/>
          <w:highlight w:val="none"/>
        </w:rPr>
        <w:t>：一式贰份，其中正本一份，副本一份；副本可为正本的复印件，应与正本一致，如出现不一致情况以正本为准。</w:t>
      </w:r>
    </w:p>
    <w:p w14:paraId="03D0D2F4">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（五）响应文件的递交</w:t>
      </w:r>
      <w:r>
        <w:rPr>
          <w:rFonts w:hint="eastAsia" w:ascii="宋体" w:hAnsi="宋体" w:eastAsia="宋体" w:cs="宋体"/>
          <w:b/>
          <w:bCs/>
          <w:sz w:val="21"/>
          <w:szCs w:val="21"/>
          <w:highlight w:val="none"/>
        </w:rPr>
        <w:t>（本项目不要求提供）</w:t>
      </w:r>
    </w:p>
    <w:p w14:paraId="7EB4555D">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1.响应文件的密封与标记</w:t>
      </w:r>
    </w:p>
    <w:p w14:paraId="58838FBF">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1.1响应文件的正本、副本均应密封送达线下竞采地点，应在封套上注明竞采编号、项目执行编号、项目名称、供应商名称。若正本、副本、电子文档分别进行密封的，还应在封套上注明“正本”、“副本”字样。</w:t>
      </w:r>
    </w:p>
    <w:p w14:paraId="60208FFB">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1.2封套的封口处应加盖供应商公章或由法定代表人授权代表签字。</w:t>
      </w:r>
    </w:p>
    <w:p w14:paraId="3BD4424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2.如果未按上述规定进行密封和标记，采购代理机构可拒收其响应文件并对响应文件误投、丢失或提前拆封不负责任。响应文件被拒收的，其网上上传的响应文件将不被接受。</w:t>
      </w:r>
    </w:p>
    <w:p w14:paraId="5852860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3.供应商递交的纸质响应文件，须按照要求制作，规定签字、盖章的地方必须按其规定签字、盖章，未按要求制作响应文件或未按时间递交纸质响应文件的按无效响应处理。</w:t>
      </w:r>
    </w:p>
    <w:p w14:paraId="590A270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4.响应文件电子文档与纸质响应文件正本不一致时，以供应商在网上竞采平台上传的电子文档为准。</w:t>
      </w:r>
    </w:p>
    <w:p w14:paraId="1580C8E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5.供应商提供的响应材料要求真实可靠，采购单位可对响应材料真实性进行核查，如有虚假，取消成交资格或者解除合同，并赔偿由此造成采购人的经济损失。</w:t>
      </w:r>
    </w:p>
    <w:p w14:paraId="71BFF398">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（六）递交时间及地点：详见第一篇载明的时间及地点。</w:t>
      </w:r>
    </w:p>
    <w:p w14:paraId="31DF46D1">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（七）供应商参与人员</w:t>
      </w:r>
      <w:r>
        <w:rPr>
          <w:rFonts w:hint="eastAsia" w:ascii="宋体" w:hAnsi="宋体" w:eastAsia="宋体" w:cs="宋体"/>
          <w:b/>
          <w:bCs/>
          <w:sz w:val="21"/>
          <w:szCs w:val="21"/>
          <w:highlight w:val="none"/>
        </w:rPr>
        <w:t>（本项目不要求）</w:t>
      </w:r>
    </w:p>
    <w:p w14:paraId="34074B4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各供应商应当派1-2名代表参与竞采，至少1人应为法定代表人或具有法定代表人授权委托书的授权代表。</w:t>
      </w:r>
    </w:p>
    <w:p w14:paraId="683126DA">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四、成交供应商的确定和变更</w:t>
      </w:r>
    </w:p>
    <w:p w14:paraId="72D0A7D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采购代理机构应当在评审结束后2个工作日内将评审报告送采购人确认。采购人应当在收到评审报告后5个工作日内，从评审报告提出的成交候选人中，确定排序第一的为成交供应商，也可以书面授权网上竞采小组直接确定成交供应商。采购人逾期未确定成交供应商且不提出异议的，视为确定评审报告提出的排序第一的供应商为成交供应商。</w:t>
      </w:r>
    </w:p>
    <w:p w14:paraId="533E194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（二）成交供应商的变更</w:t>
      </w:r>
    </w:p>
    <w:p w14:paraId="1E63E7D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成交供应商拒绝签订采购合同的，剩余的有效供应商大于或等于3名的，采购人可以按照评审报告推荐的成交候选人顺序，确定排名下一位的候选人为成交供应商，也可以重新开展竞采活动。剩余的有效供应商小于等于2名的，采购人将重新开展竞采活动或根据其相关制度直接确定供应商。拒绝签订采购合同的成交供应商不得参加对该项目重新开展的采购活动。</w:t>
      </w:r>
    </w:p>
    <w:p w14:paraId="79BAA9B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2.成交供应商无充分理由放弃成交的，采购人将向同级财政部门报告，财政部门将根据相关法律法规的规定进行处理。</w:t>
      </w:r>
    </w:p>
    <w:p w14:paraId="13BC09C4">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五、成交通知</w:t>
      </w:r>
    </w:p>
    <w:p w14:paraId="3D033E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（一）采购人依法确定成交人后，在成交结果公告发布同时，采购代理机构以书面形式发出成交通知书。</w:t>
      </w:r>
    </w:p>
    <w:p w14:paraId="790B779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（二）成交通知书发出后，采购人改变成交结果，或者成交人放弃成交，应当承担相应的法律责任。</w:t>
      </w:r>
    </w:p>
    <w:p w14:paraId="0C038091">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六、关于质疑和投诉</w:t>
      </w:r>
    </w:p>
    <w:p w14:paraId="710F985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(一）质疑内容、时限</w:t>
      </w:r>
    </w:p>
    <w:p w14:paraId="0D3FE0F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1.供应商对竞采文件如有异议，必须以书面形式在竞采文件发布之日起提交响应文件截止时间前1个工作日北京时间12：00以书面形式向釆购代理机构提出质疑，并附相关证明材料。</w:t>
      </w:r>
    </w:p>
    <w:p w14:paraId="00C1261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2.供应商对中标结果有异议的，应当在成交结果公示发布之日起一个工作日北京时间17：00内以书面形式向购代理机构提出质疑，并附相关证明材料。</w:t>
      </w:r>
    </w:p>
    <w:p w14:paraId="275B6E0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(二）质疑答复时限</w:t>
      </w:r>
    </w:p>
    <w:p w14:paraId="61BC822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采购代理机构在收到供应商书面质疑后三个工作日内，对质疑内容作出答复。</w:t>
      </w:r>
    </w:p>
    <w:p w14:paraId="3B7F2CD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(三）质疑答复方式</w:t>
      </w:r>
    </w:p>
    <w:p w14:paraId="79662E2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采购代理机构将以书面形式对质疑答复内容进行答复。</w:t>
      </w:r>
    </w:p>
    <w:p w14:paraId="4BBC439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(四）不予受理或暂缓受理</w:t>
      </w:r>
    </w:p>
    <w:p w14:paraId="69F5B20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1.质疑有下列情形之一的，不予受理：</w:t>
      </w:r>
    </w:p>
    <w:p w14:paraId="26D84FD1">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1.1质疑供应商未参与竞采活动的；</w:t>
      </w:r>
    </w:p>
    <w:p w14:paraId="0DCD0F00">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1.2质疑供应商参与了投标活动后，再对竞采文件内容提出质疑的；</w:t>
      </w:r>
    </w:p>
    <w:p w14:paraId="1CEEF71E">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1.3质疑超过竞采文件规定期限的；</w:t>
      </w:r>
    </w:p>
    <w:p w14:paraId="566B49E7">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1.4对同一事项重复质疑的。</w:t>
      </w:r>
    </w:p>
    <w:p w14:paraId="496B161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2.质疑有下列情形之一的，应暂不受理并告知供应商补充材料。供应商及时补充材料的，应予受理；逾期未补充的，不予受理：</w:t>
      </w:r>
    </w:p>
    <w:p w14:paraId="1C788C5B">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2.1质疑书内容不属于本项目采购内容的；</w:t>
      </w:r>
    </w:p>
    <w:p w14:paraId="3483959D">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2.2质疑书提供的依据或证明材料不全的；</w:t>
      </w:r>
    </w:p>
    <w:p w14:paraId="2FF8CD5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(五）投诉</w:t>
      </w:r>
    </w:p>
    <w:p w14:paraId="7F0E280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1.供应商对购代理机构的答复不满意或者购代理机构未在规定时间内答复的，可在答复期满后五个工作日内，向采购人投诉。</w:t>
      </w:r>
    </w:p>
    <w:p w14:paraId="1F02FA6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2.在提出投诉时，应附送相关证明材料。投诉书及证明材料为外文的，应同时提供其中文译本；中文与外文意思不一致的，以中文为准。</w:t>
      </w:r>
    </w:p>
    <w:p w14:paraId="79D72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3.在确定受理投诉后，采购人自受理投诉之日起三十个工作日内对投诉事项做出处理决定，并将投诉处理决定书送达投诉人、被投诉人和其他与投诉处理决定有利害关系的相关当事人。</w:t>
      </w:r>
    </w:p>
    <w:p w14:paraId="45EDBEF8">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七、签订合同</w:t>
      </w:r>
    </w:p>
    <w:p w14:paraId="62E97912">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采购人原则上应在结果公告发出之日起10个工作日内和成交供应商签订采购合同，无正当理由不得拒绝或拖延合同签订。所签订的合同不得对竞采文件和供应商的响应文件作实质性修改。其他未尽事宜由采购人和成交供应商在采购合同中详细约定。</w:t>
      </w:r>
    </w:p>
    <w:p w14:paraId="641384F1">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（二）竞采文件、供应商的响应文件及澄清文件、成交通知书等，均为签订采购合同的依据。</w:t>
      </w:r>
    </w:p>
    <w:p w14:paraId="5EB781A5">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（三）合同生效条款由供需双方约定，法律、行政法规规定应当办理批准、登记等手续后生效的合同，依照其规定。</w:t>
      </w:r>
    </w:p>
    <w:p w14:paraId="4BD72356">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（四）合同原则上应按照《重庆市政府采购合同》签订，合同版本不适用的，按采购人相关单位要求适用其他合同格式版本的，应按其要求另行签订合同。</w:t>
      </w:r>
    </w:p>
    <w:p w14:paraId="5B890FC9">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八、采购代理服务费</w:t>
      </w:r>
    </w:p>
    <w:p w14:paraId="7AA182D0">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1、代理服务费：本项目代理服务费由成交供应商在领取成交（中标）通知书之前向采购代理机构缴纳，本项目代理服务费</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3000.00</w:t>
      </w:r>
      <w:r>
        <w:rPr>
          <w:rFonts w:hint="eastAsia" w:ascii="宋体" w:hAnsi="宋体" w:eastAsia="宋体" w:cs="宋体"/>
          <w:sz w:val="21"/>
          <w:szCs w:val="21"/>
          <w:highlight w:val="none"/>
          <w:u w:val="single"/>
        </w:rPr>
        <w:t>元</w:t>
      </w:r>
      <w:r>
        <w:rPr>
          <w:rFonts w:hint="eastAsia" w:ascii="宋体" w:hAnsi="宋体" w:eastAsia="宋体" w:cs="宋体"/>
          <w:sz w:val="21"/>
          <w:szCs w:val="21"/>
          <w:highlight w:val="none"/>
        </w:rPr>
        <w:t>。</w:t>
      </w:r>
    </w:p>
    <w:p w14:paraId="1836537B">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w:t>
      </w:r>
      <w:r>
        <w:rPr>
          <w:rFonts w:hint="eastAsia" w:ascii="宋体" w:hAnsi="宋体" w:eastAsia="宋体" w:cs="宋体"/>
          <w:sz w:val="21"/>
          <w:szCs w:val="21"/>
          <w:highlight w:val="none"/>
          <w:lang w:val="en-US" w:eastAsia="zh-CN"/>
        </w:rPr>
        <w:t>机构</w:t>
      </w:r>
      <w:r>
        <w:rPr>
          <w:rFonts w:hint="eastAsia" w:ascii="宋体" w:hAnsi="宋体" w:eastAsia="宋体" w:cs="宋体"/>
          <w:sz w:val="21"/>
          <w:szCs w:val="21"/>
          <w:highlight w:val="none"/>
        </w:rPr>
        <w:t>账号：</w:t>
      </w:r>
    </w:p>
    <w:p w14:paraId="0A154AF9">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名：中知屹项目管理（重庆）有限责任公司  </w:t>
      </w:r>
    </w:p>
    <w:p w14:paraId="519F7E30">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开 户 行：中国农业银行重庆高新技术产业开发区台资园支行</w:t>
      </w:r>
    </w:p>
    <w:p w14:paraId="520061E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账    号：31042701040006317</w:t>
      </w:r>
    </w:p>
    <w:p w14:paraId="7B3A8BC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备    注：项目名称+代理费</w:t>
      </w:r>
    </w:p>
    <w:p w14:paraId="059E1EAD">
      <w:pPr>
        <w:wordWrap w:val="0"/>
        <w:spacing w:line="520" w:lineRule="exact"/>
        <w:ind w:firstLine="480"/>
        <w:rPr>
          <w:rFonts w:hint="eastAsia" w:ascii="宋体" w:hAnsi="宋体" w:cs="宋体"/>
          <w:color w:val="000000"/>
          <w:sz w:val="21"/>
          <w:szCs w:val="21"/>
          <w:highlight w:val="none"/>
          <w:lang w:val="en-US" w:eastAsia="zh-CN"/>
        </w:rPr>
      </w:pPr>
    </w:p>
    <w:p w14:paraId="48885153">
      <w:pPr>
        <w:wordWrap w:val="0"/>
        <w:spacing w:line="520" w:lineRule="exact"/>
        <w:ind w:firstLine="480"/>
        <w:rPr>
          <w:rFonts w:hint="eastAsia" w:eastAsia="宋体"/>
          <w:highlight w:val="none"/>
          <w:lang w:val="en-US" w:eastAsia="zh-CN"/>
        </w:rPr>
      </w:pPr>
    </w:p>
    <w:p w14:paraId="69087A60">
      <w:pPr>
        <w:rPr>
          <w:rFonts w:hint="eastAsia" w:ascii="宋体" w:hAnsi="宋体" w:cs="宋体"/>
          <w:b w:val="0"/>
          <w:bCs w:val="0"/>
          <w:sz w:val="21"/>
          <w:szCs w:val="21"/>
          <w:highlight w:val="none"/>
        </w:rPr>
      </w:pPr>
      <w:r>
        <w:rPr>
          <w:rFonts w:hint="eastAsia" w:ascii="宋体" w:hAnsi="宋体" w:cs="宋体"/>
          <w:b w:val="0"/>
          <w:bCs w:val="0"/>
          <w:sz w:val="21"/>
          <w:szCs w:val="21"/>
          <w:highlight w:val="none"/>
        </w:rPr>
        <w:br w:type="page"/>
      </w:r>
    </w:p>
    <w:p w14:paraId="7565E84A">
      <w:pPr>
        <w:pStyle w:val="3"/>
        <w:spacing w:before="0" w:after="0" w:line="360" w:lineRule="auto"/>
        <w:jc w:val="center"/>
        <w:outlineLvl w:val="0"/>
        <w:rPr>
          <w:rFonts w:ascii="宋体" w:hAnsi="宋体" w:eastAsia="宋体" w:cs="宋体"/>
          <w:b/>
          <w:bCs/>
          <w:sz w:val="36"/>
          <w:szCs w:val="30"/>
          <w:highlight w:val="none"/>
        </w:rPr>
      </w:pPr>
      <w:bookmarkStart w:id="103" w:name="_Toc2747"/>
      <w:r>
        <w:rPr>
          <w:rFonts w:hint="eastAsia" w:ascii="宋体" w:hAnsi="宋体" w:eastAsia="宋体" w:cs="宋体"/>
          <w:b/>
          <w:bCs/>
          <w:sz w:val="36"/>
          <w:szCs w:val="30"/>
          <w:highlight w:val="none"/>
        </w:rPr>
        <w:t xml:space="preserve">第六篇  </w:t>
      </w:r>
      <w:bookmarkEnd w:id="101"/>
      <w:bookmarkEnd w:id="102"/>
      <w:r>
        <w:rPr>
          <w:rFonts w:hint="eastAsia" w:ascii="宋体" w:hAnsi="宋体" w:eastAsia="宋体" w:cs="宋体"/>
          <w:b/>
          <w:bCs/>
          <w:sz w:val="36"/>
          <w:szCs w:val="30"/>
          <w:highlight w:val="none"/>
        </w:rPr>
        <w:t>合同草案条款</w:t>
      </w:r>
      <w:bookmarkEnd w:id="103"/>
    </w:p>
    <w:p w14:paraId="0BFDC300">
      <w:pPr>
        <w:snapToGrid w:val="0"/>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 xml:space="preserve"> (注：成交后采购人和成交供应商应按本项目</w:t>
      </w:r>
      <w:r>
        <w:rPr>
          <w:rFonts w:hint="eastAsia" w:ascii="宋体" w:hAnsi="宋体" w:cs="宋体"/>
          <w:sz w:val="24"/>
          <w:szCs w:val="24"/>
          <w:highlight w:val="none"/>
          <w:lang w:eastAsia="zh-CN"/>
        </w:rPr>
        <w:t>竞采文件</w:t>
      </w:r>
      <w:r>
        <w:rPr>
          <w:rFonts w:hint="eastAsia" w:ascii="宋体" w:hAnsi="宋体" w:cs="宋体"/>
          <w:sz w:val="24"/>
          <w:szCs w:val="24"/>
          <w:highlight w:val="none"/>
        </w:rPr>
        <w:t>、成交供应商的响应文件及本篇合同主要条款及格式，在规定时间内签订</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合同，所签订的合同不得对</w:t>
      </w:r>
      <w:r>
        <w:rPr>
          <w:rFonts w:hint="eastAsia" w:ascii="宋体" w:hAnsi="宋体" w:cs="宋体"/>
          <w:sz w:val="24"/>
          <w:szCs w:val="24"/>
          <w:highlight w:val="none"/>
          <w:lang w:eastAsia="zh-CN"/>
        </w:rPr>
        <w:t>竞采</w:t>
      </w:r>
      <w:r>
        <w:rPr>
          <w:rFonts w:hint="eastAsia" w:ascii="宋体" w:hAnsi="宋体" w:cs="宋体"/>
          <w:sz w:val="24"/>
          <w:szCs w:val="24"/>
          <w:highlight w:val="none"/>
        </w:rPr>
        <w:t>文件和成交供应商的响应文件作实质性修改。相关单位要求适用合同通用格式版本的，应按其要求另行签订其他</w:t>
      </w:r>
      <w:r>
        <w:rPr>
          <w:rFonts w:hint="eastAsia" w:ascii="宋体" w:hAnsi="宋体" w:cs="宋体"/>
          <w:sz w:val="24"/>
          <w:szCs w:val="24"/>
          <w:highlight w:val="none"/>
          <w:lang w:val="en-US" w:eastAsia="zh-CN"/>
        </w:rPr>
        <w:t>格式</w:t>
      </w:r>
      <w:r>
        <w:rPr>
          <w:rFonts w:hint="eastAsia" w:ascii="宋体" w:hAnsi="宋体" w:cs="宋体"/>
          <w:sz w:val="24"/>
          <w:szCs w:val="24"/>
          <w:highlight w:val="none"/>
        </w:rPr>
        <w:t>合同。)</w:t>
      </w:r>
    </w:p>
    <w:p w14:paraId="2D3AD311">
      <w:pPr>
        <w:pStyle w:val="38"/>
        <w:ind w:left="980" w:hanging="420"/>
        <w:outlineLvl w:val="9"/>
        <w:rPr>
          <w:rFonts w:hint="default"/>
          <w:highlight w:val="none"/>
        </w:rPr>
      </w:pPr>
    </w:p>
    <w:p w14:paraId="59C3B777">
      <w:pPr>
        <w:outlineLvl w:val="9"/>
        <w:rPr>
          <w:highlight w:val="none"/>
        </w:rPr>
      </w:pPr>
    </w:p>
    <w:p w14:paraId="1F761B3A">
      <w:pPr>
        <w:pStyle w:val="38"/>
        <w:ind w:left="980" w:hanging="420"/>
        <w:outlineLvl w:val="9"/>
        <w:rPr>
          <w:rFonts w:hint="default"/>
          <w:highlight w:val="none"/>
        </w:rPr>
        <w:sectPr>
          <w:footerReference r:id="rId7" w:type="default"/>
          <w:footerReference r:id="rId8" w:type="even"/>
          <w:pgSz w:w="11907" w:h="16840"/>
          <w:pgMar w:top="1440" w:right="1080" w:bottom="1440" w:left="1080" w:header="964" w:footer="992" w:gutter="0"/>
          <w:pgNumType w:fmt="numberInDash"/>
          <w:cols w:space="720" w:num="1"/>
          <w:docGrid w:linePitch="312" w:charSpace="0"/>
        </w:sectPr>
      </w:pPr>
    </w:p>
    <w:p w14:paraId="386237D0">
      <w:pPr>
        <w:outlineLvl w:val="9"/>
        <w:rPr>
          <w:rFonts w:ascii="宋体" w:hAnsi="宋体" w:cs="宋体"/>
          <w:sz w:val="24"/>
          <w:highlight w:val="none"/>
        </w:rPr>
      </w:pPr>
      <w:bookmarkStart w:id="104" w:name="_Toc148265480"/>
      <w:bookmarkStart w:id="105" w:name="_Toc303945820"/>
      <w:r>
        <w:rPr>
          <w:rFonts w:hint="eastAsia" w:ascii="宋体" w:hAnsi="宋体" w:cs="宋体"/>
          <w:sz w:val="24"/>
          <w:highlight w:val="none"/>
        </w:rPr>
        <w:t>附页：</w:t>
      </w:r>
      <w:r>
        <w:rPr>
          <w:rFonts w:hint="eastAsia" w:ascii="宋体" w:hAnsi="宋体" w:cs="宋体"/>
          <w:sz w:val="24"/>
          <w:highlight w:val="none"/>
          <w:lang w:val="en-US" w:eastAsia="zh-CN"/>
        </w:rPr>
        <w:t>沙坪坝区教委</w:t>
      </w:r>
      <w:r>
        <w:rPr>
          <w:rFonts w:hint="eastAsia" w:ascii="宋体" w:hAnsi="宋体" w:cs="宋体"/>
          <w:sz w:val="24"/>
          <w:highlight w:val="none"/>
        </w:rPr>
        <w:t>合同格式</w:t>
      </w:r>
      <w:bookmarkEnd w:id="104"/>
      <w:bookmarkEnd w:id="105"/>
    </w:p>
    <w:p w14:paraId="4517DBBD">
      <w:pPr>
        <w:jc w:val="center"/>
        <w:outlineLvl w:val="9"/>
        <w:rPr>
          <w:rFonts w:hint="eastAsia" w:ascii="宋体" w:hAnsi="宋体" w:cs="宋体"/>
          <w:b/>
          <w:sz w:val="52"/>
          <w:szCs w:val="28"/>
          <w:highlight w:val="none"/>
        </w:rPr>
      </w:pPr>
      <w:bookmarkStart w:id="106" w:name="_Hlt41879464"/>
      <w:bookmarkEnd w:id="106"/>
      <w:bookmarkStart w:id="107" w:name="_Toc12789072"/>
    </w:p>
    <w:p w14:paraId="398D8B0E">
      <w:pPr>
        <w:jc w:val="center"/>
        <w:outlineLvl w:val="9"/>
        <w:rPr>
          <w:rFonts w:ascii="宋体" w:hAnsi="宋体" w:cs="宋体"/>
          <w:b/>
          <w:sz w:val="52"/>
          <w:szCs w:val="28"/>
          <w:highlight w:val="none"/>
        </w:rPr>
      </w:pPr>
      <w:r>
        <w:rPr>
          <w:rFonts w:hint="eastAsia" w:ascii="宋体" w:hAnsi="宋体" w:cs="宋体"/>
          <w:b/>
          <w:sz w:val="52"/>
          <w:szCs w:val="28"/>
          <w:highlight w:val="none"/>
        </w:rPr>
        <w:t>建设工程施工合同</w:t>
      </w:r>
    </w:p>
    <w:p w14:paraId="2230E2F7">
      <w:pPr>
        <w:jc w:val="center"/>
        <w:outlineLvl w:val="9"/>
        <w:rPr>
          <w:rFonts w:ascii="宋体" w:hAnsi="宋体" w:cs="宋体"/>
          <w:b/>
          <w:szCs w:val="28"/>
          <w:highlight w:val="none"/>
        </w:rPr>
      </w:pPr>
    </w:p>
    <w:p w14:paraId="6DE930C7">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工程名称：</w:t>
      </w:r>
      <w:r>
        <w:rPr>
          <w:rFonts w:hint="eastAsia" w:ascii="宋体" w:hAnsi="宋体" w:cs="宋体"/>
          <w:sz w:val="32"/>
          <w:szCs w:val="28"/>
          <w:highlight w:val="none"/>
          <w:u w:val="single"/>
        </w:rPr>
        <w:t xml:space="preserve">                           </w:t>
      </w:r>
    </w:p>
    <w:p w14:paraId="0F554BC0">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工程地点：</w:t>
      </w:r>
      <w:r>
        <w:rPr>
          <w:rFonts w:hint="eastAsia" w:ascii="宋体" w:hAnsi="宋体" w:cs="宋体"/>
          <w:sz w:val="32"/>
          <w:szCs w:val="28"/>
          <w:highlight w:val="none"/>
          <w:u w:val="single"/>
        </w:rPr>
        <w:t xml:space="preserve">                            </w:t>
      </w:r>
    </w:p>
    <w:p w14:paraId="6185A2BA">
      <w:pPr>
        <w:spacing w:before="312" w:beforeLines="100" w:after="156" w:afterLines="50"/>
        <w:ind w:firstLine="1417" w:firstLineChars="443"/>
        <w:jc w:val="left"/>
        <w:outlineLvl w:val="9"/>
        <w:rPr>
          <w:rFonts w:hint="eastAsia" w:ascii="宋体" w:hAnsi="宋体" w:cs="宋体"/>
          <w:sz w:val="32"/>
          <w:szCs w:val="28"/>
          <w:highlight w:val="none"/>
        </w:rPr>
      </w:pPr>
    </w:p>
    <w:p w14:paraId="2BAFADE6">
      <w:pPr>
        <w:spacing w:before="312" w:beforeLines="100" w:after="156" w:afterLines="50"/>
        <w:ind w:firstLine="1417" w:firstLineChars="443"/>
        <w:jc w:val="left"/>
        <w:outlineLvl w:val="9"/>
        <w:rPr>
          <w:rFonts w:hint="eastAsia" w:ascii="宋体" w:hAnsi="宋体" w:cs="宋体"/>
          <w:sz w:val="32"/>
          <w:szCs w:val="28"/>
          <w:highlight w:val="none"/>
        </w:rPr>
      </w:pPr>
    </w:p>
    <w:p w14:paraId="3E329A6A">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甲    方：</w:t>
      </w:r>
      <w:r>
        <w:rPr>
          <w:rFonts w:hint="eastAsia" w:ascii="宋体" w:hAnsi="宋体" w:cs="宋体"/>
          <w:sz w:val="32"/>
          <w:szCs w:val="28"/>
          <w:highlight w:val="none"/>
          <w:u w:val="single"/>
        </w:rPr>
        <w:t xml:space="preserve">                            </w:t>
      </w:r>
    </w:p>
    <w:p w14:paraId="3AE6633D">
      <w:pPr>
        <w:spacing w:before="312" w:beforeLines="100" w:after="156" w:afterLines="50"/>
        <w:ind w:firstLine="1417" w:firstLineChars="443"/>
        <w:jc w:val="left"/>
        <w:outlineLvl w:val="9"/>
        <w:rPr>
          <w:rFonts w:ascii="宋体" w:hAnsi="宋体" w:cs="宋体"/>
          <w:b/>
          <w:szCs w:val="28"/>
          <w:highlight w:val="none"/>
        </w:rPr>
      </w:pPr>
      <w:r>
        <w:rPr>
          <w:rFonts w:hint="eastAsia" w:ascii="宋体" w:hAnsi="宋体" w:cs="宋体"/>
          <w:sz w:val="32"/>
          <w:szCs w:val="28"/>
          <w:highlight w:val="none"/>
        </w:rPr>
        <w:t>乙    方：</w:t>
      </w:r>
      <w:r>
        <w:rPr>
          <w:rFonts w:hint="eastAsia" w:ascii="宋体" w:hAnsi="宋体" w:cs="宋体"/>
          <w:sz w:val="32"/>
          <w:szCs w:val="28"/>
          <w:highlight w:val="none"/>
          <w:u w:val="single"/>
        </w:rPr>
        <w:t xml:space="preserve">  </w:t>
      </w:r>
      <w:r>
        <w:rPr>
          <w:rFonts w:hint="eastAsia" w:ascii="宋体" w:hAnsi="宋体" w:cs="宋体"/>
          <w:b/>
          <w:szCs w:val="28"/>
          <w:highlight w:val="none"/>
          <w:u w:val="single"/>
        </w:rPr>
        <w:t xml:space="preserve">                              </w:t>
      </w:r>
      <w:r>
        <w:rPr>
          <w:rFonts w:hint="eastAsia" w:ascii="宋体" w:hAnsi="宋体" w:cs="宋体"/>
          <w:b/>
          <w:szCs w:val="28"/>
          <w:highlight w:val="none"/>
        </w:rPr>
        <w:t xml:space="preserve">    </w:t>
      </w:r>
    </w:p>
    <w:p w14:paraId="38410AD2">
      <w:pPr>
        <w:jc w:val="center"/>
        <w:outlineLvl w:val="9"/>
        <w:rPr>
          <w:rFonts w:ascii="宋体" w:hAnsi="宋体" w:cs="宋体"/>
          <w:b/>
          <w:szCs w:val="28"/>
          <w:highlight w:val="none"/>
        </w:rPr>
      </w:pPr>
    </w:p>
    <w:p w14:paraId="1FE56EFA">
      <w:pPr>
        <w:ind w:firstLine="1800" w:firstLineChars="500"/>
        <w:jc w:val="left"/>
        <w:outlineLvl w:val="9"/>
        <w:rPr>
          <w:rFonts w:ascii="宋体" w:hAnsi="宋体" w:cs="宋体"/>
          <w:spacing w:val="20"/>
          <w:sz w:val="32"/>
          <w:szCs w:val="28"/>
          <w:highlight w:val="none"/>
        </w:rPr>
      </w:pPr>
    </w:p>
    <w:p w14:paraId="23EED009">
      <w:pPr>
        <w:ind w:firstLine="1800" w:firstLineChars="500"/>
        <w:jc w:val="left"/>
        <w:outlineLvl w:val="9"/>
        <w:rPr>
          <w:rFonts w:ascii="宋体" w:hAnsi="宋体" w:cs="宋体"/>
          <w:spacing w:val="20"/>
          <w:sz w:val="32"/>
          <w:szCs w:val="28"/>
          <w:highlight w:val="none"/>
        </w:rPr>
      </w:pPr>
    </w:p>
    <w:p w14:paraId="79ABF27D">
      <w:pPr>
        <w:ind w:firstLine="1800" w:firstLineChars="500"/>
        <w:jc w:val="left"/>
        <w:outlineLvl w:val="9"/>
        <w:rPr>
          <w:rFonts w:ascii="宋体" w:hAnsi="宋体" w:cs="宋体"/>
          <w:spacing w:val="20"/>
          <w:sz w:val="32"/>
          <w:szCs w:val="28"/>
          <w:highlight w:val="none"/>
        </w:rPr>
      </w:pPr>
    </w:p>
    <w:p w14:paraId="462D117B">
      <w:pPr>
        <w:ind w:firstLine="1800" w:firstLineChars="500"/>
        <w:jc w:val="left"/>
        <w:outlineLvl w:val="9"/>
        <w:rPr>
          <w:rFonts w:ascii="宋体" w:hAnsi="宋体" w:cs="宋体"/>
          <w:sz w:val="32"/>
          <w:szCs w:val="28"/>
          <w:highlight w:val="none"/>
        </w:rPr>
        <w:sectPr>
          <w:headerReference r:id="rId9" w:type="default"/>
          <w:footerReference r:id="rId10" w:type="default"/>
          <w:pgSz w:w="11906" w:h="16838"/>
          <w:pgMar w:top="1134" w:right="1191" w:bottom="1134" w:left="1304" w:header="624" w:footer="992" w:gutter="0"/>
          <w:pgNumType w:fmt="numberInDash"/>
          <w:cols w:space="720" w:num="1"/>
          <w:docGrid w:type="lines" w:linePitch="312" w:charSpace="0"/>
        </w:sectPr>
      </w:pPr>
      <w:r>
        <w:rPr>
          <w:rFonts w:hint="eastAsia" w:ascii="宋体" w:hAnsi="宋体" w:cs="宋体"/>
          <w:spacing w:val="20"/>
          <w:sz w:val="32"/>
          <w:szCs w:val="28"/>
          <w:highlight w:val="none"/>
        </w:rPr>
        <w:t xml:space="preserve">签 订 日 期：   </w:t>
      </w:r>
      <w:r>
        <w:rPr>
          <w:rFonts w:hint="eastAsia" w:ascii="宋体" w:hAnsi="宋体" w:cs="宋体"/>
          <w:bCs/>
          <w:sz w:val="32"/>
          <w:szCs w:val="28"/>
          <w:highlight w:val="none"/>
        </w:rPr>
        <w:t>年   月    日</w:t>
      </w:r>
    </w:p>
    <w:p w14:paraId="52D1E7BD">
      <w:pPr>
        <w:jc w:val="center"/>
        <w:outlineLvl w:val="9"/>
        <w:rPr>
          <w:rFonts w:ascii="宋体" w:hAnsi="宋体" w:cs="宋体"/>
          <w:b/>
          <w:bCs/>
          <w:sz w:val="32"/>
          <w:szCs w:val="28"/>
          <w:highlight w:val="none"/>
        </w:rPr>
      </w:pPr>
      <w:r>
        <w:rPr>
          <w:rFonts w:hint="eastAsia" w:ascii="宋体" w:hAnsi="宋体" w:cs="宋体"/>
          <w:b/>
          <w:bCs/>
          <w:sz w:val="32"/>
          <w:szCs w:val="28"/>
          <w:highlight w:val="none"/>
        </w:rPr>
        <w:t>建设工程施工合同</w:t>
      </w:r>
    </w:p>
    <w:p w14:paraId="7BB3616E">
      <w:pPr>
        <w:jc w:val="center"/>
        <w:outlineLvl w:val="9"/>
        <w:rPr>
          <w:rFonts w:ascii="宋体" w:hAnsi="宋体" w:cs="宋体"/>
          <w:sz w:val="32"/>
          <w:szCs w:val="28"/>
          <w:highlight w:val="none"/>
        </w:rPr>
      </w:pPr>
    </w:p>
    <w:p w14:paraId="7904E924">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甲方（全称）：/</w:t>
      </w:r>
    </w:p>
    <w:p w14:paraId="5CE47C4B">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乙方（全称）： /</w:t>
      </w:r>
    </w:p>
    <w:p w14:paraId="675196D9">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根据《中华人民共和国民法典》《中华人民共和国建筑法》及其他有关法律规定，遵循平等、自愿、公平和诚实信用的原则，双方就施工及有关事项协商一致，共同达成如下协议：</w:t>
      </w:r>
    </w:p>
    <w:p w14:paraId="403DCE66">
      <w:pPr>
        <w:spacing w:line="360" w:lineRule="auto"/>
        <w:ind w:firstLine="422" w:firstLineChars="200"/>
        <w:outlineLvl w:val="9"/>
        <w:rPr>
          <w:rFonts w:hint="eastAsia" w:ascii="宋体" w:hAnsi="宋体" w:eastAsia="宋体" w:cs="宋体"/>
          <w:b/>
          <w:bCs/>
          <w:sz w:val="21"/>
          <w:szCs w:val="21"/>
          <w:highlight w:val="none"/>
        </w:rPr>
      </w:pPr>
      <w:bookmarkStart w:id="108" w:name="_Toc25220"/>
      <w:bookmarkStart w:id="109" w:name="_Toc25350"/>
      <w:bookmarkStart w:id="110" w:name="_Toc5305"/>
      <w:bookmarkStart w:id="111" w:name="_Toc28978"/>
      <w:bookmarkStart w:id="112" w:name="_Toc24533"/>
      <w:r>
        <w:rPr>
          <w:rFonts w:hint="eastAsia" w:ascii="宋体" w:hAnsi="宋体" w:eastAsia="宋体" w:cs="宋体"/>
          <w:b/>
          <w:bCs/>
          <w:sz w:val="21"/>
          <w:szCs w:val="21"/>
          <w:highlight w:val="none"/>
        </w:rPr>
        <w:t>一、工程概况</w:t>
      </w:r>
      <w:bookmarkEnd w:id="108"/>
      <w:bookmarkEnd w:id="109"/>
      <w:bookmarkEnd w:id="110"/>
      <w:bookmarkEnd w:id="111"/>
      <w:bookmarkEnd w:id="112"/>
    </w:p>
    <w:p w14:paraId="0AE03E6E">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1.工程名称：/</w:t>
      </w:r>
    </w:p>
    <w:p w14:paraId="7A9C62F0">
      <w:pPr>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2.工程地点：</w:t>
      </w:r>
      <w:r>
        <w:rPr>
          <w:rFonts w:hint="eastAsia" w:ascii="宋体" w:hAnsi="宋体" w:eastAsia="宋体" w:cs="宋体"/>
          <w:kern w:val="0"/>
          <w:sz w:val="21"/>
          <w:szCs w:val="21"/>
          <w:highlight w:val="none"/>
        </w:rPr>
        <w:t xml:space="preserve">/  </w:t>
      </w:r>
    </w:p>
    <w:p w14:paraId="0BEC53B7">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.工程内容： /</w:t>
      </w:r>
    </w:p>
    <w:p w14:paraId="45D19BB7">
      <w:pPr>
        <w:spacing w:line="360" w:lineRule="auto"/>
        <w:ind w:firstLine="422" w:firstLineChars="200"/>
        <w:outlineLvl w:val="9"/>
        <w:rPr>
          <w:rFonts w:hint="eastAsia" w:ascii="宋体" w:hAnsi="宋体" w:eastAsia="宋体" w:cs="宋体"/>
          <w:b/>
          <w:bCs/>
          <w:sz w:val="21"/>
          <w:szCs w:val="21"/>
          <w:highlight w:val="none"/>
        </w:rPr>
      </w:pPr>
      <w:bookmarkStart w:id="113" w:name="_Toc31407"/>
      <w:bookmarkStart w:id="114" w:name="_Toc6174"/>
      <w:bookmarkStart w:id="115" w:name="_Toc4125"/>
      <w:bookmarkStart w:id="116" w:name="_Toc18307"/>
      <w:bookmarkStart w:id="117" w:name="_Toc28948"/>
      <w:r>
        <w:rPr>
          <w:rFonts w:hint="eastAsia" w:ascii="宋体" w:hAnsi="宋体" w:eastAsia="宋体" w:cs="宋体"/>
          <w:b/>
          <w:bCs/>
          <w:sz w:val="21"/>
          <w:szCs w:val="21"/>
          <w:highlight w:val="none"/>
        </w:rPr>
        <w:t>二、合同工期</w:t>
      </w:r>
      <w:bookmarkEnd w:id="113"/>
      <w:bookmarkEnd w:id="114"/>
      <w:bookmarkEnd w:id="115"/>
      <w:bookmarkEnd w:id="116"/>
      <w:bookmarkEnd w:id="117"/>
    </w:p>
    <w:p w14:paraId="3D50D449">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计划开工日期：XX年XX月XX日。</w:t>
      </w:r>
    </w:p>
    <w:p w14:paraId="1232F799">
      <w:pPr>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计划竣工日期：XX年XX月XX日。</w:t>
      </w:r>
    </w:p>
    <w:p w14:paraId="5C1ED30B">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工期要求：</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日历天。工期总日历天数与根据前述计划开竣工日期计算的工期天数不一致的，以工期总日历天数为准。</w:t>
      </w:r>
    </w:p>
    <w:p w14:paraId="6AB4B09A">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工期延误：</w:t>
      </w:r>
      <w:r>
        <w:rPr>
          <w:rFonts w:hint="eastAsia" w:ascii="宋体" w:hAnsi="宋体" w:eastAsia="宋体" w:cs="宋体"/>
          <w:sz w:val="21"/>
          <w:szCs w:val="21"/>
          <w:highlight w:val="none"/>
          <w:u w:val="single"/>
        </w:rPr>
        <w:t>按采购文件执行</w:t>
      </w:r>
      <w:r>
        <w:rPr>
          <w:rFonts w:hint="eastAsia" w:ascii="宋体" w:hAnsi="宋体" w:eastAsia="宋体" w:cs="宋体"/>
          <w:sz w:val="21"/>
          <w:szCs w:val="21"/>
          <w:highlight w:val="none"/>
        </w:rPr>
        <w:t>。</w:t>
      </w:r>
    </w:p>
    <w:p w14:paraId="42A810D5">
      <w:pPr>
        <w:spacing w:line="360" w:lineRule="auto"/>
        <w:ind w:firstLine="422" w:firstLineChars="200"/>
        <w:outlineLvl w:val="9"/>
        <w:rPr>
          <w:rFonts w:hint="eastAsia" w:ascii="宋体" w:hAnsi="宋体" w:eastAsia="宋体" w:cs="宋体"/>
          <w:b/>
          <w:bCs/>
          <w:sz w:val="21"/>
          <w:szCs w:val="21"/>
          <w:highlight w:val="none"/>
        </w:rPr>
      </w:pPr>
      <w:bookmarkStart w:id="118" w:name="_Toc16166"/>
      <w:bookmarkStart w:id="119" w:name="_Toc1040"/>
      <w:bookmarkStart w:id="120" w:name="_Toc1477"/>
      <w:bookmarkStart w:id="121" w:name="_Toc10055"/>
      <w:bookmarkStart w:id="122" w:name="_Toc4061"/>
      <w:r>
        <w:rPr>
          <w:rFonts w:hint="eastAsia" w:ascii="宋体" w:hAnsi="宋体" w:eastAsia="宋体" w:cs="宋体"/>
          <w:b/>
          <w:bCs/>
          <w:sz w:val="21"/>
          <w:szCs w:val="21"/>
          <w:highlight w:val="none"/>
        </w:rPr>
        <w:t>三、暂定合同价及合同价格形式</w:t>
      </w:r>
      <w:bookmarkEnd w:id="118"/>
      <w:bookmarkEnd w:id="119"/>
      <w:bookmarkEnd w:id="120"/>
      <w:bookmarkEnd w:id="121"/>
      <w:bookmarkEnd w:id="122"/>
    </w:p>
    <w:p w14:paraId="753EE282">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合同价为：人民币</w:t>
      </w:r>
      <w:r>
        <w:rPr>
          <w:rFonts w:hint="eastAsia" w:ascii="宋体" w:hAnsi="宋体" w:eastAsia="宋体" w:cs="宋体"/>
          <w:sz w:val="21"/>
          <w:szCs w:val="21"/>
          <w:highlight w:val="none"/>
          <w:u w:val="single"/>
        </w:rPr>
        <w:t>XXXXXXXX</w:t>
      </w:r>
      <w:r>
        <w:rPr>
          <w:rFonts w:hint="eastAsia" w:ascii="宋体" w:hAnsi="宋体" w:eastAsia="宋体" w:cs="宋体"/>
          <w:sz w:val="21"/>
          <w:szCs w:val="21"/>
          <w:highlight w:val="none"/>
        </w:rPr>
        <w:t>元（大写：XXXXXXXXXXXX）。</w:t>
      </w:r>
    </w:p>
    <w:p w14:paraId="2CC9D40F">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合同价格形式：</w:t>
      </w:r>
      <w:r>
        <w:rPr>
          <w:rFonts w:hint="eastAsia" w:ascii="宋体" w:hAnsi="宋体" w:eastAsia="宋体" w:cs="宋体"/>
          <w:sz w:val="21"/>
          <w:szCs w:val="21"/>
          <w:highlight w:val="none"/>
          <w:u w:val="single"/>
        </w:rPr>
        <w:t>固定综合单价</w:t>
      </w:r>
      <w:r>
        <w:rPr>
          <w:rFonts w:hint="eastAsia" w:ascii="宋体" w:hAnsi="宋体" w:eastAsia="宋体" w:cs="宋体"/>
          <w:sz w:val="21"/>
          <w:szCs w:val="21"/>
          <w:highlight w:val="none"/>
        </w:rPr>
        <w:t>。</w:t>
      </w:r>
    </w:p>
    <w:p w14:paraId="37F957CF">
      <w:pPr>
        <w:spacing w:line="360" w:lineRule="auto"/>
        <w:ind w:firstLine="422" w:firstLineChars="200"/>
        <w:outlineLvl w:val="9"/>
        <w:rPr>
          <w:rFonts w:hint="eastAsia" w:ascii="宋体" w:hAnsi="宋体" w:eastAsia="宋体" w:cs="宋体"/>
          <w:b/>
          <w:bCs/>
          <w:sz w:val="21"/>
          <w:szCs w:val="21"/>
          <w:highlight w:val="none"/>
        </w:rPr>
      </w:pPr>
      <w:bookmarkStart w:id="123" w:name="_Toc22975"/>
      <w:bookmarkStart w:id="124" w:name="_Toc32276"/>
      <w:bookmarkStart w:id="125" w:name="_Toc18872"/>
      <w:bookmarkStart w:id="126" w:name="_Toc17112"/>
      <w:bookmarkStart w:id="127" w:name="_Toc15549"/>
      <w:r>
        <w:rPr>
          <w:rFonts w:hint="eastAsia" w:ascii="宋体" w:hAnsi="宋体" w:eastAsia="宋体" w:cs="宋体"/>
          <w:b/>
          <w:bCs/>
          <w:sz w:val="21"/>
          <w:szCs w:val="21"/>
          <w:highlight w:val="none"/>
        </w:rPr>
        <w:t>四、合同文件构成</w:t>
      </w:r>
      <w:bookmarkEnd w:id="123"/>
      <w:bookmarkEnd w:id="124"/>
      <w:bookmarkEnd w:id="125"/>
      <w:bookmarkEnd w:id="126"/>
      <w:bookmarkEnd w:id="127"/>
    </w:p>
    <w:p w14:paraId="4CCFB813">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本合同与下列文件一起构成合同文件：</w:t>
      </w:r>
    </w:p>
    <w:p w14:paraId="31DF9EAA">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（1）中标通知书；</w:t>
      </w:r>
    </w:p>
    <w:p w14:paraId="23332ADA">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（2）招标文件及投标响应文件； </w:t>
      </w:r>
    </w:p>
    <w:p w14:paraId="65CCC132">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（3）合同附件；</w:t>
      </w:r>
    </w:p>
    <w:p w14:paraId="0F0B0861">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（4）技术标准和要求；</w:t>
      </w:r>
    </w:p>
    <w:p w14:paraId="01D57C5D">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（5）图纸；</w:t>
      </w:r>
    </w:p>
    <w:p w14:paraId="766345AE">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（6）已标价工程量清单；</w:t>
      </w:r>
    </w:p>
    <w:p w14:paraId="0FE44727">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（7）其他合同文件。</w:t>
      </w:r>
    </w:p>
    <w:p w14:paraId="54671624">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在合同订立及履行过程中形成的与合同有关的文件均构成合同文件组成部分。</w:t>
      </w:r>
    </w:p>
    <w:p w14:paraId="04333278">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上述各项合同文件包括合同当事人就该项合同文件所做出的补充和修改，属于同一类内容的文件，应以最新签署的为准。合同附件须经合同当事人签字或盖章。</w:t>
      </w:r>
    </w:p>
    <w:p w14:paraId="53EA119F">
      <w:pPr>
        <w:spacing w:line="360" w:lineRule="auto"/>
        <w:ind w:firstLine="422" w:firstLineChars="200"/>
        <w:outlineLvl w:val="9"/>
        <w:rPr>
          <w:rFonts w:hint="eastAsia" w:ascii="宋体" w:hAnsi="宋体" w:eastAsia="宋体" w:cs="宋体"/>
          <w:b/>
          <w:bCs/>
          <w:sz w:val="21"/>
          <w:szCs w:val="21"/>
          <w:highlight w:val="none"/>
        </w:rPr>
      </w:pPr>
      <w:bookmarkStart w:id="128" w:name="_Toc7292"/>
      <w:bookmarkStart w:id="129" w:name="_Toc14409"/>
      <w:bookmarkStart w:id="130" w:name="_Toc4704"/>
      <w:bookmarkStart w:id="131" w:name="_Toc25914"/>
      <w:bookmarkStart w:id="132" w:name="_Toc2236"/>
      <w:r>
        <w:rPr>
          <w:rFonts w:hint="eastAsia" w:ascii="宋体" w:hAnsi="宋体" w:eastAsia="宋体" w:cs="宋体"/>
          <w:b/>
          <w:bCs/>
          <w:sz w:val="21"/>
          <w:szCs w:val="21"/>
          <w:highlight w:val="none"/>
        </w:rPr>
        <w:t>五、工程质量</w:t>
      </w:r>
      <w:bookmarkEnd w:id="128"/>
      <w:bookmarkEnd w:id="129"/>
      <w:bookmarkEnd w:id="130"/>
      <w:bookmarkEnd w:id="131"/>
      <w:bookmarkEnd w:id="132"/>
    </w:p>
    <w:p w14:paraId="49814344">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质量要求：工程质量符合达到国家现行有关施工质量验收规范要求，并达到一次验收合格标准。</w:t>
      </w:r>
    </w:p>
    <w:p w14:paraId="71C445D1">
      <w:pPr>
        <w:spacing w:line="360" w:lineRule="auto"/>
        <w:ind w:firstLine="422" w:firstLineChars="200"/>
        <w:outlineLvl w:val="9"/>
        <w:rPr>
          <w:rFonts w:hint="eastAsia" w:ascii="宋体" w:hAnsi="宋体" w:eastAsia="宋体" w:cs="宋体"/>
          <w:sz w:val="21"/>
          <w:szCs w:val="21"/>
          <w:highlight w:val="none"/>
        </w:rPr>
      </w:pPr>
      <w:bookmarkStart w:id="133" w:name="_Toc30810"/>
      <w:bookmarkStart w:id="134" w:name="_Toc15284"/>
      <w:bookmarkStart w:id="135" w:name="_Toc7233"/>
      <w:bookmarkStart w:id="136" w:name="_Toc272"/>
      <w:bookmarkStart w:id="137" w:name="_Toc26348"/>
      <w:r>
        <w:rPr>
          <w:rFonts w:hint="eastAsia" w:ascii="宋体" w:hAnsi="宋体" w:eastAsia="宋体" w:cs="宋体"/>
          <w:b/>
          <w:bCs/>
          <w:sz w:val="21"/>
          <w:szCs w:val="21"/>
          <w:highlight w:val="none"/>
        </w:rPr>
        <w:t>六、材料、设备要求</w:t>
      </w:r>
      <w:bookmarkEnd w:id="133"/>
      <w:bookmarkEnd w:id="134"/>
      <w:bookmarkEnd w:id="135"/>
      <w:bookmarkEnd w:id="136"/>
      <w:bookmarkEnd w:id="137"/>
      <w:r>
        <w:rPr>
          <w:rFonts w:hint="eastAsia" w:ascii="宋体" w:hAnsi="宋体" w:eastAsia="宋体" w:cs="宋体"/>
          <w:sz w:val="21"/>
          <w:szCs w:val="21"/>
          <w:highlight w:val="none"/>
        </w:rPr>
        <w:t>本</w:t>
      </w:r>
    </w:p>
    <w:p w14:paraId="13942584">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工程所有材料及设备均由承包人采购，承包人负责采购的所有材料、设备，必须系由获得国家质量认证中心颁发的质量管理体系认证证书（ISO）的生产企业所生产的产品。</w:t>
      </w:r>
    </w:p>
    <w:p w14:paraId="68DC65CD">
      <w:pPr>
        <w:spacing w:line="360" w:lineRule="auto"/>
        <w:ind w:firstLine="422" w:firstLineChars="200"/>
        <w:outlineLvl w:val="9"/>
        <w:rPr>
          <w:rFonts w:hint="eastAsia" w:ascii="宋体" w:hAnsi="宋体" w:eastAsia="宋体" w:cs="宋体"/>
          <w:b/>
          <w:bCs/>
          <w:sz w:val="21"/>
          <w:szCs w:val="21"/>
          <w:highlight w:val="none"/>
        </w:rPr>
      </w:pPr>
      <w:bookmarkStart w:id="138" w:name="_Toc17120"/>
      <w:bookmarkStart w:id="139" w:name="_Toc22418"/>
      <w:bookmarkStart w:id="140" w:name="_Toc11315"/>
      <w:bookmarkStart w:id="141" w:name="_Toc24581"/>
      <w:bookmarkStart w:id="142" w:name="_Toc14209"/>
      <w:r>
        <w:rPr>
          <w:rFonts w:hint="eastAsia" w:ascii="宋体" w:hAnsi="宋体" w:eastAsia="宋体" w:cs="宋体"/>
          <w:b/>
          <w:bCs/>
          <w:sz w:val="21"/>
          <w:szCs w:val="21"/>
          <w:highlight w:val="none"/>
        </w:rPr>
        <w:t>七、安全文明施工</w:t>
      </w:r>
      <w:bookmarkEnd w:id="138"/>
      <w:bookmarkEnd w:id="139"/>
      <w:bookmarkEnd w:id="140"/>
      <w:bookmarkEnd w:id="141"/>
      <w:bookmarkEnd w:id="142"/>
    </w:p>
    <w:p w14:paraId="6234F1E3">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乙方在施工过程中，必须严格按照现行国家规定的安全文明施工相关规范及相关安全生产的法律条文执行。乙方的项目管理团队必须到现场加强对项目的管理，施工现场的所有安全责任（包括但不限于造成施工人员及第三人等人身伤害、财产损失）均由乙方负责承担。如在施工过程中发生任何安全事故和其他一切人身损害事故，均由乙方自行负责。</w:t>
      </w:r>
    </w:p>
    <w:p w14:paraId="0D135060">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（二）因乙方对有关人员管理不善造成的事故以及对非施工人员进入施工范围产生的事故，损害赔偿责任均由乙方自行负责；因乙方未做到安全文明施工造成乙方及他人财产损失的均由乙方自行负责。</w:t>
      </w:r>
    </w:p>
    <w:p w14:paraId="09FDF789">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乙方应作好防火、防盗及用电安全和学校设施设备的保护工作，因乙方原因造成设施设备损坏的乙方照价赔偿和因乙方原因造成的一切责任（防火、防盗、用电安全）由乙方承担。施工时，须至少有2人同时在现场才能作业，严禁1人单独作业。</w:t>
      </w:r>
    </w:p>
    <w:p w14:paraId="7DF397F5">
      <w:pPr>
        <w:spacing w:line="360" w:lineRule="auto"/>
        <w:ind w:firstLine="422" w:firstLineChars="200"/>
        <w:outlineLvl w:val="9"/>
        <w:rPr>
          <w:rFonts w:hint="eastAsia" w:ascii="宋体" w:hAnsi="宋体" w:eastAsia="宋体" w:cs="宋体"/>
          <w:b/>
          <w:bCs/>
          <w:sz w:val="21"/>
          <w:szCs w:val="21"/>
          <w:highlight w:val="none"/>
        </w:rPr>
      </w:pPr>
      <w:bookmarkStart w:id="143" w:name="_Toc1354"/>
      <w:bookmarkStart w:id="144" w:name="_Toc6622"/>
      <w:bookmarkStart w:id="145" w:name="_Toc8029"/>
      <w:bookmarkStart w:id="146" w:name="_Toc23458"/>
      <w:bookmarkStart w:id="147" w:name="_Toc11264"/>
      <w:r>
        <w:rPr>
          <w:rFonts w:hint="eastAsia" w:ascii="宋体" w:hAnsi="宋体" w:eastAsia="宋体" w:cs="宋体"/>
          <w:b/>
          <w:bCs/>
          <w:sz w:val="21"/>
          <w:szCs w:val="21"/>
          <w:highlight w:val="none"/>
        </w:rPr>
        <w:t>八、工程变更</w:t>
      </w:r>
      <w:bookmarkEnd w:id="143"/>
      <w:bookmarkEnd w:id="144"/>
      <w:bookmarkEnd w:id="145"/>
      <w:bookmarkEnd w:id="146"/>
      <w:bookmarkEnd w:id="147"/>
    </w:p>
    <w:p w14:paraId="2E492173">
      <w:pPr>
        <w:spacing w:line="360" w:lineRule="auto"/>
        <w:ind w:firstLine="315" w:firstLineChars="150"/>
        <w:outlineLvl w:val="9"/>
        <w:rPr>
          <w:rFonts w:hint="eastAsia" w:ascii="宋体" w:hAnsi="宋体" w:eastAsia="宋体" w:cs="宋体"/>
          <w:sz w:val="21"/>
          <w:szCs w:val="21"/>
          <w:highlight w:val="none"/>
        </w:rPr>
      </w:pPr>
      <w:bookmarkStart w:id="148" w:name="_Toc22168"/>
      <w:bookmarkStart w:id="149" w:name="_Toc4669"/>
      <w:bookmarkStart w:id="150" w:name="_Toc15967"/>
      <w:bookmarkStart w:id="151" w:name="_Toc23967"/>
      <w:bookmarkStart w:id="152" w:name="_Toc25789"/>
      <w:r>
        <w:rPr>
          <w:rFonts w:hint="eastAsia" w:ascii="宋体" w:hAnsi="宋体" w:eastAsia="宋体" w:cs="宋体"/>
          <w:sz w:val="21"/>
          <w:szCs w:val="21"/>
          <w:highlight w:val="none"/>
        </w:rPr>
        <w:t>（一）变更范围</w:t>
      </w:r>
      <w:bookmarkEnd w:id="148"/>
      <w:bookmarkEnd w:id="149"/>
      <w:bookmarkEnd w:id="150"/>
      <w:bookmarkEnd w:id="151"/>
      <w:bookmarkEnd w:id="152"/>
    </w:p>
    <w:p w14:paraId="26162899">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关于变更的范围的约定：设计变更、施工变更或施工过程中出现新增项目、合同范围外的零星项目等均属工程变更，包括但不限于以下情况：</w:t>
      </w:r>
    </w:p>
    <w:p w14:paraId="6EF91AF9">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1.工程设计图纸的变更；</w:t>
      </w:r>
    </w:p>
    <w:p w14:paraId="155C7327">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2.因项目甲方原因造成施工方案的变更；</w:t>
      </w:r>
    </w:p>
    <w:p w14:paraId="2190E3EC">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3.重要材料与设备的变更；</w:t>
      </w:r>
    </w:p>
    <w:p w14:paraId="3BAE4B58">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4.施工现场条件等实际情况与勘察报告等技术资料不符引起的变更；</w:t>
      </w:r>
    </w:p>
    <w:p w14:paraId="5825004B">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5.因法律、法规、规章、规范和标准调整引起的变更；</w:t>
      </w:r>
    </w:p>
    <w:p w14:paraId="3B614D21">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6.因地质实际情况与地质资料不符等不可预见且急需处理的情况引起的变更；</w:t>
      </w:r>
    </w:p>
    <w:p w14:paraId="5B5F436D">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7.抢修抢险应急工程及遇不可抗力等原因的引起的变更；</w:t>
      </w:r>
    </w:p>
    <w:p w14:paraId="404799B1">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8.因施工方式或施工工艺变化引起的变更；</w:t>
      </w:r>
    </w:p>
    <w:p w14:paraId="24854805">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9.其他导致工程造价变动的合理变更。</w:t>
      </w:r>
    </w:p>
    <w:p w14:paraId="3845BE3E">
      <w:pPr>
        <w:spacing w:line="360" w:lineRule="auto"/>
        <w:ind w:firstLine="315" w:firstLineChars="150"/>
        <w:outlineLvl w:val="9"/>
        <w:rPr>
          <w:rFonts w:hint="eastAsia" w:ascii="宋体" w:hAnsi="宋体" w:eastAsia="宋体" w:cs="宋体"/>
          <w:sz w:val="21"/>
          <w:szCs w:val="21"/>
          <w:highlight w:val="none"/>
        </w:rPr>
      </w:pPr>
      <w:bookmarkStart w:id="153" w:name="_Toc14212"/>
      <w:bookmarkStart w:id="154" w:name="_Toc8880"/>
      <w:bookmarkStart w:id="155" w:name="_Toc4248"/>
      <w:bookmarkStart w:id="156" w:name="_Toc23823"/>
      <w:bookmarkStart w:id="157" w:name="_Toc11482"/>
      <w:r>
        <w:rPr>
          <w:rFonts w:hint="eastAsia" w:ascii="宋体" w:hAnsi="宋体" w:eastAsia="宋体" w:cs="宋体"/>
          <w:sz w:val="21"/>
          <w:szCs w:val="21"/>
          <w:highlight w:val="none"/>
        </w:rPr>
        <w:t>（二）变更程序</w:t>
      </w:r>
      <w:bookmarkEnd w:id="153"/>
      <w:bookmarkEnd w:id="154"/>
      <w:bookmarkEnd w:id="155"/>
      <w:bookmarkEnd w:id="156"/>
      <w:bookmarkEnd w:id="157"/>
    </w:p>
    <w:p w14:paraId="6F0B837A">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所有工程变更须按程序先审批后实施。</w:t>
      </w:r>
    </w:p>
    <w:p w14:paraId="599F3E1E">
      <w:pPr>
        <w:spacing w:line="360" w:lineRule="auto"/>
        <w:ind w:firstLine="315" w:firstLineChars="150"/>
        <w:outlineLvl w:val="9"/>
        <w:rPr>
          <w:rFonts w:hint="eastAsia" w:ascii="宋体" w:hAnsi="宋体" w:eastAsia="宋体" w:cs="宋体"/>
          <w:sz w:val="21"/>
          <w:szCs w:val="21"/>
          <w:highlight w:val="none"/>
        </w:rPr>
      </w:pPr>
      <w:bookmarkStart w:id="158" w:name="_Toc23576"/>
      <w:bookmarkStart w:id="159" w:name="_Toc25204"/>
      <w:bookmarkStart w:id="160" w:name="_Toc1057"/>
      <w:bookmarkStart w:id="161" w:name="_Toc7404"/>
      <w:bookmarkStart w:id="162" w:name="_Toc15681"/>
      <w:r>
        <w:rPr>
          <w:rFonts w:hint="eastAsia" w:ascii="宋体" w:hAnsi="宋体" w:eastAsia="宋体" w:cs="宋体"/>
          <w:sz w:val="21"/>
          <w:szCs w:val="21"/>
          <w:highlight w:val="none"/>
        </w:rPr>
        <w:t>（三）变更估价</w:t>
      </w:r>
      <w:bookmarkEnd w:id="158"/>
      <w:bookmarkEnd w:id="159"/>
      <w:bookmarkEnd w:id="160"/>
      <w:bookmarkEnd w:id="161"/>
      <w:bookmarkEnd w:id="162"/>
    </w:p>
    <w:p w14:paraId="509C795A">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变更估价原则按结算原则执行。</w:t>
      </w:r>
    </w:p>
    <w:p w14:paraId="7A5BA730">
      <w:pPr>
        <w:spacing w:line="360" w:lineRule="auto"/>
        <w:ind w:firstLine="422" w:firstLineChars="200"/>
        <w:outlineLvl w:val="9"/>
        <w:rPr>
          <w:rFonts w:hint="eastAsia" w:ascii="宋体" w:hAnsi="宋体" w:eastAsia="宋体" w:cs="宋体"/>
          <w:b/>
          <w:bCs/>
          <w:sz w:val="21"/>
          <w:szCs w:val="21"/>
          <w:highlight w:val="none"/>
        </w:rPr>
      </w:pPr>
      <w:bookmarkStart w:id="163" w:name="_Toc29066"/>
      <w:bookmarkStart w:id="164" w:name="_Toc8726"/>
      <w:bookmarkStart w:id="165" w:name="_Toc13424"/>
      <w:bookmarkStart w:id="166" w:name="_Toc4214"/>
      <w:bookmarkStart w:id="167" w:name="_Toc12825"/>
      <w:r>
        <w:rPr>
          <w:rFonts w:hint="eastAsia" w:ascii="宋体" w:hAnsi="宋体" w:eastAsia="宋体" w:cs="宋体"/>
          <w:b/>
          <w:bCs/>
          <w:sz w:val="21"/>
          <w:szCs w:val="21"/>
          <w:highlight w:val="none"/>
        </w:rPr>
        <w:t>九、竣工验收及结算审计</w:t>
      </w:r>
      <w:bookmarkEnd w:id="163"/>
      <w:bookmarkEnd w:id="164"/>
      <w:bookmarkEnd w:id="165"/>
      <w:bookmarkEnd w:id="166"/>
      <w:bookmarkEnd w:id="167"/>
    </w:p>
    <w:p w14:paraId="2E665596">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一）乙方在本工程竣工验收后7日内完成现场清理并退出施工现场：包括一切施工机械、设备、人员、临时搭盖等临时工程、施工产生的建筑废渣等。若不按要求及时完成清理，甲方有权雇请他人完成，因此发生的一切费用全部由乙方承担。</w:t>
      </w:r>
    </w:p>
    <w:p w14:paraId="1F5795C8">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（二）竣工验收后乙方向甲方提交经验收合格的完整的竣工图和工程竣工技术档案资料贰份(含电子文档贰份)。</w:t>
      </w:r>
    </w:p>
    <w:p w14:paraId="4C92EDC3">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（三）乙方在工程竣工验收完成后30天内将完整的工程结算资料（含工程结算）报送甲方复核，甲方复核完成后送审核单位进行工程结算审计。</w:t>
      </w:r>
    </w:p>
    <w:p w14:paraId="78CE1DB6">
      <w:pPr>
        <w:spacing w:line="360" w:lineRule="auto"/>
        <w:ind w:firstLine="422" w:firstLineChars="200"/>
        <w:outlineLvl w:val="9"/>
        <w:rPr>
          <w:rFonts w:hint="eastAsia" w:ascii="宋体" w:hAnsi="宋体" w:eastAsia="宋体" w:cs="宋体"/>
          <w:b/>
          <w:bCs/>
          <w:sz w:val="21"/>
          <w:szCs w:val="21"/>
          <w:highlight w:val="none"/>
        </w:rPr>
      </w:pPr>
      <w:bookmarkStart w:id="168" w:name="_Toc8734"/>
      <w:bookmarkStart w:id="169" w:name="_Toc28655"/>
      <w:bookmarkStart w:id="170" w:name="_Toc12251"/>
      <w:bookmarkStart w:id="171" w:name="_Toc30969"/>
      <w:bookmarkStart w:id="172" w:name="_Toc19202"/>
      <w:r>
        <w:rPr>
          <w:rFonts w:hint="eastAsia" w:ascii="宋体" w:hAnsi="宋体" w:eastAsia="宋体" w:cs="宋体"/>
          <w:b/>
          <w:bCs/>
          <w:sz w:val="21"/>
          <w:szCs w:val="21"/>
          <w:highlight w:val="none"/>
        </w:rPr>
        <w:t>十、合同价款结算</w:t>
      </w:r>
      <w:bookmarkEnd w:id="168"/>
      <w:bookmarkEnd w:id="169"/>
      <w:bookmarkEnd w:id="170"/>
      <w:bookmarkEnd w:id="171"/>
      <w:bookmarkEnd w:id="172"/>
    </w:p>
    <w:p w14:paraId="00D4C380">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合同价款采用固定综合单价合同，以供应商成交总报价作为暂定的合同总价，其最终合同价款以供应商实际完成工程量为依据。本合同含采购文件要求的全部风险。由于在招投标阶段采购人已充分提醒，并要求供应商按招标施工图中的所有项目内容以及给定的工程量清单充分测算，进行综合单价包干，结算时除本合同条款约定的可调内容外不得因任何原因（包括政策性文件调整）进行调整。</w:t>
      </w:r>
    </w:p>
    <w:p w14:paraId="64DAD54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结算总价=分部分项工程量清单综合单价×实际完成工程量＋措施项目费＋规费＋设计变更、招标工程量清单漏项或新增项目价款＋合同约定其它费用＋税金。</w:t>
      </w:r>
    </w:p>
    <w:p w14:paraId="633BA41A">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注：分部分项综合单价和措施项目费，结算价格以明细报价为准。</w:t>
      </w:r>
    </w:p>
    <w:p w14:paraId="02D735FA">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73" w:name="_Toc9325"/>
      <w:bookmarkStart w:id="174" w:name="_Toc14655"/>
      <w:bookmarkStart w:id="175" w:name="_Toc22750"/>
      <w:bookmarkStart w:id="176" w:name="_Toc15567"/>
      <w:bookmarkStart w:id="177" w:name="_Toc11632"/>
      <w:r>
        <w:rPr>
          <w:rFonts w:hint="eastAsia" w:ascii="宋体" w:hAnsi="宋体" w:eastAsia="宋体" w:cs="宋体"/>
          <w:kern w:val="0"/>
          <w:sz w:val="21"/>
          <w:szCs w:val="21"/>
          <w:highlight w:val="none"/>
        </w:rPr>
        <w:t>（一）施工图范围内分部分项工程量清单结算价：</w:t>
      </w:r>
      <w:bookmarkEnd w:id="173"/>
      <w:bookmarkEnd w:id="174"/>
      <w:bookmarkEnd w:id="175"/>
      <w:bookmarkEnd w:id="176"/>
      <w:bookmarkEnd w:id="177"/>
    </w:p>
    <w:p w14:paraId="165FEFD4">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结算原则：执行固定综合单价，乙方中标价中的工程量清单综合单价在整个施工过程以及结算中不因市场价格波动和政策变动因素的影响而调整，不因实际完成工程量的多少而调整。</w:t>
      </w:r>
    </w:p>
    <w:p w14:paraId="7CBAF4AF">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1.分部分项工程量清单综合单价按中标报价结算，不因实际完成工程量的变化而调整；</w:t>
      </w:r>
    </w:p>
    <w:p w14:paraId="4140257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2.工程量按实计算；</w:t>
      </w:r>
    </w:p>
    <w:p w14:paraId="4BACBCE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暂定价材料价差：数量以工程结算量为准，工程量清单中明确以暂定价计入合同清单的材料，在施工使用前由乙方报价，经甲方审核同意后方可采购、施工。结算时只对甲方核定单价与暂定价的价差部分进行调整。</w:t>
      </w:r>
    </w:p>
    <w:p w14:paraId="1C95B8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78" w:name="_Toc3346"/>
      <w:bookmarkStart w:id="179" w:name="_Toc17012"/>
      <w:bookmarkStart w:id="180" w:name="_Toc8247"/>
      <w:bookmarkStart w:id="181" w:name="_Toc32240"/>
      <w:bookmarkStart w:id="182" w:name="_Toc27902"/>
      <w:r>
        <w:rPr>
          <w:rFonts w:hint="eastAsia" w:ascii="宋体" w:hAnsi="宋体" w:eastAsia="宋体" w:cs="宋体"/>
          <w:kern w:val="0"/>
          <w:sz w:val="21"/>
          <w:szCs w:val="21"/>
          <w:highlight w:val="none"/>
        </w:rPr>
        <w:t>（二）新增或工程变更、缺漏项部分的结算原则：</w:t>
      </w:r>
      <w:bookmarkEnd w:id="178"/>
      <w:bookmarkEnd w:id="179"/>
      <w:bookmarkEnd w:id="180"/>
      <w:bookmarkEnd w:id="181"/>
      <w:bookmarkEnd w:id="182"/>
    </w:p>
    <w:p w14:paraId="139FF98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设计变更、施工变更或施工过程中出现新增项目、合同范围外的零星项目等均属工程变更。工程变更价款计算方式如下：</w:t>
      </w:r>
    </w:p>
    <w:p w14:paraId="45DD4CA8">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1.变更（包括签证）工程与报价的工程量清单中有相同的子项，则按报价时的相同子项的综合单价报价执行；</w:t>
      </w:r>
    </w:p>
    <w:p w14:paraId="28E144F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2.变更（包括签证）工程内容与报价的工程量清单中有类似子项的，则按报价时的类似子项的综合单价报价执行（类似子项的综合单价由甲方审定）；</w:t>
      </w:r>
    </w:p>
    <w:p w14:paraId="3EA0BCBA">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已标价程量清单中无相同子项或类似子项，按采购文件、合同条款、设计图纸及相关说明、《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渝建〔2019〕143号）、《重庆市房屋建筑与装饰工程计价定额》（CQJZZSDE-2018）、《重庆市仿古建筑工程计价定额》（CQFGDE 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以及相关配套文件为依据进行计算。计算后，再按乙方报价浮动率进行下浮后结算。</w:t>
      </w:r>
    </w:p>
    <w:p w14:paraId="5926D5D4">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材料价格：中标清单中有的材料价格执行中标价，中标清单中没有的材料价格参照施工期间《重庆建设工程造价信息》公布的各期的算术平均价格的材料（品牌、规格、型号相同）价格执行，若施工期间各期公布的《重庆建设工程造价信息》中给出的材料中没有品牌、规格、型号相同，则由甲方根据市场行情认质认价，并共同签章确认后计入结算，最终价格由甲方或主管部门委派的审计单位或区财政局审定的价格为准。</w:t>
      </w:r>
    </w:p>
    <w:p w14:paraId="01618846">
      <w:pPr>
        <w:autoSpaceDE w:val="0"/>
        <w:autoSpaceDN w:val="0"/>
        <w:adjustRightInd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rPr>
        <w:t>5.人工单价：使用</w:t>
      </w:r>
      <w:r>
        <w:rPr>
          <w:rFonts w:hint="eastAsia" w:ascii="宋体" w:hAnsi="宋体" w:eastAsia="宋体" w:cs="宋体"/>
          <w:color w:val="000000"/>
          <w:sz w:val="21"/>
          <w:szCs w:val="21"/>
          <w:highlight w:val="none"/>
        </w:rPr>
        <w:t>重庆市建设工程造价管理总站发布的施工当期《重庆工程造价信息》公布的人工价。</w:t>
      </w:r>
    </w:p>
    <w:p w14:paraId="516D0749">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83" w:name="_Toc24767"/>
      <w:bookmarkStart w:id="184" w:name="_Toc28998"/>
      <w:bookmarkStart w:id="185" w:name="_Toc17182"/>
      <w:bookmarkStart w:id="186" w:name="_Toc19801"/>
      <w:bookmarkStart w:id="187" w:name="_Toc22721"/>
      <w:r>
        <w:rPr>
          <w:rFonts w:hint="eastAsia" w:ascii="宋体" w:hAnsi="宋体" w:eastAsia="宋体" w:cs="宋体"/>
          <w:kern w:val="0"/>
          <w:sz w:val="21"/>
          <w:szCs w:val="21"/>
          <w:highlight w:val="none"/>
        </w:rPr>
        <w:t>（三）措施费</w:t>
      </w:r>
      <w:bookmarkEnd w:id="183"/>
      <w:bookmarkEnd w:id="184"/>
      <w:bookmarkEnd w:id="185"/>
      <w:bookmarkEnd w:id="186"/>
      <w:bookmarkEnd w:id="187"/>
    </w:p>
    <w:p w14:paraId="7392F029">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1.施工组织措施项目费（除安全文明施工费外）：无论因设计变更或施工工艺变化等任何因素而引起实际措施费的变化，包干使用不作调整。</w:t>
      </w:r>
    </w:p>
    <w:p w14:paraId="1F94AA9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2.施工技术措施项目费：无论因设计变更或施工工艺变化等任何因素而引起实际措施费的变化，包干使用不作调整。</w:t>
      </w:r>
    </w:p>
    <w:p w14:paraId="39D775C9">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安全文明施工费：按“重庆市住房和城乡建设委员会关于修订发布《重庆市建设工程安全文明施工费计取及使用管理规定》的通知（渝建管〔2024〕38号）”及《重庆市城乡建设委员会关于建筑业营业税改增值税调整建设工程计价依据的通知》（渝建发〔2016〕35号）并结合渝建〔2019〕143号文等规定进行结算。</w:t>
      </w:r>
    </w:p>
    <w:p w14:paraId="48C0F05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4.其他项目费</w:t>
      </w:r>
    </w:p>
    <w:p w14:paraId="125ED563">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有暂估材料价格或暂估综合单价的，由乙方向甲方报送材料规格尺寸及价格，由乙方、甲方双方参照施工期间《重庆建设工程造价信息》公布的各期的算术平均价格的材料（品牌、规格、型号相同）价格执行，若施工期间各期公布的《重庆建设工程造价信息》中给出的材料中没有品牌、规格、型号相同，则由甲方根据市场行情认质认价，并共同签章确认后计入结算。</w:t>
      </w:r>
    </w:p>
    <w:p w14:paraId="55A4A9D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4.2甲方若列有暂列金额的，根据甲方核定的价格按实结算或按照工程变更或新增项目清单结算原则执行。</w:t>
      </w:r>
    </w:p>
    <w:p w14:paraId="4A8E2A3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4.3计日工：合同施工过程中若发生，根据双方协商的计日工单价和实际工程量按实结算。</w:t>
      </w:r>
    </w:p>
    <w:p w14:paraId="64A65B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88" w:name="_Toc10572"/>
      <w:bookmarkStart w:id="189" w:name="_Toc23347"/>
      <w:bookmarkStart w:id="190" w:name="_Toc1650"/>
      <w:bookmarkStart w:id="191" w:name="_Toc15663"/>
      <w:bookmarkStart w:id="192" w:name="_Toc23791"/>
      <w:r>
        <w:rPr>
          <w:rFonts w:hint="eastAsia" w:ascii="宋体" w:hAnsi="宋体" w:eastAsia="宋体" w:cs="宋体"/>
          <w:kern w:val="0"/>
          <w:sz w:val="21"/>
          <w:szCs w:val="21"/>
          <w:highlight w:val="none"/>
        </w:rPr>
        <w:t>（四）调差材料</w:t>
      </w:r>
      <w:bookmarkEnd w:id="188"/>
      <w:bookmarkEnd w:id="189"/>
      <w:bookmarkEnd w:id="190"/>
      <w:bookmarkEnd w:id="191"/>
      <w:bookmarkEnd w:id="192"/>
    </w:p>
    <w:p w14:paraId="7E80AD1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不调差。</w:t>
      </w:r>
    </w:p>
    <w:p w14:paraId="049AB4A9">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93" w:name="_Toc9384"/>
      <w:bookmarkStart w:id="194" w:name="_Toc32677"/>
      <w:bookmarkStart w:id="195" w:name="_Toc26938"/>
      <w:bookmarkStart w:id="196" w:name="_Toc31646"/>
      <w:bookmarkStart w:id="197" w:name="_Toc22861"/>
      <w:r>
        <w:rPr>
          <w:rFonts w:hint="eastAsia" w:ascii="宋体" w:hAnsi="宋体" w:eastAsia="宋体" w:cs="宋体"/>
          <w:kern w:val="0"/>
          <w:sz w:val="21"/>
          <w:szCs w:val="21"/>
          <w:highlight w:val="none"/>
        </w:rPr>
        <w:t>（五）规费</w:t>
      </w:r>
      <w:bookmarkEnd w:id="193"/>
      <w:bookmarkEnd w:id="194"/>
      <w:bookmarkEnd w:id="195"/>
      <w:bookmarkEnd w:id="196"/>
      <w:bookmarkEnd w:id="197"/>
    </w:p>
    <w:p w14:paraId="0749BA70">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按投标费率结算，若乙方的成交报价中规费费率高于规定费率，则以规定费率结算。</w:t>
      </w:r>
    </w:p>
    <w:p w14:paraId="72CD1507">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98" w:name="_Toc23114"/>
      <w:bookmarkStart w:id="199" w:name="_Toc14179"/>
      <w:bookmarkStart w:id="200" w:name="_Toc29411"/>
      <w:bookmarkStart w:id="201" w:name="_Toc23671"/>
      <w:bookmarkStart w:id="202" w:name="_Toc11024"/>
      <w:r>
        <w:rPr>
          <w:rFonts w:hint="eastAsia" w:ascii="宋体" w:hAnsi="宋体" w:eastAsia="宋体" w:cs="宋体"/>
          <w:kern w:val="0"/>
          <w:sz w:val="21"/>
          <w:szCs w:val="21"/>
          <w:highlight w:val="none"/>
        </w:rPr>
        <w:t>（六）税金</w:t>
      </w:r>
      <w:bookmarkEnd w:id="198"/>
      <w:bookmarkEnd w:id="199"/>
      <w:bookmarkEnd w:id="200"/>
      <w:bookmarkEnd w:id="201"/>
      <w:bookmarkEnd w:id="202"/>
    </w:p>
    <w:p w14:paraId="46395AB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按《重庆市建设工程费用定额》（CQFYDE-2018）规定并结合渝建〔2019〕143号文计取。环境保护税按税票按实计算。</w:t>
      </w:r>
    </w:p>
    <w:p w14:paraId="5320E433">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203" w:name="_Toc5527"/>
      <w:bookmarkStart w:id="204" w:name="_Toc31192"/>
      <w:bookmarkStart w:id="205" w:name="_Toc29036"/>
      <w:bookmarkStart w:id="206" w:name="_Toc31784"/>
      <w:bookmarkStart w:id="207" w:name="_Toc10297"/>
      <w:r>
        <w:rPr>
          <w:rFonts w:hint="eastAsia" w:ascii="宋体" w:hAnsi="宋体" w:eastAsia="宋体" w:cs="宋体"/>
          <w:kern w:val="0"/>
          <w:sz w:val="21"/>
          <w:szCs w:val="21"/>
          <w:highlight w:val="none"/>
        </w:rPr>
        <w:t>（七）合同约定其他费用</w:t>
      </w:r>
      <w:bookmarkEnd w:id="203"/>
      <w:bookmarkEnd w:id="204"/>
      <w:bookmarkEnd w:id="205"/>
      <w:bookmarkEnd w:id="206"/>
      <w:bookmarkEnd w:id="207"/>
    </w:p>
    <w:p w14:paraId="5B0D365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甲方要求乙方完成合同以外施工范围内或施工范围外但与本施工项目有密切关系的零星项目，乙方应接受甲方施工要求，并在施工前就用工数量和单价、机械台班数量和单价、使用材料和金额等向甲方提出施工签证，甲方予以签证后施工。如甲方未签证，乙方自行施工后发生争议，由乙方负责。</w:t>
      </w:r>
    </w:p>
    <w:p w14:paraId="51FEF1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2.合同其它条款约定的费用。</w:t>
      </w:r>
    </w:p>
    <w:p w14:paraId="3EC4A4E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注：（1）甲方认质认价材料不应高于核价时间同期《重庆工程造价信息》公布的信息价。</w:t>
      </w:r>
    </w:p>
    <w:p w14:paraId="501DC7C7">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（2）合同中没有约定核价时段的材料设备只允许核价一次，若出现两次以上的核价，结算审核时按最低核价办理。</w:t>
      </w:r>
    </w:p>
    <w:p w14:paraId="56842205">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（3）若材料设备认质认价过程中，甲方按市场行情核定的价格与乙方达不成一致意见，乙方拒绝采购时，甲方有权直接进行采购，同时乙方须向甲方支付该项采购或发包金额20%的违约金并在结算中扣除。</w:t>
      </w:r>
    </w:p>
    <w:p w14:paraId="0A8DBFB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（八）本工程结算金额以甲方委派的审计单位审定结果为准。</w:t>
      </w:r>
    </w:p>
    <w:p w14:paraId="1E78C54C">
      <w:pPr>
        <w:spacing w:line="360" w:lineRule="auto"/>
        <w:ind w:firstLine="422" w:firstLineChars="200"/>
        <w:outlineLvl w:val="9"/>
        <w:rPr>
          <w:rFonts w:hint="eastAsia" w:ascii="宋体" w:hAnsi="宋体" w:eastAsia="宋体" w:cs="宋体"/>
          <w:b/>
          <w:bCs/>
          <w:sz w:val="21"/>
          <w:szCs w:val="21"/>
          <w:highlight w:val="none"/>
        </w:rPr>
      </w:pPr>
      <w:bookmarkStart w:id="208" w:name="_Toc24"/>
      <w:bookmarkStart w:id="209" w:name="_Toc23544"/>
      <w:bookmarkStart w:id="210" w:name="_Toc6"/>
      <w:bookmarkStart w:id="211" w:name="_Toc13691"/>
      <w:bookmarkStart w:id="212" w:name="_Toc10191"/>
      <w:r>
        <w:rPr>
          <w:rFonts w:hint="eastAsia" w:ascii="宋体" w:hAnsi="宋体" w:eastAsia="宋体" w:cs="宋体"/>
          <w:b/>
          <w:bCs/>
          <w:sz w:val="21"/>
          <w:szCs w:val="21"/>
          <w:highlight w:val="none"/>
        </w:rPr>
        <w:t>十一、工程款支付</w:t>
      </w:r>
      <w:bookmarkEnd w:id="208"/>
      <w:bookmarkEnd w:id="209"/>
      <w:bookmarkEnd w:id="210"/>
      <w:bookmarkEnd w:id="211"/>
      <w:bookmarkEnd w:id="212"/>
    </w:p>
    <w:p w14:paraId="151CFF5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工程竣工验收合格，工程结算审计完成后，甲方向乙方支付至结算审定金额的 100%。</w:t>
      </w:r>
    </w:p>
    <w:p w14:paraId="05710921">
      <w:pPr>
        <w:spacing w:line="360" w:lineRule="auto"/>
        <w:ind w:firstLine="422" w:firstLineChars="200"/>
        <w:outlineLvl w:val="9"/>
        <w:rPr>
          <w:rFonts w:hint="eastAsia" w:ascii="宋体" w:hAnsi="宋体" w:eastAsia="宋体" w:cs="宋体"/>
          <w:b/>
          <w:bCs/>
          <w:sz w:val="21"/>
          <w:szCs w:val="21"/>
          <w:highlight w:val="none"/>
        </w:rPr>
      </w:pPr>
      <w:bookmarkStart w:id="213" w:name="_Toc11038"/>
      <w:bookmarkStart w:id="214" w:name="_Toc10977"/>
      <w:bookmarkStart w:id="215" w:name="_Toc1840"/>
      <w:bookmarkStart w:id="216" w:name="_Toc18364"/>
      <w:bookmarkStart w:id="217" w:name="_Toc13132"/>
      <w:r>
        <w:rPr>
          <w:rFonts w:hint="eastAsia" w:ascii="宋体" w:hAnsi="宋体" w:eastAsia="宋体" w:cs="宋体"/>
          <w:b/>
          <w:bCs/>
          <w:sz w:val="21"/>
          <w:szCs w:val="21"/>
          <w:highlight w:val="none"/>
        </w:rPr>
        <w:t>十二、工程质量保修期</w:t>
      </w:r>
      <w:bookmarkEnd w:id="213"/>
      <w:bookmarkEnd w:id="214"/>
      <w:bookmarkEnd w:id="215"/>
      <w:bookmarkEnd w:id="216"/>
      <w:bookmarkEnd w:id="217"/>
    </w:p>
    <w:p w14:paraId="2F24FCB5">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根据国家有关规定，结合本工程项目实际，约定工程质量保修期为壹年。</w:t>
      </w:r>
    </w:p>
    <w:p w14:paraId="30FC2974">
      <w:pPr>
        <w:spacing w:line="360" w:lineRule="auto"/>
        <w:ind w:firstLine="422" w:firstLineChars="200"/>
        <w:outlineLvl w:val="9"/>
        <w:rPr>
          <w:rFonts w:hint="eastAsia" w:ascii="宋体" w:hAnsi="宋体" w:eastAsia="宋体" w:cs="宋体"/>
          <w:b/>
          <w:bCs/>
          <w:sz w:val="21"/>
          <w:szCs w:val="21"/>
          <w:highlight w:val="none"/>
        </w:rPr>
      </w:pPr>
      <w:bookmarkStart w:id="218" w:name="_Toc15366"/>
      <w:bookmarkStart w:id="219" w:name="_Toc31459"/>
      <w:bookmarkStart w:id="220" w:name="_Toc19477"/>
      <w:bookmarkStart w:id="221" w:name="_Toc29540"/>
      <w:bookmarkStart w:id="222" w:name="_Toc31019"/>
      <w:r>
        <w:rPr>
          <w:rFonts w:hint="eastAsia" w:ascii="宋体" w:hAnsi="宋体" w:eastAsia="宋体" w:cs="宋体"/>
          <w:b/>
          <w:bCs/>
          <w:sz w:val="21"/>
          <w:szCs w:val="21"/>
          <w:highlight w:val="none"/>
        </w:rPr>
        <w:t>十三、双方权利与义务</w:t>
      </w:r>
      <w:bookmarkEnd w:id="218"/>
      <w:bookmarkEnd w:id="219"/>
      <w:bookmarkEnd w:id="220"/>
      <w:bookmarkEnd w:id="221"/>
      <w:bookmarkEnd w:id="222"/>
    </w:p>
    <w:p w14:paraId="3630DC6A">
      <w:pPr>
        <w:widowControl/>
        <w:spacing w:line="360" w:lineRule="auto"/>
        <w:ind w:firstLine="420" w:firstLineChars="200"/>
        <w:textAlignment w:val="top"/>
        <w:outlineLvl w:val="9"/>
        <w:rPr>
          <w:rFonts w:hint="eastAsia" w:ascii="宋体" w:hAnsi="宋体" w:eastAsia="宋体" w:cs="宋体"/>
          <w:kern w:val="0"/>
          <w:sz w:val="21"/>
          <w:szCs w:val="21"/>
          <w:highlight w:val="none"/>
        </w:rPr>
      </w:pPr>
      <w:bookmarkStart w:id="223" w:name="_Toc19588"/>
      <w:bookmarkStart w:id="224" w:name="_Toc20027"/>
      <w:bookmarkStart w:id="225" w:name="_Toc4519"/>
      <w:bookmarkStart w:id="226" w:name="_Toc4724"/>
      <w:bookmarkStart w:id="227" w:name="_Toc24079"/>
      <w:r>
        <w:rPr>
          <w:rFonts w:hint="eastAsia" w:ascii="宋体" w:hAnsi="宋体" w:eastAsia="宋体" w:cs="宋体"/>
          <w:kern w:val="0"/>
          <w:sz w:val="21"/>
          <w:szCs w:val="21"/>
          <w:highlight w:val="none"/>
        </w:rPr>
        <w:t>（一）甲方权利和义务</w:t>
      </w:r>
      <w:bookmarkEnd w:id="223"/>
      <w:bookmarkEnd w:id="224"/>
      <w:bookmarkEnd w:id="225"/>
      <w:bookmarkEnd w:id="226"/>
      <w:bookmarkEnd w:id="227"/>
    </w:p>
    <w:p w14:paraId="26CC8067">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1.负责本工程的监督，积极协调施工配合关系。</w:t>
      </w:r>
    </w:p>
    <w:p w14:paraId="3617DC90">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2.负责对乙方施工进度、质量、安全保护、综合管理的监督。</w:t>
      </w:r>
    </w:p>
    <w:p w14:paraId="7B4E4168">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3.负责提供施工所需的必要条件,施工过程中由甲方提供水电并承担一切费用。</w:t>
      </w:r>
    </w:p>
    <w:p w14:paraId="6CF80631">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4.审核乙方提交的施工组织方案、施工总进度计划、材料进场计划等资料。</w:t>
      </w:r>
    </w:p>
    <w:p w14:paraId="14E8F7C0">
      <w:pPr>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5.负责对图纸、方案的审核、确认，负责对工程进度、工程质量、隐蔽工程、配套工程和合同执行情况进行监督检查及设计图纸变更签证，工程中间验收和其他必要的签证。</w:t>
      </w:r>
    </w:p>
    <w:p w14:paraId="3E62B814">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6.负责组织竣工验收工作，在收到乙方提交所有竣工资料后及时组织验收。</w:t>
      </w:r>
    </w:p>
    <w:p w14:paraId="32C86D47">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7.按合同约定向乙方支付本项目的工程价款。</w:t>
      </w:r>
    </w:p>
    <w:p w14:paraId="4B508540">
      <w:pPr>
        <w:widowControl/>
        <w:spacing w:line="360" w:lineRule="auto"/>
        <w:ind w:firstLine="420" w:firstLineChars="200"/>
        <w:textAlignment w:val="top"/>
        <w:outlineLvl w:val="9"/>
        <w:rPr>
          <w:rFonts w:hint="eastAsia" w:ascii="宋体" w:hAnsi="宋体" w:eastAsia="宋体" w:cs="宋体"/>
          <w:kern w:val="0"/>
          <w:sz w:val="21"/>
          <w:szCs w:val="21"/>
          <w:highlight w:val="none"/>
        </w:rPr>
      </w:pPr>
      <w:bookmarkStart w:id="228" w:name="_Toc28872"/>
      <w:bookmarkStart w:id="229" w:name="_Toc1867"/>
      <w:bookmarkStart w:id="230" w:name="_Toc19408"/>
      <w:bookmarkStart w:id="231" w:name="_Toc27775"/>
      <w:bookmarkStart w:id="232" w:name="_Toc14667"/>
      <w:r>
        <w:rPr>
          <w:rFonts w:hint="eastAsia" w:ascii="宋体" w:hAnsi="宋体" w:eastAsia="宋体" w:cs="宋体"/>
          <w:kern w:val="0"/>
          <w:sz w:val="21"/>
          <w:szCs w:val="21"/>
          <w:highlight w:val="none"/>
        </w:rPr>
        <w:t>（二）乙方权利和义务</w:t>
      </w:r>
      <w:bookmarkEnd w:id="228"/>
      <w:bookmarkEnd w:id="229"/>
      <w:bookmarkEnd w:id="230"/>
      <w:bookmarkEnd w:id="231"/>
      <w:bookmarkEnd w:id="232"/>
    </w:p>
    <w:p w14:paraId="2EB939CD">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1.组织有技术水平的施工队伍，项目经理、技术负责人、工程管理人员必须到场施工。</w:t>
      </w:r>
    </w:p>
    <w:p w14:paraId="1162A9E8">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2.严格按设计图施工，质量技术指标符合工程的各类标准和规范的要求。乙方要遵守甲方及其主管部门的相关管理规定。</w:t>
      </w:r>
    </w:p>
    <w:p w14:paraId="4E8A539A">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3.施工中发现问题及时向甲方报告并提出解决方案。</w:t>
      </w:r>
    </w:p>
    <w:p w14:paraId="26C34039">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4.提供竣工验收技术档案资料，并准备竣工技术图纸，办理工程竣工结算，参加竣工验收。竣工资料应同时满足甲方要求和法律法规规章规定和行政主管部门要求。</w:t>
      </w:r>
    </w:p>
    <w:p w14:paraId="1F88F215">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负责对施工所产生的所有余土、建筑和生活垃圾的外运和倾倒，并严格实行《重庆市人民政府关于对主城区易撒漏物质实行密闭运输的通告》（市政府令第164号）的规定，由此所发生的费用已计入本合同价款内。如果乙方不按上述规定执行，造成损失的，由乙方承担相应责任。</w:t>
      </w:r>
    </w:p>
    <w:p w14:paraId="60D985C9">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6.根据工程需要，提供和维修非夜间和夜间施工使用的所有照明、围栏设施及安全警示标志，并负责现场安全保卫。如果乙方不按上述规定执行的，造成损失的，由乙方承担相应责任。</w:t>
      </w:r>
    </w:p>
    <w:p w14:paraId="05FAB5D6">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7.确保施工不影响工程沿线正常交通、生产和生活。如果乙方不按上述规定执行，造成损失的，由乙方承担相应责任。</w:t>
      </w:r>
    </w:p>
    <w:p w14:paraId="2171F823">
      <w:pPr>
        <w:spacing w:line="360" w:lineRule="auto"/>
        <w:ind w:firstLine="422" w:firstLineChars="200"/>
        <w:outlineLvl w:val="9"/>
        <w:rPr>
          <w:rFonts w:hint="eastAsia" w:ascii="宋体" w:hAnsi="宋体" w:eastAsia="宋体" w:cs="宋体"/>
          <w:b/>
          <w:bCs/>
          <w:sz w:val="21"/>
          <w:szCs w:val="21"/>
          <w:highlight w:val="none"/>
        </w:rPr>
      </w:pPr>
      <w:bookmarkStart w:id="233" w:name="_Toc7198"/>
      <w:bookmarkStart w:id="234" w:name="_Toc15883"/>
      <w:bookmarkStart w:id="235" w:name="_Toc9522"/>
      <w:bookmarkStart w:id="236" w:name="_Toc18998"/>
      <w:bookmarkStart w:id="237" w:name="_Toc28293"/>
      <w:r>
        <w:rPr>
          <w:rFonts w:hint="eastAsia" w:ascii="宋体" w:hAnsi="宋体" w:eastAsia="宋体" w:cs="宋体"/>
          <w:b/>
          <w:bCs/>
          <w:sz w:val="21"/>
          <w:szCs w:val="21"/>
          <w:highlight w:val="none"/>
        </w:rPr>
        <w:t>十四、违约责任</w:t>
      </w:r>
      <w:bookmarkEnd w:id="233"/>
      <w:bookmarkEnd w:id="234"/>
      <w:bookmarkEnd w:id="235"/>
      <w:bookmarkEnd w:id="236"/>
      <w:bookmarkEnd w:id="237"/>
    </w:p>
    <w:p w14:paraId="6790261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乙方未按国家、行业和重庆市有关施工质量验收规范、技术规范、技术标准和规程、《工程建设标准强制性条文》及施工图纸的要求进行施工，或偷工减料、弄虚作假的，每发现一次或一处，甲方有权对乙方处以2000元（大写：贰仟元）的违约金。</w:t>
      </w:r>
    </w:p>
    <w:p w14:paraId="50DC92C4">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（二）本工程必须达到一次验收合格标准，如不能达到一次验收合格标准，乙方除必须返修达到合格标准外，还须承担合同金额</w:t>
      </w: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rPr>
        <w:t>的违约金，返修一次后仍不能合格，甲方有权解除合同，乙方应无条件退场，造成的损失全部由乙方承担。</w:t>
      </w:r>
    </w:p>
    <w:p w14:paraId="4EE55D18">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因乙方原因，未按经甲方批准的进度计划组织施工，造成不能在约定的工期内完成施工的，凡超出一天，乙方向甲方支付3000元/天的违约金，相关费用在支付工程款中一并扣除，并纳入工程结算。实际进度比进度计划滞后30天以上的；或乙方在执行本合同过程中，安全生产、文明施工、环保或环卫不能满足国家、重庆市和本合同有关规定要求的；或乙方在双方约定的指定期限内不进行整改或经整改仍不能达到本合同要求的，甲方有权解除合同。</w:t>
      </w:r>
    </w:p>
    <w:p w14:paraId="5344FCF3">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乙方违反国家和重庆市安全生产、文明施工、环保及环卫有关规定的，除按相关规定进行处罚外，每发现一次或一处，甲方有权对乙方处以2000元（大写：贰仟元）违约金，同时乙方必须按甲方的要求立即进行整改。</w:t>
      </w:r>
    </w:p>
    <w:p w14:paraId="161D79C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（五）乙方向甲方提供的所有工程资料和数据必须真实可靠。经检查发现乙方有弄虚作假的，每发现一次，甲方有权对乙方处以2000元（大写：贰仟元）违约金。</w:t>
      </w:r>
    </w:p>
    <w:p w14:paraId="0C7CF5F5">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（六）乙方在工程收方中采用欺骗手段或弄虚作假的，每发现一次，甲方有权对乙方处以5000元（大写：伍仟元）违约金。</w:t>
      </w:r>
    </w:p>
    <w:p w14:paraId="5478BE63">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（七）乙方将本工程转包、同意第三者挂靠承揽本工程、未经甲方同意进行分包的，按采购文件要求执行。</w:t>
      </w:r>
    </w:p>
    <w:p w14:paraId="35B2ACA1">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（八）由乙方延迟竣工期间发生的所有安全责任、违约责任及经济损失由乙方承担。</w:t>
      </w:r>
    </w:p>
    <w:p w14:paraId="1F6FA78D">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（九）乙方在本工程施工过程中须严格遵守设计图纸要求及相关规范，若出现质量、进度、安全等问题则按照甲方相关工程管理违约处理细则执行违约处罚。</w:t>
      </w:r>
    </w:p>
    <w:p w14:paraId="130F7C82">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（十）乙方不得有任何形式的恶意停工、暂停和不合理的消极怠工（消极怠工的性质界定以甲方的界定为准），如有此类事情发生，甲方或主管部门有权从合同总价内直接扣除10%作为违约金。</w:t>
      </w:r>
    </w:p>
    <w:p w14:paraId="03A79E7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（十一）乙方有如1人单独作业的情况发生，每发现一次，甲方有权对乙方处以1000元（大写：壹仟元）违约金。</w:t>
      </w:r>
    </w:p>
    <w:p w14:paraId="7F32123C">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（十二）乙方应妥善保护施工场地设施设备，如有损坏，应恢复原样；如造成损失，应照价赔偿。</w:t>
      </w:r>
    </w:p>
    <w:p w14:paraId="632F9443">
      <w:pPr>
        <w:autoSpaceDE w:val="0"/>
        <w:autoSpaceDN w:val="0"/>
        <w:spacing w:line="360" w:lineRule="auto"/>
        <w:ind w:firstLine="316" w:firstLineChars="150"/>
        <w:outlineLvl w:val="9"/>
        <w:rPr>
          <w:rFonts w:hint="eastAsia" w:ascii="宋体" w:hAnsi="宋体" w:eastAsia="宋体" w:cs="宋体"/>
          <w:kern w:val="0"/>
          <w:sz w:val="21"/>
          <w:szCs w:val="21"/>
          <w:highlight w:val="none"/>
        </w:rPr>
      </w:pPr>
      <w:bookmarkStart w:id="238" w:name="_Toc15033"/>
      <w:bookmarkStart w:id="239" w:name="_Toc13886"/>
      <w:bookmarkStart w:id="240" w:name="_Toc16008"/>
      <w:bookmarkStart w:id="241" w:name="_Toc8183"/>
      <w:bookmarkStart w:id="242" w:name="_Toc1455"/>
      <w:r>
        <w:rPr>
          <w:rFonts w:hint="eastAsia" w:ascii="宋体" w:hAnsi="宋体" w:eastAsia="宋体" w:cs="宋体"/>
          <w:b/>
          <w:kern w:val="0"/>
          <w:sz w:val="21"/>
          <w:szCs w:val="21"/>
          <w:highlight w:val="none"/>
        </w:rPr>
        <w:t>十</w:t>
      </w:r>
      <w:r>
        <w:rPr>
          <w:rFonts w:hint="eastAsia" w:ascii="宋体" w:hAnsi="宋体" w:eastAsia="宋体" w:cs="宋体"/>
          <w:b/>
          <w:bCs/>
          <w:sz w:val="21"/>
          <w:szCs w:val="21"/>
          <w:highlight w:val="none"/>
        </w:rPr>
        <w:t>五</w:t>
      </w:r>
      <w:r>
        <w:rPr>
          <w:rFonts w:hint="eastAsia" w:ascii="宋体" w:hAnsi="宋体" w:eastAsia="宋体" w:cs="宋体"/>
          <w:b/>
          <w:kern w:val="0"/>
          <w:sz w:val="21"/>
          <w:szCs w:val="21"/>
          <w:highlight w:val="none"/>
        </w:rPr>
        <w:t>、补充条款</w:t>
      </w:r>
      <w:bookmarkEnd w:id="238"/>
      <w:bookmarkEnd w:id="239"/>
      <w:bookmarkEnd w:id="240"/>
      <w:bookmarkEnd w:id="241"/>
      <w:bookmarkEnd w:id="242"/>
    </w:p>
    <w:p w14:paraId="0341AC4F">
      <w:pPr>
        <w:autoSpaceDE w:val="0"/>
        <w:autoSpaceDN w:val="0"/>
        <w:spacing w:line="360" w:lineRule="auto"/>
        <w:ind w:firstLine="42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本项目首先保障民工工资不拖欠，且不能以支付民工工资民义向甲方要求超合同付款。为确保民工工资按时发放，乙方应当在收到甲方按合同约定支付的进度款后，优先用于支付民工工资（按用工情况登记造册后，实行银行打卡发放），并在甲方将进度款支付到乙方后5个工作日内，将银行打卡发放民工工资凭证复印件交甲方归档，以此作为下一次拨付工程款的重要依据。</w:t>
      </w:r>
    </w:p>
    <w:p w14:paraId="0F218050">
      <w:pPr>
        <w:snapToGrid w:val="0"/>
        <w:spacing w:line="360" w:lineRule="auto"/>
        <w:ind w:firstLine="42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若因乙方原因造成拖欠民工工资事件的发生，乙方构成违约，乙方因此承担工程结算总价10%的违约责任，违约金在应付工程款中扣除，同时甲方有权以拟支付的进度款先行支付民工工资。如发生前述情形且情节严重，甲方将上报建设行政主管部门。</w:t>
      </w:r>
    </w:p>
    <w:p w14:paraId="1C464B6C">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乙方知晓甲方该项目的施工期间在场地中穿插有设备安装、其他建、构筑物施工的作业，并承诺无条件服从甲方现场协调安排、全力配合，并不由此提出任何理由的收费（配合费等所有费用）、停工、窝工、延长工期等要求，并保证不损坏场内其他单位的成品、材料、机具等。</w:t>
      </w:r>
    </w:p>
    <w:p w14:paraId="2E37F9E7">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乙方知晓甲方该项目的施工有交叉作业，承诺无条件服从甲方现场协调、安排投标清单的局部内容施工的调整，全力配合，并不由此提出任何理由的收费（配合费等所有费用）、改变投标单价、停工、窝工、延长工期等要求。</w:t>
      </w:r>
    </w:p>
    <w:p w14:paraId="113D6DD6">
      <w:pPr>
        <w:autoSpaceDE w:val="0"/>
        <w:autoSpaceDN w:val="0"/>
        <w:spacing w:line="360" w:lineRule="auto"/>
        <w:ind w:firstLine="357" w:firstLineChars="17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（五）若非乙方原因，而造成工期延误，须经甲方确认后，可顺延工期；但乙方不得以此提出任何价格调整和索赔。</w:t>
      </w:r>
    </w:p>
    <w:p w14:paraId="5BB473FD">
      <w:pPr>
        <w:autoSpaceDE w:val="0"/>
        <w:autoSpaceDN w:val="0"/>
        <w:spacing w:line="360" w:lineRule="auto"/>
        <w:ind w:firstLine="357" w:firstLineChars="17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（六）施工过程中发生的各类矛盾及纠纷由乙方自行处理，因乙方的原因引起的矛盾及纠纷影响了工程进度，工期不得顺延。</w:t>
      </w:r>
    </w:p>
    <w:p w14:paraId="0A7935C5">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（七）合同未尽事宜，合同当事人另行签订补充协议，补充协议是合同的组成部分。</w:t>
      </w:r>
    </w:p>
    <w:p w14:paraId="11E1E778">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因乙方原因引发安全责任事故和其他一切纠纷，均由乙方自行承担全部法律责任。甲方因此涉诉涉访（含诉讼、仲裁）或遭受损失的，乙方还应赔偿甲方因此支出的律师费、鉴定费、交通费、诉讼费、仲裁费等一切合理开支和全部损失。</w:t>
      </w:r>
    </w:p>
    <w:p w14:paraId="37107F19">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43" w:name="_Toc2721"/>
      <w:bookmarkStart w:id="244" w:name="_Toc29702"/>
      <w:bookmarkStart w:id="245" w:name="_Toc3557"/>
      <w:bookmarkStart w:id="246" w:name="_Toc18076"/>
      <w:bookmarkStart w:id="247" w:name="_Toc24217"/>
      <w:r>
        <w:rPr>
          <w:rFonts w:hint="eastAsia" w:ascii="宋体" w:hAnsi="宋体" w:eastAsia="宋体" w:cs="宋体"/>
          <w:b/>
          <w:kern w:val="0"/>
          <w:sz w:val="21"/>
          <w:szCs w:val="21"/>
          <w:highlight w:val="none"/>
        </w:rPr>
        <w:t>十六、争议解决</w:t>
      </w:r>
      <w:bookmarkEnd w:id="243"/>
      <w:bookmarkEnd w:id="244"/>
      <w:bookmarkEnd w:id="245"/>
      <w:bookmarkEnd w:id="246"/>
      <w:bookmarkEnd w:id="247"/>
    </w:p>
    <w:p w14:paraId="4FC7E897">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因合同及合同有关事项发生的争议，由甲乙双方协商解决，协商不成的，按下列第</w:t>
      </w:r>
      <w:r>
        <w:rPr>
          <w:rFonts w:hint="eastAsia" w:ascii="宋体" w:hAnsi="宋体" w:eastAsia="宋体" w:cs="宋体"/>
          <w:kern w:val="0"/>
          <w:sz w:val="21"/>
          <w:szCs w:val="21"/>
          <w:highlight w:val="none"/>
          <w:u w:val="single"/>
        </w:rPr>
        <w:t>（2）</w:t>
      </w:r>
      <w:r>
        <w:rPr>
          <w:rFonts w:hint="eastAsia" w:ascii="宋体" w:hAnsi="宋体" w:eastAsia="宋体" w:cs="宋体"/>
          <w:kern w:val="0"/>
          <w:sz w:val="21"/>
          <w:szCs w:val="21"/>
          <w:highlight w:val="none"/>
        </w:rPr>
        <w:t>种方式解决：</w:t>
      </w:r>
    </w:p>
    <w:p w14:paraId="2FDDB1FF">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（1）向</w:t>
      </w:r>
      <w:r>
        <w:rPr>
          <w:rFonts w:hint="eastAsia" w:ascii="宋体" w:hAnsi="宋体" w:eastAsia="宋体" w:cs="宋体"/>
          <w:kern w:val="0"/>
          <w:sz w:val="21"/>
          <w:szCs w:val="21"/>
          <w:highlight w:val="none"/>
          <w:u w:val="single"/>
        </w:rPr>
        <w:t>工程所在地的</w:t>
      </w:r>
      <w:r>
        <w:rPr>
          <w:rFonts w:hint="eastAsia" w:ascii="宋体" w:hAnsi="宋体" w:eastAsia="宋体" w:cs="宋体"/>
          <w:kern w:val="0"/>
          <w:sz w:val="21"/>
          <w:szCs w:val="21"/>
          <w:highlight w:val="none"/>
        </w:rPr>
        <w:t>仲裁委员会申请仲裁；</w:t>
      </w:r>
    </w:p>
    <w:p w14:paraId="751AA9E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（2）向</w:t>
      </w:r>
      <w:r>
        <w:rPr>
          <w:rFonts w:hint="eastAsia" w:ascii="宋体" w:hAnsi="宋体" w:eastAsia="宋体" w:cs="宋体"/>
          <w:kern w:val="0"/>
          <w:sz w:val="21"/>
          <w:szCs w:val="21"/>
          <w:highlight w:val="none"/>
          <w:u w:val="single"/>
        </w:rPr>
        <w:t>工程所在地的</w:t>
      </w:r>
      <w:r>
        <w:rPr>
          <w:rFonts w:hint="eastAsia" w:ascii="宋体" w:hAnsi="宋体" w:eastAsia="宋体" w:cs="宋体"/>
          <w:kern w:val="0"/>
          <w:sz w:val="21"/>
          <w:szCs w:val="21"/>
          <w:highlight w:val="none"/>
        </w:rPr>
        <w:t>人民法院起诉。</w:t>
      </w:r>
    </w:p>
    <w:p w14:paraId="410B4C4B">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48" w:name="_Toc27252"/>
      <w:bookmarkStart w:id="249" w:name="_Toc13578"/>
      <w:bookmarkStart w:id="250" w:name="_Toc24402"/>
      <w:bookmarkStart w:id="251" w:name="_Toc26014"/>
      <w:bookmarkStart w:id="252" w:name="_Toc30216"/>
      <w:r>
        <w:rPr>
          <w:rFonts w:hint="eastAsia" w:ascii="宋体" w:hAnsi="宋体" w:eastAsia="宋体" w:cs="宋体"/>
          <w:b/>
          <w:kern w:val="0"/>
          <w:sz w:val="21"/>
          <w:szCs w:val="21"/>
          <w:highlight w:val="none"/>
        </w:rPr>
        <w:t>十七、合同生效</w:t>
      </w:r>
      <w:bookmarkEnd w:id="248"/>
      <w:bookmarkEnd w:id="249"/>
      <w:bookmarkEnd w:id="250"/>
      <w:bookmarkEnd w:id="251"/>
      <w:bookmarkEnd w:id="252"/>
    </w:p>
    <w:p w14:paraId="36A5362A">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bCs/>
          <w:sz w:val="21"/>
          <w:szCs w:val="21"/>
          <w:highlight w:val="none"/>
          <w:u w:val="single"/>
        </w:rPr>
        <w:t xml:space="preserve"> 签订之日起 </w:t>
      </w:r>
      <w:r>
        <w:rPr>
          <w:rFonts w:hint="eastAsia" w:ascii="宋体" w:hAnsi="宋体" w:eastAsia="宋体" w:cs="宋体"/>
          <w:bCs/>
          <w:sz w:val="21"/>
          <w:szCs w:val="21"/>
          <w:highlight w:val="none"/>
        </w:rPr>
        <w:t>生效。</w:t>
      </w:r>
    </w:p>
    <w:p w14:paraId="350D24C3">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53" w:name="_Toc23863"/>
      <w:bookmarkStart w:id="254" w:name="_Toc7517"/>
      <w:bookmarkStart w:id="255" w:name="_Toc28858"/>
      <w:bookmarkStart w:id="256" w:name="_Toc18314"/>
      <w:bookmarkStart w:id="257" w:name="_Toc9244"/>
      <w:r>
        <w:rPr>
          <w:rFonts w:hint="eastAsia" w:ascii="宋体" w:hAnsi="宋体" w:eastAsia="宋体" w:cs="宋体"/>
          <w:b/>
          <w:kern w:val="0"/>
          <w:sz w:val="21"/>
          <w:szCs w:val="21"/>
          <w:highlight w:val="none"/>
        </w:rPr>
        <w:t>十八、合同份数</w:t>
      </w:r>
      <w:bookmarkEnd w:id="253"/>
      <w:bookmarkEnd w:id="254"/>
      <w:bookmarkEnd w:id="255"/>
      <w:bookmarkEnd w:id="256"/>
      <w:bookmarkEnd w:id="257"/>
    </w:p>
    <w:p w14:paraId="4AB90084">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本合同一式陆份，均具有同等法律效力，甲方执叁份，乙方执叁份。</w:t>
      </w:r>
    </w:p>
    <w:p w14:paraId="6FCCB21B">
      <w:pPr>
        <w:spacing w:line="360" w:lineRule="auto"/>
        <w:ind w:firstLine="420" w:firstLineChars="200"/>
        <w:outlineLvl w:val="9"/>
        <w:rPr>
          <w:rFonts w:hint="eastAsia" w:ascii="宋体" w:hAnsi="宋体" w:eastAsia="宋体" w:cs="宋体"/>
          <w:bCs/>
          <w:sz w:val="21"/>
          <w:szCs w:val="21"/>
          <w:highlight w:val="none"/>
        </w:rPr>
      </w:pPr>
    </w:p>
    <w:p w14:paraId="7989209E">
      <w:pPr>
        <w:spacing w:line="360" w:lineRule="auto"/>
        <w:outlineLvl w:val="9"/>
        <w:rPr>
          <w:rFonts w:hint="eastAsia" w:ascii="宋体" w:hAnsi="宋体" w:eastAsia="宋体" w:cs="宋体"/>
          <w:kern w:val="0"/>
          <w:sz w:val="21"/>
          <w:szCs w:val="21"/>
          <w:highlight w:val="none"/>
        </w:rPr>
      </w:pPr>
    </w:p>
    <w:p w14:paraId="43F2D78C">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甲方现场代表：                            联系电话：</w:t>
      </w:r>
    </w:p>
    <w:p w14:paraId="5495051F">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乙方项目负责人：                          联系电话：</w:t>
      </w:r>
    </w:p>
    <w:p w14:paraId="520A04A7">
      <w:pPr>
        <w:spacing w:line="360" w:lineRule="auto"/>
        <w:outlineLvl w:val="9"/>
        <w:rPr>
          <w:rFonts w:hint="eastAsia" w:ascii="宋体" w:hAnsi="宋体" w:eastAsia="宋体" w:cs="宋体"/>
          <w:kern w:val="0"/>
          <w:sz w:val="21"/>
          <w:szCs w:val="21"/>
          <w:highlight w:val="none"/>
        </w:rPr>
      </w:pPr>
    </w:p>
    <w:p w14:paraId="60C4C57A">
      <w:pPr>
        <w:spacing w:line="360" w:lineRule="auto"/>
        <w:outlineLvl w:val="9"/>
        <w:rPr>
          <w:rFonts w:hint="eastAsia" w:ascii="宋体" w:hAnsi="宋体" w:eastAsia="宋体" w:cs="宋体"/>
          <w:kern w:val="0"/>
          <w:sz w:val="21"/>
          <w:szCs w:val="21"/>
          <w:highlight w:val="none"/>
        </w:rPr>
      </w:pPr>
    </w:p>
    <w:p w14:paraId="7C6D0368">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甲方：（公章）                            乙方：（公章）</w:t>
      </w:r>
    </w:p>
    <w:p w14:paraId="5F1A8ADB">
      <w:pPr>
        <w:spacing w:line="360" w:lineRule="auto"/>
        <w:outlineLvl w:val="9"/>
        <w:rPr>
          <w:rFonts w:hint="eastAsia" w:ascii="宋体" w:hAnsi="宋体" w:eastAsia="宋体" w:cs="宋体"/>
          <w:kern w:val="0"/>
          <w:sz w:val="21"/>
          <w:szCs w:val="21"/>
          <w:highlight w:val="none"/>
        </w:rPr>
      </w:pPr>
    </w:p>
    <w:p w14:paraId="4F9D4AA3">
      <w:pPr>
        <w:spacing w:line="360" w:lineRule="auto"/>
        <w:outlineLvl w:val="9"/>
        <w:rPr>
          <w:rFonts w:hint="eastAsia" w:ascii="宋体" w:hAnsi="宋体" w:eastAsia="宋体" w:cs="宋体"/>
          <w:kern w:val="0"/>
          <w:sz w:val="21"/>
          <w:szCs w:val="21"/>
          <w:highlight w:val="none"/>
        </w:rPr>
      </w:pPr>
    </w:p>
    <w:p w14:paraId="1DA994F4">
      <w:pPr>
        <w:spacing w:line="360" w:lineRule="auto"/>
        <w:outlineLvl w:val="9"/>
        <w:rPr>
          <w:rFonts w:hint="eastAsia" w:ascii="宋体" w:hAnsi="宋体" w:eastAsia="宋体" w:cs="宋体"/>
          <w:kern w:val="0"/>
          <w:sz w:val="21"/>
          <w:szCs w:val="21"/>
          <w:highlight w:val="none"/>
        </w:rPr>
      </w:pPr>
    </w:p>
    <w:p w14:paraId="047FFCFA">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                                法定代表人</w:t>
      </w:r>
    </w:p>
    <w:p w14:paraId="36AC6EBF">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或其委托代理人（签字）：                  或其委托代理人（签字）：</w:t>
      </w:r>
    </w:p>
    <w:p w14:paraId="62691E05">
      <w:pPr>
        <w:spacing w:line="360" w:lineRule="auto"/>
        <w:outlineLvl w:val="9"/>
        <w:rPr>
          <w:rFonts w:hint="eastAsia" w:ascii="宋体" w:hAnsi="宋体" w:eastAsia="宋体" w:cs="宋体"/>
          <w:kern w:val="0"/>
          <w:sz w:val="21"/>
          <w:szCs w:val="21"/>
          <w:highlight w:val="none"/>
        </w:rPr>
      </w:pPr>
    </w:p>
    <w:p w14:paraId="1E905E72">
      <w:pPr>
        <w:spacing w:line="360" w:lineRule="auto"/>
        <w:outlineLvl w:val="9"/>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地址：                                    地址：</w:t>
      </w:r>
    </w:p>
    <w:p w14:paraId="7237DFBC">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                                    电话：</w:t>
      </w:r>
    </w:p>
    <w:p w14:paraId="4F592C00">
      <w:pPr>
        <w:spacing w:line="360" w:lineRule="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签订时间：</w:t>
      </w:r>
      <w:r>
        <w:rPr>
          <w:rFonts w:hint="eastAsia" w:ascii="宋体" w:hAnsi="宋体" w:eastAsia="宋体" w:cs="宋体"/>
          <w:bCs/>
          <w:sz w:val="21"/>
          <w:szCs w:val="21"/>
          <w:highlight w:val="none"/>
        </w:rPr>
        <w:t>XX年 XX月XX日</w:t>
      </w:r>
    </w:p>
    <w:p w14:paraId="0CD584E7">
      <w:pPr>
        <w:pStyle w:val="10"/>
        <w:outlineLvl w:val="9"/>
        <w:rPr>
          <w:highlight w:val="none"/>
        </w:rPr>
      </w:pPr>
    </w:p>
    <w:p w14:paraId="70747DFE">
      <w:pPr>
        <w:outlineLvl w:val="9"/>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p>
    <w:p w14:paraId="2544F7F2">
      <w:pPr>
        <w:pStyle w:val="3"/>
        <w:spacing w:before="0" w:after="0" w:line="360" w:lineRule="auto"/>
        <w:jc w:val="center"/>
        <w:outlineLvl w:val="0"/>
        <w:rPr>
          <w:rFonts w:ascii="宋体" w:hAnsi="宋体" w:eastAsia="宋体" w:cs="宋体"/>
          <w:b/>
          <w:bCs/>
          <w:sz w:val="36"/>
          <w:szCs w:val="30"/>
          <w:highlight w:val="none"/>
        </w:rPr>
      </w:pPr>
      <w:bookmarkStart w:id="258" w:name="_Toc18021"/>
      <w:r>
        <w:rPr>
          <w:rFonts w:hint="eastAsia" w:ascii="宋体" w:hAnsi="宋体" w:eastAsia="宋体" w:cs="宋体"/>
          <w:b/>
          <w:bCs/>
          <w:sz w:val="36"/>
          <w:szCs w:val="30"/>
          <w:highlight w:val="none"/>
        </w:rPr>
        <w:t>第七篇  响应文件格式要求</w:t>
      </w:r>
      <w:bookmarkEnd w:id="107"/>
      <w:bookmarkEnd w:id="258"/>
    </w:p>
    <w:p w14:paraId="649FAFC9">
      <w:pPr>
        <w:outlineLvl w:val="9"/>
        <w:rPr>
          <w:rFonts w:hint="eastAsia" w:ascii="宋体" w:hAnsi="宋体" w:eastAsia="宋体" w:cs="宋体"/>
          <w:i/>
          <w:iCs/>
          <w:highlight w:val="none"/>
        </w:rPr>
      </w:pPr>
      <w:bookmarkStart w:id="259" w:name="_Toc12789073"/>
      <w:bookmarkStart w:id="260" w:name="_Toc24835"/>
      <w:bookmarkStart w:id="261" w:name="_Toc342913419"/>
      <w:bookmarkStart w:id="262" w:name="_Toc313888360"/>
      <w:bookmarkStart w:id="263" w:name="_Toc283382454"/>
      <w:bookmarkStart w:id="264" w:name="_Toc313008356"/>
      <w:r>
        <w:rPr>
          <w:rFonts w:hint="eastAsia" w:ascii="宋体" w:hAnsi="宋体" w:eastAsia="宋体" w:cs="宋体"/>
          <w:i/>
          <w:iCs/>
          <w:highlight w:val="none"/>
        </w:rPr>
        <w:t>封面格式</w:t>
      </w:r>
    </w:p>
    <w:p w14:paraId="25F97B1E">
      <w:pPr>
        <w:spacing w:line="700" w:lineRule="exact"/>
        <w:jc w:val="left"/>
        <w:outlineLvl w:val="9"/>
        <w:rPr>
          <w:rFonts w:hint="eastAsia" w:ascii="宋体" w:hAnsi="宋体" w:eastAsia="宋体" w:cs="宋体"/>
          <w:sz w:val="36"/>
          <w:szCs w:val="30"/>
          <w:highlight w:val="none"/>
        </w:rPr>
      </w:pPr>
    </w:p>
    <w:p w14:paraId="6B2BC2BC">
      <w:pPr>
        <w:spacing w:line="480" w:lineRule="exact"/>
        <w:ind w:firstLine="723" w:firstLineChars="200"/>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采购项目名称：</w:t>
      </w:r>
    </w:p>
    <w:p w14:paraId="7CE8176B">
      <w:pPr>
        <w:spacing w:line="480" w:lineRule="exact"/>
        <w:ind w:firstLine="723" w:firstLineChars="200"/>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项目执行编号：</w:t>
      </w:r>
    </w:p>
    <w:p w14:paraId="0C8C9F4F">
      <w:pPr>
        <w:spacing w:line="480" w:lineRule="exact"/>
        <w:jc w:val="center"/>
        <w:outlineLvl w:val="9"/>
        <w:rPr>
          <w:rFonts w:hint="eastAsia" w:ascii="宋体" w:hAnsi="宋体" w:eastAsia="宋体" w:cs="宋体"/>
          <w:b/>
          <w:bCs/>
          <w:sz w:val="36"/>
          <w:szCs w:val="36"/>
          <w:highlight w:val="none"/>
        </w:rPr>
      </w:pPr>
    </w:p>
    <w:p w14:paraId="7C56FC79">
      <w:pPr>
        <w:spacing w:line="480" w:lineRule="exact"/>
        <w:jc w:val="center"/>
        <w:outlineLvl w:val="9"/>
        <w:rPr>
          <w:rFonts w:hint="eastAsia" w:ascii="宋体" w:hAnsi="宋体" w:eastAsia="宋体" w:cs="宋体"/>
          <w:b/>
          <w:bCs/>
          <w:sz w:val="36"/>
          <w:szCs w:val="36"/>
          <w:highlight w:val="none"/>
        </w:rPr>
      </w:pPr>
    </w:p>
    <w:p w14:paraId="67B7E507">
      <w:pPr>
        <w:spacing w:line="480" w:lineRule="exact"/>
        <w:jc w:val="center"/>
        <w:outlineLvl w:val="9"/>
        <w:rPr>
          <w:rFonts w:hint="eastAsia" w:ascii="宋体" w:hAnsi="宋体" w:eastAsia="宋体" w:cs="宋体"/>
          <w:b/>
          <w:bCs/>
          <w:sz w:val="36"/>
          <w:szCs w:val="36"/>
          <w:highlight w:val="none"/>
        </w:rPr>
      </w:pPr>
    </w:p>
    <w:p w14:paraId="7F0B17B7">
      <w:pPr>
        <w:spacing w:line="480" w:lineRule="exact"/>
        <w:jc w:val="center"/>
        <w:outlineLvl w:val="9"/>
        <w:rPr>
          <w:rFonts w:hint="eastAsia" w:ascii="宋体" w:hAnsi="宋体" w:eastAsia="宋体" w:cs="宋体"/>
          <w:b/>
          <w:bCs/>
          <w:sz w:val="36"/>
          <w:szCs w:val="36"/>
          <w:highlight w:val="none"/>
        </w:rPr>
      </w:pPr>
    </w:p>
    <w:p w14:paraId="1CC2FFEF">
      <w:pPr>
        <w:jc w:val="center"/>
        <w:outlineLvl w:val="9"/>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响应文件</w:t>
      </w:r>
    </w:p>
    <w:p w14:paraId="3C937E4A">
      <w:pPr>
        <w:spacing w:line="480" w:lineRule="exact"/>
        <w:ind w:firstLine="763" w:firstLineChars="211"/>
        <w:jc w:val="left"/>
        <w:outlineLvl w:val="9"/>
        <w:rPr>
          <w:rFonts w:hint="eastAsia" w:ascii="宋体" w:hAnsi="宋体" w:eastAsia="宋体" w:cs="宋体"/>
          <w:b/>
          <w:bCs/>
          <w:sz w:val="36"/>
          <w:szCs w:val="36"/>
          <w:highlight w:val="none"/>
        </w:rPr>
      </w:pPr>
    </w:p>
    <w:p w14:paraId="12807429">
      <w:pPr>
        <w:spacing w:line="480" w:lineRule="exact"/>
        <w:ind w:firstLine="763" w:firstLineChars="211"/>
        <w:jc w:val="left"/>
        <w:outlineLvl w:val="9"/>
        <w:rPr>
          <w:rFonts w:hint="eastAsia" w:ascii="宋体" w:hAnsi="宋体" w:eastAsia="宋体" w:cs="宋体"/>
          <w:b/>
          <w:bCs/>
          <w:sz w:val="36"/>
          <w:szCs w:val="36"/>
          <w:highlight w:val="none"/>
        </w:rPr>
      </w:pPr>
    </w:p>
    <w:p w14:paraId="12F872E1">
      <w:pPr>
        <w:spacing w:line="480" w:lineRule="exact"/>
        <w:ind w:firstLine="763" w:firstLineChars="211"/>
        <w:jc w:val="left"/>
        <w:outlineLvl w:val="9"/>
        <w:rPr>
          <w:rFonts w:hint="eastAsia" w:ascii="宋体" w:hAnsi="宋体" w:eastAsia="宋体" w:cs="宋体"/>
          <w:b/>
          <w:bCs/>
          <w:sz w:val="36"/>
          <w:szCs w:val="36"/>
          <w:highlight w:val="none"/>
        </w:rPr>
      </w:pPr>
    </w:p>
    <w:p w14:paraId="5A2D0BD4">
      <w:pPr>
        <w:spacing w:line="480" w:lineRule="exact"/>
        <w:ind w:firstLine="763" w:firstLineChars="211"/>
        <w:jc w:val="left"/>
        <w:outlineLvl w:val="9"/>
        <w:rPr>
          <w:rFonts w:hint="eastAsia" w:ascii="宋体" w:hAnsi="宋体" w:eastAsia="宋体" w:cs="宋体"/>
          <w:b/>
          <w:bCs/>
          <w:sz w:val="36"/>
          <w:szCs w:val="36"/>
          <w:highlight w:val="none"/>
        </w:rPr>
      </w:pPr>
    </w:p>
    <w:p w14:paraId="5E8ECF8D">
      <w:pPr>
        <w:spacing w:line="480" w:lineRule="exact"/>
        <w:ind w:firstLine="763" w:firstLineChars="211"/>
        <w:jc w:val="left"/>
        <w:outlineLvl w:val="9"/>
        <w:rPr>
          <w:rFonts w:hint="eastAsia" w:ascii="宋体" w:hAnsi="宋体" w:eastAsia="宋体" w:cs="宋体"/>
          <w:b/>
          <w:bCs/>
          <w:sz w:val="36"/>
          <w:szCs w:val="36"/>
          <w:highlight w:val="none"/>
        </w:rPr>
      </w:pPr>
    </w:p>
    <w:p w14:paraId="2751252A">
      <w:pPr>
        <w:spacing w:line="480" w:lineRule="exact"/>
        <w:ind w:firstLine="763" w:firstLineChars="211"/>
        <w:jc w:val="left"/>
        <w:outlineLvl w:val="9"/>
        <w:rPr>
          <w:rFonts w:hint="eastAsia" w:ascii="宋体" w:hAnsi="宋体" w:eastAsia="宋体" w:cs="宋体"/>
          <w:b/>
          <w:bCs/>
          <w:sz w:val="36"/>
          <w:szCs w:val="36"/>
          <w:highlight w:val="none"/>
        </w:rPr>
      </w:pPr>
    </w:p>
    <w:p w14:paraId="5C5094BD">
      <w:pPr>
        <w:spacing w:line="480" w:lineRule="exact"/>
        <w:ind w:firstLine="763" w:firstLineChars="211"/>
        <w:jc w:val="left"/>
        <w:outlineLvl w:val="9"/>
        <w:rPr>
          <w:rFonts w:hint="eastAsia" w:ascii="宋体" w:hAnsi="宋体" w:eastAsia="宋体" w:cs="宋体"/>
          <w:b/>
          <w:bCs/>
          <w:sz w:val="36"/>
          <w:szCs w:val="36"/>
          <w:highlight w:val="none"/>
        </w:rPr>
      </w:pPr>
    </w:p>
    <w:p w14:paraId="33867325">
      <w:pPr>
        <w:spacing w:line="480" w:lineRule="exact"/>
        <w:ind w:firstLine="763" w:firstLineChars="211"/>
        <w:jc w:val="left"/>
        <w:outlineLvl w:val="9"/>
        <w:rPr>
          <w:rFonts w:hint="eastAsia" w:ascii="宋体" w:hAnsi="宋体" w:eastAsia="宋体" w:cs="宋体"/>
          <w:b/>
          <w:bCs/>
          <w:sz w:val="36"/>
          <w:szCs w:val="36"/>
          <w:highlight w:val="none"/>
        </w:rPr>
      </w:pPr>
    </w:p>
    <w:p w14:paraId="7E310A49">
      <w:pPr>
        <w:spacing w:line="480" w:lineRule="exact"/>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供应商名称（盖章）：</w:t>
      </w:r>
      <w:r>
        <w:rPr>
          <w:rFonts w:hint="eastAsia" w:ascii="宋体" w:hAnsi="宋体" w:eastAsia="宋体" w:cs="宋体"/>
          <w:b/>
          <w:bCs/>
          <w:sz w:val="36"/>
          <w:szCs w:val="36"/>
          <w:highlight w:val="none"/>
          <w:u w:val="single"/>
        </w:rPr>
        <w:t xml:space="preserve">                           </w:t>
      </w:r>
    </w:p>
    <w:p w14:paraId="5B8DC16A">
      <w:pPr>
        <w:spacing w:line="480" w:lineRule="exact"/>
        <w:jc w:val="left"/>
        <w:outlineLvl w:val="9"/>
        <w:rPr>
          <w:rFonts w:hint="eastAsia" w:ascii="宋体" w:hAnsi="宋体" w:eastAsia="宋体" w:cs="宋体"/>
          <w:b/>
          <w:bCs/>
          <w:sz w:val="36"/>
          <w:szCs w:val="36"/>
          <w:highlight w:val="none"/>
        </w:rPr>
      </w:pPr>
    </w:p>
    <w:p w14:paraId="73616578">
      <w:pPr>
        <w:spacing w:line="480" w:lineRule="exact"/>
        <w:jc w:val="left"/>
        <w:outlineLvl w:val="9"/>
        <w:rPr>
          <w:rFonts w:hint="eastAsia" w:ascii="宋体" w:hAnsi="宋体" w:eastAsia="宋体" w:cs="宋体"/>
          <w:b/>
          <w:bCs/>
          <w:sz w:val="36"/>
          <w:szCs w:val="36"/>
          <w:highlight w:val="none"/>
          <w:u w:val="single"/>
        </w:rPr>
      </w:pPr>
      <w:r>
        <w:rPr>
          <w:rFonts w:hint="eastAsia" w:ascii="宋体" w:hAnsi="宋体" w:eastAsia="宋体" w:cs="宋体"/>
          <w:b/>
          <w:bCs/>
          <w:sz w:val="36"/>
          <w:szCs w:val="36"/>
          <w:highlight w:val="none"/>
        </w:rPr>
        <w:t>法定代表人或其授权代表（签字或盖章）：</w:t>
      </w:r>
      <w:r>
        <w:rPr>
          <w:rFonts w:hint="eastAsia" w:ascii="宋体" w:hAnsi="宋体" w:eastAsia="宋体" w:cs="宋体"/>
          <w:b/>
          <w:bCs/>
          <w:sz w:val="36"/>
          <w:szCs w:val="36"/>
          <w:highlight w:val="none"/>
          <w:u w:val="single"/>
        </w:rPr>
        <w:t xml:space="preserve">         </w:t>
      </w:r>
    </w:p>
    <w:p w14:paraId="7667F036">
      <w:pPr>
        <w:spacing w:line="480" w:lineRule="exact"/>
        <w:jc w:val="center"/>
        <w:outlineLvl w:val="9"/>
        <w:rPr>
          <w:rFonts w:hint="eastAsia" w:ascii="宋体" w:hAnsi="宋体" w:eastAsia="宋体" w:cs="宋体"/>
          <w:b/>
          <w:bCs/>
          <w:sz w:val="36"/>
          <w:szCs w:val="36"/>
          <w:highlight w:val="none"/>
        </w:rPr>
      </w:pPr>
    </w:p>
    <w:p w14:paraId="059A8A2B">
      <w:pPr>
        <w:spacing w:line="480" w:lineRule="exact"/>
        <w:jc w:val="center"/>
        <w:outlineLvl w:val="9"/>
        <w:rPr>
          <w:rFonts w:hint="eastAsia" w:ascii="宋体" w:hAnsi="宋体" w:eastAsia="宋体" w:cs="宋体"/>
          <w:b/>
          <w:bCs/>
          <w:sz w:val="36"/>
          <w:szCs w:val="36"/>
          <w:highlight w:val="none"/>
        </w:rPr>
      </w:pPr>
    </w:p>
    <w:p w14:paraId="21486CF6">
      <w:pPr>
        <w:spacing w:line="480" w:lineRule="exact"/>
        <w:jc w:val="center"/>
        <w:outlineLvl w:val="9"/>
        <w:rPr>
          <w:rFonts w:hint="eastAsia" w:ascii="宋体" w:hAnsi="宋体" w:eastAsia="宋体" w:cs="宋体"/>
          <w:b/>
          <w:bCs/>
          <w:sz w:val="36"/>
          <w:szCs w:val="36"/>
          <w:highlight w:val="none"/>
        </w:rPr>
      </w:pPr>
    </w:p>
    <w:p w14:paraId="6A00A097">
      <w:pPr>
        <w:spacing w:line="360" w:lineRule="auto"/>
        <w:ind w:firstLine="723" w:firstLineChars="20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b/>
          <w:bCs/>
          <w:sz w:val="36"/>
          <w:szCs w:val="36"/>
          <w:highlight w:val="none"/>
        </w:rPr>
        <w:t>年  月     日</w:t>
      </w:r>
    </w:p>
    <w:p w14:paraId="73F8199E">
      <w:pPr>
        <w:spacing w:line="400" w:lineRule="exact"/>
        <w:ind w:firstLine="482" w:firstLineChars="200"/>
        <w:jc w:val="center"/>
        <w:outlineLvl w:val="9"/>
        <w:rPr>
          <w:rFonts w:hint="eastAsia" w:ascii="宋体" w:hAnsi="宋体" w:eastAsia="宋体" w:cs="宋体"/>
          <w:b/>
          <w:sz w:val="24"/>
          <w:szCs w:val="24"/>
          <w:highlight w:val="none"/>
        </w:rPr>
      </w:pPr>
    </w:p>
    <w:p w14:paraId="156176E3">
      <w:pP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BF7A6A6">
      <w:pPr>
        <w:spacing w:line="400" w:lineRule="exact"/>
        <w:ind w:firstLine="482" w:firstLineChars="200"/>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目录</w:t>
      </w:r>
    </w:p>
    <w:p w14:paraId="136F1FD1">
      <w:pPr>
        <w:spacing w:line="400" w:lineRule="exact"/>
        <w:ind w:firstLine="480" w:firstLineChars="200"/>
        <w:jc w:val="center"/>
        <w:outlineLvl w:val="9"/>
        <w:rPr>
          <w:rFonts w:hint="eastAsia" w:ascii="宋体" w:hAnsi="宋体" w:eastAsia="宋体" w:cs="宋体"/>
          <w:b/>
          <w:sz w:val="24"/>
          <w:szCs w:val="24"/>
          <w:highlight w:val="none"/>
        </w:rPr>
      </w:pPr>
      <w:r>
        <w:rPr>
          <w:rFonts w:hint="eastAsia" w:ascii="宋体" w:hAnsi="宋体" w:eastAsia="宋体" w:cs="宋体"/>
          <w:bCs/>
          <w:i/>
          <w:iCs/>
          <w:sz w:val="24"/>
          <w:szCs w:val="24"/>
          <w:highlight w:val="none"/>
        </w:rPr>
        <w:t>（</w:t>
      </w:r>
      <w:r>
        <w:rPr>
          <w:rFonts w:hint="eastAsia" w:ascii="宋体" w:hAnsi="宋体" w:eastAsia="宋体" w:cs="宋体"/>
          <w:bCs/>
          <w:i/>
          <w:iCs/>
          <w:sz w:val="24"/>
          <w:szCs w:val="24"/>
          <w:highlight w:val="none"/>
          <w:lang w:val="en-US" w:eastAsia="zh-CN"/>
        </w:rPr>
        <w:t>参考样式，由</w:t>
      </w:r>
      <w:r>
        <w:rPr>
          <w:rFonts w:hint="eastAsia" w:ascii="宋体" w:hAnsi="宋体" w:eastAsia="宋体" w:cs="宋体"/>
          <w:bCs/>
          <w:i/>
          <w:iCs/>
          <w:sz w:val="24"/>
          <w:szCs w:val="24"/>
          <w:highlight w:val="none"/>
        </w:rPr>
        <w:t>供应商自行编制</w:t>
      </w:r>
      <w:r>
        <w:rPr>
          <w:rFonts w:hint="eastAsia" w:ascii="宋体" w:hAnsi="宋体" w:eastAsia="宋体" w:cs="宋体"/>
          <w:bCs/>
          <w:i/>
          <w:iCs/>
          <w:sz w:val="24"/>
          <w:szCs w:val="24"/>
          <w:highlight w:val="none"/>
          <w:lang w:val="en-US" w:eastAsia="zh-CN"/>
        </w:rPr>
        <w:t>并标注</w:t>
      </w:r>
      <w:r>
        <w:rPr>
          <w:rFonts w:hint="eastAsia" w:ascii="宋体" w:hAnsi="宋体" w:eastAsia="宋体" w:cs="宋体"/>
          <w:bCs/>
          <w:i/>
          <w:iCs/>
          <w:sz w:val="24"/>
          <w:szCs w:val="24"/>
          <w:highlight w:val="none"/>
        </w:rPr>
        <w:t>页码）</w:t>
      </w:r>
    </w:p>
    <w:p w14:paraId="3DAFF94C">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一、经济部分</w:t>
      </w:r>
    </w:p>
    <w:p w14:paraId="0CFE41F7">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1FEC8C10">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715E7F3E">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三）投标报价合理性说明（如有）</w:t>
      </w:r>
    </w:p>
    <w:p w14:paraId="7A2896E1">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二、技术（质量）部分</w:t>
      </w:r>
    </w:p>
    <w:p w14:paraId="4D147AAB">
      <w:pPr>
        <w:spacing w:line="4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（一）技术</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w:t>
      </w:r>
      <w:r>
        <w:rPr>
          <w:rFonts w:hint="eastAsia" w:ascii="宋体" w:hAnsi="宋体" w:cs="宋体"/>
          <w:sz w:val="24"/>
          <w:szCs w:val="24"/>
          <w:highlight w:val="none"/>
          <w:lang w:val="en-US" w:eastAsia="zh-CN"/>
        </w:rPr>
        <w:t>承诺</w:t>
      </w:r>
    </w:p>
    <w:p w14:paraId="0BAD3A48">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技术服务方案</w:t>
      </w:r>
    </w:p>
    <w:p w14:paraId="171D6E17">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（三）技术需求要求的其他资料</w:t>
      </w:r>
    </w:p>
    <w:p w14:paraId="056D3D94">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val="en-US" w:eastAsia="zh-CN"/>
        </w:rPr>
        <w:t>商务</w:t>
      </w:r>
      <w:r>
        <w:rPr>
          <w:rFonts w:hint="eastAsia" w:ascii="宋体" w:hAnsi="宋体" w:eastAsia="宋体" w:cs="宋体"/>
          <w:b/>
          <w:sz w:val="24"/>
          <w:szCs w:val="24"/>
          <w:highlight w:val="none"/>
        </w:rPr>
        <w:t>部分</w:t>
      </w:r>
    </w:p>
    <w:p w14:paraId="43C25C63">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商务</w:t>
      </w:r>
      <w:r>
        <w:rPr>
          <w:rFonts w:hint="eastAsia" w:ascii="宋体" w:hAnsi="宋体" w:eastAsia="宋体" w:cs="宋体"/>
          <w:sz w:val="24"/>
          <w:szCs w:val="24"/>
          <w:highlight w:val="none"/>
        </w:rPr>
        <w:t>响应偏离表</w:t>
      </w:r>
    </w:p>
    <w:p w14:paraId="6D0786CA">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商务评审应附的资料</w:t>
      </w:r>
    </w:p>
    <w:p w14:paraId="6011499A">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四、资格条件及其他</w:t>
      </w:r>
    </w:p>
    <w:p w14:paraId="4492287C">
      <w:pPr>
        <w:snapToGrid w:val="0"/>
        <w:spacing w:line="4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（一）法人营业执照</w:t>
      </w:r>
      <w:r>
        <w:rPr>
          <w:rFonts w:hint="eastAsia" w:ascii="宋体" w:hAnsi="宋体" w:eastAsia="宋体" w:cs="宋体"/>
          <w:sz w:val="24"/>
          <w:szCs w:val="24"/>
          <w:highlight w:val="none"/>
          <w:lang w:val="en-US" w:eastAsia="zh-CN"/>
        </w:rPr>
        <w:t>复印件</w:t>
      </w:r>
    </w:p>
    <w:p w14:paraId="2D1FA8A7">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（二）特定资格条件证书或证明文件</w:t>
      </w:r>
    </w:p>
    <w:p w14:paraId="2D7057D6">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（三）法定代表人身份证明书（格式）</w:t>
      </w:r>
    </w:p>
    <w:p w14:paraId="6C43983B">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（四）法定代表人授权委托书（格式）</w:t>
      </w:r>
    </w:p>
    <w:p w14:paraId="737D06C1">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（五）基本资格条件承诺函（格式）</w:t>
      </w:r>
    </w:p>
    <w:p w14:paraId="4EB9FA00">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五、其他资料</w:t>
      </w:r>
    </w:p>
    <w:p w14:paraId="30F0C5CE">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（一）其他与项目有关的资料（自附）</w:t>
      </w:r>
    </w:p>
    <w:p w14:paraId="5096B9A7">
      <w:pPr>
        <w:widowControl/>
        <w:jc w:val="left"/>
        <w:rPr>
          <w:rFonts w:ascii="宋体" w:hAnsi="宋体" w:cs="宋体"/>
          <w:b/>
          <w:bCs/>
          <w:sz w:val="32"/>
          <w:szCs w:val="32"/>
          <w:highlight w:val="none"/>
        </w:rPr>
      </w:pPr>
      <w:r>
        <w:rPr>
          <w:rFonts w:ascii="宋体" w:hAnsi="宋体" w:cs="宋体"/>
          <w:highlight w:val="none"/>
        </w:rPr>
        <w:br w:type="page"/>
      </w:r>
    </w:p>
    <w:bookmarkEnd w:id="259"/>
    <w:bookmarkEnd w:id="260"/>
    <w:bookmarkEnd w:id="261"/>
    <w:bookmarkEnd w:id="262"/>
    <w:bookmarkEnd w:id="263"/>
    <w:bookmarkEnd w:id="264"/>
    <w:p w14:paraId="03A8A00D">
      <w:pPr>
        <w:spacing w:line="360" w:lineRule="auto"/>
        <w:ind w:firstLine="4060" w:firstLineChars="1450"/>
        <w:rPr>
          <w:rFonts w:ascii="宋体" w:hAnsi="宋体" w:cs="宋体"/>
          <w:highlight w:val="none"/>
        </w:rPr>
      </w:pPr>
    </w:p>
    <w:p w14:paraId="50E1F081">
      <w:pPr>
        <w:spacing w:line="400" w:lineRule="exact"/>
        <w:jc w:val="left"/>
        <w:outlineLvl w:val="1"/>
        <w:rPr>
          <w:rFonts w:ascii="宋体" w:hAnsi="宋体" w:cs="宋体"/>
          <w:b/>
          <w:sz w:val="34"/>
          <w:szCs w:val="34"/>
          <w:highlight w:val="none"/>
        </w:rPr>
      </w:pPr>
      <w:bookmarkStart w:id="265" w:name="_Toc24425"/>
      <w:bookmarkStart w:id="266" w:name="_Toc14244"/>
      <w:bookmarkStart w:id="267" w:name="_Toc26343"/>
      <w:bookmarkStart w:id="268" w:name="_Toc30982"/>
      <w:bookmarkStart w:id="269" w:name="_Toc65660379"/>
      <w:r>
        <w:rPr>
          <w:rFonts w:hint="eastAsia" w:ascii="宋体" w:hAnsi="宋体" w:cs="宋体"/>
          <w:b/>
          <w:sz w:val="34"/>
          <w:szCs w:val="34"/>
          <w:highlight w:val="none"/>
        </w:rPr>
        <w:t>一、经济部分</w:t>
      </w:r>
      <w:bookmarkEnd w:id="265"/>
      <w:bookmarkEnd w:id="266"/>
      <w:bookmarkEnd w:id="267"/>
      <w:bookmarkEnd w:id="268"/>
      <w:bookmarkEnd w:id="269"/>
    </w:p>
    <w:p w14:paraId="37255DFB">
      <w:pPr>
        <w:spacing w:line="400" w:lineRule="exact"/>
        <w:jc w:val="center"/>
        <w:rPr>
          <w:rFonts w:hint="eastAsia" w:ascii="宋体" w:hAnsi="宋体" w:cs="宋体"/>
          <w:b/>
          <w:szCs w:val="24"/>
          <w:highlight w:val="none"/>
        </w:rPr>
      </w:pPr>
    </w:p>
    <w:p w14:paraId="38E39929">
      <w:pPr>
        <w:spacing w:line="400" w:lineRule="exact"/>
        <w:jc w:val="center"/>
        <w:rPr>
          <w:rFonts w:ascii="宋体" w:hAnsi="宋体" w:cs="宋体"/>
          <w:b/>
          <w:szCs w:val="24"/>
          <w:highlight w:val="none"/>
        </w:rPr>
      </w:pPr>
      <w:r>
        <w:rPr>
          <w:rFonts w:hint="eastAsia" w:ascii="宋体" w:hAnsi="宋体" w:cs="宋体"/>
          <w:b/>
          <w:szCs w:val="24"/>
          <w:highlight w:val="none"/>
        </w:rPr>
        <w:t>（一）报价函</w:t>
      </w:r>
    </w:p>
    <w:p w14:paraId="6560C6FD">
      <w:pPr>
        <w:snapToGrid w:val="0"/>
        <w:spacing w:line="312" w:lineRule="auto"/>
        <w:ind w:firstLine="480" w:firstLineChars="200"/>
        <w:jc w:val="center"/>
        <w:rPr>
          <w:rFonts w:hint="eastAsia" w:ascii="宋体" w:hAnsi="宋体" w:cs="宋体"/>
          <w:sz w:val="24"/>
          <w:szCs w:val="24"/>
          <w:highlight w:val="none"/>
        </w:rPr>
      </w:pPr>
    </w:p>
    <w:p w14:paraId="41820AFB">
      <w:pPr>
        <w:snapToGrid w:val="0"/>
        <w:spacing w:line="312" w:lineRule="auto"/>
        <w:ind w:firstLine="480" w:firstLineChars="200"/>
        <w:jc w:val="left"/>
        <w:rPr>
          <w:highlight w:val="none"/>
        </w:rPr>
      </w:pPr>
      <w:r>
        <w:rPr>
          <w:rFonts w:hint="eastAsia" w:ascii="宋体" w:hAnsi="宋体" w:cs="宋体"/>
          <w:sz w:val="24"/>
          <w:szCs w:val="24"/>
          <w:highlight w:val="none"/>
        </w:rPr>
        <w:t> </w:t>
      </w:r>
    </w:p>
    <w:p w14:paraId="5657679D">
      <w:pPr>
        <w:snapToGrid w:val="0"/>
        <w:spacing w:line="312" w:lineRule="auto"/>
        <w:ind w:firstLine="630" w:firstLineChars="300"/>
        <w:jc w:val="both"/>
        <w:rPr>
          <w:rFonts w:ascii="宋体" w:hAnsi="宋体" w:cs="宋体"/>
          <w:sz w:val="21"/>
          <w:szCs w:val="21"/>
          <w:highlight w:val="none"/>
        </w:rPr>
      </w:pP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（采购人名称）：</w:t>
      </w:r>
    </w:p>
    <w:p w14:paraId="2213713D">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我方收到</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（项目名称）的采购文件，经详细研究，决定参加该项目的投标。</w:t>
      </w:r>
    </w:p>
    <w:p w14:paraId="258D9A4C">
      <w:pPr>
        <w:numPr>
          <w:ilvl w:val="0"/>
          <w:numId w:val="4"/>
        </w:numPr>
        <w:tabs>
          <w:tab w:val="left" w:pos="6300"/>
        </w:tabs>
        <w:snapToGrid w:val="0"/>
        <w:spacing w:line="520" w:lineRule="exact"/>
        <w:ind w:left="14" w:leftChars="5" w:firstLine="401" w:firstLineChars="191"/>
        <w:rPr>
          <w:rFonts w:ascii="宋体" w:hAnsi="宋体" w:cs="宋体"/>
          <w:sz w:val="21"/>
          <w:szCs w:val="21"/>
          <w:highlight w:val="none"/>
        </w:rPr>
      </w:pPr>
      <w:r>
        <w:rPr>
          <w:rFonts w:hint="eastAsia" w:ascii="宋体" w:hAnsi="宋体" w:cs="宋体"/>
          <w:sz w:val="21"/>
          <w:szCs w:val="21"/>
          <w:highlight w:val="none"/>
        </w:rPr>
        <w:t>愿意按照采购文件中的一切要求，提供本项目的</w:t>
      </w:r>
      <w:r>
        <w:rPr>
          <w:rFonts w:hint="eastAsia" w:ascii="宋体" w:hAnsi="宋体" w:cs="宋体"/>
          <w:sz w:val="21"/>
          <w:szCs w:val="21"/>
          <w:highlight w:val="none"/>
          <w:lang w:val="en-US" w:eastAsia="zh-CN"/>
        </w:rPr>
        <w:t>施工</w:t>
      </w:r>
      <w:r>
        <w:rPr>
          <w:rFonts w:hint="eastAsia" w:ascii="宋体" w:hAnsi="宋体" w:cs="宋体"/>
          <w:sz w:val="21"/>
          <w:szCs w:val="21"/>
          <w:highlight w:val="none"/>
        </w:rPr>
        <w:t>服务，报价为人民币大写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元；人民币小写：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r>
        <w:rPr>
          <w:rFonts w:hint="eastAsia" w:ascii="宋体" w:hAnsi="宋体" w:cs="宋体"/>
          <w:sz w:val="21"/>
          <w:szCs w:val="21"/>
          <w:highlight w:val="none"/>
        </w:rPr>
        <w:t>，其中，安全文明施工费：小写：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6029D4D2">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2、我方现提交的响应文件为：</w:t>
      </w:r>
      <w:r>
        <w:rPr>
          <w:rFonts w:hint="eastAsia" w:ascii="宋体" w:hAnsi="宋体" w:cs="宋体"/>
          <w:b/>
          <w:bCs/>
          <w:sz w:val="21"/>
          <w:szCs w:val="21"/>
          <w:highlight w:val="none"/>
        </w:rPr>
        <w:t>响应文件电子文档一份及完整的</w:t>
      </w:r>
      <w:r>
        <w:rPr>
          <w:rFonts w:hint="eastAsia" w:ascii="宋体" w:hAnsi="宋体" w:cs="宋体"/>
          <w:b/>
          <w:bCs/>
          <w:sz w:val="21"/>
          <w:szCs w:val="21"/>
          <w:highlight w:val="none"/>
          <w:lang w:val="en-US" w:eastAsia="zh-CN"/>
        </w:rPr>
        <w:t>已标价</w:t>
      </w:r>
      <w:r>
        <w:rPr>
          <w:rFonts w:hint="eastAsia" w:ascii="宋体" w:hAnsi="宋体" w:cs="宋体"/>
          <w:b/>
          <w:bCs/>
          <w:sz w:val="21"/>
          <w:szCs w:val="21"/>
          <w:highlight w:val="none"/>
        </w:rPr>
        <w:t>工程量清单电子</w:t>
      </w:r>
      <w:r>
        <w:rPr>
          <w:rFonts w:hint="eastAsia" w:ascii="宋体" w:hAnsi="宋体" w:cs="宋体"/>
          <w:b/>
          <w:bCs/>
          <w:sz w:val="21"/>
          <w:szCs w:val="21"/>
          <w:highlight w:val="none"/>
          <w:lang w:val="en-US" w:eastAsia="zh-CN"/>
        </w:rPr>
        <w:t>表格</w:t>
      </w:r>
      <w:r>
        <w:rPr>
          <w:rFonts w:hint="eastAsia" w:ascii="宋体" w:hAnsi="宋体" w:cs="宋体"/>
          <w:b/>
          <w:bCs/>
          <w:sz w:val="21"/>
          <w:szCs w:val="21"/>
          <w:highlight w:val="none"/>
        </w:rPr>
        <w:t>一份</w:t>
      </w:r>
      <w:r>
        <w:rPr>
          <w:rFonts w:hint="eastAsia" w:ascii="宋体" w:hAnsi="宋体" w:cs="宋体"/>
          <w:sz w:val="21"/>
          <w:szCs w:val="21"/>
          <w:highlight w:val="none"/>
        </w:rPr>
        <w:t>。</w:t>
      </w:r>
    </w:p>
    <w:p w14:paraId="7288C599">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3、我方承诺：本次投标的有效期为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天。</w:t>
      </w:r>
    </w:p>
    <w:p w14:paraId="5C6894F2">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4、我方完全理解和接受贵方采购文件的一切规定和要求及评审办法。</w:t>
      </w:r>
    </w:p>
    <w:p w14:paraId="6CB8314D">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5、在整个采购过程中，我方若有违规行为，接受相关处罚。</w:t>
      </w:r>
    </w:p>
    <w:p w14:paraId="6E831638">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6、我方若中选，将按照采购结果签订合同，并且严格履行合同义务。本承诺函将成为合同不可分割的一部分，与合同具有同等的法律效力。</w:t>
      </w:r>
    </w:p>
    <w:p w14:paraId="2206E8B7">
      <w:pPr>
        <w:tabs>
          <w:tab w:val="left" w:pos="6300"/>
        </w:tabs>
        <w:snapToGrid w:val="0"/>
        <w:spacing w:line="520" w:lineRule="exact"/>
        <w:ind w:firstLine="480"/>
        <w:rPr>
          <w:rFonts w:hint="eastAsia" w:ascii="宋体" w:hAnsi="宋体" w:cs="宋体"/>
          <w:sz w:val="21"/>
          <w:szCs w:val="21"/>
          <w:highlight w:val="none"/>
        </w:rPr>
      </w:pPr>
      <w:r>
        <w:rPr>
          <w:rFonts w:hint="eastAsia" w:ascii="宋体" w:hAnsi="宋体" w:cs="宋体"/>
          <w:sz w:val="21"/>
          <w:szCs w:val="21"/>
          <w:highlight w:val="none"/>
        </w:rPr>
        <w:t>7、我方理解，最低报价不是成交的唯一条件。</w:t>
      </w:r>
    </w:p>
    <w:p w14:paraId="4910803E">
      <w:pPr>
        <w:snapToGrid w:val="0"/>
        <w:spacing w:line="480" w:lineRule="auto"/>
        <w:ind w:firstLine="420" w:firstLineChars="200"/>
        <w:rPr>
          <w:rFonts w:hint="eastAsia" w:ascii="宋体" w:hAnsi="宋体" w:cs="宋体"/>
          <w:sz w:val="21"/>
          <w:szCs w:val="21"/>
          <w:highlight w:val="none"/>
        </w:rPr>
      </w:pPr>
    </w:p>
    <w:p w14:paraId="54D1E5C8">
      <w:pPr>
        <w:snapToGrid w:val="0"/>
        <w:spacing w:line="480" w:lineRule="auto"/>
        <w:ind w:firstLine="420" w:firstLineChars="200"/>
        <w:rPr>
          <w:rFonts w:hint="eastAsia" w:ascii="宋体" w:hAnsi="宋体" w:cs="宋体"/>
          <w:sz w:val="21"/>
          <w:szCs w:val="21"/>
          <w:highlight w:val="none"/>
        </w:rPr>
      </w:pPr>
    </w:p>
    <w:p w14:paraId="1D58A698">
      <w:pPr>
        <w:snapToGrid w:val="0"/>
        <w:spacing w:line="312" w:lineRule="auto"/>
        <w:ind w:firstLine="420" w:firstLineChars="200"/>
        <w:rPr>
          <w:rFonts w:hint="eastAsia" w:ascii="宋体" w:hAnsi="宋体" w:cs="宋体"/>
          <w:sz w:val="21"/>
          <w:szCs w:val="21"/>
          <w:highlight w:val="none"/>
        </w:rPr>
      </w:pPr>
    </w:p>
    <w:p w14:paraId="3D4F553F">
      <w:pPr>
        <w:snapToGrid w:val="0"/>
        <w:spacing w:line="312" w:lineRule="auto"/>
        <w:ind w:firstLine="420" w:firstLineChars="200"/>
        <w:rPr>
          <w:rFonts w:hint="eastAsia" w:ascii="宋体" w:hAnsi="宋体" w:cs="宋体"/>
          <w:sz w:val="21"/>
          <w:szCs w:val="21"/>
          <w:highlight w:val="none"/>
        </w:rPr>
      </w:pPr>
    </w:p>
    <w:p w14:paraId="0EA76D58">
      <w:pPr>
        <w:snapToGrid w:val="0"/>
        <w:spacing w:line="360" w:lineRule="auto"/>
        <w:ind w:firstLine="420" w:firstLineChars="200"/>
        <w:jc w:val="right"/>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名称（公章）：</w:t>
      </w:r>
    </w:p>
    <w:p w14:paraId="6A5E51A0">
      <w:pPr>
        <w:snapToGrid w:val="0"/>
        <w:spacing w:line="360" w:lineRule="auto"/>
        <w:ind w:firstLine="420" w:firstLineChars="200"/>
        <w:jc w:val="right"/>
        <w:rPr>
          <w:rFonts w:ascii="宋体" w:hAnsi="宋体" w:cs="宋体"/>
          <w:sz w:val="21"/>
          <w:szCs w:val="21"/>
          <w:highlight w:val="none"/>
        </w:rPr>
        <w:sectPr>
          <w:footerReference r:id="rId11" w:type="default"/>
          <w:pgSz w:w="11907" w:h="16840"/>
          <w:pgMar w:top="1440" w:right="1080" w:bottom="1440" w:left="1080" w:header="851" w:footer="992" w:gutter="0"/>
          <w:pgNumType w:fmt="numberInDash"/>
          <w:cols w:space="720" w:num="1"/>
          <w:docGrid w:linePitch="380" w:charSpace="-5735"/>
        </w:sectPr>
      </w:pP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28FA1A19">
      <w:pPr>
        <w:spacing w:line="400" w:lineRule="exact"/>
        <w:jc w:val="left"/>
        <w:rPr>
          <w:rFonts w:hint="eastAsia" w:ascii="宋体" w:hAnsi="宋体" w:eastAsia="宋体" w:cs="宋体"/>
          <w:b/>
          <w:szCs w:val="24"/>
          <w:highlight w:val="none"/>
        </w:rPr>
      </w:pPr>
      <w:r>
        <w:rPr>
          <w:rFonts w:hint="eastAsia" w:ascii="宋体" w:hAnsi="宋体" w:eastAsia="宋体" w:cs="宋体"/>
          <w:b/>
          <w:szCs w:val="24"/>
          <w:highlight w:val="none"/>
        </w:rPr>
        <w:t>（二）明细报价表</w:t>
      </w:r>
    </w:p>
    <w:p w14:paraId="7B42A8BA">
      <w:pPr>
        <w:tabs>
          <w:tab w:val="left" w:pos="2975"/>
          <w:tab w:val="center" w:pos="4765"/>
        </w:tabs>
        <w:spacing w:line="520" w:lineRule="exact"/>
        <w:jc w:val="center"/>
        <w:rPr>
          <w:rFonts w:ascii="宋体" w:hAnsi="宋体" w:cs="宋体"/>
          <w:b/>
          <w:sz w:val="21"/>
          <w:szCs w:val="21"/>
          <w:highlight w:val="none"/>
        </w:rPr>
      </w:pPr>
      <w:r>
        <w:rPr>
          <w:rFonts w:hint="eastAsia" w:ascii="宋体" w:hAnsi="宋体" w:cs="宋体"/>
          <w:b/>
          <w:sz w:val="21"/>
          <w:szCs w:val="21"/>
          <w:highlight w:val="none"/>
        </w:rPr>
        <w:t>已标价工程量清单</w:t>
      </w:r>
    </w:p>
    <w:p w14:paraId="49DD4252">
      <w:pPr>
        <w:snapToGrid w:val="0"/>
        <w:spacing w:line="520" w:lineRule="exact"/>
        <w:ind w:firstLine="480"/>
        <w:rPr>
          <w:rFonts w:ascii="宋体" w:hAnsi="宋体" w:cs="宋体"/>
          <w:sz w:val="21"/>
          <w:szCs w:val="21"/>
          <w:highlight w:val="none"/>
        </w:rPr>
      </w:pPr>
    </w:p>
    <w:p w14:paraId="5D67BC71">
      <w:pPr>
        <w:snapToGrid w:val="0"/>
        <w:spacing w:line="520" w:lineRule="exact"/>
        <w:rPr>
          <w:rFonts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提供</w:t>
      </w:r>
      <w:r>
        <w:rPr>
          <w:rFonts w:hint="eastAsia" w:ascii="宋体" w:hAnsi="宋体" w:cs="宋体"/>
          <w:color w:val="auto"/>
          <w:sz w:val="21"/>
          <w:szCs w:val="21"/>
          <w:highlight w:val="none"/>
        </w:rPr>
        <w:t>按</w:t>
      </w:r>
      <w:r>
        <w:rPr>
          <w:rFonts w:hint="eastAsia" w:ascii="宋体" w:hAnsi="宋体" w:cs="宋体"/>
          <w:bCs/>
          <w:color w:val="auto"/>
          <w:kern w:val="0"/>
          <w:sz w:val="21"/>
          <w:szCs w:val="21"/>
          <w:highlight w:val="none"/>
        </w:rPr>
        <w:t>《建设工程工程量清单计价规范》（GB50500—2013）、《重庆市建设工程工程量清单计价规则》（CQJJGZ—2013）等规定；执行2018《重庆市房屋建筑与装饰工程计价定额》第一册和《重庆市建设工程费用定额》及其配套文件</w:t>
      </w:r>
      <w:r>
        <w:rPr>
          <w:rFonts w:hint="eastAsia" w:ascii="宋体" w:hAnsi="宋体" w:cs="宋体"/>
          <w:color w:val="auto"/>
          <w:sz w:val="21"/>
          <w:szCs w:val="21"/>
          <w:highlight w:val="none"/>
        </w:rPr>
        <w:t>和采购人发布的“工程量清单”的要求</w:t>
      </w:r>
      <w:r>
        <w:rPr>
          <w:rFonts w:hint="eastAsia" w:ascii="宋体" w:hAnsi="宋体" w:cs="宋体"/>
          <w:color w:val="auto"/>
          <w:sz w:val="21"/>
          <w:szCs w:val="21"/>
          <w:highlight w:val="none"/>
          <w:lang w:val="en-US" w:eastAsia="zh-CN"/>
        </w:rPr>
        <w:t>编制的已标价工程量清单并签章</w:t>
      </w:r>
      <w:r>
        <w:rPr>
          <w:rFonts w:hint="eastAsia" w:ascii="宋体" w:hAnsi="宋体" w:cs="宋体"/>
          <w:color w:val="auto"/>
          <w:sz w:val="21"/>
          <w:szCs w:val="21"/>
          <w:highlight w:val="none"/>
        </w:rPr>
        <w:t>。</w:t>
      </w:r>
      <w:r>
        <w:rPr>
          <w:rFonts w:hint="eastAsia" w:ascii="宋体" w:hAnsi="宋体" w:cs="宋体"/>
          <w:sz w:val="21"/>
          <w:szCs w:val="21"/>
          <w:highlight w:val="none"/>
        </w:rPr>
        <w:t xml:space="preserve"> </w:t>
      </w:r>
    </w:p>
    <w:p w14:paraId="25C1623D">
      <w:pPr>
        <w:spacing w:line="520" w:lineRule="exact"/>
        <w:ind w:firstLine="480"/>
        <w:rPr>
          <w:rFonts w:ascii="宋体" w:hAnsi="宋体" w:cs="宋体"/>
          <w:sz w:val="21"/>
          <w:szCs w:val="21"/>
          <w:highlight w:val="none"/>
        </w:rPr>
      </w:pPr>
    </w:p>
    <w:p w14:paraId="67CF6EBB">
      <w:pPr>
        <w:spacing w:line="520" w:lineRule="exact"/>
        <w:ind w:firstLine="420"/>
        <w:rPr>
          <w:rFonts w:ascii="宋体" w:hAnsi="宋体" w:cs="宋体"/>
          <w:b/>
          <w:sz w:val="21"/>
          <w:szCs w:val="21"/>
          <w:highlight w:val="none"/>
        </w:rPr>
      </w:pPr>
    </w:p>
    <w:p w14:paraId="40F99352">
      <w:pPr>
        <w:spacing w:line="520" w:lineRule="exact"/>
        <w:rPr>
          <w:rFonts w:ascii="宋体" w:hAnsi="宋体" w:cs="宋体"/>
          <w:b/>
          <w:sz w:val="21"/>
          <w:szCs w:val="21"/>
          <w:highlight w:val="none"/>
        </w:rPr>
      </w:pPr>
    </w:p>
    <w:p w14:paraId="450B24E2">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注：</w:t>
      </w:r>
    </w:p>
    <w:p w14:paraId="24446DF3">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工程量清单未按标准制作或不完整的以无效响应处理。</w:t>
      </w:r>
    </w:p>
    <w:p w14:paraId="60571219">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b/>
          <w:bCs/>
          <w:sz w:val="21"/>
          <w:szCs w:val="21"/>
          <w:highlight w:val="none"/>
        </w:rPr>
        <w:t>响应文件扫描件中不附工程量单价分析表</w:t>
      </w:r>
      <w:r>
        <w:rPr>
          <w:rFonts w:hint="eastAsia" w:ascii="宋体" w:hAnsi="宋体" w:cs="宋体"/>
          <w:sz w:val="21"/>
          <w:szCs w:val="21"/>
          <w:highlight w:val="none"/>
        </w:rPr>
        <w:t>，但上传的工程量清单电子</w:t>
      </w:r>
      <w:r>
        <w:rPr>
          <w:rFonts w:hint="eastAsia" w:ascii="宋体" w:hAnsi="宋体" w:cs="宋体"/>
          <w:sz w:val="21"/>
          <w:szCs w:val="21"/>
          <w:highlight w:val="none"/>
          <w:lang w:val="en-US" w:eastAsia="zh-CN"/>
        </w:rPr>
        <w:t>表格</w:t>
      </w:r>
      <w:r>
        <w:rPr>
          <w:rFonts w:hint="eastAsia" w:ascii="宋体" w:hAnsi="宋体" w:cs="宋体"/>
          <w:sz w:val="21"/>
          <w:szCs w:val="21"/>
          <w:highlight w:val="none"/>
        </w:rPr>
        <w:t>版</w:t>
      </w:r>
      <w:r>
        <w:rPr>
          <w:rFonts w:hint="eastAsia" w:ascii="宋体" w:hAnsi="宋体" w:cs="宋体"/>
          <w:sz w:val="21"/>
          <w:szCs w:val="21"/>
          <w:highlight w:val="none"/>
          <w:lang w:val="en-US" w:eastAsia="zh-CN"/>
        </w:rPr>
        <w:t>必须为完整版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否则，</w:t>
      </w:r>
      <w:r>
        <w:rPr>
          <w:rFonts w:hint="eastAsia" w:ascii="宋体" w:hAnsi="宋体" w:cs="宋体"/>
          <w:sz w:val="21"/>
          <w:szCs w:val="21"/>
          <w:highlight w:val="none"/>
        </w:rPr>
        <w:t>以无效响应处理。</w:t>
      </w:r>
    </w:p>
    <w:p w14:paraId="60611C62">
      <w:pPr>
        <w:pStyle w:val="2"/>
        <w:rPr>
          <w:rFonts w:hint="eastAsia" w:ascii="宋体" w:hAnsi="宋体" w:cs="宋体"/>
          <w:sz w:val="21"/>
          <w:szCs w:val="21"/>
          <w:highlight w:val="none"/>
        </w:rPr>
      </w:pPr>
    </w:p>
    <w:p w14:paraId="78FF1F71">
      <w:pPr>
        <w:rPr>
          <w:rFonts w:hint="eastAsia" w:ascii="宋体" w:hAnsi="宋体" w:cs="宋体"/>
          <w:sz w:val="21"/>
          <w:szCs w:val="21"/>
          <w:highlight w:val="none"/>
        </w:rPr>
      </w:pPr>
    </w:p>
    <w:p w14:paraId="523E6116">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5753B87A">
      <w:pPr>
        <w:spacing w:before="0" w:after="0" w:line="240" w:lineRule="auto"/>
        <w:jc w:val="center"/>
        <w:outlineLvl w:val="9"/>
        <w:rPr>
          <w:rFonts w:hint="eastAsia" w:ascii="宋体" w:hAnsi="宋体" w:eastAsia="宋体" w:cs="宋体"/>
          <w:b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w:t>
      </w:r>
      <w:r>
        <w:rPr>
          <w:rFonts w:hint="eastAsia" w:ascii="宋体" w:hAnsi="宋体" w:eastAsia="宋体" w:cs="宋体"/>
          <w:b w:val="0"/>
          <w:sz w:val="21"/>
          <w:szCs w:val="21"/>
          <w:highlight w:val="none"/>
        </w:rPr>
        <w:t>投标报价合理性说明（如有）</w:t>
      </w:r>
    </w:p>
    <w:p w14:paraId="7195AA7A">
      <w:pPr>
        <w:autoSpaceDE w:val="0"/>
        <w:autoSpaceDN w:val="0"/>
        <w:adjustRightInd w:val="0"/>
        <w:snapToGrid w:val="0"/>
        <w:spacing w:line="360" w:lineRule="auto"/>
        <w:jc w:val="center"/>
        <w:outlineLvl w:val="9"/>
        <w:rPr>
          <w:rFonts w:hint="eastAsia" w:ascii="宋体" w:hAnsi="宋体" w:eastAsia="宋体" w:cs="宋体"/>
          <w:snapToGrid w:val="0"/>
          <w:kern w:val="0"/>
          <w:sz w:val="21"/>
          <w:szCs w:val="21"/>
          <w:highlight w:val="none"/>
        </w:rPr>
      </w:pPr>
    </w:p>
    <w:p w14:paraId="3E7EE38F">
      <w:pPr>
        <w:spacing w:line="500" w:lineRule="exact"/>
        <w:outlineLvl w:val="9"/>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（注：投标报价低于“第四篇 二、</w:t>
      </w:r>
      <w:r>
        <w:rPr>
          <w:rFonts w:hint="eastAsia" w:ascii="宋体" w:hAnsi="宋体" w:eastAsia="宋体" w:cs="宋体"/>
          <w:sz w:val="24"/>
          <w:highlight w:val="none"/>
        </w:rPr>
        <w:t>评定成交的标准</w:t>
      </w:r>
      <w:r>
        <w:rPr>
          <w:rFonts w:hint="eastAsia" w:ascii="宋体" w:hAnsi="宋体" w:eastAsia="宋体" w:cs="宋体"/>
          <w:snapToGrid w:val="0"/>
          <w:kern w:val="0"/>
          <w:sz w:val="21"/>
          <w:szCs w:val="21"/>
          <w:highlight w:val="none"/>
        </w:rPr>
        <w:t xml:space="preserve"> </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rPr>
        <w:t>异常低价”规定时提供，格式自拟，并提供必要的佐证材料。）</w:t>
      </w:r>
    </w:p>
    <w:p w14:paraId="6272BFBE">
      <w:pPr>
        <w:pStyle w:val="2"/>
        <w:rPr>
          <w:rFonts w:hint="default"/>
          <w:lang w:val="en-US" w:eastAsia="zh-CN"/>
        </w:rPr>
        <w:sectPr>
          <w:pgSz w:w="11907" w:h="16840"/>
          <w:pgMar w:top="1440" w:right="1080" w:bottom="1440" w:left="1080" w:header="851" w:footer="992" w:gutter="0"/>
          <w:pgNumType w:fmt="numberInDash"/>
          <w:cols w:space="720" w:num="1"/>
          <w:docGrid w:linePitch="380" w:charSpace="-5735"/>
        </w:sectPr>
      </w:pPr>
    </w:p>
    <w:p w14:paraId="21383879">
      <w:pPr>
        <w:numPr>
          <w:ilvl w:val="0"/>
          <w:numId w:val="0"/>
        </w:numPr>
        <w:spacing w:line="400" w:lineRule="exact"/>
        <w:jc w:val="left"/>
        <w:outlineLvl w:val="1"/>
        <w:rPr>
          <w:rFonts w:hint="eastAsia" w:ascii="宋体" w:hAnsi="宋体" w:cs="宋体"/>
          <w:b/>
          <w:sz w:val="34"/>
          <w:szCs w:val="34"/>
          <w:highlight w:val="none"/>
        </w:rPr>
      </w:pPr>
      <w:bookmarkStart w:id="270" w:name="_Toc313008357"/>
      <w:bookmarkStart w:id="271" w:name="_Toc22655"/>
      <w:bookmarkStart w:id="272" w:name="_Toc26085"/>
      <w:bookmarkStart w:id="273" w:name="_Toc342913420"/>
      <w:bookmarkStart w:id="274" w:name="_Toc313888361"/>
      <w:bookmarkStart w:id="275" w:name="_Toc14073"/>
      <w:bookmarkStart w:id="276" w:name="_Toc65660380"/>
      <w:bookmarkStart w:id="277" w:name="_Toc928"/>
      <w:r>
        <w:rPr>
          <w:rFonts w:hint="eastAsia" w:ascii="宋体" w:hAnsi="宋体" w:eastAsia="宋体" w:cs="宋体"/>
          <w:b/>
          <w:kern w:val="2"/>
          <w:sz w:val="34"/>
          <w:szCs w:val="34"/>
          <w:highlight w:val="none"/>
          <w:lang w:val="en-US" w:eastAsia="zh-CN" w:bidi="ar-SA"/>
        </w:rPr>
        <w:t>二、</w:t>
      </w:r>
      <w:r>
        <w:rPr>
          <w:rFonts w:hint="eastAsia" w:ascii="宋体" w:hAnsi="宋体" w:cs="宋体"/>
          <w:b/>
          <w:sz w:val="34"/>
          <w:szCs w:val="34"/>
          <w:highlight w:val="none"/>
        </w:rPr>
        <w:t>技术部分</w:t>
      </w:r>
      <w:bookmarkEnd w:id="270"/>
      <w:bookmarkEnd w:id="271"/>
      <w:bookmarkEnd w:id="272"/>
      <w:bookmarkEnd w:id="273"/>
      <w:bookmarkEnd w:id="274"/>
      <w:bookmarkEnd w:id="275"/>
      <w:bookmarkEnd w:id="276"/>
      <w:bookmarkEnd w:id="277"/>
    </w:p>
    <w:p w14:paraId="4C2EC177">
      <w:pPr>
        <w:spacing w:line="360" w:lineRule="auto"/>
        <w:jc w:val="center"/>
        <w:rPr>
          <w:rFonts w:hint="eastAsia" w:ascii="宋体" w:hAnsi="宋体" w:eastAsia="宋体" w:cs="宋体"/>
          <w:color w:val="000000"/>
          <w:sz w:val="21"/>
          <w:szCs w:val="21"/>
          <w:highlight w:val="none"/>
          <w:lang w:val="en-US" w:eastAsia="zh-CN"/>
        </w:rPr>
      </w:pPr>
    </w:p>
    <w:p w14:paraId="5A9ED25B">
      <w:pPr>
        <w:spacing w:line="360" w:lineRule="auto"/>
        <w:jc w:val="center"/>
        <w:outlineLvl w:val="2"/>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（一）</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服务需求响应承诺</w:t>
      </w:r>
    </w:p>
    <w:p w14:paraId="6937AD6F">
      <w:pPr>
        <w:spacing w:line="530" w:lineRule="exact"/>
        <w:ind w:firstLine="422" w:firstLineChars="200"/>
        <w:jc w:val="center"/>
        <w:outlineLvl w:val="9"/>
        <w:rPr>
          <w:rFonts w:hint="eastAsia" w:ascii="宋体" w:hAnsi="宋体" w:eastAsia="宋体" w:cs="宋体"/>
          <w:b/>
          <w:bCs/>
          <w:color w:val="000000"/>
          <w:sz w:val="21"/>
          <w:szCs w:val="21"/>
          <w:highlight w:val="none"/>
        </w:rPr>
      </w:pPr>
    </w:p>
    <w:p w14:paraId="5BA1FA40">
      <w:pPr>
        <w:spacing w:line="400" w:lineRule="exact"/>
        <w:ind w:firstLine="420" w:firstLineChars="200"/>
        <w:outlineLvl w:val="9"/>
        <w:rPr>
          <w:rFonts w:hint="eastAsia" w:ascii="宋体" w:hAnsi="宋体" w:eastAsia="宋体" w:cs="宋体"/>
          <w:color w:val="000000"/>
          <w:sz w:val="21"/>
          <w:szCs w:val="21"/>
          <w:highlight w:val="none"/>
          <w:u w:val="single"/>
        </w:rPr>
      </w:pPr>
    </w:p>
    <w:p w14:paraId="38E2E15A">
      <w:pPr>
        <w:spacing w:line="400" w:lineRule="exact"/>
        <w:outlineLvl w:val="9"/>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w:t>
      </w:r>
      <w:r>
        <w:rPr>
          <w:rFonts w:hint="eastAsia" w:ascii="宋体" w:hAnsi="宋体" w:cs="宋体"/>
          <w:color w:val="000000"/>
          <w:sz w:val="21"/>
          <w:szCs w:val="21"/>
          <w:highlight w:val="none"/>
          <w:u w:val="single"/>
          <w:lang w:val="en-US" w:eastAsia="zh-CN"/>
        </w:rPr>
        <w:t>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w:t>
      </w:r>
    </w:p>
    <w:p w14:paraId="5790EDF5">
      <w:pPr>
        <w:snapToGrid w:val="0"/>
        <w:spacing w:line="500" w:lineRule="exact"/>
        <w:ind w:firstLine="420" w:firstLineChars="200"/>
        <w:outlineLvl w:val="9"/>
        <w:rPr>
          <w:rFonts w:hint="eastAsia" w:ascii="宋体" w:hAnsi="宋体" w:eastAsia="宋体" w:cs="宋体"/>
          <w:color w:val="000000"/>
          <w:sz w:val="21"/>
          <w:szCs w:val="21"/>
          <w:highlight w:val="none"/>
        </w:rPr>
      </w:pPr>
    </w:p>
    <w:p w14:paraId="7FEDF76E">
      <w:pPr>
        <w:snapToGrid w:val="0"/>
        <w:spacing w:line="500" w:lineRule="exac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我单位承诺已知悉和理解本项目的</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w:t>
      </w:r>
      <w:r>
        <w:rPr>
          <w:rFonts w:hint="eastAsia" w:ascii="宋体" w:hAnsi="宋体" w:eastAsia="宋体" w:cs="宋体"/>
          <w:color w:val="000000"/>
          <w:sz w:val="21"/>
          <w:szCs w:val="21"/>
          <w:highlight w:val="none"/>
        </w:rPr>
        <w:t>，并完全响应本项目的</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w:t>
      </w:r>
      <w:r>
        <w:rPr>
          <w:rFonts w:hint="eastAsia" w:ascii="宋体" w:hAnsi="宋体" w:eastAsia="宋体" w:cs="宋体"/>
          <w:color w:val="000000"/>
          <w:sz w:val="21"/>
          <w:szCs w:val="21"/>
          <w:highlight w:val="none"/>
        </w:rPr>
        <w:t>，无不满足的情况。</w:t>
      </w:r>
    </w:p>
    <w:p w14:paraId="486D75C1">
      <w:pPr>
        <w:tabs>
          <w:tab w:val="left" w:pos="6300"/>
        </w:tabs>
        <w:snapToGrid w:val="0"/>
        <w:spacing w:line="500" w:lineRule="exact"/>
        <w:ind w:firstLine="4777" w:firstLineChars="2275"/>
        <w:jc w:val="right"/>
        <w:outlineLvl w:val="9"/>
        <w:rPr>
          <w:rFonts w:hint="eastAsia" w:ascii="宋体" w:hAnsi="宋体" w:eastAsia="宋体" w:cs="宋体"/>
          <w:color w:val="000000"/>
          <w:sz w:val="21"/>
          <w:szCs w:val="21"/>
          <w:highlight w:val="none"/>
        </w:rPr>
      </w:pPr>
    </w:p>
    <w:p w14:paraId="7D0D06FF">
      <w:pPr>
        <w:snapToGrid w:val="0"/>
        <w:spacing w:line="500" w:lineRule="exact"/>
        <w:ind w:firstLine="420" w:firstLineChars="200"/>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如有偏离请填写下表，无偏离则不填写。</w:t>
      </w:r>
    </w:p>
    <w:p w14:paraId="633CEC62">
      <w:pPr>
        <w:snapToGrid w:val="0"/>
        <w:spacing w:line="500" w:lineRule="exact"/>
        <w:ind w:firstLine="442" w:firstLineChars="200"/>
        <w:jc w:val="center"/>
        <w:outlineLvl w:val="9"/>
        <w:rPr>
          <w:rFonts w:hint="eastAsia" w:ascii="宋体" w:hAnsi="宋体" w:eastAsia="宋体" w:cs="宋体"/>
          <w:b/>
          <w:bCs/>
          <w:color w:val="000000"/>
          <w:sz w:val="22"/>
          <w:szCs w:val="22"/>
          <w:highlight w:val="none"/>
        </w:rPr>
      </w:pPr>
      <w:r>
        <w:rPr>
          <w:rFonts w:hint="eastAsia" w:ascii="宋体" w:hAnsi="宋体" w:cs="宋体"/>
          <w:b/>
          <w:bCs/>
          <w:color w:val="000000"/>
          <w:sz w:val="22"/>
          <w:szCs w:val="22"/>
          <w:highlight w:val="none"/>
          <w:lang w:val="en-US" w:eastAsia="zh-CN"/>
        </w:rPr>
        <w:t>技术</w:t>
      </w:r>
      <w:r>
        <w:rPr>
          <w:rFonts w:hint="eastAsia" w:ascii="宋体" w:hAnsi="宋体" w:eastAsia="宋体" w:cs="宋体"/>
          <w:b/>
          <w:bCs/>
          <w:color w:val="000000"/>
          <w:sz w:val="22"/>
          <w:szCs w:val="22"/>
          <w:highlight w:val="none"/>
        </w:rPr>
        <w:t>服务响应偏离表</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BF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BAFBCD">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2658" w:type="dxa"/>
            <w:vAlign w:val="center"/>
          </w:tcPr>
          <w:p w14:paraId="30A48944">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采购需求</w:t>
            </w:r>
          </w:p>
        </w:tc>
        <w:tc>
          <w:tcPr>
            <w:tcW w:w="2759" w:type="dxa"/>
            <w:vAlign w:val="center"/>
          </w:tcPr>
          <w:p w14:paraId="14C96590">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响应情况</w:t>
            </w:r>
          </w:p>
        </w:tc>
        <w:tc>
          <w:tcPr>
            <w:tcW w:w="2067" w:type="dxa"/>
            <w:vAlign w:val="center"/>
          </w:tcPr>
          <w:p w14:paraId="1B1F549C">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偏离说明</w:t>
            </w:r>
          </w:p>
        </w:tc>
      </w:tr>
      <w:tr w14:paraId="48E1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B36745">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658" w:type="dxa"/>
            <w:vAlign w:val="center"/>
          </w:tcPr>
          <w:p w14:paraId="46BC4EEF">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759" w:type="dxa"/>
            <w:vAlign w:val="center"/>
          </w:tcPr>
          <w:p w14:paraId="30D10F18">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067" w:type="dxa"/>
            <w:vAlign w:val="center"/>
          </w:tcPr>
          <w:p w14:paraId="3CE8BE2D">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r>
      <w:tr w14:paraId="513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06258D">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658" w:type="dxa"/>
            <w:vAlign w:val="center"/>
          </w:tcPr>
          <w:p w14:paraId="23BDF7BB">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759" w:type="dxa"/>
            <w:vAlign w:val="center"/>
          </w:tcPr>
          <w:p w14:paraId="5D9D4338">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067" w:type="dxa"/>
            <w:vAlign w:val="center"/>
          </w:tcPr>
          <w:p w14:paraId="69761461">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r>
    </w:tbl>
    <w:p w14:paraId="23A455F0">
      <w:pPr>
        <w:snapToGrid w:val="0"/>
        <w:spacing w:line="500" w:lineRule="exact"/>
        <w:ind w:firstLine="422" w:firstLineChars="200"/>
        <w:outlineLvl w:val="9"/>
        <w:rPr>
          <w:rFonts w:hint="eastAsia" w:ascii="宋体" w:hAnsi="宋体" w:eastAsia="宋体" w:cs="宋体"/>
          <w:b/>
          <w:bCs/>
          <w:color w:val="000000"/>
          <w:sz w:val="21"/>
          <w:szCs w:val="21"/>
          <w:highlight w:val="none"/>
        </w:rPr>
      </w:pPr>
    </w:p>
    <w:p w14:paraId="3D4E9736">
      <w:pPr>
        <w:spacing w:line="360" w:lineRule="auto"/>
        <w:jc w:val="left"/>
        <w:outlineLvl w:val="9"/>
        <w:rPr>
          <w:rFonts w:hint="eastAsia" w:ascii="宋体" w:hAnsi="宋体" w:eastAsia="宋体" w:cs="宋体"/>
          <w:bCs/>
          <w:kern w:val="1"/>
          <w:sz w:val="21"/>
          <w:szCs w:val="21"/>
          <w:highlight w:val="none"/>
        </w:rPr>
      </w:pPr>
    </w:p>
    <w:p w14:paraId="731514ED">
      <w:pPr>
        <w:spacing w:line="360" w:lineRule="auto"/>
        <w:jc w:val="left"/>
        <w:outlineLvl w:val="9"/>
        <w:rPr>
          <w:rFonts w:hint="eastAsia" w:ascii="宋体" w:hAnsi="宋体" w:eastAsia="宋体" w:cs="宋体"/>
          <w:kern w:val="1"/>
          <w:sz w:val="21"/>
          <w:szCs w:val="21"/>
          <w:highlight w:val="none"/>
        </w:rPr>
      </w:pPr>
    </w:p>
    <w:p w14:paraId="7021C427">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（签字或加盖个人名章）</w:t>
      </w:r>
    </w:p>
    <w:p w14:paraId="3D5757D4">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（单位盖章）</w:t>
      </w:r>
    </w:p>
    <w:p w14:paraId="58591578">
      <w:pPr>
        <w:snapToGrid w:val="0"/>
        <w:spacing w:line="360" w:lineRule="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日      期：</w:t>
      </w:r>
      <w:r>
        <w:rPr>
          <w:rFonts w:hint="eastAsia" w:ascii="宋体" w:hAnsi="宋体" w:cs="宋体"/>
          <w:sz w:val="21"/>
          <w:szCs w:val="21"/>
          <w:highlight w:val="none"/>
          <w:lang w:val="en-US" w:eastAsia="zh-CN"/>
        </w:rPr>
        <w:t xml:space="preserve">  年  月   日</w:t>
      </w:r>
    </w:p>
    <w:p w14:paraId="35588F88">
      <w:pPr>
        <w:snapToGrid w:val="0"/>
        <w:spacing w:line="360" w:lineRule="auto"/>
        <w:outlineLvl w:val="9"/>
        <w:rPr>
          <w:rFonts w:hint="eastAsia" w:ascii="宋体" w:hAnsi="宋体" w:eastAsia="宋体" w:cs="宋体"/>
          <w:sz w:val="21"/>
          <w:szCs w:val="21"/>
          <w:highlight w:val="none"/>
        </w:rPr>
      </w:pPr>
    </w:p>
    <w:p w14:paraId="486D3998">
      <w:pPr>
        <w:numPr>
          <w:ilvl w:val="0"/>
          <w:numId w:val="0"/>
        </w:numPr>
        <w:snapToGrid w:val="0"/>
        <w:spacing w:line="360" w:lineRule="auto"/>
        <w:outlineLvl w:val="2"/>
        <w:rPr>
          <w:rFonts w:hint="eastAsia" w:ascii="宋体" w:hAnsi="宋体" w:eastAsia="宋体" w:cs="宋体"/>
          <w:b/>
          <w:bCs/>
          <w:sz w:val="21"/>
          <w:szCs w:val="21"/>
          <w:highlight w:val="none"/>
          <w:lang w:val="en-US" w:eastAsia="zh-CN"/>
        </w:rPr>
      </w:pPr>
      <w:r>
        <w:rPr>
          <w:rFonts w:hint="eastAsia" w:ascii="宋体" w:hAnsi="宋体" w:cs="宋体"/>
          <w:sz w:val="24"/>
          <w:highlight w:val="none"/>
        </w:rPr>
        <w:br w:type="page"/>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技术服务方案</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格式自理）</w:t>
      </w:r>
    </w:p>
    <w:p w14:paraId="5DFC0072">
      <w:pPr>
        <w:pStyle w:val="2"/>
        <w:widowControl w:val="0"/>
        <w:numPr>
          <w:numId w:val="0"/>
        </w:numPr>
        <w:jc w:val="both"/>
        <w:rPr>
          <w:rFonts w:hint="eastAsia"/>
          <w:lang w:val="en-US" w:eastAsia="zh-CN"/>
        </w:rPr>
      </w:pPr>
    </w:p>
    <w:p w14:paraId="63AAE2EA">
      <w:pPr>
        <w:rPr>
          <w:rFonts w:hint="eastAsia"/>
          <w:lang w:val="en-US" w:eastAsia="zh-CN"/>
        </w:rPr>
      </w:pPr>
    </w:p>
    <w:p w14:paraId="3F6A1DD0">
      <w:pPr>
        <w:spacing w:line="400" w:lineRule="exact"/>
        <w:jc w:val="center"/>
        <w:rPr>
          <w:rFonts w:ascii="宋体" w:hAnsi="宋体" w:cs="宋体"/>
          <w:sz w:val="24"/>
          <w:highlight w:val="none"/>
        </w:rPr>
      </w:pPr>
    </w:p>
    <w:p w14:paraId="6E654210">
      <w:pPr>
        <w:tabs>
          <w:tab w:val="left" w:pos="6300"/>
        </w:tabs>
        <w:snapToGrid w:val="0"/>
        <w:spacing w:line="500" w:lineRule="exact"/>
        <w:ind w:firstLine="480" w:firstLineChars="200"/>
        <w:rPr>
          <w:rFonts w:ascii="宋体" w:hAnsi="宋体" w:cs="宋体"/>
          <w:sz w:val="24"/>
          <w:szCs w:val="24"/>
          <w:highlight w:val="none"/>
        </w:rPr>
      </w:pPr>
    </w:p>
    <w:p w14:paraId="4A06E46D">
      <w:pPr>
        <w:pStyle w:val="4"/>
        <w:adjustRightInd w:val="0"/>
        <w:snapToGrid w:val="0"/>
        <w:spacing w:before="0" w:after="0" w:line="400" w:lineRule="exact"/>
        <w:ind w:firstLine="683" w:firstLineChars="200"/>
        <w:outlineLvl w:val="9"/>
        <w:rPr>
          <w:rFonts w:hint="eastAsia" w:ascii="宋体" w:hAnsi="宋体" w:eastAsia="宋体" w:cs="宋体"/>
          <w:sz w:val="34"/>
          <w:szCs w:val="34"/>
          <w:highlight w:val="none"/>
        </w:rPr>
        <w:sectPr>
          <w:headerReference r:id="rId12" w:type="default"/>
          <w:footerReference r:id="rId13" w:type="default"/>
          <w:pgSz w:w="11907" w:h="16840"/>
          <w:pgMar w:top="1440" w:right="1080" w:bottom="1440" w:left="1080" w:header="851" w:footer="992" w:gutter="0"/>
          <w:pgNumType w:fmt="numberInDash"/>
          <w:cols w:space="720" w:num="1"/>
          <w:docGrid w:linePitch="380" w:charSpace="-5735"/>
        </w:sectPr>
      </w:pPr>
      <w:r>
        <w:rPr>
          <w:rFonts w:hint="eastAsia" w:ascii="宋体" w:hAnsi="宋体" w:eastAsia="宋体" w:cs="宋体"/>
          <w:sz w:val="34"/>
          <w:szCs w:val="34"/>
          <w:highlight w:val="none"/>
        </w:rPr>
        <w:br w:type="page"/>
      </w:r>
      <w:bookmarkStart w:id="278" w:name="_Toc65660381"/>
      <w:bookmarkStart w:id="279" w:name="_Toc32339"/>
      <w:bookmarkStart w:id="280" w:name="_Toc27717"/>
      <w:bookmarkStart w:id="281" w:name="_Toc32158"/>
      <w:bookmarkStart w:id="282" w:name="_Toc26426"/>
      <w:bookmarkStart w:id="283" w:name="_Toc313008358"/>
      <w:bookmarkStart w:id="284" w:name="_Toc313888362"/>
      <w:bookmarkStart w:id="285" w:name="_Toc342913421"/>
    </w:p>
    <w:p w14:paraId="58344E95">
      <w:pPr>
        <w:numPr>
          <w:ilvl w:val="0"/>
          <w:numId w:val="0"/>
        </w:numPr>
        <w:snapToGrid w:val="0"/>
        <w:spacing w:line="360" w:lineRule="auto"/>
        <w:outlineLvl w:val="2"/>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（三）</w:t>
      </w:r>
      <w:r>
        <w:rPr>
          <w:rFonts w:hint="eastAsia" w:ascii="宋体" w:hAnsi="宋体" w:eastAsia="宋体" w:cs="宋体"/>
          <w:b/>
          <w:bCs/>
          <w:sz w:val="21"/>
          <w:szCs w:val="21"/>
          <w:highlight w:val="none"/>
          <w:lang w:val="en-US" w:eastAsia="zh-CN"/>
        </w:rPr>
        <w:t>技术需求要求的其他资料</w:t>
      </w:r>
    </w:p>
    <w:p w14:paraId="6FA4A07D">
      <w:pPr>
        <w:pStyle w:val="2"/>
        <w:widowControl w:val="0"/>
        <w:numPr>
          <w:numId w:val="0"/>
        </w:numPr>
        <w:jc w:val="both"/>
        <w:rPr>
          <w:rFonts w:hint="eastAsia"/>
        </w:rPr>
      </w:pPr>
    </w:p>
    <w:p w14:paraId="56474545">
      <w:pPr>
        <w:rPr>
          <w:rFonts w:hint="eastAsia"/>
        </w:rPr>
      </w:pPr>
    </w:p>
    <w:p w14:paraId="2262F915">
      <w:pPr>
        <w:pStyle w:val="2"/>
        <w:rPr>
          <w:rFonts w:hint="eastAsia"/>
        </w:rPr>
      </w:pPr>
    </w:p>
    <w:p w14:paraId="366C18BB">
      <w:pPr>
        <w:rPr>
          <w:rFonts w:hint="eastAsia"/>
        </w:rPr>
        <w:sectPr>
          <w:pgSz w:w="11907" w:h="16840"/>
          <w:pgMar w:top="1440" w:right="1080" w:bottom="1440" w:left="1080" w:header="851" w:footer="992" w:gutter="0"/>
          <w:pgNumType w:fmt="numberInDash"/>
          <w:cols w:space="720" w:num="1"/>
          <w:docGrid w:linePitch="380" w:charSpace="-5735"/>
        </w:sectPr>
      </w:pPr>
    </w:p>
    <w:p w14:paraId="30916E2B">
      <w:pPr>
        <w:rPr>
          <w:highlight w:val="none"/>
        </w:rPr>
      </w:pPr>
    </w:p>
    <w:p w14:paraId="0BC31F59">
      <w:pPr>
        <w:spacing w:line="400" w:lineRule="exact"/>
        <w:jc w:val="left"/>
        <w:outlineLvl w:val="1"/>
        <w:rPr>
          <w:rFonts w:ascii="宋体" w:hAnsi="宋体" w:cs="宋体"/>
          <w:b/>
          <w:sz w:val="34"/>
          <w:szCs w:val="34"/>
          <w:highlight w:val="none"/>
        </w:rPr>
      </w:pPr>
      <w:r>
        <w:rPr>
          <w:rFonts w:hint="eastAsia" w:ascii="宋体" w:hAnsi="宋体" w:cs="宋体"/>
          <w:b/>
          <w:sz w:val="34"/>
          <w:szCs w:val="34"/>
          <w:highlight w:val="none"/>
        </w:rPr>
        <w:t>三、</w:t>
      </w:r>
      <w:r>
        <w:rPr>
          <w:rFonts w:hint="eastAsia" w:ascii="宋体" w:hAnsi="宋体" w:cs="宋体"/>
          <w:b/>
          <w:sz w:val="34"/>
          <w:szCs w:val="34"/>
          <w:highlight w:val="none"/>
          <w:lang w:val="en-US" w:eastAsia="zh-CN"/>
        </w:rPr>
        <w:t>商务</w:t>
      </w:r>
      <w:r>
        <w:rPr>
          <w:rFonts w:hint="eastAsia" w:ascii="宋体" w:hAnsi="宋体" w:cs="宋体"/>
          <w:b/>
          <w:sz w:val="34"/>
          <w:szCs w:val="34"/>
          <w:highlight w:val="none"/>
        </w:rPr>
        <w:t>部分</w:t>
      </w:r>
      <w:bookmarkEnd w:id="278"/>
      <w:bookmarkEnd w:id="279"/>
      <w:bookmarkEnd w:id="280"/>
      <w:bookmarkEnd w:id="281"/>
      <w:bookmarkEnd w:id="282"/>
    </w:p>
    <w:p w14:paraId="3ABED94E">
      <w:pPr>
        <w:spacing w:line="530" w:lineRule="exact"/>
        <w:ind w:firstLine="562" w:firstLineChars="200"/>
        <w:jc w:val="center"/>
        <w:outlineLvl w:val="2"/>
        <w:rPr>
          <w:rFonts w:hint="eastAsia" w:ascii="宋体" w:hAnsi="宋体" w:eastAsia="宋体" w:cs="宋体"/>
          <w:b/>
          <w:szCs w:val="24"/>
          <w:highlight w:val="none"/>
          <w:lang w:val="en-US" w:eastAsia="zh-CN"/>
        </w:rPr>
      </w:pPr>
      <w:r>
        <w:rPr>
          <w:rFonts w:hint="eastAsia" w:ascii="宋体" w:hAnsi="宋体" w:cs="宋体"/>
          <w:b/>
          <w:szCs w:val="24"/>
          <w:highlight w:val="none"/>
        </w:rPr>
        <w:t>（一）</w:t>
      </w:r>
      <w:r>
        <w:rPr>
          <w:rFonts w:hint="eastAsia" w:ascii="宋体" w:hAnsi="宋体" w:cs="宋体"/>
          <w:b/>
          <w:szCs w:val="24"/>
          <w:highlight w:val="none"/>
          <w:lang w:val="en-US" w:eastAsia="zh-CN"/>
        </w:rPr>
        <w:t>项目</w:t>
      </w:r>
      <w:r>
        <w:rPr>
          <w:rFonts w:hint="eastAsia" w:ascii="宋体" w:hAnsi="宋体" w:eastAsia="宋体" w:cs="宋体"/>
          <w:b/>
          <w:szCs w:val="24"/>
          <w:highlight w:val="none"/>
          <w:lang w:val="en-US" w:eastAsia="zh-CN"/>
        </w:rPr>
        <w:t>商务需求响应承诺</w:t>
      </w:r>
    </w:p>
    <w:p w14:paraId="4BE7581E">
      <w:pPr>
        <w:spacing w:line="360" w:lineRule="auto"/>
        <w:jc w:val="center"/>
        <w:outlineLvl w:val="9"/>
        <w:rPr>
          <w:rFonts w:hint="eastAsia" w:ascii="宋体" w:hAnsi="宋体" w:eastAsia="宋体" w:cs="宋体"/>
          <w:color w:val="000000"/>
          <w:sz w:val="21"/>
          <w:szCs w:val="21"/>
          <w:highlight w:val="none"/>
        </w:rPr>
      </w:pPr>
    </w:p>
    <w:p w14:paraId="09C5FC7E">
      <w:pPr>
        <w:spacing w:line="400" w:lineRule="exact"/>
        <w:ind w:firstLine="420" w:firstLineChars="200"/>
        <w:outlineLvl w:val="9"/>
        <w:rPr>
          <w:rFonts w:hint="eastAsia" w:ascii="宋体" w:hAnsi="宋体" w:eastAsia="宋体" w:cs="宋体"/>
          <w:color w:val="000000"/>
          <w:sz w:val="21"/>
          <w:szCs w:val="21"/>
          <w:highlight w:val="none"/>
          <w:u w:val="single"/>
        </w:rPr>
      </w:pPr>
    </w:p>
    <w:p w14:paraId="7F4CE641">
      <w:pPr>
        <w:spacing w:line="400" w:lineRule="exact"/>
        <w:outlineLvl w:val="9"/>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w:t>
      </w:r>
      <w:r>
        <w:rPr>
          <w:rFonts w:hint="eastAsia" w:ascii="宋体" w:hAnsi="宋体" w:cs="宋体"/>
          <w:color w:val="000000"/>
          <w:sz w:val="21"/>
          <w:szCs w:val="21"/>
          <w:highlight w:val="none"/>
          <w:u w:val="single"/>
          <w:lang w:val="en-US" w:eastAsia="zh-CN"/>
        </w:rPr>
        <w:t>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w:t>
      </w:r>
    </w:p>
    <w:p w14:paraId="6123633B">
      <w:pPr>
        <w:snapToGrid w:val="0"/>
        <w:spacing w:line="500" w:lineRule="exact"/>
        <w:ind w:firstLine="420" w:firstLineChars="200"/>
        <w:outlineLvl w:val="9"/>
        <w:rPr>
          <w:rFonts w:hint="eastAsia" w:ascii="宋体" w:hAnsi="宋体" w:eastAsia="宋体" w:cs="宋体"/>
          <w:color w:val="000000"/>
          <w:sz w:val="21"/>
          <w:szCs w:val="21"/>
          <w:highlight w:val="none"/>
        </w:rPr>
      </w:pPr>
    </w:p>
    <w:p w14:paraId="3B6624B7">
      <w:pPr>
        <w:snapToGrid w:val="0"/>
        <w:spacing w:line="500" w:lineRule="exac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我单位承诺已知悉和理解本项目的</w:t>
      </w:r>
      <w:r>
        <w:rPr>
          <w:rFonts w:hint="eastAsia" w:ascii="宋体" w:hAnsi="宋体" w:eastAsia="宋体" w:cs="宋体"/>
          <w:color w:val="000000"/>
          <w:sz w:val="21"/>
          <w:szCs w:val="21"/>
          <w:highlight w:val="none"/>
          <w:lang w:val="en-US" w:eastAsia="zh-CN"/>
        </w:rPr>
        <w:t>项目商务需求</w:t>
      </w:r>
      <w:r>
        <w:rPr>
          <w:rFonts w:hint="eastAsia" w:ascii="宋体" w:hAnsi="宋体" w:eastAsia="宋体" w:cs="宋体"/>
          <w:color w:val="000000"/>
          <w:sz w:val="21"/>
          <w:szCs w:val="21"/>
          <w:highlight w:val="none"/>
        </w:rPr>
        <w:t>，并完全响应本项目的</w:t>
      </w:r>
      <w:r>
        <w:rPr>
          <w:rFonts w:hint="eastAsia" w:ascii="宋体" w:hAnsi="宋体" w:eastAsia="宋体" w:cs="宋体"/>
          <w:color w:val="000000"/>
          <w:sz w:val="21"/>
          <w:szCs w:val="21"/>
          <w:highlight w:val="none"/>
          <w:lang w:val="en-US" w:eastAsia="zh-CN"/>
        </w:rPr>
        <w:t>项目商务需求</w:t>
      </w:r>
      <w:r>
        <w:rPr>
          <w:rFonts w:hint="eastAsia" w:ascii="宋体" w:hAnsi="宋体" w:eastAsia="宋体" w:cs="宋体"/>
          <w:color w:val="000000"/>
          <w:sz w:val="21"/>
          <w:szCs w:val="21"/>
          <w:highlight w:val="none"/>
        </w:rPr>
        <w:t>，无不满足的情况。</w:t>
      </w:r>
    </w:p>
    <w:p w14:paraId="5BE78F77">
      <w:pPr>
        <w:tabs>
          <w:tab w:val="left" w:pos="6300"/>
        </w:tabs>
        <w:snapToGrid w:val="0"/>
        <w:spacing w:line="500" w:lineRule="exact"/>
        <w:ind w:firstLine="4777" w:firstLineChars="2275"/>
        <w:jc w:val="right"/>
        <w:outlineLvl w:val="9"/>
        <w:rPr>
          <w:rFonts w:hint="eastAsia" w:ascii="宋体" w:hAnsi="宋体" w:eastAsia="宋体" w:cs="宋体"/>
          <w:color w:val="000000"/>
          <w:sz w:val="21"/>
          <w:szCs w:val="21"/>
          <w:highlight w:val="none"/>
        </w:rPr>
      </w:pPr>
    </w:p>
    <w:p w14:paraId="321C064D">
      <w:pPr>
        <w:snapToGrid w:val="0"/>
        <w:spacing w:line="500" w:lineRule="exact"/>
        <w:ind w:firstLine="420" w:firstLineChars="200"/>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如有偏离请填写下表，无偏离则不填写。</w:t>
      </w:r>
    </w:p>
    <w:p w14:paraId="570C53A8">
      <w:pPr>
        <w:bidi w:val="0"/>
        <w:jc w:val="center"/>
        <w:outlineLvl w:val="9"/>
        <w:rPr>
          <w:rFonts w:hint="eastAsia"/>
          <w:sz w:val="24"/>
          <w:szCs w:val="16"/>
          <w:highlight w:val="none"/>
        </w:rPr>
      </w:pPr>
      <w:r>
        <w:rPr>
          <w:rFonts w:hint="eastAsia"/>
          <w:b/>
          <w:bCs/>
          <w:sz w:val="24"/>
          <w:szCs w:val="16"/>
          <w:highlight w:val="none"/>
          <w:lang w:val="en-US" w:eastAsia="zh-CN"/>
        </w:rPr>
        <w:t>商务</w:t>
      </w:r>
      <w:r>
        <w:rPr>
          <w:rFonts w:hint="eastAsia"/>
          <w:b/>
          <w:bCs/>
          <w:sz w:val="24"/>
          <w:szCs w:val="16"/>
          <w:highlight w:val="none"/>
        </w:rPr>
        <w:t>响应偏离表</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C0A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4FC6EE6">
            <w:pPr>
              <w:spacing w:line="360" w:lineRule="auto"/>
              <w:jc w:val="center"/>
              <w:outlineLvl w:val="9"/>
              <w:rPr>
                <w:rFonts w:hint="eastAsia" w:ascii="宋体" w:hAnsi="宋体" w:eastAsia="宋体" w:cs="宋体"/>
                <w:kern w:val="1"/>
                <w:sz w:val="21"/>
                <w:szCs w:val="21"/>
                <w:highlight w:val="none"/>
              </w:rPr>
            </w:pPr>
            <w:bookmarkStart w:id="286" w:name="_Toc27828"/>
            <w:r>
              <w:rPr>
                <w:rFonts w:hint="eastAsia" w:ascii="宋体" w:hAnsi="宋体" w:eastAsia="宋体" w:cs="宋体"/>
                <w:kern w:val="1"/>
                <w:sz w:val="21"/>
                <w:szCs w:val="21"/>
                <w:highlight w:val="none"/>
              </w:rPr>
              <w:t>序号</w:t>
            </w:r>
            <w:bookmarkEnd w:id="286"/>
          </w:p>
        </w:tc>
        <w:tc>
          <w:tcPr>
            <w:tcW w:w="2658" w:type="dxa"/>
            <w:vAlign w:val="center"/>
          </w:tcPr>
          <w:p w14:paraId="5EA4DEEE">
            <w:pPr>
              <w:spacing w:line="360" w:lineRule="auto"/>
              <w:jc w:val="center"/>
              <w:outlineLvl w:val="9"/>
              <w:rPr>
                <w:rFonts w:hint="eastAsia" w:ascii="宋体" w:hAnsi="宋体" w:eastAsia="宋体" w:cs="宋体"/>
                <w:kern w:val="1"/>
                <w:sz w:val="21"/>
                <w:szCs w:val="21"/>
                <w:highlight w:val="none"/>
              </w:rPr>
            </w:pPr>
            <w:bookmarkStart w:id="287" w:name="_Toc30864"/>
            <w:r>
              <w:rPr>
                <w:rFonts w:hint="eastAsia" w:ascii="宋体" w:hAnsi="宋体" w:eastAsia="宋体" w:cs="宋体"/>
                <w:kern w:val="1"/>
                <w:sz w:val="21"/>
                <w:szCs w:val="21"/>
                <w:highlight w:val="none"/>
              </w:rPr>
              <w:t>采购需求</w:t>
            </w:r>
            <w:bookmarkEnd w:id="287"/>
          </w:p>
        </w:tc>
        <w:tc>
          <w:tcPr>
            <w:tcW w:w="2759" w:type="dxa"/>
            <w:vAlign w:val="center"/>
          </w:tcPr>
          <w:p w14:paraId="666E0008">
            <w:pPr>
              <w:spacing w:line="360" w:lineRule="auto"/>
              <w:jc w:val="center"/>
              <w:outlineLvl w:val="9"/>
              <w:rPr>
                <w:rFonts w:hint="eastAsia" w:ascii="宋体" w:hAnsi="宋体" w:eastAsia="宋体" w:cs="宋体"/>
                <w:kern w:val="1"/>
                <w:sz w:val="21"/>
                <w:szCs w:val="21"/>
                <w:highlight w:val="none"/>
              </w:rPr>
            </w:pPr>
            <w:bookmarkStart w:id="288" w:name="_Toc7825"/>
            <w:r>
              <w:rPr>
                <w:rFonts w:hint="eastAsia" w:ascii="宋体" w:hAnsi="宋体" w:eastAsia="宋体" w:cs="宋体"/>
                <w:kern w:val="1"/>
                <w:sz w:val="21"/>
                <w:szCs w:val="21"/>
                <w:highlight w:val="none"/>
              </w:rPr>
              <w:t>响应情况</w:t>
            </w:r>
            <w:bookmarkEnd w:id="288"/>
          </w:p>
        </w:tc>
        <w:tc>
          <w:tcPr>
            <w:tcW w:w="2067" w:type="dxa"/>
            <w:vAlign w:val="center"/>
          </w:tcPr>
          <w:p w14:paraId="6AB71486">
            <w:pPr>
              <w:spacing w:line="360" w:lineRule="auto"/>
              <w:jc w:val="center"/>
              <w:outlineLvl w:val="9"/>
              <w:rPr>
                <w:rFonts w:hint="eastAsia" w:ascii="宋体" w:hAnsi="宋体" w:eastAsia="宋体" w:cs="宋体"/>
                <w:kern w:val="1"/>
                <w:sz w:val="21"/>
                <w:szCs w:val="21"/>
                <w:highlight w:val="none"/>
              </w:rPr>
            </w:pPr>
            <w:bookmarkStart w:id="289" w:name="_Toc9474"/>
            <w:r>
              <w:rPr>
                <w:rFonts w:hint="eastAsia" w:ascii="宋体" w:hAnsi="宋体" w:eastAsia="宋体" w:cs="宋体"/>
                <w:kern w:val="1"/>
                <w:sz w:val="21"/>
                <w:szCs w:val="21"/>
                <w:highlight w:val="none"/>
              </w:rPr>
              <w:t>偏离说明</w:t>
            </w:r>
            <w:bookmarkEnd w:id="289"/>
          </w:p>
        </w:tc>
      </w:tr>
      <w:tr w14:paraId="68F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E99F6D">
            <w:pPr>
              <w:spacing w:line="360" w:lineRule="auto"/>
              <w:jc w:val="left"/>
              <w:outlineLvl w:val="9"/>
              <w:rPr>
                <w:rFonts w:hint="eastAsia" w:ascii="宋体" w:hAnsi="宋体" w:eastAsia="宋体" w:cs="宋体"/>
                <w:kern w:val="1"/>
                <w:sz w:val="21"/>
                <w:szCs w:val="21"/>
                <w:highlight w:val="none"/>
              </w:rPr>
            </w:pPr>
          </w:p>
        </w:tc>
        <w:tc>
          <w:tcPr>
            <w:tcW w:w="2658" w:type="dxa"/>
            <w:vAlign w:val="center"/>
          </w:tcPr>
          <w:p w14:paraId="128CC9CA">
            <w:pPr>
              <w:spacing w:line="360" w:lineRule="auto"/>
              <w:jc w:val="left"/>
              <w:outlineLvl w:val="9"/>
              <w:rPr>
                <w:rFonts w:hint="eastAsia" w:ascii="宋体" w:hAnsi="宋体" w:eastAsia="宋体" w:cs="宋体"/>
                <w:kern w:val="1"/>
                <w:sz w:val="21"/>
                <w:szCs w:val="21"/>
                <w:highlight w:val="none"/>
              </w:rPr>
            </w:pPr>
          </w:p>
        </w:tc>
        <w:tc>
          <w:tcPr>
            <w:tcW w:w="2759" w:type="dxa"/>
            <w:vAlign w:val="center"/>
          </w:tcPr>
          <w:p w14:paraId="28D478E6">
            <w:pPr>
              <w:spacing w:line="360" w:lineRule="auto"/>
              <w:jc w:val="left"/>
              <w:outlineLvl w:val="9"/>
              <w:rPr>
                <w:rFonts w:hint="eastAsia" w:ascii="宋体" w:hAnsi="宋体" w:eastAsia="宋体" w:cs="宋体"/>
                <w:kern w:val="1"/>
                <w:sz w:val="21"/>
                <w:szCs w:val="21"/>
                <w:highlight w:val="none"/>
              </w:rPr>
            </w:pPr>
          </w:p>
        </w:tc>
        <w:tc>
          <w:tcPr>
            <w:tcW w:w="2067" w:type="dxa"/>
            <w:vAlign w:val="center"/>
          </w:tcPr>
          <w:p w14:paraId="0274C12E">
            <w:pPr>
              <w:spacing w:line="360" w:lineRule="auto"/>
              <w:jc w:val="left"/>
              <w:outlineLvl w:val="9"/>
              <w:rPr>
                <w:rFonts w:hint="eastAsia" w:ascii="宋体" w:hAnsi="宋体" w:eastAsia="宋体" w:cs="宋体"/>
                <w:kern w:val="1"/>
                <w:sz w:val="21"/>
                <w:szCs w:val="21"/>
                <w:highlight w:val="none"/>
              </w:rPr>
            </w:pPr>
          </w:p>
        </w:tc>
      </w:tr>
      <w:tr w14:paraId="1825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62A966">
            <w:pPr>
              <w:spacing w:line="360" w:lineRule="auto"/>
              <w:jc w:val="left"/>
              <w:outlineLvl w:val="9"/>
              <w:rPr>
                <w:rFonts w:hint="eastAsia" w:ascii="宋体" w:hAnsi="宋体" w:eastAsia="宋体" w:cs="宋体"/>
                <w:kern w:val="1"/>
                <w:sz w:val="21"/>
                <w:szCs w:val="21"/>
                <w:highlight w:val="none"/>
              </w:rPr>
            </w:pPr>
          </w:p>
        </w:tc>
        <w:tc>
          <w:tcPr>
            <w:tcW w:w="2658" w:type="dxa"/>
            <w:vAlign w:val="center"/>
          </w:tcPr>
          <w:p w14:paraId="32803630">
            <w:pPr>
              <w:spacing w:line="360" w:lineRule="auto"/>
              <w:jc w:val="left"/>
              <w:outlineLvl w:val="9"/>
              <w:rPr>
                <w:rFonts w:hint="eastAsia" w:ascii="宋体" w:hAnsi="宋体" w:eastAsia="宋体" w:cs="宋体"/>
                <w:kern w:val="1"/>
                <w:sz w:val="21"/>
                <w:szCs w:val="21"/>
                <w:highlight w:val="none"/>
              </w:rPr>
            </w:pPr>
          </w:p>
        </w:tc>
        <w:tc>
          <w:tcPr>
            <w:tcW w:w="2759" w:type="dxa"/>
            <w:vAlign w:val="center"/>
          </w:tcPr>
          <w:p w14:paraId="31E70249">
            <w:pPr>
              <w:spacing w:line="360" w:lineRule="auto"/>
              <w:jc w:val="left"/>
              <w:outlineLvl w:val="9"/>
              <w:rPr>
                <w:rFonts w:hint="eastAsia" w:ascii="宋体" w:hAnsi="宋体" w:eastAsia="宋体" w:cs="宋体"/>
                <w:kern w:val="1"/>
                <w:sz w:val="21"/>
                <w:szCs w:val="21"/>
                <w:highlight w:val="none"/>
              </w:rPr>
            </w:pPr>
          </w:p>
        </w:tc>
        <w:tc>
          <w:tcPr>
            <w:tcW w:w="2067" w:type="dxa"/>
            <w:vAlign w:val="center"/>
          </w:tcPr>
          <w:p w14:paraId="7517DA93">
            <w:pPr>
              <w:spacing w:line="360" w:lineRule="auto"/>
              <w:jc w:val="left"/>
              <w:outlineLvl w:val="9"/>
              <w:rPr>
                <w:rFonts w:hint="eastAsia" w:ascii="宋体" w:hAnsi="宋体" w:eastAsia="宋体" w:cs="宋体"/>
                <w:kern w:val="1"/>
                <w:sz w:val="21"/>
                <w:szCs w:val="21"/>
                <w:highlight w:val="none"/>
              </w:rPr>
            </w:pPr>
          </w:p>
        </w:tc>
      </w:tr>
    </w:tbl>
    <w:p w14:paraId="453EDF17">
      <w:pPr>
        <w:spacing w:line="360" w:lineRule="auto"/>
        <w:jc w:val="left"/>
        <w:outlineLvl w:val="9"/>
        <w:rPr>
          <w:rFonts w:hint="eastAsia" w:ascii="宋体" w:hAnsi="宋体" w:eastAsia="宋体" w:cs="宋体"/>
          <w:kern w:val="1"/>
          <w:sz w:val="21"/>
          <w:szCs w:val="21"/>
          <w:highlight w:val="none"/>
        </w:rPr>
      </w:pPr>
    </w:p>
    <w:p w14:paraId="55FEAFC8">
      <w:pPr>
        <w:spacing w:line="360" w:lineRule="auto"/>
        <w:jc w:val="left"/>
        <w:outlineLvl w:val="9"/>
        <w:rPr>
          <w:rFonts w:hint="eastAsia" w:ascii="宋体" w:hAnsi="宋体" w:eastAsia="宋体" w:cs="宋体"/>
          <w:kern w:val="1"/>
          <w:sz w:val="21"/>
          <w:szCs w:val="21"/>
          <w:highlight w:val="none"/>
        </w:rPr>
      </w:pPr>
    </w:p>
    <w:p w14:paraId="1DFB4449">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（签字或加盖个人名章）</w:t>
      </w:r>
    </w:p>
    <w:p w14:paraId="5879579E">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（单位盖章）</w:t>
      </w:r>
    </w:p>
    <w:p w14:paraId="7D9F1378">
      <w:pPr>
        <w:pStyle w:val="10"/>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14:paraId="34FB670B">
      <w:pPr>
        <w:spacing w:line="400" w:lineRule="exact"/>
        <w:jc w:val="left"/>
        <w:outlineLvl w:val="9"/>
        <w:rPr>
          <w:rFonts w:hint="eastAsia" w:ascii="宋体" w:hAnsi="宋体" w:cs="宋体"/>
          <w:sz w:val="24"/>
          <w:szCs w:val="24"/>
          <w:highlight w:val="none"/>
        </w:rPr>
      </w:pPr>
    </w:p>
    <w:p w14:paraId="159E6F31">
      <w:pPr>
        <w:wordWrap w:val="0"/>
        <w:spacing w:line="520" w:lineRule="exact"/>
        <w:outlineLvl w:val="2"/>
        <w:rPr>
          <w:rFonts w:hint="eastAsia" w:ascii="宋体" w:hAnsi="宋体" w:eastAsia="宋体" w:cs="宋体"/>
          <w:b/>
          <w:bCs/>
          <w:sz w:val="21"/>
          <w:szCs w:val="21"/>
          <w:highlight w:val="none"/>
          <w:lang w:val="en-US" w:eastAsia="zh-CN"/>
        </w:rPr>
      </w:pPr>
      <w:r>
        <w:rPr>
          <w:rFonts w:hint="eastAsia" w:ascii="宋体" w:hAnsi="宋体" w:cs="宋体"/>
          <w:sz w:val="24"/>
          <w:szCs w:val="24"/>
          <w:highlight w:val="none"/>
        </w:rPr>
        <w:br w:type="page"/>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商务</w:t>
      </w:r>
      <w:r>
        <w:rPr>
          <w:rFonts w:hint="eastAsia" w:ascii="宋体" w:hAnsi="宋体" w:eastAsia="宋体" w:cs="宋体"/>
          <w:b/>
          <w:bCs/>
          <w:sz w:val="21"/>
          <w:szCs w:val="21"/>
          <w:highlight w:val="none"/>
          <w:lang w:val="en-US" w:eastAsia="zh-CN"/>
        </w:rPr>
        <w:t>响应应附的其他</w:t>
      </w:r>
      <w:r>
        <w:rPr>
          <w:rFonts w:hint="eastAsia" w:ascii="宋体" w:hAnsi="宋体" w:eastAsia="宋体" w:cs="宋体"/>
          <w:b/>
          <w:bCs/>
          <w:sz w:val="21"/>
          <w:szCs w:val="21"/>
          <w:highlight w:val="none"/>
        </w:rPr>
        <w:t>材料</w:t>
      </w:r>
    </w:p>
    <w:p w14:paraId="12A9159C">
      <w:pPr>
        <w:spacing w:line="400" w:lineRule="exact"/>
        <w:jc w:val="center"/>
        <w:outlineLvl w:val="9"/>
        <w:rPr>
          <w:rFonts w:ascii="宋体" w:hAnsi="宋体" w:cs="宋体"/>
          <w:sz w:val="24"/>
          <w:szCs w:val="24"/>
          <w:highlight w:val="none"/>
        </w:rPr>
      </w:pPr>
    </w:p>
    <w:p w14:paraId="3CD28079">
      <w:pPr>
        <w:tabs>
          <w:tab w:val="left" w:pos="6300"/>
        </w:tabs>
        <w:snapToGrid w:val="0"/>
        <w:spacing w:line="480" w:lineRule="exact"/>
        <w:ind w:firstLine="480" w:firstLineChars="200"/>
        <w:outlineLvl w:val="9"/>
        <w:rPr>
          <w:rFonts w:ascii="宋体" w:hAnsi="宋体" w:cs="宋体"/>
          <w:sz w:val="24"/>
          <w:szCs w:val="24"/>
          <w:highlight w:val="none"/>
        </w:rPr>
      </w:pPr>
    </w:p>
    <w:p w14:paraId="7DD3DFEA">
      <w:pPr>
        <w:numPr>
          <w:ilvl w:val="0"/>
          <w:numId w:val="0"/>
        </w:numPr>
        <w:ind w:left="0" w:leftChars="0" w:firstLine="0" w:firstLineChars="0"/>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格式自拟</w:t>
      </w:r>
    </w:p>
    <w:p w14:paraId="2ADB92EE">
      <w:pPr>
        <w:numPr>
          <w:ilvl w:val="0"/>
          <w:numId w:val="0"/>
        </w:numPr>
        <w:ind w:left="0" w:leftChars="0" w:firstLine="0" w:firstLineChars="0"/>
        <w:jc w:val="center"/>
        <w:outlineLvl w:val="9"/>
        <w:rPr>
          <w:rFonts w:hint="eastAsia" w:ascii="宋体" w:hAnsi="宋体" w:cs="宋体"/>
          <w:sz w:val="24"/>
          <w:szCs w:val="24"/>
          <w:highlight w:val="none"/>
          <w:lang w:val="en-US" w:eastAsia="zh-CN"/>
        </w:rPr>
      </w:pPr>
    </w:p>
    <w:p w14:paraId="29BE4ACC">
      <w:pPr>
        <w:numPr>
          <w:ilvl w:val="0"/>
          <w:numId w:val="0"/>
        </w:numPr>
        <w:ind w:left="0" w:leftChars="0" w:firstLine="0" w:firstLineChars="0"/>
        <w:jc w:val="center"/>
        <w:outlineLvl w:val="1"/>
        <w:rPr>
          <w:rFonts w:hint="eastAsia" w:ascii="宋体" w:hAnsi="宋体" w:eastAsia="宋体" w:cs="宋体"/>
          <w:b/>
          <w:sz w:val="34"/>
          <w:highlight w:val="none"/>
        </w:rPr>
      </w:pPr>
      <w:r>
        <w:rPr>
          <w:rFonts w:ascii="宋体" w:hAnsi="宋体" w:cs="宋体"/>
          <w:sz w:val="24"/>
          <w:szCs w:val="24"/>
          <w:highlight w:val="none"/>
        </w:rPr>
        <w:br w:type="page"/>
      </w:r>
      <w:bookmarkEnd w:id="283"/>
      <w:bookmarkEnd w:id="284"/>
      <w:bookmarkEnd w:id="285"/>
      <w:bookmarkStart w:id="290" w:name="_Toc21793"/>
      <w:bookmarkStart w:id="291" w:name="_Toc2082"/>
      <w:bookmarkStart w:id="292" w:name="_Toc20162"/>
      <w:bookmarkStart w:id="293" w:name="_Toc65660382"/>
      <w:r>
        <w:rPr>
          <w:rFonts w:hint="eastAsia" w:ascii="宋体" w:hAnsi="宋体" w:eastAsia="宋体" w:cs="宋体"/>
          <w:b/>
          <w:sz w:val="34"/>
          <w:highlight w:val="none"/>
          <w:lang w:val="en-US" w:eastAsia="zh-CN"/>
        </w:rPr>
        <w:t>四、</w:t>
      </w:r>
      <w:r>
        <w:rPr>
          <w:rFonts w:hint="eastAsia" w:ascii="宋体" w:hAnsi="宋体" w:eastAsia="宋体" w:cs="宋体"/>
          <w:b/>
          <w:sz w:val="34"/>
          <w:highlight w:val="none"/>
        </w:rPr>
        <w:t>资格条件及其他</w:t>
      </w:r>
      <w:bookmarkEnd w:id="290"/>
      <w:bookmarkEnd w:id="291"/>
      <w:bookmarkEnd w:id="292"/>
      <w:bookmarkEnd w:id="293"/>
      <w:bookmarkStart w:id="294" w:name="_Toc313008359"/>
      <w:bookmarkStart w:id="295" w:name="_Toc313888363"/>
      <w:bookmarkStart w:id="296" w:name="_Toc342913422"/>
    </w:p>
    <w:p w14:paraId="08FE8C76">
      <w:pPr>
        <w:pStyle w:val="10"/>
        <w:numPr>
          <w:ilvl w:val="0"/>
          <w:numId w:val="0"/>
        </w:numPr>
        <w:ind w:leftChars="0"/>
        <w:rPr>
          <w:highlight w:val="none"/>
        </w:rPr>
      </w:pPr>
    </w:p>
    <w:p w14:paraId="50D92E19">
      <w:pPr>
        <w:numPr>
          <w:ilvl w:val="0"/>
          <w:numId w:val="0"/>
        </w:numPr>
        <w:spacing w:line="360" w:lineRule="auto"/>
        <w:jc w:val="left"/>
        <w:outlineLvl w:val="2"/>
        <w:rPr>
          <w:rFonts w:hint="eastAsia" w:ascii="宋体" w:hAnsi="宋体" w:cs="宋体"/>
          <w:b/>
          <w:szCs w:val="24"/>
          <w:highlight w:val="none"/>
          <w:lang w:val="en-US" w:eastAsia="zh-CN"/>
        </w:rPr>
      </w:pPr>
      <w:r>
        <w:rPr>
          <w:rFonts w:hint="eastAsia" w:ascii="宋体" w:hAnsi="宋体" w:eastAsia="宋体" w:cs="宋体"/>
          <w:b/>
          <w:kern w:val="2"/>
          <w:sz w:val="28"/>
          <w:szCs w:val="24"/>
          <w:lang w:val="en-US" w:eastAsia="zh-CN" w:bidi="ar-SA"/>
        </w:rPr>
        <w:t>（一）</w:t>
      </w:r>
      <w:r>
        <w:rPr>
          <w:rFonts w:hint="eastAsia" w:ascii="宋体" w:hAnsi="宋体" w:cs="宋体"/>
          <w:b/>
          <w:szCs w:val="24"/>
          <w:highlight w:val="none"/>
        </w:rPr>
        <w:t>营业执照复印件</w:t>
      </w:r>
      <w:r>
        <w:rPr>
          <w:rFonts w:hint="eastAsia" w:ascii="宋体" w:hAnsi="宋体" w:cs="宋体"/>
          <w:b/>
          <w:szCs w:val="24"/>
          <w:highlight w:val="none"/>
          <w:lang w:val="en-US" w:eastAsia="zh-CN"/>
        </w:rPr>
        <w:t>并加盖投标供应商公章</w:t>
      </w:r>
    </w:p>
    <w:p w14:paraId="3235A83D">
      <w:pPr>
        <w:pStyle w:val="2"/>
        <w:widowControl w:val="0"/>
        <w:numPr>
          <w:numId w:val="0"/>
        </w:numPr>
        <w:jc w:val="both"/>
        <w:rPr>
          <w:rFonts w:hint="default"/>
          <w:lang w:val="en-US" w:eastAsia="zh-CN"/>
        </w:rPr>
      </w:pPr>
    </w:p>
    <w:p w14:paraId="7DA93EBE">
      <w:pPr>
        <w:rPr>
          <w:rFonts w:hint="default"/>
          <w:lang w:val="en-US" w:eastAsia="zh-CN"/>
        </w:rPr>
      </w:pPr>
    </w:p>
    <w:p w14:paraId="24BCEEE1">
      <w:pPr>
        <w:rPr>
          <w:rFonts w:ascii="宋体" w:hAnsi="宋体" w:cs="宋体"/>
          <w:sz w:val="24"/>
          <w:szCs w:val="24"/>
          <w:highlight w:val="none"/>
        </w:rPr>
      </w:pPr>
      <w:r>
        <w:rPr>
          <w:rFonts w:ascii="宋体" w:hAnsi="宋体" w:cs="宋体"/>
          <w:sz w:val="24"/>
          <w:szCs w:val="24"/>
          <w:highlight w:val="none"/>
        </w:rPr>
        <w:br w:type="page"/>
      </w:r>
    </w:p>
    <w:p w14:paraId="552049E6">
      <w:pPr>
        <w:numPr>
          <w:ilvl w:val="0"/>
          <w:numId w:val="0"/>
        </w:numPr>
        <w:tabs>
          <w:tab w:val="left" w:pos="6300"/>
        </w:tabs>
        <w:snapToGrid w:val="0"/>
        <w:spacing w:line="360" w:lineRule="auto"/>
        <w:ind w:firstLine="570" w:firstLineChars="0"/>
        <w:outlineLvl w:val="2"/>
        <w:rPr>
          <w:rFonts w:hint="eastAsia" w:ascii="宋体" w:hAnsi="宋体" w:eastAsia="宋体" w:cs="宋体"/>
          <w:b/>
          <w:szCs w:val="24"/>
          <w:highlight w:val="none"/>
        </w:rPr>
      </w:pPr>
      <w:r>
        <w:rPr>
          <w:rFonts w:hint="eastAsia" w:ascii="宋体" w:hAnsi="宋体" w:eastAsia="宋体" w:cs="宋体"/>
          <w:b/>
          <w:kern w:val="2"/>
          <w:sz w:val="28"/>
          <w:szCs w:val="24"/>
          <w:highlight w:val="none"/>
          <w:lang w:val="en-US" w:eastAsia="zh-CN" w:bidi="ar-SA"/>
        </w:rPr>
        <w:t>（二）</w:t>
      </w:r>
      <w:r>
        <w:rPr>
          <w:rFonts w:hint="eastAsia" w:ascii="宋体" w:hAnsi="宋体" w:eastAsia="宋体" w:cs="宋体"/>
          <w:b/>
          <w:szCs w:val="24"/>
          <w:highlight w:val="none"/>
        </w:rPr>
        <w:t>特定资格条件：</w:t>
      </w:r>
    </w:p>
    <w:p w14:paraId="02164829">
      <w:pPr>
        <w:numPr>
          <w:ilvl w:val="0"/>
          <w:numId w:val="0"/>
        </w:numPr>
        <w:tabs>
          <w:tab w:val="left" w:pos="6300"/>
        </w:tabs>
        <w:snapToGrid w:val="0"/>
        <w:spacing w:line="360" w:lineRule="auto"/>
        <w:ind w:firstLine="562" w:firstLineChars="200"/>
        <w:rPr>
          <w:rFonts w:hint="eastAsia" w:ascii="宋体" w:hAnsi="宋体" w:eastAsia="宋体" w:cs="宋体"/>
          <w:b/>
          <w:szCs w:val="24"/>
          <w:highlight w:val="none"/>
          <w:lang w:val="en-US" w:eastAsia="zh-CN"/>
        </w:rPr>
      </w:pPr>
    </w:p>
    <w:p w14:paraId="3B339A9F">
      <w:pPr>
        <w:numPr>
          <w:ilvl w:val="0"/>
          <w:numId w:val="0"/>
        </w:numPr>
        <w:tabs>
          <w:tab w:val="left" w:pos="6300"/>
        </w:tabs>
        <w:snapToGrid w:val="0"/>
        <w:spacing w:line="360" w:lineRule="auto"/>
        <w:ind w:firstLine="440" w:firstLineChars="200"/>
        <w:rPr>
          <w:rFonts w:hint="default" w:ascii="宋体" w:hAnsi="宋体" w:eastAsia="宋体" w:cs="宋体"/>
          <w:b w:val="0"/>
          <w:bCs/>
          <w:sz w:val="22"/>
          <w:szCs w:val="16"/>
          <w:highlight w:val="none"/>
          <w:lang w:val="en-US" w:eastAsia="zh-CN"/>
        </w:rPr>
      </w:pPr>
      <w:r>
        <w:rPr>
          <w:rFonts w:hint="eastAsia" w:ascii="宋体" w:hAnsi="宋体" w:eastAsia="宋体" w:cs="宋体"/>
          <w:b w:val="0"/>
          <w:bCs/>
          <w:sz w:val="22"/>
          <w:szCs w:val="21"/>
          <w:highlight w:val="none"/>
          <w:lang w:val="en-US" w:eastAsia="zh-CN"/>
        </w:rPr>
        <w:t>按第一篇 二、供应商资格条件 （三）特定资格条件提供</w:t>
      </w:r>
      <w:r>
        <w:rPr>
          <w:rFonts w:hint="eastAsia" w:ascii="宋体" w:hAnsi="宋体" w:eastAsia="宋体" w:cs="宋体"/>
          <w:b w:val="0"/>
          <w:bCs/>
          <w:sz w:val="22"/>
          <w:szCs w:val="21"/>
          <w:highlight w:val="none"/>
        </w:rPr>
        <w:t>（提供证书复印件并加盖投标供应商公章）</w:t>
      </w:r>
    </w:p>
    <w:p w14:paraId="0C7276CC">
      <w:pPr>
        <w:tabs>
          <w:tab w:val="left" w:pos="6300"/>
        </w:tabs>
        <w:snapToGrid w:val="0"/>
        <w:spacing w:line="500" w:lineRule="exact"/>
        <w:ind w:firstLine="570"/>
        <w:rPr>
          <w:rFonts w:ascii="宋体" w:hAnsi="宋体" w:cs="宋体"/>
          <w:highlight w:val="none"/>
        </w:rPr>
      </w:pPr>
    </w:p>
    <w:p w14:paraId="55F35277">
      <w:pPr>
        <w:tabs>
          <w:tab w:val="left" w:pos="6300"/>
        </w:tabs>
        <w:snapToGrid w:val="0"/>
        <w:spacing w:line="500" w:lineRule="exact"/>
        <w:ind w:firstLine="570"/>
        <w:rPr>
          <w:rFonts w:ascii="宋体" w:hAnsi="宋体" w:cs="宋体"/>
          <w:highlight w:val="none"/>
        </w:rPr>
      </w:pPr>
    </w:p>
    <w:p w14:paraId="38B8BABC">
      <w:pPr>
        <w:rPr>
          <w:rFonts w:hint="eastAsia" w:ascii="宋体" w:hAnsi="宋体" w:cs="宋体"/>
          <w:highlight w:val="none"/>
          <w:lang w:eastAsia="zh-CN"/>
        </w:rPr>
      </w:pPr>
      <w:r>
        <w:rPr>
          <w:rFonts w:hint="eastAsia" w:ascii="宋体" w:hAnsi="宋体" w:cs="宋体"/>
          <w:highlight w:val="none"/>
          <w:lang w:eastAsia="zh-CN"/>
        </w:rPr>
        <w:br w:type="page"/>
      </w:r>
    </w:p>
    <w:p w14:paraId="103910C6">
      <w:pPr>
        <w:numPr>
          <w:ilvl w:val="0"/>
          <w:numId w:val="0"/>
        </w:numPr>
        <w:spacing w:line="400" w:lineRule="exact"/>
        <w:ind w:left="0" w:leftChars="0" w:firstLine="0" w:firstLineChars="0"/>
        <w:jc w:val="left"/>
        <w:outlineLvl w:val="2"/>
        <w:rPr>
          <w:highlight w:val="none"/>
        </w:rPr>
      </w:pPr>
      <w:r>
        <w:rPr>
          <w:rFonts w:hint="eastAsia" w:ascii="宋体" w:hAnsi="宋体" w:cs="宋体"/>
          <w:highlight w:val="none"/>
          <w:lang w:eastAsia="zh-CN"/>
        </w:rPr>
        <w:t>（</w:t>
      </w:r>
      <w:r>
        <w:rPr>
          <w:rFonts w:hint="eastAsia" w:ascii="宋体" w:hAnsi="宋体" w:cs="宋体"/>
          <w:highlight w:val="none"/>
          <w:lang w:val="en-US" w:eastAsia="zh-CN"/>
        </w:rPr>
        <w:t>三）</w:t>
      </w:r>
      <w:r>
        <w:rPr>
          <w:rFonts w:hint="eastAsia" w:ascii="宋体" w:hAnsi="宋体" w:cs="宋体"/>
          <w:b/>
          <w:szCs w:val="24"/>
          <w:highlight w:val="none"/>
        </w:rPr>
        <w:t>法定代表人身份证明书（格式）</w:t>
      </w:r>
    </w:p>
    <w:p w14:paraId="551A71C3">
      <w:pPr>
        <w:pStyle w:val="3"/>
        <w:outlineLvl w:val="9"/>
        <w:rPr>
          <w:highlight w:val="none"/>
        </w:rPr>
      </w:pPr>
    </w:p>
    <w:p w14:paraId="132F995D">
      <w:pPr>
        <w:bidi w:val="0"/>
        <w:jc w:val="center"/>
        <w:rPr>
          <w:rFonts w:hint="eastAsia" w:ascii="宋体" w:hAnsi="宋体" w:eastAsia="宋体" w:cs="宋体"/>
          <w:b/>
          <w:bCs/>
          <w:highlight w:val="none"/>
        </w:rPr>
      </w:pPr>
      <w:r>
        <w:rPr>
          <w:rFonts w:hint="eastAsia" w:ascii="宋体" w:hAnsi="宋体" w:eastAsia="宋体" w:cs="宋体"/>
          <w:b/>
          <w:bCs/>
          <w:highlight w:val="none"/>
        </w:rPr>
        <w:t>法定代表人身份证明书</w:t>
      </w:r>
    </w:p>
    <w:p w14:paraId="1E24AE65">
      <w:pPr>
        <w:tabs>
          <w:tab w:val="left" w:pos="6300"/>
        </w:tabs>
        <w:snapToGrid w:val="0"/>
        <w:spacing w:line="500" w:lineRule="exact"/>
        <w:ind w:firstLine="570"/>
        <w:rPr>
          <w:rFonts w:ascii="宋体" w:hAnsi="宋体" w:cs="宋体"/>
          <w:sz w:val="24"/>
          <w:highlight w:val="none"/>
        </w:rPr>
      </w:pPr>
    </w:p>
    <w:p w14:paraId="2DA03AE4">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30242A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1D18049C">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6D18485F">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799842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786C215A">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0218239">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34C9BD3C">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5759B7BA">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258380BD">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738A02F">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85A72B6">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74440B0">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D699DF0">
      <w:pPr>
        <w:tabs>
          <w:tab w:val="left" w:pos="6300"/>
        </w:tabs>
        <w:snapToGrid w:val="0"/>
        <w:spacing w:line="360" w:lineRule="auto"/>
        <w:ind w:firstLine="57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如授权代表参加竞采的，可不填写法定代表人联系方式）</w:t>
      </w:r>
    </w:p>
    <w:p w14:paraId="6F60304E">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F1D93D3">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7B1119B3">
      <w:pPr>
        <w:tabs>
          <w:tab w:val="left" w:pos="6300"/>
        </w:tabs>
        <w:snapToGrid w:val="0"/>
        <w:spacing w:line="360" w:lineRule="auto"/>
        <w:ind w:firstLine="570"/>
        <w:outlineLvl w:val="9"/>
        <w:rPr>
          <w:rFonts w:hint="eastAsia" w:ascii="宋体" w:hAnsi="宋体" w:eastAsia="宋体" w:cs="宋体"/>
          <w:color w:val="auto"/>
          <w:sz w:val="32"/>
          <w:szCs w:val="32"/>
          <w:highlight w:val="none"/>
        </w:rPr>
      </w:pPr>
    </w:p>
    <w:p w14:paraId="2F8DFBFA">
      <w:pPr>
        <w:tabs>
          <w:tab w:val="left" w:pos="6300"/>
        </w:tabs>
        <w:snapToGrid w:val="0"/>
        <w:spacing w:line="360" w:lineRule="auto"/>
        <w:ind w:firstLine="570"/>
        <w:outlineLvl w:val="9"/>
        <w:rPr>
          <w:rFonts w:hint="eastAsia" w:ascii="宋体" w:hAnsi="宋体" w:eastAsia="宋体" w:cs="宋体"/>
          <w:color w:val="auto"/>
          <w:sz w:val="32"/>
          <w:szCs w:val="32"/>
          <w:highlight w:val="none"/>
        </w:rPr>
      </w:pPr>
    </w:p>
    <w:p w14:paraId="4EDAB66F">
      <w:pPr>
        <w:tabs>
          <w:tab w:val="left" w:pos="6300"/>
        </w:tabs>
        <w:snapToGrid w:val="0"/>
        <w:spacing w:line="500" w:lineRule="exact"/>
        <w:ind w:firstLine="570"/>
        <w:rPr>
          <w:rFonts w:ascii="宋体" w:hAnsi="宋体" w:cs="宋体"/>
          <w:sz w:val="24"/>
          <w:highlight w:val="none"/>
        </w:rPr>
      </w:pPr>
    </w:p>
    <w:p w14:paraId="6803FEFB">
      <w:pP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br w:type="page"/>
      </w:r>
    </w:p>
    <w:p w14:paraId="6AB38495">
      <w:pPr>
        <w:numPr>
          <w:ilvl w:val="0"/>
          <w:numId w:val="0"/>
        </w:numPr>
        <w:spacing w:line="400" w:lineRule="exact"/>
        <w:ind w:left="0" w:leftChars="0" w:firstLine="0" w:firstLineChars="0"/>
        <w:jc w:val="left"/>
        <w:rPr>
          <w:rFonts w:hint="eastAsia" w:ascii="宋体" w:hAnsi="宋体" w:cs="宋体"/>
          <w:b/>
          <w:szCs w:val="24"/>
          <w:highlight w:val="none"/>
        </w:rPr>
      </w:pPr>
      <w:r>
        <w:rPr>
          <w:rFonts w:hint="eastAsia" w:ascii="宋体" w:hAnsi="宋体" w:eastAsia="宋体" w:cs="宋体"/>
          <w:b/>
          <w:kern w:val="2"/>
          <w:sz w:val="28"/>
          <w:szCs w:val="24"/>
          <w:highlight w:val="none"/>
          <w:lang w:val="en-US" w:eastAsia="zh-CN" w:bidi="ar-SA"/>
        </w:rPr>
        <w:t>（</w:t>
      </w:r>
      <w:r>
        <w:rPr>
          <w:rFonts w:hint="eastAsia" w:ascii="宋体" w:hAnsi="宋体" w:cs="宋体"/>
          <w:b/>
          <w:kern w:val="2"/>
          <w:sz w:val="28"/>
          <w:szCs w:val="24"/>
          <w:highlight w:val="none"/>
          <w:lang w:val="en-US" w:eastAsia="zh-CN" w:bidi="ar-SA"/>
        </w:rPr>
        <w:t>四</w:t>
      </w:r>
      <w:r>
        <w:rPr>
          <w:rFonts w:hint="eastAsia" w:ascii="宋体" w:hAnsi="宋体" w:eastAsia="宋体" w:cs="宋体"/>
          <w:b/>
          <w:kern w:val="2"/>
          <w:sz w:val="28"/>
          <w:szCs w:val="24"/>
          <w:highlight w:val="none"/>
          <w:lang w:val="en-US" w:eastAsia="zh-CN" w:bidi="ar-SA"/>
        </w:rPr>
        <w:t>）</w:t>
      </w:r>
      <w:r>
        <w:rPr>
          <w:rFonts w:hint="eastAsia" w:ascii="宋体" w:hAnsi="宋体" w:cs="宋体"/>
          <w:b/>
          <w:szCs w:val="24"/>
          <w:highlight w:val="none"/>
        </w:rPr>
        <w:t>法定代表人授权委托书（格式）</w:t>
      </w:r>
    </w:p>
    <w:p w14:paraId="394D8BE6">
      <w:pPr>
        <w:pStyle w:val="3"/>
        <w:numPr>
          <w:ilvl w:val="0"/>
          <w:numId w:val="0"/>
        </w:numPr>
        <w:ind w:leftChars="0"/>
        <w:outlineLvl w:val="9"/>
        <w:rPr>
          <w:highlight w:val="none"/>
        </w:rPr>
      </w:pPr>
    </w:p>
    <w:p w14:paraId="0DA2A0AA">
      <w:pPr>
        <w:bidi w:val="0"/>
        <w:jc w:val="center"/>
        <w:rPr>
          <w:rFonts w:hint="eastAsia" w:ascii="宋体" w:hAnsi="宋体" w:eastAsia="宋体" w:cs="宋体"/>
          <w:b/>
          <w:bCs/>
          <w:highlight w:val="none"/>
        </w:rPr>
      </w:pPr>
      <w:r>
        <w:rPr>
          <w:rFonts w:hint="eastAsia" w:ascii="宋体" w:hAnsi="宋体" w:cs="宋体"/>
          <w:sz w:val="24"/>
          <w:highlight w:val="none"/>
        </w:rPr>
        <w:t xml:space="preserve">   </w:t>
      </w:r>
      <w:r>
        <w:rPr>
          <w:rFonts w:hint="eastAsia" w:ascii="宋体" w:hAnsi="宋体" w:eastAsia="宋体" w:cs="宋体"/>
          <w:b/>
          <w:bCs/>
          <w:highlight w:val="none"/>
        </w:rPr>
        <w:t>法定代表人授权委托书</w:t>
      </w:r>
    </w:p>
    <w:p w14:paraId="7EA53DDA">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w:t>
      </w:r>
    </w:p>
    <w:p w14:paraId="5E3EA180">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F31DDD6">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4D791D85">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（被授权人姓名及身份证代码）代表我单位全权办理上述项目的竞采、签约等具体工作，并签署全部有关文件、协议及合同。</w:t>
      </w:r>
    </w:p>
    <w:p w14:paraId="093891B4">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2A1FCA76">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7A67D63A">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18163F8A">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46589B27">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签署或盖章</w:t>
      </w:r>
      <w:r>
        <w:rPr>
          <w:rFonts w:hint="eastAsia" w:ascii="宋体" w:hAnsi="宋体" w:eastAsia="宋体" w:cs="宋体"/>
          <w:color w:val="auto"/>
          <w:sz w:val="24"/>
          <w:szCs w:val="24"/>
          <w:highlight w:val="none"/>
        </w:rPr>
        <w:t>）                                （</w:t>
      </w:r>
      <w:r>
        <w:rPr>
          <w:rFonts w:hint="eastAsia" w:ascii="宋体" w:hAnsi="宋体" w:eastAsia="宋体" w:cs="宋体"/>
          <w:color w:val="auto"/>
          <w:kern w:val="0"/>
          <w:sz w:val="24"/>
          <w:szCs w:val="24"/>
          <w:highlight w:val="none"/>
        </w:rPr>
        <w:t>签署或盖章</w:t>
      </w:r>
      <w:r>
        <w:rPr>
          <w:rFonts w:hint="eastAsia" w:ascii="宋体" w:hAnsi="宋体" w:eastAsia="宋体" w:cs="宋体"/>
          <w:color w:val="auto"/>
          <w:sz w:val="24"/>
          <w:szCs w:val="24"/>
          <w:highlight w:val="none"/>
        </w:rPr>
        <w:t>）</w:t>
      </w:r>
    </w:p>
    <w:p w14:paraId="51453A47">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C12219B">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5CFDCA0">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9767E4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50B3FB9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6D7F3A7C">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DF55695">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3C46B5">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p>
    <w:p w14:paraId="0020C617">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如法定代表人参加竞采的，可不填写授权代表联系方式）</w:t>
      </w:r>
    </w:p>
    <w:p w14:paraId="62981EE2">
      <w:pPr>
        <w:rPr>
          <w:rFonts w:ascii="宋体" w:hAnsi="宋体" w:cs="宋体"/>
          <w:sz w:val="21"/>
          <w:szCs w:val="21"/>
          <w:highlight w:val="none"/>
        </w:rPr>
      </w:pPr>
      <w:r>
        <w:rPr>
          <w:rFonts w:hint="eastAsia" w:ascii="宋体" w:hAnsi="宋体" w:cs="宋体"/>
          <w:sz w:val="24"/>
          <w:szCs w:val="24"/>
          <w:highlight w:val="none"/>
        </w:rPr>
        <w:t>---------------------------------------------------------------------------</w:t>
      </w:r>
    </w:p>
    <w:p w14:paraId="356B7BA8">
      <w:pPr>
        <w:wordWrap w:val="0"/>
        <w:spacing w:line="520" w:lineRule="exact"/>
        <w:rPr>
          <w:rFonts w:ascii="宋体" w:hAnsi="宋体" w:cs="宋体"/>
          <w:sz w:val="21"/>
          <w:szCs w:val="21"/>
          <w:highlight w:val="none"/>
        </w:rPr>
      </w:pPr>
      <w:r>
        <w:rPr>
          <w:rFonts w:hint="eastAsia" w:ascii="宋体" w:hAnsi="宋体" w:cs="宋体"/>
          <w:sz w:val="21"/>
          <w:szCs w:val="21"/>
          <w:highlight w:val="none"/>
        </w:rPr>
        <w:t>（注：法定代表人参加竞采的，只须附法定代表人身份证明，授权代表参加竞采的须附法定代表人身份证明及法定代表人授权委托书）</w:t>
      </w:r>
    </w:p>
    <w:p w14:paraId="199A1095">
      <w:pPr>
        <w:spacing w:line="400" w:lineRule="exact"/>
        <w:jc w:val="left"/>
        <w:outlineLvl w:val="2"/>
        <w:rPr>
          <w:rFonts w:ascii="宋体" w:hAnsi="宋体" w:cs="宋体"/>
          <w:sz w:val="24"/>
          <w:szCs w:val="24"/>
          <w:highlight w:val="none"/>
        </w:rPr>
      </w:pPr>
      <w:r>
        <w:rPr>
          <w:rFonts w:hint="eastAsia" w:ascii="宋体" w:hAnsi="宋体" w:cs="宋体"/>
          <w:highlight w:val="none"/>
        </w:rPr>
        <w:br w:type="column"/>
      </w:r>
      <w:r>
        <w:rPr>
          <w:rFonts w:hint="eastAsia" w:ascii="宋体" w:hAnsi="宋体" w:cs="宋体"/>
          <w:b/>
          <w:szCs w:val="24"/>
          <w:highlight w:val="none"/>
        </w:rPr>
        <w:t>（</w:t>
      </w:r>
      <w:r>
        <w:rPr>
          <w:rFonts w:hint="eastAsia" w:ascii="宋体" w:hAnsi="宋体" w:cs="宋体"/>
          <w:b/>
          <w:szCs w:val="24"/>
          <w:highlight w:val="none"/>
          <w:lang w:val="en-US" w:eastAsia="zh-CN"/>
        </w:rPr>
        <w:t>五</w:t>
      </w:r>
      <w:r>
        <w:rPr>
          <w:rFonts w:hint="eastAsia" w:ascii="宋体" w:hAnsi="宋体" w:cs="宋体"/>
          <w:b/>
          <w:szCs w:val="24"/>
          <w:highlight w:val="none"/>
        </w:rPr>
        <w:t>）基本资格条件承诺函（格式）</w:t>
      </w:r>
    </w:p>
    <w:p w14:paraId="088F044D">
      <w:pPr>
        <w:spacing w:line="400" w:lineRule="exact"/>
        <w:jc w:val="center"/>
        <w:rPr>
          <w:rFonts w:hint="eastAsia" w:ascii="宋体" w:hAnsi="宋体" w:cs="宋体"/>
          <w:b/>
          <w:bCs/>
          <w:sz w:val="24"/>
          <w:szCs w:val="24"/>
          <w:highlight w:val="none"/>
        </w:rPr>
      </w:pPr>
    </w:p>
    <w:p w14:paraId="432EC89E">
      <w:pPr>
        <w:spacing w:line="4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基本资格条件承诺函</w:t>
      </w:r>
    </w:p>
    <w:p w14:paraId="3DB523B5">
      <w:pPr>
        <w:spacing w:line="480" w:lineRule="auto"/>
        <w:jc w:val="left"/>
        <w:rPr>
          <w:rFonts w:hint="eastAsia" w:ascii="宋体" w:hAnsi="宋体" w:cs="宋体"/>
          <w:sz w:val="24"/>
          <w:szCs w:val="24"/>
          <w:highlight w:val="none"/>
        </w:rPr>
      </w:pPr>
      <w:r>
        <w:rPr>
          <w:rFonts w:hint="eastAsia" w:ascii="宋体" w:hAnsi="宋体" w:cs="宋体"/>
          <w:sz w:val="24"/>
          <w:szCs w:val="24"/>
          <w:highlight w:val="none"/>
        </w:rPr>
        <w:t>致_________（采购</w:t>
      </w:r>
      <w:r>
        <w:rPr>
          <w:rFonts w:hint="eastAsia" w:ascii="宋体" w:hAnsi="宋体" w:cs="宋体"/>
          <w:sz w:val="24"/>
          <w:szCs w:val="24"/>
          <w:highlight w:val="none"/>
          <w:lang w:val="en-US" w:eastAsia="zh-CN"/>
        </w:rPr>
        <w:t>人名称</w:t>
      </w:r>
      <w:r>
        <w:rPr>
          <w:rFonts w:hint="eastAsia" w:ascii="宋体" w:hAnsi="宋体" w:cs="宋体"/>
          <w:sz w:val="24"/>
          <w:szCs w:val="24"/>
          <w:highlight w:val="none"/>
        </w:rPr>
        <w:t>）：</w:t>
      </w:r>
    </w:p>
    <w:p w14:paraId="75ED6534">
      <w:pPr>
        <w:spacing w:line="48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_________（</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名称）郑重承诺：</w:t>
      </w:r>
    </w:p>
    <w:p w14:paraId="2DB1B828">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，参加本项目采购活动前三年内无重大违法活动记录。</w:t>
      </w:r>
    </w:p>
    <w:p w14:paraId="4F897EA5">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E6C8A2C">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sz w:val="24"/>
          <w:szCs w:val="24"/>
          <w:highlight w:val="none"/>
          <w:lang w:eastAsia="zh-CN"/>
        </w:rPr>
        <w:t>供应商</w:t>
      </w:r>
      <w:r>
        <w:rPr>
          <w:rFonts w:hint="eastAsia" w:ascii="宋体" w:hAnsi="宋体" w:cs="宋体"/>
          <w:sz w:val="24"/>
          <w:szCs w:val="24"/>
          <w:highlight w:val="none"/>
        </w:rPr>
        <w:t>基本资格条件。</w:t>
      </w:r>
    </w:p>
    <w:p w14:paraId="7989ACD9">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我方对以上承诺负全部法律责任。</w:t>
      </w:r>
    </w:p>
    <w:p w14:paraId="26F6A3A6">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特此承诺。</w:t>
      </w:r>
    </w:p>
    <w:p w14:paraId="3F869BFA">
      <w:pPr>
        <w:spacing w:line="480" w:lineRule="auto"/>
        <w:jc w:val="left"/>
        <w:rPr>
          <w:rFonts w:hint="eastAsia" w:ascii="宋体" w:hAnsi="宋体" w:cs="宋体"/>
          <w:sz w:val="24"/>
          <w:szCs w:val="24"/>
          <w:highlight w:val="none"/>
        </w:rPr>
      </w:pPr>
    </w:p>
    <w:p w14:paraId="4BA94193">
      <w:pPr>
        <w:spacing w:line="480" w:lineRule="auto"/>
        <w:jc w:val="righ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公章）</w:t>
      </w:r>
    </w:p>
    <w:p w14:paraId="1F1619D4">
      <w:pPr>
        <w:spacing w:line="480" w:lineRule="auto"/>
        <w:jc w:val="right"/>
        <w:rPr>
          <w:rFonts w:hint="eastAsia" w:ascii="宋体" w:hAnsi="宋体" w:cs="宋体"/>
          <w:sz w:val="24"/>
          <w:szCs w:val="24"/>
          <w:highlight w:val="none"/>
        </w:rPr>
      </w:pPr>
      <w:r>
        <w:rPr>
          <w:rFonts w:hint="eastAsia" w:ascii="宋体" w:hAnsi="宋体" w:cs="宋体"/>
          <w:sz w:val="24"/>
          <w:szCs w:val="24"/>
          <w:highlight w:val="none"/>
        </w:rPr>
        <w:t>年   月   日</w:t>
      </w:r>
    </w:p>
    <w:p w14:paraId="62A1B487">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297" w:name="_Toc15815"/>
      <w:bookmarkStart w:id="298" w:name="_Toc17010"/>
      <w:bookmarkStart w:id="299" w:name="_Toc2080"/>
      <w:bookmarkStart w:id="300" w:name="_Toc21345"/>
      <w:bookmarkStart w:id="301" w:name="_Toc65660383"/>
    </w:p>
    <w:p w14:paraId="4255F2F2">
      <w:pPr>
        <w:jc w:val="center"/>
        <w:outlineLvl w:val="1"/>
        <w:rPr>
          <w:sz w:val="24"/>
          <w:highlight w:val="none"/>
        </w:rPr>
      </w:pPr>
      <w:r>
        <w:rPr>
          <w:rFonts w:hint="eastAsia" w:ascii="宋体" w:hAnsi="宋体" w:cs="宋体"/>
          <w:b/>
          <w:sz w:val="34"/>
          <w:highlight w:val="none"/>
          <w:lang w:val="en-US" w:eastAsia="zh-CN"/>
        </w:rPr>
        <w:t>五</w:t>
      </w:r>
      <w:r>
        <w:rPr>
          <w:rFonts w:hint="eastAsia" w:ascii="宋体" w:hAnsi="宋体" w:cs="宋体"/>
          <w:b/>
          <w:sz w:val="34"/>
          <w:highlight w:val="none"/>
        </w:rPr>
        <w:t>、其他资料</w:t>
      </w:r>
    </w:p>
    <w:bookmarkEnd w:id="294"/>
    <w:bookmarkEnd w:id="295"/>
    <w:bookmarkEnd w:id="296"/>
    <w:bookmarkEnd w:id="297"/>
    <w:bookmarkEnd w:id="298"/>
    <w:bookmarkEnd w:id="299"/>
    <w:bookmarkEnd w:id="300"/>
    <w:bookmarkEnd w:id="301"/>
    <w:p w14:paraId="573054B4">
      <w:pPr>
        <w:spacing w:line="400" w:lineRule="exact"/>
        <w:jc w:val="left"/>
        <w:outlineLvl w:val="2"/>
        <w:rPr>
          <w:rFonts w:ascii="宋体" w:hAnsi="宋体" w:cs="宋体"/>
          <w:b/>
          <w:szCs w:val="24"/>
          <w:highlight w:val="none"/>
        </w:rPr>
      </w:pPr>
      <w:r>
        <w:rPr>
          <w:rFonts w:hint="eastAsia" w:ascii="宋体" w:hAnsi="宋体" w:cs="宋体"/>
          <w:b/>
          <w:szCs w:val="24"/>
          <w:highlight w:val="none"/>
        </w:rPr>
        <w:t>（</w:t>
      </w:r>
      <w:r>
        <w:rPr>
          <w:rFonts w:hint="eastAsia" w:ascii="宋体" w:hAnsi="宋体" w:cs="宋体"/>
          <w:b/>
          <w:szCs w:val="24"/>
          <w:highlight w:val="none"/>
          <w:lang w:val="en-US" w:eastAsia="zh-CN"/>
        </w:rPr>
        <w:t>一</w:t>
      </w:r>
      <w:r>
        <w:rPr>
          <w:rFonts w:hint="eastAsia" w:ascii="宋体" w:hAnsi="宋体" w:cs="宋体"/>
          <w:b/>
          <w:szCs w:val="24"/>
          <w:highlight w:val="none"/>
        </w:rPr>
        <w:t>）其他与项目有关的资料（自附）</w:t>
      </w:r>
    </w:p>
    <w:p w14:paraId="3C5ADF32">
      <w:pPr>
        <w:spacing w:line="360" w:lineRule="auto"/>
        <w:ind w:firstLine="480" w:firstLineChars="200"/>
        <w:rPr>
          <w:rFonts w:ascii="宋体" w:hAnsi="宋体" w:cs="宋体"/>
          <w:sz w:val="24"/>
          <w:szCs w:val="24"/>
          <w:highlight w:val="none"/>
        </w:rPr>
      </w:pPr>
    </w:p>
    <w:p w14:paraId="568BD806">
      <w:pPr>
        <w:spacing w:line="360" w:lineRule="auto"/>
        <w:ind w:firstLine="480" w:firstLineChars="200"/>
        <w:jc w:val="center"/>
        <w:rPr>
          <w:rFonts w:ascii="宋体" w:hAnsi="宋体" w:cs="宋体"/>
          <w:sz w:val="24"/>
          <w:szCs w:val="24"/>
          <w:highlight w:val="none"/>
        </w:rPr>
      </w:pPr>
    </w:p>
    <w:p w14:paraId="43C2F81B">
      <w:pPr>
        <w:spacing w:line="360" w:lineRule="auto"/>
        <w:ind w:firstLine="480" w:firstLineChars="200"/>
        <w:jc w:val="center"/>
        <w:rPr>
          <w:rFonts w:ascii="宋体" w:hAnsi="宋体" w:cs="宋体"/>
          <w:sz w:val="24"/>
          <w:szCs w:val="24"/>
          <w:highlight w:val="none"/>
        </w:rPr>
      </w:pPr>
    </w:p>
    <w:p w14:paraId="6E825018">
      <w:pPr>
        <w:spacing w:line="360" w:lineRule="auto"/>
        <w:ind w:firstLine="480" w:firstLineChars="200"/>
        <w:jc w:val="center"/>
        <w:rPr>
          <w:rFonts w:ascii="宋体" w:hAnsi="宋体" w:cs="宋体"/>
          <w:sz w:val="24"/>
          <w:szCs w:val="24"/>
          <w:highlight w:val="none"/>
        </w:rPr>
      </w:pPr>
    </w:p>
    <w:p w14:paraId="6740BF54">
      <w:pPr>
        <w:spacing w:line="360" w:lineRule="auto"/>
        <w:ind w:firstLine="480" w:firstLineChars="200"/>
        <w:jc w:val="center"/>
        <w:rPr>
          <w:rFonts w:ascii="宋体" w:hAnsi="宋体" w:cs="宋体"/>
          <w:sz w:val="24"/>
          <w:szCs w:val="24"/>
          <w:highlight w:val="none"/>
        </w:rPr>
      </w:pPr>
    </w:p>
    <w:p w14:paraId="0AAFCD70">
      <w:pPr>
        <w:spacing w:line="360" w:lineRule="auto"/>
        <w:ind w:firstLine="480" w:firstLineChars="200"/>
        <w:jc w:val="center"/>
        <w:rPr>
          <w:rFonts w:ascii="宋体" w:hAnsi="宋体" w:cs="宋体"/>
          <w:sz w:val="24"/>
          <w:szCs w:val="24"/>
          <w:highlight w:val="none"/>
        </w:rPr>
      </w:pPr>
    </w:p>
    <w:p w14:paraId="57CC9A1A">
      <w:pPr>
        <w:spacing w:line="360" w:lineRule="auto"/>
        <w:ind w:firstLine="480" w:firstLineChars="200"/>
        <w:jc w:val="center"/>
        <w:rPr>
          <w:rFonts w:ascii="宋体" w:hAnsi="宋体" w:cs="宋体"/>
          <w:sz w:val="24"/>
          <w:szCs w:val="24"/>
          <w:highlight w:val="none"/>
        </w:rPr>
      </w:pPr>
    </w:p>
    <w:p w14:paraId="0F4BA7F2">
      <w:pPr>
        <w:spacing w:line="360" w:lineRule="auto"/>
        <w:ind w:firstLine="480" w:firstLineChars="200"/>
        <w:jc w:val="center"/>
        <w:rPr>
          <w:rFonts w:ascii="宋体" w:hAnsi="宋体" w:cs="宋体"/>
          <w:sz w:val="24"/>
          <w:szCs w:val="24"/>
          <w:highlight w:val="none"/>
        </w:rPr>
      </w:pPr>
    </w:p>
    <w:p w14:paraId="63A8B9E8">
      <w:pPr>
        <w:spacing w:line="360" w:lineRule="auto"/>
        <w:ind w:firstLine="480" w:firstLineChars="200"/>
        <w:jc w:val="center"/>
        <w:rPr>
          <w:rFonts w:ascii="宋体" w:hAnsi="宋体" w:cs="宋体"/>
          <w:sz w:val="24"/>
          <w:szCs w:val="24"/>
          <w:highlight w:val="none"/>
        </w:rPr>
      </w:pPr>
    </w:p>
    <w:p w14:paraId="5AFE31EC">
      <w:pPr>
        <w:spacing w:line="360" w:lineRule="auto"/>
        <w:ind w:firstLine="480" w:firstLineChars="200"/>
        <w:jc w:val="center"/>
        <w:rPr>
          <w:rFonts w:ascii="宋体" w:hAnsi="宋体" w:cs="宋体"/>
          <w:sz w:val="24"/>
          <w:szCs w:val="24"/>
          <w:highlight w:val="none"/>
        </w:rPr>
      </w:pPr>
    </w:p>
    <w:p w14:paraId="2F7C4CFB">
      <w:pPr>
        <w:spacing w:line="360" w:lineRule="auto"/>
        <w:ind w:firstLine="480" w:firstLineChars="200"/>
        <w:jc w:val="center"/>
        <w:rPr>
          <w:rFonts w:ascii="宋体" w:hAnsi="宋体" w:cs="宋体"/>
          <w:sz w:val="24"/>
          <w:szCs w:val="24"/>
          <w:highlight w:val="none"/>
        </w:rPr>
      </w:pPr>
    </w:p>
    <w:p w14:paraId="0724ECDE">
      <w:pPr>
        <w:spacing w:line="360" w:lineRule="auto"/>
        <w:ind w:firstLine="480" w:firstLineChars="200"/>
        <w:jc w:val="center"/>
        <w:rPr>
          <w:rFonts w:ascii="宋体" w:hAnsi="宋体" w:cs="宋体"/>
          <w:sz w:val="24"/>
          <w:szCs w:val="24"/>
          <w:highlight w:val="none"/>
        </w:rPr>
      </w:pPr>
    </w:p>
    <w:p w14:paraId="161962FD">
      <w:pPr>
        <w:spacing w:line="360" w:lineRule="auto"/>
        <w:ind w:firstLine="560" w:firstLineChars="200"/>
        <w:jc w:val="center"/>
        <w:rPr>
          <w:rFonts w:ascii="宋体" w:hAnsi="宋体" w:cs="宋体"/>
          <w:highlight w:val="none"/>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highlight w:val="none"/>
        </w:rPr>
        <w:t>（结束）</w:t>
      </w:r>
    </w:p>
    <w:p w14:paraId="4FF4FFD3">
      <w:pPr>
        <w:pStyle w:val="4"/>
        <w:spacing w:before="0" w:after="0" w:line="360" w:lineRule="auto"/>
        <w:jc w:val="left"/>
        <w:rPr>
          <w:rFonts w:hint="eastAsia" w:ascii="宋体" w:hAnsi="宋体" w:eastAsia="宋体" w:cs="宋体"/>
          <w:b w:val="0"/>
          <w:sz w:val="36"/>
          <w:szCs w:val="30"/>
          <w:highlight w:val="none"/>
        </w:rPr>
      </w:pPr>
      <w:bookmarkStart w:id="302" w:name="_Toc4954"/>
      <w:bookmarkStart w:id="303" w:name="_Toc31510"/>
      <w:bookmarkStart w:id="304" w:name="_Toc4759"/>
      <w:bookmarkStart w:id="305" w:name="_Toc31598"/>
      <w:bookmarkStart w:id="306" w:name="_Toc24609"/>
      <w:r>
        <w:rPr>
          <w:rFonts w:hint="eastAsia" w:ascii="宋体" w:hAnsi="宋体" w:eastAsia="宋体" w:cs="宋体"/>
          <w:b w:val="0"/>
          <w:sz w:val="36"/>
          <w:szCs w:val="30"/>
          <w:highlight w:val="none"/>
        </w:rPr>
        <w:t>附件</w:t>
      </w:r>
      <w:r>
        <w:rPr>
          <w:rFonts w:hint="eastAsia" w:ascii="宋体" w:hAnsi="宋体" w:eastAsia="宋体" w:cs="宋体"/>
          <w:b w:val="0"/>
          <w:sz w:val="36"/>
          <w:szCs w:val="30"/>
          <w:highlight w:val="none"/>
          <w:lang w:val="en-US" w:eastAsia="zh-CN"/>
        </w:rPr>
        <w:t>一</w:t>
      </w:r>
      <w:r>
        <w:rPr>
          <w:rFonts w:hint="eastAsia" w:ascii="宋体" w:hAnsi="宋体" w:eastAsia="宋体" w:cs="宋体"/>
          <w:b w:val="0"/>
          <w:sz w:val="36"/>
          <w:szCs w:val="30"/>
          <w:highlight w:val="none"/>
        </w:rPr>
        <w:t>：</w:t>
      </w:r>
      <w:bookmarkEnd w:id="302"/>
      <w:bookmarkEnd w:id="303"/>
      <w:bookmarkEnd w:id="304"/>
      <w:bookmarkEnd w:id="305"/>
      <w:bookmarkEnd w:id="306"/>
    </w:p>
    <w:p w14:paraId="3E8F3279">
      <w:pPr>
        <w:ind w:firstLine="480"/>
        <w:jc w:val="center"/>
        <w:outlineLvl w:val="0"/>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竞采文件发售登记表</w:t>
      </w:r>
    </w:p>
    <w:tbl>
      <w:tblPr>
        <w:tblStyle w:val="29"/>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733E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0FE19872">
            <w:pPr>
              <w:jc w:val="center"/>
              <w:rPr>
                <w:rFonts w:ascii="宋体" w:hAnsi="宋体" w:cs="宋体"/>
                <w:sz w:val="24"/>
                <w:szCs w:val="24"/>
                <w:highlight w:val="none"/>
              </w:rPr>
            </w:pPr>
            <w:r>
              <w:rPr>
                <w:rFonts w:hint="eastAsia" w:ascii="宋体" w:hAnsi="宋体" w:cs="宋体"/>
                <w:sz w:val="24"/>
                <w:szCs w:val="24"/>
                <w:highlight w:val="none"/>
                <w:lang w:val="en-US" w:eastAsia="zh-CN"/>
              </w:rPr>
              <w:t>项目执行</w:t>
            </w:r>
            <w:r>
              <w:rPr>
                <w:rFonts w:hint="eastAsia" w:ascii="宋体" w:hAnsi="宋体" w:cs="宋体"/>
                <w:sz w:val="24"/>
                <w:szCs w:val="24"/>
                <w:highlight w:val="none"/>
              </w:rPr>
              <w:t>编号</w:t>
            </w:r>
          </w:p>
        </w:tc>
        <w:tc>
          <w:tcPr>
            <w:tcW w:w="7423" w:type="dxa"/>
            <w:gridSpan w:val="3"/>
            <w:vAlign w:val="center"/>
          </w:tcPr>
          <w:p w14:paraId="10AC1E74">
            <w:pPr>
              <w:jc w:val="center"/>
              <w:rPr>
                <w:rFonts w:ascii="宋体" w:hAnsi="宋体" w:cs="宋体"/>
                <w:sz w:val="24"/>
                <w:szCs w:val="24"/>
                <w:highlight w:val="none"/>
              </w:rPr>
            </w:pPr>
          </w:p>
        </w:tc>
      </w:tr>
      <w:tr w14:paraId="3F82F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49F5E09">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7423" w:type="dxa"/>
            <w:gridSpan w:val="3"/>
            <w:vAlign w:val="center"/>
          </w:tcPr>
          <w:p w14:paraId="50FAD8BC">
            <w:pPr>
              <w:jc w:val="center"/>
              <w:rPr>
                <w:rFonts w:ascii="宋体" w:hAnsi="宋体" w:cs="宋体"/>
                <w:sz w:val="24"/>
                <w:szCs w:val="24"/>
                <w:highlight w:val="none"/>
              </w:rPr>
            </w:pPr>
          </w:p>
        </w:tc>
      </w:tr>
      <w:tr w14:paraId="25523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42209860">
            <w:pPr>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423" w:type="dxa"/>
            <w:gridSpan w:val="3"/>
            <w:vAlign w:val="center"/>
          </w:tcPr>
          <w:p w14:paraId="48559E4F">
            <w:pPr>
              <w:jc w:val="center"/>
              <w:rPr>
                <w:rFonts w:ascii="宋体" w:hAnsi="宋体" w:cs="宋体"/>
                <w:sz w:val="24"/>
                <w:szCs w:val="24"/>
                <w:highlight w:val="none"/>
              </w:rPr>
            </w:pPr>
            <w:r>
              <w:rPr>
                <w:rFonts w:hint="eastAsia" w:ascii="宋体" w:hAnsi="宋体" w:cs="宋体"/>
                <w:sz w:val="24"/>
                <w:szCs w:val="24"/>
                <w:highlight w:val="none"/>
              </w:rPr>
              <w:t>（供应商公章）</w:t>
            </w:r>
          </w:p>
        </w:tc>
      </w:tr>
      <w:tr w14:paraId="67877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14D490B0">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2396" w:type="dxa"/>
            <w:vAlign w:val="center"/>
          </w:tcPr>
          <w:p w14:paraId="3EE80088">
            <w:pPr>
              <w:jc w:val="center"/>
              <w:rPr>
                <w:rFonts w:ascii="宋体" w:hAnsi="宋体" w:cs="宋体"/>
                <w:sz w:val="24"/>
                <w:szCs w:val="24"/>
                <w:highlight w:val="none"/>
              </w:rPr>
            </w:pPr>
          </w:p>
        </w:tc>
        <w:tc>
          <w:tcPr>
            <w:tcW w:w="1053" w:type="dxa"/>
            <w:vAlign w:val="center"/>
          </w:tcPr>
          <w:p w14:paraId="46697B70">
            <w:pPr>
              <w:jc w:val="center"/>
              <w:rPr>
                <w:rFonts w:ascii="宋体" w:hAnsi="宋体" w:cs="宋体"/>
                <w:sz w:val="24"/>
                <w:szCs w:val="24"/>
                <w:highlight w:val="none"/>
              </w:rPr>
            </w:pPr>
            <w:r>
              <w:rPr>
                <w:rFonts w:hint="eastAsia" w:ascii="宋体" w:hAnsi="宋体" w:cs="宋体"/>
                <w:sz w:val="24"/>
                <w:szCs w:val="24"/>
                <w:highlight w:val="none"/>
              </w:rPr>
              <w:t>手机</w:t>
            </w:r>
          </w:p>
        </w:tc>
        <w:tc>
          <w:tcPr>
            <w:tcW w:w="3974" w:type="dxa"/>
            <w:vAlign w:val="center"/>
          </w:tcPr>
          <w:p w14:paraId="6C0512F3">
            <w:pPr>
              <w:jc w:val="center"/>
              <w:rPr>
                <w:rFonts w:ascii="宋体" w:hAnsi="宋体" w:cs="宋体"/>
                <w:sz w:val="24"/>
                <w:szCs w:val="24"/>
                <w:highlight w:val="none"/>
              </w:rPr>
            </w:pPr>
          </w:p>
        </w:tc>
      </w:tr>
      <w:tr w14:paraId="52AAB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3BB756F4">
            <w:pPr>
              <w:jc w:val="center"/>
              <w:rPr>
                <w:rFonts w:ascii="宋体" w:hAnsi="宋体" w:cs="宋体"/>
                <w:sz w:val="24"/>
                <w:szCs w:val="24"/>
                <w:highlight w:val="none"/>
              </w:rPr>
            </w:pPr>
            <w:r>
              <w:rPr>
                <w:rFonts w:hint="eastAsia" w:ascii="宋体" w:hAnsi="宋体" w:cs="宋体"/>
                <w:sz w:val="24"/>
                <w:szCs w:val="24"/>
                <w:highlight w:val="none"/>
              </w:rPr>
              <w:t>办公电话</w:t>
            </w:r>
          </w:p>
        </w:tc>
        <w:tc>
          <w:tcPr>
            <w:tcW w:w="2396" w:type="dxa"/>
            <w:vAlign w:val="center"/>
          </w:tcPr>
          <w:p w14:paraId="1D33DD2B">
            <w:pPr>
              <w:jc w:val="center"/>
              <w:rPr>
                <w:rFonts w:ascii="宋体" w:hAnsi="宋体" w:cs="宋体"/>
                <w:sz w:val="24"/>
                <w:szCs w:val="24"/>
                <w:highlight w:val="none"/>
              </w:rPr>
            </w:pPr>
          </w:p>
        </w:tc>
        <w:tc>
          <w:tcPr>
            <w:tcW w:w="1053" w:type="dxa"/>
            <w:vAlign w:val="center"/>
          </w:tcPr>
          <w:p w14:paraId="3B7FE323">
            <w:pPr>
              <w:jc w:val="center"/>
              <w:rPr>
                <w:rFonts w:ascii="宋体" w:hAnsi="宋体" w:cs="宋体"/>
                <w:sz w:val="24"/>
                <w:szCs w:val="24"/>
                <w:highlight w:val="none"/>
              </w:rPr>
            </w:pPr>
            <w:r>
              <w:rPr>
                <w:rFonts w:hint="eastAsia" w:ascii="宋体" w:hAnsi="宋体" w:cs="宋体"/>
                <w:sz w:val="24"/>
                <w:szCs w:val="24"/>
                <w:highlight w:val="none"/>
              </w:rPr>
              <w:t>传真</w:t>
            </w:r>
          </w:p>
        </w:tc>
        <w:tc>
          <w:tcPr>
            <w:tcW w:w="3974" w:type="dxa"/>
            <w:vAlign w:val="center"/>
          </w:tcPr>
          <w:p w14:paraId="605586BC">
            <w:pPr>
              <w:jc w:val="center"/>
              <w:rPr>
                <w:rFonts w:ascii="宋体" w:hAnsi="宋体" w:cs="宋体"/>
                <w:sz w:val="24"/>
                <w:szCs w:val="24"/>
                <w:highlight w:val="none"/>
              </w:rPr>
            </w:pPr>
          </w:p>
        </w:tc>
      </w:tr>
      <w:tr w14:paraId="0E95F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5962BE28">
            <w:pPr>
              <w:jc w:val="center"/>
              <w:rPr>
                <w:rFonts w:ascii="宋体" w:hAnsi="宋体" w:cs="宋体"/>
                <w:sz w:val="24"/>
                <w:szCs w:val="24"/>
                <w:highlight w:val="none"/>
              </w:rPr>
            </w:pPr>
            <w:r>
              <w:rPr>
                <w:rFonts w:hint="eastAsia" w:ascii="宋体" w:hAnsi="宋体" w:cs="宋体"/>
                <w:sz w:val="24"/>
                <w:szCs w:val="24"/>
                <w:highlight w:val="none"/>
              </w:rPr>
              <w:t>E-mail</w:t>
            </w:r>
          </w:p>
        </w:tc>
        <w:tc>
          <w:tcPr>
            <w:tcW w:w="7423" w:type="dxa"/>
            <w:gridSpan w:val="3"/>
            <w:vAlign w:val="center"/>
          </w:tcPr>
          <w:p w14:paraId="2D80BEF4">
            <w:pPr>
              <w:jc w:val="center"/>
              <w:rPr>
                <w:rFonts w:ascii="宋体" w:hAnsi="宋体" w:cs="宋体"/>
                <w:sz w:val="24"/>
                <w:szCs w:val="24"/>
                <w:highlight w:val="none"/>
              </w:rPr>
            </w:pPr>
          </w:p>
        </w:tc>
      </w:tr>
      <w:tr w14:paraId="40C08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067B44F9">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423" w:type="dxa"/>
            <w:gridSpan w:val="3"/>
            <w:vAlign w:val="center"/>
          </w:tcPr>
          <w:p w14:paraId="73DC24FE">
            <w:pPr>
              <w:jc w:val="center"/>
              <w:rPr>
                <w:rFonts w:ascii="宋体" w:hAnsi="宋体" w:cs="宋体"/>
                <w:sz w:val="24"/>
                <w:szCs w:val="24"/>
                <w:highlight w:val="none"/>
              </w:rPr>
            </w:pPr>
          </w:p>
        </w:tc>
      </w:tr>
      <w:tr w14:paraId="6BC11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165DF29D">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报名时间</w:t>
            </w:r>
          </w:p>
        </w:tc>
        <w:tc>
          <w:tcPr>
            <w:tcW w:w="7423" w:type="dxa"/>
            <w:gridSpan w:val="3"/>
            <w:vAlign w:val="center"/>
          </w:tcPr>
          <w:p w14:paraId="1310AE2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年  月  日</w:t>
            </w:r>
          </w:p>
        </w:tc>
      </w:tr>
      <w:tr w14:paraId="082AC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12BDDAB8">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备注</w:t>
            </w:r>
          </w:p>
        </w:tc>
        <w:tc>
          <w:tcPr>
            <w:tcW w:w="7423" w:type="dxa"/>
            <w:gridSpan w:val="3"/>
            <w:vAlign w:val="center"/>
          </w:tcPr>
          <w:p w14:paraId="0627F89F">
            <w:pPr>
              <w:jc w:val="center"/>
              <w:rPr>
                <w:rFonts w:ascii="宋体" w:hAnsi="宋体" w:cs="宋体"/>
                <w:sz w:val="24"/>
                <w:szCs w:val="24"/>
                <w:highlight w:val="none"/>
              </w:rPr>
            </w:pPr>
          </w:p>
        </w:tc>
      </w:tr>
    </w:tbl>
    <w:p w14:paraId="4A76023E">
      <w:pPr>
        <w:ind w:firstLine="482"/>
        <w:rPr>
          <w:rFonts w:ascii="宋体" w:hAnsi="宋体" w:cs="宋体"/>
          <w:b/>
          <w:sz w:val="24"/>
          <w:szCs w:val="24"/>
          <w:highlight w:val="none"/>
        </w:rPr>
      </w:pPr>
      <w:r>
        <w:rPr>
          <w:rFonts w:hint="eastAsia" w:ascii="宋体" w:hAnsi="宋体" w:cs="宋体"/>
          <w:sz w:val="24"/>
          <w:szCs w:val="24"/>
          <w:highlight w:val="none"/>
        </w:rPr>
        <w:t xml:space="preserve">                 </w:t>
      </w:r>
    </w:p>
    <w:p w14:paraId="7EB94901">
      <w:pPr>
        <w:spacing w:line="360" w:lineRule="auto"/>
        <w:ind w:firstLine="560" w:firstLineChars="200"/>
        <w:jc w:val="center"/>
        <w:rPr>
          <w:rFonts w:ascii="宋体" w:hAnsi="宋体" w:cs="宋体"/>
          <w:highlight w:val="none"/>
        </w:rPr>
      </w:pPr>
    </w:p>
    <w:p w14:paraId="14DC76A0">
      <w:pPr>
        <w:rPr>
          <w:rFonts w:ascii="宋体" w:hAnsi="宋体" w:eastAsia="宋体" w:cs="宋体"/>
          <w:highlight w:val="none"/>
        </w:rPr>
      </w:pPr>
    </w:p>
    <w:sectPr>
      <w:headerReference r:id="rId1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8FECB7E3-E517-4C92-A118-7F7143974869}"/>
  </w:font>
  <w:font w:name="方正仿宋_GBK">
    <w:panose1 w:val="02000000000000000000"/>
    <w:charset w:val="86"/>
    <w:family w:val="script"/>
    <w:pitch w:val="default"/>
    <w:sig w:usb0="A00002BF" w:usb1="38CF7CFA" w:usb2="00082016" w:usb3="00000000" w:csb0="00040001" w:csb1="00000000"/>
    <w:embedRegular r:id="rId2" w:fontKey="{A52FEF28-6D8E-45E6-BC7E-FB9901384974}"/>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7E3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1EB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81EB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71E5">
    <w:pPr>
      <w:pStyle w:val="1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E5B95">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5E5B95">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4954">
    <w:pPr>
      <w:pStyle w:val="17"/>
      <w:framePr w:wrap="around" w:vAnchor="text" w:hAnchor="margin" w:xAlign="center" w:y="1"/>
      <w:rPr>
        <w:rStyle w:val="31"/>
      </w:rPr>
    </w:pPr>
    <w:r>
      <w:fldChar w:fldCharType="begin"/>
    </w:r>
    <w:r>
      <w:rPr>
        <w:rStyle w:val="31"/>
      </w:rPr>
      <w:instrText xml:space="preserve">PAGE  </w:instrText>
    </w:r>
    <w:r>
      <w:fldChar w:fldCharType="end"/>
    </w:r>
  </w:p>
  <w:p w14:paraId="2ECD2EC6">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294C">
    <w:pPr>
      <w:pStyle w:val="17"/>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53BBB">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953BBB">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18CA">
    <w:pPr>
      <w:pStyle w:val="17"/>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B2560">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3B2560">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F74D">
    <w:pPr>
      <w:pStyle w:val="17"/>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3E06F">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33E06F">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CE64">
    <w:pPr>
      <w:pStyle w:val="10"/>
      <w:pBdr>
        <w:bottom w:val="single" w:color="auto" w:sz="4" w:space="0"/>
      </w:pBdr>
      <w:jc w:val="both"/>
      <w:rPr>
        <w:rFonts w:hint="default" w:ascii="方正仿宋_GBK" w:eastAsia="方正仿宋_GBK"/>
        <w:sz w:val="21"/>
        <w:szCs w:val="21"/>
        <w:lang w:val="en-US"/>
      </w:rPr>
    </w:pPr>
    <w:r>
      <w:rPr>
        <w:rFonts w:hint="eastAsia" w:ascii="方正仿宋_GBK" w:eastAsia="方正仿宋_GBK"/>
        <w:sz w:val="21"/>
        <w:szCs w:val="21"/>
        <w:lang w:val="en-US" w:eastAsia="zh-CN"/>
      </w:rPr>
      <w:t>中知屹项目管理（重庆）有限责任公司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753A">
    <w:pPr>
      <w:pStyle w:val="18"/>
      <w:pBdr>
        <w:bottom w:val="single" w:color="auto" w:sz="4" w:space="1"/>
      </w:pBdr>
      <w:jc w:val="left"/>
    </w:pPr>
    <w:r>
      <w:rPr>
        <w:rFonts w:hint="eastAsia"/>
      </w:rPr>
      <w:drawing>
        <wp:inline distT="0" distB="0" distL="114300" distR="114300">
          <wp:extent cx="2452370" cy="796290"/>
          <wp:effectExtent l="0" t="0" r="5080" b="3810"/>
          <wp:docPr id="5" name="图片 5" descr="中知屹-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知屹-页眉"/>
                  <pic:cNvPicPr>
                    <a:picLocks noChangeAspect="1"/>
                  </pic:cNvPicPr>
                </pic:nvPicPr>
                <pic:blipFill>
                  <a:blip r:embed="rId1"/>
                  <a:stretch>
                    <a:fillRect/>
                  </a:stretch>
                </pic:blipFill>
                <pic:spPr>
                  <a:xfrm>
                    <a:off x="0" y="0"/>
                    <a:ext cx="2452370" cy="7962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F885">
    <w:pPr>
      <w:pStyle w:val="10"/>
      <w:pBdr>
        <w:bottom w:val="single" w:color="auto" w:sz="4" w:space="0"/>
      </w:pBdr>
    </w:pPr>
    <w:r>
      <w:rPr>
        <w:rFonts w:hint="eastAsia" w:ascii="方正仿宋_GBK" w:eastAsia="方正仿宋_GBK"/>
        <w:sz w:val="21"/>
        <w:szCs w:val="21"/>
        <w:lang w:val="en-US" w:eastAsia="zh-CN"/>
      </w:rPr>
      <w:t>中知屹项目管理（重庆）有限责任公司                                           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F5F5">
    <w:pPr>
      <w:pStyle w:val="1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DF16">
    <w:pPr>
      <w:pStyle w:val="10"/>
      <w:pBdr>
        <w:bottom w:val="single" w:color="auto" w:sz="4" w:space="0"/>
      </w:pBdr>
      <w:rPr>
        <w:rFonts w:hint="eastAsia" w:ascii="方正仿宋_GBK" w:eastAsia="宋体"/>
        <w:sz w:val="21"/>
        <w:szCs w:val="21"/>
        <w:lang w:eastAsia="zh-CN"/>
      </w:rPr>
    </w:pPr>
    <w:r>
      <w:rPr>
        <w:rFonts w:hint="eastAsia" w:ascii="方正仿宋_GBK" w:eastAsia="方正仿宋_GBK"/>
        <w:sz w:val="21"/>
        <w:szCs w:val="21"/>
        <w:lang w:val="en-US" w:eastAsia="zh-CN"/>
      </w:rPr>
      <w:t>中知屹项目管理（重庆）有限责任公司                                              竞采文件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9D39">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2CA0"/>
    <w:multiLevelType w:val="singleLevel"/>
    <w:tmpl w:val="87752CA0"/>
    <w:lvl w:ilvl="0" w:tentative="0">
      <w:start w:val="1"/>
      <w:numFmt w:val="decimal"/>
      <w:lvlText w:val="%1."/>
      <w:lvlJc w:val="left"/>
      <w:pPr>
        <w:ind w:left="425" w:hanging="425"/>
      </w:pPr>
      <w:rPr>
        <w:rFonts w:hint="default"/>
      </w:rPr>
    </w:lvl>
  </w:abstractNum>
  <w:abstractNum w:abstractNumId="1">
    <w:nsid w:val="91FA61BC"/>
    <w:multiLevelType w:val="singleLevel"/>
    <w:tmpl w:val="91FA61BC"/>
    <w:lvl w:ilvl="0" w:tentative="0">
      <w:start w:val="1"/>
      <w:numFmt w:val="decimal"/>
      <w:suff w:val="nothing"/>
      <w:lvlText w:val="%1．"/>
      <w:lvlJc w:val="left"/>
      <w:pPr>
        <w:ind w:left="0" w:firstLine="400"/>
      </w:pPr>
      <w:rPr>
        <w:rFonts w:hint="default"/>
      </w:rPr>
    </w:lvl>
  </w:abstractNum>
  <w:abstractNum w:abstractNumId="2">
    <w:nsid w:val="183A57F8"/>
    <w:multiLevelType w:val="singleLevel"/>
    <w:tmpl w:val="183A57F8"/>
    <w:lvl w:ilvl="0" w:tentative="0">
      <w:start w:val="1"/>
      <w:numFmt w:val="decimal"/>
      <w:suff w:val="nothing"/>
      <w:lvlText w:val="%1、"/>
      <w:lvlJc w:val="left"/>
    </w:lvl>
  </w:abstractNum>
  <w:abstractNum w:abstractNumId="3">
    <w:nsid w:val="1AE2F256"/>
    <w:multiLevelType w:val="singleLevel"/>
    <w:tmpl w:val="1AE2F256"/>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DMxMzUxODg5NzFmOWZkN2Q0ZGViMTRhN2ZhMWEifQ=="/>
  </w:docVars>
  <w:rsids>
    <w:rsidRoot w:val="71DE5A4F"/>
    <w:rsid w:val="00056CAF"/>
    <w:rsid w:val="000A12ED"/>
    <w:rsid w:val="000B59A9"/>
    <w:rsid w:val="000E0C7C"/>
    <w:rsid w:val="000F2998"/>
    <w:rsid w:val="00155087"/>
    <w:rsid w:val="001E26B0"/>
    <w:rsid w:val="00233015"/>
    <w:rsid w:val="00246D02"/>
    <w:rsid w:val="0025186B"/>
    <w:rsid w:val="00255AA9"/>
    <w:rsid w:val="002C36C2"/>
    <w:rsid w:val="002C5994"/>
    <w:rsid w:val="002C5F4B"/>
    <w:rsid w:val="003E57FD"/>
    <w:rsid w:val="003F4E27"/>
    <w:rsid w:val="00405C04"/>
    <w:rsid w:val="00423086"/>
    <w:rsid w:val="004261E8"/>
    <w:rsid w:val="0046756C"/>
    <w:rsid w:val="00483E7A"/>
    <w:rsid w:val="004B3819"/>
    <w:rsid w:val="004F3FC9"/>
    <w:rsid w:val="00512F68"/>
    <w:rsid w:val="005322E9"/>
    <w:rsid w:val="0057713F"/>
    <w:rsid w:val="00620F50"/>
    <w:rsid w:val="006210B3"/>
    <w:rsid w:val="0064231B"/>
    <w:rsid w:val="00697B1C"/>
    <w:rsid w:val="006D1882"/>
    <w:rsid w:val="00713087"/>
    <w:rsid w:val="00797942"/>
    <w:rsid w:val="00864C17"/>
    <w:rsid w:val="008E5759"/>
    <w:rsid w:val="009069FD"/>
    <w:rsid w:val="00964177"/>
    <w:rsid w:val="009738F9"/>
    <w:rsid w:val="00A035F9"/>
    <w:rsid w:val="00A74CA8"/>
    <w:rsid w:val="00B21A0C"/>
    <w:rsid w:val="00B55687"/>
    <w:rsid w:val="00C32CC6"/>
    <w:rsid w:val="00C40D12"/>
    <w:rsid w:val="00C729EC"/>
    <w:rsid w:val="00C86E48"/>
    <w:rsid w:val="00CF5B6D"/>
    <w:rsid w:val="00D0509E"/>
    <w:rsid w:val="00D27D7B"/>
    <w:rsid w:val="00D55BEC"/>
    <w:rsid w:val="00D67B6B"/>
    <w:rsid w:val="00E253E4"/>
    <w:rsid w:val="00EB6B90"/>
    <w:rsid w:val="00F978EA"/>
    <w:rsid w:val="00FD235B"/>
    <w:rsid w:val="02A02634"/>
    <w:rsid w:val="035319CE"/>
    <w:rsid w:val="046957C2"/>
    <w:rsid w:val="05C173E2"/>
    <w:rsid w:val="06664E21"/>
    <w:rsid w:val="088B4E30"/>
    <w:rsid w:val="0B816B0F"/>
    <w:rsid w:val="0ED91C40"/>
    <w:rsid w:val="0F184516"/>
    <w:rsid w:val="0F4C3E64"/>
    <w:rsid w:val="10EE33FE"/>
    <w:rsid w:val="12185FCE"/>
    <w:rsid w:val="1265463F"/>
    <w:rsid w:val="1374416E"/>
    <w:rsid w:val="13D011F0"/>
    <w:rsid w:val="142D31B4"/>
    <w:rsid w:val="14473932"/>
    <w:rsid w:val="150239CC"/>
    <w:rsid w:val="157D5371"/>
    <w:rsid w:val="167D04A9"/>
    <w:rsid w:val="18B923A1"/>
    <w:rsid w:val="19616ABA"/>
    <w:rsid w:val="19C13E98"/>
    <w:rsid w:val="19E806B1"/>
    <w:rsid w:val="19ED08A6"/>
    <w:rsid w:val="1AD82DAC"/>
    <w:rsid w:val="1B5944CA"/>
    <w:rsid w:val="1B725A99"/>
    <w:rsid w:val="1B912121"/>
    <w:rsid w:val="1F5155C5"/>
    <w:rsid w:val="20244872"/>
    <w:rsid w:val="20BE320C"/>
    <w:rsid w:val="21336BF6"/>
    <w:rsid w:val="22AD63A6"/>
    <w:rsid w:val="24771B3B"/>
    <w:rsid w:val="24BD1A3E"/>
    <w:rsid w:val="251935EB"/>
    <w:rsid w:val="25343B39"/>
    <w:rsid w:val="26482F56"/>
    <w:rsid w:val="26962499"/>
    <w:rsid w:val="27206206"/>
    <w:rsid w:val="29237B8C"/>
    <w:rsid w:val="295737E6"/>
    <w:rsid w:val="297470E8"/>
    <w:rsid w:val="2A815B71"/>
    <w:rsid w:val="2B8A1EA0"/>
    <w:rsid w:val="2D5018E2"/>
    <w:rsid w:val="2DFA397D"/>
    <w:rsid w:val="2EBB7BCF"/>
    <w:rsid w:val="2FCF08A8"/>
    <w:rsid w:val="305F0BDA"/>
    <w:rsid w:val="30D74EFB"/>
    <w:rsid w:val="30F5600E"/>
    <w:rsid w:val="31014858"/>
    <w:rsid w:val="32313075"/>
    <w:rsid w:val="32C600DD"/>
    <w:rsid w:val="351B77A7"/>
    <w:rsid w:val="352E0BC1"/>
    <w:rsid w:val="35A35F0C"/>
    <w:rsid w:val="35AC5537"/>
    <w:rsid w:val="36216BDB"/>
    <w:rsid w:val="37ED0238"/>
    <w:rsid w:val="399B6A66"/>
    <w:rsid w:val="39D47424"/>
    <w:rsid w:val="3ACE79A6"/>
    <w:rsid w:val="3BF92CA9"/>
    <w:rsid w:val="3D6D77BE"/>
    <w:rsid w:val="3D8027BE"/>
    <w:rsid w:val="3FDE48BE"/>
    <w:rsid w:val="41577ECC"/>
    <w:rsid w:val="41EA1E91"/>
    <w:rsid w:val="420D7C61"/>
    <w:rsid w:val="425B1E68"/>
    <w:rsid w:val="454D3C8A"/>
    <w:rsid w:val="46283589"/>
    <w:rsid w:val="471072A6"/>
    <w:rsid w:val="47B56D0A"/>
    <w:rsid w:val="483966A4"/>
    <w:rsid w:val="48670274"/>
    <w:rsid w:val="49867369"/>
    <w:rsid w:val="4A4F44D5"/>
    <w:rsid w:val="4AE152F0"/>
    <w:rsid w:val="4AEB502A"/>
    <w:rsid w:val="4AFA3593"/>
    <w:rsid w:val="4B6A2813"/>
    <w:rsid w:val="4BE11211"/>
    <w:rsid w:val="4C6F5832"/>
    <w:rsid w:val="4C85537E"/>
    <w:rsid w:val="4D0562E9"/>
    <w:rsid w:val="4D470587"/>
    <w:rsid w:val="4D684F44"/>
    <w:rsid w:val="4DA16EA9"/>
    <w:rsid w:val="4E6E7B40"/>
    <w:rsid w:val="4EB53DE3"/>
    <w:rsid w:val="4F245C34"/>
    <w:rsid w:val="4FB56625"/>
    <w:rsid w:val="4FFD6AF4"/>
    <w:rsid w:val="4FFE08A0"/>
    <w:rsid w:val="512F7091"/>
    <w:rsid w:val="518970DE"/>
    <w:rsid w:val="51D741BC"/>
    <w:rsid w:val="542F7A52"/>
    <w:rsid w:val="54414F42"/>
    <w:rsid w:val="55625BAA"/>
    <w:rsid w:val="55C26CC0"/>
    <w:rsid w:val="56FE672C"/>
    <w:rsid w:val="570E6B10"/>
    <w:rsid w:val="58492617"/>
    <w:rsid w:val="58717625"/>
    <w:rsid w:val="58C62F6E"/>
    <w:rsid w:val="590A5625"/>
    <w:rsid w:val="5AD939EC"/>
    <w:rsid w:val="5B4D241F"/>
    <w:rsid w:val="5D073DF4"/>
    <w:rsid w:val="5D75349F"/>
    <w:rsid w:val="5E0E12A8"/>
    <w:rsid w:val="5E8B6B03"/>
    <w:rsid w:val="5FF7F31C"/>
    <w:rsid w:val="60343BAD"/>
    <w:rsid w:val="605532C8"/>
    <w:rsid w:val="60FD48E7"/>
    <w:rsid w:val="61C02C3E"/>
    <w:rsid w:val="61FE26C5"/>
    <w:rsid w:val="6299063F"/>
    <w:rsid w:val="62CF2005"/>
    <w:rsid w:val="63AD4344"/>
    <w:rsid w:val="641C4FD4"/>
    <w:rsid w:val="650C3BC7"/>
    <w:rsid w:val="66410D69"/>
    <w:rsid w:val="69EE4AD9"/>
    <w:rsid w:val="6B2F50E5"/>
    <w:rsid w:val="6B67764C"/>
    <w:rsid w:val="6C822514"/>
    <w:rsid w:val="6CC90B70"/>
    <w:rsid w:val="6CD47344"/>
    <w:rsid w:val="6CE5314E"/>
    <w:rsid w:val="6D42745D"/>
    <w:rsid w:val="6DDE1380"/>
    <w:rsid w:val="6E063995"/>
    <w:rsid w:val="6F024766"/>
    <w:rsid w:val="70247047"/>
    <w:rsid w:val="70CC34F8"/>
    <w:rsid w:val="713A29E8"/>
    <w:rsid w:val="71DE5A4F"/>
    <w:rsid w:val="72026398"/>
    <w:rsid w:val="723C03B0"/>
    <w:rsid w:val="75DF6A90"/>
    <w:rsid w:val="7682714F"/>
    <w:rsid w:val="76DD06A3"/>
    <w:rsid w:val="77462B2D"/>
    <w:rsid w:val="78CC5AF6"/>
    <w:rsid w:val="79440EAD"/>
    <w:rsid w:val="796131C9"/>
    <w:rsid w:val="7A582EA9"/>
    <w:rsid w:val="7B9342B1"/>
    <w:rsid w:val="7C035E1A"/>
    <w:rsid w:val="7DD22CAA"/>
    <w:rsid w:val="7F9322C6"/>
    <w:rsid w:val="7FB1158D"/>
    <w:rsid w:val="7FC027DC"/>
    <w:rsid w:val="7FDC7DF9"/>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99"/>
    <w:pPr>
      <w:keepNext/>
      <w:snapToGrid w:val="0"/>
      <w:spacing w:line="360" w:lineRule="atLeast"/>
      <w:outlineLvl w:val="0"/>
    </w:pPr>
    <w:rPr>
      <w:b/>
      <w:kern w:val="44"/>
      <w:sz w:val="44"/>
    </w:rPr>
  </w:style>
  <w:style w:type="paragraph" w:styleId="4">
    <w:name w:val="heading 2"/>
    <w:basedOn w:val="1"/>
    <w:next w:val="1"/>
    <w:link w:val="59"/>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9"/>
    <w:autoRedefine/>
    <w:qFormat/>
    <w:uiPriority w:val="99"/>
    <w:pPr>
      <w:keepNext/>
      <w:keepLines/>
      <w:spacing w:before="260" w:after="260" w:line="415" w:lineRule="auto"/>
      <w:outlineLvl w:val="2"/>
    </w:pPr>
    <w:rPr>
      <w:b/>
      <w:bCs/>
      <w:sz w:val="32"/>
      <w:szCs w:val="32"/>
    </w:rPr>
  </w:style>
  <w:style w:type="paragraph" w:styleId="6">
    <w:name w:val="heading 4"/>
    <w:basedOn w:val="1"/>
    <w:next w:val="1"/>
    <w:autoRedefine/>
    <w:qFormat/>
    <w:uiPriority w:val="0"/>
    <w:pPr>
      <w:keepNext/>
      <w:keepLines/>
      <w:jc w:val="left"/>
      <w:outlineLvl w:val="3"/>
    </w:pPr>
    <w:rPr>
      <w:rFonts w:hint="eastAsia" w:ascii="Arial" w:hAnsi="Arial"/>
      <w:b/>
      <w:sz w:val="32"/>
    </w:rPr>
  </w:style>
  <w:style w:type="paragraph" w:styleId="7">
    <w:name w:val="heading 7"/>
    <w:basedOn w:val="1"/>
    <w:next w:val="1"/>
    <w:link w:val="54"/>
    <w:autoRedefine/>
    <w:unhideWhenUsed/>
    <w:qFormat/>
    <w:uiPriority w:val="0"/>
    <w:pPr>
      <w:keepNext/>
      <w:keepLines/>
      <w:spacing w:before="240" w:after="64" w:line="320" w:lineRule="auto"/>
      <w:outlineLvl w:val="6"/>
    </w:pPr>
    <w:rPr>
      <w:b/>
      <w:bCs/>
      <w:sz w:val="24"/>
      <w:szCs w:val="24"/>
    </w:rPr>
  </w:style>
  <w:style w:type="character" w:default="1" w:styleId="30">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2">
    <w:name w:val="Plain Text"/>
    <w:basedOn w:val="1"/>
    <w:next w:val="1"/>
    <w:link w:val="45"/>
    <w:autoRedefine/>
    <w:qFormat/>
    <w:uiPriority w:val="0"/>
    <w:rPr>
      <w:rFonts w:ascii="宋体" w:hAnsi="Courier New"/>
    </w:rPr>
  </w:style>
  <w:style w:type="paragraph" w:styleId="8">
    <w:name w:val="Normal Indent"/>
    <w:basedOn w:val="1"/>
    <w:autoRedefine/>
    <w:qFormat/>
    <w:uiPriority w:val="99"/>
    <w:pPr>
      <w:adjustRightInd w:val="0"/>
      <w:snapToGrid w:val="0"/>
      <w:spacing w:line="360" w:lineRule="auto"/>
      <w:ind w:firstLine="420"/>
    </w:pPr>
    <w:rPr>
      <w:sz w:val="24"/>
    </w:rPr>
  </w:style>
  <w:style w:type="paragraph" w:styleId="9">
    <w:name w:val="annotation text"/>
    <w:basedOn w:val="1"/>
    <w:link w:val="50"/>
    <w:autoRedefine/>
    <w:qFormat/>
    <w:uiPriority w:val="0"/>
    <w:pPr>
      <w:jc w:val="left"/>
    </w:pPr>
  </w:style>
  <w:style w:type="paragraph" w:styleId="10">
    <w:name w:val="Body Text"/>
    <w:basedOn w:val="1"/>
    <w:next w:val="1"/>
    <w:autoRedefine/>
    <w:unhideWhenUsed/>
    <w:qFormat/>
    <w:uiPriority w:val="99"/>
    <w:pPr>
      <w:spacing w:after="120"/>
    </w:pPr>
  </w:style>
  <w:style w:type="paragraph" w:styleId="11">
    <w:name w:val="Body Text Indent"/>
    <w:basedOn w:val="1"/>
    <w:next w:val="12"/>
    <w:link w:val="67"/>
    <w:autoRedefine/>
    <w:qFormat/>
    <w:uiPriority w:val="0"/>
    <w:pPr>
      <w:spacing w:line="700" w:lineRule="exact"/>
      <w:ind w:left="960"/>
    </w:pPr>
    <w:rPr>
      <w:sz w:val="44"/>
    </w:rPr>
  </w:style>
  <w:style w:type="paragraph" w:customStyle="1" w:styleId="12">
    <w:name w:val="样式 宋体 五号 行距: 单倍行距"/>
    <w:basedOn w:val="1"/>
    <w:qFormat/>
    <w:uiPriority w:val="0"/>
    <w:pPr>
      <w:adjustRightInd w:val="0"/>
      <w:jc w:val="left"/>
    </w:pPr>
    <w:rPr>
      <w:rFonts w:ascii="宋体" w:hAnsi="宋体"/>
      <w:kern w:val="0"/>
      <w:sz w:val="21"/>
    </w:rPr>
  </w:style>
  <w:style w:type="paragraph" w:styleId="13">
    <w:name w:val="toc 3"/>
    <w:basedOn w:val="1"/>
    <w:next w:val="1"/>
    <w:autoRedefine/>
    <w:qFormat/>
    <w:uiPriority w:val="0"/>
    <w:pPr>
      <w:ind w:left="840" w:leftChars="400"/>
    </w:pPr>
  </w:style>
  <w:style w:type="paragraph" w:styleId="14">
    <w:name w:val="Date"/>
    <w:basedOn w:val="1"/>
    <w:next w:val="1"/>
    <w:link w:val="53"/>
    <w:autoRedefine/>
    <w:qFormat/>
    <w:uiPriority w:val="0"/>
  </w:style>
  <w:style w:type="paragraph" w:styleId="15">
    <w:name w:val="Body Text Indent 2"/>
    <w:basedOn w:val="1"/>
    <w:link w:val="48"/>
    <w:autoRedefine/>
    <w:qFormat/>
    <w:uiPriority w:val="0"/>
    <w:pPr>
      <w:snapToGrid w:val="0"/>
      <w:spacing w:line="560" w:lineRule="atLeast"/>
      <w:ind w:firstLine="540"/>
    </w:pPr>
  </w:style>
  <w:style w:type="paragraph" w:styleId="16">
    <w:name w:val="Balloon Text"/>
    <w:basedOn w:val="1"/>
    <w:link w:val="52"/>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next w:val="10"/>
    <w:link w:val="56"/>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pPr>
      <w:spacing w:line="180" w:lineRule="auto"/>
      <w:jc w:val="center"/>
    </w:pPr>
    <w:rPr>
      <w:sz w:val="30"/>
    </w:rPr>
  </w:style>
  <w:style w:type="paragraph" w:styleId="20">
    <w:name w:val="List"/>
    <w:basedOn w:val="1"/>
    <w:semiHidden/>
    <w:qFormat/>
    <w:uiPriority w:val="0"/>
    <w:pPr>
      <w:ind w:left="200" w:hanging="200" w:hangingChars="200"/>
    </w:pPr>
  </w:style>
  <w:style w:type="paragraph" w:styleId="21">
    <w:name w:val="table of figures"/>
    <w:basedOn w:val="1"/>
    <w:next w:val="1"/>
    <w:qFormat/>
    <w:uiPriority w:val="0"/>
    <w:pPr>
      <w:tabs>
        <w:tab w:val="right" w:leader="dot" w:pos="8640"/>
      </w:tabs>
      <w:spacing w:line="360" w:lineRule="auto"/>
      <w:ind w:left="400" w:hanging="400"/>
    </w:pPr>
    <w:rPr>
      <w:sz w:val="24"/>
    </w:rPr>
  </w:style>
  <w:style w:type="paragraph" w:styleId="22">
    <w:name w:val="toc 2"/>
    <w:basedOn w:val="1"/>
    <w:next w:val="1"/>
    <w:autoRedefine/>
    <w:qFormat/>
    <w:uiPriority w:val="39"/>
    <w:pPr>
      <w:ind w:left="420" w:leftChars="200"/>
    </w:pPr>
  </w:style>
  <w:style w:type="paragraph" w:styleId="2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autoRedefine/>
    <w:qFormat/>
    <w:uiPriority w:val="0"/>
    <w:rPr>
      <w:sz w:val="24"/>
    </w:rPr>
  </w:style>
  <w:style w:type="paragraph" w:styleId="25">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6">
    <w:name w:val="annotation subject"/>
    <w:basedOn w:val="9"/>
    <w:next w:val="9"/>
    <w:link w:val="51"/>
    <w:autoRedefine/>
    <w:qFormat/>
    <w:uiPriority w:val="0"/>
    <w:rPr>
      <w:b/>
      <w:bCs/>
    </w:rPr>
  </w:style>
  <w:style w:type="paragraph" w:styleId="27">
    <w:name w:val="Body Text First Indent"/>
    <w:basedOn w:val="10"/>
    <w:autoRedefine/>
    <w:qFormat/>
    <w:uiPriority w:val="0"/>
    <w:pPr>
      <w:ind w:firstLine="420"/>
    </w:pPr>
  </w:style>
  <w:style w:type="paragraph" w:styleId="28">
    <w:name w:val="Body Text First Indent 2"/>
    <w:basedOn w:val="11"/>
    <w:next w:val="27"/>
    <w:autoRedefine/>
    <w:qFormat/>
    <w:uiPriority w:val="6"/>
    <w:pPr>
      <w:spacing w:after="120"/>
      <w:ind w:firstLine="420"/>
    </w:pPr>
    <w:rPr>
      <w:rFonts w:cs="宋体"/>
      <w:szCs w:val="21"/>
    </w:rPr>
  </w:style>
  <w:style w:type="character" w:styleId="31">
    <w:name w:val="page number"/>
    <w:basedOn w:val="30"/>
    <w:autoRedefine/>
    <w:qFormat/>
    <w:uiPriority w:val="0"/>
  </w:style>
  <w:style w:type="character" w:styleId="32">
    <w:name w:val="Hyperlink"/>
    <w:autoRedefine/>
    <w:qFormat/>
    <w:uiPriority w:val="99"/>
    <w:rPr>
      <w:color w:val="0000FF"/>
      <w:u w:val="single"/>
    </w:rPr>
  </w:style>
  <w:style w:type="character" w:styleId="33">
    <w:name w:val="annotation reference"/>
    <w:basedOn w:val="30"/>
    <w:autoRedefine/>
    <w:qFormat/>
    <w:uiPriority w:val="0"/>
    <w:rPr>
      <w:sz w:val="21"/>
      <w:szCs w:val="21"/>
    </w:rPr>
  </w:style>
  <w:style w:type="paragraph" w:customStyle="1" w:styleId="3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目录 8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
    <w:name w:val="BodyText"/>
    <w:basedOn w:val="1"/>
    <w:next w:val="37"/>
    <w:autoRedefine/>
    <w:qFormat/>
    <w:uiPriority w:val="0"/>
    <w:pPr>
      <w:textAlignment w:val="baseline"/>
    </w:pPr>
    <w:rPr>
      <w:rFonts w:ascii="仿宋_GB2312" w:eastAsia="仿宋_GB2312"/>
      <w:sz w:val="32"/>
    </w:rPr>
  </w:style>
  <w:style w:type="paragraph" w:customStyle="1" w:styleId="37">
    <w:name w:val="BodyText1I"/>
    <w:basedOn w:val="36"/>
    <w:autoRedefine/>
    <w:qFormat/>
    <w:uiPriority w:val="0"/>
    <w:pPr>
      <w:spacing w:after="0"/>
      <w:jc w:val="left"/>
    </w:pPr>
    <w:rPr>
      <w:kern w:val="0"/>
    </w:rPr>
  </w:style>
  <w:style w:type="paragraph" w:customStyle="1" w:styleId="38">
    <w:name w:val="图表目录1"/>
    <w:basedOn w:val="39"/>
    <w:next w:val="1"/>
    <w:autoRedefine/>
    <w:qFormat/>
    <w:uiPriority w:val="0"/>
    <w:pPr>
      <w:ind w:left="200" w:leftChars="200" w:hanging="200" w:hangingChars="200"/>
    </w:pPr>
  </w:style>
  <w:style w:type="paragraph" w:customStyle="1" w:styleId="39">
    <w:name w:val="Normal New"/>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40">
    <w:name w:val="BodyTextIndent"/>
    <w:basedOn w:val="1"/>
    <w:autoRedefine/>
    <w:qFormat/>
    <w:uiPriority w:val="0"/>
    <w:pPr>
      <w:spacing w:line="700" w:lineRule="exact"/>
      <w:ind w:left="960"/>
      <w:textAlignment w:val="baseline"/>
    </w:pPr>
    <w:rPr>
      <w:sz w:val="44"/>
    </w:rPr>
  </w:style>
  <w:style w:type="paragraph" w:customStyle="1" w:styleId="41">
    <w:name w:val="明显引用1"/>
    <w:basedOn w:val="1"/>
    <w:next w:val="1"/>
    <w:autoRedefine/>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3">
    <w:name w:val="标题 2 字符"/>
    <w:autoRedefine/>
    <w:qFormat/>
    <w:locked/>
    <w:uiPriority w:val="99"/>
    <w:rPr>
      <w:rFonts w:ascii="Arial" w:hAnsi="Arial" w:eastAsia="黑体"/>
      <w:b/>
      <w:sz w:val="32"/>
    </w:rPr>
  </w:style>
  <w:style w:type="paragraph" w:customStyle="1" w:styleId="44">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5">
    <w:name w:val="纯文本 Char"/>
    <w:basedOn w:val="30"/>
    <w:link w:val="2"/>
    <w:autoRedefine/>
    <w:qFormat/>
    <w:uiPriority w:val="0"/>
    <w:rPr>
      <w:rFonts w:hint="eastAsia" w:ascii="宋体" w:hAnsi="Courier New" w:eastAsia="宋体" w:cs="Courier New"/>
      <w:kern w:val="2"/>
      <w:sz w:val="21"/>
      <w:szCs w:val="21"/>
    </w:rPr>
  </w:style>
  <w:style w:type="paragraph" w:customStyle="1" w:styleId="46">
    <w:name w:val="1"/>
    <w:basedOn w:val="1"/>
    <w:next w:val="2"/>
    <w:autoRedefine/>
    <w:qFormat/>
    <w:uiPriority w:val="0"/>
    <w:rPr>
      <w:rFonts w:hint="eastAsia" w:ascii="宋体" w:hAnsi="Courier New"/>
      <w:sz w:val="21"/>
    </w:rPr>
  </w:style>
  <w:style w:type="character" w:customStyle="1" w:styleId="47">
    <w:name w:val="正文文本缩进 2 Char1"/>
    <w:basedOn w:val="30"/>
    <w:autoRedefine/>
    <w:qFormat/>
    <w:uiPriority w:val="0"/>
    <w:rPr>
      <w:kern w:val="2"/>
      <w:sz w:val="28"/>
    </w:rPr>
  </w:style>
  <w:style w:type="character" w:customStyle="1" w:styleId="48">
    <w:name w:val="正文文本缩进 2 Char"/>
    <w:basedOn w:val="30"/>
    <w:link w:val="15"/>
    <w:autoRedefine/>
    <w:qFormat/>
    <w:uiPriority w:val="0"/>
    <w:rPr>
      <w:kern w:val="2"/>
      <w:sz w:val="28"/>
    </w:rPr>
  </w:style>
  <w:style w:type="character" w:customStyle="1" w:styleId="49">
    <w:name w:val="标题 3 Char"/>
    <w:basedOn w:val="30"/>
    <w:link w:val="5"/>
    <w:autoRedefine/>
    <w:qFormat/>
    <w:uiPriority w:val="0"/>
    <w:rPr>
      <w:b/>
      <w:kern w:val="2"/>
      <w:sz w:val="32"/>
    </w:rPr>
  </w:style>
  <w:style w:type="character" w:customStyle="1" w:styleId="50">
    <w:name w:val="批注文字 Char"/>
    <w:basedOn w:val="30"/>
    <w:link w:val="9"/>
    <w:autoRedefine/>
    <w:qFormat/>
    <w:uiPriority w:val="0"/>
    <w:rPr>
      <w:rFonts w:ascii="Times New Roman" w:hAnsi="Times New Roman" w:cs="Times New Roman"/>
      <w:kern w:val="2"/>
      <w:sz w:val="28"/>
    </w:rPr>
  </w:style>
  <w:style w:type="character" w:customStyle="1" w:styleId="51">
    <w:name w:val="批注主题 Char"/>
    <w:basedOn w:val="50"/>
    <w:link w:val="26"/>
    <w:autoRedefine/>
    <w:qFormat/>
    <w:uiPriority w:val="0"/>
    <w:rPr>
      <w:rFonts w:ascii="Times New Roman" w:hAnsi="Times New Roman" w:cs="Times New Roman"/>
      <w:b/>
      <w:bCs/>
      <w:kern w:val="2"/>
      <w:sz w:val="28"/>
    </w:rPr>
  </w:style>
  <w:style w:type="character" w:customStyle="1" w:styleId="52">
    <w:name w:val="批注框文本 Char"/>
    <w:basedOn w:val="30"/>
    <w:link w:val="16"/>
    <w:autoRedefine/>
    <w:qFormat/>
    <w:uiPriority w:val="0"/>
    <w:rPr>
      <w:rFonts w:ascii="Times New Roman" w:hAnsi="Times New Roman" w:cs="Times New Roman"/>
      <w:kern w:val="2"/>
      <w:sz w:val="18"/>
      <w:szCs w:val="18"/>
    </w:rPr>
  </w:style>
  <w:style w:type="character" w:customStyle="1" w:styleId="53">
    <w:name w:val="日期 Char"/>
    <w:link w:val="14"/>
    <w:autoRedefine/>
    <w:qFormat/>
    <w:uiPriority w:val="0"/>
    <w:rPr>
      <w:rFonts w:ascii="Times New Roman" w:hAnsi="Times New Roman" w:cs="Times New Roman"/>
      <w:kern w:val="2"/>
      <w:sz w:val="28"/>
    </w:rPr>
  </w:style>
  <w:style w:type="character" w:customStyle="1" w:styleId="54">
    <w:name w:val="标题 7 Char"/>
    <w:basedOn w:val="30"/>
    <w:link w:val="7"/>
    <w:autoRedefine/>
    <w:semiHidden/>
    <w:qFormat/>
    <w:uiPriority w:val="0"/>
    <w:rPr>
      <w:rFonts w:ascii="Times New Roman" w:hAnsi="Times New Roman" w:cs="Times New Roman"/>
      <w:b/>
      <w:bCs/>
      <w:kern w:val="2"/>
      <w:sz w:val="24"/>
      <w:szCs w:val="24"/>
    </w:rPr>
  </w:style>
  <w:style w:type="character" w:customStyle="1" w:styleId="55">
    <w:name w:val="标题 7 字符1"/>
    <w:autoRedefine/>
    <w:qFormat/>
    <w:uiPriority w:val="0"/>
    <w:rPr>
      <w:rFonts w:ascii="Arial" w:hAnsi="Arial" w:eastAsia="黑体" w:cs="Times New Roman"/>
      <w:b/>
      <w:kern w:val="2"/>
      <w:sz w:val="24"/>
      <w:lang w:val="en-US" w:eastAsia="zh-CN" w:bidi="ar-SA"/>
    </w:rPr>
  </w:style>
  <w:style w:type="character" w:customStyle="1" w:styleId="56">
    <w:name w:val="页眉 Char"/>
    <w:link w:val="18"/>
    <w:autoRedefine/>
    <w:qFormat/>
    <w:uiPriority w:val="0"/>
    <w:rPr>
      <w:rFonts w:ascii="Times New Roman" w:hAnsi="Times New Roman" w:cs="Times New Roman"/>
      <w:kern w:val="2"/>
      <w:sz w:val="18"/>
    </w:rPr>
  </w:style>
  <w:style w:type="paragraph" w:customStyle="1" w:styleId="57">
    <w:name w:val="正文首行缩进两字符"/>
    <w:basedOn w:val="1"/>
    <w:autoRedefine/>
    <w:qFormat/>
    <w:uiPriority w:val="0"/>
    <w:pPr>
      <w:spacing w:line="360" w:lineRule="auto"/>
      <w:ind w:firstLine="200" w:firstLineChars="200"/>
    </w:pPr>
  </w:style>
  <w:style w:type="paragraph" w:customStyle="1" w:styleId="58">
    <w:name w:val="段落正文"/>
    <w:basedOn w:val="1"/>
    <w:autoRedefine/>
    <w:qFormat/>
    <w:uiPriority w:val="0"/>
    <w:pPr>
      <w:spacing w:beforeLines="50" w:line="360" w:lineRule="auto"/>
      <w:ind w:firstLine="200" w:firstLineChars="200"/>
    </w:pPr>
    <w:rPr>
      <w:spacing w:val="2"/>
      <w:sz w:val="24"/>
    </w:rPr>
  </w:style>
  <w:style w:type="character" w:customStyle="1" w:styleId="59">
    <w:name w:val="标题 2 Char"/>
    <w:basedOn w:val="30"/>
    <w:link w:val="4"/>
    <w:autoRedefine/>
    <w:qFormat/>
    <w:uiPriority w:val="0"/>
    <w:rPr>
      <w:rFonts w:hint="default" w:ascii="Arial" w:hAnsi="Arial" w:eastAsia="黑体" w:cs="Arial"/>
      <w:b/>
      <w:kern w:val="2"/>
      <w:sz w:val="32"/>
    </w:rPr>
  </w:style>
  <w:style w:type="paragraph" w:customStyle="1" w:styleId="60">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61">
    <w:name w:val="授权书和信息卡行距"/>
    <w:autoRedefine/>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62">
    <w:name w:val="图例"/>
    <w:basedOn w:val="1"/>
    <w:autoRedefine/>
    <w:qFormat/>
    <w:uiPriority w:val="0"/>
    <w:pPr>
      <w:spacing w:line="360" w:lineRule="auto"/>
      <w:jc w:val="center"/>
    </w:pPr>
    <w:rPr>
      <w:rFonts w:eastAsia="仿宋_GB2312"/>
      <w:b/>
      <w:sz w:val="24"/>
    </w:rPr>
  </w:style>
  <w:style w:type="paragraph" w:customStyle="1" w:styleId="63">
    <w:name w:val="Table Text"/>
    <w:basedOn w:val="1"/>
    <w:autoRedefine/>
    <w:semiHidden/>
    <w:qFormat/>
    <w:uiPriority w:val="0"/>
    <w:rPr>
      <w:rFonts w:ascii="宋体" w:hAnsi="宋体" w:cs="宋体"/>
      <w:sz w:val="21"/>
      <w:szCs w:val="21"/>
      <w:lang w:eastAsia="en-US"/>
    </w:rPr>
  </w:style>
  <w:style w:type="table" w:customStyle="1" w:styleId="64">
    <w:name w:val="Table Normal"/>
    <w:autoRedefine/>
    <w:unhideWhenUsed/>
    <w:qFormat/>
    <w:uiPriority w:val="0"/>
    <w:tblPr>
      <w:tblCellMar>
        <w:top w:w="0" w:type="dxa"/>
        <w:left w:w="0" w:type="dxa"/>
        <w:bottom w:w="0" w:type="dxa"/>
        <w:right w:w="0" w:type="dxa"/>
      </w:tblCellMar>
    </w:tblPr>
  </w:style>
  <w:style w:type="character" w:customStyle="1" w:styleId="65">
    <w:name w:val="NormalCharacter"/>
    <w:autoRedefine/>
    <w:semiHidden/>
    <w:qFormat/>
    <w:uiPriority w:val="0"/>
  </w:style>
  <w:style w:type="paragraph" w:customStyle="1" w:styleId="66">
    <w:name w:val="UserStyle_4"/>
    <w:basedOn w:val="1"/>
    <w:autoRedefine/>
    <w:qFormat/>
    <w:uiPriority w:val="0"/>
    <w:pPr>
      <w:widowControl/>
      <w:spacing w:before="120" w:after="120" w:line="360" w:lineRule="auto"/>
      <w:jc w:val="center"/>
      <w:textAlignment w:val="baseline"/>
    </w:pPr>
    <w:rPr>
      <w:rFonts w:ascii="Calibri" w:hAnsi="Calibri" w:eastAsia="仿宋_GB2312"/>
      <w:b/>
      <w:sz w:val="24"/>
      <w:szCs w:val="22"/>
    </w:rPr>
  </w:style>
  <w:style w:type="character" w:customStyle="1" w:styleId="67">
    <w:name w:val="正文文本缩进 Char"/>
    <w:link w:val="11"/>
    <w:autoRedefine/>
    <w:qFormat/>
    <w:uiPriority w:val="0"/>
    <w:rPr>
      <w:kern w:val="2"/>
      <w:sz w:val="44"/>
    </w:rPr>
  </w:style>
  <w:style w:type="paragraph" w:customStyle="1" w:styleId="68">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69">
    <w:name w:val="身份证明授权委托投标函等行距"/>
    <w:autoRedefine/>
    <w:semiHidden/>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电建正文"/>
    <w:basedOn w:val="72"/>
    <w:autoRedefine/>
    <w:qFormat/>
    <w:uiPriority w:val="0"/>
    <w:pPr>
      <w:tabs>
        <w:tab w:val="left" w:pos="720"/>
      </w:tabs>
      <w:spacing w:line="360" w:lineRule="auto"/>
      <w:ind w:firstLine="200" w:firstLineChars="200"/>
    </w:pPr>
    <w:rPr>
      <w:rFonts w:ascii="Tahoma" w:hAnsi="Tahoma"/>
      <w:sz w:val="24"/>
    </w:rPr>
  </w:style>
  <w:style w:type="paragraph" w:customStyle="1" w:styleId="72">
    <w:name w:val="List First"/>
    <w:basedOn w:val="20"/>
    <w:next w:val="20"/>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13380</Words>
  <Characters>14027</Characters>
  <Lines>168</Lines>
  <Paragraphs>47</Paragraphs>
  <TotalTime>6</TotalTime>
  <ScaleCrop>false</ScaleCrop>
  <LinksUpToDate>false</LinksUpToDate>
  <CharactersWithSpaces>14129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2024-02-28T02:48:00Z</dcterms:created>
  <dc:creator>莉~</dc:creator>
  <cp:lastModifiedBy>张丹丹</cp:lastModifiedBy>
  <cp:lastPrinted>2024-03-04T04:24:00Z</cp:lastPrinted>
  <dcterms:modified xsi:type="dcterms:W3CDTF">2026-05-21T02:43:01Z</dcterms:modified>
  <dc:title>重庆市政府采购云平台网上竞采文件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F1E0D9F978404B30887C334C8C5CED05_13</vt:lpwstr>
  </property>
  <property fmtid="{D5CDD505-2E9C-101B-9397-08002B2CF9AE}" pid="4" name="KSOTemplateDocerSaveRecord">
    <vt:lpwstr>eyJoZGlkIjoiZDg2MDMxMzUxODg5NzFmOWZkN2Q0ZGViMTRhN2ZhMWEiLCJ1c2VySWQiOiIzMzYyNTgzNjEifQ==</vt:lpwstr>
  </property>
</Properties>
</file>